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8111" w14:textId="1A3756A3" w:rsidR="00A43AAD" w:rsidRPr="00CB3320" w:rsidRDefault="00A87CB5" w:rsidP="00135D4D">
      <w:pPr>
        <w:pStyle w:val="a4"/>
        <w:spacing w:afterLines="50" w:after="163"/>
        <w:rPr>
          <w:rFonts w:eastAsiaTheme="minorEastAsia"/>
          <w:b w:val="0"/>
          <w:bCs w:val="0"/>
          <w:kern w:val="2"/>
          <w:sz w:val="44"/>
          <w:szCs w:val="44"/>
        </w:rPr>
      </w:pPr>
      <w:proofErr w:type="gramStart"/>
      <w:r w:rsidRPr="00CB3320">
        <w:rPr>
          <w:rFonts w:eastAsiaTheme="minorEastAsia" w:hint="eastAsia"/>
          <w:b w:val="0"/>
          <w:bCs w:val="0"/>
          <w:kern w:val="2"/>
          <w:sz w:val="44"/>
          <w:szCs w:val="44"/>
        </w:rPr>
        <w:t>碳排放权</w:t>
      </w:r>
      <w:proofErr w:type="gramEnd"/>
      <w:r w:rsidRPr="00CB3320">
        <w:rPr>
          <w:rFonts w:eastAsiaTheme="minorEastAsia" w:hint="eastAsia"/>
          <w:b w:val="0"/>
          <w:bCs w:val="0"/>
          <w:kern w:val="2"/>
          <w:sz w:val="44"/>
          <w:szCs w:val="44"/>
        </w:rPr>
        <w:t>交易</w:t>
      </w:r>
      <w:r w:rsidR="00137CE2" w:rsidRPr="00CB3320">
        <w:rPr>
          <w:rFonts w:eastAsiaTheme="minorEastAsia" w:hint="eastAsia"/>
          <w:b w:val="0"/>
          <w:bCs w:val="0"/>
          <w:kern w:val="2"/>
          <w:sz w:val="44"/>
          <w:szCs w:val="44"/>
        </w:rPr>
        <w:t>试点与</w:t>
      </w:r>
      <w:r w:rsidRPr="00CB3320">
        <w:rPr>
          <w:rFonts w:eastAsiaTheme="minorEastAsia" w:hint="eastAsia"/>
          <w:b w:val="0"/>
          <w:bCs w:val="0"/>
          <w:kern w:val="2"/>
          <w:sz w:val="44"/>
          <w:szCs w:val="44"/>
        </w:rPr>
        <w:t>全要素生产率</w:t>
      </w:r>
      <w:r w:rsidR="00947C2A" w:rsidRPr="00CB3320">
        <w:rPr>
          <w:rFonts w:eastAsiaTheme="minorEastAsia" w:hint="eastAsia"/>
          <w:b w:val="0"/>
          <w:bCs w:val="0"/>
          <w:kern w:val="2"/>
          <w:sz w:val="44"/>
          <w:szCs w:val="44"/>
        </w:rPr>
        <w:t>——</w:t>
      </w:r>
      <w:r w:rsidR="00137CE2" w:rsidRPr="00CB3320">
        <w:rPr>
          <w:rFonts w:eastAsiaTheme="minorEastAsia" w:hint="eastAsia"/>
          <w:b w:val="0"/>
          <w:bCs w:val="0"/>
          <w:kern w:val="2"/>
          <w:sz w:val="44"/>
          <w:szCs w:val="44"/>
        </w:rPr>
        <w:t>兼论波特假说、技术</w:t>
      </w:r>
      <w:r w:rsidR="00C703F4" w:rsidRPr="00CB3320">
        <w:rPr>
          <w:rFonts w:eastAsiaTheme="minorEastAsia" w:hint="eastAsia"/>
          <w:b w:val="0"/>
          <w:bCs w:val="0"/>
          <w:kern w:val="2"/>
          <w:sz w:val="44"/>
          <w:szCs w:val="44"/>
        </w:rPr>
        <w:t>溢出</w:t>
      </w:r>
      <w:r w:rsidR="00137CE2" w:rsidRPr="00CB3320">
        <w:rPr>
          <w:rFonts w:eastAsiaTheme="minorEastAsia" w:hint="eastAsia"/>
          <w:b w:val="0"/>
          <w:bCs w:val="0"/>
          <w:kern w:val="2"/>
          <w:sz w:val="44"/>
          <w:szCs w:val="44"/>
        </w:rPr>
        <w:t>与污染天堂</w:t>
      </w:r>
      <w:r w:rsidR="00DE73E2" w:rsidRPr="00CB3320">
        <w:rPr>
          <w:rStyle w:val="a8"/>
          <w:rFonts w:eastAsiaTheme="minorEastAsia"/>
          <w:b w:val="0"/>
          <w:bCs w:val="0"/>
          <w:kern w:val="2"/>
          <w:sz w:val="44"/>
          <w:szCs w:val="44"/>
        </w:rPr>
        <w:footnoteReference w:id="2"/>
      </w:r>
    </w:p>
    <w:p w14:paraId="478462EB" w14:textId="31B56586" w:rsidR="00231D33" w:rsidRPr="00CB3320" w:rsidRDefault="00231D33" w:rsidP="00F42D0A">
      <w:pPr>
        <w:ind w:firstLineChars="100" w:firstLine="210"/>
        <w:jc w:val="center"/>
        <w:rPr>
          <w:rFonts w:cs="Times New Roman"/>
          <w:szCs w:val="22"/>
        </w:rPr>
      </w:pPr>
    </w:p>
    <w:p w14:paraId="1704910F" w14:textId="6888F4FB" w:rsidR="000B0C11" w:rsidRPr="00CB3320" w:rsidRDefault="00F42D0A" w:rsidP="00F42D0A">
      <w:pPr>
        <w:ind w:firstLineChars="100" w:firstLine="210"/>
        <w:jc w:val="center"/>
        <w:rPr>
          <w:rFonts w:cs="Times New Roman"/>
          <w:szCs w:val="22"/>
        </w:rPr>
      </w:pPr>
      <w:proofErr w:type="gramStart"/>
      <w:r w:rsidRPr="00CB3320">
        <w:rPr>
          <w:rFonts w:cs="Times New Roman" w:hint="eastAsia"/>
          <w:szCs w:val="22"/>
        </w:rPr>
        <w:t>贾智杰</w:t>
      </w:r>
      <w:proofErr w:type="gramEnd"/>
      <w:r w:rsidRPr="00CB3320">
        <w:rPr>
          <w:rFonts w:cs="Times New Roman" w:hint="eastAsia"/>
          <w:szCs w:val="22"/>
        </w:rPr>
        <w:t xml:space="preserve"> </w:t>
      </w:r>
      <w:r w:rsidRPr="00CB3320">
        <w:rPr>
          <w:rFonts w:cs="Times New Roman"/>
          <w:szCs w:val="22"/>
        </w:rPr>
        <w:t xml:space="preserve"> </w:t>
      </w:r>
      <w:r w:rsidRPr="00CB3320">
        <w:rPr>
          <w:rFonts w:cs="Times New Roman" w:hint="eastAsia"/>
          <w:szCs w:val="22"/>
        </w:rPr>
        <w:t>林伯强</w:t>
      </w:r>
      <w:r w:rsidRPr="00CB3320">
        <w:rPr>
          <w:rFonts w:cs="Times New Roman"/>
          <w:szCs w:val="22"/>
        </w:rPr>
        <w:t xml:space="preserve">  </w:t>
      </w:r>
      <w:r w:rsidRPr="00CB3320">
        <w:rPr>
          <w:rFonts w:cs="Times New Roman" w:hint="eastAsia"/>
          <w:szCs w:val="22"/>
        </w:rPr>
        <w:t>温师燕</w:t>
      </w:r>
    </w:p>
    <w:p w14:paraId="28EA33CC" w14:textId="3BD1D02F" w:rsidR="00F42D0A" w:rsidRPr="00CB3320" w:rsidRDefault="00F42D0A" w:rsidP="00F42D0A">
      <w:pPr>
        <w:ind w:firstLineChars="100" w:firstLine="210"/>
        <w:jc w:val="center"/>
        <w:rPr>
          <w:rFonts w:cs="Times New Roman"/>
          <w:szCs w:val="22"/>
        </w:rPr>
      </w:pPr>
    </w:p>
    <w:p w14:paraId="7B2C61F4" w14:textId="77777777" w:rsidR="00F42D0A" w:rsidRPr="00CB3320" w:rsidRDefault="00F42D0A" w:rsidP="00F42D0A">
      <w:pPr>
        <w:ind w:firstLineChars="100" w:firstLine="210"/>
        <w:jc w:val="center"/>
        <w:rPr>
          <w:rFonts w:cs="Times New Roman"/>
          <w:szCs w:val="22"/>
        </w:rPr>
      </w:pPr>
    </w:p>
    <w:p w14:paraId="47C37C65" w14:textId="168EF14B" w:rsidR="000B0C11" w:rsidRPr="00CB3320" w:rsidRDefault="000B0C11" w:rsidP="000B0C11">
      <w:pPr>
        <w:ind w:firstLine="420"/>
        <w:rPr>
          <w:rFonts w:ascii="楷体" w:eastAsia="楷体" w:hAnsi="楷体" w:cs="Times New Roman"/>
          <w:szCs w:val="22"/>
        </w:rPr>
      </w:pPr>
      <w:r w:rsidRPr="00CB3320">
        <w:rPr>
          <w:rFonts w:ascii="黑体" w:eastAsia="黑体" w:hAnsi="黑体" w:cs="Times New Roman" w:hint="eastAsia"/>
          <w:szCs w:val="22"/>
        </w:rPr>
        <w:t>摘要</w:t>
      </w:r>
      <w:r w:rsidR="00F42D0A" w:rsidRPr="00CB3320">
        <w:rPr>
          <w:rFonts w:ascii="黑体" w:eastAsia="黑体" w:hAnsi="黑体" w:cs="Times New Roman" w:hint="eastAsia"/>
          <w:szCs w:val="22"/>
        </w:rPr>
        <w:t>：</w:t>
      </w:r>
      <w:r w:rsidRPr="00CB3320">
        <w:rPr>
          <w:rFonts w:ascii="楷体" w:eastAsia="楷体" w:hAnsi="楷体" w:cs="Times New Roman" w:hint="eastAsia"/>
          <w:szCs w:val="22"/>
        </w:rPr>
        <w:t>本文以我国</w:t>
      </w:r>
      <w:proofErr w:type="gramStart"/>
      <w:r w:rsidRPr="00CB3320">
        <w:rPr>
          <w:rFonts w:ascii="楷体" w:eastAsia="楷体" w:hAnsi="楷体" w:cs="Times New Roman" w:hint="eastAsia"/>
          <w:szCs w:val="22"/>
        </w:rPr>
        <w:t>碳试点</w:t>
      </w:r>
      <w:proofErr w:type="gramEnd"/>
      <w:r w:rsidRPr="00CB3320">
        <w:rPr>
          <w:rFonts w:ascii="楷体" w:eastAsia="楷体" w:hAnsi="楷体" w:cs="Times New Roman" w:hint="eastAsia"/>
          <w:szCs w:val="22"/>
        </w:rPr>
        <w:t>为例，研究了</w:t>
      </w:r>
      <w:proofErr w:type="gramStart"/>
      <w:r w:rsidRPr="00CB3320">
        <w:rPr>
          <w:rFonts w:ascii="楷体" w:eastAsia="楷体" w:hAnsi="楷体" w:cs="Times New Roman" w:hint="eastAsia"/>
          <w:szCs w:val="22"/>
        </w:rPr>
        <w:t>碳交易</w:t>
      </w:r>
      <w:proofErr w:type="gramEnd"/>
      <w:r w:rsidR="00985119" w:rsidRPr="00CB3320">
        <w:rPr>
          <w:rFonts w:ascii="楷体" w:eastAsia="楷体" w:hAnsi="楷体" w:cs="Times New Roman" w:hint="eastAsia"/>
          <w:szCs w:val="22"/>
        </w:rPr>
        <w:t>机制</w:t>
      </w:r>
      <w:r w:rsidRPr="00CB3320">
        <w:rPr>
          <w:rFonts w:ascii="楷体" w:eastAsia="楷体" w:hAnsi="楷体" w:cs="Times New Roman" w:hint="eastAsia"/>
          <w:szCs w:val="22"/>
        </w:rPr>
        <w:t>（E</w:t>
      </w:r>
      <w:r w:rsidRPr="00CB3320">
        <w:rPr>
          <w:rFonts w:ascii="楷体" w:eastAsia="楷体" w:hAnsi="楷体" w:cs="Times New Roman"/>
          <w:szCs w:val="22"/>
        </w:rPr>
        <w:t>TS</w:t>
      </w:r>
      <w:r w:rsidRPr="00CB3320">
        <w:rPr>
          <w:rFonts w:ascii="楷体" w:eastAsia="楷体" w:hAnsi="楷体" w:cs="Times New Roman" w:hint="eastAsia"/>
          <w:szCs w:val="22"/>
        </w:rPr>
        <w:t>）对全要素生产率(</w:t>
      </w:r>
      <w:r w:rsidRPr="00CB3320">
        <w:rPr>
          <w:rFonts w:ascii="楷体" w:eastAsia="楷体" w:hAnsi="楷体" w:cs="Times New Roman"/>
          <w:szCs w:val="22"/>
        </w:rPr>
        <w:t>TFP)</w:t>
      </w:r>
      <w:r w:rsidRPr="00CB3320">
        <w:rPr>
          <w:rFonts w:ascii="楷体" w:eastAsia="楷体" w:hAnsi="楷体" w:cs="Times New Roman" w:hint="eastAsia"/>
          <w:szCs w:val="22"/>
        </w:rPr>
        <w:t>的影响。本文部分避开了选择性偏差和统计平均陷阱，P</w:t>
      </w:r>
      <w:r w:rsidRPr="00CB3320">
        <w:rPr>
          <w:rFonts w:ascii="楷体" w:eastAsia="楷体" w:hAnsi="楷体" w:cs="Times New Roman"/>
          <w:szCs w:val="22"/>
        </w:rPr>
        <w:t>SM-</w:t>
      </w:r>
      <w:r w:rsidR="00F3262C" w:rsidRPr="00CB3320">
        <w:rPr>
          <w:rFonts w:ascii="楷体" w:eastAsia="楷体" w:hAnsi="楷体" w:cs="Times New Roman" w:hint="eastAsia"/>
          <w:szCs w:val="22"/>
        </w:rPr>
        <w:t>加权</w:t>
      </w:r>
      <w:r w:rsidRPr="00CB3320">
        <w:rPr>
          <w:rFonts w:ascii="楷体" w:eastAsia="楷体" w:hAnsi="楷体" w:cs="Times New Roman"/>
          <w:szCs w:val="22"/>
        </w:rPr>
        <w:t>DID</w:t>
      </w:r>
      <w:r w:rsidR="00F3262C" w:rsidRPr="00CB3320">
        <w:rPr>
          <w:rFonts w:ascii="楷体" w:eastAsia="楷体" w:hAnsi="楷体" w:cs="Times New Roman" w:hint="eastAsia"/>
          <w:szCs w:val="22"/>
        </w:rPr>
        <w:t>模型</w:t>
      </w:r>
      <w:r w:rsidRPr="00CB3320">
        <w:rPr>
          <w:rFonts w:ascii="楷体" w:eastAsia="楷体" w:hAnsi="楷体" w:cs="Times New Roman" w:hint="eastAsia"/>
          <w:szCs w:val="22"/>
        </w:rPr>
        <w:t>的结果表明</w:t>
      </w:r>
      <w:proofErr w:type="gramStart"/>
      <w:r w:rsidRPr="00CB3320">
        <w:rPr>
          <w:rFonts w:ascii="楷体" w:eastAsia="楷体" w:hAnsi="楷体" w:cs="Times New Roman" w:hint="eastAsia"/>
          <w:szCs w:val="22"/>
        </w:rPr>
        <w:t>碳试点</w:t>
      </w:r>
      <w:proofErr w:type="gramEnd"/>
      <w:r w:rsidRPr="00CB3320">
        <w:rPr>
          <w:rFonts w:ascii="楷体" w:eastAsia="楷体" w:hAnsi="楷体" w:cs="Times New Roman" w:hint="eastAsia"/>
          <w:szCs w:val="22"/>
        </w:rPr>
        <w:t>对TFP有负向影响，因此在试点城市中不满足强波特假说，但存在异质性。如果放松个体不相关的假定，空间模型的证据表明：</w:t>
      </w:r>
      <w:proofErr w:type="gramStart"/>
      <w:r w:rsidRPr="00CB3320">
        <w:rPr>
          <w:rFonts w:ascii="楷体" w:eastAsia="楷体" w:hAnsi="楷体" w:cs="Times New Roman" w:hint="eastAsia"/>
          <w:szCs w:val="22"/>
        </w:rPr>
        <w:t>碳试点</w:t>
      </w:r>
      <w:proofErr w:type="gramEnd"/>
      <w:r w:rsidRPr="00CB3320">
        <w:rPr>
          <w:rFonts w:ascii="楷体" w:eastAsia="楷体" w:hAnsi="楷体" w:cs="Times New Roman" w:hint="eastAsia"/>
          <w:szCs w:val="22"/>
        </w:rPr>
        <w:t>可以显著促进非试点地区的TFP，但对试点地区的T</w:t>
      </w:r>
      <w:r w:rsidRPr="00CB3320">
        <w:rPr>
          <w:rFonts w:ascii="楷体" w:eastAsia="楷体" w:hAnsi="楷体" w:cs="Times New Roman"/>
          <w:szCs w:val="22"/>
        </w:rPr>
        <w:t>FP</w:t>
      </w:r>
      <w:r w:rsidRPr="00CB3320">
        <w:rPr>
          <w:rFonts w:ascii="楷体" w:eastAsia="楷体" w:hAnsi="楷体" w:cs="Times New Roman" w:hint="eastAsia"/>
          <w:szCs w:val="22"/>
        </w:rPr>
        <w:t>具有一定的抑制作用。目前来看，</w:t>
      </w:r>
      <w:proofErr w:type="gramStart"/>
      <w:r w:rsidRPr="00CB3320">
        <w:rPr>
          <w:rFonts w:ascii="楷体" w:eastAsia="楷体" w:hAnsi="楷体" w:cs="Times New Roman" w:hint="eastAsia"/>
          <w:szCs w:val="22"/>
        </w:rPr>
        <w:t>碳交易</w:t>
      </w:r>
      <w:proofErr w:type="gramEnd"/>
      <w:r w:rsidRPr="00CB3320">
        <w:rPr>
          <w:rFonts w:ascii="楷体" w:eastAsia="楷体" w:hAnsi="楷体" w:cs="Times New Roman" w:hint="eastAsia"/>
          <w:szCs w:val="22"/>
        </w:rPr>
        <w:t>试点存在的技术扩散效应大于污染天堂效应，且可以在国家层面促进TFP的增长，因此满足全国层面上的强波特假说。</w:t>
      </w:r>
    </w:p>
    <w:p w14:paraId="0239CE14" w14:textId="19FE9431" w:rsidR="000B0C11" w:rsidRPr="00CB3320" w:rsidRDefault="00313C2E" w:rsidP="00313C2E">
      <w:pPr>
        <w:ind w:rightChars="200" w:right="420" w:firstLine="420"/>
      </w:pPr>
      <w:r w:rsidRPr="00CB3320">
        <w:rPr>
          <w:rFonts w:ascii="黑体" w:eastAsia="黑体" w:hAnsi="黑体" w:cs="Times New Roman" w:hint="eastAsia"/>
          <w:szCs w:val="22"/>
        </w:rPr>
        <w:t>关键词：</w:t>
      </w:r>
      <w:proofErr w:type="gramStart"/>
      <w:r w:rsidR="000B0C11" w:rsidRPr="00CB3320">
        <w:rPr>
          <w:rFonts w:hint="eastAsia"/>
        </w:rPr>
        <w:t>碳排放权</w:t>
      </w:r>
      <w:proofErr w:type="gramEnd"/>
      <w:r w:rsidR="000B0C11" w:rsidRPr="00CB3320">
        <w:rPr>
          <w:rFonts w:hint="eastAsia"/>
        </w:rPr>
        <w:t>交易试点；全要素生产率；波特假说；</w:t>
      </w:r>
      <w:r w:rsidR="00F3262C" w:rsidRPr="00CB3320">
        <w:rPr>
          <w:rFonts w:hint="eastAsia"/>
        </w:rPr>
        <w:t>P</w:t>
      </w:r>
      <w:r w:rsidR="00F3262C" w:rsidRPr="00CB3320">
        <w:t>SM-</w:t>
      </w:r>
      <w:r w:rsidR="009B0488" w:rsidRPr="00CB3320">
        <w:rPr>
          <w:rFonts w:hint="eastAsia"/>
        </w:rPr>
        <w:t>空间</w:t>
      </w:r>
      <w:r w:rsidR="00F3262C" w:rsidRPr="00CB3320">
        <w:rPr>
          <w:rFonts w:hint="eastAsia"/>
        </w:rPr>
        <w:t>加权</w:t>
      </w:r>
      <w:r w:rsidR="00F3262C" w:rsidRPr="00CB3320">
        <w:rPr>
          <w:rFonts w:hint="eastAsia"/>
        </w:rPr>
        <w:t>D</w:t>
      </w:r>
      <w:r w:rsidR="00F3262C" w:rsidRPr="00CB3320">
        <w:t>ID</w:t>
      </w:r>
      <w:r w:rsidR="00F3262C" w:rsidRPr="00CB3320">
        <w:rPr>
          <w:rFonts w:hint="eastAsia"/>
        </w:rPr>
        <w:t>模型</w:t>
      </w:r>
    </w:p>
    <w:p w14:paraId="2323F358" w14:textId="353B41C0" w:rsidR="00D7238A" w:rsidRPr="00CB3320" w:rsidRDefault="00D7238A" w:rsidP="005E39C1">
      <w:pPr>
        <w:ind w:leftChars="200" w:left="420" w:rightChars="200" w:right="420" w:firstLineChars="0" w:firstLine="0"/>
        <w:jc w:val="center"/>
      </w:pPr>
    </w:p>
    <w:p w14:paraId="490B5563" w14:textId="77777777" w:rsidR="000B0C11" w:rsidRPr="00CB3320" w:rsidRDefault="000B0C11" w:rsidP="000B0C11">
      <w:pPr>
        <w:ind w:leftChars="200" w:left="420" w:rightChars="200" w:right="420" w:firstLineChars="0" w:firstLine="0"/>
        <w:jc w:val="center"/>
      </w:pPr>
    </w:p>
    <w:p w14:paraId="2D80A867" w14:textId="0E533A79" w:rsidR="003F005E" w:rsidRPr="00CB3320" w:rsidRDefault="00137CE2" w:rsidP="00137CE2">
      <w:pPr>
        <w:pStyle w:val="a4"/>
        <w:spacing w:afterLines="50" w:after="163"/>
        <w:rPr>
          <w:rFonts w:asciiTheme="minorHAnsi" w:eastAsiaTheme="minorEastAsia" w:hAnsiTheme="minorHAnsi" w:cstheme="minorHAnsi"/>
          <w:bCs w:val="0"/>
          <w:kern w:val="2"/>
          <w:sz w:val="21"/>
          <w:szCs w:val="22"/>
        </w:rPr>
      </w:pPr>
      <w:r w:rsidRPr="00CB3320">
        <w:rPr>
          <w:rFonts w:asciiTheme="minorHAnsi" w:eastAsiaTheme="minorEastAsia" w:hAnsiTheme="minorHAnsi" w:cstheme="minorHAnsi"/>
          <w:bCs w:val="0"/>
          <w:kern w:val="2"/>
          <w:sz w:val="21"/>
          <w:szCs w:val="22"/>
        </w:rPr>
        <w:t>Carbon trading pilots and total factor productivity -- Also on Porter hypothesis, technology diffusion and pollution paradise</w:t>
      </w:r>
    </w:p>
    <w:p w14:paraId="0D81C7F4" w14:textId="6E10424F" w:rsidR="003F005E" w:rsidRPr="00CB3320" w:rsidRDefault="00313C2E" w:rsidP="005E39C1">
      <w:pPr>
        <w:ind w:leftChars="200" w:left="420" w:rightChars="200" w:right="420" w:firstLineChars="0" w:firstLine="0"/>
        <w:jc w:val="center"/>
      </w:pPr>
      <w:r w:rsidRPr="00CB3320">
        <w:t>JIA Zhijie</w:t>
      </w:r>
      <w:proofErr w:type="gramStart"/>
      <w:r w:rsidRPr="00CB3320">
        <w:rPr>
          <w:vertAlign w:val="superscript"/>
        </w:rPr>
        <w:t>1</w:t>
      </w:r>
      <w:r w:rsidRPr="00CB3320">
        <w:t xml:space="preserve">  LIN</w:t>
      </w:r>
      <w:proofErr w:type="gramEnd"/>
      <w:r w:rsidRPr="00CB3320">
        <w:t xml:space="preserve"> Boqiang</w:t>
      </w:r>
      <w:r w:rsidRPr="00CB3320">
        <w:rPr>
          <w:vertAlign w:val="superscript"/>
        </w:rPr>
        <w:t>2</w:t>
      </w:r>
      <w:r w:rsidRPr="00CB3320">
        <w:t xml:space="preserve">  WEN Shiyan</w:t>
      </w:r>
      <w:r w:rsidRPr="00CB3320">
        <w:rPr>
          <w:vertAlign w:val="superscript"/>
        </w:rPr>
        <w:t>3</w:t>
      </w:r>
    </w:p>
    <w:p w14:paraId="3E138BE0" w14:textId="0C58986A" w:rsidR="00313C2E" w:rsidRPr="00CB3320" w:rsidRDefault="00313C2E" w:rsidP="00313C2E">
      <w:pPr>
        <w:ind w:firstLineChars="100" w:firstLine="210"/>
        <w:jc w:val="center"/>
        <w:rPr>
          <w:rFonts w:asciiTheme="majorHAnsi" w:hAnsiTheme="majorHAnsi" w:cstheme="majorHAnsi"/>
        </w:rPr>
      </w:pPr>
      <w:r w:rsidRPr="00CB3320">
        <w:rPr>
          <w:rFonts w:asciiTheme="majorHAnsi" w:hAnsiTheme="majorHAnsi" w:cstheme="majorHAnsi"/>
        </w:rPr>
        <w:t xml:space="preserve">(1. Xi’an </w:t>
      </w:r>
      <w:proofErr w:type="spellStart"/>
      <w:r w:rsidRPr="00CB3320">
        <w:rPr>
          <w:rFonts w:asciiTheme="majorHAnsi" w:hAnsiTheme="majorHAnsi" w:cstheme="majorHAnsi"/>
        </w:rPr>
        <w:t>Jiaotong</w:t>
      </w:r>
      <w:proofErr w:type="spellEnd"/>
      <w:r w:rsidRPr="00CB3320">
        <w:rPr>
          <w:rFonts w:asciiTheme="majorHAnsi" w:hAnsiTheme="majorHAnsi" w:cstheme="majorHAnsi"/>
        </w:rPr>
        <w:t xml:space="preserve"> University</w:t>
      </w:r>
      <w:r w:rsidRPr="00CB3320">
        <w:rPr>
          <w:rFonts w:asciiTheme="majorHAnsi" w:hAnsiTheme="majorHAnsi" w:cstheme="majorHAnsi" w:hint="eastAsia"/>
        </w:rPr>
        <w:t>,</w:t>
      </w:r>
      <w:r w:rsidRPr="00CB3320">
        <w:rPr>
          <w:rFonts w:asciiTheme="majorHAnsi" w:hAnsiTheme="majorHAnsi" w:cstheme="majorHAnsi"/>
        </w:rPr>
        <w:t xml:space="preserve"> Xi’an, China; 2. Xiamen University</w:t>
      </w:r>
      <w:r w:rsidRPr="00CB3320">
        <w:rPr>
          <w:rFonts w:asciiTheme="majorHAnsi" w:hAnsiTheme="majorHAnsi" w:cstheme="majorHAnsi" w:hint="eastAsia"/>
        </w:rPr>
        <w:t>,</w:t>
      </w:r>
      <w:r w:rsidRPr="00CB3320">
        <w:rPr>
          <w:rFonts w:asciiTheme="majorHAnsi" w:hAnsiTheme="majorHAnsi" w:cstheme="majorHAnsi"/>
        </w:rPr>
        <w:t xml:space="preserve"> Xiamen</w:t>
      </w:r>
      <w:r w:rsidRPr="00CB3320">
        <w:rPr>
          <w:rFonts w:asciiTheme="majorHAnsi" w:hAnsiTheme="majorHAnsi" w:cstheme="majorHAnsi" w:hint="eastAsia"/>
        </w:rPr>
        <w:t>,</w:t>
      </w:r>
      <w:r w:rsidRPr="00CB3320">
        <w:rPr>
          <w:rFonts w:asciiTheme="majorHAnsi" w:hAnsiTheme="majorHAnsi" w:cstheme="majorHAnsi"/>
        </w:rPr>
        <w:t xml:space="preserve"> China</w:t>
      </w:r>
      <w:r w:rsidRPr="00CB3320">
        <w:rPr>
          <w:rFonts w:asciiTheme="majorHAnsi" w:hAnsiTheme="majorHAnsi" w:cstheme="majorHAnsi" w:hint="eastAsia"/>
        </w:rPr>
        <w:t>;</w:t>
      </w:r>
      <w:r w:rsidRPr="00CB3320">
        <w:rPr>
          <w:rFonts w:asciiTheme="majorHAnsi" w:hAnsiTheme="majorHAnsi" w:cstheme="majorHAnsi"/>
        </w:rPr>
        <w:t xml:space="preserve"> 3. Xi’an University of Finance and Economics, China)</w:t>
      </w:r>
    </w:p>
    <w:p w14:paraId="1620C7F6" w14:textId="2C37AE61" w:rsidR="00797682" w:rsidRPr="00CB3320" w:rsidRDefault="00797682" w:rsidP="005E39C1">
      <w:pPr>
        <w:ind w:leftChars="200" w:left="420" w:rightChars="200" w:right="420" w:firstLineChars="0" w:firstLine="0"/>
        <w:jc w:val="center"/>
        <w:rPr>
          <w:rFonts w:cstheme="minorHAnsi"/>
        </w:rPr>
      </w:pPr>
    </w:p>
    <w:p w14:paraId="4154F33C" w14:textId="5152F3B7" w:rsidR="000B0C11" w:rsidRPr="00CB3320" w:rsidRDefault="000B0C11" w:rsidP="00313C2E">
      <w:pPr>
        <w:ind w:firstLine="422"/>
        <w:rPr>
          <w:rFonts w:eastAsia="黑体" w:cstheme="minorHAnsi"/>
          <w:szCs w:val="22"/>
        </w:rPr>
      </w:pPr>
      <w:r w:rsidRPr="00CB3320">
        <w:rPr>
          <w:rFonts w:cstheme="minorHAnsi"/>
          <w:b/>
          <w:szCs w:val="22"/>
        </w:rPr>
        <w:t>Abstract</w:t>
      </w:r>
      <w:r w:rsidR="00313C2E" w:rsidRPr="00CB3320">
        <w:rPr>
          <w:rFonts w:cstheme="minorHAnsi"/>
          <w:b/>
          <w:szCs w:val="22"/>
        </w:rPr>
        <w:t xml:space="preserve">: </w:t>
      </w:r>
      <w:r w:rsidRPr="00CB3320">
        <w:rPr>
          <w:rFonts w:eastAsia="黑体" w:cstheme="minorHAnsi"/>
          <w:szCs w:val="22"/>
        </w:rPr>
        <w:t xml:space="preserve">Taking China's carbon pilot as an example, this paper studies the impact of the carbon emission trading scheme (ETS) on total factor productivity (TFP). The results of PSM-weighted DID </w:t>
      </w:r>
      <w:r w:rsidR="00F3262C" w:rsidRPr="00CB3320">
        <w:rPr>
          <w:rFonts w:eastAsia="黑体" w:cstheme="minorHAnsi"/>
          <w:szCs w:val="22"/>
        </w:rPr>
        <w:t xml:space="preserve">model </w:t>
      </w:r>
      <w:r w:rsidRPr="00CB3320">
        <w:rPr>
          <w:rFonts w:eastAsia="黑体" w:cstheme="minorHAnsi"/>
          <w:szCs w:val="22"/>
        </w:rPr>
        <w:t>show that the carbon pilot has a negative impact on TFP. Therefore, it does not meet the strong Porter hypothesis in the pilot cities, but there is heterogeneity. If the assumption of individual uncorrelation is relaxed, the results show that carbon pilot can significantly promote TFP in non-pilot areas, but inhibit TFP in pilot areas. It provides evidence that the technology diffusion effect of the ETS pilot is greater than the pollution paradise effect, and can promote the growth of TFP at the national level. Therefore, it meets the strong Porter hypothesis at the national level.</w:t>
      </w:r>
    </w:p>
    <w:p w14:paraId="27EFB311" w14:textId="44142BF6" w:rsidR="000B0C11" w:rsidRPr="00CB3320" w:rsidRDefault="000B0C11" w:rsidP="00313C2E">
      <w:pPr>
        <w:ind w:firstLine="422"/>
        <w:rPr>
          <w:rFonts w:eastAsia="黑体" w:cstheme="minorHAnsi"/>
          <w:szCs w:val="22"/>
        </w:rPr>
      </w:pPr>
      <w:r w:rsidRPr="00CB3320">
        <w:rPr>
          <w:rFonts w:eastAsia="黑体" w:cstheme="minorHAnsi"/>
          <w:b/>
          <w:szCs w:val="22"/>
        </w:rPr>
        <w:t>Keywords</w:t>
      </w:r>
      <w:r w:rsidR="00313C2E" w:rsidRPr="00CB3320">
        <w:rPr>
          <w:rFonts w:eastAsia="黑体" w:cstheme="minorHAnsi"/>
          <w:szCs w:val="22"/>
        </w:rPr>
        <w:t xml:space="preserve">: </w:t>
      </w:r>
      <w:r w:rsidRPr="00CB3320">
        <w:rPr>
          <w:rFonts w:eastAsia="黑体" w:cstheme="minorHAnsi"/>
          <w:szCs w:val="22"/>
        </w:rPr>
        <w:t xml:space="preserve">Carbon emission trading pilot; Total factor productivity; Porter hypothesis; </w:t>
      </w:r>
      <w:r w:rsidR="00F3262C" w:rsidRPr="00CB3320">
        <w:rPr>
          <w:rFonts w:eastAsia="黑体" w:cstheme="minorHAnsi"/>
          <w:szCs w:val="22"/>
        </w:rPr>
        <w:t>PSM-</w:t>
      </w:r>
      <w:r w:rsidR="009B0488" w:rsidRPr="00CB3320">
        <w:rPr>
          <w:rFonts w:eastAsia="黑体" w:cstheme="minorHAnsi"/>
          <w:szCs w:val="22"/>
        </w:rPr>
        <w:t xml:space="preserve">Spatial </w:t>
      </w:r>
      <w:r w:rsidR="00F3262C" w:rsidRPr="00CB3320">
        <w:rPr>
          <w:rFonts w:eastAsia="黑体" w:cstheme="minorHAnsi"/>
          <w:szCs w:val="22"/>
        </w:rPr>
        <w:t>weighted DID</w:t>
      </w:r>
    </w:p>
    <w:p w14:paraId="6F298EE2" w14:textId="285B7787" w:rsidR="00D7238A" w:rsidRPr="00CB3320" w:rsidRDefault="00D7238A" w:rsidP="005E39C1">
      <w:pPr>
        <w:ind w:leftChars="200" w:left="420" w:rightChars="200" w:right="420" w:firstLineChars="0" w:firstLine="0"/>
        <w:jc w:val="center"/>
      </w:pPr>
    </w:p>
    <w:p w14:paraId="29E9F218" w14:textId="0EF94628" w:rsidR="00D7238A" w:rsidRPr="00CB3320" w:rsidRDefault="00D7238A" w:rsidP="005E39C1">
      <w:pPr>
        <w:ind w:leftChars="200" w:left="420" w:rightChars="200" w:right="420" w:firstLineChars="0" w:firstLine="0"/>
        <w:jc w:val="center"/>
      </w:pPr>
    </w:p>
    <w:p w14:paraId="057FE0FD" w14:textId="77777777" w:rsidR="007978ED" w:rsidRPr="00CB3320" w:rsidRDefault="007978ED" w:rsidP="007978ED">
      <w:pPr>
        <w:ind w:firstLineChars="0" w:firstLine="0"/>
        <w:sectPr w:rsidR="007978ED" w:rsidRPr="00CB3320" w:rsidSect="00F42D0A">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
          </w:endnotePr>
          <w:type w:val="continuous"/>
          <w:pgSz w:w="11906" w:h="16838"/>
          <w:pgMar w:top="1440" w:right="1797" w:bottom="1440" w:left="1797" w:header="851" w:footer="992" w:gutter="0"/>
          <w:pgNumType w:start="1"/>
          <w:cols w:space="425"/>
          <w:titlePg/>
          <w:docGrid w:type="lines" w:linePitch="326"/>
        </w:sectPr>
      </w:pPr>
    </w:p>
    <w:p w14:paraId="2096BA0C" w14:textId="50A5D5D6" w:rsidR="00A56AB8" w:rsidRPr="00CB3320" w:rsidRDefault="005B1161" w:rsidP="005B1161">
      <w:pPr>
        <w:pStyle w:val="1"/>
      </w:pPr>
      <w:bookmarkStart w:id="0" w:name="_Toc121778108"/>
      <w:r w:rsidRPr="00CB3320">
        <w:rPr>
          <w:rFonts w:hint="eastAsia"/>
        </w:rPr>
        <w:lastRenderedPageBreak/>
        <w:t>一、引言</w:t>
      </w:r>
      <w:bookmarkEnd w:id="0"/>
    </w:p>
    <w:p w14:paraId="6694B4E0" w14:textId="32D1CEC2" w:rsidR="00602EDF" w:rsidRPr="00CB3320" w:rsidRDefault="00602EDF" w:rsidP="00602EDF">
      <w:pPr>
        <w:ind w:firstLine="420"/>
      </w:pPr>
      <w:bookmarkStart w:id="1" w:name="_Hlk119831766"/>
      <w:r w:rsidRPr="00CB3320">
        <w:rPr>
          <w:rFonts w:hint="eastAsia"/>
        </w:rPr>
        <w:t>全球性问题总是需要全球性的努力，这始终是事实，尤其是对气候变化而言。排放权交易机制（</w:t>
      </w:r>
      <w:r w:rsidRPr="00CB3320">
        <w:rPr>
          <w:rFonts w:hint="eastAsia"/>
        </w:rPr>
        <w:t>ETS</w:t>
      </w:r>
      <w:r w:rsidRPr="00CB3320">
        <w:rPr>
          <w:rFonts w:hint="eastAsia"/>
        </w:rPr>
        <w:t>）是目前流行的碳定价策略之一，也是中国从</w:t>
      </w:r>
      <w:r w:rsidRPr="00CB3320">
        <w:rPr>
          <w:rFonts w:hint="eastAsia"/>
        </w:rPr>
        <w:t>2011</w:t>
      </w:r>
      <w:r w:rsidRPr="00CB3320">
        <w:rPr>
          <w:rFonts w:hint="eastAsia"/>
        </w:rPr>
        <w:t>年以来开始正式着手实施的碳定价制度。与碳税或行政干预相比，</w:t>
      </w:r>
      <w:r w:rsidRPr="00CB3320">
        <w:rPr>
          <w:rFonts w:hint="eastAsia"/>
        </w:rPr>
        <w:t>ETS</w:t>
      </w:r>
      <w:r w:rsidRPr="00CB3320">
        <w:rPr>
          <w:rFonts w:hint="eastAsia"/>
        </w:rPr>
        <w:t>为企业降低减排的经济成本提供了更大的灵活性。同时，</w:t>
      </w:r>
      <w:r w:rsidRPr="00CB3320">
        <w:rPr>
          <w:rFonts w:hint="eastAsia"/>
        </w:rPr>
        <w:t>E</w:t>
      </w:r>
      <w:r w:rsidRPr="00CB3320">
        <w:t>TS</w:t>
      </w:r>
      <w:r w:rsidRPr="00CB3320">
        <w:rPr>
          <w:rFonts w:hint="eastAsia"/>
        </w:rPr>
        <w:t>也为我国提供了全球合作的一大机遇，尤其是在</w:t>
      </w:r>
      <w:r w:rsidR="00271FEA" w:rsidRPr="00CB3320">
        <w:rPr>
          <w:rFonts w:hint="eastAsia"/>
        </w:rPr>
        <w:t>“</w:t>
      </w:r>
      <w:r w:rsidR="00271FEA" w:rsidRPr="00CB3320">
        <w:rPr>
          <w:rFonts w:hint="eastAsia"/>
        </w:rPr>
        <w:t>2060</w:t>
      </w:r>
      <w:r w:rsidR="00271FEA" w:rsidRPr="00CB3320">
        <w:rPr>
          <w:rFonts w:hint="eastAsia"/>
        </w:rPr>
        <w:t>”碳中和的背景之下</w:t>
      </w:r>
      <w:r w:rsidRPr="00CB3320">
        <w:rPr>
          <w:rFonts w:hint="eastAsia"/>
        </w:rPr>
        <w:t>。</w:t>
      </w:r>
      <w:r w:rsidR="007640EB" w:rsidRPr="00CB3320">
        <w:rPr>
          <w:rFonts w:hint="eastAsia"/>
        </w:rPr>
        <w:t>因此，我国</w:t>
      </w:r>
      <w:r w:rsidR="00326CCD" w:rsidRPr="00CB3320">
        <w:rPr>
          <w:rFonts w:hint="eastAsia"/>
        </w:rPr>
        <w:t>2013</w:t>
      </w:r>
      <w:r w:rsidR="00326CCD" w:rsidRPr="00CB3320">
        <w:rPr>
          <w:rFonts w:hint="eastAsia"/>
        </w:rPr>
        <w:t>年</w:t>
      </w:r>
      <w:r w:rsidR="007640EB" w:rsidRPr="00CB3320">
        <w:rPr>
          <w:rFonts w:hint="eastAsia"/>
        </w:rPr>
        <w:t>正式开展</w:t>
      </w:r>
      <w:proofErr w:type="gramStart"/>
      <w:r w:rsidR="007640EB" w:rsidRPr="00CB3320">
        <w:rPr>
          <w:rFonts w:hint="eastAsia"/>
        </w:rPr>
        <w:t>碳交易</w:t>
      </w:r>
      <w:proofErr w:type="gramEnd"/>
      <w:r w:rsidR="007640EB" w:rsidRPr="00CB3320">
        <w:rPr>
          <w:rFonts w:hint="eastAsia"/>
        </w:rPr>
        <w:t>试点，</w:t>
      </w:r>
      <w:r w:rsidR="007640EB" w:rsidRPr="00CB3320">
        <w:rPr>
          <w:rFonts w:hint="eastAsia"/>
        </w:rPr>
        <w:t>2</w:t>
      </w:r>
      <w:r w:rsidR="007640EB" w:rsidRPr="00CB3320">
        <w:t>021</w:t>
      </w:r>
      <w:r w:rsidR="007640EB" w:rsidRPr="00CB3320">
        <w:rPr>
          <w:rFonts w:hint="eastAsia"/>
        </w:rPr>
        <w:t>年发电行业率先开展全国性</w:t>
      </w:r>
      <w:proofErr w:type="gramStart"/>
      <w:r w:rsidR="007640EB" w:rsidRPr="00CB3320">
        <w:rPr>
          <w:rFonts w:hint="eastAsia"/>
        </w:rPr>
        <w:t>碳交易</w:t>
      </w:r>
      <w:proofErr w:type="gramEnd"/>
      <w:r w:rsidR="007640EB" w:rsidRPr="00CB3320">
        <w:rPr>
          <w:rFonts w:hint="eastAsia"/>
        </w:rPr>
        <w:t>工作。然而，</w:t>
      </w:r>
      <w:proofErr w:type="gramStart"/>
      <w:r w:rsidR="007640EB" w:rsidRPr="00CB3320">
        <w:rPr>
          <w:rFonts w:hint="eastAsia"/>
        </w:rPr>
        <w:t>碳交易</w:t>
      </w:r>
      <w:proofErr w:type="gramEnd"/>
      <w:r w:rsidR="007640EB" w:rsidRPr="00CB3320">
        <w:rPr>
          <w:rFonts w:hint="eastAsia"/>
        </w:rPr>
        <w:t>也可能存在一些弊端和阻碍。</w:t>
      </w:r>
    </w:p>
    <w:p w14:paraId="39BBBC0B" w14:textId="3B453BBE" w:rsidR="00F748DE" w:rsidRPr="00CB3320" w:rsidRDefault="00F748DE" w:rsidP="00F748DE">
      <w:pPr>
        <w:ind w:firstLine="420"/>
      </w:pPr>
      <w:bookmarkStart w:id="2" w:name="_Hlk121847344"/>
      <w:bookmarkStart w:id="3" w:name="_Hlk121818660"/>
      <w:bookmarkStart w:id="4" w:name="_Hlk121863488"/>
      <w:r w:rsidRPr="00CB3320">
        <w:rPr>
          <w:rFonts w:hint="eastAsia"/>
        </w:rPr>
        <w:t>对经济发展产生的负面影响，是地方政府在实施</w:t>
      </w:r>
      <w:proofErr w:type="gramStart"/>
      <w:r w:rsidRPr="00CB3320">
        <w:rPr>
          <w:rFonts w:hint="eastAsia"/>
        </w:rPr>
        <w:t>碳交易</w:t>
      </w:r>
      <w:proofErr w:type="gramEnd"/>
      <w:r w:rsidRPr="00CB3320">
        <w:rPr>
          <w:rFonts w:hint="eastAsia"/>
        </w:rPr>
        <w:t>的过程中最担心的情况</w:t>
      </w:r>
      <w:r w:rsidRPr="00CB3320">
        <w:fldChar w:fldCharType="begin" w:fldLock="1"/>
      </w:r>
      <w:r w:rsidR="005B1161" w:rsidRPr="00CB3320">
        <w:instrText xml:space="preserve">ADDIN CSL_CITATION {"citationItems":[{"id":"ITEM-1","itemData":{"DOI":"10.1016/j.enpol.2015.02.032","ISSN":"03014215","author":[{"dropping-particle":"","family":"Tang","given":"Ling","non-dropping-particle":"","parse-names":false,"suffix":""},{"dropping-particle":"","family":"Wu","given":"Jiaqian","non-dropping-particle":"","parse-names":false,"suffix":""},{"dropping-particle":"","family":"Yu","given":"Lean","non-dropping-particle":"","parse-names":false,"suffix":""},{"dropping-particle":"","family":"Bao","given":"Qin","non-dropping-particle":"","parse-names":false,"suffix":""}],"container-title":"Energy Policy","id":"ITEM-1","issued":{"date-parts":[["2015","6"]]},"page":"152-169","title":"Carbon emissions trading scheme exploration in China: A multi-agent-based model","type":"article-journal","volume":"81"},"uris":["http://www.mendeley.com/documents/?uuid=a2bf1b89-a942-40ba-8864-1b41b1e2bdba"]},{"id":"ITEM-2","itemData":{"DOI":"10.1016/j.eneco.2022.105971","ISSN":"01409883","author":[{"dropping-particle":"","family":"Lu","given":"Yunguo","non-dropping-particle":"","parse-names":false,"suffix":""},{"dropping-particle":"","family":"Zhang","given":"Lin","non-dropping-particle":"","parse-names":false,"suffix":""}],"container-title":"Energy Economics","id":"ITEM-2","issued":{"date-parts":[["2022","5"]]},"page":"105971","title":"National mitigation policy and the competitiveness of Chinese firms","type":"article-journal","volume":"109"},"uris":["http://www.mendeley.com/documents/?uuid=d3cc65b2-7d3d-48c5-848d-6a4cad22ebf2"]},{"id":"ITEM-3","itemData":{"DOI":"https://doi.org/10.1016/j.econmod.2017.08.034","ISSN":"0264-9993","abstract":"China has introduced the energy cap policy to slow down its rapid growth in energy consumption, release the increasing pressure on its energy security and control greenhouse gas emissions. Based on an Analytic General Equilibrium Model (AGEM), this study simulates the impacts of Gradually Strengthened Energy Cap (GSEC) on China's production sectors, households and price system. The results show that, firstly, GSEC can lead to “contractionary effect” and “crowding-out effect” in the fossil fuel production sector, which transfers part of labor and energy inputs from fossil fuel production sector to non-fossil-fuel production sector. Secondly, if the growth rates of total capital and labor inputs in the whole economy can be maintained above certain levels, the non-fossil-fuel production sector will keep growing under the GSEC. Thirdly, energy cap policy will not reduce residential consumption. Fourthly, the prices of labor, energy and intermediate inputs will rapidly grow along with the GSEC. Fifthly, policymakers should improve the investment- and employment-related policies to reduce the constraint of energy cap on China's economy. In conclusion, collaborated with investment and employment policies, energy cap policy will not hinder the economic development or harm the consumption in residential sector.","author":[{"dropping-particle":"","family":"Wang","given":"Feng","non-dropping-particle":"","parse-names":false,"suffix":""},{"dropping-particle":"","family":"Liu","given":"Xiying","non-dropping-particle":"","parse-names":false,"suffix":""},{"dropping-particle":"","family":"Nguyen","given":"Tue Anh","non-dropping-particle":"","parse-names":false,"suffix":""}],"container-title":"Economic Modelling","id":"ITEM-3","issued":{"date-parts":[["2018"]]},"page":"114-126","title":"Evaluating the economic impacts and feasibility of China's energy cap: Based on an Analytic General Equilibrium </w:instrText>
      </w:r>
      <w:r w:rsidR="005B1161" w:rsidRPr="00CB3320">
        <w:rPr>
          <w:rFonts w:hint="eastAsia"/>
        </w:rPr>
        <w:instrText>Model","type":"article-journal","volume":"69"},"uris":["http://www.mendeley.com/documents/?uuid=20acd20c-6288-4961-a6bd-d7fb50af8668"]}],"mendeley":{"formattedCitation":"(Lu</w:instrText>
      </w:r>
      <w:r w:rsidR="005B1161" w:rsidRPr="00CB3320">
        <w:rPr>
          <w:rFonts w:hint="eastAsia"/>
        </w:rPr>
        <w:instrText>等</w:instrText>
      </w:r>
      <w:r w:rsidR="005B1161" w:rsidRPr="00CB3320">
        <w:rPr>
          <w:rFonts w:hint="eastAsia"/>
        </w:rPr>
        <w:instrText>, 2022; Tang</w:instrText>
      </w:r>
      <w:r w:rsidR="005B1161" w:rsidRPr="00CB3320">
        <w:rPr>
          <w:rFonts w:hint="eastAsia"/>
        </w:rPr>
        <w:instrText>等</w:instrText>
      </w:r>
      <w:r w:rsidR="005B1161" w:rsidRPr="00CB3320">
        <w:rPr>
          <w:rFonts w:hint="eastAsia"/>
        </w:rPr>
        <w:instrText>, 2015; Wang</w:instrText>
      </w:r>
      <w:r w:rsidR="005B1161" w:rsidRPr="00CB3320">
        <w:rPr>
          <w:rFonts w:hint="eastAsia"/>
        </w:rPr>
        <w:instrText>等</w:instrText>
      </w:r>
      <w:r w:rsidR="005B1161" w:rsidRPr="00CB3320">
        <w:rPr>
          <w:rFonts w:hint="eastAsia"/>
        </w:rPr>
        <w:instrText>, 2018)","manualFormatting":"(Lu et al</w:instrText>
      </w:r>
      <w:r w:rsidR="005B1161" w:rsidRPr="00CB3320">
        <w:rPr>
          <w:rFonts w:hint="eastAsia"/>
        </w:rPr>
        <w:instrText>，</w:instrText>
      </w:r>
      <w:r w:rsidR="005B1161" w:rsidRPr="00CB3320">
        <w:rPr>
          <w:rFonts w:hint="eastAsia"/>
        </w:rPr>
        <w:instrText>2022</w:instrText>
      </w:r>
      <w:r w:rsidR="005B1161" w:rsidRPr="00CB3320">
        <w:rPr>
          <w:rFonts w:hint="eastAsia"/>
        </w:rPr>
        <w:instrText>；</w:instrText>
      </w:r>
      <w:r w:rsidR="005B1161" w:rsidRPr="00CB3320">
        <w:rPr>
          <w:rFonts w:hint="eastAsia"/>
        </w:rPr>
        <w:instrText>Tang et al</w:instrText>
      </w:r>
      <w:r w:rsidR="005B1161" w:rsidRPr="00CB3320">
        <w:rPr>
          <w:rFonts w:hint="eastAsia"/>
        </w:rPr>
        <w:instrText>，</w:instrText>
      </w:r>
      <w:r w:rsidR="005B1161" w:rsidRPr="00CB3320">
        <w:rPr>
          <w:rFonts w:hint="eastAsia"/>
        </w:rPr>
        <w:instrText>2015</w:instrText>
      </w:r>
      <w:r w:rsidR="005B1161" w:rsidRPr="00CB3320">
        <w:rPr>
          <w:rFonts w:hint="eastAsia"/>
        </w:rPr>
        <w:instrText>；</w:instrText>
      </w:r>
      <w:r w:rsidR="005B1161" w:rsidRPr="00CB3320">
        <w:rPr>
          <w:rFonts w:hint="eastAsia"/>
        </w:rPr>
        <w:instrText>Wang et al</w:instrText>
      </w:r>
      <w:r w:rsidR="005B1161" w:rsidRPr="00CB3320">
        <w:rPr>
          <w:rFonts w:hint="eastAsia"/>
        </w:rPr>
        <w:instrText>，</w:instrText>
      </w:r>
      <w:r w:rsidR="005B1161" w:rsidRPr="00CB3320">
        <w:rPr>
          <w:rFonts w:hint="eastAsia"/>
        </w:rPr>
        <w:instrText>2018)","plainTextFormattedCitation":"(Lu</w:instrText>
      </w:r>
      <w:r w:rsidR="005B1161" w:rsidRPr="00CB3320">
        <w:rPr>
          <w:rFonts w:hint="eastAsia"/>
        </w:rPr>
        <w:instrText>等</w:instrText>
      </w:r>
      <w:r w:rsidR="005B1161" w:rsidRPr="00CB3320">
        <w:rPr>
          <w:rFonts w:hint="eastAsia"/>
        </w:rPr>
        <w:instrText>, 2022; Tang</w:instrText>
      </w:r>
      <w:r w:rsidR="005B1161" w:rsidRPr="00CB3320">
        <w:rPr>
          <w:rFonts w:hint="eastAsia"/>
        </w:rPr>
        <w:instrText>等</w:instrText>
      </w:r>
      <w:r w:rsidR="005B1161" w:rsidRPr="00CB3320">
        <w:rPr>
          <w:rFonts w:hint="eastAsia"/>
        </w:rPr>
        <w:instrText>, 2015; Wang</w:instrText>
      </w:r>
      <w:r w:rsidR="005B1161" w:rsidRPr="00CB3320">
        <w:rPr>
          <w:rFonts w:hint="eastAsia"/>
        </w:rPr>
        <w:instrText>等</w:instrText>
      </w:r>
      <w:r w:rsidR="005B1161" w:rsidRPr="00CB3320">
        <w:rPr>
          <w:rFonts w:hint="eastAsia"/>
        </w:rPr>
        <w:instrText>, 2018)","previouslyFormattedCitation":"(Lu</w:instrText>
      </w:r>
      <w:r w:rsidR="005B1161" w:rsidRPr="00CB3320">
        <w:rPr>
          <w:rFonts w:hint="eastAsia"/>
        </w:rPr>
        <w:instrText>等</w:instrText>
      </w:r>
      <w:r w:rsidR="005B1161" w:rsidRPr="00CB3320">
        <w:rPr>
          <w:rFonts w:hint="eastAsia"/>
        </w:rPr>
        <w:instrText>, 2022; Tang</w:instrText>
      </w:r>
      <w:r w:rsidR="005B1161" w:rsidRPr="00CB3320">
        <w:rPr>
          <w:rFonts w:hint="eastAsia"/>
        </w:rPr>
        <w:instrText>等</w:instrText>
      </w:r>
      <w:r w:rsidR="005B1161" w:rsidRPr="00CB3320">
        <w:rPr>
          <w:rFonts w:hint="eastAsia"/>
        </w:rPr>
        <w:instrText>, 2015; Wang</w:instrText>
      </w:r>
      <w:r w:rsidR="005B1161" w:rsidRPr="00CB3320">
        <w:rPr>
          <w:rFonts w:hint="eastAsia"/>
        </w:rPr>
        <w:instrText>等</w:instrText>
      </w:r>
      <w:r w:rsidR="005B1161" w:rsidRPr="00CB3320">
        <w:rPr>
          <w:rFonts w:hint="eastAsia"/>
        </w:rPr>
        <w:instrText>, 2018)"},"properties":{"noteIndex":0},"schema":"https://github.com/citation-style-language/schema/raw</w:instrText>
      </w:r>
      <w:r w:rsidR="005B1161" w:rsidRPr="00CB3320">
        <w:instrText>/master/csl-citation.json"}</w:instrText>
      </w:r>
      <w:r w:rsidRPr="00CB3320">
        <w:fldChar w:fldCharType="separate"/>
      </w:r>
      <w:r w:rsidR="00364702" w:rsidRPr="00CB3320">
        <w:rPr>
          <w:rFonts w:hint="eastAsia"/>
          <w:noProof/>
        </w:rPr>
        <w:t>(Lu</w:t>
      </w:r>
      <w:r w:rsidR="005B1161" w:rsidRPr="00CB3320">
        <w:rPr>
          <w:noProof/>
        </w:rPr>
        <w:t xml:space="preserve"> </w:t>
      </w:r>
      <w:r w:rsidR="005B1161" w:rsidRPr="00CB3320">
        <w:rPr>
          <w:rFonts w:hint="eastAsia"/>
          <w:noProof/>
        </w:rPr>
        <w:t>et al</w:t>
      </w:r>
      <w:r w:rsidR="005B1161" w:rsidRPr="00CB3320">
        <w:rPr>
          <w:rFonts w:hint="eastAsia"/>
          <w:noProof/>
        </w:rPr>
        <w:t>，</w:t>
      </w:r>
      <w:r w:rsidR="00364702" w:rsidRPr="00CB3320">
        <w:rPr>
          <w:rFonts w:hint="eastAsia"/>
          <w:noProof/>
        </w:rPr>
        <w:t>2022</w:t>
      </w:r>
      <w:r w:rsidR="005B1161" w:rsidRPr="00CB3320">
        <w:rPr>
          <w:rFonts w:hint="eastAsia"/>
          <w:noProof/>
        </w:rPr>
        <w:t>；</w:t>
      </w:r>
      <w:r w:rsidR="00364702" w:rsidRPr="00CB3320">
        <w:rPr>
          <w:rFonts w:hint="eastAsia"/>
          <w:noProof/>
        </w:rPr>
        <w:t>Tang</w:t>
      </w:r>
      <w:r w:rsidR="005B1161" w:rsidRPr="00CB3320">
        <w:rPr>
          <w:noProof/>
        </w:rPr>
        <w:t xml:space="preserve"> </w:t>
      </w:r>
      <w:r w:rsidR="005B1161" w:rsidRPr="00CB3320">
        <w:rPr>
          <w:rFonts w:hint="eastAsia"/>
          <w:noProof/>
        </w:rPr>
        <w:t>et al</w:t>
      </w:r>
      <w:r w:rsidR="005B1161" w:rsidRPr="00CB3320">
        <w:rPr>
          <w:rFonts w:hint="eastAsia"/>
          <w:noProof/>
        </w:rPr>
        <w:t>，</w:t>
      </w:r>
      <w:r w:rsidR="00364702" w:rsidRPr="00CB3320">
        <w:rPr>
          <w:rFonts w:hint="eastAsia"/>
          <w:noProof/>
        </w:rPr>
        <w:t>2015</w:t>
      </w:r>
      <w:r w:rsidR="005B1161" w:rsidRPr="00CB3320">
        <w:rPr>
          <w:rFonts w:hint="eastAsia"/>
          <w:noProof/>
        </w:rPr>
        <w:t>；</w:t>
      </w:r>
      <w:r w:rsidR="00364702" w:rsidRPr="00CB3320">
        <w:rPr>
          <w:rFonts w:hint="eastAsia"/>
          <w:noProof/>
        </w:rPr>
        <w:t>Wang</w:t>
      </w:r>
      <w:r w:rsidR="005B1161" w:rsidRPr="00CB3320">
        <w:rPr>
          <w:rFonts w:hint="eastAsia"/>
          <w:noProof/>
        </w:rPr>
        <w:t xml:space="preserve"> et al</w:t>
      </w:r>
      <w:r w:rsidR="005B1161" w:rsidRPr="00CB3320">
        <w:rPr>
          <w:rFonts w:hint="eastAsia"/>
          <w:noProof/>
        </w:rPr>
        <w:t>，</w:t>
      </w:r>
      <w:r w:rsidR="00364702" w:rsidRPr="00CB3320">
        <w:rPr>
          <w:rFonts w:hint="eastAsia"/>
          <w:noProof/>
        </w:rPr>
        <w:t>2018)</w:t>
      </w:r>
      <w:r w:rsidRPr="00CB3320">
        <w:fldChar w:fldCharType="end"/>
      </w:r>
      <w:r w:rsidRPr="00CB3320">
        <w:t>。因此，准确有效地确定排放交易系统对经济的影响，对当下的公众和决策者，乃至对未来的人类而言，都是非常重要的议题。根据索洛经济增长模型，全要素生产率（</w:t>
      </w:r>
      <w:r w:rsidRPr="00CB3320">
        <w:t>TFP</w:t>
      </w:r>
      <w:r w:rsidRPr="00CB3320">
        <w:t>）是经济增长的核心指标之一，一定程度上，相对于</w:t>
      </w:r>
      <w:r w:rsidRPr="00CB3320">
        <w:t>GDP</w:t>
      </w:r>
      <w:r w:rsidRPr="00CB3320">
        <w:t>增长，</w:t>
      </w:r>
      <w:r w:rsidRPr="00CB3320">
        <w:t>TFP</w:t>
      </w:r>
      <w:r w:rsidRPr="00CB3320">
        <w:t>对经济发展具有更强的解释力。然而，</w:t>
      </w:r>
      <w:r w:rsidRPr="00CB3320">
        <w:t>ETS</w:t>
      </w:r>
      <w:r w:rsidRPr="00CB3320">
        <w:t>对全要素生产率（</w:t>
      </w:r>
      <w:r w:rsidRPr="00CB3320">
        <w:t>TFP</w:t>
      </w:r>
      <w:r w:rsidRPr="00CB3320">
        <w:t>）的影响尚未得出统一的结论。</w:t>
      </w:r>
    </w:p>
    <w:bookmarkEnd w:id="1"/>
    <w:bookmarkEnd w:id="2"/>
    <w:bookmarkEnd w:id="3"/>
    <w:bookmarkEnd w:id="4"/>
    <w:p w14:paraId="2182499B" w14:textId="45EA2072" w:rsidR="00853A21" w:rsidRPr="00CB3320" w:rsidRDefault="00853A21" w:rsidP="00853A21">
      <w:pPr>
        <w:ind w:firstLine="420"/>
      </w:pPr>
      <w:r w:rsidRPr="00CB3320">
        <w:rPr>
          <w:rFonts w:hint="eastAsia"/>
        </w:rPr>
        <w:t>一些研究认为，碳交易会给企业带来额外的生产成本，挤出其他研发支出</w:t>
      </w:r>
      <w:r w:rsidRPr="00CB3320">
        <w:fldChar w:fldCharType="begin" w:fldLock="1"/>
      </w:r>
      <w:r w:rsidR="005B1161" w:rsidRPr="00CB3320">
        <w:instrText>ADDIN CSL_CITATION {"citationItems":[{"id":"ITEM-1","itemData":{"DOI":"https://doi.org/10.1016/j.jclepro.2017.12.034","ISBN":"0959-6526","abstract":"As for the academics and policymakers, more attention has been given to the issue on how to drive green development of the manufacturing through regulations and innovations. We construct the extended Crépon-Duguet-Mairesse (CDM) model and employ the panel data of Chinese manufacturing industries during 2003–2014 to examine the effects of environmental regulation on industrial innovation and green development. The findings reveal that (1) in the long term, environmental regulation has crowded out R&amp;D investment. (2) Environmental regulation has inhibited patent outputs so that the “weak” version of Porter hypothesis is not underpinned. (3) In the short term, environmental regulation has promoted the improvements of labor productivity, energy efficiency and environmental efficiency in the manufacturing industry excluding green total factor productivity (GTFP), whereas in the long term, environmental regulation only has increased energy efficiency while it has obstructed labor productivity, which provides no support for the “strong” version of Porter hypothesis. (4) Different innovation outputs have distinct influences on labor productivity, energy efficiency, environmental efficiency and GTFP. Finally, this paper provides pertinent policy implications.","author":[{"dropping-particle":"","family":"Yuan","given":"Baolong","non-dropping-particle":"","parse-names":false,"suffix":""},{"dropping-particle":"","family":"Xiang","given":"Qiulian","non-dropping-particle":"","parse-names":false,"suffix":""}],"container-title":"Journal of Cleaner Production","id":"ITEM-1","issued":{"date-parts":[["2018"]]},"page":"895-908","title":"Environmental regulation, industrial innovation and green development of Chinese manufacturing: Based on an extended CDM model","type":"article-journal","volume":"176"},"uris":["http://www.mendeley.com/documents/?uuid=df497afa-4d3e-4f2f-91ea-484b</w:instrText>
      </w:r>
      <w:r w:rsidR="005B1161" w:rsidRPr="00CB3320">
        <w:rPr>
          <w:rFonts w:hint="eastAsia"/>
        </w:rPr>
        <w:instrText>134f7fe4"]}],"mendeley":{"formattedCitation":"(Yuan</w:instrText>
      </w:r>
      <w:r w:rsidR="005B1161" w:rsidRPr="00CB3320">
        <w:rPr>
          <w:rFonts w:hint="eastAsia"/>
        </w:rPr>
        <w:instrText>等</w:instrText>
      </w:r>
      <w:r w:rsidR="005B1161" w:rsidRPr="00CB3320">
        <w:rPr>
          <w:rFonts w:hint="eastAsia"/>
        </w:rPr>
        <w:instrText>, 2018)","manualFormatting":"(Yuan et al</w:instrText>
      </w:r>
      <w:r w:rsidR="005B1161" w:rsidRPr="00CB3320">
        <w:rPr>
          <w:rFonts w:hint="eastAsia"/>
        </w:rPr>
        <w:instrText>，</w:instrText>
      </w:r>
      <w:r w:rsidR="005B1161" w:rsidRPr="00CB3320">
        <w:rPr>
          <w:rFonts w:hint="eastAsia"/>
        </w:rPr>
        <w:instrText>2018)","plainTextFormattedCitation":"(Yuan</w:instrText>
      </w:r>
      <w:r w:rsidR="005B1161" w:rsidRPr="00CB3320">
        <w:rPr>
          <w:rFonts w:hint="eastAsia"/>
        </w:rPr>
        <w:instrText>等</w:instrText>
      </w:r>
      <w:r w:rsidR="005B1161" w:rsidRPr="00CB3320">
        <w:rPr>
          <w:rFonts w:hint="eastAsia"/>
        </w:rPr>
        <w:instrText>, 2018)","previouslyFormattedCitation":"(Yuan</w:instrText>
      </w:r>
      <w:r w:rsidR="005B1161" w:rsidRPr="00CB3320">
        <w:rPr>
          <w:rFonts w:hint="eastAsia"/>
        </w:rPr>
        <w:instrText>等</w:instrText>
      </w:r>
      <w:r w:rsidR="005B1161" w:rsidRPr="00CB3320">
        <w:rPr>
          <w:rFonts w:hint="eastAsia"/>
        </w:rPr>
        <w:instrText>, 2018)"},"properties":{"noteIndex":0},"schema":"https://github.com/citat</w:instrText>
      </w:r>
      <w:r w:rsidR="005B1161" w:rsidRPr="00CB3320">
        <w:instrText>ion-style-language/schema/raw/master/csl-citation.json"}</w:instrText>
      </w:r>
      <w:r w:rsidRPr="00CB3320">
        <w:fldChar w:fldCharType="separate"/>
      </w:r>
      <w:r w:rsidR="00364702" w:rsidRPr="00CB3320">
        <w:rPr>
          <w:rFonts w:hint="eastAsia"/>
          <w:noProof/>
        </w:rPr>
        <w:t>(Yuan</w:t>
      </w:r>
      <w:r w:rsidR="005B1161" w:rsidRPr="00CB3320">
        <w:rPr>
          <w:rFonts w:hint="eastAsia"/>
          <w:noProof/>
        </w:rPr>
        <w:t xml:space="preserve"> et al</w:t>
      </w:r>
      <w:r w:rsidR="005B1161" w:rsidRPr="00CB3320">
        <w:rPr>
          <w:rFonts w:hint="eastAsia"/>
          <w:noProof/>
        </w:rPr>
        <w:t>，</w:t>
      </w:r>
      <w:r w:rsidR="00364702" w:rsidRPr="00CB3320">
        <w:rPr>
          <w:rFonts w:hint="eastAsia"/>
          <w:noProof/>
        </w:rPr>
        <w:t>2018)</w:t>
      </w:r>
      <w:r w:rsidRPr="00CB3320">
        <w:fldChar w:fldCharType="end"/>
      </w:r>
      <w:r w:rsidRPr="00CB3320">
        <w:rPr>
          <w:rFonts w:hint="eastAsia"/>
        </w:rPr>
        <w:t>，可能会对企业的生产率产生负向影响</w:t>
      </w:r>
      <w:r w:rsidRPr="00CB3320">
        <w:fldChar w:fldCharType="begin" w:fldLock="1"/>
      </w:r>
      <w:r w:rsidR="005B1161" w:rsidRPr="00CB3320">
        <w:instrText>ADDIN CSL_CITATION {"citationItems":[{"id":"ITEM-1","itemData":{"DOI":"10.1007/s10640-017-0128-5","ISBN":"1573-1502","abstract":"We investigate the impact of environmental regulation on firm performance and investment behavior. Exploiting the case of a German water withdrawal regulation that is managed on the state level, we analyze firms’ reactions to an increase in the water tax using a regression-adjusted difference-in-differences approach. We analyze the individual firm’s response to a change in environmental regulation, distinguishing between add-on and integrated environmental investments. This allows us to include innovation diffusion into our analysis, which is likely to be of importance for increasing resource-efficiency. Our results show that the regulation in question shows no sign of affecting firms’ overall competitiveness. The results imply that the predicted negative impact of the regulation on firms’ economic performance that was brought up before the introduction of the tax, does not seem to weigh heavily in this case. Nevertheless, when placed into a sustainable competitiveness context, the regulation considered does not qualify as an appropriate policy tool for fostering green growth.","author":[{"dropping-particle":"","family":"Stoever","given":"Jana","non-dropping-particle":"","parse-names":false,"suffix":""},{"dropping-particle":"","family":"Weche","given":"John P","non-dropping-particle":"","parse-names":false,"suffix":""}],"container-title":"Environmental and Resource Economics","id":"ITEM-1","issue":"2","issued":{"date-parts":[["2018"]]},"page":"429-455","title":"Environmental Regulation and Sustainable Competitiveness: Evaluating the Role of Firm-Level Green Investments in the Context of the Porter Hypothesis","type":"article-jou</w:instrText>
      </w:r>
      <w:r w:rsidR="005B1161" w:rsidRPr="00CB3320">
        <w:rPr>
          <w:rFonts w:hint="eastAsia"/>
        </w:rPr>
        <w:instrText>rnal","volume":"70"},"uris":["http://www.mendeley.com/documents/?uuid=da06fa7d-5a0e-4ebc-9166-b513b906ff42"]}],"mendeley":{"formattedCitation":"(Stoever</w:instrText>
      </w:r>
      <w:r w:rsidR="005B1161" w:rsidRPr="00CB3320">
        <w:rPr>
          <w:rFonts w:hint="eastAsia"/>
        </w:rPr>
        <w:instrText>等</w:instrText>
      </w:r>
      <w:r w:rsidR="005B1161" w:rsidRPr="00CB3320">
        <w:rPr>
          <w:rFonts w:hint="eastAsia"/>
        </w:rPr>
        <w:instrText>, 2018)","manualFormatting":"(Stoever et al</w:instrText>
      </w:r>
      <w:r w:rsidR="005B1161" w:rsidRPr="00CB3320">
        <w:rPr>
          <w:rFonts w:hint="eastAsia"/>
        </w:rPr>
        <w:instrText>，</w:instrText>
      </w:r>
      <w:r w:rsidR="005B1161" w:rsidRPr="00CB3320">
        <w:rPr>
          <w:rFonts w:hint="eastAsia"/>
        </w:rPr>
        <w:instrText>2018)","plainTextFormattedCitation":"(Stoever</w:instrText>
      </w:r>
      <w:r w:rsidR="005B1161" w:rsidRPr="00CB3320">
        <w:rPr>
          <w:rFonts w:hint="eastAsia"/>
        </w:rPr>
        <w:instrText>等</w:instrText>
      </w:r>
      <w:r w:rsidR="005B1161" w:rsidRPr="00CB3320">
        <w:rPr>
          <w:rFonts w:hint="eastAsia"/>
        </w:rPr>
        <w:instrText>, 2018)","previouslyFormattedCitation":"(Stoever</w:instrText>
      </w:r>
      <w:r w:rsidR="005B1161" w:rsidRPr="00CB3320">
        <w:rPr>
          <w:rFonts w:hint="eastAsia"/>
        </w:rPr>
        <w:instrText>等</w:instrText>
      </w:r>
      <w:r w:rsidR="005B1161" w:rsidRPr="00CB3320">
        <w:rPr>
          <w:rFonts w:hint="eastAsia"/>
        </w:rPr>
        <w:instrText>, 2018)"},"properties":{"noteIndex":0},"schema":"https://github.com/citation-style-language/schema/raw/master/csl-citation.json"}</w:instrText>
      </w:r>
      <w:r w:rsidRPr="00CB3320">
        <w:fldChar w:fldCharType="separate"/>
      </w:r>
      <w:r w:rsidR="00364702" w:rsidRPr="00CB3320">
        <w:rPr>
          <w:rFonts w:hint="eastAsia"/>
          <w:noProof/>
        </w:rPr>
        <w:t>(Stoever</w:t>
      </w:r>
      <w:r w:rsidR="005B1161" w:rsidRPr="00CB3320">
        <w:rPr>
          <w:rFonts w:hint="eastAsia"/>
          <w:noProof/>
        </w:rPr>
        <w:t xml:space="preserve"> et al</w:t>
      </w:r>
      <w:r w:rsidR="005B1161" w:rsidRPr="00CB3320">
        <w:rPr>
          <w:rFonts w:hint="eastAsia"/>
          <w:noProof/>
        </w:rPr>
        <w:t>，</w:t>
      </w:r>
      <w:r w:rsidR="00364702" w:rsidRPr="00CB3320">
        <w:rPr>
          <w:rFonts w:hint="eastAsia"/>
          <w:noProof/>
        </w:rPr>
        <w:t>2018)</w:t>
      </w:r>
      <w:r w:rsidRPr="00CB3320">
        <w:fldChar w:fldCharType="end"/>
      </w:r>
      <w:r w:rsidRPr="00CB3320">
        <w:rPr>
          <w:rFonts w:hint="eastAsia"/>
        </w:rPr>
        <w:t>。而另一些研究认为，</w:t>
      </w:r>
      <w:proofErr w:type="gramStart"/>
      <w:r w:rsidRPr="00CB3320">
        <w:rPr>
          <w:rFonts w:hint="eastAsia"/>
        </w:rPr>
        <w:t>碳交易</w:t>
      </w:r>
      <w:proofErr w:type="gramEnd"/>
      <w:r w:rsidRPr="00CB3320">
        <w:rPr>
          <w:rFonts w:hint="eastAsia"/>
        </w:rPr>
        <w:t>能刺激企业进行创新，尤其是进行低碳创新</w:t>
      </w:r>
      <w:r w:rsidRPr="00CB3320">
        <w:fldChar w:fldCharType="begin" w:fldLock="1"/>
      </w:r>
      <w:r w:rsidR="001B271C">
        <w:instrText>ADDIN CSL_CITATION {"citationItems":[{"id":"ITEM-1","itemData":{"DOI":"10.1007/s11356-022-22877-1","ISBN":"1614-7499","ISSN":"1614-7499","abstract":"Carbon emission trading scheme (ETS) policy is a quota-based market-motivated environmental regulation policy that by transforming environmental responsibility of enterprises into self-consciousness behavior induces green innovation behavior in enterprises and influences the level of regional green innovation. Based on panel data on green patents in 30 Chinese provinces from 2010 to 2019, the paper uses six Chinese pilot provinces for ETS as the treatment group to investigate the induced effects of Chinese ETS policy on the quantity and quality of green technology innovation using difference in difference model and analyzes the effects of Chinese ETS policy on green technology innovation in different pilot regions using a synthetic control method. The findings indicate that (1) compared with non-pilot areas, the carbon emission trading policies in pilot areas can induce green technology innovation activities. (2) In all pilot regions, ETS policies significantly promoted the quantity and quality of green technology innovation, but the quantity promotion effect was significantly better than the quality promotion effect, and the low-quality promotion effect was better than the high-quality promotion effect. (3) In terms of individual pilot region, ETS policies in Guangdong, Hubei and Tianjin significantly promoted the quantity of green technology innovation and low-quality green technology innovation, but significantly inhibited or suppressed high-quality green technology innovation in a short term. This paper not only enriches the research on environmental equity trading policies and green technology innovation theoretically, but also provides empirical evidence for the effectiveness of carbon emission trading schemes pilots program in China.","author":[{"dropping-particle":"","family":"Fu","given":"Lina","non-dropping-particle":"","parse-names":false,"suffix":""},{"dropping-particle":"","family":"Yi","given":"Yang","non-dropping-particle":"","parse-names":false,"suffix":""},{"dropping-particle":"","family":"Wu","given":"Ting","non-dropping-particle":"","parse-names":false,"suffix":""},{"dropping-particle":"","family":"Cheng","given":"Ruiwen","non-dropping-particle":"","parse-names":false,"suffix":""},{"dropping-particle":"","family":"Zhang","given":"Zuoming","non-dropping-particle":"","parse-names":false,"suffix":""}],"container-title":"Environmental Science and Pollution Research","id":"ITEM-1","issue":"5","issued":{"date-parts":[["2022","9","21"]]},"page":"13342-13358","title":"Do carbon emission trading scheme policies induce green technology innovation? New evidence from provincial green patents in China",</w:instrText>
      </w:r>
      <w:r w:rsidR="001B271C">
        <w:rPr>
          <w:rFonts w:hint="eastAsia"/>
        </w:rPr>
        <w:instrText>"type":"article-journal","volume":"30"},"uris":["http://www.mendeley.com/documents/?uuid=23a54b6f-1bd0-491b-9544-81a49fb9a43a"]}],"mendeley":{"formattedCitation":"(Fu</w:instrText>
      </w:r>
      <w:r w:rsidR="001B271C">
        <w:rPr>
          <w:rFonts w:hint="eastAsia"/>
        </w:rPr>
        <w:instrText>等</w:instrText>
      </w:r>
      <w:r w:rsidR="001B271C">
        <w:rPr>
          <w:rFonts w:hint="eastAsia"/>
        </w:rPr>
        <w:instrText>, 2022)","manualFormatting":"(Fu et al</w:instrText>
      </w:r>
      <w:r w:rsidR="001B271C">
        <w:rPr>
          <w:rFonts w:hint="eastAsia"/>
        </w:rPr>
        <w:instrText>，</w:instrText>
      </w:r>
      <w:r w:rsidR="001B271C">
        <w:rPr>
          <w:rFonts w:hint="eastAsia"/>
        </w:rPr>
        <w:instrText>2022)","plainTextFormattedCitation":"(Fu</w:instrText>
      </w:r>
      <w:r w:rsidR="001B271C">
        <w:rPr>
          <w:rFonts w:hint="eastAsia"/>
        </w:rPr>
        <w:instrText>等</w:instrText>
      </w:r>
      <w:r w:rsidR="001B271C">
        <w:rPr>
          <w:rFonts w:hint="eastAsia"/>
        </w:rPr>
        <w:instrText>, 2022)","previouslyFormattedCitation":"(Fu</w:instrText>
      </w:r>
      <w:r w:rsidR="001B271C">
        <w:rPr>
          <w:rFonts w:hint="eastAsia"/>
        </w:rPr>
        <w:instrText>等</w:instrText>
      </w:r>
      <w:r w:rsidR="001B271C">
        <w:rPr>
          <w:rFonts w:hint="eastAsia"/>
        </w:rPr>
        <w:instrText>, 2022)"},"properties":{"noteIndex":0},"schema":"https://github.com/citation-style-language/schema/raw/master/csl-citation.json"}</w:instrText>
      </w:r>
      <w:r w:rsidRPr="00CB3320">
        <w:fldChar w:fldCharType="separate"/>
      </w:r>
      <w:r w:rsidR="00364702" w:rsidRPr="00CB3320">
        <w:rPr>
          <w:rFonts w:hint="eastAsia"/>
          <w:noProof/>
        </w:rPr>
        <w:t>(Fu</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Pr="00CB3320">
        <w:fldChar w:fldCharType="end"/>
      </w:r>
      <w:r w:rsidRPr="00CB3320">
        <w:rPr>
          <w:rFonts w:hint="eastAsia"/>
        </w:rPr>
        <w:t>，刺激了企业生产率的提升</w:t>
      </w:r>
      <w:r w:rsidRPr="00CB3320">
        <w:fldChar w:fldCharType="begin" w:fldLock="1"/>
      </w:r>
      <w:r w:rsidR="005B1161" w:rsidRPr="00CB3320">
        <w:instrText>ADDIN CSL_CITATION {"citationItems":[{"id":"ITEM-1","itemData":{"DOI":"https://doi.org/10.1016/j.jenvman.2022.115228","ISBN":"0301-4797","abstract":"Based on the tightening regulation of carbon emissions, China has launched the pilot carbon emission trading scheme (CETS) since 2013. There is growing empirical evidence of the actual effect of CETS to promote enterprises' productivity which is characterized by total factor productivity (TFP). However, most studies ignored the further analysis of influence mechanisms. This paper aims to explore the impact of CETS on the TFP of enterprises and discuss the mediating role of government participation and carbon trading market efficiency. Using data from A-share listed enterprises from CETS-covered enterprises, this paper employed a combination of the propensity score matching (PSM) and difference-in-differences (DID) strategies and found that the CETS has a statistically significant positive impact on the TFP of enterprises, and the positive effect has been maintained for six years since its inception. The moderation analysis indicated that: (1) two dimensions of government participation in terms of the market incentive and government supervision significantly moderate the positive impact of CETS on TFP of enterprises; (2) two dimensions of carbon trading market efficiency in terms of the market scale and liquidity significantly moderates the positive impact of CETS on TFP of enterprises. In light of Chinese pilots CETS policy, the study highlights the important moderating roles of government participation and high carbon trading market efficiency on enterprise's TFP.","author":[{"dropping-particle":"","family":"Pan","given":"Xiongfeng","non-dropping-particle":"","parse-names":false,"suffix":""},{"dropping-particle":"","family":"Pu","given":"Chenxi","non-dropping-particle":"","parse-names":false,"suffix":""},{"dropping-particle":"","family":"Yuan","given":"Sai","non-dropping-particle":"","parse-names":false,"suffix":""},{"dropping-particle":"","family":"Xu","given":"Haitao","non-dropping-particle":"","parse-names":false,"suffix":""}],"container-title":"Journal of Environmental Management","id":"ITEM-1","issued":{"date-parts":[["2022"]]},"page":"115228","title":"Effect of Chinese pilots carbon emission trading scheme on enterprises' total factor productivity: The moderating role of government participation and carbon trading market efficiency","type":"article-journal","volume":"316"},"uris":["http://www.mendeley.com/documents/?uuid=51e3d57a-e45d-474c-a660-2378cbf</w:instrText>
      </w:r>
      <w:r w:rsidR="005B1161" w:rsidRPr="00CB3320">
        <w:rPr>
          <w:rFonts w:hint="eastAsia"/>
        </w:rPr>
        <w:instrText>c0c85"]}],"mendeley":{"formattedCitation":"(Pan</w:instrText>
      </w:r>
      <w:r w:rsidR="005B1161" w:rsidRPr="00CB3320">
        <w:rPr>
          <w:rFonts w:hint="eastAsia"/>
        </w:rPr>
        <w:instrText>等</w:instrText>
      </w:r>
      <w:r w:rsidR="005B1161" w:rsidRPr="00CB3320">
        <w:rPr>
          <w:rFonts w:hint="eastAsia"/>
        </w:rPr>
        <w:instrText>, 2022)","manualFormatting":"(Pan et al</w:instrText>
      </w:r>
      <w:r w:rsidR="005B1161" w:rsidRPr="00CB3320">
        <w:rPr>
          <w:rFonts w:hint="eastAsia"/>
        </w:rPr>
        <w:instrText>，</w:instrText>
      </w:r>
      <w:r w:rsidR="005B1161" w:rsidRPr="00CB3320">
        <w:rPr>
          <w:rFonts w:hint="eastAsia"/>
        </w:rPr>
        <w:instrText>2022)","plainTextFormattedCitation":"(Pan</w:instrText>
      </w:r>
      <w:r w:rsidR="005B1161" w:rsidRPr="00CB3320">
        <w:rPr>
          <w:rFonts w:hint="eastAsia"/>
        </w:rPr>
        <w:instrText>等</w:instrText>
      </w:r>
      <w:r w:rsidR="005B1161" w:rsidRPr="00CB3320">
        <w:rPr>
          <w:rFonts w:hint="eastAsia"/>
        </w:rPr>
        <w:instrText>, 2022)","previouslyFormattedCitation":"(Pan</w:instrText>
      </w:r>
      <w:r w:rsidR="005B1161" w:rsidRPr="00CB3320">
        <w:rPr>
          <w:rFonts w:hint="eastAsia"/>
        </w:rPr>
        <w:instrText>等</w:instrText>
      </w:r>
      <w:r w:rsidR="005B1161" w:rsidRPr="00CB3320">
        <w:rPr>
          <w:rFonts w:hint="eastAsia"/>
        </w:rPr>
        <w:instrText>, 2022)"},"properties":{"noteIndex":0},"schema":"https://github.com/citation-sty</w:instrText>
      </w:r>
      <w:r w:rsidR="005B1161" w:rsidRPr="00CB3320">
        <w:instrText>le-language/schema/raw/master/csl-citation.json"}</w:instrText>
      </w:r>
      <w:r w:rsidRPr="00CB3320">
        <w:fldChar w:fldCharType="separate"/>
      </w:r>
      <w:r w:rsidR="00364702" w:rsidRPr="00CB3320">
        <w:rPr>
          <w:rFonts w:hint="eastAsia"/>
          <w:noProof/>
        </w:rPr>
        <w:t>(Pan</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Pr="00CB3320">
        <w:fldChar w:fldCharType="end"/>
      </w:r>
      <w:r w:rsidRPr="00CB3320">
        <w:rPr>
          <w:rFonts w:hint="eastAsia"/>
        </w:rPr>
        <w:t>。此外，</w:t>
      </w:r>
      <w:proofErr w:type="gramStart"/>
      <w:r w:rsidRPr="00CB3320">
        <w:rPr>
          <w:rFonts w:hint="eastAsia"/>
        </w:rPr>
        <w:t>碳交易</w:t>
      </w:r>
      <w:proofErr w:type="gramEnd"/>
      <w:r w:rsidRPr="00CB3320">
        <w:rPr>
          <w:rFonts w:hint="eastAsia"/>
        </w:rPr>
        <w:t>属于环境规制的一种，环境规制可能会抑制生产率</w:t>
      </w:r>
      <w:r w:rsidRPr="00CB3320">
        <w:fldChar w:fldCharType="begin" w:fldLock="1"/>
      </w:r>
      <w:r w:rsidR="005B1161" w:rsidRPr="00CB3320">
        <w:instrText>ADDIN CSL_CITATION {"citationItems":[{"id":"ITEM-1","itemData":{"DOI":"10.3368/le.98.1.073020-0118R1","ISBN":"0023-7639\r1543-8325","author":[{"dropping-particle":"","family":"Liu","given":"M D","non-dropping-particle":"","parse-names":false,"suffix":""},{"dropping-particle":"","family":"Shadbegian","given":"R","non-dropping-particle":"","parse-names":false,"suffix":""},{"dropping-particle":"","family":"Zhang","given":"B","non-dropping-particle":"","parse-names":false,"suffix":""}],"container-title":"LAND ECONOMICS","id":"ITEM-1","issue":"1","issued":{"date-parts":[["2022"]]},"page":"41-61","title":"Environmental Regulation, Compliance Strategies, and Productivity: Evidence from China","type":"article-journal","volume":"98"},"uris":["http://www.mendeley.c</w:instrText>
      </w:r>
      <w:r w:rsidR="005B1161" w:rsidRPr="00CB3320">
        <w:rPr>
          <w:rFonts w:hint="eastAsia"/>
        </w:rPr>
        <w:instrText>om/documents/?uuid=ae920ab6-5b11-4c14-b37b-9d7b958c3c6a"]}],"mendeley":{"formattedCitation":"(Liu</w:instrText>
      </w:r>
      <w:r w:rsidR="005B1161" w:rsidRPr="00CB3320">
        <w:rPr>
          <w:rFonts w:hint="eastAsia"/>
        </w:rPr>
        <w:instrText>等</w:instrText>
      </w:r>
      <w:r w:rsidR="005B1161" w:rsidRPr="00CB3320">
        <w:rPr>
          <w:rFonts w:hint="eastAsia"/>
        </w:rPr>
        <w:instrText>, 2022)","manualFormatting":"(Liu et al</w:instrText>
      </w:r>
      <w:r w:rsidR="005B1161" w:rsidRPr="00CB3320">
        <w:rPr>
          <w:rFonts w:hint="eastAsia"/>
        </w:rPr>
        <w:instrText>，</w:instrText>
      </w:r>
      <w:r w:rsidR="005B1161" w:rsidRPr="00CB3320">
        <w:rPr>
          <w:rFonts w:hint="eastAsia"/>
        </w:rPr>
        <w:instrText>2022)","plainTextFormattedCitation":"(Liu</w:instrText>
      </w:r>
      <w:r w:rsidR="005B1161" w:rsidRPr="00CB3320">
        <w:rPr>
          <w:rFonts w:hint="eastAsia"/>
        </w:rPr>
        <w:instrText>等</w:instrText>
      </w:r>
      <w:r w:rsidR="005B1161" w:rsidRPr="00CB3320">
        <w:rPr>
          <w:rFonts w:hint="eastAsia"/>
        </w:rPr>
        <w:instrText>, 2022)","previouslyFormattedCitation":"(Liu</w:instrText>
      </w:r>
      <w:r w:rsidR="005B1161" w:rsidRPr="00CB3320">
        <w:rPr>
          <w:rFonts w:hint="eastAsia"/>
        </w:rPr>
        <w:instrText>等</w:instrText>
      </w:r>
      <w:r w:rsidR="005B1161" w:rsidRPr="00CB3320">
        <w:rPr>
          <w:rFonts w:hint="eastAsia"/>
        </w:rPr>
        <w:instrText>, 2022)"},"properties":{"noteI</w:instrText>
      </w:r>
      <w:r w:rsidR="005B1161" w:rsidRPr="00CB3320">
        <w:instrText>ndex":0},"schema":"https://github.com/citation-style-language/schema/raw/master/csl-citation.json"}</w:instrText>
      </w:r>
      <w:r w:rsidRPr="00CB3320">
        <w:fldChar w:fldCharType="separate"/>
      </w:r>
      <w:r w:rsidR="00364702" w:rsidRPr="00CB3320">
        <w:rPr>
          <w:rFonts w:hint="eastAsia"/>
          <w:noProof/>
        </w:rPr>
        <w:t>(Liu</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Pr="00CB3320">
        <w:fldChar w:fldCharType="end"/>
      </w:r>
      <w:r w:rsidRPr="00CB3320">
        <w:rPr>
          <w:rFonts w:hint="eastAsia"/>
        </w:rPr>
        <w:t>或提高生产率</w:t>
      </w:r>
      <w:r w:rsidRPr="00CB3320">
        <w:fldChar w:fldCharType="begin" w:fldLock="1"/>
      </w:r>
      <w:r w:rsidR="005B1161" w:rsidRPr="00CB3320">
        <w:instrText>ADDIN CSL_CITATION {"citationItems":[{"id":"ITEM-1","itemData":{"DOI":"10.1007/s11356-021-16116-2","ISBN":"0944-1344\r1614-7499","author":[{"dropping-particle":"","family":"Yang","given":"S W","non-dropping-particle":"","parse-names":false,"suffix":""},{"dropping-particle":"","family":"Wang","given":"C","non-dropping-particle":"","parse-names":false,"suffix":""},{"dropping-particle":"","family":"Zhang","given":"H","non-dropping-particle":"","parse-names":false,"suffix":""},{"dropping-particle":"","family":"Lu","given":"T S","non-dropping-particle":"","parse-names":false,"suffix":""},{"dropping-particle":"","family":"Yi","given":"Y","non-dropping-particle":"","parse-names":false,"suffix":""}],"container-title":"Environmental Science and Pollution Research","id":"ITEM-1","issue":"6","issued":{"date-parts":[["2022"]]},"page":"9341-9353","title":"Environmental regulation, firms' bargaining power, and firms' total factor productivity: evidence from China","type":"article-journal","volume":"29"},"uris":["http:/</w:instrText>
      </w:r>
      <w:r w:rsidR="005B1161" w:rsidRPr="00CB3320">
        <w:rPr>
          <w:rFonts w:hint="eastAsia"/>
        </w:rPr>
        <w:instrText>/www.mendeley.com/documents/?uuid=6ad599d1-5589-4916-9a15-240129e6fd72"]}],"mendeley":{"formattedCitation":"(Yang</w:instrText>
      </w:r>
      <w:r w:rsidR="005B1161" w:rsidRPr="00CB3320">
        <w:rPr>
          <w:rFonts w:hint="eastAsia"/>
        </w:rPr>
        <w:instrText>等</w:instrText>
      </w:r>
      <w:r w:rsidR="005B1161" w:rsidRPr="00CB3320">
        <w:rPr>
          <w:rFonts w:hint="eastAsia"/>
        </w:rPr>
        <w:instrText>, 2022)","manualFormatting":"(Yang et al</w:instrText>
      </w:r>
      <w:r w:rsidR="005B1161" w:rsidRPr="00CB3320">
        <w:rPr>
          <w:rFonts w:hint="eastAsia"/>
        </w:rPr>
        <w:instrText>，</w:instrText>
      </w:r>
      <w:r w:rsidR="005B1161" w:rsidRPr="00CB3320">
        <w:rPr>
          <w:rFonts w:hint="eastAsia"/>
        </w:rPr>
        <w:instrText>2022)","plainTextFormattedCitation":"(Yang</w:instrText>
      </w:r>
      <w:r w:rsidR="005B1161" w:rsidRPr="00CB3320">
        <w:rPr>
          <w:rFonts w:hint="eastAsia"/>
        </w:rPr>
        <w:instrText>等</w:instrText>
      </w:r>
      <w:r w:rsidR="005B1161" w:rsidRPr="00CB3320">
        <w:rPr>
          <w:rFonts w:hint="eastAsia"/>
        </w:rPr>
        <w:instrText>, 2022)","previouslyFormattedCitation":"(Yang</w:instrText>
      </w:r>
      <w:r w:rsidR="005B1161" w:rsidRPr="00CB3320">
        <w:rPr>
          <w:rFonts w:hint="eastAsia"/>
        </w:rPr>
        <w:instrText>等</w:instrText>
      </w:r>
      <w:r w:rsidR="005B1161" w:rsidRPr="00CB3320">
        <w:rPr>
          <w:rFonts w:hint="eastAsia"/>
        </w:rPr>
        <w:instrText>, 2022)"},"</w:instrText>
      </w:r>
      <w:r w:rsidR="005B1161" w:rsidRPr="00CB3320">
        <w:instrText>properties":{"noteIndex":0},"schema":"https://github.com/citation-style-language/schema/raw/master/csl-citation.json"}</w:instrText>
      </w:r>
      <w:r w:rsidRPr="00CB3320">
        <w:fldChar w:fldCharType="separate"/>
      </w:r>
      <w:r w:rsidR="00364702" w:rsidRPr="00CB3320">
        <w:rPr>
          <w:rFonts w:hint="eastAsia"/>
          <w:noProof/>
        </w:rPr>
        <w:t>(Yang</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Pr="00CB3320">
        <w:fldChar w:fldCharType="end"/>
      </w:r>
      <w:r w:rsidRPr="00CB3320">
        <w:rPr>
          <w:rFonts w:hint="eastAsia"/>
        </w:rPr>
        <w:t>，这种影响还可能存在异质性，比如不同的环境规制在短期和长期内对生产率的影响存在较大的异质性</w:t>
      </w:r>
      <w:r w:rsidRPr="00CB3320">
        <w:fldChar w:fldCharType="begin" w:fldLock="1"/>
      </w:r>
      <w:r w:rsidR="001B271C">
        <w:rPr>
          <w:rFonts w:hint="eastAsia"/>
        </w:rPr>
        <w:instrText>ADDIN CSL_CITATION {"citationItems":[{"id":"ITEM-1","itemData":{"author":[{"dropping-particle":"","family":"</w:instrText>
      </w:r>
      <w:r w:rsidR="001B271C">
        <w:rPr>
          <w:rFonts w:hint="eastAsia"/>
        </w:rPr>
        <w:instrText>吴磊</w:instrText>
      </w:r>
      <w:r w:rsidR="001B271C">
        <w:rPr>
          <w:rFonts w:hint="eastAsia"/>
        </w:rPr>
        <w:instrText>","given":"","non-dropping-particle":"","parse-names":false,"suffix":""},{"dropping-particle":"","family":"</w:instrText>
      </w:r>
      <w:r w:rsidR="001B271C">
        <w:rPr>
          <w:rFonts w:hint="eastAsia"/>
        </w:rPr>
        <w:instrText>贾晓燕</w:instrText>
      </w:r>
      <w:r w:rsidR="001B271C">
        <w:rPr>
          <w:rFonts w:hint="eastAsia"/>
        </w:rPr>
        <w:instrText>","given":"","non-dropping-particle":"","parse-names":false,"suffix":""},{"dropping-particle":"","family":"</w:instrText>
      </w:r>
      <w:r w:rsidR="001B271C">
        <w:rPr>
          <w:rFonts w:hint="eastAsia"/>
        </w:rPr>
        <w:instrText>吴超</w:instrText>
      </w:r>
      <w:r w:rsidR="001B271C">
        <w:rPr>
          <w:rFonts w:hint="eastAsia"/>
        </w:rPr>
        <w:instrText>","given":"","non-dropping-particle":"","parse-names":false,"suffix":""},{"dropping-particle":"","family":"</w:instrText>
      </w:r>
      <w:r w:rsidR="001B271C">
        <w:rPr>
          <w:rFonts w:hint="eastAsia"/>
        </w:rPr>
        <w:instrText>彭甲超</w:instrText>
      </w:r>
      <w:r w:rsidR="001B271C">
        <w:rPr>
          <w:rFonts w:hint="eastAsia"/>
        </w:rPr>
        <w:instrText>","given":"","non-dropping-particle":"","parse-names":false,"suffix":""}],"container-title":"</w:instrText>
      </w:r>
      <w:r w:rsidR="001B271C">
        <w:rPr>
          <w:rFonts w:hint="eastAsia"/>
        </w:rPr>
        <w:instrText>中国人口·资源与环境</w:instrText>
      </w:r>
      <w:r w:rsidR="001B271C">
        <w:rPr>
          <w:rFonts w:hint="eastAsia"/>
        </w:rPr>
        <w:instrText>","id":"ITEM-1","issued":{"date-parts":[["2020"]]},"title":"</w:instrText>
      </w:r>
      <w:r w:rsidR="001B271C">
        <w:rPr>
          <w:rFonts w:hint="eastAsia"/>
        </w:rPr>
        <w:instrText>异质型环境规制对中国绿色全要素生产率的影响</w:instrText>
      </w:r>
      <w:r w:rsidR="001B271C">
        <w:rPr>
          <w:rFonts w:hint="eastAsia"/>
        </w:rPr>
        <w:instrText>","type":"article-journal"},"uris":["http://www.mendeley.com/documents/?uuid=6441b4e5-052f-455e-a040-c1f4d550a450"]},{"id":"ITEM-2","itemData":{"ISBN":"1006-480X","abstract":"</w:instrText>
      </w:r>
      <w:r w:rsidR="001B271C">
        <w:rPr>
          <w:rFonts w:hint="eastAsia"/>
        </w:rPr>
        <w:instrText>本文在建立环境规制与企业全要素生产率关系数理模型的基础上</w:instrText>
      </w:r>
      <w:r w:rsidR="001B271C">
        <w:rPr>
          <w:rFonts w:hint="eastAsia"/>
        </w:rPr>
        <w:instrText>,</w:instrText>
      </w:r>
      <w:r w:rsidR="001B271C">
        <w:rPr>
          <w:rFonts w:hint="eastAsia"/>
        </w:rPr>
        <w:instrText>以</w:instrText>
      </w:r>
      <w:r w:rsidR="001B271C">
        <w:rPr>
          <w:rFonts w:hint="eastAsia"/>
        </w:rPr>
        <w:instrText>1998</w:instrText>
      </w:r>
      <w:r w:rsidR="001B271C">
        <w:rPr>
          <w:rFonts w:hint="eastAsia"/>
        </w:rPr>
        <w:instrText>—</w:instrText>
      </w:r>
      <w:r w:rsidR="001B271C">
        <w:rPr>
          <w:rFonts w:hint="eastAsia"/>
        </w:rPr>
        <w:instrText>2011</w:instrText>
      </w:r>
      <w:r w:rsidR="001B271C">
        <w:rPr>
          <w:rFonts w:hint="eastAsia"/>
        </w:rPr>
        <w:instrText>年中国工业企业数据为样本</w:instrText>
      </w:r>
      <w:r w:rsidR="001B271C">
        <w:rPr>
          <w:rFonts w:hint="eastAsia"/>
        </w:rPr>
        <w:instrText>,</w:instrText>
      </w:r>
      <w:r w:rsidR="001B271C">
        <w:rPr>
          <w:rFonts w:hint="eastAsia"/>
        </w:rPr>
        <w:instrText>计量检验了环境规制对企业全要素生产率的影响。研究结论显示</w:instrText>
      </w:r>
      <w:r w:rsidR="001B271C">
        <w:rPr>
          <w:rFonts w:hint="eastAsia"/>
        </w:rPr>
        <w:instrText>:</w:instrText>
      </w:r>
      <w:r w:rsidR="001B271C">
        <w:rPr>
          <w:rFonts w:hint="eastAsia"/>
        </w:rPr>
        <w:instrText>①环境规制与企业全要素生产率之间符合</w:instrText>
      </w:r>
      <w:r w:rsidR="001B271C">
        <w:rPr>
          <w:rFonts w:hint="eastAsia"/>
        </w:rPr>
        <w:instrText>\"</w:instrText>
      </w:r>
      <w:r w:rsidR="001B271C">
        <w:rPr>
          <w:rFonts w:hint="eastAsia"/>
        </w:rPr>
        <w:instrText>倒</w:instrText>
      </w:r>
      <w:r w:rsidR="001B271C">
        <w:rPr>
          <w:rFonts w:hint="eastAsia"/>
        </w:rPr>
        <w:instrText>N</w:instrText>
      </w:r>
      <w:r w:rsidR="001B271C">
        <w:rPr>
          <w:rFonts w:hint="eastAsia"/>
        </w:rPr>
        <w:instrText>型</w:instrText>
      </w:r>
      <w:r w:rsidR="001B271C">
        <w:rPr>
          <w:rFonts w:hint="eastAsia"/>
        </w:rPr>
        <w:instrText>\"</w:instrText>
      </w:r>
      <w:r w:rsidR="001B271C">
        <w:rPr>
          <w:rFonts w:hint="eastAsia"/>
        </w:rPr>
        <w:instrText>关系</w:instrText>
      </w:r>
      <w:r w:rsidR="001B271C">
        <w:rPr>
          <w:rFonts w:hint="eastAsia"/>
        </w:rPr>
        <w:instrText>,</w:instrText>
      </w:r>
      <w:r w:rsidR="001B271C">
        <w:rPr>
          <w:rFonts w:hint="eastAsia"/>
        </w:rPr>
        <w:instrText>即环境规制强度较弱时</w:instrText>
      </w:r>
      <w:r w:rsidR="001B271C">
        <w:rPr>
          <w:rFonts w:hint="eastAsia"/>
        </w:rPr>
        <w:instrText>,</w:instrText>
      </w:r>
      <w:r w:rsidR="001B271C">
        <w:rPr>
          <w:rFonts w:hint="eastAsia"/>
        </w:rPr>
        <w:instrText>企业环境成本较低</w:instrText>
      </w:r>
      <w:r w:rsidR="001B271C">
        <w:rPr>
          <w:rFonts w:hint="eastAsia"/>
        </w:rPr>
        <w:instrText>,</w:instrText>
      </w:r>
      <w:r w:rsidR="001B271C">
        <w:rPr>
          <w:rFonts w:hint="eastAsia"/>
        </w:rPr>
        <w:instrText>技术创新的动机不够</w:instrText>
      </w:r>
      <w:r w:rsidR="001B271C">
        <w:rPr>
          <w:rFonts w:hint="eastAsia"/>
        </w:rPr>
        <w:instrText>,</w:instrText>
      </w:r>
      <w:r w:rsidR="001B271C">
        <w:rPr>
          <w:rFonts w:hint="eastAsia"/>
        </w:rPr>
        <w:instrText>全要素生产率会降低</w:instrText>
      </w:r>
      <w:r w:rsidR="001B271C">
        <w:rPr>
          <w:rFonts w:hint="eastAsia"/>
        </w:rPr>
        <w:instrText>;</w:instrText>
      </w:r>
      <w:r w:rsidR="001B271C">
        <w:rPr>
          <w:rFonts w:hint="eastAsia"/>
        </w:rPr>
        <w:instrText>当环境规制提高到能够促进企业技术创新时</w:instrText>
      </w:r>
      <w:r w:rsidR="001B271C">
        <w:rPr>
          <w:rFonts w:hint="eastAsia"/>
        </w:rPr>
        <w:instrText>,</w:instrText>
      </w:r>
      <w:r w:rsidR="001B271C">
        <w:rPr>
          <w:rFonts w:hint="eastAsia"/>
        </w:rPr>
        <w:instrText>只要环境规制处于合理的范围内</w:instrText>
      </w:r>
      <w:r w:rsidR="001B271C">
        <w:rPr>
          <w:rFonts w:hint="eastAsia"/>
        </w:rPr>
        <w:instrText>,</w:instrText>
      </w:r>
      <w:r w:rsidR="001B271C">
        <w:rPr>
          <w:rFonts w:hint="eastAsia"/>
        </w:rPr>
        <w:instrText>就会促进企业全要素生产率的提高</w:instrText>
      </w:r>
      <w:r w:rsidR="001B271C">
        <w:rPr>
          <w:rFonts w:hint="eastAsia"/>
        </w:rPr>
        <w:instrText>;</w:instrText>
      </w:r>
      <w:r w:rsidR="001B271C">
        <w:rPr>
          <w:rFonts w:hint="eastAsia"/>
        </w:rPr>
        <w:instrText>但当环境规制强度超过了企业所能承受的负担</w:instrText>
      </w:r>
      <w:r w:rsidR="001B271C">
        <w:rPr>
          <w:rFonts w:hint="eastAsia"/>
        </w:rPr>
        <w:instrText>,</w:instrText>
      </w:r>
      <w:r w:rsidR="001B271C">
        <w:rPr>
          <w:rFonts w:hint="eastAsia"/>
        </w:rPr>
        <w:instrText>全要素生产率会下降。②将中国</w:instrText>
      </w:r>
      <w:r w:rsidR="001B271C">
        <w:rPr>
          <w:rFonts w:hint="eastAsia"/>
        </w:rPr>
        <w:instrText>36</w:instrText>
      </w:r>
      <w:r w:rsidR="001B271C">
        <w:rPr>
          <w:rFonts w:hint="eastAsia"/>
        </w:rPr>
        <w:instrText>个工业行业部门划分为重度污染行业、中度污染行业和轻度污染行业三大类</w:instrText>
      </w:r>
      <w:r w:rsidR="001B271C">
        <w:rPr>
          <w:rFonts w:hint="eastAsia"/>
        </w:rPr>
        <w:instrText>,</w:instrText>
      </w:r>
      <w:r w:rsidR="001B271C">
        <w:rPr>
          <w:rFonts w:hint="eastAsia"/>
        </w:rPr>
        <w:instrText>在分析各类行业环境规制水平的基础上</w:instrText>
      </w:r>
      <w:r w:rsidR="001B271C">
        <w:rPr>
          <w:rFonts w:hint="eastAsia"/>
        </w:rPr>
        <w:instrText>,</w:instrText>
      </w:r>
      <w:r w:rsidR="001B271C">
        <w:rPr>
          <w:rFonts w:hint="eastAsia"/>
        </w:rPr>
        <w:instrText>进一步细分每一个行业在</w:instrText>
      </w:r>
      <w:r w:rsidR="001B271C">
        <w:rPr>
          <w:rFonts w:hint="eastAsia"/>
        </w:rPr>
        <w:instrText>\"</w:instrText>
      </w:r>
      <w:r w:rsidR="001B271C">
        <w:rPr>
          <w:rFonts w:hint="eastAsia"/>
        </w:rPr>
        <w:instrText>倒</w:instrText>
      </w:r>
      <w:r w:rsidR="001B271C">
        <w:rPr>
          <w:rFonts w:hint="eastAsia"/>
        </w:rPr>
        <w:instrText>N</w:instrText>
      </w:r>
      <w:r w:rsidR="001B271C">
        <w:rPr>
          <w:rFonts w:hint="eastAsia"/>
        </w:rPr>
        <w:instrText>型</w:instrText>
      </w:r>
      <w:r w:rsidR="001B271C">
        <w:rPr>
          <w:rFonts w:hint="eastAsia"/>
        </w:rPr>
        <w:instrText>\"</w:instrText>
      </w:r>
      <w:r w:rsidR="001B271C">
        <w:rPr>
          <w:rFonts w:hint="eastAsia"/>
        </w:rPr>
        <w:instrText>曲线上所处的位置。结论表明</w:instrText>
      </w:r>
      <w:r w:rsidR="001B271C">
        <w:rPr>
          <w:rFonts w:hint="eastAsia"/>
        </w:rPr>
        <w:instrText>,</w:instrText>
      </w:r>
      <w:r w:rsidR="001B271C">
        <w:rPr>
          <w:rFonts w:hint="eastAsia"/>
        </w:rPr>
        <w:instrText>目前中国环境规制水平整体较低</w:instrText>
      </w:r>
      <w:r w:rsidR="001B271C">
        <w:rPr>
          <w:rFonts w:hint="eastAsia"/>
        </w:rPr>
        <w:instrText>,</w:instrText>
      </w:r>
      <w:r w:rsidR="001B271C">
        <w:rPr>
          <w:rFonts w:hint="eastAsia"/>
        </w:rPr>
        <w:instrText>只有少数重度污染行业突破了第一个拐点</w:instrText>
      </w:r>
      <w:r w:rsidR="001B271C">
        <w:rPr>
          <w:rFonts w:hint="eastAsia"/>
        </w:rPr>
        <w:instrText>,</w:instrText>
      </w:r>
      <w:r w:rsidR="001B271C">
        <w:rPr>
          <w:rFonts w:hint="eastAsia"/>
        </w:rPr>
        <w:instrText>其他行业仍位于第一个拐点之前。因此</w:instrText>
      </w:r>
      <w:r w:rsidR="001B271C">
        <w:rPr>
          <w:rFonts w:hint="eastAsia"/>
        </w:rPr>
        <w:instrText>,</w:instrText>
      </w:r>
      <w:r w:rsidR="001B271C">
        <w:rPr>
          <w:rFonts w:hint="eastAsia"/>
        </w:rPr>
        <w:instrText>制定合理的环境规制水平和差异化的环境规制政策对于污染治理和企业全要素生产率的提高具有重要意义。</w:instrText>
      </w:r>
      <w:r w:rsidR="001B271C">
        <w:rPr>
          <w:rFonts w:hint="eastAsia"/>
        </w:rPr>
        <w:instrText>","author":[{"dropping-particle":"","family":"</w:instrText>
      </w:r>
      <w:r w:rsidR="001B271C">
        <w:rPr>
          <w:rFonts w:hint="eastAsia"/>
        </w:rPr>
        <w:instrText>王杰</w:instrText>
      </w:r>
      <w:r w:rsidR="001B271C">
        <w:rPr>
          <w:rFonts w:hint="eastAsia"/>
        </w:rPr>
        <w:instrText>","given":"","non-dropping-particle":"","parse-names":false,"suffix":""},{"dropping-particle":"","family":"</w:instrText>
      </w:r>
      <w:r w:rsidR="001B271C">
        <w:rPr>
          <w:rFonts w:hint="eastAsia"/>
        </w:rPr>
        <w:instrText>刘斌</w:instrText>
      </w:r>
      <w:r w:rsidR="001B271C">
        <w:rPr>
          <w:rFonts w:hint="eastAsia"/>
        </w:rPr>
        <w:instrText>","given":"","non-dropping-particle":"","parse-names":false,"suffix":""}],"container-title":"</w:instrText>
      </w:r>
      <w:r w:rsidR="001B271C">
        <w:rPr>
          <w:rFonts w:hint="eastAsia"/>
        </w:rPr>
        <w:instrText>中国工业经济</w:instrText>
      </w:r>
      <w:r w:rsidR="001B271C">
        <w:rPr>
          <w:rFonts w:hint="eastAsia"/>
        </w:rPr>
        <w:instrText>","id":"ITEM-2","issue":"03","issued":{"date-parts":[["2014"]]},"page":"44-56","title":"</w:instrText>
      </w:r>
      <w:r w:rsidR="001B271C">
        <w:rPr>
          <w:rFonts w:hint="eastAsia"/>
        </w:rPr>
        <w:instrText>环境规制与企业全要素生产率——基于中国工业企业数据的经验分析</w:instrText>
      </w:r>
      <w:r w:rsidR="001B271C">
        <w:rPr>
          <w:rFonts w:hint="eastAsia"/>
        </w:rPr>
        <w:instrText>","type":"article-journal"},"uris":["http://www.mendeley.com/documents/?uuid=35a7f356-0da1-4ed0-8f7f-40ca7a30e28a"]},{"id":"ITEM-3","itemData":{"DOI":"10.1016/j.strueco.2021.08.005","ISBN":"095</w:instrText>
      </w:r>
      <w:r w:rsidR="001B271C">
        <w:instrText>4-349X\r1873-6017","author":[{"dropping-particle":"","family":"Zhang","given":"Y J","non-dropping-particle":"","parse-names":false,"suffix":""},{"dropping-particle":"","family":"Li","given":"X P","non-dropping-particle":"","parse-names":false,"suffix":""},{"dropping-particle":"","family":"Song","given":"Y","non-dropping-particle":"","parse-names":false,"suffix":""},{"dropping-particle":"","family":"Jiang","given":"F T","non-dropping-particle":"","parse-names":false,"suffix":""}],"container-title":"Structural Change and Economic Dynamics","id":"ITEM-3","issued":{"date-parts":[["2021"]]},"page":"51-62","title":"Can green industrial policy improve total factor productivity? Firm-level evidence from China","type":"article-journal","volume":"59"},"uris":["http</w:instrText>
      </w:r>
      <w:r w:rsidR="001B271C">
        <w:rPr>
          <w:rFonts w:hint="eastAsia"/>
        </w:rPr>
        <w:instrText>://www.mendeley.com/documents/?uuid=ea09047e-54b3-49df-8da8-f15aea50b273"]}],"mendeley":{"formattedCitation":"(Zhang Y J</w:instrText>
      </w:r>
      <w:r w:rsidR="001B271C">
        <w:rPr>
          <w:rFonts w:hint="eastAsia"/>
        </w:rPr>
        <w:instrText>等</w:instrText>
      </w:r>
      <w:r w:rsidR="001B271C">
        <w:rPr>
          <w:rFonts w:hint="eastAsia"/>
        </w:rPr>
        <w:instrText xml:space="preserve">, 2021; </w:instrText>
      </w:r>
      <w:r w:rsidR="001B271C">
        <w:rPr>
          <w:rFonts w:hint="eastAsia"/>
        </w:rPr>
        <w:instrText>吴磊等</w:instrText>
      </w:r>
      <w:r w:rsidR="001B271C">
        <w:rPr>
          <w:rFonts w:hint="eastAsia"/>
        </w:rPr>
        <w:instrText xml:space="preserve">, 2020; </w:instrText>
      </w:r>
      <w:r w:rsidR="001B271C">
        <w:rPr>
          <w:rFonts w:hint="eastAsia"/>
        </w:rPr>
        <w:instrText>王杰等</w:instrText>
      </w:r>
      <w:r w:rsidR="001B271C">
        <w:rPr>
          <w:rFonts w:hint="eastAsia"/>
        </w:rPr>
        <w:instrText>, 2014)","manualFormatting":"(Zhang Y J et al</w:instrText>
      </w:r>
      <w:r w:rsidR="001B271C">
        <w:rPr>
          <w:rFonts w:hint="eastAsia"/>
        </w:rPr>
        <w:instrText>，</w:instrText>
      </w:r>
      <w:r w:rsidR="001B271C">
        <w:rPr>
          <w:rFonts w:hint="eastAsia"/>
        </w:rPr>
        <w:instrText>2021</w:instrText>
      </w:r>
      <w:r w:rsidR="001B271C">
        <w:rPr>
          <w:rFonts w:hint="eastAsia"/>
        </w:rPr>
        <w:instrText>；吴磊等，</w:instrText>
      </w:r>
      <w:r w:rsidR="001B271C">
        <w:rPr>
          <w:rFonts w:hint="eastAsia"/>
        </w:rPr>
        <w:instrText>2020</w:instrText>
      </w:r>
      <w:r w:rsidR="001B271C">
        <w:rPr>
          <w:rFonts w:hint="eastAsia"/>
        </w:rPr>
        <w:instrText>；王杰等，</w:instrText>
      </w:r>
      <w:r w:rsidR="001B271C">
        <w:rPr>
          <w:rFonts w:hint="eastAsia"/>
        </w:rPr>
        <w:instrText>2014)","plainTextFormattedCitation":"(Zhang Y J</w:instrText>
      </w:r>
      <w:r w:rsidR="001B271C">
        <w:rPr>
          <w:rFonts w:hint="eastAsia"/>
        </w:rPr>
        <w:instrText>等</w:instrText>
      </w:r>
      <w:r w:rsidR="001B271C">
        <w:rPr>
          <w:rFonts w:hint="eastAsia"/>
        </w:rPr>
        <w:instrText xml:space="preserve">, 2021; </w:instrText>
      </w:r>
      <w:r w:rsidR="001B271C">
        <w:rPr>
          <w:rFonts w:hint="eastAsia"/>
        </w:rPr>
        <w:instrText>吴磊等</w:instrText>
      </w:r>
      <w:r w:rsidR="001B271C">
        <w:rPr>
          <w:rFonts w:hint="eastAsia"/>
        </w:rPr>
        <w:instrText xml:space="preserve">, 2020; </w:instrText>
      </w:r>
      <w:r w:rsidR="001B271C">
        <w:rPr>
          <w:rFonts w:hint="eastAsia"/>
        </w:rPr>
        <w:instrText>王杰等</w:instrText>
      </w:r>
      <w:r w:rsidR="001B271C">
        <w:rPr>
          <w:rFonts w:hint="eastAsia"/>
        </w:rPr>
        <w:instrText>, 2014)","previouslyFormattedCitation":"(Zhang Y J</w:instrText>
      </w:r>
      <w:r w:rsidR="001B271C">
        <w:rPr>
          <w:rFonts w:hint="eastAsia"/>
        </w:rPr>
        <w:instrText>等</w:instrText>
      </w:r>
      <w:r w:rsidR="001B271C">
        <w:rPr>
          <w:rFonts w:hint="eastAsia"/>
        </w:rPr>
        <w:instrText xml:space="preserve">, 2021; </w:instrText>
      </w:r>
      <w:r w:rsidR="001B271C">
        <w:rPr>
          <w:rFonts w:hint="eastAsia"/>
        </w:rPr>
        <w:instrText>吴磊等</w:instrText>
      </w:r>
      <w:r w:rsidR="001B271C">
        <w:rPr>
          <w:rFonts w:hint="eastAsia"/>
        </w:rPr>
        <w:instrText xml:space="preserve">, 2020; </w:instrText>
      </w:r>
      <w:r w:rsidR="001B271C">
        <w:rPr>
          <w:rFonts w:hint="eastAsia"/>
        </w:rPr>
        <w:instrText>王杰等</w:instrText>
      </w:r>
      <w:r w:rsidR="001B271C">
        <w:rPr>
          <w:rFonts w:hint="eastAsia"/>
        </w:rPr>
        <w:instrText>, 2014)"},"properties":{"noteIndex":0},"schema":"https://github.com/citation-style-language/schema/raw/master/csl-citation.json"}</w:instrText>
      </w:r>
      <w:r w:rsidRPr="00CB3320">
        <w:fldChar w:fldCharType="separate"/>
      </w:r>
      <w:r w:rsidR="00364702" w:rsidRPr="00CB3320">
        <w:rPr>
          <w:rFonts w:hint="eastAsia"/>
          <w:noProof/>
        </w:rPr>
        <w:t>(Zhang Y J</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005B1161" w:rsidRPr="00CB3320">
        <w:rPr>
          <w:rFonts w:hint="eastAsia"/>
          <w:noProof/>
        </w:rPr>
        <w:t>；</w:t>
      </w:r>
      <w:r w:rsidR="00364702" w:rsidRPr="00CB3320">
        <w:rPr>
          <w:rFonts w:hint="eastAsia"/>
          <w:noProof/>
        </w:rPr>
        <w:t>吴磊等</w:t>
      </w:r>
      <w:r w:rsidR="005B1161" w:rsidRPr="00CB3320">
        <w:rPr>
          <w:rFonts w:hint="eastAsia"/>
          <w:noProof/>
        </w:rPr>
        <w:t>，</w:t>
      </w:r>
      <w:r w:rsidR="00364702" w:rsidRPr="00CB3320">
        <w:rPr>
          <w:rFonts w:hint="eastAsia"/>
          <w:noProof/>
        </w:rPr>
        <w:t>2020</w:t>
      </w:r>
      <w:r w:rsidR="005B1161" w:rsidRPr="00CB3320">
        <w:rPr>
          <w:rFonts w:hint="eastAsia"/>
          <w:noProof/>
        </w:rPr>
        <w:t>；</w:t>
      </w:r>
      <w:r w:rsidR="00364702" w:rsidRPr="00CB3320">
        <w:rPr>
          <w:rFonts w:hint="eastAsia"/>
          <w:noProof/>
        </w:rPr>
        <w:t>王杰等</w:t>
      </w:r>
      <w:r w:rsidR="005B1161" w:rsidRPr="00CB3320">
        <w:rPr>
          <w:rFonts w:hint="eastAsia"/>
          <w:noProof/>
        </w:rPr>
        <w:t>，</w:t>
      </w:r>
      <w:r w:rsidR="00364702" w:rsidRPr="00CB3320">
        <w:rPr>
          <w:rFonts w:hint="eastAsia"/>
          <w:noProof/>
        </w:rPr>
        <w:t>2014)</w:t>
      </w:r>
      <w:r w:rsidRPr="00CB3320">
        <w:fldChar w:fldCharType="end"/>
      </w:r>
      <w:r w:rsidRPr="00CB3320">
        <w:rPr>
          <w:rFonts w:hint="eastAsia"/>
        </w:rPr>
        <w:t>。因此，</w:t>
      </w:r>
      <w:proofErr w:type="gramStart"/>
      <w:r w:rsidRPr="00CB3320">
        <w:rPr>
          <w:rFonts w:hint="eastAsia"/>
        </w:rPr>
        <w:t>碳交易</w:t>
      </w:r>
      <w:proofErr w:type="gramEnd"/>
      <w:r w:rsidRPr="00CB3320">
        <w:rPr>
          <w:rFonts w:hint="eastAsia"/>
        </w:rPr>
        <w:t>对</w:t>
      </w:r>
      <w:r w:rsidRPr="00CB3320">
        <w:rPr>
          <w:rFonts w:hint="eastAsia"/>
        </w:rPr>
        <w:t>TFP</w:t>
      </w:r>
      <w:r w:rsidRPr="00CB3320">
        <w:rPr>
          <w:rFonts w:hint="eastAsia"/>
        </w:rPr>
        <w:t>的影响，也包含了波特假说，多项研究以</w:t>
      </w:r>
      <w:proofErr w:type="gramStart"/>
      <w:r w:rsidRPr="00CB3320">
        <w:rPr>
          <w:rFonts w:hint="eastAsia"/>
        </w:rPr>
        <w:t>碳交易</w:t>
      </w:r>
      <w:proofErr w:type="gramEnd"/>
      <w:r w:rsidRPr="00CB3320">
        <w:rPr>
          <w:rFonts w:hint="eastAsia"/>
        </w:rPr>
        <w:t>作为环境规制的代表来探索波特假说的存在性</w:t>
      </w:r>
      <w:r w:rsidRPr="00CB3320">
        <w:fldChar w:fldCharType="begin" w:fldLock="1"/>
      </w:r>
      <w:r w:rsidR="001B271C">
        <w:instrText>ADDIN CSL_CITATION {"citationItems":[{"id":"ITEM-1","itemData":{"DOI":"10.1016/j.eneco.2022.105990","ISSN":"01409883","author":[{"dropping-particle":"","family":"Wu","given":"Qingyang","non-dropping-particle":"","parse-names":false,"suffix":""},{"dropping-particle":"","family":"Wang","given":"Yanying","non-dropping-particle":"","parse-names":false,"suffix":""}],"container-title":"Energy Economics","id":"ITEM-1","issued":{"date-parts":[["2022","5"]]},"page":"105990","title":"How does carbon emission price stimulate enterprises' total factor productivity? Insights from China's emission trading scheme pilots","type":"article-journal","volume":"109"},"uris":["http://www.mendeley.com/documents/?uuid=24710fda-35d0-4b3e-87d9-8c7b6313fc00"]},{"id":"ITEM-2","itemData":{"DOI":"10.1016/j.eneco.2021.105412","ISSN":"01409883","author":[{"dropping-particle":"","family":"Zhang","given":"Shengling","non-dropping-particle":"","parse-names":false,"suffix":""},{"dropping-particle":"","family":"Wang","given":"Yao","non-dropping-particle":"","parse-names":false,"suffix":""},{"dropping-particle":"","family":"Hao","given":"Yu","non-dropping-particle":"","parse-names":false,"suffix":""},{"dropping-particle":"","family":"Liu","given":"Zhiwei","non-dropping-particle":"","parse-names":false,"suffix":""}],"container-title":"Energy Economics","id":"ITEM-2","issued":{"date-parts":[["2021","9"]]},"page":"105412","title":"Shooting two hawks with one arrow: Could China's emission trading scheme promote green development efficiency and re</w:instrText>
      </w:r>
      <w:r w:rsidR="001B271C">
        <w:rPr>
          <w:rFonts w:hint="eastAsia"/>
        </w:rPr>
        <w:instrText>gional carbon equality?","type":"article-journal","volume":"101"},"uris":["http://www.mendeley.com/documents/?uuid=87813573-4f26-4840-99a3-fed0e337242b"]}],"mendeley":{"formattedCitation":"(Wu</w:instrText>
      </w:r>
      <w:r w:rsidR="001B271C">
        <w:rPr>
          <w:rFonts w:hint="eastAsia"/>
        </w:rPr>
        <w:instrText>等</w:instrText>
      </w:r>
      <w:r w:rsidR="001B271C">
        <w:rPr>
          <w:rFonts w:hint="eastAsia"/>
        </w:rPr>
        <w:instrText>, 2022; Zhang S</w:instrText>
      </w:r>
      <w:r w:rsidR="001B271C">
        <w:rPr>
          <w:rFonts w:hint="eastAsia"/>
        </w:rPr>
        <w:instrText>等</w:instrText>
      </w:r>
      <w:r w:rsidR="001B271C">
        <w:rPr>
          <w:rFonts w:hint="eastAsia"/>
        </w:rPr>
        <w:instrText>, 2021)","manualFormatting":"(Wu et al</w:instrText>
      </w:r>
      <w:r w:rsidR="001B271C">
        <w:rPr>
          <w:rFonts w:hint="eastAsia"/>
        </w:rPr>
        <w:instrText>，</w:instrText>
      </w:r>
      <w:r w:rsidR="001B271C">
        <w:rPr>
          <w:rFonts w:hint="eastAsia"/>
        </w:rPr>
        <w:instrText>2022</w:instrText>
      </w:r>
      <w:r w:rsidR="001B271C">
        <w:rPr>
          <w:rFonts w:hint="eastAsia"/>
        </w:rPr>
        <w:instrText>；</w:instrText>
      </w:r>
      <w:r w:rsidR="001B271C">
        <w:rPr>
          <w:rFonts w:hint="eastAsia"/>
        </w:rPr>
        <w:instrText>Zhang S et al</w:instrText>
      </w:r>
      <w:r w:rsidR="001B271C">
        <w:rPr>
          <w:rFonts w:hint="eastAsia"/>
        </w:rPr>
        <w:instrText>，</w:instrText>
      </w:r>
      <w:r w:rsidR="001B271C">
        <w:rPr>
          <w:rFonts w:hint="eastAsia"/>
        </w:rPr>
        <w:instrText>2021)","plainTextFormattedCitation":"(Wu</w:instrText>
      </w:r>
      <w:r w:rsidR="001B271C">
        <w:rPr>
          <w:rFonts w:hint="eastAsia"/>
        </w:rPr>
        <w:instrText>等</w:instrText>
      </w:r>
      <w:r w:rsidR="001B271C">
        <w:rPr>
          <w:rFonts w:hint="eastAsia"/>
        </w:rPr>
        <w:instrText>, 2022; Zhang S</w:instrText>
      </w:r>
      <w:r w:rsidR="001B271C">
        <w:rPr>
          <w:rFonts w:hint="eastAsia"/>
        </w:rPr>
        <w:instrText>等</w:instrText>
      </w:r>
      <w:r w:rsidR="001B271C">
        <w:rPr>
          <w:rFonts w:hint="eastAsia"/>
        </w:rPr>
        <w:instrText>, 2021)","previouslyFormattedCitation":"(Wu</w:instrText>
      </w:r>
      <w:r w:rsidR="001B271C">
        <w:rPr>
          <w:rFonts w:hint="eastAsia"/>
        </w:rPr>
        <w:instrText>等</w:instrText>
      </w:r>
      <w:r w:rsidR="001B271C">
        <w:rPr>
          <w:rFonts w:hint="eastAsia"/>
        </w:rPr>
        <w:instrText>, 2022; Zhang S</w:instrText>
      </w:r>
      <w:r w:rsidR="001B271C">
        <w:rPr>
          <w:rFonts w:hint="eastAsia"/>
        </w:rPr>
        <w:instrText>等</w:instrText>
      </w:r>
      <w:r w:rsidR="001B271C">
        <w:rPr>
          <w:rFonts w:hint="eastAsia"/>
        </w:rPr>
        <w:instrText>, 2021)"},"properties":{"noteIndex":0},"schema":"https://github.com/citation-style-language/schema/raw/master/csl-citation.jso</w:instrText>
      </w:r>
      <w:r w:rsidR="001B271C">
        <w:instrText>n"}</w:instrText>
      </w:r>
      <w:r w:rsidRPr="00CB3320">
        <w:fldChar w:fldCharType="separate"/>
      </w:r>
      <w:r w:rsidR="00364702" w:rsidRPr="00CB3320">
        <w:rPr>
          <w:rFonts w:hint="eastAsia"/>
          <w:noProof/>
        </w:rPr>
        <w:t>(Wu</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005B1161" w:rsidRPr="00CB3320">
        <w:rPr>
          <w:rFonts w:hint="eastAsia"/>
          <w:noProof/>
        </w:rPr>
        <w:t>；</w:t>
      </w:r>
      <w:r w:rsidR="00364702" w:rsidRPr="00CB3320">
        <w:rPr>
          <w:rFonts w:hint="eastAsia"/>
          <w:noProof/>
        </w:rPr>
        <w:t>Zhang S</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Pr="00CB3320">
        <w:fldChar w:fldCharType="end"/>
      </w:r>
      <w:r w:rsidRPr="00CB3320">
        <w:rPr>
          <w:rFonts w:hint="eastAsia"/>
        </w:rPr>
        <w:t>。</w:t>
      </w:r>
    </w:p>
    <w:p w14:paraId="09D5D55A" w14:textId="47D4904C" w:rsidR="00853A21" w:rsidRPr="00CB3320" w:rsidRDefault="00853A21" w:rsidP="00853A21">
      <w:pPr>
        <w:ind w:firstLine="420"/>
      </w:pPr>
      <w:r w:rsidRPr="00CB3320">
        <w:rPr>
          <w:rFonts w:hint="eastAsia"/>
        </w:rPr>
        <w:t>欧盟</w:t>
      </w:r>
      <w:r w:rsidRPr="00CB3320">
        <w:rPr>
          <w:rFonts w:hint="eastAsia"/>
        </w:rPr>
        <w:t>ETS</w:t>
      </w:r>
      <w:r w:rsidRPr="00CB3320">
        <w:rPr>
          <w:rFonts w:hint="eastAsia"/>
        </w:rPr>
        <w:t>作为欧盟气候法规的基石，已经形成了当前世界上最大、最早的碳市场，但我们仍然无法判断它对生产率的影响</w:t>
      </w:r>
      <w:r w:rsidRPr="00CB3320">
        <w:fldChar w:fldCharType="begin" w:fldLock="1"/>
      </w:r>
      <w:r w:rsidR="001B271C">
        <w:instrText>ADDIN CSL_CITATION {"citationItems":[{"id":"ITEM-1","itemData":{"DOI":"10.2139/ssrn.3834075","ISSN":"1556-5068","author":[{"dropping-particle":"","family":"Themann","given":"Michael","non-dropping-particle":"","parse-names":false,"suffix":""},{"dropping-particle":"","family":"Koch","given":"Nicolas","non-dropping-particle":"","parse-names":false,"suffix":""}],"container-title":"SSRN Electronic Journal","id":"ITEM-1","issued":{"date-parts":[["2021"]]},"title":"Catching Up and Falling Behind: Cross-country Evidence on the Impact of the EU ETS on Firm Productivity","type":"article-journal"},"uris":["http://www.mendeley.com/documents/?uuid=4d838ee4-7fb5-40a6-b638-4575b1d775ca"]},{"id":"ITEM-2","itemData":{"DOI":"10.1016/j.jenvman.2014.12.015","ISBN":"0301-4797\r1095-8630","author":[{"dropping-particle":"","family":"Lundgren","given":"T","non-dropping-particle":"","parse-names":false,"suffix":""},{"dropping-particle":"","family":"Marklund","given":"P O","non-dropping-particle":"","parse-names":false,"suffix":""},{"dropping-particle":"","family":"Samakovlis","given":"E","non-dropping-particle":"","parse-names":false,"suffix":""},{"dropping-particle":"","family":"Zhou","given":"W C","non-dropping-particle":"","parse-names":false,"suffix":""}],"container-title":"Journal of Environmental Management","id":"ITEM-2","issued":{"date-parts":[["2015"]]},"page":"393-403","title":"Carbon prices and incentives for technological development","type":"article-journal","volume":"150"},"uris":["http://www.mendeley.com/documents</w:instrText>
      </w:r>
      <w:r w:rsidR="001B271C">
        <w:rPr>
          <w:rFonts w:hint="eastAsia"/>
        </w:rPr>
        <w:instrText>/?uuid=580e7130-8962-4e8d-a687-c1f2bcf83e7d"]}],"mendeley":{"formattedCitation":"(Lundgren</w:instrText>
      </w:r>
      <w:r w:rsidR="001B271C">
        <w:rPr>
          <w:rFonts w:hint="eastAsia"/>
        </w:rPr>
        <w:instrText>等</w:instrText>
      </w:r>
      <w:r w:rsidR="001B271C">
        <w:rPr>
          <w:rFonts w:hint="eastAsia"/>
        </w:rPr>
        <w:instrText>, 2015; Themann</w:instrText>
      </w:r>
      <w:r w:rsidR="001B271C">
        <w:rPr>
          <w:rFonts w:hint="eastAsia"/>
        </w:rPr>
        <w:instrText>等</w:instrText>
      </w:r>
      <w:r w:rsidR="001B271C">
        <w:rPr>
          <w:rFonts w:hint="eastAsia"/>
        </w:rPr>
        <w:instrText>, 2021)","manualFormatting":"(Lundgren et al</w:instrText>
      </w:r>
      <w:r w:rsidR="001B271C">
        <w:rPr>
          <w:rFonts w:hint="eastAsia"/>
        </w:rPr>
        <w:instrText>，</w:instrText>
      </w:r>
      <w:r w:rsidR="001B271C">
        <w:rPr>
          <w:rFonts w:hint="eastAsia"/>
        </w:rPr>
        <w:instrText>2015</w:instrText>
      </w:r>
      <w:r w:rsidR="001B271C">
        <w:rPr>
          <w:rFonts w:hint="eastAsia"/>
        </w:rPr>
        <w:instrText>；</w:instrText>
      </w:r>
      <w:r w:rsidR="001B271C">
        <w:rPr>
          <w:rFonts w:hint="eastAsia"/>
        </w:rPr>
        <w:instrText>Themann et al</w:instrText>
      </w:r>
      <w:r w:rsidR="001B271C">
        <w:rPr>
          <w:rFonts w:hint="eastAsia"/>
        </w:rPr>
        <w:instrText>，</w:instrText>
      </w:r>
      <w:r w:rsidR="001B271C">
        <w:rPr>
          <w:rFonts w:hint="eastAsia"/>
        </w:rPr>
        <w:instrText>2021)","plainTextFormattedCitation":"(Lundgren</w:instrText>
      </w:r>
      <w:r w:rsidR="001B271C">
        <w:rPr>
          <w:rFonts w:hint="eastAsia"/>
        </w:rPr>
        <w:instrText>等</w:instrText>
      </w:r>
      <w:r w:rsidR="001B271C">
        <w:rPr>
          <w:rFonts w:hint="eastAsia"/>
        </w:rPr>
        <w:instrText>, 2015; Themann</w:instrText>
      </w:r>
      <w:r w:rsidR="001B271C">
        <w:rPr>
          <w:rFonts w:hint="eastAsia"/>
        </w:rPr>
        <w:instrText>等</w:instrText>
      </w:r>
      <w:r w:rsidR="001B271C">
        <w:rPr>
          <w:rFonts w:hint="eastAsia"/>
        </w:rPr>
        <w:instrText>, 2021)","previouslyFormattedCitation":"(Lundgren</w:instrText>
      </w:r>
      <w:r w:rsidR="001B271C">
        <w:rPr>
          <w:rFonts w:hint="eastAsia"/>
        </w:rPr>
        <w:instrText>等</w:instrText>
      </w:r>
      <w:r w:rsidR="001B271C">
        <w:rPr>
          <w:rFonts w:hint="eastAsia"/>
        </w:rPr>
        <w:instrText>, 2015; Themann</w:instrText>
      </w:r>
      <w:r w:rsidR="001B271C">
        <w:rPr>
          <w:rFonts w:hint="eastAsia"/>
        </w:rPr>
        <w:instrText>等</w:instrText>
      </w:r>
      <w:r w:rsidR="001B271C">
        <w:rPr>
          <w:rFonts w:hint="eastAsia"/>
        </w:rPr>
        <w:instrText>, 2021)"},"properties":{"noteIndex":0},"schema":"https://github.com/citation-style-language/schema/raw/master/csl-citation.json"}</w:instrText>
      </w:r>
      <w:r w:rsidRPr="00CB3320">
        <w:fldChar w:fldCharType="separate"/>
      </w:r>
      <w:r w:rsidR="00364702" w:rsidRPr="00CB3320">
        <w:rPr>
          <w:rFonts w:hint="eastAsia"/>
          <w:noProof/>
        </w:rPr>
        <w:t>(Lundgren</w:t>
      </w:r>
      <w:r w:rsidR="005B1161" w:rsidRPr="00CB3320">
        <w:rPr>
          <w:rFonts w:hint="eastAsia"/>
          <w:noProof/>
        </w:rPr>
        <w:t xml:space="preserve"> et al</w:t>
      </w:r>
      <w:r w:rsidR="005B1161" w:rsidRPr="00CB3320">
        <w:rPr>
          <w:rFonts w:hint="eastAsia"/>
          <w:noProof/>
        </w:rPr>
        <w:t>，</w:t>
      </w:r>
      <w:r w:rsidR="00364702" w:rsidRPr="00CB3320">
        <w:rPr>
          <w:rFonts w:hint="eastAsia"/>
          <w:noProof/>
        </w:rPr>
        <w:t>2015</w:t>
      </w:r>
      <w:r w:rsidR="005B1161" w:rsidRPr="00CB3320">
        <w:rPr>
          <w:rFonts w:hint="eastAsia"/>
          <w:noProof/>
        </w:rPr>
        <w:t>；</w:t>
      </w:r>
      <w:r w:rsidR="00364702" w:rsidRPr="00CB3320">
        <w:rPr>
          <w:rFonts w:hint="eastAsia"/>
          <w:noProof/>
        </w:rPr>
        <w:t>Themann</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Pr="00CB3320">
        <w:fldChar w:fldCharType="end"/>
      </w:r>
      <w:r w:rsidRPr="00CB3320">
        <w:rPr>
          <w:rFonts w:hint="eastAsia"/>
        </w:rPr>
        <w:t>。关于国际</w:t>
      </w:r>
      <w:r w:rsidRPr="00CB3320">
        <w:rPr>
          <w:rFonts w:hint="eastAsia"/>
        </w:rPr>
        <w:t>ETS</w:t>
      </w:r>
      <w:r w:rsidRPr="00CB3320">
        <w:rPr>
          <w:rFonts w:hint="eastAsia"/>
        </w:rPr>
        <w:t>的研究主要集中在欧盟市场。一些研究发现，欧盟</w:t>
      </w:r>
      <w:r w:rsidRPr="00CB3320">
        <w:rPr>
          <w:rFonts w:hint="eastAsia"/>
        </w:rPr>
        <w:t>ETS</w:t>
      </w:r>
      <w:proofErr w:type="gramStart"/>
      <w:r w:rsidRPr="00CB3320">
        <w:rPr>
          <w:rFonts w:hint="eastAsia"/>
        </w:rPr>
        <w:t>在阶段</w:t>
      </w:r>
      <w:proofErr w:type="gramEnd"/>
      <w:r w:rsidRPr="00CB3320">
        <w:rPr>
          <w:rFonts w:hint="eastAsia"/>
        </w:rPr>
        <w:t>I</w:t>
      </w:r>
      <w:r w:rsidRPr="00CB3320">
        <w:rPr>
          <w:rFonts w:hint="eastAsia"/>
        </w:rPr>
        <w:t>和阶段Ⅱ对德国和挪威的全要素生产率有积极影响，对具有部门异质性的意大利制造业企业也有积极影响</w:t>
      </w:r>
      <w:r w:rsidRPr="00CB3320">
        <w:fldChar w:fldCharType="begin" w:fldLock="1"/>
      </w:r>
      <w:r w:rsidR="001B271C">
        <w:instrText>ADDIN CSL_CITATION {"citationItems":[{"id":"ITEM-1","itemData":{"author":[{"dropping-particle":"","family":"Calligaris","given":"Sara","non-dropping-particle":"","parse-names":false,"suffix":""},{"dropping-particle":"","family":"D’Arcangelo","given":"Filippo Maria","non-dropping-particle":"","parse-names":false,"suffix":""},{"dropping-particle":"","family":"Pavan","given":"Giulia","non-dropping-particle":"","parse-names":false,"suffix":""}],"id":"ITEM-1","issued":{"date-parts":[["2018"]]},"title":"The impact of the european carbon market on firm productivity: Evidence from italian manufacturing firms","type":"report"},"uris":["http://www.mendeley.com/documents/?uuid=82102e51-17ce-4e56-afa1-47acc9643f4e"]},{"id":"ITEM-2","itemData":{"DOI":"10.2139/ssrn.2850541","ISSN":"1556-5068","author":[{"dropping-particle":"","family":"Lutz","given":"Benjamin Johannes","non-dropping-particle":"","parse-names":false,"suffix":""}],"container-title":"SSRN Electronic Journal","id":"ITEM-2","issued":{"date-parts":[["2016"]]},"title":"Emissions Trading and Productivity: Firm-Level Evidence from German Manufacturing","type":"article-journal"},"uris":["http://www.mendeley.com/documents/?uuid=a4e7b74f-a688-4f92-8fca-f32ebdb34a56"]},{"id":"ITEM-3","itemData":{"DOI":"10.1142/S2010007820500062","ISBN":"2010-0078\r2010-0086","author":[{"dropping-particle":"","family":"Klemetsen","given":"M","non-dropping-particle":"","parse-names":false,"suffix":""},{"dropping-particle":"","family":"Rosendahl","given":"K E","non-dropping-particle":"","parse-names":false,"suffix":""},{"dropping-particle":"","family":"Jakobsen","given":"A L","non-dropping-particle":"","parse-names":false,"suffix":""}],"container-title":"CLIMATE CHANGE ECONOMICS","id":"ITEM-3","issue":"1","issued":{"date-parts":[["2020"]]},"title":"THE IMPACTS OF THE EU ETS ON NORWEGIAN PLANTS' ENVIRONMENTAL AND ECONOMIC PERFORMANCE","type":"article-journal","volume":"11"},"uris":["http://www.mendeley.com/documents/?uuid=fb2b180c-6d73-4f97-9c86-94b9ff8a5077"]}],"mendeley":{"formattedC</w:instrText>
      </w:r>
      <w:r w:rsidR="001B271C">
        <w:rPr>
          <w:rFonts w:hint="eastAsia"/>
        </w:rPr>
        <w:instrText>itation":"(Calligaris</w:instrText>
      </w:r>
      <w:r w:rsidR="001B271C">
        <w:rPr>
          <w:rFonts w:hint="eastAsia"/>
        </w:rPr>
        <w:instrText>等</w:instrText>
      </w:r>
      <w:r w:rsidR="001B271C">
        <w:rPr>
          <w:rFonts w:hint="eastAsia"/>
        </w:rPr>
        <w:instrText>, 2018; Klemetsen</w:instrText>
      </w:r>
      <w:r w:rsidR="001B271C">
        <w:rPr>
          <w:rFonts w:hint="eastAsia"/>
        </w:rPr>
        <w:instrText>等</w:instrText>
      </w:r>
      <w:r w:rsidR="001B271C">
        <w:rPr>
          <w:rFonts w:hint="eastAsia"/>
        </w:rPr>
        <w:instrText>, 2020; Lutz, 2016)","manualFormatting":"(Calligaris et al</w:instrText>
      </w:r>
      <w:r w:rsidR="001B271C">
        <w:rPr>
          <w:rFonts w:hint="eastAsia"/>
        </w:rPr>
        <w:instrText>，</w:instrText>
      </w:r>
      <w:r w:rsidR="001B271C">
        <w:rPr>
          <w:rFonts w:hint="eastAsia"/>
        </w:rPr>
        <w:instrText>2018</w:instrText>
      </w:r>
      <w:r w:rsidR="001B271C">
        <w:rPr>
          <w:rFonts w:hint="eastAsia"/>
        </w:rPr>
        <w:instrText>；</w:instrText>
      </w:r>
      <w:r w:rsidR="001B271C">
        <w:rPr>
          <w:rFonts w:hint="eastAsia"/>
        </w:rPr>
        <w:instrText>Klemetsen et al</w:instrText>
      </w:r>
      <w:r w:rsidR="001B271C">
        <w:rPr>
          <w:rFonts w:hint="eastAsia"/>
        </w:rPr>
        <w:instrText>，</w:instrText>
      </w:r>
      <w:r w:rsidR="001B271C">
        <w:rPr>
          <w:rFonts w:hint="eastAsia"/>
        </w:rPr>
        <w:instrText>2020</w:instrText>
      </w:r>
      <w:r w:rsidR="001B271C">
        <w:rPr>
          <w:rFonts w:hint="eastAsia"/>
        </w:rPr>
        <w:instrText>；</w:instrText>
      </w:r>
      <w:r w:rsidR="001B271C">
        <w:rPr>
          <w:rFonts w:hint="eastAsia"/>
        </w:rPr>
        <w:instrText>Lutz, 2016)","plainTextFormattedCitation":"(Calligaris</w:instrText>
      </w:r>
      <w:r w:rsidR="001B271C">
        <w:rPr>
          <w:rFonts w:hint="eastAsia"/>
        </w:rPr>
        <w:instrText>等</w:instrText>
      </w:r>
      <w:r w:rsidR="001B271C">
        <w:rPr>
          <w:rFonts w:hint="eastAsia"/>
        </w:rPr>
        <w:instrText>, 2018; Klemetsen</w:instrText>
      </w:r>
      <w:r w:rsidR="001B271C">
        <w:rPr>
          <w:rFonts w:hint="eastAsia"/>
        </w:rPr>
        <w:instrText>等</w:instrText>
      </w:r>
      <w:r w:rsidR="001B271C">
        <w:rPr>
          <w:rFonts w:hint="eastAsia"/>
        </w:rPr>
        <w:instrText>, 2020; Lutz, 2016)","previouslyFormattedCitation":"(Calligaris</w:instrText>
      </w:r>
      <w:r w:rsidR="001B271C">
        <w:rPr>
          <w:rFonts w:hint="eastAsia"/>
        </w:rPr>
        <w:instrText>等</w:instrText>
      </w:r>
      <w:r w:rsidR="001B271C">
        <w:rPr>
          <w:rFonts w:hint="eastAsia"/>
        </w:rPr>
        <w:instrText>, 2018; Klemetsen</w:instrText>
      </w:r>
      <w:r w:rsidR="001B271C">
        <w:rPr>
          <w:rFonts w:hint="eastAsia"/>
        </w:rPr>
        <w:instrText>等</w:instrText>
      </w:r>
      <w:r w:rsidR="001B271C">
        <w:rPr>
          <w:rFonts w:hint="eastAsia"/>
        </w:rPr>
        <w:instrText>, 2020; Lutz, 2016)"},"properties":{"noteIndex":0},"schema":"https://github.com/citation-style-language/schema/raw/master/csl-citation.json"}</w:instrText>
      </w:r>
      <w:r w:rsidRPr="00CB3320">
        <w:fldChar w:fldCharType="separate"/>
      </w:r>
      <w:r w:rsidR="00364702" w:rsidRPr="00CB3320">
        <w:rPr>
          <w:rFonts w:hint="eastAsia"/>
          <w:noProof/>
        </w:rPr>
        <w:t>(Calligaris</w:t>
      </w:r>
      <w:r w:rsidR="005B1161" w:rsidRPr="00CB3320">
        <w:rPr>
          <w:rFonts w:hint="eastAsia"/>
          <w:noProof/>
        </w:rPr>
        <w:t xml:space="preserve"> et al</w:t>
      </w:r>
      <w:r w:rsidR="005B1161" w:rsidRPr="00CB3320">
        <w:rPr>
          <w:rFonts w:hint="eastAsia"/>
          <w:noProof/>
        </w:rPr>
        <w:t>，</w:t>
      </w:r>
      <w:r w:rsidR="00364702" w:rsidRPr="00CB3320">
        <w:rPr>
          <w:rFonts w:hint="eastAsia"/>
          <w:noProof/>
        </w:rPr>
        <w:t>2018</w:t>
      </w:r>
      <w:r w:rsidR="005B1161" w:rsidRPr="00CB3320">
        <w:rPr>
          <w:rFonts w:hint="eastAsia"/>
          <w:noProof/>
        </w:rPr>
        <w:t>；</w:t>
      </w:r>
      <w:r w:rsidR="00364702" w:rsidRPr="00CB3320">
        <w:rPr>
          <w:rFonts w:hint="eastAsia"/>
          <w:noProof/>
        </w:rPr>
        <w:t>Klemetsen</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005B1161" w:rsidRPr="00CB3320">
        <w:rPr>
          <w:rFonts w:hint="eastAsia"/>
          <w:noProof/>
        </w:rPr>
        <w:t>；</w:t>
      </w:r>
      <w:r w:rsidR="00364702" w:rsidRPr="00CB3320">
        <w:rPr>
          <w:rFonts w:hint="eastAsia"/>
          <w:noProof/>
        </w:rPr>
        <w:t>Lutz, 2016)</w:t>
      </w:r>
      <w:r w:rsidRPr="00CB3320">
        <w:fldChar w:fldCharType="end"/>
      </w:r>
      <w:r w:rsidRPr="00CB3320">
        <w:rPr>
          <w:rFonts w:hint="eastAsia"/>
        </w:rPr>
        <w:t>。然而也有研究发现欧盟</w:t>
      </w:r>
      <w:r w:rsidRPr="00CB3320">
        <w:rPr>
          <w:rFonts w:hint="eastAsia"/>
        </w:rPr>
        <w:t>ETS</w:t>
      </w:r>
      <w:r w:rsidRPr="00CB3320">
        <w:rPr>
          <w:rFonts w:hint="eastAsia"/>
        </w:rPr>
        <w:t>对全要素生产率增长有负面影响，即对于全要素生产率增长率为</w:t>
      </w:r>
      <w:r w:rsidRPr="00CB3320">
        <w:rPr>
          <w:rFonts w:hint="eastAsia"/>
        </w:rPr>
        <w:t>2%</w:t>
      </w:r>
      <w:r w:rsidRPr="00CB3320">
        <w:rPr>
          <w:rFonts w:hint="eastAsia"/>
        </w:rPr>
        <w:t>的企业，参与</w:t>
      </w:r>
      <w:r w:rsidRPr="00CB3320">
        <w:rPr>
          <w:rFonts w:hint="eastAsia"/>
        </w:rPr>
        <w:t>ETS</w:t>
      </w:r>
      <w:r w:rsidRPr="00CB3320">
        <w:rPr>
          <w:rFonts w:hint="eastAsia"/>
        </w:rPr>
        <w:t>将导致全要素生产率增长率下降</w:t>
      </w:r>
      <w:r w:rsidRPr="00CB3320">
        <w:rPr>
          <w:rFonts w:hint="eastAsia"/>
        </w:rPr>
        <w:t>0.12%</w:t>
      </w:r>
      <w:r w:rsidRPr="00CB3320">
        <w:fldChar w:fldCharType="begin" w:fldLock="1"/>
      </w:r>
      <w:r w:rsidR="005B1161" w:rsidRPr="00CB3320">
        <w:instrText>ADDIN CSL_CITATION {"citationItems":[{"id":"ITEM-1","itemData":{"DOI":"10.5547/ISSN0195-6574-EJ-Vol32-No4-3","ISSN":"01956574","author":[{"dropping-particle":"","family":"Einar Rosendahl","given":"Knut","non-dropping-particle":"","parse-names":false,"suffix":""},{"dropping-particle":"","family":"Strand","given":"Jon","non-dropping-particle":"","parse-names":false,"suffix":""}],"container-title":"The Energy Journal","id":"ITEM-1","issue":"4","issued":{"date-parts":[["2011","10"]]},"title":"Carbon Leakage f</w:instrText>
      </w:r>
      <w:r w:rsidR="005B1161" w:rsidRPr="00CB3320">
        <w:rPr>
          <w:rFonts w:hint="eastAsia"/>
        </w:rPr>
        <w:instrText>rom the Clean Development Mechanism","type":"article-journal","volume":"32"},"uris":["http://www.mendeley.com/documents/?uuid=b9063595-2ad3-438d-831a-41bb07438db4"]}],"mendeley":{"formattedCitation":"(Einar Rosendahl</w:instrText>
      </w:r>
      <w:r w:rsidR="005B1161" w:rsidRPr="00CB3320">
        <w:rPr>
          <w:rFonts w:hint="eastAsia"/>
        </w:rPr>
        <w:instrText>等</w:instrText>
      </w:r>
      <w:r w:rsidR="005B1161" w:rsidRPr="00CB3320">
        <w:rPr>
          <w:rFonts w:hint="eastAsia"/>
        </w:rPr>
        <w:instrText>, 2011)","manualFormatting":"(Einar Rosendahl et al</w:instrText>
      </w:r>
      <w:r w:rsidR="005B1161" w:rsidRPr="00CB3320">
        <w:rPr>
          <w:rFonts w:hint="eastAsia"/>
        </w:rPr>
        <w:instrText>，</w:instrText>
      </w:r>
      <w:r w:rsidR="005B1161" w:rsidRPr="00CB3320">
        <w:rPr>
          <w:rFonts w:hint="eastAsia"/>
        </w:rPr>
        <w:instrText>2011)","plainTextFormattedCitation":"(Einar Rosendahl</w:instrText>
      </w:r>
      <w:r w:rsidR="005B1161" w:rsidRPr="00CB3320">
        <w:rPr>
          <w:rFonts w:hint="eastAsia"/>
        </w:rPr>
        <w:instrText>等</w:instrText>
      </w:r>
      <w:r w:rsidR="005B1161" w:rsidRPr="00CB3320">
        <w:rPr>
          <w:rFonts w:hint="eastAsia"/>
        </w:rPr>
        <w:instrText>, 2011)","previouslyFormattedCitation":"(Einar Rosendahl</w:instrText>
      </w:r>
      <w:r w:rsidR="005B1161" w:rsidRPr="00CB3320">
        <w:rPr>
          <w:rFonts w:hint="eastAsia"/>
        </w:rPr>
        <w:instrText>等</w:instrText>
      </w:r>
      <w:r w:rsidR="005B1161" w:rsidRPr="00CB3320">
        <w:rPr>
          <w:rFonts w:hint="eastAsia"/>
        </w:rPr>
        <w:instrText>, 2011)"},"properties":{"noteIndex":0},"schema":"https://github.com/citation-style-language/schema/raw/master/csl-citation.json"}</w:instrText>
      </w:r>
      <w:r w:rsidRPr="00CB3320">
        <w:fldChar w:fldCharType="separate"/>
      </w:r>
      <w:r w:rsidR="00364702" w:rsidRPr="00CB3320">
        <w:rPr>
          <w:rFonts w:hint="eastAsia"/>
          <w:noProof/>
        </w:rPr>
        <w:t>(Einar Rosendahl</w:t>
      </w:r>
      <w:r w:rsidR="005B1161" w:rsidRPr="00CB3320">
        <w:rPr>
          <w:rFonts w:hint="eastAsia"/>
          <w:noProof/>
        </w:rPr>
        <w:t xml:space="preserve"> et al</w:t>
      </w:r>
      <w:r w:rsidR="005B1161" w:rsidRPr="00CB3320">
        <w:rPr>
          <w:rFonts w:hint="eastAsia"/>
          <w:noProof/>
        </w:rPr>
        <w:t>，</w:t>
      </w:r>
      <w:r w:rsidR="00364702" w:rsidRPr="00CB3320">
        <w:rPr>
          <w:rFonts w:hint="eastAsia"/>
          <w:noProof/>
        </w:rPr>
        <w:t>2011)</w:t>
      </w:r>
      <w:r w:rsidRPr="00CB3320">
        <w:fldChar w:fldCharType="end"/>
      </w:r>
      <w:r w:rsidRPr="00CB3320">
        <w:rPr>
          <w:rFonts w:hint="eastAsia"/>
        </w:rPr>
        <w:t>。此外，还有研究表明，</w:t>
      </w:r>
      <w:r w:rsidRPr="00CB3320">
        <w:rPr>
          <w:rFonts w:hint="eastAsia"/>
        </w:rPr>
        <w:t>ETS</w:t>
      </w:r>
      <w:r w:rsidRPr="00CB3320">
        <w:rPr>
          <w:rFonts w:hint="eastAsia"/>
        </w:rPr>
        <w:t>对企业的全要素生产率并无统计上的显著影响</w:t>
      </w:r>
      <w:r w:rsidRPr="00CB3320">
        <w:fldChar w:fldCharType="begin" w:fldLock="1"/>
      </w:r>
      <w:r w:rsidR="005B1161" w:rsidRPr="00CB3320">
        <w:instrText>ADDIN CSL_CITATION {"citationItems":[{"id":"ITEM-1","itemData":{"DOI":"10.1080/14693062.2020.1805291","ISBN":"1469-3062","author":[{"dropping-particle":"","family":"Venmans","given":"Frank","non-dropping-particle":"","parse-names":false,"suffix":""},{"dropping-particle":"","family":"Ellis","given":"Jane","non-dropping-particle":"","parse-names":false,"suffix":""},{"dropping-particle":"","family":"Nachtigall","given":"Daniel","non-dropping-particle":"","parse-names":false,"suffix":""}],"container-title":"Climate Policy","id":"ITEM-1","issue":"9","issued":{"date-parts":[["2020"]]},"page":"1070-1091","publisher":"Taylor &amp; Francis","title":"Carbon pricing and competitiveness: are they at odds?","type":"article-journal","volume":"20"},"uris":["http://www.mende</w:instrText>
      </w:r>
      <w:r w:rsidR="005B1161" w:rsidRPr="00CB3320">
        <w:rPr>
          <w:rFonts w:hint="eastAsia"/>
        </w:rPr>
        <w:instrText>ley.com/documents/?uuid=f5686654-497b-4021-b19f-ffb520e4644a"]}],"mendeley":{"formattedCitation":"(Venmans</w:instrText>
      </w:r>
      <w:r w:rsidR="005B1161" w:rsidRPr="00CB3320">
        <w:rPr>
          <w:rFonts w:hint="eastAsia"/>
        </w:rPr>
        <w:instrText>等</w:instrText>
      </w:r>
      <w:r w:rsidR="005B1161" w:rsidRPr="00CB3320">
        <w:rPr>
          <w:rFonts w:hint="eastAsia"/>
        </w:rPr>
        <w:instrText>, 2020)","manualFormatting":"(Venmans et al</w:instrText>
      </w:r>
      <w:r w:rsidR="005B1161" w:rsidRPr="00CB3320">
        <w:rPr>
          <w:rFonts w:hint="eastAsia"/>
        </w:rPr>
        <w:instrText>，</w:instrText>
      </w:r>
      <w:r w:rsidR="005B1161" w:rsidRPr="00CB3320">
        <w:rPr>
          <w:rFonts w:hint="eastAsia"/>
        </w:rPr>
        <w:instrText>2020)","plainTextFormattedCitation":"(Venmans</w:instrText>
      </w:r>
      <w:r w:rsidR="005B1161" w:rsidRPr="00CB3320">
        <w:rPr>
          <w:rFonts w:hint="eastAsia"/>
        </w:rPr>
        <w:instrText>等</w:instrText>
      </w:r>
      <w:r w:rsidR="005B1161" w:rsidRPr="00CB3320">
        <w:rPr>
          <w:rFonts w:hint="eastAsia"/>
        </w:rPr>
        <w:instrText>, 2020)","previouslyFormattedCitation":"(Venmans</w:instrText>
      </w:r>
      <w:r w:rsidR="005B1161" w:rsidRPr="00CB3320">
        <w:rPr>
          <w:rFonts w:hint="eastAsia"/>
        </w:rPr>
        <w:instrText>等</w:instrText>
      </w:r>
      <w:r w:rsidR="005B1161" w:rsidRPr="00CB3320">
        <w:rPr>
          <w:rFonts w:hint="eastAsia"/>
        </w:rPr>
        <w:instrText>, 2020)"}</w:instrText>
      </w:r>
      <w:r w:rsidR="005B1161" w:rsidRPr="00CB3320">
        <w:instrText>,"properties":{"noteIndex":0},"schema":"https://github.com/citation-style-language/schema/raw/master/csl-citation.json"}</w:instrText>
      </w:r>
      <w:r w:rsidRPr="00CB3320">
        <w:fldChar w:fldCharType="separate"/>
      </w:r>
      <w:r w:rsidR="00364702" w:rsidRPr="00CB3320">
        <w:rPr>
          <w:rFonts w:hint="eastAsia"/>
          <w:noProof/>
        </w:rPr>
        <w:t>(Venmans</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Pr="00CB3320">
        <w:fldChar w:fldCharType="end"/>
      </w:r>
      <w:r w:rsidRPr="00CB3320">
        <w:rPr>
          <w:rFonts w:hint="eastAsia"/>
        </w:rPr>
        <w:t>。自中国实施</w:t>
      </w:r>
      <w:proofErr w:type="gramStart"/>
      <w:r w:rsidRPr="00CB3320">
        <w:rPr>
          <w:rFonts w:hint="eastAsia"/>
        </w:rPr>
        <w:t>碳交易</w:t>
      </w:r>
      <w:proofErr w:type="gramEnd"/>
      <w:r w:rsidRPr="00CB3320">
        <w:rPr>
          <w:rFonts w:hint="eastAsia"/>
        </w:rPr>
        <w:t>政策以来，学者们开始</w:t>
      </w:r>
      <w:r w:rsidR="00364702" w:rsidRPr="00CB3320">
        <w:rPr>
          <w:rFonts w:hint="eastAsia"/>
        </w:rPr>
        <w:t>逐步</w:t>
      </w:r>
      <w:r w:rsidRPr="00CB3320">
        <w:rPr>
          <w:rFonts w:hint="eastAsia"/>
        </w:rPr>
        <w:t>关注中国</w:t>
      </w:r>
      <w:r w:rsidRPr="00CB3320">
        <w:rPr>
          <w:rFonts w:hint="eastAsia"/>
        </w:rPr>
        <w:t>ETS</w:t>
      </w:r>
      <w:r w:rsidRPr="00CB3320">
        <w:rPr>
          <w:rFonts w:hint="eastAsia"/>
        </w:rPr>
        <w:t>对</w:t>
      </w:r>
      <w:r w:rsidRPr="00CB3320">
        <w:rPr>
          <w:rFonts w:hint="eastAsia"/>
        </w:rPr>
        <w:t>TFP</w:t>
      </w:r>
      <w:r w:rsidRPr="00CB3320">
        <w:rPr>
          <w:rFonts w:hint="eastAsia"/>
        </w:rPr>
        <w:t>影响</w:t>
      </w:r>
      <w:r w:rsidR="006D2DF1" w:rsidRPr="00CB3320">
        <w:fldChar w:fldCharType="begin" w:fldLock="1"/>
      </w:r>
      <w:r w:rsidR="005B1161" w:rsidRPr="00CB3320">
        <w:instrText>ADDIN CSL_CITATION {"citationItems":[{"id":"ITEM-1","itemData":{"DOI":"10.1016/j.jclepro.2021.127104","ISSN":"09596526","author":[{"dropping-particle":"","family":"Xiao","given":"Jin","non-dropping-particle":"","parse-names":false,"suffix":""},{"dropping-particle":"","family":"Li","given":"Guohao","non-dropping-particle":"","parse-names":false,"suffix":""},{"dropping-particle":"","family":"Zhu","given":"Bing","non-dropping-particle":"","parse-names":false,"suffix":""},{"dropping-particle":"","family":"Xie","given":"Ling","non-dropping-particle":"","parse-names":false,"suffix":""},{"dropping-particle":"","family":"Hu","given":"Yi","non-dropping-particle":"","parse-names":false,"suffix":""},{"dropping-particle":"","family":"Huang","given":"Jing","non-dropping-particle":"","parse-names":false,"suffix":""}],"container-title":"Journal of Cleaner Production","id":"ITEM-1","issued":{"date-parts":[["2021","7"]]},"page":"127104","title":"Evaluating the impact of carbon emissions trading scheme on Chinese firms’ to</w:instrText>
      </w:r>
      <w:r w:rsidR="005B1161" w:rsidRPr="00CB3320">
        <w:rPr>
          <w:rFonts w:hint="eastAsia"/>
        </w:rPr>
        <w:instrText>tal factor productivity","type":"article-journal","volume":"306"},"uris":["http://www.mendeley.com/documents/?uuid=53b593e7-5d35-48a2-8dfb-9770464622c6"]}],"mendeley":{"formattedCitation":"(Xiao</w:instrText>
      </w:r>
      <w:r w:rsidR="005B1161" w:rsidRPr="00CB3320">
        <w:rPr>
          <w:rFonts w:hint="eastAsia"/>
        </w:rPr>
        <w:instrText>等</w:instrText>
      </w:r>
      <w:r w:rsidR="005B1161" w:rsidRPr="00CB3320">
        <w:rPr>
          <w:rFonts w:hint="eastAsia"/>
        </w:rPr>
        <w:instrText>, 2021)","manualFormatting":"(Xiao et al</w:instrText>
      </w:r>
      <w:r w:rsidR="005B1161" w:rsidRPr="00CB3320">
        <w:rPr>
          <w:rFonts w:hint="eastAsia"/>
        </w:rPr>
        <w:instrText>，</w:instrText>
      </w:r>
      <w:r w:rsidR="005B1161" w:rsidRPr="00CB3320">
        <w:rPr>
          <w:rFonts w:hint="eastAsia"/>
        </w:rPr>
        <w:instrText>2021)","plainTextFormattedCitation":"(Xiao</w:instrText>
      </w:r>
      <w:r w:rsidR="005B1161" w:rsidRPr="00CB3320">
        <w:rPr>
          <w:rFonts w:hint="eastAsia"/>
        </w:rPr>
        <w:instrText>等</w:instrText>
      </w:r>
      <w:r w:rsidR="005B1161" w:rsidRPr="00CB3320">
        <w:rPr>
          <w:rFonts w:hint="eastAsia"/>
        </w:rPr>
        <w:instrText>, 2021)","previouslyFormattedCitation":"(Xiao</w:instrText>
      </w:r>
      <w:r w:rsidR="005B1161" w:rsidRPr="00CB3320">
        <w:rPr>
          <w:rFonts w:hint="eastAsia"/>
        </w:rPr>
        <w:instrText>等</w:instrText>
      </w:r>
      <w:r w:rsidR="005B1161" w:rsidRPr="00CB3320">
        <w:rPr>
          <w:rFonts w:hint="eastAsia"/>
        </w:rPr>
        <w:instrText>, 2021)"},"properties":{"noteIndex":0},"schema":"https://github.com/citation-style-language/schema/raw/master/csl-citation.json"}</w:instrText>
      </w:r>
      <w:r w:rsidR="006D2DF1" w:rsidRPr="00CB3320">
        <w:fldChar w:fldCharType="separate"/>
      </w:r>
      <w:r w:rsidR="00364702" w:rsidRPr="00CB3320">
        <w:rPr>
          <w:rFonts w:hint="eastAsia"/>
          <w:noProof/>
        </w:rPr>
        <w:t>(Xiao</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006D2DF1" w:rsidRPr="00CB3320">
        <w:fldChar w:fldCharType="end"/>
      </w:r>
      <w:r w:rsidRPr="00CB3320">
        <w:rPr>
          <w:rFonts w:hint="eastAsia"/>
        </w:rPr>
        <w:t>，但也未形成统一的观点，且大部分研究集中在</w:t>
      </w:r>
      <w:r w:rsidRPr="00CB3320">
        <w:rPr>
          <w:rFonts w:hint="eastAsia"/>
        </w:rPr>
        <w:t>ETS</w:t>
      </w:r>
      <w:r w:rsidRPr="00CB3320">
        <w:rPr>
          <w:rFonts w:hint="eastAsia"/>
        </w:rPr>
        <w:t>对绿色全要素生产率的影响和</w:t>
      </w:r>
      <w:proofErr w:type="gramStart"/>
      <w:r w:rsidRPr="00CB3320">
        <w:rPr>
          <w:rFonts w:hint="eastAsia"/>
        </w:rPr>
        <w:t>碳效率</w:t>
      </w:r>
      <w:proofErr w:type="gramEnd"/>
      <w:r w:rsidRPr="00CB3320">
        <w:rPr>
          <w:rFonts w:hint="eastAsia"/>
        </w:rPr>
        <w:t>的影响上</w:t>
      </w:r>
      <w:r w:rsidR="006D2DF1" w:rsidRPr="00CB3320">
        <w:fldChar w:fldCharType="begin" w:fldLock="1"/>
      </w:r>
      <w:r w:rsidR="001B271C">
        <w:instrText>ADDIN CSL_CITATION {"citationItems":[{"id":"ITEM-1","itemData":{"DOI":"10.1016/j.eneco.2022.105931","ISBN":"0140-9883 1873-6181","ISSN":"01409883","author":[{"dropping-particle":"","family":"Li","given":"Changsheng","non-dropping-particle":"","parse-names":false,"suffix":""},{"dropping-particle":"","family":"Qi","given":"Yaping","non-dropping-particle":"","parse-names":false,"suffix":""},{"dropping-particle":"","family":"Liu","given":"Shaohui","non-dropping-particle":"","parse-names":false,"suffix":""},{"dropping-particle":"","family":"Wang","given":"Xu","non-dropping-particle":"","parse-names":false,"suffix":""}],"container-title":"Energy Economics","id":"ITEM-1","issued":{"date-parts":[["2022","4"]]},"page":"105931","title":"Do carbon ETS pilots improve cities' green total factor productivity? Evidence from a quasi-natural experiment in China","type":"article-journal","volume":"108"},"uris":["http://www.mendeley.com/documents/?uuid=9a907974-e38d-44d3-b059-54f70977ca7b"]},{"id":"ITEM-2","itemData":{"DOI":"10.3390/ijerph17155522","ISSN":"1660-4601","abstract":"As the country with the largest carbon emissions globally, the effective operation of China’s carbon emissions trading scheme (ETS) is of great importance to the global community in terms of mitigating climate change. This paper considers China’s pilot ETS launched in 2013 as a quasi-natural experiment. Exploring provincial industrial-level data that are more in line with the ETS coverage, the difference-in-difference-in-difference (DDD) model is used to evaluate the impact of the ETS on carbon productivity. Considering different pilot regions and industries, we also analyze the heterogeneous effect of ETS. Moreover, the mediating effects of technical progress and capital investment are explored. We find that China’s pilot ETS boosted carbon productivity. Among pilot regions, the best policy effectiveness appeared in Beijing, while the weakest effectiveness appeared in Chongqing. Among the pilot industries, the pilot ETS had better effectiveness in petrochemical and electric power industries and weaker effectiveness in building materials and transportation industries. Additionally, the pilot ETS promoted carbon productivity through both technological progress and capital investment, and the former contributed more. Our findings can provide empirical references and policy implications for nationwide implementation of ETS to further promote low-carbon economic transformation.","author":[{"dropping-particle":"","family":"Zhou","given":"Di","non-dropping-particle":"","parse-names":false,"suffix":""},{"dropping-particle":"","family":"Liang","given":"Xiaoyu","non-dropping-particle":"","parse-names":false,"suffix":""},{"dropping-particle":"","family":"Zhou","given":"Ye","non-dropping-particle":"","parse-names":false,"suffix":""},{"dropping-particle":"","family":"Tang","given":"Kai","non-dropping-particle":"","parse-names":false,"suffix":""}],"container-title":"International Journal of Environmental Research and Public Health","id":"ITEM-2","issue":"15","issued":{"date-parts":[["2020","7","30"]]},"page":"5522","title":"Does Emission Trading Boost Carbon Productivity? Evidence from China’s Pilot Emission Trading Scheme","type":"article-journal","volume":"17"},"uris":["http://www.mendeley.com/documents/?uuid=</w:instrText>
      </w:r>
      <w:r w:rsidR="001B271C">
        <w:rPr>
          <w:rFonts w:hint="eastAsia"/>
        </w:rPr>
        <w:instrText>b79350a2-9aff-49dd-9183-96455d517646"]}],"mendeley":{"formattedCitation":"(Li</w:instrText>
      </w:r>
      <w:r w:rsidR="001B271C">
        <w:rPr>
          <w:rFonts w:hint="eastAsia"/>
        </w:rPr>
        <w:instrText>等</w:instrText>
      </w:r>
      <w:r w:rsidR="001B271C">
        <w:rPr>
          <w:rFonts w:hint="eastAsia"/>
        </w:rPr>
        <w:instrText>, 2022; Zhou</w:instrText>
      </w:r>
      <w:r w:rsidR="001B271C">
        <w:rPr>
          <w:rFonts w:hint="eastAsia"/>
        </w:rPr>
        <w:instrText>等</w:instrText>
      </w:r>
      <w:r w:rsidR="001B271C">
        <w:rPr>
          <w:rFonts w:hint="eastAsia"/>
        </w:rPr>
        <w:instrText>, 2020)","manualFormatting":"(Li et al</w:instrText>
      </w:r>
      <w:r w:rsidR="001B271C">
        <w:rPr>
          <w:rFonts w:hint="eastAsia"/>
        </w:rPr>
        <w:instrText>，</w:instrText>
      </w:r>
      <w:r w:rsidR="001B271C">
        <w:rPr>
          <w:rFonts w:hint="eastAsia"/>
        </w:rPr>
        <w:instrText>2022</w:instrText>
      </w:r>
      <w:r w:rsidR="001B271C">
        <w:rPr>
          <w:rFonts w:hint="eastAsia"/>
        </w:rPr>
        <w:instrText>；</w:instrText>
      </w:r>
      <w:r w:rsidR="001B271C">
        <w:rPr>
          <w:rFonts w:hint="eastAsia"/>
        </w:rPr>
        <w:instrText>Zhou et al</w:instrText>
      </w:r>
      <w:r w:rsidR="001B271C">
        <w:rPr>
          <w:rFonts w:hint="eastAsia"/>
        </w:rPr>
        <w:instrText>，</w:instrText>
      </w:r>
      <w:r w:rsidR="001B271C">
        <w:rPr>
          <w:rFonts w:hint="eastAsia"/>
        </w:rPr>
        <w:instrText>2020)","plainTextFormattedCitation":"(Li</w:instrText>
      </w:r>
      <w:r w:rsidR="001B271C">
        <w:rPr>
          <w:rFonts w:hint="eastAsia"/>
        </w:rPr>
        <w:instrText>等</w:instrText>
      </w:r>
      <w:r w:rsidR="001B271C">
        <w:rPr>
          <w:rFonts w:hint="eastAsia"/>
        </w:rPr>
        <w:instrText>, 2022; Zhou</w:instrText>
      </w:r>
      <w:r w:rsidR="001B271C">
        <w:rPr>
          <w:rFonts w:hint="eastAsia"/>
        </w:rPr>
        <w:instrText>等</w:instrText>
      </w:r>
      <w:r w:rsidR="001B271C">
        <w:rPr>
          <w:rFonts w:hint="eastAsia"/>
        </w:rPr>
        <w:instrText>, 2020)","previouslyFormattedCitation":"(Li</w:instrText>
      </w:r>
      <w:r w:rsidR="001B271C">
        <w:rPr>
          <w:rFonts w:hint="eastAsia"/>
        </w:rPr>
        <w:instrText>等</w:instrText>
      </w:r>
      <w:r w:rsidR="001B271C">
        <w:rPr>
          <w:rFonts w:hint="eastAsia"/>
        </w:rPr>
        <w:instrText>, 2022; Zhou</w:instrText>
      </w:r>
      <w:r w:rsidR="001B271C">
        <w:rPr>
          <w:rFonts w:hint="eastAsia"/>
        </w:rPr>
        <w:instrText>等</w:instrText>
      </w:r>
      <w:r w:rsidR="001B271C">
        <w:rPr>
          <w:rFonts w:hint="eastAsia"/>
        </w:rPr>
        <w:instrText>, 2020)"},"properties":{"noteIndex":0},"schema":"https://github.com/citation-style-language/schema/raw/master/csl-citation.json"}</w:instrText>
      </w:r>
      <w:r w:rsidR="006D2DF1" w:rsidRPr="00CB3320">
        <w:fldChar w:fldCharType="separate"/>
      </w:r>
      <w:r w:rsidR="00364702" w:rsidRPr="00CB3320">
        <w:rPr>
          <w:rFonts w:hint="eastAsia"/>
          <w:noProof/>
        </w:rPr>
        <w:t>(Li</w:t>
      </w:r>
      <w:r w:rsidR="005B1161" w:rsidRPr="00CB3320">
        <w:rPr>
          <w:rFonts w:hint="eastAsia"/>
          <w:noProof/>
        </w:rPr>
        <w:t xml:space="preserve"> et al</w:t>
      </w:r>
      <w:r w:rsidR="005B1161" w:rsidRPr="00CB3320">
        <w:rPr>
          <w:rFonts w:hint="eastAsia"/>
          <w:noProof/>
        </w:rPr>
        <w:t>，</w:t>
      </w:r>
      <w:r w:rsidR="00364702" w:rsidRPr="00CB3320">
        <w:rPr>
          <w:rFonts w:hint="eastAsia"/>
          <w:noProof/>
        </w:rPr>
        <w:t>2022</w:t>
      </w:r>
      <w:r w:rsidR="005B1161" w:rsidRPr="00CB3320">
        <w:rPr>
          <w:rFonts w:hint="eastAsia"/>
          <w:noProof/>
        </w:rPr>
        <w:t>；</w:t>
      </w:r>
      <w:r w:rsidR="00364702" w:rsidRPr="00CB3320">
        <w:rPr>
          <w:rFonts w:hint="eastAsia"/>
          <w:noProof/>
        </w:rPr>
        <w:t>Zhou</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006D2DF1" w:rsidRPr="00CB3320">
        <w:fldChar w:fldCharType="end"/>
      </w:r>
      <w:r w:rsidR="00364702" w:rsidRPr="00CB3320">
        <w:rPr>
          <w:rFonts w:hint="eastAsia"/>
        </w:rPr>
        <w:t>，而非全要素生产率。</w:t>
      </w:r>
    </w:p>
    <w:p w14:paraId="73FD6B45" w14:textId="1E85B0A1" w:rsidR="00271FEA" w:rsidRPr="00CB3320" w:rsidRDefault="00326CCD" w:rsidP="00853A21">
      <w:pPr>
        <w:ind w:firstLine="420"/>
      </w:pPr>
      <w:r w:rsidRPr="00CB3320">
        <w:rPr>
          <w:rFonts w:hint="eastAsia"/>
        </w:rPr>
        <w:t>本研究旨在从中国的实证出发，探讨</w:t>
      </w:r>
      <w:r w:rsidRPr="00CB3320">
        <w:rPr>
          <w:rFonts w:hint="eastAsia"/>
        </w:rPr>
        <w:t>ETS</w:t>
      </w:r>
      <w:r w:rsidRPr="00CB3320">
        <w:rPr>
          <w:rFonts w:hint="eastAsia"/>
        </w:rPr>
        <w:t>对</w:t>
      </w:r>
      <w:r w:rsidRPr="00CB3320">
        <w:rPr>
          <w:rFonts w:hint="eastAsia"/>
        </w:rPr>
        <w:t>T</w:t>
      </w:r>
      <w:r w:rsidRPr="00CB3320">
        <w:t>FP</w:t>
      </w:r>
      <w:r w:rsidRPr="00CB3320">
        <w:rPr>
          <w:rFonts w:hint="eastAsia"/>
        </w:rPr>
        <w:t>的影响以及</w:t>
      </w:r>
      <w:r w:rsidRPr="00CB3320">
        <w:rPr>
          <w:rFonts w:hint="eastAsia"/>
        </w:rPr>
        <w:t>ETS</w:t>
      </w:r>
      <w:r w:rsidRPr="00CB3320">
        <w:rPr>
          <w:rFonts w:hint="eastAsia"/>
        </w:rPr>
        <w:t>如何</w:t>
      </w:r>
      <w:r w:rsidR="000070A8" w:rsidRPr="00CB3320">
        <w:rPr>
          <w:rFonts w:hint="eastAsia"/>
        </w:rPr>
        <w:t>影响</w:t>
      </w:r>
      <w:r w:rsidRPr="00CB3320">
        <w:t>TFP</w:t>
      </w:r>
      <w:r w:rsidRPr="00CB3320">
        <w:rPr>
          <w:rFonts w:hint="eastAsia"/>
        </w:rPr>
        <w:t>。随着经济的发展，中国不可避免地面临着气候变化的问题。</w:t>
      </w:r>
      <w:r w:rsidR="007E3650" w:rsidRPr="00CB3320">
        <w:rPr>
          <w:rFonts w:hint="eastAsia"/>
        </w:rPr>
        <w:t>该类问题</w:t>
      </w:r>
      <w:r w:rsidRPr="00CB3320">
        <w:rPr>
          <w:rFonts w:hint="eastAsia"/>
        </w:rPr>
        <w:t>研究的难点在于满足准自然实验假设和排除各类内生性问题。由于我国</w:t>
      </w:r>
      <w:proofErr w:type="gramStart"/>
      <w:r w:rsidRPr="00CB3320">
        <w:rPr>
          <w:rFonts w:hint="eastAsia"/>
        </w:rPr>
        <w:t>碳交易</w:t>
      </w:r>
      <w:proofErr w:type="gramEnd"/>
      <w:r w:rsidRPr="00CB3320">
        <w:rPr>
          <w:rFonts w:hint="eastAsia"/>
        </w:rPr>
        <w:t>试点具有较强的非随机性，不能直接</w:t>
      </w:r>
      <w:proofErr w:type="gramStart"/>
      <w:r w:rsidRPr="00CB3320">
        <w:rPr>
          <w:rFonts w:hint="eastAsia"/>
        </w:rPr>
        <w:t>将碳交易</w:t>
      </w:r>
      <w:proofErr w:type="gramEnd"/>
      <w:r w:rsidRPr="00CB3320">
        <w:rPr>
          <w:rFonts w:hint="eastAsia"/>
        </w:rPr>
        <w:t>试点视为准自然实验。如果实验组和</w:t>
      </w:r>
      <w:r w:rsidR="00972FF5" w:rsidRPr="00CB3320">
        <w:rPr>
          <w:rFonts w:hint="eastAsia"/>
        </w:rPr>
        <w:t>对照组</w:t>
      </w:r>
      <w:r w:rsidRPr="00CB3320">
        <w:rPr>
          <w:rFonts w:hint="eastAsia"/>
        </w:rPr>
        <w:t>之间存在显著差异，平行趋势检验很难通过，</w:t>
      </w:r>
      <w:r w:rsidR="00477D8D" w:rsidRPr="00CB3320">
        <w:rPr>
          <w:rFonts w:hint="eastAsia"/>
        </w:rPr>
        <w:t>双重差分</w:t>
      </w:r>
      <w:r w:rsidRPr="00CB3320">
        <w:rPr>
          <w:rFonts w:hint="eastAsia"/>
        </w:rPr>
        <w:t>（</w:t>
      </w:r>
      <w:r w:rsidRPr="00CB3320">
        <w:rPr>
          <w:rFonts w:hint="eastAsia"/>
        </w:rPr>
        <w:t>DID</w:t>
      </w:r>
      <w:r w:rsidRPr="00CB3320">
        <w:rPr>
          <w:rFonts w:hint="eastAsia"/>
        </w:rPr>
        <w:t>）模型的结果可能</w:t>
      </w:r>
      <w:r w:rsidR="008F2D8B" w:rsidRPr="00CB3320">
        <w:rPr>
          <w:rFonts w:hint="eastAsia"/>
        </w:rPr>
        <w:t>存在</w:t>
      </w:r>
      <w:r w:rsidRPr="00CB3320">
        <w:rPr>
          <w:rFonts w:hint="eastAsia"/>
        </w:rPr>
        <w:t>偏差。为了准确识别影响</w:t>
      </w:r>
      <w:r w:rsidRPr="00CB3320">
        <w:rPr>
          <w:rFonts w:hint="eastAsia"/>
        </w:rPr>
        <w:t>TFP</w:t>
      </w:r>
      <w:r w:rsidRPr="00CB3320">
        <w:rPr>
          <w:rFonts w:hint="eastAsia"/>
        </w:rPr>
        <w:t>的因素，并且随机化</w:t>
      </w:r>
      <w:r w:rsidR="00972FF5" w:rsidRPr="00CB3320">
        <w:rPr>
          <w:rFonts w:hint="eastAsia"/>
        </w:rPr>
        <w:t>对照组</w:t>
      </w:r>
      <w:r w:rsidRPr="00CB3320">
        <w:rPr>
          <w:rFonts w:hint="eastAsia"/>
        </w:rPr>
        <w:t>和实验组的数据，我们采用倾向</w:t>
      </w:r>
      <w:r w:rsidR="00BD3E39" w:rsidRPr="00CB3320">
        <w:rPr>
          <w:rFonts w:hint="eastAsia"/>
        </w:rPr>
        <w:t>得分</w:t>
      </w:r>
      <w:r w:rsidRPr="00CB3320">
        <w:rPr>
          <w:rFonts w:hint="eastAsia"/>
        </w:rPr>
        <w:t>匹配（</w:t>
      </w:r>
      <w:r w:rsidRPr="00CB3320">
        <w:rPr>
          <w:rFonts w:hint="eastAsia"/>
        </w:rPr>
        <w:t>PSM</w:t>
      </w:r>
      <w:r w:rsidRPr="00CB3320">
        <w:rPr>
          <w:rFonts w:hint="eastAsia"/>
        </w:rPr>
        <w:t>）的策略，找到并使用</w:t>
      </w:r>
      <w:r w:rsidRPr="00CB3320">
        <w:rPr>
          <w:rFonts w:hint="eastAsia"/>
        </w:rPr>
        <w:t>6</w:t>
      </w:r>
      <w:r w:rsidRPr="00CB3320">
        <w:rPr>
          <w:rFonts w:hint="eastAsia"/>
        </w:rPr>
        <w:t>个影响</w:t>
      </w:r>
      <w:r w:rsidRPr="00CB3320">
        <w:rPr>
          <w:rFonts w:hint="eastAsia"/>
        </w:rPr>
        <w:t>TFP</w:t>
      </w:r>
      <w:r w:rsidRPr="00CB3320">
        <w:rPr>
          <w:rFonts w:hint="eastAsia"/>
        </w:rPr>
        <w:t>的协变量，将实验组和</w:t>
      </w:r>
      <w:r w:rsidR="00972FF5" w:rsidRPr="00CB3320">
        <w:rPr>
          <w:rFonts w:hint="eastAsia"/>
        </w:rPr>
        <w:t>对照组</w:t>
      </w:r>
      <w:r w:rsidRPr="00CB3320">
        <w:rPr>
          <w:rFonts w:hint="eastAsia"/>
        </w:rPr>
        <w:t>进行匹配。</w:t>
      </w:r>
      <w:r w:rsidR="009D1F07" w:rsidRPr="00CB3320">
        <w:rPr>
          <w:rFonts w:hint="eastAsia"/>
        </w:rPr>
        <w:t>由于本研究使用的是市级的面板数据，为了避免省内自相关，本文在的估计结果中报告的皆是聚类到省的稳健标准误。</w:t>
      </w:r>
      <w:r w:rsidRPr="00CB3320">
        <w:rPr>
          <w:rFonts w:hint="eastAsia"/>
        </w:rPr>
        <w:t>另一方面，即使我们考虑了异方差和</w:t>
      </w:r>
      <w:r w:rsidR="009D1F07" w:rsidRPr="00CB3320">
        <w:rPr>
          <w:rFonts w:hint="eastAsia"/>
        </w:rPr>
        <w:t>部分自相关，</w:t>
      </w:r>
      <w:r w:rsidRPr="00CB3320">
        <w:rPr>
          <w:rFonts w:hint="eastAsia"/>
        </w:rPr>
        <w:t>内生性</w:t>
      </w:r>
      <w:r w:rsidR="009D1F07" w:rsidRPr="00CB3320">
        <w:rPr>
          <w:rFonts w:hint="eastAsia"/>
        </w:rPr>
        <w:t>的问题</w:t>
      </w:r>
      <w:r w:rsidRPr="00CB3320">
        <w:rPr>
          <w:rFonts w:hint="eastAsia"/>
        </w:rPr>
        <w:t>也存在</w:t>
      </w:r>
      <w:r w:rsidR="009D1F07" w:rsidRPr="00CB3320">
        <w:rPr>
          <w:rFonts w:hint="eastAsia"/>
        </w:rPr>
        <w:t>：</w:t>
      </w:r>
      <w:r w:rsidRPr="00CB3320">
        <w:rPr>
          <w:rFonts w:hint="eastAsia"/>
        </w:rPr>
        <w:t>由于我国交通基础设施越来越发达，很多企业和个人都有很强的流动性，因此在回归中可能存在很强的</w:t>
      </w:r>
      <w:r w:rsidR="009D1F07" w:rsidRPr="00CB3320">
        <w:rPr>
          <w:rFonts w:hint="eastAsia"/>
        </w:rPr>
        <w:t>空间</w:t>
      </w:r>
      <w:r w:rsidRPr="00CB3320">
        <w:rPr>
          <w:rFonts w:hint="eastAsia"/>
        </w:rPr>
        <w:t>自相关</w:t>
      </w:r>
      <w:r w:rsidR="009D1F07" w:rsidRPr="00CB3320">
        <w:rPr>
          <w:rFonts w:hint="eastAsia"/>
        </w:rPr>
        <w:t>，表现为“强波特假说”或“污染天堂”</w:t>
      </w:r>
      <w:r w:rsidRPr="00CB3320">
        <w:rPr>
          <w:rFonts w:hint="eastAsia"/>
        </w:rPr>
        <w:t>。</w:t>
      </w:r>
      <w:r w:rsidR="009D1F07" w:rsidRPr="00CB3320">
        <w:rPr>
          <w:rFonts w:hint="eastAsia"/>
        </w:rPr>
        <w:t>因此</w:t>
      </w:r>
      <w:r w:rsidRPr="00CB3320">
        <w:rPr>
          <w:rFonts w:hint="eastAsia"/>
        </w:rPr>
        <w:t>，在模型的进一步分析中，我们在城市层面运用空间面板</w:t>
      </w:r>
      <w:r w:rsidR="009D1F07" w:rsidRPr="00CB3320">
        <w:rPr>
          <w:rFonts w:hint="eastAsia"/>
        </w:rPr>
        <w:t>杜宾</w:t>
      </w:r>
      <w:r w:rsidRPr="00CB3320">
        <w:rPr>
          <w:rFonts w:hint="eastAsia"/>
        </w:rPr>
        <w:t>模型，考察了</w:t>
      </w:r>
      <w:r w:rsidRPr="00CB3320">
        <w:rPr>
          <w:rFonts w:hint="eastAsia"/>
        </w:rPr>
        <w:t>ETS</w:t>
      </w:r>
      <w:r w:rsidRPr="00CB3320">
        <w:rPr>
          <w:rFonts w:hint="eastAsia"/>
        </w:rPr>
        <w:t>对</w:t>
      </w:r>
      <w:r w:rsidRPr="00CB3320">
        <w:rPr>
          <w:rFonts w:hint="eastAsia"/>
        </w:rPr>
        <w:t>TFP</w:t>
      </w:r>
      <w:r w:rsidRPr="00CB3320">
        <w:rPr>
          <w:rFonts w:hint="eastAsia"/>
        </w:rPr>
        <w:t>的直接和间接影响，并考虑了各个变量的空间相关性。</w:t>
      </w:r>
    </w:p>
    <w:p w14:paraId="70927A79" w14:textId="609A8D11" w:rsidR="009D1F07" w:rsidRPr="00CB3320" w:rsidRDefault="009D1F07" w:rsidP="00326CCD">
      <w:pPr>
        <w:ind w:firstLine="420"/>
      </w:pPr>
      <w:r w:rsidRPr="00CB3320">
        <w:rPr>
          <w:rFonts w:hint="eastAsia"/>
        </w:rPr>
        <w:t>研究证实了</w:t>
      </w:r>
      <w:r w:rsidRPr="00CB3320">
        <w:rPr>
          <w:rFonts w:hint="eastAsia"/>
        </w:rPr>
        <w:t>ETS</w:t>
      </w:r>
      <w:r w:rsidRPr="00CB3320">
        <w:rPr>
          <w:rFonts w:hint="eastAsia"/>
        </w:rPr>
        <w:t>可能对全要素生产率产生负面影响，并且随着时间的推移，这种影响将更为显</w:t>
      </w:r>
      <w:r w:rsidRPr="00CB3320">
        <w:rPr>
          <w:rFonts w:hint="eastAsia"/>
        </w:rPr>
        <w:lastRenderedPageBreak/>
        <w:t>著，但存在城市间的异质性。在发达城市，如大多数一线城市（北京、上海、深圳等），</w:t>
      </w:r>
      <w:r w:rsidRPr="00CB3320">
        <w:rPr>
          <w:rFonts w:hint="eastAsia"/>
        </w:rPr>
        <w:t>ETS</w:t>
      </w:r>
      <w:r w:rsidRPr="00CB3320">
        <w:rPr>
          <w:rFonts w:hint="eastAsia"/>
        </w:rPr>
        <w:t>可能在较低水平上降低全要素生产率，且负面影响是从</w:t>
      </w:r>
      <w:r w:rsidR="00327B37" w:rsidRPr="00CB3320">
        <w:rPr>
          <w:rFonts w:hint="eastAsia"/>
        </w:rPr>
        <w:t>正式交易</w:t>
      </w:r>
      <w:r w:rsidRPr="00CB3320">
        <w:rPr>
          <w:rFonts w:hint="eastAsia"/>
        </w:rPr>
        <w:t>的时候开始的。而在其他大多数城市中，</w:t>
      </w:r>
      <w:r w:rsidRPr="00CB3320">
        <w:rPr>
          <w:rFonts w:hint="eastAsia"/>
        </w:rPr>
        <w:t>ETS</w:t>
      </w:r>
      <w:r w:rsidRPr="00CB3320">
        <w:rPr>
          <w:rFonts w:hint="eastAsia"/>
        </w:rPr>
        <w:t>则在较高水平上降低了</w:t>
      </w:r>
      <w:r w:rsidRPr="00CB3320">
        <w:rPr>
          <w:rFonts w:hint="eastAsia"/>
        </w:rPr>
        <w:t>TFP</w:t>
      </w:r>
      <w:r w:rsidRPr="00CB3320">
        <w:rPr>
          <w:rFonts w:hint="eastAsia"/>
        </w:rPr>
        <w:t>。异质性使得回归结果可能存在较大的偏差。例如，当我们使用省面板数据时，结果可能是正的但是不显著，这属于“统计平均陷阱”和“选择性偏差”问题</w:t>
      </w:r>
      <w:r w:rsidR="002F265F" w:rsidRPr="00CB3320">
        <w:rPr>
          <w:rStyle w:val="a8"/>
          <w:highlight w:val="yellow"/>
        </w:rPr>
        <w:footnoteReference w:id="3"/>
      </w:r>
      <w:r w:rsidRPr="00CB3320">
        <w:rPr>
          <w:rFonts w:hint="eastAsia"/>
        </w:rPr>
        <w:t>。</w:t>
      </w:r>
    </w:p>
    <w:p w14:paraId="70FE40BA" w14:textId="5D193905" w:rsidR="009D1F07" w:rsidRPr="00CB3320" w:rsidRDefault="009D1F07" w:rsidP="00326CCD">
      <w:pPr>
        <w:ind w:firstLine="420"/>
      </w:pPr>
      <w:r w:rsidRPr="00CB3320">
        <w:rPr>
          <w:rFonts w:hint="eastAsia"/>
        </w:rPr>
        <w:t>之后，研究进一步分析了</w:t>
      </w:r>
      <w:r w:rsidRPr="00CB3320">
        <w:rPr>
          <w:rFonts w:hint="eastAsia"/>
        </w:rPr>
        <w:t>ETS</w:t>
      </w:r>
      <w:r w:rsidRPr="00CB3320">
        <w:rPr>
          <w:rFonts w:hint="eastAsia"/>
        </w:rPr>
        <w:t>的</w:t>
      </w:r>
      <w:r w:rsidR="002F265F" w:rsidRPr="00CB3320">
        <w:rPr>
          <w:rFonts w:hint="eastAsia"/>
        </w:rPr>
        <w:t>空间</w:t>
      </w:r>
      <w:r w:rsidRPr="00CB3320">
        <w:rPr>
          <w:rFonts w:hint="eastAsia"/>
        </w:rPr>
        <w:t>溢出效应。一般来说，环境规制</w:t>
      </w:r>
      <w:r w:rsidR="002F265F" w:rsidRPr="00CB3320">
        <w:rPr>
          <w:rFonts w:hint="eastAsia"/>
        </w:rPr>
        <w:t>的试点</w:t>
      </w:r>
      <w:r w:rsidRPr="00CB3320">
        <w:rPr>
          <w:rFonts w:hint="eastAsia"/>
        </w:rPr>
        <w:t>会导致两种类型的空间关联</w:t>
      </w:r>
      <w:r w:rsidR="002F265F" w:rsidRPr="00CB3320">
        <w:rPr>
          <w:rFonts w:hint="eastAsia"/>
        </w:rPr>
        <w:t>性</w:t>
      </w:r>
      <w:r w:rsidRPr="00CB3320">
        <w:rPr>
          <w:rFonts w:hint="eastAsia"/>
        </w:rPr>
        <w:t>。一种是</w:t>
      </w:r>
      <w:r w:rsidR="00D63C0C" w:rsidRPr="00CB3320">
        <w:rPr>
          <w:rFonts w:hint="eastAsia"/>
        </w:rPr>
        <w:t>技术溢出效应：</w:t>
      </w:r>
      <w:r w:rsidRPr="00CB3320">
        <w:rPr>
          <w:rFonts w:hint="eastAsia"/>
        </w:rPr>
        <w:t>环境规制</w:t>
      </w:r>
      <w:r w:rsidR="00D63C0C" w:rsidRPr="00CB3320">
        <w:rPr>
          <w:rFonts w:hint="eastAsia"/>
        </w:rPr>
        <w:t>虽然会降低试点地区的</w:t>
      </w:r>
      <w:r w:rsidR="00D63C0C" w:rsidRPr="00CB3320">
        <w:t>TFP</w:t>
      </w:r>
      <w:r w:rsidR="00D63C0C" w:rsidRPr="00CB3320">
        <w:rPr>
          <w:rFonts w:hint="eastAsia"/>
        </w:rPr>
        <w:t>，但会促进试点地区的技术进步，而技术进步存在空间溢出效应，</w:t>
      </w:r>
      <w:r w:rsidRPr="00CB3320">
        <w:rPr>
          <w:rFonts w:hint="eastAsia"/>
        </w:rPr>
        <w:t>对</w:t>
      </w:r>
      <w:r w:rsidR="00D63C0C" w:rsidRPr="00CB3320">
        <w:rPr>
          <w:rFonts w:hint="eastAsia"/>
        </w:rPr>
        <w:t>其他地区的</w:t>
      </w:r>
      <w:r w:rsidRPr="00CB3320">
        <w:rPr>
          <w:rFonts w:hint="eastAsia"/>
        </w:rPr>
        <w:t>全要素生产率具有</w:t>
      </w:r>
      <w:r w:rsidR="00D63C0C" w:rsidRPr="00CB3320">
        <w:rPr>
          <w:rFonts w:hint="eastAsia"/>
        </w:rPr>
        <w:t>正</w:t>
      </w:r>
      <w:r w:rsidRPr="00CB3320">
        <w:rPr>
          <w:rFonts w:hint="eastAsia"/>
        </w:rPr>
        <w:t>效应；另一种是污染天堂假说</w:t>
      </w:r>
      <w:r w:rsidR="00D63C0C" w:rsidRPr="00CB3320">
        <w:rPr>
          <w:rFonts w:hint="eastAsia"/>
        </w:rPr>
        <w:t>：</w:t>
      </w:r>
      <w:r w:rsidRPr="00CB3320">
        <w:rPr>
          <w:rFonts w:hint="eastAsia"/>
        </w:rPr>
        <w:t>环境规制</w:t>
      </w:r>
      <w:r w:rsidR="00D63C0C" w:rsidRPr="00CB3320">
        <w:rPr>
          <w:rFonts w:hint="eastAsia"/>
        </w:rPr>
        <w:t>会促进“三高一低”的企业搬迁至</w:t>
      </w:r>
      <w:proofErr w:type="gramStart"/>
      <w:r w:rsidR="00D63C0C" w:rsidRPr="00CB3320">
        <w:rPr>
          <w:rFonts w:hint="eastAsia"/>
        </w:rPr>
        <w:t>未试点</w:t>
      </w:r>
      <w:proofErr w:type="gramEnd"/>
      <w:r w:rsidR="00D63C0C" w:rsidRPr="00CB3320">
        <w:rPr>
          <w:rFonts w:hint="eastAsia"/>
        </w:rPr>
        <w:t>的地区，</w:t>
      </w:r>
      <w:r w:rsidRPr="00CB3320">
        <w:rPr>
          <w:rFonts w:hint="eastAsia"/>
        </w:rPr>
        <w:t>对</w:t>
      </w:r>
      <w:proofErr w:type="gramStart"/>
      <w:r w:rsidR="00D63C0C" w:rsidRPr="00CB3320">
        <w:rPr>
          <w:rFonts w:hint="eastAsia"/>
        </w:rPr>
        <w:t>未试点</w:t>
      </w:r>
      <w:proofErr w:type="gramEnd"/>
      <w:r w:rsidR="00D63C0C" w:rsidRPr="00CB3320">
        <w:rPr>
          <w:rFonts w:hint="eastAsia"/>
        </w:rPr>
        <w:t>地区的</w:t>
      </w:r>
      <w:r w:rsidRPr="00CB3320">
        <w:rPr>
          <w:rFonts w:hint="eastAsia"/>
        </w:rPr>
        <w:t>全要素生产率</w:t>
      </w:r>
      <w:r w:rsidR="00D63C0C" w:rsidRPr="00CB3320">
        <w:rPr>
          <w:rFonts w:hint="eastAsia"/>
        </w:rPr>
        <w:t>带来负效应</w:t>
      </w:r>
      <w:r w:rsidRPr="00CB3320">
        <w:rPr>
          <w:rFonts w:hint="eastAsia"/>
        </w:rPr>
        <w:t>。结果表明，</w:t>
      </w:r>
      <w:r w:rsidR="00D63C0C" w:rsidRPr="00CB3320">
        <w:rPr>
          <w:rFonts w:hint="eastAsia"/>
        </w:rPr>
        <w:t>技术溢出效应的效果更强</w:t>
      </w:r>
      <w:r w:rsidRPr="00CB3320">
        <w:rPr>
          <w:rFonts w:hint="eastAsia"/>
        </w:rPr>
        <w:t>，</w:t>
      </w:r>
      <w:r w:rsidR="002F265F" w:rsidRPr="00CB3320">
        <w:rPr>
          <w:rFonts w:hint="eastAsia"/>
        </w:rPr>
        <w:t>证明</w:t>
      </w:r>
      <w:r w:rsidRPr="00CB3320">
        <w:rPr>
          <w:rFonts w:hint="eastAsia"/>
        </w:rPr>
        <w:t>强波特假说</w:t>
      </w:r>
      <w:r w:rsidR="002F265F" w:rsidRPr="00CB3320">
        <w:rPr>
          <w:rFonts w:hint="eastAsia"/>
        </w:rPr>
        <w:t>是相对成立的</w:t>
      </w:r>
      <w:r w:rsidRPr="00CB3320">
        <w:rPr>
          <w:rFonts w:hint="eastAsia"/>
        </w:rPr>
        <w:t>。</w:t>
      </w:r>
      <w:r w:rsidR="000C0915" w:rsidRPr="00CB3320">
        <w:rPr>
          <w:rFonts w:hint="eastAsia"/>
        </w:rPr>
        <w:t>研究结果有些出乎意料</w:t>
      </w:r>
      <w:r w:rsidRPr="00CB3320">
        <w:rPr>
          <w:rFonts w:hint="eastAsia"/>
        </w:rPr>
        <w:t>，但也</w:t>
      </w:r>
      <w:r w:rsidR="000C0915" w:rsidRPr="00CB3320">
        <w:rPr>
          <w:rFonts w:hint="eastAsia"/>
        </w:rPr>
        <w:t>在情理之中</w:t>
      </w:r>
      <w:r w:rsidRPr="00CB3320">
        <w:rPr>
          <w:rFonts w:hint="eastAsia"/>
        </w:rPr>
        <w:t>，因为其他地区的企业有被纳入</w:t>
      </w:r>
      <w:proofErr w:type="gramStart"/>
      <w:r w:rsidRPr="00CB3320">
        <w:rPr>
          <w:rFonts w:hint="eastAsia"/>
        </w:rPr>
        <w:t>碳市场</w:t>
      </w:r>
      <w:proofErr w:type="gramEnd"/>
      <w:r w:rsidR="002F265F" w:rsidRPr="00CB3320">
        <w:rPr>
          <w:rFonts w:hint="eastAsia"/>
        </w:rPr>
        <w:t>的预期，试点地区企业的因为</w:t>
      </w:r>
      <w:proofErr w:type="gramStart"/>
      <w:r w:rsidR="002F265F" w:rsidRPr="00CB3320">
        <w:rPr>
          <w:rFonts w:hint="eastAsia"/>
        </w:rPr>
        <w:t>碳交易</w:t>
      </w:r>
      <w:proofErr w:type="gramEnd"/>
      <w:r w:rsidR="002F265F" w:rsidRPr="00CB3320">
        <w:rPr>
          <w:rFonts w:hint="eastAsia"/>
        </w:rPr>
        <w:t>带来的新的技术、方法和信息</w:t>
      </w:r>
      <w:r w:rsidR="004F2AF4" w:rsidRPr="00CB3320">
        <w:rPr>
          <w:rFonts w:hint="eastAsia"/>
        </w:rPr>
        <w:t>也</w:t>
      </w:r>
      <w:r w:rsidR="002F265F" w:rsidRPr="00CB3320">
        <w:rPr>
          <w:rFonts w:hint="eastAsia"/>
        </w:rPr>
        <w:t>会被非试点地区的企业采用、收集</w:t>
      </w:r>
      <w:r w:rsidR="002F265F" w:rsidRPr="00CB3320">
        <w:rPr>
          <w:rStyle w:val="a8"/>
          <w:highlight w:val="yellow"/>
        </w:rPr>
        <w:footnoteReference w:id="4"/>
      </w:r>
      <w:r w:rsidRPr="00CB3320">
        <w:rPr>
          <w:rFonts w:hint="eastAsia"/>
        </w:rPr>
        <w:t>。</w:t>
      </w:r>
      <w:r w:rsidR="002F265F" w:rsidRPr="00CB3320">
        <w:rPr>
          <w:rFonts w:hint="eastAsia"/>
        </w:rPr>
        <w:t>E</w:t>
      </w:r>
      <w:r w:rsidR="002F265F" w:rsidRPr="00CB3320">
        <w:t>TS</w:t>
      </w:r>
      <w:r w:rsidRPr="00CB3320">
        <w:rPr>
          <w:rFonts w:hint="eastAsia"/>
        </w:rPr>
        <w:t>对</w:t>
      </w:r>
      <w:r w:rsidR="002F265F" w:rsidRPr="00CB3320">
        <w:t>TFP</w:t>
      </w:r>
      <w:r w:rsidR="002F265F" w:rsidRPr="00CB3320">
        <w:rPr>
          <w:rFonts w:hint="eastAsia"/>
        </w:rPr>
        <w:t>有显著的</w:t>
      </w:r>
      <w:r w:rsidRPr="00CB3320">
        <w:rPr>
          <w:rFonts w:hint="eastAsia"/>
        </w:rPr>
        <w:t>正</w:t>
      </w:r>
      <w:r w:rsidR="002F265F" w:rsidRPr="00CB3320">
        <w:rPr>
          <w:rFonts w:hint="eastAsia"/>
        </w:rPr>
        <w:t>的</w:t>
      </w:r>
      <w:r w:rsidRPr="00CB3320">
        <w:rPr>
          <w:rFonts w:hint="eastAsia"/>
        </w:rPr>
        <w:t>溢出效应显著，</w:t>
      </w:r>
      <w:r w:rsidR="00D63C0C" w:rsidRPr="00CB3320">
        <w:rPr>
          <w:rFonts w:hint="eastAsia"/>
        </w:rPr>
        <w:t>在全国层面上</w:t>
      </w:r>
      <w:r w:rsidRPr="00CB3320">
        <w:rPr>
          <w:rFonts w:hint="eastAsia"/>
        </w:rPr>
        <w:t>满足强波特假说，使总效应为正。这也意味着本文的</w:t>
      </w:r>
      <w:r w:rsidRPr="00CB3320">
        <w:rPr>
          <w:rFonts w:hint="eastAsia"/>
        </w:rPr>
        <w:t>PSM-DID</w:t>
      </w:r>
      <w:r w:rsidRPr="00CB3320">
        <w:rPr>
          <w:rFonts w:hint="eastAsia"/>
        </w:rPr>
        <w:t>模型估计结果可能高估了</w:t>
      </w:r>
      <w:proofErr w:type="gramStart"/>
      <w:r w:rsidR="00F302A4" w:rsidRPr="00CB3320">
        <w:rPr>
          <w:rFonts w:hint="eastAsia"/>
        </w:rPr>
        <w:t>碳试点</w:t>
      </w:r>
      <w:proofErr w:type="gramEnd"/>
      <w:r w:rsidRPr="00CB3320">
        <w:rPr>
          <w:rFonts w:hint="eastAsia"/>
        </w:rPr>
        <w:t>对试点地区</w:t>
      </w:r>
      <w:r w:rsidR="002F265F" w:rsidRPr="00CB3320">
        <w:rPr>
          <w:rFonts w:hint="eastAsia"/>
        </w:rPr>
        <w:t>T</w:t>
      </w:r>
      <w:r w:rsidR="002F265F" w:rsidRPr="00CB3320">
        <w:t>FP</w:t>
      </w:r>
      <w:r w:rsidRPr="00CB3320">
        <w:rPr>
          <w:rFonts w:hint="eastAsia"/>
        </w:rPr>
        <w:t>的负面影响。</w:t>
      </w:r>
      <w:r w:rsidR="008A580C" w:rsidRPr="00CB3320">
        <w:rPr>
          <w:rFonts w:hint="eastAsia"/>
        </w:rPr>
        <w:t>另外，研究发现，技术进步抵消了大部分来自</w:t>
      </w:r>
      <w:proofErr w:type="gramStart"/>
      <w:r w:rsidR="008A580C" w:rsidRPr="00CB3320">
        <w:rPr>
          <w:rFonts w:hint="eastAsia"/>
        </w:rPr>
        <w:t>碳市场的碳减排成本</w:t>
      </w:r>
      <w:proofErr w:type="gramEnd"/>
      <w:r w:rsidR="008A580C" w:rsidRPr="00CB3320">
        <w:rPr>
          <w:rFonts w:hint="eastAsia"/>
        </w:rPr>
        <w:t>对</w:t>
      </w:r>
      <w:r w:rsidR="008A580C" w:rsidRPr="00CB3320">
        <w:rPr>
          <w:rFonts w:hint="eastAsia"/>
        </w:rPr>
        <w:t>T</w:t>
      </w:r>
      <w:r w:rsidR="008A580C" w:rsidRPr="00CB3320">
        <w:t>FP</w:t>
      </w:r>
      <w:r w:rsidR="008A580C" w:rsidRPr="00CB3320">
        <w:rPr>
          <w:rFonts w:hint="eastAsia"/>
        </w:rPr>
        <w:t>的负面影响。</w:t>
      </w:r>
    </w:p>
    <w:p w14:paraId="1DDE86ED" w14:textId="69A2A1DE" w:rsidR="00834057" w:rsidRPr="00CB3320" w:rsidRDefault="00834057" w:rsidP="00326CCD">
      <w:pPr>
        <w:ind w:firstLine="420"/>
      </w:pPr>
      <w:bookmarkStart w:id="5" w:name="_Hlk121823129"/>
      <w:r w:rsidRPr="00CB3320">
        <w:rPr>
          <w:rFonts w:hint="eastAsia"/>
        </w:rPr>
        <w:t>本文的主要创新包括方法论和研究结论两个方面：</w:t>
      </w:r>
    </w:p>
    <w:p w14:paraId="08BF17C4" w14:textId="77777777" w:rsidR="00834057" w:rsidRPr="00CB3320" w:rsidRDefault="00834057" w:rsidP="00834057">
      <w:pPr>
        <w:ind w:firstLine="420"/>
      </w:pPr>
      <w:r w:rsidRPr="00CB3320">
        <w:rPr>
          <w:rFonts w:hint="eastAsia"/>
        </w:rPr>
        <w:t>1.</w:t>
      </w:r>
      <w:r w:rsidRPr="00CB3320">
        <w:rPr>
          <w:rFonts w:hint="eastAsia"/>
        </w:rPr>
        <w:t>方法论：本文创新的使用了</w:t>
      </w:r>
      <w:r w:rsidRPr="00CB3320">
        <w:rPr>
          <w:rFonts w:hint="eastAsia"/>
        </w:rPr>
        <w:t>PSM-</w:t>
      </w:r>
      <w:r w:rsidRPr="00CB3320">
        <w:rPr>
          <w:rFonts w:hint="eastAsia"/>
        </w:rPr>
        <w:t>加权</w:t>
      </w:r>
      <w:r w:rsidRPr="00CB3320">
        <w:rPr>
          <w:rFonts w:hint="eastAsia"/>
        </w:rPr>
        <w:t>DID</w:t>
      </w:r>
      <w:r w:rsidRPr="00CB3320">
        <w:rPr>
          <w:rFonts w:hint="eastAsia"/>
        </w:rPr>
        <w:t>模型，并且通过</w:t>
      </w:r>
      <w:r w:rsidRPr="00CB3320">
        <w:rPr>
          <w:rFonts w:hint="eastAsia"/>
        </w:rPr>
        <w:t>PSM</w:t>
      </w:r>
      <w:r w:rsidRPr="00CB3320">
        <w:rPr>
          <w:rFonts w:hint="eastAsia"/>
        </w:rPr>
        <w:t>结果，设定实验组</w:t>
      </w:r>
      <w:r w:rsidRPr="00CB3320">
        <w:rPr>
          <w:rFonts w:hint="eastAsia"/>
        </w:rPr>
        <w:t>/</w:t>
      </w:r>
      <w:r w:rsidRPr="00CB3320">
        <w:rPr>
          <w:rFonts w:hint="eastAsia"/>
        </w:rPr>
        <w:t>对照组的权重，对样本进行了更加科学客观的匹配，以达到样本选择的随机性，使</w:t>
      </w:r>
      <w:r w:rsidRPr="00CB3320">
        <w:rPr>
          <w:rFonts w:hint="eastAsia"/>
        </w:rPr>
        <w:t>DID</w:t>
      </w:r>
      <w:r w:rsidRPr="00CB3320">
        <w:rPr>
          <w:rFonts w:hint="eastAsia"/>
        </w:rPr>
        <w:t>的模型结果更加科学、可信。</w:t>
      </w:r>
    </w:p>
    <w:p w14:paraId="25FF63CA" w14:textId="77777777" w:rsidR="00834057" w:rsidRPr="00CB3320" w:rsidRDefault="00834057" w:rsidP="00834057">
      <w:pPr>
        <w:ind w:firstLine="420"/>
      </w:pPr>
      <w:r w:rsidRPr="00CB3320">
        <w:rPr>
          <w:rFonts w:hint="eastAsia"/>
        </w:rPr>
        <w:t>2.</w:t>
      </w:r>
      <w:r w:rsidRPr="00CB3320">
        <w:rPr>
          <w:rFonts w:hint="eastAsia"/>
        </w:rPr>
        <w:t>研究结论：通过理论分析、空间</w:t>
      </w:r>
      <w:r w:rsidRPr="00CB3320">
        <w:rPr>
          <w:rFonts w:hint="eastAsia"/>
        </w:rPr>
        <w:t>DID</w:t>
      </w:r>
      <w:r w:rsidRPr="00CB3320">
        <w:rPr>
          <w:rFonts w:hint="eastAsia"/>
        </w:rPr>
        <w:t>模型的结果，以及机制分析的结果，本文将</w:t>
      </w:r>
      <w:r w:rsidRPr="00CB3320">
        <w:rPr>
          <w:rFonts w:hint="eastAsia"/>
        </w:rPr>
        <w:t>ETS</w:t>
      </w:r>
      <w:r w:rsidRPr="00CB3320">
        <w:rPr>
          <w:rFonts w:hint="eastAsia"/>
        </w:rPr>
        <w:t>对我国</w:t>
      </w:r>
      <w:r w:rsidRPr="00CB3320">
        <w:rPr>
          <w:rFonts w:hint="eastAsia"/>
        </w:rPr>
        <w:t>TFP</w:t>
      </w:r>
      <w:r w:rsidRPr="00CB3320">
        <w:rPr>
          <w:rFonts w:hint="eastAsia"/>
        </w:rPr>
        <w:t>的</w:t>
      </w:r>
      <w:proofErr w:type="gramStart"/>
      <w:r w:rsidRPr="00CB3320">
        <w:rPr>
          <w:rFonts w:hint="eastAsia"/>
        </w:rPr>
        <w:t>影响分为了碳成本</w:t>
      </w:r>
      <w:proofErr w:type="gramEnd"/>
      <w:r w:rsidRPr="00CB3320">
        <w:rPr>
          <w:rFonts w:hint="eastAsia"/>
        </w:rPr>
        <w:t>效应、技术进步效应和技术溢出效应。并且识别了由于技术进步和技术溢出的存在，虽然</w:t>
      </w:r>
      <w:proofErr w:type="gramStart"/>
      <w:r w:rsidRPr="00CB3320">
        <w:rPr>
          <w:rFonts w:hint="eastAsia"/>
        </w:rPr>
        <w:t>碳试点</w:t>
      </w:r>
      <w:proofErr w:type="gramEnd"/>
      <w:r w:rsidRPr="00CB3320">
        <w:rPr>
          <w:rFonts w:hint="eastAsia"/>
        </w:rPr>
        <w:t>对试点地区的</w:t>
      </w:r>
      <w:r w:rsidRPr="00CB3320">
        <w:rPr>
          <w:rFonts w:hint="eastAsia"/>
        </w:rPr>
        <w:t>TFP</w:t>
      </w:r>
      <w:r w:rsidRPr="00CB3320">
        <w:rPr>
          <w:rFonts w:hint="eastAsia"/>
        </w:rPr>
        <w:t>有负面影响，但是总体来看，具有积极影响。相比于其他文献，本文拆分了</w:t>
      </w:r>
      <w:r w:rsidRPr="00CB3320">
        <w:rPr>
          <w:rFonts w:hint="eastAsia"/>
        </w:rPr>
        <w:t>ETS</w:t>
      </w:r>
      <w:r w:rsidRPr="00CB3320">
        <w:rPr>
          <w:rFonts w:hint="eastAsia"/>
        </w:rPr>
        <w:t>的效应，并且认可了技术进步在其中起到的关键作用。</w:t>
      </w:r>
    </w:p>
    <w:p w14:paraId="388389C4" w14:textId="368280F1" w:rsidR="005B1161" w:rsidRDefault="005B1161" w:rsidP="005B1161">
      <w:pPr>
        <w:pStyle w:val="1"/>
      </w:pPr>
      <w:bookmarkStart w:id="6" w:name="_Toc121778109"/>
      <w:bookmarkStart w:id="7" w:name="_Hlk121068959"/>
      <w:bookmarkEnd w:id="5"/>
      <w:r w:rsidRPr="00CB3320">
        <w:rPr>
          <w:rFonts w:hint="eastAsia"/>
        </w:rPr>
        <w:t>二、理论</w:t>
      </w:r>
      <w:bookmarkEnd w:id="6"/>
      <w:r w:rsidR="008F4CCA">
        <w:rPr>
          <w:rFonts w:hint="eastAsia"/>
        </w:rPr>
        <w:t>基础</w:t>
      </w:r>
      <w:r w:rsidR="00C61396">
        <w:rPr>
          <w:rFonts w:hint="eastAsia"/>
        </w:rPr>
        <w:t>与研究假说</w:t>
      </w:r>
    </w:p>
    <w:p w14:paraId="418CFBA3" w14:textId="4469C4AE" w:rsidR="00505643" w:rsidRDefault="00505643" w:rsidP="00505643">
      <w:pPr>
        <w:ind w:firstLine="420"/>
      </w:pPr>
      <w:r w:rsidRPr="00CB3320">
        <w:rPr>
          <w:rFonts w:hint="eastAsia"/>
        </w:rPr>
        <w:t>目前，关于</w:t>
      </w:r>
      <w:proofErr w:type="gramStart"/>
      <w:r w:rsidRPr="00CB3320">
        <w:rPr>
          <w:rFonts w:hint="eastAsia"/>
        </w:rPr>
        <w:t>碳交易</w:t>
      </w:r>
      <w:proofErr w:type="gramEnd"/>
      <w:r w:rsidRPr="00CB3320">
        <w:rPr>
          <w:rFonts w:hint="eastAsia"/>
        </w:rPr>
        <w:t>是否影响全要素生产率以及如何影响全要素生产率的相关文献很少</w:t>
      </w:r>
      <w:r w:rsidRPr="00CB3320">
        <w:fldChar w:fldCharType="begin" w:fldLock="1"/>
      </w:r>
      <w:r w:rsidR="001B271C">
        <w:instrText xml:space="preserve">ADDIN CSL_CITATION {"citationItems":[{"id":"ITEM-1","itemData":{"DOI":"10.1016/j.eneco.2019.104601","ISSN":"01409883","author":[{"dropping-particle":"","family":"Zhu","given":"Bangzhu","non-dropping-particle":"","parse-names":false,"suffix":""},{"dropping-particle":"","family":"Zhang","given":"Mengfan","non-dropping-particle":"","parse-names":false,"suffix":""},{"dropping-particle":"","family":"Huang","given":"Liqing","non-dropping-particle":"","parse-names":false,"suffix":""},{"dropping-particle":"","family":"Wang","given":"Ping","non-dropping-particle":"","parse-names":false,"suffix":""},{"dropping-particle":"","family":"Su","given":"Bin","non-dropping-particle":"","parse-names":false,"suffix":""},{"dropping-particle":"","family":"Wei","given":"Yi-Ming","non-dropping-particle":"","parse-names":false,"suffix":""}],"container-title":"Energy Economics","id":"ITEM-1","issued":{"date-parts":[["2020","1"]]},"page":"104601","title":"Exploring the effect of carbon trading mechanism on China's green development </w:instrText>
      </w:r>
      <w:r w:rsidR="001B271C">
        <w:rPr>
          <w:rFonts w:hint="eastAsia"/>
        </w:rPr>
        <w:instrText>efficiency: A novel integrated approach","type":"article-journal","volume":"85"},"uris":["http://www.mendeley.com/documents/?uuid=9d2d5f71-15d1-421d-a54a-c81d1019e35a"]},{"id":"ITEM-2","itemData":{"author":[{"dropping-particle":"","family":"</w:instrText>
      </w:r>
      <w:r w:rsidR="001B271C">
        <w:rPr>
          <w:rFonts w:hint="eastAsia"/>
        </w:rPr>
        <w:instrText>胡玉凤</w:instrText>
      </w:r>
      <w:r w:rsidR="001B271C">
        <w:rPr>
          <w:rFonts w:hint="eastAsia"/>
        </w:rPr>
        <w:instrText>","given":"","non-dropping-particle":"","parse-names":false,"suffix":""},{"dropping-particle":"","family":"</w:instrText>
      </w:r>
      <w:r w:rsidR="001B271C">
        <w:rPr>
          <w:rFonts w:hint="eastAsia"/>
        </w:rPr>
        <w:instrText>丁友强</w:instrText>
      </w:r>
      <w:r w:rsidR="001B271C">
        <w:rPr>
          <w:rFonts w:hint="eastAsia"/>
        </w:rPr>
        <w:instrText>","given":"","non-dropping-particle":"","parse-names":false,"suffix":""}],"container-title":"</w:instrText>
      </w:r>
      <w:r w:rsidR="001B271C">
        <w:rPr>
          <w:rFonts w:hint="eastAsia"/>
        </w:rPr>
        <w:instrText>中国人口·资源与环境</w:instrText>
      </w:r>
      <w:r w:rsidR="001B271C">
        <w:rPr>
          <w:rFonts w:hint="eastAsia"/>
        </w:rPr>
        <w:instrText>","id":"ITEM-2","issue":"3","issued":{"date-parts":[["2020"]]},"page":"56r64","title":"</w:instrText>
      </w:r>
      <w:r w:rsidR="001B271C">
        <w:rPr>
          <w:rFonts w:hint="eastAsia"/>
        </w:rPr>
        <w:instrText>碳排放权交易机制能否兼顾企业效益与绿色效率</w:instrText>
      </w:r>
      <w:r w:rsidR="001B271C">
        <w:rPr>
          <w:rFonts w:hint="eastAsia"/>
        </w:rPr>
        <w:instrText>?","type":"article-journal","volume":"30"},"uris":["http://www.mendeley.com/documents/?uuid=cb38c76a-a653-4280-b350-9d64bfd4aadb","http://www.mendeley.com/documents/?uuid=75b0066e-38a3-4a7c-ae2b-391782d48201","http://www.mendeley.com/documents/?uuid=fa0ddb96-ae16-4d0d-a6f3-366c621eda0f"]},{"id":"ITEM-3","itemData":{"DOI":"10.13821/j.cnki.ceq.2021.02.04","abstract":"</w:instrText>
      </w:r>
      <w:r w:rsidR="001B271C">
        <w:rPr>
          <w:rFonts w:hint="eastAsia"/>
        </w:rPr>
        <w:instrText>本文在重构投入产出数据基础上</w:instrText>
      </w:r>
      <w:r w:rsidR="001B271C">
        <w:rPr>
          <w:rFonts w:hint="eastAsia"/>
        </w:rPr>
        <w:instrText>,</w:instrText>
      </w:r>
      <w:r w:rsidR="001B271C">
        <w:rPr>
          <w:rFonts w:hint="eastAsia"/>
        </w:rPr>
        <w:instrText>考察中国</w:instrText>
      </w:r>
      <w:r w:rsidR="001B271C">
        <w:rPr>
          <w:rFonts w:hint="eastAsia"/>
        </w:rPr>
        <w:instrText>TFP</w:instrText>
      </w:r>
      <w:r w:rsidR="001B271C">
        <w:rPr>
          <w:rFonts w:hint="eastAsia"/>
        </w:rPr>
        <w:instrText>增速变化及提升途径。研究发现</w:instrText>
      </w:r>
      <w:r w:rsidR="001B271C">
        <w:rPr>
          <w:rFonts w:hint="eastAsia"/>
        </w:rPr>
        <w:instrText>,</w:instrText>
      </w:r>
      <w:r w:rsidR="001B271C">
        <w:rPr>
          <w:rFonts w:hint="eastAsia"/>
        </w:rPr>
        <w:instrText>中国经济的高速增长由资本积累和</w:instrText>
      </w:r>
      <w:r w:rsidR="001B271C">
        <w:rPr>
          <w:rFonts w:hint="eastAsia"/>
        </w:rPr>
        <w:instrText>TFP</w:instrText>
      </w:r>
      <w:r w:rsidR="001B271C">
        <w:rPr>
          <w:rFonts w:hint="eastAsia"/>
        </w:rPr>
        <w:instrText>增长共同驱动</w:instrText>
      </w:r>
      <w:r w:rsidR="001B271C">
        <w:rPr>
          <w:rFonts w:hint="eastAsia"/>
        </w:rPr>
        <w:instrText>,TFP</w:instrText>
      </w:r>
      <w:r w:rsidR="001B271C">
        <w:rPr>
          <w:rFonts w:hint="eastAsia"/>
        </w:rPr>
        <w:instrText>增长动力在技术效率和技术进步之间进行着转换</w:instrText>
      </w:r>
      <w:r w:rsidR="001B271C">
        <w:rPr>
          <w:rFonts w:hint="eastAsia"/>
        </w:rPr>
        <w:instrText>,TFP</w:instrText>
      </w:r>
      <w:r w:rsidR="001B271C">
        <w:rPr>
          <w:rFonts w:hint="eastAsia"/>
        </w:rPr>
        <w:instrText>增长的行业来源更趋多元化和合理化。但需要进一步转移第一产业的劳动力</w:instrText>
      </w:r>
      <w:r w:rsidR="001B271C">
        <w:rPr>
          <w:rFonts w:hint="eastAsia"/>
        </w:rPr>
        <w:instrText>,</w:instrText>
      </w:r>
      <w:r w:rsidR="001B271C">
        <w:rPr>
          <w:rFonts w:hint="eastAsia"/>
        </w:rPr>
        <w:instrText>扭转其长期以来阻碍</w:instrText>
      </w:r>
      <w:r w:rsidR="001B271C">
        <w:rPr>
          <w:rFonts w:hint="eastAsia"/>
        </w:rPr>
        <w:instrText>TFP</w:instrText>
      </w:r>
      <w:r w:rsidR="001B271C">
        <w:rPr>
          <w:rFonts w:hint="eastAsia"/>
        </w:rPr>
        <w:instrText>增长的不利局面</w:instrText>
      </w:r>
      <w:r w:rsidR="001B271C">
        <w:rPr>
          <w:rFonts w:hint="eastAsia"/>
        </w:rPr>
        <w:instrText>;</w:instrText>
      </w:r>
      <w:r w:rsidR="001B271C">
        <w:rPr>
          <w:rFonts w:hint="eastAsia"/>
        </w:rPr>
        <w:instrText>需要推进垄断性行业的市场化改革</w:instrText>
      </w:r>
      <w:r w:rsidR="001B271C">
        <w:rPr>
          <w:rFonts w:hint="eastAsia"/>
        </w:rPr>
        <w:instrText>,</w:instrText>
      </w:r>
      <w:r w:rsidR="001B271C">
        <w:rPr>
          <w:rFonts w:hint="eastAsia"/>
        </w:rPr>
        <w:instrText>提升技术效率增长速度</w:instrText>
      </w:r>
      <w:r w:rsidR="001B271C">
        <w:rPr>
          <w:rFonts w:hint="eastAsia"/>
        </w:rPr>
        <w:instrText>;</w:instrText>
      </w:r>
      <w:r w:rsidR="001B271C">
        <w:rPr>
          <w:rFonts w:hint="eastAsia"/>
        </w:rPr>
        <w:instrText>需要构建知识密集型服务业和生产性部门之间的协同创新体系</w:instrText>
      </w:r>
      <w:r w:rsidR="001B271C">
        <w:rPr>
          <w:rFonts w:hint="eastAsia"/>
        </w:rPr>
        <w:instrText>,</w:instrText>
      </w:r>
      <w:r w:rsidR="001B271C">
        <w:rPr>
          <w:rFonts w:hint="eastAsia"/>
        </w:rPr>
        <w:instrText>提升技术进步增长速度。</w:instrText>
      </w:r>
      <w:r w:rsidR="001B271C">
        <w:rPr>
          <w:rFonts w:hint="eastAsia"/>
        </w:rPr>
        <w:instrText>","author":[{"dropping-particle":"","family":"</w:instrText>
      </w:r>
      <w:r w:rsidR="001B271C">
        <w:rPr>
          <w:rFonts w:hint="eastAsia"/>
        </w:rPr>
        <w:instrText>田友春</w:instrText>
      </w:r>
      <w:r w:rsidR="001B271C">
        <w:rPr>
          <w:rFonts w:hint="eastAsia"/>
        </w:rPr>
        <w:instrText>","given":"","non-dropping-particle":"","parse-names":false,"suffix":""},{"dropping-particle":"","family":"</w:instrText>
      </w:r>
      <w:r w:rsidR="001B271C">
        <w:rPr>
          <w:rFonts w:hint="eastAsia"/>
        </w:rPr>
        <w:instrText>卢盛荣</w:instrText>
      </w:r>
      <w:r w:rsidR="001B271C">
        <w:rPr>
          <w:rFonts w:hint="eastAsia"/>
        </w:rPr>
        <w:instrText>","given":"","non-dropping-particle":"","parse-names":false,"suffix":""},{"dropping-particle":"","family":"</w:instrText>
      </w:r>
      <w:r w:rsidR="001B271C">
        <w:rPr>
          <w:rFonts w:hint="eastAsia"/>
        </w:rPr>
        <w:instrText>李文溥</w:instrText>
      </w:r>
      <w:r w:rsidR="001B271C">
        <w:rPr>
          <w:rFonts w:hint="eastAsia"/>
        </w:rPr>
        <w:instrText>","given":"","non-dropping-particle":"","parse-names":false,"suffix":""}],"container-title":"</w:instrText>
      </w:r>
      <w:r w:rsidR="001B271C">
        <w:rPr>
          <w:rFonts w:hint="eastAsia"/>
        </w:rPr>
        <w:instrText>经济学</w:instrText>
      </w:r>
      <w:r w:rsidR="001B271C">
        <w:rPr>
          <w:rFonts w:hint="eastAsia"/>
        </w:rPr>
        <w:instrText>(</w:instrText>
      </w:r>
      <w:r w:rsidR="001B271C">
        <w:rPr>
          <w:rFonts w:hint="eastAsia"/>
        </w:rPr>
        <w:instrText>季刊</w:instrText>
      </w:r>
      <w:r w:rsidR="001B271C">
        <w:rPr>
          <w:rFonts w:hint="eastAsia"/>
        </w:rPr>
        <w:instrText>)","id":"ITEM-3","issue":"02","issued":{"date-parts":[["2021"]]},"page":"445-464","title":"</w:instrText>
      </w:r>
      <w:r w:rsidR="001B271C">
        <w:rPr>
          <w:rFonts w:hint="eastAsia"/>
        </w:rPr>
        <w:instrText>中国全要素生产率增长率的变化及提升途径——基于产业视角</w:instrText>
      </w:r>
      <w:r w:rsidR="001B271C">
        <w:rPr>
          <w:rFonts w:hint="eastAsia"/>
        </w:rPr>
        <w:instrText>","type":"article-journal","volume":"21"},"uris":["http://www.mendeley.com/documents/?uuid=67d1a199-17fb-4024-843f-1557a48f356b"]}],"mendeley":{"formattedCitation":"(Zhu</w:instrText>
      </w:r>
      <w:r w:rsidR="001B271C">
        <w:rPr>
          <w:rFonts w:hint="eastAsia"/>
        </w:rPr>
        <w:instrText>等</w:instrText>
      </w:r>
      <w:r w:rsidR="001B271C">
        <w:rPr>
          <w:rFonts w:hint="eastAsia"/>
        </w:rPr>
        <w:instrText xml:space="preserve">, 2020; </w:instrText>
      </w:r>
      <w:r w:rsidR="001B271C">
        <w:rPr>
          <w:rFonts w:hint="eastAsia"/>
        </w:rPr>
        <w:instrText>田友春等</w:instrText>
      </w:r>
      <w:r w:rsidR="001B271C">
        <w:rPr>
          <w:rFonts w:hint="eastAsia"/>
        </w:rPr>
        <w:instrText xml:space="preserve">, 2021; </w:instrText>
      </w:r>
      <w:r w:rsidR="001B271C">
        <w:rPr>
          <w:rFonts w:hint="eastAsia"/>
        </w:rPr>
        <w:instrText>胡玉凤等</w:instrText>
      </w:r>
      <w:r w:rsidR="001B271C">
        <w:rPr>
          <w:rFonts w:hint="eastAsia"/>
        </w:rPr>
        <w:instrText>, 2020)","manualFormatting":"(Zhu et al</w:instrText>
      </w:r>
      <w:r w:rsidR="001B271C">
        <w:rPr>
          <w:rFonts w:hint="eastAsia"/>
        </w:rPr>
        <w:instrText>，</w:instrText>
      </w:r>
      <w:r w:rsidR="001B271C">
        <w:rPr>
          <w:rFonts w:hint="eastAsia"/>
        </w:rPr>
        <w:instrText>2020</w:instrText>
      </w:r>
      <w:r w:rsidR="001B271C">
        <w:rPr>
          <w:rFonts w:hint="eastAsia"/>
        </w:rPr>
        <w:instrText>；田友春等，</w:instrText>
      </w:r>
      <w:r w:rsidR="001B271C">
        <w:rPr>
          <w:rFonts w:hint="eastAsia"/>
        </w:rPr>
        <w:instrText>2021</w:instrText>
      </w:r>
      <w:r w:rsidR="001B271C">
        <w:rPr>
          <w:rFonts w:hint="eastAsia"/>
        </w:rPr>
        <w:instrText>；胡玉凤等，</w:instrText>
      </w:r>
      <w:r w:rsidR="001B271C">
        <w:rPr>
          <w:rFonts w:hint="eastAsia"/>
        </w:rPr>
        <w:instrText>2020)","plainTextFormattedCitation":"(Zhu</w:instrText>
      </w:r>
      <w:r w:rsidR="001B271C">
        <w:rPr>
          <w:rFonts w:hint="eastAsia"/>
        </w:rPr>
        <w:instrText>等</w:instrText>
      </w:r>
      <w:r w:rsidR="001B271C">
        <w:rPr>
          <w:rFonts w:hint="eastAsia"/>
        </w:rPr>
        <w:instrText xml:space="preserve">, 2020; </w:instrText>
      </w:r>
      <w:r w:rsidR="001B271C">
        <w:rPr>
          <w:rFonts w:hint="eastAsia"/>
        </w:rPr>
        <w:instrText>田友春等</w:instrText>
      </w:r>
      <w:r w:rsidR="001B271C">
        <w:rPr>
          <w:rFonts w:hint="eastAsia"/>
        </w:rPr>
        <w:instrText xml:space="preserve">, 2021; </w:instrText>
      </w:r>
      <w:r w:rsidR="001B271C">
        <w:rPr>
          <w:rFonts w:hint="eastAsia"/>
        </w:rPr>
        <w:instrText>胡玉凤等</w:instrText>
      </w:r>
      <w:r w:rsidR="001B271C">
        <w:rPr>
          <w:rFonts w:hint="eastAsia"/>
        </w:rPr>
        <w:instrText>, 2020)","previouslyFormattedCitation":"(Zhu</w:instrText>
      </w:r>
      <w:r w:rsidR="001B271C">
        <w:rPr>
          <w:rFonts w:hint="eastAsia"/>
        </w:rPr>
        <w:instrText>等</w:instrText>
      </w:r>
      <w:r w:rsidR="001B271C">
        <w:rPr>
          <w:rFonts w:hint="eastAsia"/>
        </w:rPr>
        <w:instrText xml:space="preserve">, 2020; </w:instrText>
      </w:r>
      <w:r w:rsidR="001B271C">
        <w:rPr>
          <w:rFonts w:hint="eastAsia"/>
        </w:rPr>
        <w:instrText>田友春等</w:instrText>
      </w:r>
      <w:r w:rsidR="001B271C">
        <w:rPr>
          <w:rFonts w:hint="eastAsia"/>
        </w:rPr>
        <w:instrText xml:space="preserve">, 2021; </w:instrText>
      </w:r>
      <w:r w:rsidR="001B271C">
        <w:rPr>
          <w:rFonts w:hint="eastAsia"/>
        </w:rPr>
        <w:instrText>胡玉凤等</w:instrText>
      </w:r>
      <w:r w:rsidR="001B271C">
        <w:rPr>
          <w:rFonts w:hint="eastAsia"/>
        </w:rPr>
        <w:instrText>, 2020)"},"properties"</w:instrText>
      </w:r>
      <w:r w:rsidR="001B271C">
        <w:instrText>:{"noteIndex":0},"schema":"https://github.com/citation-style-language/schema/raw/master/csl-citation.json"}</w:instrText>
      </w:r>
      <w:r w:rsidRPr="00CB3320">
        <w:fldChar w:fldCharType="separate"/>
      </w:r>
      <w:r w:rsidRPr="00CB3320">
        <w:rPr>
          <w:rFonts w:hint="eastAsia"/>
          <w:noProof/>
        </w:rPr>
        <w:t>(Zhu et al</w:t>
      </w:r>
      <w:r w:rsidRPr="00CB3320">
        <w:rPr>
          <w:rFonts w:hint="eastAsia"/>
          <w:noProof/>
        </w:rPr>
        <w:t>，</w:t>
      </w:r>
      <w:r w:rsidRPr="00CB3320">
        <w:rPr>
          <w:rFonts w:hint="eastAsia"/>
          <w:noProof/>
        </w:rPr>
        <w:t>2020</w:t>
      </w:r>
      <w:r w:rsidRPr="00CB3320">
        <w:rPr>
          <w:rFonts w:hint="eastAsia"/>
          <w:noProof/>
        </w:rPr>
        <w:t>；田友春等，</w:t>
      </w:r>
      <w:r w:rsidRPr="00CB3320">
        <w:rPr>
          <w:rFonts w:hint="eastAsia"/>
          <w:noProof/>
        </w:rPr>
        <w:t>2021</w:t>
      </w:r>
      <w:r w:rsidRPr="00CB3320">
        <w:rPr>
          <w:rFonts w:hint="eastAsia"/>
          <w:noProof/>
        </w:rPr>
        <w:t>；胡玉凤等，</w:t>
      </w:r>
      <w:r w:rsidRPr="00CB3320">
        <w:rPr>
          <w:rFonts w:hint="eastAsia"/>
          <w:noProof/>
        </w:rPr>
        <w:t>2020)</w:t>
      </w:r>
      <w:r w:rsidRPr="00CB3320">
        <w:fldChar w:fldCharType="end"/>
      </w:r>
      <w:r w:rsidRPr="00CB3320">
        <w:rPr>
          <w:rFonts w:hint="eastAsia"/>
        </w:rPr>
        <w:t>，研究结论也存在争议。因此，为了更好地理解这一问题，本文首先从理论层面阐明</w:t>
      </w:r>
      <w:proofErr w:type="gramStart"/>
      <w:r w:rsidRPr="00CB3320">
        <w:rPr>
          <w:rFonts w:hint="eastAsia"/>
        </w:rPr>
        <w:t>碳交易</w:t>
      </w:r>
      <w:proofErr w:type="gramEnd"/>
      <w:r w:rsidRPr="00CB3320">
        <w:rPr>
          <w:rFonts w:hint="eastAsia"/>
        </w:rPr>
        <w:t>对全要素生产率的影响。</w:t>
      </w:r>
    </w:p>
    <w:p w14:paraId="7BA061B5" w14:textId="3FD46B10" w:rsidR="00C61396" w:rsidRDefault="00E66086" w:rsidP="008266CB">
      <w:pPr>
        <w:pStyle w:val="2"/>
        <w:numPr>
          <w:ilvl w:val="0"/>
          <w:numId w:val="0"/>
        </w:numPr>
        <w:spacing w:before="163" w:after="81"/>
      </w:pPr>
      <w:r>
        <w:rPr>
          <w:rFonts w:hint="eastAsia"/>
        </w:rPr>
        <w:t>（一）</w:t>
      </w:r>
      <w:proofErr w:type="gramStart"/>
      <w:r w:rsidR="008D0815" w:rsidRPr="008D0815">
        <w:rPr>
          <w:rFonts w:hint="eastAsia"/>
        </w:rPr>
        <w:t>碳排放权</w:t>
      </w:r>
      <w:proofErr w:type="gramEnd"/>
      <w:r w:rsidR="008D0815" w:rsidRPr="008D0815">
        <w:rPr>
          <w:rFonts w:hint="eastAsia"/>
        </w:rPr>
        <w:t>交易试点</w:t>
      </w:r>
      <w:r w:rsidR="00616138">
        <w:rPr>
          <w:rFonts w:hint="eastAsia"/>
        </w:rPr>
        <w:t>与企业</w:t>
      </w:r>
      <w:r w:rsidR="007642F6">
        <w:rPr>
          <w:rFonts w:hint="eastAsia"/>
        </w:rPr>
        <w:t>全要素生产率</w:t>
      </w:r>
    </w:p>
    <w:p w14:paraId="6269B0C4" w14:textId="4AE0DC8B" w:rsidR="00082473" w:rsidRDefault="00C3167A" w:rsidP="00F14233">
      <w:pPr>
        <w:ind w:firstLine="420"/>
      </w:pPr>
      <w:proofErr w:type="gramStart"/>
      <w:r>
        <w:rPr>
          <w:rFonts w:hint="eastAsia"/>
        </w:rPr>
        <w:t>碳排放权</w:t>
      </w:r>
      <w:proofErr w:type="gramEnd"/>
      <w:r>
        <w:rPr>
          <w:rFonts w:hint="eastAsia"/>
        </w:rPr>
        <w:t>交易试点是基于市场机制的</w:t>
      </w:r>
      <w:proofErr w:type="gramStart"/>
      <w:r>
        <w:rPr>
          <w:rFonts w:hint="eastAsia"/>
        </w:rPr>
        <w:t>重要碳减排</w:t>
      </w:r>
      <w:proofErr w:type="gramEnd"/>
      <w:r>
        <w:rPr>
          <w:rFonts w:hint="eastAsia"/>
        </w:rPr>
        <w:t>措施</w:t>
      </w:r>
      <w:r w:rsidR="008F1494">
        <w:rPr>
          <w:rFonts w:hint="eastAsia"/>
        </w:rPr>
        <w:t>，政府设定</w:t>
      </w:r>
      <w:proofErr w:type="gramStart"/>
      <w:r w:rsidR="008F1494">
        <w:rPr>
          <w:rFonts w:hint="eastAsia"/>
        </w:rPr>
        <w:t>履约期碳排放</w:t>
      </w:r>
      <w:proofErr w:type="gramEnd"/>
      <w:r w:rsidR="008F1494">
        <w:rPr>
          <w:rFonts w:hint="eastAsia"/>
        </w:rPr>
        <w:t>总量控制目标，并以配额的形式分配给重点排放单位，获得配额的企业可以在二级市场上进行交易。</w:t>
      </w:r>
      <w:r>
        <w:rPr>
          <w:rFonts w:hint="eastAsia"/>
        </w:rPr>
        <w:t>新制度经济学的产权理论认为，</w:t>
      </w:r>
      <w:r w:rsidR="00AB7864">
        <w:rPr>
          <w:rFonts w:hint="eastAsia"/>
        </w:rPr>
        <w:t>在交易费用不为零的前提下，将界定的产权在市场上进行交易，由于产权明晰，市场主体为了降低交易费用，会通过市场化手段优化资源配置，而这种机制可以将公共产品的负外部性内生化，避免</w:t>
      </w:r>
      <w:r w:rsidR="003F67EC">
        <w:rPr>
          <w:rFonts w:hint="eastAsia"/>
        </w:rPr>
        <w:t>“</w:t>
      </w:r>
      <w:r w:rsidR="00AB7864">
        <w:rPr>
          <w:rFonts w:hint="eastAsia"/>
        </w:rPr>
        <w:t>公地悲剧</w:t>
      </w:r>
      <w:r w:rsidR="003F67EC">
        <w:rPr>
          <w:rFonts w:hint="eastAsia"/>
        </w:rPr>
        <w:t>”</w:t>
      </w:r>
      <w:r w:rsidR="00AB7864">
        <w:rPr>
          <w:rFonts w:hint="eastAsia"/>
        </w:rPr>
        <w:t>的发生</w:t>
      </w:r>
      <w:r w:rsidR="001B271C">
        <w:fldChar w:fldCharType="begin" w:fldLock="1"/>
      </w:r>
      <w:r w:rsidR="001B2C18">
        <w:rPr>
          <w:rFonts w:hint="eastAsia"/>
        </w:rPr>
        <w:instrText>ADDIN CSL_CITATION {"citationItems":[{"id":"ITEM-1","itemData":{"author":[{"dropping-particle":"","family":"</w:instrText>
      </w:r>
      <w:r w:rsidR="001B2C18">
        <w:rPr>
          <w:rFonts w:hint="eastAsia"/>
        </w:rPr>
        <w:instrText>刘传明</w:instrText>
      </w:r>
      <w:r w:rsidR="001B2C18">
        <w:rPr>
          <w:rFonts w:hint="eastAsia"/>
        </w:rPr>
        <w:instrText>","given":"","non-dropping-particle":"","parse-names":false,"suffix":""},{"dropping-particle":"","family":"</w:instrText>
      </w:r>
      <w:r w:rsidR="001B2C18">
        <w:rPr>
          <w:rFonts w:hint="eastAsia"/>
        </w:rPr>
        <w:instrText>孙喆</w:instrText>
      </w:r>
      <w:r w:rsidR="001B2C18">
        <w:rPr>
          <w:rFonts w:hint="eastAsia"/>
        </w:rPr>
        <w:instrText>","given":"","non-dropping-particle":"","parse-names":false,"suffix":""},{"dropping-particle":"","family":"</w:instrText>
      </w:r>
      <w:r w:rsidR="001B2C18">
        <w:rPr>
          <w:rFonts w:hint="eastAsia"/>
        </w:rPr>
        <w:instrText>张瑾</w:instrText>
      </w:r>
      <w:r w:rsidR="001B2C18">
        <w:rPr>
          <w:rFonts w:hint="eastAsia"/>
        </w:rPr>
        <w:instrText>","given":"","non-dropping-particle":"","parse-names":false,"suffix":""}],"container-title":"</w:instrText>
      </w:r>
      <w:r w:rsidR="001B2C18">
        <w:rPr>
          <w:rFonts w:hint="eastAsia"/>
        </w:rPr>
        <w:instrText>中国人口·资源与环境</w:instrText>
      </w:r>
      <w:r w:rsidR="001B2C18">
        <w:rPr>
          <w:rFonts w:hint="eastAsia"/>
        </w:rPr>
        <w:instrText>","id":"ITEM-1","issue":"11","issued":{"date-parts":[["2019"]]},"page":"49-58","title":"</w:instrText>
      </w:r>
      <w:r w:rsidR="001B2C18">
        <w:rPr>
          <w:rFonts w:hint="eastAsia"/>
        </w:rPr>
        <w:instrText>中国碳排放权交易试点的碳减排政策效应研究</w:instrText>
      </w:r>
      <w:r w:rsidR="001B2C18">
        <w:rPr>
          <w:rFonts w:hint="eastAsia"/>
        </w:rPr>
        <w:instrText>","type":"article-journal","volume":"29"},"uris":["http://www.mendeley.com/documents/?uuid=498472b4-bf85-43ea-b9c2-afc3cedcdd92"]}],"mendeley":{"formattedCitation":"(</w:instrText>
      </w:r>
      <w:r w:rsidR="001B2C18">
        <w:rPr>
          <w:rFonts w:hint="eastAsia"/>
        </w:rPr>
        <w:instrText>刘传明等</w:instrText>
      </w:r>
      <w:r w:rsidR="001B2C18">
        <w:rPr>
          <w:rFonts w:hint="eastAsia"/>
        </w:rPr>
        <w:instrText>, 2019)","manualFormatting":"(</w:instrText>
      </w:r>
      <w:r w:rsidR="001B2C18">
        <w:rPr>
          <w:rFonts w:hint="eastAsia"/>
        </w:rPr>
        <w:instrText>刘传明等，</w:instrText>
      </w:r>
      <w:r w:rsidR="001B2C18">
        <w:rPr>
          <w:rFonts w:hint="eastAsia"/>
        </w:rPr>
        <w:instrText>2019)","plainTextFormattedCitation":"(</w:instrText>
      </w:r>
      <w:r w:rsidR="001B2C18">
        <w:rPr>
          <w:rFonts w:hint="eastAsia"/>
        </w:rPr>
        <w:instrText>刘传明等</w:instrText>
      </w:r>
      <w:r w:rsidR="001B2C18">
        <w:rPr>
          <w:rFonts w:hint="eastAsia"/>
        </w:rPr>
        <w:instrText>, 2019)","previouslyFormattedCitation":"(</w:instrText>
      </w:r>
      <w:r w:rsidR="001B2C18">
        <w:rPr>
          <w:rFonts w:hint="eastAsia"/>
        </w:rPr>
        <w:instrText>刘传明等</w:instrText>
      </w:r>
      <w:r w:rsidR="001B2C18">
        <w:rPr>
          <w:rFonts w:hint="eastAsia"/>
        </w:rPr>
        <w:instrText>, 2019)"},"properties":{"noteIndex":0},"schema":"https://github.com/citation-style-language/schema/raw/master/csl-citation.json"}</w:instrText>
      </w:r>
      <w:r w:rsidR="001B271C">
        <w:fldChar w:fldCharType="separate"/>
      </w:r>
      <w:r w:rsidR="001B271C" w:rsidRPr="001B271C">
        <w:rPr>
          <w:rFonts w:hint="eastAsia"/>
          <w:noProof/>
        </w:rPr>
        <w:t>(</w:t>
      </w:r>
      <w:r w:rsidR="001B271C" w:rsidRPr="001B271C">
        <w:rPr>
          <w:rFonts w:hint="eastAsia"/>
          <w:noProof/>
        </w:rPr>
        <w:t>刘传明等</w:t>
      </w:r>
      <w:r w:rsidR="001B2C18">
        <w:rPr>
          <w:rFonts w:hint="eastAsia"/>
          <w:noProof/>
        </w:rPr>
        <w:t>，</w:t>
      </w:r>
      <w:r w:rsidR="001B271C" w:rsidRPr="001B271C">
        <w:rPr>
          <w:rFonts w:hint="eastAsia"/>
          <w:noProof/>
        </w:rPr>
        <w:t>2019)</w:t>
      </w:r>
      <w:r w:rsidR="001B271C">
        <w:fldChar w:fldCharType="end"/>
      </w:r>
      <w:r w:rsidR="00AB7864">
        <w:rPr>
          <w:rFonts w:hint="eastAsia"/>
        </w:rPr>
        <w:t>。</w:t>
      </w:r>
      <w:proofErr w:type="gramStart"/>
      <w:r w:rsidR="00E55857">
        <w:rPr>
          <w:rFonts w:hint="eastAsia"/>
        </w:rPr>
        <w:t>碳排放权</w:t>
      </w:r>
      <w:proofErr w:type="gramEnd"/>
      <w:r w:rsidR="00E55857">
        <w:rPr>
          <w:rFonts w:hint="eastAsia"/>
        </w:rPr>
        <w:t>交易</w:t>
      </w:r>
      <w:r w:rsidR="003F67EC" w:rsidRPr="003F67EC">
        <w:rPr>
          <w:rFonts w:hint="eastAsia"/>
        </w:rPr>
        <w:t>机制将二氧化碳排放权赋予商品属性，构建</w:t>
      </w:r>
      <w:proofErr w:type="gramStart"/>
      <w:r w:rsidR="003F67EC" w:rsidRPr="003F67EC">
        <w:rPr>
          <w:rFonts w:hint="eastAsia"/>
        </w:rPr>
        <w:t>了碳排放权</w:t>
      </w:r>
      <w:proofErr w:type="gramEnd"/>
      <w:r w:rsidR="003F67EC" w:rsidRPr="003F67EC">
        <w:rPr>
          <w:rFonts w:hint="eastAsia"/>
        </w:rPr>
        <w:t>定价机制，通过市场化手段引导企业进行选择成本</w:t>
      </w:r>
      <w:r w:rsidR="003F67EC">
        <w:rPr>
          <w:rFonts w:hint="eastAsia"/>
        </w:rPr>
        <w:t>最优</w:t>
      </w:r>
      <w:r w:rsidR="003F67EC" w:rsidRPr="003F67EC">
        <w:rPr>
          <w:rFonts w:hint="eastAsia"/>
        </w:rPr>
        <w:t>的减排手段，从而</w:t>
      </w:r>
      <w:r w:rsidR="003F67EC">
        <w:rPr>
          <w:rFonts w:hint="eastAsia"/>
        </w:rPr>
        <w:t>减少二氧化碳的排放</w:t>
      </w:r>
      <w:r w:rsidR="003F67EC" w:rsidRPr="003F67EC">
        <w:rPr>
          <w:rFonts w:hint="eastAsia"/>
        </w:rPr>
        <w:t>。</w:t>
      </w:r>
    </w:p>
    <w:p w14:paraId="243920DB" w14:textId="77777777" w:rsidR="00C8179F" w:rsidRDefault="00E55857" w:rsidP="00F14233">
      <w:pPr>
        <w:ind w:firstLine="420"/>
      </w:pPr>
      <w:proofErr w:type="gramStart"/>
      <w:r>
        <w:rPr>
          <w:rFonts w:hint="eastAsia"/>
        </w:rPr>
        <w:lastRenderedPageBreak/>
        <w:t>碳排放权</w:t>
      </w:r>
      <w:proofErr w:type="gramEnd"/>
      <w:r>
        <w:rPr>
          <w:rFonts w:hint="eastAsia"/>
        </w:rPr>
        <w:t>交易</w:t>
      </w:r>
      <w:r w:rsidR="003740ED">
        <w:rPr>
          <w:rFonts w:hint="eastAsia"/>
        </w:rPr>
        <w:t>试点政策是环境规制的一种，而关于环境规制与企业生产率的关系的探讨由来已久。传统的经济学</w:t>
      </w:r>
      <w:r w:rsidR="001B2C18">
        <w:rPr>
          <w:rFonts w:hint="eastAsia"/>
        </w:rPr>
        <w:t>理论</w:t>
      </w:r>
      <w:r w:rsidR="003740ED">
        <w:rPr>
          <w:rFonts w:hint="eastAsia"/>
        </w:rPr>
        <w:t>认为</w:t>
      </w:r>
      <w:r w:rsidR="0083348E">
        <w:rPr>
          <w:rFonts w:hint="eastAsia"/>
        </w:rPr>
        <w:t>环境保护</w:t>
      </w:r>
      <w:r w:rsidR="00734423">
        <w:rPr>
          <w:rFonts w:hint="eastAsia"/>
        </w:rPr>
        <w:t>会给</w:t>
      </w:r>
      <w:r w:rsidR="00866F7B">
        <w:rPr>
          <w:rFonts w:hint="eastAsia"/>
        </w:rPr>
        <w:t>企业带来额外的成本，从而侵蚀企业的国际竞争力。具体来看，类似于技术标准、环境税或可交易的排放权迫使企业不得不将一部分投入转移到污染减排部门，从而限制了企业对投入的选择、增加了企业生产的边际成本、分散了企业的生产性投资。而这类观点逐渐受到学者们的质疑，</w:t>
      </w:r>
      <w:r w:rsidR="00263649">
        <w:rPr>
          <w:rFonts w:hint="eastAsia"/>
        </w:rPr>
        <w:t>典型的代表是</w:t>
      </w:r>
      <w:r w:rsidR="00866F7B">
        <w:rPr>
          <w:rFonts w:hint="eastAsia"/>
        </w:rPr>
        <w:t>迈克尔</w:t>
      </w:r>
      <w:r w:rsidR="00263649">
        <w:rPr>
          <w:rFonts w:hint="eastAsia"/>
        </w:rPr>
        <w:t>·</w:t>
      </w:r>
      <w:r w:rsidR="00866F7B">
        <w:rPr>
          <w:rFonts w:hint="eastAsia"/>
        </w:rPr>
        <w:t>波特和其合作者</w:t>
      </w:r>
      <w:r w:rsidR="00263649">
        <w:rPr>
          <w:rFonts w:hint="eastAsia"/>
        </w:rPr>
        <w:t>提出的理论，他们认为，</w:t>
      </w:r>
      <w:r w:rsidR="006D13E1">
        <w:rPr>
          <w:rFonts w:hint="eastAsia"/>
        </w:rPr>
        <w:t>高估环境合</w:t>
      </w:r>
      <w:proofErr w:type="gramStart"/>
      <w:r w:rsidR="006D13E1">
        <w:rPr>
          <w:rFonts w:hint="eastAsia"/>
        </w:rPr>
        <w:t>规</w:t>
      </w:r>
      <w:proofErr w:type="gramEnd"/>
      <w:r w:rsidR="006D13E1">
        <w:rPr>
          <w:rFonts w:hint="eastAsia"/>
        </w:rPr>
        <w:t>成本的研究传统上侧重于静态成本影响，而忽视了创新带来的</w:t>
      </w:r>
      <w:proofErr w:type="gramStart"/>
      <w:r w:rsidR="006D13E1">
        <w:rPr>
          <w:rFonts w:hint="eastAsia"/>
        </w:rPr>
        <w:t>抵销</w:t>
      </w:r>
      <w:proofErr w:type="gramEnd"/>
      <w:r w:rsidR="006D13E1">
        <w:rPr>
          <w:rFonts w:hint="eastAsia"/>
        </w:rPr>
        <w:t>性生产力收益以及企业的初始竞争力</w:t>
      </w:r>
      <w:r w:rsidR="00AF32A7">
        <w:fldChar w:fldCharType="begin" w:fldLock="1"/>
      </w:r>
      <w:r w:rsidR="00AD38E5">
        <w:rPr>
          <w:rFonts w:hint="eastAsia"/>
        </w:rPr>
        <w:instrText>ADDIN CSL_CITATION {"citationItems":[{"id":"ITEM-1","itemData":{"ISBN":"0577-9154","abstract":"</w:instrText>
      </w:r>
      <w:r w:rsidR="00AD38E5">
        <w:rPr>
          <w:rFonts w:hint="eastAsia"/>
        </w:rPr>
        <w:instrText>节能减排对经济发展的影响是复杂的。本文设计了一个基于方向性距离函数的动态行为分析模型来对中国工业从现在到新中国成立</w:instrText>
      </w:r>
      <w:r w:rsidR="00AD38E5">
        <w:rPr>
          <w:rFonts w:hint="eastAsia"/>
        </w:rPr>
        <w:instrText>100</w:instrText>
      </w:r>
      <w:r w:rsidR="00AD38E5">
        <w:rPr>
          <w:rFonts w:hint="eastAsia"/>
        </w:rPr>
        <w:instrText>周年之际节能减排的损失和收益进行模拟分析</w:instrText>
      </w:r>
      <w:r w:rsidR="00AD38E5">
        <w:rPr>
          <w:rFonts w:hint="eastAsia"/>
        </w:rPr>
        <w:instrText>,</w:instrText>
      </w:r>
      <w:r w:rsidR="00AD38E5">
        <w:rPr>
          <w:rFonts w:hint="eastAsia"/>
        </w:rPr>
        <w:instrText>找到了通向中国未来双赢发展的最优节能减排路径。在此路径下</w:instrText>
      </w:r>
      <w:r w:rsidR="00AD38E5">
        <w:rPr>
          <w:rFonts w:hint="eastAsia"/>
        </w:rPr>
        <w:instrText>,</w:instrText>
      </w:r>
      <w:r w:rsidR="00AD38E5">
        <w:rPr>
          <w:rFonts w:hint="eastAsia"/>
        </w:rPr>
        <w:instrText>节能减排一开始确实会造成较大潜在生产损失</w:instrText>
      </w:r>
      <w:r w:rsidR="00AD38E5">
        <w:rPr>
          <w:rFonts w:hint="eastAsia"/>
        </w:rPr>
        <w:instrText>,</w:instrText>
      </w:r>
      <w:r w:rsidR="00AD38E5">
        <w:rPr>
          <w:rFonts w:hint="eastAsia"/>
        </w:rPr>
        <w:instrText>但这种损失会逐年降低</w:instrText>
      </w:r>
      <w:r w:rsidR="00AD38E5">
        <w:rPr>
          <w:rFonts w:hint="eastAsia"/>
        </w:rPr>
        <w:instrText>,</w:instrText>
      </w:r>
      <w:r w:rsidR="00AD38E5">
        <w:rPr>
          <w:rFonts w:hint="eastAsia"/>
        </w:rPr>
        <w:instrText>最终将低于潜在产出增长</w:instrText>
      </w:r>
      <w:r w:rsidR="00AD38E5">
        <w:rPr>
          <w:rFonts w:hint="eastAsia"/>
        </w:rPr>
        <w:instrText>,</w:instrText>
      </w:r>
      <w:r w:rsidR="00AD38E5">
        <w:rPr>
          <w:rFonts w:hint="eastAsia"/>
        </w:rPr>
        <w:instrText>双赢可期</w:instrText>
      </w:r>
      <w:r w:rsidR="00AD38E5">
        <w:rPr>
          <w:rFonts w:hint="eastAsia"/>
        </w:rPr>
        <w:instrText>;</w:instrText>
      </w:r>
      <w:r w:rsidR="00AD38E5">
        <w:rPr>
          <w:rFonts w:hint="eastAsia"/>
        </w:rPr>
        <w:instrText>节能减排虽然在前期对技术进步有负面影响</w:instrText>
      </w:r>
      <w:r w:rsidR="00AD38E5">
        <w:rPr>
          <w:rFonts w:hint="eastAsia"/>
        </w:rPr>
        <w:instrText>,</w:instrText>
      </w:r>
      <w:r w:rsidR="00AD38E5">
        <w:rPr>
          <w:rFonts w:hint="eastAsia"/>
        </w:rPr>
        <w:instrText>但由于前期较高的技术效率以及后期技术进步的主导作用</w:instrText>
      </w:r>
      <w:r w:rsidR="00AD38E5">
        <w:rPr>
          <w:rFonts w:hint="eastAsia"/>
        </w:rPr>
        <w:instrText>,</w:instrText>
      </w:r>
      <w:r w:rsidR="00AD38E5">
        <w:rPr>
          <w:rFonts w:hint="eastAsia"/>
        </w:rPr>
        <w:instrText>中国工业全要素生产率在未来</w:instrText>
      </w:r>
      <w:r w:rsidR="00AD38E5">
        <w:rPr>
          <w:rFonts w:hint="eastAsia"/>
        </w:rPr>
        <w:instrText>40</w:instrText>
      </w:r>
      <w:r w:rsidR="00AD38E5">
        <w:rPr>
          <w:rFonts w:hint="eastAsia"/>
        </w:rPr>
        <w:instrText>年将会保持逐年平稳小幅增长的态势。本文的预测支持了环境治理可导致环境和经济双赢发展的环境波特假说。</w:instrText>
      </w:r>
      <w:r w:rsidR="00AD38E5">
        <w:rPr>
          <w:rFonts w:hint="eastAsia"/>
        </w:rPr>
        <w:instrText>","author":[{"dropping-particle":"","family":"</w:instrText>
      </w:r>
      <w:r w:rsidR="00AD38E5">
        <w:rPr>
          <w:rFonts w:hint="eastAsia"/>
        </w:rPr>
        <w:instrText>陈诗一</w:instrText>
      </w:r>
      <w:r w:rsidR="00AD38E5">
        <w:rPr>
          <w:rFonts w:hint="eastAsia"/>
        </w:rPr>
        <w:instrText>","given":"","non-dropping-particle":"","parse-names":false,"suffix":""}],"container-title":"</w:instrText>
      </w:r>
      <w:r w:rsidR="00AD38E5">
        <w:rPr>
          <w:rFonts w:hint="eastAsia"/>
        </w:rPr>
        <w:instrText>经济研究</w:instrText>
      </w:r>
      <w:r w:rsidR="00AD38E5">
        <w:rPr>
          <w:rFonts w:hint="eastAsia"/>
        </w:rPr>
        <w:instrText>","id":"ITEM-1","issue":"03","issued":{"date-parts":[["2010"]]},"page":"129-143","title":"</w:instrText>
      </w:r>
      <w:r w:rsidR="00AD38E5">
        <w:rPr>
          <w:rFonts w:hint="eastAsia"/>
        </w:rPr>
        <w:instrText>节能减排与中国工业的双赢发展</w:instrText>
      </w:r>
      <w:r w:rsidR="00AD38E5">
        <w:rPr>
          <w:rFonts w:hint="eastAsia"/>
        </w:rPr>
        <w:instrText>:2009</w:instrText>
      </w:r>
      <w:r w:rsidR="00AD38E5">
        <w:rPr>
          <w:rFonts w:hint="eastAsia"/>
        </w:rPr>
        <w:instrText>—</w:instrText>
      </w:r>
      <w:r w:rsidR="00AD38E5">
        <w:rPr>
          <w:rFonts w:hint="eastAsia"/>
        </w:rPr>
        <w:instrText>2049","type":"article-journal","volume":"45"},"uris":["http://www.mendeley.com/documents/?uuid=85be9551-10da-4c55-821e-e635ff1244f6"]}],"mendeley":{"formattedCitation":"(</w:instrText>
      </w:r>
      <w:r w:rsidR="00AD38E5">
        <w:rPr>
          <w:rFonts w:hint="eastAsia"/>
        </w:rPr>
        <w:instrText>陈诗一</w:instrText>
      </w:r>
      <w:r w:rsidR="00AD38E5">
        <w:rPr>
          <w:rFonts w:hint="eastAsia"/>
        </w:rPr>
        <w:instrText>, 2010)","plainTextFormattedCitation":"(</w:instrText>
      </w:r>
      <w:r w:rsidR="00AD38E5">
        <w:rPr>
          <w:rFonts w:hint="eastAsia"/>
        </w:rPr>
        <w:instrText>陈诗一</w:instrText>
      </w:r>
      <w:r w:rsidR="00AD38E5">
        <w:rPr>
          <w:rFonts w:hint="eastAsia"/>
        </w:rPr>
        <w:instrText>, 2010)","previouslyFormattedCitation":"(</w:instrText>
      </w:r>
      <w:r w:rsidR="00AD38E5">
        <w:rPr>
          <w:rFonts w:hint="eastAsia"/>
        </w:rPr>
        <w:instrText>陈诗一</w:instrText>
      </w:r>
      <w:r w:rsidR="00AD38E5">
        <w:rPr>
          <w:rFonts w:hint="eastAsia"/>
        </w:rPr>
        <w:instrText>, 2010)"},"properties":{"noteIndex":0},"schema":"https://github.com/citation-style-language/schema/raw/master/csl-citation.json"}</w:instrText>
      </w:r>
      <w:r w:rsidR="00AF32A7">
        <w:fldChar w:fldCharType="separate"/>
      </w:r>
      <w:r w:rsidR="00AF32A7" w:rsidRPr="00AF32A7">
        <w:rPr>
          <w:rFonts w:hint="eastAsia"/>
          <w:noProof/>
        </w:rPr>
        <w:t>(</w:t>
      </w:r>
      <w:r w:rsidR="00AF32A7" w:rsidRPr="00AF32A7">
        <w:rPr>
          <w:rFonts w:hint="eastAsia"/>
          <w:noProof/>
        </w:rPr>
        <w:t>陈诗一</w:t>
      </w:r>
      <w:r w:rsidR="001B2C18">
        <w:rPr>
          <w:rFonts w:hint="eastAsia"/>
          <w:noProof/>
        </w:rPr>
        <w:t>，</w:t>
      </w:r>
      <w:r w:rsidR="00AF32A7" w:rsidRPr="00AF32A7">
        <w:rPr>
          <w:rFonts w:hint="eastAsia"/>
          <w:noProof/>
        </w:rPr>
        <w:t>2010)</w:t>
      </w:r>
      <w:r w:rsidR="00AF32A7">
        <w:fldChar w:fldCharType="end"/>
      </w:r>
      <w:r w:rsidR="006D13E1">
        <w:rPr>
          <w:rFonts w:hint="eastAsia"/>
        </w:rPr>
        <w:t>。</w:t>
      </w:r>
      <w:r w:rsidR="00263649">
        <w:rPr>
          <w:rFonts w:hint="eastAsia"/>
        </w:rPr>
        <w:t>污染是一种资源浪费，污染减</w:t>
      </w:r>
      <w:proofErr w:type="gramStart"/>
      <w:r w:rsidR="00263649">
        <w:rPr>
          <w:rFonts w:hint="eastAsia"/>
        </w:rPr>
        <w:t>排可能</w:t>
      </w:r>
      <w:proofErr w:type="gramEnd"/>
      <w:r w:rsidR="00263649">
        <w:rPr>
          <w:rFonts w:hint="eastAsia"/>
        </w:rPr>
        <w:t>会导致生产率的提升。更加严格但设计</w:t>
      </w:r>
      <w:r w:rsidR="00F6184A">
        <w:rPr>
          <w:rFonts w:hint="eastAsia"/>
        </w:rPr>
        <w:t>合理</w:t>
      </w:r>
      <w:r w:rsidR="00263649">
        <w:rPr>
          <w:rFonts w:hint="eastAsia"/>
        </w:rPr>
        <w:t>的环境规制</w:t>
      </w:r>
      <w:r w:rsidR="00F6184A">
        <w:rPr>
          <w:rFonts w:hint="eastAsia"/>
        </w:rPr>
        <w:t>（</w:t>
      </w:r>
      <w:r w:rsidR="00263649">
        <w:rPr>
          <w:rFonts w:hint="eastAsia"/>
        </w:rPr>
        <w:t>如环境税</w:t>
      </w:r>
      <w:r w:rsidR="00F6184A">
        <w:rPr>
          <w:rFonts w:hint="eastAsia"/>
        </w:rPr>
        <w:t>和限额交易排放配额等</w:t>
      </w:r>
      <w:r w:rsidR="00263649">
        <w:rPr>
          <w:rFonts w:hint="eastAsia"/>
        </w:rPr>
        <w:t>基于市场的</w:t>
      </w:r>
      <w:r w:rsidR="00F6184A">
        <w:rPr>
          <w:rFonts w:hint="eastAsia"/>
        </w:rPr>
        <w:t>规制）能够引致创新，</w:t>
      </w:r>
      <w:r w:rsidR="003811AC">
        <w:rPr>
          <w:rFonts w:hint="eastAsia"/>
        </w:rPr>
        <w:t>在多数情况下</w:t>
      </w:r>
      <w:r w:rsidR="00F6184A">
        <w:rPr>
          <w:rFonts w:hint="eastAsia"/>
        </w:rPr>
        <w:t>可以部分或全部抵消遵循</w:t>
      </w:r>
      <w:r w:rsidR="000059E1">
        <w:rPr>
          <w:rFonts w:hint="eastAsia"/>
        </w:rPr>
        <w:t>这些规制</w:t>
      </w:r>
      <w:r w:rsidR="00F6184A">
        <w:rPr>
          <w:rFonts w:hint="eastAsia"/>
        </w:rPr>
        <w:t>带来的成本</w:t>
      </w:r>
      <w:r w:rsidR="00AD38E5">
        <w:fldChar w:fldCharType="begin" w:fldLock="1"/>
      </w:r>
      <w:r w:rsidR="001B2C18">
        <w:instrText>ADDIN CSL_CITATION {"citationItems":[{"id":"ITEM-1","itemData":{"ISSN":"08953309","author":[{"dropping-particle":"","family":"Porter","given":"Michael E","non-dropping-particle":"","parse-names":false,"suffix":""},{"dropping-particle":"","family":"Linde","given":"Claas","non-dropping-particle":"van der","parse-names":false,"suffix":""}],"container-title":"The Journal of Economic Perspectives","id":"ITEM-1","issue":"4","issued":{"date-parts":[["1995","4"]]},"page":"97-118","publisher":"American Economic Association","title":"Toward a New Conception of the Environment-Competitiveness Relationship","type":"article-journal","volume":"9"},"uris":["http://www.mendeley.com/documents/?uuid=73e9dee9-3492-485f-aabc-51322167584f"]}],"mendeley":{"formattedCitation":"</w:instrText>
      </w:r>
      <w:r w:rsidR="001B2C18">
        <w:rPr>
          <w:rFonts w:hint="eastAsia"/>
        </w:rPr>
        <w:instrText>(Porter</w:instrText>
      </w:r>
      <w:r w:rsidR="001B2C18">
        <w:rPr>
          <w:rFonts w:hint="eastAsia"/>
        </w:rPr>
        <w:instrText>等</w:instrText>
      </w:r>
      <w:r w:rsidR="001B2C18">
        <w:rPr>
          <w:rFonts w:hint="eastAsia"/>
        </w:rPr>
        <w:instrText>, 1995)","manualFormatting":"(Porter et al</w:instrText>
      </w:r>
      <w:r w:rsidR="001B2C18">
        <w:rPr>
          <w:rFonts w:hint="eastAsia"/>
        </w:rPr>
        <w:instrText>，</w:instrText>
      </w:r>
      <w:r w:rsidR="001B2C18">
        <w:rPr>
          <w:rFonts w:hint="eastAsia"/>
        </w:rPr>
        <w:instrText>1995)","plainTextFormattedCitation":"(Porter</w:instrText>
      </w:r>
      <w:r w:rsidR="001B2C18">
        <w:rPr>
          <w:rFonts w:hint="eastAsia"/>
        </w:rPr>
        <w:instrText>等</w:instrText>
      </w:r>
      <w:r w:rsidR="001B2C18">
        <w:rPr>
          <w:rFonts w:hint="eastAsia"/>
        </w:rPr>
        <w:instrText>, 1995)","previouslyFormattedCitation":"(Porter</w:instrText>
      </w:r>
      <w:r w:rsidR="001B2C18">
        <w:rPr>
          <w:rFonts w:hint="eastAsia"/>
        </w:rPr>
        <w:instrText>等</w:instrText>
      </w:r>
      <w:r w:rsidR="001B2C18">
        <w:rPr>
          <w:rFonts w:hint="eastAsia"/>
        </w:rPr>
        <w:instrText>, 1995)"},"properties":{"noteIndex":0},"schema":"https://github.com/citation-style-language/schema/raw/master/c</w:instrText>
      </w:r>
      <w:r w:rsidR="001B2C18">
        <w:instrText>sl-citation.json"}</w:instrText>
      </w:r>
      <w:r w:rsidR="00AD38E5">
        <w:fldChar w:fldCharType="separate"/>
      </w:r>
      <w:r w:rsidR="00AD38E5" w:rsidRPr="00AD38E5">
        <w:rPr>
          <w:rFonts w:hint="eastAsia"/>
          <w:noProof/>
        </w:rPr>
        <w:t>(Porter</w:t>
      </w:r>
      <w:r w:rsidR="001B2C18">
        <w:rPr>
          <w:rFonts w:hint="eastAsia"/>
          <w:noProof/>
        </w:rPr>
        <w:t xml:space="preserve"> </w:t>
      </w:r>
      <w:r w:rsidR="001B2C18">
        <w:rPr>
          <w:noProof/>
        </w:rPr>
        <w:t>et al</w:t>
      </w:r>
      <w:r w:rsidR="001B2C18">
        <w:rPr>
          <w:rFonts w:hint="eastAsia"/>
          <w:noProof/>
        </w:rPr>
        <w:t>，</w:t>
      </w:r>
      <w:r w:rsidR="00AD38E5" w:rsidRPr="00AD38E5">
        <w:rPr>
          <w:rFonts w:hint="eastAsia"/>
          <w:noProof/>
        </w:rPr>
        <w:t>1995)</w:t>
      </w:r>
      <w:r w:rsidR="00AD38E5">
        <w:fldChar w:fldCharType="end"/>
      </w:r>
      <w:r w:rsidR="000059E1">
        <w:rPr>
          <w:rFonts w:hint="eastAsia"/>
        </w:rPr>
        <w:t>。</w:t>
      </w:r>
      <w:r w:rsidR="00DB19EF">
        <w:rPr>
          <w:rFonts w:hint="eastAsia"/>
        </w:rPr>
        <w:t>以上观点及其后续研究被称作“波特假说”。</w:t>
      </w:r>
    </w:p>
    <w:p w14:paraId="127AD8FD" w14:textId="150F83EF" w:rsidR="00091638" w:rsidRDefault="00DB19EF" w:rsidP="00F14233">
      <w:pPr>
        <w:ind w:firstLine="420"/>
      </w:pPr>
      <w:r>
        <w:rPr>
          <w:rFonts w:hint="eastAsia"/>
        </w:rPr>
        <w:t>“波特假说”又可以被分解为“弱波特假说”、“强波特假说”和“狭义波特假说”</w:t>
      </w:r>
      <w:r w:rsidR="00101C56">
        <w:fldChar w:fldCharType="begin" w:fldLock="1"/>
      </w:r>
      <w:r w:rsidR="001B2C18">
        <w:instrText>ADDIN CSL_CITATION {"citationItems":[{"id":"ITEM-1","itemData":{"DOI":"10.1162/003465397557196","ISSN":"00346535","abstract":"In a 1991 essay in Scientific American, Michael Porter suggested that environmental regulation may have a positive effect on the performance of domestic firms relative to their foreign competitors by stimulating domestic innovation. We examine the stylized facts regarding environmental expenditures and innovation in a panel of manufacturing industries. We find that lagged environmental compliance expenditures have a significant positive effect on R&amp;D expenditures when we control for unobserved industry-specific effects. We find little evidence, however, that industries' inventive output (as measured by successful patent applications) is related to compliance costs.","author":[{"dropping-particle":"","family":"Jaffe","given":"Adam B.","non-dropping-particle":"","parse-names":false,"suffix":""},{"dropping-particle":"","family":"Palmer","given":"Karen","non-dropping-particle":"","parse-names":false,"suffix":""}],"container-title":"Review of Economics and Statistics","id":"ITEM-1","issue":"4","issued":{"date-parts":[["1997"]]},"page":"610-619","title":"Environmental regulation and innovation: A panel data study","type":"article-journal</w:instrText>
      </w:r>
      <w:r w:rsidR="001B2C18">
        <w:rPr>
          <w:rFonts w:hint="eastAsia"/>
        </w:rPr>
        <w:instrText>","volume":"79"},"uris":["http://www.mendeley.com/documents/?uuid=a517b0ea-9a02-4a25-8806-3ba8673ea830"]}],"mendeley":{"formattedCitation":"(Jaffe</w:instrText>
      </w:r>
      <w:r w:rsidR="001B2C18">
        <w:rPr>
          <w:rFonts w:hint="eastAsia"/>
        </w:rPr>
        <w:instrText>等</w:instrText>
      </w:r>
      <w:r w:rsidR="001B2C18">
        <w:rPr>
          <w:rFonts w:hint="eastAsia"/>
        </w:rPr>
        <w:instrText>, 1997)","manualFormatting":"(Jaffe et al</w:instrText>
      </w:r>
      <w:r w:rsidR="001B2C18">
        <w:rPr>
          <w:rFonts w:hint="eastAsia"/>
        </w:rPr>
        <w:instrText>，</w:instrText>
      </w:r>
      <w:r w:rsidR="001B2C18">
        <w:rPr>
          <w:rFonts w:hint="eastAsia"/>
        </w:rPr>
        <w:instrText>1997)","plainTextFormattedCitation":"(Jaffe</w:instrText>
      </w:r>
      <w:r w:rsidR="001B2C18">
        <w:rPr>
          <w:rFonts w:hint="eastAsia"/>
        </w:rPr>
        <w:instrText>等</w:instrText>
      </w:r>
      <w:r w:rsidR="001B2C18">
        <w:rPr>
          <w:rFonts w:hint="eastAsia"/>
        </w:rPr>
        <w:instrText>, 1997)","previouslyFormattedCitation":"(Jaffe</w:instrText>
      </w:r>
      <w:r w:rsidR="001B2C18">
        <w:rPr>
          <w:rFonts w:hint="eastAsia"/>
        </w:rPr>
        <w:instrText>等</w:instrText>
      </w:r>
      <w:r w:rsidR="001B2C18">
        <w:rPr>
          <w:rFonts w:hint="eastAsia"/>
        </w:rPr>
        <w:instrText>, 1997)"},"properties":{"noteIndex":0},"schema":"https://github.com/citation-style-language/schema/raw/master/csl-citation.json"}</w:instrText>
      </w:r>
      <w:r w:rsidR="00101C56">
        <w:fldChar w:fldCharType="separate"/>
      </w:r>
      <w:r w:rsidR="00101C56" w:rsidRPr="00101C56">
        <w:rPr>
          <w:rFonts w:hint="eastAsia"/>
          <w:noProof/>
        </w:rPr>
        <w:t>(Jaffe</w:t>
      </w:r>
      <w:r w:rsidR="001B2C18" w:rsidRPr="001B2C18">
        <w:rPr>
          <w:noProof/>
        </w:rPr>
        <w:t xml:space="preserve"> </w:t>
      </w:r>
      <w:r w:rsidR="001B2C18">
        <w:rPr>
          <w:noProof/>
        </w:rPr>
        <w:t>et al</w:t>
      </w:r>
      <w:r w:rsidR="001B2C18">
        <w:rPr>
          <w:rFonts w:hint="eastAsia"/>
          <w:noProof/>
        </w:rPr>
        <w:t>，</w:t>
      </w:r>
      <w:r w:rsidR="00101C56" w:rsidRPr="00101C56">
        <w:rPr>
          <w:rFonts w:hint="eastAsia"/>
          <w:noProof/>
        </w:rPr>
        <w:t>1997)</w:t>
      </w:r>
      <w:r w:rsidR="00101C56">
        <w:fldChar w:fldCharType="end"/>
      </w:r>
      <w:r>
        <w:rPr>
          <w:rFonts w:hint="eastAsia"/>
        </w:rPr>
        <w:t>。“弱波特假说”表明设计合理的环境规制将会引致创新，但不确定其对企业的作用；“强波特假说”</w:t>
      </w:r>
      <w:r w:rsidR="004014DA">
        <w:rPr>
          <w:rFonts w:hint="eastAsia"/>
        </w:rPr>
        <w:t>表明设计合理的环境规制往往会导致超过其合</w:t>
      </w:r>
      <w:proofErr w:type="gramStart"/>
      <w:r w:rsidR="004014DA">
        <w:rPr>
          <w:rFonts w:hint="eastAsia"/>
        </w:rPr>
        <w:t>规</w:t>
      </w:r>
      <w:proofErr w:type="gramEnd"/>
      <w:r w:rsidR="004014DA">
        <w:rPr>
          <w:rFonts w:hint="eastAsia"/>
        </w:rPr>
        <w:t>成本的创新，即，环境规制往往能提升企业的生产率和竞争力。“狭义波特假说”则表明</w:t>
      </w:r>
      <w:r w:rsidR="00FA56AA">
        <w:rPr>
          <w:rFonts w:hint="eastAsia"/>
        </w:rPr>
        <w:t>只有确定类型的环境规制可以刺激创新，</w:t>
      </w:r>
      <w:r w:rsidR="004014DA">
        <w:rPr>
          <w:rFonts w:hint="eastAsia"/>
        </w:rPr>
        <w:t>灵活的环境规制</w:t>
      </w:r>
      <w:r w:rsidR="00A82F95">
        <w:rPr>
          <w:rFonts w:hint="eastAsia"/>
        </w:rPr>
        <w:t>比规范性环境规制能更好地刺激企业创新</w:t>
      </w:r>
      <w:r w:rsidR="009536B3">
        <w:fldChar w:fldCharType="begin" w:fldLock="1"/>
      </w:r>
      <w:r w:rsidR="001B2C18">
        <w:instrText>ADDIN CSL_CITATION {"citationItems":[{"id":"ITEM-1","itemData":{"DOI":"10.1093/reep/res016","ISSN":"1750-6816","author":[{"dropping-particle":"","family":"Ambec","given":"Stefan","non-dropping-particle":"","parse-names":false,"suffix":""},{"dropping-particle":"","family":"Cohen","given":"Mark A.","non-dropping-particle":"","parse-names":false,"suffix":""},{"dropping-particle":"","family":"Elgie","given":"Stewart","non-dropping-particle":"","parse-names":false,"suffix":""},{"dropping-particle":"","family":"Lanoie","given":"Paul","non-dropping-particle":"","parse-names":false,"suffix":""}],"container-title":"Review of Environmental Economics and Policy","id":"ITEM-1","issue":"1","issued":{"date-parts":[["2013","1","1"]]},"page":"2-22","title":"The Porter Hy</w:instrText>
      </w:r>
      <w:r w:rsidR="001B2C18">
        <w:rPr>
          <w:rFonts w:hint="eastAsia"/>
        </w:rPr>
        <w:instrText>pothesis at 20: Can Environmental Regulation Enhance Innovation and Competitiveness?","type":"article-journal","volume":"7"},"uris":["http://www.mendeley.com/documents/?uuid=cac79c0e-52ef-42cc-ac39-dfc352eb715e"]}],"mendeley":{"formattedCitation":"(Ambec</w:instrText>
      </w:r>
      <w:r w:rsidR="001B2C18">
        <w:rPr>
          <w:rFonts w:hint="eastAsia"/>
        </w:rPr>
        <w:instrText>等</w:instrText>
      </w:r>
      <w:r w:rsidR="001B2C18">
        <w:rPr>
          <w:rFonts w:hint="eastAsia"/>
        </w:rPr>
        <w:instrText>, 2013)","manualFormatting":"(Ambec et al</w:instrText>
      </w:r>
      <w:r w:rsidR="001B2C18">
        <w:rPr>
          <w:rFonts w:hint="eastAsia"/>
        </w:rPr>
        <w:instrText>，</w:instrText>
      </w:r>
      <w:r w:rsidR="001B2C18">
        <w:rPr>
          <w:rFonts w:hint="eastAsia"/>
        </w:rPr>
        <w:instrText>2013)","plainTextFormattedCitation":"(Ambec</w:instrText>
      </w:r>
      <w:r w:rsidR="001B2C18">
        <w:rPr>
          <w:rFonts w:hint="eastAsia"/>
        </w:rPr>
        <w:instrText>等</w:instrText>
      </w:r>
      <w:r w:rsidR="001B2C18">
        <w:rPr>
          <w:rFonts w:hint="eastAsia"/>
        </w:rPr>
        <w:instrText>, 2013)","previouslyFormattedCitation":"(Ambec</w:instrText>
      </w:r>
      <w:r w:rsidR="001B2C18">
        <w:rPr>
          <w:rFonts w:hint="eastAsia"/>
        </w:rPr>
        <w:instrText>等</w:instrText>
      </w:r>
      <w:r w:rsidR="001B2C18">
        <w:rPr>
          <w:rFonts w:hint="eastAsia"/>
        </w:rPr>
        <w:instrText>, 2013)"},"properties":{"noteIndex":0},"schema":"https://github.com/citation-style-language/schema/raw/master/csl-citation</w:instrText>
      </w:r>
      <w:r w:rsidR="001B2C18">
        <w:instrText>.json"}</w:instrText>
      </w:r>
      <w:r w:rsidR="009536B3">
        <w:fldChar w:fldCharType="separate"/>
      </w:r>
      <w:r w:rsidR="009536B3" w:rsidRPr="009536B3">
        <w:rPr>
          <w:rFonts w:hint="eastAsia"/>
          <w:noProof/>
        </w:rPr>
        <w:t>(Ambec</w:t>
      </w:r>
      <w:r w:rsidR="001B2C18" w:rsidRPr="001B2C18">
        <w:rPr>
          <w:noProof/>
        </w:rPr>
        <w:t xml:space="preserve"> </w:t>
      </w:r>
      <w:r w:rsidR="001B2C18">
        <w:rPr>
          <w:noProof/>
        </w:rPr>
        <w:t>et al</w:t>
      </w:r>
      <w:r w:rsidR="001B2C18">
        <w:rPr>
          <w:rFonts w:hint="eastAsia"/>
          <w:noProof/>
        </w:rPr>
        <w:t>，</w:t>
      </w:r>
      <w:r w:rsidR="009536B3" w:rsidRPr="009536B3">
        <w:rPr>
          <w:rFonts w:hint="eastAsia"/>
          <w:noProof/>
        </w:rPr>
        <w:t>2013)</w:t>
      </w:r>
      <w:r w:rsidR="009536B3">
        <w:fldChar w:fldCharType="end"/>
      </w:r>
      <w:r w:rsidR="00A82F95">
        <w:rPr>
          <w:rFonts w:hint="eastAsia"/>
        </w:rPr>
        <w:t>。</w:t>
      </w:r>
      <w:r w:rsidR="00205A2B">
        <w:rPr>
          <w:rFonts w:hint="eastAsia"/>
        </w:rPr>
        <w:t>根据“强波特假说”</w:t>
      </w:r>
      <w:r w:rsidR="00315081">
        <w:rPr>
          <w:rFonts w:hint="eastAsia"/>
        </w:rPr>
        <w:t>理论</w:t>
      </w:r>
      <w:r w:rsidR="00205A2B">
        <w:rPr>
          <w:rFonts w:hint="eastAsia"/>
        </w:rPr>
        <w:t>，设计合理的环境规制在某些情况下</w:t>
      </w:r>
      <w:proofErr w:type="gramStart"/>
      <w:r w:rsidR="00205A2B">
        <w:rPr>
          <w:rFonts w:hint="eastAsia"/>
        </w:rPr>
        <w:t>能带来帕累</w:t>
      </w:r>
      <w:proofErr w:type="gramEnd"/>
      <w:r w:rsidR="00205A2B">
        <w:rPr>
          <w:rFonts w:hint="eastAsia"/>
        </w:rPr>
        <w:t>托改进，通过流程改进和产品质量的提升，同时克服企业自身存在的信息不对称、组织或市场失灵等问题导致的非最优决策，帮助企业识别出对资源的低效率使用，打开环境保护和企业生产率提升的双赢局面。</w:t>
      </w:r>
    </w:p>
    <w:p w14:paraId="706C1BFC" w14:textId="55D259B1" w:rsidR="005B1161" w:rsidRPr="00CB3320" w:rsidRDefault="00E55857" w:rsidP="00F14233">
      <w:pPr>
        <w:ind w:firstLine="420"/>
      </w:pPr>
      <w:proofErr w:type="gramStart"/>
      <w:r>
        <w:rPr>
          <w:rFonts w:hint="eastAsia"/>
        </w:rPr>
        <w:t>碳排放权</w:t>
      </w:r>
      <w:proofErr w:type="gramEnd"/>
      <w:r>
        <w:rPr>
          <w:rFonts w:hint="eastAsia"/>
        </w:rPr>
        <w:t>交易</w:t>
      </w:r>
      <w:r w:rsidR="00BA2776">
        <w:rPr>
          <w:rFonts w:hint="eastAsia"/>
        </w:rPr>
        <w:t>对企业全要素生产率的作用机制</w:t>
      </w:r>
      <w:r>
        <w:rPr>
          <w:rFonts w:hint="eastAsia"/>
        </w:rPr>
        <w:t>从理论层面符合</w:t>
      </w:r>
      <w:r w:rsidR="00BA2776">
        <w:rPr>
          <w:rFonts w:hint="eastAsia"/>
        </w:rPr>
        <w:t>“强波特假说”</w:t>
      </w:r>
      <w:r w:rsidR="0054406E">
        <w:rPr>
          <w:rFonts w:hint="eastAsia"/>
        </w:rPr>
        <w:t>，该理论肯定</w:t>
      </w:r>
      <w:r w:rsidR="009536B3">
        <w:rPr>
          <w:rFonts w:hint="eastAsia"/>
        </w:rPr>
        <w:t>了</w:t>
      </w:r>
      <w:r w:rsidR="0054406E">
        <w:rPr>
          <w:rFonts w:hint="eastAsia"/>
        </w:rPr>
        <w:t>环境规制往往能够带来企业创新，但不代表情况总是如此，它也承认遵循环境规制会带来合</w:t>
      </w:r>
      <w:proofErr w:type="gramStart"/>
      <w:r w:rsidR="0054406E">
        <w:rPr>
          <w:rFonts w:hint="eastAsia"/>
        </w:rPr>
        <w:t>规</w:t>
      </w:r>
      <w:proofErr w:type="gramEnd"/>
      <w:r w:rsidR="0054406E">
        <w:rPr>
          <w:rFonts w:hint="eastAsia"/>
        </w:rPr>
        <w:t>成本</w:t>
      </w:r>
      <w:r>
        <w:rPr>
          <w:rFonts w:hint="eastAsia"/>
        </w:rPr>
        <w:t>。</w:t>
      </w:r>
      <w:r w:rsidR="0054406E">
        <w:rPr>
          <w:rFonts w:hint="eastAsia"/>
        </w:rPr>
        <w:t>为此</w:t>
      </w:r>
      <w:r>
        <w:rPr>
          <w:rFonts w:hint="eastAsia"/>
        </w:rPr>
        <w:t>，本文还进行了该作用机制的模型推导</w:t>
      </w:r>
      <w:r w:rsidR="0054406E">
        <w:rPr>
          <w:rFonts w:hint="eastAsia"/>
        </w:rPr>
        <w:t>并提出不同</w:t>
      </w:r>
      <w:r w:rsidR="00CC74D1">
        <w:rPr>
          <w:rFonts w:hint="eastAsia"/>
        </w:rPr>
        <w:t>情形</w:t>
      </w:r>
      <w:r w:rsidR="0054406E">
        <w:rPr>
          <w:rFonts w:hint="eastAsia"/>
        </w:rPr>
        <w:t>下的</w:t>
      </w:r>
      <w:r w:rsidR="00392420">
        <w:rPr>
          <w:rFonts w:hint="eastAsia"/>
        </w:rPr>
        <w:t>研究</w:t>
      </w:r>
      <w:r w:rsidR="0054406E">
        <w:rPr>
          <w:rFonts w:hint="eastAsia"/>
        </w:rPr>
        <w:t>假说</w:t>
      </w:r>
      <w:r>
        <w:rPr>
          <w:rFonts w:hint="eastAsia"/>
        </w:rPr>
        <w:t>：</w:t>
      </w:r>
      <w:r w:rsidR="005B1161" w:rsidRPr="00CB3320">
        <w:rPr>
          <w:rFonts w:hint="eastAsia"/>
        </w:rPr>
        <w:t>根据索洛经济增长模型，假设有如下柯布道格拉斯（</w:t>
      </w:r>
      <w:r w:rsidR="005B1161" w:rsidRPr="00CB3320">
        <w:rPr>
          <w:rFonts w:hint="eastAsia"/>
        </w:rPr>
        <w:t>CD</w:t>
      </w:r>
      <w:r w:rsidR="005B1161" w:rsidRPr="00CB3320">
        <w:rPr>
          <w:rFonts w:hint="eastAsia"/>
        </w:rPr>
        <w:t>）生产函数，假设资本和劳动力投入是严格外生的：</w:t>
      </w:r>
    </w:p>
    <w:p w14:paraId="7E7A8316" w14:textId="77777777" w:rsidR="005B1161" w:rsidRPr="00CB3320" w:rsidRDefault="005B1161" w:rsidP="00C422C0">
      <w:pPr>
        <w:pStyle w:val="a3"/>
      </w:pPr>
      <w:r w:rsidRPr="00CB3320">
        <w:tab/>
      </w:r>
      <m:oMath>
        <m:sSub>
          <m:sSubPr>
            <m:ctrlPr>
              <w:rPr>
                <w:rFonts w:ascii="Cambria Math" w:hAnsi="Cambria Math"/>
                <w:iCs/>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iCs/>
              </w:rPr>
            </m:ctrlPr>
          </m:sSubPr>
          <m:e>
            <m:r>
              <w:rPr>
                <w:rFonts w:ascii="Cambria Math" w:hAnsi="Cambria Math"/>
              </w:rPr>
              <m:t>b</m:t>
            </m:r>
          </m:e>
          <m:sub>
            <m:r>
              <w:rPr>
                <w:rFonts w:ascii="Cambria Math" w:hAnsi="Cambria Math"/>
              </w:rPr>
              <m:t>i</m:t>
            </m:r>
          </m:sub>
        </m:sSub>
        <m:sSup>
          <m:sSupPr>
            <m:ctrlPr>
              <w:rPr>
                <w:rFonts w:ascii="Cambria Math" w:hAnsi="Cambria Math"/>
              </w:rPr>
            </m:ctrlPr>
          </m:sSupPr>
          <m:e>
            <m:sSub>
              <m:sSubPr>
                <m:ctrlPr>
                  <w:rPr>
                    <w:rFonts w:ascii="Cambria Math" w:hAnsi="Cambria Math"/>
                  </w:rPr>
                </m:ctrlPr>
              </m:sSubPr>
              <m:e>
                <m:r>
                  <w:rPr>
                    <w:rFonts w:ascii="Cambria Math" w:hAnsi="Cambria Math"/>
                  </w:rPr>
                  <m:t>L</m:t>
                </m:r>
              </m:e>
              <m:sub>
                <m:r>
                  <w:rPr>
                    <w:rFonts w:ascii="Cambria Math" w:hAnsi="Cambria Math"/>
                  </w:rPr>
                  <m:t>i</m:t>
                </m:r>
                <m:r>
                  <m:rPr>
                    <m:sty m:val="p"/>
                  </m:rPr>
                  <w:rPr>
                    <w:rFonts w:ascii="Cambria Math" w:hAnsi="Cambria Math"/>
                  </w:rPr>
                  <m:t>,</m:t>
                </m:r>
                <m:r>
                  <w:rPr>
                    <w:rFonts w:ascii="Cambria Math" w:hAnsi="Cambria Math"/>
                  </w:rPr>
                  <m:t>t</m:t>
                </m:r>
              </m:sub>
            </m:sSub>
          </m:e>
          <m:sup>
            <m:sSub>
              <m:sSubPr>
                <m:ctrlPr>
                  <w:rPr>
                    <w:rFonts w:ascii="Cambria Math" w:hAnsi="Cambria Math"/>
                    <w:iCs/>
                  </w:rPr>
                </m:ctrlPr>
              </m:sSubPr>
              <m:e>
                <m:r>
                  <w:rPr>
                    <w:rFonts w:ascii="Cambria Math" w:hAnsi="Cambria Math"/>
                  </w:rPr>
                  <m:t>β</m:t>
                </m:r>
              </m:e>
              <m:sub>
                <m:r>
                  <m:rPr>
                    <m:sty m:val="p"/>
                  </m:rPr>
                  <w:rPr>
                    <w:rFonts w:ascii="Cambria Math" w:hAnsi="Cambria Math"/>
                  </w:rPr>
                  <m:t>1</m:t>
                </m:r>
              </m:sub>
            </m:sSub>
          </m:sup>
        </m:sSup>
        <m:sSup>
          <m:sSupPr>
            <m:ctrlPr>
              <w:rPr>
                <w:rFonts w:ascii="Cambria Math" w:hAnsi="Cambria Math"/>
              </w:rPr>
            </m:ctrlPr>
          </m:sSupPr>
          <m:e>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sub>
            </m:sSub>
          </m:e>
          <m:sup>
            <m:sSub>
              <m:sSubPr>
                <m:ctrlPr>
                  <w:rPr>
                    <w:rFonts w:ascii="Cambria Math" w:hAnsi="Cambria Math"/>
                    <w:iCs/>
                  </w:rPr>
                </m:ctrlPr>
              </m:sSubPr>
              <m:e>
                <m:r>
                  <w:rPr>
                    <w:rFonts w:ascii="Cambria Math" w:hAnsi="Cambria Math"/>
                  </w:rPr>
                  <m:t>β</m:t>
                </m:r>
              </m:e>
              <m:sub>
                <m:r>
                  <m:rPr>
                    <m:sty m:val="p"/>
                  </m:rPr>
                  <w:rPr>
                    <w:rFonts w:ascii="Cambria Math" w:hAnsi="Cambria Math"/>
                  </w:rPr>
                  <m:t>2</m:t>
                </m:r>
              </m:sub>
            </m:sSub>
          </m:sup>
        </m:sSup>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Pr="00CB3320">
        <w:rPr>
          <w:noProof/>
        </w:rPr>
        <w:t>1</w:t>
      </w:r>
      <w:r w:rsidRPr="00CB3320">
        <w:rPr>
          <w:noProof/>
        </w:rPr>
        <w:fldChar w:fldCharType="end"/>
      </w:r>
      <w:r w:rsidRPr="00CB3320">
        <w:t>)</w:t>
      </w:r>
    </w:p>
    <w:p w14:paraId="3D03DC9A" w14:textId="77777777" w:rsidR="005B1161" w:rsidRPr="00CB3320" w:rsidRDefault="005B1161" w:rsidP="00F14233">
      <w:pPr>
        <w:ind w:firstLine="420"/>
      </w:pPr>
      <w:r w:rsidRPr="00CB3320">
        <w:rPr>
          <w:rFonts w:hint="eastAsia"/>
        </w:rPr>
        <w:t>其中</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CB3320">
        <w:rPr>
          <w:rFonts w:hint="eastAsia"/>
        </w:rPr>
        <w:t>表示总产出，</w:t>
      </w:r>
      <m:oMath>
        <m:sSub>
          <m:sSubPr>
            <m:ctrlPr>
              <w:rPr>
                <w:rFonts w:ascii="Cambria Math" w:hAnsi="Cambria Math"/>
                <w:i/>
              </w:rPr>
            </m:ctrlPr>
          </m:sSubPr>
          <m:e>
            <m:r>
              <w:rPr>
                <w:rFonts w:ascii="Cambria Math" w:hAnsi="Cambria Math"/>
              </w:rPr>
              <m:t>L</m:t>
            </m:r>
          </m:e>
          <m:sub>
            <m:r>
              <w:rPr>
                <w:rFonts w:ascii="Cambria Math" w:hAnsi="Cambria Math"/>
              </w:rPr>
              <m:t>i,t</m:t>
            </m:r>
          </m:sub>
        </m:sSub>
      </m:oMath>
      <w:r w:rsidRPr="00CB3320">
        <w:rPr>
          <w:rFonts w:hint="eastAsia"/>
        </w:rPr>
        <w:t>和</w:t>
      </w:r>
      <m:oMath>
        <m:sSub>
          <m:sSubPr>
            <m:ctrlPr>
              <w:rPr>
                <w:rFonts w:ascii="Cambria Math" w:hAnsi="Cambria Math"/>
                <w:i/>
              </w:rPr>
            </m:ctrlPr>
          </m:sSubPr>
          <m:e>
            <m:r>
              <w:rPr>
                <w:rFonts w:ascii="Cambria Math" w:hAnsi="Cambria Math"/>
              </w:rPr>
              <m:t>K</m:t>
            </m:r>
          </m:e>
          <m:sub>
            <m:r>
              <w:rPr>
                <w:rFonts w:ascii="Cambria Math" w:hAnsi="Cambria Math"/>
              </w:rPr>
              <m:t>i,t</m:t>
            </m:r>
          </m:sub>
        </m:sSub>
      </m:oMath>
      <w:r w:rsidRPr="00CB3320">
        <w:rPr>
          <w:rFonts w:hint="eastAsia"/>
        </w:rPr>
        <w:t>分别表示劳动力和资本投入。</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CB3320">
        <w:rPr>
          <w:rFonts w:hint="eastAsia"/>
        </w:rPr>
        <w:t>可以理解为全要素生产率。</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CB3320">
        <w:rPr>
          <w:rFonts w:hint="eastAsia"/>
        </w:rPr>
        <w:t>和</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Pr="00CB3320">
        <w:rPr>
          <w:rFonts w:hint="eastAsia"/>
        </w:rPr>
        <w:t>代表劳动力和资本的产出弹性。</w:t>
      </w:r>
    </w:p>
    <w:p w14:paraId="5832D24A" w14:textId="77777777" w:rsidR="005B1161" w:rsidRPr="00CB3320" w:rsidRDefault="005B1161" w:rsidP="00F14233">
      <w:pPr>
        <w:ind w:firstLine="420"/>
      </w:pPr>
      <w:r w:rsidRPr="00CB3320">
        <w:rPr>
          <w:rFonts w:hint="eastAsia"/>
        </w:rPr>
        <w:t>我们可以使用对数式将方程转换成线性表达式。具体如下：</w:t>
      </w:r>
    </w:p>
    <w:p w14:paraId="30BA52A0" w14:textId="77777777" w:rsidR="005B1161" w:rsidRPr="00CB3320" w:rsidRDefault="005B1161" w:rsidP="00C422C0">
      <w:pPr>
        <w:pStyle w:val="a3"/>
      </w:pPr>
      <w:r w:rsidRPr="00CB3320">
        <w:tab/>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Cs/>
                      </w:rPr>
                    </m:ctrlPr>
                  </m:sSubPr>
                  <m:e>
                    <m:r>
                      <w:rPr>
                        <w:rFonts w:ascii="Cambria Math" w:hAnsi="Cambria Math"/>
                      </w:rPr>
                      <m:t>Y</m:t>
                    </m:r>
                  </m:e>
                  <m:sub>
                    <m:r>
                      <w:rPr>
                        <w:rFonts w:ascii="Cambria Math" w:hAnsi="Cambria Math"/>
                      </w:rPr>
                      <m:t>i</m:t>
                    </m:r>
                  </m:sub>
                </m:sSub>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Cs/>
                      </w:rPr>
                    </m:ctrlPr>
                  </m:sSubPr>
                  <m:e>
                    <m:r>
                      <w:rPr>
                        <w:rFonts w:ascii="Cambria Math" w:hAnsi="Cambria Math"/>
                      </w:rPr>
                      <m:t>b</m:t>
                    </m:r>
                  </m:e>
                  <m:sub>
                    <m:r>
                      <w:rPr>
                        <w:rFonts w:ascii="Cambria Math" w:hAnsi="Cambria Math"/>
                      </w:rPr>
                      <m:t>i</m:t>
                    </m:r>
                  </m:sub>
                </m:sSub>
                <m:ctrlPr>
                  <w:rPr>
                    <w:rFonts w:ascii="Cambria Math" w:hAnsi="Cambria Math"/>
                    <w:iCs/>
                  </w:rPr>
                </m:ctrlPr>
              </m:e>
            </m:d>
          </m:e>
        </m:func>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1</m:t>
            </m:r>
          </m:sub>
        </m:sSub>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rPr>
                      <m:t>L</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2</m:t>
            </m:r>
          </m:sub>
        </m:sSub>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hint="eastAsia"/>
                      </w:rPr>
                      <m:t>K</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Pr="00CB3320">
        <w:rPr>
          <w:noProof/>
        </w:rPr>
        <w:t>2</w:t>
      </w:r>
      <w:r w:rsidRPr="00CB3320">
        <w:rPr>
          <w:noProof/>
        </w:rPr>
        <w:fldChar w:fldCharType="end"/>
      </w:r>
      <w:r w:rsidRPr="00CB3320">
        <w:t>)</w:t>
      </w:r>
    </w:p>
    <w:bookmarkStart w:id="8" w:name="_Hlk121069093"/>
    <w:p w14:paraId="7700939F" w14:textId="750BDB5B" w:rsidR="005B1161" w:rsidRPr="00CB3320" w:rsidRDefault="008E69BC" w:rsidP="00D014A5">
      <w:pPr>
        <w:ind w:firstLine="420"/>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
                        <w:iCs/>
                      </w:rPr>
                    </m:ctrlPr>
                  </m:sSubPr>
                  <m:e>
                    <m:r>
                      <w:rPr>
                        <w:rFonts w:ascii="Cambria Math" w:hAnsi="Cambria Math"/>
                      </w:rPr>
                      <m:t>b</m:t>
                    </m:r>
                  </m:e>
                  <m:sub>
                    <m:r>
                      <w:rPr>
                        <w:rFonts w:ascii="Cambria Math" w:hAnsi="Cambria Math"/>
                      </w:rPr>
                      <m:t>i</m:t>
                    </m:r>
                  </m:sub>
                </m:sSub>
                <m:ctrlPr>
                  <w:rPr>
                    <w:rFonts w:ascii="Cambria Math" w:hAnsi="Cambria Math"/>
                    <w:i/>
                    <w:iCs/>
                  </w:rPr>
                </m:ctrlPr>
              </m:e>
            </m:d>
          </m:e>
        </m:func>
      </m:oMath>
      <w:bookmarkEnd w:id="8"/>
      <w:r w:rsidR="005B1161" w:rsidRPr="00CB3320">
        <w:rPr>
          <w:rFonts w:hint="eastAsia"/>
        </w:rPr>
        <w:t>的值可以通过各种计量经济方法进行估计，从而得到全要素生产率的估计系数。估算全要素生产率的常用计量方法，包括</w:t>
      </w:r>
      <w:r w:rsidR="005B1161" w:rsidRPr="00CB3320">
        <w:fldChar w:fldCharType="begin" w:fldLock="1"/>
      </w:r>
      <w:r w:rsidR="001B271C">
        <w:instrText>ADDIN CSL_CITATION {"citationItems":[{"id":"ITEM-1","itemData":{"DOI":"10.2307/2171831","ISSN":"00129682","author":[{"dropping-particle":"","family":"Olley","given":"G. Steven","non-dropping-particle":"","parse-names":false,"suffix":""},{"dropping-particle":"","family":"Pakes","given":"Ariel","non-dropping-particle":"","parse-names":false,"suffix":""}],"container-title":"Econometrica","id":"ITEM-1","issue":"6","issued":{"date-parts":[["1996","11"]]},"page":"1263","title":"The Dynamics of Productivity in t</w:instrText>
      </w:r>
      <w:r w:rsidR="001B271C">
        <w:rPr>
          <w:rFonts w:hint="eastAsia"/>
        </w:rPr>
        <w:instrText>he Telecommunications Equipment Industry","type":"article-journal","volume":"64"},"uris":["http://www.mendeley.com/documents/?uuid=b80a0c37-d069-4863-be67-c90cb947a80c"]}],"mendeley":{"formattedCitation":"(Olley</w:instrText>
      </w:r>
      <w:r w:rsidR="001B271C">
        <w:rPr>
          <w:rFonts w:hint="eastAsia"/>
        </w:rPr>
        <w:instrText>等</w:instrText>
      </w:r>
      <w:r w:rsidR="001B271C">
        <w:rPr>
          <w:rFonts w:hint="eastAsia"/>
        </w:rPr>
        <w:instrText>, 1996)","manualFormatting":"Olley &amp; Pakes (1996)","plainTextFormattedCitation":"(Olley</w:instrText>
      </w:r>
      <w:r w:rsidR="001B271C">
        <w:rPr>
          <w:rFonts w:hint="eastAsia"/>
        </w:rPr>
        <w:instrText>等</w:instrText>
      </w:r>
      <w:r w:rsidR="001B271C">
        <w:rPr>
          <w:rFonts w:hint="eastAsia"/>
        </w:rPr>
        <w:instrText>, 1996)","previouslyFormattedCitation":"(Olley</w:instrText>
      </w:r>
      <w:r w:rsidR="001B271C">
        <w:rPr>
          <w:rFonts w:hint="eastAsia"/>
        </w:rPr>
        <w:instrText>等</w:instrText>
      </w:r>
      <w:r w:rsidR="001B271C">
        <w:rPr>
          <w:rFonts w:hint="eastAsia"/>
        </w:rPr>
        <w:instrText>, 1996)"},"properties":{"noteIndex":0},"schema":"https://github.com/citation-style-language/schema/raw/master/csl-citation.json"}</w:instrText>
      </w:r>
      <w:r w:rsidR="005B1161" w:rsidRPr="00CB3320">
        <w:fldChar w:fldCharType="separate"/>
      </w:r>
      <w:r w:rsidR="005B1161" w:rsidRPr="00CB3320">
        <w:rPr>
          <w:noProof/>
        </w:rPr>
        <w:t>Olley</w:t>
      </w:r>
      <w:r w:rsidR="005B1161" w:rsidRPr="00CB3320">
        <w:rPr>
          <w:rFonts w:hint="eastAsia"/>
          <w:noProof/>
        </w:rPr>
        <w:t xml:space="preserve"> &amp;</w:t>
      </w:r>
      <w:r w:rsidR="005B1161" w:rsidRPr="00CB3320">
        <w:rPr>
          <w:noProof/>
        </w:rPr>
        <w:t xml:space="preserve"> Pakes (1996)</w:t>
      </w:r>
      <w:r w:rsidR="005B1161" w:rsidRPr="00CB3320">
        <w:fldChar w:fldCharType="end"/>
      </w:r>
      <w:r w:rsidR="005B1161" w:rsidRPr="00CB3320">
        <w:rPr>
          <w:rFonts w:hint="eastAsia"/>
        </w:rPr>
        <w:t>、</w:t>
      </w:r>
      <w:r w:rsidR="005B1161" w:rsidRPr="00CB3320">
        <w:fldChar w:fldCharType="begin" w:fldLock="1"/>
      </w:r>
      <w:r w:rsidR="001B271C">
        <w:instrText>ADDIN CSL_CITATION {"citationItems":[{"id":"ITEM-1","itemData":{"DOI":"10.1111/1467-937X.00246","ISSN":"0034-6527","author":[{"dropping-particle":"","family":"Levinsohn","given":"James","non-dropping-particle":"","parse-names":false,"suffix":""},{"dropping-particle":"","family":"Petrin","given":"Amil","non-dropping-particle":"","parse-names":false,"suffix":""}],"container-title":"Review of Economic Studies","id":"ITEM-1","issue":"2","issued":{"date-parts":[["2003","4"]]},"page":"317-341","title":"Estimati</w:instrText>
      </w:r>
      <w:r w:rsidR="001B271C">
        <w:rPr>
          <w:rFonts w:hint="eastAsia"/>
        </w:rPr>
        <w:instrText>ng Production Functions Using Inputs to Control for Unobservables","type":"article-journal","volume":"70"},"uris":["http://www.mendeley.com/documents/?uuid=b7b79f58-50f3-490c-9fac-0553c45d4dbe"]}],"mendeley":{"formattedCitation":"(Levinsohn</w:instrText>
      </w:r>
      <w:r w:rsidR="001B271C">
        <w:rPr>
          <w:rFonts w:hint="eastAsia"/>
        </w:rPr>
        <w:instrText>等</w:instrText>
      </w:r>
      <w:r w:rsidR="001B271C">
        <w:rPr>
          <w:rFonts w:hint="eastAsia"/>
        </w:rPr>
        <w:instrText>, 2003)","manualFormatting":"Levinsohn &amp; Petrin (2003)","plainTextFormattedCitation":"(Levinsohn</w:instrText>
      </w:r>
      <w:r w:rsidR="001B271C">
        <w:rPr>
          <w:rFonts w:hint="eastAsia"/>
        </w:rPr>
        <w:instrText>等</w:instrText>
      </w:r>
      <w:r w:rsidR="001B271C">
        <w:rPr>
          <w:rFonts w:hint="eastAsia"/>
        </w:rPr>
        <w:instrText>, 2003)","previouslyFormattedCitation":"(Levinsohn</w:instrText>
      </w:r>
      <w:r w:rsidR="001B271C">
        <w:rPr>
          <w:rFonts w:hint="eastAsia"/>
        </w:rPr>
        <w:instrText>等</w:instrText>
      </w:r>
      <w:r w:rsidR="001B271C">
        <w:rPr>
          <w:rFonts w:hint="eastAsia"/>
        </w:rPr>
        <w:instrText>, 2003)"},"properties":{"noteIndex":0},"schema":"https://github.com/citation-style-language/schema/raw/master/csl-citatio</w:instrText>
      </w:r>
      <w:r w:rsidR="001B271C">
        <w:instrText>n.json"}</w:instrText>
      </w:r>
      <w:r w:rsidR="005B1161" w:rsidRPr="00CB3320">
        <w:fldChar w:fldCharType="separate"/>
      </w:r>
      <w:r w:rsidR="005B1161" w:rsidRPr="00CB3320">
        <w:rPr>
          <w:noProof/>
        </w:rPr>
        <w:t>Levinso</w:t>
      </w:r>
      <w:r w:rsidR="005B1161" w:rsidRPr="00CB3320">
        <w:rPr>
          <w:rFonts w:hint="eastAsia"/>
          <w:noProof/>
        </w:rPr>
        <w:t xml:space="preserve">hn &amp; </w:t>
      </w:r>
      <w:r w:rsidR="005B1161" w:rsidRPr="00CB3320">
        <w:rPr>
          <w:noProof/>
        </w:rPr>
        <w:t>Petrin (2003)</w:t>
      </w:r>
      <w:r w:rsidR="005B1161" w:rsidRPr="00CB3320">
        <w:fldChar w:fldCharType="end"/>
      </w:r>
      <w:r w:rsidR="005B1161" w:rsidRPr="00CB3320">
        <w:rPr>
          <w:rFonts w:hint="eastAsia"/>
        </w:rPr>
        <w:t>提出的方法（</w:t>
      </w:r>
      <w:r w:rsidR="005B1161" w:rsidRPr="00CB3320">
        <w:t>OP/LP</w:t>
      </w:r>
      <w:r w:rsidR="005B1161" w:rsidRPr="00CB3320">
        <w:rPr>
          <w:rFonts w:hint="eastAsia"/>
        </w:rPr>
        <w:t>）和随机前沿分析（</w:t>
      </w:r>
      <w:r w:rsidR="005B1161" w:rsidRPr="00CB3320">
        <w:t>SFA</w:t>
      </w:r>
      <w:r w:rsidR="005B1161" w:rsidRPr="00CB3320">
        <w:rPr>
          <w:rFonts w:hint="eastAsia"/>
        </w:rPr>
        <w:t>）方法</w:t>
      </w:r>
      <w:r w:rsidR="005B1161" w:rsidRPr="00CB3320">
        <w:fldChar w:fldCharType="begin" w:fldLock="1"/>
      </w:r>
      <w:r w:rsidR="001B271C">
        <w:instrText>ADDIN CSL_CITATION {"citationItems":[{"id":"ITEM-1","itemData":{"DOI":"10.1016/0304-4076(77)90052-5","ISSN":"03044076","author":[{"dropping-particle":"","family":"Aigner","given":"Dennis","non-dropping-particle":"","parse-names":false,"suffix":""},{"dropping-particle":"","family":"Lovell","given":"C.A.Knox","non-dropping-particle":"","parse-names":false,"suffix":""},{"dropping-particle":"","family":"Schmidt","given":"Peter","non-dropping-particle":"","parse-names":false,"suffix":""}],"container-title":"Journal of Econometrics","id":"ITEM-1","issue":"1","issued":{"date-parts":[["1977","7"]]},"page":"21-37","title":"Formulation and estimation of stochastic frontier production function models","type":"article-journal","volume":"6"},"uris":["http://www.mendeley.com/documents/?uuid=0517a652-06b4-4a90-9843-403b5e153cee"]},{"id":"ITEM-2","itemData":{"author":[{"dropping-particle":"","family":"Meeusen","given":"Wim","non-dropping-particle":"","parse-names":false,"suffix":""},{"dropping-particle":"","family":"Broeck","given":"Julien","non-dropping-particle":"van den","parse-names":false,"suffix":""}],"container-title":"International Economic Review","id":"ITEM-2","issue":"2","issued":{"date-parts":[["1977"]]},"page":"435-444","title":"Efficiency Estimation from Cobb-Douglas Production Functions with Composed Error","type":"article-journal","volume":"18"},"uris":["http://www.mendeley.com/documents/?uuid=d348ddcc-f5f5-4ed4-9b9a-c2d84bbce2ed","http://www.mendeley.com/documents/?uuid=49ad55c3-25e5-4be0-969c-b117550f2f</w:instrText>
      </w:r>
      <w:r w:rsidR="001B271C">
        <w:rPr>
          <w:rFonts w:hint="eastAsia"/>
        </w:rPr>
        <w:instrText>71","http://www.mendeley.com/documents/?uuid=dd6209a7-7d64-4d01-88de-f1b1d1e3fd3d"]}],"mendeley":{"formattedCitation":"(Aigner</w:instrText>
      </w:r>
      <w:r w:rsidR="001B271C">
        <w:rPr>
          <w:rFonts w:hint="eastAsia"/>
        </w:rPr>
        <w:instrText>等</w:instrText>
      </w:r>
      <w:r w:rsidR="001B271C">
        <w:rPr>
          <w:rFonts w:hint="eastAsia"/>
        </w:rPr>
        <w:instrText>, 1977; Meeusen</w:instrText>
      </w:r>
      <w:r w:rsidR="001B271C">
        <w:rPr>
          <w:rFonts w:hint="eastAsia"/>
        </w:rPr>
        <w:instrText>等</w:instrText>
      </w:r>
      <w:r w:rsidR="001B271C">
        <w:rPr>
          <w:rFonts w:hint="eastAsia"/>
        </w:rPr>
        <w:instrText>, 1977)","manualFormatting":"(Aigner et al</w:instrText>
      </w:r>
      <w:r w:rsidR="001B271C">
        <w:rPr>
          <w:rFonts w:hint="eastAsia"/>
        </w:rPr>
        <w:instrText>，</w:instrText>
      </w:r>
      <w:r w:rsidR="001B271C">
        <w:rPr>
          <w:rFonts w:hint="eastAsia"/>
        </w:rPr>
        <w:instrText>1977</w:instrText>
      </w:r>
      <w:r w:rsidR="001B271C">
        <w:rPr>
          <w:rFonts w:hint="eastAsia"/>
        </w:rPr>
        <w:instrText>；</w:instrText>
      </w:r>
      <w:r w:rsidR="001B271C">
        <w:rPr>
          <w:rFonts w:hint="eastAsia"/>
        </w:rPr>
        <w:instrText>Meeusen et al</w:instrText>
      </w:r>
      <w:r w:rsidR="001B271C">
        <w:rPr>
          <w:rFonts w:hint="eastAsia"/>
        </w:rPr>
        <w:instrText>，</w:instrText>
      </w:r>
      <w:r w:rsidR="001B271C">
        <w:rPr>
          <w:rFonts w:hint="eastAsia"/>
        </w:rPr>
        <w:instrText>1977)","plainTextFormattedCitation":"(Aigner</w:instrText>
      </w:r>
      <w:r w:rsidR="001B271C">
        <w:rPr>
          <w:rFonts w:hint="eastAsia"/>
        </w:rPr>
        <w:instrText>等</w:instrText>
      </w:r>
      <w:r w:rsidR="001B271C">
        <w:rPr>
          <w:rFonts w:hint="eastAsia"/>
        </w:rPr>
        <w:instrText>, 1977; Meeusen</w:instrText>
      </w:r>
      <w:r w:rsidR="001B271C">
        <w:rPr>
          <w:rFonts w:hint="eastAsia"/>
        </w:rPr>
        <w:instrText>等</w:instrText>
      </w:r>
      <w:r w:rsidR="001B271C">
        <w:rPr>
          <w:rFonts w:hint="eastAsia"/>
        </w:rPr>
        <w:instrText>, 1977)","previouslyFormattedCitation":"(Aigner</w:instrText>
      </w:r>
      <w:r w:rsidR="001B271C">
        <w:rPr>
          <w:rFonts w:hint="eastAsia"/>
        </w:rPr>
        <w:instrText>等</w:instrText>
      </w:r>
      <w:r w:rsidR="001B271C">
        <w:rPr>
          <w:rFonts w:hint="eastAsia"/>
        </w:rPr>
        <w:instrText>, 1977; Meeusen</w:instrText>
      </w:r>
      <w:r w:rsidR="001B271C">
        <w:rPr>
          <w:rFonts w:hint="eastAsia"/>
        </w:rPr>
        <w:instrText>等</w:instrText>
      </w:r>
      <w:r w:rsidR="001B271C">
        <w:rPr>
          <w:rFonts w:hint="eastAsia"/>
        </w:rPr>
        <w:instrText>, 1977)"},"properties":{"noteIndex":0},"schema":"https://github.com/citation-style-language/schema/raw/master/csl-citation.json"}</w:instrText>
      </w:r>
      <w:r w:rsidR="005B1161" w:rsidRPr="00CB3320">
        <w:fldChar w:fldCharType="separate"/>
      </w:r>
      <w:r w:rsidR="005B1161" w:rsidRPr="00CB3320">
        <w:rPr>
          <w:rFonts w:hint="eastAsia"/>
          <w:noProof/>
        </w:rPr>
        <w:t>(Aigner et al</w:t>
      </w:r>
      <w:r w:rsidR="005B1161" w:rsidRPr="00CB3320">
        <w:rPr>
          <w:rFonts w:hint="eastAsia"/>
          <w:noProof/>
        </w:rPr>
        <w:t>，</w:t>
      </w:r>
      <w:r w:rsidR="005B1161" w:rsidRPr="00CB3320">
        <w:rPr>
          <w:rFonts w:hint="eastAsia"/>
          <w:noProof/>
        </w:rPr>
        <w:t>1977</w:t>
      </w:r>
      <w:r w:rsidR="005B1161" w:rsidRPr="00CB3320">
        <w:rPr>
          <w:rFonts w:hint="eastAsia"/>
          <w:noProof/>
        </w:rPr>
        <w:t>；</w:t>
      </w:r>
      <w:r w:rsidR="005B1161" w:rsidRPr="00CB3320">
        <w:rPr>
          <w:rFonts w:hint="eastAsia"/>
          <w:noProof/>
        </w:rPr>
        <w:t>Meeusen et al</w:t>
      </w:r>
      <w:r w:rsidR="005B1161" w:rsidRPr="00CB3320">
        <w:rPr>
          <w:rFonts w:hint="eastAsia"/>
          <w:noProof/>
        </w:rPr>
        <w:t>，</w:t>
      </w:r>
      <w:r w:rsidR="005B1161" w:rsidRPr="00CB3320">
        <w:rPr>
          <w:rFonts w:hint="eastAsia"/>
          <w:noProof/>
        </w:rPr>
        <w:t>1977)</w:t>
      </w:r>
      <w:r w:rsidR="005B1161" w:rsidRPr="00CB3320">
        <w:fldChar w:fldCharType="end"/>
      </w:r>
      <w:r w:rsidR="005B1161" w:rsidRPr="00CB3320">
        <w:rPr>
          <w:rFonts w:hint="eastAsia"/>
        </w:rPr>
        <w:t>。一般来说，除了劳动力和资本投入外，影响产出的因素几乎都包含在系数</w:t>
      </w:r>
      <w:bookmarkStart w:id="9" w:name="_Hlk121069103"/>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
                        <w:iCs/>
                      </w:rPr>
                    </m:ctrlPr>
                  </m:sSubPr>
                  <m:e>
                    <m:r>
                      <w:rPr>
                        <w:rFonts w:ascii="Cambria Math" w:hAnsi="Cambria Math"/>
                      </w:rPr>
                      <m:t>b</m:t>
                    </m:r>
                  </m:e>
                  <m:sub>
                    <m:r>
                      <w:rPr>
                        <w:rFonts w:ascii="Cambria Math" w:hAnsi="Cambria Math"/>
                      </w:rPr>
                      <m:t>i</m:t>
                    </m:r>
                  </m:sub>
                </m:sSub>
                <m:ctrlPr>
                  <w:rPr>
                    <w:rFonts w:ascii="Cambria Math" w:hAnsi="Cambria Math"/>
                    <w:i/>
                    <w:iCs/>
                  </w:rPr>
                </m:ctrlPr>
              </m:e>
            </m:d>
          </m:e>
        </m:func>
      </m:oMath>
      <w:bookmarkEnd w:id="9"/>
      <w:r w:rsidR="005B1161" w:rsidRPr="00CB3320">
        <w:rPr>
          <w:rFonts w:hint="eastAsia"/>
        </w:rPr>
        <w:t>中。</w:t>
      </w:r>
    </w:p>
    <w:p w14:paraId="6C2C303F" w14:textId="77777777" w:rsidR="005B1161" w:rsidRPr="00CB3320" w:rsidRDefault="005B1161" w:rsidP="00D014A5">
      <w:pPr>
        <w:ind w:firstLine="420"/>
      </w:pPr>
      <w:bookmarkStart w:id="10" w:name="_Hlk121753506"/>
      <w:r w:rsidRPr="00CB3320">
        <w:rPr>
          <w:rFonts w:hint="eastAsia"/>
        </w:rPr>
        <w:t>特别是，</w:t>
      </w:r>
      <w:proofErr w:type="gramStart"/>
      <w:r w:rsidRPr="00CB3320">
        <w:rPr>
          <w:rFonts w:hint="eastAsia"/>
        </w:rPr>
        <w:t>我们将碳排放</w:t>
      </w:r>
      <w:proofErr w:type="gramEnd"/>
      <w:r w:rsidRPr="00CB3320">
        <w:rPr>
          <w:rFonts w:hint="eastAsia"/>
        </w:rPr>
        <w:t>引入</w:t>
      </w:r>
      <w:r w:rsidRPr="00CB3320">
        <w:rPr>
          <w:rFonts w:hint="eastAsia"/>
        </w:rPr>
        <w:t>CD</w:t>
      </w:r>
      <w:r w:rsidRPr="00CB3320">
        <w:rPr>
          <w:rFonts w:hint="eastAsia"/>
        </w:rPr>
        <w:t>生产函数（假设资本、劳动力和</w:t>
      </w:r>
      <w:proofErr w:type="gramStart"/>
      <w:r w:rsidRPr="00CB3320">
        <w:rPr>
          <w:rFonts w:hint="eastAsia"/>
        </w:rPr>
        <w:t>碳排放</w:t>
      </w:r>
      <w:proofErr w:type="gramEnd"/>
      <w:r w:rsidRPr="00CB3320">
        <w:rPr>
          <w:rFonts w:hint="eastAsia"/>
        </w:rPr>
        <w:t>都是严格外生的）</w:t>
      </w:r>
      <w:r w:rsidRPr="00CB3320">
        <w:rPr>
          <w:rStyle w:val="a8"/>
          <w:highlight w:val="yellow"/>
        </w:rPr>
        <w:footnoteReference w:id="5"/>
      </w:r>
      <w:r w:rsidRPr="00CB3320">
        <w:rPr>
          <w:rFonts w:hint="eastAsia"/>
        </w:rPr>
        <w:t>：</w:t>
      </w:r>
    </w:p>
    <w:p w14:paraId="7643D9E5" w14:textId="77777777" w:rsidR="005B1161" w:rsidRPr="00CB3320" w:rsidRDefault="005B1161" w:rsidP="00C422C0">
      <w:pPr>
        <w:pStyle w:val="a3"/>
      </w:pPr>
      <w:r w:rsidRPr="00CB3320">
        <w:tab/>
      </w:r>
      <m:oMath>
        <m:sSub>
          <m:sSubPr>
            <m:ctrlPr>
              <w:rPr>
                <w:rFonts w:ascii="Cambria Math" w:hAnsi="Cambria Math"/>
                <w:iCs/>
              </w:rPr>
            </m:ctrlPr>
          </m:sSubPr>
          <m:e>
            <m:r>
              <w:rPr>
                <w:rFonts w:ascii="Cambria Math" w:hAnsi="Cambria Math"/>
              </w:rPr>
              <m:t>Y</m:t>
            </m:r>
          </m:e>
          <m:sub>
            <m:r>
              <w:rPr>
                <w:rFonts w:ascii="Cambria Math" w:hAnsi="Cambria Math"/>
              </w:rPr>
              <m:t>i</m:t>
            </m:r>
          </m:sub>
        </m:sSub>
        <m:r>
          <m:rPr>
            <m:sty m:val="p"/>
          </m:rPr>
          <w:rPr>
            <w:rFonts w:ascii="Cambria Math" w:hAnsi="Cambria Math"/>
          </w:rPr>
          <m:t>=</m:t>
        </m:r>
        <m:sSubSup>
          <m:sSubSupPr>
            <m:ctrlPr>
              <w:rPr>
                <w:rFonts w:ascii="Cambria Math" w:hAnsi="Cambria Math"/>
                <w:iCs/>
              </w:rPr>
            </m:ctrlPr>
          </m:sSubSupPr>
          <m:e>
            <m:r>
              <w:rPr>
                <w:rFonts w:ascii="Cambria Math" w:hAnsi="Cambria Math"/>
              </w:rPr>
              <m:t>b</m:t>
            </m:r>
          </m:e>
          <m:sub>
            <m:r>
              <w:rPr>
                <w:rFonts w:ascii="Cambria Math" w:hAnsi="Cambria Math"/>
              </w:rPr>
              <m:t>i</m:t>
            </m:r>
          </m:sub>
          <m:sup>
            <m:r>
              <m:rPr>
                <m:sty m:val="p"/>
              </m:rPr>
              <w:rPr>
                <w:rFonts w:ascii="Cambria Math" w:eastAsia="MS Gothic" w:hAnsi="Cambria Math" w:cs="MS Gothic" w:hint="eastAsia"/>
              </w:rPr>
              <m:t>*</m:t>
            </m:r>
          </m:sup>
        </m:sSubSup>
        <m:sSup>
          <m:sSupPr>
            <m:ctrlPr>
              <w:rPr>
                <w:rFonts w:ascii="Cambria Math" w:hAnsi="Cambria Math"/>
              </w:rPr>
            </m:ctrlPr>
          </m:sSupPr>
          <m:e>
            <m:sSub>
              <m:sSubPr>
                <m:ctrlPr>
                  <w:rPr>
                    <w:rFonts w:ascii="Cambria Math" w:hAnsi="Cambria Math"/>
                  </w:rPr>
                </m:ctrlPr>
              </m:sSubPr>
              <m:e>
                <m:r>
                  <w:rPr>
                    <w:rFonts w:ascii="Cambria Math" w:hAnsi="Cambria Math"/>
                  </w:rPr>
                  <m:t>L</m:t>
                </m:r>
              </m:e>
              <m:sub>
                <m:r>
                  <w:rPr>
                    <w:rFonts w:ascii="Cambria Math" w:hAnsi="Cambria Math"/>
                  </w:rPr>
                  <m:t>i</m:t>
                </m:r>
                <m:r>
                  <m:rPr>
                    <m:sty m:val="p"/>
                  </m:rPr>
                  <w:rPr>
                    <w:rFonts w:ascii="Cambria Math" w:hAnsi="Cambria Math"/>
                  </w:rPr>
                  <m:t>,</m:t>
                </m:r>
                <m:r>
                  <w:rPr>
                    <w:rFonts w:ascii="Cambria Math" w:hAnsi="Cambria Math"/>
                  </w:rPr>
                  <m:t>t</m:t>
                </m:r>
              </m:sub>
            </m:sSub>
          </m:e>
          <m:sup>
            <m:sSubSup>
              <m:sSubSupPr>
                <m:ctrlPr>
                  <w:rPr>
                    <w:rFonts w:ascii="Cambria Math" w:hAnsi="Cambria Math"/>
                    <w:iCs/>
                  </w:rPr>
                </m:ctrlPr>
              </m:sSubSupPr>
              <m:e>
                <m:r>
                  <w:rPr>
                    <w:rFonts w:ascii="Cambria Math" w:hAnsi="Cambria Math"/>
                  </w:rPr>
                  <m:t>β</m:t>
                </m:r>
              </m:e>
              <m:sub>
                <m:r>
                  <m:rPr>
                    <m:sty m:val="p"/>
                  </m:rPr>
                  <w:rPr>
                    <w:rFonts w:ascii="Cambria Math" w:hAnsi="Cambria Math"/>
                  </w:rPr>
                  <m:t>1</m:t>
                </m:r>
              </m:sub>
              <m:sup>
                <m:r>
                  <m:rPr>
                    <m:sty m:val="p"/>
                  </m:rPr>
                  <w:rPr>
                    <w:rFonts w:ascii="Cambria Math" w:eastAsia="MS Gothic" w:hAnsi="Cambria Math" w:cs="MS Gothic" w:hint="eastAsia"/>
                  </w:rPr>
                  <m:t>*</m:t>
                </m:r>
              </m:sup>
            </m:sSubSup>
          </m:sup>
        </m:sSup>
        <m:sSup>
          <m:sSupPr>
            <m:ctrlPr>
              <w:rPr>
                <w:rFonts w:ascii="Cambria Math" w:hAnsi="Cambria Math"/>
              </w:rPr>
            </m:ctrlPr>
          </m:sSupPr>
          <m:e>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sub>
            </m:sSub>
          </m:e>
          <m:sup>
            <m:sSubSup>
              <m:sSubSupPr>
                <m:ctrlPr>
                  <w:rPr>
                    <w:rFonts w:ascii="Cambria Math" w:hAnsi="Cambria Math"/>
                    <w:iCs/>
                  </w:rPr>
                </m:ctrlPr>
              </m:sSubSupPr>
              <m:e>
                <m:r>
                  <w:rPr>
                    <w:rFonts w:ascii="Cambria Math" w:hAnsi="Cambria Math"/>
                  </w:rPr>
                  <m:t>β</m:t>
                </m:r>
              </m:e>
              <m:sub>
                <m:r>
                  <m:rPr>
                    <m:sty m:val="p"/>
                  </m:rPr>
                  <w:rPr>
                    <w:rFonts w:ascii="Cambria Math" w:hAnsi="Cambria Math"/>
                  </w:rPr>
                  <m:t>2</m:t>
                </m:r>
              </m:sub>
              <m:sup>
                <m:r>
                  <m:rPr>
                    <m:sty m:val="p"/>
                  </m:rPr>
                  <w:rPr>
                    <w:rFonts w:ascii="Cambria Math" w:eastAsia="MS Gothic" w:hAnsi="Cambria Math" w:cs="MS Gothic" w:hint="eastAsia"/>
                  </w:rPr>
                  <m:t>*</m:t>
                </m:r>
              </m:sup>
            </m:sSubSup>
          </m:sup>
        </m:sSup>
        <m:sSup>
          <m:sSupPr>
            <m:ctrlPr>
              <w:rPr>
                <w:rFonts w:ascii="Cambria Math" w:hAnsi="Cambria Math"/>
              </w:rPr>
            </m:ctrlPr>
          </m:sSupPr>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t</m:t>
                </m:r>
              </m:sub>
            </m:sSub>
          </m:e>
          <m:sup>
            <m:sSubSup>
              <m:sSubSupPr>
                <m:ctrlPr>
                  <w:rPr>
                    <w:rFonts w:ascii="Cambria Math" w:hAnsi="Cambria Math"/>
                    <w:iCs/>
                  </w:rPr>
                </m:ctrlPr>
              </m:sSubSupPr>
              <m:e>
                <m:r>
                  <w:rPr>
                    <w:rFonts w:ascii="Cambria Math" w:hAnsi="Cambria Math"/>
                  </w:rPr>
                  <m:t>β</m:t>
                </m:r>
              </m:e>
              <m:sub>
                <m:r>
                  <m:rPr>
                    <m:sty m:val="p"/>
                  </m:rPr>
                  <w:rPr>
                    <w:rFonts w:ascii="Cambria Math" w:hAnsi="Cambria Math"/>
                  </w:rPr>
                  <m:t>3</m:t>
                </m:r>
              </m:sub>
              <m:sup>
                <m:r>
                  <m:rPr>
                    <m:sty m:val="p"/>
                  </m:rPr>
                  <w:rPr>
                    <w:rFonts w:ascii="Cambria Math" w:eastAsia="MS Gothic" w:hAnsi="Cambria Math" w:cs="MS Gothic" w:hint="eastAsia"/>
                  </w:rPr>
                  <m:t>*</m:t>
                </m:r>
              </m:sup>
            </m:sSubSup>
          </m:sup>
        </m:sSup>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Pr="00CB3320">
        <w:rPr>
          <w:noProof/>
        </w:rPr>
        <w:t>3</w:t>
      </w:r>
      <w:r w:rsidRPr="00CB3320">
        <w:rPr>
          <w:noProof/>
        </w:rPr>
        <w:fldChar w:fldCharType="end"/>
      </w:r>
      <w:r w:rsidRPr="00CB3320">
        <w:t>)</w:t>
      </w:r>
    </w:p>
    <w:p w14:paraId="240B0D85" w14:textId="77777777" w:rsidR="005B1161" w:rsidRPr="00CB3320" w:rsidRDefault="005B1161" w:rsidP="00D014A5">
      <w:pPr>
        <w:ind w:firstLine="420"/>
      </w:pPr>
      <w:r w:rsidRPr="00CB3320">
        <w:rPr>
          <w:rFonts w:hint="eastAsia"/>
        </w:rPr>
        <w:t>对上式取对数，可得下式：</w:t>
      </w:r>
    </w:p>
    <w:p w14:paraId="57126D60" w14:textId="77777777" w:rsidR="005B1161" w:rsidRPr="00CB3320" w:rsidRDefault="005B1161" w:rsidP="00C422C0">
      <w:pPr>
        <w:pStyle w:val="a3"/>
      </w:pPr>
      <w:r w:rsidRPr="00CB3320">
        <w:tab/>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Cs/>
                      </w:rPr>
                    </m:ctrlPr>
                  </m:sSubPr>
                  <m:e>
                    <m:r>
                      <w:rPr>
                        <w:rFonts w:ascii="Cambria Math" w:hAnsi="Cambria Math"/>
                      </w:rPr>
                      <m:t>Y</m:t>
                    </m:r>
                  </m:e>
                  <m:sub>
                    <m:r>
                      <w:rPr>
                        <w:rFonts w:ascii="Cambria Math" w:hAnsi="Cambria Math"/>
                      </w:rPr>
                      <m:t>i</m:t>
                    </m:r>
                  </m:sub>
                </m:sSub>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Sup>
                  <m:sSubSupPr>
                    <m:ctrlPr>
                      <w:rPr>
                        <w:rFonts w:ascii="Cambria Math" w:hAnsi="Cambria Math"/>
                        <w:iCs/>
                      </w:rPr>
                    </m:ctrlPr>
                  </m:sSubSupPr>
                  <m:e>
                    <m:r>
                      <w:rPr>
                        <w:rFonts w:ascii="Cambria Math" w:hAnsi="Cambria Math"/>
                      </w:rPr>
                      <m:t>b</m:t>
                    </m:r>
                  </m:e>
                  <m:sub>
                    <m:r>
                      <w:rPr>
                        <w:rFonts w:ascii="Cambria Math" w:hAnsi="Cambria Math"/>
                      </w:rPr>
                      <m:t>i</m:t>
                    </m:r>
                  </m:sub>
                  <m:sup>
                    <m:r>
                      <m:rPr>
                        <m:sty m:val="p"/>
                      </m:rPr>
                      <w:rPr>
                        <w:rFonts w:ascii="Cambria Math" w:eastAsia="MS Gothic" w:hAnsi="Cambria Math" w:cs="MS Gothic" w:hint="eastAsia"/>
                      </w:rPr>
                      <m:t>*</m:t>
                    </m:r>
                  </m:sup>
                </m:sSubSup>
                <m:ctrlPr>
                  <w:rPr>
                    <w:rFonts w:ascii="Cambria Math" w:hAnsi="Cambria Math"/>
                    <w:iCs/>
                  </w:rPr>
                </m:ctrlPr>
              </m:e>
            </m:d>
          </m:e>
        </m:func>
        <m:r>
          <m:rPr>
            <m:sty m:val="p"/>
          </m:rPr>
          <w:rPr>
            <w:rFonts w:ascii="Cambria Math" w:hAnsi="Cambria Math"/>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1</m:t>
            </m:r>
          </m:sub>
          <m:sup>
            <m:r>
              <m:rPr>
                <m:sty m:val="p"/>
              </m:rPr>
              <w:rPr>
                <w:rFonts w:ascii="Cambria Math" w:eastAsia="MS Gothic" w:hAnsi="Cambria Math" w:cs="MS Gothic" w:hint="eastAsia"/>
              </w:rPr>
              <m:t>*</m:t>
            </m:r>
          </m:sup>
        </m:sSubSup>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rPr>
                      <m:t>L</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r>
          <m:rPr>
            <m:sty m:val="p"/>
          </m:rPr>
          <w:rPr>
            <w:rFonts w:ascii="Cambria Math" w:hAnsi="Cambria Math"/>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2</m:t>
            </m:r>
          </m:sub>
          <m:sup>
            <m:r>
              <m:rPr>
                <m:sty m:val="p"/>
              </m:rPr>
              <w:rPr>
                <w:rFonts w:ascii="Cambria Math" w:eastAsia="MS Gothic" w:hAnsi="Cambria Math" w:cs="MS Gothic" w:hint="eastAsia"/>
              </w:rPr>
              <m:t>*</m:t>
            </m:r>
          </m:sup>
        </m:sSubSup>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hint="eastAsia"/>
                      </w:rPr>
                      <m:t>K</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r>
          <m:rPr>
            <m:sty m:val="p"/>
          </m:rPr>
          <w:rPr>
            <w:rFonts w:ascii="Cambria Math" w:hAnsi="Cambria Math" w:hint="eastAsia"/>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3</m:t>
            </m:r>
          </m:sub>
          <m:sup>
            <m:r>
              <m:rPr>
                <m:sty m:val="p"/>
              </m:rPr>
              <w:rPr>
                <w:rFonts w:ascii="Cambria Math" w:eastAsia="MS Gothic" w:hAnsi="Cambria Math" w:cs="MS Gothic" w:hint="eastAsia"/>
              </w:rPr>
              <m:t>*</m:t>
            </m:r>
          </m:sup>
        </m:sSubSup>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oMath>
      <w:r w:rsidRPr="00CB3320">
        <w:tab/>
        <w:t>(</w:t>
      </w:r>
      <w:r w:rsidR="009B1C1F">
        <w:rPr>
          <w:noProof/>
        </w:rPr>
        <w:fldChar w:fldCharType="begin"/>
      </w:r>
      <w:r w:rsidR="009B1C1F">
        <w:rPr>
          <w:noProof/>
        </w:rPr>
        <w:instrText xml:space="preserve"> SEQ ( \* ARABIC </w:instrText>
      </w:r>
      <w:r w:rsidR="009B1C1F">
        <w:rPr>
          <w:noProof/>
        </w:rPr>
        <w:fldChar w:fldCharType="separate"/>
      </w:r>
      <w:r w:rsidRPr="00CB3320">
        <w:rPr>
          <w:noProof/>
        </w:rPr>
        <w:t>4</w:t>
      </w:r>
      <w:r w:rsidR="009B1C1F">
        <w:rPr>
          <w:noProof/>
        </w:rPr>
        <w:fldChar w:fldCharType="end"/>
      </w:r>
      <w:r w:rsidRPr="00CB3320">
        <w:t>)</w:t>
      </w:r>
    </w:p>
    <w:p w14:paraId="78FACF58" w14:textId="7CF00003" w:rsidR="005B1161" w:rsidRDefault="005B1161" w:rsidP="00D014A5">
      <w:pPr>
        <w:ind w:firstLine="420"/>
      </w:pPr>
      <w:r w:rsidRPr="00CB3320">
        <w:rPr>
          <w:rFonts w:hint="eastAsia"/>
        </w:rPr>
        <w:lastRenderedPageBreak/>
        <w:t>对比公式（</w:t>
      </w:r>
      <w:r w:rsidRPr="00CB3320">
        <w:rPr>
          <w:rFonts w:hint="eastAsia"/>
        </w:rPr>
        <w:t>2</w:t>
      </w:r>
      <w:r w:rsidRPr="00CB3320">
        <w:rPr>
          <w:rFonts w:hint="eastAsia"/>
        </w:rPr>
        <w:t>）和公式（</w:t>
      </w:r>
      <w:r w:rsidRPr="00CB3320">
        <w:rPr>
          <w:rFonts w:hint="eastAsia"/>
        </w:rPr>
        <w:t>4</w:t>
      </w:r>
      <w:r w:rsidRPr="00CB3320">
        <w:rPr>
          <w:rFonts w:hint="eastAsia"/>
        </w:rPr>
        <w:t>），</w:t>
      </w:r>
      <w:bookmarkStart w:id="11" w:name="_Hlk121753147"/>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Sup>
                  <m:sSubSupPr>
                    <m:ctrlPr>
                      <w:rPr>
                        <w:rFonts w:ascii="Cambria Math" w:hAnsi="Cambria Math"/>
                        <w:iCs/>
                      </w:rPr>
                    </m:ctrlPr>
                  </m:sSubSupPr>
                  <m:e>
                    <m:r>
                      <w:rPr>
                        <w:rFonts w:ascii="Cambria Math" w:hAnsi="Cambria Math"/>
                      </w:rPr>
                      <m:t>b</m:t>
                    </m:r>
                  </m:e>
                  <m:sub>
                    <m:r>
                      <w:rPr>
                        <w:rFonts w:ascii="Cambria Math" w:hAnsi="Cambria Math"/>
                      </w:rPr>
                      <m:t>i</m:t>
                    </m:r>
                  </m:sub>
                  <m:sup>
                    <m:r>
                      <m:rPr>
                        <m:sty m:val="p"/>
                      </m:rPr>
                      <w:rPr>
                        <w:rFonts w:ascii="Cambria Math" w:eastAsia="MS Gothic" w:hAnsi="Cambria Math" w:cs="MS Gothic" w:hint="eastAsia"/>
                      </w:rPr>
                      <m:t>*</m:t>
                    </m:r>
                  </m:sup>
                </m:sSubSup>
                <m:ctrlPr>
                  <w:rPr>
                    <w:rFonts w:ascii="Cambria Math" w:hAnsi="Cambria Math"/>
                    <w:iCs/>
                  </w:rPr>
                </m:ctrlPr>
              </m:e>
            </m:d>
          </m:e>
        </m:func>
        <m:r>
          <m:rPr>
            <m:sty m:val="p"/>
          </m:rPr>
          <w:rPr>
            <w:rFonts w:ascii="Cambria Math" w:hAnsi="Cambria Math" w:hint="eastAsia"/>
          </w:rPr>
          <m:t>+</m:t>
        </m:r>
        <m:sSubSup>
          <m:sSubSupPr>
            <m:ctrlPr>
              <w:rPr>
                <w:rFonts w:ascii="Cambria Math" w:hAnsi="Cambria Math"/>
                <w:iCs/>
              </w:rPr>
            </m:ctrlPr>
          </m:sSubSupPr>
          <m:e>
            <m:r>
              <w:rPr>
                <w:rFonts w:ascii="Cambria Math" w:hAnsi="Cambria Math"/>
              </w:rPr>
              <m:t>β</m:t>
            </m:r>
          </m:e>
          <m:sub>
            <m:r>
              <m:rPr>
                <m:sty m:val="p"/>
              </m:rPr>
              <w:rPr>
                <w:rFonts w:ascii="Cambria Math" w:hAnsi="Cambria Math"/>
              </w:rPr>
              <m:t>3</m:t>
            </m:r>
          </m:sub>
          <m:sup>
            <m:r>
              <m:rPr>
                <m:sty m:val="p"/>
              </m:rPr>
              <w:rPr>
                <w:rFonts w:ascii="Cambria Math" w:eastAsia="MS Gothic" w:hAnsi="Cambria Math" w:cs="MS Gothic" w:hint="eastAsia"/>
              </w:rPr>
              <m:t>*</m:t>
            </m:r>
          </m:sup>
        </m:sSubSup>
        <m:func>
          <m:funcPr>
            <m:ctrlPr>
              <w:rPr>
                <w:rFonts w:ascii="Cambria Math" w:hAnsi="Cambria Math"/>
                <w:iCs/>
              </w:rPr>
            </m:ctrlPr>
          </m:funcPr>
          <m:fName>
            <m:r>
              <m:rPr>
                <m:sty m:val="p"/>
              </m:rPr>
              <w:rPr>
                <w:rFonts w:ascii="Cambria Math" w:hAnsi="Cambria Math"/>
              </w:rPr>
              <m:t>ln</m:t>
            </m:r>
          </m:fName>
          <m:e>
            <m:d>
              <m:dPr>
                <m:ctrlPr>
                  <w:rPr>
                    <w:rFonts w:ascii="Cambria Math" w:hAnsi="Cambria Math"/>
                    <w:iCs/>
                  </w:rPr>
                </m:ctrlPr>
              </m:dPr>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t</m:t>
                    </m:r>
                  </m:sub>
                </m:sSub>
                <m:ctrlPr>
                  <w:rPr>
                    <w:rFonts w:ascii="Cambria Math" w:hAnsi="Cambria Math"/>
                  </w:rPr>
                </m:ctrlPr>
              </m:e>
            </m:d>
          </m:e>
        </m:func>
        <m:r>
          <w:rPr>
            <w:rFonts w:ascii="Cambria Math" w:hAnsi="Cambria Math" w:hint="eastAsia"/>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b>
                  <m:sSubPr>
                    <m:ctrlPr>
                      <w:rPr>
                        <w:rFonts w:ascii="Cambria Math" w:hAnsi="Cambria Math"/>
                        <w:iCs/>
                      </w:rPr>
                    </m:ctrlPr>
                  </m:sSubPr>
                  <m:e>
                    <m:r>
                      <w:rPr>
                        <w:rFonts w:ascii="Cambria Math" w:hAnsi="Cambria Math"/>
                      </w:rPr>
                      <m:t>b</m:t>
                    </m:r>
                  </m:e>
                  <m:sub>
                    <m:r>
                      <w:rPr>
                        <w:rFonts w:ascii="Cambria Math" w:hAnsi="Cambria Math"/>
                      </w:rPr>
                      <m:t>i</m:t>
                    </m:r>
                  </m:sub>
                </m:sSub>
                <m:ctrlPr>
                  <w:rPr>
                    <w:rFonts w:ascii="Cambria Math" w:hAnsi="Cambria Math"/>
                    <w:iCs/>
                  </w:rPr>
                </m:ctrlPr>
              </m:e>
            </m:d>
          </m:e>
        </m:func>
      </m:oMath>
      <w:bookmarkEnd w:id="11"/>
      <w:r w:rsidRPr="00CB3320">
        <w:rPr>
          <w:rFonts w:hint="eastAsia"/>
        </w:rPr>
        <w:t>。因此，公式（</w:t>
      </w:r>
      <w:r w:rsidRPr="00CB3320">
        <w:rPr>
          <w:rFonts w:hint="eastAsia"/>
        </w:rPr>
        <w:t>2</w:t>
      </w:r>
      <w:r w:rsidRPr="00CB3320">
        <w:rPr>
          <w:rFonts w:hint="eastAsia"/>
        </w:rPr>
        <w:t>）中的</w:t>
      </w:r>
      <w:r w:rsidRPr="00CB3320">
        <w:rPr>
          <w:rFonts w:hint="eastAsia"/>
        </w:rPr>
        <w:t>T</w:t>
      </w:r>
      <w:r w:rsidRPr="00CB3320">
        <w:t>FP</w:t>
      </w:r>
      <w:r w:rsidRPr="00CB3320">
        <w:rPr>
          <w:rFonts w:hint="eastAsia"/>
        </w:rPr>
        <w:t>涵盖了公式（</w:t>
      </w:r>
      <w:r w:rsidRPr="00CB3320">
        <w:t>4</w:t>
      </w:r>
      <w:r w:rsidRPr="00CB3320">
        <w:rPr>
          <w:rFonts w:hint="eastAsia"/>
        </w:rPr>
        <w:t>）的不含碳排放因素的</w:t>
      </w:r>
      <w:r w:rsidRPr="00CB3320">
        <w:rPr>
          <w:rFonts w:hint="eastAsia"/>
        </w:rPr>
        <w:t>T</w:t>
      </w:r>
      <w:r w:rsidRPr="00CB3320">
        <w:t>FP</w:t>
      </w:r>
      <w:r w:rsidRPr="00CB3320">
        <w:rPr>
          <w:rStyle w:val="a8"/>
          <w:highlight w:val="yellow"/>
        </w:rPr>
        <w:footnoteReference w:id="6"/>
      </w:r>
      <w:r w:rsidRPr="00CB3320">
        <w:rPr>
          <w:rFonts w:hint="eastAsia"/>
        </w:rPr>
        <w:t>、碳排放投入、以及相应的能源利用技术。</w:t>
      </w:r>
      <w:r w:rsidR="00CB3320" w:rsidRPr="00CB3320">
        <w:rPr>
          <w:rFonts w:hint="eastAsia"/>
        </w:rPr>
        <w:t>基于以上分析，</w:t>
      </w:r>
      <w:r w:rsidRPr="00CB3320">
        <w:rPr>
          <w:rFonts w:hint="eastAsia"/>
        </w:rPr>
        <w:t>我们可以通过理论定性地分析不同情况下</w:t>
      </w:r>
      <w:r w:rsidRPr="00CB3320">
        <w:rPr>
          <w:rFonts w:hint="eastAsia"/>
        </w:rPr>
        <w:t>ETS</w:t>
      </w:r>
      <w:r w:rsidRPr="00CB3320">
        <w:rPr>
          <w:rFonts w:hint="eastAsia"/>
        </w:rPr>
        <w:t>对</w:t>
      </w:r>
      <w:r w:rsidRPr="00CB3320">
        <w:rPr>
          <w:rFonts w:hint="eastAsia"/>
        </w:rPr>
        <w:t>T</w:t>
      </w:r>
      <w:r w:rsidRPr="00CB3320">
        <w:t>FP</w:t>
      </w:r>
      <w:r w:rsidRPr="00CB3320">
        <w:rPr>
          <w:rFonts w:hint="eastAsia"/>
        </w:rPr>
        <w:t>的影响</w:t>
      </w:r>
      <w:r w:rsidR="007C1C64" w:rsidRPr="00CB3320">
        <w:rPr>
          <w:rFonts w:hint="eastAsia"/>
        </w:rPr>
        <w:t>。</w:t>
      </w:r>
    </w:p>
    <w:p w14:paraId="1E3D6A27" w14:textId="78380257" w:rsidR="00CB3320" w:rsidRPr="00CB3320" w:rsidRDefault="004A0AB1" w:rsidP="00D014A5">
      <w:pPr>
        <w:ind w:firstLine="420"/>
      </w:pPr>
      <w:proofErr w:type="gramStart"/>
      <w:r w:rsidRPr="004A0AB1">
        <w:t>碳交易促进碳减</w:t>
      </w:r>
      <w:proofErr w:type="gramEnd"/>
      <w:r w:rsidRPr="004A0AB1">
        <w:t>排</w:t>
      </w:r>
      <w:r>
        <w:rPr>
          <w:rFonts w:hint="eastAsia"/>
        </w:rPr>
        <w:t>，</w:t>
      </w:r>
      <w:r w:rsidRPr="004A0AB1">
        <w:t>导致营业成本增加、劳动生产率降低</w:t>
      </w:r>
      <w:r>
        <w:rPr>
          <w:rFonts w:hint="eastAsia"/>
        </w:rPr>
        <w:t>，进而可能会降低企业</w:t>
      </w:r>
      <w:r>
        <w:rPr>
          <w:rFonts w:hint="eastAsia"/>
        </w:rPr>
        <w:t>T</w:t>
      </w:r>
      <w:r>
        <w:t>FP</w:t>
      </w:r>
      <w:r>
        <w:rPr>
          <w:rFonts w:hint="eastAsia"/>
        </w:rPr>
        <w:t>，</w:t>
      </w:r>
      <w:r w:rsidRPr="004A0AB1">
        <w:t>但同时也显著正向影响资本生产率</w:t>
      </w:r>
      <w:r>
        <w:rPr>
          <w:rFonts w:hint="eastAsia"/>
        </w:rPr>
        <w:t>，</w:t>
      </w:r>
      <w:r w:rsidRPr="004A0AB1">
        <w:t>促进企业利润与收入增长</w:t>
      </w:r>
      <w:r>
        <w:rPr>
          <w:rFonts w:hint="eastAsia"/>
        </w:rPr>
        <w:t>，因此可能会提高</w:t>
      </w:r>
      <w:r>
        <w:rPr>
          <w:rFonts w:hint="eastAsia"/>
        </w:rPr>
        <w:t>T</w:t>
      </w:r>
      <w:r>
        <w:t>FP</w:t>
      </w:r>
      <w:r>
        <w:rPr>
          <w:rFonts w:hint="eastAsia"/>
        </w:rPr>
        <w:t>（</w:t>
      </w:r>
      <w:r w:rsidRPr="00CB3320">
        <w:rPr>
          <w:rFonts w:hint="eastAsia"/>
        </w:rPr>
        <w:t>胡玉凤等</w:t>
      </w:r>
      <w:r>
        <w:rPr>
          <w:rFonts w:hint="eastAsia"/>
        </w:rPr>
        <w:t>，</w:t>
      </w:r>
      <w:r w:rsidRPr="00CB3320">
        <w:rPr>
          <w:rFonts w:hint="eastAsia"/>
        </w:rPr>
        <w:t>2020</w:t>
      </w:r>
      <w:r w:rsidRPr="00CB3320">
        <w:rPr>
          <w:rFonts w:hint="eastAsia"/>
        </w:rPr>
        <w:t>）</w:t>
      </w:r>
      <w:r w:rsidRPr="004A0AB1">
        <w:t>。</w:t>
      </w:r>
      <w:r>
        <w:rPr>
          <w:rFonts w:hint="eastAsia"/>
        </w:rPr>
        <w:t>因此，</w:t>
      </w:r>
      <w:proofErr w:type="gramStart"/>
      <w:r>
        <w:rPr>
          <w:rFonts w:hint="eastAsia"/>
        </w:rPr>
        <w:t>碳交易</w:t>
      </w:r>
      <w:proofErr w:type="gramEnd"/>
      <w:r>
        <w:rPr>
          <w:rFonts w:hint="eastAsia"/>
        </w:rPr>
        <w:t>对</w:t>
      </w:r>
      <w:r>
        <w:rPr>
          <w:rFonts w:hint="eastAsia"/>
        </w:rPr>
        <w:t>T</w:t>
      </w:r>
      <w:r>
        <w:t>FP</w:t>
      </w:r>
      <w:r>
        <w:rPr>
          <w:rFonts w:hint="eastAsia"/>
        </w:rPr>
        <w:t>的影响是这两股力量的辩证变化的过程。我们可将二者凝练为</w:t>
      </w:r>
      <w:r w:rsidRPr="00CB3320">
        <w:rPr>
          <w:rFonts w:hint="eastAsia"/>
        </w:rPr>
        <w:t>外部成本内部化</w:t>
      </w:r>
      <w:r>
        <w:rPr>
          <w:rFonts w:hint="eastAsia"/>
        </w:rPr>
        <w:t>带来的成本效应，以及强波特假说。基于二者的关系，</w:t>
      </w:r>
      <w:proofErr w:type="gramStart"/>
      <w:r>
        <w:rPr>
          <w:rFonts w:hint="eastAsia"/>
        </w:rPr>
        <w:t>碳交易</w:t>
      </w:r>
      <w:proofErr w:type="gramEnd"/>
      <w:r>
        <w:rPr>
          <w:rFonts w:hint="eastAsia"/>
        </w:rPr>
        <w:t>可能会对</w:t>
      </w:r>
      <w:r>
        <w:t>TFP</w:t>
      </w:r>
      <w:r>
        <w:rPr>
          <w:rFonts w:hint="eastAsia"/>
        </w:rPr>
        <w:t>产生异质的影响。</w:t>
      </w:r>
    </w:p>
    <w:p w14:paraId="2659E656" w14:textId="53D863D8" w:rsidR="007C1C64" w:rsidRPr="00CB3320" w:rsidRDefault="005B1161" w:rsidP="00E23226">
      <w:pPr>
        <w:ind w:firstLine="420"/>
      </w:pPr>
      <w:r w:rsidRPr="00CB3320">
        <w:rPr>
          <w:rFonts w:hint="eastAsia"/>
        </w:rPr>
        <w:t>假设碳排放交易</w:t>
      </w:r>
      <w:r w:rsidR="007C1C64" w:rsidRPr="00CB3320">
        <w:rPr>
          <w:rFonts w:hint="eastAsia"/>
        </w:rPr>
        <w:t>能够通过“强波特假说”，</w:t>
      </w:r>
      <w:r w:rsidRPr="00CB3320">
        <w:rPr>
          <w:rFonts w:hint="eastAsia"/>
        </w:rPr>
        <w:t>减少碳排放</w:t>
      </w:r>
      <w:r w:rsidR="007C1C64" w:rsidRPr="00CB3320">
        <w:rPr>
          <w:rFonts w:hint="eastAsia"/>
        </w:rPr>
        <w:t>的同时引发了</w:t>
      </w:r>
      <w:r w:rsidRPr="00CB3320">
        <w:rPr>
          <w:rFonts w:hint="eastAsia"/>
        </w:rPr>
        <w:t>技术</w:t>
      </w:r>
      <w:r w:rsidR="007C1C64" w:rsidRPr="00CB3320">
        <w:rPr>
          <w:rFonts w:hint="eastAsia"/>
        </w:rPr>
        <w:t>革新与效率提升</w:t>
      </w:r>
      <w:r w:rsidRPr="00CB3320">
        <w:rPr>
          <w:rFonts w:hint="eastAsia"/>
        </w:rPr>
        <w:t>。在这种情况下，</w:t>
      </w:r>
      <w:r w:rsidR="007C1C64" w:rsidRPr="00CB3320">
        <w:rPr>
          <w:rFonts w:hint="eastAsia"/>
        </w:rPr>
        <w:t>ETS</w:t>
      </w:r>
      <w:r w:rsidR="007C1C64" w:rsidRPr="00CB3320">
        <w:rPr>
          <w:rFonts w:hint="eastAsia"/>
        </w:rPr>
        <w:t>会降低</w:t>
      </w:r>
      <w:r w:rsidRPr="00CB3320">
        <w:rPr>
          <w:rFonts w:hint="eastAsia"/>
        </w:rPr>
        <w:t>碳排放的投入偏好</w:t>
      </w:r>
      <w:r w:rsidR="007C1C64" w:rsidRPr="00CB3320">
        <w:rPr>
          <w:rFonts w:hint="eastAsia"/>
        </w:rPr>
        <w:t>并提高效率</w:t>
      </w:r>
      <w:r w:rsidRPr="00CB3320">
        <w:rPr>
          <w:rFonts w:hint="eastAsia"/>
        </w:rPr>
        <w:t>（</w:t>
      </w:r>
      <m:oMath>
        <m:sSubSup>
          <m:sSubSupPr>
            <m:ctrlPr>
              <w:rPr>
                <w:rFonts w:ascii="Cambria Math" w:hAnsi="Cambria Math"/>
              </w:rPr>
            </m:ctrlPr>
          </m:sSubSupPr>
          <m:e>
            <m:r>
              <w:rPr>
                <w:rFonts w:ascii="Cambria Math" w:hAnsi="Cambria Math"/>
              </w:rPr>
              <m:t>β</m:t>
            </m:r>
          </m:e>
          <m:sub>
            <m:r>
              <m:rPr>
                <m:sty m:val="p"/>
              </m:rPr>
              <w:rPr>
                <w:rFonts w:ascii="Cambria Math" w:hAnsi="Cambria Math"/>
              </w:rPr>
              <m:t>3</m:t>
            </m:r>
          </m:sub>
          <m:sup>
            <m:r>
              <m:rPr>
                <m:sty m:val="p"/>
              </m:rPr>
              <w:rPr>
                <w:rFonts w:ascii="MS Mincho" w:eastAsia="MS Mincho" w:hAnsi="MS Mincho" w:cs="MS Mincho" w:hint="eastAsia"/>
              </w:rPr>
              <m:t>*</m:t>
            </m:r>
          </m:sup>
        </m:sSubSup>
      </m:oMath>
      <w:r w:rsidRPr="00CB3320">
        <w:rPr>
          <w:rFonts w:hint="eastAsia"/>
        </w:rPr>
        <w:t>减少，</w:t>
      </w:r>
      <m:oMath>
        <m:sSubSup>
          <m:sSubSupPr>
            <m:ctrlPr>
              <w:rPr>
                <w:rFonts w:ascii="Cambria Math" w:hAnsi="Cambria Math"/>
              </w:rPr>
            </m:ctrlPr>
          </m:sSubSupPr>
          <m:e>
            <m:r>
              <w:rPr>
                <w:rFonts w:ascii="Cambria Math" w:hAnsi="Cambria Math"/>
              </w:rPr>
              <m:t>b</m:t>
            </m:r>
          </m:e>
          <m:sub>
            <m:r>
              <w:rPr>
                <w:rFonts w:ascii="Cambria Math" w:hAnsi="Cambria Math"/>
              </w:rPr>
              <m:t>i</m:t>
            </m:r>
          </m:sub>
          <m:sup>
            <m:r>
              <m:rPr>
                <m:sty m:val="p"/>
              </m:rPr>
              <w:rPr>
                <w:rFonts w:ascii="MS Mincho" w:eastAsia="MS Mincho" w:hAnsi="MS Mincho" w:cs="MS Mincho" w:hint="eastAsia"/>
              </w:rPr>
              <m:t>*</m:t>
            </m:r>
          </m:sup>
        </m:sSubSup>
      </m:oMath>
      <w:r w:rsidR="007C1C64" w:rsidRPr="00CB3320">
        <w:rPr>
          <w:rFonts w:hint="eastAsia"/>
        </w:rPr>
        <w:t>提高</w:t>
      </w:r>
      <w:r w:rsidR="00E23226" w:rsidRPr="00CB3320">
        <w:rPr>
          <w:rFonts w:hint="eastAsia"/>
        </w:rPr>
        <w:t>，但后者幅度更高</w:t>
      </w:r>
      <w:r w:rsidRPr="00CB3320">
        <w:rPr>
          <w:rFonts w:hint="eastAsia"/>
        </w:rPr>
        <w:t>）</w:t>
      </w:r>
      <w:r w:rsidR="007C1C64" w:rsidRPr="00CB3320">
        <w:rPr>
          <w:rFonts w:hint="eastAsia"/>
        </w:rPr>
        <w:t>，此时我们能够观测到全要素生产率的提高。因此，我们提出第一个假说：</w:t>
      </w:r>
    </w:p>
    <w:p w14:paraId="4B6490C3" w14:textId="77777777" w:rsidR="007C1C64" w:rsidRPr="00CB3320" w:rsidRDefault="007C1C64" w:rsidP="007C1C64">
      <w:pPr>
        <w:ind w:left="480" w:firstLineChars="0" w:firstLine="0"/>
        <w:rPr>
          <w:b/>
          <w:bCs/>
        </w:rPr>
      </w:pPr>
      <w:r w:rsidRPr="00CB3320">
        <w:rPr>
          <w:rFonts w:hint="eastAsia"/>
          <w:b/>
          <w:bCs/>
        </w:rPr>
        <w:t>假说</w:t>
      </w:r>
      <w:r w:rsidRPr="00CB3320">
        <w:rPr>
          <w:b/>
          <w:bCs/>
        </w:rPr>
        <w:t>1</w:t>
      </w:r>
      <w:r w:rsidRPr="00CB3320">
        <w:rPr>
          <w:rFonts w:hint="eastAsia"/>
          <w:b/>
          <w:bCs/>
        </w:rPr>
        <w:t>a</w:t>
      </w:r>
      <w:r w:rsidRPr="00CB3320">
        <w:rPr>
          <w:rFonts w:hint="eastAsia"/>
          <w:b/>
          <w:bCs/>
        </w:rPr>
        <w:t>：</w:t>
      </w:r>
      <w:proofErr w:type="gramStart"/>
      <w:r w:rsidRPr="00CB3320">
        <w:rPr>
          <w:rFonts w:hint="eastAsia"/>
          <w:b/>
          <w:bCs/>
        </w:rPr>
        <w:t>碳试点</w:t>
      </w:r>
      <w:proofErr w:type="gramEnd"/>
      <w:r w:rsidRPr="00CB3320">
        <w:rPr>
          <w:rFonts w:hint="eastAsia"/>
          <w:b/>
          <w:bCs/>
        </w:rPr>
        <w:t>提高了全要素生产率。</w:t>
      </w:r>
    </w:p>
    <w:p w14:paraId="3BBEF972" w14:textId="0F49B872" w:rsidR="007C1C64" w:rsidRPr="00CB3320" w:rsidRDefault="007C1C64" w:rsidP="00E23226">
      <w:pPr>
        <w:ind w:firstLine="420"/>
      </w:pPr>
      <w:r w:rsidRPr="00CB3320">
        <w:rPr>
          <w:rFonts w:hint="eastAsia"/>
        </w:rPr>
        <w:t>假设碳排放交易减少了碳排放，同时由于外部成本内部化的带来了成本的增加降低了效率。在这种情况下，</w:t>
      </w:r>
      <w:r w:rsidRPr="00CB3320">
        <w:rPr>
          <w:rFonts w:hint="eastAsia"/>
        </w:rPr>
        <w:t>ETS</w:t>
      </w:r>
      <w:r w:rsidRPr="00CB3320">
        <w:rPr>
          <w:rFonts w:hint="eastAsia"/>
        </w:rPr>
        <w:t>会降低碳排放的投入偏好并</w:t>
      </w:r>
      <w:r w:rsidR="00A6784C" w:rsidRPr="00CB3320">
        <w:rPr>
          <w:rFonts w:hint="eastAsia"/>
        </w:rPr>
        <w:t>降低效率</w:t>
      </w:r>
      <w:r w:rsidRPr="00CB3320">
        <w:rPr>
          <w:rFonts w:hint="eastAsia"/>
        </w:rPr>
        <w:t>（</w:t>
      </w:r>
      <m:oMath>
        <m:sSubSup>
          <m:sSubSupPr>
            <m:ctrlPr>
              <w:rPr>
                <w:rFonts w:ascii="Cambria Math" w:hAnsi="Cambria Math"/>
              </w:rPr>
            </m:ctrlPr>
          </m:sSubSupPr>
          <m:e>
            <m:r>
              <w:rPr>
                <w:rFonts w:ascii="Cambria Math" w:hAnsi="Cambria Math"/>
              </w:rPr>
              <m:t>β</m:t>
            </m:r>
          </m:e>
          <m:sub>
            <m:r>
              <m:rPr>
                <m:sty m:val="p"/>
              </m:rPr>
              <w:rPr>
                <w:rFonts w:ascii="Cambria Math" w:hAnsi="Cambria Math"/>
              </w:rPr>
              <m:t>3</m:t>
            </m:r>
          </m:sub>
          <m:sup>
            <m:r>
              <m:rPr>
                <m:sty m:val="p"/>
              </m:rPr>
              <w:rPr>
                <w:rFonts w:ascii="MS Mincho" w:eastAsia="MS Mincho" w:hAnsi="MS Mincho" w:cs="MS Mincho" w:hint="eastAsia"/>
              </w:rPr>
              <m:t>*</m:t>
            </m:r>
          </m:sup>
        </m:sSubSup>
      </m:oMath>
      <w:r w:rsidRPr="00CB3320">
        <w:rPr>
          <w:rFonts w:hint="eastAsia"/>
        </w:rPr>
        <w:t>和</w:t>
      </w:r>
      <m:oMath>
        <m:sSubSup>
          <m:sSubSupPr>
            <m:ctrlPr>
              <w:rPr>
                <w:rFonts w:ascii="Cambria Math" w:hAnsi="Cambria Math"/>
              </w:rPr>
            </m:ctrlPr>
          </m:sSubSupPr>
          <m:e>
            <m:r>
              <w:rPr>
                <w:rFonts w:ascii="Cambria Math" w:hAnsi="Cambria Math"/>
              </w:rPr>
              <m:t>b</m:t>
            </m:r>
          </m:e>
          <m:sub>
            <m:r>
              <w:rPr>
                <w:rFonts w:ascii="Cambria Math" w:hAnsi="Cambria Math"/>
              </w:rPr>
              <m:t>i</m:t>
            </m:r>
          </m:sub>
          <m:sup>
            <m:r>
              <m:rPr>
                <m:sty m:val="p"/>
              </m:rPr>
              <w:rPr>
                <w:rFonts w:ascii="MS Mincho" w:eastAsia="MS Mincho" w:hAnsi="MS Mincho" w:cs="MS Mincho" w:hint="eastAsia"/>
              </w:rPr>
              <m:t>*</m:t>
            </m:r>
          </m:sup>
        </m:sSubSup>
      </m:oMath>
      <w:r w:rsidRPr="00CB3320">
        <w:rPr>
          <w:rFonts w:hint="eastAsia"/>
        </w:rPr>
        <w:t>同时下降），此时我们能够观测到全要素生产率的</w:t>
      </w:r>
      <w:r w:rsidR="00A6784C" w:rsidRPr="00CB3320">
        <w:rPr>
          <w:rFonts w:hint="eastAsia"/>
        </w:rPr>
        <w:t>降低</w:t>
      </w:r>
      <w:r w:rsidRPr="00CB3320">
        <w:rPr>
          <w:rFonts w:hint="eastAsia"/>
        </w:rPr>
        <w:t>。因此，我们提出第</w:t>
      </w:r>
      <w:r w:rsidR="00A6784C" w:rsidRPr="00CB3320">
        <w:rPr>
          <w:rFonts w:hint="eastAsia"/>
        </w:rPr>
        <w:t>二</w:t>
      </w:r>
      <w:r w:rsidRPr="00CB3320">
        <w:rPr>
          <w:rFonts w:hint="eastAsia"/>
        </w:rPr>
        <w:t>个假说：</w:t>
      </w:r>
    </w:p>
    <w:p w14:paraId="0D07C01C" w14:textId="77777777" w:rsidR="00A6784C" w:rsidRPr="00CB3320" w:rsidRDefault="00A6784C" w:rsidP="00A6784C">
      <w:pPr>
        <w:ind w:left="480" w:firstLineChars="0" w:firstLine="0"/>
        <w:rPr>
          <w:b/>
          <w:bCs/>
        </w:rPr>
      </w:pPr>
      <w:r w:rsidRPr="00CB3320">
        <w:rPr>
          <w:rFonts w:hint="eastAsia"/>
          <w:b/>
          <w:bCs/>
        </w:rPr>
        <w:t>假说</w:t>
      </w:r>
      <w:r w:rsidRPr="00CB3320">
        <w:rPr>
          <w:b/>
          <w:bCs/>
        </w:rPr>
        <w:t>1b</w:t>
      </w:r>
      <w:r w:rsidRPr="00CB3320">
        <w:rPr>
          <w:rFonts w:hint="eastAsia"/>
          <w:b/>
          <w:bCs/>
        </w:rPr>
        <w:t>：</w:t>
      </w:r>
      <w:proofErr w:type="gramStart"/>
      <w:r w:rsidRPr="00CB3320">
        <w:rPr>
          <w:rFonts w:hint="eastAsia"/>
          <w:b/>
          <w:bCs/>
        </w:rPr>
        <w:t>碳试点</w:t>
      </w:r>
      <w:proofErr w:type="gramEnd"/>
      <w:r w:rsidRPr="00CB3320">
        <w:rPr>
          <w:rFonts w:hint="eastAsia"/>
          <w:b/>
          <w:bCs/>
        </w:rPr>
        <w:t>降低了全要素生产率。</w:t>
      </w:r>
    </w:p>
    <w:p w14:paraId="6BB64BEC" w14:textId="5E4A34CA" w:rsidR="005B1161" w:rsidRPr="00CB3320" w:rsidRDefault="00A6784C" w:rsidP="00E23226">
      <w:pPr>
        <w:ind w:firstLine="420"/>
      </w:pPr>
      <w:r w:rsidRPr="00CB3320">
        <w:rPr>
          <w:rFonts w:hint="eastAsia"/>
        </w:rPr>
        <w:t>假设碳排放交易能够通过“强波特假说”，减少碳排放的同时引发了技术革新与效率提升</w:t>
      </w:r>
      <w:r w:rsidR="00E23226" w:rsidRPr="00CB3320">
        <w:rPr>
          <w:rFonts w:hint="eastAsia"/>
        </w:rPr>
        <w:t>，但是同时也存在较高的成本负担</w:t>
      </w:r>
      <w:r w:rsidRPr="00CB3320">
        <w:rPr>
          <w:rFonts w:hint="eastAsia"/>
        </w:rPr>
        <w:t>。在这种情况下，</w:t>
      </w:r>
      <w:r w:rsidRPr="00CB3320">
        <w:rPr>
          <w:rFonts w:hint="eastAsia"/>
        </w:rPr>
        <w:t>ETS</w:t>
      </w:r>
      <w:r w:rsidRPr="00CB3320">
        <w:rPr>
          <w:rFonts w:hint="eastAsia"/>
        </w:rPr>
        <w:t>会降低碳排放的投入偏好并提高效率</w:t>
      </w:r>
      <w:r w:rsidR="00E23226" w:rsidRPr="00CB3320">
        <w:rPr>
          <w:rFonts w:hint="eastAsia"/>
        </w:rPr>
        <w:t>（</w:t>
      </w:r>
      <m:oMath>
        <m:sSubSup>
          <m:sSubSupPr>
            <m:ctrlPr>
              <w:rPr>
                <w:rFonts w:ascii="Cambria Math" w:hAnsi="Cambria Math"/>
              </w:rPr>
            </m:ctrlPr>
          </m:sSubSupPr>
          <m:e>
            <m:r>
              <w:rPr>
                <w:rFonts w:ascii="Cambria Math" w:hAnsi="Cambria Math"/>
              </w:rPr>
              <m:t>β</m:t>
            </m:r>
          </m:e>
          <m:sub>
            <m:r>
              <m:rPr>
                <m:sty m:val="p"/>
              </m:rPr>
              <w:rPr>
                <w:rFonts w:ascii="Cambria Math" w:hAnsi="Cambria Math"/>
              </w:rPr>
              <m:t>3</m:t>
            </m:r>
          </m:sub>
          <m:sup>
            <m:r>
              <m:rPr>
                <m:sty m:val="p"/>
              </m:rPr>
              <w:rPr>
                <w:rFonts w:ascii="MS Mincho" w:eastAsia="MS Mincho" w:hAnsi="MS Mincho" w:cs="MS Mincho" w:hint="eastAsia"/>
              </w:rPr>
              <m:t>*</m:t>
            </m:r>
          </m:sup>
        </m:sSubSup>
      </m:oMath>
      <w:r w:rsidR="00E23226" w:rsidRPr="00CB3320">
        <w:rPr>
          <w:rFonts w:hint="eastAsia"/>
        </w:rPr>
        <w:t>减少，</w:t>
      </w:r>
      <m:oMath>
        <m:sSubSup>
          <m:sSubSupPr>
            <m:ctrlPr>
              <w:rPr>
                <w:rFonts w:ascii="Cambria Math" w:hAnsi="Cambria Math"/>
              </w:rPr>
            </m:ctrlPr>
          </m:sSubSupPr>
          <m:e>
            <m:r>
              <w:rPr>
                <w:rFonts w:ascii="Cambria Math" w:hAnsi="Cambria Math"/>
              </w:rPr>
              <m:t>b</m:t>
            </m:r>
          </m:e>
          <m:sub>
            <m:r>
              <w:rPr>
                <w:rFonts w:ascii="Cambria Math" w:hAnsi="Cambria Math"/>
              </w:rPr>
              <m:t>i</m:t>
            </m:r>
          </m:sub>
          <m:sup>
            <m:r>
              <m:rPr>
                <m:sty m:val="p"/>
              </m:rPr>
              <w:rPr>
                <w:rFonts w:ascii="MS Mincho" w:eastAsia="MS Mincho" w:hAnsi="MS Mincho" w:cs="MS Mincho" w:hint="eastAsia"/>
              </w:rPr>
              <m:t>*</m:t>
            </m:r>
          </m:sup>
        </m:sSubSup>
      </m:oMath>
      <w:r w:rsidR="00E23226" w:rsidRPr="00CB3320">
        <w:rPr>
          <w:rFonts w:hint="eastAsia"/>
        </w:rPr>
        <w:t>提高，但幅度相近）</w:t>
      </w:r>
      <w:r w:rsidRPr="00CB3320">
        <w:rPr>
          <w:rFonts w:hint="eastAsia"/>
        </w:rPr>
        <w:t>，此时我们</w:t>
      </w:r>
      <w:r w:rsidR="00E23226" w:rsidRPr="00CB3320">
        <w:rPr>
          <w:rFonts w:hint="eastAsia"/>
        </w:rPr>
        <w:t>可能会观测</w:t>
      </w:r>
      <w:proofErr w:type="gramStart"/>
      <w:r w:rsidR="00E23226" w:rsidRPr="00CB3320">
        <w:rPr>
          <w:rFonts w:hint="eastAsia"/>
        </w:rPr>
        <w:t>到碳试点</w:t>
      </w:r>
      <w:proofErr w:type="gramEnd"/>
      <w:r w:rsidR="00E23226" w:rsidRPr="00CB3320">
        <w:rPr>
          <w:rFonts w:hint="eastAsia"/>
        </w:rPr>
        <w:t>对全要素生产率没有显著的影响</w:t>
      </w:r>
      <w:r w:rsidRPr="00CB3320">
        <w:rPr>
          <w:rFonts w:hint="eastAsia"/>
        </w:rPr>
        <w:t>。因此，我们提出第</w:t>
      </w:r>
      <w:r w:rsidR="00E23226" w:rsidRPr="00CB3320">
        <w:rPr>
          <w:rFonts w:hint="eastAsia"/>
        </w:rPr>
        <w:t>三</w:t>
      </w:r>
      <w:r w:rsidRPr="00CB3320">
        <w:rPr>
          <w:rFonts w:hint="eastAsia"/>
        </w:rPr>
        <w:t>个假说：</w:t>
      </w:r>
    </w:p>
    <w:p w14:paraId="47117648" w14:textId="77777777" w:rsidR="00E23226" w:rsidRPr="00CB3320" w:rsidRDefault="00E23226" w:rsidP="00E23226">
      <w:pPr>
        <w:ind w:left="480" w:firstLineChars="0" w:firstLine="0"/>
      </w:pPr>
      <w:r w:rsidRPr="00CB3320">
        <w:rPr>
          <w:rFonts w:hint="eastAsia"/>
          <w:b/>
          <w:bCs/>
        </w:rPr>
        <w:t>假说</w:t>
      </w:r>
      <w:r w:rsidRPr="00CB3320">
        <w:rPr>
          <w:b/>
          <w:bCs/>
        </w:rPr>
        <w:t>1c</w:t>
      </w:r>
      <w:r w:rsidRPr="00CB3320">
        <w:rPr>
          <w:rFonts w:hint="eastAsia"/>
          <w:b/>
          <w:bCs/>
        </w:rPr>
        <w:t>：</w:t>
      </w:r>
      <w:proofErr w:type="gramStart"/>
      <w:r w:rsidRPr="00CB3320">
        <w:rPr>
          <w:rFonts w:hint="eastAsia"/>
          <w:b/>
          <w:bCs/>
        </w:rPr>
        <w:t>碳试点</w:t>
      </w:r>
      <w:proofErr w:type="gramEnd"/>
      <w:r w:rsidRPr="00CB3320">
        <w:rPr>
          <w:rFonts w:hint="eastAsia"/>
          <w:b/>
          <w:bCs/>
        </w:rPr>
        <w:t>对全要素生产率无显著影响。</w:t>
      </w:r>
    </w:p>
    <w:p w14:paraId="7670BAF3" w14:textId="0B8957CD" w:rsidR="00A6784C" w:rsidRDefault="00E23226" w:rsidP="00E23226">
      <w:pPr>
        <w:ind w:firstLine="420"/>
      </w:pPr>
      <w:r w:rsidRPr="00CB3320">
        <w:rPr>
          <w:rFonts w:hint="eastAsia"/>
        </w:rPr>
        <w:t>主要注意的是，如果观测结果为无显著影响，我们也无法认定波特假说和成本效应同时存在且强度相当，因为可能也存在二者同时不存在的情况。</w:t>
      </w:r>
    </w:p>
    <w:p w14:paraId="2EF9FDCF" w14:textId="45377EF9" w:rsidR="008266CB" w:rsidRPr="00CB3320" w:rsidRDefault="008266CB" w:rsidP="008266CB">
      <w:pPr>
        <w:pStyle w:val="2"/>
        <w:numPr>
          <w:ilvl w:val="0"/>
          <w:numId w:val="0"/>
        </w:numPr>
        <w:spacing w:before="163" w:after="81"/>
      </w:pPr>
      <w:r>
        <w:rPr>
          <w:rFonts w:hint="eastAsia"/>
        </w:rPr>
        <w:t>（二）</w:t>
      </w:r>
      <w:proofErr w:type="gramStart"/>
      <w:r w:rsidR="008D0815" w:rsidRPr="008D0815">
        <w:rPr>
          <w:rFonts w:hint="eastAsia"/>
        </w:rPr>
        <w:t>碳排放权</w:t>
      </w:r>
      <w:proofErr w:type="gramEnd"/>
      <w:r w:rsidR="008D0815" w:rsidRPr="008D0815">
        <w:rPr>
          <w:rFonts w:hint="eastAsia"/>
        </w:rPr>
        <w:t>交易</w:t>
      </w:r>
      <w:r w:rsidR="00616138">
        <w:rPr>
          <w:rFonts w:hint="eastAsia"/>
        </w:rPr>
        <w:t>的空间溢出效应</w:t>
      </w:r>
      <w:r w:rsidR="006653F5">
        <w:rPr>
          <w:rFonts w:hint="eastAsia"/>
        </w:rPr>
        <w:t>：技术溢出效应与污染天堂假说</w:t>
      </w:r>
    </w:p>
    <w:p w14:paraId="675F3A6A" w14:textId="77777777" w:rsidR="009371FB" w:rsidRDefault="001508E0" w:rsidP="00E23226">
      <w:pPr>
        <w:ind w:firstLine="420"/>
      </w:pPr>
      <w:bookmarkStart w:id="12" w:name="_Hlk121070702"/>
      <w:bookmarkEnd w:id="10"/>
      <w:r>
        <w:rPr>
          <w:rFonts w:hint="eastAsia"/>
        </w:rPr>
        <w:t>经济学上的空间溢出效应又可被称作外部性</w:t>
      </w:r>
      <w:r w:rsidR="00927A60">
        <w:fldChar w:fldCharType="begin" w:fldLock="1"/>
      </w:r>
      <w:r w:rsidR="001B2C18">
        <w:rPr>
          <w:rFonts w:hint="eastAsia"/>
        </w:rPr>
        <w:instrText>ADDIN CSL_CITATION {"citationItems":[{"id":"ITEM-1","itemData":{"author":[{"dropping-particle":"","family":"</w:instrText>
      </w:r>
      <w:r w:rsidR="001B2C18">
        <w:rPr>
          <w:rFonts w:hint="eastAsia"/>
        </w:rPr>
        <w:instrText>张学良</w:instrText>
      </w:r>
      <w:r w:rsidR="001B2C18">
        <w:rPr>
          <w:rFonts w:hint="eastAsia"/>
        </w:rPr>
        <w:instrText>","given":"","non-dropping-particle":"","parse-names":false,"suffix":""}],"container-title":"</w:instrText>
      </w:r>
      <w:r w:rsidR="001B2C18">
        <w:rPr>
          <w:rFonts w:hint="eastAsia"/>
        </w:rPr>
        <w:instrText>中国社会科学</w:instrText>
      </w:r>
      <w:r w:rsidR="001B2C18">
        <w:rPr>
          <w:rFonts w:hint="eastAsia"/>
        </w:rPr>
        <w:instrText>","id":"ITEM-1","issued":{"date-parts":[["2012"]]},"page":"60-77+206","title":"</w:instrText>
      </w:r>
      <w:r w:rsidR="001B2C18">
        <w:rPr>
          <w:rFonts w:hint="eastAsia"/>
        </w:rPr>
        <w:instrText>中国交通基础设施促进了区域经济增长吗——兼论交通基础设施的空间溢出效应</w:instrText>
      </w:r>
      <w:r w:rsidR="001B2C18">
        <w:rPr>
          <w:rFonts w:hint="eastAsia"/>
        </w:rPr>
        <w:instrText>","type":"article-journal","volume":"03"},"uris":["http://www.mendeley.com/documents/?uuid=a876a0fa-f230-4acd-a7bd-230fa529442e"]}],"mendeley":{"formattedCitation":"(</w:instrText>
      </w:r>
      <w:r w:rsidR="001B2C18">
        <w:rPr>
          <w:rFonts w:hint="eastAsia"/>
        </w:rPr>
        <w:instrText>张学良</w:instrText>
      </w:r>
      <w:r w:rsidR="001B2C18">
        <w:rPr>
          <w:rFonts w:hint="eastAsia"/>
        </w:rPr>
        <w:instrText>, 2012)","manualFormatting":"(</w:instrText>
      </w:r>
      <w:r w:rsidR="001B2C18">
        <w:rPr>
          <w:rFonts w:hint="eastAsia"/>
        </w:rPr>
        <w:instrText>张学良，</w:instrText>
      </w:r>
      <w:r w:rsidR="001B2C18">
        <w:rPr>
          <w:rFonts w:hint="eastAsia"/>
        </w:rPr>
        <w:instrText>2012)","plainTextFormattedCitation":"(</w:instrText>
      </w:r>
      <w:r w:rsidR="001B2C18">
        <w:rPr>
          <w:rFonts w:hint="eastAsia"/>
        </w:rPr>
        <w:instrText>张学良</w:instrText>
      </w:r>
      <w:r w:rsidR="001B2C18">
        <w:rPr>
          <w:rFonts w:hint="eastAsia"/>
        </w:rPr>
        <w:instrText>, 2012)","previouslyFormattedCitation":"(</w:instrText>
      </w:r>
      <w:r w:rsidR="001B2C18">
        <w:rPr>
          <w:rFonts w:hint="eastAsia"/>
        </w:rPr>
        <w:instrText>张学良</w:instrText>
      </w:r>
      <w:r w:rsidR="001B2C18">
        <w:rPr>
          <w:rFonts w:hint="eastAsia"/>
        </w:rPr>
        <w:instrText>, 2012)"},"properties":{"noteIndex":0},"schema":"https://github.com/citation-style-language/schema/raw/master/csl-citation.json"}</w:instrText>
      </w:r>
      <w:r w:rsidR="00927A60">
        <w:fldChar w:fldCharType="separate"/>
      </w:r>
      <w:r w:rsidR="00927A60" w:rsidRPr="00927A60">
        <w:rPr>
          <w:rFonts w:hint="eastAsia"/>
          <w:noProof/>
        </w:rPr>
        <w:t>(</w:t>
      </w:r>
      <w:r w:rsidR="00927A60" w:rsidRPr="00927A60">
        <w:rPr>
          <w:rFonts w:hint="eastAsia"/>
          <w:noProof/>
        </w:rPr>
        <w:t>张学良</w:t>
      </w:r>
      <w:r w:rsidR="001B2C18">
        <w:rPr>
          <w:rFonts w:hint="eastAsia"/>
          <w:noProof/>
        </w:rPr>
        <w:t>，</w:t>
      </w:r>
      <w:r w:rsidR="00927A60" w:rsidRPr="00927A60">
        <w:rPr>
          <w:rFonts w:hint="eastAsia"/>
          <w:noProof/>
        </w:rPr>
        <w:t>2012)</w:t>
      </w:r>
      <w:r w:rsidR="00927A60">
        <w:fldChar w:fldCharType="end"/>
      </w:r>
      <w:r>
        <w:rPr>
          <w:rFonts w:hint="eastAsia"/>
        </w:rPr>
        <w:t>，即对非参与者产生的非货币溢出效应。溢出效应的研究可以追溯到</w:t>
      </w:r>
      <w:r>
        <w:rPr>
          <w:rFonts w:hint="eastAsia"/>
        </w:rPr>
        <w:t>1</w:t>
      </w:r>
      <w:r>
        <w:t>9</w:t>
      </w:r>
      <w:r>
        <w:rPr>
          <w:rFonts w:hint="eastAsia"/>
        </w:rPr>
        <w:t>世纪的</w:t>
      </w:r>
      <w:r w:rsidR="00412E1C" w:rsidRPr="00412E1C">
        <w:t>John Stuart Mill</w:t>
      </w:r>
      <w:r>
        <w:rPr>
          <w:rFonts w:hint="eastAsia"/>
        </w:rPr>
        <w:t>和</w:t>
      </w:r>
      <w:r w:rsidR="00412E1C">
        <w:rPr>
          <w:rFonts w:hint="eastAsia"/>
        </w:rPr>
        <w:t>Henry</w:t>
      </w:r>
      <w:r w:rsidR="00412E1C">
        <w:t xml:space="preserve"> </w:t>
      </w:r>
      <w:proofErr w:type="spellStart"/>
      <w:r w:rsidR="00412E1C">
        <w:rPr>
          <w:rFonts w:hint="eastAsia"/>
        </w:rPr>
        <w:t>Sidgwich</w:t>
      </w:r>
      <w:proofErr w:type="spellEnd"/>
      <w:r w:rsidR="00412E1C">
        <w:rPr>
          <w:rFonts w:hint="eastAsia"/>
        </w:rPr>
        <w:t>，</w:t>
      </w:r>
      <w:r w:rsidR="00412E1C" w:rsidRPr="00412E1C">
        <w:t xml:space="preserve">Arthur Pigou </w:t>
      </w:r>
      <w:r w:rsidR="00412E1C" w:rsidRPr="00412E1C">
        <w:rPr>
          <w:rFonts w:hint="eastAsia"/>
        </w:rPr>
        <w:t>对该理论的形成做出了实质性贡献</w:t>
      </w:r>
      <w:r w:rsidR="00C610A9">
        <w:fldChar w:fldCharType="begin" w:fldLock="1"/>
      </w:r>
      <w:r w:rsidR="00AB50CD">
        <w:instrText>ADDIN CSL_CITATION {"citationItems":[{"id":"ITEM-1","itemData":{"author":[{"dropping-particle":"","family":"Pigou","given":"A. C","non-dropping-particle":"","parse-names":false,"suffix":""}],"edition":"4","id":"ITEM-1","issued":{"date-parts":[["1932"]]},"publisher":"London: Macmillan","title":"The Economics of Welfare","type":"book"},"uris":["http://www.mendeley.com/documents/?uuid=aa9b4f9a-22d4-48fe-9772-402c238dae56"]}],"mendeley":{"formattedCitation":"(Pigou, 1932)","plainTextFormattedCitation":"(Pigou, 1932)","previouslyFormattedCitation":"(Pigou, 1932)"},"properties":{"noteIndex":0},"schema":"https://github.com/citation-style-language/schema/raw/master/csl-citation.json"}</w:instrText>
      </w:r>
      <w:r w:rsidR="00C610A9">
        <w:fldChar w:fldCharType="separate"/>
      </w:r>
      <w:r w:rsidR="00C610A9" w:rsidRPr="00C610A9">
        <w:rPr>
          <w:noProof/>
        </w:rPr>
        <w:t>(Pigou</w:t>
      </w:r>
      <w:r w:rsidR="001B2C18">
        <w:rPr>
          <w:rFonts w:hint="eastAsia"/>
          <w:noProof/>
        </w:rPr>
        <w:t>，</w:t>
      </w:r>
      <w:r w:rsidR="00C610A9" w:rsidRPr="00C610A9">
        <w:rPr>
          <w:noProof/>
        </w:rPr>
        <w:t>1932)</w:t>
      </w:r>
      <w:r w:rsidR="00C610A9">
        <w:fldChar w:fldCharType="end"/>
      </w:r>
      <w:r w:rsidR="00412E1C" w:rsidRPr="00412E1C">
        <w:rPr>
          <w:rFonts w:hint="eastAsia"/>
        </w:rPr>
        <w:t>。</w:t>
      </w:r>
      <w:r w:rsidR="00353EBE" w:rsidRPr="00353EBE">
        <w:rPr>
          <w:rFonts w:hint="eastAsia"/>
        </w:rPr>
        <w:t>缪尔达尔</w:t>
      </w:r>
      <w:r w:rsidR="00353EBE">
        <w:rPr>
          <w:rFonts w:hint="eastAsia"/>
        </w:rPr>
        <w:t>和</w:t>
      </w:r>
      <w:proofErr w:type="gramStart"/>
      <w:r w:rsidR="00353EBE">
        <w:rPr>
          <w:rFonts w:hint="eastAsia"/>
        </w:rPr>
        <w:t>赫</w:t>
      </w:r>
      <w:proofErr w:type="gramEnd"/>
      <w:r w:rsidR="00353EBE">
        <w:rPr>
          <w:rFonts w:hint="eastAsia"/>
        </w:rPr>
        <w:t>希</w:t>
      </w:r>
      <w:proofErr w:type="gramStart"/>
      <w:r w:rsidR="00353EBE">
        <w:rPr>
          <w:rFonts w:hint="eastAsia"/>
        </w:rPr>
        <w:t>曼</w:t>
      </w:r>
      <w:proofErr w:type="gramEnd"/>
      <w:r w:rsidR="00353EBE">
        <w:rPr>
          <w:rFonts w:hint="eastAsia"/>
        </w:rPr>
        <w:t>则注重从区域间发展的不平衡来阐释该理论，并提出了“扩散</w:t>
      </w:r>
      <w:r w:rsidR="00353EBE">
        <w:rPr>
          <w:rFonts w:hint="eastAsia"/>
        </w:rPr>
        <w:t>-</w:t>
      </w:r>
      <w:r w:rsidR="00353EBE">
        <w:rPr>
          <w:rFonts w:hint="eastAsia"/>
        </w:rPr>
        <w:t>回波”效应和“极化</w:t>
      </w:r>
      <w:r w:rsidR="00353EBE">
        <w:rPr>
          <w:rFonts w:hint="eastAsia"/>
        </w:rPr>
        <w:t>-</w:t>
      </w:r>
      <w:r w:rsidR="00353EBE">
        <w:rPr>
          <w:rFonts w:hint="eastAsia"/>
        </w:rPr>
        <w:t>涓滴”效应</w:t>
      </w:r>
      <w:r w:rsidR="00AB50CD">
        <w:fldChar w:fldCharType="begin" w:fldLock="1"/>
      </w:r>
      <w:r w:rsidR="00F948BA">
        <w:rPr>
          <w:rFonts w:hint="eastAsia"/>
        </w:rPr>
        <w:instrText>ADDIN CSL_CITATION {"citationItems":[{"id":"ITEM-1","itemData":{"author":[{"dropping-particle":"","family":"</w:instrText>
      </w:r>
      <w:r w:rsidR="00F948BA">
        <w:rPr>
          <w:rFonts w:hint="eastAsia"/>
        </w:rPr>
        <w:instrText>韩纪江</w:instrText>
      </w:r>
      <w:r w:rsidR="00F948BA">
        <w:rPr>
          <w:rFonts w:hint="eastAsia"/>
        </w:rPr>
        <w:instrText>","given":"","non-dropping-particle":"","parse-names":false,"suffix":""},{"dropping-particle":"","family":"</w:instrText>
      </w:r>
      <w:r w:rsidR="00F948BA">
        <w:rPr>
          <w:rFonts w:hint="eastAsia"/>
        </w:rPr>
        <w:instrText>郭熙保</w:instrText>
      </w:r>
      <w:r w:rsidR="00F948BA">
        <w:rPr>
          <w:rFonts w:hint="eastAsia"/>
        </w:rPr>
        <w:instrText>","given":"","non-dropping-particle":"","parse-names":false,"suffix":""}],"container-title":"</w:instrText>
      </w:r>
      <w:r w:rsidR="00F948BA">
        <w:rPr>
          <w:rFonts w:hint="eastAsia"/>
        </w:rPr>
        <w:instrText>经济学动态</w:instrText>
      </w:r>
      <w:r w:rsidR="00F948BA">
        <w:rPr>
          <w:rFonts w:hint="eastAsia"/>
        </w:rPr>
        <w:instrText>","id":"ITEM-1","issued":{"date-parts":[["2014"]]},"page":"117-125","title":"</w:instrText>
      </w:r>
      <w:r w:rsidR="00F948BA">
        <w:rPr>
          <w:rFonts w:hint="eastAsia"/>
        </w:rPr>
        <w:instrText>扩散—回波效应的研究脉络及其新进展</w:instrText>
      </w:r>
      <w:r w:rsidR="00F948BA">
        <w:rPr>
          <w:rFonts w:hint="eastAsia"/>
        </w:rPr>
        <w:instrText>","type":"article-journal","volume":"2"},"uris":["http://www.mendeley.com/documents/?uuid=7e625e52-8b48-4507-854c-de90533ec1c3"]}],"mendeley":{"formattedCitation":"(</w:instrText>
      </w:r>
      <w:r w:rsidR="00F948BA">
        <w:rPr>
          <w:rFonts w:hint="eastAsia"/>
        </w:rPr>
        <w:instrText>韩纪江等</w:instrText>
      </w:r>
      <w:r w:rsidR="00F948BA">
        <w:rPr>
          <w:rFonts w:hint="eastAsia"/>
        </w:rPr>
        <w:instrText>, 2014)","plainTextFormattedCitation":"(</w:instrText>
      </w:r>
      <w:r w:rsidR="00F948BA">
        <w:rPr>
          <w:rFonts w:hint="eastAsia"/>
        </w:rPr>
        <w:instrText>韩纪江等</w:instrText>
      </w:r>
      <w:r w:rsidR="00F948BA">
        <w:rPr>
          <w:rFonts w:hint="eastAsia"/>
        </w:rPr>
        <w:instrText>, 2014)","previouslyFormattedCitation":"(</w:instrText>
      </w:r>
      <w:r w:rsidR="00F948BA">
        <w:rPr>
          <w:rFonts w:hint="eastAsia"/>
        </w:rPr>
        <w:instrText>韩纪江等</w:instrText>
      </w:r>
      <w:r w:rsidR="00F948BA">
        <w:rPr>
          <w:rFonts w:hint="eastAsia"/>
        </w:rPr>
        <w:instrText>, 2014)"},"properties":{"noteIndex":0},"schema":"https://github.com/citation-style-language/sc</w:instrText>
      </w:r>
      <w:r w:rsidR="00F948BA">
        <w:instrText>hema/raw/master/csl-citation.json"}</w:instrText>
      </w:r>
      <w:r w:rsidR="00AB50CD">
        <w:fldChar w:fldCharType="separate"/>
      </w:r>
      <w:r w:rsidR="00AB50CD" w:rsidRPr="00AB50CD">
        <w:rPr>
          <w:rFonts w:hint="eastAsia"/>
          <w:noProof/>
        </w:rPr>
        <w:t>(</w:t>
      </w:r>
      <w:r w:rsidR="00AB50CD" w:rsidRPr="00AB50CD">
        <w:rPr>
          <w:rFonts w:hint="eastAsia"/>
          <w:noProof/>
        </w:rPr>
        <w:t>韩纪江等</w:t>
      </w:r>
      <w:r w:rsidR="001B2C18">
        <w:rPr>
          <w:rFonts w:hint="eastAsia"/>
          <w:noProof/>
        </w:rPr>
        <w:t>，</w:t>
      </w:r>
      <w:r w:rsidR="00AB50CD" w:rsidRPr="00AB50CD">
        <w:rPr>
          <w:rFonts w:hint="eastAsia"/>
          <w:noProof/>
        </w:rPr>
        <w:t>2014)</w:t>
      </w:r>
      <w:r w:rsidR="00AB50CD">
        <w:fldChar w:fldCharType="end"/>
      </w:r>
      <w:r w:rsidR="00353EBE">
        <w:rPr>
          <w:rFonts w:hint="eastAsia"/>
        </w:rPr>
        <w:t>。</w:t>
      </w:r>
      <w:r w:rsidR="008A2675">
        <w:rPr>
          <w:rFonts w:hint="eastAsia"/>
        </w:rPr>
        <w:t>简而言之，</w:t>
      </w:r>
      <w:r w:rsidR="00A05A6C">
        <w:rPr>
          <w:rFonts w:hint="eastAsia"/>
        </w:rPr>
        <w:t>空间溢出效应</w:t>
      </w:r>
      <w:r w:rsidR="00E515EC">
        <w:rPr>
          <w:rFonts w:hint="eastAsia"/>
        </w:rPr>
        <w:t>来源于经济活动在空间维度上的非均衡性，</w:t>
      </w:r>
      <w:r w:rsidR="00A05A6C">
        <w:rPr>
          <w:rFonts w:hint="eastAsia"/>
        </w:rPr>
        <w:t>可以分为正向的空间溢出效应和负向的空间溢出效应</w:t>
      </w:r>
      <w:r w:rsidR="00F948BA">
        <w:fldChar w:fldCharType="begin" w:fldLock="1"/>
      </w:r>
      <w:r w:rsidR="001B2C18">
        <w:rPr>
          <w:rFonts w:hint="eastAsia"/>
        </w:rPr>
        <w:instrText>ADDIN CSL_CITATION {"citationItems":[{"id":"ITEM-1","itemData":{"author":[{"dropping-particle":"","family":"</w:instrText>
      </w:r>
      <w:r w:rsidR="001B2C18">
        <w:rPr>
          <w:rFonts w:hint="eastAsia"/>
        </w:rPr>
        <w:instrText>邵帅</w:instrText>
      </w:r>
      <w:r w:rsidR="001B2C18">
        <w:rPr>
          <w:rFonts w:hint="eastAsia"/>
        </w:rPr>
        <w:instrText>","given":"","non-dropping-particle":"","parse-names":false,"suffix":""},{"dropping-particle":"","family":"</w:instrText>
      </w:r>
      <w:r w:rsidR="001B2C18">
        <w:rPr>
          <w:rFonts w:hint="eastAsia"/>
        </w:rPr>
        <w:instrText>李欣</w:instrText>
      </w:r>
      <w:r w:rsidR="001B2C18">
        <w:rPr>
          <w:rFonts w:hint="eastAsia"/>
        </w:rPr>
        <w:instrText>","given":"","non-dropping-particle":"","parse-names":false,"suffix":""},{"dropping-particle":"","family":"</w:instrText>
      </w:r>
      <w:r w:rsidR="001B2C18">
        <w:rPr>
          <w:rFonts w:hint="eastAsia"/>
        </w:rPr>
        <w:instrText>曹建华</w:instrText>
      </w:r>
      <w:r w:rsidR="001B2C18">
        <w:rPr>
          <w:rFonts w:hint="eastAsia"/>
        </w:rPr>
        <w:instrText>","given":"","non-dropping-particle":"","parse-names":false,"suffix":""},{"dropping-particle":"","family":"</w:instrText>
      </w:r>
      <w:r w:rsidR="001B2C18">
        <w:rPr>
          <w:rFonts w:hint="eastAsia"/>
        </w:rPr>
        <w:instrText>杨莉莉</w:instrText>
      </w:r>
      <w:r w:rsidR="001B2C18">
        <w:rPr>
          <w:rFonts w:hint="eastAsia"/>
        </w:rPr>
        <w:instrText>","given":"","non-dropping-particle":"","parse-names":false,"suffix":""}],"container-title":"</w:instrText>
      </w:r>
      <w:r w:rsidR="001B2C18">
        <w:rPr>
          <w:rFonts w:hint="eastAsia"/>
        </w:rPr>
        <w:instrText>经济研究</w:instrText>
      </w:r>
      <w:r w:rsidR="001B2C18">
        <w:rPr>
          <w:rFonts w:hint="eastAsia"/>
        </w:rPr>
        <w:instrText>","id":"ITEM-1","issue":"09","issued":{"date-parts":[["2016"]]},"page":"73-88","title":"</w:instrText>
      </w:r>
      <w:r w:rsidR="001B2C18">
        <w:rPr>
          <w:rFonts w:hint="eastAsia"/>
        </w:rPr>
        <w:instrText>中国雾霾污染治理的经济政策选择——基于空间溢出效应的视角</w:instrText>
      </w:r>
      <w:r w:rsidR="001B2C18">
        <w:rPr>
          <w:rFonts w:hint="eastAsia"/>
        </w:rPr>
        <w:instrText>","type":"article-journal","volume":"51"},"uris":["http://www.mendeley.com/documents/?uuid=98a2115f-30eb-4884-b1de-3c89cd2a1081"]}],"mendeley":{"formattedCitation":"(</w:instrText>
      </w:r>
      <w:r w:rsidR="001B2C18">
        <w:rPr>
          <w:rFonts w:hint="eastAsia"/>
        </w:rPr>
        <w:instrText>邵帅等</w:instrText>
      </w:r>
      <w:r w:rsidR="001B2C18">
        <w:rPr>
          <w:rFonts w:hint="eastAsia"/>
        </w:rPr>
        <w:instrText>, 2016)","manualFormatting":"(</w:instrText>
      </w:r>
      <w:r w:rsidR="001B2C18">
        <w:rPr>
          <w:rFonts w:hint="eastAsia"/>
        </w:rPr>
        <w:instrText>邵帅等，</w:instrText>
      </w:r>
      <w:r w:rsidR="001B2C18">
        <w:rPr>
          <w:rFonts w:hint="eastAsia"/>
        </w:rPr>
        <w:instrText>2016)","plainTextFormattedCitation":"(</w:instrText>
      </w:r>
      <w:r w:rsidR="001B2C18">
        <w:rPr>
          <w:rFonts w:hint="eastAsia"/>
        </w:rPr>
        <w:instrText>邵帅等</w:instrText>
      </w:r>
      <w:r w:rsidR="001B2C18">
        <w:rPr>
          <w:rFonts w:hint="eastAsia"/>
        </w:rPr>
        <w:instrText>, 2016)","previouslyFormattedCitation":"(</w:instrText>
      </w:r>
      <w:r w:rsidR="001B2C18">
        <w:rPr>
          <w:rFonts w:hint="eastAsia"/>
        </w:rPr>
        <w:instrText>邵帅等</w:instrText>
      </w:r>
      <w:r w:rsidR="001B2C18">
        <w:rPr>
          <w:rFonts w:hint="eastAsia"/>
        </w:rPr>
        <w:instrText>, 2016)"},"properties":{"noteIndex":0},"schema":"https://github.com/citation-sty</w:instrText>
      </w:r>
      <w:r w:rsidR="001B2C18">
        <w:instrText>le-language/schema/raw/master/csl-citation.json"}</w:instrText>
      </w:r>
      <w:r w:rsidR="00F948BA">
        <w:fldChar w:fldCharType="separate"/>
      </w:r>
      <w:r w:rsidR="00F948BA" w:rsidRPr="00F948BA">
        <w:rPr>
          <w:rFonts w:hint="eastAsia"/>
          <w:noProof/>
        </w:rPr>
        <w:t>(</w:t>
      </w:r>
      <w:r w:rsidR="00F948BA" w:rsidRPr="00F948BA">
        <w:rPr>
          <w:rFonts w:hint="eastAsia"/>
          <w:noProof/>
        </w:rPr>
        <w:t>邵帅等</w:t>
      </w:r>
      <w:r w:rsidR="001B2C18">
        <w:rPr>
          <w:rFonts w:hint="eastAsia"/>
          <w:noProof/>
        </w:rPr>
        <w:t>，</w:t>
      </w:r>
      <w:r w:rsidR="00F948BA" w:rsidRPr="00F948BA">
        <w:rPr>
          <w:rFonts w:hint="eastAsia"/>
          <w:noProof/>
        </w:rPr>
        <w:t>2016)</w:t>
      </w:r>
      <w:r w:rsidR="00F948BA">
        <w:fldChar w:fldCharType="end"/>
      </w:r>
      <w:r w:rsidR="00A05A6C">
        <w:rPr>
          <w:rFonts w:hint="eastAsia"/>
        </w:rPr>
        <w:t>。</w:t>
      </w:r>
    </w:p>
    <w:p w14:paraId="47968AE1" w14:textId="788D7F72" w:rsidR="001508E0" w:rsidRDefault="008A2675" w:rsidP="00E23226">
      <w:pPr>
        <w:ind w:firstLine="420"/>
      </w:pPr>
      <w:proofErr w:type="gramStart"/>
      <w:r>
        <w:rPr>
          <w:rFonts w:hint="eastAsia"/>
        </w:rPr>
        <w:t>将碳排</w:t>
      </w:r>
      <w:proofErr w:type="gramEnd"/>
      <w:r>
        <w:rPr>
          <w:rFonts w:hint="eastAsia"/>
        </w:rPr>
        <w:t>放权交易的空间溢出效应纳入</w:t>
      </w:r>
      <w:proofErr w:type="gramStart"/>
      <w:r>
        <w:rPr>
          <w:rFonts w:hint="eastAsia"/>
        </w:rPr>
        <w:t>考量</w:t>
      </w:r>
      <w:proofErr w:type="gramEnd"/>
      <w:r w:rsidR="001508E0" w:rsidRPr="00CB3320">
        <w:rPr>
          <w:rFonts w:hint="eastAsia"/>
        </w:rPr>
        <w:t>，我们会发现，</w:t>
      </w:r>
      <w:proofErr w:type="gramStart"/>
      <w:r w:rsidR="001508E0" w:rsidRPr="00CB3320">
        <w:rPr>
          <w:rFonts w:hint="eastAsia"/>
        </w:rPr>
        <w:t>碳交易</w:t>
      </w:r>
      <w:proofErr w:type="gramEnd"/>
      <w:r w:rsidR="001508E0" w:rsidRPr="00CB3320">
        <w:rPr>
          <w:rFonts w:hint="eastAsia"/>
        </w:rPr>
        <w:t>很可能会通过技术溢出效应和污染天堂假说</w:t>
      </w:r>
      <w:r w:rsidR="001508E0">
        <w:rPr>
          <w:rFonts w:hint="eastAsia"/>
        </w:rPr>
        <w:t>理论</w:t>
      </w:r>
      <w:r w:rsidR="001508E0" w:rsidRPr="00CB3320">
        <w:rPr>
          <w:rFonts w:hint="eastAsia"/>
        </w:rPr>
        <w:t>影响全要素生产率。</w:t>
      </w:r>
      <w:r w:rsidR="005D2622">
        <w:rPr>
          <w:rFonts w:hint="eastAsia"/>
        </w:rPr>
        <w:t>技术溢出效应即</w:t>
      </w:r>
      <w:r w:rsidR="00D608BA">
        <w:rPr>
          <w:rFonts w:hint="eastAsia"/>
        </w:rPr>
        <w:t>技术的正外部性，是形成产业集聚的重要原因之一，</w:t>
      </w:r>
      <w:r w:rsidR="00345DBF">
        <w:rPr>
          <w:rFonts w:hint="eastAsia"/>
        </w:rPr>
        <w:t>且可能随距离递减</w:t>
      </w:r>
      <w:r w:rsidR="00623E62">
        <w:fldChar w:fldCharType="begin" w:fldLock="1"/>
      </w:r>
      <w:r w:rsidR="00B013F7">
        <w:rPr>
          <w:rFonts w:hint="eastAsia"/>
        </w:rPr>
        <w:instrText>ADDIN CSL_CITATION {"citationItems":[{"id":"ITEM-1","itemData":{"author":[{"dropping-particle":"","family":"</w:instrText>
      </w:r>
      <w:r w:rsidR="00B013F7">
        <w:rPr>
          <w:rFonts w:hint="eastAsia"/>
        </w:rPr>
        <w:instrText>符淼</w:instrText>
      </w:r>
      <w:r w:rsidR="00B013F7">
        <w:rPr>
          <w:rFonts w:hint="eastAsia"/>
        </w:rPr>
        <w:instrText>","given":"","non-dropping-particle":"","parse-names":false,"suffix":""}],"container-title":"</w:instrText>
      </w:r>
      <w:r w:rsidR="00B013F7">
        <w:rPr>
          <w:rFonts w:hint="eastAsia"/>
        </w:rPr>
        <w:instrText>经济学</w:instrText>
      </w:r>
      <w:r w:rsidR="00B013F7">
        <w:rPr>
          <w:rFonts w:hint="eastAsia"/>
        </w:rPr>
        <w:instrText>(</w:instrText>
      </w:r>
      <w:r w:rsidR="00B013F7">
        <w:rPr>
          <w:rFonts w:hint="eastAsia"/>
        </w:rPr>
        <w:instrText>季刊</w:instrText>
      </w:r>
      <w:r w:rsidR="00B013F7">
        <w:rPr>
          <w:rFonts w:hint="eastAsia"/>
        </w:rPr>
        <w:instrText>)","id":"ITEM-1","issued":{"date-parts":[["2009"]]},"page":"1549-1566","title":"</w:instrText>
      </w:r>
      <w:r w:rsidR="00B013F7">
        <w:rPr>
          <w:rFonts w:hint="eastAsia"/>
        </w:rPr>
        <w:instrText>地理距离和技术外溢效应——对技术和经济集聚现象的空间计量学解释</w:instrText>
      </w:r>
      <w:r w:rsidR="00B013F7">
        <w:rPr>
          <w:rFonts w:hint="eastAsia"/>
        </w:rPr>
        <w:instrText>","type":"article-journal","volume":"8"},"uris":["http://www.mendeley.com/documents/?uuid=547e5109-4f34-4927-b173-2d95ea21155d"]}],"mendeley":{"formattedCitation":"(</w:instrText>
      </w:r>
      <w:r w:rsidR="00B013F7">
        <w:rPr>
          <w:rFonts w:hint="eastAsia"/>
        </w:rPr>
        <w:instrText>符淼</w:instrText>
      </w:r>
      <w:r w:rsidR="00B013F7">
        <w:rPr>
          <w:rFonts w:hint="eastAsia"/>
        </w:rPr>
        <w:instrText>, 2009)","plainTextFormattedCitation":"(</w:instrText>
      </w:r>
      <w:r w:rsidR="00B013F7">
        <w:rPr>
          <w:rFonts w:hint="eastAsia"/>
        </w:rPr>
        <w:instrText>符淼</w:instrText>
      </w:r>
      <w:r w:rsidR="00B013F7">
        <w:rPr>
          <w:rFonts w:hint="eastAsia"/>
        </w:rPr>
        <w:instrText>, 2009)","previouslyFormattedCitation":"(</w:instrText>
      </w:r>
      <w:r w:rsidR="00B013F7">
        <w:rPr>
          <w:rFonts w:hint="eastAsia"/>
        </w:rPr>
        <w:instrText>符淼</w:instrText>
      </w:r>
      <w:r w:rsidR="00B013F7">
        <w:rPr>
          <w:rFonts w:hint="eastAsia"/>
        </w:rPr>
        <w:instrText>, 2009)"},"properties":{"noteIndex":0},"schema":"https://github.com/citation-style-language/schema/raw/master/csl-citation.json"}</w:instrText>
      </w:r>
      <w:r w:rsidR="00623E62">
        <w:fldChar w:fldCharType="separate"/>
      </w:r>
      <w:r w:rsidR="00623E62" w:rsidRPr="00623E62">
        <w:rPr>
          <w:rFonts w:hint="eastAsia"/>
          <w:noProof/>
        </w:rPr>
        <w:t>(</w:t>
      </w:r>
      <w:r w:rsidR="00623E62" w:rsidRPr="00623E62">
        <w:rPr>
          <w:rFonts w:hint="eastAsia"/>
          <w:noProof/>
        </w:rPr>
        <w:t>符淼</w:t>
      </w:r>
      <w:r w:rsidR="001B2C18">
        <w:rPr>
          <w:rFonts w:hint="eastAsia"/>
          <w:noProof/>
        </w:rPr>
        <w:t>，</w:t>
      </w:r>
      <w:r w:rsidR="00623E62" w:rsidRPr="00623E62">
        <w:rPr>
          <w:rFonts w:hint="eastAsia"/>
          <w:noProof/>
        </w:rPr>
        <w:t>2009)</w:t>
      </w:r>
      <w:r w:rsidR="00623E62">
        <w:fldChar w:fldCharType="end"/>
      </w:r>
      <w:r w:rsidR="00D608BA">
        <w:rPr>
          <w:rFonts w:hint="eastAsia"/>
        </w:rPr>
        <w:t>。</w:t>
      </w:r>
      <w:r w:rsidR="00345DBF">
        <w:rPr>
          <w:rFonts w:hint="eastAsia"/>
        </w:rPr>
        <w:t>而污染天堂假说</w:t>
      </w:r>
      <w:r w:rsidR="00954567">
        <w:rPr>
          <w:rFonts w:hint="eastAsia"/>
        </w:rPr>
        <w:t>更倾向于描述环境规制带来的负外部性，它</w:t>
      </w:r>
      <w:r>
        <w:rPr>
          <w:rFonts w:hint="eastAsia"/>
        </w:rPr>
        <w:t>认为严格的环境规制使得发达工业化国家将其污染厂商迁移到资源和劳动廉价的发展中国家</w:t>
      </w:r>
      <w:r w:rsidR="00954567">
        <w:rPr>
          <w:rFonts w:hint="eastAsia"/>
        </w:rPr>
        <w:t>。通常来说，这是以牺牲发展中国家的环境利益为代价的，因为发展中国家的环境规制往往没有那么严格，而环境规制更严格的国家，企业的环境合</w:t>
      </w:r>
      <w:proofErr w:type="gramStart"/>
      <w:r w:rsidR="00954567">
        <w:rPr>
          <w:rFonts w:hint="eastAsia"/>
        </w:rPr>
        <w:t>规</w:t>
      </w:r>
      <w:proofErr w:type="gramEnd"/>
      <w:r w:rsidR="00954567">
        <w:rPr>
          <w:rFonts w:hint="eastAsia"/>
        </w:rPr>
        <w:t>成本相对较高。</w:t>
      </w:r>
    </w:p>
    <w:p w14:paraId="6883A041" w14:textId="52B45DD9" w:rsidR="001154BD" w:rsidRDefault="00954567" w:rsidP="00E23226">
      <w:pPr>
        <w:ind w:firstLine="420"/>
      </w:pPr>
      <w:r>
        <w:rPr>
          <w:rFonts w:hint="eastAsia"/>
        </w:rPr>
        <w:t>技术溢出效应和污染天堂假说在国内不同省份之间也可能存在</w:t>
      </w:r>
      <w:r w:rsidR="00B013F7">
        <w:fldChar w:fldCharType="begin" w:fldLock="1"/>
      </w:r>
      <w:r w:rsidR="001B2C18">
        <w:rPr>
          <w:rFonts w:hint="eastAsia"/>
        </w:rPr>
        <w:instrText>ADDIN CSL_CITATION {"citationItems":[{"id":"ITEM-1","itemData":{"author":[{"dropping-particle":"","family":"</w:instrText>
      </w:r>
      <w:r w:rsidR="001B2C18">
        <w:rPr>
          <w:rFonts w:hint="eastAsia"/>
        </w:rPr>
        <w:instrText>蔡宏波</w:instrText>
      </w:r>
      <w:r w:rsidR="001B2C18">
        <w:rPr>
          <w:rFonts w:hint="eastAsia"/>
        </w:rPr>
        <w:instrText>","given":"","non-dropping-particle":"","parse-names":false,"suffix":""},{"dropping-particle":"","family":"</w:instrText>
      </w:r>
      <w:r w:rsidR="001B2C18">
        <w:rPr>
          <w:rFonts w:hint="eastAsia"/>
        </w:rPr>
        <w:instrText>韩金镕</w:instrText>
      </w:r>
      <w:r w:rsidR="001B2C18">
        <w:rPr>
          <w:rFonts w:hint="eastAsia"/>
        </w:rPr>
        <w:instrText>","given":"","non-dropping-particle":"","parse-names":false,"suffix":""},{"dropping-particle":"","family":"</w:instrText>
      </w:r>
      <w:r w:rsidR="001B2C18">
        <w:rPr>
          <w:rFonts w:hint="eastAsia"/>
        </w:rPr>
        <w:instrText>钟腾龙</w:instrText>
      </w:r>
      <w:r w:rsidR="001B2C18">
        <w:rPr>
          <w:rFonts w:hint="eastAsia"/>
        </w:rPr>
        <w:instrText>","given":"","non-dropping-particle":"","parse-names":false,"suffix":""}],"container-title":"</w:instrText>
      </w:r>
      <w:r w:rsidR="001B2C18">
        <w:rPr>
          <w:rFonts w:hint="eastAsia"/>
        </w:rPr>
        <w:instrText>经济学动态</w:instrText>
      </w:r>
      <w:r w:rsidR="001B2C18">
        <w:rPr>
          <w:rFonts w:hint="eastAsia"/>
        </w:rPr>
        <w:instrText>","id":"ITEM-1","issued":{"date-parts":[["2022"]]},"page":"90-106","title":"</w:instrText>
      </w:r>
      <w:r w:rsidR="001B2C18">
        <w:rPr>
          <w:rFonts w:hint="eastAsia"/>
        </w:rPr>
        <w:instrText>企业迁移的减排效应——兼论“污染天堂假说”与“波特假说”</w:instrText>
      </w:r>
      <w:r w:rsidR="001B2C18">
        <w:rPr>
          <w:rFonts w:hint="eastAsia"/>
        </w:rPr>
        <w:instrText>","type":"article-journal","volume":"11"},"uris":["http://www.mendeley.com/documents/?uuid=62fdf033-e9bc-4fa6-a60e-31cb32ab000c"]}],"mendeley":{"formattedCitation":"(</w:instrText>
      </w:r>
      <w:r w:rsidR="001B2C18">
        <w:rPr>
          <w:rFonts w:hint="eastAsia"/>
        </w:rPr>
        <w:instrText>蔡宏波等</w:instrText>
      </w:r>
      <w:r w:rsidR="001B2C18">
        <w:rPr>
          <w:rFonts w:hint="eastAsia"/>
        </w:rPr>
        <w:instrText>, 2022)","manualFormatting":"(</w:instrText>
      </w:r>
      <w:r w:rsidR="001B2C18">
        <w:rPr>
          <w:rFonts w:hint="eastAsia"/>
        </w:rPr>
        <w:instrText>蔡宏波等，</w:instrText>
      </w:r>
      <w:r w:rsidR="001B2C18">
        <w:rPr>
          <w:rFonts w:hint="eastAsia"/>
        </w:rPr>
        <w:instrText>2022)","plainTextFormattedCitation":"(</w:instrText>
      </w:r>
      <w:r w:rsidR="001B2C18">
        <w:rPr>
          <w:rFonts w:hint="eastAsia"/>
        </w:rPr>
        <w:instrText>蔡宏波等</w:instrText>
      </w:r>
      <w:r w:rsidR="001B2C18">
        <w:rPr>
          <w:rFonts w:hint="eastAsia"/>
        </w:rPr>
        <w:instrText>, 2022)"},"properties":{"noteIndex":0},"schema":"https://github.com/citation-style-language/schema/raw/master/csl-citation.json"}</w:instrText>
      </w:r>
      <w:r w:rsidR="00B013F7">
        <w:fldChar w:fldCharType="separate"/>
      </w:r>
      <w:r w:rsidR="00B013F7" w:rsidRPr="00B013F7">
        <w:rPr>
          <w:rFonts w:hint="eastAsia"/>
          <w:noProof/>
        </w:rPr>
        <w:t>(</w:t>
      </w:r>
      <w:r w:rsidR="00B013F7" w:rsidRPr="00B013F7">
        <w:rPr>
          <w:rFonts w:hint="eastAsia"/>
          <w:noProof/>
        </w:rPr>
        <w:t>蔡宏波等</w:t>
      </w:r>
      <w:r w:rsidR="001B2C18">
        <w:rPr>
          <w:rFonts w:hint="eastAsia"/>
          <w:noProof/>
        </w:rPr>
        <w:t>，</w:t>
      </w:r>
      <w:r w:rsidR="00B013F7" w:rsidRPr="00B013F7">
        <w:rPr>
          <w:rFonts w:hint="eastAsia"/>
          <w:noProof/>
        </w:rPr>
        <w:t>2022)</w:t>
      </w:r>
      <w:r w:rsidR="00B013F7">
        <w:fldChar w:fldCharType="end"/>
      </w:r>
      <w:r>
        <w:rPr>
          <w:rFonts w:hint="eastAsia"/>
        </w:rPr>
        <w:t>。具体而言，合理的具有传导性的碳定价机制</w:t>
      </w:r>
      <w:r w:rsidR="001508E0" w:rsidRPr="00CB3320">
        <w:rPr>
          <w:rFonts w:hint="eastAsia"/>
        </w:rPr>
        <w:t>可以</w:t>
      </w:r>
      <w:r>
        <w:rPr>
          <w:rFonts w:hint="eastAsia"/>
        </w:rPr>
        <w:t>刺激企业</w:t>
      </w:r>
      <w:r w:rsidR="001508E0" w:rsidRPr="00CB3320">
        <w:rPr>
          <w:rFonts w:hint="eastAsia"/>
        </w:rPr>
        <w:t>创新，进而提高全要素生产率，而技术往往具有很强的空间溢出效应，尤其在异地产业链、跨区域企业等情况下</w:t>
      </w:r>
      <w:r>
        <w:rPr>
          <w:rFonts w:hint="eastAsia"/>
        </w:rPr>
        <w:t>，从而产生地区间、省际间的技术溢出效</w:t>
      </w:r>
      <w:r>
        <w:rPr>
          <w:rFonts w:hint="eastAsia"/>
        </w:rPr>
        <w:lastRenderedPageBreak/>
        <w:t>应</w:t>
      </w:r>
      <w:r w:rsidR="001508E0" w:rsidRPr="00CB3320">
        <w:rPr>
          <w:rFonts w:hint="eastAsia"/>
        </w:rPr>
        <w:t>。</w:t>
      </w:r>
      <w:r>
        <w:rPr>
          <w:rFonts w:hint="eastAsia"/>
        </w:rPr>
        <w:t>而同时应该看到，</w:t>
      </w:r>
      <w:r w:rsidR="001508E0" w:rsidRPr="00CB3320">
        <w:rPr>
          <w:rFonts w:hint="eastAsia"/>
        </w:rPr>
        <w:t>由于企业碳排放成本增加，碳密集型产业</w:t>
      </w:r>
      <w:r>
        <w:rPr>
          <w:rFonts w:hint="eastAsia"/>
        </w:rPr>
        <w:t>可能会</w:t>
      </w:r>
      <w:r w:rsidR="001508E0" w:rsidRPr="00CB3320">
        <w:rPr>
          <w:rFonts w:hint="eastAsia"/>
        </w:rPr>
        <w:t>转移</w:t>
      </w:r>
      <w:proofErr w:type="gramStart"/>
      <w:r w:rsidR="001508E0" w:rsidRPr="00CB3320">
        <w:rPr>
          <w:rFonts w:hint="eastAsia"/>
        </w:rPr>
        <w:t>出碳交易</w:t>
      </w:r>
      <w:proofErr w:type="gramEnd"/>
      <w:r w:rsidR="001508E0" w:rsidRPr="00CB3320">
        <w:rPr>
          <w:rFonts w:hint="eastAsia"/>
        </w:rPr>
        <w:t>试点地区。高碳密集型产业通常具有资本投入大、单位投入产值低的特点，如电力、钢铁、电解铝等</w:t>
      </w:r>
      <w:r w:rsidR="001508E0" w:rsidRPr="00CB3320">
        <w:rPr>
          <w:rStyle w:val="a8"/>
          <w:highlight w:val="yellow"/>
        </w:rPr>
        <w:footnoteReference w:id="7"/>
      </w:r>
      <w:r w:rsidR="001508E0" w:rsidRPr="00CB3320">
        <w:rPr>
          <w:rFonts w:hint="eastAsia"/>
        </w:rPr>
        <w:t>。因此，这类企业大量外迁，会提高试点地区的全要素生产率，而非试点地区的全要素生产率可能会因为这些企业的到来而降低，</w:t>
      </w:r>
      <w:r w:rsidR="001154BD">
        <w:rPr>
          <w:rFonts w:hint="eastAsia"/>
        </w:rPr>
        <w:t>也即“污染天堂假说”</w:t>
      </w:r>
      <w:r w:rsidR="001508E0" w:rsidRPr="00CB3320">
        <w:rPr>
          <w:rFonts w:hint="eastAsia"/>
        </w:rPr>
        <w:t>。</w:t>
      </w:r>
    </w:p>
    <w:p w14:paraId="755AAF61" w14:textId="67B0646E" w:rsidR="001508E0" w:rsidRPr="00CB3320" w:rsidRDefault="001154BD" w:rsidP="00E23226">
      <w:pPr>
        <w:ind w:firstLine="420"/>
      </w:pPr>
      <w:r>
        <w:rPr>
          <w:rFonts w:hint="eastAsia"/>
        </w:rPr>
        <w:t>基于技术溢出效应，</w:t>
      </w:r>
      <w:proofErr w:type="gramStart"/>
      <w:r w:rsidRPr="00CB3320">
        <w:rPr>
          <w:rFonts w:hint="eastAsia"/>
        </w:rPr>
        <w:t>碳交易</w:t>
      </w:r>
      <w:proofErr w:type="gramEnd"/>
      <w:r w:rsidRPr="00CB3320">
        <w:rPr>
          <w:rFonts w:hint="eastAsia"/>
        </w:rPr>
        <w:t>试点可能对</w:t>
      </w:r>
      <w:r w:rsidRPr="00CB3320">
        <w:rPr>
          <w:rFonts w:hint="eastAsia"/>
        </w:rPr>
        <w:t>T</w:t>
      </w:r>
      <w:r w:rsidRPr="00CB3320">
        <w:t>FP</w:t>
      </w:r>
      <w:r w:rsidRPr="00CB3320">
        <w:rPr>
          <w:rFonts w:hint="eastAsia"/>
        </w:rPr>
        <w:t>的产生正向空间溢出效应。这是由于</w:t>
      </w:r>
      <w:proofErr w:type="gramStart"/>
      <w:r w:rsidRPr="00CB3320">
        <w:rPr>
          <w:rFonts w:hint="eastAsia"/>
        </w:rPr>
        <w:t>碳试点地区碳成本</w:t>
      </w:r>
      <w:proofErr w:type="gramEnd"/>
      <w:r w:rsidRPr="00CB3320">
        <w:rPr>
          <w:rFonts w:hint="eastAsia"/>
        </w:rPr>
        <w:t>的存在，企业必须提高研发投入，应用新技术提高生产率。这些新技术的溢出效应导致其在</w:t>
      </w:r>
      <w:proofErr w:type="gramStart"/>
      <w:r w:rsidRPr="00CB3320">
        <w:rPr>
          <w:rFonts w:hint="eastAsia"/>
        </w:rPr>
        <w:t>跨城市</w:t>
      </w:r>
      <w:proofErr w:type="gramEnd"/>
      <w:r w:rsidRPr="00CB3320">
        <w:rPr>
          <w:rFonts w:hint="eastAsia"/>
        </w:rPr>
        <w:t>企业间、跨地区产业链之间广泛流动。</w:t>
      </w:r>
      <w:r w:rsidR="001508E0" w:rsidRPr="00CB3320">
        <w:rPr>
          <w:rFonts w:hint="eastAsia"/>
        </w:rPr>
        <w:t>因此，文章提出第一个假说：</w:t>
      </w:r>
    </w:p>
    <w:p w14:paraId="33070DAE" w14:textId="77777777" w:rsidR="001508E0" w:rsidRPr="00CB3320" w:rsidRDefault="001508E0" w:rsidP="00B90939">
      <w:pPr>
        <w:ind w:firstLine="422"/>
        <w:rPr>
          <w:b/>
          <w:bCs/>
        </w:rPr>
      </w:pPr>
      <w:r w:rsidRPr="00CB3320">
        <w:rPr>
          <w:rFonts w:hint="eastAsia"/>
          <w:b/>
          <w:bCs/>
        </w:rPr>
        <w:t>假说</w:t>
      </w:r>
      <w:r w:rsidRPr="00CB3320">
        <w:rPr>
          <w:b/>
          <w:bCs/>
        </w:rPr>
        <w:t>2</w:t>
      </w:r>
      <w:r w:rsidRPr="00CB3320">
        <w:rPr>
          <w:rFonts w:hint="eastAsia"/>
          <w:b/>
          <w:bCs/>
        </w:rPr>
        <w:t>a</w:t>
      </w:r>
      <w:r w:rsidRPr="00CB3320">
        <w:rPr>
          <w:rFonts w:hint="eastAsia"/>
          <w:b/>
          <w:bCs/>
        </w:rPr>
        <w:t>：</w:t>
      </w:r>
      <w:proofErr w:type="gramStart"/>
      <w:r w:rsidRPr="00CB3320">
        <w:rPr>
          <w:rFonts w:hint="eastAsia"/>
          <w:b/>
          <w:bCs/>
        </w:rPr>
        <w:t>碳试点</w:t>
      </w:r>
      <w:proofErr w:type="gramEnd"/>
      <w:r w:rsidRPr="00CB3320">
        <w:rPr>
          <w:rFonts w:hint="eastAsia"/>
          <w:b/>
          <w:bCs/>
        </w:rPr>
        <w:t>将提高非试点地区的全要素生产率，由于试点地区企业的技术溢出效应。</w:t>
      </w:r>
    </w:p>
    <w:p w14:paraId="30A4A65A" w14:textId="58CD4951" w:rsidR="001508E0" w:rsidRPr="00CB3320" w:rsidRDefault="001154BD" w:rsidP="00B90939">
      <w:pPr>
        <w:ind w:firstLine="420"/>
      </w:pPr>
      <w:r>
        <w:rPr>
          <w:rFonts w:hint="eastAsia"/>
        </w:rPr>
        <w:t>基于“污染天堂假说”，</w:t>
      </w:r>
      <w:r w:rsidR="001508E0" w:rsidRPr="00CB3320">
        <w:rPr>
          <w:rFonts w:hint="eastAsia"/>
        </w:rPr>
        <w:t>如果</w:t>
      </w:r>
      <w:proofErr w:type="gramStart"/>
      <w:r w:rsidR="001508E0" w:rsidRPr="00CB3320">
        <w:rPr>
          <w:rFonts w:hint="eastAsia"/>
        </w:rPr>
        <w:t>碳试点</w:t>
      </w:r>
      <w:proofErr w:type="gramEnd"/>
      <w:r w:rsidR="001508E0" w:rsidRPr="00CB3320">
        <w:rPr>
          <w:rFonts w:hint="eastAsia"/>
        </w:rPr>
        <w:t>的影响主要是通过产业转移来实现的，则可以观察到</w:t>
      </w:r>
      <w:r w:rsidR="001508E0" w:rsidRPr="00CB3320">
        <w:rPr>
          <w:rFonts w:hint="eastAsia"/>
        </w:rPr>
        <w:t>TFP</w:t>
      </w:r>
      <w:r w:rsidR="001508E0" w:rsidRPr="00CB3320">
        <w:rPr>
          <w:rFonts w:hint="eastAsia"/>
        </w:rPr>
        <w:t>的</w:t>
      </w:r>
      <w:proofErr w:type="gramStart"/>
      <w:r w:rsidR="001508E0" w:rsidRPr="00CB3320">
        <w:rPr>
          <w:rFonts w:hint="eastAsia"/>
        </w:rPr>
        <w:t>负空间</w:t>
      </w:r>
      <w:proofErr w:type="gramEnd"/>
      <w:r w:rsidR="001508E0" w:rsidRPr="00CB3320">
        <w:rPr>
          <w:rFonts w:hint="eastAsia"/>
        </w:rPr>
        <w:t>溢出效应。因为</w:t>
      </w:r>
      <w:proofErr w:type="gramStart"/>
      <w:r w:rsidR="001508E0" w:rsidRPr="00CB3320">
        <w:rPr>
          <w:rFonts w:hint="eastAsia"/>
        </w:rPr>
        <w:t>碳试点会</w:t>
      </w:r>
      <w:proofErr w:type="gramEnd"/>
      <w:r w:rsidR="001508E0" w:rsidRPr="00CB3320">
        <w:rPr>
          <w:rFonts w:hint="eastAsia"/>
        </w:rPr>
        <w:t>将高耗能企业</w:t>
      </w:r>
      <w:proofErr w:type="gramStart"/>
      <w:r w:rsidR="001508E0" w:rsidRPr="00CB3320">
        <w:rPr>
          <w:rFonts w:hint="eastAsia"/>
        </w:rPr>
        <w:t>从碳试点</w:t>
      </w:r>
      <w:proofErr w:type="gramEnd"/>
      <w:r w:rsidR="001508E0" w:rsidRPr="00CB3320">
        <w:rPr>
          <w:rFonts w:hint="eastAsia"/>
        </w:rPr>
        <w:t>地区转移到</w:t>
      </w:r>
      <w:proofErr w:type="gramStart"/>
      <w:r w:rsidR="001508E0" w:rsidRPr="00CB3320">
        <w:rPr>
          <w:rFonts w:hint="eastAsia"/>
        </w:rPr>
        <w:t>非碳试点</w:t>
      </w:r>
      <w:proofErr w:type="gramEnd"/>
      <w:r w:rsidR="001508E0" w:rsidRPr="00CB3320">
        <w:rPr>
          <w:rFonts w:hint="eastAsia"/>
        </w:rPr>
        <w:t>地区，而这些企业往往具有较大的投入产出比（如火电、钢铁），从而降低</w:t>
      </w:r>
      <w:proofErr w:type="gramStart"/>
      <w:r w:rsidR="001508E0" w:rsidRPr="00CB3320">
        <w:rPr>
          <w:rFonts w:hint="eastAsia"/>
        </w:rPr>
        <w:t>非碳试点</w:t>
      </w:r>
      <w:proofErr w:type="gramEnd"/>
      <w:r w:rsidR="001508E0" w:rsidRPr="00CB3320">
        <w:rPr>
          <w:rFonts w:hint="eastAsia"/>
        </w:rPr>
        <w:t>地区的全要素生产率。所以有第二个假说：</w:t>
      </w:r>
    </w:p>
    <w:p w14:paraId="378E91E1" w14:textId="77777777" w:rsidR="001508E0" w:rsidRPr="00CB3320" w:rsidRDefault="001508E0" w:rsidP="00B90939">
      <w:pPr>
        <w:ind w:firstLine="422"/>
        <w:rPr>
          <w:b/>
          <w:bCs/>
        </w:rPr>
      </w:pPr>
      <w:r w:rsidRPr="00CB3320">
        <w:rPr>
          <w:rFonts w:hint="eastAsia"/>
          <w:b/>
          <w:bCs/>
        </w:rPr>
        <w:t>假说</w:t>
      </w:r>
      <w:r w:rsidRPr="00CB3320">
        <w:rPr>
          <w:b/>
          <w:bCs/>
        </w:rPr>
        <w:t>2b</w:t>
      </w:r>
      <w:r w:rsidRPr="00CB3320">
        <w:rPr>
          <w:rFonts w:hint="eastAsia"/>
          <w:b/>
          <w:bCs/>
        </w:rPr>
        <w:t>：</w:t>
      </w:r>
      <w:proofErr w:type="gramStart"/>
      <w:r w:rsidRPr="00CB3320">
        <w:rPr>
          <w:rFonts w:hint="eastAsia"/>
          <w:b/>
          <w:bCs/>
        </w:rPr>
        <w:t>碳试点</w:t>
      </w:r>
      <w:proofErr w:type="gramEnd"/>
      <w:r w:rsidRPr="00CB3320">
        <w:rPr>
          <w:rFonts w:hint="eastAsia"/>
          <w:b/>
          <w:bCs/>
        </w:rPr>
        <w:t>将降低非试点地区的全要素生产率，因为污染天堂假说的存在。</w:t>
      </w:r>
    </w:p>
    <w:p w14:paraId="737F2DA4" w14:textId="77777777" w:rsidR="001508E0" w:rsidRPr="00CB3320" w:rsidRDefault="001508E0" w:rsidP="00B90939">
      <w:pPr>
        <w:ind w:firstLine="420"/>
      </w:pPr>
      <w:r w:rsidRPr="00CB3320">
        <w:rPr>
          <w:rFonts w:hint="eastAsia"/>
        </w:rPr>
        <w:t>我们仍需假说</w:t>
      </w:r>
      <w:proofErr w:type="gramStart"/>
      <w:r w:rsidRPr="00CB3320">
        <w:rPr>
          <w:rFonts w:hint="eastAsia"/>
        </w:rPr>
        <w:t>碳试点</w:t>
      </w:r>
      <w:proofErr w:type="gramEnd"/>
      <w:r w:rsidRPr="00CB3320">
        <w:rPr>
          <w:rFonts w:hint="eastAsia"/>
        </w:rPr>
        <w:t>政策不会影响非试点地区的全要素生产率。如果是这样，</w:t>
      </w:r>
      <w:r w:rsidRPr="00CB3320">
        <w:rPr>
          <w:rFonts w:hint="eastAsia"/>
        </w:rPr>
        <w:t>PSM-DID</w:t>
      </w:r>
      <w:r w:rsidRPr="00CB3320">
        <w:rPr>
          <w:rFonts w:hint="eastAsia"/>
        </w:rPr>
        <w:t>模型估计的结果将完全有效</w:t>
      </w:r>
      <w:r w:rsidRPr="00CB3320">
        <w:rPr>
          <w:rStyle w:val="a8"/>
          <w:highlight w:val="yellow"/>
        </w:rPr>
        <w:footnoteReference w:id="8"/>
      </w:r>
      <w:r w:rsidRPr="00CB3320">
        <w:rPr>
          <w:rFonts w:hint="eastAsia"/>
        </w:rPr>
        <w:t>，参见以下假说：</w:t>
      </w:r>
    </w:p>
    <w:p w14:paraId="7106E2AA" w14:textId="77777777" w:rsidR="001508E0" w:rsidRPr="00CB3320" w:rsidRDefault="001508E0" w:rsidP="00B90939">
      <w:pPr>
        <w:ind w:firstLine="422"/>
        <w:rPr>
          <w:b/>
          <w:bCs/>
        </w:rPr>
      </w:pPr>
      <w:r w:rsidRPr="00CB3320">
        <w:rPr>
          <w:rFonts w:hint="eastAsia"/>
          <w:b/>
          <w:bCs/>
        </w:rPr>
        <w:t>假说</w:t>
      </w:r>
      <w:r w:rsidRPr="00CB3320">
        <w:rPr>
          <w:b/>
          <w:bCs/>
        </w:rPr>
        <w:t>2c</w:t>
      </w:r>
      <w:r w:rsidRPr="00CB3320">
        <w:rPr>
          <w:rFonts w:hint="eastAsia"/>
          <w:b/>
          <w:bCs/>
        </w:rPr>
        <w:t>：</w:t>
      </w:r>
      <w:proofErr w:type="gramStart"/>
      <w:r w:rsidRPr="00CB3320">
        <w:rPr>
          <w:rFonts w:hint="eastAsia"/>
          <w:b/>
          <w:bCs/>
        </w:rPr>
        <w:t>碳试点</w:t>
      </w:r>
      <w:proofErr w:type="gramEnd"/>
      <w:r w:rsidRPr="00CB3320">
        <w:rPr>
          <w:rFonts w:hint="eastAsia"/>
          <w:b/>
          <w:bCs/>
        </w:rPr>
        <w:t>不会影响非试点地区的全要素生产率。</w:t>
      </w:r>
    </w:p>
    <w:p w14:paraId="303277CA" w14:textId="77777777" w:rsidR="001508E0" w:rsidRPr="00CB3320" w:rsidRDefault="001508E0" w:rsidP="00B90939">
      <w:pPr>
        <w:ind w:firstLine="420"/>
      </w:pPr>
      <w:r w:rsidRPr="00CB3320">
        <w:rPr>
          <w:rFonts w:hint="eastAsia"/>
        </w:rPr>
        <w:t>综上所述，通过观察</w:t>
      </w:r>
      <w:proofErr w:type="gramStart"/>
      <w:r w:rsidRPr="00CB3320">
        <w:rPr>
          <w:rFonts w:hint="eastAsia"/>
        </w:rPr>
        <w:t>碳交易</w:t>
      </w:r>
      <w:proofErr w:type="gramEnd"/>
      <w:r w:rsidRPr="00CB3320">
        <w:rPr>
          <w:rFonts w:hint="eastAsia"/>
        </w:rPr>
        <w:t>对全要素生产率的空间溢出效应，可以判断</w:t>
      </w:r>
      <w:proofErr w:type="gramStart"/>
      <w:r w:rsidRPr="00CB3320">
        <w:rPr>
          <w:rFonts w:hint="eastAsia"/>
        </w:rPr>
        <w:t>碳交易</w:t>
      </w:r>
      <w:proofErr w:type="gramEnd"/>
      <w:r w:rsidRPr="00CB3320">
        <w:rPr>
          <w:rFonts w:hint="eastAsia"/>
        </w:rPr>
        <w:t>的主流效应是什么。如果是正面的，技术溢出效应占主导地位；如果是负的，那就是产业转移为主导。如果没有统计学意义，还需要进一步验证其效果。</w:t>
      </w:r>
    </w:p>
    <w:p w14:paraId="650E5480" w14:textId="1B2A46BE" w:rsidR="005B1161" w:rsidRPr="00CB3320" w:rsidRDefault="001508E0" w:rsidP="005B1161">
      <w:pPr>
        <w:pStyle w:val="1"/>
      </w:pPr>
      <w:bookmarkStart w:id="13" w:name="_Toc121778110"/>
      <w:bookmarkEnd w:id="12"/>
      <w:r w:rsidRPr="00CB3320">
        <w:rPr>
          <w:rFonts w:hint="eastAsia"/>
        </w:rPr>
        <w:t>三、全要素生产率的估计与准自然实验的匹配</w:t>
      </w:r>
      <w:bookmarkEnd w:id="13"/>
    </w:p>
    <w:p w14:paraId="71CCB1A7" w14:textId="3D852DA9" w:rsidR="005B1161" w:rsidRPr="00CB3320" w:rsidRDefault="005B1161" w:rsidP="00BD1E69">
      <w:pPr>
        <w:ind w:firstLine="420"/>
      </w:pPr>
      <w:r w:rsidRPr="00CB3320">
        <w:rPr>
          <w:rFonts w:hint="eastAsia"/>
        </w:rPr>
        <w:t>城市层面的全要素生产率还没有统一的衡量方法。</w:t>
      </w:r>
      <w:r w:rsidRPr="00CB3320">
        <w:rPr>
          <w:rFonts w:hint="eastAsia"/>
        </w:rPr>
        <w:t>TFP</w:t>
      </w:r>
      <w:r w:rsidRPr="00CB3320">
        <w:rPr>
          <w:rFonts w:hint="eastAsia"/>
        </w:rPr>
        <w:t>的测量可以追溯到索洛残差法</w:t>
      </w:r>
      <w:r w:rsidRPr="00CB3320">
        <w:rPr>
          <w:kern w:val="0"/>
        </w:rPr>
        <w:fldChar w:fldCharType="begin" w:fldLock="1"/>
      </w:r>
      <w:r w:rsidRPr="00CB3320">
        <w:rPr>
          <w:kern w:val="0"/>
        </w:rPr>
        <w:instrText>ADDIN CSL_CITATION {"citationItems":[{"id":"ITEM-1","itemData":{"DOI":"10.2307/1926047","ISSN":"00346535","author":[{"dropping-particle":"","family":"Solow","given":"Robert M.","non-dropping-particle":"","parse-names":false,"suffix":""}],"container-title":"The Review of Economics and Statistics","id":"ITEM-1","issue":"3","issued":{"date-parts":[["1957","8"]]},"page":"312","title":"Technical Change and the Aggregate Production Function","type":"article-journal","volume":"39"},"uris":["http://www.mendeley.com/documents/?uuid=4b2a5925-7945-4a89-9197-ca961cff8ee5","http://www.mendeley.com/documents/?uuid=d120ad61-f828-439f-895d-720431a967ef","http://www.mendeley.com/documents/?uuid=0a3c42b0-a9ab-4210-aadf-2d95daa44e9c"]}],"mendeley":{"formattedCitation":"(Solow, 1957)","plainTextFormattedCitation":"(Solow, 1957)","previouslyFormattedCitation":"(Solow, 1957)"},"properties":{"noteIndex":0},"schema":"https://github.com/citation-style-language/schema/raw/master/csl-citation.json"}</w:instrText>
      </w:r>
      <w:r w:rsidRPr="00CB3320">
        <w:rPr>
          <w:kern w:val="0"/>
        </w:rPr>
        <w:fldChar w:fldCharType="separate"/>
      </w:r>
      <w:r w:rsidRPr="00CB3320">
        <w:rPr>
          <w:noProof/>
          <w:kern w:val="0"/>
        </w:rPr>
        <w:t>(Solow, 1957)</w:t>
      </w:r>
      <w:r w:rsidRPr="00CB3320">
        <w:rPr>
          <w:kern w:val="0"/>
        </w:rPr>
        <w:fldChar w:fldCharType="end"/>
      </w:r>
      <w:r w:rsidRPr="00CB3320">
        <w:rPr>
          <w:rFonts w:hint="eastAsia"/>
        </w:rPr>
        <w:t>和</w:t>
      </w:r>
      <w:r w:rsidRPr="00CB3320">
        <w:rPr>
          <w:rFonts w:hint="eastAsia"/>
        </w:rPr>
        <w:t>OP/LP</w:t>
      </w:r>
      <w:r w:rsidRPr="00CB3320">
        <w:rPr>
          <w:rFonts w:hint="eastAsia"/>
        </w:rPr>
        <w:t>法</w:t>
      </w:r>
      <w:r w:rsidRPr="00CB3320">
        <w:rPr>
          <w:kern w:val="0"/>
        </w:rPr>
        <w:fldChar w:fldCharType="begin" w:fldLock="1"/>
      </w:r>
      <w:r w:rsidRPr="00CB3320">
        <w:rPr>
          <w:kern w:val="0"/>
        </w:rPr>
        <w:instrText>ADDIN CSL_CITATION {"citationItems":[{"id":"ITEM-1","itemData":{"DOI":"10.2307/2171831","ISSN":"00129682","author":[{"dropping-particle":"","family":"Olley","given":"G. Steven","non-dropping-particle":"","parse-names":false,"suffix":""},{"dropping-particle":"","family":"Pakes","given":"Ariel","non-dropping-particle":"","parse-names":false,"suffix":""}],"container-title":"Econometrica","id":"ITEM-1","issue":"6","issued":{"date-parts":[["1996","11"]]},"page":"1263","title":"The Dynamics of Productivity in the Telecommunications Equipment Industry","type":"article-journal","volume":"64"},"uris":["http://www.mendeley.com/documents/?uuid=37173032-96a0-444f-bc0f-79af03ec51a4","http://www.mendeley.com/documents/?uuid=b80a0c37-d069-4863-be67-c90cb947a80c","http:/</w:instrText>
      </w:r>
      <w:r w:rsidRPr="00CB3320">
        <w:rPr>
          <w:rFonts w:hint="eastAsia"/>
          <w:kern w:val="0"/>
        </w:rPr>
        <w:instrText>/www.mendeley.com/documents/?uuid=eeb82c57-c486-4d8e-a8b4-e62525c9c604"]}],"mendeley":{"formattedCitation":"(Olley</w:instrText>
      </w:r>
      <w:r w:rsidRPr="00CB3320">
        <w:rPr>
          <w:rFonts w:hint="eastAsia"/>
          <w:kern w:val="0"/>
        </w:rPr>
        <w:instrText>等</w:instrText>
      </w:r>
      <w:r w:rsidRPr="00CB3320">
        <w:rPr>
          <w:rFonts w:hint="eastAsia"/>
          <w:kern w:val="0"/>
        </w:rPr>
        <w:instrText>, 1996)","manualFormatting":"(Olley et al</w:instrText>
      </w:r>
      <w:r w:rsidRPr="00CB3320">
        <w:rPr>
          <w:rFonts w:hint="eastAsia"/>
          <w:kern w:val="0"/>
        </w:rPr>
        <w:instrText>，</w:instrText>
      </w:r>
      <w:r w:rsidRPr="00CB3320">
        <w:rPr>
          <w:rFonts w:hint="eastAsia"/>
          <w:kern w:val="0"/>
        </w:rPr>
        <w:instrText>1996)","plainTextFormattedCitation":"(Olley</w:instrText>
      </w:r>
      <w:r w:rsidRPr="00CB3320">
        <w:rPr>
          <w:rFonts w:hint="eastAsia"/>
          <w:kern w:val="0"/>
        </w:rPr>
        <w:instrText>等</w:instrText>
      </w:r>
      <w:r w:rsidRPr="00CB3320">
        <w:rPr>
          <w:rFonts w:hint="eastAsia"/>
          <w:kern w:val="0"/>
        </w:rPr>
        <w:instrText>, 1996)","previouslyFormattedCitation":"(Olley</w:instrText>
      </w:r>
      <w:r w:rsidRPr="00CB3320">
        <w:rPr>
          <w:rFonts w:hint="eastAsia"/>
          <w:kern w:val="0"/>
        </w:rPr>
        <w:instrText>等</w:instrText>
      </w:r>
      <w:r w:rsidRPr="00CB3320">
        <w:rPr>
          <w:rFonts w:hint="eastAsia"/>
          <w:kern w:val="0"/>
        </w:rPr>
        <w:instrText>, 1996)</w:instrText>
      </w:r>
      <w:r w:rsidRPr="00CB3320">
        <w:rPr>
          <w:kern w:val="0"/>
        </w:rPr>
        <w:instrText>"},"properties":{"noteIndex":0},"schema":"https://github.com/citation-style-language/schema/raw/master/csl-citation.json"}</w:instrText>
      </w:r>
      <w:r w:rsidRPr="00CB3320">
        <w:rPr>
          <w:kern w:val="0"/>
        </w:rPr>
        <w:fldChar w:fldCharType="separate"/>
      </w:r>
      <w:r w:rsidRPr="00CB3320">
        <w:rPr>
          <w:rFonts w:hint="eastAsia"/>
          <w:noProof/>
          <w:kern w:val="0"/>
        </w:rPr>
        <w:t>(Olley et al</w:t>
      </w:r>
      <w:r w:rsidRPr="00CB3320">
        <w:rPr>
          <w:rFonts w:hint="eastAsia"/>
          <w:noProof/>
          <w:kern w:val="0"/>
        </w:rPr>
        <w:t>，</w:t>
      </w:r>
      <w:r w:rsidRPr="00CB3320">
        <w:rPr>
          <w:rFonts w:hint="eastAsia"/>
          <w:noProof/>
          <w:kern w:val="0"/>
        </w:rPr>
        <w:t>1996)</w:t>
      </w:r>
      <w:r w:rsidRPr="00CB3320">
        <w:rPr>
          <w:kern w:val="0"/>
        </w:rPr>
        <w:fldChar w:fldCharType="end"/>
      </w:r>
      <w:r w:rsidRPr="00CB3320">
        <w:rPr>
          <w:rFonts w:hint="eastAsia"/>
        </w:rPr>
        <w:t>。本文的理论分析便是基于索洛经济增长模型分解得到的</w:t>
      </w:r>
      <w:r w:rsidRPr="00CB3320">
        <w:rPr>
          <w:rFonts w:hint="eastAsia"/>
        </w:rPr>
        <w:t>T</w:t>
      </w:r>
      <w:r w:rsidRPr="00CB3320">
        <w:t>FP</w:t>
      </w:r>
      <w:r w:rsidRPr="00CB3320">
        <w:rPr>
          <w:rFonts w:hint="eastAsia"/>
        </w:rPr>
        <w:t>。然而，这类方法计算的</w:t>
      </w:r>
      <w:r w:rsidRPr="00CB3320">
        <w:rPr>
          <w:rFonts w:hint="eastAsia"/>
        </w:rPr>
        <w:t>T</w:t>
      </w:r>
      <w:r w:rsidRPr="00CB3320">
        <w:t>FP</w:t>
      </w:r>
      <w:r w:rsidRPr="00CB3320">
        <w:rPr>
          <w:rFonts w:hint="eastAsia"/>
        </w:rPr>
        <w:t>通常存在双向因果、不考虑资本和劳动质量等问题。这些内生性问题可能会影响识别的准确性。随机前沿分析（</w:t>
      </w:r>
      <w:r w:rsidRPr="00CB3320">
        <w:rPr>
          <w:rFonts w:hint="eastAsia"/>
        </w:rPr>
        <w:t>SFA</w:t>
      </w:r>
      <w:r w:rsidRPr="00CB3320">
        <w:rPr>
          <w:rFonts w:hint="eastAsia"/>
        </w:rPr>
        <w:t>）</w:t>
      </w:r>
      <w:r w:rsidRPr="00CB3320">
        <w:fldChar w:fldCharType="begin" w:fldLock="1"/>
      </w:r>
      <w:r w:rsidRPr="00CB3320">
        <w:instrText>ADDIN CSL_CITATION {"citationItems":[{"id":"ITEM-1","itemData":{"DOI":"10.1016/j.jeconom.2017.09.005","ISSN":"03044076","author":[{"dropping-particle":"","family":"Belotti","given":"Federico","non-dropping-particle":"","parse-names":false,"suffix":""},{"dropping-particle":"","family":"Ilardi","given":"Giuseppe","non-dropping-particle":"","parse-names":false,"suffix":""}],"container-title":"Journal of Econometrics","id":"ITEM-1","issue":"2","issued":{"date-parts":[["2018","2"]]},"page":"161-177","title":"Consistent inference in fixed-effects stochastic frontier models","type":"article-journal","volume":"202"},"uris":["http://www.mendeley.com/documents/?uuid=4066b276-5be2-4f28-a229-a2c5aa254f95"]},{"id":"ITEM-2","itemData":{"author":[{"dropping-particle":""</w:instrText>
      </w:r>
      <w:r w:rsidRPr="00CB3320">
        <w:rPr>
          <w:rFonts w:hint="eastAsia"/>
        </w:rPr>
        <w:instrText>,"family":"</w:instrText>
      </w:r>
      <w:r w:rsidRPr="00CB3320">
        <w:rPr>
          <w:rFonts w:hint="eastAsia"/>
        </w:rPr>
        <w:instrText>林伯强</w:instrText>
      </w:r>
      <w:r w:rsidRPr="00CB3320">
        <w:rPr>
          <w:rFonts w:hint="eastAsia"/>
        </w:rPr>
        <w:instrText>","given":"","non-dropping-particle":"","parse-names":false,"suffix":""},{"dropping-particle":"","family":"</w:instrText>
      </w:r>
      <w:r w:rsidRPr="00CB3320">
        <w:rPr>
          <w:rFonts w:hint="eastAsia"/>
        </w:rPr>
        <w:instrText>杜克锐</w:instrText>
      </w:r>
      <w:r w:rsidRPr="00CB3320">
        <w:rPr>
          <w:rFonts w:hint="eastAsia"/>
        </w:rPr>
        <w:instrText>","given":"","non-dropping-particle":"","parse-names":false,"suffix":""}],"container-title":"</w:instrText>
      </w:r>
      <w:r w:rsidRPr="00CB3320">
        <w:rPr>
          <w:rFonts w:hint="eastAsia"/>
        </w:rPr>
        <w:instrText>经济研究</w:instrText>
      </w:r>
      <w:r w:rsidRPr="00CB3320">
        <w:rPr>
          <w:rFonts w:hint="eastAsia"/>
        </w:rPr>
        <w:instrText>","id":"ITEM-2","issue":"9","issued":{"date-parts":[["2013"]]},"page":"125-136","title":"</w:instrText>
      </w:r>
      <w:r w:rsidRPr="00CB3320">
        <w:rPr>
          <w:rFonts w:hint="eastAsia"/>
        </w:rPr>
        <w:instrText>要素市场扭曲对能源效率的影响</w:instrText>
      </w:r>
      <w:r w:rsidRPr="00CB3320">
        <w:rPr>
          <w:rFonts w:hint="eastAsia"/>
        </w:rPr>
        <w:instrText>","type":"article-journal"},"uris":["http://www.mendeley.com/documents/?uuid=05a1b1d5-fdcf-4343-bba2-a7f9884ffbfe","http://www.mendeley.com/documents/?uuid=9ba65f53-7aca-4bd0-8833-5ece86a3ac29","http://www.mendeley.com/documents/?uuid=dd58f2b6-aae1-4be9-8313-2797ca93882b"]}],"mendeley":{"formattedCitation":"(Belotti</w:instrText>
      </w:r>
      <w:r w:rsidRPr="00CB3320">
        <w:rPr>
          <w:rFonts w:hint="eastAsia"/>
        </w:rPr>
        <w:instrText>等</w:instrText>
      </w:r>
      <w:r w:rsidRPr="00CB3320">
        <w:rPr>
          <w:rFonts w:hint="eastAsia"/>
        </w:rPr>
        <w:instrText xml:space="preserve">, 2018; </w:instrText>
      </w:r>
      <w:r w:rsidRPr="00CB3320">
        <w:rPr>
          <w:rFonts w:hint="eastAsia"/>
        </w:rPr>
        <w:instrText>林伯强等</w:instrText>
      </w:r>
      <w:r w:rsidRPr="00CB3320">
        <w:rPr>
          <w:rFonts w:hint="eastAsia"/>
        </w:rPr>
        <w:instrText>, 2013)","manualFormatting":"(Belotti et al</w:instrText>
      </w:r>
      <w:r w:rsidRPr="00CB3320">
        <w:rPr>
          <w:rFonts w:hint="eastAsia"/>
        </w:rPr>
        <w:instrText>，</w:instrText>
      </w:r>
      <w:r w:rsidRPr="00CB3320">
        <w:rPr>
          <w:rFonts w:hint="eastAsia"/>
        </w:rPr>
        <w:instrText>2018</w:instrText>
      </w:r>
      <w:r w:rsidRPr="00CB3320">
        <w:rPr>
          <w:rFonts w:hint="eastAsia"/>
        </w:rPr>
        <w:instrText>；林伯强等，</w:instrText>
      </w:r>
      <w:r w:rsidRPr="00CB3320">
        <w:rPr>
          <w:rFonts w:hint="eastAsia"/>
        </w:rPr>
        <w:instrText>2013)","plainTextFormattedCitation":"(Belotti</w:instrText>
      </w:r>
      <w:r w:rsidRPr="00CB3320">
        <w:rPr>
          <w:rFonts w:hint="eastAsia"/>
        </w:rPr>
        <w:instrText>等</w:instrText>
      </w:r>
      <w:r w:rsidRPr="00CB3320">
        <w:rPr>
          <w:rFonts w:hint="eastAsia"/>
        </w:rPr>
        <w:instrText xml:space="preserve">, 2018; </w:instrText>
      </w:r>
      <w:r w:rsidRPr="00CB3320">
        <w:rPr>
          <w:rFonts w:hint="eastAsia"/>
        </w:rPr>
        <w:instrText>林伯强等</w:instrText>
      </w:r>
      <w:r w:rsidRPr="00CB3320">
        <w:rPr>
          <w:rFonts w:hint="eastAsia"/>
        </w:rPr>
        <w:instrText>, 2013)","previouslyFormattedCitation":"(Belotti</w:instrText>
      </w:r>
      <w:r w:rsidRPr="00CB3320">
        <w:rPr>
          <w:rFonts w:hint="eastAsia"/>
        </w:rPr>
        <w:instrText>等</w:instrText>
      </w:r>
      <w:r w:rsidRPr="00CB3320">
        <w:rPr>
          <w:rFonts w:hint="eastAsia"/>
        </w:rPr>
        <w:instrText xml:space="preserve">, 2018; </w:instrText>
      </w:r>
      <w:r w:rsidRPr="00CB3320">
        <w:rPr>
          <w:rFonts w:hint="eastAsia"/>
        </w:rPr>
        <w:instrText>林伯强等</w:instrText>
      </w:r>
      <w:r w:rsidRPr="00CB3320">
        <w:rPr>
          <w:rFonts w:hint="eastAsia"/>
        </w:rPr>
        <w:instrText>, 2013)"},"properties":{"noteIndex":0},"schema":"https://github.com/citation-style-language/schema/raw/master/csl-citation.json"}</w:instrText>
      </w:r>
      <w:r w:rsidRPr="00CB3320">
        <w:fldChar w:fldCharType="separate"/>
      </w:r>
      <w:r w:rsidRPr="00CB3320">
        <w:rPr>
          <w:rFonts w:hint="eastAsia"/>
          <w:noProof/>
        </w:rPr>
        <w:t>(Belotti et al</w:t>
      </w:r>
      <w:r w:rsidRPr="00CB3320">
        <w:rPr>
          <w:rFonts w:hint="eastAsia"/>
          <w:noProof/>
        </w:rPr>
        <w:t>，</w:t>
      </w:r>
      <w:r w:rsidRPr="00CB3320">
        <w:rPr>
          <w:rFonts w:hint="eastAsia"/>
          <w:noProof/>
        </w:rPr>
        <w:t>2018</w:t>
      </w:r>
      <w:r w:rsidRPr="00CB3320">
        <w:rPr>
          <w:rFonts w:hint="eastAsia"/>
          <w:noProof/>
        </w:rPr>
        <w:t>；林伯强等，</w:t>
      </w:r>
      <w:r w:rsidRPr="00CB3320">
        <w:rPr>
          <w:rFonts w:hint="eastAsia"/>
          <w:noProof/>
        </w:rPr>
        <w:t>2013)</w:t>
      </w:r>
      <w:r w:rsidRPr="00CB3320">
        <w:fldChar w:fldCharType="end"/>
      </w:r>
      <w:r w:rsidRPr="00CB3320">
        <w:rPr>
          <w:rFonts w:hint="eastAsia"/>
        </w:rPr>
        <w:t>和数据包络分析（</w:t>
      </w:r>
      <w:r w:rsidRPr="00CB3320">
        <w:rPr>
          <w:rFonts w:hint="eastAsia"/>
        </w:rPr>
        <w:t>DEA</w:t>
      </w:r>
      <w:r w:rsidRPr="00CB3320">
        <w:rPr>
          <w:rFonts w:hint="eastAsia"/>
        </w:rPr>
        <w:t>）模型</w:t>
      </w:r>
      <w:r w:rsidRPr="00CB3320">
        <w:fldChar w:fldCharType="begin" w:fldLock="1"/>
      </w:r>
      <w:r w:rsidR="001B271C">
        <w:instrText>ADDIN CSL_CITATION {"citationItems":[{"id":"ITEM-1","itemData":{"DOI":"10.1177/1536867X1001000207","ISSN":"1536-867X","abstract":"In this article, we introduce a user-written data envelopment analysis command for Stata. Data envelopment analysis is a linear programming method for assessing the efficiency and productivity of units called decision-making units. Over the last decades, data envelopment analysis has gained considerable attention as a managerial tool for measuring performance of organizations, and it has been used widely for assessing the efficiency of public and private sectors such as banks, airlines, hospitals, universities, defense firms, and manufacturers. The dea command in Stata will allow users to conduct the standard optimization procedure and extended managerial analysis. The dea command developed in this article selects the chosen variables from a Stata data file and constructs a linear programming model based on the selected dea options. Examples are given to illustrate how one could use the code to measure the efficiency of decision-making units.","author":[{"dropping-particle":"","family":"Ji","given":"Yong-bae","non-dropping-particle":"","parse-names":false,"suffix":""},{"dropping-particle":"","family":"Lee","given":"Choonjoo","non-dropping-particle":"","parse-names":false,"suffix":""}],"container-title":"The Stata Journal: Promoting communications on statistics and Stata","id":"ITEM-1","issue":"2","issued":{"date-parts":[["2010","7"]]},"page":"267-280","title":"Data Envelopment Analysis","type":"article-journal","volume":"10"},"uris":["http://www.mendeley.com/documents/?uuid=5df86830-1875-4382-983b-b1c1eb564541","http://www.mendeley.com/documents/?uuid=b1eebf66-90dd-4a48-99c3-d2ca9fdfab0a","http://www.mendeley.com/documents/?uuid=bc41f07a-9849-4b57-85aa-a065eca51b88"]},{"id":"ITEM-2","itemData":{"author":[{"dropping-particle":"","family":"Zhang","given":"Ning","non-dropping-particle":"","parse-names":false,"suffix":""},{"dropping-particle":"","family":"Choi","given":"Yongrok","non-dropping-particle":"","parse-names":false,"suffix":""}],"container-title":"Energy Economics","id":"ITEM-2","issued":{"date-parts":[["2013"]]},"page":"549-559","publisher":"Elsevier","title":"Total-factor carbon emission performance of fossil fuel power plants in China: A metafrontier non-radial Malmquist index analysis","type":"article-journal","volume":"40"},"uris":["http://www.mendeley.com/documents/?uuid=d58b4f9c-ddd5-40e9-bcc9-a38cd6b5e922","http://www.mendeley.com/documents/?uuid=04d704e5-c369-455</w:instrText>
      </w:r>
      <w:r w:rsidR="001B271C">
        <w:rPr>
          <w:rFonts w:hint="eastAsia"/>
        </w:rPr>
        <w:instrText>c-8ebc-16db729be4a1","http://www.mendeley.com/documents/?uuid=765ec4c5-7e22-4059-85a4-b5e0f60d3a02"]},{"id":"ITEM-3","itemData":{"author":[{"dropping-particle":"","family":"</w:instrText>
      </w:r>
      <w:r w:rsidR="001B271C">
        <w:rPr>
          <w:rFonts w:hint="eastAsia"/>
        </w:rPr>
        <w:instrText>陈诗一</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","id":"ITEM-3","issued":{"date-parts":[["2012"]]},"page":"32-44","title":"</w:instrText>
      </w:r>
      <w:r w:rsidR="001B271C">
        <w:rPr>
          <w:rFonts w:hint="eastAsia"/>
        </w:rPr>
        <w:instrText>中国各地区低碳经济转型进程评估</w:instrText>
      </w:r>
      <w:r w:rsidR="001B271C">
        <w:rPr>
          <w:rFonts w:hint="eastAsia"/>
        </w:rPr>
        <w:instrText>","type":"article-journal","volume":"8"},"uris":["http://www.mendeley.com/documents/?uuid=6c220b20-56a0-4827-adc6-5f2be7bf6287","http://www.mendeley.com/documents/?uuid=700e6b6a-e92b-4a3d-9a51-1edf8364fbdd","http://www.mendeley.com/documents/?uuid=b10c5fc8-4379-4776-95f5-2fc387ab1fee"]}],"mendeley":{"formattedCitation":"(Ji</w:instrText>
      </w:r>
      <w:r w:rsidR="001B271C">
        <w:rPr>
          <w:rFonts w:hint="eastAsia"/>
        </w:rPr>
        <w:instrText>等</w:instrText>
      </w:r>
      <w:r w:rsidR="001B271C">
        <w:rPr>
          <w:rFonts w:hint="eastAsia"/>
        </w:rPr>
        <w:instrText>, 2010; Zhang</w:instrText>
      </w:r>
      <w:r w:rsidR="001B271C">
        <w:rPr>
          <w:rFonts w:hint="eastAsia"/>
        </w:rPr>
        <w:instrText>等</w:instrText>
      </w:r>
      <w:r w:rsidR="001B271C">
        <w:rPr>
          <w:rFonts w:hint="eastAsia"/>
        </w:rPr>
        <w:instrText xml:space="preserve">, 2013; </w:instrText>
      </w:r>
      <w:r w:rsidR="001B271C">
        <w:rPr>
          <w:rFonts w:hint="eastAsia"/>
        </w:rPr>
        <w:instrText>陈诗一</w:instrText>
      </w:r>
      <w:r w:rsidR="001B271C">
        <w:rPr>
          <w:rFonts w:hint="eastAsia"/>
        </w:rPr>
        <w:instrText>, 2012)","manualFormatting":"(Ji et al</w:instrText>
      </w:r>
      <w:r w:rsidR="001B271C">
        <w:rPr>
          <w:rFonts w:hint="eastAsia"/>
        </w:rPr>
        <w:instrText>，</w:instrText>
      </w:r>
      <w:r w:rsidR="001B271C">
        <w:rPr>
          <w:rFonts w:hint="eastAsia"/>
        </w:rPr>
        <w:instrText>2010</w:instrText>
      </w:r>
      <w:r w:rsidR="001B271C">
        <w:rPr>
          <w:rFonts w:hint="eastAsia"/>
        </w:rPr>
        <w:instrText>；</w:instrText>
      </w:r>
      <w:r w:rsidR="001B271C">
        <w:rPr>
          <w:rFonts w:hint="eastAsia"/>
        </w:rPr>
        <w:instrText>Zhang et al</w:instrText>
      </w:r>
      <w:r w:rsidR="001B271C">
        <w:rPr>
          <w:rFonts w:hint="eastAsia"/>
        </w:rPr>
        <w:instrText>，</w:instrText>
      </w:r>
      <w:r w:rsidR="001B271C">
        <w:rPr>
          <w:rFonts w:hint="eastAsia"/>
        </w:rPr>
        <w:instrText>2013</w:instrText>
      </w:r>
      <w:r w:rsidR="001B271C">
        <w:rPr>
          <w:rFonts w:hint="eastAsia"/>
        </w:rPr>
        <w:instrText>；陈诗一，</w:instrText>
      </w:r>
      <w:r w:rsidR="001B271C">
        <w:rPr>
          <w:rFonts w:hint="eastAsia"/>
        </w:rPr>
        <w:instrText>2012)","plainTextFormattedCitation":"(Ji</w:instrText>
      </w:r>
      <w:r w:rsidR="001B271C">
        <w:rPr>
          <w:rFonts w:hint="eastAsia"/>
        </w:rPr>
        <w:instrText>等</w:instrText>
      </w:r>
      <w:r w:rsidR="001B271C">
        <w:rPr>
          <w:rFonts w:hint="eastAsia"/>
        </w:rPr>
        <w:instrText>, 2010; Zhang</w:instrText>
      </w:r>
      <w:r w:rsidR="001B271C">
        <w:rPr>
          <w:rFonts w:hint="eastAsia"/>
        </w:rPr>
        <w:instrText>等</w:instrText>
      </w:r>
      <w:r w:rsidR="001B271C">
        <w:rPr>
          <w:rFonts w:hint="eastAsia"/>
        </w:rPr>
        <w:instrText xml:space="preserve">, 2013; </w:instrText>
      </w:r>
      <w:r w:rsidR="001B271C">
        <w:rPr>
          <w:rFonts w:hint="eastAsia"/>
        </w:rPr>
        <w:instrText>陈诗一</w:instrText>
      </w:r>
      <w:r w:rsidR="001B271C">
        <w:rPr>
          <w:rFonts w:hint="eastAsia"/>
        </w:rPr>
        <w:instrText>, 2012)","previouslyFormattedCitation":"(Ji</w:instrText>
      </w:r>
      <w:r w:rsidR="001B271C">
        <w:rPr>
          <w:rFonts w:hint="eastAsia"/>
        </w:rPr>
        <w:instrText>等</w:instrText>
      </w:r>
      <w:r w:rsidR="001B271C">
        <w:rPr>
          <w:rFonts w:hint="eastAsia"/>
        </w:rPr>
        <w:instrText>, 2010; Zhang</w:instrText>
      </w:r>
      <w:r w:rsidR="001B271C">
        <w:rPr>
          <w:rFonts w:hint="eastAsia"/>
        </w:rPr>
        <w:instrText>等</w:instrText>
      </w:r>
      <w:r w:rsidR="001B271C">
        <w:rPr>
          <w:rFonts w:hint="eastAsia"/>
        </w:rPr>
        <w:instrText xml:space="preserve">, 2013; </w:instrText>
      </w:r>
      <w:r w:rsidR="001B271C">
        <w:rPr>
          <w:rFonts w:hint="eastAsia"/>
        </w:rPr>
        <w:instrText>陈诗一</w:instrText>
      </w:r>
      <w:r w:rsidR="001B271C">
        <w:rPr>
          <w:rFonts w:hint="eastAsia"/>
        </w:rPr>
        <w:instrText>, 2012)"},"properties":{"noteIndex":0},"schema":"https://github.com/citation-style-language/schema/raw/mas</w:instrText>
      </w:r>
      <w:r w:rsidR="001B271C">
        <w:instrText>ter/csl-citation.json"}</w:instrText>
      </w:r>
      <w:r w:rsidRPr="00CB3320">
        <w:fldChar w:fldCharType="separate"/>
      </w:r>
      <w:r w:rsidRPr="00CB3320">
        <w:rPr>
          <w:rFonts w:hint="eastAsia"/>
          <w:noProof/>
        </w:rPr>
        <w:t>(Ji et al</w:t>
      </w:r>
      <w:r w:rsidRPr="00CB3320">
        <w:rPr>
          <w:rFonts w:hint="eastAsia"/>
          <w:noProof/>
        </w:rPr>
        <w:t>，</w:t>
      </w:r>
      <w:r w:rsidRPr="00CB3320">
        <w:rPr>
          <w:rFonts w:hint="eastAsia"/>
          <w:noProof/>
        </w:rPr>
        <w:t>2010</w:t>
      </w:r>
      <w:r w:rsidRPr="00CB3320">
        <w:rPr>
          <w:rFonts w:hint="eastAsia"/>
          <w:noProof/>
        </w:rPr>
        <w:t>；</w:t>
      </w:r>
      <w:r w:rsidRPr="00CB3320">
        <w:rPr>
          <w:rFonts w:hint="eastAsia"/>
          <w:noProof/>
        </w:rPr>
        <w:t>Zhang et al</w:t>
      </w:r>
      <w:r w:rsidRPr="00CB3320">
        <w:rPr>
          <w:rFonts w:hint="eastAsia"/>
          <w:noProof/>
        </w:rPr>
        <w:t>，</w:t>
      </w:r>
      <w:r w:rsidRPr="00CB3320">
        <w:rPr>
          <w:rFonts w:hint="eastAsia"/>
          <w:noProof/>
        </w:rPr>
        <w:t>2013</w:t>
      </w:r>
      <w:r w:rsidRPr="00CB3320">
        <w:rPr>
          <w:rFonts w:hint="eastAsia"/>
          <w:noProof/>
        </w:rPr>
        <w:t>；陈诗一，</w:t>
      </w:r>
      <w:r w:rsidRPr="00CB3320">
        <w:rPr>
          <w:rFonts w:hint="eastAsia"/>
          <w:noProof/>
        </w:rPr>
        <w:t>2012)</w:t>
      </w:r>
      <w:r w:rsidRPr="00CB3320">
        <w:fldChar w:fldCharType="end"/>
      </w:r>
      <w:r w:rsidRPr="00CB3320">
        <w:rPr>
          <w:rFonts w:hint="eastAsia"/>
        </w:rPr>
        <w:t>是衡量全要素生产率的新兴方法。前者可以通过衡量投入产出效率来衡量</w:t>
      </w:r>
      <w:r w:rsidRPr="00CB3320">
        <w:rPr>
          <w:rFonts w:hint="eastAsia"/>
        </w:rPr>
        <w:t>T</w:t>
      </w:r>
      <w:r w:rsidRPr="00CB3320">
        <w:t>FP</w:t>
      </w:r>
      <w:r w:rsidRPr="00CB3320">
        <w:rPr>
          <w:rFonts w:hint="eastAsia"/>
        </w:rPr>
        <w:t>，本质上也是一种计量手段，后者是通过非参数方法来计算</w:t>
      </w:r>
      <w:r w:rsidRPr="00CB3320">
        <w:rPr>
          <w:rFonts w:hint="eastAsia"/>
        </w:rPr>
        <w:t>TFP</w:t>
      </w:r>
      <w:r w:rsidRPr="00CB3320">
        <w:rPr>
          <w:rFonts w:hint="eastAsia"/>
        </w:rPr>
        <w:t>。本研究利用</w:t>
      </w:r>
      <w:r w:rsidRPr="00CB3320">
        <w:rPr>
          <w:rFonts w:hint="eastAsia"/>
        </w:rPr>
        <w:t>DEA</w:t>
      </w:r>
      <w:r w:rsidRPr="00CB3320">
        <w:rPr>
          <w:rFonts w:hint="eastAsia"/>
        </w:rPr>
        <w:t>模型来衡量基准情况下的</w:t>
      </w:r>
      <w:r w:rsidRPr="00CB3320">
        <w:rPr>
          <w:rFonts w:hint="eastAsia"/>
        </w:rPr>
        <w:t>T</w:t>
      </w:r>
      <w:r w:rsidRPr="00CB3320">
        <w:t>FP</w:t>
      </w:r>
      <w:r w:rsidRPr="00CB3320">
        <w:rPr>
          <w:rFonts w:hint="eastAsia"/>
        </w:rPr>
        <w:t>，并利用</w:t>
      </w:r>
      <w:r w:rsidRPr="00CB3320">
        <w:rPr>
          <w:rFonts w:hint="eastAsia"/>
        </w:rPr>
        <w:t>SFA</w:t>
      </w:r>
      <w:r w:rsidRPr="00CB3320">
        <w:rPr>
          <w:rFonts w:hint="eastAsia"/>
        </w:rPr>
        <w:t>进行稳健性检验。</w:t>
      </w:r>
    </w:p>
    <w:bookmarkEnd w:id="7"/>
    <w:p w14:paraId="20A4F622" w14:textId="54C051AB" w:rsidR="00BD1E69" w:rsidRPr="00CB3320" w:rsidRDefault="00BD1E69" w:rsidP="00BD1E69">
      <w:pPr>
        <w:ind w:firstLine="420"/>
      </w:pPr>
      <w:r w:rsidRPr="00CB3320">
        <w:rPr>
          <w:rFonts w:hint="eastAsia"/>
        </w:rPr>
        <w:t>虽然有文献认为我国</w:t>
      </w:r>
      <w:proofErr w:type="gramStart"/>
      <w:r w:rsidRPr="00CB3320">
        <w:rPr>
          <w:rFonts w:hint="eastAsia"/>
        </w:rPr>
        <w:t>碳交易</w:t>
      </w:r>
      <w:proofErr w:type="gramEnd"/>
      <w:r w:rsidRPr="00CB3320">
        <w:rPr>
          <w:rFonts w:hint="eastAsia"/>
        </w:rPr>
        <w:t>试点是一个天然的准</w:t>
      </w:r>
      <w:r w:rsidR="00340FB0" w:rsidRPr="00CB3320">
        <w:rPr>
          <w:rFonts w:hint="eastAsia"/>
        </w:rPr>
        <w:t>自然</w:t>
      </w:r>
      <w:r w:rsidRPr="00CB3320">
        <w:rPr>
          <w:rFonts w:hint="eastAsia"/>
        </w:rPr>
        <w:t>实验，可以用</w:t>
      </w:r>
      <w:r w:rsidR="00477D8D" w:rsidRPr="00CB3320">
        <w:rPr>
          <w:rFonts w:hint="eastAsia"/>
        </w:rPr>
        <w:t>双重差分</w:t>
      </w:r>
      <w:r w:rsidR="00103B4B" w:rsidRPr="00CB3320">
        <w:rPr>
          <w:rFonts w:hint="eastAsia"/>
        </w:rPr>
        <w:t>（</w:t>
      </w:r>
      <w:r w:rsidR="00103B4B" w:rsidRPr="00CB3320">
        <w:rPr>
          <w:rFonts w:hint="eastAsia"/>
        </w:rPr>
        <w:t>D</w:t>
      </w:r>
      <w:r w:rsidR="00103B4B" w:rsidRPr="00CB3320">
        <w:t>ID</w:t>
      </w:r>
      <w:r w:rsidR="00103B4B" w:rsidRPr="00CB3320">
        <w:rPr>
          <w:rFonts w:hint="eastAsia"/>
        </w:rPr>
        <w:t>）</w:t>
      </w:r>
      <w:r w:rsidRPr="00CB3320">
        <w:rPr>
          <w:rFonts w:hint="eastAsia"/>
        </w:rPr>
        <w:t>模型直接估算</w:t>
      </w:r>
      <w:proofErr w:type="gramStart"/>
      <w:r w:rsidRPr="00CB3320">
        <w:rPr>
          <w:rFonts w:hint="eastAsia"/>
        </w:rPr>
        <w:t>碳交易</w:t>
      </w:r>
      <w:proofErr w:type="gramEnd"/>
      <w:r w:rsidRPr="00CB3320">
        <w:rPr>
          <w:rFonts w:hint="eastAsia"/>
        </w:rPr>
        <w:t>政策</w:t>
      </w:r>
      <w:r w:rsidR="00103B4B" w:rsidRPr="00CB3320">
        <w:rPr>
          <w:rFonts w:hint="eastAsia"/>
        </w:rPr>
        <w:t>的影响</w:t>
      </w:r>
      <w:r w:rsidRPr="00CB3320">
        <w:rPr>
          <w:rFonts w:hint="eastAsia"/>
        </w:rPr>
        <w:t>。然而，</w:t>
      </w:r>
      <w:r w:rsidR="00103B4B" w:rsidRPr="00CB3320">
        <w:rPr>
          <w:rFonts w:hint="eastAsia"/>
        </w:rPr>
        <w:t>在考察各</w:t>
      </w:r>
      <w:r w:rsidRPr="00CB3320">
        <w:rPr>
          <w:rFonts w:hint="eastAsia"/>
        </w:rPr>
        <w:t>试点城市后，我们发现事实并非如此：</w:t>
      </w:r>
      <w:proofErr w:type="gramStart"/>
      <w:r w:rsidR="00F302A4" w:rsidRPr="00CB3320">
        <w:rPr>
          <w:rFonts w:hint="eastAsia"/>
        </w:rPr>
        <w:t>碳试点</w:t>
      </w:r>
      <w:proofErr w:type="gramEnd"/>
      <w:r w:rsidRPr="00CB3320">
        <w:rPr>
          <w:rFonts w:hint="eastAsia"/>
        </w:rPr>
        <w:t>覆盖了所有直辖市和中国所有一线城市，包括北京、天津、上海、深圳</w:t>
      </w:r>
      <w:r w:rsidR="007F2439" w:rsidRPr="00CB3320">
        <w:rPr>
          <w:rFonts w:hint="eastAsia"/>
        </w:rPr>
        <w:t>、</w:t>
      </w:r>
      <w:r w:rsidRPr="00CB3320">
        <w:rPr>
          <w:rFonts w:hint="eastAsia"/>
        </w:rPr>
        <w:t>重庆</w:t>
      </w:r>
      <w:r w:rsidR="007F2439" w:rsidRPr="00CB3320">
        <w:rPr>
          <w:rFonts w:hint="eastAsia"/>
        </w:rPr>
        <w:t>和广州</w:t>
      </w:r>
      <w:r w:rsidRPr="00CB3320">
        <w:rPr>
          <w:rFonts w:hint="eastAsia"/>
        </w:rPr>
        <w:t>。这些城市的经济发展水平较高，财政支出能力较强，能够吸引更多的人才，相比之下，</w:t>
      </w:r>
      <w:proofErr w:type="gramStart"/>
      <w:r w:rsidR="0087523F" w:rsidRPr="00CB3320">
        <w:rPr>
          <w:rFonts w:hint="eastAsia"/>
        </w:rPr>
        <w:t>非</w:t>
      </w:r>
      <w:r w:rsidR="00F302A4" w:rsidRPr="00CB3320">
        <w:rPr>
          <w:rFonts w:hint="eastAsia"/>
        </w:rPr>
        <w:t>碳试点</w:t>
      </w:r>
      <w:proofErr w:type="gramEnd"/>
      <w:r w:rsidR="0087523F" w:rsidRPr="00CB3320">
        <w:rPr>
          <w:rFonts w:hint="eastAsia"/>
        </w:rPr>
        <w:t>城市的发展水平则相对较差</w:t>
      </w:r>
      <w:r w:rsidRPr="00CB3320">
        <w:rPr>
          <w:rFonts w:hint="eastAsia"/>
        </w:rPr>
        <w:t>。</w:t>
      </w:r>
      <w:r w:rsidR="00F75FED" w:rsidRPr="00CB3320">
        <w:rPr>
          <w:rFonts w:hint="eastAsia"/>
        </w:rPr>
        <w:t>这显然不能达到准实验的标准。</w:t>
      </w:r>
    </w:p>
    <w:p w14:paraId="4085A823" w14:textId="7736AE96" w:rsidR="005A2419" w:rsidRPr="00CB3320" w:rsidRDefault="00BD1E69" w:rsidP="00BD1E69">
      <w:pPr>
        <w:ind w:firstLine="420"/>
      </w:pPr>
      <w:r w:rsidRPr="00CB3320">
        <w:rPr>
          <w:rFonts w:hint="eastAsia"/>
        </w:rPr>
        <w:t>考虑到实验组</w:t>
      </w:r>
      <w:r w:rsidR="00A70AD3" w:rsidRPr="00CB3320">
        <w:rPr>
          <w:rFonts w:hint="eastAsia"/>
        </w:rPr>
        <w:t>个体</w:t>
      </w:r>
      <w:r w:rsidRPr="00CB3320">
        <w:rPr>
          <w:rFonts w:hint="eastAsia"/>
        </w:rPr>
        <w:t>较少，</w:t>
      </w:r>
      <w:proofErr w:type="gramStart"/>
      <w:r w:rsidR="00F302A4" w:rsidRPr="00CB3320">
        <w:rPr>
          <w:rFonts w:hint="eastAsia"/>
        </w:rPr>
        <w:t>碳试点</w:t>
      </w:r>
      <w:proofErr w:type="gramEnd"/>
      <w:r w:rsidRPr="00CB3320">
        <w:rPr>
          <w:rFonts w:hint="eastAsia"/>
        </w:rPr>
        <w:t>存在明显的选择偏差，直接</w:t>
      </w:r>
      <w:r w:rsidR="00002428" w:rsidRPr="00CB3320">
        <w:rPr>
          <w:rFonts w:hint="eastAsia"/>
        </w:rPr>
        <w:t>进行</w:t>
      </w:r>
      <w:r w:rsidRPr="00CB3320">
        <w:rPr>
          <w:rFonts w:hint="eastAsia"/>
        </w:rPr>
        <w:t>DID</w:t>
      </w:r>
      <w:r w:rsidRPr="00CB3320">
        <w:rPr>
          <w:rFonts w:hint="eastAsia"/>
        </w:rPr>
        <w:t>分析存在</w:t>
      </w:r>
      <w:r w:rsidR="00002428" w:rsidRPr="00CB3320">
        <w:rPr>
          <w:rFonts w:hint="eastAsia"/>
        </w:rPr>
        <w:t>偏误</w:t>
      </w:r>
      <w:r w:rsidRPr="00CB3320">
        <w:rPr>
          <w:rFonts w:hint="eastAsia"/>
        </w:rPr>
        <w:t>。因此，在</w:t>
      </w:r>
      <w:r w:rsidRPr="00CB3320">
        <w:rPr>
          <w:rFonts w:hint="eastAsia"/>
        </w:rPr>
        <w:t>DID</w:t>
      </w:r>
      <w:r w:rsidRPr="00CB3320">
        <w:rPr>
          <w:rFonts w:hint="eastAsia"/>
        </w:rPr>
        <w:t>回归之前，我们需要根据</w:t>
      </w:r>
      <w:r w:rsidR="00E7051E" w:rsidRPr="00CB3320">
        <w:rPr>
          <w:rFonts w:hint="eastAsia"/>
        </w:rPr>
        <w:t>倾向得分匹配</w:t>
      </w:r>
      <w:r w:rsidRPr="00CB3320">
        <w:rPr>
          <w:rFonts w:hint="eastAsia"/>
        </w:rPr>
        <w:t>（</w:t>
      </w:r>
      <w:r w:rsidRPr="00CB3320">
        <w:rPr>
          <w:rFonts w:hint="eastAsia"/>
        </w:rPr>
        <w:t>PSM</w:t>
      </w:r>
      <w:r w:rsidRPr="00CB3320">
        <w:rPr>
          <w:rFonts w:hint="eastAsia"/>
        </w:rPr>
        <w:t>）对实验组和</w:t>
      </w:r>
      <w:r w:rsidR="00972FF5" w:rsidRPr="00CB3320">
        <w:rPr>
          <w:rFonts w:hint="eastAsia"/>
        </w:rPr>
        <w:t>对照组</w:t>
      </w:r>
      <w:r w:rsidR="00002428" w:rsidRPr="00CB3320">
        <w:rPr>
          <w:rFonts w:hint="eastAsia"/>
        </w:rPr>
        <w:t>的个体</w:t>
      </w:r>
      <w:r w:rsidRPr="00CB3320">
        <w:rPr>
          <w:rFonts w:hint="eastAsia"/>
        </w:rPr>
        <w:t>进行匹配，以获得每个观察值的权重。然后进行加权</w:t>
      </w:r>
      <w:r w:rsidRPr="00CB3320">
        <w:rPr>
          <w:rFonts w:hint="eastAsia"/>
        </w:rPr>
        <w:t>DID</w:t>
      </w:r>
      <w:r w:rsidRPr="00CB3320">
        <w:rPr>
          <w:rFonts w:hint="eastAsia"/>
        </w:rPr>
        <w:t>模型回归，以确保实验组和</w:t>
      </w:r>
      <w:r w:rsidR="00972FF5" w:rsidRPr="00CB3320">
        <w:rPr>
          <w:rFonts w:hint="eastAsia"/>
        </w:rPr>
        <w:t>对照组</w:t>
      </w:r>
      <w:r w:rsidRPr="00CB3320">
        <w:rPr>
          <w:rFonts w:hint="eastAsia"/>
        </w:rPr>
        <w:t>的相关特征相似，从而准确估计结果。</w:t>
      </w:r>
    </w:p>
    <w:p w14:paraId="07D4B7AB" w14:textId="519798B5" w:rsidR="00B90939" w:rsidRPr="00CB3320" w:rsidRDefault="005B1161" w:rsidP="005B1161">
      <w:pPr>
        <w:pStyle w:val="2"/>
        <w:numPr>
          <w:ilvl w:val="0"/>
          <w:numId w:val="0"/>
        </w:numPr>
        <w:spacing w:before="163" w:after="81"/>
      </w:pPr>
      <w:bookmarkStart w:id="14" w:name="_Toc121778111"/>
      <w:r w:rsidRPr="00CB3320">
        <w:rPr>
          <w:rFonts w:cstheme="minorHAnsi"/>
        </w:rPr>
        <w:lastRenderedPageBreak/>
        <w:t>（一）</w:t>
      </w:r>
      <w:r w:rsidR="00B90939" w:rsidRPr="00CB3320">
        <w:rPr>
          <w:rFonts w:hint="eastAsia"/>
        </w:rPr>
        <w:t>模型选取</w:t>
      </w:r>
      <w:bookmarkEnd w:id="14"/>
    </w:p>
    <w:p w14:paraId="14CCF886" w14:textId="0FEAE0EF" w:rsidR="00F13EAB" w:rsidRPr="00CB3320" w:rsidRDefault="00F13EAB" w:rsidP="00F13EAB">
      <w:pPr>
        <w:pStyle w:val="3"/>
        <w:numPr>
          <w:ilvl w:val="0"/>
          <w:numId w:val="0"/>
        </w:numPr>
        <w:spacing w:before="163" w:after="81"/>
        <w:ind w:left="709" w:hanging="709"/>
      </w:pPr>
      <w:bookmarkStart w:id="15" w:name="_Ref76740197"/>
      <w:bookmarkStart w:id="16" w:name="_Toc121778112"/>
      <w:bookmarkStart w:id="17" w:name="_Hlk121754437"/>
      <w:r w:rsidRPr="00CB3320">
        <w:rPr>
          <w:rFonts w:hint="eastAsia"/>
        </w:rPr>
        <w:t>（</w:t>
      </w:r>
      <w:r w:rsidRPr="00CB3320">
        <w:rPr>
          <w:rFonts w:hint="eastAsia"/>
        </w:rPr>
        <w:t>1</w:t>
      </w:r>
      <w:r w:rsidRPr="00CB3320">
        <w:rPr>
          <w:rFonts w:hint="eastAsia"/>
        </w:rPr>
        <w:t>）数据包络分析方法</w:t>
      </w:r>
      <w:bookmarkEnd w:id="15"/>
      <w:bookmarkEnd w:id="16"/>
    </w:p>
    <w:p w14:paraId="1666DE36" w14:textId="77777777" w:rsidR="00F13EAB" w:rsidRPr="00CB3320" w:rsidRDefault="00F13EAB" w:rsidP="00BD1E69">
      <w:pPr>
        <w:ind w:firstLine="420"/>
      </w:pPr>
      <w:r w:rsidRPr="00CB3320">
        <w:rPr>
          <w:rFonts w:hint="eastAsia"/>
        </w:rPr>
        <w:t>本文采用数据包络分析（</w:t>
      </w:r>
      <w:r w:rsidRPr="00CB3320">
        <w:rPr>
          <w:rFonts w:hint="eastAsia"/>
        </w:rPr>
        <w:t>DEA</w:t>
      </w:r>
      <w:r w:rsidRPr="00CB3320">
        <w:rPr>
          <w:rFonts w:hint="eastAsia"/>
        </w:rPr>
        <w:t>）估计各观测值的</w:t>
      </w:r>
      <w:r w:rsidRPr="00CB3320">
        <w:rPr>
          <w:rFonts w:hint="eastAsia"/>
        </w:rPr>
        <w:t>T</w:t>
      </w:r>
      <w:r w:rsidRPr="00CB3320">
        <w:t>FP</w:t>
      </w:r>
      <w:r w:rsidRPr="00CB3320">
        <w:rPr>
          <w:rFonts w:hint="eastAsia"/>
        </w:rPr>
        <w:t>。数据包络分析（</w:t>
      </w:r>
      <w:r w:rsidRPr="00CB3320">
        <w:rPr>
          <w:rFonts w:hint="eastAsia"/>
        </w:rPr>
        <w:t>DEA</w:t>
      </w:r>
      <w:r w:rsidRPr="00CB3320">
        <w:rPr>
          <w:rFonts w:hint="eastAsia"/>
        </w:rPr>
        <w:t>）是一种非参数的生产前沿技术效率估计方法。本文采用</w:t>
      </w:r>
      <w:r w:rsidRPr="00CB3320">
        <w:rPr>
          <w:rFonts w:hint="eastAsia"/>
        </w:rPr>
        <w:t>BCC</w:t>
      </w:r>
      <w:r w:rsidRPr="00CB3320">
        <w:rPr>
          <w:rFonts w:hint="eastAsia"/>
        </w:rPr>
        <w:t>模型</w:t>
      </w:r>
      <w:r w:rsidRPr="00CB3320">
        <w:fldChar w:fldCharType="begin" w:fldLock="1"/>
      </w:r>
      <w:r w:rsidRPr="00CB3320">
        <w:instrText>ADDIN CSL_CITATION {"citationItems":[{"id":"ITEM-1","itemData":{"ISSN":"00251909, 15265501","abstract":"[In management contexts, mathematical programming is usually used to evaluate a collection of possible alternative courses of action en route to selecting one which is best. In this capacity, mathematical programming serves as a planning aid to management. Data Envelopment Analysis reverses this role and employs mathematical programming to obtain ex post facto evaluations of the relative efficiency of management accomplishments, however they may have been planned or executed. Mathematical programming is thereby extended for use as a tool for control and evaluation of past accomplishments as well as a tool to aid in planning future activities. The CCR ratio form introduced by Charnes, Cooper and Rhodes, as part of their Data Envelopment Analysis approach, comprehends both technical and scale inefficiencies via the optimal value of the ratio form, as obtained directly from the data without requiring a priori specification of weights and/or explicit delineation of assumed functional forms of relations between inputs and outputs. A separation into technical and scale efficiencies is accomplished by the methods developed in this paper without altering the latter conditions for use of DEA directly on observational data. Technical inefficiencies are identified with failures to achieve best possible output levels and/or usage of excessive amounts of inputs. Methods for identifying and correcting the magnitudes of these inefficiencies, as supplied in prior work, are illustrated. In the present paper, a new separate variable is introduced which makes it possible to determine whether operations were conducted in regions of increasing, constant or decreasing returns to scale (in multiple input and multiple output situations). The results are discussed and related not only to classical (single output) economics but also to more modern versions of economics which are identified with \"contestable market theories.\"]","author":[{"dropping-particle":"","family":"Banker","given":"R D","non-dropping-particle":"","parse-names":false,"suffix":""},{"dropping-particle":"","family":"Charnes","given":"A","non-dropping-particle":"","parse-names":false,"suffix":""},{"dropping-particle":"","family":"Cooper","given":"W W","non-dropping-particle":"","parse-names":false,"suffix":""}],"container-title":"Management Science","id":"ITEM-1","issue":"9","issued":{"date-parts":[["1984","4"]]},"page":"1078-1092","publisher":"INFORMS","title":"Some Models for Estimating Technical and Scale Inefficiencies in Data Envelopment Analysis","type":"article-journal","volume":"30"},"uris":["http://www.mendeley.com/documents/?uuid=ac9703a3-c1dc-43ed-806f-9e5b118ad37d"]}],"mendeley":{"formattedCitation</w:instrText>
      </w:r>
      <w:r w:rsidRPr="00CB3320">
        <w:rPr>
          <w:rFonts w:hint="eastAsia"/>
        </w:rPr>
        <w:instrText>":"(Banker</w:instrText>
      </w:r>
      <w:r w:rsidRPr="00CB3320">
        <w:rPr>
          <w:rFonts w:hint="eastAsia"/>
        </w:rPr>
        <w:instrText>等</w:instrText>
      </w:r>
      <w:r w:rsidRPr="00CB3320">
        <w:rPr>
          <w:rFonts w:hint="eastAsia"/>
        </w:rPr>
        <w:instrText>, 1984)","manualFormatting":"(Banker et al</w:instrText>
      </w:r>
      <w:r w:rsidRPr="00CB3320">
        <w:rPr>
          <w:rFonts w:hint="eastAsia"/>
        </w:rPr>
        <w:instrText>，</w:instrText>
      </w:r>
      <w:r w:rsidRPr="00CB3320">
        <w:rPr>
          <w:rFonts w:hint="eastAsia"/>
        </w:rPr>
        <w:instrText>1984)","plainTextFormattedCitation":"(Banker</w:instrText>
      </w:r>
      <w:r w:rsidRPr="00CB3320">
        <w:rPr>
          <w:rFonts w:hint="eastAsia"/>
        </w:rPr>
        <w:instrText>等</w:instrText>
      </w:r>
      <w:r w:rsidRPr="00CB3320">
        <w:rPr>
          <w:rFonts w:hint="eastAsia"/>
        </w:rPr>
        <w:instrText>, 1984)","previouslyFormattedCitation":"(Banker</w:instrText>
      </w:r>
      <w:r w:rsidRPr="00CB3320">
        <w:rPr>
          <w:rFonts w:hint="eastAsia"/>
        </w:rPr>
        <w:instrText>等</w:instrText>
      </w:r>
      <w:r w:rsidRPr="00CB3320">
        <w:rPr>
          <w:rFonts w:hint="eastAsia"/>
        </w:rPr>
        <w:instrText>, 1984)"},"properties":{"noteIndex":0},"schema":"https://github.com/citation-style-language/schema/raw/maste</w:instrText>
      </w:r>
      <w:r w:rsidRPr="00CB3320">
        <w:instrText>r/csl-citation.json"}</w:instrText>
      </w:r>
      <w:r w:rsidRPr="00CB3320">
        <w:fldChar w:fldCharType="separate"/>
      </w:r>
      <w:r w:rsidRPr="00CB3320">
        <w:rPr>
          <w:rFonts w:hint="eastAsia"/>
          <w:noProof/>
        </w:rPr>
        <w:t>(Banker et al</w:t>
      </w:r>
      <w:r w:rsidRPr="00CB3320">
        <w:rPr>
          <w:rFonts w:hint="eastAsia"/>
          <w:noProof/>
        </w:rPr>
        <w:t>，</w:t>
      </w:r>
      <w:r w:rsidRPr="00CB3320">
        <w:rPr>
          <w:rFonts w:hint="eastAsia"/>
          <w:noProof/>
        </w:rPr>
        <w:t>1984)</w:t>
      </w:r>
      <w:r w:rsidRPr="00CB3320">
        <w:fldChar w:fldCharType="end"/>
      </w:r>
      <w:r w:rsidRPr="00CB3320">
        <w:rPr>
          <w:rFonts w:hint="eastAsia"/>
        </w:rPr>
        <w:t>作为基准模型，考虑规模报酬可变，通过谢泼德产出方向距离函数计算全要素生产率：</w:t>
      </w:r>
    </w:p>
    <w:p w14:paraId="69C24558" w14:textId="77777777" w:rsidR="00005CB5" w:rsidRPr="00CB3320" w:rsidRDefault="00005CB5" w:rsidP="00C422C0">
      <w:pPr>
        <w:pStyle w:val="a3"/>
      </w:pPr>
    </w:p>
    <w:p w14:paraId="4496AFE8" w14:textId="42946D3C" w:rsidR="00D11DB7" w:rsidRPr="00CB3320" w:rsidRDefault="00D11DB7" w:rsidP="00D11DB7">
      <w:pPr>
        <w:pStyle w:val="a3"/>
      </w:pPr>
      <w:r w:rsidRPr="00CB3320">
        <w:tab/>
      </w:r>
      <m:oMath>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rPr>
                    <m:t>D</m:t>
                  </m:r>
                </m:e>
                <m:sub>
                  <m:r>
                    <w:rPr>
                      <w:rFonts w:ascii="Cambria Math"/>
                    </w:rPr>
                    <m:t>O</m:t>
                  </m:r>
                </m:sub>
              </m:sSub>
              <m:r>
                <m:rPr>
                  <m:sty m:val="p"/>
                </m:rPr>
                <w:rPr>
                  <w:rFonts w:ascii="Cambria Math"/>
                </w:rPr>
                <m:t>(</m:t>
              </m:r>
              <m:r>
                <w:rPr>
                  <w:rFonts w:ascii="Cambria Math"/>
                </w:rPr>
                <m:t>X</m:t>
              </m:r>
              <m:r>
                <m:rPr>
                  <m:sty m:val="p"/>
                </m:rPr>
                <w:rPr>
                  <w:rFonts w:ascii="Cambria Math"/>
                </w:rPr>
                <m:t>,</m:t>
              </m:r>
              <m:r>
                <w:rPr>
                  <w:rFonts w:ascii="Cambria Math"/>
                </w:rPr>
                <m:t>Y</m:t>
              </m:r>
              <m:sSup>
                <m:sSupPr>
                  <m:ctrlPr>
                    <w:rPr>
                      <w:rFonts w:ascii="Cambria Math" w:hAnsi="Cambria Math"/>
                    </w:rPr>
                  </m:ctrlPr>
                </m:sSupPr>
                <m:e>
                  <m:r>
                    <m:rPr>
                      <m:sty m:val="p"/>
                    </m:rPr>
                    <w:rPr>
                      <w:rFonts w:ascii="Cambria Math"/>
                    </w:rPr>
                    <m:t>)</m:t>
                  </m:r>
                </m:e>
                <m:sup>
                  <m:r>
                    <m:rPr>
                      <m:sty m:val="p"/>
                    </m:rPr>
                    <w:rPr>
                      <w:rFonts w:ascii="Cambria Math"/>
                    </w:rPr>
                    <m:t>-</m:t>
                  </m:r>
                  <m:r>
                    <m:rPr>
                      <m:sty m:val="p"/>
                    </m:rPr>
                    <w:rPr>
                      <w:rFonts w:ascii="Cambria Math"/>
                    </w:rPr>
                    <m:t>1</m:t>
                  </m:r>
                </m:sup>
              </m:sSup>
              <m:r>
                <m:rPr>
                  <m:nor/>
                </m:rPr>
                <m:t xml:space="preserve"> = max </m:t>
              </m:r>
              <m:sSub>
                <m:sSubPr>
                  <m:ctrlPr>
                    <w:rPr>
                      <w:rFonts w:ascii="Cambria Math" w:hAnsi="Cambria Math"/>
                    </w:rPr>
                  </m:ctrlPr>
                </m:sSubPr>
                <m:e>
                  <m:r>
                    <w:rPr>
                      <w:rFonts w:ascii="Cambria Math"/>
                    </w:rPr>
                    <m:t>θ</m:t>
                  </m:r>
                </m:e>
                <m:sub>
                  <m:r>
                    <w:rPr>
                      <w:rFonts w:ascii="Cambria Math"/>
                    </w:rPr>
                    <m:t>k</m:t>
                  </m:r>
                </m:sub>
              </m:sSub>
            </m:e>
          </m:mr>
          <m:mr>
            <m:e>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xml:space="preserve">. </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rPr>
                              <m:t>j</m:t>
                            </m:r>
                            <m:r>
                              <m:rPr>
                                <m:sty m:val="p"/>
                              </m:rPr>
                              <w:rPr>
                                <w:rFonts w:ascii="Cambria Math"/>
                              </w:rPr>
                              <m:t>=1</m:t>
                            </m:r>
                          </m:sub>
                          <m:sup>
                            <m:r>
                              <w:rPr>
                                <w:rFonts w:ascii="Cambria Math"/>
                              </w:rPr>
                              <m:t>K</m:t>
                            </m:r>
                          </m:sup>
                          <m:e>
                            <m:sSub>
                              <m:sSubPr>
                                <m:ctrlPr>
                                  <w:rPr>
                                    <w:rFonts w:ascii="Cambria Math" w:hAnsi="Cambria Math"/>
                                  </w:rPr>
                                </m:ctrlPr>
                              </m:sSubPr>
                              <m:e>
                                <m:r>
                                  <w:rPr>
                                    <w:rFonts w:ascii="Cambria Math"/>
                                  </w:rPr>
                                  <m:t>λ</m:t>
                                </m:r>
                              </m:e>
                              <m:sub>
                                <m:r>
                                  <w:rPr>
                                    <w:rFonts w:ascii="Cambria Math"/>
                                  </w:rPr>
                                  <m:t>j</m:t>
                                </m:r>
                              </m:sub>
                            </m:sSub>
                            <m:sSub>
                              <m:sSubPr>
                                <m:ctrlPr>
                                  <w:rPr>
                                    <w:rFonts w:ascii="Cambria Math" w:hAnsi="Cambria Math"/>
                                  </w:rPr>
                                </m:ctrlPr>
                              </m:sSubPr>
                              <m:e>
                                <m:r>
                                  <w:rPr>
                                    <w:rFonts w:ascii="Cambria Math"/>
                                  </w:rPr>
                                  <m:t>x</m:t>
                                </m:r>
                              </m:e>
                              <m:sub>
                                <m:r>
                                  <w:rPr>
                                    <w:rFonts w:ascii="Cambria Math"/>
                                  </w:rPr>
                                  <m:t>ij</m:t>
                                </m:r>
                              </m:sub>
                            </m:sSub>
                          </m:e>
                        </m:nary>
                        <m:r>
                          <m:rPr>
                            <m:sty m:val="p"/>
                          </m:rPr>
                          <w:rPr>
                            <w:rFonts w:ascii="Cambria Math"/>
                          </w:rPr>
                          <m:t>≤</m:t>
                        </m:r>
                        <m:sSub>
                          <m:sSubPr>
                            <m:ctrlPr>
                              <w:rPr>
                                <w:rFonts w:ascii="Cambria Math" w:hAnsi="Cambria Math"/>
                              </w:rPr>
                            </m:ctrlPr>
                          </m:sSubPr>
                          <m:e>
                            <m:r>
                              <w:rPr>
                                <w:rFonts w:ascii="Cambria Math"/>
                              </w:rPr>
                              <m:t>x</m:t>
                            </m:r>
                          </m:e>
                          <m:sub>
                            <m:r>
                              <w:rPr>
                                <w:rFonts w:ascii="Cambria Math"/>
                              </w:rPr>
                              <m:t>ik</m:t>
                            </m:r>
                          </m:sub>
                        </m:sSub>
                      </m:e>
                    </m:mr>
                    <m:mr>
                      <m:e>
                        <m:nary>
                          <m:naryPr>
                            <m:chr m:val="∑"/>
                            <m:ctrlPr>
                              <w:rPr>
                                <w:rFonts w:ascii="Cambria Math" w:hAnsi="Cambria Math"/>
                              </w:rPr>
                            </m:ctrlPr>
                          </m:naryPr>
                          <m:sub>
                            <m:r>
                              <w:rPr>
                                <w:rFonts w:ascii="Cambria Math"/>
                              </w:rPr>
                              <m:t>j</m:t>
                            </m:r>
                            <m:r>
                              <m:rPr>
                                <m:sty m:val="p"/>
                              </m:rPr>
                              <w:rPr>
                                <w:rFonts w:ascii="Cambria Math"/>
                              </w:rPr>
                              <m:t>=1</m:t>
                            </m:r>
                          </m:sub>
                          <m:sup>
                            <m:r>
                              <w:rPr>
                                <w:rFonts w:ascii="Cambria Math"/>
                              </w:rPr>
                              <m:t>K</m:t>
                            </m:r>
                          </m:sup>
                          <m:e>
                            <m:sSub>
                              <m:sSubPr>
                                <m:ctrlPr>
                                  <w:rPr>
                                    <w:rFonts w:ascii="Cambria Math" w:hAnsi="Cambria Math"/>
                                  </w:rPr>
                                </m:ctrlPr>
                              </m:sSubPr>
                              <m:e>
                                <m:r>
                                  <w:rPr>
                                    <w:rFonts w:ascii="Cambria Math"/>
                                  </w:rPr>
                                  <m:t>λ</m:t>
                                </m:r>
                              </m:e>
                              <m:sub>
                                <m:r>
                                  <w:rPr>
                                    <w:rFonts w:ascii="Cambria Math"/>
                                  </w:rPr>
                                  <m:t>j</m:t>
                                </m:r>
                              </m:sub>
                            </m:sSub>
                            <m:sSub>
                              <m:sSubPr>
                                <m:ctrlPr>
                                  <w:rPr>
                                    <w:rFonts w:ascii="Cambria Math" w:hAnsi="Cambria Math"/>
                                  </w:rPr>
                                </m:ctrlPr>
                              </m:sSubPr>
                              <m:e>
                                <m:r>
                                  <w:rPr>
                                    <w:rFonts w:ascii="Cambria Math"/>
                                  </w:rPr>
                                  <m:t>y</m:t>
                                </m:r>
                              </m:e>
                              <m:sub>
                                <m:r>
                                  <w:rPr>
                                    <w:rFonts w:ascii="Cambria Math"/>
                                  </w:rPr>
                                  <m:t>j</m:t>
                                </m:r>
                              </m:sub>
                            </m:sSub>
                          </m:e>
                        </m:nary>
                        <m:r>
                          <m:rPr>
                            <m:sty m:val="p"/>
                          </m:rPr>
                          <w:rPr>
                            <w:rFonts w:ascii="Cambria Math"/>
                          </w:rPr>
                          <m:t>≥</m:t>
                        </m:r>
                        <m:sSub>
                          <m:sSubPr>
                            <m:ctrlPr>
                              <w:rPr>
                                <w:rFonts w:ascii="Cambria Math" w:hAnsi="Cambria Math"/>
                              </w:rPr>
                            </m:ctrlPr>
                          </m:sSubPr>
                          <m:e>
                            <m:r>
                              <w:rPr>
                                <w:rFonts w:ascii="Cambria Math"/>
                              </w:rPr>
                              <m:t>θ</m:t>
                            </m:r>
                          </m:e>
                          <m:sub>
                            <m:r>
                              <w:rPr>
                                <w:rFonts w:ascii="Cambria Math"/>
                              </w:rPr>
                              <m:t>k</m:t>
                            </m:r>
                          </m:sub>
                        </m:sSub>
                        <m:sSub>
                          <m:sSubPr>
                            <m:ctrlPr>
                              <w:rPr>
                                <w:rFonts w:ascii="Cambria Math" w:hAnsi="Cambria Math"/>
                              </w:rPr>
                            </m:ctrlPr>
                          </m:sSubPr>
                          <m:e>
                            <m:r>
                              <w:rPr>
                                <w:rFonts w:ascii="Cambria Math"/>
                              </w:rPr>
                              <m:t>y</m:t>
                            </m:r>
                          </m:e>
                          <m:sub>
                            <m:r>
                              <w:rPr>
                                <w:rFonts w:ascii="Cambria Math"/>
                              </w:rPr>
                              <m:t>k</m:t>
                            </m:r>
                          </m:sub>
                        </m:sSub>
                      </m:e>
                    </m:mr>
                    <m:m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rPr>
                                    <m:t>j</m:t>
                                  </m:r>
                                  <m:r>
                                    <m:rPr>
                                      <m:sty m:val="p"/>
                                    </m:rPr>
                                    <w:rPr>
                                      <w:rFonts w:ascii="Cambria Math"/>
                                    </w:rPr>
                                    <m:t>=1</m:t>
                                  </m:r>
                                </m:sub>
                                <m:sup>
                                  <m:r>
                                    <w:rPr>
                                      <w:rFonts w:ascii="Cambria Math"/>
                                    </w:rPr>
                                    <m:t>K</m:t>
                                  </m:r>
                                </m:sup>
                                <m:e>
                                  <m:sSub>
                                    <m:sSubPr>
                                      <m:ctrlPr>
                                        <w:rPr>
                                          <w:rFonts w:ascii="Cambria Math" w:hAnsi="Cambria Math"/>
                                        </w:rPr>
                                      </m:ctrlPr>
                                    </m:sSubPr>
                                    <m:e>
                                      <m:r>
                                        <w:rPr>
                                          <w:rFonts w:ascii="Cambria Math"/>
                                        </w:rPr>
                                        <m:t>λ</m:t>
                                      </m:r>
                                    </m:e>
                                    <m:sub>
                                      <m:r>
                                        <w:rPr>
                                          <w:rFonts w:ascii="Cambria Math"/>
                                        </w:rPr>
                                        <m:t>j</m:t>
                                      </m:r>
                                    </m:sub>
                                  </m:sSub>
                                </m:e>
                              </m:nary>
                              <m:r>
                                <m:rPr>
                                  <m:sty m:val="p"/>
                                </m:rPr>
                                <w:rPr>
                                  <w:rFonts w:ascii="Cambria Math"/>
                                </w:rPr>
                                <m:t>=1</m:t>
                              </m:r>
                            </m:e>
                          </m:mr>
                          <m:mr>
                            <m:e>
                              <m:sSub>
                                <m:sSubPr>
                                  <m:ctrlPr>
                                    <w:rPr>
                                      <w:rFonts w:ascii="Cambria Math" w:hAnsi="Cambria Math"/>
                                    </w:rPr>
                                  </m:ctrlPr>
                                </m:sSubPr>
                                <m:e>
                                  <m:r>
                                    <w:rPr>
                                      <w:rFonts w:ascii="Cambria Math"/>
                                    </w:rPr>
                                    <m:t>λ</m:t>
                                  </m:r>
                                </m:e>
                                <m:sub>
                                  <m:r>
                                    <w:rPr>
                                      <w:rFonts w:ascii="Cambria Math"/>
                                    </w:rPr>
                                    <m:t>j</m:t>
                                  </m:r>
                                </m:sub>
                              </m:sSub>
                              <m:r>
                                <m:rPr>
                                  <m:sty m:val="p"/>
                                </m:rPr>
                                <w:rPr>
                                  <w:rFonts w:ascii="Cambria Math"/>
                                </w:rPr>
                                <m:t>≥</m:t>
                              </m:r>
                              <m:r>
                                <m:rPr>
                                  <m:sty m:val="p"/>
                                </m:rPr>
                                <w:rPr>
                                  <w:rFonts w:ascii="Cambria Math"/>
                                </w:rPr>
                                <m:t>0</m:t>
                              </m:r>
                            </m:e>
                          </m:mr>
                        </m:m>
                      </m:e>
                    </m:mr>
                  </m:m>
                </m:e>
              </m:d>
            </m:e>
          </m:mr>
        </m:m>
        <m:r>
          <m:rPr>
            <m:sty m:val="p"/>
          </m:rPr>
          <w:rPr>
            <w:rFonts w:ascii="Cambria Math"/>
          </w:rPr>
          <m:t xml:space="preserve"> </m:t>
        </m:r>
        <m:r>
          <w:rPr>
            <w:rFonts w:ascii="Cambria Math"/>
          </w:rPr>
          <m:t>i</m:t>
        </m:r>
        <m:r>
          <m:rPr>
            <m:sty m:val="p"/>
          </m:rPr>
          <w:rPr>
            <w:rFonts w:ascii="Cambria Math" w:hAnsi="Cambria Math" w:hint="eastAsia"/>
          </w:rPr>
          <m:t>∈</m:t>
        </m:r>
        <m:r>
          <m:rPr>
            <m:sty m:val="p"/>
          </m:rPr>
          <w:rPr>
            <w:rFonts w:ascii="Cambria Math"/>
          </w:rPr>
          <m:t>[1,</m:t>
        </m:r>
        <m:func>
          <m:funcPr>
            <m:ctrlPr>
              <w:rPr>
                <w:rFonts w:ascii="Cambria Math" w:hAnsi="Cambria Math"/>
              </w:rPr>
            </m:ctrlPr>
          </m:funcPr>
          <m:fName>
            <m:r>
              <w:rPr>
                <w:rFonts w:ascii="Cambria Math"/>
              </w:rPr>
              <m:t>m</m:t>
            </m:r>
          </m:fName>
          <m:e>
            <m:r>
              <m:rPr>
                <m:sty m:val="p"/>
              </m:rPr>
              <w:rPr>
                <w:rFonts w:ascii="Cambria Math"/>
              </w:rPr>
              <m:t>]</m:t>
            </m:r>
          </m:e>
        </m:func>
        <m:r>
          <m:rPr>
            <m:nor/>
          </m:rPr>
          <m:t xml:space="preserve">; </m:t>
        </m:r>
        <m:func>
          <m:funcPr>
            <m:ctrlPr>
              <w:rPr>
                <w:rFonts w:ascii="Cambria Math" w:hAnsi="Cambria Math"/>
              </w:rPr>
            </m:ctrlPr>
          </m:funcPr>
          <m:fName>
            <m:r>
              <w:rPr>
                <w:rFonts w:ascii="Cambria Math"/>
              </w:rPr>
              <m:t>j</m:t>
            </m:r>
          </m:fName>
          <m:e>
            <m:r>
              <m:rPr>
                <m:sty m:val="p"/>
              </m:rPr>
              <w:rPr>
                <w:rFonts w:ascii="Cambria Math" w:hAnsi="Cambria Math" w:hint="eastAsia"/>
              </w:rPr>
              <m:t>∈</m:t>
            </m:r>
          </m:e>
        </m:func>
        <m:r>
          <m:rPr>
            <m:sty m:val="p"/>
          </m:rPr>
          <w:rPr>
            <w:rFonts w:ascii="Cambria Math"/>
          </w:rPr>
          <m:t>[1,</m:t>
        </m:r>
        <m:r>
          <w:rPr>
            <w:rFonts w:ascii="Cambria Math"/>
          </w:rPr>
          <m:t>K</m:t>
        </m:r>
        <m:r>
          <m:rPr>
            <m:sty m:val="p"/>
          </m:rPr>
          <w:rPr>
            <w:rFonts w:ascii="Cambria Math"/>
          </w:rPr>
          <m:t>]</m:t>
        </m:r>
        <m:r>
          <m:rPr>
            <m:nor/>
          </m:rPr>
          <m:t xml:space="preserve">; </m:t>
        </m:r>
        <m:r>
          <w:rPr>
            <w:rFonts w:ascii="Cambria Math"/>
          </w:rPr>
          <m:t>k</m:t>
        </m:r>
        <m:r>
          <m:rPr>
            <m:sty m:val="p"/>
          </m:rPr>
          <w:rPr>
            <w:rFonts w:ascii="Cambria Math" w:hAnsi="Cambria Math" w:hint="eastAsia"/>
          </w:rPr>
          <m:t>∈</m:t>
        </m:r>
        <m:r>
          <m:rPr>
            <m:sty m:val="p"/>
          </m:rPr>
          <w:rPr>
            <w:rFonts w:ascii="Cambria Math"/>
          </w:rPr>
          <m:t>[1,</m:t>
        </m:r>
        <m:r>
          <w:rPr>
            <w:rFonts w:ascii="Cambria Math"/>
          </w:rPr>
          <m:t>K</m:t>
        </m:r>
        <m:r>
          <m:rPr>
            <m:sty m:val="p"/>
          </m:rPr>
          <w:rPr>
            <w:rFonts w:ascii="Cambria Math"/>
          </w:rPr>
          <m:t>]</m:t>
        </m:r>
      </m:oMath>
      <w:r w:rsidRPr="00CB3320">
        <w:tab/>
        <w:t>(</w:t>
      </w:r>
      <w:fldSimple w:instr=" SEQ ( \* ARABIC ">
        <w:r w:rsidRPr="00CB3320">
          <w:t>5</w:t>
        </w:r>
      </w:fldSimple>
      <w:r w:rsidRPr="00CB3320">
        <w:t>)</w:t>
      </w:r>
    </w:p>
    <w:p w14:paraId="32C95320" w14:textId="77777777" w:rsidR="00F13EAB" w:rsidRPr="00CB3320" w:rsidRDefault="00F13EAB" w:rsidP="001B2FF9">
      <w:pPr>
        <w:ind w:firstLine="420"/>
      </w:pPr>
      <w:r w:rsidRPr="00CB3320">
        <w:rPr>
          <w:rFonts w:hint="eastAsia"/>
        </w:rPr>
        <w:t>其中</w:t>
      </w:r>
      <m:oMath>
        <m:sSub>
          <m:sSubPr>
            <m:ctrlPr>
              <w:rPr>
                <w:rFonts w:ascii="Cambria Math" w:hAnsi="Cambria Math"/>
                <w:i/>
              </w:rPr>
            </m:ctrlPr>
          </m:sSubPr>
          <m:e>
            <m:r>
              <w:rPr>
                <w:rFonts w:ascii="Cambria Math"/>
              </w:rPr>
              <m:t>θ</m:t>
            </m:r>
          </m:e>
          <m:sub>
            <m:r>
              <w:rPr>
                <w:rFonts w:ascii="Cambria Math"/>
              </w:rPr>
              <m:t>k</m:t>
            </m:r>
          </m:sub>
        </m:sSub>
      </m:oMath>
      <w:r w:rsidRPr="00CB3320">
        <w:rPr>
          <w:rFonts w:hint="eastAsia"/>
        </w:rPr>
        <w:t>是第</w:t>
      </w:r>
      <w:r w:rsidRPr="00CB3320">
        <w:rPr>
          <w:rFonts w:hint="eastAsia"/>
        </w:rPr>
        <w:t>k</w:t>
      </w:r>
      <w:proofErr w:type="gramStart"/>
      <w:r w:rsidRPr="00CB3320">
        <w:rPr>
          <w:rFonts w:hint="eastAsia"/>
        </w:rPr>
        <w:t>个</w:t>
      </w:r>
      <w:proofErr w:type="gramEnd"/>
      <w:r w:rsidRPr="00CB3320">
        <w:rPr>
          <w:rFonts w:hint="eastAsia"/>
        </w:rPr>
        <w:t>决策单元的效率，</w:t>
      </w:r>
      <m:oMath>
        <m:nary>
          <m:naryPr>
            <m:chr m:val="∑"/>
            <m:ctrlPr>
              <w:rPr>
                <w:rFonts w:ascii="Cambria Math" w:hAnsi="Cambria Math"/>
                <w:i/>
              </w:rPr>
            </m:ctrlPr>
          </m:naryPr>
          <m:sub>
            <m:r>
              <w:rPr>
                <w:rFonts w:ascii="Cambria Math"/>
              </w:rPr>
              <m:t>j=1</m:t>
            </m:r>
          </m:sub>
          <m:sup>
            <m:r>
              <w:rPr>
                <w:rFonts w:ascii="Cambria Math"/>
              </w:rPr>
              <m:t>K</m:t>
            </m:r>
          </m:sup>
          <m:e>
            <m:sSub>
              <m:sSubPr>
                <m:ctrlPr>
                  <w:rPr>
                    <w:rFonts w:ascii="Cambria Math" w:hAnsi="Cambria Math"/>
                    <w:i/>
                  </w:rPr>
                </m:ctrlPr>
              </m:sSubPr>
              <m:e>
                <m:r>
                  <w:rPr>
                    <w:rFonts w:ascii="Cambria Math"/>
                  </w:rPr>
                  <m:t>λ</m:t>
                </m:r>
              </m:e>
              <m:sub>
                <m:r>
                  <w:rPr>
                    <w:rFonts w:ascii="Cambria Math"/>
                  </w:rPr>
                  <m:t>j</m:t>
                </m:r>
              </m:sub>
            </m:sSub>
            <m:sSub>
              <m:sSubPr>
                <m:ctrlPr>
                  <w:rPr>
                    <w:rFonts w:ascii="Cambria Math" w:hAnsi="Cambria Math"/>
                    <w:i/>
                  </w:rPr>
                </m:ctrlPr>
              </m:sSubPr>
              <m:e>
                <m:r>
                  <w:rPr>
                    <w:rFonts w:ascii="Cambria Math"/>
                  </w:rPr>
                  <m:t>x</m:t>
                </m:r>
              </m:e>
              <m:sub>
                <m:r>
                  <w:rPr>
                    <w:rFonts w:ascii="Cambria Math"/>
                  </w:rPr>
                  <m:t>ij</m:t>
                </m:r>
              </m:sub>
            </m:sSub>
          </m:e>
        </m:nary>
      </m:oMath>
      <w:r w:rsidRPr="00CB3320">
        <w:rPr>
          <w:rFonts w:hint="eastAsia"/>
        </w:rPr>
        <w:t>表示投入前沿，</w:t>
      </w:r>
      <m:oMath>
        <m:sSub>
          <m:sSubPr>
            <m:ctrlPr>
              <w:rPr>
                <w:rFonts w:ascii="Cambria Math" w:hAnsi="Cambria Math"/>
                <w:i/>
              </w:rPr>
            </m:ctrlPr>
          </m:sSubPr>
          <m:e>
            <m:r>
              <w:rPr>
                <w:rFonts w:ascii="Cambria Math"/>
              </w:rPr>
              <m:t>x</m:t>
            </m:r>
          </m:e>
          <m:sub>
            <m:r>
              <w:rPr>
                <w:rFonts w:ascii="Cambria Math"/>
              </w:rPr>
              <m:t>ik</m:t>
            </m:r>
          </m:sub>
        </m:sSub>
      </m:oMath>
      <w:r w:rsidRPr="00CB3320">
        <w:rPr>
          <w:rFonts w:hint="eastAsia"/>
        </w:rPr>
        <w:t>为决策单元</w:t>
      </w:r>
      <w:r w:rsidRPr="00CB3320">
        <w:rPr>
          <w:rFonts w:hint="eastAsia"/>
        </w:rPr>
        <w:t>k</w:t>
      </w:r>
      <w:r w:rsidRPr="00CB3320">
        <w:rPr>
          <w:rFonts w:hint="eastAsia"/>
        </w:rPr>
        <w:t>的第</w:t>
      </w:r>
      <w:proofErr w:type="spellStart"/>
      <w:r w:rsidRPr="00CB3320">
        <w:rPr>
          <w:rFonts w:hint="eastAsia"/>
        </w:rPr>
        <w:t>i</w:t>
      </w:r>
      <w:proofErr w:type="spellEnd"/>
      <w:proofErr w:type="gramStart"/>
      <w:r w:rsidRPr="00CB3320">
        <w:rPr>
          <w:rFonts w:hint="eastAsia"/>
        </w:rPr>
        <w:t>个</w:t>
      </w:r>
      <w:proofErr w:type="gramEnd"/>
      <w:r w:rsidRPr="00CB3320">
        <w:rPr>
          <w:rFonts w:hint="eastAsia"/>
        </w:rPr>
        <w:t>投入品的实际投入，</w:t>
      </w:r>
      <m:oMath>
        <m:nary>
          <m:naryPr>
            <m:chr m:val="∑"/>
            <m:ctrlPr>
              <w:rPr>
                <w:rFonts w:ascii="Cambria Math" w:hAnsi="Cambria Math"/>
                <w:i/>
              </w:rPr>
            </m:ctrlPr>
          </m:naryPr>
          <m:sub>
            <m:r>
              <w:rPr>
                <w:rFonts w:ascii="Cambria Math"/>
              </w:rPr>
              <m:t>j=1</m:t>
            </m:r>
          </m:sub>
          <m:sup>
            <m:r>
              <w:rPr>
                <w:rFonts w:ascii="Cambria Math"/>
              </w:rPr>
              <m:t>K</m:t>
            </m:r>
          </m:sup>
          <m:e>
            <m:sSub>
              <m:sSubPr>
                <m:ctrlPr>
                  <w:rPr>
                    <w:rFonts w:ascii="Cambria Math" w:hAnsi="Cambria Math"/>
                    <w:i/>
                  </w:rPr>
                </m:ctrlPr>
              </m:sSubPr>
              <m:e>
                <m:r>
                  <w:rPr>
                    <w:rFonts w:ascii="Cambria Math"/>
                  </w:rPr>
                  <m:t>λ</m:t>
                </m:r>
              </m:e>
              <m:sub>
                <m:r>
                  <w:rPr>
                    <w:rFonts w:ascii="Cambria Math"/>
                  </w:rPr>
                  <m:t>j</m:t>
                </m:r>
              </m:sub>
            </m:sSub>
            <m:sSub>
              <m:sSubPr>
                <m:ctrlPr>
                  <w:rPr>
                    <w:rFonts w:ascii="Cambria Math" w:hAnsi="Cambria Math"/>
                    <w:i/>
                  </w:rPr>
                </m:ctrlPr>
              </m:sSubPr>
              <m:e>
                <m:r>
                  <w:rPr>
                    <w:rFonts w:ascii="Cambria Math"/>
                  </w:rPr>
                  <m:t>y</m:t>
                </m:r>
              </m:e>
              <m:sub>
                <m:r>
                  <w:rPr>
                    <w:rFonts w:ascii="Cambria Math"/>
                  </w:rPr>
                  <m:t>j</m:t>
                </m:r>
              </m:sub>
            </m:sSub>
          </m:e>
        </m:nary>
      </m:oMath>
      <w:r w:rsidRPr="00CB3320">
        <w:rPr>
          <w:rFonts w:hint="eastAsia"/>
        </w:rPr>
        <w:t>为产出前沿，</w:t>
      </w:r>
      <m:oMath>
        <m:sSub>
          <m:sSubPr>
            <m:ctrlPr>
              <w:rPr>
                <w:rFonts w:ascii="Cambria Math" w:hAnsi="Cambria Math"/>
                <w:i/>
              </w:rPr>
            </m:ctrlPr>
          </m:sSubPr>
          <m:e>
            <m:r>
              <w:rPr>
                <w:rFonts w:ascii="Cambria Math"/>
              </w:rPr>
              <m:t>y</m:t>
            </m:r>
          </m:e>
          <m:sub>
            <m:r>
              <w:rPr>
                <w:rFonts w:ascii="Cambria Math"/>
              </w:rPr>
              <m:t>k</m:t>
            </m:r>
          </m:sub>
        </m:sSub>
      </m:oMath>
      <w:r w:rsidRPr="00CB3320">
        <w:rPr>
          <w:rFonts w:hint="eastAsia"/>
        </w:rPr>
        <w:t>为实际产出。</w:t>
      </w:r>
    </w:p>
    <w:p w14:paraId="7086B71B" w14:textId="77777777" w:rsidR="00F13EAB" w:rsidRPr="00CB3320" w:rsidRDefault="00F13EAB" w:rsidP="00BD1E69">
      <w:pPr>
        <w:ind w:firstLine="420"/>
      </w:pPr>
      <w:r w:rsidRPr="00CB3320">
        <w:rPr>
          <w:rFonts w:hint="eastAsia"/>
        </w:rPr>
        <w:t>然而，基础的</w:t>
      </w:r>
      <w:r w:rsidRPr="00CB3320">
        <w:rPr>
          <w:rFonts w:hint="eastAsia"/>
        </w:rPr>
        <w:t>D</w:t>
      </w:r>
      <w:r w:rsidRPr="00CB3320">
        <w:t>EA</w:t>
      </w:r>
      <w:r w:rsidRPr="00CB3320">
        <w:rPr>
          <w:rFonts w:hint="eastAsia"/>
        </w:rPr>
        <w:t>模型只能够衡量截面数据的效率变化，然而无法刻画技术进步对效率产生的影响。因此，我们需要引入</w:t>
      </w:r>
      <w:r w:rsidRPr="00CB3320">
        <w:rPr>
          <w:rFonts w:hint="eastAsia"/>
        </w:rPr>
        <w:t>Malmquist</w:t>
      </w:r>
      <w:r w:rsidRPr="00CB3320">
        <w:rPr>
          <w:rFonts w:hint="eastAsia"/>
        </w:rPr>
        <w:t>生产率指数</w:t>
      </w:r>
      <w:r w:rsidRPr="00CB3320">
        <w:fldChar w:fldCharType="begin" w:fldLock="1"/>
      </w:r>
      <w:r w:rsidRPr="00CB3320">
        <w:instrText>ADDIN CSL_CITATION {"citationItems":[{"id":"ITEM-1","itemData":{"ISSN":"00028282","abstract":"This paper analyzes productivity growth in 17 OECD countries over the period 1979-1988. A nonparametric programming method (activity analysis) is used to compute Malmquist productivity indexes. These are decomposed into two component measures, namely, technical change and efficiency change. We find that U.S. productivity growth is slightly higher than average, all of which is due to technical change. Japan's productivity growth is the highest in the sample, with almost half due to efficiency change.","author":[{"dropping-particle":"","family":"Färe","given":"Rolf","non-dropping-particle":"","parse-names":false,"suffix":""},{"dropping-particle":"","family":"Grosskopf","given":"Shawna","non-dropping-particle":"","parse-names":false,"suffix":""},{"dropping-particle":"","family":"Norris","given":"Mary","non-dropping-particle":"","parse-names":false,"suffix":""},{"dropping-particle":"","family":"Zhang","given":"Zhongyang","non-dropping-particle":"","parse-names":false,"suffix":""}],"container-title":"The American Economic Review","id":"ITEM-1","issue":"1","issued":{"date-parts":[["1994","6"]]},"page":"66-83","publisher":"American Economic Association","title":"Product</w:instrText>
      </w:r>
      <w:r w:rsidRPr="00CB3320">
        <w:rPr>
          <w:rFonts w:hint="eastAsia"/>
        </w:rPr>
        <w:instrText>ivity Growth, Technical Progress, and Efficiency Change in Industrialized Countries","type":"article-journal","volume":"84"},"uris":["http://www.mendeley.com/documents/?uuid=6380da9b-82fd-4f78-8e08-2d7a1b4032ff"]}],"mendeley":{"formattedCitation":"(Färe</w:instrText>
      </w:r>
      <w:r w:rsidRPr="00CB3320">
        <w:rPr>
          <w:rFonts w:hint="eastAsia"/>
        </w:rPr>
        <w:instrText>等</w:instrText>
      </w:r>
      <w:r w:rsidRPr="00CB3320">
        <w:rPr>
          <w:rFonts w:hint="eastAsia"/>
        </w:rPr>
        <w:instrText>, 1994)","manualFormatting":"(Färe et al</w:instrText>
      </w:r>
      <w:r w:rsidRPr="00CB3320">
        <w:rPr>
          <w:rFonts w:hint="eastAsia"/>
        </w:rPr>
        <w:instrText>，</w:instrText>
      </w:r>
      <w:r w:rsidRPr="00CB3320">
        <w:rPr>
          <w:rFonts w:hint="eastAsia"/>
        </w:rPr>
        <w:instrText>1994)","plainTextFormattedCitation":"(Färe</w:instrText>
      </w:r>
      <w:r w:rsidRPr="00CB3320">
        <w:rPr>
          <w:rFonts w:hint="eastAsia"/>
        </w:rPr>
        <w:instrText>等</w:instrText>
      </w:r>
      <w:r w:rsidRPr="00CB3320">
        <w:rPr>
          <w:rFonts w:hint="eastAsia"/>
        </w:rPr>
        <w:instrText>, 1994)","previouslyFormattedCitation":"(Färe</w:instrText>
      </w:r>
      <w:r w:rsidRPr="00CB3320">
        <w:rPr>
          <w:rFonts w:hint="eastAsia"/>
        </w:rPr>
        <w:instrText>等</w:instrText>
      </w:r>
      <w:r w:rsidRPr="00CB3320">
        <w:rPr>
          <w:rFonts w:hint="eastAsia"/>
        </w:rPr>
        <w:instrText>, 1994)"},"properties":{"noteIndex":0},"schema":"https://github.com/citation-style-language/schema/raw/master/csl-citation.jso</w:instrText>
      </w:r>
      <w:r w:rsidRPr="00CB3320">
        <w:instrText>n"}</w:instrText>
      </w:r>
      <w:r w:rsidRPr="00CB3320">
        <w:fldChar w:fldCharType="separate"/>
      </w:r>
      <w:r w:rsidRPr="00CB3320">
        <w:rPr>
          <w:rFonts w:hint="eastAsia"/>
          <w:noProof/>
        </w:rPr>
        <w:t>(Färe et al</w:t>
      </w:r>
      <w:r w:rsidRPr="00CB3320">
        <w:rPr>
          <w:rFonts w:hint="eastAsia"/>
          <w:noProof/>
        </w:rPr>
        <w:t>，</w:t>
      </w:r>
      <w:r w:rsidRPr="00CB3320">
        <w:rPr>
          <w:rFonts w:hint="eastAsia"/>
          <w:noProof/>
        </w:rPr>
        <w:t>1994)</w:t>
      </w:r>
      <w:r w:rsidRPr="00CB3320">
        <w:fldChar w:fldCharType="end"/>
      </w:r>
      <w:r w:rsidRPr="00CB3320">
        <w:rPr>
          <w:rFonts w:hint="eastAsia"/>
        </w:rPr>
        <w:t>的方法，对我们计算的效率进行再计算。在比较两期</w:t>
      </w:r>
      <w:r w:rsidRPr="00CB3320">
        <w:rPr>
          <w:rFonts w:hint="eastAsia"/>
        </w:rPr>
        <w:t>T</w:t>
      </w:r>
      <w:r w:rsidRPr="00CB3320">
        <w:t>FP</w:t>
      </w:r>
      <w:r w:rsidRPr="00CB3320">
        <w:rPr>
          <w:rFonts w:hint="eastAsia"/>
        </w:rPr>
        <w:t>变化情况的时候，可以以</w:t>
      </w:r>
      <w:r w:rsidRPr="00CB3320">
        <w:rPr>
          <w:rFonts w:hint="eastAsia"/>
        </w:rPr>
        <w:t>t</w:t>
      </w:r>
      <w:r w:rsidRPr="00CB3320">
        <w:rPr>
          <w:rFonts w:hint="eastAsia"/>
        </w:rPr>
        <w:t>期或</w:t>
      </w:r>
      <w:r w:rsidRPr="00CB3320">
        <w:rPr>
          <w:rFonts w:hint="eastAsia"/>
        </w:rPr>
        <w:t>t+1</w:t>
      </w:r>
      <w:r w:rsidRPr="00CB3320">
        <w:rPr>
          <w:rFonts w:hint="eastAsia"/>
        </w:rPr>
        <w:t>期为前沿进行测算。由于</w:t>
      </w:r>
      <w:r w:rsidRPr="00CB3320">
        <w:rPr>
          <w:rFonts w:hint="eastAsia"/>
        </w:rPr>
        <w:t>t</w:t>
      </w:r>
      <w:r w:rsidRPr="00CB3320">
        <w:rPr>
          <w:rFonts w:hint="eastAsia"/>
        </w:rPr>
        <w:t>期和</w:t>
      </w:r>
      <w:r w:rsidRPr="00CB3320">
        <w:rPr>
          <w:rFonts w:hint="eastAsia"/>
        </w:rPr>
        <w:t>t+1</w:t>
      </w:r>
      <w:r w:rsidRPr="00CB3320">
        <w:rPr>
          <w:rFonts w:hint="eastAsia"/>
        </w:rPr>
        <w:t>期的生产率指数在经济意义上是对称的，根据</w:t>
      </w:r>
      <w:r w:rsidRPr="00CB3320">
        <w:rPr>
          <w:rFonts w:hint="eastAsia"/>
        </w:rPr>
        <w:t>Fisher</w:t>
      </w:r>
      <w:r w:rsidRPr="00CB3320">
        <w:rPr>
          <w:rFonts w:hint="eastAsia"/>
        </w:rPr>
        <w:t>的“理想”指数，它们的几何平均数被定义为综合</w:t>
      </w:r>
      <w:r w:rsidRPr="00CB3320">
        <w:rPr>
          <w:rFonts w:hint="eastAsia"/>
        </w:rPr>
        <w:t>Malmquist</w:t>
      </w:r>
      <w:r w:rsidRPr="00CB3320">
        <w:rPr>
          <w:rFonts w:hint="eastAsia"/>
        </w:rPr>
        <w:t>生产率指数：</w:t>
      </w:r>
    </w:p>
    <w:p w14:paraId="7B2B87C2" w14:textId="77777777" w:rsidR="00F13EAB" w:rsidRPr="00CB3320" w:rsidRDefault="00F13EAB" w:rsidP="00C422C0">
      <w:pPr>
        <w:pStyle w:val="a3"/>
      </w:pPr>
      <w:r w:rsidRPr="00CB3320">
        <w:tab/>
      </w:r>
      <m:oMath>
        <m:sSub>
          <m:sSubPr>
            <m:ctrlPr>
              <w:rPr>
                <w:rFonts w:ascii="Cambria Math" w:hAnsi="Cambria Math"/>
                <w:i/>
              </w:rPr>
            </m:ctrlPr>
          </m:sSubPr>
          <m:e>
            <m:r>
              <w:rPr>
                <w:rFonts w:ascii="Cambria Math" w:hAnsi="Cambria Math"/>
              </w:rPr>
              <m:t>M</m:t>
            </m:r>
            <m:r>
              <m:rPr>
                <m:sty m:val="p"/>
              </m:rPr>
              <w:rPr>
                <w:rFonts w:ascii="Cambria Math" w:hAnsi="Cambria Math"/>
              </w:rPr>
              <m:t>(</m:t>
            </m:r>
            <m:sSup>
              <m:sSupPr>
                <m:ctrlPr>
                  <w:rPr>
                    <w:rFonts w:ascii="Cambria Math" w:hAnsi="Cambria Math" w:cs="宋体"/>
                    <w:szCs w:val="24"/>
                  </w:rPr>
                </m:ctrlPr>
              </m:sSupPr>
              <m:e>
                <m:r>
                  <w:rPr>
                    <w:rFonts w:ascii="Cambria Math" w:hAnsi="Cambria Math" w:hint="eastAsia"/>
                  </w:rPr>
                  <m:t>X</m:t>
                </m:r>
              </m:e>
              <m:sup>
                <m:r>
                  <w:rPr>
                    <w:rFonts w:ascii="Cambria Math" w:hAnsi="Cambria Math"/>
                  </w:rPr>
                  <m:t>t</m:t>
                </m:r>
                <m:r>
                  <m:rPr>
                    <m:sty m:val="p"/>
                  </m:rPr>
                  <w:rPr>
                    <w:rFonts w:ascii="Cambria Math" w:hAnsi="Cambria Math"/>
                  </w:rPr>
                  <m:t>+1</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r>
                  <m:rPr>
                    <m:sty m:val="p"/>
                  </m:rPr>
                  <w:rPr>
                    <w:rFonts w:ascii="Cambria Math" w:hAnsi="Cambria Math"/>
                  </w:rPr>
                  <m:t>+1</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X</m:t>
                </m:r>
              </m:e>
              <m:sup>
                <m:r>
                  <w:rPr>
                    <w:rFonts w:ascii="Cambria Math" w:hAnsi="Cambria Math"/>
                  </w:rPr>
                  <m:t>t</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sup>
            </m:sSup>
            <m:r>
              <m:rPr>
                <m:sty m:val="p"/>
              </m:rPr>
              <w:rPr>
                <w:rFonts w:ascii="Cambria Math" w:hAnsi="Cambria Math"/>
              </w:rPr>
              <m:t>)</m:t>
            </m:r>
          </m:e>
          <m:sub>
            <m:r>
              <w:rPr>
                <w:rFonts w:ascii="Cambria Math" w:hAnsi="Cambria Math"/>
              </w:rPr>
              <m:t>k</m:t>
            </m:r>
          </m:sub>
        </m:sSub>
        <m:r>
          <m:rPr>
            <m:sty m:val="p"/>
          </m:rPr>
          <w:rPr>
            <w:rFonts w:ascii="Cambria Math" w:hAnsi="Cambria Math"/>
          </w:rPr>
          <m:t>=</m:t>
        </m:r>
        <m:sSup>
          <m:sSupPr>
            <m:ctrlPr>
              <w:rPr>
                <w:rFonts w:ascii="Cambria Math" w:hAnsi="Cambria Math" w:cs="宋体"/>
                <w:szCs w:val="24"/>
              </w:rPr>
            </m:ctrlPr>
          </m:sSupPr>
          <m:e>
            <m:d>
              <m:dPr>
                <m:begChr m:val="{"/>
                <m:endChr m:val="}"/>
                <m:ctrlPr>
                  <w:rPr>
                    <w:rFonts w:ascii="Cambria Math" w:hAnsi="Cambria Math" w:cs="宋体"/>
                    <w:szCs w:val="24"/>
                  </w:rPr>
                </m:ctrlPr>
              </m:dPr>
              <m:e>
                <m:f>
                  <m:fPr>
                    <m:ctrlPr>
                      <w:rPr>
                        <w:rFonts w:ascii="Cambria Math" w:hAnsi="Cambria Math" w:cs="宋体"/>
                        <w:szCs w:val="24"/>
                      </w:rPr>
                    </m:ctrlPr>
                  </m:fPr>
                  <m:num>
                    <m:sSub>
                      <m:sSubPr>
                        <m:ctrlPr>
                          <w:rPr>
                            <w:rFonts w:ascii="Cambria Math" w:hAnsi="Cambria Math" w:cs="宋体"/>
                            <w:szCs w:val="24"/>
                          </w:rPr>
                        </m:ctrlPr>
                      </m:sSubPr>
                      <m:e>
                        <m:sSup>
                          <m:sSupPr>
                            <m:ctrlPr>
                              <w:rPr>
                                <w:rFonts w:ascii="Cambria Math" w:hAnsi="Cambria Math" w:cs="宋体"/>
                                <w:szCs w:val="24"/>
                              </w:rPr>
                            </m:ctrlPr>
                          </m:sSupPr>
                          <m:e>
                            <m:r>
                              <w:rPr>
                                <w:rFonts w:ascii="Cambria Math" w:hAnsi="Cambria Math"/>
                              </w:rPr>
                              <m:t>D</m:t>
                            </m:r>
                          </m:e>
                          <m:sup>
                            <m:r>
                              <w:rPr>
                                <w:rFonts w:ascii="Cambria Math" w:hAnsi="Cambria Math"/>
                              </w:rPr>
                              <m:t>t</m:t>
                            </m:r>
                            <m:r>
                              <m:rPr>
                                <m:sty m:val="p"/>
                              </m:rPr>
                              <w:rPr>
                                <w:rFonts w:ascii="Cambria Math" w:hAnsi="Cambria Math"/>
                              </w:rPr>
                              <m:t>+1</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rPr>
                                  <m:t>t</m:t>
                                </m:r>
                                <m:r>
                                  <m:rPr>
                                    <m:sty m:val="p"/>
                                  </m:rPr>
                                  <w:rPr>
                                    <w:rFonts w:ascii="Cambria Math" w:hAnsi="Cambria Math"/>
                                  </w:rPr>
                                  <m:t>+1</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r>
                                  <m:rPr>
                                    <m:sty m:val="p"/>
                                  </m:rPr>
                                  <w:rPr>
                                    <w:rFonts w:ascii="Cambria Math" w:hAnsi="Cambria Math"/>
                                  </w:rPr>
                                  <m:t>+1</m:t>
                                </m:r>
                              </m:sup>
                            </m:sSup>
                          </m:e>
                        </m:d>
                      </m:e>
                      <m:sub>
                        <m:r>
                          <w:rPr>
                            <w:rFonts w:ascii="Cambria Math" w:hAnsi="Cambria Math" w:cs="宋体"/>
                            <w:szCs w:val="24"/>
                          </w:rPr>
                          <m:t>k</m:t>
                        </m:r>
                      </m:sub>
                    </m:sSub>
                  </m:num>
                  <m:den>
                    <m:sSub>
                      <m:sSubPr>
                        <m:ctrlPr>
                          <w:rPr>
                            <w:rFonts w:ascii="Cambria Math" w:hAnsi="Cambria Math" w:cs="宋体"/>
                            <w:i/>
                            <w:szCs w:val="24"/>
                          </w:rPr>
                        </m:ctrlPr>
                      </m:sSubPr>
                      <m:e>
                        <m:sSup>
                          <m:sSupPr>
                            <m:ctrlPr>
                              <w:rPr>
                                <w:rFonts w:ascii="Cambria Math" w:hAnsi="Cambria Math" w:cs="宋体"/>
                                <w:szCs w:val="24"/>
                              </w:rPr>
                            </m:ctrlPr>
                          </m:sSupPr>
                          <m:e>
                            <m:r>
                              <w:rPr>
                                <w:rFonts w:ascii="Cambria Math" w:hAnsi="Cambria Math"/>
                              </w:rPr>
                              <m:t>D</m:t>
                            </m:r>
                          </m:e>
                          <m:sup>
                            <m:r>
                              <w:rPr>
                                <w:rFonts w:ascii="Cambria Math" w:hAnsi="Cambria Math"/>
                              </w:rPr>
                              <m:t>t</m:t>
                            </m:r>
                            <m:r>
                              <m:rPr>
                                <m:sty m:val="p"/>
                              </m:rPr>
                              <w:rPr>
                                <w:rFonts w:ascii="Cambria Math" w:hAnsi="Cambria Math"/>
                              </w:rPr>
                              <m:t>+1</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rPr>
                                  <m:t>t</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sup>
                            </m:sSup>
                          </m:e>
                        </m:d>
                      </m:e>
                      <m:sub>
                        <m:r>
                          <w:rPr>
                            <w:rFonts w:ascii="Cambria Math" w:hAnsi="Cambria Math" w:cs="宋体"/>
                            <w:szCs w:val="24"/>
                          </w:rPr>
                          <m:t>k</m:t>
                        </m:r>
                      </m:sub>
                    </m:sSub>
                  </m:den>
                </m:f>
                <m:r>
                  <m:rPr>
                    <m:sty m:val="p"/>
                  </m:rPr>
                  <w:rPr>
                    <w:rFonts w:ascii="Cambria Math" w:hAnsi="Cambria Math"/>
                  </w:rPr>
                  <m:t>×</m:t>
                </m:r>
                <m:f>
                  <m:fPr>
                    <m:ctrlPr>
                      <w:rPr>
                        <w:rFonts w:ascii="Cambria Math" w:hAnsi="Cambria Math" w:cs="宋体"/>
                        <w:szCs w:val="24"/>
                      </w:rPr>
                    </m:ctrlPr>
                  </m:fPr>
                  <m:num>
                    <m:sSub>
                      <m:sSubPr>
                        <m:ctrlPr>
                          <w:rPr>
                            <w:rFonts w:ascii="Cambria Math" w:hAnsi="Cambria Math" w:cs="宋体"/>
                            <w:i/>
                            <w:szCs w:val="24"/>
                          </w:rPr>
                        </m:ctrlPr>
                      </m:sSubPr>
                      <m:e>
                        <m:sSup>
                          <m:sSupPr>
                            <m:ctrlPr>
                              <w:rPr>
                                <w:rFonts w:ascii="Cambria Math" w:hAnsi="Cambria Math" w:cs="宋体"/>
                                <w:szCs w:val="24"/>
                              </w:rPr>
                            </m:ctrlPr>
                          </m:sSupPr>
                          <m:e>
                            <m:r>
                              <w:rPr>
                                <w:rFonts w:ascii="Cambria Math" w:hAnsi="Cambria Math"/>
                              </w:rPr>
                              <m:t>D</m:t>
                            </m:r>
                          </m:e>
                          <m:sup>
                            <m:r>
                              <w:rPr>
                                <w:rFonts w:ascii="Cambria Math" w:hAnsi="Cambria Math"/>
                              </w:rPr>
                              <m:t>t</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rPr>
                                  <m:t>t</m:t>
                                </m:r>
                                <m:r>
                                  <m:rPr>
                                    <m:sty m:val="p"/>
                                  </m:rPr>
                                  <w:rPr>
                                    <w:rFonts w:ascii="Cambria Math" w:hAnsi="Cambria Math"/>
                                  </w:rPr>
                                  <m:t>+1</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r>
                                  <m:rPr>
                                    <m:sty m:val="p"/>
                                  </m:rPr>
                                  <w:rPr>
                                    <w:rFonts w:ascii="Cambria Math" w:hAnsi="Cambria Math"/>
                                  </w:rPr>
                                  <m:t>+1</m:t>
                                </m:r>
                              </m:sup>
                            </m:sSup>
                          </m:e>
                        </m:d>
                      </m:e>
                      <m:sub>
                        <m:r>
                          <w:rPr>
                            <w:rFonts w:ascii="Cambria Math" w:hAnsi="Cambria Math" w:cs="宋体"/>
                            <w:szCs w:val="24"/>
                          </w:rPr>
                          <m:t>k</m:t>
                        </m:r>
                      </m:sub>
                    </m:sSub>
                  </m:num>
                  <m:den>
                    <m:sSub>
                      <m:sSubPr>
                        <m:ctrlPr>
                          <w:rPr>
                            <w:rFonts w:ascii="Cambria Math" w:hAnsi="Cambria Math" w:cs="宋体"/>
                            <w:i/>
                            <w:szCs w:val="24"/>
                          </w:rPr>
                        </m:ctrlPr>
                      </m:sSubPr>
                      <m:e>
                        <m:sSup>
                          <m:sSupPr>
                            <m:ctrlPr>
                              <w:rPr>
                                <w:rFonts w:ascii="Cambria Math" w:hAnsi="Cambria Math" w:cs="宋体"/>
                                <w:szCs w:val="24"/>
                              </w:rPr>
                            </m:ctrlPr>
                          </m:sSupPr>
                          <m:e>
                            <m:r>
                              <w:rPr>
                                <w:rFonts w:ascii="Cambria Math" w:hAnsi="Cambria Math"/>
                              </w:rPr>
                              <m:t>D</m:t>
                            </m:r>
                          </m:e>
                          <m:sup>
                            <m:r>
                              <w:rPr>
                                <w:rFonts w:ascii="Cambria Math" w:hAnsi="Cambria Math"/>
                              </w:rPr>
                              <m:t>t</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rPr>
                                  <m:t>t</m:t>
                                </m:r>
                              </m:sup>
                            </m:sSup>
                            <m:r>
                              <m:rPr>
                                <m:sty m:val="p"/>
                              </m:rPr>
                              <w:rPr>
                                <w:rFonts w:ascii="Cambria Math" w:hAnsi="Cambria Math"/>
                              </w:rPr>
                              <m:t>,</m:t>
                            </m:r>
                            <m:sSup>
                              <m:sSupPr>
                                <m:ctrlPr>
                                  <w:rPr>
                                    <w:rFonts w:ascii="Cambria Math" w:hAnsi="Cambria Math" w:cs="宋体"/>
                                    <w:szCs w:val="24"/>
                                  </w:rPr>
                                </m:ctrlPr>
                              </m:sSupPr>
                              <m:e>
                                <m:r>
                                  <w:rPr>
                                    <w:rFonts w:ascii="Cambria Math" w:hAnsi="Cambria Math"/>
                                  </w:rPr>
                                  <m:t>Y</m:t>
                                </m:r>
                              </m:e>
                              <m:sup>
                                <m:r>
                                  <w:rPr>
                                    <w:rFonts w:ascii="Cambria Math" w:hAnsi="Cambria Math"/>
                                  </w:rPr>
                                  <m:t>t</m:t>
                                </m:r>
                              </m:sup>
                            </m:sSup>
                          </m:e>
                        </m:d>
                      </m:e>
                      <m:sub>
                        <m:r>
                          <w:rPr>
                            <w:rFonts w:ascii="Cambria Math" w:hAnsi="Cambria Math" w:cs="宋体"/>
                            <w:szCs w:val="24"/>
                          </w:rPr>
                          <m:t>k</m:t>
                        </m:r>
                      </m:sub>
                    </m:sSub>
                  </m:den>
                </m:f>
              </m:e>
            </m:d>
          </m:e>
          <m:sup>
            <m:r>
              <m:rPr>
                <m:sty m:val="p"/>
              </m:rPr>
              <w:rPr>
                <w:rFonts w:ascii="Cambria Math" w:hAnsi="Cambria Math"/>
              </w:rPr>
              <m:t>0.5</m:t>
            </m:r>
          </m:sup>
        </m:sSup>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Pr="00CB3320">
        <w:rPr>
          <w:noProof/>
        </w:rPr>
        <w:t>6</w:t>
      </w:r>
      <w:r w:rsidRPr="00CB3320">
        <w:rPr>
          <w:noProof/>
        </w:rPr>
        <w:fldChar w:fldCharType="end"/>
      </w:r>
      <w:r w:rsidRPr="00CB3320">
        <w:t>)</w:t>
      </w:r>
    </w:p>
    <w:p w14:paraId="50040E8B" w14:textId="77777777" w:rsidR="00F13EAB" w:rsidRPr="00CB3320" w:rsidRDefault="00F13EAB" w:rsidP="00BD1E69">
      <w:pPr>
        <w:ind w:firstLine="420"/>
      </w:pPr>
      <w:r w:rsidRPr="00CB3320">
        <w:rPr>
          <w:rFonts w:hint="eastAsia"/>
        </w:rPr>
        <w:t>其中，</w:t>
      </w:r>
      <m:oMath>
        <m:sSub>
          <m:sSubPr>
            <m:ctrlPr>
              <w:rPr>
                <w:rFonts w:ascii="Cambria Math" w:hAnsi="Cambria Math" w:cs="Times New Roman"/>
                <w:i/>
                <w:kern w:val="0"/>
                <w:szCs w:val="28"/>
              </w:rPr>
            </m:ctrlPr>
          </m:sSubPr>
          <m:e>
            <m:r>
              <w:rPr>
                <w:rFonts w:ascii="Cambria Math" w:hAnsi="Cambria Math"/>
                <w:kern w:val="0"/>
              </w:rPr>
              <m:t>M</m:t>
            </m:r>
            <m:r>
              <m:rPr>
                <m:sty m:val="p"/>
              </m:rPr>
              <w:rPr>
                <w:rFonts w:ascii="Cambria Math" w:hAnsi="Cambria Math"/>
                <w:kern w:val="0"/>
              </w:rPr>
              <m:t>(</m:t>
            </m:r>
            <m:sSup>
              <m:sSupPr>
                <m:ctrlPr>
                  <w:rPr>
                    <w:rFonts w:ascii="Cambria Math" w:hAnsi="Cambria Math" w:cs="宋体"/>
                    <w:szCs w:val="24"/>
                  </w:rPr>
                </m:ctrlPr>
              </m:sSupPr>
              <m:e>
                <m:r>
                  <w:rPr>
                    <w:rFonts w:ascii="Cambria Math" w:hAnsi="Cambria Math" w:hint="eastAsia"/>
                  </w:rPr>
                  <m:t>X</m:t>
                </m:r>
              </m:e>
              <m:sup>
                <m:r>
                  <w:rPr>
                    <w:rFonts w:ascii="Cambria Math" w:hAnsi="Cambria Math"/>
                    <w:kern w:val="0"/>
                  </w:rPr>
                  <m:t>t</m:t>
                </m:r>
                <m:r>
                  <m:rPr>
                    <m:sty m:val="p"/>
                  </m:rPr>
                  <w:rPr>
                    <w:rFonts w:ascii="Cambria Math" w:hAnsi="Cambria Math"/>
                    <w:kern w:val="0"/>
                  </w:rPr>
                  <m:t>+1</m:t>
                </m:r>
              </m:sup>
            </m:sSup>
            <m:r>
              <m:rPr>
                <m:sty m:val="p"/>
              </m:rPr>
              <w:rPr>
                <w:rFonts w:ascii="Cambria Math" w:hAnsi="Cambria Math"/>
                <w:kern w:val="0"/>
              </w:rPr>
              <m:t>,</m:t>
            </m:r>
            <m:sSup>
              <m:sSupPr>
                <m:ctrlPr>
                  <w:rPr>
                    <w:rFonts w:ascii="Cambria Math" w:hAnsi="Cambria Math" w:cs="宋体"/>
                    <w:szCs w:val="24"/>
                  </w:rPr>
                </m:ctrlPr>
              </m:sSupPr>
              <m:e>
                <m:r>
                  <w:rPr>
                    <w:rFonts w:ascii="Cambria Math" w:hAnsi="Cambria Math"/>
                  </w:rPr>
                  <m:t>Y</m:t>
                </m:r>
              </m:e>
              <m:sup>
                <m:r>
                  <w:rPr>
                    <w:rFonts w:ascii="Cambria Math" w:hAnsi="Cambria Math"/>
                    <w:kern w:val="0"/>
                  </w:rPr>
                  <m:t>t</m:t>
                </m:r>
                <m:r>
                  <m:rPr>
                    <m:sty m:val="p"/>
                  </m:rPr>
                  <w:rPr>
                    <w:rFonts w:ascii="Cambria Math" w:hAnsi="Cambria Math"/>
                    <w:kern w:val="0"/>
                  </w:rPr>
                  <m:t>+1</m:t>
                </m:r>
              </m:sup>
            </m:sSup>
            <m:r>
              <m:rPr>
                <m:sty m:val="p"/>
              </m:rPr>
              <w:rPr>
                <w:rFonts w:ascii="Cambria Math" w:hAnsi="Cambria Math"/>
                <w:kern w:val="0"/>
              </w:rPr>
              <m:t>,</m:t>
            </m:r>
            <m:sSup>
              <m:sSupPr>
                <m:ctrlPr>
                  <w:rPr>
                    <w:rFonts w:ascii="Cambria Math" w:hAnsi="Cambria Math" w:cs="宋体"/>
                    <w:szCs w:val="24"/>
                  </w:rPr>
                </m:ctrlPr>
              </m:sSupPr>
              <m:e>
                <m:r>
                  <w:rPr>
                    <w:rFonts w:ascii="Cambria Math" w:hAnsi="Cambria Math"/>
                  </w:rPr>
                  <m:t>X</m:t>
                </m:r>
              </m:e>
              <m:sup>
                <m:r>
                  <w:rPr>
                    <w:rFonts w:ascii="Cambria Math" w:hAnsi="Cambria Math"/>
                    <w:kern w:val="0"/>
                  </w:rPr>
                  <m:t>t</m:t>
                </m:r>
              </m:sup>
            </m:sSup>
            <m:r>
              <m:rPr>
                <m:sty m:val="p"/>
              </m:rPr>
              <w:rPr>
                <w:rFonts w:ascii="Cambria Math" w:hAnsi="Cambria Math"/>
                <w:kern w:val="0"/>
              </w:rPr>
              <m:t>,</m:t>
            </m:r>
            <m:sSup>
              <m:sSupPr>
                <m:ctrlPr>
                  <w:rPr>
                    <w:rFonts w:ascii="Cambria Math" w:hAnsi="Cambria Math" w:cs="宋体"/>
                    <w:szCs w:val="24"/>
                  </w:rPr>
                </m:ctrlPr>
              </m:sSupPr>
              <m:e>
                <m:r>
                  <w:rPr>
                    <w:rFonts w:ascii="Cambria Math" w:hAnsi="Cambria Math"/>
                  </w:rPr>
                  <m:t>Y</m:t>
                </m:r>
              </m:e>
              <m:sup>
                <m:r>
                  <w:rPr>
                    <w:rFonts w:ascii="Cambria Math" w:hAnsi="Cambria Math"/>
                    <w:kern w:val="0"/>
                  </w:rPr>
                  <m:t>t</m:t>
                </m:r>
              </m:sup>
            </m:sSup>
            <m:r>
              <m:rPr>
                <m:sty m:val="p"/>
              </m:rPr>
              <w:rPr>
                <w:rFonts w:ascii="Cambria Math" w:hAnsi="Cambria Math"/>
                <w:kern w:val="0"/>
              </w:rPr>
              <m:t>)</m:t>
            </m:r>
          </m:e>
          <m:sub>
            <m:r>
              <w:rPr>
                <w:rFonts w:ascii="Cambria Math" w:hAnsi="Cambria Math"/>
              </w:rPr>
              <m:t>k</m:t>
            </m:r>
          </m:sub>
        </m:sSub>
      </m:oMath>
      <w:r w:rsidRPr="00CB3320">
        <w:rPr>
          <w:rFonts w:hint="eastAsia"/>
          <w:kern w:val="0"/>
        </w:rPr>
        <w:t>表示的是决策单元</w:t>
      </w:r>
      <w:r w:rsidRPr="00CB3320">
        <w:rPr>
          <w:rFonts w:hint="eastAsia"/>
          <w:kern w:val="0"/>
        </w:rPr>
        <w:t>k</w:t>
      </w:r>
      <w:r w:rsidRPr="00CB3320">
        <w:rPr>
          <w:rFonts w:hint="eastAsia"/>
          <w:kern w:val="0"/>
        </w:rPr>
        <w:t>在</w:t>
      </w:r>
      <w:r w:rsidRPr="00CB3320">
        <w:rPr>
          <w:rFonts w:hint="eastAsia"/>
        </w:rPr>
        <w:t>t+1</w:t>
      </w:r>
      <w:r w:rsidRPr="00CB3320">
        <w:rPr>
          <w:rFonts w:hint="eastAsia"/>
        </w:rPr>
        <w:t>期相对于</w:t>
      </w:r>
      <w:r w:rsidRPr="00CB3320">
        <w:rPr>
          <w:rFonts w:hint="eastAsia"/>
        </w:rPr>
        <w:t>t</w:t>
      </w:r>
      <w:r w:rsidRPr="00CB3320">
        <w:rPr>
          <w:rFonts w:hint="eastAsia"/>
        </w:rPr>
        <w:t>期的效率变化。</w:t>
      </w:r>
      <m:oMath>
        <m:sSub>
          <m:sSubPr>
            <m:ctrlPr>
              <w:rPr>
                <w:rFonts w:ascii="Cambria Math" w:hAnsi="Cambria Math" w:cs="宋体"/>
                <w:kern w:val="0"/>
                <w:szCs w:val="24"/>
              </w:rPr>
            </m:ctrlPr>
          </m:sSubPr>
          <m:e>
            <m:sSup>
              <m:sSupPr>
                <m:ctrlPr>
                  <w:rPr>
                    <w:rFonts w:ascii="Cambria Math" w:hAnsi="Cambria Math" w:cs="宋体"/>
                    <w:szCs w:val="24"/>
                  </w:rPr>
                </m:ctrlPr>
              </m:sSupPr>
              <m:e>
                <m:r>
                  <w:rPr>
                    <w:rFonts w:ascii="Cambria Math" w:hAnsi="Cambria Math"/>
                    <w:kern w:val="0"/>
                  </w:rPr>
                  <m:t>D</m:t>
                </m:r>
              </m:e>
              <m:sup>
                <m:r>
                  <w:rPr>
                    <w:rFonts w:ascii="Cambria Math" w:hAnsi="Cambria Math"/>
                    <w:kern w:val="0"/>
                  </w:rPr>
                  <m:t>t</m:t>
                </m:r>
                <m:r>
                  <m:rPr>
                    <m:sty m:val="p"/>
                  </m:rPr>
                  <w:rPr>
                    <w:rFonts w:ascii="Cambria Math" w:hAnsi="Cambria Math"/>
                    <w:kern w:val="0"/>
                  </w:rPr>
                  <m:t>+1</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kern w:val="0"/>
                      </w:rPr>
                      <m:t>t</m:t>
                    </m:r>
                    <m:r>
                      <m:rPr>
                        <m:sty m:val="p"/>
                      </m:rPr>
                      <w:rPr>
                        <w:rFonts w:ascii="Cambria Math" w:hAnsi="Cambria Math"/>
                        <w:kern w:val="0"/>
                      </w:rPr>
                      <m:t>+1</m:t>
                    </m:r>
                  </m:sup>
                </m:sSup>
                <m:r>
                  <m:rPr>
                    <m:sty m:val="p"/>
                  </m:rPr>
                  <w:rPr>
                    <w:rFonts w:ascii="Cambria Math" w:hAnsi="Cambria Math"/>
                    <w:kern w:val="0"/>
                  </w:rPr>
                  <m:t>,</m:t>
                </m:r>
                <m:sSup>
                  <m:sSupPr>
                    <m:ctrlPr>
                      <w:rPr>
                        <w:rFonts w:ascii="Cambria Math" w:hAnsi="Cambria Math" w:cs="宋体"/>
                        <w:szCs w:val="24"/>
                      </w:rPr>
                    </m:ctrlPr>
                  </m:sSupPr>
                  <m:e>
                    <m:r>
                      <w:rPr>
                        <w:rFonts w:ascii="Cambria Math" w:hAnsi="Cambria Math"/>
                      </w:rPr>
                      <m:t>Y</m:t>
                    </m:r>
                  </m:e>
                  <m:sup>
                    <m:r>
                      <w:rPr>
                        <w:rFonts w:ascii="Cambria Math" w:hAnsi="Cambria Math"/>
                        <w:kern w:val="0"/>
                      </w:rPr>
                      <m:t>t</m:t>
                    </m:r>
                    <m:r>
                      <m:rPr>
                        <m:sty m:val="p"/>
                      </m:rPr>
                      <w:rPr>
                        <w:rFonts w:ascii="Cambria Math" w:hAnsi="Cambria Math"/>
                        <w:kern w:val="0"/>
                      </w:rPr>
                      <m:t>+1</m:t>
                    </m:r>
                  </m:sup>
                </m:sSup>
              </m:e>
            </m:d>
          </m:e>
          <m:sub>
            <m:r>
              <w:rPr>
                <w:rFonts w:ascii="Cambria Math" w:hAnsi="Cambria Math" w:cs="宋体"/>
                <w:szCs w:val="24"/>
              </w:rPr>
              <m:t>k</m:t>
            </m:r>
          </m:sub>
        </m:sSub>
      </m:oMath>
      <w:r w:rsidRPr="00CB3320">
        <w:rPr>
          <w:rFonts w:hint="eastAsia"/>
          <w:kern w:val="0"/>
          <w:szCs w:val="24"/>
        </w:rPr>
        <w:t>表示以</w:t>
      </w:r>
      <w:r w:rsidRPr="00CB3320">
        <w:rPr>
          <w:rFonts w:hint="eastAsia"/>
        </w:rPr>
        <w:t>t+1</w:t>
      </w:r>
      <w:r w:rsidRPr="00CB3320">
        <w:rPr>
          <w:rFonts w:hint="eastAsia"/>
        </w:rPr>
        <w:t>期为基准测算的</w:t>
      </w:r>
      <w:r w:rsidRPr="00CB3320">
        <w:rPr>
          <w:rFonts w:hint="eastAsia"/>
          <w:kern w:val="0"/>
        </w:rPr>
        <w:t>决策单元</w:t>
      </w:r>
      <w:r w:rsidRPr="00CB3320">
        <w:rPr>
          <w:rFonts w:hint="eastAsia"/>
          <w:kern w:val="0"/>
        </w:rPr>
        <w:t>k</w:t>
      </w:r>
      <w:r w:rsidRPr="00CB3320">
        <w:rPr>
          <w:rFonts w:hint="eastAsia"/>
          <w:kern w:val="0"/>
        </w:rPr>
        <w:t>在</w:t>
      </w:r>
      <w:r w:rsidRPr="00CB3320">
        <w:rPr>
          <w:rFonts w:hint="eastAsia"/>
        </w:rPr>
        <w:t>t+1</w:t>
      </w:r>
      <w:r w:rsidRPr="00CB3320">
        <w:rPr>
          <w:rFonts w:hint="eastAsia"/>
        </w:rPr>
        <w:t>期</w:t>
      </w:r>
      <w:r w:rsidRPr="00CB3320">
        <w:rPr>
          <w:rFonts w:hint="eastAsia"/>
          <w:kern w:val="0"/>
        </w:rPr>
        <w:t>的效率值；</w:t>
      </w:r>
      <m:oMath>
        <m:sSub>
          <m:sSubPr>
            <m:ctrlPr>
              <w:rPr>
                <w:rFonts w:ascii="Cambria Math" w:hAnsi="Cambria Math" w:cs="宋体"/>
                <w:i/>
                <w:kern w:val="0"/>
                <w:szCs w:val="24"/>
              </w:rPr>
            </m:ctrlPr>
          </m:sSubPr>
          <m:e>
            <m:sSup>
              <m:sSupPr>
                <m:ctrlPr>
                  <w:rPr>
                    <w:rFonts w:ascii="Cambria Math" w:hAnsi="Cambria Math" w:cs="宋体"/>
                    <w:szCs w:val="24"/>
                  </w:rPr>
                </m:ctrlPr>
              </m:sSupPr>
              <m:e>
                <m:r>
                  <w:rPr>
                    <w:rFonts w:ascii="Cambria Math" w:hAnsi="Cambria Math"/>
                    <w:kern w:val="0"/>
                  </w:rPr>
                  <m:t>D</m:t>
                </m:r>
              </m:e>
              <m:sup>
                <m:r>
                  <w:rPr>
                    <w:rFonts w:ascii="Cambria Math" w:hAnsi="Cambria Math"/>
                    <w:kern w:val="0"/>
                  </w:rPr>
                  <m:t>t</m:t>
                </m:r>
                <m:r>
                  <m:rPr>
                    <m:sty m:val="p"/>
                  </m:rPr>
                  <w:rPr>
                    <w:rFonts w:ascii="Cambria Math" w:hAnsi="Cambria Math"/>
                    <w:kern w:val="0"/>
                  </w:rPr>
                  <m:t>+1</m:t>
                </m:r>
              </m:sup>
            </m:sSup>
            <m:d>
              <m:dPr>
                <m:ctrlPr>
                  <w:rPr>
                    <w:rFonts w:ascii="Cambria Math" w:hAnsi="Cambria Math" w:cs="宋体"/>
                    <w:szCs w:val="24"/>
                  </w:rPr>
                </m:ctrlPr>
              </m:dPr>
              <m:e>
                <m:sSup>
                  <m:sSupPr>
                    <m:ctrlPr>
                      <w:rPr>
                        <w:rFonts w:ascii="Cambria Math" w:hAnsi="Cambria Math" w:cs="宋体"/>
                        <w:szCs w:val="24"/>
                      </w:rPr>
                    </m:ctrlPr>
                  </m:sSupPr>
                  <m:e>
                    <m:r>
                      <w:rPr>
                        <w:rFonts w:ascii="Cambria Math" w:hAnsi="Cambria Math"/>
                      </w:rPr>
                      <m:t>X</m:t>
                    </m:r>
                  </m:e>
                  <m:sup>
                    <m:r>
                      <w:rPr>
                        <w:rFonts w:ascii="Cambria Math" w:hAnsi="Cambria Math"/>
                        <w:kern w:val="0"/>
                      </w:rPr>
                      <m:t>t</m:t>
                    </m:r>
                  </m:sup>
                </m:sSup>
                <m:r>
                  <m:rPr>
                    <m:sty m:val="p"/>
                  </m:rPr>
                  <w:rPr>
                    <w:rFonts w:ascii="Cambria Math" w:hAnsi="Cambria Math"/>
                    <w:kern w:val="0"/>
                  </w:rPr>
                  <m:t>,</m:t>
                </m:r>
                <m:sSup>
                  <m:sSupPr>
                    <m:ctrlPr>
                      <w:rPr>
                        <w:rFonts w:ascii="Cambria Math" w:hAnsi="Cambria Math" w:cs="宋体"/>
                        <w:szCs w:val="24"/>
                      </w:rPr>
                    </m:ctrlPr>
                  </m:sSupPr>
                  <m:e>
                    <m:r>
                      <w:rPr>
                        <w:rFonts w:ascii="Cambria Math" w:hAnsi="Cambria Math"/>
                      </w:rPr>
                      <m:t>Y</m:t>
                    </m:r>
                  </m:e>
                  <m:sup>
                    <m:r>
                      <w:rPr>
                        <w:rFonts w:ascii="Cambria Math" w:hAnsi="Cambria Math"/>
                        <w:kern w:val="0"/>
                      </w:rPr>
                      <m:t>t</m:t>
                    </m:r>
                  </m:sup>
                </m:sSup>
              </m:e>
            </m:d>
          </m:e>
          <m:sub>
            <m:r>
              <w:rPr>
                <w:rFonts w:ascii="Cambria Math" w:hAnsi="Cambria Math" w:cs="宋体"/>
                <w:szCs w:val="24"/>
              </w:rPr>
              <m:t>k</m:t>
            </m:r>
          </m:sub>
        </m:sSub>
      </m:oMath>
      <w:r w:rsidRPr="00CB3320">
        <w:rPr>
          <w:rFonts w:hint="eastAsia"/>
          <w:kern w:val="0"/>
          <w:szCs w:val="24"/>
        </w:rPr>
        <w:t>表示以</w:t>
      </w:r>
      <w:r w:rsidRPr="00CB3320">
        <w:rPr>
          <w:rFonts w:hint="eastAsia"/>
        </w:rPr>
        <w:t>t+1</w:t>
      </w:r>
      <w:r w:rsidRPr="00CB3320">
        <w:rPr>
          <w:rFonts w:hint="eastAsia"/>
        </w:rPr>
        <w:t>期为基准测算的</w:t>
      </w:r>
      <w:r w:rsidRPr="00CB3320">
        <w:rPr>
          <w:rFonts w:hint="eastAsia"/>
          <w:kern w:val="0"/>
        </w:rPr>
        <w:t>决策单元</w:t>
      </w:r>
      <w:r w:rsidRPr="00CB3320">
        <w:rPr>
          <w:rFonts w:hint="eastAsia"/>
          <w:kern w:val="0"/>
        </w:rPr>
        <w:t>k</w:t>
      </w:r>
      <w:r w:rsidRPr="00CB3320">
        <w:rPr>
          <w:rFonts w:hint="eastAsia"/>
          <w:kern w:val="0"/>
        </w:rPr>
        <w:t>在</w:t>
      </w:r>
      <w:r w:rsidRPr="00CB3320">
        <w:rPr>
          <w:rFonts w:hint="eastAsia"/>
        </w:rPr>
        <w:t>t</w:t>
      </w:r>
      <w:r w:rsidRPr="00CB3320">
        <w:rPr>
          <w:rFonts w:hint="eastAsia"/>
        </w:rPr>
        <w:t>期</w:t>
      </w:r>
      <w:r w:rsidRPr="00CB3320">
        <w:rPr>
          <w:rFonts w:hint="eastAsia"/>
          <w:kern w:val="0"/>
        </w:rPr>
        <w:t>的效率值；其他类推。</w:t>
      </w:r>
    </w:p>
    <w:p w14:paraId="46AEC815" w14:textId="77777777" w:rsidR="00F13EAB" w:rsidRPr="00CB3320" w:rsidRDefault="00F13EAB" w:rsidP="00BD1E69">
      <w:pPr>
        <w:ind w:firstLine="420"/>
      </w:pPr>
      <w:r w:rsidRPr="00CB3320">
        <w:rPr>
          <w:rFonts w:hint="eastAsia"/>
        </w:rPr>
        <w:t>特别的，我们可以将生产前沿面推至全局，运用全局的生产前沿面技术进行效率测算。本文正是采用全局生产前沿技术构建的</w:t>
      </w:r>
      <w:r w:rsidRPr="00CB3320">
        <w:rPr>
          <w:rFonts w:hint="eastAsia"/>
        </w:rPr>
        <w:t>Malmquist</w:t>
      </w:r>
      <w:r w:rsidRPr="00CB3320">
        <w:rPr>
          <w:rFonts w:hint="eastAsia"/>
        </w:rPr>
        <w:t>生产率指数，来衡量每期之间</w:t>
      </w:r>
      <w:r w:rsidRPr="00CB3320">
        <w:rPr>
          <w:rFonts w:hint="eastAsia"/>
        </w:rPr>
        <w:t>T</w:t>
      </w:r>
      <w:r w:rsidRPr="00CB3320">
        <w:t>FP</w:t>
      </w:r>
      <w:r w:rsidRPr="00CB3320">
        <w:rPr>
          <w:rFonts w:hint="eastAsia"/>
        </w:rPr>
        <w:t>的变化。</w:t>
      </w:r>
    </w:p>
    <w:p w14:paraId="649FCD3F" w14:textId="037CCCBF" w:rsidR="000F77E4" w:rsidRPr="00CB3320" w:rsidRDefault="00F13EAB" w:rsidP="00F13EAB">
      <w:pPr>
        <w:pStyle w:val="3"/>
        <w:numPr>
          <w:ilvl w:val="0"/>
          <w:numId w:val="0"/>
        </w:numPr>
        <w:spacing w:before="163" w:after="81"/>
        <w:ind w:left="709" w:hanging="709"/>
      </w:pPr>
      <w:bookmarkStart w:id="18" w:name="_Toc121778113"/>
      <w:bookmarkEnd w:id="17"/>
      <w:r w:rsidRPr="00CB3320">
        <w:rPr>
          <w:rFonts w:hint="eastAsia"/>
        </w:rPr>
        <w:t>（</w:t>
      </w:r>
      <w:r w:rsidRPr="00CB3320">
        <w:rPr>
          <w:rFonts w:hint="eastAsia"/>
        </w:rPr>
        <w:t>2</w:t>
      </w:r>
      <w:r w:rsidRPr="00CB3320">
        <w:rPr>
          <w:rFonts w:hint="eastAsia"/>
        </w:rPr>
        <w:t>）倾向得分匹配方法与权重设定</w:t>
      </w:r>
      <w:bookmarkEnd w:id="18"/>
    </w:p>
    <w:p w14:paraId="70273F24" w14:textId="3C9BD7CC" w:rsidR="00F818C2" w:rsidRPr="00CB3320" w:rsidRDefault="00F818C2" w:rsidP="00F818C2">
      <w:pPr>
        <w:ind w:firstLine="420"/>
      </w:pPr>
      <w:r w:rsidRPr="00CB3320">
        <w:rPr>
          <w:rFonts w:hint="eastAsia"/>
        </w:rPr>
        <w:t>为了使不同个体的可测变量的值尽可能相似，我们需要依赖匹配的思想。基于可忽略性假设，我们需要使个体</w:t>
      </w:r>
      <w:proofErr w:type="spellStart"/>
      <w:r w:rsidRPr="00CB3320">
        <w:rPr>
          <w:rFonts w:hint="eastAsia"/>
        </w:rPr>
        <w:t>i</w:t>
      </w:r>
      <w:proofErr w:type="spellEnd"/>
      <w:r w:rsidRPr="00CB3320">
        <w:rPr>
          <w:rFonts w:hint="eastAsia"/>
        </w:rPr>
        <w:t>和个体</w:t>
      </w:r>
      <w:r w:rsidRPr="00CB3320">
        <w:rPr>
          <w:rFonts w:hint="eastAsia"/>
        </w:rPr>
        <w:t>j</w:t>
      </w:r>
      <w:r w:rsidRPr="00CB3320">
        <w:rPr>
          <w:rFonts w:hint="eastAsia"/>
        </w:rPr>
        <w:t>进入实验组的概率相似，</w:t>
      </w:r>
      <w:r w:rsidR="00061B16" w:rsidRPr="00CB3320">
        <w:rPr>
          <w:rFonts w:hint="eastAsia"/>
        </w:rPr>
        <w:t>这样才能使</w:t>
      </w:r>
      <w:r w:rsidRPr="00CB3320">
        <w:rPr>
          <w:rFonts w:hint="eastAsia"/>
        </w:rPr>
        <w:t>使</w:t>
      </w:r>
      <w:r w:rsidR="00061B16" w:rsidRPr="00CB3320">
        <w:rPr>
          <w:rFonts w:hint="eastAsia"/>
        </w:rPr>
        <w:t>实验</w:t>
      </w:r>
      <w:r w:rsidRPr="00CB3320">
        <w:rPr>
          <w:rFonts w:hint="eastAsia"/>
        </w:rPr>
        <w:t>组和</w:t>
      </w:r>
      <w:r w:rsidR="00972FF5" w:rsidRPr="00CB3320">
        <w:rPr>
          <w:rFonts w:hint="eastAsia"/>
        </w:rPr>
        <w:t>对照组</w:t>
      </w:r>
      <w:r w:rsidRPr="00CB3320">
        <w:rPr>
          <w:rFonts w:hint="eastAsia"/>
        </w:rPr>
        <w:t>具有可比性。由于我国城市层面的面板数据具有</w:t>
      </w:r>
      <w:r w:rsidR="00061B16" w:rsidRPr="00CB3320">
        <w:rPr>
          <w:rFonts w:hint="eastAsia"/>
        </w:rPr>
        <w:t>多种</w:t>
      </w:r>
      <w:r w:rsidRPr="00CB3320">
        <w:rPr>
          <w:rFonts w:hint="eastAsia"/>
        </w:rPr>
        <w:t>的可观察变量，我们采用倾向得分匹配方法</w:t>
      </w:r>
      <w:r w:rsidR="00061B16" w:rsidRPr="00CB3320">
        <w:rPr>
          <w:rFonts w:hint="eastAsia"/>
        </w:rPr>
        <w:t>（</w:t>
      </w:r>
      <w:r w:rsidR="00061B16" w:rsidRPr="00CB3320">
        <w:rPr>
          <w:rFonts w:hint="eastAsia"/>
        </w:rPr>
        <w:t>P</w:t>
      </w:r>
      <w:r w:rsidR="00061B16" w:rsidRPr="00CB3320">
        <w:t>SM</w:t>
      </w:r>
      <w:r w:rsidR="00061B16" w:rsidRPr="00CB3320">
        <w:rPr>
          <w:rFonts w:hint="eastAsia"/>
        </w:rPr>
        <w:t>）</w:t>
      </w:r>
      <w:r w:rsidRPr="00CB3320">
        <w:rPr>
          <w:rFonts w:hint="eastAsia"/>
        </w:rPr>
        <w:t>将多维变量压缩为一维，以匹配</w:t>
      </w:r>
      <w:r w:rsidR="00061B16" w:rsidRPr="00CB3320">
        <w:rPr>
          <w:rFonts w:hint="eastAsia"/>
        </w:rPr>
        <w:t>实验</w:t>
      </w:r>
      <w:r w:rsidRPr="00CB3320">
        <w:rPr>
          <w:rFonts w:hint="eastAsia"/>
        </w:rPr>
        <w:t>组和</w:t>
      </w:r>
      <w:r w:rsidR="00972FF5" w:rsidRPr="00CB3320">
        <w:rPr>
          <w:rFonts w:hint="eastAsia"/>
        </w:rPr>
        <w:t>对照组</w:t>
      </w:r>
      <w:r w:rsidRPr="00CB3320">
        <w:rPr>
          <w:rFonts w:hint="eastAsia"/>
        </w:rPr>
        <w:t>的个体。</w:t>
      </w:r>
    </w:p>
    <w:p w14:paraId="3130DB2E" w14:textId="14A746AA" w:rsidR="000F77E4" w:rsidRPr="00CB3320" w:rsidRDefault="00F818C2" w:rsidP="00F818C2">
      <w:pPr>
        <w:ind w:firstLine="420"/>
      </w:pPr>
      <w:r w:rsidRPr="00CB3320">
        <w:rPr>
          <w:rFonts w:hint="eastAsia"/>
        </w:rPr>
        <w:t>由于</w:t>
      </w:r>
      <w:r w:rsidR="00CC6F88" w:rsidRPr="00CB3320">
        <w:rPr>
          <w:rFonts w:hint="eastAsia"/>
        </w:rPr>
        <w:t>无法观测到</w:t>
      </w:r>
      <w:r w:rsidR="00972FF5" w:rsidRPr="00CB3320">
        <w:rPr>
          <w:rFonts w:hint="eastAsia"/>
        </w:rPr>
        <w:t>对照组</w:t>
      </w:r>
      <w:r w:rsidRPr="00CB3320">
        <w:rPr>
          <w:rFonts w:hint="eastAsia"/>
        </w:rPr>
        <w:t>进行</w:t>
      </w:r>
      <w:r w:rsidR="00CC6F88" w:rsidRPr="00CB3320">
        <w:rPr>
          <w:rFonts w:hint="eastAsia"/>
        </w:rPr>
        <w:t>实验的</w:t>
      </w:r>
      <w:r w:rsidRPr="00CB3320">
        <w:rPr>
          <w:rFonts w:hint="eastAsia"/>
        </w:rPr>
        <w:t>数据，</w:t>
      </w:r>
      <w:r w:rsidR="00CC6F88" w:rsidRPr="00CB3320">
        <w:rPr>
          <w:rFonts w:hint="eastAsia"/>
        </w:rPr>
        <w:t>也无法观测到实验</w:t>
      </w:r>
      <w:r w:rsidRPr="00CB3320">
        <w:rPr>
          <w:rFonts w:hint="eastAsia"/>
        </w:rPr>
        <w:t>组未进行</w:t>
      </w:r>
      <w:r w:rsidR="00CC6F88" w:rsidRPr="00CB3320">
        <w:rPr>
          <w:rFonts w:hint="eastAsia"/>
        </w:rPr>
        <w:t>实验</w:t>
      </w:r>
      <w:r w:rsidR="00A61FDE" w:rsidRPr="00CB3320">
        <w:rPr>
          <w:rFonts w:hint="eastAsia"/>
        </w:rPr>
        <w:t>的</w:t>
      </w:r>
      <w:r w:rsidRPr="00CB3320">
        <w:rPr>
          <w:rFonts w:hint="eastAsia"/>
        </w:rPr>
        <w:t>数据，因此</w:t>
      </w:r>
      <w:r w:rsidR="005F1CDA" w:rsidRPr="00CB3320">
        <w:rPr>
          <w:rFonts w:hint="eastAsia"/>
        </w:rPr>
        <w:t>我们</w:t>
      </w:r>
      <w:r w:rsidRPr="00CB3320">
        <w:rPr>
          <w:rFonts w:hint="eastAsia"/>
        </w:rPr>
        <w:t>需要</w:t>
      </w:r>
      <w:r w:rsidR="005F1CDA" w:rsidRPr="00CB3320">
        <w:rPr>
          <w:rFonts w:hint="eastAsia"/>
        </w:rPr>
        <w:t>利用</w:t>
      </w:r>
      <w:r w:rsidRPr="00CB3320">
        <w:rPr>
          <w:rFonts w:hint="eastAsia"/>
        </w:rPr>
        <w:t>开始</w:t>
      </w:r>
      <w:r w:rsidR="005F1CDA" w:rsidRPr="00CB3320">
        <w:rPr>
          <w:rFonts w:hint="eastAsia"/>
        </w:rPr>
        <w:t>实验</w:t>
      </w:r>
      <w:r w:rsidRPr="00CB3320">
        <w:rPr>
          <w:rFonts w:hint="eastAsia"/>
        </w:rPr>
        <w:t>前</w:t>
      </w:r>
      <w:r w:rsidR="005F1CDA" w:rsidRPr="00CB3320">
        <w:rPr>
          <w:rFonts w:hint="eastAsia"/>
        </w:rPr>
        <w:t>的</w:t>
      </w:r>
      <w:r w:rsidRPr="00CB3320">
        <w:rPr>
          <w:rFonts w:hint="eastAsia"/>
        </w:rPr>
        <w:t>数据进行</w:t>
      </w:r>
      <w:r w:rsidRPr="00CB3320">
        <w:rPr>
          <w:rFonts w:hint="eastAsia"/>
        </w:rPr>
        <w:t>PSM</w:t>
      </w:r>
      <w:r w:rsidR="00985119" w:rsidRPr="00CB3320">
        <w:rPr>
          <w:rFonts w:hint="eastAsia"/>
        </w:rPr>
        <w:t>方法</w:t>
      </w:r>
      <w:r w:rsidRPr="00CB3320">
        <w:rPr>
          <w:rFonts w:hint="eastAsia"/>
        </w:rPr>
        <w:t>。</w:t>
      </w:r>
      <w:r w:rsidR="00734597" w:rsidRPr="00CB3320">
        <w:rPr>
          <w:rFonts w:hint="eastAsia"/>
        </w:rPr>
        <w:t>在实践中，我们主要使用了基于核匹配的</w:t>
      </w:r>
      <w:r w:rsidR="00734597" w:rsidRPr="00CB3320">
        <w:rPr>
          <w:rFonts w:hint="eastAsia"/>
        </w:rPr>
        <w:t>PSM</w:t>
      </w:r>
      <w:r w:rsidR="00734597" w:rsidRPr="00CB3320">
        <w:rPr>
          <w:rFonts w:hint="eastAsia"/>
        </w:rPr>
        <w:t>方法。匹配后实验组与对照</w:t>
      </w:r>
      <w:proofErr w:type="gramStart"/>
      <w:r w:rsidR="00734597" w:rsidRPr="00CB3320">
        <w:rPr>
          <w:rFonts w:hint="eastAsia"/>
        </w:rPr>
        <w:t>组各项</w:t>
      </w:r>
      <w:proofErr w:type="gramEnd"/>
      <w:r w:rsidR="00734597" w:rsidRPr="00CB3320">
        <w:rPr>
          <w:rFonts w:hint="eastAsia"/>
        </w:rPr>
        <w:t>指标的平均差异均不超过</w:t>
      </w:r>
      <w:r w:rsidR="00734597" w:rsidRPr="00CB3320">
        <w:rPr>
          <w:rFonts w:hint="eastAsia"/>
        </w:rPr>
        <w:t>10%</w:t>
      </w:r>
      <w:r w:rsidR="00734597" w:rsidRPr="00CB3320">
        <w:rPr>
          <w:rFonts w:hint="eastAsia"/>
        </w:rPr>
        <w:t>。另外，</w:t>
      </w:r>
      <w:r w:rsidRPr="00CB3320">
        <w:rPr>
          <w:rFonts w:hint="eastAsia"/>
        </w:rPr>
        <w:t>PSM</w:t>
      </w:r>
      <w:r w:rsidRPr="00CB3320">
        <w:rPr>
          <w:rFonts w:hint="eastAsia"/>
        </w:rPr>
        <w:t>匹配一般需要在一个时期内对</w:t>
      </w:r>
      <w:r w:rsidR="00CA4469" w:rsidRPr="00CB3320">
        <w:rPr>
          <w:rFonts w:hint="eastAsia"/>
        </w:rPr>
        <w:t>横截面</w:t>
      </w:r>
      <w:r w:rsidRPr="00CB3320">
        <w:rPr>
          <w:rFonts w:hint="eastAsia"/>
        </w:rPr>
        <w:t>数据进行匹配，因此，我们采取多阶段的</w:t>
      </w:r>
      <w:r w:rsidRPr="00CB3320">
        <w:rPr>
          <w:rFonts w:hint="eastAsia"/>
        </w:rPr>
        <w:t>PSM</w:t>
      </w:r>
      <w:r w:rsidR="00985119" w:rsidRPr="00CB3320">
        <w:rPr>
          <w:rFonts w:hint="eastAsia"/>
        </w:rPr>
        <w:t>方法</w:t>
      </w:r>
      <w:r w:rsidRPr="00CB3320">
        <w:rPr>
          <w:rFonts w:hint="eastAsia"/>
        </w:rPr>
        <w:t>。此外，由于本文的数据期为</w:t>
      </w:r>
      <w:r w:rsidRPr="00CB3320">
        <w:rPr>
          <w:rFonts w:hint="eastAsia"/>
        </w:rPr>
        <w:t>2005-2016</w:t>
      </w:r>
      <w:r w:rsidRPr="00CB3320">
        <w:rPr>
          <w:rFonts w:hint="eastAsia"/>
        </w:rPr>
        <w:t>年，正处于我国工业发展黄金时代后期（</w:t>
      </w:r>
      <w:r w:rsidRPr="00CB3320">
        <w:rPr>
          <w:rFonts w:hint="eastAsia"/>
        </w:rPr>
        <w:t>2002-2012</w:t>
      </w:r>
      <w:r w:rsidRPr="00CB3320">
        <w:rPr>
          <w:rFonts w:hint="eastAsia"/>
        </w:rPr>
        <w:t>年），且这一时期经济变化迅速，距离试点年份较远的数据可能没有参考价值。综合以上因素，我们选取</w:t>
      </w:r>
      <w:r w:rsidRPr="00CB3320">
        <w:rPr>
          <w:rFonts w:hint="eastAsia"/>
        </w:rPr>
        <w:t>2008</w:t>
      </w:r>
      <w:r w:rsidRPr="00CB3320">
        <w:rPr>
          <w:rFonts w:hint="eastAsia"/>
        </w:rPr>
        <w:t>年至</w:t>
      </w:r>
      <w:r w:rsidRPr="00CB3320">
        <w:rPr>
          <w:rFonts w:hint="eastAsia"/>
        </w:rPr>
        <w:t>2010</w:t>
      </w:r>
      <w:r w:rsidRPr="00CB3320">
        <w:rPr>
          <w:rFonts w:hint="eastAsia"/>
        </w:rPr>
        <w:t>年的</w:t>
      </w:r>
      <w:r w:rsidR="00CA4469" w:rsidRPr="00CB3320">
        <w:rPr>
          <w:rFonts w:hint="eastAsia"/>
        </w:rPr>
        <w:t>横截面</w:t>
      </w:r>
      <w:r w:rsidRPr="00CB3320">
        <w:rPr>
          <w:rFonts w:hint="eastAsia"/>
        </w:rPr>
        <w:t>数据对两组数据进行匹配，得到</w:t>
      </w:r>
      <w:r w:rsidRPr="00CB3320">
        <w:rPr>
          <w:rFonts w:hint="eastAsia"/>
        </w:rPr>
        <w:t>3</w:t>
      </w:r>
      <w:r w:rsidRPr="00CB3320">
        <w:rPr>
          <w:rFonts w:hint="eastAsia"/>
        </w:rPr>
        <w:t>个时期的权重。</w:t>
      </w:r>
      <w:r w:rsidR="00734597" w:rsidRPr="00CB3320">
        <w:rPr>
          <w:rFonts w:hint="eastAsia"/>
        </w:rPr>
        <w:t>最后，我们对获得的三期权</w:t>
      </w:r>
      <w:proofErr w:type="gramStart"/>
      <w:r w:rsidR="00734597" w:rsidRPr="00CB3320">
        <w:rPr>
          <w:rFonts w:hint="eastAsia"/>
        </w:rPr>
        <w:t>重进行</w:t>
      </w:r>
      <w:proofErr w:type="gramEnd"/>
      <w:r w:rsidR="00734597" w:rsidRPr="00CB3320">
        <w:rPr>
          <w:rFonts w:hint="eastAsia"/>
        </w:rPr>
        <w:t>加权平均，得到我们需要的</w:t>
      </w:r>
      <w:r w:rsidR="00734597" w:rsidRPr="00CB3320">
        <w:rPr>
          <w:rFonts w:hint="eastAsia"/>
        </w:rPr>
        <w:t>P</w:t>
      </w:r>
      <w:r w:rsidR="00734597" w:rsidRPr="00CB3320">
        <w:t>SM</w:t>
      </w:r>
      <w:r w:rsidR="00734597" w:rsidRPr="00CB3320">
        <w:rPr>
          <w:rFonts w:hint="eastAsia"/>
        </w:rPr>
        <w:t>权重。</w:t>
      </w:r>
      <w:r w:rsidR="00153DE4" w:rsidRPr="00CB3320">
        <w:rPr>
          <w:rFonts w:hint="eastAsia"/>
        </w:rPr>
        <w:t>匹配</w:t>
      </w:r>
      <w:r w:rsidR="00477D8D" w:rsidRPr="00CB3320">
        <w:rPr>
          <w:rFonts w:hint="eastAsia"/>
        </w:rPr>
        <w:t>后各协变量的偏差见</w:t>
      </w:r>
      <w:r w:rsidR="00903C8A" w:rsidRPr="00CB3320">
        <w:fldChar w:fldCharType="begin"/>
      </w:r>
      <w:r w:rsidR="00903C8A" w:rsidRPr="00CB3320">
        <w:instrText xml:space="preserve"> </w:instrText>
      </w:r>
      <w:r w:rsidR="00903C8A" w:rsidRPr="00CB3320">
        <w:rPr>
          <w:rFonts w:hint="eastAsia"/>
        </w:rPr>
        <w:instrText>REF _Ref75446819 \h</w:instrText>
      </w:r>
      <w:r w:rsidR="00903C8A" w:rsidRPr="00CB3320">
        <w:instrText xml:space="preserve"> </w:instrText>
      </w:r>
      <w:r w:rsidR="00903C8A" w:rsidRPr="00CB3320">
        <w:fldChar w:fldCharType="separate"/>
      </w:r>
      <w:r w:rsidR="008A580C" w:rsidRPr="00CB3320">
        <w:rPr>
          <w:rFonts w:hint="eastAsia"/>
        </w:rPr>
        <w:t>图</w:t>
      </w:r>
      <w:r w:rsidR="008A580C" w:rsidRPr="00CB3320">
        <w:rPr>
          <w:rFonts w:hint="eastAsia"/>
        </w:rPr>
        <w:t>A.</w:t>
      </w:r>
      <w:r w:rsidR="008A580C" w:rsidRPr="00CB3320">
        <w:rPr>
          <w:noProof/>
        </w:rPr>
        <w:t>1</w:t>
      </w:r>
      <w:r w:rsidR="00903C8A" w:rsidRPr="00CB3320">
        <w:fldChar w:fldCharType="end"/>
      </w:r>
      <w:r w:rsidR="00903C8A" w:rsidRPr="00CB3320">
        <w:rPr>
          <w:rFonts w:hint="eastAsia"/>
        </w:rPr>
        <w:t>、</w:t>
      </w:r>
      <w:r w:rsidR="00903C8A" w:rsidRPr="00CB3320">
        <w:fldChar w:fldCharType="begin"/>
      </w:r>
      <w:r w:rsidR="00903C8A" w:rsidRPr="00CB3320">
        <w:instrText xml:space="preserve"> REF _Ref75446820 \h </w:instrText>
      </w:r>
      <w:r w:rsidR="00903C8A" w:rsidRPr="00CB3320">
        <w:fldChar w:fldCharType="separate"/>
      </w:r>
      <w:r w:rsidR="008A580C" w:rsidRPr="00CB3320">
        <w:rPr>
          <w:rFonts w:hint="eastAsia"/>
        </w:rPr>
        <w:t>图</w:t>
      </w:r>
      <w:r w:rsidR="008A580C" w:rsidRPr="00CB3320">
        <w:rPr>
          <w:rFonts w:hint="eastAsia"/>
        </w:rPr>
        <w:t>A.</w:t>
      </w:r>
      <w:r w:rsidR="008A580C" w:rsidRPr="00CB3320">
        <w:rPr>
          <w:noProof/>
        </w:rPr>
        <w:t>2</w:t>
      </w:r>
      <w:r w:rsidR="00903C8A" w:rsidRPr="00CB3320">
        <w:fldChar w:fldCharType="end"/>
      </w:r>
      <w:r w:rsidR="00903C8A" w:rsidRPr="00CB3320">
        <w:rPr>
          <w:rFonts w:hint="eastAsia"/>
        </w:rPr>
        <w:t>和</w:t>
      </w:r>
      <w:r w:rsidR="00903C8A" w:rsidRPr="00CB3320">
        <w:fldChar w:fldCharType="begin"/>
      </w:r>
      <w:r w:rsidR="00903C8A" w:rsidRPr="00CB3320">
        <w:instrText xml:space="preserve"> REF _Ref75446822 \h </w:instrText>
      </w:r>
      <w:r w:rsidR="00903C8A" w:rsidRPr="00CB3320">
        <w:fldChar w:fldCharType="separate"/>
      </w:r>
      <w:r w:rsidR="008A580C" w:rsidRPr="00CB3320">
        <w:rPr>
          <w:rFonts w:hint="eastAsia"/>
        </w:rPr>
        <w:t>图</w:t>
      </w:r>
      <w:r w:rsidR="008A580C" w:rsidRPr="00CB3320">
        <w:rPr>
          <w:rFonts w:hint="eastAsia"/>
        </w:rPr>
        <w:t>A.</w:t>
      </w:r>
      <w:r w:rsidR="008A580C" w:rsidRPr="00CB3320">
        <w:rPr>
          <w:noProof/>
        </w:rPr>
        <w:t>3</w:t>
      </w:r>
      <w:r w:rsidR="00903C8A" w:rsidRPr="00CB3320">
        <w:fldChar w:fldCharType="end"/>
      </w:r>
      <w:r w:rsidR="00153DE4" w:rsidRPr="00CB3320">
        <w:rPr>
          <w:rFonts w:hint="eastAsia"/>
        </w:rPr>
        <w:t>。</w:t>
      </w:r>
    </w:p>
    <w:p w14:paraId="3CEB1138" w14:textId="61AD962E" w:rsidR="003D2ED6" w:rsidRPr="00CB3320" w:rsidRDefault="003D2ED6" w:rsidP="00F818C2">
      <w:pPr>
        <w:ind w:firstLine="420"/>
      </w:pPr>
      <w:r w:rsidRPr="00CB3320">
        <w:rPr>
          <w:rFonts w:hint="eastAsia"/>
        </w:rPr>
        <w:t>另外，由于</w:t>
      </w:r>
      <w:r w:rsidRPr="00CB3320">
        <w:rPr>
          <w:rFonts w:hint="eastAsia"/>
        </w:rPr>
        <w:t>P</w:t>
      </w:r>
      <w:r w:rsidRPr="00CB3320">
        <w:t>SM</w:t>
      </w:r>
      <w:r w:rsidRPr="00CB3320">
        <w:rPr>
          <w:rFonts w:hint="eastAsia"/>
        </w:rPr>
        <w:t>的识别过程（以一对一匹配为例）是为控制组的每一个样本匹配到相关协变量</w:t>
      </w:r>
      <w:r w:rsidRPr="00CB3320">
        <w:rPr>
          <w:rFonts w:hint="eastAsia"/>
        </w:rPr>
        <w:lastRenderedPageBreak/>
        <w:t>最接近的实验组样本，并且给实验组样本一个单位的权重。同样，</w:t>
      </w:r>
      <w:r w:rsidRPr="00CB3320">
        <w:rPr>
          <w:rFonts w:hint="eastAsia"/>
        </w:rPr>
        <w:t>P</w:t>
      </w:r>
      <w:r w:rsidRPr="00CB3320">
        <w:t>SM</w:t>
      </w:r>
      <w:r w:rsidRPr="00CB3320">
        <w:rPr>
          <w:rFonts w:hint="eastAsia"/>
        </w:rPr>
        <w:t>也为每一个实验组的样本匹配到了对照组的样本，而这些匹配结果的数据反映在了</w:t>
      </w:r>
      <w:r w:rsidRPr="00CB3320">
        <w:rPr>
          <w:rFonts w:hint="eastAsia"/>
        </w:rPr>
        <w:t>P</w:t>
      </w:r>
      <w:r w:rsidRPr="00CB3320">
        <w:t>SM</w:t>
      </w:r>
      <w:r w:rsidRPr="00CB3320">
        <w:rPr>
          <w:rFonts w:hint="eastAsia"/>
        </w:rPr>
        <w:t>结果的权重中。因此，具有匹配意义的双重差分（</w:t>
      </w:r>
      <w:r w:rsidRPr="00CB3320">
        <w:rPr>
          <w:rFonts w:hint="eastAsia"/>
        </w:rPr>
        <w:t>D</w:t>
      </w:r>
      <w:r w:rsidRPr="00CB3320">
        <w:t>ID</w:t>
      </w:r>
      <w:r w:rsidRPr="00CB3320">
        <w:rPr>
          <w:rFonts w:hint="eastAsia"/>
        </w:rPr>
        <w:t>）模型应当是考虑权重的</w:t>
      </w:r>
      <w:r w:rsidRPr="00CB3320">
        <w:rPr>
          <w:rFonts w:hint="eastAsia"/>
        </w:rPr>
        <w:t>D</w:t>
      </w:r>
      <w:r w:rsidRPr="00CB3320">
        <w:t>ID</w:t>
      </w:r>
      <w:r w:rsidRPr="00CB3320">
        <w:rPr>
          <w:rFonts w:hint="eastAsia"/>
        </w:rPr>
        <w:t>模型。另外，由于</w:t>
      </w:r>
      <w:r w:rsidRPr="00CB3320">
        <w:rPr>
          <w:rFonts w:hint="eastAsia"/>
        </w:rPr>
        <w:t>P</w:t>
      </w:r>
      <w:r w:rsidRPr="00CB3320">
        <w:t>SM</w:t>
      </w:r>
      <w:r w:rsidRPr="00CB3320">
        <w:rPr>
          <w:rFonts w:hint="eastAsia"/>
        </w:rPr>
        <w:t>权重的结果为两次匹配的结果</w:t>
      </w:r>
      <w:r w:rsidRPr="00CB3320">
        <w:rPr>
          <w:rStyle w:val="a8"/>
          <w:highlight w:val="yellow"/>
        </w:rPr>
        <w:footnoteReference w:id="9"/>
      </w:r>
      <w:r w:rsidRPr="00CB3320">
        <w:rPr>
          <w:rFonts w:hint="eastAsia"/>
        </w:rPr>
        <w:t>，因此，在每期的</w:t>
      </w:r>
      <w:r w:rsidRPr="00CB3320">
        <w:rPr>
          <w:rFonts w:hint="eastAsia"/>
        </w:rPr>
        <w:t>P</w:t>
      </w:r>
      <w:r w:rsidRPr="00CB3320">
        <w:t>SM</w:t>
      </w:r>
      <w:r w:rsidRPr="00CB3320">
        <w:rPr>
          <w:rFonts w:hint="eastAsia"/>
        </w:rPr>
        <w:t>中，我们应当将实验组或对照组的权重设定为</w:t>
      </w:r>
      <w:r w:rsidRPr="00CB3320">
        <w:rPr>
          <w:rFonts w:hint="eastAsia"/>
        </w:rPr>
        <w:t>1</w:t>
      </w:r>
      <w:r w:rsidRPr="00CB3320">
        <w:rPr>
          <w:rFonts w:hint="eastAsia"/>
        </w:rPr>
        <w:t>，才能够满足实验组和对照组为准随机的实验条件</w:t>
      </w:r>
      <w:r w:rsidR="00BC327D" w:rsidRPr="00CB3320">
        <w:rPr>
          <w:rFonts w:hint="eastAsia"/>
        </w:rPr>
        <w:t>。在本文的实证中，我们将控制组设定为</w:t>
      </w:r>
      <w:r w:rsidR="00BC327D" w:rsidRPr="00CB3320">
        <w:rPr>
          <w:rFonts w:hint="eastAsia"/>
        </w:rPr>
        <w:t>1</w:t>
      </w:r>
      <w:r w:rsidR="00BC327D" w:rsidRPr="00CB3320">
        <w:rPr>
          <w:rFonts w:hint="eastAsia"/>
        </w:rPr>
        <w:t>的权重集合称为权重</w:t>
      </w:r>
      <w:r w:rsidR="00BC327D" w:rsidRPr="00CB3320">
        <w:rPr>
          <w:rFonts w:hint="eastAsia"/>
        </w:rPr>
        <w:t>1</w:t>
      </w:r>
      <w:r w:rsidR="00BC327D" w:rsidRPr="00CB3320">
        <w:rPr>
          <w:rFonts w:hint="eastAsia"/>
        </w:rPr>
        <w:t>，实验组设定为</w:t>
      </w:r>
      <w:r w:rsidR="00BC327D" w:rsidRPr="00CB3320">
        <w:rPr>
          <w:rFonts w:hint="eastAsia"/>
        </w:rPr>
        <w:t>1</w:t>
      </w:r>
      <w:r w:rsidR="00BC327D" w:rsidRPr="00CB3320">
        <w:rPr>
          <w:rFonts w:hint="eastAsia"/>
        </w:rPr>
        <w:t>的权重集合称为权重</w:t>
      </w:r>
      <w:r w:rsidR="00BC327D" w:rsidRPr="00CB3320">
        <w:t>2</w:t>
      </w:r>
      <w:r w:rsidR="00BC327D" w:rsidRPr="00CB3320">
        <w:rPr>
          <w:rFonts w:hint="eastAsia"/>
        </w:rPr>
        <w:t>。由于控制组数量较多，我们将权重</w:t>
      </w:r>
      <w:r w:rsidR="00BC327D" w:rsidRPr="00CB3320">
        <w:rPr>
          <w:rFonts w:hint="eastAsia"/>
        </w:rPr>
        <w:t>1</w:t>
      </w:r>
      <w:r w:rsidR="00BC327D" w:rsidRPr="00CB3320">
        <w:rPr>
          <w:rFonts w:hint="eastAsia"/>
        </w:rPr>
        <w:t>作为基准权重进行分析。</w:t>
      </w:r>
    </w:p>
    <w:p w14:paraId="396C3B17" w14:textId="3D805A56" w:rsidR="00477D8D" w:rsidRPr="00CB3320" w:rsidRDefault="00344D5D" w:rsidP="00344D5D">
      <w:pPr>
        <w:pStyle w:val="2"/>
        <w:numPr>
          <w:ilvl w:val="0"/>
          <w:numId w:val="0"/>
        </w:numPr>
        <w:spacing w:before="163" w:after="81"/>
      </w:pPr>
      <w:bookmarkStart w:id="19" w:name="_Toc121778114"/>
      <w:r w:rsidRPr="00CB3320">
        <w:rPr>
          <w:rFonts w:hint="eastAsia"/>
        </w:rPr>
        <w:t>（二）</w:t>
      </w:r>
      <w:r w:rsidR="002D3301" w:rsidRPr="00CB3320">
        <w:rPr>
          <w:rFonts w:hint="eastAsia"/>
        </w:rPr>
        <w:t>全文</w:t>
      </w:r>
      <w:r w:rsidR="00477D8D" w:rsidRPr="00CB3320">
        <w:rPr>
          <w:rFonts w:hint="eastAsia"/>
        </w:rPr>
        <w:t>数据来源</w:t>
      </w:r>
      <w:bookmarkEnd w:id="19"/>
    </w:p>
    <w:p w14:paraId="5E66B81C" w14:textId="05BBDB57" w:rsidR="00477D8D" w:rsidRPr="00CB3320" w:rsidRDefault="00F13EAB" w:rsidP="00F13EAB">
      <w:pPr>
        <w:pStyle w:val="3"/>
        <w:numPr>
          <w:ilvl w:val="0"/>
          <w:numId w:val="0"/>
        </w:numPr>
        <w:spacing w:before="163" w:after="81"/>
        <w:ind w:left="709" w:hanging="709"/>
      </w:pPr>
      <w:bookmarkStart w:id="20" w:name="_Toc121778115"/>
      <w:r w:rsidRPr="00CB3320">
        <w:rPr>
          <w:rFonts w:hint="eastAsia"/>
        </w:rPr>
        <w:t>（</w:t>
      </w:r>
      <w:r w:rsidRPr="00CB3320">
        <w:t>1</w:t>
      </w:r>
      <w:r w:rsidRPr="00CB3320">
        <w:rPr>
          <w:rFonts w:hint="eastAsia"/>
        </w:rPr>
        <w:t>）全要素生产率</w:t>
      </w:r>
      <w:bookmarkEnd w:id="20"/>
    </w:p>
    <w:p w14:paraId="5E708953" w14:textId="5EF6313A" w:rsidR="006174AF" w:rsidRPr="00CB3320" w:rsidRDefault="00A01E98" w:rsidP="006174AF">
      <w:pPr>
        <w:ind w:firstLine="420"/>
      </w:pPr>
      <w:r w:rsidRPr="00CB3320">
        <w:rPr>
          <w:rFonts w:hint="eastAsia"/>
        </w:rPr>
        <w:t>本文采用数据包络分析方法</w:t>
      </w:r>
      <w:r w:rsidR="00A00591" w:rsidRPr="00CB3320">
        <w:rPr>
          <w:rFonts w:hint="eastAsia"/>
        </w:rPr>
        <w:t>测算</w:t>
      </w:r>
      <w:r w:rsidR="00D928E9" w:rsidRPr="00CB3320">
        <w:rPr>
          <w:rFonts w:hint="eastAsia"/>
        </w:rPr>
        <w:t>2</w:t>
      </w:r>
      <w:r w:rsidR="00D928E9" w:rsidRPr="00CB3320">
        <w:t>005</w:t>
      </w:r>
      <w:r w:rsidR="00D928E9" w:rsidRPr="00CB3320">
        <w:rPr>
          <w:rFonts w:hint="eastAsia"/>
        </w:rPr>
        <w:t>-</w:t>
      </w:r>
      <w:r w:rsidR="00D928E9" w:rsidRPr="00CB3320">
        <w:t>2016</w:t>
      </w:r>
      <w:r w:rsidR="00D928E9" w:rsidRPr="00CB3320">
        <w:rPr>
          <w:rFonts w:hint="eastAsia"/>
        </w:rPr>
        <w:t>年间的</w:t>
      </w:r>
      <w:proofErr w:type="gramStart"/>
      <w:r w:rsidR="00D928E9" w:rsidRPr="00CB3320">
        <w:rPr>
          <w:rFonts w:hint="eastAsia"/>
        </w:rPr>
        <w:t>城市级</w:t>
      </w:r>
      <w:r w:rsidR="00A00591" w:rsidRPr="00CB3320">
        <w:rPr>
          <w:rFonts w:hint="eastAsia"/>
        </w:rPr>
        <w:t>全要素</w:t>
      </w:r>
      <w:proofErr w:type="gramEnd"/>
      <w:r w:rsidR="00A00591" w:rsidRPr="00CB3320">
        <w:rPr>
          <w:rFonts w:hint="eastAsia"/>
        </w:rPr>
        <w:t>生产率</w:t>
      </w:r>
      <w:r w:rsidR="00D928E9" w:rsidRPr="00CB3320">
        <w:rPr>
          <w:rFonts w:hint="eastAsia"/>
        </w:rPr>
        <w:t>。</w:t>
      </w:r>
      <w:r w:rsidR="00676E7E" w:rsidRPr="00CB3320">
        <w:rPr>
          <w:rFonts w:hint="eastAsia"/>
        </w:rPr>
        <w:t>原始数据包括</w:t>
      </w:r>
      <w:r w:rsidR="00DE4854" w:rsidRPr="00CB3320">
        <w:rPr>
          <w:rFonts w:hint="eastAsia"/>
        </w:rPr>
        <w:t>3</w:t>
      </w:r>
      <w:r w:rsidR="00DE4854" w:rsidRPr="00CB3320">
        <w:t>42</w:t>
      </w:r>
      <w:r w:rsidR="00DE4854" w:rsidRPr="00CB3320">
        <w:rPr>
          <w:rFonts w:hint="eastAsia"/>
        </w:rPr>
        <w:t>个城市</w:t>
      </w:r>
      <w:r w:rsidR="008E4D8F" w:rsidRPr="00CB3320">
        <w:t>2001</w:t>
      </w:r>
      <w:r w:rsidR="00DE4854" w:rsidRPr="00CB3320">
        <w:rPr>
          <w:rFonts w:hint="eastAsia"/>
        </w:rPr>
        <w:t>-</w:t>
      </w:r>
      <w:r w:rsidR="00DE4854" w:rsidRPr="00CB3320">
        <w:t>20</w:t>
      </w:r>
      <w:r w:rsidR="008E4D8F" w:rsidRPr="00CB3320">
        <w:t>18</w:t>
      </w:r>
      <w:r w:rsidR="00DE4854" w:rsidRPr="00CB3320">
        <w:rPr>
          <w:rFonts w:hint="eastAsia"/>
        </w:rPr>
        <w:t>年的</w:t>
      </w:r>
      <w:r w:rsidR="006F6AE3" w:rsidRPr="00CB3320">
        <w:t>57</w:t>
      </w:r>
      <w:r w:rsidR="00DE4854" w:rsidRPr="00CB3320">
        <w:t>56</w:t>
      </w:r>
      <w:r w:rsidR="00DE4854" w:rsidRPr="00CB3320">
        <w:rPr>
          <w:rFonts w:hint="eastAsia"/>
        </w:rPr>
        <w:t>个观测值（包括缺失值），</w:t>
      </w:r>
      <w:r w:rsidR="00AC0F34" w:rsidRPr="00CB3320">
        <w:rPr>
          <w:rFonts w:hint="eastAsia"/>
        </w:rPr>
        <w:t>为了获得相对平衡的面板，</w:t>
      </w:r>
      <w:r w:rsidR="00676E7E" w:rsidRPr="00CB3320">
        <w:rPr>
          <w:rFonts w:hint="eastAsia"/>
        </w:rPr>
        <w:t>剔除了</w:t>
      </w:r>
      <w:r w:rsidR="00CC0941" w:rsidRPr="00CB3320">
        <w:rPr>
          <w:rFonts w:hint="eastAsia"/>
        </w:rPr>
        <w:t>资本、劳动和电力消费</w:t>
      </w:r>
      <w:r w:rsidR="00676E7E" w:rsidRPr="00CB3320">
        <w:rPr>
          <w:rFonts w:hint="eastAsia"/>
        </w:rPr>
        <w:t>数据缺失严重的城市</w:t>
      </w:r>
      <w:r w:rsidR="00DE4854" w:rsidRPr="00CB3320">
        <w:rPr>
          <w:rFonts w:hint="eastAsia"/>
        </w:rPr>
        <w:t>和年份，最终选定了</w:t>
      </w:r>
      <w:r w:rsidR="008E4D8F" w:rsidRPr="00CB3320">
        <w:rPr>
          <w:rFonts w:hint="eastAsia"/>
        </w:rPr>
        <w:t>2</w:t>
      </w:r>
      <w:r w:rsidR="008E4D8F" w:rsidRPr="00CB3320">
        <w:t>005</w:t>
      </w:r>
      <w:r w:rsidR="008E4D8F" w:rsidRPr="00CB3320">
        <w:rPr>
          <w:rFonts w:hint="eastAsia"/>
        </w:rPr>
        <w:t>-</w:t>
      </w:r>
      <w:r w:rsidR="008E4D8F" w:rsidRPr="00CB3320">
        <w:t>2016</w:t>
      </w:r>
      <w:r w:rsidR="008E4D8F" w:rsidRPr="00CB3320">
        <w:rPr>
          <w:rFonts w:hint="eastAsia"/>
        </w:rPr>
        <w:t>年间</w:t>
      </w:r>
      <w:r w:rsidR="008E4D8F" w:rsidRPr="00CB3320">
        <w:rPr>
          <w:rFonts w:hint="eastAsia"/>
        </w:rPr>
        <w:t>2</w:t>
      </w:r>
      <w:r w:rsidR="008E4D8F" w:rsidRPr="00CB3320">
        <w:t>63</w:t>
      </w:r>
      <w:r w:rsidR="008E4D8F" w:rsidRPr="00CB3320">
        <w:rPr>
          <w:rFonts w:hint="eastAsia"/>
        </w:rPr>
        <w:t>个城市</w:t>
      </w:r>
      <w:r w:rsidR="00CC0941" w:rsidRPr="00CB3320">
        <w:rPr>
          <w:rFonts w:hint="eastAsia"/>
        </w:rPr>
        <w:t>的数据</w:t>
      </w:r>
      <w:r w:rsidR="009C193C" w:rsidRPr="00CB3320">
        <w:rPr>
          <w:rFonts w:hint="eastAsia"/>
        </w:rPr>
        <w:t>。</w:t>
      </w:r>
      <w:r w:rsidR="00AC0F34" w:rsidRPr="00CB3320">
        <w:rPr>
          <w:rFonts w:hint="eastAsia"/>
        </w:rPr>
        <w:t>本文通过</w:t>
      </w:r>
      <w:r w:rsidR="00047113" w:rsidRPr="00CB3320">
        <w:rPr>
          <w:rFonts w:hint="eastAsia"/>
        </w:rPr>
        <w:t>劳动和资本</w:t>
      </w:r>
      <w:r w:rsidR="00AC0F34" w:rsidRPr="00CB3320">
        <w:rPr>
          <w:rFonts w:hint="eastAsia"/>
        </w:rPr>
        <w:t>的投入，以及</w:t>
      </w:r>
      <w:r w:rsidR="00047113" w:rsidRPr="00CB3320">
        <w:rPr>
          <w:rFonts w:hint="eastAsia"/>
        </w:rPr>
        <w:t>产出</w:t>
      </w:r>
      <w:r w:rsidR="00AC0F34" w:rsidRPr="00CB3320">
        <w:rPr>
          <w:rFonts w:hint="eastAsia"/>
        </w:rPr>
        <w:t>数据来衡量</w:t>
      </w:r>
      <w:r w:rsidR="00AC0F34" w:rsidRPr="00CB3320">
        <w:rPr>
          <w:rFonts w:hint="eastAsia"/>
        </w:rPr>
        <w:t>T</w:t>
      </w:r>
      <w:r w:rsidR="00AC0F34" w:rsidRPr="00CB3320">
        <w:t>FP</w:t>
      </w:r>
      <w:r w:rsidR="00047113" w:rsidRPr="00CB3320">
        <w:rPr>
          <w:rFonts w:hint="eastAsia"/>
        </w:rPr>
        <w:t>。数据来源于</w:t>
      </w:r>
      <w:r w:rsidR="00047113" w:rsidRPr="00CB3320">
        <w:rPr>
          <w:rFonts w:hint="eastAsia"/>
        </w:rPr>
        <w:t>C</w:t>
      </w:r>
      <w:r w:rsidR="00047113" w:rsidRPr="00CB3320">
        <w:t>EIC</w:t>
      </w:r>
      <w:r w:rsidR="00047113" w:rsidRPr="00CB3320">
        <w:rPr>
          <w:rFonts w:hint="eastAsia"/>
        </w:rPr>
        <w:t>数据库和中国</w:t>
      </w:r>
      <w:r w:rsidR="00047113" w:rsidRPr="00CB3320">
        <w:rPr>
          <w:rFonts w:hint="eastAsia"/>
        </w:rPr>
        <w:t>2</w:t>
      </w:r>
      <w:r w:rsidR="00047113" w:rsidRPr="00CB3320">
        <w:t>005-2016</w:t>
      </w:r>
      <w:r w:rsidR="00047113" w:rsidRPr="00CB3320">
        <w:rPr>
          <w:rFonts w:hint="eastAsia"/>
        </w:rPr>
        <w:t>年的城市统计年鉴。</w:t>
      </w:r>
      <w:r w:rsidR="000D69A9" w:rsidRPr="00CB3320">
        <w:rPr>
          <w:rFonts w:hint="eastAsia"/>
        </w:rPr>
        <w:t>具体而言，劳动投入</w:t>
      </w:r>
      <w:r w:rsidR="00AC0F34" w:rsidRPr="00CB3320">
        <w:rPr>
          <w:rFonts w:hint="eastAsia"/>
        </w:rPr>
        <w:t>通过</w:t>
      </w:r>
      <w:r w:rsidR="00D00DDA" w:rsidRPr="00CB3320">
        <w:rPr>
          <w:rFonts w:hint="eastAsia"/>
        </w:rPr>
        <w:t>就业人数来衡量，资本投入采用基于永续盘存法的资本存量来衡量。为了</w:t>
      </w:r>
      <w:r w:rsidR="00127265" w:rsidRPr="00CB3320">
        <w:rPr>
          <w:rFonts w:hint="eastAsia"/>
        </w:rPr>
        <w:t>消除</w:t>
      </w:r>
      <w:r w:rsidR="00D00DDA" w:rsidRPr="00CB3320">
        <w:rPr>
          <w:rFonts w:hint="eastAsia"/>
        </w:rPr>
        <w:t>价格的影响，我们将</w:t>
      </w:r>
      <w:r w:rsidR="00AC0F34" w:rsidRPr="00CB3320">
        <w:rPr>
          <w:rFonts w:hint="eastAsia"/>
        </w:rPr>
        <w:t>各指标的价值</w:t>
      </w:r>
      <w:r w:rsidR="00AC0F34" w:rsidRPr="00CB3320">
        <w:rPr>
          <w:rFonts w:hint="eastAsia"/>
        </w:rPr>
        <w:t>/</w:t>
      </w:r>
      <w:r w:rsidR="00AC0F34" w:rsidRPr="00CB3320">
        <w:rPr>
          <w:rFonts w:hint="eastAsia"/>
        </w:rPr>
        <w:t>价格</w:t>
      </w:r>
      <w:r w:rsidR="00D00DDA" w:rsidRPr="00CB3320">
        <w:rPr>
          <w:rFonts w:hint="eastAsia"/>
        </w:rPr>
        <w:t>折算到以</w:t>
      </w:r>
      <w:r w:rsidR="00AC0F34" w:rsidRPr="00CB3320">
        <w:rPr>
          <w:rFonts w:hint="eastAsia"/>
        </w:rPr>
        <w:t>1978</w:t>
      </w:r>
      <w:r w:rsidR="00D00DDA" w:rsidRPr="00CB3320">
        <w:rPr>
          <w:rFonts w:hint="eastAsia"/>
        </w:rPr>
        <w:t>年为基年的</w:t>
      </w:r>
      <w:r w:rsidR="00AC0F34" w:rsidRPr="00CB3320">
        <w:rPr>
          <w:rFonts w:hint="eastAsia"/>
        </w:rPr>
        <w:t>价值</w:t>
      </w:r>
      <w:r w:rsidR="00AC0F34" w:rsidRPr="00CB3320">
        <w:rPr>
          <w:rFonts w:hint="eastAsia"/>
        </w:rPr>
        <w:t>/</w:t>
      </w:r>
      <w:r w:rsidR="00D00DDA" w:rsidRPr="00CB3320">
        <w:rPr>
          <w:rFonts w:hint="eastAsia"/>
        </w:rPr>
        <w:t>价格。</w:t>
      </w:r>
    </w:p>
    <w:p w14:paraId="2B8FE035" w14:textId="5C71AA1E" w:rsidR="006174AF" w:rsidRPr="00CB3320" w:rsidRDefault="00F13EAB" w:rsidP="00F13EAB">
      <w:pPr>
        <w:pStyle w:val="3"/>
        <w:numPr>
          <w:ilvl w:val="0"/>
          <w:numId w:val="0"/>
        </w:numPr>
        <w:spacing w:before="163" w:after="81"/>
        <w:ind w:left="709" w:hanging="709"/>
      </w:pPr>
      <w:bookmarkStart w:id="21" w:name="_Toc121778116"/>
      <w:r w:rsidRPr="00CB3320">
        <w:rPr>
          <w:rFonts w:hint="eastAsia"/>
        </w:rPr>
        <w:t>（</w:t>
      </w:r>
      <w:r w:rsidRPr="00CB3320">
        <w:t>2</w:t>
      </w:r>
      <w:r w:rsidRPr="00CB3320">
        <w:rPr>
          <w:rFonts w:hint="eastAsia"/>
        </w:rPr>
        <w:t>）</w:t>
      </w:r>
      <w:r w:rsidR="00254CB1" w:rsidRPr="00CB3320">
        <w:rPr>
          <w:rFonts w:hint="eastAsia"/>
        </w:rPr>
        <w:t>碳试点</w:t>
      </w:r>
      <w:bookmarkEnd w:id="21"/>
    </w:p>
    <w:p w14:paraId="74AC2152" w14:textId="1B14E38A" w:rsidR="00647BA8" w:rsidRPr="00CB3320" w:rsidRDefault="00647BA8" w:rsidP="00647BA8">
      <w:pPr>
        <w:ind w:firstLine="420"/>
      </w:pPr>
      <w:r w:rsidRPr="00CB3320">
        <w:rPr>
          <w:rFonts w:hint="eastAsia"/>
        </w:rPr>
        <w:t>本文</w:t>
      </w:r>
      <w:proofErr w:type="gramStart"/>
      <w:r w:rsidRPr="00CB3320">
        <w:rPr>
          <w:rFonts w:hint="eastAsia"/>
        </w:rPr>
        <w:t>将碳试点</w:t>
      </w:r>
      <w:proofErr w:type="gramEnd"/>
      <w:r w:rsidRPr="00CB3320">
        <w:rPr>
          <w:rFonts w:hint="eastAsia"/>
        </w:rPr>
        <w:t>的起始年份设定为</w:t>
      </w:r>
      <w:r w:rsidRPr="00CB3320">
        <w:rPr>
          <w:rFonts w:hint="eastAsia"/>
        </w:rPr>
        <w:t>2</w:t>
      </w:r>
      <w:r w:rsidRPr="00CB3320">
        <w:t>011</w:t>
      </w:r>
      <w:r w:rsidRPr="00CB3320">
        <w:rPr>
          <w:rFonts w:hint="eastAsia"/>
        </w:rPr>
        <w:t>年</w:t>
      </w:r>
      <w:r w:rsidR="00A77EEF" w:rsidRPr="00CB3320">
        <w:fldChar w:fldCharType="begin" w:fldLock="1"/>
      </w:r>
      <w:r w:rsidR="001B271C">
        <w:instrText>ADDIN CSL_CITATION {"citationItems":[{"id":"ITEM-1","itemData":{"DOI":"10.1016/j.eneco.2019.104590","ISSN":"01409883","abstract":"Whether the emission trading scheme (ETS) can achieve energy conservation and emission reduction in developing countries is crucial for these countries to achieve sustainable economic and environmental development. This study investigates the energy conservation and emission reduction effects of China's carbon dioxide (CO2) ETS pilot policy implemented in 2011. Based on panel data of the two-digit industry at province level from 2005 to 2015, we adopt the difference-in-differences (DID) model to examine the effects of the CO2 ETS on energy conservation and emission reduction. The results show that the CO2 ETS decreases the energy consumption of the regulated industries in pilot areas by 22.8% and the CO2 emissions by 15.5% compared to those in nonpilot areas. Further analysis indicates that the policy effects are mainly driven by improving technical efficiency and adjusting industrial structure. In addition, we find that the CO2 ETS performs better in areas with high levels of environmental enforcement and marketization. Overall, our findings suggest that the CO2 ETS has achieved energy conservation and emission reduction effects in developing countries.","author":[{"dropping-particle":"","family":"Hu","given":"Yucai","non-dropping-particle":"","parse-names":false,"suffix":""},{"dropping-particle":"","family":"Ren","given":"Shenggang","non-dropping-particle":"","parse-names":false,"suffix":""},{"dropping-particle":"","family":"Wang","given":"Yangjie","non-dropping-particle":"","parse-names":false,"suffix":""},{"dropping-particle":"","family":"Chen","given":"Xiaohong","non-dropping-particle":"","parse-names":false,"suffix":""}],"container-title":"Energy Economics","id":"ITEM-1","issued":{"date-parts":[["2020","1"]]},"page":"104590","publisher":"Elsevier B.V.","title":"Can carbon emission trading scheme achieve energy conservation and emission reduction? Evidence from the industrial sector in China","type":"article-journal","volume":"85"},"uris":["http://www.mendeley.com/documents/?uuid=6112c9f4-8342-4d85-9f4d-0b7bfc37a641"]},{"id":"ITEM-2","itemData":{"DOI":"10.1016/j.jenvman.2020.111609","ISSN":"03014797","author":[{"dropping-particle":"","family":"Zhang","given":"Dongyang","non-dropping-particle":"","parse-names":false,"suffix":""},{"dropping-particle":"","family":"Vigne","given":"Samuel A.","non-dropping-particle":"","parse-names":false,"suffix":""}],"container-title":"Journal of Environmental Management","id":"ITEM-2","issued":{"date-parts":[["2021","2"]]},"page":"111609","title":"The causal effect on firm performance of China's financing–pollution emission reduction policy: Firm-level evidence","type":"article-journal","volume":"279"},"uris":["http://www.mendeley.com/documents/?uuid=d2e980f5-4d90-4122-a458-94e86541fa34","http://www.mendeley.com/documents/?uuid=6fe44f52-010a-4177-8e4b-6bab851fc5c7"]},{"id":"ITEM-3","itemData":{"DOI":"10.1007/s10640-020-00406-3","ISSN":"0924-6460","author":[{"dropping-particle":"","family":"Liu","given":"Cenjie","non-dropping-particle":"","parse-names":false,"suffix":""},{"dropping-particle":"","family":"Ma","given":"Chunbo","non-dropping-particle":"","parse-names":false,"suffix":""},{"dropping-particle":"","family":"Xie","given":"Rui","non-dropping-particle":"","parse-names":false,"suffix":""}],"container-title":"Environmental and Resource Economics","id":"ITEM-3","issue":"4","issued":{"date-parts":[["2020","4","27"]]},"page":"741-768","title":"Structural, Innovation and Efficiency Effects of Environmental Regulation: Evidence from China’s Carbon Emissions Trading Pilot","type":"article-journal","volume":"75"},"uris":["http://www.mendeley.com/documents/?uuid=0ab034fb-22cd-4100-91f5-d2c758fa7</w:instrText>
      </w:r>
      <w:r w:rsidR="001B271C">
        <w:rPr>
          <w:rFonts w:hint="eastAsia"/>
        </w:rPr>
        <w:instrText>249"]}],"mendeley":{"formattedCitation":"(Hu</w:instrText>
      </w:r>
      <w:r w:rsidR="001B271C">
        <w:rPr>
          <w:rFonts w:hint="eastAsia"/>
        </w:rPr>
        <w:instrText>等</w:instrText>
      </w:r>
      <w:r w:rsidR="001B271C">
        <w:rPr>
          <w:rFonts w:hint="eastAsia"/>
        </w:rPr>
        <w:instrText>, 2020; Liu</w:instrText>
      </w:r>
      <w:r w:rsidR="001B271C">
        <w:rPr>
          <w:rFonts w:hint="eastAsia"/>
        </w:rPr>
        <w:instrText>等</w:instrText>
      </w:r>
      <w:r w:rsidR="001B271C">
        <w:rPr>
          <w:rFonts w:hint="eastAsia"/>
        </w:rPr>
        <w:instrText>, 2020; Zhang D</w:instrText>
      </w:r>
      <w:r w:rsidR="001B271C">
        <w:rPr>
          <w:rFonts w:hint="eastAsia"/>
        </w:rPr>
        <w:instrText>等</w:instrText>
      </w:r>
      <w:r w:rsidR="001B271C">
        <w:rPr>
          <w:rFonts w:hint="eastAsia"/>
        </w:rPr>
        <w:instrText>, 2021)","manualFormatting":"(Hu et al</w:instrText>
      </w:r>
      <w:r w:rsidR="001B271C">
        <w:rPr>
          <w:rFonts w:hint="eastAsia"/>
        </w:rPr>
        <w:instrText>，</w:instrText>
      </w:r>
      <w:r w:rsidR="001B271C">
        <w:rPr>
          <w:rFonts w:hint="eastAsia"/>
        </w:rPr>
        <w:instrText>2020</w:instrText>
      </w:r>
      <w:r w:rsidR="001B271C">
        <w:rPr>
          <w:rFonts w:hint="eastAsia"/>
        </w:rPr>
        <w:instrText>；</w:instrText>
      </w:r>
      <w:r w:rsidR="001B271C">
        <w:rPr>
          <w:rFonts w:hint="eastAsia"/>
        </w:rPr>
        <w:instrText>Liu et al</w:instrText>
      </w:r>
      <w:r w:rsidR="001B271C">
        <w:rPr>
          <w:rFonts w:hint="eastAsia"/>
        </w:rPr>
        <w:instrText>，</w:instrText>
      </w:r>
      <w:r w:rsidR="001B271C">
        <w:rPr>
          <w:rFonts w:hint="eastAsia"/>
        </w:rPr>
        <w:instrText>2020</w:instrText>
      </w:r>
      <w:r w:rsidR="001B271C">
        <w:rPr>
          <w:rFonts w:hint="eastAsia"/>
        </w:rPr>
        <w:instrText>；</w:instrText>
      </w:r>
      <w:r w:rsidR="001B271C">
        <w:rPr>
          <w:rFonts w:hint="eastAsia"/>
        </w:rPr>
        <w:instrText>Zhang D et al</w:instrText>
      </w:r>
      <w:r w:rsidR="001B271C">
        <w:rPr>
          <w:rFonts w:hint="eastAsia"/>
        </w:rPr>
        <w:instrText>，</w:instrText>
      </w:r>
      <w:r w:rsidR="001B271C">
        <w:rPr>
          <w:rFonts w:hint="eastAsia"/>
        </w:rPr>
        <w:instrText>2021)","plainTextFormattedCitation":"(Hu</w:instrText>
      </w:r>
      <w:r w:rsidR="001B271C">
        <w:rPr>
          <w:rFonts w:hint="eastAsia"/>
        </w:rPr>
        <w:instrText>等</w:instrText>
      </w:r>
      <w:r w:rsidR="001B271C">
        <w:rPr>
          <w:rFonts w:hint="eastAsia"/>
        </w:rPr>
        <w:instrText>, 2020; Liu</w:instrText>
      </w:r>
      <w:r w:rsidR="001B271C">
        <w:rPr>
          <w:rFonts w:hint="eastAsia"/>
        </w:rPr>
        <w:instrText>等</w:instrText>
      </w:r>
      <w:r w:rsidR="001B271C">
        <w:rPr>
          <w:rFonts w:hint="eastAsia"/>
        </w:rPr>
        <w:instrText>, 2020; Zhang D</w:instrText>
      </w:r>
      <w:r w:rsidR="001B271C">
        <w:rPr>
          <w:rFonts w:hint="eastAsia"/>
        </w:rPr>
        <w:instrText>等</w:instrText>
      </w:r>
      <w:r w:rsidR="001B271C">
        <w:rPr>
          <w:rFonts w:hint="eastAsia"/>
        </w:rPr>
        <w:instrText>, 2021)","previouslyFormattedCitation":"(Hu</w:instrText>
      </w:r>
      <w:r w:rsidR="001B271C">
        <w:rPr>
          <w:rFonts w:hint="eastAsia"/>
        </w:rPr>
        <w:instrText>等</w:instrText>
      </w:r>
      <w:r w:rsidR="001B271C">
        <w:rPr>
          <w:rFonts w:hint="eastAsia"/>
        </w:rPr>
        <w:instrText>, 2020; Liu</w:instrText>
      </w:r>
      <w:r w:rsidR="001B271C">
        <w:rPr>
          <w:rFonts w:hint="eastAsia"/>
        </w:rPr>
        <w:instrText>等</w:instrText>
      </w:r>
      <w:r w:rsidR="001B271C">
        <w:rPr>
          <w:rFonts w:hint="eastAsia"/>
        </w:rPr>
        <w:instrText>, 2020; Zhang D</w:instrText>
      </w:r>
      <w:r w:rsidR="001B271C">
        <w:rPr>
          <w:rFonts w:hint="eastAsia"/>
        </w:rPr>
        <w:instrText>等</w:instrText>
      </w:r>
      <w:r w:rsidR="001B271C">
        <w:rPr>
          <w:rFonts w:hint="eastAsia"/>
        </w:rPr>
        <w:instrText>, 2021)"},"properties":{"noteIndex":0},"schema":"https://github.com/citation-style-language/schema/raw/master/csl-citation.json"}</w:instrText>
      </w:r>
      <w:r w:rsidR="00A77EEF" w:rsidRPr="00CB3320">
        <w:fldChar w:fldCharType="separate"/>
      </w:r>
      <w:r w:rsidR="00364702" w:rsidRPr="00CB3320">
        <w:rPr>
          <w:rFonts w:hint="eastAsia"/>
          <w:noProof/>
        </w:rPr>
        <w:t>(Hu</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005B1161" w:rsidRPr="00CB3320">
        <w:rPr>
          <w:rFonts w:hint="eastAsia"/>
          <w:noProof/>
        </w:rPr>
        <w:t>；</w:t>
      </w:r>
      <w:r w:rsidR="00364702" w:rsidRPr="00CB3320">
        <w:rPr>
          <w:rFonts w:hint="eastAsia"/>
          <w:noProof/>
        </w:rPr>
        <w:t>Liu</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005B1161" w:rsidRPr="00CB3320">
        <w:rPr>
          <w:rFonts w:hint="eastAsia"/>
          <w:noProof/>
        </w:rPr>
        <w:t>；</w:t>
      </w:r>
      <w:r w:rsidR="00364702" w:rsidRPr="00CB3320">
        <w:rPr>
          <w:rFonts w:hint="eastAsia"/>
          <w:noProof/>
        </w:rPr>
        <w:t>Zhang D</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00A77EEF" w:rsidRPr="00CB3320">
        <w:fldChar w:fldCharType="end"/>
      </w:r>
      <w:r w:rsidRPr="00CB3320">
        <w:rPr>
          <w:rFonts w:hint="eastAsia"/>
        </w:rPr>
        <w:t>而非选择</w:t>
      </w:r>
      <w:r w:rsidRPr="00CB3320">
        <w:rPr>
          <w:rFonts w:hint="eastAsia"/>
        </w:rPr>
        <w:t>2</w:t>
      </w:r>
      <w:r w:rsidRPr="00CB3320">
        <w:t>013</w:t>
      </w:r>
      <w:r w:rsidRPr="00CB3320">
        <w:rPr>
          <w:rFonts w:hint="eastAsia"/>
        </w:rPr>
        <w:t>或</w:t>
      </w:r>
      <w:r w:rsidRPr="00CB3320">
        <w:rPr>
          <w:rFonts w:hint="eastAsia"/>
        </w:rPr>
        <w:t>2</w:t>
      </w:r>
      <w:r w:rsidRPr="00CB3320">
        <w:t>014</w:t>
      </w:r>
      <w:r w:rsidRPr="00CB3320">
        <w:rPr>
          <w:rFonts w:hint="eastAsia"/>
        </w:rPr>
        <w:t>年</w:t>
      </w:r>
      <w:r w:rsidR="00A77EEF" w:rsidRPr="00CB3320">
        <w:fldChar w:fldCharType="begin" w:fldLock="1"/>
      </w:r>
      <w:r w:rsidR="001B271C">
        <w:instrText>ADDIN CSL_CITATION {"citationItems":[{"id":"ITEM-1","itemData":{"DOI":"10.1016/j.apenergy.2021.116487","ISSN":"03062619","author":[{"dropping-particle":"","family":"Fang","given":"Xichen","non-dropping-particle":"","parse-names":false,"suffix":""},{"dropping-particle":"","family":"Guo","given":"Hongye","non-dropping-particle":"","parse-names":false,"suffix":""},{"dropping-particle":"","family":"Zhang","given":"Da","non-dropping-particle":"","parse-names":false,"suffix":""},{"dropping-particle":"","family":"Chen","given":"Qixin","non-dropping-particle":"","parse-names":false,"suffix":""}],"container-title":"Applied Energy","id":"ITEM-1","issued":{"date-parts":[["2021","3"]]},"page":"116487","title":"Cost recovery and investment barriers for renewables under market manipulation of thermal collusion","type":"article-journal","volume":"285"},"uris":["http://www.mendeley.com/documents/?uuid=1f8c5660-49d8-485f-ae96-f247ca5fb63f"]},{"id":"ITEM-2","itemData":{"DOI":"10.1016/j.accre.2020.06.001","ISSN":"16749278","author":[{"dropping-particle":"","family":"Dong","given":"Zhi-Qing","non-dropping-particle":"","parse-names":false,"suffix":""},{"dropping-particle":"","family":"Wang","given":"Hui","non-dropping-particle":"","parse-names":false,"suffix":""},{"dropping-particle":"","family":"Wang","given":"Shi-Xiang","non-dropping-particle":"","parse-names":false,"suffix":""},{"dropping-particle":"","family":"Wang","given":"Lin-Hui","non-dropping-particle":"","parse-names":false,"suffix":""}],"container-title":"Advances in Climate Change Research","id":"ITEM-2","issue":"2","issued":{"date-parts":[["2020","6"]]},"page":"102-109","title":"The validity of carbon emission trading policies: Evidence from a quasi-natural experiment in China","type":"article-journal","volume":"</w:instrText>
      </w:r>
      <w:r w:rsidR="001B271C">
        <w:rPr>
          <w:rFonts w:hint="eastAsia"/>
        </w:rPr>
        <w:instrText>11"},"uris":["http://www.mendeley.com/documents/?uuid=88f65a42-e3a1-416c-b43b-51d19cd2fbe8","http://www.mendeley.com/documents/?uuid=7bfd7ece-a008-41c6-befc-20bc6147ad49"]}],"mendeley":{"formattedCitation":"(Dong</w:instrText>
      </w:r>
      <w:r w:rsidR="001B271C">
        <w:rPr>
          <w:rFonts w:hint="eastAsia"/>
        </w:rPr>
        <w:instrText>等</w:instrText>
      </w:r>
      <w:r w:rsidR="001B271C">
        <w:rPr>
          <w:rFonts w:hint="eastAsia"/>
        </w:rPr>
        <w:instrText>, 2020; Fang</w:instrText>
      </w:r>
      <w:r w:rsidR="001B271C">
        <w:rPr>
          <w:rFonts w:hint="eastAsia"/>
        </w:rPr>
        <w:instrText>等</w:instrText>
      </w:r>
      <w:r w:rsidR="001B271C">
        <w:rPr>
          <w:rFonts w:hint="eastAsia"/>
        </w:rPr>
        <w:instrText>, 2021)","manualFormatting":"(Dong et al</w:instrText>
      </w:r>
      <w:r w:rsidR="001B271C">
        <w:rPr>
          <w:rFonts w:hint="eastAsia"/>
        </w:rPr>
        <w:instrText>，</w:instrText>
      </w:r>
      <w:r w:rsidR="001B271C">
        <w:rPr>
          <w:rFonts w:hint="eastAsia"/>
        </w:rPr>
        <w:instrText>2020</w:instrText>
      </w:r>
      <w:r w:rsidR="001B271C">
        <w:rPr>
          <w:rFonts w:hint="eastAsia"/>
        </w:rPr>
        <w:instrText>；</w:instrText>
      </w:r>
      <w:r w:rsidR="001B271C">
        <w:rPr>
          <w:rFonts w:hint="eastAsia"/>
        </w:rPr>
        <w:instrText>Fang et al</w:instrText>
      </w:r>
      <w:r w:rsidR="001B271C">
        <w:rPr>
          <w:rFonts w:hint="eastAsia"/>
        </w:rPr>
        <w:instrText>，</w:instrText>
      </w:r>
      <w:r w:rsidR="001B271C">
        <w:rPr>
          <w:rFonts w:hint="eastAsia"/>
        </w:rPr>
        <w:instrText>2021)","plainTextFormattedCitation":"(Dong</w:instrText>
      </w:r>
      <w:r w:rsidR="001B271C">
        <w:rPr>
          <w:rFonts w:hint="eastAsia"/>
        </w:rPr>
        <w:instrText>等</w:instrText>
      </w:r>
      <w:r w:rsidR="001B271C">
        <w:rPr>
          <w:rFonts w:hint="eastAsia"/>
        </w:rPr>
        <w:instrText>, 2020; Fang</w:instrText>
      </w:r>
      <w:r w:rsidR="001B271C">
        <w:rPr>
          <w:rFonts w:hint="eastAsia"/>
        </w:rPr>
        <w:instrText>等</w:instrText>
      </w:r>
      <w:r w:rsidR="001B271C">
        <w:rPr>
          <w:rFonts w:hint="eastAsia"/>
        </w:rPr>
        <w:instrText>, 2021)","previouslyFormattedCitation":"(Dong</w:instrText>
      </w:r>
      <w:r w:rsidR="001B271C">
        <w:rPr>
          <w:rFonts w:hint="eastAsia"/>
        </w:rPr>
        <w:instrText>等</w:instrText>
      </w:r>
      <w:r w:rsidR="001B271C">
        <w:rPr>
          <w:rFonts w:hint="eastAsia"/>
        </w:rPr>
        <w:instrText>, 2020; Fang</w:instrText>
      </w:r>
      <w:r w:rsidR="001B271C">
        <w:rPr>
          <w:rFonts w:hint="eastAsia"/>
        </w:rPr>
        <w:instrText>等</w:instrText>
      </w:r>
      <w:r w:rsidR="001B271C">
        <w:rPr>
          <w:rFonts w:hint="eastAsia"/>
        </w:rPr>
        <w:instrText>, 2021)"},"properties":{"noteIndex":0},"schema":"https://github.com/citation-style-language/schema/raw/master/cs</w:instrText>
      </w:r>
      <w:r w:rsidR="001B271C">
        <w:instrText>l-citation.json"}</w:instrText>
      </w:r>
      <w:r w:rsidR="00A77EEF" w:rsidRPr="00CB3320">
        <w:fldChar w:fldCharType="separate"/>
      </w:r>
      <w:r w:rsidR="00364702" w:rsidRPr="00CB3320">
        <w:rPr>
          <w:rFonts w:hint="eastAsia"/>
          <w:noProof/>
        </w:rPr>
        <w:t>(Dong</w:t>
      </w:r>
      <w:r w:rsidR="005B1161" w:rsidRPr="00CB3320">
        <w:rPr>
          <w:rFonts w:hint="eastAsia"/>
          <w:noProof/>
        </w:rPr>
        <w:t xml:space="preserve"> et al</w:t>
      </w:r>
      <w:r w:rsidR="005B1161" w:rsidRPr="00CB3320">
        <w:rPr>
          <w:rFonts w:hint="eastAsia"/>
          <w:noProof/>
        </w:rPr>
        <w:t>，</w:t>
      </w:r>
      <w:r w:rsidR="00364702" w:rsidRPr="00CB3320">
        <w:rPr>
          <w:rFonts w:hint="eastAsia"/>
          <w:noProof/>
        </w:rPr>
        <w:t>2020</w:t>
      </w:r>
      <w:r w:rsidR="005B1161" w:rsidRPr="00CB3320">
        <w:rPr>
          <w:rFonts w:hint="eastAsia"/>
          <w:noProof/>
        </w:rPr>
        <w:t>；</w:t>
      </w:r>
      <w:r w:rsidR="00364702" w:rsidRPr="00CB3320">
        <w:rPr>
          <w:rFonts w:hint="eastAsia"/>
          <w:noProof/>
        </w:rPr>
        <w:t>Fang</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00A77EEF" w:rsidRPr="00CB3320">
        <w:fldChar w:fldCharType="end"/>
      </w:r>
      <w:r w:rsidRPr="00CB3320">
        <w:rPr>
          <w:rFonts w:hint="eastAsia"/>
        </w:rPr>
        <w:t>。这是因为，</w:t>
      </w:r>
      <w:r w:rsidRPr="00CB3320">
        <w:rPr>
          <w:rFonts w:hint="eastAsia"/>
        </w:rPr>
        <w:t>2</w:t>
      </w:r>
      <w:r w:rsidRPr="00CB3320">
        <w:t>011</w:t>
      </w:r>
      <w:r w:rsidRPr="00CB3320">
        <w:rPr>
          <w:rFonts w:hint="eastAsia"/>
        </w:rPr>
        <w:t>年，国务院</w:t>
      </w:r>
      <w:proofErr w:type="gramStart"/>
      <w:r w:rsidRPr="00CB3320">
        <w:rPr>
          <w:rFonts w:hint="eastAsia"/>
        </w:rPr>
        <w:t>和发改委</w:t>
      </w:r>
      <w:proofErr w:type="gramEnd"/>
      <w:r w:rsidRPr="00CB3320">
        <w:rPr>
          <w:rFonts w:hint="eastAsia"/>
        </w:rPr>
        <w:t>相继发文批准在北京市、天津市、上海市、重庆市、湖北省、广东省及深圳市开展</w:t>
      </w:r>
      <w:proofErr w:type="gramStart"/>
      <w:r w:rsidRPr="00CB3320">
        <w:rPr>
          <w:rFonts w:hint="eastAsia"/>
        </w:rPr>
        <w:t>碳交易</w:t>
      </w:r>
      <w:proofErr w:type="gramEnd"/>
      <w:r w:rsidRPr="00CB3320">
        <w:rPr>
          <w:rFonts w:hint="eastAsia"/>
        </w:rPr>
        <w:t>试点</w:t>
      </w:r>
      <w:r w:rsidR="008F4AC4" w:rsidRPr="00CB3320">
        <w:rPr>
          <w:rFonts w:hint="eastAsia"/>
        </w:rPr>
        <w:t>。该项政策为后续建立全国性的</w:t>
      </w:r>
      <w:proofErr w:type="gramStart"/>
      <w:r w:rsidR="008F4AC4" w:rsidRPr="00CB3320">
        <w:rPr>
          <w:rFonts w:hint="eastAsia"/>
        </w:rPr>
        <w:t>碳交易</w:t>
      </w:r>
      <w:proofErr w:type="gramEnd"/>
      <w:r w:rsidR="008F4AC4" w:rsidRPr="00CB3320">
        <w:rPr>
          <w:rFonts w:hint="eastAsia"/>
        </w:rPr>
        <w:t>市场做了前期准备工作。</w:t>
      </w:r>
      <w:proofErr w:type="gramStart"/>
      <w:r w:rsidR="00344582" w:rsidRPr="00CB3320">
        <w:rPr>
          <w:rFonts w:hint="eastAsia"/>
        </w:rPr>
        <w:t>尽管碳排放权</w:t>
      </w:r>
      <w:proofErr w:type="gramEnd"/>
      <w:r w:rsidR="00344582" w:rsidRPr="00CB3320">
        <w:rPr>
          <w:rFonts w:hint="eastAsia"/>
        </w:rPr>
        <w:t>的正式交易启动于</w:t>
      </w:r>
      <w:r w:rsidR="00344582" w:rsidRPr="00CB3320">
        <w:rPr>
          <w:rFonts w:hint="eastAsia"/>
        </w:rPr>
        <w:t>2</w:t>
      </w:r>
      <w:r w:rsidR="00344582" w:rsidRPr="00CB3320">
        <w:t>013</w:t>
      </w:r>
      <w:r w:rsidR="00344582" w:rsidRPr="00CB3320">
        <w:rPr>
          <w:rFonts w:hint="eastAsia"/>
        </w:rPr>
        <w:t>年，</w:t>
      </w:r>
      <w:proofErr w:type="gramStart"/>
      <w:r w:rsidR="00344582" w:rsidRPr="00CB3320">
        <w:rPr>
          <w:rFonts w:hint="eastAsia"/>
        </w:rPr>
        <w:t>但</w:t>
      </w:r>
      <w:r w:rsidR="001155D6" w:rsidRPr="00CB3320">
        <w:rPr>
          <w:rFonts w:hint="eastAsia"/>
        </w:rPr>
        <w:t>碳交易</w:t>
      </w:r>
      <w:proofErr w:type="gramEnd"/>
      <w:r w:rsidR="001155D6" w:rsidRPr="00CB3320">
        <w:rPr>
          <w:rFonts w:hint="eastAsia"/>
        </w:rPr>
        <w:t>的准备工作和关键步骤皆起始于</w:t>
      </w:r>
      <w:r w:rsidR="001155D6" w:rsidRPr="00CB3320">
        <w:rPr>
          <w:rFonts w:hint="eastAsia"/>
        </w:rPr>
        <w:t>2</w:t>
      </w:r>
      <w:r w:rsidR="001155D6" w:rsidRPr="00CB3320">
        <w:t>011</w:t>
      </w:r>
      <w:r w:rsidR="001155D6" w:rsidRPr="00CB3320">
        <w:rPr>
          <w:rFonts w:hint="eastAsia"/>
        </w:rPr>
        <w:t>年，包括</w:t>
      </w:r>
      <w:r w:rsidR="004365FE" w:rsidRPr="00CB3320">
        <w:rPr>
          <w:rFonts w:hint="eastAsia"/>
        </w:rPr>
        <w:t>建立一些交易制度</w:t>
      </w:r>
      <w:r w:rsidR="001C70EC" w:rsidRPr="00CB3320">
        <w:rPr>
          <w:rFonts w:hint="eastAsia"/>
        </w:rPr>
        <w:t>、编制</w:t>
      </w:r>
      <w:proofErr w:type="gramStart"/>
      <w:r w:rsidR="001C70EC" w:rsidRPr="00CB3320">
        <w:rPr>
          <w:rFonts w:hint="eastAsia"/>
        </w:rPr>
        <w:t>碳交易</w:t>
      </w:r>
      <w:proofErr w:type="gramEnd"/>
      <w:r w:rsidR="001C70EC" w:rsidRPr="00CB3320">
        <w:rPr>
          <w:rFonts w:hint="eastAsia"/>
        </w:rPr>
        <w:t>实施方案、研制碳排放试点办理办法、设定总量控制目标</w:t>
      </w:r>
      <w:r w:rsidR="004365FE" w:rsidRPr="00CB3320">
        <w:rPr>
          <w:rFonts w:hint="eastAsia"/>
        </w:rPr>
        <w:t>以及</w:t>
      </w:r>
      <w:r w:rsidR="001C70EC" w:rsidRPr="00CB3320">
        <w:rPr>
          <w:rFonts w:hint="eastAsia"/>
        </w:rPr>
        <w:t>建立</w:t>
      </w:r>
      <w:r w:rsidR="004365FE" w:rsidRPr="00CB3320">
        <w:rPr>
          <w:rFonts w:hint="eastAsia"/>
        </w:rPr>
        <w:t>监测、报告与核查（</w:t>
      </w:r>
      <w:r w:rsidR="004365FE" w:rsidRPr="00CB3320">
        <w:rPr>
          <w:rFonts w:hint="eastAsia"/>
        </w:rPr>
        <w:t>MRV</w:t>
      </w:r>
      <w:r w:rsidR="004365FE" w:rsidRPr="00CB3320">
        <w:rPr>
          <w:rFonts w:hint="eastAsia"/>
        </w:rPr>
        <w:t>）管理机制</w:t>
      </w:r>
      <w:r w:rsidR="001C70EC" w:rsidRPr="00CB3320">
        <w:rPr>
          <w:rFonts w:hint="eastAsia"/>
        </w:rPr>
        <w:t>等</w:t>
      </w:r>
      <w:r w:rsidR="00B82182" w:rsidRPr="00CB3320">
        <w:rPr>
          <w:rFonts w:hint="eastAsia"/>
        </w:rPr>
        <w:t>。</w:t>
      </w:r>
      <w:r w:rsidR="001C70EC" w:rsidRPr="00CB3320">
        <w:rPr>
          <w:rFonts w:hint="eastAsia"/>
        </w:rPr>
        <w:t>这些方案和</w:t>
      </w:r>
      <w:r w:rsidR="00B82182" w:rsidRPr="00CB3320">
        <w:rPr>
          <w:rFonts w:hint="eastAsia"/>
        </w:rPr>
        <w:t>机制</w:t>
      </w:r>
      <w:r w:rsidR="0097731B" w:rsidRPr="00CB3320">
        <w:rPr>
          <w:rFonts w:hint="eastAsia"/>
        </w:rPr>
        <w:t>的建立</w:t>
      </w:r>
      <w:r w:rsidR="00812CE3" w:rsidRPr="00CB3320">
        <w:rPr>
          <w:rFonts w:hint="eastAsia"/>
        </w:rPr>
        <w:t>是对碳</w:t>
      </w:r>
      <w:r w:rsidR="004365FE" w:rsidRPr="00CB3320">
        <w:rPr>
          <w:rFonts w:hint="eastAsia"/>
        </w:rPr>
        <w:t>排放</w:t>
      </w:r>
      <w:r w:rsidR="001C70EC" w:rsidRPr="00CB3320">
        <w:rPr>
          <w:rFonts w:hint="eastAsia"/>
        </w:rPr>
        <w:t>进行规范化实施</w:t>
      </w:r>
      <w:r w:rsidR="004365FE" w:rsidRPr="00CB3320">
        <w:rPr>
          <w:rFonts w:hint="eastAsia"/>
        </w:rPr>
        <w:t>的关键环节，</w:t>
      </w:r>
      <w:r w:rsidR="00F67D7C" w:rsidRPr="00CB3320">
        <w:rPr>
          <w:rFonts w:hint="eastAsia"/>
        </w:rPr>
        <w:t>为碳配额</w:t>
      </w:r>
      <w:r w:rsidR="001C70EC" w:rsidRPr="00CB3320">
        <w:rPr>
          <w:rFonts w:hint="eastAsia"/>
        </w:rPr>
        <w:t>设定、碳排放量化和</w:t>
      </w:r>
      <w:proofErr w:type="gramStart"/>
      <w:r w:rsidR="00F67D7C" w:rsidRPr="00CB3320">
        <w:rPr>
          <w:rFonts w:hint="eastAsia"/>
        </w:rPr>
        <w:t>碳交易</w:t>
      </w:r>
      <w:proofErr w:type="gramEnd"/>
      <w:r w:rsidR="00434A88" w:rsidRPr="00CB3320">
        <w:rPr>
          <w:rFonts w:hint="eastAsia"/>
        </w:rPr>
        <w:t>核算</w:t>
      </w:r>
      <w:r w:rsidR="00F67D7C" w:rsidRPr="00CB3320">
        <w:rPr>
          <w:rFonts w:hint="eastAsia"/>
        </w:rPr>
        <w:t>提供了基础支撑</w:t>
      </w:r>
      <w:r w:rsidR="004365FE" w:rsidRPr="00CB3320">
        <w:rPr>
          <w:rFonts w:hint="eastAsia"/>
        </w:rPr>
        <w:t>。</w:t>
      </w:r>
      <w:r w:rsidR="001F5A1A" w:rsidRPr="00CB3320">
        <w:rPr>
          <w:rFonts w:hint="eastAsia"/>
        </w:rPr>
        <w:t>由于“公告效应”的</w:t>
      </w:r>
      <w:r w:rsidR="00F96534" w:rsidRPr="00CB3320">
        <w:rPr>
          <w:rFonts w:hint="eastAsia"/>
        </w:rPr>
        <w:t>存在</w:t>
      </w:r>
      <w:r w:rsidR="007B3A51" w:rsidRPr="00CB3320">
        <w:fldChar w:fldCharType="begin" w:fldLock="1"/>
      </w:r>
      <w:r w:rsidR="005B1161" w:rsidRPr="00CB3320">
        <w:instrText>ADDIN CSL_CITATION {"citationItems":[{"id":"ITEM-1","itemData":{"DOI":"10.1016/j.jclepro.2021.127104","ISSN":"09596526","author":[{"dropping-particle":"","family":"Xiao","given":"Jin","non-dropping-particle":"","parse-names":false,"suffix":""},{"dropping-particle":"","family":"Li","given":"Guohao","non-dropping-particle":"","parse-names":false,"suffix":""},{"dropping-particle":"","family":"Zhu","given":"Bing","non-dropping-particle":"","parse-names":false,"suffix":""},{"dropping-particle":"","family":"Xie","given":"Ling","non-dropping-particle":"","parse-names":false,"suffix":""},{"dropping-particle":"","family":"Hu","given":"Yi","non-dropping-particle":"","parse-names":false,"suffix":""},{"dropping-particle":"","family":"Huang","given":"Jing","non-dropping-particle":"","parse-names":false,"suffix":""}],"container-title":"Journal of Cleaner Production","id":"ITEM-1","issued":{"date-parts":[["2021","7"]]},"page":"127104","title":"Evaluating the impact of carbon emissions trading scheme on Chinese firms’ to</w:instrText>
      </w:r>
      <w:r w:rsidR="005B1161" w:rsidRPr="00CB3320">
        <w:rPr>
          <w:rFonts w:hint="eastAsia"/>
        </w:rPr>
        <w:instrText>tal factor productivity","type":"article-journal","volume":"306"},"uris":["http://www.mendeley.com/documents/?uuid=bafe25e8-a88d-412c-a6b4-5c94a2ccf8cb"]}],"mendeley":{"formattedCitation":"(Xiao</w:instrText>
      </w:r>
      <w:r w:rsidR="005B1161" w:rsidRPr="00CB3320">
        <w:rPr>
          <w:rFonts w:hint="eastAsia"/>
        </w:rPr>
        <w:instrText>等</w:instrText>
      </w:r>
      <w:r w:rsidR="005B1161" w:rsidRPr="00CB3320">
        <w:rPr>
          <w:rFonts w:hint="eastAsia"/>
        </w:rPr>
        <w:instrText>, 2021)","manualFormatting":"(Xiao et al</w:instrText>
      </w:r>
      <w:r w:rsidR="005B1161" w:rsidRPr="00CB3320">
        <w:rPr>
          <w:rFonts w:hint="eastAsia"/>
        </w:rPr>
        <w:instrText>，</w:instrText>
      </w:r>
      <w:r w:rsidR="005B1161" w:rsidRPr="00CB3320">
        <w:rPr>
          <w:rFonts w:hint="eastAsia"/>
        </w:rPr>
        <w:instrText>2021)","plainTextFormattedCitation":"(Xiao</w:instrText>
      </w:r>
      <w:r w:rsidR="005B1161" w:rsidRPr="00CB3320">
        <w:rPr>
          <w:rFonts w:hint="eastAsia"/>
        </w:rPr>
        <w:instrText>等</w:instrText>
      </w:r>
      <w:r w:rsidR="005B1161" w:rsidRPr="00CB3320">
        <w:rPr>
          <w:rFonts w:hint="eastAsia"/>
        </w:rPr>
        <w:instrText>, 2021)","previouslyFormattedCitation":"(Xiao</w:instrText>
      </w:r>
      <w:r w:rsidR="005B1161" w:rsidRPr="00CB3320">
        <w:rPr>
          <w:rFonts w:hint="eastAsia"/>
        </w:rPr>
        <w:instrText>等</w:instrText>
      </w:r>
      <w:r w:rsidR="005B1161" w:rsidRPr="00CB3320">
        <w:rPr>
          <w:rFonts w:hint="eastAsia"/>
        </w:rPr>
        <w:instrText>, 2021)"},"properties":{"noteIndex":0},"schema":"https://github.com/citation-style-language/schema/raw/master/csl-citation.json"}</w:instrText>
      </w:r>
      <w:r w:rsidR="007B3A51" w:rsidRPr="00CB3320">
        <w:fldChar w:fldCharType="separate"/>
      </w:r>
      <w:r w:rsidR="00364702" w:rsidRPr="00CB3320">
        <w:rPr>
          <w:rFonts w:hint="eastAsia"/>
          <w:noProof/>
        </w:rPr>
        <w:t>(Xiao</w:t>
      </w:r>
      <w:r w:rsidR="005B1161" w:rsidRPr="00CB3320">
        <w:rPr>
          <w:rFonts w:hint="eastAsia"/>
          <w:noProof/>
        </w:rPr>
        <w:t xml:space="preserve"> et al</w:t>
      </w:r>
      <w:r w:rsidR="005B1161" w:rsidRPr="00CB3320">
        <w:rPr>
          <w:rFonts w:hint="eastAsia"/>
          <w:noProof/>
        </w:rPr>
        <w:t>，</w:t>
      </w:r>
      <w:r w:rsidR="00364702" w:rsidRPr="00CB3320">
        <w:rPr>
          <w:rFonts w:hint="eastAsia"/>
          <w:noProof/>
        </w:rPr>
        <w:t>2021)</w:t>
      </w:r>
      <w:r w:rsidR="007B3A51" w:rsidRPr="00CB3320">
        <w:fldChar w:fldCharType="end"/>
      </w:r>
      <w:r w:rsidR="001F5A1A" w:rsidRPr="00CB3320">
        <w:rPr>
          <w:rFonts w:hint="eastAsia"/>
        </w:rPr>
        <w:t>，各省市的经济行为在</w:t>
      </w:r>
      <w:proofErr w:type="gramStart"/>
      <w:r w:rsidR="001F5A1A" w:rsidRPr="00CB3320">
        <w:rPr>
          <w:rFonts w:hint="eastAsia"/>
        </w:rPr>
        <w:t>国家发改委</w:t>
      </w:r>
      <w:proofErr w:type="gramEnd"/>
      <w:r w:rsidR="001F5A1A" w:rsidRPr="00CB3320">
        <w:rPr>
          <w:rFonts w:hint="eastAsia"/>
        </w:rPr>
        <w:t>公布《关于开展碳排放权交易试点工作的通知》时就已经开始</w:t>
      </w:r>
      <w:r w:rsidR="00F96534" w:rsidRPr="00CB3320">
        <w:rPr>
          <w:rFonts w:hint="eastAsia"/>
        </w:rPr>
        <w:t>受到影响</w:t>
      </w:r>
      <w:r w:rsidR="000F5216" w:rsidRPr="00CB3320">
        <w:rPr>
          <w:rFonts w:hint="eastAsia"/>
        </w:rPr>
        <w:t>，各地的企业也开始根据该项政策进行生产</w:t>
      </w:r>
      <w:r w:rsidR="009C42AC" w:rsidRPr="00CB3320">
        <w:rPr>
          <w:rFonts w:hint="eastAsia"/>
        </w:rPr>
        <w:t>和</w:t>
      </w:r>
      <w:r w:rsidR="000F5216" w:rsidRPr="00CB3320">
        <w:rPr>
          <w:rFonts w:hint="eastAsia"/>
        </w:rPr>
        <w:t>投资行为调整。</w:t>
      </w:r>
    </w:p>
    <w:p w14:paraId="46AA916E" w14:textId="5B5A5E68" w:rsidR="00477D8D" w:rsidRPr="00CB3320" w:rsidRDefault="00F13EAB" w:rsidP="00F13EAB">
      <w:pPr>
        <w:pStyle w:val="3"/>
        <w:numPr>
          <w:ilvl w:val="0"/>
          <w:numId w:val="0"/>
        </w:numPr>
        <w:spacing w:before="163" w:after="81"/>
        <w:ind w:left="709" w:hanging="709"/>
      </w:pPr>
      <w:bookmarkStart w:id="22" w:name="_Toc121778117"/>
      <w:r w:rsidRPr="00CB3320">
        <w:rPr>
          <w:rFonts w:hint="eastAsia"/>
        </w:rPr>
        <w:t>（</w:t>
      </w:r>
      <w:r w:rsidRPr="00CB3320">
        <w:t>3</w:t>
      </w:r>
      <w:r w:rsidRPr="00CB3320">
        <w:rPr>
          <w:rFonts w:hint="eastAsia"/>
        </w:rPr>
        <w:t>）</w:t>
      </w:r>
      <w:r w:rsidR="002D3301" w:rsidRPr="00CB3320">
        <w:rPr>
          <w:rFonts w:hint="eastAsia"/>
        </w:rPr>
        <w:t>D</w:t>
      </w:r>
      <w:r w:rsidR="002D3301" w:rsidRPr="00CB3320">
        <w:t>ID</w:t>
      </w:r>
      <w:r w:rsidR="002D3301" w:rsidRPr="00CB3320">
        <w:rPr>
          <w:rFonts w:hint="eastAsia"/>
        </w:rPr>
        <w:t>模型中使用的</w:t>
      </w:r>
      <w:r w:rsidR="00D9313F" w:rsidRPr="00CB3320">
        <w:rPr>
          <w:rFonts w:hint="eastAsia"/>
        </w:rPr>
        <w:t>控制变量</w:t>
      </w:r>
      <w:bookmarkEnd w:id="22"/>
    </w:p>
    <w:p w14:paraId="0CCADBF0" w14:textId="210583C8" w:rsidR="00D9313F" w:rsidRPr="00CB3320" w:rsidRDefault="00CE7118" w:rsidP="00D9313F">
      <w:pPr>
        <w:ind w:firstLine="420"/>
      </w:pPr>
      <w:r w:rsidRPr="00CB3320">
        <w:rPr>
          <w:rFonts w:hint="eastAsia"/>
        </w:rPr>
        <w:t>为了防止遗漏变量引起的内生性问题，提高模型的准确定，我们还需要引入其他影响全要素生产率的变量作为控制变量。</w:t>
      </w:r>
      <w:r w:rsidR="00A1729D" w:rsidRPr="00CB3320">
        <w:rPr>
          <w:rFonts w:hint="eastAsia"/>
        </w:rPr>
        <w:t>影响全要素生产率的变量主要包括经济水平、开放度、教育、科技、资源配置效率和</w:t>
      </w:r>
      <w:r w:rsidR="00EF5093" w:rsidRPr="00CB3320">
        <w:rPr>
          <w:rFonts w:hint="eastAsia"/>
        </w:rPr>
        <w:t>产业</w:t>
      </w:r>
      <w:r w:rsidR="00A1729D" w:rsidRPr="00CB3320">
        <w:rPr>
          <w:rFonts w:hint="eastAsia"/>
        </w:rPr>
        <w:t>结构</w:t>
      </w:r>
      <w:r w:rsidR="00B2515C" w:rsidRPr="00CB3320">
        <w:fldChar w:fldCharType="begin" w:fldLock="1"/>
      </w:r>
      <w:r w:rsidR="001B271C">
        <w:instrText>ADDIN CSL_CITATION {"citationItems":[{"id":"ITEM-1","itemData":{"DOI":"10.1016/j.jdeveco.2010.01.001","ISSN":"03043878","author":[{"dropping-particle":"","family":"Fleisher","given":"Belton M.","non-dropping-particle":"","parse-names":false,"suffix":""},{"dropping-particle":"","family":"Hu","given":"Yifan","non-dropping-particle":"","parse-names":false,"suffix":""},{"dropping-particle":"","family":"Li","given":"Haizheng","non-dropping-particle":"","parse-names":false,"suffix":""},{"dropping-particle":"","family":"Kim","given":"Seonghoon","non-dropping-particle":"","parse-names":false,"suffix":""}],"container-title":"Journal of Development Economics","id":"ITEM-1","issue":"1","issued":{"date-parts":[["2011","1"]]},"page":"86-94","title":"Economic transition, higher education and worker productivity in China","type":"article-journal","volume":"94"},"uris":["http://www.mendeley.com/documents/?uuid=605a3f8b-2959-4808-8bf4-29d4e40b27cb","http://www.mendeley.com/documents/?uuid=2a7863be-1fa6-43da-8672-aa8dbc88b898"]},{"id":"ITEM-2","itemData":{"DOI":"10.1016/j.econlet.2008.11.025","ISSN":"01651765","author":[{"dropping-particle":"","family":"Aghion","given":"Philippe","non-dropping-particle":"","parse-names":false,"suffix":""},{"dropping-particle":"","family":"Askenazy","given":"Philippe","non-dropping-particle":"","parse-names":false,"suffix":""},{"dropping-particle":"","family":"Bourlès","given":"Renaud","non-dropping-particle":"","parse-names":false,"suffix":""},{"dropping-particle":"","family":"Cette","given":"Gilbert","non-dropping-particle":"","parse-names":false,"suffix":""},{"dropping-particle":"","family":"Dromel","given":"Nicolas","non-dropping-particle":"","parse-names":false,"suffix":""}],"container-title":"Economics Letters","id":"ITEM-2","issue":"1","issued":{"date-parts":[["2009","1"]]},"page":"62-65","title":"Education, market rigidities and growth","type":"article-journal","volume":"102"},"uris":["http://www.mendeley.com/documents/?uuid=f7100997-ad89-44b3-aaea-3c80cda8e20a","http://www.mendeley.com/documents/?uuid=af45986e-074c-4ac1-b2ed-6dc5f4fed280"]},{"id":"ITEM-3","itemData":{"DOI":"10.1080/10438599.2018.1502394","ISSN":"1043-8599","author":[{"dropping-particle":"","family":"Tsamadias","given":"Constantinos","non-dropping-particle":"","parse-names":false,"suffix":""},{"dropping-particle":"","family":"Pegkas","given":"Panagiotis","non-dropping-particle":"","parse-names":false,"suffix":""},{"dropping-particle":"","family":"Mamatzakis","given":"Emmanuel","non-dropping-particle":"","parse-names":false,"suffix":""},{"dropping-particle":"","family":"Staikouras","given":"Christos","non-dropping-particle":"","parse-names":false,"suffix":""}],"container-title":"Economics of Innovation and New Technology","id":"ITEM-3","issue":"4","issued":{"date-parts":[["2019","5"]]},"page":"386-406","title":"Does R&amp;amp;D, human capital and FDI matter for TFP in OECD countries?","type":"article-journal","volume":"28"},"uris":["http://www.mendeley.com/documents/?uuid=a445769d-5896-42ad-a913-5625a3ac3414","http://www</w:instrText>
      </w:r>
      <w:r w:rsidR="001B271C">
        <w:rPr>
          <w:rFonts w:hint="eastAsia"/>
        </w:rPr>
        <w:instrText>.mendeley.com/documents/?uuid=31d6f73f-432d-45e5-8206-47232b6b01b7"]},{"id":"ITEM-4","itemData":{"author":[{"dropping-particle":"","family":"</w:instrText>
      </w:r>
      <w:r w:rsidR="001B271C">
        <w:rPr>
          <w:rFonts w:hint="eastAsia"/>
        </w:rPr>
        <w:instrText>邓忠奇</w:instrText>
      </w:r>
      <w:r w:rsidR="001B271C">
        <w:rPr>
          <w:rFonts w:hint="eastAsia"/>
        </w:rPr>
        <w:instrText>","given":"","non-dropping-particle":"","parse-names":false,"suffix":""},{"dropping-particle":"","family":"</w:instrText>
      </w:r>
      <w:r w:rsidR="001B271C">
        <w:rPr>
          <w:rFonts w:hint="eastAsia"/>
        </w:rPr>
        <w:instrText>高廷帆</w:instrText>
      </w:r>
      <w:r w:rsidR="001B271C">
        <w:rPr>
          <w:rFonts w:hint="eastAsia"/>
        </w:rPr>
        <w:instrText>","given":"","non-dropping-particle":"","parse-names":false,"suffix":""},{"dropping-particle":"","family":"</w:instrText>
      </w:r>
      <w:r w:rsidR="001B271C">
        <w:rPr>
          <w:rFonts w:hint="eastAsia"/>
        </w:rPr>
        <w:instrText>朱峰</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","id":"ITEM-4","issue":"10","issued":{"date-parts":[["2020"]]},"page":"22-37","title":"</w:instrText>
      </w:r>
      <w:r w:rsidR="001B271C">
        <w:rPr>
          <w:rFonts w:hint="eastAsia"/>
        </w:rPr>
        <w:instrText>地区差距与供给侧结构性改革——“三期叠加”下的内生增长</w:instrText>
      </w:r>
      <w:r w:rsidR="001B271C">
        <w:rPr>
          <w:rFonts w:hint="eastAsia"/>
        </w:rPr>
        <w:instrText>","type":"article-journal","volume":"55"},"uris":["http://www.mendeley.com/documents/?uuid=c02d5f9c-6d54-40e9-917e-34785e199788","http://www.mendeley.com/documents/?uuid=1efa89e1-b706-4938-b3e5-596d8d3ce9c7","http://www.mendeley.com/documents/?uuid=133d2a8a-0ea5-4741-bc4c-d4ef54265e92"]}],"mendeley":{"formattedCitation":"(Aghion</w:instrText>
      </w:r>
      <w:r w:rsidR="001B271C">
        <w:rPr>
          <w:rFonts w:hint="eastAsia"/>
        </w:rPr>
        <w:instrText>等</w:instrText>
      </w:r>
      <w:r w:rsidR="001B271C">
        <w:rPr>
          <w:rFonts w:hint="eastAsia"/>
        </w:rPr>
        <w:instrText>, 2009; Fleisher</w:instrText>
      </w:r>
      <w:r w:rsidR="001B271C">
        <w:rPr>
          <w:rFonts w:hint="eastAsia"/>
        </w:rPr>
        <w:instrText>等</w:instrText>
      </w:r>
      <w:r w:rsidR="001B271C">
        <w:rPr>
          <w:rFonts w:hint="eastAsia"/>
        </w:rPr>
        <w:instrText>, 2011; Tsamadias</w:instrText>
      </w:r>
      <w:r w:rsidR="001B271C">
        <w:rPr>
          <w:rFonts w:hint="eastAsia"/>
        </w:rPr>
        <w:instrText>等</w:instrText>
      </w:r>
      <w:r w:rsidR="001B271C">
        <w:rPr>
          <w:rFonts w:hint="eastAsia"/>
        </w:rPr>
        <w:instrText xml:space="preserve">, 2019; </w:instrText>
      </w:r>
      <w:r w:rsidR="001B271C">
        <w:rPr>
          <w:rFonts w:hint="eastAsia"/>
        </w:rPr>
        <w:instrText>邓忠奇等</w:instrText>
      </w:r>
      <w:r w:rsidR="001B271C">
        <w:rPr>
          <w:rFonts w:hint="eastAsia"/>
        </w:rPr>
        <w:instrText>, 2020)","manualFormatting":"(Aghion et al</w:instrText>
      </w:r>
      <w:r w:rsidR="001B271C">
        <w:rPr>
          <w:rFonts w:hint="eastAsia"/>
        </w:rPr>
        <w:instrText>，</w:instrText>
      </w:r>
      <w:r w:rsidR="001B271C">
        <w:rPr>
          <w:rFonts w:hint="eastAsia"/>
        </w:rPr>
        <w:instrText>2009</w:instrText>
      </w:r>
      <w:r w:rsidR="001B271C">
        <w:rPr>
          <w:rFonts w:hint="eastAsia"/>
        </w:rPr>
        <w:instrText>；</w:instrText>
      </w:r>
      <w:r w:rsidR="001B271C">
        <w:rPr>
          <w:rFonts w:hint="eastAsia"/>
        </w:rPr>
        <w:instrText>Fleisher et al</w:instrText>
      </w:r>
      <w:r w:rsidR="001B271C">
        <w:rPr>
          <w:rFonts w:hint="eastAsia"/>
        </w:rPr>
        <w:instrText>，</w:instrText>
      </w:r>
      <w:r w:rsidR="001B271C">
        <w:rPr>
          <w:rFonts w:hint="eastAsia"/>
        </w:rPr>
        <w:instrText>2011</w:instrText>
      </w:r>
      <w:r w:rsidR="001B271C">
        <w:rPr>
          <w:rFonts w:hint="eastAsia"/>
        </w:rPr>
        <w:instrText>；</w:instrText>
      </w:r>
      <w:r w:rsidR="001B271C">
        <w:rPr>
          <w:rFonts w:hint="eastAsia"/>
        </w:rPr>
        <w:instrText>Tsamadias et al</w:instrText>
      </w:r>
      <w:r w:rsidR="001B271C">
        <w:rPr>
          <w:rFonts w:hint="eastAsia"/>
        </w:rPr>
        <w:instrText>，</w:instrText>
      </w:r>
      <w:r w:rsidR="001B271C">
        <w:rPr>
          <w:rFonts w:hint="eastAsia"/>
        </w:rPr>
        <w:instrText>2019</w:instrText>
      </w:r>
      <w:r w:rsidR="001B271C">
        <w:rPr>
          <w:rFonts w:hint="eastAsia"/>
        </w:rPr>
        <w:instrText>；邓忠奇等，</w:instrText>
      </w:r>
      <w:r w:rsidR="001B271C">
        <w:rPr>
          <w:rFonts w:hint="eastAsia"/>
        </w:rPr>
        <w:instrText>2020)","plainTextFormattedCitation":"(Aghion</w:instrText>
      </w:r>
      <w:r w:rsidR="001B271C">
        <w:rPr>
          <w:rFonts w:hint="eastAsia"/>
        </w:rPr>
        <w:instrText>等</w:instrText>
      </w:r>
      <w:r w:rsidR="001B271C">
        <w:rPr>
          <w:rFonts w:hint="eastAsia"/>
        </w:rPr>
        <w:instrText>, 2009; Fleisher</w:instrText>
      </w:r>
      <w:r w:rsidR="001B271C">
        <w:rPr>
          <w:rFonts w:hint="eastAsia"/>
        </w:rPr>
        <w:instrText>等</w:instrText>
      </w:r>
      <w:r w:rsidR="001B271C">
        <w:rPr>
          <w:rFonts w:hint="eastAsia"/>
        </w:rPr>
        <w:instrText>, 2011; Tsamadias</w:instrText>
      </w:r>
      <w:r w:rsidR="001B271C">
        <w:rPr>
          <w:rFonts w:hint="eastAsia"/>
        </w:rPr>
        <w:instrText>等</w:instrText>
      </w:r>
      <w:r w:rsidR="001B271C">
        <w:rPr>
          <w:rFonts w:hint="eastAsia"/>
        </w:rPr>
        <w:instrText xml:space="preserve">, 2019; </w:instrText>
      </w:r>
      <w:r w:rsidR="001B271C">
        <w:rPr>
          <w:rFonts w:hint="eastAsia"/>
        </w:rPr>
        <w:instrText>邓忠奇等</w:instrText>
      </w:r>
      <w:r w:rsidR="001B271C">
        <w:rPr>
          <w:rFonts w:hint="eastAsia"/>
        </w:rPr>
        <w:instrText>, 2020)","previouslyFormattedCitation":"(Aghion</w:instrText>
      </w:r>
      <w:r w:rsidR="001B271C">
        <w:rPr>
          <w:rFonts w:hint="eastAsia"/>
        </w:rPr>
        <w:instrText>等</w:instrText>
      </w:r>
      <w:r w:rsidR="001B271C">
        <w:rPr>
          <w:rFonts w:hint="eastAsia"/>
        </w:rPr>
        <w:instrText>, 2009; Fleisher</w:instrText>
      </w:r>
      <w:r w:rsidR="001B271C">
        <w:rPr>
          <w:rFonts w:hint="eastAsia"/>
        </w:rPr>
        <w:instrText>等</w:instrText>
      </w:r>
      <w:r w:rsidR="001B271C">
        <w:rPr>
          <w:rFonts w:hint="eastAsia"/>
        </w:rPr>
        <w:instrText>, 2011; Tsamadias</w:instrText>
      </w:r>
      <w:r w:rsidR="001B271C">
        <w:rPr>
          <w:rFonts w:hint="eastAsia"/>
        </w:rPr>
        <w:instrText>等</w:instrText>
      </w:r>
      <w:r w:rsidR="001B271C">
        <w:rPr>
          <w:rFonts w:hint="eastAsia"/>
        </w:rPr>
        <w:instrText xml:space="preserve">, 2019; </w:instrText>
      </w:r>
      <w:r w:rsidR="001B271C">
        <w:rPr>
          <w:rFonts w:hint="eastAsia"/>
        </w:rPr>
        <w:instrText>邓忠奇等</w:instrText>
      </w:r>
      <w:r w:rsidR="001B271C">
        <w:rPr>
          <w:rFonts w:hint="eastAsia"/>
        </w:rPr>
        <w:instrText>, 2020)"},"properties":{"noteIndex":0},"s</w:instrText>
      </w:r>
      <w:r w:rsidR="001B271C">
        <w:instrText>chema":"https://github.com/citation-style-language/schema/raw/master/csl-citation.json"}</w:instrText>
      </w:r>
      <w:r w:rsidR="00B2515C" w:rsidRPr="00CB3320">
        <w:fldChar w:fldCharType="separate"/>
      </w:r>
      <w:r w:rsidR="00364702" w:rsidRPr="00CB3320">
        <w:rPr>
          <w:rFonts w:hint="eastAsia"/>
          <w:noProof/>
        </w:rPr>
        <w:t>(Aghion</w:t>
      </w:r>
      <w:r w:rsidR="005B1161" w:rsidRPr="00CB3320">
        <w:rPr>
          <w:rFonts w:hint="eastAsia"/>
          <w:noProof/>
        </w:rPr>
        <w:t xml:space="preserve"> et al</w:t>
      </w:r>
      <w:r w:rsidR="005B1161" w:rsidRPr="00CB3320">
        <w:rPr>
          <w:rFonts w:hint="eastAsia"/>
          <w:noProof/>
        </w:rPr>
        <w:t>，</w:t>
      </w:r>
      <w:r w:rsidR="00364702" w:rsidRPr="00CB3320">
        <w:rPr>
          <w:rFonts w:hint="eastAsia"/>
          <w:noProof/>
        </w:rPr>
        <w:t>2009</w:t>
      </w:r>
      <w:r w:rsidR="005B1161" w:rsidRPr="00CB3320">
        <w:rPr>
          <w:rFonts w:hint="eastAsia"/>
          <w:noProof/>
        </w:rPr>
        <w:t>；</w:t>
      </w:r>
      <w:r w:rsidR="00364702" w:rsidRPr="00CB3320">
        <w:rPr>
          <w:rFonts w:hint="eastAsia"/>
          <w:noProof/>
        </w:rPr>
        <w:t>Fleisher</w:t>
      </w:r>
      <w:r w:rsidR="005B1161" w:rsidRPr="00CB3320">
        <w:rPr>
          <w:rFonts w:hint="eastAsia"/>
          <w:noProof/>
        </w:rPr>
        <w:t xml:space="preserve"> et al</w:t>
      </w:r>
      <w:r w:rsidR="005B1161" w:rsidRPr="00CB3320">
        <w:rPr>
          <w:rFonts w:hint="eastAsia"/>
          <w:noProof/>
        </w:rPr>
        <w:t>，</w:t>
      </w:r>
      <w:r w:rsidR="00364702" w:rsidRPr="00CB3320">
        <w:rPr>
          <w:rFonts w:hint="eastAsia"/>
          <w:noProof/>
        </w:rPr>
        <w:t>2011</w:t>
      </w:r>
      <w:r w:rsidR="005B1161" w:rsidRPr="00CB3320">
        <w:rPr>
          <w:rFonts w:hint="eastAsia"/>
          <w:noProof/>
        </w:rPr>
        <w:t>；</w:t>
      </w:r>
      <w:r w:rsidR="00364702" w:rsidRPr="00CB3320">
        <w:rPr>
          <w:rFonts w:hint="eastAsia"/>
          <w:noProof/>
        </w:rPr>
        <w:t>Tsamadias</w:t>
      </w:r>
      <w:r w:rsidR="005B1161" w:rsidRPr="00CB3320">
        <w:rPr>
          <w:rFonts w:hint="eastAsia"/>
          <w:noProof/>
        </w:rPr>
        <w:t xml:space="preserve"> et al</w:t>
      </w:r>
      <w:r w:rsidR="005B1161" w:rsidRPr="00CB3320">
        <w:rPr>
          <w:rFonts w:hint="eastAsia"/>
          <w:noProof/>
        </w:rPr>
        <w:t>，</w:t>
      </w:r>
      <w:r w:rsidR="00364702" w:rsidRPr="00CB3320">
        <w:rPr>
          <w:rFonts w:hint="eastAsia"/>
          <w:noProof/>
        </w:rPr>
        <w:t>2019</w:t>
      </w:r>
      <w:r w:rsidR="005B1161" w:rsidRPr="00CB3320">
        <w:rPr>
          <w:rFonts w:hint="eastAsia"/>
          <w:noProof/>
        </w:rPr>
        <w:t>；</w:t>
      </w:r>
      <w:r w:rsidR="00364702" w:rsidRPr="00CB3320">
        <w:rPr>
          <w:rFonts w:hint="eastAsia"/>
          <w:noProof/>
        </w:rPr>
        <w:t>邓忠奇等</w:t>
      </w:r>
      <w:r w:rsidR="005B1161" w:rsidRPr="00CB3320">
        <w:rPr>
          <w:rFonts w:hint="eastAsia"/>
          <w:noProof/>
        </w:rPr>
        <w:t>，</w:t>
      </w:r>
      <w:r w:rsidR="00364702" w:rsidRPr="00CB3320">
        <w:rPr>
          <w:rFonts w:hint="eastAsia"/>
          <w:noProof/>
        </w:rPr>
        <w:t>2020)</w:t>
      </w:r>
      <w:r w:rsidR="00B2515C" w:rsidRPr="00CB3320">
        <w:fldChar w:fldCharType="end"/>
      </w:r>
      <w:r w:rsidR="00B2515C" w:rsidRPr="00CB3320">
        <w:rPr>
          <w:rFonts w:hint="eastAsia"/>
        </w:rPr>
        <w:t>。</w:t>
      </w:r>
    </w:p>
    <w:p w14:paraId="0EFE4DF5" w14:textId="7F7EFAD2" w:rsidR="00A1729D" w:rsidRPr="00CB3320" w:rsidRDefault="00084D53" w:rsidP="00D9313F">
      <w:pPr>
        <w:ind w:firstLine="420"/>
      </w:pPr>
      <w:r w:rsidRPr="00CB3320">
        <w:rPr>
          <w:rFonts w:hint="eastAsia"/>
        </w:rPr>
        <w:t>经济发展水平。</w:t>
      </w:r>
      <w:r w:rsidR="00BA689A" w:rsidRPr="00CB3320">
        <w:rPr>
          <w:rFonts w:hint="eastAsia"/>
        </w:rPr>
        <w:t>全要素生产率一般被</w:t>
      </w:r>
      <w:r w:rsidR="00D620C2" w:rsidRPr="00CB3320">
        <w:rPr>
          <w:rFonts w:hint="eastAsia"/>
        </w:rPr>
        <w:t>当作</w:t>
      </w:r>
      <w:r w:rsidR="00BA689A" w:rsidRPr="00CB3320">
        <w:rPr>
          <w:rFonts w:hint="eastAsia"/>
        </w:rPr>
        <w:t>促进</w:t>
      </w:r>
      <w:r w:rsidR="00BA689A" w:rsidRPr="00CB3320">
        <w:rPr>
          <w:rFonts w:hint="eastAsia"/>
        </w:rPr>
        <w:t>GDP</w:t>
      </w:r>
      <w:r w:rsidR="00BA689A" w:rsidRPr="00CB3320">
        <w:rPr>
          <w:rFonts w:hint="eastAsia"/>
        </w:rPr>
        <w:t>增长的主要因素之一</w:t>
      </w:r>
      <w:r w:rsidR="00B00CAF" w:rsidRPr="00CB3320">
        <w:fldChar w:fldCharType="begin" w:fldLock="1"/>
      </w:r>
      <w:r w:rsidR="001B271C">
        <w:rPr>
          <w:rFonts w:hint="eastAsia"/>
        </w:rPr>
        <w:instrText>ADDIN CSL_CITATION {"citationItems":[{"id":"ITEM-1","itemData":{"author":[{"dropping-particle":"","family":"</w:instrText>
      </w:r>
      <w:r w:rsidR="001B271C">
        <w:rPr>
          <w:rFonts w:hint="eastAsia"/>
        </w:rPr>
        <w:instrText>汤铎铎</w:instrText>
      </w:r>
      <w:r w:rsidR="001B271C">
        <w:rPr>
          <w:rFonts w:hint="eastAsia"/>
        </w:rPr>
        <w:instrText>","given":"","non-dropping-particle":"","parse-names":false,"suffix":""},{"dropping-particle":"","family":"</w:instrText>
      </w:r>
      <w:r w:rsidR="001B271C">
        <w:rPr>
          <w:rFonts w:hint="eastAsia"/>
        </w:rPr>
        <w:instrText>刘学良</w:instrText>
      </w:r>
      <w:r w:rsidR="001B271C">
        <w:rPr>
          <w:rFonts w:hint="eastAsia"/>
        </w:rPr>
        <w:instrText>","given":"","non-dropping-particle":"","parse-names":false,"suffix":""},{"dropping-particle":"","family":"</w:instrText>
      </w:r>
      <w:r w:rsidR="001B271C">
        <w:rPr>
          <w:rFonts w:hint="eastAsia"/>
        </w:rPr>
        <w:instrText>倪红福</w:instrText>
      </w:r>
      <w:r w:rsidR="001B271C">
        <w:rPr>
          <w:rFonts w:hint="eastAsia"/>
        </w:rPr>
        <w:instrText>","given":"","non-dropping-particle":"","parse-names":false,"suffix":""},{"dropping-particle":"","family":"</w:instrText>
      </w:r>
      <w:r w:rsidR="001B271C">
        <w:rPr>
          <w:rFonts w:hint="eastAsia"/>
        </w:rPr>
        <w:instrText>杨耀武</w:instrText>
      </w:r>
      <w:r w:rsidR="001B271C">
        <w:rPr>
          <w:rFonts w:hint="eastAsia"/>
        </w:rPr>
        <w:instrText>","given":"","non-dropping-particle":"","parse-names":false,"suffix":""},{"dropping-particle":"","family":"</w:instrText>
      </w:r>
      <w:r w:rsidR="001B271C">
        <w:rPr>
          <w:rFonts w:hint="eastAsia"/>
        </w:rPr>
        <w:instrText>黄群慧</w:instrText>
      </w:r>
      <w:r w:rsidR="001B271C">
        <w:rPr>
          <w:rFonts w:hint="eastAsia"/>
        </w:rPr>
        <w:instrText>","given":"","non-dropping-particle":"","parse-names":false,"suffix":""},{"dropping-particle":"","family":"</w:instrText>
      </w:r>
      <w:r w:rsidR="001B271C">
        <w:rPr>
          <w:rFonts w:hint="eastAsia"/>
        </w:rPr>
        <w:instrText>张晓晶</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","id":"ITEM-1","issue":"08","issued":{"date-parts":[["2020"]]},"page":"4-23","title":"</w:instrText>
      </w:r>
      <w:r w:rsidR="001B271C">
        <w:rPr>
          <w:rFonts w:hint="eastAsia"/>
        </w:rPr>
        <w:instrText>全球经济大变局、中国潜在增长率与后疫情时期高质量发展</w:instrText>
      </w:r>
      <w:r w:rsidR="001B271C">
        <w:rPr>
          <w:rFonts w:hint="eastAsia"/>
        </w:rPr>
        <w:instrText>","type":"article-journal","volume":"55"},"uris":["http://www.mendeley.com/documents/?uuid=0517c2a0-97c5-45e9-9ecc-148509460e7c","http://www.mendeley.com/documents/?uuid=fc56c242-2042-45b8-9adb-40c0bcd75eb4"]},{"id":"ITEM-2","itemData":{"author":[{"dropping-particle":"","family":"</w:instrText>
      </w:r>
      <w:r w:rsidR="001B271C">
        <w:rPr>
          <w:rFonts w:hint="eastAsia"/>
        </w:rPr>
        <w:instrText>程名望</w:instrText>
      </w:r>
      <w:r w:rsidR="001B271C">
        <w:rPr>
          <w:rFonts w:hint="eastAsia"/>
        </w:rPr>
        <w:instrText>","given":"","non-dropping-particle":"","parse-names":false,"suffix":""},{"dropping-particle":"","family":"</w:instrText>
      </w:r>
      <w:r w:rsidR="001B271C">
        <w:rPr>
          <w:rFonts w:hint="eastAsia"/>
        </w:rPr>
        <w:instrText>贾晓佳</w:instrText>
      </w:r>
      <w:r w:rsidR="001B271C">
        <w:rPr>
          <w:rFonts w:hint="eastAsia"/>
        </w:rPr>
        <w:instrText>","given":"","non-dropping-particle":"","parse-names":false,"suffix":""},{"dropping-particle":"","family":"</w:instrText>
      </w:r>
      <w:r w:rsidR="001B271C">
        <w:rPr>
          <w:rFonts w:hint="eastAsia"/>
        </w:rPr>
        <w:instrText>仇焕广</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","id":"ITEM-2","issue":"07","issued":{"date-parts":[["2019"]]},"page":"30-46","title":"</w:instrText>
      </w:r>
      <w:r w:rsidR="001B271C">
        <w:rPr>
          <w:rFonts w:hint="eastAsia"/>
        </w:rPr>
        <w:instrText>中国经济增长</w:instrText>
      </w:r>
      <w:r w:rsidR="001B271C">
        <w:rPr>
          <w:rFonts w:hint="eastAsia"/>
        </w:rPr>
        <w:instrText>(1978</w:instrText>
      </w:r>
      <w:r w:rsidR="001B271C">
        <w:rPr>
          <w:rFonts w:hint="eastAsia"/>
        </w:rPr>
        <w:instrText>—</w:instrText>
      </w:r>
      <w:r w:rsidR="001B271C">
        <w:rPr>
          <w:rFonts w:hint="eastAsia"/>
        </w:rPr>
        <w:instrText>2015):</w:instrText>
      </w:r>
      <w:r w:rsidR="001B271C">
        <w:rPr>
          <w:rFonts w:hint="eastAsia"/>
        </w:rPr>
        <w:instrText>灵感还是汗水</w:instrText>
      </w:r>
      <w:r w:rsidR="001B271C">
        <w:rPr>
          <w:rFonts w:hint="eastAsia"/>
        </w:rPr>
        <w:instrText>?","type":"article-journal","volume":"54"},"uris":["http://www.mendeley.com/documents/?uuid=57a927e0-b2d9-4ec7-9ff8-64bd2bba17c1","http://www.mendeley.com/documents/?uuid=57a4000d-3de7-41b3-be28-52f5bc8bfd7a"]}],"mendeley":{"formattedCitation":"(</w:instrText>
      </w:r>
      <w:r w:rsidR="001B271C">
        <w:rPr>
          <w:rFonts w:hint="eastAsia"/>
        </w:rPr>
        <w:instrText>汤铎铎等</w:instrText>
      </w:r>
      <w:r w:rsidR="001B271C">
        <w:rPr>
          <w:rFonts w:hint="eastAsia"/>
        </w:rPr>
        <w:instrText xml:space="preserve">, 2020; </w:instrText>
      </w:r>
      <w:r w:rsidR="001B271C">
        <w:rPr>
          <w:rFonts w:hint="eastAsia"/>
        </w:rPr>
        <w:instrText>程名望等</w:instrText>
      </w:r>
      <w:r w:rsidR="001B271C">
        <w:rPr>
          <w:rFonts w:hint="eastAsia"/>
        </w:rPr>
        <w:instrText>, 2019)","manualFormatting":"(</w:instrText>
      </w:r>
      <w:r w:rsidR="001B271C">
        <w:rPr>
          <w:rFonts w:hint="eastAsia"/>
        </w:rPr>
        <w:instrText>汤铎铎等，</w:instrText>
      </w:r>
      <w:r w:rsidR="001B271C">
        <w:rPr>
          <w:rFonts w:hint="eastAsia"/>
        </w:rPr>
        <w:instrText>2020</w:instrText>
      </w:r>
      <w:r w:rsidR="001B271C">
        <w:rPr>
          <w:rFonts w:hint="eastAsia"/>
        </w:rPr>
        <w:instrText>；程名望等，</w:instrText>
      </w:r>
      <w:r w:rsidR="001B271C">
        <w:rPr>
          <w:rFonts w:hint="eastAsia"/>
        </w:rPr>
        <w:instrText>2019)","plainTextFormattedCitation":"(</w:instrText>
      </w:r>
      <w:r w:rsidR="001B271C">
        <w:rPr>
          <w:rFonts w:hint="eastAsia"/>
        </w:rPr>
        <w:instrText>汤铎铎等</w:instrText>
      </w:r>
      <w:r w:rsidR="001B271C">
        <w:rPr>
          <w:rFonts w:hint="eastAsia"/>
        </w:rPr>
        <w:instrText xml:space="preserve">, 2020; </w:instrText>
      </w:r>
      <w:r w:rsidR="001B271C">
        <w:rPr>
          <w:rFonts w:hint="eastAsia"/>
        </w:rPr>
        <w:instrText>程名望等</w:instrText>
      </w:r>
      <w:r w:rsidR="001B271C">
        <w:rPr>
          <w:rFonts w:hint="eastAsia"/>
        </w:rPr>
        <w:instrText>, 2019)","previouslyFormattedCitation":"(</w:instrText>
      </w:r>
      <w:r w:rsidR="001B271C">
        <w:rPr>
          <w:rFonts w:hint="eastAsia"/>
        </w:rPr>
        <w:instrText>汤铎铎等</w:instrText>
      </w:r>
      <w:r w:rsidR="001B271C">
        <w:rPr>
          <w:rFonts w:hint="eastAsia"/>
        </w:rPr>
        <w:instrText xml:space="preserve">, 2020; </w:instrText>
      </w:r>
      <w:r w:rsidR="001B271C">
        <w:rPr>
          <w:rFonts w:hint="eastAsia"/>
        </w:rPr>
        <w:instrText>程名望等</w:instrText>
      </w:r>
      <w:r w:rsidR="001B271C">
        <w:rPr>
          <w:rFonts w:hint="eastAsia"/>
        </w:rPr>
        <w:instrText>, 2019)"},"properties":{"noteIndex":0}</w:instrText>
      </w:r>
      <w:r w:rsidR="001B271C">
        <w:instrText>,"schema":"https://github.com/citation-style-language/schema/raw/master/csl-citation.json"}</w:instrText>
      </w:r>
      <w:r w:rsidR="00B00CAF" w:rsidRPr="00CB3320">
        <w:fldChar w:fldCharType="separate"/>
      </w:r>
      <w:r w:rsidR="00F748DE" w:rsidRPr="00CB3320">
        <w:rPr>
          <w:rFonts w:hint="eastAsia"/>
          <w:noProof/>
        </w:rPr>
        <w:t>(</w:t>
      </w:r>
      <w:r w:rsidR="00F748DE" w:rsidRPr="00CB3320">
        <w:rPr>
          <w:rFonts w:hint="eastAsia"/>
          <w:noProof/>
        </w:rPr>
        <w:t>汤铎铎等</w:t>
      </w:r>
      <w:r w:rsidR="005B1161" w:rsidRPr="00CB3320">
        <w:rPr>
          <w:rFonts w:hint="eastAsia"/>
          <w:noProof/>
        </w:rPr>
        <w:t>，</w:t>
      </w:r>
      <w:r w:rsidR="00F748DE" w:rsidRPr="00CB3320">
        <w:rPr>
          <w:rFonts w:hint="eastAsia"/>
          <w:noProof/>
        </w:rPr>
        <w:t>2020</w:t>
      </w:r>
      <w:r w:rsidR="005B1161" w:rsidRPr="00CB3320">
        <w:rPr>
          <w:rFonts w:hint="eastAsia"/>
          <w:noProof/>
        </w:rPr>
        <w:t>；</w:t>
      </w:r>
      <w:r w:rsidR="00F748DE" w:rsidRPr="00CB3320">
        <w:rPr>
          <w:rFonts w:hint="eastAsia"/>
          <w:noProof/>
        </w:rPr>
        <w:t>程名望等</w:t>
      </w:r>
      <w:r w:rsidR="005B1161" w:rsidRPr="00CB3320">
        <w:rPr>
          <w:rFonts w:hint="eastAsia"/>
          <w:noProof/>
        </w:rPr>
        <w:t>，</w:t>
      </w:r>
      <w:r w:rsidR="00F748DE" w:rsidRPr="00CB3320">
        <w:rPr>
          <w:rFonts w:hint="eastAsia"/>
          <w:noProof/>
        </w:rPr>
        <w:t>2019)</w:t>
      </w:r>
      <w:r w:rsidR="00B00CAF" w:rsidRPr="00CB3320">
        <w:fldChar w:fldCharType="end"/>
      </w:r>
      <w:r w:rsidR="00BA689A" w:rsidRPr="00CB3320">
        <w:rPr>
          <w:rFonts w:hint="eastAsia"/>
        </w:rPr>
        <w:t>。</w:t>
      </w:r>
      <w:r w:rsidR="002B399A" w:rsidRPr="00CB3320">
        <w:rPr>
          <w:rFonts w:hint="eastAsia"/>
        </w:rPr>
        <w:t>同时，</w:t>
      </w:r>
      <w:r w:rsidR="00BA689A" w:rsidRPr="00CB3320">
        <w:rPr>
          <w:rFonts w:hint="eastAsia"/>
        </w:rPr>
        <w:t>经济的增长会带来</w:t>
      </w:r>
      <w:r w:rsidR="00EF5093" w:rsidRPr="00CB3320">
        <w:rPr>
          <w:rFonts w:hint="eastAsia"/>
        </w:rPr>
        <w:t>产业</w:t>
      </w:r>
      <w:r w:rsidR="00BA689A" w:rsidRPr="00CB3320">
        <w:rPr>
          <w:rFonts w:hint="eastAsia"/>
        </w:rPr>
        <w:t>结构的优化、科学技术水平的提升、劳动力素质的提高和资本投资的增加</w:t>
      </w:r>
      <w:r w:rsidR="002B399A" w:rsidRPr="00CB3320">
        <w:rPr>
          <w:rFonts w:hint="eastAsia"/>
        </w:rPr>
        <w:t>，最终导致全要素生产率的</w:t>
      </w:r>
      <w:r w:rsidR="00611B89" w:rsidRPr="00CB3320">
        <w:rPr>
          <w:rFonts w:hint="eastAsia"/>
        </w:rPr>
        <w:t>提升</w:t>
      </w:r>
      <w:r w:rsidR="00B00CAF" w:rsidRPr="00CB3320">
        <w:fldChar w:fldCharType="begin" w:fldLock="1"/>
      </w:r>
      <w:r w:rsidR="005B1161" w:rsidRPr="00CB3320">
        <w:rPr>
          <w:rFonts w:hint="eastAsia"/>
        </w:rPr>
        <w:instrText>ADDIN CSL_CITATION {"citationItems":[{"id":"ITEM-1","itemData":{"author":[{"dropping-particle":"","family":"</w:instrText>
      </w:r>
      <w:r w:rsidR="005B1161" w:rsidRPr="00CB3320">
        <w:rPr>
          <w:rFonts w:hint="eastAsia"/>
        </w:rPr>
        <w:instrText>刘亦文</w:instrText>
      </w:r>
      <w:r w:rsidR="005B1161" w:rsidRPr="00CB3320">
        <w:rPr>
          <w:rFonts w:hint="eastAsia"/>
        </w:rPr>
        <w:instrText>","given":"","non-dropping-particle":"","parse-names":false,"suffix":""},{"dropping-particle":"","family":"</w:instrText>
      </w:r>
      <w:r w:rsidR="005B1161" w:rsidRPr="00CB3320">
        <w:rPr>
          <w:rFonts w:hint="eastAsia"/>
        </w:rPr>
        <w:instrText>欧阳莹</w:instrText>
      </w:r>
      <w:r w:rsidR="005B1161" w:rsidRPr="00CB3320">
        <w:rPr>
          <w:rFonts w:hint="eastAsia"/>
        </w:rPr>
        <w:instrText>","given":"","non-dropping-particle":"","parse-names":false,"suffix":""},{"dropping-particle":"","family":"</w:instrText>
      </w:r>
      <w:r w:rsidR="005B1161" w:rsidRPr="00CB3320">
        <w:rPr>
          <w:rFonts w:hint="eastAsia"/>
        </w:rPr>
        <w:instrText>蔡宏宇</w:instrText>
      </w:r>
      <w:r w:rsidR="005B1161" w:rsidRPr="00CB3320">
        <w:rPr>
          <w:rFonts w:hint="eastAsia"/>
        </w:rPr>
        <w:instrText>","given":"","non-dropping-particle":"","parse-names":false,"suffix":""}],"container-title":"</w:instrText>
      </w:r>
      <w:r w:rsidR="005B1161" w:rsidRPr="00CB3320">
        <w:rPr>
          <w:rFonts w:hint="eastAsia"/>
        </w:rPr>
        <w:instrText>数量经济技术经济研究</w:instrText>
      </w:r>
      <w:r w:rsidR="005B1161" w:rsidRPr="00CB3320">
        <w:rPr>
          <w:rFonts w:hint="eastAsia"/>
        </w:rPr>
        <w:instrText>","id":"ITEM-1","issue":"05","issued":{"date-parts":[["2021"]]},"page":"39-56","title":"</w:instrText>
      </w:r>
      <w:r w:rsidR="005B1161" w:rsidRPr="00CB3320">
        <w:rPr>
          <w:rFonts w:hint="eastAsia"/>
        </w:rPr>
        <w:instrText>中国农业绿色全要素生产率测度及时空演化特征研究</w:instrText>
      </w:r>
      <w:r w:rsidR="005B1161" w:rsidRPr="00CB3320">
        <w:rPr>
          <w:rFonts w:hint="eastAsia"/>
        </w:rPr>
        <w:instrText>","type":"article-journal","volume":"38"},"uris":["http://www.mendeley.com/documents/?uuid=48985ee5-4d04-4464-8fb5-39b7649ee596","http://www.mendeley.com/documents/?uuid=3ec201ec-e4ed-4b57-ae7a-d8030b87e23a"]}],"mendeley":{"formattedCitation":"(</w:instrText>
      </w:r>
      <w:r w:rsidR="005B1161" w:rsidRPr="00CB3320">
        <w:rPr>
          <w:rFonts w:hint="eastAsia"/>
        </w:rPr>
        <w:instrText>刘亦文等</w:instrText>
      </w:r>
      <w:r w:rsidR="005B1161" w:rsidRPr="00CB3320">
        <w:rPr>
          <w:rFonts w:hint="eastAsia"/>
        </w:rPr>
        <w:instrText>, 2021)","manualFormatting":"(</w:instrText>
      </w:r>
      <w:r w:rsidR="005B1161" w:rsidRPr="00CB3320">
        <w:rPr>
          <w:rFonts w:hint="eastAsia"/>
        </w:rPr>
        <w:instrText>刘亦文等，</w:instrText>
      </w:r>
      <w:r w:rsidR="005B1161" w:rsidRPr="00CB3320">
        <w:rPr>
          <w:rFonts w:hint="eastAsia"/>
        </w:rPr>
        <w:instrText>2021)","plainTextFormattedCitation":"(</w:instrText>
      </w:r>
      <w:r w:rsidR="005B1161" w:rsidRPr="00CB3320">
        <w:rPr>
          <w:rFonts w:hint="eastAsia"/>
        </w:rPr>
        <w:instrText>刘亦文等</w:instrText>
      </w:r>
      <w:r w:rsidR="005B1161" w:rsidRPr="00CB3320">
        <w:rPr>
          <w:rFonts w:hint="eastAsia"/>
        </w:rPr>
        <w:instrText>, 2021)","previouslyFormattedCitation":"(</w:instrText>
      </w:r>
      <w:r w:rsidR="005B1161" w:rsidRPr="00CB3320">
        <w:rPr>
          <w:rFonts w:hint="eastAsia"/>
        </w:rPr>
        <w:instrText>刘亦文等</w:instrText>
      </w:r>
      <w:r w:rsidR="005B1161" w:rsidRPr="00CB3320">
        <w:rPr>
          <w:rFonts w:hint="eastAsia"/>
        </w:rPr>
        <w:instrText>, 2021)"},"properties":{"noteIndex":0},"schema":"https://github.com/citation-style-language/schema/raw/m</w:instrText>
      </w:r>
      <w:r w:rsidR="005B1161" w:rsidRPr="00CB3320">
        <w:instrText>aster/csl-citation.json"}</w:instrText>
      </w:r>
      <w:r w:rsidR="00B00CAF" w:rsidRPr="00CB3320">
        <w:fldChar w:fldCharType="separate"/>
      </w:r>
      <w:r w:rsidR="00F748DE" w:rsidRPr="00CB3320">
        <w:rPr>
          <w:rFonts w:hint="eastAsia"/>
          <w:noProof/>
        </w:rPr>
        <w:t>(</w:t>
      </w:r>
      <w:r w:rsidR="00F748DE" w:rsidRPr="00CB3320">
        <w:rPr>
          <w:rFonts w:hint="eastAsia"/>
          <w:noProof/>
        </w:rPr>
        <w:t>刘亦文等</w:t>
      </w:r>
      <w:r w:rsidR="005B1161" w:rsidRPr="00CB3320">
        <w:rPr>
          <w:rFonts w:hint="eastAsia"/>
          <w:noProof/>
        </w:rPr>
        <w:t>，</w:t>
      </w:r>
      <w:r w:rsidR="00F748DE" w:rsidRPr="00CB3320">
        <w:rPr>
          <w:rFonts w:hint="eastAsia"/>
          <w:noProof/>
        </w:rPr>
        <w:t>2021)</w:t>
      </w:r>
      <w:r w:rsidR="00B00CAF" w:rsidRPr="00CB3320">
        <w:fldChar w:fldCharType="end"/>
      </w:r>
      <w:r w:rsidR="00611B89" w:rsidRPr="00CB3320">
        <w:rPr>
          <w:rFonts w:hint="eastAsia"/>
        </w:rPr>
        <w:t>。</w:t>
      </w:r>
      <w:r w:rsidR="00691264" w:rsidRPr="00CB3320">
        <w:rPr>
          <w:rFonts w:hint="eastAsia"/>
        </w:rPr>
        <w:t>经济水平通常用经济总量来衡量，即</w:t>
      </w:r>
      <w:r w:rsidR="00691264" w:rsidRPr="00CB3320">
        <w:rPr>
          <w:rFonts w:hint="eastAsia"/>
        </w:rPr>
        <w:t>GDP</w:t>
      </w:r>
      <w:r w:rsidR="00691264" w:rsidRPr="00CB3320">
        <w:rPr>
          <w:rFonts w:hint="eastAsia"/>
        </w:rPr>
        <w:t>。为了消除城市规模的影响，本研究中的经济水平采用人均</w:t>
      </w:r>
      <w:r w:rsidR="001E588A" w:rsidRPr="00CB3320">
        <w:rPr>
          <w:rFonts w:hint="eastAsia"/>
        </w:rPr>
        <w:t>实际</w:t>
      </w:r>
      <w:r w:rsidR="00691264" w:rsidRPr="00CB3320">
        <w:rPr>
          <w:rFonts w:hint="eastAsia"/>
        </w:rPr>
        <w:t>GDP</w:t>
      </w:r>
      <w:r w:rsidR="00691264" w:rsidRPr="00CB3320">
        <w:rPr>
          <w:rFonts w:hint="eastAsia"/>
        </w:rPr>
        <w:t>来衡量。</w:t>
      </w:r>
    </w:p>
    <w:p w14:paraId="3D10546C" w14:textId="41B2EBDC" w:rsidR="00691264" w:rsidRPr="00CB3320" w:rsidRDefault="00084D53" w:rsidP="00D9313F">
      <w:pPr>
        <w:ind w:firstLine="420"/>
      </w:pPr>
      <w:r w:rsidRPr="00CB3320">
        <w:rPr>
          <w:rFonts w:hint="eastAsia"/>
        </w:rPr>
        <w:t>对外开放度。</w:t>
      </w:r>
      <w:r w:rsidR="00A2624E" w:rsidRPr="00CB3320">
        <w:rPr>
          <w:rFonts w:hint="eastAsia"/>
        </w:rPr>
        <w:t>F</w:t>
      </w:r>
      <w:r w:rsidR="00A2624E" w:rsidRPr="00CB3320">
        <w:t>DI</w:t>
      </w:r>
      <w:r w:rsidR="00A2624E" w:rsidRPr="00CB3320">
        <w:rPr>
          <w:rFonts w:hint="eastAsia"/>
        </w:rPr>
        <w:t>是中国对外开放基本国策的重要表现，因此使用该指标来测度一个城市的对外开放水平。</w:t>
      </w:r>
      <w:r w:rsidR="00A2624E" w:rsidRPr="00CB3320">
        <w:rPr>
          <w:rFonts w:hint="eastAsia"/>
        </w:rPr>
        <w:t>F</w:t>
      </w:r>
      <w:r w:rsidR="00A2624E" w:rsidRPr="00CB3320">
        <w:t>DI</w:t>
      </w:r>
      <w:r w:rsidR="00B77F8E" w:rsidRPr="00CB3320">
        <w:rPr>
          <w:rFonts w:hint="eastAsia"/>
        </w:rPr>
        <w:t>引致</w:t>
      </w:r>
      <w:r w:rsidR="00A2624E" w:rsidRPr="00CB3320">
        <w:rPr>
          <w:rFonts w:hint="eastAsia"/>
        </w:rPr>
        <w:t>技术流入可以刺激经济相关的创新，带来技术进步乃至重大技术突破，使得企业以更低的成本进行生产，也更有利于企业进行资本积累，从而促进全要素生产率的提升</w:t>
      </w:r>
      <w:r w:rsidR="00C7424A" w:rsidRPr="00CB3320">
        <w:fldChar w:fldCharType="begin" w:fldLock="1"/>
      </w:r>
      <w:r w:rsidR="001B271C">
        <w:instrText>ADDIN CSL_CITATION {"citationItems":[{"id":"ITEM-1","itemData":{"DOI":"10.1111/j.1467-9361.2005.00289.x","ISSN":"1363-6669","author":[{"dropping-particle":"","family":"Savvides","given":"Andreas","non-dropping-particle":"","parse-names":false,"suffix":""},{"dropping-particle":"","family":"Zachariadis","given":"Marios","non-dropping-particle":"","parse-names":false,"suffix":""}],"container-title":"Review of Development Economics","id":"ITEM-1","issue":"4","issued":{"date-parts":[["2005","11"]]},"page":"482-501","title":"International Technology Diffusion and the Growth of TFP in the Manufacturing Sector of Developing Economies","type":"article-journal","volume":"9"},"uris":["http://www.mendeley.com/documents/?uuid=72e7cd81-a746-4d1b-a591-31c351271370","htt</w:instrText>
      </w:r>
      <w:r w:rsidR="001B271C">
        <w:rPr>
          <w:rFonts w:hint="eastAsia"/>
        </w:rPr>
        <w:instrText>p://www.mendeley.com/documents/?uuid=6d55f010-3d15-45ba-8839-8198167f2d87"]},{"id":"ITEM-2","itemData":{"author":[{"dropping-particle":"","family":"</w:instrText>
      </w:r>
      <w:r w:rsidR="001B271C">
        <w:rPr>
          <w:rFonts w:hint="eastAsia"/>
        </w:rPr>
        <w:instrText>程惠芳</w:instrText>
      </w:r>
      <w:r w:rsidR="001B271C">
        <w:rPr>
          <w:rFonts w:hint="eastAsia"/>
        </w:rPr>
        <w:instrText>","given":"","non-dropping-particle":"","parse-names":false,"suffix":""},{"dropping-particle":"","family":"</w:instrText>
      </w:r>
      <w:r w:rsidR="001B271C">
        <w:rPr>
          <w:rFonts w:hint="eastAsia"/>
        </w:rPr>
        <w:instrText>陈超</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","id":"ITEM-2","issue":"10","issued":{"date-parts":[["2017"]]},"page":"21-36","title":"</w:instrText>
      </w:r>
      <w:r w:rsidR="001B271C">
        <w:rPr>
          <w:rFonts w:hint="eastAsia"/>
        </w:rPr>
        <w:instrText>开放经济下知识资本与全要素生产率——国际经验与中国启示</w:instrText>
      </w:r>
      <w:r w:rsidR="001B271C">
        <w:rPr>
          <w:rFonts w:hint="eastAsia"/>
        </w:rPr>
        <w:instrText>","type":"article-journal","volume":"52"},"uris":["http://www.mendeley.com/documents/?uuid=72268ab1-debb-47d4-82d0-54c50692aab5","http://www.mendeley.com/documents/?uuid=cc8f6c23-d67b-4f3d-b756-79560d7cbe67"]},{"id":"ITEM-3","itemData":{"DOI":"10.13821/j.cnki.ceq.2012.01.002","abstract":"</w:instrText>
      </w:r>
      <w:r w:rsidR="001B271C">
        <w:rPr>
          <w:rFonts w:hint="eastAsia"/>
        </w:rPr>
        <w:instrText>本文在新增长理论的框架下</w:instrText>
      </w:r>
      <w:r w:rsidR="001B271C">
        <w:rPr>
          <w:rFonts w:hint="eastAsia"/>
        </w:rPr>
        <w:instrText>,</w:instrText>
      </w:r>
      <w:r w:rsidR="001B271C">
        <w:rPr>
          <w:rFonts w:hint="eastAsia"/>
        </w:rPr>
        <w:instrText>构建了一个对外经济开放和区域市场整合内生化全要素生产率的模型。在此基础上</w:instrText>
      </w:r>
      <w:r w:rsidR="001B271C">
        <w:rPr>
          <w:rFonts w:hint="eastAsia"/>
        </w:rPr>
        <w:instrText>,</w:instrText>
      </w:r>
      <w:r w:rsidR="001B271C">
        <w:rPr>
          <w:rFonts w:hint="eastAsia"/>
        </w:rPr>
        <w:instrText>利用中国</w:instrText>
      </w:r>
      <w:r w:rsidR="001B271C">
        <w:rPr>
          <w:rFonts w:hint="eastAsia"/>
        </w:rPr>
        <w:instrText>1985</w:instrText>
      </w:r>
      <w:r w:rsidR="001B271C">
        <w:rPr>
          <w:rFonts w:hint="eastAsia"/>
        </w:rPr>
        <w:instrText>—</w:instrText>
      </w:r>
      <w:r w:rsidR="001B271C">
        <w:rPr>
          <w:rFonts w:hint="eastAsia"/>
        </w:rPr>
        <w:instrText>2008</w:instrText>
      </w:r>
      <w:r w:rsidR="001B271C">
        <w:rPr>
          <w:rFonts w:hint="eastAsia"/>
        </w:rPr>
        <w:instrText>年的省际面板数据</w:instrText>
      </w:r>
      <w:r w:rsidR="001B271C">
        <w:rPr>
          <w:rFonts w:hint="eastAsia"/>
        </w:rPr>
        <w:instrText>,</w:instrText>
      </w:r>
      <w:r w:rsidR="001B271C">
        <w:rPr>
          <w:rFonts w:hint="eastAsia"/>
        </w:rPr>
        <w:instrText>采用工具变量两阶段最小二乘法（</w:instrText>
      </w:r>
      <w:r w:rsidR="001B271C">
        <w:rPr>
          <w:rFonts w:hint="eastAsia"/>
        </w:rPr>
        <w:instrText>2SLS</w:instrText>
      </w:r>
      <w:r w:rsidR="001B271C">
        <w:rPr>
          <w:rFonts w:hint="eastAsia"/>
        </w:rPr>
        <w:instrText>）实证检验了对外经济开放和区域市场整合对省际全要素生产率的影响。研究结果表明</w:instrText>
      </w:r>
      <w:r w:rsidR="001B271C">
        <w:rPr>
          <w:rFonts w:hint="eastAsia"/>
        </w:rPr>
        <w:instrText>,</w:instrText>
      </w:r>
      <w:r w:rsidR="001B271C">
        <w:rPr>
          <w:rFonts w:hint="eastAsia"/>
        </w:rPr>
        <w:instrText>对外经济开放和区域市场整合对中国省际全要素生产率都产生了显著的正向影响效应</w:instrText>
      </w:r>
      <w:r w:rsidR="001B271C">
        <w:rPr>
          <w:rFonts w:hint="eastAsia"/>
        </w:rPr>
        <w:instrText>,</w:instrText>
      </w:r>
      <w:r w:rsidR="001B271C">
        <w:rPr>
          <w:rFonts w:hint="eastAsia"/>
        </w:rPr>
        <w:instrText>而且二者存在替代关系。进一步的分析指出</w:instrText>
      </w:r>
      <w:r w:rsidR="001B271C">
        <w:rPr>
          <w:rFonts w:hint="eastAsia"/>
        </w:rPr>
        <w:instrText>,</w:instrText>
      </w:r>
      <w:r w:rsidR="001B271C">
        <w:rPr>
          <w:rFonts w:hint="eastAsia"/>
        </w:rPr>
        <w:instrText>在对外经济开放水平较高的沿海地区</w:instrText>
      </w:r>
      <w:r w:rsidR="001B271C">
        <w:rPr>
          <w:rFonts w:hint="eastAsia"/>
        </w:rPr>
        <w:instrText>,</w:instrText>
      </w:r>
      <w:r w:rsidR="001B271C">
        <w:rPr>
          <w:rFonts w:hint="eastAsia"/>
        </w:rPr>
        <w:instrText>区域市场整合对省际全要素生产率的影响效应较低</w:instrText>
      </w:r>
      <w:r w:rsidR="001B271C">
        <w:rPr>
          <w:rFonts w:hint="eastAsia"/>
        </w:rPr>
        <w:instrText>,</w:instrText>
      </w:r>
      <w:r w:rsidR="001B271C">
        <w:rPr>
          <w:rFonts w:hint="eastAsia"/>
        </w:rPr>
        <w:instrText>而在内陆地区则恰好相反。本文为理解中国省际全要素生产率的变化提供了新的视角</w:instrText>
      </w:r>
      <w:r w:rsidR="001B271C">
        <w:rPr>
          <w:rFonts w:hint="eastAsia"/>
        </w:rPr>
        <w:instrText>,</w:instrText>
      </w:r>
      <w:r w:rsidR="001B271C">
        <w:rPr>
          <w:rFonts w:hint="eastAsia"/>
        </w:rPr>
        <w:instrText>对后金融危机时代如何提升地区技术水平、转变经济增长方式也具有一定的启发意义。</w:instrText>
      </w:r>
      <w:r w:rsidR="001B271C">
        <w:rPr>
          <w:rFonts w:hint="eastAsia"/>
        </w:rPr>
        <w:instrText>","author":[{"dropping-particle":"","family":"</w:instrText>
      </w:r>
      <w:r w:rsidR="001B271C">
        <w:rPr>
          <w:rFonts w:hint="eastAsia"/>
        </w:rPr>
        <w:instrText>毛其淋</w:instrText>
      </w:r>
      <w:r w:rsidR="001B271C">
        <w:rPr>
          <w:rFonts w:hint="eastAsia"/>
        </w:rPr>
        <w:instrText>","given":"","non-dropping-particle":"","parse-names":false,"suffix":""},{"dropping-particle":"","family":"</w:instrText>
      </w:r>
      <w:r w:rsidR="001B271C">
        <w:rPr>
          <w:rFonts w:hint="eastAsia"/>
        </w:rPr>
        <w:instrText>盛斌</w:instrText>
      </w:r>
      <w:r w:rsidR="001B271C">
        <w:rPr>
          <w:rFonts w:hint="eastAsia"/>
        </w:rPr>
        <w:instrText>","given":"","non-dropping-particle":"","parse-names":false,"suffix":""}],"container-title":"</w:instrText>
      </w:r>
      <w:r w:rsidR="001B271C">
        <w:rPr>
          <w:rFonts w:hint="eastAsia"/>
        </w:rPr>
        <w:instrText>经济学</w:instrText>
      </w:r>
      <w:r w:rsidR="001B271C">
        <w:rPr>
          <w:rFonts w:hint="eastAsia"/>
        </w:rPr>
        <w:instrText>(</w:instrText>
      </w:r>
      <w:r w:rsidR="001B271C">
        <w:rPr>
          <w:rFonts w:hint="eastAsia"/>
        </w:rPr>
        <w:instrText>季刊</w:instrText>
      </w:r>
      <w:r w:rsidR="001B271C">
        <w:rPr>
          <w:rFonts w:hint="eastAsia"/>
        </w:rPr>
        <w:instrText>)","id":"ITEM-3","issue":"01","issued":{"date-parts":[["2012"]]},"page":"181-210","title":"</w:instrText>
      </w:r>
      <w:r w:rsidR="001B271C">
        <w:rPr>
          <w:rFonts w:hint="eastAsia"/>
        </w:rPr>
        <w:instrText>对外经济开放、区域市场整合与全要素生产率</w:instrText>
      </w:r>
      <w:r w:rsidR="001B271C">
        <w:rPr>
          <w:rFonts w:hint="eastAsia"/>
        </w:rPr>
        <w:instrText>","type":"article-journal","volume":"11"},"uris":["http://www.mendeley.com/documents/?uuid=cb39da51-21c5-4d4b-9ef2-c2990884ca71"]}],"mendeley":{"formattedCitation":"(Savvides</w:instrText>
      </w:r>
      <w:r w:rsidR="001B271C">
        <w:rPr>
          <w:rFonts w:hint="eastAsia"/>
        </w:rPr>
        <w:instrText>等</w:instrText>
      </w:r>
      <w:r w:rsidR="001B271C">
        <w:rPr>
          <w:rFonts w:hint="eastAsia"/>
        </w:rPr>
        <w:instrText xml:space="preserve">, 2005; </w:instrText>
      </w:r>
      <w:r w:rsidR="001B271C">
        <w:rPr>
          <w:rFonts w:hint="eastAsia"/>
        </w:rPr>
        <w:instrText>毛其淋等</w:instrText>
      </w:r>
      <w:r w:rsidR="001B271C">
        <w:rPr>
          <w:rFonts w:hint="eastAsia"/>
        </w:rPr>
        <w:instrText xml:space="preserve">, 2012; </w:instrText>
      </w:r>
      <w:r w:rsidR="001B271C">
        <w:rPr>
          <w:rFonts w:hint="eastAsia"/>
        </w:rPr>
        <w:instrText>程惠芳等</w:instrText>
      </w:r>
      <w:r w:rsidR="001B271C">
        <w:rPr>
          <w:rFonts w:hint="eastAsia"/>
        </w:rPr>
        <w:instrText>, 2017)","manualFormatting":"(Savvides et al</w:instrText>
      </w:r>
      <w:r w:rsidR="001B271C">
        <w:rPr>
          <w:rFonts w:hint="eastAsia"/>
        </w:rPr>
        <w:instrText>，</w:instrText>
      </w:r>
      <w:r w:rsidR="001B271C">
        <w:rPr>
          <w:rFonts w:hint="eastAsia"/>
        </w:rPr>
        <w:instrText>2005</w:instrText>
      </w:r>
      <w:r w:rsidR="001B271C">
        <w:rPr>
          <w:rFonts w:hint="eastAsia"/>
        </w:rPr>
        <w:instrText>；毛其淋等，</w:instrText>
      </w:r>
      <w:r w:rsidR="001B271C">
        <w:rPr>
          <w:rFonts w:hint="eastAsia"/>
        </w:rPr>
        <w:instrText>2012</w:instrText>
      </w:r>
      <w:r w:rsidR="001B271C">
        <w:rPr>
          <w:rFonts w:hint="eastAsia"/>
        </w:rPr>
        <w:instrText>；程惠芳等，</w:instrText>
      </w:r>
      <w:r w:rsidR="001B271C">
        <w:rPr>
          <w:rFonts w:hint="eastAsia"/>
        </w:rPr>
        <w:instrText>2017)","plainTextFormattedCitation":"(Savvides</w:instrText>
      </w:r>
      <w:r w:rsidR="001B271C">
        <w:rPr>
          <w:rFonts w:hint="eastAsia"/>
        </w:rPr>
        <w:instrText>等</w:instrText>
      </w:r>
      <w:r w:rsidR="001B271C">
        <w:rPr>
          <w:rFonts w:hint="eastAsia"/>
        </w:rPr>
        <w:instrText xml:space="preserve">, 2005; </w:instrText>
      </w:r>
      <w:r w:rsidR="001B271C">
        <w:rPr>
          <w:rFonts w:hint="eastAsia"/>
        </w:rPr>
        <w:instrText>毛其淋等</w:instrText>
      </w:r>
      <w:r w:rsidR="001B271C">
        <w:rPr>
          <w:rFonts w:hint="eastAsia"/>
        </w:rPr>
        <w:instrText xml:space="preserve">, 2012; </w:instrText>
      </w:r>
      <w:r w:rsidR="001B271C">
        <w:rPr>
          <w:rFonts w:hint="eastAsia"/>
        </w:rPr>
        <w:instrText>程惠芳等</w:instrText>
      </w:r>
      <w:r w:rsidR="001B271C">
        <w:rPr>
          <w:rFonts w:hint="eastAsia"/>
        </w:rPr>
        <w:instrText>, 2017)","previouslyFormattedCitation":"(Savvides</w:instrText>
      </w:r>
      <w:r w:rsidR="001B271C">
        <w:rPr>
          <w:rFonts w:hint="eastAsia"/>
        </w:rPr>
        <w:instrText>等</w:instrText>
      </w:r>
      <w:r w:rsidR="001B271C">
        <w:rPr>
          <w:rFonts w:hint="eastAsia"/>
        </w:rPr>
        <w:instrText xml:space="preserve">, 2005; </w:instrText>
      </w:r>
      <w:r w:rsidR="001B271C">
        <w:rPr>
          <w:rFonts w:hint="eastAsia"/>
        </w:rPr>
        <w:instrText>毛其淋等</w:instrText>
      </w:r>
      <w:r w:rsidR="001B271C">
        <w:rPr>
          <w:rFonts w:hint="eastAsia"/>
        </w:rPr>
        <w:instrText xml:space="preserve">, 2012; </w:instrText>
      </w:r>
      <w:r w:rsidR="001B271C">
        <w:rPr>
          <w:rFonts w:hint="eastAsia"/>
        </w:rPr>
        <w:instrText>程惠芳等</w:instrText>
      </w:r>
      <w:r w:rsidR="001B271C">
        <w:rPr>
          <w:rFonts w:hint="eastAsia"/>
        </w:rPr>
        <w:instrText>, 2017)"},"properties":{"noteIndex":0},"schema":"https://github.com/citation-style-language/schema/raw/master/csl-citation.json"}</w:instrText>
      </w:r>
      <w:r w:rsidR="00C7424A" w:rsidRPr="00CB3320">
        <w:fldChar w:fldCharType="separate"/>
      </w:r>
      <w:r w:rsidR="00364702" w:rsidRPr="00CB3320">
        <w:rPr>
          <w:rFonts w:hint="eastAsia"/>
          <w:noProof/>
        </w:rPr>
        <w:t>(Savvides</w:t>
      </w:r>
      <w:r w:rsidR="005B1161" w:rsidRPr="00CB3320">
        <w:rPr>
          <w:rFonts w:hint="eastAsia"/>
          <w:noProof/>
        </w:rPr>
        <w:t xml:space="preserve"> </w:t>
      </w:r>
      <w:r w:rsidR="005B1161" w:rsidRPr="00CB3320">
        <w:rPr>
          <w:rFonts w:hint="eastAsia"/>
          <w:noProof/>
        </w:rPr>
        <w:lastRenderedPageBreak/>
        <w:t>et al</w:t>
      </w:r>
      <w:r w:rsidR="005B1161" w:rsidRPr="00CB3320">
        <w:rPr>
          <w:rFonts w:hint="eastAsia"/>
          <w:noProof/>
        </w:rPr>
        <w:t>，</w:t>
      </w:r>
      <w:r w:rsidR="00364702" w:rsidRPr="00CB3320">
        <w:rPr>
          <w:rFonts w:hint="eastAsia"/>
          <w:noProof/>
        </w:rPr>
        <w:t>2005</w:t>
      </w:r>
      <w:r w:rsidR="005B1161" w:rsidRPr="00CB3320">
        <w:rPr>
          <w:rFonts w:hint="eastAsia"/>
          <w:noProof/>
        </w:rPr>
        <w:t>；</w:t>
      </w:r>
      <w:r w:rsidR="00364702" w:rsidRPr="00CB3320">
        <w:rPr>
          <w:rFonts w:hint="eastAsia"/>
          <w:noProof/>
        </w:rPr>
        <w:t>毛其淋等</w:t>
      </w:r>
      <w:r w:rsidR="005B1161" w:rsidRPr="00CB3320">
        <w:rPr>
          <w:rFonts w:hint="eastAsia"/>
          <w:noProof/>
        </w:rPr>
        <w:t>，</w:t>
      </w:r>
      <w:r w:rsidR="00364702" w:rsidRPr="00CB3320">
        <w:rPr>
          <w:rFonts w:hint="eastAsia"/>
          <w:noProof/>
        </w:rPr>
        <w:t>2012</w:t>
      </w:r>
      <w:r w:rsidR="005B1161" w:rsidRPr="00CB3320">
        <w:rPr>
          <w:rFonts w:hint="eastAsia"/>
          <w:noProof/>
        </w:rPr>
        <w:t>；</w:t>
      </w:r>
      <w:r w:rsidR="00364702" w:rsidRPr="00CB3320">
        <w:rPr>
          <w:rFonts w:hint="eastAsia"/>
          <w:noProof/>
        </w:rPr>
        <w:t>程惠芳等</w:t>
      </w:r>
      <w:r w:rsidR="005B1161" w:rsidRPr="00CB3320">
        <w:rPr>
          <w:rFonts w:hint="eastAsia"/>
          <w:noProof/>
        </w:rPr>
        <w:t>，</w:t>
      </w:r>
      <w:r w:rsidR="00364702" w:rsidRPr="00CB3320">
        <w:rPr>
          <w:rFonts w:hint="eastAsia"/>
          <w:noProof/>
        </w:rPr>
        <w:t>2017)</w:t>
      </w:r>
      <w:r w:rsidR="00C7424A" w:rsidRPr="00CB3320">
        <w:fldChar w:fldCharType="end"/>
      </w:r>
      <w:r w:rsidR="00A2624E" w:rsidRPr="00CB3320">
        <w:rPr>
          <w:rFonts w:hint="eastAsia"/>
        </w:rPr>
        <w:t>。</w:t>
      </w:r>
    </w:p>
    <w:p w14:paraId="3E575524" w14:textId="6945302A" w:rsidR="00C96E74" w:rsidRPr="00CB3320" w:rsidRDefault="00084D53" w:rsidP="00D9313F">
      <w:pPr>
        <w:ind w:firstLine="420"/>
      </w:pPr>
      <w:r w:rsidRPr="00CB3320">
        <w:rPr>
          <w:rFonts w:hint="eastAsia"/>
        </w:rPr>
        <w:t>教育水平。</w:t>
      </w:r>
      <w:r w:rsidR="00C96E74" w:rsidRPr="00CB3320">
        <w:rPr>
          <w:rFonts w:hint="eastAsia"/>
        </w:rPr>
        <w:t>教育可以促进内生技术变革和新技术发展，在不同受教育群体之间产生正外部性，从而提高全要素生产率</w:t>
      </w:r>
      <w:r w:rsidR="00C7424A" w:rsidRPr="00CB3320">
        <w:fldChar w:fldCharType="begin" w:fldLock="1"/>
      </w:r>
      <w:r w:rsidR="001B271C">
        <w:instrText>ADDIN CSL_CITATION {"citationItems":[{"id":"ITEM-1","itemData":{"DOI":"10.1162/003355398555838","ISSN":"0033-5533","author":[{"dropping-particle":"","family":"Acemoglu","given":"D.","non-dropping-particle":"","parse-names":false,"suffix":""}],"container-title":"The Quarterly Journal of Economics","id":"ITEM-1","issue":"4","issued":{"date-parts":[["1998","11"]]},"page":"1055-1089","title":"Why Do New Technologies Complement Skills? Directed Technical Change and Wage Inequality","type":"article-journal","vo</w:instrText>
      </w:r>
      <w:r w:rsidR="001B271C">
        <w:rPr>
          <w:rFonts w:hint="eastAsia"/>
        </w:rPr>
        <w:instrText>lume":"113"},"uris":["http://www.mendeley.com/documents/?uuid=9b50d34d-956f-4b02-be52-b147308d5c2c","http://www.mendeley.com/documents/?uuid=02c16f75-6d73-41e2-9750-69fc9b3270dc"]},{"id":"ITEM-2","itemData":{"author":[{"dropping-particle":"","family":"</w:instrText>
      </w:r>
      <w:r w:rsidR="001B271C">
        <w:rPr>
          <w:rFonts w:hint="eastAsia"/>
        </w:rPr>
        <w:instrText>华萍</w:instrText>
      </w:r>
      <w:r w:rsidR="001B271C">
        <w:rPr>
          <w:rFonts w:hint="eastAsia"/>
        </w:rPr>
        <w:instrText>","given":"","non-dropping-particle":"","parse-names":false,"suffix":""}],"container-title":"</w:instrText>
      </w:r>
      <w:r w:rsidR="001B271C">
        <w:rPr>
          <w:rFonts w:hint="eastAsia"/>
        </w:rPr>
        <w:instrText>经济学</w:instrText>
      </w:r>
      <w:r w:rsidR="001B271C">
        <w:rPr>
          <w:rFonts w:hint="eastAsia"/>
        </w:rPr>
        <w:instrText>(</w:instrText>
      </w:r>
      <w:r w:rsidR="001B271C">
        <w:rPr>
          <w:rFonts w:hint="eastAsia"/>
        </w:rPr>
        <w:instrText>季刊</w:instrText>
      </w:r>
      <w:r w:rsidR="001B271C">
        <w:rPr>
          <w:rFonts w:hint="eastAsia"/>
        </w:rPr>
        <w:instrText>)","id":"ITEM-2","issue":"04","issued":{"date-parts":[["2005"]]},"page":"147-166","title":"</w:instrText>
      </w:r>
      <w:r w:rsidR="001B271C">
        <w:rPr>
          <w:rFonts w:hint="eastAsia"/>
        </w:rPr>
        <w:instrText>不同教育水平对全要素生产率增长的影响——来自中国省份的实证研究</w:instrText>
      </w:r>
      <w:r w:rsidR="001B271C">
        <w:rPr>
          <w:rFonts w:hint="eastAsia"/>
        </w:rPr>
        <w:instrText xml:space="preserve">","type":"article-journal"},"uris":["http://www.mendeley.com/documents/?uuid=afc14222-6b1f-4f28-aaf2-9c323a488ee3"]}],"mendeley":{"formattedCitation":"(Acemoglu, 1998; </w:instrText>
      </w:r>
      <w:r w:rsidR="001B271C">
        <w:rPr>
          <w:rFonts w:hint="eastAsia"/>
        </w:rPr>
        <w:instrText>华萍</w:instrText>
      </w:r>
      <w:r w:rsidR="001B271C">
        <w:rPr>
          <w:rFonts w:hint="eastAsia"/>
        </w:rPr>
        <w:instrText>, 2005)","manualFormatting":"(Acemoglu, 1998</w:instrText>
      </w:r>
      <w:r w:rsidR="001B271C">
        <w:rPr>
          <w:rFonts w:hint="eastAsia"/>
        </w:rPr>
        <w:instrText>；华萍，</w:instrText>
      </w:r>
      <w:r w:rsidR="001B271C">
        <w:rPr>
          <w:rFonts w:hint="eastAsia"/>
        </w:rPr>
        <w:instrText xml:space="preserve">2005)","plainTextFormattedCitation":"(Acemoglu, 1998; </w:instrText>
      </w:r>
      <w:r w:rsidR="001B271C">
        <w:rPr>
          <w:rFonts w:hint="eastAsia"/>
        </w:rPr>
        <w:instrText>华萍</w:instrText>
      </w:r>
      <w:r w:rsidR="001B271C">
        <w:rPr>
          <w:rFonts w:hint="eastAsia"/>
        </w:rPr>
        <w:instrText xml:space="preserve">, 2005)","previouslyFormattedCitation":"(Acemoglu, 1998; </w:instrText>
      </w:r>
      <w:r w:rsidR="001B271C">
        <w:rPr>
          <w:rFonts w:hint="eastAsia"/>
        </w:rPr>
        <w:instrText>华萍</w:instrText>
      </w:r>
      <w:r w:rsidR="001B271C">
        <w:rPr>
          <w:rFonts w:hint="eastAsia"/>
        </w:rPr>
        <w:instrText>, 2005)"},"properties":{"noteIndex":0},"schema":"https://github.com/citation-style-language/schema/raw/master/csl-citation.json"}</w:instrText>
      </w:r>
      <w:r w:rsidR="00C7424A" w:rsidRPr="00CB3320">
        <w:fldChar w:fldCharType="separate"/>
      </w:r>
      <w:r w:rsidR="00364702" w:rsidRPr="00CB3320">
        <w:rPr>
          <w:rFonts w:hint="eastAsia"/>
          <w:noProof/>
        </w:rPr>
        <w:t>(Acemoglu, 1998</w:t>
      </w:r>
      <w:r w:rsidR="005B1161" w:rsidRPr="00CB3320">
        <w:rPr>
          <w:rFonts w:hint="eastAsia"/>
          <w:noProof/>
        </w:rPr>
        <w:t>；</w:t>
      </w:r>
      <w:r w:rsidR="00364702" w:rsidRPr="00CB3320">
        <w:rPr>
          <w:rFonts w:hint="eastAsia"/>
          <w:noProof/>
        </w:rPr>
        <w:t>华萍</w:t>
      </w:r>
      <w:r w:rsidR="005B1161" w:rsidRPr="00CB3320">
        <w:rPr>
          <w:rFonts w:hint="eastAsia"/>
          <w:noProof/>
        </w:rPr>
        <w:t>，</w:t>
      </w:r>
      <w:r w:rsidR="00364702" w:rsidRPr="00CB3320">
        <w:rPr>
          <w:rFonts w:hint="eastAsia"/>
          <w:noProof/>
        </w:rPr>
        <w:t>2005)</w:t>
      </w:r>
      <w:r w:rsidR="00C7424A" w:rsidRPr="00CB3320">
        <w:fldChar w:fldCharType="end"/>
      </w:r>
      <w:r w:rsidR="00831776" w:rsidRPr="00CB3320">
        <w:rPr>
          <w:rFonts w:hint="eastAsia"/>
        </w:rPr>
        <w:t>。教育是一个地区公共服务水平的重要</w:t>
      </w:r>
      <w:r w:rsidR="008115A6" w:rsidRPr="00CB3320">
        <w:rPr>
          <w:rFonts w:hint="eastAsia"/>
        </w:rPr>
        <w:t>衡量标准</w:t>
      </w:r>
      <w:r w:rsidR="006E3EE1" w:rsidRPr="00CB3320">
        <w:fldChar w:fldCharType="begin" w:fldLock="1"/>
      </w:r>
      <w:r w:rsidR="005B1161" w:rsidRPr="00CB3320">
        <w:rPr>
          <w:rFonts w:hint="eastAsia"/>
        </w:rPr>
        <w:instrText>ADDIN CSL_CITATION {"citationItems":[{"id":"ITEM-1","itemData":{"author":[{"dropping-particle":"","family":"</w:instrText>
      </w:r>
      <w:r w:rsidR="005B1161" w:rsidRPr="00CB3320">
        <w:rPr>
          <w:rFonts w:hint="eastAsia"/>
        </w:rPr>
        <w:instrText>梁超</w:instrText>
      </w:r>
      <w:r w:rsidR="005B1161" w:rsidRPr="00CB3320">
        <w:rPr>
          <w:rFonts w:hint="eastAsia"/>
        </w:rPr>
        <w:instrText>","given":"","non-dropping-particle":"","parse-names":false,"suffix":""},{"dropping-particle":"","family":"</w:instrText>
      </w:r>
      <w:r w:rsidR="005B1161" w:rsidRPr="00CB3320">
        <w:rPr>
          <w:rFonts w:hint="eastAsia"/>
        </w:rPr>
        <w:instrText>王素素</w:instrText>
      </w:r>
      <w:r w:rsidR="005B1161" w:rsidRPr="00CB3320">
        <w:rPr>
          <w:rFonts w:hint="eastAsia"/>
        </w:rPr>
        <w:instrText>","given":"","non-dropping-particle":"","parse-names":false,"suffix":""}],"container-title":"</w:instrText>
      </w:r>
      <w:r w:rsidR="005B1161" w:rsidRPr="00CB3320">
        <w:rPr>
          <w:rFonts w:hint="eastAsia"/>
        </w:rPr>
        <w:instrText>经济研究</w:instrText>
      </w:r>
      <w:r w:rsidR="005B1161" w:rsidRPr="00CB3320">
        <w:rPr>
          <w:rFonts w:hint="eastAsia"/>
        </w:rPr>
        <w:instrText>","id":"ITEM-1","issue":"09","issued":{"date-parts":[["2020"]]},"page":"138-154","title":"</w:instrText>
      </w:r>
      <w:r w:rsidR="005B1161" w:rsidRPr="00CB3320">
        <w:rPr>
          <w:rFonts w:hint="eastAsia"/>
        </w:rPr>
        <w:instrText>教育公共品配置调整对人力资本的影响——基于撤点并校的研究</w:instrText>
      </w:r>
      <w:r w:rsidR="005B1161" w:rsidRPr="00CB3320">
        <w:rPr>
          <w:rFonts w:hint="eastAsia"/>
        </w:rPr>
        <w:instrText>","type":"article-journal","volume":"55"},"uris":["http://www.mendeley.com/documents/?uuid=d1b7ba5f-1f0f-4c06-a8df-5f30630b36ed","http://www.mendeley.com/documents/?uuid=3b9c49ae-b65f-48ee-ac8e-09ceee575c15"]}],"mendeley":{"formattedCitation":"(</w:instrText>
      </w:r>
      <w:r w:rsidR="005B1161" w:rsidRPr="00CB3320">
        <w:rPr>
          <w:rFonts w:hint="eastAsia"/>
        </w:rPr>
        <w:instrText>梁超等</w:instrText>
      </w:r>
      <w:r w:rsidR="005B1161" w:rsidRPr="00CB3320">
        <w:rPr>
          <w:rFonts w:hint="eastAsia"/>
        </w:rPr>
        <w:instrText>, 2020)","manualFormatting":"(</w:instrText>
      </w:r>
      <w:r w:rsidR="005B1161" w:rsidRPr="00CB3320">
        <w:rPr>
          <w:rFonts w:hint="eastAsia"/>
        </w:rPr>
        <w:instrText>梁超等，</w:instrText>
      </w:r>
      <w:r w:rsidR="005B1161" w:rsidRPr="00CB3320">
        <w:rPr>
          <w:rFonts w:hint="eastAsia"/>
        </w:rPr>
        <w:instrText>2020)","plainTextFormattedCitation":"(</w:instrText>
      </w:r>
      <w:r w:rsidR="005B1161" w:rsidRPr="00CB3320">
        <w:rPr>
          <w:rFonts w:hint="eastAsia"/>
        </w:rPr>
        <w:instrText>梁超等</w:instrText>
      </w:r>
      <w:r w:rsidR="005B1161" w:rsidRPr="00CB3320">
        <w:rPr>
          <w:rFonts w:hint="eastAsia"/>
        </w:rPr>
        <w:instrText>, 2020)","previouslyFormattedCitation":"(</w:instrText>
      </w:r>
      <w:r w:rsidR="005B1161" w:rsidRPr="00CB3320">
        <w:rPr>
          <w:rFonts w:hint="eastAsia"/>
        </w:rPr>
        <w:instrText>梁超等</w:instrText>
      </w:r>
      <w:r w:rsidR="005B1161" w:rsidRPr="00CB3320">
        <w:rPr>
          <w:rFonts w:hint="eastAsia"/>
        </w:rPr>
        <w:instrText>, 2020)"},"properties":{"noteIndex":0},"schema":"https://github.com/citation-style-language/schema/raw/master/csl-citation.json"}</w:instrText>
      </w:r>
      <w:r w:rsidR="006E3EE1" w:rsidRPr="00CB3320">
        <w:fldChar w:fldCharType="separate"/>
      </w:r>
      <w:r w:rsidR="00F748DE" w:rsidRPr="00CB3320">
        <w:rPr>
          <w:rFonts w:hint="eastAsia"/>
          <w:noProof/>
        </w:rPr>
        <w:t>(</w:t>
      </w:r>
      <w:r w:rsidR="00F748DE" w:rsidRPr="00CB3320">
        <w:rPr>
          <w:rFonts w:hint="eastAsia"/>
          <w:noProof/>
        </w:rPr>
        <w:t>梁超等</w:t>
      </w:r>
      <w:r w:rsidR="005B1161" w:rsidRPr="00CB3320">
        <w:rPr>
          <w:rFonts w:hint="eastAsia"/>
          <w:noProof/>
        </w:rPr>
        <w:t>，</w:t>
      </w:r>
      <w:r w:rsidR="00F748DE" w:rsidRPr="00CB3320">
        <w:rPr>
          <w:rFonts w:hint="eastAsia"/>
          <w:noProof/>
        </w:rPr>
        <w:t>2020)</w:t>
      </w:r>
      <w:r w:rsidR="006E3EE1" w:rsidRPr="00CB3320">
        <w:fldChar w:fldCharType="end"/>
      </w:r>
      <w:r w:rsidR="008115A6" w:rsidRPr="00CB3320">
        <w:rPr>
          <w:rFonts w:hint="eastAsia"/>
        </w:rPr>
        <w:t>，是一项公共物品</w:t>
      </w:r>
      <w:r w:rsidR="00831776" w:rsidRPr="00CB3320">
        <w:rPr>
          <w:rFonts w:hint="eastAsia"/>
        </w:rPr>
        <w:t>，</w:t>
      </w:r>
      <w:r w:rsidR="008115A6" w:rsidRPr="00CB3320">
        <w:rPr>
          <w:rFonts w:hint="eastAsia"/>
        </w:rPr>
        <w:t>其</w:t>
      </w:r>
      <w:r w:rsidR="00831776" w:rsidRPr="00CB3320">
        <w:rPr>
          <w:rFonts w:hint="eastAsia"/>
        </w:rPr>
        <w:t>发展基本依赖政府的投入，因此，我们</w:t>
      </w:r>
      <w:r w:rsidR="008115A6" w:rsidRPr="00CB3320">
        <w:rPr>
          <w:rFonts w:hint="eastAsia"/>
        </w:rPr>
        <w:t>使用</w:t>
      </w:r>
      <w:r w:rsidR="005D4574" w:rsidRPr="00CB3320">
        <w:rPr>
          <w:rFonts w:hint="eastAsia"/>
        </w:rPr>
        <w:t>教育财政支出强度（教育财政支出</w:t>
      </w:r>
      <w:r w:rsidR="00B53869" w:rsidRPr="00CB3320">
        <w:rPr>
          <w:rFonts w:hint="eastAsia"/>
        </w:rPr>
        <w:t>占</w:t>
      </w:r>
      <w:r w:rsidR="00B53869" w:rsidRPr="00CB3320">
        <w:rPr>
          <w:rFonts w:hint="eastAsia"/>
        </w:rPr>
        <w:t>GDP</w:t>
      </w:r>
      <w:r w:rsidR="00B53869" w:rsidRPr="00CB3320">
        <w:rPr>
          <w:rFonts w:hint="eastAsia"/>
        </w:rPr>
        <w:t>的</w:t>
      </w:r>
      <w:r w:rsidR="00F0657C" w:rsidRPr="00CB3320">
        <w:rPr>
          <w:rFonts w:hint="eastAsia"/>
        </w:rPr>
        <w:t>比重</w:t>
      </w:r>
      <w:r w:rsidR="005D4574" w:rsidRPr="00CB3320">
        <w:rPr>
          <w:rFonts w:hint="eastAsia"/>
        </w:rPr>
        <w:t>）</w:t>
      </w:r>
      <w:r w:rsidR="00B53869" w:rsidRPr="00CB3320">
        <w:rPr>
          <w:rFonts w:hint="eastAsia"/>
        </w:rPr>
        <w:t>来衡量一个地区的教育水平。</w:t>
      </w:r>
    </w:p>
    <w:p w14:paraId="5B86C2D1" w14:textId="57937747" w:rsidR="00F0657C" w:rsidRPr="00CB3320" w:rsidRDefault="00084D53" w:rsidP="00D9313F">
      <w:pPr>
        <w:ind w:firstLine="420"/>
      </w:pPr>
      <w:r w:rsidRPr="00CB3320">
        <w:rPr>
          <w:rFonts w:hint="eastAsia"/>
        </w:rPr>
        <w:t>科技水平。</w:t>
      </w:r>
      <w:r w:rsidR="00B80875" w:rsidRPr="00CB3320">
        <w:rPr>
          <w:rFonts w:hint="eastAsia"/>
        </w:rPr>
        <w:t>政府的科学技术支出旨在促进研发相关活动，而研发支出的增加能够将公司的部分资源转移到科学技术开发上，刺激公司创新，改革公司增长模式，从而促进全要素生产率的提升</w:t>
      </w:r>
      <w:r w:rsidR="00C7424A" w:rsidRPr="00CB3320">
        <w:fldChar w:fldCharType="begin" w:fldLock="1"/>
      </w:r>
      <w:r w:rsidR="005B1161" w:rsidRPr="00CB3320">
        <w:rPr>
          <w:rFonts w:hint="eastAsia"/>
        </w:rPr>
        <w:instrText>ADDIN CSL_CITATION {"citationItems":[{"id":"ITEM-1","itemData":{"author":[{"dropping-particle":"","family":"</w:instrText>
      </w:r>
      <w:r w:rsidR="005B1161" w:rsidRPr="00CB3320">
        <w:rPr>
          <w:rFonts w:hint="eastAsia"/>
        </w:rPr>
        <w:instrText>李小平</w:instrText>
      </w:r>
      <w:r w:rsidR="005B1161" w:rsidRPr="00CB3320">
        <w:rPr>
          <w:rFonts w:hint="eastAsia"/>
        </w:rPr>
        <w:instrText>","given":"","non-dropping-particle":"","parse-names":false,"suffix":""},{"dropping-particle":"","family":"</w:instrText>
      </w:r>
      <w:r w:rsidR="005B1161" w:rsidRPr="00CB3320">
        <w:rPr>
          <w:rFonts w:hint="eastAsia"/>
        </w:rPr>
        <w:instrText>李小克</w:instrText>
      </w:r>
      <w:r w:rsidR="005B1161" w:rsidRPr="00CB3320">
        <w:rPr>
          <w:rFonts w:hint="eastAsia"/>
        </w:rPr>
        <w:instrText>","given":"","non-dropping-particle":"","parse-names":false,"suffix":""}],"container-title":"</w:instrText>
      </w:r>
      <w:r w:rsidR="005B1161" w:rsidRPr="00CB3320">
        <w:rPr>
          <w:rFonts w:hint="eastAsia"/>
        </w:rPr>
        <w:instrText>经济研究</w:instrText>
      </w:r>
      <w:r w:rsidR="005B1161" w:rsidRPr="00CB3320">
        <w:rPr>
          <w:rFonts w:hint="eastAsia"/>
        </w:rPr>
        <w:instrText>","id":"ITEM-1","issue":"10","issued":{"date-parts":[["2018"]]},"page":"82-96","title":"</w:instrText>
      </w:r>
      <w:r w:rsidR="005B1161" w:rsidRPr="00CB3320">
        <w:rPr>
          <w:rFonts w:hint="eastAsia"/>
        </w:rPr>
        <w:instrText>偏向性技术进步与中国工业全要素生产率增长</w:instrText>
      </w:r>
      <w:r w:rsidR="005B1161" w:rsidRPr="00CB3320">
        <w:rPr>
          <w:rFonts w:hint="eastAsia"/>
        </w:rPr>
        <w:instrText>","type":"article-journal","volume":"53"},"uris":["http://www.mendeley.com/documents/?uuid=e00411f5-8595-4d13-8640-68d346589b25","http://www.mendeley.com/documents/?uuid=21f8f4cb-5b50-456a-bb8b-b7b8f1cc81aa"]}],"mendeley":{"formattedCitation":"(</w:instrText>
      </w:r>
      <w:r w:rsidR="005B1161" w:rsidRPr="00CB3320">
        <w:rPr>
          <w:rFonts w:hint="eastAsia"/>
        </w:rPr>
        <w:instrText>李小平等</w:instrText>
      </w:r>
      <w:r w:rsidR="005B1161" w:rsidRPr="00CB3320">
        <w:rPr>
          <w:rFonts w:hint="eastAsia"/>
        </w:rPr>
        <w:instrText>, 2018)","manualFormatting":"(</w:instrText>
      </w:r>
      <w:r w:rsidR="005B1161" w:rsidRPr="00CB3320">
        <w:rPr>
          <w:rFonts w:hint="eastAsia"/>
        </w:rPr>
        <w:instrText>李小平等，</w:instrText>
      </w:r>
      <w:r w:rsidR="005B1161" w:rsidRPr="00CB3320">
        <w:rPr>
          <w:rFonts w:hint="eastAsia"/>
        </w:rPr>
        <w:instrText>2018)","plainTextFormattedCitation":"(</w:instrText>
      </w:r>
      <w:r w:rsidR="005B1161" w:rsidRPr="00CB3320">
        <w:rPr>
          <w:rFonts w:hint="eastAsia"/>
        </w:rPr>
        <w:instrText>李小平等</w:instrText>
      </w:r>
      <w:r w:rsidR="005B1161" w:rsidRPr="00CB3320">
        <w:rPr>
          <w:rFonts w:hint="eastAsia"/>
        </w:rPr>
        <w:instrText>, 2018)","previouslyFormattedCitation":"(</w:instrText>
      </w:r>
      <w:r w:rsidR="005B1161" w:rsidRPr="00CB3320">
        <w:rPr>
          <w:rFonts w:hint="eastAsia"/>
        </w:rPr>
        <w:instrText>李小平等</w:instrText>
      </w:r>
      <w:r w:rsidR="005B1161" w:rsidRPr="00CB3320">
        <w:rPr>
          <w:rFonts w:hint="eastAsia"/>
        </w:rPr>
        <w:instrText>, 2018)"},"properties":{"noteIndex":0},"schema":"https://github.com/citation-style-language/schema/raw/master/csl-citation.json"}</w:instrText>
      </w:r>
      <w:r w:rsidR="00C7424A" w:rsidRPr="00CB3320">
        <w:fldChar w:fldCharType="separate"/>
      </w:r>
      <w:r w:rsidR="00F748DE" w:rsidRPr="00CB3320">
        <w:rPr>
          <w:rFonts w:hint="eastAsia"/>
          <w:noProof/>
        </w:rPr>
        <w:t>(</w:t>
      </w:r>
      <w:r w:rsidR="00F748DE" w:rsidRPr="00CB3320">
        <w:rPr>
          <w:rFonts w:hint="eastAsia"/>
          <w:noProof/>
        </w:rPr>
        <w:t>李小平等</w:t>
      </w:r>
      <w:r w:rsidR="005B1161" w:rsidRPr="00CB3320">
        <w:rPr>
          <w:rFonts w:hint="eastAsia"/>
          <w:noProof/>
        </w:rPr>
        <w:t>，</w:t>
      </w:r>
      <w:r w:rsidR="00F748DE" w:rsidRPr="00CB3320">
        <w:rPr>
          <w:rFonts w:hint="eastAsia"/>
          <w:noProof/>
        </w:rPr>
        <w:t>2018)</w:t>
      </w:r>
      <w:r w:rsidR="00C7424A" w:rsidRPr="00CB3320">
        <w:fldChar w:fldCharType="end"/>
      </w:r>
      <w:r w:rsidR="00C7424A" w:rsidRPr="00CB3320">
        <w:rPr>
          <w:rFonts w:hint="eastAsia"/>
        </w:rPr>
        <w:t>。</w:t>
      </w:r>
      <w:r w:rsidRPr="00CB3320">
        <w:rPr>
          <w:rFonts w:hint="eastAsia"/>
        </w:rPr>
        <w:t>本文使用科技财政支出强度（科技财政支出占</w:t>
      </w:r>
      <w:r w:rsidRPr="00CB3320">
        <w:rPr>
          <w:rFonts w:hint="eastAsia"/>
        </w:rPr>
        <w:t>GDP</w:t>
      </w:r>
      <w:r w:rsidRPr="00CB3320">
        <w:rPr>
          <w:rFonts w:hint="eastAsia"/>
        </w:rPr>
        <w:t>的比重）对其进行衡量。</w:t>
      </w:r>
    </w:p>
    <w:p w14:paraId="2F2BD623" w14:textId="68E72195" w:rsidR="007C7B77" w:rsidRPr="00CB3320" w:rsidRDefault="00084D53" w:rsidP="00D9313F">
      <w:pPr>
        <w:ind w:firstLine="420"/>
      </w:pPr>
      <w:r w:rsidRPr="00CB3320">
        <w:rPr>
          <w:rFonts w:hint="eastAsia"/>
        </w:rPr>
        <w:t>资源配置率。</w:t>
      </w:r>
      <w:r w:rsidR="002B6038" w:rsidRPr="00CB3320">
        <w:rPr>
          <w:rFonts w:hint="eastAsia"/>
        </w:rPr>
        <w:t>资源配置效率</w:t>
      </w:r>
      <w:r w:rsidR="00B00DC1" w:rsidRPr="00CB3320">
        <w:rPr>
          <w:rFonts w:hint="eastAsia"/>
        </w:rPr>
        <w:t>也是影响</w:t>
      </w:r>
      <w:r w:rsidR="00B00DC1" w:rsidRPr="00CB3320">
        <w:rPr>
          <w:rFonts w:hint="eastAsia"/>
        </w:rPr>
        <w:t>T</w:t>
      </w:r>
      <w:r w:rsidR="00B00DC1" w:rsidRPr="00CB3320">
        <w:t>FP</w:t>
      </w:r>
      <w:r w:rsidR="00B00DC1" w:rsidRPr="00CB3320">
        <w:rPr>
          <w:rFonts w:hint="eastAsia"/>
        </w:rPr>
        <w:t>的重要指标，由于数据可得性，本文以失业率对其进行衡量</w:t>
      </w:r>
      <w:r w:rsidR="001E6C1C" w:rsidRPr="00CB3320">
        <w:rPr>
          <w:rFonts w:hint="eastAsia"/>
        </w:rPr>
        <w:t>。</w:t>
      </w:r>
      <w:r w:rsidR="00BF2A87" w:rsidRPr="00CB3320">
        <w:rPr>
          <w:rFonts w:hint="eastAsia"/>
        </w:rPr>
        <w:t>人力资源配置的优化能够增强企业学习和吸收新信息的能力，使有形投入得到更有效的利用</w:t>
      </w:r>
      <w:r w:rsidR="00996344" w:rsidRPr="00CB3320">
        <w:fldChar w:fldCharType="begin" w:fldLock="1"/>
      </w:r>
      <w:r w:rsidR="005B1161" w:rsidRPr="00CB3320">
        <w:instrText>ADDIN CSL_CITATION {"citationItems":[{"id":"ITEM-1","itemData":{"DOI":"10.1016/S0165-1765(02)00090-3","ISSN":"01651765","author":[{"dropping-particle":"","family":"Barrio-Castro","given":"Tomás","non-dropping-particle":"del","parse-names":false,"suffix":""},{"dropping-particle":"","family":"López-Bazo","given":"Enrique","non-dropping-particle":"","parse-names":false,"suffix":""},{"dropping-particle":"","family":"Serrano-Domingo","given":"Guadalupe","non-dropping-particle":"","parse-names":false,"suffix":""}],"container-title":"Economics Letters","id":"ITEM-1","issue":"1","issued":{"date-parts":[["2002","9"]]},"page":"41-45","title":"New evidence on international R&amp;amp;D spillovers, human capital and productivity in the OECD","type":"article-journal","volume":"77"},"uris":["http://www.mendeley.com/documents/?uuid=750a2374-1493-4322-9e85-c6fbf603acd8","http://www.mendeley.com/documents/?uuid=187f5b41-f487-46f4-9a1f-c2cb60ff6f83","http://www.mendeley.com/documents/?uuid=9b79dcd3-2eb1-474b-b3f7-b87ea424d921"]</w:instrText>
      </w:r>
      <w:r w:rsidR="005B1161" w:rsidRPr="00CB3320">
        <w:rPr>
          <w:rFonts w:hint="eastAsia"/>
        </w:rPr>
        <w:instrText>}],"mendeley":{"formattedCitation":"(Del Barrio-Castro</w:instrText>
      </w:r>
      <w:r w:rsidR="005B1161" w:rsidRPr="00CB3320">
        <w:rPr>
          <w:rFonts w:hint="eastAsia"/>
        </w:rPr>
        <w:instrText>等</w:instrText>
      </w:r>
      <w:r w:rsidR="005B1161" w:rsidRPr="00CB3320">
        <w:rPr>
          <w:rFonts w:hint="eastAsia"/>
        </w:rPr>
        <w:instrText>, 2002)","manualFormatting":"(Del Barrio-Castro et al</w:instrText>
      </w:r>
      <w:r w:rsidR="005B1161" w:rsidRPr="00CB3320">
        <w:rPr>
          <w:rFonts w:hint="eastAsia"/>
        </w:rPr>
        <w:instrText>，</w:instrText>
      </w:r>
      <w:r w:rsidR="005B1161" w:rsidRPr="00CB3320">
        <w:rPr>
          <w:rFonts w:hint="eastAsia"/>
        </w:rPr>
        <w:instrText>2002)","plainTextFormattedCitation":"(Del Barrio-Castro</w:instrText>
      </w:r>
      <w:r w:rsidR="005B1161" w:rsidRPr="00CB3320">
        <w:rPr>
          <w:rFonts w:hint="eastAsia"/>
        </w:rPr>
        <w:instrText>等</w:instrText>
      </w:r>
      <w:r w:rsidR="005B1161" w:rsidRPr="00CB3320">
        <w:rPr>
          <w:rFonts w:hint="eastAsia"/>
        </w:rPr>
        <w:instrText>, 2002)","previouslyFormattedCitation":"(Del Barrio-Castro</w:instrText>
      </w:r>
      <w:r w:rsidR="005B1161" w:rsidRPr="00CB3320">
        <w:rPr>
          <w:rFonts w:hint="eastAsia"/>
        </w:rPr>
        <w:instrText>等</w:instrText>
      </w:r>
      <w:r w:rsidR="005B1161" w:rsidRPr="00CB3320">
        <w:rPr>
          <w:rFonts w:hint="eastAsia"/>
        </w:rPr>
        <w:instrText>, 2002)"},"properties":{"noteIn</w:instrText>
      </w:r>
      <w:r w:rsidR="005B1161" w:rsidRPr="00CB3320">
        <w:instrText>dex":0},"schema":"https://github.com/citation-style-language/schema/raw/master/csl-citation.json"}</w:instrText>
      </w:r>
      <w:r w:rsidR="00996344" w:rsidRPr="00CB3320">
        <w:fldChar w:fldCharType="separate"/>
      </w:r>
      <w:r w:rsidR="00364702" w:rsidRPr="00CB3320">
        <w:rPr>
          <w:rFonts w:hint="eastAsia"/>
          <w:noProof/>
        </w:rPr>
        <w:t>(Del Barrio-Castro</w:t>
      </w:r>
      <w:r w:rsidR="005B1161" w:rsidRPr="00CB3320">
        <w:rPr>
          <w:rFonts w:hint="eastAsia"/>
          <w:noProof/>
        </w:rPr>
        <w:t xml:space="preserve"> et al</w:t>
      </w:r>
      <w:r w:rsidR="005B1161" w:rsidRPr="00CB3320">
        <w:rPr>
          <w:rFonts w:hint="eastAsia"/>
          <w:noProof/>
        </w:rPr>
        <w:t>，</w:t>
      </w:r>
      <w:r w:rsidR="00364702" w:rsidRPr="00CB3320">
        <w:rPr>
          <w:rFonts w:hint="eastAsia"/>
          <w:noProof/>
        </w:rPr>
        <w:t>2002)</w:t>
      </w:r>
      <w:r w:rsidR="00996344" w:rsidRPr="00CB3320">
        <w:fldChar w:fldCharType="end"/>
      </w:r>
      <w:r w:rsidR="007E6D69" w:rsidRPr="00CB3320">
        <w:rPr>
          <w:rFonts w:hint="eastAsia"/>
        </w:rPr>
        <w:t>，而人力资源的配置不当则会带来生产率的降低</w:t>
      </w:r>
      <w:r w:rsidR="003F104E" w:rsidRPr="00CB3320">
        <w:fldChar w:fldCharType="begin" w:fldLock="1"/>
      </w:r>
      <w:r w:rsidR="005B1161" w:rsidRPr="00CB3320">
        <w:rPr>
          <w:rFonts w:hint="eastAsia"/>
        </w:rPr>
        <w:instrText>ADDIN CSL_CITATION {"citationItems":[{"id":"ITEM-1","itemData":{"author":[{"dropping-particle":"","family":"</w:instrText>
      </w:r>
      <w:r w:rsidR="005B1161" w:rsidRPr="00CB3320">
        <w:rPr>
          <w:rFonts w:hint="eastAsia"/>
        </w:rPr>
        <w:instrText>都阳</w:instrText>
      </w:r>
      <w:r w:rsidR="005B1161" w:rsidRPr="00CB3320">
        <w:rPr>
          <w:rFonts w:hint="eastAsia"/>
        </w:rPr>
        <w:instrText>","given":"","non-dropping-particle":"","parse-names":false,"suffix":""},{"dropping-particle":"","family":"</w:instrText>
      </w:r>
      <w:r w:rsidR="005B1161" w:rsidRPr="00CB3320">
        <w:rPr>
          <w:rFonts w:hint="eastAsia"/>
        </w:rPr>
        <w:instrText>封永刚</w:instrText>
      </w:r>
      <w:r w:rsidR="005B1161" w:rsidRPr="00CB3320">
        <w:rPr>
          <w:rFonts w:hint="eastAsia"/>
        </w:rPr>
        <w:instrText>","given":"","non-dropping-particle":"","parse-names":false,"suffix":""}],"container-title":"</w:instrText>
      </w:r>
      <w:r w:rsidR="005B1161" w:rsidRPr="00CB3320">
        <w:rPr>
          <w:rFonts w:hint="eastAsia"/>
        </w:rPr>
        <w:instrText>经济研究</w:instrText>
      </w:r>
      <w:r w:rsidR="005B1161" w:rsidRPr="00CB3320">
        <w:rPr>
          <w:rFonts w:hint="eastAsia"/>
        </w:rPr>
        <w:instrText>","id":"ITEM-1","issue":"02","issued":{"date-parts":[["2021"]]},"page":"71-88","title":"</w:instrText>
      </w:r>
      <w:r w:rsidR="005B1161" w:rsidRPr="00CB3320">
        <w:rPr>
          <w:rFonts w:hint="eastAsia"/>
        </w:rPr>
        <w:instrText>人口快速老龄化对经济增长的冲击</w:instrText>
      </w:r>
      <w:r w:rsidR="005B1161" w:rsidRPr="00CB3320">
        <w:rPr>
          <w:rFonts w:hint="eastAsia"/>
        </w:rPr>
        <w:instrText>","type":"article-journal","volume":"56"},"uris":["http://www.mendeley.com/documents/?uuid=a8fcdfea-f311-44c6-bb34-306ff9013096","http://www.mendeley.com/documents/?uuid=18528367-bd8c-404e-8a8b-898258c0b792"]},{"id":"ITEM-2","itemData":{"abstract":"</w:instrText>
      </w:r>
      <w:r w:rsidR="005B1161" w:rsidRPr="00CB3320">
        <w:rPr>
          <w:rFonts w:hint="eastAsia"/>
        </w:rPr>
        <w:instrText>利用</w:instrText>
      </w:r>
      <w:r w:rsidR="005B1161" w:rsidRPr="00CB3320">
        <w:rPr>
          <w:rFonts w:hint="eastAsia"/>
        </w:rPr>
        <w:instrText>1998</w:instrText>
      </w:r>
      <w:r w:rsidR="005B1161" w:rsidRPr="00CB3320">
        <w:rPr>
          <w:rFonts w:hint="eastAsia"/>
        </w:rPr>
        <w:instrText>—</w:instrText>
      </w:r>
      <w:r w:rsidR="005B1161" w:rsidRPr="00CB3320">
        <w:rPr>
          <w:rFonts w:hint="eastAsia"/>
        </w:rPr>
        <w:instrText>2007</w:instrText>
      </w:r>
      <w:r w:rsidR="005B1161" w:rsidRPr="00CB3320">
        <w:rPr>
          <w:rFonts w:hint="eastAsia"/>
        </w:rPr>
        <w:instrText>年中国制造业企业微观数据</w:instrText>
      </w:r>
      <w:r w:rsidR="005B1161" w:rsidRPr="00CB3320">
        <w:rPr>
          <w:rFonts w:hint="eastAsia"/>
        </w:rPr>
        <w:instrText>,</w:instrText>
      </w:r>
      <w:r w:rsidR="005B1161" w:rsidRPr="00CB3320">
        <w:rPr>
          <w:rFonts w:hint="eastAsia"/>
        </w:rPr>
        <w:instrText>本文测度了中国制造业资源错配的程度、方向及其演进趋势</w:instrText>
      </w:r>
      <w:r w:rsidR="005B1161" w:rsidRPr="00CB3320">
        <w:rPr>
          <w:rFonts w:hint="eastAsia"/>
        </w:rPr>
        <w:instrText>,</w:instrText>
      </w:r>
      <w:r w:rsidR="005B1161" w:rsidRPr="00CB3320">
        <w:rPr>
          <w:rFonts w:hint="eastAsia"/>
        </w:rPr>
        <w:instrText>并估计了中国制造业的潜在增长率。研究发现中国大多数制造业行业资本配置不足、劳动配置过度</w:instrText>
      </w:r>
      <w:r w:rsidR="005B1161" w:rsidRPr="00CB3320">
        <w:rPr>
          <w:rFonts w:hint="eastAsia"/>
        </w:rPr>
        <w:instrText>,</w:instrText>
      </w:r>
      <w:r w:rsidR="005B1161" w:rsidRPr="00CB3320">
        <w:rPr>
          <w:rFonts w:hint="eastAsia"/>
        </w:rPr>
        <w:instrText>且制造业整体的资源错配程度在下降</w:instrText>
      </w:r>
      <w:r w:rsidR="005B1161" w:rsidRPr="00CB3320">
        <w:rPr>
          <w:rFonts w:hint="eastAsia"/>
        </w:rPr>
        <w:instrText>,</w:instrText>
      </w:r>
      <w:r w:rsidR="005B1161" w:rsidRPr="00CB3320">
        <w:rPr>
          <w:rFonts w:hint="eastAsia"/>
        </w:rPr>
        <w:instrText>但国家所有权恶化了资源配置效率。中国制造业整体资源配置效率的改进缩小了实际产出与有效产出之间的缺口</w:instrText>
      </w:r>
      <w:r w:rsidR="005B1161" w:rsidRPr="00CB3320">
        <w:rPr>
          <w:rFonts w:hint="eastAsia"/>
        </w:rPr>
        <w:instrText>,</w:instrText>
      </w:r>
      <w:r w:rsidR="005B1161" w:rsidRPr="00CB3320">
        <w:rPr>
          <w:rFonts w:hint="eastAsia"/>
        </w:rPr>
        <w:instrText>进一步提高资源配置效率是释放中国经济增长潜力、实现中国经济持续快速增长的重要途径。</w:instrText>
      </w:r>
      <w:r w:rsidR="005B1161" w:rsidRPr="00CB3320">
        <w:rPr>
          <w:rFonts w:hint="eastAsia"/>
        </w:rPr>
        <w:instrText>","author":[{"dropping-particle":"","family":"</w:instrText>
      </w:r>
      <w:r w:rsidR="005B1161" w:rsidRPr="00CB3320">
        <w:rPr>
          <w:rFonts w:hint="eastAsia"/>
        </w:rPr>
        <w:instrText>文东伟</w:instrText>
      </w:r>
      <w:r w:rsidR="005B1161" w:rsidRPr="00CB3320">
        <w:rPr>
          <w:rFonts w:hint="eastAsia"/>
        </w:rPr>
        <w:instrText>","given":"","non-dropping-particle":"","parse-names":false,"suffix":""}],"container-title":"</w:instrText>
      </w:r>
      <w:r w:rsidR="005B1161" w:rsidRPr="00CB3320">
        <w:rPr>
          <w:rFonts w:hint="eastAsia"/>
        </w:rPr>
        <w:instrText>经济学</w:instrText>
      </w:r>
      <w:r w:rsidR="005B1161" w:rsidRPr="00CB3320">
        <w:rPr>
          <w:rFonts w:hint="eastAsia"/>
        </w:rPr>
        <w:instrText>(</w:instrText>
      </w:r>
      <w:r w:rsidR="005B1161" w:rsidRPr="00CB3320">
        <w:rPr>
          <w:rFonts w:hint="eastAsia"/>
        </w:rPr>
        <w:instrText>季刊</w:instrText>
      </w:r>
      <w:r w:rsidR="005B1161" w:rsidRPr="00CB3320">
        <w:rPr>
          <w:rFonts w:hint="eastAsia"/>
        </w:rPr>
        <w:instrText>)","id":"ITEM-2","issue":"02","issued":{"date-parts":[["2019"]]},"page":"617-638","title":"</w:instrText>
      </w:r>
      <w:r w:rsidR="005B1161" w:rsidRPr="00CB3320">
        <w:rPr>
          <w:rFonts w:hint="eastAsia"/>
        </w:rPr>
        <w:instrText>资源错配、全要素生产率与中国制造业的增长潜力</w:instrText>
      </w:r>
      <w:r w:rsidR="005B1161" w:rsidRPr="00CB3320">
        <w:rPr>
          <w:rFonts w:hint="eastAsia"/>
        </w:rPr>
        <w:instrText>","type":"article-journal","volume":"18"},"uris":["http://www.mendeley.com/documents/?uuid=41ca68ed-6679-4451-92e6-7b028f0a4915"]}],"mendeley":{"formattedCitation":"(</w:instrText>
      </w:r>
      <w:r w:rsidR="005B1161" w:rsidRPr="00CB3320">
        <w:rPr>
          <w:rFonts w:hint="eastAsia"/>
        </w:rPr>
        <w:instrText>文东伟</w:instrText>
      </w:r>
      <w:r w:rsidR="005B1161" w:rsidRPr="00CB3320">
        <w:rPr>
          <w:rFonts w:hint="eastAsia"/>
        </w:rPr>
        <w:instrText xml:space="preserve">, 2019; </w:instrText>
      </w:r>
      <w:r w:rsidR="005B1161" w:rsidRPr="00CB3320">
        <w:rPr>
          <w:rFonts w:hint="eastAsia"/>
        </w:rPr>
        <w:instrText>都阳等</w:instrText>
      </w:r>
      <w:r w:rsidR="005B1161" w:rsidRPr="00CB3320">
        <w:rPr>
          <w:rFonts w:hint="eastAsia"/>
        </w:rPr>
        <w:instrText>, 2021)","manualFormatting":"(</w:instrText>
      </w:r>
      <w:r w:rsidR="005B1161" w:rsidRPr="00CB3320">
        <w:rPr>
          <w:rFonts w:hint="eastAsia"/>
        </w:rPr>
        <w:instrText>文东伟，</w:instrText>
      </w:r>
      <w:r w:rsidR="005B1161" w:rsidRPr="00CB3320">
        <w:rPr>
          <w:rFonts w:hint="eastAsia"/>
        </w:rPr>
        <w:instrText>2019</w:instrText>
      </w:r>
      <w:r w:rsidR="005B1161" w:rsidRPr="00CB3320">
        <w:rPr>
          <w:rFonts w:hint="eastAsia"/>
        </w:rPr>
        <w:instrText>；都阳等，</w:instrText>
      </w:r>
      <w:r w:rsidR="005B1161" w:rsidRPr="00CB3320">
        <w:rPr>
          <w:rFonts w:hint="eastAsia"/>
        </w:rPr>
        <w:instrText>2021)","plainTextFormattedCitation":"(</w:instrText>
      </w:r>
      <w:r w:rsidR="005B1161" w:rsidRPr="00CB3320">
        <w:rPr>
          <w:rFonts w:hint="eastAsia"/>
        </w:rPr>
        <w:instrText>文东伟</w:instrText>
      </w:r>
      <w:r w:rsidR="005B1161" w:rsidRPr="00CB3320">
        <w:rPr>
          <w:rFonts w:hint="eastAsia"/>
        </w:rPr>
        <w:instrText xml:space="preserve">, 2019; </w:instrText>
      </w:r>
      <w:r w:rsidR="005B1161" w:rsidRPr="00CB3320">
        <w:rPr>
          <w:rFonts w:hint="eastAsia"/>
        </w:rPr>
        <w:instrText>都阳等</w:instrText>
      </w:r>
      <w:r w:rsidR="005B1161" w:rsidRPr="00CB3320">
        <w:rPr>
          <w:rFonts w:hint="eastAsia"/>
        </w:rPr>
        <w:instrText>, 2021)","previouslyFormattedCitation":"(</w:instrText>
      </w:r>
      <w:r w:rsidR="005B1161" w:rsidRPr="00CB3320">
        <w:rPr>
          <w:rFonts w:hint="eastAsia"/>
        </w:rPr>
        <w:instrText>文东伟</w:instrText>
      </w:r>
      <w:r w:rsidR="005B1161" w:rsidRPr="00CB3320">
        <w:rPr>
          <w:rFonts w:hint="eastAsia"/>
        </w:rPr>
        <w:instrText xml:space="preserve">, 2019; </w:instrText>
      </w:r>
      <w:r w:rsidR="005B1161" w:rsidRPr="00CB3320">
        <w:rPr>
          <w:rFonts w:hint="eastAsia"/>
        </w:rPr>
        <w:instrText>都阳等</w:instrText>
      </w:r>
      <w:r w:rsidR="005B1161" w:rsidRPr="00CB3320">
        <w:rPr>
          <w:rFonts w:hint="eastAsia"/>
        </w:rPr>
        <w:instrText>, 2021)"},"properties":{"noteIndex":0},"schema":"https://github.com</w:instrText>
      </w:r>
      <w:r w:rsidR="005B1161" w:rsidRPr="00CB3320">
        <w:instrText>/citation-style-language/schema/raw/master/csl-citation.json"}</w:instrText>
      </w:r>
      <w:r w:rsidR="003F104E" w:rsidRPr="00CB3320">
        <w:fldChar w:fldCharType="separate"/>
      </w:r>
      <w:r w:rsidR="00364702" w:rsidRPr="00CB3320">
        <w:rPr>
          <w:rFonts w:hint="eastAsia"/>
          <w:noProof/>
        </w:rPr>
        <w:t>(</w:t>
      </w:r>
      <w:r w:rsidR="00364702" w:rsidRPr="00CB3320">
        <w:rPr>
          <w:rFonts w:hint="eastAsia"/>
          <w:noProof/>
        </w:rPr>
        <w:t>文东伟</w:t>
      </w:r>
      <w:r w:rsidR="005B1161" w:rsidRPr="00CB3320">
        <w:rPr>
          <w:rFonts w:hint="eastAsia"/>
          <w:noProof/>
        </w:rPr>
        <w:t>，</w:t>
      </w:r>
      <w:r w:rsidR="00364702" w:rsidRPr="00CB3320">
        <w:rPr>
          <w:rFonts w:hint="eastAsia"/>
          <w:noProof/>
        </w:rPr>
        <w:t>2019</w:t>
      </w:r>
      <w:r w:rsidR="005B1161" w:rsidRPr="00CB3320">
        <w:rPr>
          <w:rFonts w:hint="eastAsia"/>
          <w:noProof/>
        </w:rPr>
        <w:t>；</w:t>
      </w:r>
      <w:r w:rsidR="00364702" w:rsidRPr="00CB3320">
        <w:rPr>
          <w:rFonts w:hint="eastAsia"/>
          <w:noProof/>
        </w:rPr>
        <w:t>都阳等</w:t>
      </w:r>
      <w:r w:rsidR="005B1161" w:rsidRPr="00CB3320">
        <w:rPr>
          <w:rFonts w:hint="eastAsia"/>
          <w:noProof/>
        </w:rPr>
        <w:t>，</w:t>
      </w:r>
      <w:r w:rsidR="00364702" w:rsidRPr="00CB3320">
        <w:rPr>
          <w:rFonts w:hint="eastAsia"/>
          <w:noProof/>
        </w:rPr>
        <w:t>2021)</w:t>
      </w:r>
      <w:r w:rsidR="003F104E" w:rsidRPr="00CB3320">
        <w:fldChar w:fldCharType="end"/>
      </w:r>
      <w:r w:rsidR="00781225" w:rsidRPr="00CB3320">
        <w:rPr>
          <w:rFonts w:hint="eastAsia"/>
        </w:rPr>
        <w:t>，因此，本文加入资源配置效率的协变量用于吸收这一部分对</w:t>
      </w:r>
      <w:r w:rsidR="00781225" w:rsidRPr="00CB3320">
        <w:rPr>
          <w:rFonts w:hint="eastAsia"/>
        </w:rPr>
        <w:t>TFP</w:t>
      </w:r>
      <w:r w:rsidR="00781225" w:rsidRPr="00CB3320">
        <w:rPr>
          <w:rFonts w:hint="eastAsia"/>
        </w:rPr>
        <w:t>产生的影响</w:t>
      </w:r>
      <w:r w:rsidR="007E6D69" w:rsidRPr="00CB3320">
        <w:rPr>
          <w:rFonts w:hint="eastAsia"/>
        </w:rPr>
        <w:t>。</w:t>
      </w:r>
    </w:p>
    <w:p w14:paraId="2646D7C2" w14:textId="78354822" w:rsidR="007E6D69" w:rsidRPr="00CB3320" w:rsidRDefault="00EF5093" w:rsidP="00D9313F">
      <w:pPr>
        <w:ind w:firstLine="420"/>
      </w:pPr>
      <w:bookmarkStart w:id="23" w:name="_Hlk121754781"/>
      <w:r w:rsidRPr="00CB3320">
        <w:rPr>
          <w:rFonts w:hint="eastAsia"/>
        </w:rPr>
        <w:t>产业</w:t>
      </w:r>
      <w:r w:rsidR="00084D53" w:rsidRPr="00CB3320">
        <w:rPr>
          <w:rFonts w:hint="eastAsia"/>
        </w:rPr>
        <w:t>结构。</w:t>
      </w:r>
      <w:r w:rsidR="00AC0F34" w:rsidRPr="00CB3320">
        <w:rPr>
          <w:rFonts w:hint="eastAsia"/>
        </w:rPr>
        <w:t>“</w:t>
      </w:r>
      <w:r w:rsidR="007E6D69" w:rsidRPr="00CB3320">
        <w:rPr>
          <w:rFonts w:hint="eastAsia"/>
        </w:rPr>
        <w:t>结构红利假说</w:t>
      </w:r>
      <w:r w:rsidR="00AC0F34" w:rsidRPr="00CB3320">
        <w:rPr>
          <w:rFonts w:hint="eastAsia"/>
        </w:rPr>
        <w:t>”指出</w:t>
      </w:r>
      <w:r w:rsidR="007E6D69" w:rsidRPr="00CB3320">
        <w:rPr>
          <w:rFonts w:hint="eastAsia"/>
        </w:rPr>
        <w:t>劳动和资本将会从生产率较低的制造业部门转移到生产率较高的部门</w:t>
      </w:r>
      <w:r w:rsidR="0097102C" w:rsidRPr="00CB3320">
        <w:fldChar w:fldCharType="begin" w:fldLock="1"/>
      </w:r>
      <w:r w:rsidR="005B1161" w:rsidRPr="00CB3320">
        <w:rPr>
          <w:rFonts w:hint="eastAsia"/>
        </w:rPr>
        <w:instrText>ADDIN CSL_CITATION {"citationItems":[{"id":"ITEM-1","itemData":{"author":[{"dropping-particle":"","family":"</w:instrText>
      </w:r>
      <w:r w:rsidR="005B1161" w:rsidRPr="00CB3320">
        <w:rPr>
          <w:rFonts w:hint="eastAsia"/>
        </w:rPr>
        <w:instrText>王鹏</w:instrText>
      </w:r>
      <w:r w:rsidR="005B1161" w:rsidRPr="00CB3320">
        <w:rPr>
          <w:rFonts w:hint="eastAsia"/>
        </w:rPr>
        <w:instrText>","given":"","non-dropping-particle":"","parse-names":false,"suffix":""},{"dropping-particle":"","family":"</w:instrText>
      </w:r>
      <w:r w:rsidR="005B1161" w:rsidRPr="00CB3320">
        <w:rPr>
          <w:rFonts w:hint="eastAsia"/>
        </w:rPr>
        <w:instrText>尤济红</w:instrText>
      </w:r>
      <w:r w:rsidR="005B1161" w:rsidRPr="00CB3320">
        <w:rPr>
          <w:rFonts w:hint="eastAsia"/>
        </w:rPr>
        <w:instrText>","given":"","non-dropping-particle":"","parse-names":false,"suffix":""}],"container-title":"</w:instrText>
      </w:r>
      <w:r w:rsidR="005B1161" w:rsidRPr="00CB3320">
        <w:rPr>
          <w:rFonts w:hint="eastAsia"/>
        </w:rPr>
        <w:instrText>经济学动态</w:instrText>
      </w:r>
      <w:r w:rsidR="005B1161" w:rsidRPr="00CB3320">
        <w:rPr>
          <w:rFonts w:hint="eastAsia"/>
        </w:rPr>
        <w:instrText>","id":"ITEM-1","issue":"10","issued":{"date-parts":[["2015"]]},"page":"70-80","title":"</w:instrText>
      </w:r>
      <w:r w:rsidR="005B1161" w:rsidRPr="00CB3320">
        <w:rPr>
          <w:rFonts w:hint="eastAsia"/>
        </w:rPr>
        <w:instrText>产业结构调整中的要素配置效率——兼对“结构红利假说”的再检验</w:instrText>
      </w:r>
      <w:r w:rsidR="005B1161" w:rsidRPr="00CB3320">
        <w:rPr>
          <w:rFonts w:hint="eastAsia"/>
        </w:rPr>
        <w:instrText>","type":"article-journal"},"uris":["http://www.mendeley.com/documents/?uuid=f0f33ec1-2484-4a0f-8e32-ecfc5323e735","http://www.mendeley.com/documents/?uuid=ae52965a-a5d1-42b2-96bf-a5255b9a0965"]},{"id":"ITEM-2","itemData":{"author":[{"dropping-particle":"","family":"</w:instrText>
      </w:r>
      <w:r w:rsidR="005B1161" w:rsidRPr="00CB3320">
        <w:rPr>
          <w:rFonts w:hint="eastAsia"/>
        </w:rPr>
        <w:instrText>李小平</w:instrText>
      </w:r>
      <w:r w:rsidR="005B1161" w:rsidRPr="00CB3320">
        <w:rPr>
          <w:rFonts w:hint="eastAsia"/>
        </w:rPr>
        <w:instrText>","given":"","non-dropping-particle":"","parse-names":false,"suffix":""},{"dropping-particle":"","family":"</w:instrText>
      </w:r>
      <w:r w:rsidR="005B1161" w:rsidRPr="00CB3320">
        <w:rPr>
          <w:rFonts w:hint="eastAsia"/>
        </w:rPr>
        <w:instrText>陈勇</w:instrText>
      </w:r>
      <w:r w:rsidR="005B1161" w:rsidRPr="00CB3320">
        <w:rPr>
          <w:rFonts w:hint="eastAsia"/>
        </w:rPr>
        <w:instrText>","given":"","non-dropping-particle":"","parse-names":false,"suffix":""}],"container-title":"</w:instrText>
      </w:r>
      <w:r w:rsidR="005B1161" w:rsidRPr="00CB3320">
        <w:rPr>
          <w:rFonts w:hint="eastAsia"/>
        </w:rPr>
        <w:instrText>统计研究</w:instrText>
      </w:r>
      <w:r w:rsidR="005B1161" w:rsidRPr="00CB3320">
        <w:rPr>
          <w:rFonts w:hint="eastAsia"/>
        </w:rPr>
        <w:instrText>","id":"ITEM-2","issue":"07","issued":{"date-parts":[["2007"]]},"page":"22-28","title":"</w:instrText>
      </w:r>
      <w:r w:rsidR="005B1161" w:rsidRPr="00CB3320">
        <w:rPr>
          <w:rFonts w:hint="eastAsia"/>
        </w:rPr>
        <w:instrText>劳动力流动、资本转移和生产率增长——对中国工业“结构红利假说”的实证检验</w:instrText>
      </w:r>
      <w:r w:rsidR="005B1161" w:rsidRPr="00CB3320">
        <w:rPr>
          <w:rFonts w:hint="eastAsia"/>
        </w:rPr>
        <w:instrText>","type":"article-journal"},"uris":["http://www.mendeley.com/documents/?uuid=3a27bcb3-d09c-4590-85e5-317e3e83f74c","http://www.mendeley.com/documents/?uuid=9182f200-8b8c-448f-b985-360c6f461bdb"]}],"mendeley":{"formattedCitation":"(</w:instrText>
      </w:r>
      <w:r w:rsidR="005B1161" w:rsidRPr="00CB3320">
        <w:rPr>
          <w:rFonts w:hint="eastAsia"/>
        </w:rPr>
        <w:instrText>李小平等</w:instrText>
      </w:r>
      <w:r w:rsidR="005B1161" w:rsidRPr="00CB3320">
        <w:rPr>
          <w:rFonts w:hint="eastAsia"/>
        </w:rPr>
        <w:instrText xml:space="preserve">, 2007; </w:instrText>
      </w:r>
      <w:r w:rsidR="005B1161" w:rsidRPr="00CB3320">
        <w:rPr>
          <w:rFonts w:hint="eastAsia"/>
        </w:rPr>
        <w:instrText>王鹏等</w:instrText>
      </w:r>
      <w:r w:rsidR="005B1161" w:rsidRPr="00CB3320">
        <w:rPr>
          <w:rFonts w:hint="eastAsia"/>
        </w:rPr>
        <w:instrText>, 2015)","manualFormatting":"(</w:instrText>
      </w:r>
      <w:r w:rsidR="005B1161" w:rsidRPr="00CB3320">
        <w:rPr>
          <w:rFonts w:hint="eastAsia"/>
        </w:rPr>
        <w:instrText>李小平等，</w:instrText>
      </w:r>
      <w:r w:rsidR="005B1161" w:rsidRPr="00CB3320">
        <w:rPr>
          <w:rFonts w:hint="eastAsia"/>
        </w:rPr>
        <w:instrText>2007</w:instrText>
      </w:r>
      <w:r w:rsidR="005B1161" w:rsidRPr="00CB3320">
        <w:rPr>
          <w:rFonts w:hint="eastAsia"/>
        </w:rPr>
        <w:instrText>；王鹏等，</w:instrText>
      </w:r>
      <w:r w:rsidR="005B1161" w:rsidRPr="00CB3320">
        <w:rPr>
          <w:rFonts w:hint="eastAsia"/>
        </w:rPr>
        <w:instrText>2015)","plainTextFormattedCitation":"(</w:instrText>
      </w:r>
      <w:r w:rsidR="005B1161" w:rsidRPr="00CB3320">
        <w:rPr>
          <w:rFonts w:hint="eastAsia"/>
        </w:rPr>
        <w:instrText>李小平等</w:instrText>
      </w:r>
      <w:r w:rsidR="005B1161" w:rsidRPr="00CB3320">
        <w:rPr>
          <w:rFonts w:hint="eastAsia"/>
        </w:rPr>
        <w:instrText xml:space="preserve">, 2007; </w:instrText>
      </w:r>
      <w:r w:rsidR="005B1161" w:rsidRPr="00CB3320">
        <w:rPr>
          <w:rFonts w:hint="eastAsia"/>
        </w:rPr>
        <w:instrText>王鹏等</w:instrText>
      </w:r>
      <w:r w:rsidR="005B1161" w:rsidRPr="00CB3320">
        <w:rPr>
          <w:rFonts w:hint="eastAsia"/>
        </w:rPr>
        <w:instrText>, 2015)","previouslyFormattedCitation":"(</w:instrText>
      </w:r>
      <w:r w:rsidR="005B1161" w:rsidRPr="00CB3320">
        <w:rPr>
          <w:rFonts w:hint="eastAsia"/>
        </w:rPr>
        <w:instrText>李小平等</w:instrText>
      </w:r>
      <w:r w:rsidR="005B1161" w:rsidRPr="00CB3320">
        <w:rPr>
          <w:rFonts w:hint="eastAsia"/>
        </w:rPr>
        <w:instrText xml:space="preserve">, 2007; </w:instrText>
      </w:r>
      <w:r w:rsidR="005B1161" w:rsidRPr="00CB3320">
        <w:rPr>
          <w:rFonts w:hint="eastAsia"/>
        </w:rPr>
        <w:instrText>王鹏等</w:instrText>
      </w:r>
      <w:r w:rsidR="005B1161" w:rsidRPr="00CB3320">
        <w:rPr>
          <w:rFonts w:hint="eastAsia"/>
        </w:rPr>
        <w:instrText>, 2015)"},"properties":{"noteIndex":0},"schema":"https://github.com/citation-style-language/sch</w:instrText>
      </w:r>
      <w:r w:rsidR="005B1161" w:rsidRPr="00CB3320">
        <w:instrText>ema/raw/master/csl-citation.json"}</w:instrText>
      </w:r>
      <w:r w:rsidR="0097102C" w:rsidRPr="00CB3320">
        <w:fldChar w:fldCharType="separate"/>
      </w:r>
      <w:r w:rsidR="00364702" w:rsidRPr="00CB3320">
        <w:rPr>
          <w:rFonts w:hint="eastAsia"/>
          <w:noProof/>
        </w:rPr>
        <w:t>(</w:t>
      </w:r>
      <w:r w:rsidR="00364702" w:rsidRPr="00CB3320">
        <w:rPr>
          <w:rFonts w:hint="eastAsia"/>
          <w:noProof/>
        </w:rPr>
        <w:t>李小平等</w:t>
      </w:r>
      <w:r w:rsidR="005B1161" w:rsidRPr="00CB3320">
        <w:rPr>
          <w:rFonts w:hint="eastAsia"/>
          <w:noProof/>
        </w:rPr>
        <w:t>，</w:t>
      </w:r>
      <w:r w:rsidR="00364702" w:rsidRPr="00CB3320">
        <w:rPr>
          <w:rFonts w:hint="eastAsia"/>
          <w:noProof/>
        </w:rPr>
        <w:t>2007</w:t>
      </w:r>
      <w:r w:rsidR="005B1161" w:rsidRPr="00CB3320">
        <w:rPr>
          <w:rFonts w:hint="eastAsia"/>
          <w:noProof/>
        </w:rPr>
        <w:t>；</w:t>
      </w:r>
      <w:r w:rsidR="00364702" w:rsidRPr="00CB3320">
        <w:rPr>
          <w:rFonts w:hint="eastAsia"/>
          <w:noProof/>
        </w:rPr>
        <w:t>王鹏等</w:t>
      </w:r>
      <w:r w:rsidR="005B1161" w:rsidRPr="00CB3320">
        <w:rPr>
          <w:rFonts w:hint="eastAsia"/>
          <w:noProof/>
        </w:rPr>
        <w:t>，</w:t>
      </w:r>
      <w:r w:rsidR="00364702" w:rsidRPr="00CB3320">
        <w:rPr>
          <w:rFonts w:hint="eastAsia"/>
          <w:noProof/>
        </w:rPr>
        <w:t>2015)</w:t>
      </w:r>
      <w:r w:rsidR="0097102C" w:rsidRPr="00CB3320">
        <w:fldChar w:fldCharType="end"/>
      </w:r>
      <w:r w:rsidR="007E6D69" w:rsidRPr="00CB3320">
        <w:rPr>
          <w:rFonts w:hint="eastAsia"/>
        </w:rPr>
        <w:t>。然而</w:t>
      </w:r>
      <w:r w:rsidR="00C422C0" w:rsidRPr="00CB3320">
        <w:rPr>
          <w:rFonts w:hint="eastAsia"/>
        </w:rPr>
        <w:t>“</w:t>
      </w:r>
      <w:r w:rsidR="007E6D69" w:rsidRPr="00CB3320">
        <w:rPr>
          <w:rFonts w:hint="eastAsia"/>
        </w:rPr>
        <w:t>结构负担假说</w:t>
      </w:r>
      <w:r w:rsidR="00C422C0" w:rsidRPr="00CB3320">
        <w:rPr>
          <w:rFonts w:hint="eastAsia"/>
        </w:rPr>
        <w:t>”</w:t>
      </w:r>
      <w:r w:rsidR="007E6D69" w:rsidRPr="00CB3320">
        <w:rPr>
          <w:rFonts w:hint="eastAsia"/>
        </w:rPr>
        <w:t>则持相反观点，认为行业</w:t>
      </w:r>
      <w:proofErr w:type="gramStart"/>
      <w:r w:rsidR="007E6D69" w:rsidRPr="00CB3320">
        <w:rPr>
          <w:rFonts w:hint="eastAsia"/>
        </w:rPr>
        <w:t>间提高</w:t>
      </w:r>
      <w:proofErr w:type="gramEnd"/>
      <w:r w:rsidR="007E6D69" w:rsidRPr="00CB3320">
        <w:rPr>
          <w:rFonts w:hint="eastAsia"/>
        </w:rPr>
        <w:t>劳动生产率的机会的内在差异将会导致劳动力从生产率较高的部门向生产率较低的部门转移，导致更高的劳动需求，从而对总生产率的提高</w:t>
      </w:r>
      <w:r w:rsidR="00476B49" w:rsidRPr="00CB3320">
        <w:rPr>
          <w:rFonts w:hint="eastAsia"/>
        </w:rPr>
        <w:t>产生负向影响</w:t>
      </w:r>
      <w:r w:rsidR="00A558B3" w:rsidRPr="00CB3320">
        <w:fldChar w:fldCharType="begin" w:fldLock="1"/>
      </w:r>
      <w:r w:rsidR="005B1161" w:rsidRPr="00CB3320">
        <w:instrText>ADDIN CSL_CITATION {"citationItems":[{"id":"ITEM-1","itemData":{"DOI":"10.1016/0014-2921(94)00100-E","ISSN":"00142921","author":[{"dropping-particle":"","family":"Coe","given":"David T.","non-dropping-particle":"","parse-names":false,"suffix":""},{"dropping-particle":"","family":"Helpman","given":"Elhanan","non-dropping-particle":"","parse-names":false,"suffix":""}],"container-title":"European Economic Review","id":"ITEM-1","issue":"5","issued":{"date-parts":[["1995","5"]]},"page":"859-887","title":"International R&amp;amp;D spillovers","type":"article-journal","volume":"39"},"uris":["http://www.mendeley.com/documents/?uuid=239ed3f1-acee-4ced-9801-8f2328f50620","http://www.mendeley.com/documents/?uuid=11afa5e9-d31b-4b73-855f-73f9b88f5889"]}],"mendeley":{"form</w:instrText>
      </w:r>
      <w:r w:rsidR="005B1161" w:rsidRPr="00CB3320">
        <w:rPr>
          <w:rFonts w:hint="eastAsia"/>
        </w:rPr>
        <w:instrText>attedCitation":"(Coe</w:instrText>
      </w:r>
      <w:r w:rsidR="005B1161" w:rsidRPr="00CB3320">
        <w:rPr>
          <w:rFonts w:hint="eastAsia"/>
        </w:rPr>
        <w:instrText>等</w:instrText>
      </w:r>
      <w:r w:rsidR="005B1161" w:rsidRPr="00CB3320">
        <w:rPr>
          <w:rFonts w:hint="eastAsia"/>
        </w:rPr>
        <w:instrText>, 1995)","manualFormatting":"(Coe et al</w:instrText>
      </w:r>
      <w:r w:rsidR="005B1161" w:rsidRPr="00CB3320">
        <w:rPr>
          <w:rFonts w:hint="eastAsia"/>
        </w:rPr>
        <w:instrText>，</w:instrText>
      </w:r>
      <w:r w:rsidR="005B1161" w:rsidRPr="00CB3320">
        <w:rPr>
          <w:rFonts w:hint="eastAsia"/>
        </w:rPr>
        <w:instrText>1995)","plainTextFormattedCitation":"(Coe</w:instrText>
      </w:r>
      <w:r w:rsidR="005B1161" w:rsidRPr="00CB3320">
        <w:rPr>
          <w:rFonts w:hint="eastAsia"/>
        </w:rPr>
        <w:instrText>等</w:instrText>
      </w:r>
      <w:r w:rsidR="005B1161" w:rsidRPr="00CB3320">
        <w:rPr>
          <w:rFonts w:hint="eastAsia"/>
        </w:rPr>
        <w:instrText>, 1995)","previouslyFormattedCitation":"(Coe</w:instrText>
      </w:r>
      <w:r w:rsidR="005B1161" w:rsidRPr="00CB3320">
        <w:rPr>
          <w:rFonts w:hint="eastAsia"/>
        </w:rPr>
        <w:instrText>等</w:instrText>
      </w:r>
      <w:r w:rsidR="005B1161" w:rsidRPr="00CB3320">
        <w:rPr>
          <w:rFonts w:hint="eastAsia"/>
        </w:rPr>
        <w:instrText>, 1995)"},"properties":{"noteIndex":0},"schema":"https://github.com/citation-style-language/schema/raw/mast</w:instrText>
      </w:r>
      <w:r w:rsidR="005B1161" w:rsidRPr="00CB3320">
        <w:instrText>er/csl-citation.json"}</w:instrText>
      </w:r>
      <w:r w:rsidR="00A558B3" w:rsidRPr="00CB3320">
        <w:fldChar w:fldCharType="separate"/>
      </w:r>
      <w:r w:rsidR="00364702" w:rsidRPr="00CB3320">
        <w:rPr>
          <w:rFonts w:hint="eastAsia"/>
          <w:noProof/>
        </w:rPr>
        <w:t>(Coe</w:t>
      </w:r>
      <w:r w:rsidR="005B1161" w:rsidRPr="00CB3320">
        <w:rPr>
          <w:rFonts w:hint="eastAsia"/>
          <w:noProof/>
        </w:rPr>
        <w:t xml:space="preserve"> et al</w:t>
      </w:r>
      <w:r w:rsidR="005B1161" w:rsidRPr="00CB3320">
        <w:rPr>
          <w:rFonts w:hint="eastAsia"/>
          <w:noProof/>
        </w:rPr>
        <w:t>，</w:t>
      </w:r>
      <w:r w:rsidR="00364702" w:rsidRPr="00CB3320">
        <w:rPr>
          <w:rFonts w:hint="eastAsia"/>
          <w:noProof/>
        </w:rPr>
        <w:t>1995)</w:t>
      </w:r>
      <w:r w:rsidR="00A558B3" w:rsidRPr="00CB3320">
        <w:fldChar w:fldCharType="end"/>
      </w:r>
      <w:r w:rsidR="00476B49" w:rsidRPr="00CB3320">
        <w:rPr>
          <w:rFonts w:hint="eastAsia"/>
        </w:rPr>
        <w:t>。</w:t>
      </w:r>
      <w:r w:rsidR="000919C0" w:rsidRPr="00CB3320">
        <w:rPr>
          <w:rFonts w:hint="eastAsia"/>
        </w:rPr>
        <w:t>由于本研究中的试点城市多为一线城市或直辖市，因此第三产业在其产业结构中的比重较高。在</w:t>
      </w:r>
      <w:proofErr w:type="gramStart"/>
      <w:r w:rsidR="000919C0" w:rsidRPr="00CB3320">
        <w:rPr>
          <w:rFonts w:hint="eastAsia"/>
        </w:rPr>
        <w:t>碳交易</w:t>
      </w:r>
      <w:proofErr w:type="gramEnd"/>
      <w:r w:rsidR="000919C0" w:rsidRPr="00CB3320">
        <w:rPr>
          <w:rFonts w:hint="eastAsia"/>
        </w:rPr>
        <w:t>试点的情况下，这些城市很可能将高投资、高能耗、高污染、低效率（“三高一低”）的产业转移到相对落后的城市</w:t>
      </w:r>
      <w:r w:rsidR="00313679" w:rsidRPr="00CB3320">
        <w:fldChar w:fldCharType="begin" w:fldLock="1"/>
      </w:r>
      <w:r w:rsidR="001B271C">
        <w:rPr>
          <w:rFonts w:hint="eastAsia"/>
        </w:rPr>
        <w:instrText>ADDIN CSL_CITATION {"citationItems":[{"id":"ITEM-1","itemData":{"ISBN":"0577-9154","abstract":"</w:instrText>
      </w:r>
      <w:r w:rsidR="001B271C">
        <w:rPr>
          <w:rFonts w:hint="eastAsia"/>
        </w:rPr>
        <w:instrText>本文基于空间自滞后模型</w:instrText>
      </w:r>
      <w:r w:rsidR="001B271C">
        <w:rPr>
          <w:rFonts w:hint="eastAsia"/>
        </w:rPr>
        <w:instrText>(SLX),</w:instrText>
      </w:r>
      <w:r w:rsidR="001B271C">
        <w:rPr>
          <w:rFonts w:hint="eastAsia"/>
        </w:rPr>
        <w:instrText>将城市年鉴数据、公众环境研究中心数据及工业企业数据进行匹配</w:instrText>
      </w:r>
      <w:r w:rsidR="001B271C">
        <w:rPr>
          <w:rFonts w:hint="eastAsia"/>
        </w:rPr>
        <w:instrText>,</w:instrText>
      </w:r>
      <w:r w:rsidR="001B271C">
        <w:rPr>
          <w:rFonts w:hint="eastAsia"/>
        </w:rPr>
        <w:instrText>采用工具变量法回归对邻近城市环境规制与本地污染排放之间的因果关系进行了识别</w:instrText>
      </w:r>
      <w:r w:rsidR="001B271C">
        <w:rPr>
          <w:rFonts w:hint="eastAsia"/>
        </w:rPr>
        <w:instrText>,</w:instrText>
      </w:r>
      <w:r w:rsidR="001B271C">
        <w:rPr>
          <w:rFonts w:hint="eastAsia"/>
        </w:rPr>
        <w:instrText>研究发现确实存在环境规制引发污染就近转移的现象</w:instrText>
      </w:r>
      <w:r w:rsidR="001B271C">
        <w:rPr>
          <w:rFonts w:hint="eastAsia"/>
        </w:rPr>
        <w:instrText>,</w:instrText>
      </w:r>
      <w:r w:rsidR="001B271C">
        <w:rPr>
          <w:rFonts w:hint="eastAsia"/>
        </w:rPr>
        <w:instrText>在考虑了一系列稳健性检验和安慰剂检验后结论仍然成立。进一步的讨论揭示出</w:instrText>
      </w:r>
      <w:r w:rsidR="001B271C">
        <w:rPr>
          <w:rFonts w:hint="eastAsia"/>
        </w:rPr>
        <w:instrText>:</w:instrText>
      </w:r>
      <w:r w:rsidR="001B271C">
        <w:rPr>
          <w:rFonts w:hint="eastAsia"/>
        </w:rPr>
        <w:instrText>环境规制引发的污染就近转移效应在</w:instrText>
      </w:r>
      <w:r w:rsidR="001B271C">
        <w:rPr>
          <w:rFonts w:hint="eastAsia"/>
        </w:rPr>
        <w:instrText>150</w:instrText>
      </w:r>
      <w:r w:rsidR="001B271C">
        <w:rPr>
          <w:rFonts w:hint="eastAsia"/>
        </w:rPr>
        <w:instrText>千米达到峰值</w:instrText>
      </w:r>
      <w:r w:rsidR="001B271C">
        <w:rPr>
          <w:rFonts w:hint="eastAsia"/>
        </w:rPr>
        <w:instrText>,</w:instrText>
      </w:r>
      <w:r w:rsidR="001B271C">
        <w:rPr>
          <w:rFonts w:hint="eastAsia"/>
        </w:rPr>
        <w:instrText>即污染基本就近转移到周边城市</w:instrText>
      </w:r>
      <w:r w:rsidR="001B271C">
        <w:rPr>
          <w:rFonts w:hint="eastAsia"/>
        </w:rPr>
        <w:instrText>;</w:instrText>
      </w:r>
      <w:r w:rsidR="001B271C">
        <w:rPr>
          <w:rFonts w:hint="eastAsia"/>
        </w:rPr>
        <w:instrText>随着时间的推移</w:instrText>
      </w:r>
      <w:r w:rsidR="001B271C">
        <w:rPr>
          <w:rFonts w:hint="eastAsia"/>
        </w:rPr>
        <w:instrText>,</w:instrText>
      </w:r>
      <w:r w:rsidR="001B271C">
        <w:rPr>
          <w:rFonts w:hint="eastAsia"/>
        </w:rPr>
        <w:instrText>污染就近转移效应近几年表现出更为明显的就近特征</w:instrText>
      </w:r>
      <w:r w:rsidR="001B271C">
        <w:rPr>
          <w:rFonts w:hint="eastAsia"/>
        </w:rPr>
        <w:instrText>;</w:instrText>
      </w:r>
      <w:r w:rsidR="001B271C">
        <w:rPr>
          <w:rFonts w:hint="eastAsia"/>
        </w:rPr>
        <w:instrText>污染迁出地的环境规制不仅提升了污染迁入地的产业规模</w:instrText>
      </w:r>
      <w:r w:rsidR="001B271C">
        <w:rPr>
          <w:rFonts w:hint="eastAsia"/>
        </w:rPr>
        <w:instrText>,</w:instrText>
      </w:r>
      <w:r w:rsidR="001B271C">
        <w:rPr>
          <w:rFonts w:hint="eastAsia"/>
        </w:rPr>
        <w:instrText>更是深化了污染迁入地的产业结构污染程度</w:instrText>
      </w:r>
      <w:r w:rsidR="001B271C">
        <w:rPr>
          <w:rFonts w:hint="eastAsia"/>
        </w:rPr>
        <w:instrText>;</w:instrText>
      </w:r>
      <w:r w:rsidR="001B271C">
        <w:rPr>
          <w:rFonts w:hint="eastAsia"/>
        </w:rPr>
        <w:instrText>污染迁出地企业的退出壁垒有助于缓解污染就近转移效应</w:instrText>
      </w:r>
      <w:r w:rsidR="001B271C">
        <w:rPr>
          <w:rFonts w:hint="eastAsia"/>
        </w:rPr>
        <w:instrText>,</w:instrText>
      </w:r>
      <w:r w:rsidR="001B271C">
        <w:rPr>
          <w:rFonts w:hint="eastAsia"/>
        </w:rPr>
        <w:instrText>而企业的国有性质未能产生明显的中和效应。以上结论说明</w:instrText>
      </w:r>
      <w:r w:rsidR="001B271C">
        <w:rPr>
          <w:rFonts w:hint="eastAsia"/>
        </w:rPr>
        <w:instrText>,</w:instrText>
      </w:r>
      <w:r w:rsidR="001B271C">
        <w:rPr>
          <w:rFonts w:hint="eastAsia"/>
        </w:rPr>
        <w:instrText>当前中国各城市为实现局部短期利益最大而实行的环境规制政策并不利于全局环境治理</w:instrText>
      </w:r>
      <w:r w:rsidR="001B271C">
        <w:rPr>
          <w:rFonts w:hint="eastAsia"/>
        </w:rPr>
        <w:instrText>,</w:instrText>
      </w:r>
      <w:r w:rsidR="001B271C">
        <w:rPr>
          <w:rFonts w:hint="eastAsia"/>
        </w:rPr>
        <w:instrText>应该就环境治理的共同目标达成协同规制的共识。</w:instrText>
      </w:r>
      <w:r w:rsidR="001B271C">
        <w:rPr>
          <w:rFonts w:hint="eastAsia"/>
        </w:rPr>
        <w:instrText>","author":[{"dropping-particle":"","family":"</w:instrText>
      </w:r>
      <w:r w:rsidR="001B271C">
        <w:rPr>
          <w:rFonts w:hint="eastAsia"/>
        </w:rPr>
        <w:instrText>沈坤荣</w:instrText>
      </w:r>
      <w:r w:rsidR="001B271C">
        <w:rPr>
          <w:rFonts w:hint="eastAsia"/>
        </w:rPr>
        <w:instrText>","given":"","non-dropping-particle":"","parse-names":false,"suffix":""},{"dropping-particle":"","family":"</w:instrText>
      </w:r>
      <w:r w:rsidR="001B271C">
        <w:rPr>
          <w:rFonts w:hint="eastAsia"/>
        </w:rPr>
        <w:instrText>金刚</w:instrText>
      </w:r>
      <w:r w:rsidR="001B271C">
        <w:rPr>
          <w:rFonts w:hint="eastAsia"/>
        </w:rPr>
        <w:instrText>","given":"","non-dropping-particle":"","parse-names":false,"suffix":""},{"dropping-particle":"","family":"</w:instrText>
      </w:r>
      <w:r w:rsidR="001B271C">
        <w:rPr>
          <w:rFonts w:hint="eastAsia"/>
        </w:rPr>
        <w:instrText>方娴</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","id":"ITEM-1","issue":"05","issued":{"date-parts":[["2017"]]},"page":"44-59","title":"</w:instrText>
      </w:r>
      <w:r w:rsidR="001B271C">
        <w:rPr>
          <w:rFonts w:hint="eastAsia"/>
        </w:rPr>
        <w:instrText>环境规制引起了污染就近转移吗</w:instrText>
      </w:r>
      <w:r w:rsidR="001B271C">
        <w:rPr>
          <w:rFonts w:hint="eastAsia"/>
        </w:rPr>
        <w:instrText>?","type":"article-journal","volume":"52"},"uris":["http://www.mendeley.com/documents/?uuid=a644fadf-3862-4eac-8823-5d690a20061c"]},{"id":"ITEM-2","itemData":{"ISBN":"0577-9154","abstract":"</w:instrText>
      </w:r>
      <w:r w:rsidR="001B271C">
        <w:rPr>
          <w:rFonts w:hint="eastAsia"/>
        </w:rPr>
        <w:instrText>产业转型是城市转型的关键。本文在分析了环境规制、资源禀赋对产业转型影响机制的基础上</w:instrText>
      </w:r>
      <w:r w:rsidR="001B271C">
        <w:rPr>
          <w:rFonts w:hint="eastAsia"/>
        </w:rPr>
        <w:instrText>,</w:instrText>
      </w:r>
      <w:r w:rsidR="001B271C">
        <w:rPr>
          <w:rFonts w:hint="eastAsia"/>
        </w:rPr>
        <w:instrText>以中国</w:instrText>
      </w:r>
      <w:r w:rsidR="001B271C">
        <w:rPr>
          <w:rFonts w:hint="eastAsia"/>
        </w:rPr>
        <w:instrText>2005</w:instrText>
      </w:r>
      <w:r w:rsidR="001B271C">
        <w:rPr>
          <w:rFonts w:hint="eastAsia"/>
        </w:rPr>
        <w:instrText>—</w:instrText>
      </w:r>
      <w:r w:rsidR="001B271C">
        <w:rPr>
          <w:rFonts w:hint="eastAsia"/>
        </w:rPr>
        <w:instrText>2016</w:instrText>
      </w:r>
      <w:r w:rsidR="001B271C">
        <w:rPr>
          <w:rFonts w:hint="eastAsia"/>
        </w:rPr>
        <w:instrText>年</w:instrText>
      </w:r>
      <w:r w:rsidR="001B271C">
        <w:rPr>
          <w:rFonts w:hint="eastAsia"/>
        </w:rPr>
        <w:instrText>282</w:instrText>
      </w:r>
      <w:r w:rsidR="001B271C">
        <w:rPr>
          <w:rFonts w:hint="eastAsia"/>
        </w:rPr>
        <w:instrText>个城市的面板数据为研究对象</w:instrText>
      </w:r>
      <w:r w:rsidR="001B271C">
        <w:rPr>
          <w:rFonts w:hint="eastAsia"/>
        </w:rPr>
        <w:instrText>,</w:instrText>
      </w:r>
      <w:r w:rsidR="001B271C">
        <w:rPr>
          <w:rFonts w:hint="eastAsia"/>
        </w:rPr>
        <w:instrText>并将其划分为资源型和非资源型城市两个组</w:instrText>
      </w:r>
      <w:r w:rsidR="001B271C">
        <w:rPr>
          <w:rFonts w:hint="eastAsia"/>
        </w:rPr>
        <w:instrText>,</w:instrText>
      </w:r>
      <w:r w:rsidR="001B271C">
        <w:rPr>
          <w:rFonts w:hint="eastAsia"/>
        </w:rPr>
        <w:instrText>在考虑资源型城市特征指标、将产业转型划分为产业结构合理化和高级化的基础上</w:instrText>
      </w:r>
      <w:r w:rsidR="001B271C">
        <w:rPr>
          <w:rFonts w:hint="eastAsia"/>
        </w:rPr>
        <w:instrText>,</w:instrText>
      </w:r>
      <w:r w:rsidR="001B271C">
        <w:rPr>
          <w:rFonts w:hint="eastAsia"/>
        </w:rPr>
        <w:instrText>利用面板门槛回归等方法深入探讨了环境规制、资源禀赋对城市产业转型的门槛特征以及变量间的数量关系。结果表明</w:instrText>
      </w:r>
      <w:r w:rsidR="001B271C">
        <w:rPr>
          <w:rFonts w:hint="eastAsia"/>
        </w:rPr>
        <w:instrText>,</w:instrText>
      </w:r>
      <w:r w:rsidR="001B271C">
        <w:rPr>
          <w:rFonts w:hint="eastAsia"/>
        </w:rPr>
        <w:instrText>对于资源型和非资源型城市</w:instrText>
      </w:r>
      <w:r w:rsidR="001B271C">
        <w:rPr>
          <w:rFonts w:hint="eastAsia"/>
        </w:rPr>
        <w:instrText>,</w:instrText>
      </w:r>
      <w:r w:rsidR="001B271C">
        <w:rPr>
          <w:rFonts w:hint="eastAsia"/>
        </w:rPr>
        <w:instrText>无论是产业结构合理化还是高级化</w:instrText>
      </w:r>
      <w:r w:rsidR="001B271C">
        <w:rPr>
          <w:rFonts w:hint="eastAsia"/>
        </w:rPr>
        <w:instrText>,</w:instrText>
      </w:r>
      <w:r w:rsidR="001B271C">
        <w:rPr>
          <w:rFonts w:hint="eastAsia"/>
        </w:rPr>
        <w:instrText>环境规制、资源禀赋均对其存在着显著的门槛效应。环境规制对产业结构合理化和高级化趋于有利</w:instrText>
      </w:r>
      <w:r w:rsidR="001B271C">
        <w:rPr>
          <w:rFonts w:hint="eastAsia"/>
        </w:rPr>
        <w:instrText>,</w:instrText>
      </w:r>
      <w:r w:rsidR="001B271C">
        <w:rPr>
          <w:rFonts w:hint="eastAsia"/>
        </w:rPr>
        <w:instrText>即可将环境规制作为倒逼机制来推进城市的产业转型发展。对于资源型城市特征指标资源禀赋而言</w:instrText>
      </w:r>
      <w:r w:rsidR="001B271C">
        <w:rPr>
          <w:rFonts w:hint="eastAsia"/>
        </w:rPr>
        <w:instrText>,</w:instrText>
      </w:r>
      <w:r w:rsidR="001B271C">
        <w:rPr>
          <w:rFonts w:hint="eastAsia"/>
        </w:rPr>
        <w:instrText>其对非资源型城市的影响并不凸显</w:instrText>
      </w:r>
      <w:r w:rsidR="001B271C">
        <w:rPr>
          <w:rFonts w:hint="eastAsia"/>
        </w:rPr>
        <w:instrText>,</w:instrText>
      </w:r>
      <w:r w:rsidR="001B271C">
        <w:rPr>
          <w:rFonts w:hint="eastAsia"/>
        </w:rPr>
        <w:instrText>但却阻碍了中国资源型城市的产业转型发展。</w:instrText>
      </w:r>
      <w:r w:rsidR="001B271C">
        <w:rPr>
          <w:rFonts w:hint="eastAsia"/>
        </w:rPr>
        <w:instrText>","author":[{"dropping-particle":"","family":"</w:instrText>
      </w:r>
      <w:r w:rsidR="001B271C">
        <w:rPr>
          <w:rFonts w:hint="eastAsia"/>
        </w:rPr>
        <w:instrText>李虹</w:instrText>
      </w:r>
      <w:r w:rsidR="001B271C">
        <w:rPr>
          <w:rFonts w:hint="eastAsia"/>
        </w:rPr>
        <w:instrText>","given":"","non-dropping-particle":"","parse-names":false,"suffix":""},{"dropping-particle":"","family":"</w:instrText>
      </w:r>
      <w:r w:rsidR="001B271C">
        <w:rPr>
          <w:rFonts w:hint="eastAsia"/>
        </w:rPr>
        <w:instrText>邹庆</w:instrText>
      </w:r>
      <w:r w:rsidR="001B271C">
        <w:rPr>
          <w:rFonts w:hint="eastAsia"/>
        </w:rPr>
        <w:instrText>","given":"","non-dropping-particle":"","parse-names":false,"suffix":""}],"container-title":"</w:instrText>
      </w:r>
      <w:r w:rsidR="001B271C">
        <w:rPr>
          <w:rFonts w:hint="eastAsia"/>
        </w:rPr>
        <w:instrText>经济研究</w:instrText>
      </w:r>
      <w:r w:rsidR="001B271C">
        <w:rPr>
          <w:rFonts w:hint="eastAsia"/>
        </w:rPr>
        <w:instrText>","id":"ITEM-2","issue":"11","issued":{"date-parts":[["2018"]]},"page":"182-198","title":"</w:instrText>
      </w:r>
      <w:r w:rsidR="001B271C">
        <w:rPr>
          <w:rFonts w:hint="eastAsia"/>
        </w:rPr>
        <w:instrText>环境规制、资源禀赋与城市产业转型研究——基于资源型城市与非资源型城市的对比分析</w:instrText>
      </w:r>
      <w:r w:rsidR="001B271C">
        <w:rPr>
          <w:rFonts w:hint="eastAsia"/>
        </w:rPr>
        <w:instrText>","type":"article-journal","volume":"53"},"uris":["http://www.mendeley.com/documents/?uuid=f2ab2d78-c98d-4591-b50c-5d896c49ddc2"]}],"mendeley":{"formattedCitation":"(</w:instrText>
      </w:r>
      <w:r w:rsidR="001B271C">
        <w:rPr>
          <w:rFonts w:hint="eastAsia"/>
        </w:rPr>
        <w:instrText>李虹等</w:instrText>
      </w:r>
      <w:r w:rsidR="001B271C">
        <w:rPr>
          <w:rFonts w:hint="eastAsia"/>
        </w:rPr>
        <w:instrText xml:space="preserve">, 2018; </w:instrText>
      </w:r>
      <w:r w:rsidR="001B271C">
        <w:rPr>
          <w:rFonts w:hint="eastAsia"/>
        </w:rPr>
        <w:instrText>沈坤荣等</w:instrText>
      </w:r>
      <w:r w:rsidR="001B271C">
        <w:rPr>
          <w:rFonts w:hint="eastAsia"/>
        </w:rPr>
        <w:instrText>, 2017)","manualFormatting":"(</w:instrText>
      </w:r>
      <w:r w:rsidR="001B271C">
        <w:rPr>
          <w:rFonts w:hint="eastAsia"/>
        </w:rPr>
        <w:instrText>李虹等</w:instrText>
      </w:r>
      <w:r w:rsidR="001B271C">
        <w:rPr>
          <w:rFonts w:hint="eastAsia"/>
        </w:rPr>
        <w:instrText>, 2018</w:instrText>
      </w:r>
      <w:r w:rsidR="001B271C">
        <w:rPr>
          <w:rFonts w:hint="eastAsia"/>
        </w:rPr>
        <w:instrText>；沈坤荣等</w:instrText>
      </w:r>
      <w:r w:rsidR="001B271C">
        <w:rPr>
          <w:rFonts w:hint="eastAsia"/>
        </w:rPr>
        <w:instrText>, 2017)","plainTextFormattedCitation":"(</w:instrText>
      </w:r>
      <w:r w:rsidR="001B271C">
        <w:rPr>
          <w:rFonts w:hint="eastAsia"/>
        </w:rPr>
        <w:instrText>李虹等</w:instrText>
      </w:r>
      <w:r w:rsidR="001B271C">
        <w:rPr>
          <w:rFonts w:hint="eastAsia"/>
        </w:rPr>
        <w:instrText xml:space="preserve">, 2018; </w:instrText>
      </w:r>
      <w:r w:rsidR="001B271C">
        <w:rPr>
          <w:rFonts w:hint="eastAsia"/>
        </w:rPr>
        <w:instrText>沈坤荣等</w:instrText>
      </w:r>
      <w:r w:rsidR="001B271C">
        <w:rPr>
          <w:rFonts w:hint="eastAsia"/>
        </w:rPr>
        <w:instrText>, 2017)","previouslyFormattedCitation":"(</w:instrText>
      </w:r>
      <w:r w:rsidR="001B271C">
        <w:rPr>
          <w:rFonts w:hint="eastAsia"/>
        </w:rPr>
        <w:instrText>李虹等</w:instrText>
      </w:r>
      <w:r w:rsidR="001B271C">
        <w:rPr>
          <w:rFonts w:hint="eastAsia"/>
        </w:rPr>
        <w:instrText xml:space="preserve">, 2018; </w:instrText>
      </w:r>
      <w:r w:rsidR="001B271C">
        <w:rPr>
          <w:rFonts w:hint="eastAsia"/>
        </w:rPr>
        <w:instrText>沈坤荣等</w:instrText>
      </w:r>
      <w:r w:rsidR="001B271C">
        <w:rPr>
          <w:rFonts w:hint="eastAsia"/>
        </w:rPr>
        <w:instrText>, 2017)"},"properties":{"noteIndex":0},"schema":"https://github.com/citation-style-language/schema/raw/master/cs</w:instrText>
      </w:r>
      <w:r w:rsidR="001B271C">
        <w:instrText>l-citation.json"}</w:instrText>
      </w:r>
      <w:r w:rsidR="00313679" w:rsidRPr="00CB3320">
        <w:fldChar w:fldCharType="separate"/>
      </w:r>
      <w:r w:rsidR="00364702" w:rsidRPr="00CB3320">
        <w:rPr>
          <w:rFonts w:hint="eastAsia"/>
          <w:noProof/>
        </w:rPr>
        <w:t>(</w:t>
      </w:r>
      <w:r w:rsidR="00364702" w:rsidRPr="00CB3320">
        <w:rPr>
          <w:rFonts w:hint="eastAsia"/>
          <w:noProof/>
        </w:rPr>
        <w:t>李虹等</w:t>
      </w:r>
      <w:r w:rsidR="00364702" w:rsidRPr="00CB3320">
        <w:rPr>
          <w:rFonts w:hint="eastAsia"/>
          <w:noProof/>
        </w:rPr>
        <w:t>, 2018</w:t>
      </w:r>
      <w:r w:rsidR="005B1161" w:rsidRPr="00CB3320">
        <w:rPr>
          <w:rFonts w:hint="eastAsia"/>
          <w:noProof/>
        </w:rPr>
        <w:t>；</w:t>
      </w:r>
      <w:r w:rsidR="00364702" w:rsidRPr="00CB3320">
        <w:rPr>
          <w:rFonts w:hint="eastAsia"/>
          <w:noProof/>
        </w:rPr>
        <w:t>沈坤荣等</w:t>
      </w:r>
      <w:r w:rsidR="00364702" w:rsidRPr="00CB3320">
        <w:rPr>
          <w:rFonts w:hint="eastAsia"/>
          <w:noProof/>
        </w:rPr>
        <w:t>, 2017)</w:t>
      </w:r>
      <w:r w:rsidR="00313679" w:rsidRPr="00CB3320">
        <w:fldChar w:fldCharType="end"/>
      </w:r>
      <w:r w:rsidR="000919C0" w:rsidRPr="00CB3320">
        <w:rPr>
          <w:rFonts w:hint="eastAsia"/>
        </w:rPr>
        <w:t>，导致这些城市的生产</w:t>
      </w:r>
      <w:r w:rsidR="00007AFC" w:rsidRPr="00CB3320">
        <w:rPr>
          <w:rFonts w:hint="eastAsia"/>
        </w:rPr>
        <w:t>率水平降低</w:t>
      </w:r>
      <w:r w:rsidR="00615197" w:rsidRPr="00CB3320">
        <w:rPr>
          <w:rFonts w:hint="eastAsia"/>
        </w:rPr>
        <w:t>。而上述“三高一低”产业多为第二产业，因此</w:t>
      </w:r>
      <w:r w:rsidR="000919C0" w:rsidRPr="00CB3320">
        <w:rPr>
          <w:rFonts w:hint="eastAsia"/>
        </w:rPr>
        <w:t>我们</w:t>
      </w:r>
      <w:r w:rsidR="00615197" w:rsidRPr="00CB3320">
        <w:rPr>
          <w:rFonts w:hint="eastAsia"/>
        </w:rPr>
        <w:t>使用</w:t>
      </w:r>
      <w:r w:rsidR="000919C0" w:rsidRPr="00CB3320">
        <w:rPr>
          <w:rFonts w:hint="eastAsia"/>
        </w:rPr>
        <w:t>第二产业在</w:t>
      </w:r>
      <w:r w:rsidR="000919C0" w:rsidRPr="00CB3320">
        <w:rPr>
          <w:rFonts w:hint="eastAsia"/>
        </w:rPr>
        <w:t>GDP</w:t>
      </w:r>
      <w:r w:rsidR="000919C0" w:rsidRPr="00CB3320">
        <w:rPr>
          <w:rFonts w:hint="eastAsia"/>
        </w:rPr>
        <w:t>中的份额来衡量</w:t>
      </w:r>
      <w:r w:rsidRPr="00CB3320">
        <w:rPr>
          <w:rFonts w:hint="eastAsia"/>
        </w:rPr>
        <w:t>产业</w:t>
      </w:r>
      <w:r w:rsidR="000919C0" w:rsidRPr="00CB3320">
        <w:rPr>
          <w:rFonts w:hint="eastAsia"/>
        </w:rPr>
        <w:t>结构</w:t>
      </w:r>
      <w:r w:rsidR="006D0920" w:rsidRPr="00CB3320">
        <w:rPr>
          <w:rFonts w:hint="eastAsia"/>
        </w:rPr>
        <w:t>，并测度其对全要素生产率的影响。</w:t>
      </w:r>
    </w:p>
    <w:bookmarkEnd w:id="23"/>
    <w:p w14:paraId="1DAFB4AB" w14:textId="5E690783" w:rsidR="00B80875" w:rsidRPr="00CB3320" w:rsidRDefault="005A4508" w:rsidP="00D9313F">
      <w:pPr>
        <w:ind w:firstLine="420"/>
      </w:pPr>
      <w:r w:rsidRPr="00CB3320">
        <w:rPr>
          <w:rFonts w:hint="eastAsia"/>
        </w:rPr>
        <w:t>由于</w:t>
      </w:r>
      <w:r w:rsidRPr="00CB3320">
        <w:t>Malmquist</w:t>
      </w:r>
      <w:r w:rsidRPr="00CB3320">
        <w:rPr>
          <w:rFonts w:hint="eastAsia"/>
        </w:rPr>
        <w:t>生产量比指数衡量的是全要素生产率的变化率，因此为了保持形式上的统一，我们对控制变量进行一阶差分。同时，为了保证数据的原始特征，我们在进行倾向得分匹配时使用了原始数据。</w:t>
      </w:r>
      <w:r w:rsidR="00B1559C" w:rsidRPr="00CB3320">
        <w:rPr>
          <w:rFonts w:hint="eastAsia"/>
        </w:rPr>
        <w:t>最后，</w:t>
      </w:r>
      <w:r w:rsidRPr="00CB3320">
        <w:rPr>
          <w:rFonts w:hint="eastAsia"/>
        </w:rPr>
        <w:t>为了避免共线性，消除异方差，获得稳定的数据，我们对所有非比率</w:t>
      </w:r>
      <w:r w:rsidR="00C422C0" w:rsidRPr="00CB3320">
        <w:rPr>
          <w:rFonts w:hint="eastAsia"/>
        </w:rPr>
        <w:t>指标</w:t>
      </w:r>
      <w:r w:rsidRPr="00CB3320">
        <w:rPr>
          <w:rFonts w:hint="eastAsia"/>
        </w:rPr>
        <w:t>取自然对数。</w:t>
      </w:r>
      <w:r w:rsidR="005A7852" w:rsidRPr="00CB3320">
        <w:rPr>
          <w:rFonts w:hint="eastAsia"/>
        </w:rPr>
        <w:t>数据的描述性统计结果如</w:t>
      </w:r>
      <w:r w:rsidR="00084D53" w:rsidRPr="00CB3320">
        <w:fldChar w:fldCharType="begin"/>
      </w:r>
      <w:r w:rsidR="00084D53" w:rsidRPr="00CB3320">
        <w:instrText xml:space="preserve"> REF _Ref77317602 \h </w:instrText>
      </w:r>
      <w:r w:rsidR="00084D53" w:rsidRPr="00CB3320">
        <w:fldChar w:fldCharType="separate"/>
      </w:r>
      <w:r w:rsidR="008A580C" w:rsidRPr="00CB3320">
        <w:rPr>
          <w:rFonts w:hint="eastAsia"/>
        </w:rPr>
        <w:t>表</w:t>
      </w:r>
      <w:r w:rsidR="008A580C" w:rsidRPr="00CB3320">
        <w:rPr>
          <w:rFonts w:hint="eastAsia"/>
        </w:rPr>
        <w:t>A.</w:t>
      </w:r>
      <w:r w:rsidR="008A580C" w:rsidRPr="00CB3320">
        <w:rPr>
          <w:noProof/>
        </w:rPr>
        <w:t>1</w:t>
      </w:r>
      <w:r w:rsidR="00084D53" w:rsidRPr="00CB3320">
        <w:fldChar w:fldCharType="end"/>
      </w:r>
      <w:r w:rsidR="005A7852" w:rsidRPr="00CB3320">
        <w:rPr>
          <w:rFonts w:hint="eastAsia"/>
        </w:rPr>
        <w:t>所示</w:t>
      </w:r>
      <w:r w:rsidR="003C45FF" w:rsidRPr="00CB3320">
        <w:rPr>
          <w:rFonts w:hint="eastAsia"/>
        </w:rPr>
        <w:t>。</w:t>
      </w:r>
      <w:r w:rsidR="008A70B6" w:rsidRPr="00CB3320">
        <w:rPr>
          <w:rFonts w:hint="eastAsia"/>
        </w:rPr>
        <w:t>在引入控制变量后，由于部分原始数据的缺失</w:t>
      </w:r>
      <w:r w:rsidR="00C422C0" w:rsidRPr="00CB3320">
        <w:rPr>
          <w:rFonts w:hint="eastAsia"/>
        </w:rPr>
        <w:t>，</w:t>
      </w:r>
      <w:r w:rsidR="008A70B6" w:rsidRPr="00CB3320">
        <w:rPr>
          <w:rFonts w:hint="eastAsia"/>
        </w:rPr>
        <w:t>观测值</w:t>
      </w:r>
      <w:r w:rsidR="00C422C0" w:rsidRPr="00CB3320">
        <w:rPr>
          <w:rFonts w:hint="eastAsia"/>
        </w:rPr>
        <w:t>有所变动</w:t>
      </w:r>
      <w:r w:rsidR="008A70B6" w:rsidRPr="00CB3320">
        <w:rPr>
          <w:rFonts w:hint="eastAsia"/>
        </w:rPr>
        <w:t>。</w:t>
      </w:r>
    </w:p>
    <w:p w14:paraId="6246D99C" w14:textId="5F128D21" w:rsidR="007468AF" w:rsidRPr="00CB3320" w:rsidRDefault="00344D5D" w:rsidP="00344D5D">
      <w:pPr>
        <w:pStyle w:val="2"/>
        <w:numPr>
          <w:ilvl w:val="0"/>
          <w:numId w:val="0"/>
        </w:numPr>
        <w:spacing w:before="163" w:after="81"/>
      </w:pPr>
      <w:bookmarkStart w:id="24" w:name="_Toc121778118"/>
      <w:r w:rsidRPr="00CB3320">
        <w:rPr>
          <w:rFonts w:hint="eastAsia"/>
        </w:rPr>
        <w:t>（三）</w:t>
      </w:r>
      <w:r w:rsidR="007468AF" w:rsidRPr="00CB3320">
        <w:rPr>
          <w:rFonts w:hint="eastAsia"/>
        </w:rPr>
        <w:t>P</w:t>
      </w:r>
      <w:r w:rsidR="007468AF" w:rsidRPr="00CB3320">
        <w:t>SM</w:t>
      </w:r>
      <w:r w:rsidR="007468AF" w:rsidRPr="00CB3320">
        <w:rPr>
          <w:rFonts w:hint="eastAsia"/>
        </w:rPr>
        <w:t>结果分析</w:t>
      </w:r>
      <w:bookmarkEnd w:id="24"/>
    </w:p>
    <w:p w14:paraId="53172BAF" w14:textId="1789CBEF" w:rsidR="007468AF" w:rsidRPr="00CB3320" w:rsidRDefault="007468AF" w:rsidP="007468AF">
      <w:pPr>
        <w:ind w:firstLine="420"/>
      </w:pPr>
      <w:r w:rsidRPr="00CB3320">
        <w:rPr>
          <w:rFonts w:hint="eastAsia"/>
        </w:rPr>
        <w:t>在分析</w:t>
      </w:r>
      <w:r w:rsidRPr="00CB3320">
        <w:rPr>
          <w:rFonts w:hint="eastAsia"/>
        </w:rPr>
        <w:t>D</w:t>
      </w:r>
      <w:r w:rsidRPr="00CB3320">
        <w:t>ID</w:t>
      </w:r>
      <w:r w:rsidRPr="00CB3320">
        <w:rPr>
          <w:rFonts w:hint="eastAsia"/>
        </w:rPr>
        <w:t>结果之前，我们更需要了解</w:t>
      </w:r>
      <w:r w:rsidRPr="00CB3320">
        <w:rPr>
          <w:rFonts w:hint="eastAsia"/>
        </w:rPr>
        <w:t>PSM</w:t>
      </w:r>
      <w:r w:rsidRPr="00CB3320">
        <w:rPr>
          <w:rFonts w:hint="eastAsia"/>
        </w:rPr>
        <w:t>的结果，以揭示中国</w:t>
      </w:r>
      <w:proofErr w:type="gramStart"/>
      <w:r w:rsidRPr="00CB3320">
        <w:rPr>
          <w:rFonts w:hint="eastAsia"/>
        </w:rPr>
        <w:t>碳试点</w:t>
      </w:r>
      <w:proofErr w:type="gramEnd"/>
      <w:r w:rsidRPr="00CB3320">
        <w:rPr>
          <w:rFonts w:hint="eastAsia"/>
        </w:rPr>
        <w:t>研究论文中可能出现的错误以及</w:t>
      </w:r>
      <w:r w:rsidRPr="00CB3320">
        <w:rPr>
          <w:rFonts w:hint="eastAsia"/>
        </w:rPr>
        <w:t>PSM</w:t>
      </w:r>
      <w:r w:rsidRPr="00CB3320">
        <w:rPr>
          <w:rFonts w:hint="eastAsia"/>
        </w:rPr>
        <w:t>的重要性。我们计算了实验组城市所在省份的权重份额，以及对照组城市所在省份的权重份额，然后将其列出进行比较（见</w:t>
      </w:r>
      <w:r w:rsidRPr="00CB3320">
        <w:fldChar w:fldCharType="begin"/>
      </w:r>
      <w:r w:rsidRPr="00CB3320">
        <w:instrText xml:space="preserve"> </w:instrText>
      </w:r>
      <w:r w:rsidRPr="00CB3320">
        <w:rPr>
          <w:rFonts w:hint="eastAsia"/>
        </w:rPr>
        <w:instrText>REF _Ref75448072 \h</w:instrText>
      </w:r>
      <w:r w:rsidRPr="00CB3320">
        <w:instrText xml:space="preserve"> </w:instrText>
      </w:r>
      <w:r w:rsidRPr="00CB3320">
        <w:fldChar w:fldCharType="separate"/>
      </w:r>
      <w:r w:rsidR="00EC325E" w:rsidRPr="00CB3320">
        <w:rPr>
          <w:rFonts w:hint="eastAsia"/>
        </w:rPr>
        <w:t>图</w:t>
      </w:r>
      <w:r w:rsidR="00EC325E" w:rsidRPr="00CB3320">
        <w:rPr>
          <w:noProof/>
        </w:rPr>
        <w:t>1</w:t>
      </w:r>
      <w:r w:rsidRPr="00CB3320">
        <w:fldChar w:fldCharType="end"/>
      </w:r>
      <w:r w:rsidRPr="00CB3320">
        <w:rPr>
          <w:rFonts w:hint="eastAsia"/>
        </w:rPr>
        <w:t>）。</w:t>
      </w:r>
    </w:p>
    <w:p w14:paraId="3AF3B5A3" w14:textId="0AFF63B0" w:rsidR="007468AF" w:rsidRPr="00CB3320" w:rsidRDefault="007468AF" w:rsidP="007468AF">
      <w:pPr>
        <w:ind w:firstLine="420"/>
      </w:pPr>
      <w:r w:rsidRPr="00CB3320">
        <w:rPr>
          <w:rFonts w:hint="eastAsia"/>
        </w:rPr>
        <w:t>匹配结果与我们的预期基本一致。由于</w:t>
      </w:r>
      <w:proofErr w:type="gramStart"/>
      <w:r w:rsidRPr="00CB3320">
        <w:rPr>
          <w:rFonts w:hint="eastAsia"/>
        </w:rPr>
        <w:t>碳试点</w:t>
      </w:r>
      <w:proofErr w:type="gramEnd"/>
      <w:r w:rsidRPr="00CB3320">
        <w:rPr>
          <w:rFonts w:hint="eastAsia"/>
        </w:rPr>
        <w:t>地区几乎都是发达地区，而大部分非试点地区都是欠发达地区，因此实验组中的欠发达地区的匹配权重往往更高，而对照组中的相对发达地区的权重更高。</w:t>
      </w:r>
      <w:r w:rsidRPr="00CB3320">
        <w:fldChar w:fldCharType="begin"/>
      </w:r>
      <w:r w:rsidRPr="00CB3320">
        <w:instrText xml:space="preserve"> </w:instrText>
      </w:r>
      <w:r w:rsidRPr="00CB3320">
        <w:rPr>
          <w:rFonts w:hint="eastAsia"/>
        </w:rPr>
        <w:instrText>REF _Ref75448072 \h</w:instrText>
      </w:r>
      <w:r w:rsidRPr="00CB3320">
        <w:instrText xml:space="preserve"> </w:instrText>
      </w:r>
      <w:r w:rsidRPr="00CB3320">
        <w:fldChar w:fldCharType="separate"/>
      </w:r>
      <w:r w:rsidR="00EC325E" w:rsidRPr="00CB3320">
        <w:rPr>
          <w:rFonts w:hint="eastAsia"/>
        </w:rPr>
        <w:t>图</w:t>
      </w:r>
      <w:r w:rsidR="00EC325E" w:rsidRPr="00CB3320">
        <w:rPr>
          <w:noProof/>
        </w:rPr>
        <w:t>1</w:t>
      </w:r>
      <w:r w:rsidRPr="00CB3320">
        <w:fldChar w:fldCharType="end"/>
      </w:r>
      <w:r w:rsidRPr="00CB3320">
        <w:rPr>
          <w:rFonts w:hint="eastAsia"/>
        </w:rPr>
        <w:t>列出了用于基本分析的一个协变量（人均实际</w:t>
      </w:r>
      <w:r w:rsidRPr="00CB3320">
        <w:rPr>
          <w:rFonts w:hint="eastAsia"/>
        </w:rPr>
        <w:t>GDP</w:t>
      </w:r>
      <w:r w:rsidRPr="00CB3320">
        <w:rPr>
          <w:rFonts w:hint="eastAsia"/>
        </w:rPr>
        <w:t>）以对比研究。在实验组中，广东和湖北的城市有很高的权重，因为他们的平均经济发展水平远远低于一线城市，并且更接近对照组的城市。在对照组中，江苏、辽宁、安徽和湖南的权重更大，主要是因为这些城市的协变量更接近实验组的协变量。</w:t>
      </w:r>
    </w:p>
    <w:p w14:paraId="7A4E9FF6" w14:textId="7C71BF4D" w:rsidR="00A82DC5" w:rsidRPr="00CB3320" w:rsidRDefault="00A82DC5" w:rsidP="00A82DC5">
      <w:pPr>
        <w:pStyle w:val="Fig"/>
      </w:pPr>
      <w:r w:rsidRPr="00CB3320">
        <w:rPr>
          <w:noProof/>
        </w:rPr>
        <w:lastRenderedPageBreak/>
        <w:drawing>
          <wp:inline distT="0" distB="0" distL="0" distR="0" wp14:anchorId="32C4E323" wp14:editId="14D78633">
            <wp:extent cx="5120640" cy="2296795"/>
            <wp:effectExtent l="0" t="0" r="3810" b="8255"/>
            <wp:docPr id="9" name="图表 9">
              <a:extLst xmlns:a="http://schemas.openxmlformats.org/drawingml/2006/main">
                <a:ext uri="{FF2B5EF4-FFF2-40B4-BE49-F238E27FC236}">
                  <a16:creationId xmlns:a16="http://schemas.microsoft.com/office/drawing/2014/main" id="{42E34ADC-4832-406E-BA8F-CAA15F3AFB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820063" w14:textId="1ABBFDFC" w:rsidR="007468AF" w:rsidRPr="00CB3320" w:rsidRDefault="007468AF" w:rsidP="007468AF">
      <w:pPr>
        <w:pStyle w:val="FigX"/>
        <w:spacing w:after="163"/>
      </w:pPr>
      <w:bookmarkStart w:id="25" w:name="_Ref75448072"/>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008A580C" w:rsidRPr="00CB3320">
        <w:rPr>
          <w:noProof/>
        </w:rPr>
        <w:t>1</w:t>
      </w:r>
      <w:r w:rsidRPr="00CB3320">
        <w:fldChar w:fldCharType="end"/>
      </w:r>
      <w:bookmarkEnd w:id="25"/>
      <w:r w:rsidR="00344D5D" w:rsidRPr="00CB3320">
        <w:rPr>
          <w:rFonts w:hint="eastAsia"/>
        </w:rPr>
        <w:t xml:space="preserve">  </w:t>
      </w:r>
      <w:r w:rsidRPr="00CB3320">
        <w:rPr>
          <w:rFonts w:hint="eastAsia"/>
        </w:rPr>
        <w:t>不同省份的</w:t>
      </w:r>
      <w:r w:rsidRPr="00CB3320">
        <w:rPr>
          <w:rFonts w:hint="eastAsia"/>
        </w:rPr>
        <w:t>PSM</w:t>
      </w:r>
      <w:r w:rsidRPr="00CB3320">
        <w:rPr>
          <w:rFonts w:hint="eastAsia"/>
        </w:rPr>
        <w:t>权重份额</w:t>
      </w:r>
    </w:p>
    <w:p w14:paraId="03B4C043" w14:textId="223D21B8" w:rsidR="009F7C2A" w:rsidRPr="00CB3320" w:rsidRDefault="009F7C2A" w:rsidP="00EC325E">
      <w:pPr>
        <w:pStyle w:val="table"/>
        <w:ind w:firstLineChars="200" w:firstLine="300"/>
        <w:jc w:val="left"/>
        <w:rPr>
          <w:rFonts w:eastAsia="楷体"/>
          <w:sz w:val="15"/>
          <w:szCs w:val="15"/>
        </w:rPr>
      </w:pPr>
      <w:r w:rsidRPr="00CB3320">
        <w:rPr>
          <w:rFonts w:eastAsia="楷体" w:hint="eastAsia"/>
          <w:sz w:val="15"/>
          <w:szCs w:val="15"/>
        </w:rPr>
        <w:t>注：广东省包括了另一个试点——深圳。在图中我们将深圳试点和广东试点合并，以分析省级的权重信息。虽然广东的总比重很大，但深圳作为一线城市，占广东省总权重的比重不到</w:t>
      </w:r>
      <w:r w:rsidRPr="00CB3320">
        <w:rPr>
          <w:rFonts w:eastAsia="楷体" w:hint="eastAsia"/>
          <w:sz w:val="15"/>
          <w:szCs w:val="15"/>
        </w:rPr>
        <w:t>2%</w:t>
      </w:r>
      <w:r w:rsidRPr="00CB3320">
        <w:rPr>
          <w:rFonts w:eastAsia="楷体" w:hint="eastAsia"/>
          <w:sz w:val="15"/>
          <w:szCs w:val="15"/>
        </w:rPr>
        <w:t>（</w:t>
      </w:r>
      <w:r w:rsidRPr="00CB3320">
        <w:rPr>
          <w:rFonts w:eastAsia="楷体"/>
          <w:sz w:val="15"/>
          <w:szCs w:val="15"/>
        </w:rPr>
        <w:fldChar w:fldCharType="begin"/>
      </w:r>
      <w:r w:rsidRPr="00CB3320">
        <w:rPr>
          <w:rFonts w:eastAsia="楷体"/>
          <w:sz w:val="15"/>
          <w:szCs w:val="15"/>
        </w:rPr>
        <w:instrText xml:space="preserve"> </w:instrText>
      </w:r>
      <w:r w:rsidRPr="00CB3320">
        <w:rPr>
          <w:rFonts w:eastAsia="楷体" w:hint="eastAsia"/>
          <w:sz w:val="15"/>
          <w:szCs w:val="15"/>
        </w:rPr>
        <w:instrText>REF _Ref75448187 \h</w:instrText>
      </w:r>
      <w:r w:rsidRPr="00CB3320">
        <w:rPr>
          <w:rFonts w:eastAsia="楷体"/>
          <w:sz w:val="15"/>
          <w:szCs w:val="15"/>
        </w:rPr>
        <w:instrText xml:space="preserve">  \* MERGEFORMAT </w:instrText>
      </w:r>
      <w:r w:rsidRPr="00CB3320">
        <w:rPr>
          <w:rFonts w:eastAsia="楷体"/>
          <w:sz w:val="15"/>
          <w:szCs w:val="15"/>
        </w:rPr>
      </w:r>
      <w:r w:rsidRPr="00CB3320">
        <w:rPr>
          <w:rFonts w:eastAsia="楷体"/>
          <w:sz w:val="15"/>
          <w:szCs w:val="15"/>
        </w:rPr>
        <w:fldChar w:fldCharType="separate"/>
      </w:r>
      <w:r w:rsidR="00EC325E" w:rsidRPr="00EC325E">
        <w:rPr>
          <w:rFonts w:eastAsia="楷体" w:hint="eastAsia"/>
          <w:sz w:val="15"/>
          <w:szCs w:val="15"/>
        </w:rPr>
        <w:t>图</w:t>
      </w:r>
      <w:r w:rsidR="00EC325E" w:rsidRPr="00EC325E">
        <w:rPr>
          <w:rFonts w:eastAsia="楷体"/>
          <w:sz w:val="15"/>
          <w:szCs w:val="15"/>
        </w:rPr>
        <w:t>2</w:t>
      </w:r>
      <w:r w:rsidRPr="00CB3320">
        <w:rPr>
          <w:rFonts w:eastAsia="楷体"/>
          <w:sz w:val="15"/>
          <w:szCs w:val="15"/>
        </w:rPr>
        <w:fldChar w:fldCharType="end"/>
      </w:r>
      <w:r w:rsidRPr="00CB3320">
        <w:rPr>
          <w:rFonts w:eastAsia="楷体" w:hint="eastAsia"/>
          <w:sz w:val="15"/>
          <w:szCs w:val="15"/>
        </w:rPr>
        <w:t>）。</w:t>
      </w:r>
    </w:p>
    <w:p w14:paraId="390B5B27" w14:textId="77777777" w:rsidR="009F7C2A" w:rsidRPr="00CB3320" w:rsidRDefault="009F7C2A" w:rsidP="009F7C2A">
      <w:pPr>
        <w:ind w:firstLine="420"/>
        <w:rPr>
          <w:lang w:val="de-DE"/>
        </w:rPr>
      </w:pPr>
    </w:p>
    <w:p w14:paraId="5D55CA1A" w14:textId="5423F9AA" w:rsidR="007468AF" w:rsidRPr="00CB3320" w:rsidRDefault="007468AF" w:rsidP="007468AF">
      <w:pPr>
        <w:ind w:firstLine="420"/>
      </w:pPr>
      <w:r w:rsidRPr="00CB3320">
        <w:rPr>
          <w:rFonts w:hint="eastAsia"/>
        </w:rPr>
        <w:t>此外，我们将广东省和湖北省（高权重的实验组）的权重进行了拆分，并给出了其所在</w:t>
      </w:r>
      <w:proofErr w:type="gramStart"/>
      <w:r w:rsidRPr="00CB3320">
        <w:rPr>
          <w:rFonts w:hint="eastAsia"/>
        </w:rPr>
        <w:t>省每个</w:t>
      </w:r>
      <w:proofErr w:type="gramEnd"/>
      <w:r w:rsidRPr="00CB3320">
        <w:rPr>
          <w:rFonts w:hint="eastAsia"/>
        </w:rPr>
        <w:t>城市的权重份额（见</w:t>
      </w:r>
      <w:r w:rsidRPr="00CB3320">
        <w:fldChar w:fldCharType="begin"/>
      </w:r>
      <w:r w:rsidRPr="00CB3320">
        <w:instrText xml:space="preserve"> </w:instrText>
      </w:r>
      <w:r w:rsidRPr="00CB3320">
        <w:rPr>
          <w:rFonts w:hint="eastAsia"/>
        </w:rPr>
        <w:instrText>REF _Ref75448187 \h</w:instrText>
      </w:r>
      <w:r w:rsidRPr="00CB3320">
        <w:instrText xml:space="preserve"> </w:instrText>
      </w:r>
      <w:r w:rsidRPr="00CB3320">
        <w:fldChar w:fldCharType="separate"/>
      </w:r>
      <w:r w:rsidR="008A580C" w:rsidRPr="00CB3320">
        <w:rPr>
          <w:rFonts w:hint="eastAsia"/>
        </w:rPr>
        <w:t>图</w:t>
      </w:r>
      <w:r w:rsidR="008A580C" w:rsidRPr="00CB3320">
        <w:rPr>
          <w:noProof/>
        </w:rPr>
        <w:t>2</w:t>
      </w:r>
      <w:r w:rsidRPr="00CB3320">
        <w:fldChar w:fldCharType="end"/>
      </w:r>
      <w:r w:rsidRPr="00CB3320">
        <w:rPr>
          <w:rFonts w:hint="eastAsia"/>
        </w:rPr>
        <w:t>和</w:t>
      </w:r>
      <w:r w:rsidRPr="00CB3320">
        <w:fldChar w:fldCharType="begin"/>
      </w:r>
      <w:r w:rsidRPr="00CB3320">
        <w:instrText xml:space="preserve"> </w:instrText>
      </w:r>
      <w:r w:rsidRPr="00CB3320">
        <w:rPr>
          <w:rFonts w:hint="eastAsia"/>
        </w:rPr>
        <w:instrText>REF _Ref75448396 \h</w:instrText>
      </w:r>
      <w:r w:rsidRPr="00CB3320">
        <w:instrText xml:space="preserve"> </w:instrText>
      </w:r>
      <w:r w:rsidRPr="00CB3320">
        <w:fldChar w:fldCharType="separate"/>
      </w:r>
      <w:r w:rsidR="008A580C" w:rsidRPr="00CB3320">
        <w:rPr>
          <w:rFonts w:hint="eastAsia"/>
        </w:rPr>
        <w:t>图</w:t>
      </w:r>
      <w:r w:rsidR="008A580C" w:rsidRPr="00CB3320">
        <w:rPr>
          <w:noProof/>
        </w:rPr>
        <w:t>3</w:t>
      </w:r>
      <w:r w:rsidRPr="00CB3320">
        <w:fldChar w:fldCharType="end"/>
      </w:r>
      <w:r w:rsidRPr="00CB3320">
        <w:rPr>
          <w:rFonts w:hint="eastAsia"/>
        </w:rPr>
        <w:t>）。结果显示，全省经济水平较低的城市比重较大，这些城市人均实际</w:t>
      </w:r>
      <w:r w:rsidRPr="00CB3320">
        <w:rPr>
          <w:rFonts w:hint="eastAsia"/>
        </w:rPr>
        <w:t>GDP</w:t>
      </w:r>
      <w:r w:rsidRPr="00CB3320">
        <w:rPr>
          <w:rFonts w:hint="eastAsia"/>
        </w:rPr>
        <w:t>一般不超过</w:t>
      </w:r>
      <w:r w:rsidRPr="00CB3320">
        <w:rPr>
          <w:rFonts w:hint="eastAsia"/>
        </w:rPr>
        <w:t>1</w:t>
      </w:r>
      <w:r w:rsidRPr="00CB3320">
        <w:rPr>
          <w:rFonts w:hint="eastAsia"/>
        </w:rPr>
        <w:t>万元。经济水平较高的城市在</w:t>
      </w:r>
      <w:r w:rsidRPr="00CB3320">
        <w:rPr>
          <w:rFonts w:hint="eastAsia"/>
        </w:rPr>
        <w:t>PSM</w:t>
      </w:r>
      <w:r w:rsidRPr="00CB3320">
        <w:rPr>
          <w:rFonts w:hint="eastAsia"/>
        </w:rPr>
        <w:t>结果中的权重较低，如广东省的深圳、东莞、广州和湖北省的武汉。由于湖北和广东</w:t>
      </w:r>
      <w:proofErr w:type="gramStart"/>
      <w:r w:rsidRPr="00CB3320">
        <w:rPr>
          <w:rFonts w:hint="eastAsia"/>
        </w:rPr>
        <w:t>都是试点</w:t>
      </w:r>
      <w:proofErr w:type="gramEnd"/>
      <w:r w:rsidRPr="00CB3320">
        <w:rPr>
          <w:rFonts w:hint="eastAsia"/>
        </w:rPr>
        <w:t>省份，且大部分非试点地区的人均实际</w:t>
      </w:r>
      <w:r w:rsidRPr="00CB3320">
        <w:rPr>
          <w:rFonts w:hint="eastAsia"/>
        </w:rPr>
        <w:t>GDP</w:t>
      </w:r>
      <w:r w:rsidRPr="00CB3320">
        <w:rPr>
          <w:rFonts w:hint="eastAsia"/>
        </w:rPr>
        <w:t>基本不超过</w:t>
      </w:r>
      <w:r w:rsidRPr="00CB3320">
        <w:rPr>
          <w:rFonts w:hint="eastAsia"/>
        </w:rPr>
        <w:t>1</w:t>
      </w:r>
      <w:r w:rsidRPr="00CB3320">
        <w:rPr>
          <w:rFonts w:hint="eastAsia"/>
        </w:rPr>
        <w:t>万（</w:t>
      </w:r>
      <w:r w:rsidRPr="00CB3320">
        <w:fldChar w:fldCharType="begin"/>
      </w:r>
      <w:r w:rsidRPr="00CB3320">
        <w:instrText xml:space="preserve"> </w:instrText>
      </w:r>
      <w:r w:rsidRPr="00CB3320">
        <w:rPr>
          <w:rFonts w:hint="eastAsia"/>
        </w:rPr>
        <w:instrText>REF _Ref75448072 \h</w:instrText>
      </w:r>
      <w:r w:rsidRPr="00CB3320">
        <w:instrText xml:space="preserve"> </w:instrText>
      </w:r>
      <w:r w:rsidRPr="00CB3320">
        <w:fldChar w:fldCharType="separate"/>
      </w:r>
      <w:r w:rsidR="008A580C" w:rsidRPr="00CB3320">
        <w:rPr>
          <w:rFonts w:hint="eastAsia"/>
        </w:rPr>
        <w:t>图</w:t>
      </w:r>
      <w:r w:rsidR="008A580C" w:rsidRPr="00CB3320">
        <w:rPr>
          <w:noProof/>
        </w:rPr>
        <w:t>1</w:t>
      </w:r>
      <w:r w:rsidRPr="00CB3320">
        <w:fldChar w:fldCharType="end"/>
      </w:r>
      <w:r w:rsidRPr="00CB3320">
        <w:rPr>
          <w:rFonts w:hint="eastAsia"/>
        </w:rPr>
        <w:t>），因此</w:t>
      </w:r>
      <w:r w:rsidRPr="00CB3320">
        <w:rPr>
          <w:rFonts w:hint="eastAsia"/>
        </w:rPr>
        <w:t>PSM</w:t>
      </w:r>
      <w:r w:rsidRPr="00CB3320">
        <w:rPr>
          <w:rFonts w:hint="eastAsia"/>
        </w:rPr>
        <w:t>对实验组中相对不发达的城市给予了更高的权重，以匹配对照组中的城市。匹配前后实验组和对照组之间其他协变量的偏差见</w:t>
      </w:r>
      <w:r w:rsidRPr="00CB3320">
        <w:fldChar w:fldCharType="begin"/>
      </w:r>
      <w:r w:rsidRPr="00CB3320">
        <w:instrText xml:space="preserve"> </w:instrText>
      </w:r>
      <w:r w:rsidRPr="00CB3320">
        <w:rPr>
          <w:rFonts w:hint="eastAsia"/>
        </w:rPr>
        <w:instrText>REF _Ref75446819 \h</w:instrText>
      </w:r>
      <w:r w:rsidRPr="00CB3320">
        <w:instrText xml:space="preserve"> </w:instrText>
      </w:r>
      <w:r w:rsidRPr="00CB3320">
        <w:fldChar w:fldCharType="separate"/>
      </w:r>
      <w:r w:rsidR="008A580C" w:rsidRPr="00CB3320">
        <w:rPr>
          <w:rFonts w:hint="eastAsia"/>
        </w:rPr>
        <w:t>图</w:t>
      </w:r>
      <w:r w:rsidR="008A580C" w:rsidRPr="00CB3320">
        <w:rPr>
          <w:rFonts w:hint="eastAsia"/>
        </w:rPr>
        <w:t>A.</w:t>
      </w:r>
      <w:r w:rsidR="008A580C" w:rsidRPr="00CB3320">
        <w:rPr>
          <w:noProof/>
        </w:rPr>
        <w:t>1</w:t>
      </w:r>
      <w:r w:rsidRPr="00CB3320">
        <w:fldChar w:fldCharType="end"/>
      </w:r>
      <w:r w:rsidRPr="00CB3320">
        <w:rPr>
          <w:rFonts w:hint="eastAsia"/>
        </w:rPr>
        <w:t>、</w:t>
      </w:r>
      <w:r w:rsidRPr="00CB3320">
        <w:fldChar w:fldCharType="begin"/>
      </w:r>
      <w:r w:rsidRPr="00CB3320">
        <w:instrText xml:space="preserve"> REF _Ref75446820 \h </w:instrText>
      </w:r>
      <w:r w:rsidRPr="00CB3320">
        <w:fldChar w:fldCharType="separate"/>
      </w:r>
      <w:r w:rsidR="008A580C" w:rsidRPr="00CB3320">
        <w:rPr>
          <w:rFonts w:hint="eastAsia"/>
        </w:rPr>
        <w:t>图</w:t>
      </w:r>
      <w:r w:rsidR="008A580C" w:rsidRPr="00CB3320">
        <w:rPr>
          <w:rFonts w:hint="eastAsia"/>
        </w:rPr>
        <w:t>A.</w:t>
      </w:r>
      <w:r w:rsidR="008A580C" w:rsidRPr="00CB3320">
        <w:rPr>
          <w:noProof/>
        </w:rPr>
        <w:t>2</w:t>
      </w:r>
      <w:r w:rsidRPr="00CB3320">
        <w:fldChar w:fldCharType="end"/>
      </w:r>
      <w:r w:rsidRPr="00CB3320">
        <w:rPr>
          <w:rFonts w:hint="eastAsia"/>
        </w:rPr>
        <w:t>和</w:t>
      </w:r>
      <w:r w:rsidRPr="00CB3320">
        <w:fldChar w:fldCharType="begin"/>
      </w:r>
      <w:r w:rsidRPr="00CB3320">
        <w:instrText xml:space="preserve"> REF _Ref75446822 \h </w:instrText>
      </w:r>
      <w:r w:rsidRPr="00CB3320">
        <w:fldChar w:fldCharType="separate"/>
      </w:r>
      <w:r w:rsidR="008A580C" w:rsidRPr="00CB3320">
        <w:rPr>
          <w:rFonts w:hint="eastAsia"/>
        </w:rPr>
        <w:t>图</w:t>
      </w:r>
      <w:r w:rsidR="008A580C" w:rsidRPr="00CB3320">
        <w:rPr>
          <w:rFonts w:hint="eastAsia"/>
        </w:rPr>
        <w:t>A.</w:t>
      </w:r>
      <w:r w:rsidR="008A580C" w:rsidRPr="00CB3320">
        <w:rPr>
          <w:noProof/>
        </w:rPr>
        <w:t>3</w:t>
      </w:r>
      <w:r w:rsidRPr="00CB3320">
        <w:fldChar w:fldCharType="end"/>
      </w:r>
      <w:r w:rsidRPr="00CB3320">
        <w:rPr>
          <w:rFonts w:hint="eastAsia"/>
        </w:rPr>
        <w:t>。由于样本量较大，</w:t>
      </w:r>
      <w:r w:rsidRPr="00CB3320">
        <w:rPr>
          <w:rFonts w:hint="eastAsia"/>
        </w:rPr>
        <w:t>PSM</w:t>
      </w:r>
      <w:r w:rsidRPr="00CB3320">
        <w:rPr>
          <w:rFonts w:hint="eastAsia"/>
        </w:rPr>
        <w:t>可以起到更好的作用。大多数控制变量的偏差小于</w:t>
      </w:r>
      <w:r w:rsidRPr="00CB3320">
        <w:rPr>
          <w:rFonts w:hint="eastAsia"/>
        </w:rPr>
        <w:t>10%</w:t>
      </w:r>
      <w:r w:rsidRPr="00CB3320">
        <w:rPr>
          <w:rFonts w:hint="eastAsia"/>
        </w:rPr>
        <w:t>，且差异不显著。在这样的匹配结果下，我们大致可以认为实验组和对照组的样本选择基本上是随机的。</w:t>
      </w:r>
    </w:p>
    <w:p w14:paraId="3F373644" w14:textId="620535BF" w:rsidR="007468AF" w:rsidRPr="00CB3320" w:rsidRDefault="007A16F6" w:rsidP="007468AF">
      <w:pPr>
        <w:pStyle w:val="Fig"/>
      </w:pPr>
      <w:r w:rsidRPr="00CB3320">
        <w:rPr>
          <w:noProof/>
        </w:rPr>
        <w:drawing>
          <wp:inline distT="0" distB="0" distL="0" distR="0" wp14:anchorId="7CEBC28A" wp14:editId="539B2F3C">
            <wp:extent cx="4925518" cy="2438400"/>
            <wp:effectExtent l="0" t="0" r="8890" b="0"/>
            <wp:docPr id="1" name="图表 1">
              <a:extLst xmlns:a="http://schemas.openxmlformats.org/drawingml/2006/main">
                <a:ext uri="{FF2B5EF4-FFF2-40B4-BE49-F238E27FC236}">
                  <a16:creationId xmlns:a16="http://schemas.microsoft.com/office/drawing/2014/main" id="{AB111BA1-F301-47AF-98B3-A15EAA23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299AFB" w14:textId="6BBE2500" w:rsidR="007468AF" w:rsidRPr="00CB3320" w:rsidRDefault="007468AF" w:rsidP="007468AF">
      <w:pPr>
        <w:pStyle w:val="FigX"/>
        <w:spacing w:after="163"/>
      </w:pPr>
      <w:bookmarkStart w:id="26" w:name="_Ref75448187"/>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Pr="00CB3320">
        <w:rPr>
          <w:noProof/>
        </w:rPr>
        <w:t>2</w:t>
      </w:r>
      <w:r w:rsidRPr="00CB3320">
        <w:fldChar w:fldCharType="end"/>
      </w:r>
      <w:bookmarkEnd w:id="26"/>
      <w:r w:rsidR="00344D5D" w:rsidRPr="00CB3320">
        <w:rPr>
          <w:rFonts w:hint="eastAsia"/>
        </w:rPr>
        <w:t xml:space="preserve">  </w:t>
      </w:r>
      <w:r w:rsidRPr="00CB3320">
        <w:rPr>
          <w:rFonts w:hint="eastAsia"/>
        </w:rPr>
        <w:t>广东省内不同城市的</w:t>
      </w:r>
      <w:r w:rsidRPr="00CB3320">
        <w:rPr>
          <w:rFonts w:hint="eastAsia"/>
        </w:rPr>
        <w:t>PSM</w:t>
      </w:r>
      <w:r w:rsidRPr="00CB3320">
        <w:rPr>
          <w:rFonts w:hint="eastAsia"/>
        </w:rPr>
        <w:t>权重份额</w:t>
      </w:r>
    </w:p>
    <w:p w14:paraId="0B2B6594" w14:textId="3EBB9AFB" w:rsidR="007468AF" w:rsidRPr="00CB3320" w:rsidRDefault="006253D8" w:rsidP="007468AF">
      <w:pPr>
        <w:pStyle w:val="Fig"/>
      </w:pPr>
      <w:r w:rsidRPr="00CB3320">
        <w:rPr>
          <w:noProof/>
        </w:rPr>
        <w:lastRenderedPageBreak/>
        <w:drawing>
          <wp:inline distT="0" distB="0" distL="0" distR="0" wp14:anchorId="3E356AD2" wp14:editId="62CA7D8C">
            <wp:extent cx="5079835" cy="2150669"/>
            <wp:effectExtent l="0" t="0" r="6985" b="2540"/>
            <wp:docPr id="10" name="图表 10">
              <a:extLst xmlns:a="http://schemas.openxmlformats.org/drawingml/2006/main">
                <a:ext uri="{FF2B5EF4-FFF2-40B4-BE49-F238E27FC236}">
                  <a16:creationId xmlns:a16="http://schemas.microsoft.com/office/drawing/2014/main" id="{1CB94159-DC5A-4B49-AFB0-88726E7D4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E4A2CE" w14:textId="0331EDA0" w:rsidR="007468AF" w:rsidRPr="00CB3320" w:rsidRDefault="007468AF" w:rsidP="007468AF">
      <w:pPr>
        <w:pStyle w:val="FigX"/>
        <w:spacing w:after="163"/>
      </w:pPr>
      <w:bookmarkStart w:id="27" w:name="_Ref75448396"/>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Pr="00CB3320">
        <w:rPr>
          <w:noProof/>
        </w:rPr>
        <w:t>3</w:t>
      </w:r>
      <w:r w:rsidRPr="00CB3320">
        <w:fldChar w:fldCharType="end"/>
      </w:r>
      <w:bookmarkEnd w:id="27"/>
      <w:r w:rsidR="00344D5D" w:rsidRPr="00CB3320">
        <w:rPr>
          <w:rFonts w:hint="eastAsia"/>
        </w:rPr>
        <w:t xml:space="preserve">  </w:t>
      </w:r>
      <w:r w:rsidRPr="00CB3320">
        <w:rPr>
          <w:rFonts w:hint="eastAsia"/>
        </w:rPr>
        <w:t>湖北省内不同城市的</w:t>
      </w:r>
      <w:r w:rsidRPr="00CB3320">
        <w:rPr>
          <w:rFonts w:hint="eastAsia"/>
        </w:rPr>
        <w:t>PSM</w:t>
      </w:r>
      <w:r w:rsidRPr="00CB3320">
        <w:rPr>
          <w:rFonts w:hint="eastAsia"/>
        </w:rPr>
        <w:t>权重份额</w:t>
      </w:r>
    </w:p>
    <w:p w14:paraId="65D21682" w14:textId="3BBD6179" w:rsidR="00477D8D" w:rsidRPr="00CB3320" w:rsidRDefault="005B1161" w:rsidP="005B1161">
      <w:pPr>
        <w:pStyle w:val="1"/>
      </w:pPr>
      <w:bookmarkStart w:id="28" w:name="_Toc121778119"/>
      <w:r w:rsidRPr="00CB3320">
        <w:rPr>
          <w:rFonts w:hint="eastAsia"/>
        </w:rPr>
        <w:t>四、基准实证分析</w:t>
      </w:r>
      <w:bookmarkEnd w:id="28"/>
    </w:p>
    <w:p w14:paraId="6CC2DCA4" w14:textId="3950A4B3" w:rsidR="007468AF" w:rsidRPr="00CB3320" w:rsidRDefault="00344D5D" w:rsidP="00344D5D">
      <w:pPr>
        <w:pStyle w:val="2"/>
        <w:numPr>
          <w:ilvl w:val="0"/>
          <w:numId w:val="0"/>
        </w:numPr>
        <w:spacing w:before="163" w:after="81"/>
      </w:pPr>
      <w:bookmarkStart w:id="29" w:name="_Toc121778120"/>
      <w:r w:rsidRPr="00CB3320">
        <w:rPr>
          <w:rFonts w:hint="eastAsia"/>
        </w:rPr>
        <w:t>（一）</w:t>
      </w:r>
      <w:r w:rsidRPr="00CB3320">
        <w:rPr>
          <w:rFonts w:hint="eastAsia"/>
        </w:rPr>
        <w:t>P</w:t>
      </w:r>
      <w:r w:rsidRPr="00CB3320">
        <w:t>SM-</w:t>
      </w:r>
      <w:r w:rsidRPr="00CB3320">
        <w:rPr>
          <w:rFonts w:hint="eastAsia"/>
        </w:rPr>
        <w:t>加权</w:t>
      </w:r>
      <w:r w:rsidRPr="00CB3320">
        <w:rPr>
          <w:rFonts w:hint="eastAsia"/>
        </w:rPr>
        <w:t>D</w:t>
      </w:r>
      <w:r w:rsidRPr="00CB3320">
        <w:t>ID</w:t>
      </w:r>
      <w:r w:rsidRPr="00CB3320">
        <w:rPr>
          <w:rFonts w:hint="eastAsia"/>
        </w:rPr>
        <w:t>模型</w:t>
      </w:r>
      <w:bookmarkEnd w:id="29"/>
    </w:p>
    <w:p w14:paraId="0A97828E" w14:textId="76861C00" w:rsidR="007468AF" w:rsidRPr="00CB3320" w:rsidRDefault="007468AF" w:rsidP="007468AF">
      <w:pPr>
        <w:ind w:firstLine="420"/>
      </w:pPr>
      <w:r w:rsidRPr="00CB3320">
        <w:rPr>
          <w:rFonts w:hint="eastAsia"/>
        </w:rPr>
        <w:t>匹配好样本后，我们就可以进行下一步的分析了，因为我们近似认为实验组和对照组的样本大致是随机分配的。</w:t>
      </w:r>
      <w:r w:rsidRPr="00CB3320">
        <w:rPr>
          <w:rFonts w:hint="eastAsia"/>
        </w:rPr>
        <w:t>DID</w:t>
      </w:r>
      <w:r w:rsidRPr="00CB3320">
        <w:rPr>
          <w:rFonts w:hint="eastAsia"/>
        </w:rPr>
        <w:t>模型是一种广泛应用的确定实验效果的模型</w:t>
      </w:r>
      <w:r w:rsidRPr="00CB3320">
        <w:rPr>
          <w:kern w:val="0"/>
        </w:rPr>
        <w:fldChar w:fldCharType="begin" w:fldLock="1"/>
      </w:r>
      <w:r w:rsidR="001B271C">
        <w:rPr>
          <w:kern w:val="0"/>
        </w:rPr>
        <w:instrText>ADDIN CSL_CITATION {"citationItems":[{"id":"ITEM-1","itemData":{"DOI":"10.1016/j.jpubeco.2021.104383","ISSN":"00472727","author":[{"dropping-particle":"","family":"Molina","given":"Teresa","non-dropping-particle":"","parse-names":false,"suffix":""},{"dropping-particle":"","family":"Rivadeneyra","given":"Ivan","non-dropping-particle":"","parse-names":false,"suffix":""}],"container-title":"Journal of Public Economics","id":"ITEM-1","issued":{"date-parts":[["2021","4"]]},"page":"104383","title":"The schooling and labor market effects of eliminating university tuition in Ecuador","type":"article-journal","volume":"196"},"uris":["http://www.mendeley.com/documents/?uuid=faf96b1f-0093-465f-8e77-1f0a74db13b1"]},{"id":"ITEM-2","itemData":{"DOI":"10.1016/j.jeem.2020.102305","ISSN":"00950696","author":[{"dropping-particle":"","family":"Strittmatter","given":"Anthony","non-dropping-particle":"","parse-names":false,"suffix":""},{"dropping-particle":"","family":"Lechner","given":"Michael","non-dropping-particle":"","parse-names":false,"suffix":""}],"container-title":"Journal of Environmental Economics and Management","id":"ITEM-2","issued":{"date-parts":[["2020","5"]]},"page":"102305","title":"Sorting in the used-car market after the Volkswagen emission scandal","type"</w:instrText>
      </w:r>
      <w:r w:rsidR="001B271C">
        <w:rPr>
          <w:rFonts w:hint="eastAsia"/>
          <w:kern w:val="0"/>
        </w:rPr>
        <w:instrText>:"article-journal","volume":"101"},"uris":["http://www.mendeley.com/documents/?uuid=163c3ed2-08e5-4860-b00e-1165255aa50c"]}],"mendeley":{"formattedCitation":"(Molina</w:instrText>
      </w:r>
      <w:r w:rsidR="001B271C">
        <w:rPr>
          <w:rFonts w:hint="eastAsia"/>
          <w:kern w:val="0"/>
        </w:rPr>
        <w:instrText>等</w:instrText>
      </w:r>
      <w:r w:rsidR="001B271C">
        <w:rPr>
          <w:rFonts w:hint="eastAsia"/>
          <w:kern w:val="0"/>
        </w:rPr>
        <w:instrText>, 2021; Strittmatter</w:instrText>
      </w:r>
      <w:r w:rsidR="001B271C">
        <w:rPr>
          <w:rFonts w:hint="eastAsia"/>
          <w:kern w:val="0"/>
        </w:rPr>
        <w:instrText>等</w:instrText>
      </w:r>
      <w:r w:rsidR="001B271C">
        <w:rPr>
          <w:rFonts w:hint="eastAsia"/>
          <w:kern w:val="0"/>
        </w:rPr>
        <w:instrText>, 2020)","manualFormatting":"(Molina et al</w:instrText>
      </w:r>
      <w:r w:rsidR="001B271C">
        <w:rPr>
          <w:rFonts w:hint="eastAsia"/>
          <w:kern w:val="0"/>
        </w:rPr>
        <w:instrText>，</w:instrText>
      </w:r>
      <w:r w:rsidR="001B271C">
        <w:rPr>
          <w:rFonts w:hint="eastAsia"/>
          <w:kern w:val="0"/>
        </w:rPr>
        <w:instrText>2021</w:instrText>
      </w:r>
      <w:r w:rsidR="001B271C">
        <w:rPr>
          <w:rFonts w:hint="eastAsia"/>
          <w:kern w:val="0"/>
        </w:rPr>
        <w:instrText>；</w:instrText>
      </w:r>
      <w:r w:rsidR="001B271C">
        <w:rPr>
          <w:rFonts w:hint="eastAsia"/>
          <w:kern w:val="0"/>
        </w:rPr>
        <w:instrText>Strittmatter et al</w:instrText>
      </w:r>
      <w:r w:rsidR="001B271C">
        <w:rPr>
          <w:rFonts w:hint="eastAsia"/>
          <w:kern w:val="0"/>
        </w:rPr>
        <w:instrText>，</w:instrText>
      </w:r>
      <w:r w:rsidR="001B271C">
        <w:rPr>
          <w:rFonts w:hint="eastAsia"/>
          <w:kern w:val="0"/>
        </w:rPr>
        <w:instrText>2020)","plainTextFormattedCitation":"(Molina</w:instrText>
      </w:r>
      <w:r w:rsidR="001B271C">
        <w:rPr>
          <w:rFonts w:hint="eastAsia"/>
          <w:kern w:val="0"/>
        </w:rPr>
        <w:instrText>等</w:instrText>
      </w:r>
      <w:r w:rsidR="001B271C">
        <w:rPr>
          <w:rFonts w:hint="eastAsia"/>
          <w:kern w:val="0"/>
        </w:rPr>
        <w:instrText>, 2021; Strittmatter</w:instrText>
      </w:r>
      <w:r w:rsidR="001B271C">
        <w:rPr>
          <w:rFonts w:hint="eastAsia"/>
          <w:kern w:val="0"/>
        </w:rPr>
        <w:instrText>等</w:instrText>
      </w:r>
      <w:r w:rsidR="001B271C">
        <w:rPr>
          <w:rFonts w:hint="eastAsia"/>
          <w:kern w:val="0"/>
        </w:rPr>
        <w:instrText>, 2020)","previouslyFormattedCitation":"(Molina</w:instrText>
      </w:r>
      <w:r w:rsidR="001B271C">
        <w:rPr>
          <w:rFonts w:hint="eastAsia"/>
          <w:kern w:val="0"/>
        </w:rPr>
        <w:instrText>等</w:instrText>
      </w:r>
      <w:r w:rsidR="001B271C">
        <w:rPr>
          <w:rFonts w:hint="eastAsia"/>
          <w:kern w:val="0"/>
        </w:rPr>
        <w:instrText>, 2021; Strittmatter</w:instrText>
      </w:r>
      <w:r w:rsidR="001B271C">
        <w:rPr>
          <w:rFonts w:hint="eastAsia"/>
          <w:kern w:val="0"/>
        </w:rPr>
        <w:instrText>等</w:instrText>
      </w:r>
      <w:r w:rsidR="001B271C">
        <w:rPr>
          <w:rFonts w:hint="eastAsia"/>
          <w:kern w:val="0"/>
        </w:rPr>
        <w:instrText>, 2020)"},"properties":{"noteIndex":0},"schema":"https://github.com/citation-style-language/schema/raw/master/csl-citatio</w:instrText>
      </w:r>
      <w:r w:rsidR="001B271C">
        <w:rPr>
          <w:kern w:val="0"/>
        </w:rPr>
        <w:instrText>n.json"}</w:instrText>
      </w:r>
      <w:r w:rsidRPr="00CB3320">
        <w:rPr>
          <w:kern w:val="0"/>
        </w:rPr>
        <w:fldChar w:fldCharType="separate"/>
      </w:r>
      <w:r w:rsidR="00364702" w:rsidRPr="00CB3320">
        <w:rPr>
          <w:rFonts w:hint="eastAsia"/>
          <w:noProof/>
          <w:kern w:val="0"/>
        </w:rPr>
        <w:t>(Molina</w:t>
      </w:r>
      <w:r w:rsidR="005B1161" w:rsidRPr="00CB3320">
        <w:rPr>
          <w:rFonts w:hint="eastAsia"/>
          <w:noProof/>
          <w:kern w:val="0"/>
        </w:rPr>
        <w:t xml:space="preserve"> et al</w:t>
      </w:r>
      <w:r w:rsidR="005B1161" w:rsidRPr="00CB3320">
        <w:rPr>
          <w:rFonts w:hint="eastAsia"/>
          <w:noProof/>
          <w:kern w:val="0"/>
        </w:rPr>
        <w:t>，</w:t>
      </w:r>
      <w:r w:rsidR="00364702" w:rsidRPr="00CB3320">
        <w:rPr>
          <w:rFonts w:hint="eastAsia"/>
          <w:noProof/>
          <w:kern w:val="0"/>
        </w:rPr>
        <w:t>2021</w:t>
      </w:r>
      <w:r w:rsidR="005B1161" w:rsidRPr="00CB3320">
        <w:rPr>
          <w:rFonts w:hint="eastAsia"/>
          <w:noProof/>
          <w:kern w:val="0"/>
        </w:rPr>
        <w:t>；</w:t>
      </w:r>
      <w:r w:rsidR="00364702" w:rsidRPr="00CB3320">
        <w:rPr>
          <w:rFonts w:hint="eastAsia"/>
          <w:noProof/>
          <w:kern w:val="0"/>
        </w:rPr>
        <w:t>Strittmatter</w:t>
      </w:r>
      <w:r w:rsidR="005B1161" w:rsidRPr="00CB3320">
        <w:rPr>
          <w:rFonts w:hint="eastAsia"/>
          <w:noProof/>
          <w:kern w:val="0"/>
        </w:rPr>
        <w:t xml:space="preserve"> et al</w:t>
      </w:r>
      <w:r w:rsidR="005B1161" w:rsidRPr="00CB3320">
        <w:rPr>
          <w:rFonts w:hint="eastAsia"/>
          <w:noProof/>
          <w:kern w:val="0"/>
        </w:rPr>
        <w:t>，</w:t>
      </w:r>
      <w:r w:rsidR="00364702" w:rsidRPr="00CB3320">
        <w:rPr>
          <w:rFonts w:hint="eastAsia"/>
          <w:noProof/>
          <w:kern w:val="0"/>
        </w:rPr>
        <w:t>2020)</w:t>
      </w:r>
      <w:r w:rsidRPr="00CB3320">
        <w:rPr>
          <w:kern w:val="0"/>
        </w:rPr>
        <w:fldChar w:fldCharType="end"/>
      </w:r>
      <w:r w:rsidRPr="00CB3320">
        <w:rPr>
          <w:rFonts w:hint="eastAsia"/>
        </w:rPr>
        <w:t>。对于两期数据，我们可以通过经典的</w:t>
      </w:r>
      <w:r w:rsidRPr="00CB3320">
        <w:rPr>
          <w:rFonts w:hint="eastAsia"/>
        </w:rPr>
        <w:t>DID</w:t>
      </w:r>
      <w:r w:rsidRPr="00CB3320">
        <w:rPr>
          <w:rFonts w:hint="eastAsia"/>
        </w:rPr>
        <w:t>模型来识别其政策效应，如下式所示：</w:t>
      </w:r>
    </w:p>
    <w:p w14:paraId="7178488A" w14:textId="0DCA4B4A" w:rsidR="007468AF" w:rsidRPr="00CB3320" w:rsidRDefault="007468AF" w:rsidP="007468AF">
      <w:pPr>
        <w:pStyle w:val="a3"/>
      </w:pPr>
      <w:r w:rsidRPr="00CB3320">
        <w:tab/>
      </w:r>
      <m:oMath>
        <m:sSub>
          <m:sSubPr>
            <m:ctrlPr>
              <w:rPr>
                <w:rFonts w:ascii="Cambria Math" w:hAnsi="Cambria Math"/>
              </w:rPr>
            </m:ctrlPr>
          </m:sSubPr>
          <m:e>
            <m:r>
              <w:rPr>
                <w:rFonts w:ascii="Cambria Math" w:hAnsi="Cambria Math"/>
              </w:rPr>
              <m:t>Dependent</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treat</m:t>
            </m:r>
          </m:e>
          <m:sub>
            <m:r>
              <w:rPr>
                <w:rFonts w:ascii="Cambria Math" w:hAnsi="Cambria Math"/>
              </w:rPr>
              <m:t>i</m:t>
            </m:r>
          </m:sub>
        </m:sSub>
        <m:r>
          <m:rPr>
            <m:sty m:val="p"/>
          </m:rPr>
          <w:rPr>
            <w:rFonts w:ascii="Cambria Math" w:hAnsi="Cambria Math" w:hint="eastAsia"/>
          </w:rPr>
          <m:t>×</m:t>
        </m:r>
        <m:sSub>
          <m:sSubPr>
            <m:ctrlPr>
              <w:rPr>
                <w:rFonts w:ascii="Cambria Math" w:hAnsi="Cambria Math"/>
              </w:rPr>
            </m:ctrlPr>
          </m:sSubPr>
          <m:e>
            <m:r>
              <w:rPr>
                <w:rFonts w:ascii="Cambria Math" w:hAnsi="Cambria Math"/>
              </w:rPr>
              <m:t>post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
          <m:sSubPr>
            <m:ctrlPr>
              <w:rPr>
                <w:rFonts w:ascii="Cambria Math" w:hAnsi="Cambria Math"/>
              </w:rPr>
            </m:ctrlPr>
          </m:sSubPr>
          <m:e>
            <m:r>
              <w:rPr>
                <w:rFonts w:ascii="Cambria Math" w:hAnsi="Cambria Math"/>
              </w:rPr>
              <m:t>treat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sSub>
          <m:sSubPr>
            <m:ctrlPr>
              <w:rPr>
                <w:rFonts w:ascii="Cambria Math" w:hAnsi="Cambria Math"/>
              </w:rPr>
            </m:ctrlPr>
          </m:sSubPr>
          <m:e>
            <m:r>
              <w:rPr>
                <w:rFonts w:ascii="Cambria Math" w:hAnsi="Cambria Math"/>
              </w:rPr>
              <m:t>post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008A580C" w:rsidRPr="00CB3320">
        <w:rPr>
          <w:noProof/>
        </w:rPr>
        <w:t>7</w:t>
      </w:r>
      <w:r w:rsidRPr="00CB3320">
        <w:rPr>
          <w:noProof/>
        </w:rPr>
        <w:fldChar w:fldCharType="end"/>
      </w:r>
      <w:r w:rsidRPr="00CB3320">
        <w:t>)</w:t>
      </w:r>
    </w:p>
    <w:p w14:paraId="2E83D6DC" w14:textId="77777777" w:rsidR="007468AF" w:rsidRPr="00CB3320" w:rsidRDefault="007468AF" w:rsidP="007468AF">
      <w:pPr>
        <w:ind w:firstLine="420"/>
      </w:pPr>
      <w:r w:rsidRPr="00CB3320">
        <w:rPr>
          <w:rFonts w:hint="eastAsia"/>
        </w:rPr>
        <w:t>其中</w:t>
      </w:r>
      <m:oMath>
        <m:sSub>
          <m:sSubPr>
            <m:ctrlPr>
              <w:rPr>
                <w:rFonts w:ascii="Cambria Math" w:hAnsi="Cambria Math" w:cs="Times New Roman"/>
                <w:szCs w:val="28"/>
              </w:rPr>
            </m:ctrlPr>
          </m:sSubPr>
          <m:e>
            <m:r>
              <w:rPr>
                <w:rFonts w:ascii="Cambria Math" w:hAnsi="Cambria Math"/>
              </w:rPr>
              <m:t>Dependent</m:t>
            </m:r>
          </m:e>
          <m:sub>
            <m:r>
              <w:rPr>
                <w:rFonts w:ascii="Cambria Math" w:hAnsi="Cambria Math"/>
              </w:rPr>
              <m:t>it</m:t>
            </m:r>
          </m:sub>
        </m:sSub>
      </m:oMath>
      <w:r w:rsidRPr="00CB3320">
        <w:rPr>
          <w:rFonts w:hint="eastAsia"/>
        </w:rPr>
        <w:t>是指可能受政策影响的因变量，</w:t>
      </w:r>
      <m:oMath>
        <m:sSub>
          <m:sSubPr>
            <m:ctrlPr>
              <w:rPr>
                <w:rFonts w:ascii="Cambria Math" w:hAnsi="Cambria Math" w:cs="Times New Roman"/>
                <w:szCs w:val="28"/>
              </w:rPr>
            </m:ctrlPr>
          </m:sSubPr>
          <m:e>
            <m:r>
              <w:rPr>
                <w:rFonts w:ascii="Cambria Math" w:hAnsi="Cambria Math"/>
              </w:rPr>
              <m:t>treat</m:t>
            </m:r>
          </m:e>
          <m:sub>
            <m:r>
              <w:rPr>
                <w:rFonts w:ascii="Cambria Math" w:hAnsi="Cambria Math"/>
              </w:rPr>
              <m:t>i</m:t>
            </m:r>
          </m:sub>
        </m:sSub>
      </m:oMath>
      <w:r w:rsidRPr="00CB3320">
        <w:rPr>
          <w:rFonts w:hint="eastAsia"/>
        </w:rPr>
        <w:t>是一个个体虚拟变量，如果个体在实验组中则为</w:t>
      </w:r>
      <w:r w:rsidRPr="00CB3320">
        <w:rPr>
          <w:rFonts w:hint="eastAsia"/>
        </w:rPr>
        <w:t>1</w:t>
      </w:r>
      <w:r w:rsidRPr="00CB3320">
        <w:rPr>
          <w:rFonts w:hint="eastAsia"/>
        </w:rPr>
        <w:t>，否则为</w:t>
      </w:r>
      <w:r w:rsidRPr="00CB3320">
        <w:rPr>
          <w:rFonts w:hint="eastAsia"/>
        </w:rPr>
        <w:t>0</w:t>
      </w:r>
      <w:r w:rsidRPr="00CB3320">
        <w:rPr>
          <w:rFonts w:hint="eastAsia"/>
        </w:rPr>
        <w:t>。</w:t>
      </w:r>
      <m:oMath>
        <m:sSub>
          <m:sSubPr>
            <m:ctrlPr>
              <w:rPr>
                <w:rFonts w:ascii="Cambria Math" w:hAnsi="Cambria Math" w:cs="Times New Roman"/>
                <w:szCs w:val="28"/>
              </w:rPr>
            </m:ctrlPr>
          </m:sSubPr>
          <m:e>
            <m:r>
              <w:rPr>
                <w:rFonts w:ascii="Cambria Math" w:hAnsi="Cambria Math"/>
              </w:rPr>
              <m:t>post</m:t>
            </m:r>
          </m:e>
          <m:sub>
            <m:r>
              <w:rPr>
                <w:rFonts w:ascii="Cambria Math" w:hAnsi="Cambria Math"/>
              </w:rPr>
              <m:t>t</m:t>
            </m:r>
          </m:sub>
        </m:sSub>
      </m:oMath>
      <w:r w:rsidRPr="00CB3320">
        <w:rPr>
          <w:rFonts w:hint="eastAsia"/>
        </w:rPr>
        <w:t>是时间虚拟变量，如果实验在目标年内实施，则等于</w:t>
      </w:r>
      <w:r w:rsidRPr="00CB3320">
        <w:rPr>
          <w:rFonts w:hint="eastAsia"/>
        </w:rPr>
        <w:t>1</w:t>
      </w:r>
      <w:r w:rsidRPr="00CB3320">
        <w:rPr>
          <w:rFonts w:hint="eastAsia"/>
        </w:rPr>
        <w:t>，否则为</w:t>
      </w:r>
      <w:r w:rsidRPr="00CB3320">
        <w:rPr>
          <w:rFonts w:hint="eastAsia"/>
        </w:rPr>
        <w:t>0</w:t>
      </w:r>
      <w:r w:rsidRPr="00CB3320">
        <w:rPr>
          <w:rFonts w:hint="eastAsia"/>
        </w:rPr>
        <w:t>。交互项</w:t>
      </w:r>
      <m:oMath>
        <m:sSub>
          <m:sSubPr>
            <m:ctrlPr>
              <w:rPr>
                <w:rFonts w:ascii="Cambria Math" w:hAnsi="Cambria Math" w:cs="Times New Roman"/>
                <w:szCs w:val="28"/>
              </w:rPr>
            </m:ctrlPr>
          </m:sSubPr>
          <m:e>
            <m:r>
              <w:rPr>
                <w:rFonts w:ascii="Cambria Math" w:hAnsi="Cambria Math"/>
              </w:rPr>
              <m:t>treat</m:t>
            </m:r>
          </m:e>
          <m:sub>
            <m:r>
              <w:rPr>
                <w:rFonts w:ascii="Cambria Math" w:hAnsi="Cambria Math"/>
              </w:rPr>
              <m:t>i</m:t>
            </m:r>
          </m:sub>
        </m:sSub>
        <m:r>
          <m:rPr>
            <m:sty m:val="p"/>
          </m:rPr>
          <w:rPr>
            <w:rFonts w:ascii="Cambria Math" w:hAnsi="Cambria Math" w:hint="eastAsia"/>
          </w:rPr>
          <m:t>×</m:t>
        </m:r>
        <m:sSub>
          <m:sSubPr>
            <m:ctrlPr>
              <w:rPr>
                <w:rFonts w:ascii="Cambria Math" w:hAnsi="Cambria Math" w:cs="Times New Roman"/>
                <w:szCs w:val="28"/>
              </w:rPr>
            </m:ctrlPr>
          </m:sSubPr>
          <m:e>
            <m:r>
              <w:rPr>
                <w:rFonts w:ascii="Cambria Math" w:hAnsi="Cambria Math"/>
              </w:rPr>
              <m:t>post</m:t>
            </m:r>
          </m:e>
          <m:sub>
            <m:r>
              <w:rPr>
                <w:rFonts w:ascii="Cambria Math" w:hAnsi="Cambria Math"/>
              </w:rPr>
              <m:t>t</m:t>
            </m:r>
          </m:sub>
        </m:sSub>
      </m:oMath>
      <w:r w:rsidRPr="00CB3320">
        <w:rPr>
          <w:rFonts w:hint="eastAsia"/>
        </w:rPr>
        <w:t>是衡量实验效果</w:t>
      </w:r>
      <m:oMath>
        <m:sSub>
          <m:sSubPr>
            <m:ctrlPr>
              <w:rPr>
                <w:rFonts w:ascii="Cambria Math" w:hAnsi="Cambria Math" w:cs="Times New Roman"/>
                <w:szCs w:val="28"/>
              </w:rPr>
            </m:ctrlPr>
          </m:sSubPr>
          <m:e>
            <m:r>
              <w:rPr>
                <w:rFonts w:ascii="Cambria Math" w:hAnsi="Cambria Math"/>
              </w:rPr>
              <m:t>β</m:t>
            </m:r>
          </m:e>
          <m:sub>
            <m:r>
              <m:rPr>
                <m:sty m:val="p"/>
              </m:rPr>
              <w:rPr>
                <w:rFonts w:ascii="Cambria Math" w:hAnsi="Cambria Math"/>
              </w:rPr>
              <m:t>1</m:t>
            </m:r>
          </m:sub>
        </m:sSub>
      </m:oMath>
      <w:r w:rsidRPr="00CB3320">
        <w:rPr>
          <w:rFonts w:hint="eastAsia"/>
        </w:rPr>
        <w:t>的指标。</w:t>
      </w:r>
      <m:oMath>
        <m:sSub>
          <m:sSubPr>
            <m:ctrlPr>
              <w:rPr>
                <w:rFonts w:ascii="Cambria Math" w:hAnsi="Cambria Math" w:cs="Times New Roman"/>
                <w:szCs w:val="28"/>
              </w:rPr>
            </m:ctrlPr>
          </m:sSubPr>
          <m:e>
            <m:r>
              <w:rPr>
                <w:rFonts w:ascii="Cambria Math" w:hAnsi="Cambria Math"/>
              </w:rPr>
              <m:t>β</m:t>
            </m:r>
          </m:e>
          <m:sub>
            <m:r>
              <m:rPr>
                <m:sty m:val="p"/>
              </m:rPr>
              <w:rPr>
                <w:rFonts w:ascii="Cambria Math" w:hAnsi="Cambria Math"/>
              </w:rPr>
              <m:t>2</m:t>
            </m:r>
          </m:sub>
        </m:sSub>
      </m:oMath>
      <w:r w:rsidRPr="00CB3320">
        <w:rPr>
          <w:rFonts w:hint="eastAsia"/>
          <w:szCs w:val="28"/>
        </w:rPr>
        <w:t>捕捉</w:t>
      </w:r>
      <w:r w:rsidRPr="00CB3320">
        <w:rPr>
          <w:rFonts w:hint="eastAsia"/>
        </w:rPr>
        <w:t>实验组和对照组之间的差异。</w:t>
      </w:r>
      <m:oMath>
        <m:sSub>
          <m:sSubPr>
            <m:ctrlPr>
              <w:rPr>
                <w:rFonts w:ascii="Cambria Math" w:hAnsi="Cambria Math" w:cs="Times New Roman"/>
                <w:szCs w:val="28"/>
              </w:rPr>
            </m:ctrlPr>
          </m:sSubPr>
          <m:e>
            <m:r>
              <w:rPr>
                <w:rFonts w:ascii="Cambria Math" w:hAnsi="Cambria Math"/>
              </w:rPr>
              <m:t>β</m:t>
            </m:r>
          </m:e>
          <m:sub>
            <m:r>
              <m:rPr>
                <m:sty m:val="p"/>
              </m:rPr>
              <w:rPr>
                <w:rFonts w:ascii="Cambria Math" w:hAnsi="Cambria Math"/>
              </w:rPr>
              <m:t>3</m:t>
            </m:r>
          </m:sub>
        </m:sSub>
      </m:oMath>
      <w:r w:rsidRPr="00CB3320">
        <w:rPr>
          <w:rFonts w:hint="eastAsia"/>
        </w:rPr>
        <w:t>识别实验年份和非实验年份之间的差异。</w:t>
      </w:r>
    </w:p>
    <w:p w14:paraId="12D69229" w14:textId="77777777" w:rsidR="007468AF" w:rsidRPr="00CB3320" w:rsidRDefault="007468AF" w:rsidP="007468AF">
      <w:pPr>
        <w:ind w:firstLine="420"/>
      </w:pPr>
      <w:r w:rsidRPr="00CB3320">
        <w:rPr>
          <w:rFonts w:hint="eastAsia"/>
        </w:rPr>
        <w:t>在我们的研究中，我们需要确定</w:t>
      </w:r>
      <w:proofErr w:type="gramStart"/>
      <w:r w:rsidRPr="00CB3320">
        <w:rPr>
          <w:rFonts w:hint="eastAsia"/>
        </w:rPr>
        <w:t>碳交易</w:t>
      </w:r>
      <w:proofErr w:type="gramEnd"/>
      <w:r w:rsidRPr="00CB3320">
        <w:rPr>
          <w:rFonts w:hint="eastAsia"/>
        </w:rPr>
        <w:t>试点对全要素生产率的影响，数据是</w:t>
      </w:r>
      <w:r w:rsidRPr="00CB3320">
        <w:rPr>
          <w:rFonts w:hint="eastAsia"/>
        </w:rPr>
        <w:t>2005-2016</w:t>
      </w:r>
      <w:r w:rsidRPr="00CB3320">
        <w:rPr>
          <w:rFonts w:hint="eastAsia"/>
        </w:rPr>
        <w:t>年的城市面板数据。我们构造以下估计方程：</w:t>
      </w:r>
    </w:p>
    <w:p w14:paraId="4CB1F95F" w14:textId="5D886602" w:rsidR="007468AF" w:rsidRPr="00CB3320" w:rsidRDefault="007468AF" w:rsidP="007468AF">
      <w:pPr>
        <w:pStyle w:val="a3"/>
      </w:pPr>
      <w:r w:rsidRPr="00CB3320">
        <w:tab/>
      </w:r>
      <m:oMath>
        <m:sSub>
          <m:sSubPr>
            <m:ctrlPr>
              <w:rPr>
                <w:rFonts w:ascii="Cambria Math" w:hAnsi="Cambria Math"/>
              </w:rPr>
            </m:ctrlPr>
          </m:sSubPr>
          <m:e>
            <m:r>
              <w:rPr>
                <w:rFonts w:ascii="Cambria Math" w:hAnsi="Cambria Math"/>
              </w:rPr>
              <m:t>TFP</m:t>
            </m:r>
          </m:e>
          <m:sub>
            <m:r>
              <w:rPr>
                <w:rFonts w:ascii="Cambria Math" w:hAnsi="Cambria Math"/>
              </w:rPr>
              <m:t>it</m:t>
            </m:r>
          </m:sub>
        </m:sSub>
        <m:r>
          <m:rPr>
            <m:sty m:val="p"/>
          </m:rPr>
          <w:rPr>
            <w:rFonts w:ascii="Cambria Math" w:hAnsi="Cambria Math"/>
          </w:rPr>
          <m:t>=</m:t>
        </m:r>
        <m:r>
          <w:rPr>
            <w:rFonts w:ascii="Cambria Math" w:hAnsi="Cambria Math"/>
          </w:rPr>
          <m:t>γ</m:t>
        </m:r>
        <m:sSub>
          <m:sSubPr>
            <m:ctrlPr>
              <w:rPr>
                <w:rFonts w:ascii="Cambria Math" w:hAnsi="Cambria Math"/>
              </w:rPr>
            </m:ctrlPr>
          </m:sSubPr>
          <m:e>
            <m:r>
              <w:rPr>
                <w:rFonts w:ascii="Cambria Math" w:hAnsi="Cambria Math"/>
              </w:rPr>
              <m:t>D</m:t>
            </m:r>
            <m:r>
              <m:rPr>
                <m:sty m:val="p"/>
              </m:rPr>
              <w:rPr>
                <w:rFonts w:ascii="Cambria Math" w:hAnsi="Cambria Math"/>
              </w:rPr>
              <m:t>_</m:t>
            </m:r>
            <m:r>
              <w:rPr>
                <w:rFonts w:ascii="Cambria Math" w:hAnsi="Cambria Math"/>
              </w:rPr>
              <m:t>ETS</m:t>
            </m:r>
          </m:e>
          <m:sub>
            <m:r>
              <w:rPr>
                <w:rFonts w:ascii="Cambria Math" w:hAnsi="Cambria Math"/>
              </w:rPr>
              <m:t>it</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k</m:t>
            </m:r>
          </m:sub>
          <m:sup/>
          <m:e>
            <m:sSub>
              <m:sSubPr>
                <m:ctrlPr>
                  <w:rPr>
                    <w:rFonts w:ascii="Cambria Math" w:hAnsi="Cambria Math"/>
                  </w:rPr>
                </m:ctrlPr>
              </m:sSubPr>
              <m:e>
                <m:r>
                  <w:rPr>
                    <w:rFonts w:ascii="Cambria Math" w:hAnsi="Cambria Math"/>
                  </w:rPr>
                  <m:t>β</m:t>
                </m:r>
              </m:e>
              <m:sub>
                <m:r>
                  <w:rPr>
                    <w:rFonts w:ascii="Cambria Math" w:hAnsi="Cambria Math"/>
                  </w:rPr>
                  <m:t>k</m:t>
                </m:r>
              </m:sub>
            </m:sSub>
            <m:sSub>
              <m:sSubPr>
                <m:ctrlPr>
                  <w:rPr>
                    <w:rFonts w:ascii="Cambria Math" w:hAnsi="Cambria Math"/>
                  </w:rPr>
                </m:ctrlPr>
              </m:sSubPr>
              <m:e>
                <m:r>
                  <w:rPr>
                    <w:rFonts w:ascii="Cambria Math" w:hAnsi="Cambria Math"/>
                  </w:rPr>
                  <m:t>x</m:t>
                </m:r>
              </m:e>
              <m:sub>
                <m:r>
                  <w:rPr>
                    <w:rFonts w:ascii="Cambria Math" w:hAnsi="Cambria Math"/>
                  </w:rPr>
                  <m:t>k</m:t>
                </m:r>
              </m:sub>
            </m:sSub>
          </m:e>
        </m:nary>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Pr="00CB3320">
        <w:tab/>
        <w:t>(</w:t>
      </w:r>
      <w:r w:rsidRPr="00CB3320">
        <w:rPr>
          <w:noProof/>
        </w:rPr>
        <w:fldChar w:fldCharType="begin"/>
      </w:r>
      <w:r w:rsidRPr="00CB3320">
        <w:rPr>
          <w:noProof/>
        </w:rPr>
        <w:instrText xml:space="preserve"> SEQ ( \* ARABIC </w:instrText>
      </w:r>
      <w:r w:rsidRPr="00CB3320">
        <w:rPr>
          <w:noProof/>
        </w:rPr>
        <w:fldChar w:fldCharType="separate"/>
      </w:r>
      <w:r w:rsidR="008A580C" w:rsidRPr="00CB3320">
        <w:rPr>
          <w:noProof/>
        </w:rPr>
        <w:t>8</w:t>
      </w:r>
      <w:r w:rsidRPr="00CB3320">
        <w:rPr>
          <w:noProof/>
        </w:rPr>
        <w:fldChar w:fldCharType="end"/>
      </w:r>
      <w:r w:rsidRPr="00CB3320">
        <w:t>)</w:t>
      </w:r>
    </w:p>
    <w:p w14:paraId="62B8A07B" w14:textId="4C34FE02" w:rsidR="007468AF" w:rsidRPr="00CB3320" w:rsidRDefault="007468AF" w:rsidP="007468AF">
      <w:pPr>
        <w:ind w:firstLine="420"/>
      </w:pPr>
      <w:r w:rsidRPr="00CB3320">
        <w:rPr>
          <w:rFonts w:hint="eastAsia"/>
        </w:rPr>
        <w:t>其中，</w:t>
      </w:r>
      <m:oMath>
        <m:sSub>
          <m:sSubPr>
            <m:ctrlPr>
              <w:rPr>
                <w:rFonts w:ascii="Cambria Math" w:hAnsi="Cambria Math"/>
              </w:rPr>
            </m:ctrlPr>
          </m:sSubPr>
          <m:e>
            <m:r>
              <w:rPr>
                <w:rFonts w:ascii="Cambria Math" w:hAnsi="Cambria Math"/>
              </w:rPr>
              <m:t>D</m:t>
            </m:r>
            <m:r>
              <m:rPr>
                <m:sty m:val="p"/>
              </m:rPr>
              <w:rPr>
                <w:rFonts w:ascii="Cambria Math" w:hAnsi="Cambria Math"/>
              </w:rPr>
              <m:t>_</m:t>
            </m:r>
            <m:r>
              <w:rPr>
                <w:rFonts w:ascii="Cambria Math" w:hAnsi="Cambria Math"/>
              </w:rPr>
              <m:t>ETS</m:t>
            </m:r>
          </m:e>
          <m:sub>
            <m:r>
              <w:rPr>
                <w:rFonts w:ascii="Cambria Math" w:hAnsi="Cambria Math"/>
              </w:rPr>
              <m:t>it</m:t>
            </m:r>
          </m:sub>
        </m:sSub>
      </m:oMath>
      <w:r w:rsidRPr="00CB3320">
        <w:rPr>
          <w:rFonts w:hint="eastAsia"/>
        </w:rPr>
        <w:t>是</w:t>
      </w:r>
      <w:proofErr w:type="gramStart"/>
      <w:r w:rsidRPr="00CB3320">
        <w:rPr>
          <w:rFonts w:hint="eastAsia"/>
        </w:rPr>
        <w:t>碳试点</w:t>
      </w:r>
      <w:proofErr w:type="gramEnd"/>
      <w:r w:rsidRPr="00CB3320">
        <w:rPr>
          <w:rFonts w:hint="eastAsia"/>
        </w:rPr>
        <w:t>的虚拟变量。</w:t>
      </w:r>
      <m:oMath>
        <m:sSub>
          <m:sSubPr>
            <m:ctrlPr>
              <w:rPr>
                <w:rFonts w:ascii="Cambria Math" w:hAnsi="Cambria Math"/>
              </w:rPr>
            </m:ctrlPr>
          </m:sSubPr>
          <m:e>
            <m:r>
              <w:rPr>
                <w:rFonts w:ascii="Cambria Math" w:hAnsi="Cambria Math"/>
              </w:rPr>
              <m:t>x</m:t>
            </m:r>
          </m:e>
          <m:sub>
            <m:r>
              <w:rPr>
                <w:rFonts w:ascii="Cambria Math" w:hAnsi="Cambria Math"/>
              </w:rPr>
              <m:t>k</m:t>
            </m:r>
          </m:sub>
        </m:sSub>
      </m:oMath>
      <w:r w:rsidRPr="00CB3320">
        <w:rPr>
          <w:rFonts w:hint="eastAsia"/>
        </w:rPr>
        <w:t>是协变量（或称控制变量）。</w:t>
      </w:r>
      <m:oMath>
        <m:sSub>
          <m:sSubPr>
            <m:ctrlPr>
              <w:rPr>
                <w:rFonts w:ascii="Cambria Math" w:hAnsi="Cambria Math" w:cs="宋体"/>
                <w:szCs w:val="24"/>
              </w:rPr>
            </m:ctrlPr>
          </m:sSubPr>
          <m:e>
            <m:r>
              <w:rPr>
                <w:rFonts w:ascii="Cambria Math" w:hAnsi="Cambria Math"/>
                <w:kern w:val="0"/>
              </w:rPr>
              <m:t>u</m:t>
            </m:r>
          </m:e>
          <m:sub>
            <m:r>
              <w:rPr>
                <w:rFonts w:ascii="Cambria Math" w:hAnsi="Cambria Math"/>
                <w:kern w:val="0"/>
              </w:rPr>
              <m:t>i</m:t>
            </m:r>
          </m:sub>
        </m:sSub>
      </m:oMath>
      <w:r w:rsidRPr="00CB3320">
        <w:rPr>
          <w:rFonts w:hint="eastAsia"/>
        </w:rPr>
        <w:t>表示个体固定效应，</w:t>
      </w:r>
      <m:oMath>
        <m:sSub>
          <m:sSubPr>
            <m:ctrlPr>
              <w:rPr>
                <w:rFonts w:ascii="Cambria Math" w:hAnsi="Cambria Math" w:cs="宋体"/>
                <w:szCs w:val="24"/>
              </w:rPr>
            </m:ctrlPr>
          </m:sSubPr>
          <m:e>
            <m:r>
              <w:rPr>
                <w:rFonts w:ascii="Cambria Math" w:hAnsi="Cambria Math"/>
                <w:kern w:val="0"/>
              </w:rPr>
              <m:t>v</m:t>
            </m:r>
          </m:e>
          <m:sub>
            <m:r>
              <w:rPr>
                <w:rFonts w:ascii="Cambria Math" w:hAnsi="Cambria Math"/>
                <w:kern w:val="0"/>
              </w:rPr>
              <m:t>t</m:t>
            </m:r>
          </m:sub>
        </m:sSub>
      </m:oMath>
      <w:r w:rsidRPr="00CB3320">
        <w:rPr>
          <w:rFonts w:hint="eastAsia"/>
        </w:rPr>
        <w:t>表示时间固定效应。因为</w:t>
      </w:r>
      <w:r w:rsidR="004F605E" w:rsidRPr="00CB3320">
        <w:rPr>
          <w:rFonts w:hint="eastAsia"/>
        </w:rPr>
        <w:t>文章</w:t>
      </w:r>
      <w:r w:rsidRPr="00CB3320">
        <w:rPr>
          <w:rFonts w:hint="eastAsia"/>
        </w:rPr>
        <w:t>采用的模型是双向固定效应模型，所以</w:t>
      </w:r>
      <m:oMath>
        <m:sSub>
          <m:sSubPr>
            <m:ctrlPr>
              <w:rPr>
                <w:rFonts w:ascii="Cambria Math" w:hAnsi="Cambria Math" w:cs="宋体"/>
                <w:szCs w:val="24"/>
              </w:rPr>
            </m:ctrlPr>
          </m:sSubPr>
          <m:e>
            <m:r>
              <w:rPr>
                <w:rFonts w:ascii="Cambria Math" w:hAnsi="Cambria Math"/>
                <w:kern w:val="0"/>
              </w:rPr>
              <m:t>u</m:t>
            </m:r>
          </m:e>
          <m:sub>
            <m:r>
              <w:rPr>
                <w:rFonts w:ascii="Cambria Math" w:hAnsi="Cambria Math"/>
                <w:kern w:val="0"/>
              </w:rPr>
              <m:t>i</m:t>
            </m:r>
          </m:sub>
        </m:sSub>
      </m:oMath>
      <w:r w:rsidRPr="00CB3320">
        <w:rPr>
          <w:rFonts w:hint="eastAsia"/>
        </w:rPr>
        <w:t>可以看作是</w:t>
      </w:r>
      <m:oMath>
        <m:sSub>
          <m:sSubPr>
            <m:ctrlPr>
              <w:rPr>
                <w:rFonts w:ascii="Cambria Math" w:hAnsi="Cambria Math" w:cs="Times New Roman"/>
                <w:szCs w:val="28"/>
              </w:rPr>
            </m:ctrlPr>
          </m:sSubPr>
          <m:e>
            <m:r>
              <w:rPr>
                <w:rFonts w:ascii="Cambria Math" w:hAnsi="Cambria Math"/>
              </w:rPr>
              <m:t>treat</m:t>
            </m:r>
          </m:e>
          <m:sub>
            <m:r>
              <w:rPr>
                <w:rFonts w:ascii="Cambria Math" w:hAnsi="Cambria Math"/>
              </w:rPr>
              <m:t>i</m:t>
            </m:r>
          </m:sub>
        </m:sSub>
      </m:oMath>
      <w:r w:rsidRPr="00CB3320">
        <w:rPr>
          <w:rFonts w:hint="eastAsia"/>
        </w:rPr>
        <w:t>的</w:t>
      </w:r>
      <w:r w:rsidR="004F605E" w:rsidRPr="00CB3320">
        <w:rPr>
          <w:rFonts w:hint="eastAsia"/>
        </w:rPr>
        <w:t>加强</w:t>
      </w:r>
      <w:r w:rsidRPr="00CB3320">
        <w:rPr>
          <w:rFonts w:hint="eastAsia"/>
        </w:rPr>
        <w:t>版，它吸收了每个个体（不仅是实验组和对照组）的特点；而</w:t>
      </w:r>
      <m:oMath>
        <m:sSub>
          <m:sSubPr>
            <m:ctrlPr>
              <w:rPr>
                <w:rFonts w:ascii="Cambria Math" w:hAnsi="Cambria Math"/>
              </w:rPr>
            </m:ctrlPr>
          </m:sSubPr>
          <m:e>
            <m:r>
              <w:rPr>
                <w:rFonts w:ascii="Cambria Math" w:hAnsi="Cambria Math"/>
              </w:rPr>
              <m:t>v</m:t>
            </m:r>
          </m:e>
          <m:sub>
            <m:r>
              <w:rPr>
                <w:rFonts w:ascii="Cambria Math" w:hAnsi="Cambria Math"/>
              </w:rPr>
              <m:t>t</m:t>
            </m:r>
          </m:sub>
        </m:sSub>
      </m:oMath>
      <w:r w:rsidRPr="00CB3320">
        <w:rPr>
          <w:rFonts w:hint="eastAsia"/>
        </w:rPr>
        <w:t>是加强版的</w:t>
      </w:r>
      <m:oMath>
        <m:sSub>
          <m:sSubPr>
            <m:ctrlPr>
              <w:rPr>
                <w:rFonts w:ascii="Cambria Math" w:hAnsi="Cambria Math" w:cs="Times New Roman"/>
                <w:szCs w:val="28"/>
              </w:rPr>
            </m:ctrlPr>
          </m:sSubPr>
          <m:e>
            <m:r>
              <w:rPr>
                <w:rFonts w:ascii="Cambria Math" w:hAnsi="Cambria Math"/>
              </w:rPr>
              <m:t>post</m:t>
            </m:r>
          </m:e>
          <m:sub>
            <m:r>
              <w:rPr>
                <w:rFonts w:ascii="Cambria Math" w:hAnsi="Cambria Math"/>
              </w:rPr>
              <m:t>t</m:t>
            </m:r>
          </m:sub>
        </m:sSub>
      </m:oMath>
      <w:r w:rsidRPr="00CB3320">
        <w:rPr>
          <w:rFonts w:hint="eastAsia"/>
          <w:szCs w:val="28"/>
        </w:rPr>
        <w:t>。</w:t>
      </w:r>
      <w:r w:rsidRPr="00CB3320">
        <w:rPr>
          <w:rFonts w:hint="eastAsia"/>
        </w:rPr>
        <w:t>由于样本是匹配</w:t>
      </w:r>
      <w:r w:rsidR="002D3301" w:rsidRPr="00CB3320">
        <w:rPr>
          <w:rFonts w:hint="eastAsia"/>
        </w:rPr>
        <w:t>在上一章已经完成（考虑</w:t>
      </w:r>
      <w:r w:rsidR="002D3301" w:rsidRPr="00CB3320">
        <w:rPr>
          <w:rFonts w:hint="eastAsia"/>
        </w:rPr>
        <w:t>P</w:t>
      </w:r>
      <w:r w:rsidR="002D3301" w:rsidRPr="00CB3320">
        <w:t>SM</w:t>
      </w:r>
      <w:r w:rsidR="002D3301" w:rsidRPr="00CB3320">
        <w:rPr>
          <w:rFonts w:hint="eastAsia"/>
        </w:rPr>
        <w:t>权重的估计）</w:t>
      </w:r>
      <w:r w:rsidRPr="00CB3320">
        <w:rPr>
          <w:rFonts w:hint="eastAsia"/>
        </w:rPr>
        <w:t>，并且我们考虑了协变量对数据进行分层控制，因此</w:t>
      </w:r>
      <w:r w:rsidRPr="00CB3320">
        <w:rPr>
          <w:rFonts w:hint="eastAsia"/>
        </w:rPr>
        <w:t>ETS</w:t>
      </w:r>
      <w:r w:rsidRPr="00CB3320">
        <w:rPr>
          <w:rFonts w:hint="eastAsia"/>
        </w:rPr>
        <w:t>的估计量</w:t>
      </w:r>
      <m:oMath>
        <m:r>
          <w:rPr>
            <w:rFonts w:ascii="Cambria Math" w:hAnsi="Cambria Math"/>
          </w:rPr>
          <m:t>γ</m:t>
        </m:r>
      </m:oMath>
      <w:r w:rsidRPr="00CB3320">
        <w:rPr>
          <w:rFonts w:hint="eastAsia"/>
        </w:rPr>
        <w:t>基本上是干净的。由于同一省份不同城市的政策和发展水平相似，可能存在一定程度的自相关。因此，本文将汇报聚类到省份的稳健标准误。</w:t>
      </w:r>
    </w:p>
    <w:p w14:paraId="0F0CB447" w14:textId="2500EA47" w:rsidR="00477D8D" w:rsidRPr="00CB3320" w:rsidRDefault="00344D5D" w:rsidP="00344D5D">
      <w:pPr>
        <w:pStyle w:val="2"/>
        <w:numPr>
          <w:ilvl w:val="0"/>
          <w:numId w:val="0"/>
        </w:numPr>
        <w:spacing w:before="163" w:after="81"/>
      </w:pPr>
      <w:bookmarkStart w:id="30" w:name="_Toc121778121"/>
      <w:r w:rsidRPr="00CB3320">
        <w:rPr>
          <w:rFonts w:hint="eastAsia"/>
        </w:rPr>
        <w:t>（二）</w:t>
      </w:r>
      <w:r w:rsidR="00477D8D" w:rsidRPr="00CB3320">
        <w:rPr>
          <w:rFonts w:hint="eastAsia"/>
        </w:rPr>
        <w:t>平行趋势检验</w:t>
      </w:r>
      <w:bookmarkEnd w:id="30"/>
    </w:p>
    <w:p w14:paraId="0B6B34AB" w14:textId="5F731A2F" w:rsidR="00477D8D" w:rsidRPr="00CB3320" w:rsidRDefault="00477D8D" w:rsidP="00477D8D">
      <w:pPr>
        <w:ind w:firstLine="420"/>
      </w:pPr>
      <w:r w:rsidRPr="00CB3320">
        <w:rPr>
          <w:rFonts w:hint="eastAsia"/>
        </w:rPr>
        <w:t>对样本进行匹配分析后，本文进一步对样本数据进行了平行趋势检验（</w:t>
      </w:r>
      <w:r w:rsidRPr="00CB3320">
        <w:fldChar w:fldCharType="begin"/>
      </w:r>
      <w:r w:rsidRPr="00CB3320">
        <w:instrText xml:space="preserve"> </w:instrText>
      </w:r>
      <w:r w:rsidRPr="00CB3320">
        <w:rPr>
          <w:rFonts w:hint="eastAsia"/>
        </w:rPr>
        <w:instrText>REF _Ref75449024 \h</w:instrText>
      </w:r>
      <w:r w:rsidRPr="00CB3320">
        <w:instrText xml:space="preserve"> </w:instrText>
      </w:r>
      <w:r w:rsidRPr="00CB3320">
        <w:fldChar w:fldCharType="separate"/>
      </w:r>
      <w:r w:rsidR="008A580C" w:rsidRPr="00CB3320">
        <w:rPr>
          <w:rFonts w:hint="eastAsia"/>
        </w:rPr>
        <w:t>图</w:t>
      </w:r>
      <w:r w:rsidR="008A580C" w:rsidRPr="00CB3320">
        <w:rPr>
          <w:noProof/>
        </w:rPr>
        <w:t>4</w:t>
      </w:r>
      <w:r w:rsidRPr="00CB3320">
        <w:fldChar w:fldCharType="end"/>
      </w:r>
      <w:r w:rsidRPr="00CB3320">
        <w:rPr>
          <w:rFonts w:hint="eastAsia"/>
        </w:rPr>
        <w:t>）。发现</w:t>
      </w:r>
      <w:r w:rsidRPr="00CB3320">
        <w:rPr>
          <w:rFonts w:hint="eastAsia"/>
        </w:rPr>
        <w:t>ETS</w:t>
      </w:r>
      <w:r w:rsidRPr="00CB3320">
        <w:rPr>
          <w:rFonts w:hint="eastAsia"/>
        </w:rPr>
        <w:t>对</w:t>
      </w:r>
      <w:r w:rsidRPr="00CB3320">
        <w:rPr>
          <w:rFonts w:hint="eastAsia"/>
        </w:rPr>
        <w:t>2011</w:t>
      </w:r>
      <w:r w:rsidRPr="00CB3320">
        <w:rPr>
          <w:rFonts w:hint="eastAsia"/>
        </w:rPr>
        <w:t>年后</w:t>
      </w:r>
      <w:r w:rsidRPr="00CB3320">
        <w:rPr>
          <w:rFonts w:hint="eastAsia"/>
        </w:rPr>
        <w:t>TFP</w:t>
      </w:r>
      <w:r w:rsidRPr="00CB3320">
        <w:rPr>
          <w:rFonts w:hint="eastAsia"/>
        </w:rPr>
        <w:t>可能有显著影响，实验组与</w:t>
      </w:r>
      <w:r w:rsidR="00972FF5" w:rsidRPr="00CB3320">
        <w:rPr>
          <w:rFonts w:hint="eastAsia"/>
        </w:rPr>
        <w:t>对照组</w:t>
      </w:r>
      <w:r w:rsidRPr="00CB3320">
        <w:rPr>
          <w:rFonts w:hint="eastAsia"/>
        </w:rPr>
        <w:t>在</w:t>
      </w:r>
      <w:r w:rsidRPr="00CB3320">
        <w:rPr>
          <w:rFonts w:hint="eastAsia"/>
        </w:rPr>
        <w:t>2011</w:t>
      </w:r>
      <w:r w:rsidRPr="00CB3320">
        <w:rPr>
          <w:rFonts w:hint="eastAsia"/>
        </w:rPr>
        <w:t>年前无显著差异。但与对照组相比，</w:t>
      </w:r>
      <w:r w:rsidRPr="00CB3320">
        <w:rPr>
          <w:rFonts w:hint="eastAsia"/>
        </w:rPr>
        <w:t>2012</w:t>
      </w:r>
      <w:r w:rsidRPr="00CB3320">
        <w:rPr>
          <w:rFonts w:hint="eastAsia"/>
        </w:rPr>
        <w:t>年及以后实验组的全要素生产率有下降趋势，这表明</w:t>
      </w:r>
      <w:r w:rsidRPr="00CB3320">
        <w:rPr>
          <w:rFonts w:hint="eastAsia"/>
        </w:rPr>
        <w:t>ETS</w:t>
      </w:r>
      <w:r w:rsidRPr="00CB3320">
        <w:rPr>
          <w:rFonts w:hint="eastAsia"/>
        </w:rPr>
        <w:t>可能会降低我国的</w:t>
      </w:r>
      <w:r w:rsidRPr="00CB3320">
        <w:rPr>
          <w:rFonts w:hint="eastAsia"/>
        </w:rPr>
        <w:t>T</w:t>
      </w:r>
      <w:r w:rsidRPr="00CB3320">
        <w:t>FP</w:t>
      </w:r>
      <w:r w:rsidRPr="00CB3320">
        <w:rPr>
          <w:rFonts w:hint="eastAsia"/>
        </w:rPr>
        <w:t>，特别是在交易开始时（</w:t>
      </w:r>
      <w:r w:rsidRPr="00CB3320">
        <w:rPr>
          <w:rFonts w:hint="eastAsia"/>
        </w:rPr>
        <w:t>2014</w:t>
      </w:r>
      <w:r w:rsidRPr="00CB3320">
        <w:rPr>
          <w:rFonts w:hint="eastAsia"/>
        </w:rPr>
        <w:t>年，许多</w:t>
      </w:r>
      <w:proofErr w:type="gramStart"/>
      <w:r w:rsidR="00F302A4" w:rsidRPr="00CB3320">
        <w:rPr>
          <w:rFonts w:hint="eastAsia"/>
        </w:rPr>
        <w:t>碳试点</w:t>
      </w:r>
      <w:proofErr w:type="gramEnd"/>
      <w:r w:rsidR="006C2ECF" w:rsidRPr="00CB3320">
        <w:rPr>
          <w:rFonts w:hint="eastAsia"/>
        </w:rPr>
        <w:t>城市</w:t>
      </w:r>
      <w:r w:rsidRPr="00CB3320">
        <w:rPr>
          <w:rFonts w:hint="eastAsia"/>
        </w:rPr>
        <w:t>正式开始了</w:t>
      </w:r>
      <w:r w:rsidR="00F3262C" w:rsidRPr="00CB3320">
        <w:rPr>
          <w:rFonts w:hint="eastAsia"/>
        </w:rPr>
        <w:t>碳</w:t>
      </w:r>
      <w:r w:rsidRPr="00CB3320">
        <w:rPr>
          <w:rFonts w:hint="eastAsia"/>
        </w:rPr>
        <w:t>排放交易）。</w:t>
      </w:r>
    </w:p>
    <w:p w14:paraId="113C76E5" w14:textId="7119F608" w:rsidR="00477D8D" w:rsidRPr="00CB3320" w:rsidRDefault="006253D8" w:rsidP="008563F3">
      <w:pPr>
        <w:pStyle w:val="Fig"/>
      </w:pPr>
      <w:r w:rsidRPr="00CB3320">
        <w:rPr>
          <w:noProof/>
        </w:rPr>
        <w:lastRenderedPageBreak/>
        <w:drawing>
          <wp:inline distT="0" distB="0" distL="0" distR="0" wp14:anchorId="0C0083C6" wp14:editId="259EF07B">
            <wp:extent cx="3847795" cy="2778727"/>
            <wp:effectExtent l="0" t="0" r="635"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9955" cy="2801952"/>
                    </a:xfrm>
                    <a:prstGeom prst="rect">
                      <a:avLst/>
                    </a:prstGeom>
                  </pic:spPr>
                </pic:pic>
              </a:graphicData>
            </a:graphic>
          </wp:inline>
        </w:drawing>
      </w:r>
    </w:p>
    <w:p w14:paraId="21380922" w14:textId="19CC9992" w:rsidR="00477D8D" w:rsidRPr="00CB3320" w:rsidRDefault="00477D8D" w:rsidP="008563F3">
      <w:pPr>
        <w:pStyle w:val="FigX"/>
        <w:spacing w:after="163"/>
      </w:pPr>
      <w:bookmarkStart w:id="31" w:name="_Ref75449024"/>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008A580C" w:rsidRPr="00CB3320">
        <w:rPr>
          <w:noProof/>
        </w:rPr>
        <w:t>4</w:t>
      </w:r>
      <w:r w:rsidRPr="00CB3320">
        <w:fldChar w:fldCharType="end"/>
      </w:r>
      <w:bookmarkEnd w:id="31"/>
      <w:r w:rsidR="00344D5D" w:rsidRPr="00CB3320">
        <w:rPr>
          <w:rFonts w:hint="eastAsia"/>
        </w:rPr>
        <w:t xml:space="preserve">  </w:t>
      </w:r>
      <w:r w:rsidRPr="00CB3320">
        <w:rPr>
          <w:rFonts w:hint="eastAsia"/>
        </w:rPr>
        <w:t>基于事件分析法的平行趋势检验</w:t>
      </w:r>
    </w:p>
    <w:p w14:paraId="18C82DB7" w14:textId="7EE88740" w:rsidR="00477D8D" w:rsidRPr="00CB3320" w:rsidRDefault="00F13EAB" w:rsidP="00F13EAB">
      <w:pPr>
        <w:pStyle w:val="2"/>
        <w:numPr>
          <w:ilvl w:val="0"/>
          <w:numId w:val="0"/>
        </w:numPr>
        <w:spacing w:before="163" w:after="81"/>
      </w:pPr>
      <w:bookmarkStart w:id="32" w:name="_Toc121778122"/>
      <w:r w:rsidRPr="00CB3320">
        <w:rPr>
          <w:rFonts w:hint="eastAsia"/>
        </w:rPr>
        <w:t>（三）基准</w:t>
      </w:r>
      <w:r w:rsidRPr="00CB3320">
        <w:rPr>
          <w:rFonts w:hint="eastAsia"/>
        </w:rPr>
        <w:t>D</w:t>
      </w:r>
      <w:r w:rsidRPr="00CB3320">
        <w:t>ID</w:t>
      </w:r>
      <w:r w:rsidRPr="00CB3320">
        <w:rPr>
          <w:rFonts w:hint="eastAsia"/>
        </w:rPr>
        <w:t>结果</w:t>
      </w:r>
      <w:bookmarkEnd w:id="32"/>
    </w:p>
    <w:p w14:paraId="712DD764" w14:textId="3BB45417" w:rsidR="00477D8D" w:rsidRPr="00CB3320" w:rsidRDefault="00477D8D" w:rsidP="00477D8D">
      <w:pPr>
        <w:ind w:firstLine="420"/>
      </w:pPr>
      <w:bookmarkStart w:id="33" w:name="_Hlk121821202"/>
      <w:r w:rsidRPr="00CB3320">
        <w:rPr>
          <w:rFonts w:hint="eastAsia"/>
        </w:rPr>
        <w:t>我们首先用逐步回归方法在模型中加入协变量来检验</w:t>
      </w:r>
      <w:r w:rsidRPr="00CB3320">
        <w:rPr>
          <w:rFonts w:hint="eastAsia"/>
        </w:rPr>
        <w:t>ETS</w:t>
      </w:r>
      <w:r w:rsidRPr="00CB3320">
        <w:rPr>
          <w:rFonts w:hint="eastAsia"/>
        </w:rPr>
        <w:t>对</w:t>
      </w:r>
      <w:r w:rsidRPr="00CB3320">
        <w:rPr>
          <w:rFonts w:hint="eastAsia"/>
        </w:rPr>
        <w:t>T</w:t>
      </w:r>
      <w:r w:rsidRPr="00CB3320">
        <w:t>FP</w:t>
      </w:r>
      <w:r w:rsidRPr="00CB3320">
        <w:rPr>
          <w:rFonts w:hint="eastAsia"/>
        </w:rPr>
        <w:t>的政策影响，以验证结果的稳健性（见</w:t>
      </w:r>
      <w:r w:rsidRPr="00CB3320">
        <w:fldChar w:fldCharType="begin"/>
      </w:r>
      <w:r w:rsidRPr="00CB3320">
        <w:instrText xml:space="preserve"> </w:instrText>
      </w:r>
      <w:r w:rsidRPr="00CB3320">
        <w:rPr>
          <w:rFonts w:hint="eastAsia"/>
        </w:rPr>
        <w:instrText>REF _Ref75449305 \h</w:instrText>
      </w:r>
      <w:r w:rsidRPr="00CB3320">
        <w:instrText xml:space="preserve"> </w:instrText>
      </w:r>
      <w:r w:rsidRPr="00CB3320">
        <w:fldChar w:fldCharType="separate"/>
      </w:r>
      <w:r w:rsidR="008A580C" w:rsidRPr="00CB3320">
        <w:rPr>
          <w:rFonts w:hint="eastAsia"/>
        </w:rPr>
        <w:t>表</w:t>
      </w:r>
      <w:r w:rsidR="008A580C" w:rsidRPr="00CB3320">
        <w:rPr>
          <w:noProof/>
        </w:rPr>
        <w:t>1</w:t>
      </w:r>
      <w:r w:rsidRPr="00CB3320">
        <w:fldChar w:fldCharType="end"/>
      </w:r>
      <w:r w:rsidRPr="00CB3320">
        <w:rPr>
          <w:rFonts w:hint="eastAsia"/>
        </w:rPr>
        <w:t>）。结果表明，</w:t>
      </w:r>
      <w:proofErr w:type="gramStart"/>
      <w:r w:rsidRPr="00CB3320">
        <w:rPr>
          <w:rFonts w:hint="eastAsia"/>
        </w:rPr>
        <w:t>碳交易</w:t>
      </w:r>
      <w:proofErr w:type="gramEnd"/>
      <w:r w:rsidRPr="00CB3320">
        <w:rPr>
          <w:rFonts w:hint="eastAsia"/>
        </w:rPr>
        <w:t>试点将显著降低</w:t>
      </w:r>
      <w:proofErr w:type="gramStart"/>
      <w:r w:rsidRPr="00CB3320">
        <w:rPr>
          <w:rFonts w:hint="eastAsia"/>
        </w:rPr>
        <w:t>碳试点</w:t>
      </w:r>
      <w:proofErr w:type="gramEnd"/>
      <w:r w:rsidRPr="00CB3320">
        <w:rPr>
          <w:rFonts w:hint="eastAsia"/>
        </w:rPr>
        <w:t>城市的全要素生产率，这与已有文献的结论有一定的出入，并不支持波特假说的强版本。本文的结果或许更符合经济学的直觉。碳交易会带来额外的成本，这可能使企业调整生产策略，降低产出效率。</w:t>
      </w:r>
      <w:r w:rsidR="00CF393C" w:rsidRPr="00CB3320">
        <w:rPr>
          <w:rFonts w:hint="eastAsia"/>
        </w:rPr>
        <w:t>因此，假说</w:t>
      </w:r>
      <w:r w:rsidR="00CF393C" w:rsidRPr="00CB3320">
        <w:rPr>
          <w:rFonts w:hint="eastAsia"/>
        </w:rPr>
        <w:t>1</w:t>
      </w:r>
      <w:r w:rsidR="00CF393C" w:rsidRPr="00CB3320">
        <w:t>b</w:t>
      </w:r>
      <w:r w:rsidR="00CF393C" w:rsidRPr="00CB3320">
        <w:rPr>
          <w:rFonts w:hint="eastAsia"/>
        </w:rPr>
        <w:t>在当前的实证分析中得证，实证结果并不支持假说</w:t>
      </w:r>
      <w:r w:rsidR="00CF393C" w:rsidRPr="00CB3320">
        <w:rPr>
          <w:rFonts w:hint="eastAsia"/>
        </w:rPr>
        <w:t>1a</w:t>
      </w:r>
      <w:r w:rsidR="00CF393C" w:rsidRPr="00CB3320">
        <w:rPr>
          <w:rFonts w:hint="eastAsia"/>
        </w:rPr>
        <w:t>和</w:t>
      </w:r>
      <w:r w:rsidR="00CF393C" w:rsidRPr="00CB3320">
        <w:rPr>
          <w:rFonts w:hint="eastAsia"/>
        </w:rPr>
        <w:t>1c</w:t>
      </w:r>
      <w:r w:rsidR="00CF393C" w:rsidRPr="00CB3320">
        <w:rPr>
          <w:rFonts w:hint="eastAsia"/>
        </w:rPr>
        <w:t>。</w:t>
      </w:r>
    </w:p>
    <w:p w14:paraId="0B4483F6" w14:textId="1DF04EF9" w:rsidR="00477D8D" w:rsidRPr="00CB3320" w:rsidRDefault="00477D8D" w:rsidP="00477D8D">
      <w:pPr>
        <w:ind w:firstLine="420"/>
      </w:pPr>
      <w:r w:rsidRPr="00CB3320">
        <w:rPr>
          <w:rFonts w:hint="eastAsia"/>
        </w:rPr>
        <w:t>然而，</w:t>
      </w:r>
      <w:proofErr w:type="gramStart"/>
      <w:r w:rsidRPr="00CB3320">
        <w:rPr>
          <w:rFonts w:hint="eastAsia"/>
        </w:rPr>
        <w:t>碳交易</w:t>
      </w:r>
      <w:proofErr w:type="gramEnd"/>
      <w:r w:rsidRPr="00CB3320">
        <w:rPr>
          <w:rFonts w:hint="eastAsia"/>
        </w:rPr>
        <w:t>也可以促进技术创新，从而提高企业效率和全要素生产率。</w:t>
      </w:r>
      <w:proofErr w:type="gramStart"/>
      <w:r w:rsidRPr="00CB3320">
        <w:rPr>
          <w:rFonts w:hint="eastAsia"/>
        </w:rPr>
        <w:t>碳交易</w:t>
      </w:r>
      <w:proofErr w:type="gramEnd"/>
      <w:r w:rsidRPr="00CB3320">
        <w:rPr>
          <w:rFonts w:hint="eastAsia"/>
        </w:rPr>
        <w:t>的影响可能随时间变化，也可能存在区域异质性，也可能存在空间溢出效应（因为</w:t>
      </w:r>
      <w:proofErr w:type="gramStart"/>
      <w:r w:rsidR="00F302A4" w:rsidRPr="00CB3320">
        <w:rPr>
          <w:rFonts w:hint="eastAsia"/>
        </w:rPr>
        <w:t>碳试点</w:t>
      </w:r>
      <w:proofErr w:type="gramEnd"/>
      <w:r w:rsidRPr="00CB3320">
        <w:rPr>
          <w:rFonts w:hint="eastAsia"/>
        </w:rPr>
        <w:t>可能存在污染天堂和低碳技术</w:t>
      </w:r>
      <w:r w:rsidR="00CF393C" w:rsidRPr="00CB3320">
        <w:rPr>
          <w:rFonts w:hint="eastAsia"/>
        </w:rPr>
        <w:t>的</w:t>
      </w:r>
      <w:r w:rsidRPr="00CB3320">
        <w:rPr>
          <w:rFonts w:hint="eastAsia"/>
        </w:rPr>
        <w:t>溢出）。因此，基于</w:t>
      </w:r>
      <w:r w:rsidRPr="00CB3320">
        <w:fldChar w:fldCharType="begin"/>
      </w:r>
      <w:r w:rsidRPr="00CB3320">
        <w:instrText xml:space="preserve"> </w:instrText>
      </w:r>
      <w:r w:rsidRPr="00CB3320">
        <w:rPr>
          <w:rFonts w:hint="eastAsia"/>
        </w:rPr>
        <w:instrText>REF _Ref75449305 \h</w:instrText>
      </w:r>
      <w:r w:rsidRPr="00CB3320">
        <w:instrText xml:space="preserve"> </w:instrText>
      </w:r>
      <w:r w:rsidRPr="00CB3320">
        <w:fldChar w:fldCharType="separate"/>
      </w:r>
      <w:r w:rsidR="00EC325E" w:rsidRPr="00CB3320">
        <w:rPr>
          <w:rFonts w:hint="eastAsia"/>
        </w:rPr>
        <w:t>表</w:t>
      </w:r>
      <w:r w:rsidR="00EC325E">
        <w:rPr>
          <w:noProof/>
        </w:rPr>
        <w:t>1</w:t>
      </w:r>
      <w:r w:rsidRPr="00CB3320">
        <w:fldChar w:fldCharType="end"/>
      </w:r>
      <w:r w:rsidRPr="00CB3320">
        <w:rPr>
          <w:rFonts w:hint="eastAsia"/>
        </w:rPr>
        <w:t>的结果，我们将分析中国</w:t>
      </w:r>
      <w:proofErr w:type="gramStart"/>
      <w:r w:rsidRPr="00CB3320">
        <w:rPr>
          <w:rFonts w:hint="eastAsia"/>
        </w:rPr>
        <w:t>碳试点</w:t>
      </w:r>
      <w:proofErr w:type="gramEnd"/>
      <w:r w:rsidRPr="00CB3320">
        <w:rPr>
          <w:rFonts w:hint="eastAsia"/>
        </w:rPr>
        <w:t>政策导致全要素生产率下降的原因。</w:t>
      </w:r>
    </w:p>
    <w:p w14:paraId="372ADC86" w14:textId="32B6C163" w:rsidR="00477D8D" w:rsidRPr="00CB3320" w:rsidRDefault="00477D8D" w:rsidP="00873487">
      <w:pPr>
        <w:pStyle w:val="TableX"/>
      </w:pPr>
      <w:bookmarkStart w:id="34" w:name="_Ref75449305"/>
      <w:r w:rsidRPr="00CB3320">
        <w:rPr>
          <w:rFonts w:hint="eastAsia"/>
        </w:rPr>
        <w:t>表</w:t>
      </w:r>
      <w:r w:rsidR="00E21259" w:rsidRPr="00CB3320">
        <w:fldChar w:fldCharType="begin"/>
      </w:r>
      <w:r w:rsidR="00E21259" w:rsidRPr="00CB3320">
        <w:instrText xml:space="preserve"> </w:instrText>
      </w:r>
      <w:r w:rsidR="00E21259" w:rsidRPr="00CB3320">
        <w:rPr>
          <w:rFonts w:hint="eastAsia"/>
        </w:rPr>
        <w:instrText xml:space="preserve">SEQ </w:instrText>
      </w:r>
      <w:r w:rsidR="00E21259" w:rsidRPr="00CB3320">
        <w:rPr>
          <w:rFonts w:hint="eastAsia"/>
        </w:rPr>
        <w:instrText>表</w:instrText>
      </w:r>
      <w:r w:rsidR="00E21259" w:rsidRPr="00CB3320">
        <w:rPr>
          <w:rFonts w:hint="eastAsia"/>
        </w:rPr>
        <w:instrText xml:space="preserve"> \* ARABIC</w:instrText>
      </w:r>
      <w:r w:rsidR="00E21259" w:rsidRPr="00CB3320">
        <w:instrText xml:space="preserve"> </w:instrText>
      </w:r>
      <w:r w:rsidR="00E21259" w:rsidRPr="00CB3320">
        <w:fldChar w:fldCharType="separate"/>
      </w:r>
      <w:r w:rsidR="00EC325E">
        <w:rPr>
          <w:noProof/>
        </w:rPr>
        <w:t>1</w:t>
      </w:r>
      <w:r w:rsidR="00E21259" w:rsidRPr="00CB3320">
        <w:fldChar w:fldCharType="end"/>
      </w:r>
      <w:bookmarkEnd w:id="34"/>
      <w:r w:rsidR="00344D5D" w:rsidRPr="00CB3320">
        <w:t xml:space="preserve"> </w:t>
      </w:r>
      <w:r w:rsidRPr="00CB3320">
        <w:t xml:space="preserve"> </w:t>
      </w:r>
      <w:r w:rsidR="003B35C4" w:rsidRPr="00CB3320">
        <w:rPr>
          <w:rFonts w:hint="eastAsia"/>
        </w:rPr>
        <w:t>基准分析：</w:t>
      </w:r>
      <w:proofErr w:type="gramStart"/>
      <w:r w:rsidR="00F302A4" w:rsidRPr="00CB3320">
        <w:rPr>
          <w:rFonts w:hint="eastAsia"/>
        </w:rPr>
        <w:t>碳试点</w:t>
      </w:r>
      <w:proofErr w:type="gramEnd"/>
      <w:r w:rsidRPr="00CB3320">
        <w:rPr>
          <w:rFonts w:hint="eastAsia"/>
        </w:rPr>
        <w:t>对</w:t>
      </w:r>
      <w:r w:rsidRPr="00CB3320">
        <w:rPr>
          <w:rFonts w:hint="eastAsia"/>
        </w:rPr>
        <w:t>T</w:t>
      </w:r>
      <w:r w:rsidRPr="00CB3320">
        <w:t>FP</w:t>
      </w:r>
      <w:r w:rsidRPr="00CB3320">
        <w:rPr>
          <w:rFonts w:hint="eastAsia"/>
        </w:rPr>
        <w:t>的影响</w:t>
      </w:r>
    </w:p>
    <w:tbl>
      <w:tblPr>
        <w:tblW w:w="5000" w:type="pct"/>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2992"/>
        <w:gridCol w:w="1518"/>
        <w:gridCol w:w="1518"/>
        <w:gridCol w:w="1518"/>
        <w:gridCol w:w="1524"/>
      </w:tblGrid>
      <w:tr w:rsidR="006253D8" w:rsidRPr="00CB3320" w14:paraId="04EA7764" w14:textId="77777777" w:rsidTr="00873487">
        <w:trPr>
          <w:trHeight w:val="300"/>
        </w:trPr>
        <w:tc>
          <w:tcPr>
            <w:tcW w:w="1649" w:type="pct"/>
            <w:vMerge w:val="restart"/>
            <w:shd w:val="clear" w:color="auto" w:fill="auto"/>
            <w:noWrap/>
            <w:vAlign w:val="center"/>
            <w:hideMark/>
          </w:tcPr>
          <w:p w14:paraId="6CF4EACA" w14:textId="46B076B3" w:rsidR="006253D8" w:rsidRPr="00CB3320" w:rsidRDefault="006253D8" w:rsidP="00873487">
            <w:pPr>
              <w:pStyle w:val="table"/>
            </w:pPr>
            <w:bookmarkStart w:id="35" w:name="_Toc121778123"/>
            <w:bookmarkEnd w:id="33"/>
          </w:p>
        </w:tc>
        <w:tc>
          <w:tcPr>
            <w:tcW w:w="837" w:type="pct"/>
            <w:shd w:val="clear" w:color="auto" w:fill="auto"/>
            <w:noWrap/>
            <w:vAlign w:val="center"/>
            <w:hideMark/>
          </w:tcPr>
          <w:p w14:paraId="0AE0432B" w14:textId="7BBD0B5E" w:rsidR="006253D8" w:rsidRPr="00CB3320" w:rsidRDefault="006253D8" w:rsidP="00873487">
            <w:pPr>
              <w:pStyle w:val="table"/>
              <w:rPr>
                <w:rFonts w:eastAsia="等线"/>
                <w:b/>
              </w:rPr>
            </w:pPr>
            <w:r w:rsidRPr="00CB3320">
              <w:rPr>
                <w:rFonts w:hint="eastAsia"/>
                <w:b/>
              </w:rPr>
              <w:t>(</w:t>
            </w:r>
            <w:r w:rsidRPr="00CB3320">
              <w:rPr>
                <w:b/>
              </w:rPr>
              <w:t>1)</w:t>
            </w:r>
          </w:p>
        </w:tc>
        <w:tc>
          <w:tcPr>
            <w:tcW w:w="837" w:type="pct"/>
            <w:shd w:val="clear" w:color="auto" w:fill="auto"/>
            <w:noWrap/>
            <w:vAlign w:val="center"/>
            <w:hideMark/>
          </w:tcPr>
          <w:p w14:paraId="587D7ECB" w14:textId="64495376" w:rsidR="006253D8" w:rsidRPr="00CB3320" w:rsidRDefault="006253D8" w:rsidP="00873487">
            <w:pPr>
              <w:pStyle w:val="table"/>
              <w:rPr>
                <w:rFonts w:eastAsia="等线"/>
                <w:b/>
              </w:rPr>
            </w:pPr>
            <w:r w:rsidRPr="00CB3320">
              <w:rPr>
                <w:rFonts w:eastAsia="等线"/>
                <w:b/>
              </w:rPr>
              <w:t>(2)</w:t>
            </w:r>
          </w:p>
        </w:tc>
        <w:tc>
          <w:tcPr>
            <w:tcW w:w="837" w:type="pct"/>
            <w:shd w:val="clear" w:color="auto" w:fill="auto"/>
            <w:noWrap/>
            <w:vAlign w:val="center"/>
            <w:hideMark/>
          </w:tcPr>
          <w:p w14:paraId="61761819" w14:textId="196B1FC8" w:rsidR="006253D8" w:rsidRPr="00CB3320" w:rsidRDefault="006253D8" w:rsidP="00873487">
            <w:pPr>
              <w:pStyle w:val="table"/>
              <w:rPr>
                <w:rFonts w:eastAsia="等线"/>
                <w:b/>
              </w:rPr>
            </w:pPr>
            <w:r w:rsidRPr="00CB3320">
              <w:rPr>
                <w:rFonts w:eastAsia="等线" w:hint="eastAsia"/>
                <w:b/>
              </w:rPr>
              <w:t>(</w:t>
            </w:r>
            <w:r w:rsidRPr="00CB3320">
              <w:rPr>
                <w:rFonts w:eastAsia="等线"/>
                <w:b/>
              </w:rPr>
              <w:t>3)</w:t>
            </w:r>
          </w:p>
        </w:tc>
        <w:tc>
          <w:tcPr>
            <w:tcW w:w="840" w:type="pct"/>
            <w:shd w:val="clear" w:color="auto" w:fill="auto"/>
            <w:noWrap/>
            <w:vAlign w:val="center"/>
            <w:hideMark/>
          </w:tcPr>
          <w:p w14:paraId="0A875592" w14:textId="1B357A96" w:rsidR="006253D8" w:rsidRPr="00CB3320" w:rsidRDefault="006253D8" w:rsidP="00873487">
            <w:pPr>
              <w:pStyle w:val="table"/>
              <w:rPr>
                <w:rFonts w:eastAsia="等线"/>
                <w:b/>
              </w:rPr>
            </w:pPr>
            <w:r w:rsidRPr="00CB3320">
              <w:rPr>
                <w:rFonts w:eastAsia="等线"/>
                <w:b/>
              </w:rPr>
              <w:t>(4)</w:t>
            </w:r>
          </w:p>
        </w:tc>
      </w:tr>
      <w:tr w:rsidR="006253D8" w:rsidRPr="00CB3320" w14:paraId="68CE8612" w14:textId="77777777" w:rsidTr="00873487">
        <w:trPr>
          <w:trHeight w:val="300"/>
        </w:trPr>
        <w:tc>
          <w:tcPr>
            <w:tcW w:w="1649" w:type="pct"/>
            <w:vMerge/>
            <w:vAlign w:val="center"/>
            <w:hideMark/>
          </w:tcPr>
          <w:p w14:paraId="31F2F765" w14:textId="77777777" w:rsidR="006253D8" w:rsidRPr="00CB3320" w:rsidRDefault="006253D8" w:rsidP="00873487">
            <w:pPr>
              <w:pStyle w:val="table"/>
            </w:pPr>
          </w:p>
        </w:tc>
        <w:tc>
          <w:tcPr>
            <w:tcW w:w="837" w:type="pct"/>
            <w:shd w:val="clear" w:color="auto" w:fill="auto"/>
            <w:noWrap/>
            <w:vAlign w:val="center"/>
            <w:hideMark/>
          </w:tcPr>
          <w:p w14:paraId="51099CC8" w14:textId="77777777" w:rsidR="006253D8" w:rsidRPr="00CB3320" w:rsidRDefault="006253D8" w:rsidP="00873487">
            <w:pPr>
              <w:pStyle w:val="table"/>
              <w:rPr>
                <w:b/>
              </w:rPr>
            </w:pPr>
            <w:r w:rsidRPr="00CB3320">
              <w:rPr>
                <w:rFonts w:hint="eastAsia"/>
                <w:b/>
              </w:rPr>
              <w:t>权重</w:t>
            </w:r>
            <w:r w:rsidRPr="00CB3320">
              <w:rPr>
                <w:b/>
              </w:rPr>
              <w:t>1</w:t>
            </w:r>
          </w:p>
        </w:tc>
        <w:tc>
          <w:tcPr>
            <w:tcW w:w="837" w:type="pct"/>
            <w:shd w:val="clear" w:color="auto" w:fill="auto"/>
            <w:noWrap/>
            <w:vAlign w:val="center"/>
            <w:hideMark/>
          </w:tcPr>
          <w:p w14:paraId="78D07C3F" w14:textId="77777777" w:rsidR="006253D8" w:rsidRPr="00CB3320" w:rsidRDefault="006253D8" w:rsidP="00873487">
            <w:pPr>
              <w:pStyle w:val="table"/>
              <w:rPr>
                <w:b/>
              </w:rPr>
            </w:pPr>
            <w:r w:rsidRPr="00CB3320">
              <w:rPr>
                <w:rFonts w:hint="eastAsia"/>
                <w:b/>
              </w:rPr>
              <w:t>权重</w:t>
            </w:r>
            <w:r w:rsidRPr="00CB3320">
              <w:rPr>
                <w:b/>
              </w:rPr>
              <w:t>2</w:t>
            </w:r>
          </w:p>
        </w:tc>
        <w:tc>
          <w:tcPr>
            <w:tcW w:w="837" w:type="pct"/>
            <w:shd w:val="clear" w:color="auto" w:fill="auto"/>
            <w:noWrap/>
            <w:vAlign w:val="center"/>
            <w:hideMark/>
          </w:tcPr>
          <w:p w14:paraId="713B63B0" w14:textId="77777777" w:rsidR="006253D8" w:rsidRPr="00CB3320" w:rsidRDefault="006253D8" w:rsidP="00873487">
            <w:pPr>
              <w:pStyle w:val="table"/>
              <w:rPr>
                <w:b/>
              </w:rPr>
            </w:pPr>
            <w:r w:rsidRPr="00CB3320">
              <w:rPr>
                <w:rFonts w:hint="eastAsia"/>
                <w:b/>
              </w:rPr>
              <w:t>权重</w:t>
            </w:r>
            <w:r w:rsidRPr="00CB3320">
              <w:rPr>
                <w:b/>
              </w:rPr>
              <w:t>1</w:t>
            </w:r>
          </w:p>
        </w:tc>
        <w:tc>
          <w:tcPr>
            <w:tcW w:w="840" w:type="pct"/>
            <w:shd w:val="clear" w:color="auto" w:fill="auto"/>
            <w:noWrap/>
            <w:vAlign w:val="center"/>
            <w:hideMark/>
          </w:tcPr>
          <w:p w14:paraId="0E6C38DF" w14:textId="77777777" w:rsidR="006253D8" w:rsidRPr="00CB3320" w:rsidRDefault="006253D8" w:rsidP="00873487">
            <w:pPr>
              <w:pStyle w:val="table"/>
              <w:rPr>
                <w:b/>
              </w:rPr>
            </w:pPr>
            <w:r w:rsidRPr="00CB3320">
              <w:rPr>
                <w:rFonts w:hint="eastAsia"/>
                <w:b/>
              </w:rPr>
              <w:t>权重</w:t>
            </w:r>
            <w:r w:rsidRPr="00CB3320">
              <w:rPr>
                <w:b/>
              </w:rPr>
              <w:t>2</w:t>
            </w:r>
          </w:p>
        </w:tc>
      </w:tr>
      <w:tr w:rsidR="006253D8" w:rsidRPr="00CB3320" w14:paraId="540F4ABB" w14:textId="77777777" w:rsidTr="00873487">
        <w:trPr>
          <w:trHeight w:val="300"/>
        </w:trPr>
        <w:tc>
          <w:tcPr>
            <w:tcW w:w="1649" w:type="pct"/>
            <w:vMerge/>
            <w:vAlign w:val="center"/>
            <w:hideMark/>
          </w:tcPr>
          <w:p w14:paraId="55FA502E" w14:textId="77777777" w:rsidR="006253D8" w:rsidRPr="00CB3320" w:rsidRDefault="006253D8" w:rsidP="00873487">
            <w:pPr>
              <w:pStyle w:val="table"/>
            </w:pPr>
          </w:p>
        </w:tc>
        <w:tc>
          <w:tcPr>
            <w:tcW w:w="837" w:type="pct"/>
            <w:shd w:val="clear" w:color="auto" w:fill="auto"/>
            <w:noWrap/>
            <w:vAlign w:val="center"/>
            <w:hideMark/>
          </w:tcPr>
          <w:p w14:paraId="7EE2E746" w14:textId="77777777" w:rsidR="006253D8" w:rsidRPr="00CB3320" w:rsidRDefault="006253D8" w:rsidP="00873487">
            <w:pPr>
              <w:pStyle w:val="table"/>
              <w:rPr>
                <w:rFonts w:eastAsia="等线"/>
                <w:b/>
              </w:rPr>
            </w:pPr>
            <w:r w:rsidRPr="00CB3320">
              <w:rPr>
                <w:rFonts w:eastAsia="等线"/>
                <w:b/>
              </w:rPr>
              <w:t>TFP</w:t>
            </w:r>
          </w:p>
        </w:tc>
        <w:tc>
          <w:tcPr>
            <w:tcW w:w="837" w:type="pct"/>
            <w:shd w:val="clear" w:color="auto" w:fill="auto"/>
            <w:noWrap/>
            <w:vAlign w:val="center"/>
            <w:hideMark/>
          </w:tcPr>
          <w:p w14:paraId="61CF5E37" w14:textId="77777777" w:rsidR="006253D8" w:rsidRPr="00CB3320" w:rsidRDefault="006253D8" w:rsidP="00873487">
            <w:pPr>
              <w:pStyle w:val="table"/>
              <w:rPr>
                <w:rFonts w:eastAsia="等线"/>
                <w:b/>
              </w:rPr>
            </w:pPr>
            <w:r w:rsidRPr="00CB3320">
              <w:rPr>
                <w:rFonts w:eastAsia="等线"/>
                <w:b/>
              </w:rPr>
              <w:t>TFP</w:t>
            </w:r>
          </w:p>
        </w:tc>
        <w:tc>
          <w:tcPr>
            <w:tcW w:w="837" w:type="pct"/>
            <w:shd w:val="clear" w:color="auto" w:fill="auto"/>
            <w:noWrap/>
            <w:vAlign w:val="center"/>
            <w:hideMark/>
          </w:tcPr>
          <w:p w14:paraId="6B5E527F" w14:textId="77777777" w:rsidR="006253D8" w:rsidRPr="00CB3320" w:rsidRDefault="006253D8" w:rsidP="00873487">
            <w:pPr>
              <w:pStyle w:val="table"/>
              <w:rPr>
                <w:rFonts w:eastAsia="等线"/>
                <w:b/>
              </w:rPr>
            </w:pPr>
            <w:r w:rsidRPr="00CB3320">
              <w:rPr>
                <w:rFonts w:eastAsia="等线"/>
                <w:b/>
              </w:rPr>
              <w:t>TFP</w:t>
            </w:r>
          </w:p>
        </w:tc>
        <w:tc>
          <w:tcPr>
            <w:tcW w:w="840" w:type="pct"/>
            <w:shd w:val="clear" w:color="auto" w:fill="auto"/>
            <w:noWrap/>
            <w:vAlign w:val="center"/>
            <w:hideMark/>
          </w:tcPr>
          <w:p w14:paraId="1C8FCF45" w14:textId="77777777" w:rsidR="006253D8" w:rsidRPr="00CB3320" w:rsidRDefault="006253D8" w:rsidP="00873487">
            <w:pPr>
              <w:pStyle w:val="table"/>
              <w:rPr>
                <w:rFonts w:eastAsia="等线"/>
                <w:b/>
              </w:rPr>
            </w:pPr>
            <w:r w:rsidRPr="00CB3320">
              <w:rPr>
                <w:rFonts w:eastAsia="等线"/>
                <w:b/>
              </w:rPr>
              <w:t>TFP</w:t>
            </w:r>
          </w:p>
        </w:tc>
      </w:tr>
      <w:tr w:rsidR="006253D8" w:rsidRPr="00CB3320" w14:paraId="08594AC5" w14:textId="77777777" w:rsidTr="00873487">
        <w:trPr>
          <w:trHeight w:val="300"/>
        </w:trPr>
        <w:tc>
          <w:tcPr>
            <w:tcW w:w="5000" w:type="pct"/>
            <w:gridSpan w:val="5"/>
            <w:shd w:val="clear" w:color="auto" w:fill="auto"/>
            <w:noWrap/>
            <w:vAlign w:val="center"/>
            <w:hideMark/>
          </w:tcPr>
          <w:p w14:paraId="69B2B868" w14:textId="09653B30" w:rsidR="006253D8" w:rsidRPr="00CB3320" w:rsidRDefault="00873487" w:rsidP="00873487">
            <w:pPr>
              <w:pStyle w:val="table"/>
              <w:rPr>
                <w:b/>
                <w:bCs/>
              </w:rPr>
            </w:pPr>
            <w:r w:rsidRPr="00CB3320">
              <w:rPr>
                <w:rFonts w:hint="eastAsia"/>
                <w:b/>
                <w:bCs/>
              </w:rPr>
              <w:t>P</w:t>
            </w:r>
            <w:r w:rsidRPr="00CB3320">
              <w:rPr>
                <w:b/>
                <w:bCs/>
              </w:rPr>
              <w:t xml:space="preserve">anel </w:t>
            </w:r>
            <w:r w:rsidR="006253D8" w:rsidRPr="00CB3320">
              <w:rPr>
                <w:b/>
                <w:bCs/>
              </w:rPr>
              <w:t>A</w:t>
            </w:r>
            <w:r w:rsidR="006253D8" w:rsidRPr="00CB3320">
              <w:rPr>
                <w:rFonts w:hint="eastAsia"/>
                <w:b/>
                <w:bCs/>
              </w:rPr>
              <w:t>（试点提出日期）</w:t>
            </w:r>
          </w:p>
        </w:tc>
      </w:tr>
      <w:tr w:rsidR="00873487" w:rsidRPr="00CB3320" w14:paraId="7E4B910A" w14:textId="77777777" w:rsidTr="00873487">
        <w:trPr>
          <w:trHeight w:val="672"/>
        </w:trPr>
        <w:tc>
          <w:tcPr>
            <w:tcW w:w="1649" w:type="pct"/>
            <w:shd w:val="clear" w:color="auto" w:fill="auto"/>
            <w:noWrap/>
            <w:vAlign w:val="center"/>
            <w:hideMark/>
          </w:tcPr>
          <w:p w14:paraId="64962B00" w14:textId="77777777" w:rsidR="00873487" w:rsidRPr="00CB3320" w:rsidRDefault="00873487" w:rsidP="00873487">
            <w:pPr>
              <w:pStyle w:val="table"/>
              <w:rPr>
                <w:rFonts w:eastAsia="等线"/>
              </w:rPr>
            </w:pPr>
            <w:r w:rsidRPr="00CB3320">
              <w:rPr>
                <w:rFonts w:eastAsia="等线"/>
              </w:rPr>
              <w:t>D_ETS</w:t>
            </w:r>
          </w:p>
        </w:tc>
        <w:tc>
          <w:tcPr>
            <w:tcW w:w="837" w:type="pct"/>
            <w:shd w:val="clear" w:color="auto" w:fill="auto"/>
            <w:noWrap/>
            <w:vAlign w:val="center"/>
            <w:hideMark/>
          </w:tcPr>
          <w:p w14:paraId="5FE65B71" w14:textId="77777777" w:rsidR="00873487" w:rsidRPr="00CB3320" w:rsidRDefault="00873487" w:rsidP="00873487">
            <w:pPr>
              <w:pStyle w:val="table"/>
              <w:rPr>
                <w:rFonts w:eastAsia="等线"/>
              </w:rPr>
            </w:pPr>
            <w:r w:rsidRPr="00CB3320">
              <w:t>-0.0197**</w:t>
            </w:r>
          </w:p>
          <w:p w14:paraId="6FFC8B1E" w14:textId="234ED9FD" w:rsidR="00873487" w:rsidRPr="00CB3320" w:rsidRDefault="00873487" w:rsidP="00873487">
            <w:pPr>
              <w:pStyle w:val="table"/>
              <w:rPr>
                <w:rFonts w:eastAsia="等线"/>
              </w:rPr>
            </w:pPr>
            <w:r w:rsidRPr="00CB3320">
              <w:t>(0.00751)</w:t>
            </w:r>
          </w:p>
        </w:tc>
        <w:tc>
          <w:tcPr>
            <w:tcW w:w="837" w:type="pct"/>
            <w:shd w:val="clear" w:color="auto" w:fill="auto"/>
            <w:noWrap/>
            <w:vAlign w:val="center"/>
            <w:hideMark/>
          </w:tcPr>
          <w:p w14:paraId="5B48A16C" w14:textId="77777777" w:rsidR="00873487" w:rsidRPr="00CB3320" w:rsidRDefault="00873487" w:rsidP="00873487">
            <w:pPr>
              <w:pStyle w:val="table"/>
              <w:rPr>
                <w:rFonts w:eastAsia="等线"/>
              </w:rPr>
            </w:pPr>
            <w:r w:rsidRPr="00CB3320">
              <w:rPr>
                <w:rFonts w:eastAsia="等线"/>
              </w:rPr>
              <w:t>-0.012</w:t>
            </w:r>
          </w:p>
          <w:p w14:paraId="46720239" w14:textId="0C658F5E" w:rsidR="00873487" w:rsidRPr="00CB3320" w:rsidRDefault="00873487" w:rsidP="00873487">
            <w:pPr>
              <w:pStyle w:val="table"/>
              <w:rPr>
                <w:rFonts w:eastAsia="等线"/>
              </w:rPr>
            </w:pPr>
            <w:r w:rsidRPr="00CB3320">
              <w:t>(0.00858)</w:t>
            </w:r>
          </w:p>
        </w:tc>
        <w:tc>
          <w:tcPr>
            <w:tcW w:w="837" w:type="pct"/>
            <w:shd w:val="clear" w:color="auto" w:fill="auto"/>
            <w:noWrap/>
            <w:vAlign w:val="center"/>
            <w:hideMark/>
          </w:tcPr>
          <w:p w14:paraId="5D4C7AD4" w14:textId="77777777" w:rsidR="00873487" w:rsidRPr="00CB3320" w:rsidRDefault="00873487" w:rsidP="00873487">
            <w:pPr>
              <w:pStyle w:val="table"/>
              <w:rPr>
                <w:rFonts w:eastAsia="等线"/>
              </w:rPr>
            </w:pPr>
            <w:r w:rsidRPr="00CB3320">
              <w:rPr>
                <w:rFonts w:eastAsia="等线"/>
              </w:rPr>
              <w:t>-0.0384***</w:t>
            </w:r>
          </w:p>
          <w:p w14:paraId="1ECC1628" w14:textId="5A10F905" w:rsidR="00873487" w:rsidRPr="00CB3320" w:rsidRDefault="00873487" w:rsidP="00873487">
            <w:pPr>
              <w:pStyle w:val="table"/>
              <w:rPr>
                <w:rFonts w:eastAsia="等线"/>
              </w:rPr>
            </w:pPr>
            <w:r w:rsidRPr="00CB3320">
              <w:t>(0.00570)</w:t>
            </w:r>
          </w:p>
        </w:tc>
        <w:tc>
          <w:tcPr>
            <w:tcW w:w="840" w:type="pct"/>
            <w:shd w:val="clear" w:color="auto" w:fill="auto"/>
            <w:noWrap/>
            <w:vAlign w:val="center"/>
            <w:hideMark/>
          </w:tcPr>
          <w:p w14:paraId="586E6AD0" w14:textId="77777777" w:rsidR="00873487" w:rsidRPr="00CB3320" w:rsidRDefault="00873487" w:rsidP="00873487">
            <w:pPr>
              <w:pStyle w:val="table"/>
              <w:rPr>
                <w:rFonts w:eastAsia="等线"/>
              </w:rPr>
            </w:pPr>
            <w:r w:rsidRPr="00CB3320">
              <w:rPr>
                <w:rFonts w:eastAsia="等线"/>
              </w:rPr>
              <w:t>-0.0317***</w:t>
            </w:r>
          </w:p>
          <w:p w14:paraId="167AC105" w14:textId="1F048CA6" w:rsidR="00873487" w:rsidRPr="00CB3320" w:rsidRDefault="00873487" w:rsidP="00873487">
            <w:pPr>
              <w:pStyle w:val="table"/>
              <w:rPr>
                <w:rFonts w:eastAsia="等线"/>
              </w:rPr>
            </w:pPr>
            <w:r w:rsidRPr="00CB3320">
              <w:t>(0.00720)</w:t>
            </w:r>
          </w:p>
        </w:tc>
      </w:tr>
      <w:tr w:rsidR="00873487" w:rsidRPr="00CB3320" w14:paraId="778B439C" w14:textId="77777777" w:rsidTr="00873487">
        <w:trPr>
          <w:trHeight w:val="300"/>
        </w:trPr>
        <w:tc>
          <w:tcPr>
            <w:tcW w:w="1649" w:type="pct"/>
            <w:shd w:val="clear" w:color="auto" w:fill="auto"/>
            <w:noWrap/>
            <w:vAlign w:val="center"/>
            <w:hideMark/>
          </w:tcPr>
          <w:p w14:paraId="1EC6E9CB" w14:textId="77777777" w:rsidR="00873487" w:rsidRPr="00CB3320" w:rsidRDefault="00873487" w:rsidP="00873487">
            <w:pPr>
              <w:pStyle w:val="table"/>
            </w:pPr>
            <w:r w:rsidRPr="00CB3320">
              <w:rPr>
                <w:rFonts w:hint="eastAsia"/>
              </w:rPr>
              <w:t>控制变量</w:t>
            </w:r>
          </w:p>
        </w:tc>
        <w:tc>
          <w:tcPr>
            <w:tcW w:w="837" w:type="pct"/>
            <w:shd w:val="clear" w:color="auto" w:fill="auto"/>
            <w:noWrap/>
            <w:vAlign w:val="center"/>
          </w:tcPr>
          <w:p w14:paraId="5003C5B8" w14:textId="0FB2E7E1" w:rsidR="00873487" w:rsidRPr="00CB3320" w:rsidRDefault="00873487" w:rsidP="00873487">
            <w:pPr>
              <w:pStyle w:val="table"/>
              <w:rPr>
                <w:rFonts w:eastAsia="等线"/>
              </w:rPr>
            </w:pPr>
          </w:p>
        </w:tc>
        <w:tc>
          <w:tcPr>
            <w:tcW w:w="837" w:type="pct"/>
            <w:shd w:val="clear" w:color="auto" w:fill="auto"/>
            <w:noWrap/>
            <w:vAlign w:val="center"/>
          </w:tcPr>
          <w:p w14:paraId="3BC50DCB" w14:textId="6DAC8D3A" w:rsidR="00873487" w:rsidRPr="00CB3320" w:rsidRDefault="00873487" w:rsidP="00873487">
            <w:pPr>
              <w:pStyle w:val="table"/>
              <w:rPr>
                <w:rFonts w:eastAsia="等线"/>
              </w:rPr>
            </w:pPr>
          </w:p>
        </w:tc>
        <w:tc>
          <w:tcPr>
            <w:tcW w:w="837" w:type="pct"/>
            <w:shd w:val="clear" w:color="auto" w:fill="auto"/>
            <w:noWrap/>
            <w:vAlign w:val="center"/>
            <w:hideMark/>
          </w:tcPr>
          <w:p w14:paraId="11AEF872"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007DDCC6" w14:textId="77777777" w:rsidR="00873487" w:rsidRPr="00CB3320" w:rsidRDefault="00873487" w:rsidP="00873487">
            <w:pPr>
              <w:pStyle w:val="table"/>
              <w:rPr>
                <w:rFonts w:eastAsia="等线"/>
              </w:rPr>
            </w:pPr>
            <w:r w:rsidRPr="00CB3320">
              <w:rPr>
                <w:rFonts w:eastAsia="等线"/>
              </w:rPr>
              <w:t>√</w:t>
            </w:r>
          </w:p>
        </w:tc>
      </w:tr>
      <w:tr w:rsidR="00873487" w:rsidRPr="00CB3320" w14:paraId="0F0D642B" w14:textId="77777777" w:rsidTr="00873487">
        <w:trPr>
          <w:trHeight w:val="46"/>
        </w:trPr>
        <w:tc>
          <w:tcPr>
            <w:tcW w:w="1649" w:type="pct"/>
            <w:shd w:val="clear" w:color="auto" w:fill="auto"/>
            <w:vAlign w:val="center"/>
            <w:hideMark/>
          </w:tcPr>
          <w:p w14:paraId="34ADB3E8" w14:textId="77777777" w:rsidR="00873487" w:rsidRPr="00CB3320" w:rsidRDefault="00873487" w:rsidP="00873487">
            <w:pPr>
              <w:pStyle w:val="table"/>
              <w:rPr>
                <w:rFonts w:ascii="仿宋" w:eastAsia="仿宋" w:hAnsi="仿宋"/>
              </w:rPr>
            </w:pPr>
            <w:r w:rsidRPr="00CB3320">
              <w:rPr>
                <w:rFonts w:ascii="仿宋" w:eastAsia="仿宋" w:hAnsi="仿宋" w:hint="eastAsia"/>
              </w:rPr>
              <w:t>时间固定效应</w:t>
            </w:r>
          </w:p>
        </w:tc>
        <w:tc>
          <w:tcPr>
            <w:tcW w:w="837" w:type="pct"/>
            <w:shd w:val="clear" w:color="auto" w:fill="auto"/>
            <w:noWrap/>
            <w:vAlign w:val="center"/>
            <w:hideMark/>
          </w:tcPr>
          <w:p w14:paraId="06DB9072" w14:textId="6256D728" w:rsidR="00873487" w:rsidRPr="00CB3320" w:rsidRDefault="00873487" w:rsidP="00873487">
            <w:pPr>
              <w:pStyle w:val="table"/>
              <w:rPr>
                <w:rFonts w:eastAsia="等线"/>
              </w:rPr>
            </w:pPr>
            <w:r w:rsidRPr="00CB3320">
              <w:t>√</w:t>
            </w:r>
          </w:p>
        </w:tc>
        <w:tc>
          <w:tcPr>
            <w:tcW w:w="837" w:type="pct"/>
            <w:shd w:val="clear" w:color="auto" w:fill="auto"/>
            <w:noWrap/>
            <w:vAlign w:val="center"/>
            <w:hideMark/>
          </w:tcPr>
          <w:p w14:paraId="30410BA1"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4A67EB64"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0FBE353F" w14:textId="77777777" w:rsidR="00873487" w:rsidRPr="00CB3320" w:rsidRDefault="00873487" w:rsidP="00873487">
            <w:pPr>
              <w:pStyle w:val="table"/>
              <w:rPr>
                <w:rFonts w:eastAsia="等线"/>
              </w:rPr>
            </w:pPr>
            <w:r w:rsidRPr="00CB3320">
              <w:rPr>
                <w:rFonts w:eastAsia="等线"/>
              </w:rPr>
              <w:t>√</w:t>
            </w:r>
          </w:p>
        </w:tc>
      </w:tr>
      <w:tr w:rsidR="00873487" w:rsidRPr="00CB3320" w14:paraId="1A827C02" w14:textId="77777777" w:rsidTr="00873487">
        <w:trPr>
          <w:trHeight w:val="46"/>
        </w:trPr>
        <w:tc>
          <w:tcPr>
            <w:tcW w:w="1649" w:type="pct"/>
            <w:shd w:val="clear" w:color="auto" w:fill="auto"/>
            <w:vAlign w:val="center"/>
            <w:hideMark/>
          </w:tcPr>
          <w:p w14:paraId="0FC87488" w14:textId="77777777" w:rsidR="00873487" w:rsidRPr="00CB3320" w:rsidRDefault="00873487" w:rsidP="00873487">
            <w:pPr>
              <w:pStyle w:val="table"/>
              <w:rPr>
                <w:rFonts w:ascii="仿宋" w:eastAsia="仿宋" w:hAnsi="仿宋"/>
              </w:rPr>
            </w:pPr>
            <w:r w:rsidRPr="00CB3320">
              <w:rPr>
                <w:rFonts w:ascii="仿宋" w:eastAsia="仿宋" w:hAnsi="仿宋" w:hint="eastAsia"/>
              </w:rPr>
              <w:t>个体固定效应</w:t>
            </w:r>
          </w:p>
        </w:tc>
        <w:tc>
          <w:tcPr>
            <w:tcW w:w="837" w:type="pct"/>
            <w:shd w:val="clear" w:color="auto" w:fill="auto"/>
            <w:noWrap/>
            <w:vAlign w:val="center"/>
            <w:hideMark/>
          </w:tcPr>
          <w:p w14:paraId="182B2DA5" w14:textId="7A4645A9" w:rsidR="00873487" w:rsidRPr="00CB3320" w:rsidRDefault="00873487" w:rsidP="00873487">
            <w:pPr>
              <w:pStyle w:val="table"/>
              <w:rPr>
                <w:rFonts w:eastAsia="等线"/>
              </w:rPr>
            </w:pPr>
            <w:r w:rsidRPr="00CB3320">
              <w:t>√</w:t>
            </w:r>
          </w:p>
        </w:tc>
        <w:tc>
          <w:tcPr>
            <w:tcW w:w="837" w:type="pct"/>
            <w:shd w:val="clear" w:color="auto" w:fill="auto"/>
            <w:noWrap/>
            <w:vAlign w:val="center"/>
            <w:hideMark/>
          </w:tcPr>
          <w:p w14:paraId="4B82DB2C"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761F04B7"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1F04E99A" w14:textId="77777777" w:rsidR="00873487" w:rsidRPr="00CB3320" w:rsidRDefault="00873487" w:rsidP="00873487">
            <w:pPr>
              <w:pStyle w:val="table"/>
              <w:rPr>
                <w:rFonts w:eastAsia="等线"/>
              </w:rPr>
            </w:pPr>
            <w:r w:rsidRPr="00CB3320">
              <w:rPr>
                <w:rFonts w:eastAsia="等线"/>
              </w:rPr>
              <w:t>√</w:t>
            </w:r>
          </w:p>
        </w:tc>
      </w:tr>
      <w:tr w:rsidR="00873487" w:rsidRPr="00CB3320" w14:paraId="1F9F7EEC" w14:textId="77777777" w:rsidTr="00873487">
        <w:trPr>
          <w:trHeight w:val="300"/>
        </w:trPr>
        <w:tc>
          <w:tcPr>
            <w:tcW w:w="1649" w:type="pct"/>
            <w:shd w:val="clear" w:color="auto" w:fill="auto"/>
            <w:vAlign w:val="center"/>
            <w:hideMark/>
          </w:tcPr>
          <w:p w14:paraId="1ADC2202" w14:textId="77777777" w:rsidR="00873487" w:rsidRPr="00CB3320" w:rsidRDefault="00873487" w:rsidP="00873487">
            <w:pPr>
              <w:pStyle w:val="table"/>
              <w:rPr>
                <w:rFonts w:eastAsia="等线"/>
              </w:rPr>
            </w:pPr>
            <w:r w:rsidRPr="00CB3320">
              <w:rPr>
                <w:rFonts w:eastAsia="等线"/>
              </w:rPr>
              <w:t>N</w:t>
            </w:r>
          </w:p>
        </w:tc>
        <w:tc>
          <w:tcPr>
            <w:tcW w:w="837" w:type="pct"/>
            <w:shd w:val="clear" w:color="auto" w:fill="auto"/>
            <w:noWrap/>
            <w:vAlign w:val="center"/>
            <w:hideMark/>
          </w:tcPr>
          <w:p w14:paraId="0A1172EF" w14:textId="060ECCDE" w:rsidR="00873487" w:rsidRPr="00CB3320" w:rsidRDefault="00873487" w:rsidP="00873487">
            <w:pPr>
              <w:pStyle w:val="table"/>
              <w:rPr>
                <w:rFonts w:eastAsia="等线"/>
              </w:rPr>
            </w:pPr>
            <w:r w:rsidRPr="00CB3320">
              <w:t>3154</w:t>
            </w:r>
          </w:p>
        </w:tc>
        <w:tc>
          <w:tcPr>
            <w:tcW w:w="837" w:type="pct"/>
            <w:shd w:val="clear" w:color="auto" w:fill="auto"/>
            <w:noWrap/>
            <w:vAlign w:val="center"/>
            <w:hideMark/>
          </w:tcPr>
          <w:p w14:paraId="5A72E3E2" w14:textId="77777777" w:rsidR="00873487" w:rsidRPr="00CB3320" w:rsidRDefault="00873487" w:rsidP="00873487">
            <w:pPr>
              <w:pStyle w:val="table"/>
              <w:rPr>
                <w:rFonts w:eastAsia="等线"/>
              </w:rPr>
            </w:pPr>
            <w:r w:rsidRPr="00CB3320">
              <w:rPr>
                <w:rFonts w:eastAsia="等线"/>
              </w:rPr>
              <w:t>2976</w:t>
            </w:r>
          </w:p>
        </w:tc>
        <w:tc>
          <w:tcPr>
            <w:tcW w:w="837" w:type="pct"/>
            <w:shd w:val="clear" w:color="auto" w:fill="auto"/>
            <w:noWrap/>
            <w:vAlign w:val="center"/>
            <w:hideMark/>
          </w:tcPr>
          <w:p w14:paraId="049D43A0" w14:textId="77777777" w:rsidR="00873487" w:rsidRPr="00CB3320" w:rsidRDefault="00873487" w:rsidP="00873487">
            <w:pPr>
              <w:pStyle w:val="table"/>
              <w:rPr>
                <w:rFonts w:eastAsia="等线"/>
              </w:rPr>
            </w:pPr>
            <w:r w:rsidRPr="00CB3320">
              <w:rPr>
                <w:rFonts w:eastAsia="等线"/>
              </w:rPr>
              <w:t>3035</w:t>
            </w:r>
          </w:p>
        </w:tc>
        <w:tc>
          <w:tcPr>
            <w:tcW w:w="840" w:type="pct"/>
            <w:shd w:val="clear" w:color="auto" w:fill="auto"/>
            <w:noWrap/>
            <w:vAlign w:val="center"/>
            <w:hideMark/>
          </w:tcPr>
          <w:p w14:paraId="20380188" w14:textId="77777777" w:rsidR="00873487" w:rsidRPr="00CB3320" w:rsidRDefault="00873487" w:rsidP="00873487">
            <w:pPr>
              <w:pStyle w:val="table"/>
              <w:rPr>
                <w:rFonts w:eastAsia="等线"/>
              </w:rPr>
            </w:pPr>
            <w:r w:rsidRPr="00CB3320">
              <w:rPr>
                <w:rFonts w:eastAsia="等线"/>
              </w:rPr>
              <w:t>2931</w:t>
            </w:r>
          </w:p>
        </w:tc>
      </w:tr>
      <w:tr w:rsidR="00873487" w:rsidRPr="00CB3320" w14:paraId="39716231" w14:textId="77777777" w:rsidTr="00873487">
        <w:trPr>
          <w:trHeight w:val="300"/>
        </w:trPr>
        <w:tc>
          <w:tcPr>
            <w:tcW w:w="1649" w:type="pct"/>
            <w:shd w:val="clear" w:color="auto" w:fill="auto"/>
            <w:vAlign w:val="center"/>
            <w:hideMark/>
          </w:tcPr>
          <w:p w14:paraId="44D4E645" w14:textId="77777777" w:rsidR="00873487" w:rsidRPr="00CB3320" w:rsidRDefault="00873487" w:rsidP="00873487">
            <w:pPr>
              <w:pStyle w:val="table"/>
              <w:rPr>
                <w:rFonts w:eastAsia="等线"/>
              </w:rPr>
            </w:pPr>
            <w:r w:rsidRPr="00CB3320">
              <w:rPr>
                <w:rFonts w:eastAsia="等线"/>
              </w:rPr>
              <w:t>R</w:t>
            </w:r>
            <w:r w:rsidRPr="00CB3320">
              <w:rPr>
                <w:rFonts w:eastAsia="等线"/>
                <w:vertAlign w:val="superscript"/>
              </w:rPr>
              <w:t>2</w:t>
            </w:r>
          </w:p>
        </w:tc>
        <w:tc>
          <w:tcPr>
            <w:tcW w:w="837" w:type="pct"/>
            <w:shd w:val="clear" w:color="auto" w:fill="auto"/>
            <w:noWrap/>
            <w:vAlign w:val="center"/>
            <w:hideMark/>
          </w:tcPr>
          <w:p w14:paraId="3692CA4C" w14:textId="2EA9AE7D" w:rsidR="00873487" w:rsidRPr="00CB3320" w:rsidRDefault="00873487" w:rsidP="00873487">
            <w:pPr>
              <w:pStyle w:val="table"/>
              <w:rPr>
                <w:rFonts w:eastAsia="等线"/>
              </w:rPr>
            </w:pPr>
            <w:r w:rsidRPr="00CB3320">
              <w:t>0.306</w:t>
            </w:r>
          </w:p>
        </w:tc>
        <w:tc>
          <w:tcPr>
            <w:tcW w:w="837" w:type="pct"/>
            <w:shd w:val="clear" w:color="auto" w:fill="auto"/>
            <w:noWrap/>
            <w:vAlign w:val="center"/>
            <w:hideMark/>
          </w:tcPr>
          <w:p w14:paraId="3867884C" w14:textId="77777777" w:rsidR="00873487" w:rsidRPr="00CB3320" w:rsidRDefault="00873487" w:rsidP="00873487">
            <w:pPr>
              <w:pStyle w:val="table"/>
              <w:rPr>
                <w:rFonts w:eastAsia="等线"/>
              </w:rPr>
            </w:pPr>
            <w:r w:rsidRPr="00CB3320">
              <w:rPr>
                <w:rFonts w:eastAsia="等线"/>
              </w:rPr>
              <w:t>0.278</w:t>
            </w:r>
          </w:p>
        </w:tc>
        <w:tc>
          <w:tcPr>
            <w:tcW w:w="837" w:type="pct"/>
            <w:shd w:val="clear" w:color="auto" w:fill="auto"/>
            <w:noWrap/>
            <w:vAlign w:val="center"/>
            <w:hideMark/>
          </w:tcPr>
          <w:p w14:paraId="76E49868" w14:textId="77777777" w:rsidR="00873487" w:rsidRPr="00CB3320" w:rsidRDefault="00873487" w:rsidP="00873487">
            <w:pPr>
              <w:pStyle w:val="table"/>
              <w:rPr>
                <w:rFonts w:eastAsia="等线"/>
              </w:rPr>
            </w:pPr>
            <w:r w:rsidRPr="00CB3320">
              <w:rPr>
                <w:rFonts w:eastAsia="等线"/>
              </w:rPr>
              <w:t>0.524</w:t>
            </w:r>
          </w:p>
        </w:tc>
        <w:tc>
          <w:tcPr>
            <w:tcW w:w="840" w:type="pct"/>
            <w:shd w:val="clear" w:color="auto" w:fill="auto"/>
            <w:noWrap/>
            <w:vAlign w:val="center"/>
            <w:hideMark/>
          </w:tcPr>
          <w:p w14:paraId="3AB7D4F4" w14:textId="77777777" w:rsidR="00873487" w:rsidRPr="00CB3320" w:rsidRDefault="00873487" w:rsidP="00873487">
            <w:pPr>
              <w:pStyle w:val="table"/>
              <w:rPr>
                <w:rFonts w:eastAsia="等线"/>
              </w:rPr>
            </w:pPr>
            <w:r w:rsidRPr="00CB3320">
              <w:rPr>
                <w:rFonts w:eastAsia="等线"/>
              </w:rPr>
              <w:t>0.53</w:t>
            </w:r>
          </w:p>
        </w:tc>
      </w:tr>
      <w:tr w:rsidR="00873487" w:rsidRPr="00CB3320" w14:paraId="5E1E4461" w14:textId="77777777" w:rsidTr="00873487">
        <w:trPr>
          <w:trHeight w:val="300"/>
        </w:trPr>
        <w:tc>
          <w:tcPr>
            <w:tcW w:w="5000" w:type="pct"/>
            <w:gridSpan w:val="5"/>
            <w:shd w:val="clear" w:color="auto" w:fill="auto"/>
            <w:vAlign w:val="center"/>
            <w:hideMark/>
          </w:tcPr>
          <w:p w14:paraId="4DD0CB90" w14:textId="0B440360" w:rsidR="00873487" w:rsidRPr="00CB3320" w:rsidRDefault="00873487" w:rsidP="00873487">
            <w:pPr>
              <w:pStyle w:val="table"/>
              <w:rPr>
                <w:b/>
                <w:bCs/>
              </w:rPr>
            </w:pPr>
            <w:r w:rsidRPr="00CB3320">
              <w:rPr>
                <w:rFonts w:hint="eastAsia"/>
                <w:b/>
                <w:bCs/>
              </w:rPr>
              <w:t>P</w:t>
            </w:r>
            <w:r w:rsidRPr="00CB3320">
              <w:rPr>
                <w:b/>
                <w:bCs/>
              </w:rPr>
              <w:t>anel B</w:t>
            </w:r>
            <w:r w:rsidRPr="00CB3320">
              <w:rPr>
                <w:rFonts w:hint="eastAsia"/>
                <w:b/>
                <w:bCs/>
              </w:rPr>
              <w:t>（试点交易日期）</w:t>
            </w:r>
          </w:p>
        </w:tc>
      </w:tr>
      <w:tr w:rsidR="00873487" w:rsidRPr="00CB3320" w14:paraId="5265A4B8" w14:textId="77777777" w:rsidTr="00873487">
        <w:trPr>
          <w:trHeight w:val="672"/>
        </w:trPr>
        <w:tc>
          <w:tcPr>
            <w:tcW w:w="1649" w:type="pct"/>
            <w:shd w:val="clear" w:color="auto" w:fill="auto"/>
            <w:vAlign w:val="center"/>
            <w:hideMark/>
          </w:tcPr>
          <w:p w14:paraId="4A321AC0" w14:textId="77777777" w:rsidR="00873487" w:rsidRPr="00CB3320" w:rsidRDefault="00873487" w:rsidP="00873487">
            <w:pPr>
              <w:pStyle w:val="table"/>
              <w:rPr>
                <w:rFonts w:eastAsia="等线"/>
              </w:rPr>
            </w:pPr>
            <w:r w:rsidRPr="00CB3320">
              <w:rPr>
                <w:rFonts w:eastAsia="等线"/>
              </w:rPr>
              <w:t>D_ETS</w:t>
            </w:r>
          </w:p>
        </w:tc>
        <w:tc>
          <w:tcPr>
            <w:tcW w:w="837" w:type="pct"/>
            <w:shd w:val="clear" w:color="auto" w:fill="auto"/>
            <w:noWrap/>
            <w:vAlign w:val="center"/>
            <w:hideMark/>
          </w:tcPr>
          <w:p w14:paraId="719F0BC3" w14:textId="77777777" w:rsidR="00873487" w:rsidRPr="00CB3320" w:rsidRDefault="00873487" w:rsidP="00873487">
            <w:pPr>
              <w:pStyle w:val="table"/>
              <w:rPr>
                <w:rFonts w:eastAsia="等线"/>
              </w:rPr>
            </w:pPr>
            <w:r w:rsidRPr="00CB3320">
              <w:rPr>
                <w:rFonts w:eastAsia="等线"/>
              </w:rPr>
              <w:t>-0.0336**</w:t>
            </w:r>
          </w:p>
          <w:p w14:paraId="7F390599" w14:textId="7D933079" w:rsidR="00873487" w:rsidRPr="00CB3320" w:rsidRDefault="00873487" w:rsidP="00873487">
            <w:pPr>
              <w:pStyle w:val="table"/>
              <w:rPr>
                <w:rFonts w:eastAsia="等线"/>
              </w:rPr>
            </w:pPr>
            <w:r w:rsidRPr="00CB3320">
              <w:t>(0.0154)</w:t>
            </w:r>
          </w:p>
        </w:tc>
        <w:tc>
          <w:tcPr>
            <w:tcW w:w="837" w:type="pct"/>
            <w:shd w:val="clear" w:color="auto" w:fill="auto"/>
            <w:noWrap/>
            <w:vAlign w:val="center"/>
            <w:hideMark/>
          </w:tcPr>
          <w:p w14:paraId="167AEE39" w14:textId="77777777" w:rsidR="00873487" w:rsidRPr="00CB3320" w:rsidRDefault="00873487" w:rsidP="00873487">
            <w:pPr>
              <w:pStyle w:val="table"/>
              <w:rPr>
                <w:rFonts w:eastAsia="等线"/>
              </w:rPr>
            </w:pPr>
            <w:r w:rsidRPr="00CB3320">
              <w:rPr>
                <w:rFonts w:eastAsia="等线"/>
              </w:rPr>
              <w:t>-0.0203*</w:t>
            </w:r>
          </w:p>
          <w:p w14:paraId="4998B438" w14:textId="0511CA4B" w:rsidR="00873487" w:rsidRPr="00CB3320" w:rsidRDefault="00873487" w:rsidP="00873487">
            <w:pPr>
              <w:pStyle w:val="table"/>
              <w:rPr>
                <w:rFonts w:eastAsia="等线"/>
              </w:rPr>
            </w:pPr>
            <w:r w:rsidRPr="00CB3320">
              <w:t>(0.0119)</w:t>
            </w:r>
          </w:p>
        </w:tc>
        <w:tc>
          <w:tcPr>
            <w:tcW w:w="837" w:type="pct"/>
            <w:shd w:val="clear" w:color="auto" w:fill="auto"/>
            <w:noWrap/>
            <w:vAlign w:val="center"/>
            <w:hideMark/>
          </w:tcPr>
          <w:p w14:paraId="6E54F572" w14:textId="77777777" w:rsidR="00873487" w:rsidRPr="00CB3320" w:rsidRDefault="00873487" w:rsidP="00873487">
            <w:pPr>
              <w:pStyle w:val="table"/>
              <w:rPr>
                <w:rFonts w:eastAsia="等线"/>
              </w:rPr>
            </w:pPr>
            <w:r w:rsidRPr="00CB3320">
              <w:rPr>
                <w:rFonts w:eastAsia="等线"/>
              </w:rPr>
              <w:t>-0.0519***</w:t>
            </w:r>
          </w:p>
          <w:p w14:paraId="0246A915" w14:textId="4C58FD97" w:rsidR="00873487" w:rsidRPr="00CB3320" w:rsidRDefault="00873487" w:rsidP="00873487">
            <w:pPr>
              <w:pStyle w:val="table"/>
              <w:rPr>
                <w:rFonts w:eastAsia="等线"/>
              </w:rPr>
            </w:pPr>
            <w:r w:rsidRPr="00CB3320">
              <w:t>(0.0114)</w:t>
            </w:r>
          </w:p>
        </w:tc>
        <w:tc>
          <w:tcPr>
            <w:tcW w:w="840" w:type="pct"/>
            <w:shd w:val="clear" w:color="auto" w:fill="auto"/>
            <w:noWrap/>
            <w:vAlign w:val="center"/>
            <w:hideMark/>
          </w:tcPr>
          <w:p w14:paraId="2CDA83C0" w14:textId="77777777" w:rsidR="00873487" w:rsidRPr="00CB3320" w:rsidRDefault="00873487" w:rsidP="00873487">
            <w:pPr>
              <w:pStyle w:val="table"/>
              <w:rPr>
                <w:rFonts w:eastAsia="等线"/>
              </w:rPr>
            </w:pPr>
            <w:r w:rsidRPr="00CB3320">
              <w:rPr>
                <w:rFonts w:eastAsia="等线"/>
              </w:rPr>
              <w:t>-0.0408***</w:t>
            </w:r>
          </w:p>
          <w:p w14:paraId="6BD12AD9" w14:textId="55FD21C2" w:rsidR="00873487" w:rsidRPr="00CB3320" w:rsidRDefault="00873487" w:rsidP="00873487">
            <w:pPr>
              <w:pStyle w:val="table"/>
              <w:rPr>
                <w:rFonts w:eastAsia="等线"/>
              </w:rPr>
            </w:pPr>
            <w:r w:rsidRPr="00CB3320">
              <w:t>(0.00772)</w:t>
            </w:r>
          </w:p>
        </w:tc>
      </w:tr>
      <w:tr w:rsidR="00873487" w:rsidRPr="00CB3320" w14:paraId="7078BD5E" w14:textId="77777777" w:rsidTr="00873487">
        <w:trPr>
          <w:trHeight w:val="46"/>
        </w:trPr>
        <w:tc>
          <w:tcPr>
            <w:tcW w:w="1649" w:type="pct"/>
            <w:shd w:val="clear" w:color="auto" w:fill="auto"/>
            <w:vAlign w:val="center"/>
            <w:hideMark/>
          </w:tcPr>
          <w:p w14:paraId="4A0C58C8" w14:textId="77777777" w:rsidR="00873487" w:rsidRPr="00CB3320" w:rsidRDefault="00873487" w:rsidP="00873487">
            <w:pPr>
              <w:pStyle w:val="table"/>
            </w:pPr>
            <w:r w:rsidRPr="00CB3320">
              <w:rPr>
                <w:rFonts w:hint="eastAsia"/>
              </w:rPr>
              <w:t>控制变量</w:t>
            </w:r>
          </w:p>
        </w:tc>
        <w:tc>
          <w:tcPr>
            <w:tcW w:w="837" w:type="pct"/>
            <w:shd w:val="clear" w:color="auto" w:fill="auto"/>
            <w:noWrap/>
            <w:vAlign w:val="center"/>
          </w:tcPr>
          <w:p w14:paraId="56B6C912" w14:textId="1FB3CF35" w:rsidR="00873487" w:rsidRPr="00CB3320" w:rsidRDefault="00873487" w:rsidP="00873487">
            <w:pPr>
              <w:pStyle w:val="table"/>
              <w:rPr>
                <w:rFonts w:eastAsia="等线"/>
              </w:rPr>
            </w:pPr>
          </w:p>
        </w:tc>
        <w:tc>
          <w:tcPr>
            <w:tcW w:w="837" w:type="pct"/>
            <w:shd w:val="clear" w:color="auto" w:fill="auto"/>
            <w:noWrap/>
            <w:vAlign w:val="center"/>
          </w:tcPr>
          <w:p w14:paraId="3D4C9E44" w14:textId="5D765550" w:rsidR="00873487" w:rsidRPr="00CB3320" w:rsidRDefault="00873487" w:rsidP="00873487">
            <w:pPr>
              <w:pStyle w:val="table"/>
              <w:rPr>
                <w:rFonts w:eastAsia="等线"/>
              </w:rPr>
            </w:pPr>
          </w:p>
        </w:tc>
        <w:tc>
          <w:tcPr>
            <w:tcW w:w="837" w:type="pct"/>
            <w:shd w:val="clear" w:color="auto" w:fill="auto"/>
            <w:noWrap/>
            <w:vAlign w:val="center"/>
            <w:hideMark/>
          </w:tcPr>
          <w:p w14:paraId="3F6071AB"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71F5743A" w14:textId="77777777" w:rsidR="00873487" w:rsidRPr="00CB3320" w:rsidRDefault="00873487" w:rsidP="00873487">
            <w:pPr>
              <w:pStyle w:val="table"/>
              <w:rPr>
                <w:rFonts w:eastAsia="等线"/>
              </w:rPr>
            </w:pPr>
            <w:r w:rsidRPr="00CB3320">
              <w:rPr>
                <w:rFonts w:eastAsia="等线"/>
              </w:rPr>
              <w:t>√</w:t>
            </w:r>
          </w:p>
        </w:tc>
      </w:tr>
      <w:tr w:rsidR="00873487" w:rsidRPr="00CB3320" w14:paraId="6E98F5F5" w14:textId="77777777" w:rsidTr="00873487">
        <w:trPr>
          <w:trHeight w:val="46"/>
        </w:trPr>
        <w:tc>
          <w:tcPr>
            <w:tcW w:w="1649" w:type="pct"/>
            <w:shd w:val="clear" w:color="auto" w:fill="auto"/>
            <w:vAlign w:val="center"/>
            <w:hideMark/>
          </w:tcPr>
          <w:p w14:paraId="6305B95B" w14:textId="77777777" w:rsidR="00873487" w:rsidRPr="00CB3320" w:rsidRDefault="00873487" w:rsidP="00873487">
            <w:pPr>
              <w:pStyle w:val="table"/>
            </w:pPr>
            <w:r w:rsidRPr="00CB3320">
              <w:rPr>
                <w:rFonts w:hint="eastAsia"/>
              </w:rPr>
              <w:lastRenderedPageBreak/>
              <w:t>时间固定效应</w:t>
            </w:r>
          </w:p>
        </w:tc>
        <w:tc>
          <w:tcPr>
            <w:tcW w:w="837" w:type="pct"/>
            <w:shd w:val="clear" w:color="auto" w:fill="auto"/>
            <w:noWrap/>
            <w:vAlign w:val="center"/>
            <w:hideMark/>
          </w:tcPr>
          <w:p w14:paraId="6DA4BBC9"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63C50527"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1863A22E"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41517F99" w14:textId="77777777" w:rsidR="00873487" w:rsidRPr="00CB3320" w:rsidRDefault="00873487" w:rsidP="00873487">
            <w:pPr>
              <w:pStyle w:val="table"/>
              <w:rPr>
                <w:rFonts w:eastAsia="等线"/>
              </w:rPr>
            </w:pPr>
            <w:r w:rsidRPr="00CB3320">
              <w:rPr>
                <w:rFonts w:eastAsia="等线"/>
              </w:rPr>
              <w:t>√</w:t>
            </w:r>
          </w:p>
        </w:tc>
      </w:tr>
      <w:tr w:rsidR="00873487" w:rsidRPr="00CB3320" w14:paraId="1F1D94C9" w14:textId="77777777" w:rsidTr="00873487">
        <w:trPr>
          <w:trHeight w:val="46"/>
        </w:trPr>
        <w:tc>
          <w:tcPr>
            <w:tcW w:w="1649" w:type="pct"/>
            <w:shd w:val="clear" w:color="auto" w:fill="auto"/>
            <w:vAlign w:val="center"/>
            <w:hideMark/>
          </w:tcPr>
          <w:p w14:paraId="7D20AEFD" w14:textId="77777777" w:rsidR="00873487" w:rsidRPr="00CB3320" w:rsidRDefault="00873487" w:rsidP="00873487">
            <w:pPr>
              <w:pStyle w:val="table"/>
            </w:pPr>
            <w:r w:rsidRPr="00CB3320">
              <w:rPr>
                <w:rFonts w:hint="eastAsia"/>
              </w:rPr>
              <w:t>个体固定效应</w:t>
            </w:r>
          </w:p>
        </w:tc>
        <w:tc>
          <w:tcPr>
            <w:tcW w:w="837" w:type="pct"/>
            <w:shd w:val="clear" w:color="auto" w:fill="auto"/>
            <w:noWrap/>
            <w:vAlign w:val="center"/>
            <w:hideMark/>
          </w:tcPr>
          <w:p w14:paraId="69E60AD5"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393A6F03" w14:textId="77777777" w:rsidR="00873487" w:rsidRPr="00CB3320" w:rsidRDefault="00873487" w:rsidP="00873487">
            <w:pPr>
              <w:pStyle w:val="table"/>
              <w:rPr>
                <w:rFonts w:eastAsia="等线"/>
              </w:rPr>
            </w:pPr>
            <w:r w:rsidRPr="00CB3320">
              <w:rPr>
                <w:rFonts w:eastAsia="等线"/>
              </w:rPr>
              <w:t>√</w:t>
            </w:r>
          </w:p>
        </w:tc>
        <w:tc>
          <w:tcPr>
            <w:tcW w:w="837" w:type="pct"/>
            <w:shd w:val="clear" w:color="auto" w:fill="auto"/>
            <w:noWrap/>
            <w:vAlign w:val="center"/>
            <w:hideMark/>
          </w:tcPr>
          <w:p w14:paraId="11C19392" w14:textId="77777777" w:rsidR="00873487" w:rsidRPr="00CB3320" w:rsidRDefault="00873487" w:rsidP="00873487">
            <w:pPr>
              <w:pStyle w:val="table"/>
              <w:rPr>
                <w:rFonts w:eastAsia="等线"/>
              </w:rPr>
            </w:pPr>
            <w:r w:rsidRPr="00CB3320">
              <w:rPr>
                <w:rFonts w:eastAsia="等线"/>
              </w:rPr>
              <w:t>√</w:t>
            </w:r>
          </w:p>
        </w:tc>
        <w:tc>
          <w:tcPr>
            <w:tcW w:w="840" w:type="pct"/>
            <w:shd w:val="clear" w:color="auto" w:fill="auto"/>
            <w:noWrap/>
            <w:vAlign w:val="center"/>
            <w:hideMark/>
          </w:tcPr>
          <w:p w14:paraId="4A46F479" w14:textId="77777777" w:rsidR="00873487" w:rsidRPr="00CB3320" w:rsidRDefault="00873487" w:rsidP="00873487">
            <w:pPr>
              <w:pStyle w:val="table"/>
              <w:rPr>
                <w:rFonts w:eastAsia="等线"/>
              </w:rPr>
            </w:pPr>
            <w:r w:rsidRPr="00CB3320">
              <w:rPr>
                <w:rFonts w:eastAsia="等线"/>
              </w:rPr>
              <w:t>√</w:t>
            </w:r>
          </w:p>
        </w:tc>
      </w:tr>
      <w:tr w:rsidR="00873487" w:rsidRPr="00CB3320" w14:paraId="2F9F0C77" w14:textId="77777777" w:rsidTr="00873487">
        <w:trPr>
          <w:trHeight w:val="300"/>
        </w:trPr>
        <w:tc>
          <w:tcPr>
            <w:tcW w:w="1649" w:type="pct"/>
            <w:shd w:val="clear" w:color="auto" w:fill="auto"/>
            <w:noWrap/>
            <w:vAlign w:val="center"/>
            <w:hideMark/>
          </w:tcPr>
          <w:p w14:paraId="4CE199CB" w14:textId="77777777" w:rsidR="00873487" w:rsidRPr="00CB3320" w:rsidRDefault="00873487" w:rsidP="00873487">
            <w:pPr>
              <w:pStyle w:val="table"/>
              <w:rPr>
                <w:rFonts w:eastAsia="等线"/>
              </w:rPr>
            </w:pPr>
            <w:r w:rsidRPr="00CB3320">
              <w:rPr>
                <w:rFonts w:eastAsia="等线"/>
              </w:rPr>
              <w:t>N</w:t>
            </w:r>
          </w:p>
        </w:tc>
        <w:tc>
          <w:tcPr>
            <w:tcW w:w="837" w:type="pct"/>
            <w:shd w:val="clear" w:color="auto" w:fill="auto"/>
            <w:noWrap/>
            <w:vAlign w:val="center"/>
            <w:hideMark/>
          </w:tcPr>
          <w:p w14:paraId="05D5D21F" w14:textId="77777777" w:rsidR="00873487" w:rsidRPr="00CB3320" w:rsidRDefault="00873487" w:rsidP="00873487">
            <w:pPr>
              <w:pStyle w:val="table"/>
              <w:rPr>
                <w:rFonts w:eastAsia="等线"/>
              </w:rPr>
            </w:pPr>
            <w:r w:rsidRPr="00CB3320">
              <w:rPr>
                <w:rFonts w:eastAsia="等线"/>
              </w:rPr>
              <w:t>3154</w:t>
            </w:r>
          </w:p>
        </w:tc>
        <w:tc>
          <w:tcPr>
            <w:tcW w:w="837" w:type="pct"/>
            <w:shd w:val="clear" w:color="auto" w:fill="auto"/>
            <w:noWrap/>
            <w:vAlign w:val="center"/>
            <w:hideMark/>
          </w:tcPr>
          <w:p w14:paraId="76EAACC6" w14:textId="77777777" w:rsidR="00873487" w:rsidRPr="00CB3320" w:rsidRDefault="00873487" w:rsidP="00873487">
            <w:pPr>
              <w:pStyle w:val="table"/>
              <w:rPr>
                <w:rFonts w:eastAsia="等线"/>
              </w:rPr>
            </w:pPr>
            <w:r w:rsidRPr="00CB3320">
              <w:rPr>
                <w:rFonts w:eastAsia="等线"/>
              </w:rPr>
              <w:t>2976</w:t>
            </w:r>
          </w:p>
        </w:tc>
        <w:tc>
          <w:tcPr>
            <w:tcW w:w="837" w:type="pct"/>
            <w:shd w:val="clear" w:color="auto" w:fill="auto"/>
            <w:noWrap/>
            <w:vAlign w:val="center"/>
            <w:hideMark/>
          </w:tcPr>
          <w:p w14:paraId="23F32D01" w14:textId="77777777" w:rsidR="00873487" w:rsidRPr="00CB3320" w:rsidRDefault="00873487" w:rsidP="00873487">
            <w:pPr>
              <w:pStyle w:val="table"/>
              <w:rPr>
                <w:rFonts w:eastAsia="等线"/>
              </w:rPr>
            </w:pPr>
            <w:r w:rsidRPr="00CB3320">
              <w:rPr>
                <w:rFonts w:eastAsia="等线"/>
              </w:rPr>
              <w:t>3035</w:t>
            </w:r>
          </w:p>
        </w:tc>
        <w:tc>
          <w:tcPr>
            <w:tcW w:w="840" w:type="pct"/>
            <w:shd w:val="clear" w:color="auto" w:fill="auto"/>
            <w:noWrap/>
            <w:vAlign w:val="center"/>
            <w:hideMark/>
          </w:tcPr>
          <w:p w14:paraId="4312499E" w14:textId="77777777" w:rsidR="00873487" w:rsidRPr="00CB3320" w:rsidRDefault="00873487" w:rsidP="00873487">
            <w:pPr>
              <w:pStyle w:val="table"/>
              <w:rPr>
                <w:rFonts w:eastAsia="等线"/>
              </w:rPr>
            </w:pPr>
            <w:r w:rsidRPr="00CB3320">
              <w:rPr>
                <w:rFonts w:eastAsia="等线"/>
              </w:rPr>
              <w:t>2931</w:t>
            </w:r>
          </w:p>
        </w:tc>
      </w:tr>
      <w:tr w:rsidR="00873487" w:rsidRPr="00CB3320" w14:paraId="753C21AB" w14:textId="77777777" w:rsidTr="00873487">
        <w:trPr>
          <w:trHeight w:val="300"/>
        </w:trPr>
        <w:tc>
          <w:tcPr>
            <w:tcW w:w="1649" w:type="pct"/>
            <w:shd w:val="clear" w:color="auto" w:fill="auto"/>
            <w:noWrap/>
            <w:vAlign w:val="center"/>
            <w:hideMark/>
          </w:tcPr>
          <w:p w14:paraId="03ADF173" w14:textId="77777777" w:rsidR="00873487" w:rsidRPr="00CB3320" w:rsidRDefault="00873487" w:rsidP="00873487">
            <w:pPr>
              <w:pStyle w:val="table"/>
              <w:rPr>
                <w:rFonts w:eastAsia="等线"/>
              </w:rPr>
            </w:pPr>
            <w:r w:rsidRPr="00CB3320">
              <w:rPr>
                <w:rFonts w:eastAsia="等线"/>
              </w:rPr>
              <w:t>R</w:t>
            </w:r>
            <w:r w:rsidRPr="00CB3320">
              <w:rPr>
                <w:rFonts w:eastAsia="等线"/>
                <w:vertAlign w:val="superscript"/>
              </w:rPr>
              <w:t>2</w:t>
            </w:r>
          </w:p>
        </w:tc>
        <w:tc>
          <w:tcPr>
            <w:tcW w:w="837" w:type="pct"/>
            <w:shd w:val="clear" w:color="auto" w:fill="auto"/>
            <w:noWrap/>
            <w:vAlign w:val="center"/>
            <w:hideMark/>
          </w:tcPr>
          <w:p w14:paraId="43146F71" w14:textId="77777777" w:rsidR="00873487" w:rsidRPr="00CB3320" w:rsidRDefault="00873487" w:rsidP="00873487">
            <w:pPr>
              <w:pStyle w:val="table"/>
              <w:rPr>
                <w:rFonts w:eastAsia="等线"/>
              </w:rPr>
            </w:pPr>
            <w:r w:rsidRPr="00CB3320">
              <w:rPr>
                <w:rFonts w:eastAsia="等线"/>
              </w:rPr>
              <w:t>0.313</w:t>
            </w:r>
          </w:p>
        </w:tc>
        <w:tc>
          <w:tcPr>
            <w:tcW w:w="837" w:type="pct"/>
            <w:shd w:val="clear" w:color="auto" w:fill="auto"/>
            <w:noWrap/>
            <w:vAlign w:val="center"/>
            <w:hideMark/>
          </w:tcPr>
          <w:p w14:paraId="02041167" w14:textId="77777777" w:rsidR="00873487" w:rsidRPr="00CB3320" w:rsidRDefault="00873487" w:rsidP="00873487">
            <w:pPr>
              <w:pStyle w:val="table"/>
              <w:rPr>
                <w:rFonts w:eastAsia="等线"/>
              </w:rPr>
            </w:pPr>
            <w:r w:rsidRPr="00CB3320">
              <w:rPr>
                <w:rFonts w:eastAsia="等线"/>
              </w:rPr>
              <w:t>0.281</w:t>
            </w:r>
          </w:p>
        </w:tc>
        <w:tc>
          <w:tcPr>
            <w:tcW w:w="837" w:type="pct"/>
            <w:shd w:val="clear" w:color="auto" w:fill="auto"/>
            <w:noWrap/>
            <w:vAlign w:val="center"/>
            <w:hideMark/>
          </w:tcPr>
          <w:p w14:paraId="711C5D9A" w14:textId="77777777" w:rsidR="00873487" w:rsidRPr="00CB3320" w:rsidRDefault="00873487" w:rsidP="00873487">
            <w:pPr>
              <w:pStyle w:val="table"/>
              <w:rPr>
                <w:rFonts w:eastAsia="等线"/>
              </w:rPr>
            </w:pPr>
            <w:r w:rsidRPr="00CB3320">
              <w:rPr>
                <w:rFonts w:eastAsia="等线"/>
              </w:rPr>
              <w:t>0.532</w:t>
            </w:r>
          </w:p>
        </w:tc>
        <w:tc>
          <w:tcPr>
            <w:tcW w:w="840" w:type="pct"/>
            <w:shd w:val="clear" w:color="auto" w:fill="auto"/>
            <w:noWrap/>
            <w:vAlign w:val="center"/>
            <w:hideMark/>
          </w:tcPr>
          <w:p w14:paraId="683FDE32" w14:textId="77777777" w:rsidR="00873487" w:rsidRPr="00CB3320" w:rsidRDefault="00873487" w:rsidP="00873487">
            <w:pPr>
              <w:pStyle w:val="table"/>
              <w:rPr>
                <w:rFonts w:eastAsia="等线"/>
              </w:rPr>
            </w:pPr>
            <w:r w:rsidRPr="00CB3320">
              <w:rPr>
                <w:rFonts w:eastAsia="等线"/>
              </w:rPr>
              <w:t>0.534</w:t>
            </w:r>
          </w:p>
        </w:tc>
      </w:tr>
    </w:tbl>
    <w:p w14:paraId="40B169B6" w14:textId="37F8EE99" w:rsidR="006253D8" w:rsidRPr="00CB3320" w:rsidRDefault="006253D8" w:rsidP="006253D8">
      <w:pPr>
        <w:ind w:firstLine="300"/>
        <w:rPr>
          <w:lang w:bidi="en-US"/>
        </w:rPr>
      </w:pPr>
      <w:r w:rsidRPr="00CB3320">
        <w:rPr>
          <w:rFonts w:eastAsia="楷体" w:cs="Times New Roman" w:hint="eastAsia"/>
          <w:sz w:val="15"/>
          <w:szCs w:val="15"/>
        </w:rPr>
        <w:t>注：括号中为聚类到省份的稳健标准误；</w:t>
      </w:r>
      <w:r w:rsidRPr="00CB3320">
        <w:rPr>
          <w:rFonts w:eastAsia="楷体"/>
          <w:sz w:val="15"/>
          <w:szCs w:val="15"/>
        </w:rPr>
        <w:t>* p&lt;0.10, ** p&lt;0.05, *** p&lt;0.01</w:t>
      </w:r>
      <w:r w:rsidRPr="00CB3320">
        <w:rPr>
          <w:rFonts w:eastAsia="楷体" w:cs="Times New Roman" w:hint="eastAsia"/>
          <w:sz w:val="15"/>
          <w:szCs w:val="15"/>
        </w:rPr>
        <w:t>；</w:t>
      </w:r>
      <w:r w:rsidRPr="00CB3320">
        <w:rPr>
          <w:rFonts w:eastAsia="楷体" w:hint="eastAsia"/>
          <w:sz w:val="15"/>
          <w:szCs w:val="15"/>
        </w:rPr>
        <w:t>控制变量包括：</w:t>
      </w:r>
      <w:r w:rsidRPr="00CB3320">
        <w:rPr>
          <w:rFonts w:eastAsia="楷体" w:cs="Times New Roman" w:hint="eastAsia"/>
          <w:sz w:val="15"/>
          <w:szCs w:val="15"/>
        </w:rPr>
        <w:t>人均实际</w:t>
      </w:r>
      <w:r w:rsidRPr="00CB3320">
        <w:rPr>
          <w:rFonts w:eastAsia="楷体"/>
          <w:sz w:val="15"/>
          <w:szCs w:val="15"/>
        </w:rPr>
        <w:t>GDP</w:t>
      </w:r>
      <w:r w:rsidRPr="00CB3320">
        <w:rPr>
          <w:rFonts w:eastAsia="楷体" w:hint="eastAsia"/>
          <w:sz w:val="15"/>
          <w:szCs w:val="15"/>
        </w:rPr>
        <w:t>，</w:t>
      </w:r>
      <w:r w:rsidRPr="00CB3320">
        <w:rPr>
          <w:rFonts w:eastAsia="楷体" w:cs="Times New Roman" w:hint="eastAsia"/>
          <w:sz w:val="15"/>
          <w:szCs w:val="15"/>
        </w:rPr>
        <w:t>产业结构（二产占比），人均实际外商直接投资，失业率，教育财政支出强度，科技财政支出强度。除了核心指标为虚拟变量以外，其他所有的连续变量均取一阶差分，以捕捉各变量变化对</w:t>
      </w:r>
      <w:r w:rsidRPr="00CB3320">
        <w:rPr>
          <w:rFonts w:eastAsia="楷体" w:cs="Times New Roman" w:hint="eastAsia"/>
          <w:sz w:val="15"/>
          <w:szCs w:val="15"/>
        </w:rPr>
        <w:t>T</w:t>
      </w:r>
      <w:r w:rsidRPr="00CB3320">
        <w:rPr>
          <w:rFonts w:eastAsia="楷体" w:cs="Times New Roman"/>
          <w:sz w:val="15"/>
          <w:szCs w:val="15"/>
        </w:rPr>
        <w:t>FP</w:t>
      </w:r>
      <w:r w:rsidRPr="00CB3320">
        <w:rPr>
          <w:rFonts w:eastAsia="楷体" w:cs="Times New Roman" w:hint="eastAsia"/>
          <w:sz w:val="15"/>
          <w:szCs w:val="15"/>
        </w:rPr>
        <w:t>变化的影响。面板</w:t>
      </w:r>
      <w:r w:rsidRPr="00CB3320">
        <w:rPr>
          <w:rFonts w:eastAsia="楷体" w:cs="Times New Roman" w:hint="eastAsia"/>
          <w:sz w:val="15"/>
          <w:szCs w:val="15"/>
        </w:rPr>
        <w:t>A</w:t>
      </w:r>
      <w:r w:rsidRPr="00CB3320">
        <w:rPr>
          <w:rFonts w:eastAsia="楷体" w:cs="Times New Roman" w:hint="eastAsia"/>
          <w:sz w:val="15"/>
          <w:szCs w:val="15"/>
        </w:rPr>
        <w:t>的</w:t>
      </w:r>
      <w:r w:rsidRPr="00CB3320">
        <w:rPr>
          <w:rFonts w:eastAsia="楷体"/>
          <w:sz w:val="15"/>
          <w:szCs w:val="15"/>
        </w:rPr>
        <w:t>D_ETS</w:t>
      </w:r>
      <w:r w:rsidRPr="00CB3320">
        <w:rPr>
          <w:rFonts w:eastAsia="楷体" w:hint="eastAsia"/>
          <w:sz w:val="15"/>
          <w:szCs w:val="15"/>
        </w:rPr>
        <w:t>是</w:t>
      </w:r>
      <w:r w:rsidRPr="00CB3320">
        <w:rPr>
          <w:rFonts w:eastAsia="楷体" w:cs="Times New Roman" w:hint="eastAsia"/>
          <w:sz w:val="15"/>
          <w:szCs w:val="15"/>
        </w:rPr>
        <w:t>以试点提出日期为基准构建的</w:t>
      </w:r>
      <w:r w:rsidRPr="00CB3320">
        <w:rPr>
          <w:rFonts w:eastAsia="楷体" w:cs="Times New Roman" w:hint="eastAsia"/>
          <w:sz w:val="15"/>
          <w:szCs w:val="15"/>
        </w:rPr>
        <w:t>E</w:t>
      </w:r>
      <w:r w:rsidRPr="00CB3320">
        <w:rPr>
          <w:rFonts w:eastAsia="楷体" w:cs="Times New Roman"/>
          <w:sz w:val="15"/>
          <w:szCs w:val="15"/>
        </w:rPr>
        <w:t>TS</w:t>
      </w:r>
      <w:r w:rsidRPr="00CB3320">
        <w:rPr>
          <w:rFonts w:eastAsia="楷体" w:cs="Times New Roman" w:hint="eastAsia"/>
          <w:sz w:val="15"/>
          <w:szCs w:val="15"/>
        </w:rPr>
        <w:t>试点虚拟变量，面板</w:t>
      </w:r>
      <w:r w:rsidRPr="00CB3320">
        <w:rPr>
          <w:rFonts w:eastAsia="楷体" w:cs="Times New Roman" w:hint="eastAsia"/>
          <w:sz w:val="15"/>
          <w:szCs w:val="15"/>
        </w:rPr>
        <w:t>B</w:t>
      </w:r>
      <w:r w:rsidRPr="00CB3320">
        <w:rPr>
          <w:rFonts w:eastAsia="楷体" w:cs="Times New Roman" w:hint="eastAsia"/>
          <w:sz w:val="15"/>
          <w:szCs w:val="15"/>
        </w:rPr>
        <w:t>的</w:t>
      </w:r>
      <w:r w:rsidRPr="00CB3320">
        <w:rPr>
          <w:rFonts w:eastAsia="楷体"/>
          <w:sz w:val="15"/>
          <w:szCs w:val="15"/>
        </w:rPr>
        <w:t>D_ETS</w:t>
      </w:r>
      <w:r w:rsidRPr="00CB3320">
        <w:rPr>
          <w:rFonts w:eastAsia="楷体" w:cs="Times New Roman" w:hint="eastAsia"/>
          <w:sz w:val="15"/>
          <w:szCs w:val="15"/>
        </w:rPr>
        <w:t>是以交易日期为基准构建的</w:t>
      </w:r>
      <w:r w:rsidRPr="00CB3320">
        <w:rPr>
          <w:rFonts w:eastAsia="楷体" w:cs="Times New Roman"/>
          <w:sz w:val="15"/>
          <w:szCs w:val="15"/>
        </w:rPr>
        <w:t>ETS</w:t>
      </w:r>
      <w:r w:rsidRPr="00CB3320">
        <w:rPr>
          <w:rFonts w:eastAsia="楷体" w:cs="Times New Roman" w:hint="eastAsia"/>
          <w:sz w:val="15"/>
          <w:szCs w:val="15"/>
        </w:rPr>
        <w:t>试点虚拟变量。由于存在公告效应，本文以面板</w:t>
      </w:r>
      <w:r w:rsidRPr="00CB3320">
        <w:rPr>
          <w:rFonts w:eastAsia="楷体" w:cs="Times New Roman"/>
          <w:sz w:val="15"/>
          <w:szCs w:val="15"/>
        </w:rPr>
        <w:t>A</w:t>
      </w:r>
      <w:r w:rsidRPr="00CB3320">
        <w:rPr>
          <w:rFonts w:eastAsia="楷体" w:cs="Times New Roman" w:hint="eastAsia"/>
          <w:sz w:val="15"/>
          <w:szCs w:val="15"/>
        </w:rPr>
        <w:t>的模型</w:t>
      </w:r>
      <w:r w:rsidRPr="00CB3320">
        <w:rPr>
          <w:rFonts w:eastAsia="楷体" w:cs="Times New Roman" w:hint="eastAsia"/>
          <w:sz w:val="15"/>
          <w:szCs w:val="15"/>
        </w:rPr>
        <w:t>3</w:t>
      </w:r>
      <w:r w:rsidRPr="00CB3320">
        <w:rPr>
          <w:rFonts w:eastAsia="楷体" w:cs="Times New Roman" w:hint="eastAsia"/>
          <w:sz w:val="15"/>
          <w:szCs w:val="15"/>
        </w:rPr>
        <w:t>为基准模型。</w:t>
      </w:r>
    </w:p>
    <w:p w14:paraId="528E7AFA" w14:textId="69C01CEB" w:rsidR="00477D8D" w:rsidRPr="00CB3320" w:rsidRDefault="00F13EAB" w:rsidP="00F13EAB">
      <w:pPr>
        <w:pStyle w:val="2"/>
        <w:numPr>
          <w:ilvl w:val="0"/>
          <w:numId w:val="0"/>
        </w:numPr>
        <w:spacing w:before="163" w:after="81"/>
      </w:pPr>
      <w:r w:rsidRPr="00CB3320">
        <w:rPr>
          <w:rFonts w:hint="eastAsia"/>
        </w:rPr>
        <w:t>（四）时间异质性：动态效应</w:t>
      </w:r>
      <w:bookmarkEnd w:id="35"/>
    </w:p>
    <w:p w14:paraId="7ECF7A4A" w14:textId="5783044E" w:rsidR="003B35C4" w:rsidRPr="00CB3320" w:rsidRDefault="00477D8D" w:rsidP="00477D8D">
      <w:pPr>
        <w:ind w:firstLine="420"/>
      </w:pPr>
      <w:r w:rsidRPr="00CB3320">
        <w:rPr>
          <w:rFonts w:hint="eastAsia"/>
        </w:rPr>
        <w:t>中国</w:t>
      </w:r>
      <w:proofErr w:type="gramStart"/>
      <w:r w:rsidRPr="00CB3320">
        <w:rPr>
          <w:rFonts w:hint="eastAsia"/>
        </w:rPr>
        <w:t>碳交易</w:t>
      </w:r>
      <w:proofErr w:type="gramEnd"/>
      <w:r w:rsidRPr="00CB3320">
        <w:rPr>
          <w:rFonts w:hint="eastAsia"/>
        </w:rPr>
        <w:t>试点于</w:t>
      </w:r>
      <w:r w:rsidRPr="00CB3320">
        <w:rPr>
          <w:rFonts w:hint="eastAsia"/>
        </w:rPr>
        <w:t>2011</w:t>
      </w:r>
      <w:r w:rsidRPr="00CB3320">
        <w:rPr>
          <w:rFonts w:hint="eastAsia"/>
        </w:rPr>
        <w:t>年正式启动，碳核查工作（包括碳排放监测设备安装和人员培训）也于</w:t>
      </w:r>
      <w:r w:rsidRPr="00CB3320">
        <w:rPr>
          <w:rFonts w:hint="eastAsia"/>
        </w:rPr>
        <w:t>2011</w:t>
      </w:r>
      <w:r w:rsidRPr="00CB3320">
        <w:rPr>
          <w:rFonts w:hint="eastAsia"/>
        </w:rPr>
        <w:t>年正式启动，</w:t>
      </w:r>
      <w:proofErr w:type="gramStart"/>
      <w:r w:rsidR="003B35C4" w:rsidRPr="00CB3320">
        <w:rPr>
          <w:rFonts w:hint="eastAsia"/>
        </w:rPr>
        <w:t>碳排放权</w:t>
      </w:r>
      <w:proofErr w:type="gramEnd"/>
      <w:r w:rsidRPr="00CB3320">
        <w:rPr>
          <w:rFonts w:hint="eastAsia"/>
        </w:rPr>
        <w:t>于</w:t>
      </w:r>
      <w:r w:rsidR="003B35C4" w:rsidRPr="00CB3320">
        <w:rPr>
          <w:rFonts w:hint="eastAsia"/>
        </w:rPr>
        <w:t>深圳在</w:t>
      </w:r>
      <w:r w:rsidRPr="00CB3320">
        <w:rPr>
          <w:rFonts w:hint="eastAsia"/>
        </w:rPr>
        <w:t>2013</w:t>
      </w:r>
      <w:r w:rsidRPr="00CB3320">
        <w:rPr>
          <w:rFonts w:hint="eastAsia"/>
        </w:rPr>
        <w:t>年正式</w:t>
      </w:r>
      <w:r w:rsidR="003B35C4" w:rsidRPr="00CB3320">
        <w:rPr>
          <w:rFonts w:hint="eastAsia"/>
        </w:rPr>
        <w:t>交易</w:t>
      </w:r>
      <w:r w:rsidRPr="00CB3320">
        <w:rPr>
          <w:rFonts w:hint="eastAsia"/>
        </w:rPr>
        <w:t>，并于</w:t>
      </w:r>
      <w:r w:rsidRPr="00CB3320">
        <w:rPr>
          <w:rFonts w:hint="eastAsia"/>
        </w:rPr>
        <w:t>2014</w:t>
      </w:r>
      <w:r w:rsidRPr="00CB3320">
        <w:rPr>
          <w:rFonts w:hint="eastAsia"/>
        </w:rPr>
        <w:t>年扩展至所有试点地区（北京等</w:t>
      </w:r>
      <w:r w:rsidRPr="00CB3320">
        <w:rPr>
          <w:rFonts w:hint="eastAsia"/>
        </w:rPr>
        <w:t>5</w:t>
      </w:r>
      <w:r w:rsidRPr="00CB3320">
        <w:rPr>
          <w:rFonts w:hint="eastAsia"/>
        </w:rPr>
        <w:t>个试点地区）</w:t>
      </w:r>
      <w:r w:rsidR="001822E4" w:rsidRPr="00CB3320">
        <w:rPr>
          <w:rFonts w:hint="eastAsia"/>
        </w:rPr>
        <w:t>。</w:t>
      </w:r>
      <w:r w:rsidR="003B35C4" w:rsidRPr="00CB3320">
        <w:rPr>
          <w:rFonts w:hint="eastAsia"/>
        </w:rPr>
        <w:t>为了探究不同时期</w:t>
      </w:r>
      <w:proofErr w:type="gramStart"/>
      <w:r w:rsidR="003B35C4" w:rsidRPr="00CB3320">
        <w:rPr>
          <w:rFonts w:hint="eastAsia"/>
        </w:rPr>
        <w:t>碳交易</w:t>
      </w:r>
      <w:proofErr w:type="gramEnd"/>
      <w:r w:rsidR="003B35C4" w:rsidRPr="00CB3320">
        <w:rPr>
          <w:rFonts w:hint="eastAsia"/>
        </w:rPr>
        <w:t>试点对</w:t>
      </w:r>
      <w:r w:rsidR="003B35C4" w:rsidRPr="00CB3320">
        <w:rPr>
          <w:rFonts w:hint="eastAsia"/>
        </w:rPr>
        <w:t>T</w:t>
      </w:r>
      <w:r w:rsidR="003B35C4" w:rsidRPr="00CB3320">
        <w:t>FP</w:t>
      </w:r>
      <w:r w:rsidR="003B35C4" w:rsidRPr="00CB3320">
        <w:rPr>
          <w:rFonts w:hint="eastAsia"/>
        </w:rPr>
        <w:t>的影响，我们将基准模型（</w:t>
      </w:r>
      <w:r w:rsidR="003B35C4" w:rsidRPr="00CB3320">
        <w:fldChar w:fldCharType="begin"/>
      </w:r>
      <w:r w:rsidR="003B35C4" w:rsidRPr="00CB3320">
        <w:instrText xml:space="preserve"> </w:instrText>
      </w:r>
      <w:r w:rsidR="003B35C4" w:rsidRPr="00CB3320">
        <w:rPr>
          <w:rFonts w:hint="eastAsia"/>
        </w:rPr>
        <w:instrText>REF _Ref75449305 \h</w:instrText>
      </w:r>
      <w:r w:rsidR="003B35C4" w:rsidRPr="00CB3320">
        <w:instrText xml:space="preserve"> </w:instrText>
      </w:r>
      <w:r w:rsidR="003B35C4" w:rsidRPr="00CB3320">
        <w:fldChar w:fldCharType="separate"/>
      </w:r>
      <w:r w:rsidR="008A580C" w:rsidRPr="00CB3320">
        <w:rPr>
          <w:rFonts w:hint="eastAsia"/>
        </w:rPr>
        <w:t>表</w:t>
      </w:r>
      <w:r w:rsidR="008A580C" w:rsidRPr="00CB3320">
        <w:rPr>
          <w:noProof/>
        </w:rPr>
        <w:t>1</w:t>
      </w:r>
      <w:r w:rsidR="003B35C4" w:rsidRPr="00CB3320">
        <w:fldChar w:fldCharType="end"/>
      </w:r>
      <w:r w:rsidR="003B35C4" w:rsidRPr="00CB3320">
        <w:rPr>
          <w:rFonts w:hint="eastAsia"/>
        </w:rPr>
        <w:t>第</w:t>
      </w:r>
      <w:r w:rsidR="003B35C4" w:rsidRPr="00CB3320">
        <w:rPr>
          <w:rFonts w:hint="eastAsia"/>
        </w:rPr>
        <w:t>3</w:t>
      </w:r>
      <w:r w:rsidR="003B35C4" w:rsidRPr="00CB3320">
        <w:rPr>
          <w:rFonts w:hint="eastAsia"/>
        </w:rPr>
        <w:t>列）中的</w:t>
      </w:r>
      <w:proofErr w:type="gramStart"/>
      <w:r w:rsidR="003B35C4" w:rsidRPr="00CB3320">
        <w:rPr>
          <w:rFonts w:hint="eastAsia"/>
        </w:rPr>
        <w:t>碳交易</w:t>
      </w:r>
      <w:proofErr w:type="gramEnd"/>
      <w:r w:rsidR="003B35C4" w:rsidRPr="00CB3320">
        <w:rPr>
          <w:rFonts w:hint="eastAsia"/>
        </w:rPr>
        <w:t>试点的虚拟变量与时间项交互，</w:t>
      </w:r>
      <w:proofErr w:type="gramStart"/>
      <w:r w:rsidR="003B35C4" w:rsidRPr="00CB3320">
        <w:rPr>
          <w:rFonts w:hint="eastAsia"/>
        </w:rPr>
        <w:t>碳交易</w:t>
      </w:r>
      <w:proofErr w:type="gramEnd"/>
      <w:r w:rsidR="003B35C4" w:rsidRPr="00CB3320">
        <w:rPr>
          <w:rFonts w:hint="eastAsia"/>
        </w:rPr>
        <w:t>存在的动态效应，结果见</w:t>
      </w:r>
      <w:r w:rsidR="00CF4EE7" w:rsidRPr="00CB3320">
        <w:fldChar w:fldCharType="begin"/>
      </w:r>
      <w:r w:rsidR="00CF4EE7" w:rsidRPr="00CB3320">
        <w:instrText xml:space="preserve"> </w:instrText>
      </w:r>
      <w:r w:rsidR="00CF4EE7" w:rsidRPr="00CB3320">
        <w:rPr>
          <w:rFonts w:hint="eastAsia"/>
        </w:rPr>
        <w:instrText>REF _Ref121672955 \h</w:instrText>
      </w:r>
      <w:r w:rsidR="00CF4EE7" w:rsidRPr="00CB3320">
        <w:instrText xml:space="preserve"> </w:instrText>
      </w:r>
      <w:r w:rsidR="00CF4EE7" w:rsidRPr="00CB3320">
        <w:fldChar w:fldCharType="separate"/>
      </w:r>
      <w:r w:rsidR="008A580C" w:rsidRPr="00CB3320">
        <w:rPr>
          <w:rFonts w:hint="eastAsia"/>
        </w:rPr>
        <w:t>图</w:t>
      </w:r>
      <w:r w:rsidR="008A580C" w:rsidRPr="00CB3320">
        <w:rPr>
          <w:noProof/>
        </w:rPr>
        <w:t>5</w:t>
      </w:r>
      <w:r w:rsidR="00CF4EE7" w:rsidRPr="00CB3320">
        <w:fldChar w:fldCharType="end"/>
      </w:r>
      <w:r w:rsidR="00CF4EE7" w:rsidRPr="00CB3320">
        <w:rPr>
          <w:rFonts w:hint="eastAsia"/>
        </w:rPr>
        <w:t>。</w:t>
      </w:r>
    </w:p>
    <w:p w14:paraId="1CA9DE3E" w14:textId="49F3EEE0" w:rsidR="003B35C4" w:rsidRPr="00CB3320" w:rsidRDefault="00873487" w:rsidP="003B35C4">
      <w:pPr>
        <w:pStyle w:val="Fig"/>
      </w:pPr>
      <w:r w:rsidRPr="00CB3320">
        <w:rPr>
          <w:noProof/>
        </w:rPr>
        <w:drawing>
          <wp:inline distT="0" distB="0" distL="0" distR="0" wp14:anchorId="2E1FD1A1" wp14:editId="33370414">
            <wp:extent cx="3518966" cy="2516429"/>
            <wp:effectExtent l="0" t="0" r="57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7635" cy="2529779"/>
                    </a:xfrm>
                    <a:prstGeom prst="rect">
                      <a:avLst/>
                    </a:prstGeom>
                  </pic:spPr>
                </pic:pic>
              </a:graphicData>
            </a:graphic>
          </wp:inline>
        </w:drawing>
      </w:r>
    </w:p>
    <w:p w14:paraId="41962A96" w14:textId="46692AF4" w:rsidR="003B35C4" w:rsidRPr="00CB3320" w:rsidRDefault="003B35C4" w:rsidP="003B35C4">
      <w:pPr>
        <w:pStyle w:val="FigX"/>
        <w:spacing w:after="163"/>
      </w:pPr>
      <w:bookmarkStart w:id="36" w:name="_Ref121672955"/>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008A580C" w:rsidRPr="00CB3320">
        <w:rPr>
          <w:noProof/>
        </w:rPr>
        <w:t>5</w:t>
      </w:r>
      <w:r w:rsidRPr="00CB3320">
        <w:fldChar w:fldCharType="end"/>
      </w:r>
      <w:bookmarkEnd w:id="36"/>
      <w:r w:rsidR="00344D5D" w:rsidRPr="00CB3320">
        <w:rPr>
          <w:rFonts w:hint="eastAsia"/>
        </w:rPr>
        <w:t xml:space="preserve">  </w:t>
      </w:r>
      <w:proofErr w:type="gramStart"/>
      <w:r w:rsidRPr="00CB3320">
        <w:rPr>
          <w:rFonts w:hint="eastAsia"/>
        </w:rPr>
        <w:t>碳交易</w:t>
      </w:r>
      <w:proofErr w:type="gramEnd"/>
      <w:r w:rsidRPr="00CB3320">
        <w:rPr>
          <w:rFonts w:hint="eastAsia"/>
        </w:rPr>
        <w:t>对全要素生产率的</w:t>
      </w:r>
      <w:r w:rsidR="00CF4EE7" w:rsidRPr="00CB3320">
        <w:rPr>
          <w:rFonts w:hint="eastAsia"/>
        </w:rPr>
        <w:t>边际影响的动态效应</w:t>
      </w:r>
    </w:p>
    <w:p w14:paraId="703D9424" w14:textId="77777777" w:rsidR="009267D1" w:rsidRPr="00CB3320" w:rsidRDefault="009267D1" w:rsidP="00873487">
      <w:pPr>
        <w:ind w:firstLine="300"/>
        <w:rPr>
          <w:rFonts w:eastAsia="楷体" w:cs="Times New Roman"/>
          <w:sz w:val="15"/>
          <w:szCs w:val="15"/>
        </w:rPr>
      </w:pPr>
      <w:r w:rsidRPr="00CB3320">
        <w:rPr>
          <w:rFonts w:eastAsia="楷体" w:cs="Times New Roman" w:hint="eastAsia"/>
          <w:sz w:val="15"/>
          <w:szCs w:val="15"/>
        </w:rPr>
        <w:t>注：线段</w:t>
      </w:r>
      <w:r w:rsidRPr="00CB3320">
        <w:rPr>
          <w:rFonts w:eastAsia="楷体" w:cs="Times New Roman"/>
          <w:sz w:val="15"/>
          <w:szCs w:val="15"/>
        </w:rPr>
        <w:t>为</w:t>
      </w:r>
      <w:r w:rsidRPr="00CB3320">
        <w:rPr>
          <w:rFonts w:eastAsia="楷体" w:cs="Times New Roman"/>
          <w:sz w:val="15"/>
          <w:szCs w:val="15"/>
        </w:rPr>
        <w:t>5</w:t>
      </w:r>
      <w:r w:rsidRPr="00CB3320">
        <w:rPr>
          <w:rFonts w:eastAsia="楷体" w:cs="Times New Roman" w:hint="eastAsia"/>
          <w:sz w:val="15"/>
          <w:szCs w:val="15"/>
        </w:rPr>
        <w:t>%</w:t>
      </w:r>
      <w:r w:rsidRPr="00CB3320">
        <w:rPr>
          <w:rFonts w:eastAsia="楷体" w:cs="Times New Roman" w:hint="eastAsia"/>
          <w:sz w:val="15"/>
          <w:szCs w:val="15"/>
        </w:rPr>
        <w:t>显著性水平的聚类到省份的稳健标准误。</w:t>
      </w:r>
    </w:p>
    <w:p w14:paraId="4BA19ADF" w14:textId="77777777" w:rsidR="009267D1" w:rsidRPr="00CB3320" w:rsidRDefault="009267D1" w:rsidP="009267D1">
      <w:pPr>
        <w:ind w:firstLine="420"/>
        <w:rPr>
          <w:lang w:val="de-DE"/>
        </w:rPr>
      </w:pPr>
    </w:p>
    <w:p w14:paraId="597DC744" w14:textId="1A83275E" w:rsidR="00477D8D" w:rsidRPr="00CB3320" w:rsidRDefault="00CF4EE7" w:rsidP="00477D8D">
      <w:pPr>
        <w:ind w:firstLine="420"/>
      </w:pPr>
      <w:r w:rsidRPr="00CB3320">
        <w:rPr>
          <w:rFonts w:hint="eastAsia"/>
        </w:rPr>
        <w:t>结果发现，</w:t>
      </w:r>
      <w:r w:rsidRPr="00CB3320">
        <w:rPr>
          <w:rFonts w:hint="eastAsia"/>
        </w:rPr>
        <w:t>ETS</w:t>
      </w:r>
      <w:r w:rsidRPr="00CB3320">
        <w:rPr>
          <w:rFonts w:hint="eastAsia"/>
        </w:rPr>
        <w:t>的效果都会随着时间的推移而增长。并且，</w:t>
      </w:r>
      <w:proofErr w:type="gramStart"/>
      <w:r w:rsidR="00477D8D" w:rsidRPr="00CB3320">
        <w:rPr>
          <w:rFonts w:hint="eastAsia"/>
        </w:rPr>
        <w:t>碳交易</w:t>
      </w:r>
      <w:proofErr w:type="gramEnd"/>
      <w:r w:rsidR="00477D8D" w:rsidRPr="00CB3320">
        <w:rPr>
          <w:rFonts w:hint="eastAsia"/>
        </w:rPr>
        <w:t>对全要素生产率的影响似乎并非始于交易开始，而是始于试点工作的正式启动（</w:t>
      </w:r>
      <w:r w:rsidR="00477D8D" w:rsidRPr="00CB3320">
        <w:rPr>
          <w:rFonts w:hint="eastAsia"/>
        </w:rPr>
        <w:t>2011</w:t>
      </w:r>
      <w:r w:rsidR="00477D8D" w:rsidRPr="00CB3320">
        <w:rPr>
          <w:rFonts w:hint="eastAsia"/>
        </w:rPr>
        <w:t>年）。</w:t>
      </w:r>
      <w:r w:rsidRPr="00CB3320">
        <w:rPr>
          <w:rFonts w:hint="eastAsia"/>
        </w:rPr>
        <w:t>T</w:t>
      </w:r>
      <w:r w:rsidRPr="00CB3320">
        <w:t>FP</w:t>
      </w:r>
      <w:r w:rsidRPr="00CB3320">
        <w:rPr>
          <w:rFonts w:hint="eastAsia"/>
        </w:rPr>
        <w:t>的</w:t>
      </w:r>
      <w:r w:rsidR="00477D8D" w:rsidRPr="00CB3320">
        <w:rPr>
          <w:rFonts w:hint="eastAsia"/>
        </w:rPr>
        <w:t>反应时间</w:t>
      </w:r>
      <w:r w:rsidR="005B150A" w:rsidRPr="00CB3320">
        <w:rPr>
          <w:rFonts w:hint="eastAsia"/>
        </w:rPr>
        <w:t>似乎</w:t>
      </w:r>
      <w:proofErr w:type="gramStart"/>
      <w:r w:rsidR="00477D8D" w:rsidRPr="00CB3320">
        <w:rPr>
          <w:rFonts w:hint="eastAsia"/>
        </w:rPr>
        <w:t>早于碳</w:t>
      </w:r>
      <w:r w:rsidRPr="00CB3320">
        <w:rPr>
          <w:rFonts w:hint="eastAsia"/>
        </w:rPr>
        <w:t>排放权</w:t>
      </w:r>
      <w:proofErr w:type="gramEnd"/>
      <w:r w:rsidRPr="00CB3320">
        <w:rPr>
          <w:rFonts w:hint="eastAsia"/>
        </w:rPr>
        <w:t>正式交易的</w:t>
      </w:r>
      <w:r w:rsidR="00477D8D" w:rsidRPr="00CB3320">
        <w:rPr>
          <w:rFonts w:hint="eastAsia"/>
        </w:rPr>
        <w:t>时间</w:t>
      </w:r>
      <w:r w:rsidRPr="00CB3320">
        <w:rPr>
          <w:rFonts w:hint="eastAsia"/>
        </w:rPr>
        <w:t>，在</w:t>
      </w:r>
      <w:proofErr w:type="gramStart"/>
      <w:r w:rsidRPr="00CB3320">
        <w:rPr>
          <w:rFonts w:hint="eastAsia"/>
        </w:rPr>
        <w:t>碳交易</w:t>
      </w:r>
      <w:proofErr w:type="gramEnd"/>
      <w:r w:rsidRPr="00CB3320">
        <w:rPr>
          <w:rFonts w:hint="eastAsia"/>
        </w:rPr>
        <w:t>试点正式启动前的碳核查工作似乎对</w:t>
      </w:r>
      <w:r w:rsidRPr="00CB3320">
        <w:rPr>
          <w:rFonts w:hint="eastAsia"/>
        </w:rPr>
        <w:t>T</w:t>
      </w:r>
      <w:r w:rsidRPr="00CB3320">
        <w:t>FP</w:t>
      </w:r>
      <w:r w:rsidRPr="00CB3320">
        <w:rPr>
          <w:rFonts w:hint="eastAsia"/>
        </w:rPr>
        <w:t>存在一定的负面影响。但是，</w:t>
      </w:r>
      <w:proofErr w:type="gramStart"/>
      <w:r w:rsidRPr="00CB3320">
        <w:rPr>
          <w:rFonts w:hint="eastAsia"/>
        </w:rPr>
        <w:t>在碳排放权</w:t>
      </w:r>
      <w:proofErr w:type="gramEnd"/>
      <w:r w:rsidRPr="00CB3320">
        <w:rPr>
          <w:rFonts w:hint="eastAsia"/>
        </w:rPr>
        <w:t>正式交易之后，</w:t>
      </w:r>
      <w:proofErr w:type="gramStart"/>
      <w:r w:rsidRPr="00CB3320">
        <w:rPr>
          <w:rFonts w:hint="eastAsia"/>
        </w:rPr>
        <w:t>碳交易</w:t>
      </w:r>
      <w:proofErr w:type="gramEnd"/>
      <w:r w:rsidRPr="00CB3320">
        <w:rPr>
          <w:rFonts w:hint="eastAsia"/>
        </w:rPr>
        <w:t>对</w:t>
      </w:r>
      <w:r w:rsidRPr="00CB3320">
        <w:rPr>
          <w:rFonts w:hint="eastAsia"/>
        </w:rPr>
        <w:t>T</w:t>
      </w:r>
      <w:r w:rsidRPr="00CB3320">
        <w:t>FP</w:t>
      </w:r>
      <w:r w:rsidRPr="00CB3320">
        <w:rPr>
          <w:rFonts w:hint="eastAsia"/>
        </w:rPr>
        <w:t>的影响显著为负，且发育碳核查期间的负面影响强度。</w:t>
      </w:r>
    </w:p>
    <w:p w14:paraId="34E20BF5" w14:textId="686B62CB" w:rsidR="00477D8D" w:rsidRPr="00CB3320" w:rsidRDefault="00F13EAB" w:rsidP="00F13EAB">
      <w:pPr>
        <w:pStyle w:val="2"/>
        <w:numPr>
          <w:ilvl w:val="0"/>
          <w:numId w:val="0"/>
        </w:numPr>
        <w:spacing w:before="163" w:after="81"/>
      </w:pPr>
      <w:bookmarkStart w:id="37" w:name="_Toc121778124"/>
      <w:r w:rsidRPr="00CB3320">
        <w:rPr>
          <w:rFonts w:hint="eastAsia"/>
        </w:rPr>
        <w:t>（五）</w:t>
      </w:r>
      <w:r w:rsidR="005B150A" w:rsidRPr="00CB3320">
        <w:rPr>
          <w:rFonts w:hint="eastAsia"/>
        </w:rPr>
        <w:t>空间</w:t>
      </w:r>
      <w:r w:rsidR="00477D8D" w:rsidRPr="00CB3320">
        <w:rPr>
          <w:rFonts w:hint="eastAsia"/>
        </w:rPr>
        <w:t>异质性</w:t>
      </w:r>
      <w:bookmarkEnd w:id="37"/>
    </w:p>
    <w:p w14:paraId="6DAD8DDC" w14:textId="48B46409" w:rsidR="00291254" w:rsidRPr="00CB3320" w:rsidRDefault="00291254" w:rsidP="00291254">
      <w:pPr>
        <w:ind w:firstLine="420"/>
      </w:pPr>
      <w:r w:rsidRPr="00CB3320">
        <w:rPr>
          <w:rFonts w:hint="eastAsia"/>
        </w:rPr>
        <w:t>由于试点城市差异较大，包括</w:t>
      </w:r>
      <w:r w:rsidR="00E06AD0" w:rsidRPr="00CB3320">
        <w:rPr>
          <w:rFonts w:hint="eastAsia"/>
        </w:rPr>
        <w:t>所有一线</w:t>
      </w:r>
      <w:r w:rsidRPr="00CB3320">
        <w:rPr>
          <w:rFonts w:hint="eastAsia"/>
        </w:rPr>
        <w:t>城市</w:t>
      </w:r>
      <w:r w:rsidR="00E06AD0" w:rsidRPr="00CB3320">
        <w:rPr>
          <w:rFonts w:hint="eastAsia"/>
        </w:rPr>
        <w:t>和直辖市</w:t>
      </w:r>
      <w:r w:rsidRPr="00CB3320">
        <w:rPr>
          <w:rFonts w:hint="eastAsia"/>
        </w:rPr>
        <w:t>（北京、上海、深圳、天津、</w:t>
      </w:r>
      <w:r w:rsidR="00E06AD0" w:rsidRPr="00CB3320">
        <w:rPr>
          <w:rFonts w:hint="eastAsia"/>
        </w:rPr>
        <w:t>广州</w:t>
      </w:r>
      <w:r w:rsidRPr="00CB3320">
        <w:rPr>
          <w:rFonts w:hint="eastAsia"/>
        </w:rPr>
        <w:t>），以及</w:t>
      </w:r>
      <w:r w:rsidR="00E06AD0" w:rsidRPr="00CB3320">
        <w:rPr>
          <w:rFonts w:hint="eastAsia"/>
        </w:rPr>
        <w:t>部分</w:t>
      </w:r>
      <w:r w:rsidRPr="00CB3320">
        <w:rPr>
          <w:rFonts w:hint="eastAsia"/>
        </w:rPr>
        <w:t>欠发达城市（包括重庆，以及广东和湖北省的许多城市）</w:t>
      </w:r>
      <w:r w:rsidR="005718B5" w:rsidRPr="00CB3320">
        <w:rPr>
          <w:rFonts w:hint="eastAsia"/>
        </w:rPr>
        <w:t>。如</w:t>
      </w:r>
      <w:r w:rsidR="005718B5" w:rsidRPr="00CB3320">
        <w:rPr>
          <w:rFonts w:hint="eastAsia"/>
        </w:rPr>
        <w:t>2010</w:t>
      </w:r>
      <w:r w:rsidR="005718B5" w:rsidRPr="00CB3320">
        <w:rPr>
          <w:rFonts w:hint="eastAsia"/>
        </w:rPr>
        <w:t>年北京、上海、广州人均实际生产总值分别为</w:t>
      </w:r>
      <w:r w:rsidR="005718B5" w:rsidRPr="00CB3320">
        <w:rPr>
          <w:rFonts w:hint="eastAsia"/>
        </w:rPr>
        <w:t>3.17</w:t>
      </w:r>
      <w:r w:rsidR="005718B5" w:rsidRPr="00CB3320">
        <w:rPr>
          <w:rFonts w:hint="eastAsia"/>
        </w:rPr>
        <w:t>万元、</w:t>
      </w:r>
      <w:r w:rsidR="005718B5" w:rsidRPr="00CB3320">
        <w:rPr>
          <w:rFonts w:hint="eastAsia"/>
        </w:rPr>
        <w:t>3.3</w:t>
      </w:r>
      <w:r w:rsidR="005718B5" w:rsidRPr="00CB3320">
        <w:rPr>
          <w:rFonts w:hint="eastAsia"/>
        </w:rPr>
        <w:t>万元、</w:t>
      </w:r>
      <w:r w:rsidR="005718B5" w:rsidRPr="00CB3320">
        <w:rPr>
          <w:rFonts w:hint="eastAsia"/>
        </w:rPr>
        <w:t>3.41</w:t>
      </w:r>
      <w:r w:rsidR="005718B5" w:rsidRPr="00CB3320">
        <w:rPr>
          <w:rFonts w:hint="eastAsia"/>
        </w:rPr>
        <w:t>万元。但湖北省城市（不含武汉、宜昌、鄂州）的数据不到</w:t>
      </w:r>
      <w:r w:rsidR="005718B5" w:rsidRPr="00CB3320">
        <w:rPr>
          <w:rFonts w:hint="eastAsia"/>
        </w:rPr>
        <w:t>1</w:t>
      </w:r>
      <w:r w:rsidR="005718B5" w:rsidRPr="00CB3320">
        <w:rPr>
          <w:rFonts w:hint="eastAsia"/>
        </w:rPr>
        <w:t>万元，甚至个别城市也只有</w:t>
      </w:r>
      <w:r w:rsidR="005C3C62" w:rsidRPr="00CB3320">
        <w:t>0.37</w:t>
      </w:r>
      <w:r w:rsidR="005C3C62" w:rsidRPr="00CB3320">
        <w:rPr>
          <w:rFonts w:hint="eastAsia"/>
        </w:rPr>
        <w:t>万</w:t>
      </w:r>
      <w:r w:rsidR="005718B5" w:rsidRPr="00CB3320">
        <w:rPr>
          <w:rFonts w:hint="eastAsia"/>
        </w:rPr>
        <w:t>元（与全国人均实际</w:t>
      </w:r>
      <w:r w:rsidR="005718B5" w:rsidRPr="00CB3320">
        <w:rPr>
          <w:rFonts w:hint="eastAsia"/>
        </w:rPr>
        <w:t>GDP</w:t>
      </w:r>
      <w:r w:rsidR="005718B5" w:rsidRPr="00CB3320">
        <w:rPr>
          <w:rFonts w:hint="eastAsia"/>
        </w:rPr>
        <w:t>相比只有</w:t>
      </w:r>
      <w:r w:rsidR="00FD0231" w:rsidRPr="00CB3320">
        <w:t>0.57</w:t>
      </w:r>
      <w:r w:rsidR="005718B5" w:rsidRPr="00CB3320">
        <w:rPr>
          <w:rFonts w:hint="eastAsia"/>
        </w:rPr>
        <w:t>万元）。</w:t>
      </w:r>
      <w:r w:rsidRPr="00CB3320">
        <w:rPr>
          <w:rFonts w:hint="eastAsia"/>
        </w:rPr>
        <w:t>因此有必要讨论</w:t>
      </w:r>
      <w:proofErr w:type="gramStart"/>
      <w:r w:rsidRPr="00CB3320">
        <w:rPr>
          <w:rFonts w:hint="eastAsia"/>
        </w:rPr>
        <w:t>碳试点</w:t>
      </w:r>
      <w:proofErr w:type="gramEnd"/>
      <w:r w:rsidRPr="00CB3320">
        <w:rPr>
          <w:rFonts w:hint="eastAsia"/>
        </w:rPr>
        <w:t>地区的异质性。</w:t>
      </w:r>
    </w:p>
    <w:p w14:paraId="36283339" w14:textId="6D8770B3" w:rsidR="00291254" w:rsidRPr="00CB3320" w:rsidRDefault="00291254" w:rsidP="00291254">
      <w:pPr>
        <w:ind w:firstLine="420"/>
      </w:pPr>
      <w:r w:rsidRPr="00CB3320">
        <w:rPr>
          <w:rFonts w:hint="eastAsia"/>
        </w:rPr>
        <w:t>通过调查</w:t>
      </w:r>
      <w:proofErr w:type="gramStart"/>
      <w:r w:rsidRPr="00CB3320">
        <w:rPr>
          <w:rFonts w:hint="eastAsia"/>
        </w:rPr>
        <w:t>碳试点</w:t>
      </w:r>
      <w:proofErr w:type="gramEnd"/>
      <w:r w:rsidRPr="00CB3320">
        <w:rPr>
          <w:rFonts w:hint="eastAsia"/>
        </w:rPr>
        <w:t>地区的异质性（见</w:t>
      </w:r>
      <w:r w:rsidR="00716B0C" w:rsidRPr="00CB3320">
        <w:fldChar w:fldCharType="begin"/>
      </w:r>
      <w:r w:rsidR="00716B0C" w:rsidRPr="00CB3320">
        <w:instrText xml:space="preserve"> </w:instrText>
      </w:r>
      <w:r w:rsidR="00716B0C" w:rsidRPr="00CB3320">
        <w:rPr>
          <w:rFonts w:hint="eastAsia"/>
        </w:rPr>
        <w:instrText>REF _Ref75506576 \h</w:instrText>
      </w:r>
      <w:r w:rsidR="00716B0C" w:rsidRPr="00CB3320">
        <w:instrText xml:space="preserve"> </w:instrText>
      </w:r>
      <w:r w:rsidR="00716B0C" w:rsidRPr="00CB3320">
        <w:fldChar w:fldCharType="separate"/>
      </w:r>
      <w:r w:rsidR="00EC325E" w:rsidRPr="00CB3320">
        <w:rPr>
          <w:rFonts w:hint="eastAsia"/>
        </w:rPr>
        <w:t>表</w:t>
      </w:r>
      <w:r w:rsidR="00EC325E" w:rsidRPr="00CB3320">
        <w:rPr>
          <w:noProof/>
        </w:rPr>
        <w:t>2</w:t>
      </w:r>
      <w:r w:rsidR="00716B0C" w:rsidRPr="00CB3320">
        <w:fldChar w:fldCharType="end"/>
      </w:r>
      <w:r w:rsidRPr="00CB3320">
        <w:rPr>
          <w:rFonts w:hint="eastAsia"/>
        </w:rPr>
        <w:t>中的模型（</w:t>
      </w:r>
      <w:r w:rsidRPr="00CB3320">
        <w:rPr>
          <w:rFonts w:hint="eastAsia"/>
        </w:rPr>
        <w:t>1</w:t>
      </w:r>
      <w:r w:rsidRPr="00CB3320">
        <w:rPr>
          <w:rFonts w:hint="eastAsia"/>
        </w:rPr>
        <w:t>）到（</w:t>
      </w:r>
      <w:r w:rsidRPr="00CB3320">
        <w:rPr>
          <w:rFonts w:hint="eastAsia"/>
        </w:rPr>
        <w:t>2</w:t>
      </w:r>
      <w:r w:rsidRPr="00CB3320">
        <w:rPr>
          <w:rFonts w:hint="eastAsia"/>
        </w:rPr>
        <w:t>）），</w:t>
      </w:r>
      <w:r w:rsidR="00716B0C" w:rsidRPr="00CB3320">
        <w:rPr>
          <w:rFonts w:hint="eastAsia"/>
        </w:rPr>
        <w:t>研究</w:t>
      </w:r>
      <w:r w:rsidRPr="00CB3320">
        <w:rPr>
          <w:rFonts w:hint="eastAsia"/>
        </w:rPr>
        <w:t>发现</w:t>
      </w:r>
      <w:r w:rsidRPr="00CB3320">
        <w:rPr>
          <w:rFonts w:hint="eastAsia"/>
        </w:rPr>
        <w:t>ETS</w:t>
      </w:r>
      <w:r w:rsidRPr="00CB3320">
        <w:rPr>
          <w:rFonts w:hint="eastAsia"/>
        </w:rPr>
        <w:t>对不同地区的</w:t>
      </w:r>
      <w:r w:rsidR="00716B0C" w:rsidRPr="00CB3320">
        <w:rPr>
          <w:rFonts w:hint="eastAsia"/>
        </w:rPr>
        <w:t>T</w:t>
      </w:r>
      <w:r w:rsidR="00716B0C" w:rsidRPr="00CB3320">
        <w:t>FP</w:t>
      </w:r>
      <w:r w:rsidRPr="00CB3320">
        <w:rPr>
          <w:rFonts w:hint="eastAsia"/>
        </w:rPr>
        <w:lastRenderedPageBreak/>
        <w:t>有很大的异质性影响。对于发达地区，如北京、深圳和天津，</w:t>
      </w:r>
      <w:r w:rsidRPr="00CB3320">
        <w:rPr>
          <w:rFonts w:hint="eastAsia"/>
        </w:rPr>
        <w:t>ETS</w:t>
      </w:r>
      <w:r w:rsidRPr="00CB3320">
        <w:rPr>
          <w:rFonts w:hint="eastAsia"/>
        </w:rPr>
        <w:t>对</w:t>
      </w:r>
      <w:r w:rsidRPr="00CB3320">
        <w:rPr>
          <w:rFonts w:hint="eastAsia"/>
        </w:rPr>
        <w:t>TFP</w:t>
      </w:r>
      <w:r w:rsidRPr="00CB3320">
        <w:rPr>
          <w:rFonts w:hint="eastAsia"/>
        </w:rPr>
        <w:t>的负面影响较小。对于不发达地区（如湖北</w:t>
      </w:r>
      <w:r w:rsidR="00EB072F" w:rsidRPr="00CB3320">
        <w:rPr>
          <w:rFonts w:hint="eastAsia"/>
        </w:rPr>
        <w:t>省</w:t>
      </w:r>
      <w:r w:rsidRPr="00CB3320">
        <w:rPr>
          <w:rFonts w:hint="eastAsia"/>
        </w:rPr>
        <w:t>）或混合地区（</w:t>
      </w:r>
      <w:r w:rsidR="0066388E" w:rsidRPr="00CB3320">
        <w:rPr>
          <w:rFonts w:hint="eastAsia"/>
        </w:rPr>
        <w:t>如</w:t>
      </w:r>
      <w:r w:rsidRPr="00CB3320">
        <w:rPr>
          <w:rFonts w:hint="eastAsia"/>
        </w:rPr>
        <w:t>广东省</w:t>
      </w:r>
      <w:r w:rsidR="00B95520" w:rsidRPr="00CB3320">
        <w:rPr>
          <w:rFonts w:hint="eastAsia"/>
        </w:rPr>
        <w:t>：</w:t>
      </w:r>
      <w:r w:rsidRPr="00CB3320">
        <w:rPr>
          <w:rFonts w:hint="eastAsia"/>
        </w:rPr>
        <w:t>广州、深圳、珠海、东莞等</w:t>
      </w:r>
      <w:r w:rsidR="0066388E" w:rsidRPr="00CB3320">
        <w:rPr>
          <w:rFonts w:hint="eastAsia"/>
        </w:rPr>
        <w:t>属于较发达</w:t>
      </w:r>
      <w:r w:rsidR="00AF5499" w:rsidRPr="00CB3320">
        <w:rPr>
          <w:rFonts w:hint="eastAsia"/>
        </w:rPr>
        <w:t>城市</w:t>
      </w:r>
      <w:r w:rsidRPr="00CB3320">
        <w:rPr>
          <w:rFonts w:hint="eastAsia"/>
        </w:rPr>
        <w:t>，但其他</w:t>
      </w:r>
      <w:r w:rsidR="00F854FC" w:rsidRPr="00CB3320">
        <w:rPr>
          <w:rFonts w:hint="eastAsia"/>
        </w:rPr>
        <w:t>城市</w:t>
      </w:r>
      <w:r w:rsidRPr="00CB3320">
        <w:rPr>
          <w:rFonts w:hint="eastAsia"/>
        </w:rPr>
        <w:t>都是不发达城市），</w:t>
      </w:r>
      <w:r w:rsidRPr="00CB3320">
        <w:rPr>
          <w:rFonts w:hint="eastAsia"/>
        </w:rPr>
        <w:t>ETS</w:t>
      </w:r>
      <w:r w:rsidRPr="00CB3320">
        <w:rPr>
          <w:rFonts w:hint="eastAsia"/>
        </w:rPr>
        <w:t>对</w:t>
      </w:r>
      <w:r w:rsidRPr="00CB3320">
        <w:rPr>
          <w:rFonts w:hint="eastAsia"/>
        </w:rPr>
        <w:t>TFP</w:t>
      </w:r>
      <w:r w:rsidRPr="00CB3320">
        <w:rPr>
          <w:rFonts w:hint="eastAsia"/>
        </w:rPr>
        <w:t>的抑制作用显著更高。</w:t>
      </w:r>
    </w:p>
    <w:p w14:paraId="31F40130" w14:textId="4FAF3F03" w:rsidR="00477D8D" w:rsidRPr="00CB3320" w:rsidRDefault="00291254" w:rsidP="00291254">
      <w:pPr>
        <w:ind w:firstLine="420"/>
      </w:pPr>
      <w:r w:rsidRPr="00CB3320">
        <w:rPr>
          <w:rFonts w:hint="eastAsia"/>
        </w:rPr>
        <w:t>为了区分发达城市和不发达城市的影响，</w:t>
      </w:r>
      <w:r w:rsidR="00F8228D" w:rsidRPr="00CB3320">
        <w:rPr>
          <w:rFonts w:hint="eastAsia"/>
        </w:rPr>
        <w:t>我们将一线城市</w:t>
      </w:r>
      <w:r w:rsidR="00CC4533" w:rsidRPr="00CB3320">
        <w:rPr>
          <w:rFonts w:hint="eastAsia"/>
        </w:rPr>
        <w:t>和</w:t>
      </w:r>
      <w:r w:rsidR="00F8228D" w:rsidRPr="00CB3320">
        <w:rPr>
          <w:rFonts w:hint="eastAsia"/>
        </w:rPr>
        <w:t>直辖市</w:t>
      </w:r>
      <w:r w:rsidRPr="00CB3320">
        <w:rPr>
          <w:rFonts w:hint="eastAsia"/>
        </w:rPr>
        <w:t>列入发达地区，而其他城市则被</w:t>
      </w:r>
      <w:r w:rsidR="00CC4533" w:rsidRPr="00CB3320">
        <w:rPr>
          <w:rFonts w:hint="eastAsia"/>
        </w:rPr>
        <w:t>列为</w:t>
      </w:r>
      <w:r w:rsidRPr="00CB3320">
        <w:rPr>
          <w:rFonts w:hint="eastAsia"/>
        </w:rPr>
        <w:t>为不发达地区。然后构造发达地区和发展中地区</w:t>
      </w:r>
      <w:proofErr w:type="gramStart"/>
      <w:r w:rsidR="00F302A4" w:rsidRPr="00CB3320">
        <w:rPr>
          <w:rFonts w:hint="eastAsia"/>
        </w:rPr>
        <w:t>碳试点</w:t>
      </w:r>
      <w:proofErr w:type="gramEnd"/>
      <w:r w:rsidRPr="00CB3320">
        <w:rPr>
          <w:rFonts w:hint="eastAsia"/>
        </w:rPr>
        <w:t>的虚拟变量，再次进行回归（</w:t>
      </w:r>
      <w:r w:rsidR="005E32AF" w:rsidRPr="00CB3320">
        <w:fldChar w:fldCharType="begin"/>
      </w:r>
      <w:r w:rsidR="005E32AF" w:rsidRPr="00CB3320">
        <w:instrText xml:space="preserve"> </w:instrText>
      </w:r>
      <w:r w:rsidR="005E32AF" w:rsidRPr="00CB3320">
        <w:rPr>
          <w:rFonts w:hint="eastAsia"/>
        </w:rPr>
        <w:instrText>REF _Ref75506576 \h</w:instrText>
      </w:r>
      <w:r w:rsidR="005E32AF" w:rsidRPr="00CB3320">
        <w:instrText xml:space="preserve"> </w:instrText>
      </w:r>
      <w:r w:rsidR="005E32AF" w:rsidRPr="00CB3320">
        <w:fldChar w:fldCharType="separate"/>
      </w:r>
      <w:r w:rsidR="00EC325E" w:rsidRPr="00CB3320">
        <w:rPr>
          <w:rFonts w:hint="eastAsia"/>
        </w:rPr>
        <w:t>表</w:t>
      </w:r>
      <w:r w:rsidR="00EC325E" w:rsidRPr="00CB3320">
        <w:rPr>
          <w:noProof/>
        </w:rPr>
        <w:t>2</w:t>
      </w:r>
      <w:r w:rsidR="005E32AF" w:rsidRPr="00CB3320">
        <w:fldChar w:fldCharType="end"/>
      </w:r>
      <w:r w:rsidRPr="00CB3320">
        <w:rPr>
          <w:rFonts w:hint="eastAsia"/>
        </w:rPr>
        <w:t>中的模型（</w:t>
      </w:r>
      <w:r w:rsidRPr="00CB3320">
        <w:rPr>
          <w:rFonts w:hint="eastAsia"/>
        </w:rPr>
        <w:t>3</w:t>
      </w:r>
      <w:r w:rsidRPr="00CB3320">
        <w:rPr>
          <w:rFonts w:hint="eastAsia"/>
        </w:rPr>
        <w:t>）和（</w:t>
      </w:r>
      <w:r w:rsidRPr="00CB3320">
        <w:rPr>
          <w:rFonts w:hint="eastAsia"/>
        </w:rPr>
        <w:t>4</w:t>
      </w:r>
      <w:r w:rsidRPr="00CB3320">
        <w:rPr>
          <w:rFonts w:hint="eastAsia"/>
        </w:rPr>
        <w:t>））。结果表明，</w:t>
      </w:r>
      <w:r w:rsidRPr="00CB3320">
        <w:rPr>
          <w:rFonts w:hint="eastAsia"/>
        </w:rPr>
        <w:t>ETS</w:t>
      </w:r>
      <w:r w:rsidRPr="00CB3320">
        <w:rPr>
          <w:rFonts w:hint="eastAsia"/>
        </w:rPr>
        <w:t>对全要素生产率的影响存在经济水平上的异质性。</w:t>
      </w:r>
    </w:p>
    <w:p w14:paraId="5FFE1ED0" w14:textId="7A0E1220" w:rsidR="00FB4366" w:rsidRPr="00CB3320" w:rsidRDefault="00FB4366" w:rsidP="008563F3">
      <w:pPr>
        <w:pStyle w:val="TableX"/>
      </w:pPr>
      <w:bookmarkStart w:id="38" w:name="_Ref75506576"/>
      <w:bookmarkStart w:id="39" w:name="_Ref71731355"/>
      <w:r w:rsidRPr="00CB3320">
        <w:rPr>
          <w:rFonts w:hint="eastAsia"/>
        </w:rPr>
        <w:t>表</w:t>
      </w:r>
      <w:r w:rsidR="00E21259" w:rsidRPr="00CB3320">
        <w:fldChar w:fldCharType="begin"/>
      </w:r>
      <w:r w:rsidR="00E21259" w:rsidRPr="00CB3320">
        <w:instrText xml:space="preserve"> </w:instrText>
      </w:r>
      <w:r w:rsidR="00E21259" w:rsidRPr="00CB3320">
        <w:rPr>
          <w:rFonts w:hint="eastAsia"/>
        </w:rPr>
        <w:instrText xml:space="preserve">SEQ </w:instrText>
      </w:r>
      <w:r w:rsidR="00E21259" w:rsidRPr="00CB3320">
        <w:rPr>
          <w:rFonts w:hint="eastAsia"/>
        </w:rPr>
        <w:instrText>表</w:instrText>
      </w:r>
      <w:r w:rsidR="00E21259" w:rsidRPr="00CB3320">
        <w:rPr>
          <w:rFonts w:hint="eastAsia"/>
        </w:rPr>
        <w:instrText xml:space="preserve"> \* ARABIC</w:instrText>
      </w:r>
      <w:r w:rsidR="00E21259" w:rsidRPr="00CB3320">
        <w:instrText xml:space="preserve"> </w:instrText>
      </w:r>
      <w:r w:rsidR="00E21259" w:rsidRPr="00CB3320">
        <w:fldChar w:fldCharType="separate"/>
      </w:r>
      <w:r w:rsidR="008A580C" w:rsidRPr="00CB3320">
        <w:rPr>
          <w:noProof/>
        </w:rPr>
        <w:t>2</w:t>
      </w:r>
      <w:r w:rsidR="00E21259" w:rsidRPr="00CB3320">
        <w:fldChar w:fldCharType="end"/>
      </w:r>
      <w:bookmarkEnd w:id="38"/>
      <w:r w:rsidR="00344D5D" w:rsidRPr="00CB3320">
        <w:t xml:space="preserve">  </w:t>
      </w:r>
      <w:r w:rsidRPr="00CB3320">
        <w:t>ETS</w:t>
      </w:r>
      <w:r w:rsidRPr="00CB3320">
        <w:rPr>
          <w:rFonts w:hint="eastAsia"/>
        </w:rPr>
        <w:t>对</w:t>
      </w:r>
      <w:r w:rsidRPr="00CB3320">
        <w:t>TFP</w:t>
      </w:r>
      <w:r w:rsidRPr="00CB3320">
        <w:rPr>
          <w:rFonts w:hint="eastAsia"/>
        </w:rPr>
        <w:t>影响的空间异质性</w:t>
      </w:r>
      <w:bookmarkEnd w:id="39"/>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46"/>
        <w:gridCol w:w="1789"/>
        <w:gridCol w:w="1780"/>
        <w:gridCol w:w="1774"/>
        <w:gridCol w:w="1781"/>
      </w:tblGrid>
      <w:tr w:rsidR="00FB4366" w:rsidRPr="00CB3320" w14:paraId="16FF4124" w14:textId="77777777" w:rsidTr="00D168B5">
        <w:trPr>
          <w:trHeight w:val="285"/>
        </w:trPr>
        <w:tc>
          <w:tcPr>
            <w:tcW w:w="1073" w:type="pct"/>
            <w:noWrap/>
            <w:vAlign w:val="center"/>
            <w:hideMark/>
          </w:tcPr>
          <w:p w14:paraId="32F0F6CB" w14:textId="77777777" w:rsidR="00FB4366" w:rsidRPr="00CB3320" w:rsidRDefault="00FB4366" w:rsidP="00FB4366">
            <w:pPr>
              <w:pStyle w:val="table"/>
              <w:rPr>
                <w:b/>
                <w:sz w:val="21"/>
              </w:rPr>
            </w:pPr>
          </w:p>
        </w:tc>
        <w:tc>
          <w:tcPr>
            <w:tcW w:w="986" w:type="pct"/>
            <w:noWrap/>
            <w:vAlign w:val="center"/>
            <w:hideMark/>
          </w:tcPr>
          <w:p w14:paraId="61388C6E" w14:textId="77777777" w:rsidR="00FB4366" w:rsidRPr="00CB3320" w:rsidRDefault="00FB4366" w:rsidP="00893D8F">
            <w:pPr>
              <w:pStyle w:val="table"/>
              <w:rPr>
                <w:b/>
                <w:sz w:val="21"/>
              </w:rPr>
            </w:pPr>
            <w:r w:rsidRPr="00CB3320">
              <w:rPr>
                <w:b/>
                <w:sz w:val="21"/>
              </w:rPr>
              <w:t>(1)</w:t>
            </w:r>
          </w:p>
        </w:tc>
        <w:tc>
          <w:tcPr>
            <w:tcW w:w="981" w:type="pct"/>
            <w:noWrap/>
            <w:vAlign w:val="center"/>
            <w:hideMark/>
          </w:tcPr>
          <w:p w14:paraId="51704B20" w14:textId="77777777" w:rsidR="00FB4366" w:rsidRPr="00CB3320" w:rsidRDefault="00FB4366" w:rsidP="00893D8F">
            <w:pPr>
              <w:pStyle w:val="table"/>
              <w:rPr>
                <w:b/>
                <w:sz w:val="21"/>
              </w:rPr>
            </w:pPr>
            <w:r w:rsidRPr="00CB3320">
              <w:rPr>
                <w:b/>
                <w:sz w:val="21"/>
              </w:rPr>
              <w:t>(2)</w:t>
            </w:r>
          </w:p>
        </w:tc>
        <w:tc>
          <w:tcPr>
            <w:tcW w:w="978" w:type="pct"/>
            <w:noWrap/>
            <w:vAlign w:val="center"/>
            <w:hideMark/>
          </w:tcPr>
          <w:p w14:paraId="5BFEEB6E" w14:textId="77777777" w:rsidR="00FB4366" w:rsidRPr="00CB3320" w:rsidRDefault="00FB4366" w:rsidP="00893D8F">
            <w:pPr>
              <w:pStyle w:val="table"/>
              <w:rPr>
                <w:b/>
                <w:sz w:val="21"/>
              </w:rPr>
            </w:pPr>
            <w:r w:rsidRPr="00CB3320">
              <w:rPr>
                <w:b/>
                <w:sz w:val="21"/>
              </w:rPr>
              <w:t>(3)</w:t>
            </w:r>
          </w:p>
        </w:tc>
        <w:tc>
          <w:tcPr>
            <w:tcW w:w="982" w:type="pct"/>
            <w:noWrap/>
            <w:vAlign w:val="center"/>
            <w:hideMark/>
          </w:tcPr>
          <w:p w14:paraId="5D9ACEE0" w14:textId="77777777" w:rsidR="00FB4366" w:rsidRPr="00CB3320" w:rsidRDefault="00FB4366" w:rsidP="00893D8F">
            <w:pPr>
              <w:pStyle w:val="table"/>
              <w:rPr>
                <w:b/>
                <w:sz w:val="21"/>
              </w:rPr>
            </w:pPr>
            <w:r w:rsidRPr="00CB3320">
              <w:rPr>
                <w:b/>
                <w:sz w:val="21"/>
              </w:rPr>
              <w:t>(4)</w:t>
            </w:r>
          </w:p>
        </w:tc>
      </w:tr>
      <w:tr w:rsidR="00FB4366" w:rsidRPr="00CB3320" w14:paraId="0A3B568A" w14:textId="77777777" w:rsidTr="00D168B5">
        <w:trPr>
          <w:trHeight w:val="285"/>
        </w:trPr>
        <w:tc>
          <w:tcPr>
            <w:tcW w:w="1073" w:type="pct"/>
            <w:noWrap/>
            <w:vAlign w:val="center"/>
            <w:hideMark/>
          </w:tcPr>
          <w:p w14:paraId="5972CCC8" w14:textId="77777777" w:rsidR="00FB4366" w:rsidRPr="00CB3320" w:rsidRDefault="00FB4366" w:rsidP="00FB4366">
            <w:pPr>
              <w:pStyle w:val="table"/>
              <w:rPr>
                <w:b/>
                <w:bCs/>
                <w:kern w:val="2"/>
                <w:sz w:val="21"/>
              </w:rPr>
            </w:pPr>
          </w:p>
        </w:tc>
        <w:tc>
          <w:tcPr>
            <w:tcW w:w="986" w:type="pct"/>
            <w:noWrap/>
            <w:vAlign w:val="center"/>
            <w:hideMark/>
          </w:tcPr>
          <w:p w14:paraId="2426F22B" w14:textId="77777777" w:rsidR="00FB4366" w:rsidRPr="00CB3320" w:rsidRDefault="00FB4366" w:rsidP="00893D8F">
            <w:pPr>
              <w:pStyle w:val="table"/>
              <w:rPr>
                <w:b/>
                <w:sz w:val="21"/>
              </w:rPr>
            </w:pPr>
            <w:r w:rsidRPr="00CB3320">
              <w:rPr>
                <w:b/>
                <w:sz w:val="21"/>
              </w:rPr>
              <w:t>TFP</w:t>
            </w:r>
          </w:p>
        </w:tc>
        <w:tc>
          <w:tcPr>
            <w:tcW w:w="981" w:type="pct"/>
            <w:noWrap/>
            <w:vAlign w:val="center"/>
            <w:hideMark/>
          </w:tcPr>
          <w:p w14:paraId="0525297A" w14:textId="77777777" w:rsidR="00FB4366" w:rsidRPr="00CB3320" w:rsidRDefault="00FB4366" w:rsidP="00893D8F">
            <w:pPr>
              <w:pStyle w:val="table"/>
              <w:rPr>
                <w:b/>
                <w:sz w:val="21"/>
              </w:rPr>
            </w:pPr>
            <w:r w:rsidRPr="00CB3320">
              <w:rPr>
                <w:b/>
                <w:sz w:val="21"/>
              </w:rPr>
              <w:t>TFP</w:t>
            </w:r>
          </w:p>
        </w:tc>
        <w:tc>
          <w:tcPr>
            <w:tcW w:w="978" w:type="pct"/>
            <w:noWrap/>
            <w:vAlign w:val="center"/>
            <w:hideMark/>
          </w:tcPr>
          <w:p w14:paraId="7DB4D63A" w14:textId="77777777" w:rsidR="00FB4366" w:rsidRPr="00CB3320" w:rsidRDefault="00FB4366" w:rsidP="00893D8F">
            <w:pPr>
              <w:pStyle w:val="table"/>
              <w:rPr>
                <w:b/>
                <w:sz w:val="21"/>
              </w:rPr>
            </w:pPr>
            <w:r w:rsidRPr="00CB3320">
              <w:rPr>
                <w:b/>
                <w:sz w:val="21"/>
              </w:rPr>
              <w:t>TFP</w:t>
            </w:r>
          </w:p>
        </w:tc>
        <w:tc>
          <w:tcPr>
            <w:tcW w:w="982" w:type="pct"/>
            <w:noWrap/>
            <w:vAlign w:val="center"/>
            <w:hideMark/>
          </w:tcPr>
          <w:p w14:paraId="1D8B7605" w14:textId="77777777" w:rsidR="00FB4366" w:rsidRPr="00CB3320" w:rsidRDefault="00FB4366" w:rsidP="00893D8F">
            <w:pPr>
              <w:pStyle w:val="table"/>
              <w:rPr>
                <w:b/>
                <w:sz w:val="21"/>
              </w:rPr>
            </w:pPr>
            <w:r w:rsidRPr="00CB3320">
              <w:rPr>
                <w:b/>
                <w:sz w:val="21"/>
              </w:rPr>
              <w:t>TFP</w:t>
            </w:r>
          </w:p>
        </w:tc>
      </w:tr>
      <w:tr w:rsidR="00AC6AAD" w:rsidRPr="00CB3320" w14:paraId="61DB4750" w14:textId="77777777" w:rsidTr="00D168B5">
        <w:trPr>
          <w:trHeight w:val="662"/>
        </w:trPr>
        <w:tc>
          <w:tcPr>
            <w:tcW w:w="1073" w:type="pct"/>
            <w:noWrap/>
            <w:vAlign w:val="center"/>
            <w:hideMark/>
          </w:tcPr>
          <w:p w14:paraId="2173B2DE" w14:textId="77777777" w:rsidR="00AC6AAD" w:rsidRPr="00CB3320" w:rsidRDefault="00AC6AAD" w:rsidP="003B3588">
            <w:pPr>
              <w:pStyle w:val="table"/>
              <w:rPr>
                <w:sz w:val="21"/>
              </w:rPr>
            </w:pPr>
            <w:r w:rsidRPr="00CB3320">
              <w:rPr>
                <w:sz w:val="21"/>
              </w:rPr>
              <w:t>Dsz</w:t>
            </w:r>
          </w:p>
        </w:tc>
        <w:tc>
          <w:tcPr>
            <w:tcW w:w="986" w:type="pct"/>
            <w:noWrap/>
            <w:vAlign w:val="center"/>
            <w:hideMark/>
          </w:tcPr>
          <w:p w14:paraId="43919929" w14:textId="77777777" w:rsidR="00AC6AAD" w:rsidRPr="00CB3320" w:rsidRDefault="00AC6AAD" w:rsidP="003B3588">
            <w:pPr>
              <w:pStyle w:val="table"/>
              <w:rPr>
                <w:sz w:val="21"/>
              </w:rPr>
            </w:pPr>
            <w:r w:rsidRPr="00CB3320">
              <w:rPr>
                <w:sz w:val="21"/>
              </w:rPr>
              <w:t>0.00255</w:t>
            </w:r>
          </w:p>
          <w:p w14:paraId="6EA1B41B" w14:textId="43ADA052" w:rsidR="00AC6AAD" w:rsidRPr="00CB3320" w:rsidRDefault="00AC6AAD" w:rsidP="003B3588">
            <w:pPr>
              <w:pStyle w:val="table"/>
              <w:rPr>
                <w:sz w:val="21"/>
              </w:rPr>
            </w:pPr>
            <w:r w:rsidRPr="00CB3320">
              <w:rPr>
                <w:sz w:val="21"/>
              </w:rPr>
              <w:t>(0.00620)</w:t>
            </w:r>
          </w:p>
        </w:tc>
        <w:tc>
          <w:tcPr>
            <w:tcW w:w="981" w:type="pct"/>
            <w:noWrap/>
            <w:vAlign w:val="center"/>
            <w:hideMark/>
          </w:tcPr>
          <w:p w14:paraId="1F19B8D3" w14:textId="77777777" w:rsidR="00AC6AAD" w:rsidRPr="00CB3320" w:rsidRDefault="00AC6AAD" w:rsidP="003B3588">
            <w:pPr>
              <w:pStyle w:val="table"/>
              <w:rPr>
                <w:sz w:val="21"/>
              </w:rPr>
            </w:pPr>
            <w:r w:rsidRPr="00CB3320">
              <w:rPr>
                <w:sz w:val="21"/>
              </w:rPr>
              <w:t>-0.0232***</w:t>
            </w:r>
          </w:p>
          <w:p w14:paraId="4C875842" w14:textId="38D4299B" w:rsidR="00AC6AAD" w:rsidRPr="00CB3320" w:rsidRDefault="00AC6AAD" w:rsidP="003B3588">
            <w:pPr>
              <w:pStyle w:val="table"/>
              <w:rPr>
                <w:sz w:val="21"/>
              </w:rPr>
            </w:pPr>
            <w:r w:rsidRPr="00CB3320">
              <w:rPr>
                <w:sz w:val="21"/>
              </w:rPr>
              <w:t>(0.00575)</w:t>
            </w:r>
          </w:p>
        </w:tc>
        <w:tc>
          <w:tcPr>
            <w:tcW w:w="978" w:type="pct"/>
            <w:noWrap/>
            <w:vAlign w:val="center"/>
            <w:hideMark/>
          </w:tcPr>
          <w:p w14:paraId="7F51BDE8" w14:textId="77777777" w:rsidR="00AC6AAD" w:rsidRPr="00CB3320" w:rsidRDefault="00AC6AAD" w:rsidP="003B3588">
            <w:pPr>
              <w:pStyle w:val="table"/>
              <w:rPr>
                <w:sz w:val="21"/>
              </w:rPr>
            </w:pPr>
          </w:p>
        </w:tc>
        <w:tc>
          <w:tcPr>
            <w:tcW w:w="982" w:type="pct"/>
            <w:noWrap/>
            <w:vAlign w:val="center"/>
            <w:hideMark/>
          </w:tcPr>
          <w:p w14:paraId="7DEF56A1" w14:textId="77777777" w:rsidR="00AC6AAD" w:rsidRPr="00CB3320" w:rsidRDefault="00AC6AAD" w:rsidP="003B3588">
            <w:pPr>
              <w:pStyle w:val="table"/>
              <w:rPr>
                <w:sz w:val="21"/>
              </w:rPr>
            </w:pPr>
          </w:p>
        </w:tc>
      </w:tr>
      <w:tr w:rsidR="003B3588" w:rsidRPr="00CB3320" w14:paraId="36BE4073" w14:textId="77777777" w:rsidTr="00D168B5">
        <w:trPr>
          <w:trHeight w:val="285"/>
        </w:trPr>
        <w:tc>
          <w:tcPr>
            <w:tcW w:w="1073" w:type="pct"/>
            <w:noWrap/>
            <w:vAlign w:val="center"/>
            <w:hideMark/>
          </w:tcPr>
          <w:p w14:paraId="44A470F1" w14:textId="77777777" w:rsidR="003B3588" w:rsidRPr="00CB3320" w:rsidRDefault="003B3588" w:rsidP="003B3588">
            <w:pPr>
              <w:pStyle w:val="table"/>
              <w:rPr>
                <w:sz w:val="21"/>
              </w:rPr>
            </w:pPr>
            <w:r w:rsidRPr="00CB3320">
              <w:rPr>
                <w:sz w:val="21"/>
              </w:rPr>
              <w:t>Dbj</w:t>
            </w:r>
          </w:p>
        </w:tc>
        <w:tc>
          <w:tcPr>
            <w:tcW w:w="986" w:type="pct"/>
            <w:noWrap/>
            <w:vAlign w:val="center"/>
            <w:hideMark/>
          </w:tcPr>
          <w:p w14:paraId="3E7F17A8" w14:textId="77777777" w:rsidR="003B3588" w:rsidRPr="00CB3320" w:rsidRDefault="003B3588" w:rsidP="003B3588">
            <w:pPr>
              <w:pStyle w:val="table"/>
              <w:rPr>
                <w:sz w:val="21"/>
              </w:rPr>
            </w:pPr>
            <w:r w:rsidRPr="00CB3320">
              <w:rPr>
                <w:sz w:val="21"/>
              </w:rPr>
              <w:t>0.00930</w:t>
            </w:r>
          </w:p>
          <w:p w14:paraId="738DAFC7" w14:textId="2CBB5DAD" w:rsidR="00AC6AAD" w:rsidRPr="00CB3320" w:rsidRDefault="00AC6AAD" w:rsidP="00AC6AAD">
            <w:pPr>
              <w:ind w:firstLine="420"/>
              <w:rPr>
                <w:lang w:val="de-DE" w:bidi="en-US"/>
              </w:rPr>
            </w:pPr>
            <w:r w:rsidRPr="00CB3320">
              <w:t>(0.00620)</w:t>
            </w:r>
          </w:p>
        </w:tc>
        <w:tc>
          <w:tcPr>
            <w:tcW w:w="981" w:type="pct"/>
            <w:noWrap/>
            <w:vAlign w:val="center"/>
            <w:hideMark/>
          </w:tcPr>
          <w:p w14:paraId="30E8B1B2" w14:textId="77777777" w:rsidR="003B3588" w:rsidRPr="00CB3320" w:rsidRDefault="003B3588" w:rsidP="003B3588">
            <w:pPr>
              <w:pStyle w:val="table"/>
              <w:rPr>
                <w:sz w:val="21"/>
              </w:rPr>
            </w:pPr>
            <w:r w:rsidRPr="00CB3320">
              <w:rPr>
                <w:sz w:val="21"/>
              </w:rPr>
              <w:t>-0.000885</w:t>
            </w:r>
          </w:p>
          <w:p w14:paraId="1D9D6A85" w14:textId="69F5CCC2" w:rsidR="00AC6AAD" w:rsidRPr="00CB3320" w:rsidRDefault="00AC6AAD" w:rsidP="00AC6AAD">
            <w:pPr>
              <w:ind w:firstLine="420"/>
              <w:rPr>
                <w:lang w:val="de-DE" w:bidi="en-US"/>
              </w:rPr>
            </w:pPr>
            <w:r w:rsidRPr="00CB3320">
              <w:t>(0.00447)</w:t>
            </w:r>
          </w:p>
        </w:tc>
        <w:tc>
          <w:tcPr>
            <w:tcW w:w="978" w:type="pct"/>
            <w:noWrap/>
            <w:vAlign w:val="center"/>
            <w:hideMark/>
          </w:tcPr>
          <w:p w14:paraId="3B0C224B" w14:textId="77777777" w:rsidR="003B3588" w:rsidRPr="00CB3320" w:rsidRDefault="003B3588" w:rsidP="003B3588">
            <w:pPr>
              <w:pStyle w:val="table"/>
              <w:rPr>
                <w:sz w:val="21"/>
              </w:rPr>
            </w:pPr>
          </w:p>
        </w:tc>
        <w:tc>
          <w:tcPr>
            <w:tcW w:w="982" w:type="pct"/>
            <w:noWrap/>
            <w:vAlign w:val="center"/>
            <w:hideMark/>
          </w:tcPr>
          <w:p w14:paraId="5B8C7701" w14:textId="77777777" w:rsidR="003B3588" w:rsidRPr="00CB3320" w:rsidRDefault="003B3588" w:rsidP="003B3588">
            <w:pPr>
              <w:pStyle w:val="table"/>
              <w:rPr>
                <w:sz w:val="21"/>
              </w:rPr>
            </w:pPr>
          </w:p>
        </w:tc>
      </w:tr>
      <w:tr w:rsidR="003B3588" w:rsidRPr="00CB3320" w14:paraId="03CDAFAA" w14:textId="77777777" w:rsidTr="00D168B5">
        <w:trPr>
          <w:trHeight w:val="285"/>
        </w:trPr>
        <w:tc>
          <w:tcPr>
            <w:tcW w:w="1073" w:type="pct"/>
            <w:noWrap/>
            <w:vAlign w:val="center"/>
            <w:hideMark/>
          </w:tcPr>
          <w:p w14:paraId="00195D5E" w14:textId="77777777" w:rsidR="003B3588" w:rsidRPr="00CB3320" w:rsidRDefault="003B3588" w:rsidP="003B3588">
            <w:pPr>
              <w:pStyle w:val="table"/>
              <w:rPr>
                <w:sz w:val="21"/>
              </w:rPr>
            </w:pPr>
            <w:r w:rsidRPr="00CB3320">
              <w:rPr>
                <w:sz w:val="21"/>
              </w:rPr>
              <w:t>Dsh</w:t>
            </w:r>
          </w:p>
        </w:tc>
        <w:tc>
          <w:tcPr>
            <w:tcW w:w="986" w:type="pct"/>
            <w:noWrap/>
            <w:vAlign w:val="center"/>
            <w:hideMark/>
          </w:tcPr>
          <w:p w14:paraId="1BB03BF7" w14:textId="77777777" w:rsidR="003B3588" w:rsidRPr="00CB3320" w:rsidRDefault="003B3588" w:rsidP="003B3588">
            <w:pPr>
              <w:pStyle w:val="table"/>
              <w:rPr>
                <w:sz w:val="21"/>
              </w:rPr>
            </w:pPr>
            <w:r w:rsidRPr="00CB3320">
              <w:rPr>
                <w:sz w:val="21"/>
              </w:rPr>
              <w:t>0.0139**</w:t>
            </w:r>
          </w:p>
          <w:p w14:paraId="681F95EB" w14:textId="52F92947" w:rsidR="00AC6AAD" w:rsidRPr="00CB3320" w:rsidRDefault="00AC6AAD" w:rsidP="00AC6AAD">
            <w:pPr>
              <w:ind w:firstLine="420"/>
              <w:rPr>
                <w:lang w:val="de-DE" w:bidi="en-US"/>
              </w:rPr>
            </w:pPr>
            <w:r w:rsidRPr="00CB3320">
              <w:t>(0.00620)</w:t>
            </w:r>
          </w:p>
        </w:tc>
        <w:tc>
          <w:tcPr>
            <w:tcW w:w="981" w:type="pct"/>
            <w:noWrap/>
            <w:vAlign w:val="center"/>
            <w:hideMark/>
          </w:tcPr>
          <w:p w14:paraId="2B79F73D" w14:textId="77777777" w:rsidR="003B3588" w:rsidRPr="00CB3320" w:rsidRDefault="003B3588" w:rsidP="003B3588">
            <w:pPr>
              <w:pStyle w:val="table"/>
              <w:rPr>
                <w:sz w:val="21"/>
              </w:rPr>
            </w:pPr>
            <w:r w:rsidRPr="00CB3320">
              <w:rPr>
                <w:sz w:val="21"/>
              </w:rPr>
              <w:t>0.000225</w:t>
            </w:r>
          </w:p>
          <w:p w14:paraId="1EC7501C" w14:textId="010E99C2" w:rsidR="00AC6AAD" w:rsidRPr="00CB3320" w:rsidRDefault="00AC6AAD" w:rsidP="00AC6AAD">
            <w:pPr>
              <w:ind w:firstLine="420"/>
              <w:rPr>
                <w:lang w:val="de-DE" w:bidi="en-US"/>
              </w:rPr>
            </w:pPr>
            <w:r w:rsidRPr="00CB3320">
              <w:t>(0.00459)</w:t>
            </w:r>
          </w:p>
        </w:tc>
        <w:tc>
          <w:tcPr>
            <w:tcW w:w="978" w:type="pct"/>
            <w:noWrap/>
            <w:vAlign w:val="center"/>
            <w:hideMark/>
          </w:tcPr>
          <w:p w14:paraId="5F590D53" w14:textId="77777777" w:rsidR="003B3588" w:rsidRPr="00CB3320" w:rsidRDefault="003B3588" w:rsidP="003B3588">
            <w:pPr>
              <w:pStyle w:val="table"/>
              <w:rPr>
                <w:sz w:val="21"/>
              </w:rPr>
            </w:pPr>
          </w:p>
        </w:tc>
        <w:tc>
          <w:tcPr>
            <w:tcW w:w="982" w:type="pct"/>
            <w:noWrap/>
            <w:vAlign w:val="center"/>
            <w:hideMark/>
          </w:tcPr>
          <w:p w14:paraId="76610A1B" w14:textId="77777777" w:rsidR="003B3588" w:rsidRPr="00CB3320" w:rsidRDefault="003B3588" w:rsidP="003B3588">
            <w:pPr>
              <w:pStyle w:val="table"/>
              <w:rPr>
                <w:sz w:val="21"/>
              </w:rPr>
            </w:pPr>
          </w:p>
        </w:tc>
      </w:tr>
      <w:tr w:rsidR="003B3588" w:rsidRPr="00CB3320" w14:paraId="6792DF1F" w14:textId="77777777" w:rsidTr="00D168B5">
        <w:trPr>
          <w:trHeight w:val="285"/>
        </w:trPr>
        <w:tc>
          <w:tcPr>
            <w:tcW w:w="1073" w:type="pct"/>
            <w:noWrap/>
            <w:vAlign w:val="center"/>
            <w:hideMark/>
          </w:tcPr>
          <w:p w14:paraId="0D6FFD1E" w14:textId="77777777" w:rsidR="003B3588" w:rsidRPr="00CB3320" w:rsidRDefault="003B3588" w:rsidP="003B3588">
            <w:pPr>
              <w:pStyle w:val="table"/>
              <w:rPr>
                <w:sz w:val="21"/>
              </w:rPr>
            </w:pPr>
            <w:r w:rsidRPr="00CB3320">
              <w:rPr>
                <w:sz w:val="21"/>
              </w:rPr>
              <w:t>Dtj</w:t>
            </w:r>
          </w:p>
        </w:tc>
        <w:tc>
          <w:tcPr>
            <w:tcW w:w="986" w:type="pct"/>
            <w:noWrap/>
            <w:vAlign w:val="center"/>
            <w:hideMark/>
          </w:tcPr>
          <w:p w14:paraId="38836E09" w14:textId="77777777" w:rsidR="003B3588" w:rsidRPr="00CB3320" w:rsidRDefault="003B3588" w:rsidP="003B3588">
            <w:pPr>
              <w:pStyle w:val="table"/>
              <w:rPr>
                <w:sz w:val="21"/>
              </w:rPr>
            </w:pPr>
            <w:r w:rsidRPr="00CB3320">
              <w:rPr>
                <w:sz w:val="21"/>
              </w:rPr>
              <w:t>-0.0116*</w:t>
            </w:r>
          </w:p>
          <w:p w14:paraId="1C4E28CA" w14:textId="252120B8" w:rsidR="00AC6AAD" w:rsidRPr="00CB3320" w:rsidRDefault="00AC6AAD" w:rsidP="00AC6AAD">
            <w:pPr>
              <w:ind w:firstLine="420"/>
              <w:rPr>
                <w:lang w:val="de-DE" w:bidi="en-US"/>
              </w:rPr>
            </w:pPr>
            <w:r w:rsidRPr="00CB3320">
              <w:t>(0.00620)</w:t>
            </w:r>
          </w:p>
        </w:tc>
        <w:tc>
          <w:tcPr>
            <w:tcW w:w="981" w:type="pct"/>
            <w:noWrap/>
            <w:vAlign w:val="center"/>
            <w:hideMark/>
          </w:tcPr>
          <w:p w14:paraId="7AFFA692" w14:textId="77777777" w:rsidR="003B3588" w:rsidRPr="00CB3320" w:rsidRDefault="003B3588" w:rsidP="003B3588">
            <w:pPr>
              <w:pStyle w:val="table"/>
              <w:rPr>
                <w:sz w:val="21"/>
              </w:rPr>
            </w:pPr>
            <w:r w:rsidRPr="00CB3320">
              <w:rPr>
                <w:sz w:val="21"/>
              </w:rPr>
              <w:t>-0.00939**</w:t>
            </w:r>
          </w:p>
          <w:p w14:paraId="7D7F8C65" w14:textId="3CA62101" w:rsidR="00AC6AAD" w:rsidRPr="00CB3320" w:rsidRDefault="00AC6AAD" w:rsidP="00AC6AAD">
            <w:pPr>
              <w:ind w:firstLine="420"/>
              <w:rPr>
                <w:lang w:val="de-DE" w:bidi="en-US"/>
              </w:rPr>
            </w:pPr>
            <w:r w:rsidRPr="00CB3320">
              <w:t>(0.00378)</w:t>
            </w:r>
          </w:p>
        </w:tc>
        <w:tc>
          <w:tcPr>
            <w:tcW w:w="978" w:type="pct"/>
            <w:noWrap/>
            <w:vAlign w:val="center"/>
            <w:hideMark/>
          </w:tcPr>
          <w:p w14:paraId="2139F5AE" w14:textId="77777777" w:rsidR="003B3588" w:rsidRPr="00CB3320" w:rsidRDefault="003B3588" w:rsidP="003B3588">
            <w:pPr>
              <w:pStyle w:val="table"/>
              <w:rPr>
                <w:sz w:val="21"/>
              </w:rPr>
            </w:pPr>
          </w:p>
        </w:tc>
        <w:tc>
          <w:tcPr>
            <w:tcW w:w="982" w:type="pct"/>
            <w:noWrap/>
            <w:vAlign w:val="center"/>
            <w:hideMark/>
          </w:tcPr>
          <w:p w14:paraId="4792D8C5" w14:textId="77777777" w:rsidR="003B3588" w:rsidRPr="00CB3320" w:rsidRDefault="003B3588" w:rsidP="003B3588">
            <w:pPr>
              <w:pStyle w:val="table"/>
              <w:rPr>
                <w:sz w:val="21"/>
              </w:rPr>
            </w:pPr>
          </w:p>
        </w:tc>
      </w:tr>
      <w:tr w:rsidR="003B3588" w:rsidRPr="00CB3320" w14:paraId="445C1DB2" w14:textId="77777777" w:rsidTr="00D168B5">
        <w:trPr>
          <w:trHeight w:val="285"/>
        </w:trPr>
        <w:tc>
          <w:tcPr>
            <w:tcW w:w="1073" w:type="pct"/>
            <w:noWrap/>
            <w:vAlign w:val="center"/>
            <w:hideMark/>
          </w:tcPr>
          <w:p w14:paraId="38C38404" w14:textId="77777777" w:rsidR="003B3588" w:rsidRPr="00CB3320" w:rsidRDefault="003B3588" w:rsidP="003B3588">
            <w:pPr>
              <w:pStyle w:val="table"/>
              <w:rPr>
                <w:sz w:val="21"/>
              </w:rPr>
            </w:pPr>
            <w:r w:rsidRPr="00CB3320">
              <w:rPr>
                <w:sz w:val="21"/>
              </w:rPr>
              <w:t>Dgd</w:t>
            </w:r>
          </w:p>
        </w:tc>
        <w:tc>
          <w:tcPr>
            <w:tcW w:w="986" w:type="pct"/>
            <w:noWrap/>
            <w:vAlign w:val="center"/>
            <w:hideMark/>
          </w:tcPr>
          <w:p w14:paraId="43CDD213" w14:textId="77777777" w:rsidR="003B3588" w:rsidRPr="00CB3320" w:rsidRDefault="003B3588" w:rsidP="003B3588">
            <w:pPr>
              <w:pStyle w:val="table"/>
              <w:rPr>
                <w:sz w:val="21"/>
              </w:rPr>
            </w:pPr>
            <w:r w:rsidRPr="00CB3320">
              <w:rPr>
                <w:sz w:val="21"/>
              </w:rPr>
              <w:t>-0.0259***</w:t>
            </w:r>
          </w:p>
          <w:p w14:paraId="3FAC7202" w14:textId="4A00ED4E" w:rsidR="00AC6AAD" w:rsidRPr="00CB3320" w:rsidRDefault="00AC6AAD" w:rsidP="00AC6AAD">
            <w:pPr>
              <w:ind w:firstLine="420"/>
              <w:rPr>
                <w:lang w:val="de-DE" w:bidi="en-US"/>
              </w:rPr>
            </w:pPr>
            <w:r w:rsidRPr="00CB3320">
              <w:t>(0.00620)</w:t>
            </w:r>
          </w:p>
        </w:tc>
        <w:tc>
          <w:tcPr>
            <w:tcW w:w="981" w:type="pct"/>
            <w:noWrap/>
            <w:vAlign w:val="center"/>
            <w:hideMark/>
          </w:tcPr>
          <w:p w14:paraId="5EBBA22D" w14:textId="77777777" w:rsidR="003B3588" w:rsidRPr="00CB3320" w:rsidRDefault="003B3588" w:rsidP="003B3588">
            <w:pPr>
              <w:pStyle w:val="table"/>
              <w:rPr>
                <w:sz w:val="21"/>
              </w:rPr>
            </w:pPr>
            <w:r w:rsidRPr="00CB3320">
              <w:rPr>
                <w:sz w:val="21"/>
              </w:rPr>
              <w:t>-0.0406***</w:t>
            </w:r>
          </w:p>
          <w:p w14:paraId="559E876C" w14:textId="5F4976FB" w:rsidR="00AC6AAD" w:rsidRPr="00CB3320" w:rsidRDefault="00AC6AAD" w:rsidP="00AC6AAD">
            <w:pPr>
              <w:ind w:firstLine="420"/>
              <w:rPr>
                <w:lang w:val="de-DE" w:bidi="en-US"/>
              </w:rPr>
            </w:pPr>
            <w:r w:rsidRPr="00CB3320">
              <w:t>(0.00546)</w:t>
            </w:r>
          </w:p>
        </w:tc>
        <w:tc>
          <w:tcPr>
            <w:tcW w:w="978" w:type="pct"/>
            <w:noWrap/>
            <w:vAlign w:val="center"/>
            <w:hideMark/>
          </w:tcPr>
          <w:p w14:paraId="3DBE2C20" w14:textId="77777777" w:rsidR="003B3588" w:rsidRPr="00CB3320" w:rsidRDefault="003B3588" w:rsidP="003B3588">
            <w:pPr>
              <w:pStyle w:val="table"/>
              <w:rPr>
                <w:sz w:val="21"/>
              </w:rPr>
            </w:pPr>
          </w:p>
        </w:tc>
        <w:tc>
          <w:tcPr>
            <w:tcW w:w="982" w:type="pct"/>
            <w:noWrap/>
            <w:vAlign w:val="center"/>
            <w:hideMark/>
          </w:tcPr>
          <w:p w14:paraId="43AFA510" w14:textId="77777777" w:rsidR="003B3588" w:rsidRPr="00CB3320" w:rsidRDefault="003B3588" w:rsidP="003B3588">
            <w:pPr>
              <w:pStyle w:val="table"/>
              <w:rPr>
                <w:sz w:val="21"/>
              </w:rPr>
            </w:pPr>
          </w:p>
        </w:tc>
      </w:tr>
      <w:tr w:rsidR="003B3588" w:rsidRPr="00CB3320" w14:paraId="73AB9A14" w14:textId="77777777" w:rsidTr="00D168B5">
        <w:trPr>
          <w:trHeight w:val="285"/>
        </w:trPr>
        <w:tc>
          <w:tcPr>
            <w:tcW w:w="1073" w:type="pct"/>
            <w:noWrap/>
            <w:vAlign w:val="center"/>
            <w:hideMark/>
          </w:tcPr>
          <w:p w14:paraId="4C85CE8F" w14:textId="77777777" w:rsidR="003B3588" w:rsidRPr="00CB3320" w:rsidRDefault="003B3588" w:rsidP="003B3588">
            <w:pPr>
              <w:pStyle w:val="table"/>
              <w:rPr>
                <w:sz w:val="21"/>
              </w:rPr>
            </w:pPr>
            <w:r w:rsidRPr="00CB3320">
              <w:rPr>
                <w:sz w:val="21"/>
              </w:rPr>
              <w:t>Dhb</w:t>
            </w:r>
          </w:p>
        </w:tc>
        <w:tc>
          <w:tcPr>
            <w:tcW w:w="986" w:type="pct"/>
            <w:noWrap/>
            <w:vAlign w:val="center"/>
            <w:hideMark/>
          </w:tcPr>
          <w:p w14:paraId="1C3241CF" w14:textId="77777777" w:rsidR="003B3588" w:rsidRPr="00CB3320" w:rsidRDefault="003B3588" w:rsidP="003B3588">
            <w:pPr>
              <w:pStyle w:val="table"/>
              <w:rPr>
                <w:sz w:val="21"/>
              </w:rPr>
            </w:pPr>
            <w:r w:rsidRPr="00CB3320">
              <w:rPr>
                <w:sz w:val="21"/>
              </w:rPr>
              <w:t>-0.0139**</w:t>
            </w:r>
          </w:p>
          <w:p w14:paraId="44522AAD" w14:textId="4F1350F4" w:rsidR="00AC6AAD" w:rsidRPr="00CB3320" w:rsidRDefault="00AC6AAD" w:rsidP="00AC6AAD">
            <w:pPr>
              <w:ind w:firstLine="420"/>
              <w:rPr>
                <w:lang w:val="de-DE" w:bidi="en-US"/>
              </w:rPr>
            </w:pPr>
            <w:r w:rsidRPr="00CB3320">
              <w:t>(0.00620)</w:t>
            </w:r>
          </w:p>
        </w:tc>
        <w:tc>
          <w:tcPr>
            <w:tcW w:w="981" w:type="pct"/>
            <w:noWrap/>
            <w:vAlign w:val="center"/>
            <w:hideMark/>
          </w:tcPr>
          <w:p w14:paraId="1C98DB10" w14:textId="77777777" w:rsidR="003B3588" w:rsidRPr="00CB3320" w:rsidRDefault="003B3588" w:rsidP="003B3588">
            <w:pPr>
              <w:pStyle w:val="table"/>
              <w:rPr>
                <w:sz w:val="21"/>
              </w:rPr>
            </w:pPr>
            <w:r w:rsidRPr="00CB3320">
              <w:rPr>
                <w:sz w:val="21"/>
              </w:rPr>
              <w:t>-0.0408***</w:t>
            </w:r>
          </w:p>
          <w:p w14:paraId="1F3C09D0" w14:textId="2F18AC69" w:rsidR="00AC6AAD" w:rsidRPr="00CB3320" w:rsidRDefault="00AC6AAD" w:rsidP="00AC6AAD">
            <w:pPr>
              <w:ind w:firstLine="420"/>
              <w:rPr>
                <w:lang w:val="de-DE" w:bidi="en-US"/>
              </w:rPr>
            </w:pPr>
            <w:r w:rsidRPr="00CB3320">
              <w:t>(0.00647)</w:t>
            </w:r>
          </w:p>
        </w:tc>
        <w:tc>
          <w:tcPr>
            <w:tcW w:w="978" w:type="pct"/>
            <w:noWrap/>
            <w:vAlign w:val="center"/>
            <w:hideMark/>
          </w:tcPr>
          <w:p w14:paraId="5D5137AB" w14:textId="77777777" w:rsidR="003B3588" w:rsidRPr="00CB3320" w:rsidRDefault="003B3588" w:rsidP="003B3588">
            <w:pPr>
              <w:pStyle w:val="table"/>
              <w:rPr>
                <w:sz w:val="21"/>
              </w:rPr>
            </w:pPr>
          </w:p>
        </w:tc>
        <w:tc>
          <w:tcPr>
            <w:tcW w:w="982" w:type="pct"/>
            <w:noWrap/>
            <w:vAlign w:val="center"/>
            <w:hideMark/>
          </w:tcPr>
          <w:p w14:paraId="0FD1836D" w14:textId="77777777" w:rsidR="003B3588" w:rsidRPr="00CB3320" w:rsidRDefault="003B3588" w:rsidP="003B3588">
            <w:pPr>
              <w:pStyle w:val="table"/>
              <w:rPr>
                <w:sz w:val="21"/>
              </w:rPr>
            </w:pPr>
          </w:p>
        </w:tc>
      </w:tr>
      <w:tr w:rsidR="003B3588" w:rsidRPr="00CB3320" w14:paraId="0EB9DB29" w14:textId="77777777" w:rsidTr="00D168B5">
        <w:trPr>
          <w:trHeight w:val="285"/>
        </w:trPr>
        <w:tc>
          <w:tcPr>
            <w:tcW w:w="1073" w:type="pct"/>
            <w:noWrap/>
            <w:vAlign w:val="center"/>
            <w:hideMark/>
          </w:tcPr>
          <w:p w14:paraId="6C1711D1" w14:textId="77777777" w:rsidR="003B3588" w:rsidRPr="00CB3320" w:rsidRDefault="003B3588" w:rsidP="003B3588">
            <w:pPr>
              <w:pStyle w:val="table"/>
              <w:rPr>
                <w:sz w:val="21"/>
              </w:rPr>
            </w:pPr>
            <w:r w:rsidRPr="00CB3320">
              <w:rPr>
                <w:sz w:val="21"/>
              </w:rPr>
              <w:t>Dcq</w:t>
            </w:r>
          </w:p>
        </w:tc>
        <w:tc>
          <w:tcPr>
            <w:tcW w:w="986" w:type="pct"/>
            <w:noWrap/>
            <w:vAlign w:val="center"/>
            <w:hideMark/>
          </w:tcPr>
          <w:p w14:paraId="596CE439" w14:textId="77777777" w:rsidR="003B3588" w:rsidRPr="00CB3320" w:rsidRDefault="003B3588" w:rsidP="003B3588">
            <w:pPr>
              <w:pStyle w:val="table"/>
              <w:rPr>
                <w:sz w:val="21"/>
              </w:rPr>
            </w:pPr>
            <w:r w:rsidRPr="00CB3320">
              <w:rPr>
                <w:sz w:val="21"/>
              </w:rPr>
              <w:t>0.0308***</w:t>
            </w:r>
          </w:p>
          <w:p w14:paraId="4C13790F" w14:textId="417C36B6" w:rsidR="00AC6AAD" w:rsidRPr="00CB3320" w:rsidRDefault="00AC6AAD" w:rsidP="00AC6AAD">
            <w:pPr>
              <w:ind w:firstLine="420"/>
              <w:rPr>
                <w:lang w:val="de-DE" w:bidi="en-US"/>
              </w:rPr>
            </w:pPr>
            <w:r w:rsidRPr="00CB3320">
              <w:t>(0.00620)</w:t>
            </w:r>
          </w:p>
        </w:tc>
        <w:tc>
          <w:tcPr>
            <w:tcW w:w="981" w:type="pct"/>
            <w:noWrap/>
            <w:vAlign w:val="center"/>
            <w:hideMark/>
          </w:tcPr>
          <w:p w14:paraId="4792232A" w14:textId="77777777" w:rsidR="003B3588" w:rsidRPr="00CB3320" w:rsidRDefault="003B3588" w:rsidP="003B3588">
            <w:pPr>
              <w:pStyle w:val="table"/>
              <w:rPr>
                <w:sz w:val="21"/>
              </w:rPr>
            </w:pPr>
            <w:r w:rsidRPr="00CB3320">
              <w:rPr>
                <w:sz w:val="21"/>
              </w:rPr>
              <w:t>0.00551</w:t>
            </w:r>
          </w:p>
          <w:p w14:paraId="2218114A" w14:textId="4C5BEB75" w:rsidR="00AC6AAD" w:rsidRPr="00CB3320" w:rsidRDefault="00AC6AAD" w:rsidP="00AC6AAD">
            <w:pPr>
              <w:ind w:firstLine="420"/>
              <w:rPr>
                <w:lang w:val="de-DE" w:bidi="en-US"/>
              </w:rPr>
            </w:pPr>
            <w:r w:rsidRPr="00CB3320">
              <w:t>(0.00640)</w:t>
            </w:r>
          </w:p>
        </w:tc>
        <w:tc>
          <w:tcPr>
            <w:tcW w:w="978" w:type="pct"/>
            <w:noWrap/>
            <w:vAlign w:val="center"/>
            <w:hideMark/>
          </w:tcPr>
          <w:p w14:paraId="105BF963" w14:textId="77777777" w:rsidR="003B3588" w:rsidRPr="00CB3320" w:rsidRDefault="003B3588" w:rsidP="003B3588">
            <w:pPr>
              <w:pStyle w:val="table"/>
              <w:rPr>
                <w:sz w:val="21"/>
              </w:rPr>
            </w:pPr>
          </w:p>
        </w:tc>
        <w:tc>
          <w:tcPr>
            <w:tcW w:w="982" w:type="pct"/>
            <w:noWrap/>
            <w:vAlign w:val="center"/>
            <w:hideMark/>
          </w:tcPr>
          <w:p w14:paraId="337AF29A" w14:textId="77777777" w:rsidR="003B3588" w:rsidRPr="00CB3320" w:rsidRDefault="003B3588" w:rsidP="003B3588">
            <w:pPr>
              <w:pStyle w:val="table"/>
              <w:rPr>
                <w:sz w:val="21"/>
              </w:rPr>
            </w:pPr>
          </w:p>
        </w:tc>
      </w:tr>
      <w:tr w:rsidR="003B3588" w:rsidRPr="00CB3320" w14:paraId="5F1B86BC" w14:textId="77777777" w:rsidTr="00D168B5">
        <w:trPr>
          <w:trHeight w:val="285"/>
        </w:trPr>
        <w:tc>
          <w:tcPr>
            <w:tcW w:w="1073" w:type="pct"/>
            <w:noWrap/>
            <w:vAlign w:val="center"/>
            <w:hideMark/>
          </w:tcPr>
          <w:p w14:paraId="30074D6F" w14:textId="77777777" w:rsidR="003B3588" w:rsidRPr="00CB3320" w:rsidRDefault="003B3588" w:rsidP="003B3588">
            <w:pPr>
              <w:pStyle w:val="table"/>
              <w:rPr>
                <w:sz w:val="21"/>
              </w:rPr>
            </w:pPr>
            <w:r w:rsidRPr="00CB3320">
              <w:rPr>
                <w:sz w:val="21"/>
              </w:rPr>
              <w:t>Ddeveloped</w:t>
            </w:r>
          </w:p>
        </w:tc>
        <w:tc>
          <w:tcPr>
            <w:tcW w:w="986" w:type="pct"/>
            <w:noWrap/>
            <w:vAlign w:val="center"/>
            <w:hideMark/>
          </w:tcPr>
          <w:p w14:paraId="233276BD" w14:textId="77777777" w:rsidR="003B3588" w:rsidRPr="00CB3320" w:rsidRDefault="003B3588" w:rsidP="003B3588">
            <w:pPr>
              <w:pStyle w:val="table"/>
              <w:rPr>
                <w:sz w:val="21"/>
              </w:rPr>
            </w:pPr>
          </w:p>
        </w:tc>
        <w:tc>
          <w:tcPr>
            <w:tcW w:w="981" w:type="pct"/>
            <w:noWrap/>
            <w:vAlign w:val="center"/>
            <w:hideMark/>
          </w:tcPr>
          <w:p w14:paraId="6201FB36" w14:textId="77777777" w:rsidR="003B3588" w:rsidRPr="00CB3320" w:rsidRDefault="003B3588" w:rsidP="003B3588">
            <w:pPr>
              <w:pStyle w:val="table"/>
              <w:rPr>
                <w:sz w:val="21"/>
              </w:rPr>
            </w:pPr>
          </w:p>
        </w:tc>
        <w:tc>
          <w:tcPr>
            <w:tcW w:w="978" w:type="pct"/>
            <w:noWrap/>
            <w:vAlign w:val="center"/>
            <w:hideMark/>
          </w:tcPr>
          <w:p w14:paraId="4A9223F6" w14:textId="77777777" w:rsidR="003B3588" w:rsidRPr="00CB3320" w:rsidRDefault="003B3588" w:rsidP="003B3588">
            <w:pPr>
              <w:pStyle w:val="table"/>
              <w:rPr>
                <w:sz w:val="21"/>
              </w:rPr>
            </w:pPr>
            <w:r w:rsidRPr="00CB3320">
              <w:rPr>
                <w:sz w:val="21"/>
              </w:rPr>
              <w:t>0.00812</w:t>
            </w:r>
          </w:p>
          <w:p w14:paraId="010F3C8F" w14:textId="637A642A" w:rsidR="00AC6AAD" w:rsidRPr="00CB3320" w:rsidRDefault="00AC6AAD" w:rsidP="00AC6AAD">
            <w:pPr>
              <w:ind w:firstLine="420"/>
              <w:rPr>
                <w:lang w:val="de-DE" w:bidi="en-US"/>
              </w:rPr>
            </w:pPr>
            <w:r w:rsidRPr="00CB3320">
              <w:t>(0.0116)</w:t>
            </w:r>
          </w:p>
        </w:tc>
        <w:tc>
          <w:tcPr>
            <w:tcW w:w="982" w:type="pct"/>
            <w:noWrap/>
            <w:vAlign w:val="center"/>
            <w:hideMark/>
          </w:tcPr>
          <w:p w14:paraId="5621E29B" w14:textId="77777777" w:rsidR="003B3588" w:rsidRPr="00CB3320" w:rsidRDefault="003B3588" w:rsidP="003B3588">
            <w:pPr>
              <w:pStyle w:val="table"/>
              <w:rPr>
                <w:sz w:val="21"/>
              </w:rPr>
            </w:pPr>
            <w:r w:rsidRPr="00CB3320">
              <w:rPr>
                <w:sz w:val="21"/>
              </w:rPr>
              <w:t>-0.00774</w:t>
            </w:r>
          </w:p>
          <w:p w14:paraId="4092E9AE" w14:textId="6CFF46B9" w:rsidR="00AC6AAD" w:rsidRPr="00CB3320" w:rsidRDefault="00AC6AAD" w:rsidP="00AC6AAD">
            <w:pPr>
              <w:ind w:firstLine="420"/>
              <w:rPr>
                <w:lang w:val="de-DE" w:bidi="en-US"/>
              </w:rPr>
            </w:pPr>
            <w:r w:rsidRPr="00CB3320">
              <w:t>(0.00677)</w:t>
            </w:r>
          </w:p>
        </w:tc>
      </w:tr>
      <w:tr w:rsidR="003B3588" w:rsidRPr="00CB3320" w14:paraId="57D5D43C" w14:textId="77777777" w:rsidTr="00D168B5">
        <w:trPr>
          <w:trHeight w:val="285"/>
        </w:trPr>
        <w:tc>
          <w:tcPr>
            <w:tcW w:w="1073" w:type="pct"/>
            <w:noWrap/>
            <w:vAlign w:val="center"/>
            <w:hideMark/>
          </w:tcPr>
          <w:p w14:paraId="0DED03CB" w14:textId="77777777" w:rsidR="003B3588" w:rsidRPr="00CB3320" w:rsidRDefault="003B3588" w:rsidP="003B3588">
            <w:pPr>
              <w:pStyle w:val="table"/>
              <w:rPr>
                <w:sz w:val="21"/>
              </w:rPr>
            </w:pPr>
            <w:r w:rsidRPr="00CB3320">
              <w:rPr>
                <w:sz w:val="21"/>
              </w:rPr>
              <w:t>Ddeveloping</w:t>
            </w:r>
          </w:p>
        </w:tc>
        <w:tc>
          <w:tcPr>
            <w:tcW w:w="986" w:type="pct"/>
            <w:noWrap/>
            <w:vAlign w:val="center"/>
            <w:hideMark/>
          </w:tcPr>
          <w:p w14:paraId="58B7443B" w14:textId="77777777" w:rsidR="003B3588" w:rsidRPr="00CB3320" w:rsidRDefault="003B3588" w:rsidP="003B3588">
            <w:pPr>
              <w:pStyle w:val="table"/>
              <w:rPr>
                <w:sz w:val="21"/>
              </w:rPr>
            </w:pPr>
          </w:p>
        </w:tc>
        <w:tc>
          <w:tcPr>
            <w:tcW w:w="981" w:type="pct"/>
            <w:noWrap/>
            <w:vAlign w:val="center"/>
            <w:hideMark/>
          </w:tcPr>
          <w:p w14:paraId="09C18233" w14:textId="77777777" w:rsidR="003B3588" w:rsidRPr="00CB3320" w:rsidRDefault="003B3588" w:rsidP="003B3588">
            <w:pPr>
              <w:pStyle w:val="table"/>
              <w:rPr>
                <w:sz w:val="21"/>
              </w:rPr>
            </w:pPr>
          </w:p>
        </w:tc>
        <w:tc>
          <w:tcPr>
            <w:tcW w:w="978" w:type="pct"/>
            <w:noWrap/>
            <w:vAlign w:val="center"/>
            <w:hideMark/>
          </w:tcPr>
          <w:p w14:paraId="78EFEFE6" w14:textId="77777777" w:rsidR="003B3588" w:rsidRPr="00CB3320" w:rsidRDefault="003B3588" w:rsidP="003B3588">
            <w:pPr>
              <w:pStyle w:val="table"/>
              <w:rPr>
                <w:sz w:val="21"/>
              </w:rPr>
            </w:pPr>
            <w:r w:rsidRPr="00CB3320">
              <w:rPr>
                <w:sz w:val="21"/>
              </w:rPr>
              <w:t>-0.0216***</w:t>
            </w:r>
          </w:p>
          <w:p w14:paraId="5FAC8E2E" w14:textId="27D34B5C" w:rsidR="00AC6AAD" w:rsidRPr="00CB3320" w:rsidRDefault="00AC6AAD" w:rsidP="00AC6AAD">
            <w:pPr>
              <w:ind w:firstLine="420"/>
              <w:rPr>
                <w:lang w:val="de-DE" w:bidi="en-US"/>
              </w:rPr>
            </w:pPr>
            <w:r w:rsidRPr="00CB3320">
              <w:t>0.00812</w:t>
            </w:r>
          </w:p>
        </w:tc>
        <w:tc>
          <w:tcPr>
            <w:tcW w:w="982" w:type="pct"/>
            <w:noWrap/>
            <w:vAlign w:val="center"/>
            <w:hideMark/>
          </w:tcPr>
          <w:p w14:paraId="1F1A6529" w14:textId="77777777" w:rsidR="003B3588" w:rsidRPr="00CB3320" w:rsidRDefault="003B3588" w:rsidP="003B3588">
            <w:pPr>
              <w:pStyle w:val="table"/>
              <w:rPr>
                <w:sz w:val="21"/>
              </w:rPr>
            </w:pPr>
            <w:r w:rsidRPr="00CB3320">
              <w:rPr>
                <w:sz w:val="21"/>
              </w:rPr>
              <w:t>-0.0407***</w:t>
            </w:r>
          </w:p>
          <w:p w14:paraId="79D768A1" w14:textId="52A7997B" w:rsidR="00AC6AAD" w:rsidRPr="00CB3320" w:rsidRDefault="00AC6AAD" w:rsidP="00AC6AAD">
            <w:pPr>
              <w:ind w:firstLine="420"/>
              <w:rPr>
                <w:lang w:val="de-DE" w:bidi="en-US"/>
              </w:rPr>
            </w:pPr>
            <w:r w:rsidRPr="00CB3320">
              <w:t>-0.00774</w:t>
            </w:r>
          </w:p>
        </w:tc>
      </w:tr>
      <w:tr w:rsidR="00FB4366" w:rsidRPr="00CB3320" w14:paraId="041343A7" w14:textId="77777777" w:rsidTr="00D168B5">
        <w:trPr>
          <w:trHeight w:val="285"/>
        </w:trPr>
        <w:tc>
          <w:tcPr>
            <w:tcW w:w="1073" w:type="pct"/>
            <w:noWrap/>
            <w:vAlign w:val="center"/>
            <w:hideMark/>
          </w:tcPr>
          <w:p w14:paraId="2D3CFB3B" w14:textId="2C401AF4" w:rsidR="00FB4366" w:rsidRPr="00CB3320" w:rsidRDefault="00FB4366" w:rsidP="008563F3">
            <w:pPr>
              <w:pStyle w:val="table"/>
              <w:rPr>
                <w:bCs/>
                <w:kern w:val="2"/>
                <w:sz w:val="21"/>
              </w:rPr>
            </w:pPr>
            <w:r w:rsidRPr="00CB3320">
              <w:rPr>
                <w:rFonts w:hint="eastAsia"/>
                <w:sz w:val="21"/>
              </w:rPr>
              <w:t>控制变量</w:t>
            </w:r>
          </w:p>
        </w:tc>
        <w:tc>
          <w:tcPr>
            <w:tcW w:w="986" w:type="pct"/>
            <w:noWrap/>
            <w:vAlign w:val="center"/>
            <w:hideMark/>
          </w:tcPr>
          <w:p w14:paraId="177EBEC8" w14:textId="77777777" w:rsidR="00FB4366" w:rsidRPr="00CB3320" w:rsidRDefault="00FB4366" w:rsidP="003B3588">
            <w:pPr>
              <w:pStyle w:val="table"/>
              <w:rPr>
                <w:sz w:val="21"/>
              </w:rPr>
            </w:pPr>
          </w:p>
        </w:tc>
        <w:tc>
          <w:tcPr>
            <w:tcW w:w="981" w:type="pct"/>
            <w:noWrap/>
            <w:vAlign w:val="center"/>
            <w:hideMark/>
          </w:tcPr>
          <w:p w14:paraId="7469C8E8" w14:textId="4E59F546" w:rsidR="00FB4366" w:rsidRPr="00CB3320" w:rsidRDefault="00B44A4B" w:rsidP="003B3588">
            <w:pPr>
              <w:pStyle w:val="table"/>
              <w:rPr>
                <w:sz w:val="21"/>
              </w:rPr>
            </w:pPr>
            <w:r w:rsidRPr="00CB3320">
              <w:rPr>
                <w:sz w:val="21"/>
              </w:rPr>
              <w:t>√</w:t>
            </w:r>
          </w:p>
        </w:tc>
        <w:tc>
          <w:tcPr>
            <w:tcW w:w="978" w:type="pct"/>
            <w:noWrap/>
            <w:vAlign w:val="center"/>
            <w:hideMark/>
          </w:tcPr>
          <w:p w14:paraId="194D6CB6" w14:textId="77777777" w:rsidR="00FB4366" w:rsidRPr="00CB3320" w:rsidRDefault="00FB4366" w:rsidP="003B3588">
            <w:pPr>
              <w:pStyle w:val="table"/>
              <w:rPr>
                <w:sz w:val="21"/>
              </w:rPr>
            </w:pPr>
          </w:p>
        </w:tc>
        <w:tc>
          <w:tcPr>
            <w:tcW w:w="982" w:type="pct"/>
            <w:noWrap/>
            <w:vAlign w:val="center"/>
            <w:hideMark/>
          </w:tcPr>
          <w:p w14:paraId="4A50427B" w14:textId="2268A777" w:rsidR="00FB4366" w:rsidRPr="00CB3320" w:rsidRDefault="00B44A4B" w:rsidP="003B3588">
            <w:pPr>
              <w:pStyle w:val="table"/>
              <w:rPr>
                <w:sz w:val="21"/>
              </w:rPr>
            </w:pPr>
            <w:r w:rsidRPr="00CB3320">
              <w:rPr>
                <w:sz w:val="21"/>
              </w:rPr>
              <w:t>√</w:t>
            </w:r>
          </w:p>
        </w:tc>
      </w:tr>
      <w:tr w:rsidR="00FB4366" w:rsidRPr="00CB3320" w14:paraId="33DD138A" w14:textId="77777777" w:rsidTr="00D168B5">
        <w:trPr>
          <w:trHeight w:val="285"/>
        </w:trPr>
        <w:tc>
          <w:tcPr>
            <w:tcW w:w="1073" w:type="pct"/>
            <w:noWrap/>
            <w:vAlign w:val="center"/>
            <w:hideMark/>
          </w:tcPr>
          <w:p w14:paraId="7216FE69" w14:textId="47724215" w:rsidR="00FB4366" w:rsidRPr="00CB3320" w:rsidRDefault="00FB4366" w:rsidP="008563F3">
            <w:pPr>
              <w:pStyle w:val="table"/>
              <w:rPr>
                <w:bCs/>
                <w:kern w:val="2"/>
                <w:sz w:val="21"/>
              </w:rPr>
            </w:pPr>
            <w:r w:rsidRPr="00CB3320">
              <w:rPr>
                <w:rFonts w:hint="eastAsia"/>
                <w:sz w:val="21"/>
              </w:rPr>
              <w:t>时间固定效应</w:t>
            </w:r>
          </w:p>
        </w:tc>
        <w:tc>
          <w:tcPr>
            <w:tcW w:w="986" w:type="pct"/>
            <w:noWrap/>
            <w:vAlign w:val="center"/>
            <w:hideMark/>
          </w:tcPr>
          <w:p w14:paraId="772AEA71" w14:textId="61385225" w:rsidR="00FB4366" w:rsidRPr="00CB3320" w:rsidRDefault="00B44A4B" w:rsidP="003B3588">
            <w:pPr>
              <w:pStyle w:val="table"/>
              <w:rPr>
                <w:sz w:val="21"/>
              </w:rPr>
            </w:pPr>
            <w:r w:rsidRPr="00CB3320">
              <w:rPr>
                <w:sz w:val="21"/>
              </w:rPr>
              <w:t>√</w:t>
            </w:r>
          </w:p>
        </w:tc>
        <w:tc>
          <w:tcPr>
            <w:tcW w:w="981" w:type="pct"/>
            <w:noWrap/>
            <w:vAlign w:val="center"/>
            <w:hideMark/>
          </w:tcPr>
          <w:p w14:paraId="4470EB42" w14:textId="44A06227" w:rsidR="00FB4366" w:rsidRPr="00CB3320" w:rsidRDefault="00B44A4B" w:rsidP="003B3588">
            <w:pPr>
              <w:pStyle w:val="table"/>
              <w:rPr>
                <w:sz w:val="21"/>
              </w:rPr>
            </w:pPr>
            <w:r w:rsidRPr="00CB3320">
              <w:rPr>
                <w:sz w:val="21"/>
              </w:rPr>
              <w:t>√</w:t>
            </w:r>
          </w:p>
        </w:tc>
        <w:tc>
          <w:tcPr>
            <w:tcW w:w="978" w:type="pct"/>
            <w:noWrap/>
            <w:vAlign w:val="center"/>
            <w:hideMark/>
          </w:tcPr>
          <w:p w14:paraId="3AFE26B5" w14:textId="22311BE1" w:rsidR="00FB4366" w:rsidRPr="00CB3320" w:rsidRDefault="00B44A4B" w:rsidP="003B3588">
            <w:pPr>
              <w:pStyle w:val="table"/>
              <w:rPr>
                <w:sz w:val="21"/>
              </w:rPr>
            </w:pPr>
            <w:r w:rsidRPr="00CB3320">
              <w:rPr>
                <w:sz w:val="21"/>
              </w:rPr>
              <w:t>√</w:t>
            </w:r>
          </w:p>
        </w:tc>
        <w:tc>
          <w:tcPr>
            <w:tcW w:w="982" w:type="pct"/>
            <w:noWrap/>
            <w:vAlign w:val="center"/>
            <w:hideMark/>
          </w:tcPr>
          <w:p w14:paraId="431FBE87" w14:textId="20FA377F" w:rsidR="00FB4366" w:rsidRPr="00CB3320" w:rsidRDefault="00B44A4B" w:rsidP="003B3588">
            <w:pPr>
              <w:pStyle w:val="table"/>
              <w:rPr>
                <w:sz w:val="21"/>
              </w:rPr>
            </w:pPr>
            <w:r w:rsidRPr="00CB3320">
              <w:rPr>
                <w:sz w:val="21"/>
              </w:rPr>
              <w:t>√</w:t>
            </w:r>
          </w:p>
        </w:tc>
      </w:tr>
      <w:tr w:rsidR="00FB4366" w:rsidRPr="00CB3320" w14:paraId="53BAB92E" w14:textId="77777777" w:rsidTr="00D168B5">
        <w:trPr>
          <w:trHeight w:val="285"/>
        </w:trPr>
        <w:tc>
          <w:tcPr>
            <w:tcW w:w="1073" w:type="pct"/>
            <w:noWrap/>
            <w:vAlign w:val="center"/>
            <w:hideMark/>
          </w:tcPr>
          <w:p w14:paraId="43436E73" w14:textId="016BFFF1" w:rsidR="00FB4366" w:rsidRPr="00CB3320" w:rsidRDefault="00FB4366" w:rsidP="008563F3">
            <w:pPr>
              <w:pStyle w:val="table"/>
              <w:rPr>
                <w:bCs/>
                <w:kern w:val="2"/>
                <w:sz w:val="21"/>
              </w:rPr>
            </w:pPr>
            <w:r w:rsidRPr="00CB3320">
              <w:rPr>
                <w:rFonts w:hint="eastAsia"/>
                <w:sz w:val="21"/>
              </w:rPr>
              <w:t>个体固定效应</w:t>
            </w:r>
          </w:p>
        </w:tc>
        <w:tc>
          <w:tcPr>
            <w:tcW w:w="986" w:type="pct"/>
            <w:noWrap/>
            <w:vAlign w:val="center"/>
            <w:hideMark/>
          </w:tcPr>
          <w:p w14:paraId="0CF0F90A" w14:textId="534F78C6" w:rsidR="00FB4366" w:rsidRPr="00CB3320" w:rsidRDefault="00B44A4B" w:rsidP="003B3588">
            <w:pPr>
              <w:pStyle w:val="table"/>
              <w:rPr>
                <w:sz w:val="21"/>
              </w:rPr>
            </w:pPr>
            <w:r w:rsidRPr="00CB3320">
              <w:rPr>
                <w:sz w:val="21"/>
              </w:rPr>
              <w:t>√</w:t>
            </w:r>
          </w:p>
        </w:tc>
        <w:tc>
          <w:tcPr>
            <w:tcW w:w="981" w:type="pct"/>
            <w:noWrap/>
            <w:vAlign w:val="center"/>
            <w:hideMark/>
          </w:tcPr>
          <w:p w14:paraId="138E9E25" w14:textId="6A68716C" w:rsidR="00FB4366" w:rsidRPr="00CB3320" w:rsidRDefault="00B44A4B" w:rsidP="003B3588">
            <w:pPr>
              <w:pStyle w:val="table"/>
              <w:rPr>
                <w:sz w:val="21"/>
              </w:rPr>
            </w:pPr>
            <w:r w:rsidRPr="00CB3320">
              <w:rPr>
                <w:sz w:val="21"/>
              </w:rPr>
              <w:t>√</w:t>
            </w:r>
          </w:p>
        </w:tc>
        <w:tc>
          <w:tcPr>
            <w:tcW w:w="978" w:type="pct"/>
            <w:noWrap/>
            <w:vAlign w:val="center"/>
            <w:hideMark/>
          </w:tcPr>
          <w:p w14:paraId="6155BD0B" w14:textId="3AF521DA" w:rsidR="00FB4366" w:rsidRPr="00CB3320" w:rsidRDefault="00B44A4B" w:rsidP="003B3588">
            <w:pPr>
              <w:pStyle w:val="table"/>
              <w:rPr>
                <w:sz w:val="21"/>
              </w:rPr>
            </w:pPr>
            <w:r w:rsidRPr="00CB3320">
              <w:rPr>
                <w:sz w:val="21"/>
              </w:rPr>
              <w:t>√</w:t>
            </w:r>
          </w:p>
        </w:tc>
        <w:tc>
          <w:tcPr>
            <w:tcW w:w="982" w:type="pct"/>
            <w:noWrap/>
            <w:vAlign w:val="center"/>
            <w:hideMark/>
          </w:tcPr>
          <w:p w14:paraId="31423367" w14:textId="1BB9CC85" w:rsidR="00FB4366" w:rsidRPr="00CB3320" w:rsidRDefault="00B44A4B" w:rsidP="003B3588">
            <w:pPr>
              <w:pStyle w:val="table"/>
              <w:rPr>
                <w:sz w:val="21"/>
              </w:rPr>
            </w:pPr>
            <w:r w:rsidRPr="00CB3320">
              <w:rPr>
                <w:sz w:val="21"/>
              </w:rPr>
              <w:t>√</w:t>
            </w:r>
          </w:p>
        </w:tc>
      </w:tr>
      <w:tr w:rsidR="003B3588" w:rsidRPr="00CB3320" w14:paraId="5799CF1E" w14:textId="77777777" w:rsidTr="00D168B5">
        <w:trPr>
          <w:trHeight w:val="285"/>
        </w:trPr>
        <w:tc>
          <w:tcPr>
            <w:tcW w:w="1073" w:type="pct"/>
            <w:noWrap/>
            <w:vAlign w:val="center"/>
            <w:hideMark/>
          </w:tcPr>
          <w:p w14:paraId="3D5EED7B" w14:textId="77777777" w:rsidR="003B3588" w:rsidRPr="00CB3320" w:rsidRDefault="003B3588" w:rsidP="003B3588">
            <w:pPr>
              <w:pStyle w:val="table"/>
              <w:rPr>
                <w:sz w:val="21"/>
              </w:rPr>
            </w:pPr>
            <w:r w:rsidRPr="00CB3320">
              <w:rPr>
                <w:sz w:val="21"/>
              </w:rPr>
              <w:t>N</w:t>
            </w:r>
          </w:p>
        </w:tc>
        <w:tc>
          <w:tcPr>
            <w:tcW w:w="986" w:type="pct"/>
            <w:noWrap/>
            <w:vAlign w:val="center"/>
            <w:hideMark/>
          </w:tcPr>
          <w:p w14:paraId="7DC9645E" w14:textId="3FCB14CB" w:rsidR="003B3588" w:rsidRPr="00CB3320" w:rsidRDefault="003B3588" w:rsidP="003B3588">
            <w:pPr>
              <w:pStyle w:val="table"/>
              <w:rPr>
                <w:sz w:val="21"/>
              </w:rPr>
            </w:pPr>
            <w:r w:rsidRPr="00CB3320">
              <w:rPr>
                <w:sz w:val="21"/>
              </w:rPr>
              <w:t>3154</w:t>
            </w:r>
          </w:p>
        </w:tc>
        <w:tc>
          <w:tcPr>
            <w:tcW w:w="981" w:type="pct"/>
            <w:noWrap/>
            <w:vAlign w:val="center"/>
            <w:hideMark/>
          </w:tcPr>
          <w:p w14:paraId="321C5E70" w14:textId="5738E6B0" w:rsidR="003B3588" w:rsidRPr="00CB3320" w:rsidRDefault="003B3588" w:rsidP="003B3588">
            <w:pPr>
              <w:pStyle w:val="table"/>
              <w:rPr>
                <w:sz w:val="21"/>
              </w:rPr>
            </w:pPr>
            <w:r w:rsidRPr="00CB3320">
              <w:rPr>
                <w:sz w:val="21"/>
              </w:rPr>
              <w:t>3036</w:t>
            </w:r>
          </w:p>
        </w:tc>
        <w:tc>
          <w:tcPr>
            <w:tcW w:w="978" w:type="pct"/>
            <w:noWrap/>
            <w:vAlign w:val="center"/>
            <w:hideMark/>
          </w:tcPr>
          <w:p w14:paraId="055FC4EF" w14:textId="64045BD3" w:rsidR="003B3588" w:rsidRPr="00CB3320" w:rsidRDefault="003B3588" w:rsidP="003B3588">
            <w:pPr>
              <w:pStyle w:val="table"/>
              <w:rPr>
                <w:sz w:val="21"/>
              </w:rPr>
            </w:pPr>
            <w:r w:rsidRPr="00CB3320">
              <w:rPr>
                <w:sz w:val="21"/>
              </w:rPr>
              <w:t>3154</w:t>
            </w:r>
          </w:p>
        </w:tc>
        <w:tc>
          <w:tcPr>
            <w:tcW w:w="982" w:type="pct"/>
            <w:noWrap/>
            <w:vAlign w:val="center"/>
            <w:hideMark/>
          </w:tcPr>
          <w:p w14:paraId="4612BAEC" w14:textId="3835F87F" w:rsidR="003B3588" w:rsidRPr="00CB3320" w:rsidRDefault="003B3588" w:rsidP="003B3588">
            <w:pPr>
              <w:pStyle w:val="table"/>
              <w:rPr>
                <w:sz w:val="21"/>
              </w:rPr>
            </w:pPr>
            <w:r w:rsidRPr="00CB3320">
              <w:rPr>
                <w:sz w:val="21"/>
              </w:rPr>
              <w:t>3036</w:t>
            </w:r>
          </w:p>
        </w:tc>
      </w:tr>
      <w:tr w:rsidR="003B3588" w:rsidRPr="00CB3320" w14:paraId="1EFDB308" w14:textId="77777777" w:rsidTr="00D168B5">
        <w:trPr>
          <w:trHeight w:val="285"/>
        </w:trPr>
        <w:tc>
          <w:tcPr>
            <w:tcW w:w="1073" w:type="pct"/>
            <w:noWrap/>
            <w:vAlign w:val="center"/>
            <w:hideMark/>
          </w:tcPr>
          <w:p w14:paraId="42AB9481" w14:textId="37EA812F" w:rsidR="003B3588" w:rsidRPr="00CB3320" w:rsidRDefault="003B3588" w:rsidP="003B3588">
            <w:pPr>
              <w:pStyle w:val="table"/>
              <w:rPr>
                <w:sz w:val="21"/>
              </w:rPr>
            </w:pPr>
            <w:r w:rsidRPr="00CB3320">
              <w:rPr>
                <w:sz w:val="21"/>
              </w:rPr>
              <w:t>R</w:t>
            </w:r>
            <w:r w:rsidRPr="00CB3320">
              <w:rPr>
                <w:sz w:val="21"/>
                <w:vertAlign w:val="superscript"/>
              </w:rPr>
              <w:t>2</w:t>
            </w:r>
          </w:p>
        </w:tc>
        <w:tc>
          <w:tcPr>
            <w:tcW w:w="986" w:type="pct"/>
            <w:noWrap/>
            <w:vAlign w:val="center"/>
            <w:hideMark/>
          </w:tcPr>
          <w:p w14:paraId="4B6CF433" w14:textId="33E9BA64" w:rsidR="003B3588" w:rsidRPr="00CB3320" w:rsidRDefault="003B3588" w:rsidP="003B3588">
            <w:pPr>
              <w:pStyle w:val="table"/>
              <w:rPr>
                <w:sz w:val="21"/>
              </w:rPr>
            </w:pPr>
            <w:r w:rsidRPr="00CB3320">
              <w:rPr>
                <w:sz w:val="21"/>
              </w:rPr>
              <w:t>0.244</w:t>
            </w:r>
          </w:p>
        </w:tc>
        <w:tc>
          <w:tcPr>
            <w:tcW w:w="981" w:type="pct"/>
            <w:noWrap/>
            <w:vAlign w:val="center"/>
            <w:hideMark/>
          </w:tcPr>
          <w:p w14:paraId="2DE1327A" w14:textId="2964F25A" w:rsidR="003B3588" w:rsidRPr="00CB3320" w:rsidRDefault="003B3588" w:rsidP="003B3588">
            <w:pPr>
              <w:pStyle w:val="table"/>
              <w:rPr>
                <w:sz w:val="21"/>
              </w:rPr>
            </w:pPr>
            <w:r w:rsidRPr="00CB3320">
              <w:rPr>
                <w:sz w:val="21"/>
              </w:rPr>
              <w:t>0.482</w:t>
            </w:r>
          </w:p>
        </w:tc>
        <w:tc>
          <w:tcPr>
            <w:tcW w:w="978" w:type="pct"/>
            <w:noWrap/>
            <w:vAlign w:val="center"/>
            <w:hideMark/>
          </w:tcPr>
          <w:p w14:paraId="335A4604" w14:textId="6E1B3F34" w:rsidR="003B3588" w:rsidRPr="00CB3320" w:rsidRDefault="003B3588" w:rsidP="003B3588">
            <w:pPr>
              <w:pStyle w:val="table"/>
              <w:rPr>
                <w:sz w:val="21"/>
              </w:rPr>
            </w:pPr>
            <w:r w:rsidRPr="00CB3320">
              <w:rPr>
                <w:sz w:val="21"/>
              </w:rPr>
              <w:t>0.242</w:t>
            </w:r>
          </w:p>
        </w:tc>
        <w:tc>
          <w:tcPr>
            <w:tcW w:w="982" w:type="pct"/>
            <w:noWrap/>
            <w:vAlign w:val="center"/>
            <w:hideMark/>
          </w:tcPr>
          <w:p w14:paraId="293CDD2C" w14:textId="15F30B25" w:rsidR="003B3588" w:rsidRPr="00CB3320" w:rsidRDefault="003B3588" w:rsidP="003B3588">
            <w:pPr>
              <w:pStyle w:val="table"/>
              <w:rPr>
                <w:sz w:val="21"/>
              </w:rPr>
            </w:pPr>
            <w:r w:rsidRPr="00CB3320">
              <w:rPr>
                <w:sz w:val="21"/>
              </w:rPr>
              <w:t>0.481</w:t>
            </w:r>
          </w:p>
        </w:tc>
      </w:tr>
    </w:tbl>
    <w:p w14:paraId="2DBA8863" w14:textId="680EFD5A" w:rsidR="00AC6AAD" w:rsidRPr="00CB3320" w:rsidRDefault="00AC6AAD" w:rsidP="00AC6AAD">
      <w:pPr>
        <w:ind w:firstLine="300"/>
        <w:rPr>
          <w:rFonts w:eastAsia="楷体" w:cs="Times New Roman"/>
          <w:sz w:val="15"/>
          <w:szCs w:val="15"/>
        </w:rPr>
      </w:pPr>
      <w:bookmarkStart w:id="40" w:name="_Toc121778125"/>
      <w:r w:rsidRPr="00CB3320">
        <w:rPr>
          <w:rFonts w:eastAsia="楷体" w:cs="Times New Roman"/>
          <w:sz w:val="15"/>
          <w:szCs w:val="15"/>
        </w:rPr>
        <w:t>注：括号中为</w:t>
      </w:r>
      <w:r w:rsidRPr="00CB3320">
        <w:rPr>
          <w:rFonts w:eastAsia="楷体" w:cs="Times New Roman" w:hint="eastAsia"/>
          <w:sz w:val="15"/>
          <w:szCs w:val="15"/>
        </w:rPr>
        <w:t>聚类到省份的稳健标准误；</w:t>
      </w:r>
      <w:r w:rsidRPr="00CB3320">
        <w:rPr>
          <w:rFonts w:eastAsia="楷体" w:cs="Times New Roman"/>
          <w:sz w:val="15"/>
          <w:szCs w:val="15"/>
        </w:rPr>
        <w:t>* p&lt;0.10, ** p&lt;0.05, *** p&lt;0.01</w:t>
      </w:r>
      <w:r w:rsidRPr="00CB3320">
        <w:rPr>
          <w:rFonts w:eastAsia="楷体" w:cs="Times New Roman" w:hint="eastAsia"/>
          <w:sz w:val="15"/>
          <w:szCs w:val="15"/>
        </w:rPr>
        <w:t>；</w:t>
      </w:r>
      <w:proofErr w:type="spellStart"/>
      <w:r w:rsidRPr="00CB3320">
        <w:rPr>
          <w:rFonts w:eastAsia="楷体" w:cs="Times New Roman" w:hint="eastAsia"/>
          <w:sz w:val="15"/>
          <w:szCs w:val="15"/>
        </w:rPr>
        <w:t>Dsz</w:t>
      </w:r>
      <w:proofErr w:type="spellEnd"/>
      <w:r w:rsidRPr="00CB3320">
        <w:rPr>
          <w:rFonts w:eastAsia="楷体" w:cs="Times New Roman" w:hint="eastAsia"/>
          <w:sz w:val="15"/>
          <w:szCs w:val="15"/>
        </w:rPr>
        <w:t>、</w:t>
      </w:r>
      <w:proofErr w:type="spellStart"/>
      <w:r w:rsidRPr="00CB3320">
        <w:rPr>
          <w:rFonts w:eastAsia="楷体" w:cs="Times New Roman" w:hint="eastAsia"/>
          <w:sz w:val="15"/>
          <w:szCs w:val="15"/>
        </w:rPr>
        <w:t>Dbj</w:t>
      </w:r>
      <w:proofErr w:type="spellEnd"/>
      <w:r w:rsidRPr="00CB3320">
        <w:rPr>
          <w:rFonts w:eastAsia="楷体" w:cs="Times New Roman" w:hint="eastAsia"/>
          <w:sz w:val="15"/>
          <w:szCs w:val="15"/>
        </w:rPr>
        <w:t>、</w:t>
      </w:r>
      <w:proofErr w:type="spellStart"/>
      <w:r w:rsidRPr="00CB3320">
        <w:rPr>
          <w:rFonts w:eastAsia="楷体" w:cs="Times New Roman" w:hint="eastAsia"/>
          <w:sz w:val="15"/>
          <w:szCs w:val="15"/>
        </w:rPr>
        <w:t>Dsh</w:t>
      </w:r>
      <w:proofErr w:type="spellEnd"/>
      <w:r w:rsidRPr="00CB3320">
        <w:rPr>
          <w:rFonts w:eastAsia="楷体" w:cs="Times New Roman" w:hint="eastAsia"/>
          <w:sz w:val="15"/>
          <w:szCs w:val="15"/>
        </w:rPr>
        <w:t>、</w:t>
      </w:r>
      <w:proofErr w:type="spellStart"/>
      <w:r w:rsidRPr="00CB3320">
        <w:rPr>
          <w:rFonts w:eastAsia="楷体" w:cs="Times New Roman" w:hint="eastAsia"/>
          <w:sz w:val="15"/>
          <w:szCs w:val="15"/>
        </w:rPr>
        <w:t>Dtj</w:t>
      </w:r>
      <w:proofErr w:type="spellEnd"/>
      <w:r w:rsidRPr="00CB3320">
        <w:rPr>
          <w:rFonts w:eastAsia="楷体" w:cs="Times New Roman" w:hint="eastAsia"/>
          <w:sz w:val="15"/>
          <w:szCs w:val="15"/>
        </w:rPr>
        <w:t>、</w:t>
      </w:r>
      <w:proofErr w:type="spellStart"/>
      <w:r w:rsidRPr="00CB3320">
        <w:rPr>
          <w:rFonts w:eastAsia="楷体" w:cs="Times New Roman" w:hint="eastAsia"/>
          <w:sz w:val="15"/>
          <w:szCs w:val="15"/>
        </w:rPr>
        <w:t>Dgd</w:t>
      </w:r>
      <w:proofErr w:type="spellEnd"/>
      <w:r w:rsidRPr="00CB3320">
        <w:rPr>
          <w:rFonts w:eastAsia="楷体" w:cs="Times New Roman" w:hint="eastAsia"/>
          <w:sz w:val="15"/>
          <w:szCs w:val="15"/>
        </w:rPr>
        <w:t>、</w:t>
      </w:r>
      <w:proofErr w:type="spellStart"/>
      <w:r w:rsidRPr="00CB3320">
        <w:rPr>
          <w:rFonts w:eastAsia="楷体" w:cs="Times New Roman" w:hint="eastAsia"/>
          <w:sz w:val="15"/>
          <w:szCs w:val="15"/>
        </w:rPr>
        <w:t>Dhb</w:t>
      </w:r>
      <w:proofErr w:type="spellEnd"/>
      <w:r w:rsidRPr="00CB3320">
        <w:rPr>
          <w:rFonts w:eastAsia="楷体" w:cs="Times New Roman" w:hint="eastAsia"/>
          <w:sz w:val="15"/>
          <w:szCs w:val="15"/>
        </w:rPr>
        <w:t>和</w:t>
      </w:r>
      <w:proofErr w:type="spellStart"/>
      <w:r w:rsidRPr="00CB3320">
        <w:rPr>
          <w:rFonts w:eastAsia="楷体" w:cs="Times New Roman" w:hint="eastAsia"/>
          <w:sz w:val="15"/>
          <w:szCs w:val="15"/>
        </w:rPr>
        <w:t>Dcq</w:t>
      </w:r>
      <w:proofErr w:type="spellEnd"/>
      <w:r w:rsidRPr="00CB3320">
        <w:rPr>
          <w:rFonts w:eastAsia="楷体" w:cs="Times New Roman" w:hint="eastAsia"/>
          <w:sz w:val="15"/>
          <w:szCs w:val="15"/>
        </w:rPr>
        <w:t>分别是深圳、北京、上海、天津、广东、湖北和重庆的</w:t>
      </w:r>
      <w:proofErr w:type="gramStart"/>
      <w:r w:rsidRPr="00CB3320">
        <w:rPr>
          <w:rFonts w:eastAsia="楷体" w:cs="Times New Roman" w:hint="eastAsia"/>
          <w:sz w:val="15"/>
          <w:szCs w:val="15"/>
        </w:rPr>
        <w:t>碳试点</w:t>
      </w:r>
      <w:proofErr w:type="gramEnd"/>
      <w:r w:rsidRPr="00CB3320">
        <w:rPr>
          <w:rFonts w:eastAsia="楷体" w:cs="Times New Roman" w:hint="eastAsia"/>
          <w:sz w:val="15"/>
          <w:szCs w:val="15"/>
        </w:rPr>
        <w:t>的虚拟变量。</w:t>
      </w:r>
      <w:proofErr w:type="spellStart"/>
      <w:r w:rsidRPr="00CB3320">
        <w:rPr>
          <w:rFonts w:eastAsia="楷体" w:cs="Times New Roman" w:hint="eastAsia"/>
          <w:sz w:val="15"/>
          <w:szCs w:val="15"/>
        </w:rPr>
        <w:t>Ddeveloped</w:t>
      </w:r>
      <w:proofErr w:type="spellEnd"/>
      <w:r w:rsidRPr="00CB3320">
        <w:rPr>
          <w:rFonts w:eastAsia="楷体" w:cs="Times New Roman" w:hint="eastAsia"/>
          <w:sz w:val="15"/>
          <w:szCs w:val="15"/>
        </w:rPr>
        <w:t>是经济水平较高的碳试点（北京、上海、广州、深圳和重庆）</w:t>
      </w:r>
      <w:proofErr w:type="gramStart"/>
      <w:r w:rsidRPr="00CB3320">
        <w:rPr>
          <w:rFonts w:eastAsia="楷体" w:cs="Times New Roman" w:hint="eastAsia"/>
          <w:sz w:val="15"/>
          <w:szCs w:val="15"/>
        </w:rPr>
        <w:t>碳交易</w:t>
      </w:r>
      <w:proofErr w:type="gramEnd"/>
      <w:r w:rsidRPr="00CB3320">
        <w:rPr>
          <w:rFonts w:eastAsia="楷体" w:cs="Times New Roman" w:hint="eastAsia"/>
          <w:sz w:val="15"/>
          <w:szCs w:val="15"/>
        </w:rPr>
        <w:t>的虚拟变量。</w:t>
      </w:r>
      <w:proofErr w:type="spellStart"/>
      <w:r w:rsidRPr="00CB3320">
        <w:rPr>
          <w:rFonts w:eastAsia="楷体" w:cs="Times New Roman"/>
          <w:sz w:val="15"/>
          <w:szCs w:val="15"/>
        </w:rPr>
        <w:t>Ddeveloping</w:t>
      </w:r>
      <w:proofErr w:type="spellEnd"/>
      <w:r w:rsidRPr="00CB3320">
        <w:rPr>
          <w:rFonts w:eastAsia="楷体" w:cs="Times New Roman" w:hint="eastAsia"/>
          <w:sz w:val="15"/>
          <w:szCs w:val="15"/>
        </w:rPr>
        <w:t>是其他</w:t>
      </w:r>
      <w:proofErr w:type="gramStart"/>
      <w:r w:rsidRPr="00CB3320">
        <w:rPr>
          <w:rFonts w:eastAsia="楷体" w:cs="Times New Roman" w:hint="eastAsia"/>
          <w:sz w:val="15"/>
          <w:szCs w:val="15"/>
        </w:rPr>
        <w:t>碳试点城市碳交易</w:t>
      </w:r>
      <w:proofErr w:type="gramEnd"/>
      <w:r w:rsidRPr="00CB3320">
        <w:rPr>
          <w:rFonts w:eastAsia="楷体" w:cs="Times New Roman" w:hint="eastAsia"/>
          <w:sz w:val="15"/>
          <w:szCs w:val="15"/>
        </w:rPr>
        <w:t>的虚拟变量，包括湖北省和广东省的城市（不包括广州和深圳）。</w:t>
      </w:r>
    </w:p>
    <w:p w14:paraId="043FA0E7" w14:textId="18F94436" w:rsidR="00477D8D" w:rsidRPr="00CB3320" w:rsidRDefault="00F13EAB" w:rsidP="00F13EAB">
      <w:pPr>
        <w:pStyle w:val="2"/>
        <w:numPr>
          <w:ilvl w:val="0"/>
          <w:numId w:val="0"/>
        </w:numPr>
        <w:spacing w:before="163" w:after="81"/>
      </w:pPr>
      <w:r w:rsidRPr="00CB3320">
        <w:rPr>
          <w:rFonts w:hint="eastAsia"/>
        </w:rPr>
        <w:t>（六）</w:t>
      </w:r>
      <w:r w:rsidR="00477D8D" w:rsidRPr="00CB3320">
        <w:rPr>
          <w:rFonts w:hint="eastAsia"/>
        </w:rPr>
        <w:t>时间</w:t>
      </w:r>
      <w:r w:rsidR="00477D8D" w:rsidRPr="00CB3320">
        <w:rPr>
          <w:rFonts w:hint="eastAsia"/>
        </w:rPr>
        <w:t>-</w:t>
      </w:r>
      <w:r w:rsidR="00477D8D" w:rsidRPr="00CB3320">
        <w:rPr>
          <w:rFonts w:hint="eastAsia"/>
        </w:rPr>
        <w:t>空间异质性</w:t>
      </w:r>
      <w:bookmarkEnd w:id="40"/>
    </w:p>
    <w:p w14:paraId="70F13CF0" w14:textId="4C3E5267" w:rsidR="0019166C" w:rsidRPr="00CB3320" w:rsidRDefault="0019166C" w:rsidP="0019166C">
      <w:pPr>
        <w:ind w:firstLine="420"/>
      </w:pPr>
      <w:r w:rsidRPr="00CB3320">
        <w:rPr>
          <w:rFonts w:hint="eastAsia"/>
        </w:rPr>
        <w:t>然而，仅仅研究</w:t>
      </w:r>
      <w:proofErr w:type="gramStart"/>
      <w:r w:rsidRPr="00CB3320">
        <w:rPr>
          <w:rFonts w:hint="eastAsia"/>
        </w:rPr>
        <w:t>碳交易</w:t>
      </w:r>
      <w:proofErr w:type="gramEnd"/>
      <w:r w:rsidRPr="00CB3320">
        <w:rPr>
          <w:rFonts w:hint="eastAsia"/>
        </w:rPr>
        <w:t>影响的时空维度是不够的，因为还可能存在“统计平均陷阱”。因此，我们需要同时考察</w:t>
      </w:r>
      <w:r w:rsidRPr="00CB3320">
        <w:rPr>
          <w:rFonts w:hint="eastAsia"/>
        </w:rPr>
        <w:t>ETS</w:t>
      </w:r>
      <w:r w:rsidRPr="00CB3320">
        <w:rPr>
          <w:rFonts w:hint="eastAsia"/>
        </w:rPr>
        <w:t>在时间和地区上的变化，</w:t>
      </w:r>
      <w:proofErr w:type="gramStart"/>
      <w:r w:rsidRPr="00CB3320">
        <w:rPr>
          <w:rFonts w:hint="eastAsia"/>
        </w:rPr>
        <w:t>即考察</w:t>
      </w:r>
      <w:proofErr w:type="gramEnd"/>
      <w:r w:rsidRPr="00CB3320">
        <w:rPr>
          <w:rFonts w:hint="eastAsia"/>
        </w:rPr>
        <w:t>不同时间不同地区</w:t>
      </w:r>
      <w:r w:rsidRPr="00CB3320">
        <w:rPr>
          <w:rFonts w:hint="eastAsia"/>
        </w:rPr>
        <w:t>ETS</w:t>
      </w:r>
      <w:r w:rsidRPr="00CB3320">
        <w:rPr>
          <w:rFonts w:hint="eastAsia"/>
        </w:rPr>
        <w:t>对</w:t>
      </w:r>
      <w:r w:rsidRPr="00CB3320">
        <w:rPr>
          <w:rFonts w:hint="eastAsia"/>
        </w:rPr>
        <w:t>TFP</w:t>
      </w:r>
      <w:r w:rsidRPr="00CB3320">
        <w:rPr>
          <w:rFonts w:hint="eastAsia"/>
        </w:rPr>
        <w:t>影响的变化</w:t>
      </w:r>
      <w:r w:rsidR="00155BA4" w:rsidRPr="00CB3320">
        <w:rPr>
          <w:rFonts w:hint="eastAsia"/>
        </w:rPr>
        <w:t>，为此，</w:t>
      </w:r>
      <w:r w:rsidRPr="00CB3320">
        <w:rPr>
          <w:rFonts w:hint="eastAsia"/>
        </w:rPr>
        <w:t>我们建立了不同年份和地区</w:t>
      </w:r>
      <w:proofErr w:type="gramStart"/>
      <w:r w:rsidR="00F302A4" w:rsidRPr="00CB3320">
        <w:rPr>
          <w:rFonts w:hint="eastAsia"/>
        </w:rPr>
        <w:t>碳试点</w:t>
      </w:r>
      <w:proofErr w:type="gramEnd"/>
      <w:r w:rsidRPr="00CB3320">
        <w:rPr>
          <w:rFonts w:hint="eastAsia"/>
        </w:rPr>
        <w:t>的交互</w:t>
      </w:r>
      <w:r w:rsidR="00155BA4" w:rsidRPr="00CB3320">
        <w:rPr>
          <w:rFonts w:hint="eastAsia"/>
        </w:rPr>
        <w:t>项</w:t>
      </w:r>
      <w:r w:rsidRPr="00CB3320">
        <w:rPr>
          <w:rFonts w:hint="eastAsia"/>
        </w:rPr>
        <w:t>（</w:t>
      </w:r>
      <w:r w:rsidR="00772560" w:rsidRPr="00CB3320">
        <w:fldChar w:fldCharType="begin"/>
      </w:r>
      <w:r w:rsidR="00772560" w:rsidRPr="00CB3320">
        <w:instrText xml:space="preserve"> </w:instrText>
      </w:r>
      <w:r w:rsidR="00772560" w:rsidRPr="00CB3320">
        <w:rPr>
          <w:rFonts w:hint="eastAsia"/>
        </w:rPr>
        <w:instrText>REF _Ref121682313 \h</w:instrText>
      </w:r>
      <w:r w:rsidR="00772560" w:rsidRPr="00CB3320">
        <w:instrText xml:space="preserve"> </w:instrText>
      </w:r>
      <w:r w:rsidR="00772560" w:rsidRPr="00CB3320">
        <w:fldChar w:fldCharType="separate"/>
      </w:r>
      <w:r w:rsidR="008A580C" w:rsidRPr="00CB3320">
        <w:rPr>
          <w:rFonts w:hint="eastAsia"/>
        </w:rPr>
        <w:t>图</w:t>
      </w:r>
      <w:r w:rsidR="008A580C" w:rsidRPr="00CB3320">
        <w:rPr>
          <w:noProof/>
        </w:rPr>
        <w:t>6</w:t>
      </w:r>
      <w:r w:rsidR="00772560" w:rsidRPr="00CB3320">
        <w:fldChar w:fldCharType="end"/>
      </w:r>
      <w:r w:rsidRPr="00CB3320">
        <w:rPr>
          <w:rFonts w:hint="eastAsia"/>
        </w:rPr>
        <w:t>）。我们发现，自</w:t>
      </w:r>
      <w:r w:rsidRPr="00CB3320">
        <w:rPr>
          <w:rFonts w:hint="eastAsia"/>
        </w:rPr>
        <w:t>2014</w:t>
      </w:r>
      <w:r w:rsidRPr="00CB3320">
        <w:rPr>
          <w:rFonts w:hint="eastAsia"/>
        </w:rPr>
        <w:t>年</w:t>
      </w:r>
      <w:r w:rsidR="00155BA4" w:rsidRPr="00CB3320">
        <w:rPr>
          <w:rFonts w:hint="eastAsia"/>
        </w:rPr>
        <w:t>交易</w:t>
      </w:r>
      <w:r w:rsidRPr="00CB3320">
        <w:rPr>
          <w:rFonts w:hint="eastAsia"/>
        </w:rPr>
        <w:t>开始后，</w:t>
      </w:r>
      <w:r w:rsidRPr="00CB3320">
        <w:rPr>
          <w:rFonts w:hint="eastAsia"/>
        </w:rPr>
        <w:t>ETS</w:t>
      </w:r>
      <w:r w:rsidRPr="00CB3320">
        <w:rPr>
          <w:rFonts w:hint="eastAsia"/>
        </w:rPr>
        <w:t>对发达地区</w:t>
      </w:r>
      <w:r w:rsidR="00155BA4" w:rsidRPr="00CB3320">
        <w:rPr>
          <w:rFonts w:hint="eastAsia"/>
        </w:rPr>
        <w:t>T</w:t>
      </w:r>
      <w:r w:rsidR="00155BA4" w:rsidRPr="00CB3320">
        <w:t>FP</w:t>
      </w:r>
      <w:r w:rsidRPr="00CB3320">
        <w:rPr>
          <w:rFonts w:hint="eastAsia"/>
        </w:rPr>
        <w:t>的影响一直显著。换言之，</w:t>
      </w:r>
      <w:proofErr w:type="gramStart"/>
      <w:r w:rsidRPr="00CB3320">
        <w:rPr>
          <w:rFonts w:hint="eastAsia"/>
        </w:rPr>
        <w:t>碳交易</w:t>
      </w:r>
      <w:proofErr w:type="gramEnd"/>
      <w:r w:rsidRPr="00CB3320">
        <w:rPr>
          <w:rFonts w:hint="eastAsia"/>
        </w:rPr>
        <w:t>的准备工作并不影响发达地区的全要素生产率。</w:t>
      </w:r>
      <w:r w:rsidR="000C5A11" w:rsidRPr="00CB3320">
        <w:rPr>
          <w:rFonts w:hint="eastAsia"/>
        </w:rPr>
        <w:t>然而，</w:t>
      </w:r>
      <w:r w:rsidRPr="00CB3320">
        <w:rPr>
          <w:rFonts w:hint="eastAsia"/>
        </w:rPr>
        <w:t>对于发展中地区而言，</w:t>
      </w:r>
      <w:r w:rsidRPr="00CB3320">
        <w:rPr>
          <w:rFonts w:hint="eastAsia"/>
        </w:rPr>
        <w:t>ETS</w:t>
      </w:r>
      <w:r w:rsidRPr="00CB3320">
        <w:rPr>
          <w:rFonts w:hint="eastAsia"/>
        </w:rPr>
        <w:t>对全要素生产率的负面影响是显著的，并且在显著性和系数上都</w:t>
      </w:r>
      <w:r w:rsidRPr="00CB3320">
        <w:rPr>
          <w:rFonts w:hint="eastAsia"/>
        </w:rPr>
        <w:lastRenderedPageBreak/>
        <w:t>是逐渐增大的，这种影响自</w:t>
      </w:r>
      <w:r w:rsidRPr="00CB3320">
        <w:rPr>
          <w:rFonts w:hint="eastAsia"/>
        </w:rPr>
        <w:t>2014</w:t>
      </w:r>
      <w:r w:rsidRPr="00CB3320">
        <w:rPr>
          <w:rFonts w:hint="eastAsia"/>
        </w:rPr>
        <w:t>年以来变得更加显著</w:t>
      </w:r>
      <w:r w:rsidR="000C5A11" w:rsidRPr="00CB3320">
        <w:rPr>
          <w:rFonts w:hint="eastAsia"/>
        </w:rPr>
        <w:t>。</w:t>
      </w:r>
      <w:r w:rsidRPr="00CB3320">
        <w:rPr>
          <w:rFonts w:hint="eastAsia"/>
        </w:rPr>
        <w:t>这表明</w:t>
      </w:r>
      <w:proofErr w:type="gramStart"/>
      <w:r w:rsidRPr="00CB3320">
        <w:rPr>
          <w:rFonts w:hint="eastAsia"/>
        </w:rPr>
        <w:t>碳交易</w:t>
      </w:r>
      <w:proofErr w:type="gramEnd"/>
      <w:r w:rsidRPr="00CB3320">
        <w:rPr>
          <w:rFonts w:hint="eastAsia"/>
        </w:rPr>
        <w:t>的准备</w:t>
      </w:r>
      <w:r w:rsidR="00155BA4" w:rsidRPr="00CB3320">
        <w:rPr>
          <w:rFonts w:hint="eastAsia"/>
        </w:rPr>
        <w:t>期</w:t>
      </w:r>
      <w:r w:rsidRPr="00CB3320">
        <w:rPr>
          <w:rFonts w:hint="eastAsia"/>
        </w:rPr>
        <w:t>对</w:t>
      </w:r>
      <w:r w:rsidR="00155BA4" w:rsidRPr="00CB3320">
        <w:rPr>
          <w:rFonts w:hint="eastAsia"/>
        </w:rPr>
        <w:t>TFP</w:t>
      </w:r>
      <w:r w:rsidRPr="00CB3320">
        <w:rPr>
          <w:rFonts w:hint="eastAsia"/>
        </w:rPr>
        <w:t>的影响是多样的，</w:t>
      </w:r>
      <w:r w:rsidR="00155BA4" w:rsidRPr="00CB3320">
        <w:rPr>
          <w:rFonts w:hint="eastAsia"/>
        </w:rPr>
        <w:t>同时，</w:t>
      </w:r>
      <w:r w:rsidR="00155BA4" w:rsidRPr="00CB3320">
        <w:rPr>
          <w:rFonts w:hint="eastAsia"/>
        </w:rPr>
        <w:t>ETS</w:t>
      </w:r>
      <w:r w:rsidRPr="00CB3320">
        <w:rPr>
          <w:rFonts w:hint="eastAsia"/>
        </w:rPr>
        <w:t>确实降低了这两个地区的</w:t>
      </w:r>
      <w:r w:rsidR="00155BA4" w:rsidRPr="00CB3320">
        <w:rPr>
          <w:rFonts w:hint="eastAsia"/>
        </w:rPr>
        <w:t>T</w:t>
      </w:r>
      <w:r w:rsidR="00155BA4" w:rsidRPr="00CB3320">
        <w:t>FP</w:t>
      </w:r>
      <w:r w:rsidRPr="00CB3320">
        <w:rPr>
          <w:rFonts w:hint="eastAsia"/>
        </w:rPr>
        <w:t>。</w:t>
      </w:r>
    </w:p>
    <w:p w14:paraId="493CCAAD" w14:textId="4A8679E0" w:rsidR="00A41AC9" w:rsidRPr="00CB3320" w:rsidRDefault="0019166C" w:rsidP="0019166C">
      <w:pPr>
        <w:ind w:firstLine="420"/>
      </w:pPr>
      <w:r w:rsidRPr="00CB3320">
        <w:rPr>
          <w:rFonts w:hint="eastAsia"/>
        </w:rPr>
        <w:t>对于这种</w:t>
      </w:r>
      <w:r w:rsidR="003E74FB" w:rsidRPr="00CB3320">
        <w:rPr>
          <w:rFonts w:hint="eastAsia"/>
        </w:rPr>
        <w:t>差异</w:t>
      </w:r>
      <w:r w:rsidR="00834B5A" w:rsidRPr="00CB3320">
        <w:rPr>
          <w:rFonts w:hint="eastAsia"/>
        </w:rPr>
        <w:t>性</w:t>
      </w:r>
      <w:r w:rsidRPr="00CB3320">
        <w:rPr>
          <w:rFonts w:hint="eastAsia"/>
        </w:rPr>
        <w:t>，我们的理解是不同地区的企业数据质量是</w:t>
      </w:r>
      <w:r w:rsidR="000C5A11" w:rsidRPr="00CB3320">
        <w:rPr>
          <w:rFonts w:hint="eastAsia"/>
        </w:rPr>
        <w:t>异质</w:t>
      </w:r>
      <w:r w:rsidR="00834B5A" w:rsidRPr="00CB3320">
        <w:rPr>
          <w:rFonts w:hint="eastAsia"/>
        </w:rPr>
        <w:t>的</w:t>
      </w:r>
      <w:r w:rsidRPr="00CB3320">
        <w:rPr>
          <w:rFonts w:hint="eastAsia"/>
        </w:rPr>
        <w:t>。</w:t>
      </w:r>
      <w:proofErr w:type="gramStart"/>
      <w:r w:rsidRPr="00CB3320">
        <w:rPr>
          <w:rFonts w:hint="eastAsia"/>
        </w:rPr>
        <w:t>碳交易</w:t>
      </w:r>
      <w:proofErr w:type="gramEnd"/>
      <w:r w:rsidRPr="00CB3320">
        <w:rPr>
          <w:rFonts w:hint="eastAsia"/>
        </w:rPr>
        <w:t>的前期工作主要是对</w:t>
      </w:r>
      <w:proofErr w:type="gramStart"/>
      <w:r w:rsidRPr="00CB3320">
        <w:rPr>
          <w:rFonts w:hint="eastAsia"/>
        </w:rPr>
        <w:t>碳相关</w:t>
      </w:r>
      <w:proofErr w:type="gramEnd"/>
      <w:r w:rsidRPr="00CB3320">
        <w:rPr>
          <w:rFonts w:hint="eastAsia"/>
        </w:rPr>
        <w:t>数据进行监测、报告和核查</w:t>
      </w:r>
      <w:r w:rsidR="00834B5A" w:rsidRPr="00CB3320">
        <w:rPr>
          <w:rFonts w:hint="eastAsia"/>
        </w:rPr>
        <w:t>（</w:t>
      </w:r>
      <w:r w:rsidR="00834B5A" w:rsidRPr="00CB3320">
        <w:rPr>
          <w:rFonts w:hint="eastAsia"/>
        </w:rPr>
        <w:t>MRV</w:t>
      </w:r>
      <w:r w:rsidR="00834B5A" w:rsidRPr="00CB3320">
        <w:rPr>
          <w:rFonts w:hint="eastAsia"/>
        </w:rPr>
        <w:t>）</w:t>
      </w:r>
      <w:r w:rsidRPr="00CB3320">
        <w:rPr>
          <w:rFonts w:hint="eastAsia"/>
        </w:rPr>
        <w:t>。欠发达地区企业数据的统计质量</w:t>
      </w:r>
      <w:r w:rsidR="00051E33" w:rsidRPr="00CB3320">
        <w:rPr>
          <w:rFonts w:hint="eastAsia"/>
        </w:rPr>
        <w:t>不足</w:t>
      </w:r>
      <w:r w:rsidRPr="00CB3320">
        <w:rPr>
          <w:rFonts w:hint="eastAsia"/>
        </w:rPr>
        <w:t>，而</w:t>
      </w:r>
      <w:r w:rsidRPr="00CB3320">
        <w:rPr>
          <w:rFonts w:hint="eastAsia"/>
        </w:rPr>
        <w:t>MRV</w:t>
      </w:r>
      <w:r w:rsidRPr="00CB3320">
        <w:rPr>
          <w:rFonts w:hint="eastAsia"/>
        </w:rPr>
        <w:t>要求企业在短时间内完成</w:t>
      </w:r>
      <w:r w:rsidR="00834B5A" w:rsidRPr="00CB3320">
        <w:rPr>
          <w:rFonts w:hint="eastAsia"/>
        </w:rPr>
        <w:t>真实</w:t>
      </w:r>
      <w:r w:rsidRPr="00CB3320">
        <w:rPr>
          <w:rFonts w:hint="eastAsia"/>
        </w:rPr>
        <w:t>数据上报会占用部分资源，</w:t>
      </w:r>
      <w:r w:rsidR="006A00C4" w:rsidRPr="00CB3320">
        <w:rPr>
          <w:rFonts w:hint="eastAsia"/>
        </w:rPr>
        <w:t>同时</w:t>
      </w:r>
      <w:r w:rsidR="000A4455" w:rsidRPr="00CB3320">
        <w:rPr>
          <w:rFonts w:hint="eastAsia"/>
        </w:rPr>
        <w:t>要求更高的统计</w:t>
      </w:r>
      <w:r w:rsidR="006A00C4" w:rsidRPr="00CB3320">
        <w:rPr>
          <w:rFonts w:hint="eastAsia"/>
        </w:rPr>
        <w:t>精确</w:t>
      </w:r>
      <w:r w:rsidR="000A4455" w:rsidRPr="00CB3320">
        <w:rPr>
          <w:rFonts w:hint="eastAsia"/>
        </w:rPr>
        <w:t>度</w:t>
      </w:r>
      <w:r w:rsidR="006A00C4" w:rsidRPr="00CB3320">
        <w:rPr>
          <w:rFonts w:hint="eastAsia"/>
        </w:rPr>
        <w:t>，最终</w:t>
      </w:r>
      <w:r w:rsidRPr="00CB3320">
        <w:rPr>
          <w:rFonts w:hint="eastAsia"/>
        </w:rPr>
        <w:t>导致短期内</w:t>
      </w:r>
      <w:r w:rsidR="006A00C4" w:rsidRPr="00CB3320">
        <w:rPr>
          <w:rFonts w:hint="eastAsia"/>
        </w:rPr>
        <w:t>计算的</w:t>
      </w:r>
      <w:r w:rsidRPr="00CB3320">
        <w:rPr>
          <w:rFonts w:hint="eastAsia"/>
        </w:rPr>
        <w:t>效率降低。</w:t>
      </w:r>
      <w:r w:rsidR="006A00C4" w:rsidRPr="00CB3320">
        <w:rPr>
          <w:rFonts w:hint="eastAsia"/>
        </w:rPr>
        <w:t>而</w:t>
      </w:r>
      <w:r w:rsidRPr="00CB3320">
        <w:rPr>
          <w:rFonts w:hint="eastAsia"/>
        </w:rPr>
        <w:t>发达地区的企业往往不存在这样的问题。</w:t>
      </w:r>
    </w:p>
    <w:p w14:paraId="499A8F3E" w14:textId="79EAC49D" w:rsidR="00772560" w:rsidRPr="00CB3320" w:rsidRDefault="00A723D7" w:rsidP="00772560">
      <w:pPr>
        <w:pStyle w:val="Fig"/>
        <w:rPr>
          <w:noProof/>
        </w:rPr>
      </w:pPr>
      <w:r w:rsidRPr="00CB3320">
        <w:rPr>
          <w:noProof/>
        </w:rPr>
        <w:drawing>
          <wp:inline distT="0" distB="0" distL="0" distR="0" wp14:anchorId="0DB3DE80" wp14:editId="1130BD95">
            <wp:extent cx="2830982" cy="2023512"/>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0241" cy="2037278"/>
                    </a:xfrm>
                    <a:prstGeom prst="rect">
                      <a:avLst/>
                    </a:prstGeom>
                  </pic:spPr>
                </pic:pic>
              </a:graphicData>
            </a:graphic>
          </wp:inline>
        </w:drawing>
      </w:r>
      <w:r w:rsidR="00772560" w:rsidRPr="00CB3320">
        <w:rPr>
          <w:noProof/>
        </w:rPr>
        <w:t xml:space="preserve"> </w:t>
      </w:r>
      <w:r w:rsidRPr="00CB3320">
        <w:rPr>
          <w:noProof/>
        </w:rPr>
        <w:drawing>
          <wp:inline distT="0" distB="0" distL="0" distR="0" wp14:anchorId="3E85B552" wp14:editId="1A1C288A">
            <wp:extent cx="2809229" cy="20116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20609" cy="2019829"/>
                    </a:xfrm>
                    <a:prstGeom prst="rect">
                      <a:avLst/>
                    </a:prstGeom>
                  </pic:spPr>
                </pic:pic>
              </a:graphicData>
            </a:graphic>
          </wp:inline>
        </w:drawing>
      </w:r>
    </w:p>
    <w:p w14:paraId="72FD2093" w14:textId="7CE1D5D9" w:rsidR="00772560" w:rsidRPr="00CB3320" w:rsidRDefault="00772560" w:rsidP="00772560">
      <w:pPr>
        <w:pStyle w:val="FigX"/>
        <w:spacing w:after="163"/>
        <w:ind w:firstLine="420"/>
      </w:pPr>
      <w:bookmarkStart w:id="41" w:name="_Ref121682313"/>
      <w:r w:rsidRPr="00CB3320">
        <w:rPr>
          <w:rFonts w:hint="eastAsia"/>
        </w:rPr>
        <w:t>图</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 xml:space="preserve"> \* ARABIC</w:instrText>
      </w:r>
      <w:r w:rsidRPr="00CB3320">
        <w:instrText xml:space="preserve"> </w:instrText>
      </w:r>
      <w:r w:rsidRPr="00CB3320">
        <w:fldChar w:fldCharType="separate"/>
      </w:r>
      <w:r w:rsidR="008A580C" w:rsidRPr="00CB3320">
        <w:rPr>
          <w:noProof/>
        </w:rPr>
        <w:t>6</w:t>
      </w:r>
      <w:r w:rsidRPr="00CB3320">
        <w:fldChar w:fldCharType="end"/>
      </w:r>
      <w:bookmarkEnd w:id="41"/>
      <w:r w:rsidR="00344D5D" w:rsidRPr="00CB3320">
        <w:rPr>
          <w:rFonts w:hint="eastAsia"/>
        </w:rPr>
        <w:t xml:space="preserve">  </w:t>
      </w:r>
      <w:proofErr w:type="gramStart"/>
      <w:r w:rsidRPr="00CB3320">
        <w:rPr>
          <w:rFonts w:hint="eastAsia"/>
        </w:rPr>
        <w:t>碳交易</w:t>
      </w:r>
      <w:proofErr w:type="gramEnd"/>
      <w:r w:rsidRPr="00CB3320">
        <w:rPr>
          <w:rFonts w:hint="eastAsia"/>
        </w:rPr>
        <w:t>对全要素生产率的边际影响的时空异质性</w:t>
      </w:r>
    </w:p>
    <w:p w14:paraId="6D5CEACE" w14:textId="77777777" w:rsidR="009267D1" w:rsidRPr="00CB3320" w:rsidRDefault="009267D1" w:rsidP="00A723D7">
      <w:pPr>
        <w:pStyle w:val="table"/>
        <w:ind w:firstLineChars="200" w:firstLine="300"/>
        <w:jc w:val="left"/>
        <w:rPr>
          <w:rFonts w:eastAsia="楷体"/>
          <w:sz w:val="15"/>
          <w:szCs w:val="15"/>
        </w:rPr>
      </w:pPr>
      <w:r w:rsidRPr="00CB3320">
        <w:rPr>
          <w:rFonts w:eastAsia="楷体" w:hint="eastAsia"/>
          <w:sz w:val="15"/>
          <w:szCs w:val="15"/>
        </w:rPr>
        <w:t>注：线段</w:t>
      </w:r>
      <w:r w:rsidRPr="00CB3320">
        <w:rPr>
          <w:rFonts w:eastAsia="楷体"/>
          <w:sz w:val="15"/>
          <w:szCs w:val="15"/>
        </w:rPr>
        <w:t>为</w:t>
      </w:r>
      <w:r w:rsidRPr="00CB3320">
        <w:rPr>
          <w:rFonts w:eastAsia="楷体"/>
          <w:sz w:val="15"/>
          <w:szCs w:val="15"/>
        </w:rPr>
        <w:t>5</w:t>
      </w:r>
      <w:r w:rsidRPr="00CB3320">
        <w:rPr>
          <w:rFonts w:eastAsia="楷体" w:hint="eastAsia"/>
          <w:sz w:val="15"/>
          <w:szCs w:val="15"/>
        </w:rPr>
        <w:t>%</w:t>
      </w:r>
      <w:r w:rsidRPr="00CB3320">
        <w:rPr>
          <w:rFonts w:eastAsia="楷体" w:hint="eastAsia"/>
          <w:sz w:val="15"/>
          <w:szCs w:val="15"/>
        </w:rPr>
        <w:t>显著性水平的聚类到省份的稳健标准误。左图为发达地区</w:t>
      </w:r>
      <w:r w:rsidRPr="00CB3320">
        <w:rPr>
          <w:rFonts w:eastAsia="楷体" w:hint="eastAsia"/>
          <w:sz w:val="15"/>
          <w:szCs w:val="15"/>
        </w:rPr>
        <w:t>E</w:t>
      </w:r>
      <w:r w:rsidRPr="00CB3320">
        <w:rPr>
          <w:rFonts w:eastAsia="楷体"/>
          <w:sz w:val="15"/>
          <w:szCs w:val="15"/>
        </w:rPr>
        <w:t>TS</w:t>
      </w:r>
      <w:r w:rsidRPr="00CB3320">
        <w:rPr>
          <w:rFonts w:eastAsia="楷体" w:hint="eastAsia"/>
          <w:sz w:val="15"/>
          <w:szCs w:val="15"/>
        </w:rPr>
        <w:t>对</w:t>
      </w:r>
      <w:r w:rsidRPr="00CB3320">
        <w:rPr>
          <w:rFonts w:eastAsia="楷体" w:hint="eastAsia"/>
          <w:sz w:val="15"/>
          <w:szCs w:val="15"/>
        </w:rPr>
        <w:t>T</w:t>
      </w:r>
      <w:r w:rsidRPr="00CB3320">
        <w:rPr>
          <w:rFonts w:eastAsia="楷体"/>
          <w:sz w:val="15"/>
          <w:szCs w:val="15"/>
        </w:rPr>
        <w:t>FP</w:t>
      </w:r>
      <w:r w:rsidRPr="00CB3320">
        <w:rPr>
          <w:rFonts w:eastAsia="楷体" w:hint="eastAsia"/>
          <w:sz w:val="15"/>
          <w:szCs w:val="15"/>
        </w:rPr>
        <w:t>的边际影响，右图为发展中地区</w:t>
      </w:r>
      <w:r w:rsidRPr="00CB3320">
        <w:rPr>
          <w:rFonts w:eastAsia="楷体" w:hint="eastAsia"/>
          <w:sz w:val="15"/>
          <w:szCs w:val="15"/>
        </w:rPr>
        <w:t>E</w:t>
      </w:r>
      <w:r w:rsidRPr="00CB3320">
        <w:rPr>
          <w:rFonts w:eastAsia="楷体"/>
          <w:sz w:val="15"/>
          <w:szCs w:val="15"/>
        </w:rPr>
        <w:t>TS</w:t>
      </w:r>
      <w:r w:rsidRPr="00CB3320">
        <w:rPr>
          <w:rFonts w:eastAsia="楷体" w:hint="eastAsia"/>
          <w:sz w:val="15"/>
          <w:szCs w:val="15"/>
        </w:rPr>
        <w:t>对</w:t>
      </w:r>
      <w:r w:rsidRPr="00CB3320">
        <w:rPr>
          <w:rFonts w:eastAsia="楷体" w:hint="eastAsia"/>
          <w:sz w:val="15"/>
          <w:szCs w:val="15"/>
        </w:rPr>
        <w:t>T</w:t>
      </w:r>
      <w:r w:rsidRPr="00CB3320">
        <w:rPr>
          <w:rFonts w:eastAsia="楷体"/>
          <w:sz w:val="15"/>
          <w:szCs w:val="15"/>
        </w:rPr>
        <w:t>FP</w:t>
      </w:r>
      <w:r w:rsidRPr="00CB3320">
        <w:rPr>
          <w:rFonts w:eastAsia="楷体" w:hint="eastAsia"/>
          <w:sz w:val="15"/>
          <w:szCs w:val="15"/>
        </w:rPr>
        <w:t>的边际影响。</w:t>
      </w:r>
    </w:p>
    <w:p w14:paraId="441E7FAD" w14:textId="7E9507F9" w:rsidR="00772560" w:rsidRPr="00CB3320" w:rsidRDefault="00F13EAB" w:rsidP="00F13EAB">
      <w:pPr>
        <w:pStyle w:val="2"/>
        <w:numPr>
          <w:ilvl w:val="0"/>
          <w:numId w:val="0"/>
        </w:numPr>
        <w:spacing w:before="163" w:after="81"/>
      </w:pPr>
      <w:bookmarkStart w:id="42" w:name="_Ref75508264"/>
      <w:bookmarkStart w:id="43" w:name="_Toc121778126"/>
      <w:r w:rsidRPr="00CB3320">
        <w:rPr>
          <w:rFonts w:hint="eastAsia"/>
        </w:rPr>
        <w:t>（七）</w:t>
      </w:r>
      <w:r w:rsidR="00772560" w:rsidRPr="00CB3320">
        <w:rPr>
          <w:rFonts w:hint="eastAsia"/>
        </w:rPr>
        <w:t>省级数据的</w:t>
      </w:r>
      <w:r w:rsidR="00772560" w:rsidRPr="00CB3320">
        <w:rPr>
          <w:rFonts w:hint="eastAsia"/>
        </w:rPr>
        <w:t>D</w:t>
      </w:r>
      <w:r w:rsidR="00772560" w:rsidRPr="00CB3320">
        <w:t>ID</w:t>
      </w:r>
      <w:r w:rsidR="00772560" w:rsidRPr="00CB3320">
        <w:rPr>
          <w:rFonts w:hint="eastAsia"/>
        </w:rPr>
        <w:t>结果</w:t>
      </w:r>
      <w:bookmarkEnd w:id="42"/>
      <w:bookmarkEnd w:id="43"/>
    </w:p>
    <w:p w14:paraId="185582F8" w14:textId="08FD2AE0" w:rsidR="005821A6" w:rsidRPr="00CB3320" w:rsidRDefault="005821A6" w:rsidP="005821A6">
      <w:pPr>
        <w:ind w:firstLine="420"/>
      </w:pPr>
      <w:r w:rsidRPr="00CB3320">
        <w:rPr>
          <w:rFonts w:hint="eastAsia"/>
        </w:rPr>
        <w:t>本文发现不同地区</w:t>
      </w:r>
      <w:r w:rsidRPr="00CB3320">
        <w:rPr>
          <w:rFonts w:hint="eastAsia"/>
        </w:rPr>
        <w:t>ETS</w:t>
      </w:r>
      <w:r w:rsidRPr="00CB3320">
        <w:rPr>
          <w:rFonts w:hint="eastAsia"/>
        </w:rPr>
        <w:t>对</w:t>
      </w:r>
      <w:r w:rsidRPr="00CB3320">
        <w:rPr>
          <w:rFonts w:hint="eastAsia"/>
        </w:rPr>
        <w:t>T</w:t>
      </w:r>
      <w:r w:rsidRPr="00CB3320">
        <w:t>FP</w:t>
      </w:r>
      <w:r w:rsidRPr="00CB3320">
        <w:rPr>
          <w:rFonts w:hint="eastAsia"/>
        </w:rPr>
        <w:t>的异质性存在，同时创新地使用了</w:t>
      </w:r>
      <w:r w:rsidR="00F14C2A" w:rsidRPr="00CB3320">
        <w:rPr>
          <w:rFonts w:hint="eastAsia"/>
        </w:rPr>
        <w:t>P</w:t>
      </w:r>
      <w:r w:rsidR="00F14C2A" w:rsidRPr="00CB3320">
        <w:t>SM-</w:t>
      </w:r>
      <w:r w:rsidR="00F14C2A" w:rsidRPr="00CB3320">
        <w:rPr>
          <w:rFonts w:hint="eastAsia"/>
        </w:rPr>
        <w:t>加权</w:t>
      </w:r>
      <w:r w:rsidR="00F14C2A" w:rsidRPr="00CB3320">
        <w:rPr>
          <w:rFonts w:hint="eastAsia"/>
        </w:rPr>
        <w:t>D</w:t>
      </w:r>
      <w:r w:rsidR="00F14C2A" w:rsidRPr="00CB3320">
        <w:t>ID</w:t>
      </w:r>
      <w:r w:rsidR="00F14C2A" w:rsidRPr="00CB3320">
        <w:rPr>
          <w:rFonts w:hint="eastAsia"/>
        </w:rPr>
        <w:t>的方式进行政策效应的识别，得到负向的结果。</w:t>
      </w:r>
      <w:r w:rsidRPr="00CB3320">
        <w:rPr>
          <w:rFonts w:hint="eastAsia"/>
        </w:rPr>
        <w:t>因此推测如果基于省级面板数据进行分析，不采用匹配方法</w:t>
      </w:r>
      <w:r w:rsidR="00A05658" w:rsidRPr="00CB3320">
        <w:rPr>
          <w:rStyle w:val="a8"/>
          <w:highlight w:val="yellow"/>
        </w:rPr>
        <w:footnoteReference w:id="10"/>
      </w:r>
      <w:r w:rsidRPr="00CB3320">
        <w:rPr>
          <w:rFonts w:hint="eastAsia"/>
        </w:rPr>
        <w:t>，直接对模型进行回归，</w:t>
      </w:r>
      <w:r w:rsidR="00F14C2A" w:rsidRPr="00CB3320">
        <w:rPr>
          <w:rFonts w:hint="eastAsia"/>
        </w:rPr>
        <w:t>可能</w:t>
      </w:r>
      <w:r w:rsidRPr="00CB3320">
        <w:rPr>
          <w:rFonts w:hint="eastAsia"/>
        </w:rPr>
        <w:t>得到一个正系数。因为</w:t>
      </w:r>
      <w:r w:rsidR="003809FB" w:rsidRPr="00CB3320">
        <w:rPr>
          <w:rFonts w:hint="eastAsia"/>
        </w:rPr>
        <w:t>实验</w:t>
      </w:r>
      <w:r w:rsidRPr="00CB3320">
        <w:rPr>
          <w:rFonts w:hint="eastAsia"/>
        </w:rPr>
        <w:t>组中的</w:t>
      </w:r>
      <w:r w:rsidR="00E4302D" w:rsidRPr="00CB3320">
        <w:rPr>
          <w:rFonts w:hint="eastAsia"/>
        </w:rPr>
        <w:t>个体</w:t>
      </w:r>
      <w:r w:rsidRPr="00CB3320">
        <w:rPr>
          <w:rFonts w:hint="eastAsia"/>
        </w:rPr>
        <w:t>大多是直辖市或一线城市，或经济比较发达的省份（如广东省）。这些省份的全要素生产率增量和</w:t>
      </w:r>
      <w:proofErr w:type="gramStart"/>
      <w:r w:rsidRPr="00CB3320">
        <w:rPr>
          <w:rFonts w:hint="eastAsia"/>
        </w:rPr>
        <w:t>存量均</w:t>
      </w:r>
      <w:proofErr w:type="gramEnd"/>
      <w:r w:rsidRPr="00CB3320">
        <w:rPr>
          <w:rFonts w:hint="eastAsia"/>
        </w:rPr>
        <w:t>高于</w:t>
      </w:r>
      <w:r w:rsidR="00972FF5" w:rsidRPr="00CB3320">
        <w:rPr>
          <w:rFonts w:hint="eastAsia"/>
        </w:rPr>
        <w:t>对照组</w:t>
      </w:r>
      <w:r w:rsidRPr="00CB3320">
        <w:rPr>
          <w:rFonts w:hint="eastAsia"/>
        </w:rPr>
        <w:t>，</w:t>
      </w:r>
      <w:r w:rsidR="00E4302D" w:rsidRPr="00CB3320">
        <w:rPr>
          <w:rFonts w:hint="eastAsia"/>
        </w:rPr>
        <w:t>因此</w:t>
      </w:r>
      <w:r w:rsidR="00117F3E" w:rsidRPr="00CB3320">
        <w:rPr>
          <w:rFonts w:hint="eastAsia"/>
        </w:rPr>
        <w:t>识别过程可能不够干净，</w:t>
      </w:r>
      <w:r w:rsidRPr="00CB3320">
        <w:rPr>
          <w:rFonts w:hint="eastAsia"/>
        </w:rPr>
        <w:t>可能得到正回归系数。由于没有适合小样本的匹配方法，</w:t>
      </w:r>
      <w:r w:rsidR="00117F3E" w:rsidRPr="00CB3320">
        <w:rPr>
          <w:rFonts w:hint="eastAsia"/>
        </w:rPr>
        <w:t>平行</w:t>
      </w:r>
      <w:r w:rsidRPr="00CB3320">
        <w:rPr>
          <w:rFonts w:hint="eastAsia"/>
        </w:rPr>
        <w:t>趋势验证很难通过。</w:t>
      </w:r>
    </w:p>
    <w:p w14:paraId="73149C4D" w14:textId="6BE5E38E" w:rsidR="00477D8D" w:rsidRPr="00CB3320" w:rsidRDefault="005821A6" w:rsidP="005821A6">
      <w:pPr>
        <w:ind w:firstLine="420"/>
      </w:pPr>
      <w:r w:rsidRPr="00CB3320">
        <w:rPr>
          <w:rFonts w:hint="eastAsia"/>
        </w:rPr>
        <w:t>基于这一观点，我们</w:t>
      </w:r>
      <w:r w:rsidR="00540F7C" w:rsidRPr="00CB3320">
        <w:rPr>
          <w:rFonts w:hint="eastAsia"/>
        </w:rPr>
        <w:t>利用省级数据</w:t>
      </w:r>
      <w:r w:rsidRPr="00CB3320">
        <w:rPr>
          <w:rFonts w:hint="eastAsia"/>
        </w:rPr>
        <w:t>进行了</w:t>
      </w:r>
      <w:r w:rsidRPr="00CB3320">
        <w:rPr>
          <w:rFonts w:hint="eastAsia"/>
        </w:rPr>
        <w:t>DID</w:t>
      </w:r>
      <w:r w:rsidRPr="00CB3320">
        <w:rPr>
          <w:rFonts w:hint="eastAsia"/>
        </w:rPr>
        <w:t>分析（</w:t>
      </w:r>
      <w:r w:rsidR="00540F7C" w:rsidRPr="00CB3320">
        <w:fldChar w:fldCharType="begin"/>
      </w:r>
      <w:r w:rsidR="00540F7C" w:rsidRPr="00CB3320">
        <w:instrText xml:space="preserve"> </w:instrText>
      </w:r>
      <w:r w:rsidR="00540F7C" w:rsidRPr="00CB3320">
        <w:rPr>
          <w:rFonts w:hint="eastAsia"/>
        </w:rPr>
        <w:instrText>REF _Ref75508157 \h</w:instrText>
      </w:r>
      <w:r w:rsidR="00540F7C" w:rsidRPr="00CB3320">
        <w:instrText xml:space="preserve"> </w:instrText>
      </w:r>
      <w:r w:rsidR="00540F7C" w:rsidRPr="00CB3320">
        <w:fldChar w:fldCharType="separate"/>
      </w:r>
      <w:r w:rsidR="00EC325E" w:rsidRPr="00CB3320">
        <w:rPr>
          <w:rFonts w:hint="eastAsia"/>
        </w:rPr>
        <w:t>表</w:t>
      </w:r>
      <w:r w:rsidR="00EC325E">
        <w:rPr>
          <w:noProof/>
        </w:rPr>
        <w:t>3</w:t>
      </w:r>
      <w:r w:rsidR="00540F7C" w:rsidRPr="00CB3320">
        <w:fldChar w:fldCharType="end"/>
      </w:r>
      <w:r w:rsidRPr="00CB3320">
        <w:rPr>
          <w:rFonts w:hint="eastAsia"/>
        </w:rPr>
        <w:t>）</w:t>
      </w:r>
      <w:r w:rsidR="00540F7C" w:rsidRPr="00CB3320">
        <w:rPr>
          <w:rFonts w:hint="eastAsia"/>
        </w:rPr>
        <w:t>，</w:t>
      </w:r>
      <w:r w:rsidRPr="00CB3320">
        <w:rPr>
          <w:rFonts w:hint="eastAsia"/>
        </w:rPr>
        <w:t>结果符合我们的预期。在省级面板模型的回归中，直辖市和一线城市占据了非常大的份额</w:t>
      </w:r>
      <w:r w:rsidR="00540F7C" w:rsidRPr="00CB3320">
        <w:rPr>
          <w:rFonts w:hint="eastAsia"/>
        </w:rPr>
        <w:t>，</w:t>
      </w:r>
      <w:r w:rsidRPr="00CB3320">
        <w:rPr>
          <w:rFonts w:hint="eastAsia"/>
        </w:rPr>
        <w:t>因此，</w:t>
      </w:r>
      <w:r w:rsidRPr="00CB3320">
        <w:rPr>
          <w:rFonts w:hint="eastAsia"/>
        </w:rPr>
        <w:t>ETS</w:t>
      </w:r>
      <w:r w:rsidRPr="00CB3320">
        <w:rPr>
          <w:rFonts w:hint="eastAsia"/>
        </w:rPr>
        <w:t>对</w:t>
      </w:r>
      <w:r w:rsidR="00540F7C" w:rsidRPr="00CB3320">
        <w:rPr>
          <w:rFonts w:hint="eastAsia"/>
        </w:rPr>
        <w:t>T</w:t>
      </w:r>
      <w:r w:rsidR="00540F7C" w:rsidRPr="00CB3320">
        <w:t>FP</w:t>
      </w:r>
      <w:r w:rsidRPr="00CB3320">
        <w:rPr>
          <w:rFonts w:hint="eastAsia"/>
        </w:rPr>
        <w:t>有</w:t>
      </w:r>
      <w:r w:rsidR="00540F7C" w:rsidRPr="00CB3320">
        <w:rPr>
          <w:rFonts w:hint="eastAsia"/>
        </w:rPr>
        <w:t>正向但不显著的</w:t>
      </w:r>
      <w:r w:rsidRPr="00CB3320">
        <w:rPr>
          <w:rFonts w:hint="eastAsia"/>
        </w:rPr>
        <w:t>影响</w:t>
      </w:r>
      <w:r w:rsidR="00540F7C" w:rsidRPr="00CB3320">
        <w:rPr>
          <w:rFonts w:hint="eastAsia"/>
        </w:rPr>
        <w:t>，</w:t>
      </w:r>
      <w:r w:rsidRPr="00CB3320">
        <w:rPr>
          <w:rFonts w:hint="eastAsia"/>
        </w:rPr>
        <w:t>但这个结果可能有失偏颇。首先，由于</w:t>
      </w:r>
      <w:r w:rsidR="00540F7C" w:rsidRPr="00CB3320">
        <w:rPr>
          <w:rFonts w:hint="eastAsia"/>
        </w:rPr>
        <w:t>具有</w:t>
      </w:r>
      <w:r w:rsidRPr="00CB3320">
        <w:rPr>
          <w:rFonts w:hint="eastAsia"/>
        </w:rPr>
        <w:t>非随机性，模型无法通过平行趋势检验（</w:t>
      </w:r>
      <w:r w:rsidR="00540F7C" w:rsidRPr="00CB3320">
        <w:fldChar w:fldCharType="begin"/>
      </w:r>
      <w:r w:rsidR="00540F7C" w:rsidRPr="00CB3320">
        <w:instrText xml:space="preserve"> </w:instrText>
      </w:r>
      <w:r w:rsidR="00540F7C" w:rsidRPr="00CB3320">
        <w:rPr>
          <w:rFonts w:hint="eastAsia"/>
        </w:rPr>
        <w:instrText>REF _Ref75508311 \h</w:instrText>
      </w:r>
      <w:r w:rsidR="00540F7C" w:rsidRPr="00CB3320">
        <w:instrText xml:space="preserve"> </w:instrText>
      </w:r>
      <w:r w:rsidR="00540F7C" w:rsidRPr="00CB3320">
        <w:fldChar w:fldCharType="separate"/>
      </w:r>
      <w:r w:rsidR="00EC325E" w:rsidRPr="00CB3320">
        <w:rPr>
          <w:rFonts w:hint="eastAsia"/>
        </w:rPr>
        <w:t>图</w:t>
      </w:r>
      <w:r w:rsidR="00EC325E" w:rsidRPr="00CB3320">
        <w:rPr>
          <w:rFonts w:hint="eastAsia"/>
        </w:rPr>
        <w:t>A.</w:t>
      </w:r>
      <w:r w:rsidR="00EC325E" w:rsidRPr="00CB3320">
        <w:rPr>
          <w:noProof/>
        </w:rPr>
        <w:t>4</w:t>
      </w:r>
      <w:r w:rsidR="00540F7C" w:rsidRPr="00CB3320">
        <w:fldChar w:fldCharType="end"/>
      </w:r>
      <w:r w:rsidRPr="00CB3320">
        <w:rPr>
          <w:rFonts w:hint="eastAsia"/>
        </w:rPr>
        <w:t>）。第二，省内可能存在很大的异质性，</w:t>
      </w:r>
      <w:r w:rsidR="00540F7C" w:rsidRPr="00CB3320">
        <w:rPr>
          <w:rFonts w:hint="eastAsia"/>
        </w:rPr>
        <w:t>回归结果</w:t>
      </w:r>
      <w:r w:rsidRPr="00CB3320">
        <w:rPr>
          <w:rFonts w:hint="eastAsia"/>
        </w:rPr>
        <w:t>可能</w:t>
      </w:r>
      <w:r w:rsidR="00540F7C" w:rsidRPr="00CB3320">
        <w:rPr>
          <w:rFonts w:hint="eastAsia"/>
        </w:rPr>
        <w:t>落入</w:t>
      </w:r>
      <w:r w:rsidRPr="00CB3320">
        <w:rPr>
          <w:rFonts w:hint="eastAsia"/>
        </w:rPr>
        <w:t>“统计平均陷阱”。第三，没有考虑可能的空间相关性。对于前两个问题，我们可以通过城市层面的模型部分解决。</w:t>
      </w:r>
      <w:r w:rsidR="0074403B" w:rsidRPr="00CB3320">
        <w:rPr>
          <w:rFonts w:hint="eastAsia"/>
        </w:rPr>
        <w:t>对于第三个问题</w:t>
      </w:r>
      <w:r w:rsidRPr="00CB3320">
        <w:rPr>
          <w:rFonts w:hint="eastAsia"/>
        </w:rPr>
        <w:t>，我们需要进一步分析（见第</w:t>
      </w:r>
      <w:r w:rsidR="00EC325E">
        <w:rPr>
          <w:rFonts w:hint="eastAsia"/>
        </w:rPr>
        <w:t>五部分</w:t>
      </w:r>
      <w:r w:rsidRPr="00CB3320">
        <w:rPr>
          <w:rFonts w:hint="eastAsia"/>
        </w:rPr>
        <w:t>）。</w:t>
      </w:r>
    </w:p>
    <w:p w14:paraId="1A0A76EB" w14:textId="5FE0A5F3" w:rsidR="00C13958" w:rsidRPr="00CB3320" w:rsidRDefault="00C13958" w:rsidP="008563F3">
      <w:pPr>
        <w:pStyle w:val="TableX"/>
      </w:pPr>
      <w:bookmarkStart w:id="44" w:name="_Ref75508157"/>
      <w:r w:rsidRPr="00CB3320">
        <w:rPr>
          <w:rFonts w:hint="eastAsia"/>
        </w:rPr>
        <w:t>表</w:t>
      </w:r>
      <w:r w:rsidR="00E21259" w:rsidRPr="00CB3320">
        <w:fldChar w:fldCharType="begin"/>
      </w:r>
      <w:r w:rsidR="00E21259" w:rsidRPr="00CB3320">
        <w:instrText xml:space="preserve"> </w:instrText>
      </w:r>
      <w:r w:rsidR="00E21259" w:rsidRPr="00CB3320">
        <w:rPr>
          <w:rFonts w:hint="eastAsia"/>
        </w:rPr>
        <w:instrText xml:space="preserve">SEQ </w:instrText>
      </w:r>
      <w:r w:rsidR="00E21259" w:rsidRPr="00CB3320">
        <w:rPr>
          <w:rFonts w:hint="eastAsia"/>
        </w:rPr>
        <w:instrText>表</w:instrText>
      </w:r>
      <w:r w:rsidR="00E21259" w:rsidRPr="00CB3320">
        <w:rPr>
          <w:rFonts w:hint="eastAsia"/>
        </w:rPr>
        <w:instrText xml:space="preserve"> \* ARABIC</w:instrText>
      </w:r>
      <w:r w:rsidR="00E21259" w:rsidRPr="00CB3320">
        <w:instrText xml:space="preserve"> </w:instrText>
      </w:r>
      <w:r w:rsidR="00E21259" w:rsidRPr="00CB3320">
        <w:fldChar w:fldCharType="separate"/>
      </w:r>
      <w:r w:rsidR="00EC325E">
        <w:rPr>
          <w:noProof/>
        </w:rPr>
        <w:t>3</w:t>
      </w:r>
      <w:r w:rsidR="00E21259" w:rsidRPr="00CB3320">
        <w:fldChar w:fldCharType="end"/>
      </w:r>
      <w:bookmarkEnd w:id="44"/>
      <w:r w:rsidR="00344D5D" w:rsidRPr="00CB3320">
        <w:t xml:space="preserve">  </w:t>
      </w:r>
      <w:r w:rsidRPr="00CB3320">
        <w:rPr>
          <w:rFonts w:hint="eastAsia"/>
        </w:rPr>
        <w:t>省级数据</w:t>
      </w:r>
      <w:r w:rsidRPr="00CB3320">
        <w:rPr>
          <w:rFonts w:hint="eastAsia"/>
        </w:rPr>
        <w:t>D</w:t>
      </w:r>
      <w:r w:rsidRPr="00CB3320">
        <w:t>ID</w:t>
      </w:r>
      <w:r w:rsidRPr="00CB3320">
        <w:rPr>
          <w:rFonts w:hint="eastAsia"/>
        </w:rPr>
        <w:t>回归结果</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0"/>
        <w:gridCol w:w="1058"/>
        <w:gridCol w:w="1058"/>
        <w:gridCol w:w="1326"/>
        <w:gridCol w:w="1326"/>
        <w:gridCol w:w="1326"/>
        <w:gridCol w:w="1326"/>
      </w:tblGrid>
      <w:tr w:rsidR="00A723D7" w:rsidRPr="00CB3320" w14:paraId="2EAC1914" w14:textId="77777777" w:rsidTr="00D168B5">
        <w:trPr>
          <w:trHeight w:val="285"/>
        </w:trPr>
        <w:tc>
          <w:tcPr>
            <w:tcW w:w="910" w:type="pct"/>
            <w:noWrap/>
            <w:vAlign w:val="center"/>
            <w:hideMark/>
          </w:tcPr>
          <w:p w14:paraId="1E80E46C" w14:textId="77777777" w:rsidR="00C13958" w:rsidRPr="00CB3320" w:rsidRDefault="00C13958" w:rsidP="00D168B5">
            <w:pPr>
              <w:pStyle w:val="table"/>
              <w:rPr>
                <w:sz w:val="21"/>
              </w:rPr>
            </w:pPr>
          </w:p>
        </w:tc>
        <w:tc>
          <w:tcPr>
            <w:tcW w:w="583" w:type="pct"/>
            <w:noWrap/>
            <w:vAlign w:val="center"/>
            <w:hideMark/>
          </w:tcPr>
          <w:p w14:paraId="51C7CEE9" w14:textId="77777777" w:rsidR="00C13958" w:rsidRPr="00CB3320" w:rsidRDefault="00C13958" w:rsidP="00D168B5">
            <w:pPr>
              <w:pStyle w:val="table"/>
              <w:rPr>
                <w:sz w:val="21"/>
              </w:rPr>
            </w:pPr>
            <w:r w:rsidRPr="00CB3320">
              <w:rPr>
                <w:sz w:val="21"/>
              </w:rPr>
              <w:t>(1)</w:t>
            </w:r>
          </w:p>
        </w:tc>
        <w:tc>
          <w:tcPr>
            <w:tcW w:w="583" w:type="pct"/>
            <w:noWrap/>
            <w:vAlign w:val="center"/>
            <w:hideMark/>
          </w:tcPr>
          <w:p w14:paraId="7959AC03" w14:textId="77777777" w:rsidR="00C13958" w:rsidRPr="00CB3320" w:rsidRDefault="00C13958" w:rsidP="00D168B5">
            <w:pPr>
              <w:pStyle w:val="table"/>
              <w:rPr>
                <w:sz w:val="21"/>
              </w:rPr>
            </w:pPr>
            <w:r w:rsidRPr="00CB3320">
              <w:rPr>
                <w:sz w:val="21"/>
              </w:rPr>
              <w:t>(2)</w:t>
            </w:r>
          </w:p>
        </w:tc>
        <w:tc>
          <w:tcPr>
            <w:tcW w:w="731" w:type="pct"/>
            <w:noWrap/>
            <w:vAlign w:val="center"/>
            <w:hideMark/>
          </w:tcPr>
          <w:p w14:paraId="0028FA76" w14:textId="77777777" w:rsidR="00C13958" w:rsidRPr="00CB3320" w:rsidRDefault="00C13958" w:rsidP="00D168B5">
            <w:pPr>
              <w:pStyle w:val="table"/>
              <w:rPr>
                <w:sz w:val="21"/>
              </w:rPr>
            </w:pPr>
            <w:r w:rsidRPr="00CB3320">
              <w:rPr>
                <w:sz w:val="21"/>
              </w:rPr>
              <w:t>(3)</w:t>
            </w:r>
          </w:p>
        </w:tc>
        <w:tc>
          <w:tcPr>
            <w:tcW w:w="731" w:type="pct"/>
            <w:noWrap/>
            <w:vAlign w:val="center"/>
            <w:hideMark/>
          </w:tcPr>
          <w:p w14:paraId="3F1D2EA6" w14:textId="77777777" w:rsidR="00C13958" w:rsidRPr="00CB3320" w:rsidRDefault="00C13958" w:rsidP="00D168B5">
            <w:pPr>
              <w:pStyle w:val="table"/>
              <w:rPr>
                <w:sz w:val="21"/>
              </w:rPr>
            </w:pPr>
            <w:r w:rsidRPr="00CB3320">
              <w:rPr>
                <w:sz w:val="21"/>
              </w:rPr>
              <w:t>(4)</w:t>
            </w:r>
          </w:p>
        </w:tc>
        <w:tc>
          <w:tcPr>
            <w:tcW w:w="731" w:type="pct"/>
            <w:noWrap/>
            <w:vAlign w:val="center"/>
            <w:hideMark/>
          </w:tcPr>
          <w:p w14:paraId="5D936F78" w14:textId="77777777" w:rsidR="00C13958" w:rsidRPr="00CB3320" w:rsidRDefault="00C13958" w:rsidP="00D168B5">
            <w:pPr>
              <w:pStyle w:val="table"/>
              <w:rPr>
                <w:sz w:val="21"/>
              </w:rPr>
            </w:pPr>
            <w:r w:rsidRPr="00CB3320">
              <w:rPr>
                <w:sz w:val="21"/>
              </w:rPr>
              <w:t>(5)</w:t>
            </w:r>
          </w:p>
        </w:tc>
        <w:tc>
          <w:tcPr>
            <w:tcW w:w="731" w:type="pct"/>
            <w:noWrap/>
            <w:vAlign w:val="center"/>
            <w:hideMark/>
          </w:tcPr>
          <w:p w14:paraId="7C283CA9" w14:textId="77777777" w:rsidR="00C13958" w:rsidRPr="00CB3320" w:rsidRDefault="00C13958" w:rsidP="00D168B5">
            <w:pPr>
              <w:pStyle w:val="table"/>
              <w:rPr>
                <w:sz w:val="21"/>
              </w:rPr>
            </w:pPr>
            <w:r w:rsidRPr="00CB3320">
              <w:rPr>
                <w:sz w:val="21"/>
              </w:rPr>
              <w:t>(6)</w:t>
            </w:r>
          </w:p>
        </w:tc>
      </w:tr>
      <w:tr w:rsidR="00A723D7" w:rsidRPr="00CB3320" w14:paraId="3E92A33C" w14:textId="77777777" w:rsidTr="00D168B5">
        <w:trPr>
          <w:trHeight w:val="285"/>
        </w:trPr>
        <w:tc>
          <w:tcPr>
            <w:tcW w:w="910" w:type="pct"/>
            <w:noWrap/>
            <w:vAlign w:val="center"/>
            <w:hideMark/>
          </w:tcPr>
          <w:p w14:paraId="1B4AED82" w14:textId="77777777" w:rsidR="00C13958" w:rsidRPr="00CB3320" w:rsidRDefault="00C13958" w:rsidP="00D168B5">
            <w:pPr>
              <w:pStyle w:val="table"/>
              <w:rPr>
                <w:sz w:val="21"/>
              </w:rPr>
            </w:pPr>
          </w:p>
        </w:tc>
        <w:tc>
          <w:tcPr>
            <w:tcW w:w="583" w:type="pct"/>
            <w:noWrap/>
            <w:vAlign w:val="center"/>
            <w:hideMark/>
          </w:tcPr>
          <w:p w14:paraId="24865484" w14:textId="77777777" w:rsidR="00C13958" w:rsidRPr="00CB3320" w:rsidRDefault="00C13958" w:rsidP="00D168B5">
            <w:pPr>
              <w:pStyle w:val="table"/>
              <w:rPr>
                <w:sz w:val="21"/>
              </w:rPr>
            </w:pPr>
            <w:r w:rsidRPr="00CB3320">
              <w:rPr>
                <w:sz w:val="21"/>
              </w:rPr>
              <w:t>TFP</w:t>
            </w:r>
          </w:p>
        </w:tc>
        <w:tc>
          <w:tcPr>
            <w:tcW w:w="583" w:type="pct"/>
            <w:noWrap/>
            <w:vAlign w:val="center"/>
            <w:hideMark/>
          </w:tcPr>
          <w:p w14:paraId="50651FF2" w14:textId="77777777" w:rsidR="00C13958" w:rsidRPr="00CB3320" w:rsidRDefault="00C13958" w:rsidP="00D168B5">
            <w:pPr>
              <w:pStyle w:val="table"/>
              <w:rPr>
                <w:sz w:val="21"/>
              </w:rPr>
            </w:pPr>
            <w:r w:rsidRPr="00CB3320">
              <w:rPr>
                <w:sz w:val="21"/>
              </w:rPr>
              <w:t>TFP</w:t>
            </w:r>
          </w:p>
        </w:tc>
        <w:tc>
          <w:tcPr>
            <w:tcW w:w="731" w:type="pct"/>
            <w:noWrap/>
            <w:vAlign w:val="center"/>
            <w:hideMark/>
          </w:tcPr>
          <w:p w14:paraId="52877881" w14:textId="77777777" w:rsidR="00C13958" w:rsidRPr="00CB3320" w:rsidRDefault="00C13958" w:rsidP="00D168B5">
            <w:pPr>
              <w:pStyle w:val="table"/>
              <w:rPr>
                <w:sz w:val="21"/>
              </w:rPr>
            </w:pPr>
            <w:r w:rsidRPr="00CB3320">
              <w:rPr>
                <w:sz w:val="21"/>
              </w:rPr>
              <w:t>TFP</w:t>
            </w:r>
          </w:p>
        </w:tc>
        <w:tc>
          <w:tcPr>
            <w:tcW w:w="731" w:type="pct"/>
            <w:noWrap/>
            <w:vAlign w:val="center"/>
            <w:hideMark/>
          </w:tcPr>
          <w:p w14:paraId="3226D4CA" w14:textId="77777777" w:rsidR="00C13958" w:rsidRPr="00CB3320" w:rsidRDefault="00C13958" w:rsidP="00D168B5">
            <w:pPr>
              <w:pStyle w:val="table"/>
              <w:rPr>
                <w:sz w:val="21"/>
              </w:rPr>
            </w:pPr>
            <w:r w:rsidRPr="00CB3320">
              <w:rPr>
                <w:sz w:val="21"/>
              </w:rPr>
              <w:t>TFP</w:t>
            </w:r>
          </w:p>
        </w:tc>
        <w:tc>
          <w:tcPr>
            <w:tcW w:w="731" w:type="pct"/>
            <w:noWrap/>
            <w:vAlign w:val="center"/>
            <w:hideMark/>
          </w:tcPr>
          <w:p w14:paraId="16BE20C1" w14:textId="77777777" w:rsidR="00C13958" w:rsidRPr="00CB3320" w:rsidRDefault="00C13958" w:rsidP="00D168B5">
            <w:pPr>
              <w:pStyle w:val="table"/>
              <w:rPr>
                <w:sz w:val="21"/>
              </w:rPr>
            </w:pPr>
            <w:r w:rsidRPr="00CB3320">
              <w:rPr>
                <w:sz w:val="21"/>
              </w:rPr>
              <w:t>TFP</w:t>
            </w:r>
          </w:p>
        </w:tc>
        <w:tc>
          <w:tcPr>
            <w:tcW w:w="731" w:type="pct"/>
            <w:noWrap/>
            <w:vAlign w:val="center"/>
            <w:hideMark/>
          </w:tcPr>
          <w:p w14:paraId="16FB37A6" w14:textId="77777777" w:rsidR="00C13958" w:rsidRPr="00CB3320" w:rsidRDefault="00C13958" w:rsidP="00D168B5">
            <w:pPr>
              <w:pStyle w:val="table"/>
              <w:rPr>
                <w:sz w:val="21"/>
              </w:rPr>
            </w:pPr>
            <w:r w:rsidRPr="00CB3320">
              <w:rPr>
                <w:sz w:val="21"/>
              </w:rPr>
              <w:t>TFP</w:t>
            </w:r>
          </w:p>
        </w:tc>
      </w:tr>
      <w:tr w:rsidR="00A723D7" w:rsidRPr="00CB3320" w14:paraId="474E1EC1" w14:textId="77777777" w:rsidTr="00D168B5">
        <w:trPr>
          <w:trHeight w:val="285"/>
        </w:trPr>
        <w:tc>
          <w:tcPr>
            <w:tcW w:w="910" w:type="pct"/>
            <w:noWrap/>
            <w:vAlign w:val="center"/>
            <w:hideMark/>
          </w:tcPr>
          <w:p w14:paraId="1A8D1D06" w14:textId="77777777" w:rsidR="00C13958" w:rsidRPr="00CB3320" w:rsidRDefault="00C13958" w:rsidP="00D168B5">
            <w:pPr>
              <w:pStyle w:val="table"/>
              <w:rPr>
                <w:sz w:val="21"/>
              </w:rPr>
            </w:pPr>
            <w:r w:rsidRPr="00CB3320">
              <w:rPr>
                <w:sz w:val="21"/>
              </w:rPr>
              <w:t>D_ETS</w:t>
            </w:r>
          </w:p>
        </w:tc>
        <w:tc>
          <w:tcPr>
            <w:tcW w:w="583" w:type="pct"/>
            <w:noWrap/>
            <w:vAlign w:val="center"/>
            <w:hideMark/>
          </w:tcPr>
          <w:p w14:paraId="7BA4579B" w14:textId="77777777" w:rsidR="00C13958" w:rsidRPr="00CB3320" w:rsidRDefault="00C13958" w:rsidP="00D168B5">
            <w:pPr>
              <w:pStyle w:val="table"/>
              <w:rPr>
                <w:sz w:val="21"/>
              </w:rPr>
            </w:pPr>
            <w:r w:rsidRPr="00CB3320">
              <w:rPr>
                <w:sz w:val="21"/>
              </w:rPr>
              <w:t>0.00797</w:t>
            </w:r>
          </w:p>
          <w:p w14:paraId="329F3C0F" w14:textId="6AC1CEC4" w:rsidR="00A723D7" w:rsidRPr="00CB3320" w:rsidRDefault="00A723D7" w:rsidP="00D168B5">
            <w:pPr>
              <w:pStyle w:val="table"/>
              <w:rPr>
                <w:sz w:val="21"/>
              </w:rPr>
            </w:pPr>
            <w:r w:rsidRPr="00CB3320">
              <w:rPr>
                <w:sz w:val="21"/>
              </w:rPr>
              <w:t>(0.0171)</w:t>
            </w:r>
          </w:p>
        </w:tc>
        <w:tc>
          <w:tcPr>
            <w:tcW w:w="583" w:type="pct"/>
            <w:noWrap/>
            <w:vAlign w:val="center"/>
            <w:hideMark/>
          </w:tcPr>
          <w:p w14:paraId="00522513" w14:textId="77777777" w:rsidR="00C13958" w:rsidRPr="00CB3320" w:rsidRDefault="00C13958" w:rsidP="00D168B5">
            <w:pPr>
              <w:pStyle w:val="table"/>
              <w:rPr>
                <w:sz w:val="21"/>
              </w:rPr>
            </w:pPr>
            <w:r w:rsidRPr="00CB3320">
              <w:rPr>
                <w:sz w:val="21"/>
              </w:rPr>
              <w:t>0.00252</w:t>
            </w:r>
          </w:p>
          <w:p w14:paraId="21CFCCDD" w14:textId="6A65070B" w:rsidR="00A723D7" w:rsidRPr="00CB3320" w:rsidRDefault="00A723D7" w:rsidP="00D168B5">
            <w:pPr>
              <w:pStyle w:val="table"/>
              <w:rPr>
                <w:sz w:val="21"/>
              </w:rPr>
            </w:pPr>
            <w:r w:rsidRPr="00CB3320">
              <w:rPr>
                <w:sz w:val="21"/>
              </w:rPr>
              <w:t>(0.0172)</w:t>
            </w:r>
          </w:p>
        </w:tc>
        <w:tc>
          <w:tcPr>
            <w:tcW w:w="731" w:type="pct"/>
            <w:noWrap/>
            <w:vAlign w:val="center"/>
            <w:hideMark/>
          </w:tcPr>
          <w:p w14:paraId="3BF303B7" w14:textId="77777777" w:rsidR="00C13958" w:rsidRPr="00CB3320" w:rsidRDefault="00C13958" w:rsidP="00D168B5">
            <w:pPr>
              <w:pStyle w:val="table"/>
              <w:rPr>
                <w:sz w:val="21"/>
              </w:rPr>
            </w:pPr>
          </w:p>
        </w:tc>
        <w:tc>
          <w:tcPr>
            <w:tcW w:w="731" w:type="pct"/>
            <w:noWrap/>
            <w:vAlign w:val="center"/>
            <w:hideMark/>
          </w:tcPr>
          <w:p w14:paraId="74E25D9E" w14:textId="77777777" w:rsidR="00C13958" w:rsidRPr="00CB3320" w:rsidRDefault="00C13958" w:rsidP="00D168B5">
            <w:pPr>
              <w:pStyle w:val="table"/>
              <w:rPr>
                <w:sz w:val="21"/>
              </w:rPr>
            </w:pPr>
          </w:p>
        </w:tc>
        <w:tc>
          <w:tcPr>
            <w:tcW w:w="731" w:type="pct"/>
            <w:noWrap/>
            <w:vAlign w:val="center"/>
          </w:tcPr>
          <w:p w14:paraId="2B2E63F2" w14:textId="77777777" w:rsidR="00C13958" w:rsidRPr="00CB3320" w:rsidRDefault="00C13958" w:rsidP="00D168B5">
            <w:pPr>
              <w:pStyle w:val="table"/>
              <w:rPr>
                <w:sz w:val="21"/>
              </w:rPr>
            </w:pPr>
          </w:p>
        </w:tc>
        <w:tc>
          <w:tcPr>
            <w:tcW w:w="731" w:type="pct"/>
            <w:noWrap/>
            <w:vAlign w:val="center"/>
          </w:tcPr>
          <w:p w14:paraId="2DBD03F8" w14:textId="77777777" w:rsidR="00C13958" w:rsidRPr="00CB3320" w:rsidRDefault="00C13958" w:rsidP="00D168B5">
            <w:pPr>
              <w:pStyle w:val="table"/>
              <w:rPr>
                <w:sz w:val="21"/>
              </w:rPr>
            </w:pPr>
          </w:p>
        </w:tc>
      </w:tr>
      <w:tr w:rsidR="00A723D7" w:rsidRPr="00CB3320" w14:paraId="6AB68201" w14:textId="77777777" w:rsidTr="00D168B5">
        <w:trPr>
          <w:trHeight w:val="285"/>
        </w:trPr>
        <w:tc>
          <w:tcPr>
            <w:tcW w:w="910" w:type="pct"/>
            <w:noWrap/>
            <w:vAlign w:val="center"/>
            <w:hideMark/>
          </w:tcPr>
          <w:p w14:paraId="168E1FA0" w14:textId="77777777" w:rsidR="00C13958" w:rsidRPr="00CB3320" w:rsidRDefault="00C13958" w:rsidP="00D168B5">
            <w:pPr>
              <w:pStyle w:val="table"/>
              <w:rPr>
                <w:sz w:val="21"/>
              </w:rPr>
            </w:pPr>
            <w:r w:rsidRPr="00CB3320">
              <w:rPr>
                <w:sz w:val="21"/>
              </w:rPr>
              <w:t>Dbj</w:t>
            </w:r>
          </w:p>
        </w:tc>
        <w:tc>
          <w:tcPr>
            <w:tcW w:w="583" w:type="pct"/>
            <w:noWrap/>
            <w:vAlign w:val="center"/>
            <w:hideMark/>
          </w:tcPr>
          <w:p w14:paraId="655FFD90" w14:textId="77777777" w:rsidR="00C13958" w:rsidRPr="00CB3320" w:rsidRDefault="00C13958" w:rsidP="00D168B5">
            <w:pPr>
              <w:pStyle w:val="table"/>
              <w:rPr>
                <w:sz w:val="21"/>
              </w:rPr>
            </w:pPr>
          </w:p>
        </w:tc>
        <w:tc>
          <w:tcPr>
            <w:tcW w:w="583" w:type="pct"/>
            <w:noWrap/>
            <w:vAlign w:val="center"/>
            <w:hideMark/>
          </w:tcPr>
          <w:p w14:paraId="2E8F5F3F" w14:textId="77777777" w:rsidR="00C13958" w:rsidRPr="00CB3320" w:rsidRDefault="00C13958" w:rsidP="00D168B5">
            <w:pPr>
              <w:pStyle w:val="table"/>
              <w:rPr>
                <w:sz w:val="21"/>
              </w:rPr>
            </w:pPr>
          </w:p>
        </w:tc>
        <w:tc>
          <w:tcPr>
            <w:tcW w:w="731" w:type="pct"/>
            <w:noWrap/>
            <w:vAlign w:val="center"/>
            <w:hideMark/>
          </w:tcPr>
          <w:p w14:paraId="553F6A7B" w14:textId="77777777" w:rsidR="00C13958" w:rsidRPr="00CB3320" w:rsidRDefault="00C13958" w:rsidP="00D168B5">
            <w:pPr>
              <w:pStyle w:val="table"/>
              <w:rPr>
                <w:sz w:val="21"/>
              </w:rPr>
            </w:pPr>
            <w:r w:rsidRPr="00CB3320">
              <w:rPr>
                <w:sz w:val="21"/>
              </w:rPr>
              <w:t>0.0211**</w:t>
            </w:r>
          </w:p>
          <w:p w14:paraId="4D45B6DF" w14:textId="7CE4DE00" w:rsidR="00A723D7" w:rsidRPr="00CB3320" w:rsidRDefault="00A723D7" w:rsidP="00D168B5">
            <w:pPr>
              <w:pStyle w:val="table"/>
              <w:rPr>
                <w:sz w:val="21"/>
              </w:rPr>
            </w:pPr>
            <w:r w:rsidRPr="00CB3320">
              <w:rPr>
                <w:sz w:val="21"/>
              </w:rPr>
              <w:lastRenderedPageBreak/>
              <w:t>(0.00906)</w:t>
            </w:r>
          </w:p>
        </w:tc>
        <w:tc>
          <w:tcPr>
            <w:tcW w:w="731" w:type="pct"/>
            <w:noWrap/>
            <w:vAlign w:val="center"/>
            <w:hideMark/>
          </w:tcPr>
          <w:p w14:paraId="2BB4D908" w14:textId="77777777" w:rsidR="00C13958" w:rsidRPr="00CB3320" w:rsidRDefault="00C13958" w:rsidP="00D168B5">
            <w:pPr>
              <w:pStyle w:val="table"/>
              <w:rPr>
                <w:sz w:val="21"/>
              </w:rPr>
            </w:pPr>
            <w:r w:rsidRPr="00CB3320">
              <w:rPr>
                <w:sz w:val="21"/>
              </w:rPr>
              <w:lastRenderedPageBreak/>
              <w:t>0.0125</w:t>
            </w:r>
          </w:p>
          <w:p w14:paraId="068571B1" w14:textId="53F6D66E" w:rsidR="00A723D7" w:rsidRPr="00CB3320" w:rsidRDefault="00A723D7" w:rsidP="00D168B5">
            <w:pPr>
              <w:pStyle w:val="table"/>
              <w:rPr>
                <w:sz w:val="21"/>
              </w:rPr>
            </w:pPr>
            <w:r w:rsidRPr="00CB3320">
              <w:rPr>
                <w:sz w:val="21"/>
              </w:rPr>
              <w:lastRenderedPageBreak/>
              <w:t>(0.00972)</w:t>
            </w:r>
          </w:p>
        </w:tc>
        <w:tc>
          <w:tcPr>
            <w:tcW w:w="731" w:type="pct"/>
            <w:noWrap/>
            <w:vAlign w:val="center"/>
            <w:hideMark/>
          </w:tcPr>
          <w:p w14:paraId="48673D43" w14:textId="77777777" w:rsidR="00C13958" w:rsidRPr="00CB3320" w:rsidRDefault="00C13958" w:rsidP="00D168B5">
            <w:pPr>
              <w:pStyle w:val="table"/>
              <w:rPr>
                <w:sz w:val="21"/>
              </w:rPr>
            </w:pPr>
          </w:p>
        </w:tc>
        <w:tc>
          <w:tcPr>
            <w:tcW w:w="731" w:type="pct"/>
            <w:noWrap/>
            <w:vAlign w:val="center"/>
            <w:hideMark/>
          </w:tcPr>
          <w:p w14:paraId="3BA60264" w14:textId="77777777" w:rsidR="00C13958" w:rsidRPr="00CB3320" w:rsidRDefault="00C13958" w:rsidP="00D168B5">
            <w:pPr>
              <w:pStyle w:val="table"/>
              <w:rPr>
                <w:sz w:val="21"/>
              </w:rPr>
            </w:pPr>
          </w:p>
        </w:tc>
      </w:tr>
      <w:tr w:rsidR="00A723D7" w:rsidRPr="00CB3320" w14:paraId="7ADD2C06" w14:textId="77777777" w:rsidTr="00D168B5">
        <w:trPr>
          <w:trHeight w:val="285"/>
        </w:trPr>
        <w:tc>
          <w:tcPr>
            <w:tcW w:w="910" w:type="pct"/>
            <w:noWrap/>
            <w:vAlign w:val="center"/>
            <w:hideMark/>
          </w:tcPr>
          <w:p w14:paraId="2B3D4AC3" w14:textId="77777777" w:rsidR="00C13958" w:rsidRPr="00CB3320" w:rsidRDefault="00C13958" w:rsidP="00D168B5">
            <w:pPr>
              <w:pStyle w:val="table"/>
              <w:rPr>
                <w:sz w:val="21"/>
              </w:rPr>
            </w:pPr>
            <w:r w:rsidRPr="00CB3320">
              <w:rPr>
                <w:sz w:val="21"/>
              </w:rPr>
              <w:t>Dsh</w:t>
            </w:r>
          </w:p>
        </w:tc>
        <w:tc>
          <w:tcPr>
            <w:tcW w:w="583" w:type="pct"/>
            <w:noWrap/>
            <w:vAlign w:val="center"/>
            <w:hideMark/>
          </w:tcPr>
          <w:p w14:paraId="6969E47E" w14:textId="77777777" w:rsidR="00C13958" w:rsidRPr="00CB3320" w:rsidRDefault="00C13958" w:rsidP="00D168B5">
            <w:pPr>
              <w:pStyle w:val="table"/>
              <w:rPr>
                <w:sz w:val="21"/>
              </w:rPr>
            </w:pPr>
          </w:p>
        </w:tc>
        <w:tc>
          <w:tcPr>
            <w:tcW w:w="583" w:type="pct"/>
            <w:noWrap/>
            <w:vAlign w:val="center"/>
            <w:hideMark/>
          </w:tcPr>
          <w:p w14:paraId="1E6FA4D2" w14:textId="77777777" w:rsidR="00C13958" w:rsidRPr="00CB3320" w:rsidRDefault="00C13958" w:rsidP="00D168B5">
            <w:pPr>
              <w:pStyle w:val="table"/>
              <w:rPr>
                <w:sz w:val="21"/>
              </w:rPr>
            </w:pPr>
          </w:p>
        </w:tc>
        <w:tc>
          <w:tcPr>
            <w:tcW w:w="731" w:type="pct"/>
            <w:noWrap/>
            <w:vAlign w:val="center"/>
            <w:hideMark/>
          </w:tcPr>
          <w:p w14:paraId="6F1A3672" w14:textId="77777777" w:rsidR="00C13958" w:rsidRPr="00CB3320" w:rsidRDefault="00C13958" w:rsidP="00D168B5">
            <w:pPr>
              <w:pStyle w:val="table"/>
              <w:rPr>
                <w:sz w:val="21"/>
              </w:rPr>
            </w:pPr>
            <w:r w:rsidRPr="00CB3320">
              <w:rPr>
                <w:sz w:val="21"/>
              </w:rPr>
              <w:t>0.00154</w:t>
            </w:r>
          </w:p>
          <w:p w14:paraId="3C12C71C" w14:textId="5BA79F3C" w:rsidR="00A723D7" w:rsidRPr="00CB3320" w:rsidRDefault="00A723D7" w:rsidP="00D168B5">
            <w:pPr>
              <w:pStyle w:val="table"/>
              <w:rPr>
                <w:sz w:val="21"/>
              </w:rPr>
            </w:pPr>
            <w:r w:rsidRPr="00CB3320">
              <w:rPr>
                <w:sz w:val="21"/>
              </w:rPr>
              <w:t>(0.00906)</w:t>
            </w:r>
          </w:p>
        </w:tc>
        <w:tc>
          <w:tcPr>
            <w:tcW w:w="731" w:type="pct"/>
            <w:noWrap/>
            <w:vAlign w:val="center"/>
            <w:hideMark/>
          </w:tcPr>
          <w:p w14:paraId="2CE30719" w14:textId="77777777" w:rsidR="00C13958" w:rsidRPr="00CB3320" w:rsidRDefault="00C13958" w:rsidP="00D168B5">
            <w:pPr>
              <w:pStyle w:val="table"/>
              <w:rPr>
                <w:sz w:val="21"/>
              </w:rPr>
            </w:pPr>
            <w:r w:rsidRPr="00CB3320">
              <w:rPr>
                <w:sz w:val="21"/>
              </w:rPr>
              <w:t>-0.00744</w:t>
            </w:r>
          </w:p>
          <w:p w14:paraId="376D4734" w14:textId="1C940BA6" w:rsidR="00A723D7" w:rsidRPr="00CB3320" w:rsidRDefault="00A723D7" w:rsidP="00D168B5">
            <w:pPr>
              <w:pStyle w:val="table"/>
              <w:rPr>
                <w:sz w:val="21"/>
              </w:rPr>
            </w:pPr>
            <w:r w:rsidRPr="00CB3320">
              <w:rPr>
                <w:sz w:val="21"/>
              </w:rPr>
              <w:t>(0.00935)</w:t>
            </w:r>
          </w:p>
        </w:tc>
        <w:tc>
          <w:tcPr>
            <w:tcW w:w="731" w:type="pct"/>
            <w:noWrap/>
            <w:vAlign w:val="center"/>
            <w:hideMark/>
          </w:tcPr>
          <w:p w14:paraId="76515B0C" w14:textId="77777777" w:rsidR="00C13958" w:rsidRPr="00CB3320" w:rsidRDefault="00C13958" w:rsidP="00D168B5">
            <w:pPr>
              <w:pStyle w:val="table"/>
              <w:rPr>
                <w:sz w:val="21"/>
              </w:rPr>
            </w:pPr>
          </w:p>
        </w:tc>
        <w:tc>
          <w:tcPr>
            <w:tcW w:w="731" w:type="pct"/>
            <w:noWrap/>
            <w:vAlign w:val="center"/>
            <w:hideMark/>
          </w:tcPr>
          <w:p w14:paraId="2A1ECE4D" w14:textId="77777777" w:rsidR="00C13958" w:rsidRPr="00CB3320" w:rsidRDefault="00C13958" w:rsidP="00D168B5">
            <w:pPr>
              <w:pStyle w:val="table"/>
              <w:rPr>
                <w:sz w:val="21"/>
              </w:rPr>
            </w:pPr>
          </w:p>
        </w:tc>
      </w:tr>
      <w:tr w:rsidR="00A723D7" w:rsidRPr="00CB3320" w14:paraId="440D4F52" w14:textId="77777777" w:rsidTr="00D168B5">
        <w:trPr>
          <w:trHeight w:val="285"/>
        </w:trPr>
        <w:tc>
          <w:tcPr>
            <w:tcW w:w="910" w:type="pct"/>
            <w:noWrap/>
            <w:vAlign w:val="center"/>
            <w:hideMark/>
          </w:tcPr>
          <w:p w14:paraId="7E8B719B" w14:textId="77777777" w:rsidR="00C13958" w:rsidRPr="00CB3320" w:rsidRDefault="00C13958" w:rsidP="00D168B5">
            <w:pPr>
              <w:pStyle w:val="table"/>
              <w:rPr>
                <w:sz w:val="21"/>
              </w:rPr>
            </w:pPr>
            <w:r w:rsidRPr="00CB3320">
              <w:rPr>
                <w:sz w:val="21"/>
              </w:rPr>
              <w:t>Dtj</w:t>
            </w:r>
          </w:p>
        </w:tc>
        <w:tc>
          <w:tcPr>
            <w:tcW w:w="583" w:type="pct"/>
            <w:noWrap/>
            <w:vAlign w:val="center"/>
            <w:hideMark/>
          </w:tcPr>
          <w:p w14:paraId="4692439D" w14:textId="77777777" w:rsidR="00C13958" w:rsidRPr="00CB3320" w:rsidRDefault="00C13958" w:rsidP="00D168B5">
            <w:pPr>
              <w:pStyle w:val="table"/>
              <w:rPr>
                <w:sz w:val="21"/>
              </w:rPr>
            </w:pPr>
          </w:p>
        </w:tc>
        <w:tc>
          <w:tcPr>
            <w:tcW w:w="583" w:type="pct"/>
            <w:noWrap/>
            <w:vAlign w:val="center"/>
            <w:hideMark/>
          </w:tcPr>
          <w:p w14:paraId="7438C50F" w14:textId="77777777" w:rsidR="00C13958" w:rsidRPr="00CB3320" w:rsidRDefault="00C13958" w:rsidP="00D168B5">
            <w:pPr>
              <w:pStyle w:val="table"/>
              <w:rPr>
                <w:sz w:val="21"/>
              </w:rPr>
            </w:pPr>
          </w:p>
        </w:tc>
        <w:tc>
          <w:tcPr>
            <w:tcW w:w="731" w:type="pct"/>
            <w:noWrap/>
            <w:vAlign w:val="center"/>
            <w:hideMark/>
          </w:tcPr>
          <w:p w14:paraId="33D3C80E" w14:textId="77777777" w:rsidR="00C13958" w:rsidRPr="00CB3320" w:rsidRDefault="00C13958" w:rsidP="00D168B5">
            <w:pPr>
              <w:pStyle w:val="table"/>
              <w:rPr>
                <w:sz w:val="21"/>
              </w:rPr>
            </w:pPr>
            <w:r w:rsidRPr="00CB3320">
              <w:rPr>
                <w:sz w:val="21"/>
              </w:rPr>
              <w:t>0.0598***</w:t>
            </w:r>
          </w:p>
          <w:p w14:paraId="40ECC749" w14:textId="5EAE9B26" w:rsidR="00A723D7" w:rsidRPr="00CB3320" w:rsidRDefault="00A723D7" w:rsidP="00D168B5">
            <w:pPr>
              <w:pStyle w:val="table"/>
              <w:rPr>
                <w:sz w:val="21"/>
              </w:rPr>
            </w:pPr>
            <w:r w:rsidRPr="00CB3320">
              <w:rPr>
                <w:sz w:val="21"/>
              </w:rPr>
              <w:t>(0.00906)</w:t>
            </w:r>
          </w:p>
        </w:tc>
        <w:tc>
          <w:tcPr>
            <w:tcW w:w="731" w:type="pct"/>
            <w:noWrap/>
            <w:vAlign w:val="center"/>
            <w:hideMark/>
          </w:tcPr>
          <w:p w14:paraId="12103749" w14:textId="77777777" w:rsidR="00C13958" w:rsidRPr="00CB3320" w:rsidRDefault="00C13958" w:rsidP="00D168B5">
            <w:pPr>
              <w:pStyle w:val="table"/>
              <w:rPr>
                <w:sz w:val="21"/>
              </w:rPr>
            </w:pPr>
            <w:r w:rsidRPr="00CB3320">
              <w:rPr>
                <w:sz w:val="21"/>
              </w:rPr>
              <w:t>0.0633***</w:t>
            </w:r>
          </w:p>
          <w:p w14:paraId="56A618A8" w14:textId="1325B999" w:rsidR="00A723D7" w:rsidRPr="00CB3320" w:rsidRDefault="00A723D7" w:rsidP="00D168B5">
            <w:pPr>
              <w:pStyle w:val="table"/>
              <w:rPr>
                <w:sz w:val="21"/>
              </w:rPr>
            </w:pPr>
            <w:r w:rsidRPr="00CB3320">
              <w:rPr>
                <w:sz w:val="21"/>
              </w:rPr>
              <w:t>(0.0100)</w:t>
            </w:r>
          </w:p>
        </w:tc>
        <w:tc>
          <w:tcPr>
            <w:tcW w:w="731" w:type="pct"/>
            <w:noWrap/>
            <w:vAlign w:val="center"/>
            <w:hideMark/>
          </w:tcPr>
          <w:p w14:paraId="3D0CB667" w14:textId="77777777" w:rsidR="00C13958" w:rsidRPr="00CB3320" w:rsidRDefault="00C13958" w:rsidP="00D168B5">
            <w:pPr>
              <w:pStyle w:val="table"/>
              <w:rPr>
                <w:sz w:val="21"/>
              </w:rPr>
            </w:pPr>
          </w:p>
        </w:tc>
        <w:tc>
          <w:tcPr>
            <w:tcW w:w="731" w:type="pct"/>
            <w:noWrap/>
            <w:vAlign w:val="center"/>
            <w:hideMark/>
          </w:tcPr>
          <w:p w14:paraId="2BBE714D" w14:textId="77777777" w:rsidR="00C13958" w:rsidRPr="00CB3320" w:rsidRDefault="00C13958" w:rsidP="00D168B5">
            <w:pPr>
              <w:pStyle w:val="table"/>
              <w:rPr>
                <w:sz w:val="21"/>
              </w:rPr>
            </w:pPr>
          </w:p>
        </w:tc>
      </w:tr>
      <w:tr w:rsidR="00A723D7" w:rsidRPr="00CB3320" w14:paraId="4E2D2A9B" w14:textId="77777777" w:rsidTr="00D168B5">
        <w:trPr>
          <w:trHeight w:val="285"/>
        </w:trPr>
        <w:tc>
          <w:tcPr>
            <w:tcW w:w="910" w:type="pct"/>
            <w:noWrap/>
            <w:vAlign w:val="center"/>
            <w:hideMark/>
          </w:tcPr>
          <w:p w14:paraId="0BCFE1BC" w14:textId="77777777" w:rsidR="00C13958" w:rsidRPr="00CB3320" w:rsidRDefault="00C13958" w:rsidP="00D168B5">
            <w:pPr>
              <w:pStyle w:val="table"/>
              <w:rPr>
                <w:sz w:val="21"/>
              </w:rPr>
            </w:pPr>
            <w:r w:rsidRPr="00CB3320">
              <w:rPr>
                <w:sz w:val="21"/>
              </w:rPr>
              <w:t>Dgd</w:t>
            </w:r>
          </w:p>
        </w:tc>
        <w:tc>
          <w:tcPr>
            <w:tcW w:w="583" w:type="pct"/>
            <w:noWrap/>
            <w:vAlign w:val="center"/>
            <w:hideMark/>
          </w:tcPr>
          <w:p w14:paraId="4113967B" w14:textId="77777777" w:rsidR="00C13958" w:rsidRPr="00CB3320" w:rsidRDefault="00C13958" w:rsidP="00D168B5">
            <w:pPr>
              <w:pStyle w:val="table"/>
              <w:rPr>
                <w:sz w:val="21"/>
              </w:rPr>
            </w:pPr>
          </w:p>
        </w:tc>
        <w:tc>
          <w:tcPr>
            <w:tcW w:w="583" w:type="pct"/>
            <w:noWrap/>
            <w:vAlign w:val="center"/>
            <w:hideMark/>
          </w:tcPr>
          <w:p w14:paraId="2780B477" w14:textId="77777777" w:rsidR="00C13958" w:rsidRPr="00CB3320" w:rsidRDefault="00C13958" w:rsidP="00D168B5">
            <w:pPr>
              <w:pStyle w:val="table"/>
              <w:rPr>
                <w:sz w:val="21"/>
              </w:rPr>
            </w:pPr>
          </w:p>
        </w:tc>
        <w:tc>
          <w:tcPr>
            <w:tcW w:w="731" w:type="pct"/>
            <w:noWrap/>
            <w:vAlign w:val="center"/>
            <w:hideMark/>
          </w:tcPr>
          <w:p w14:paraId="6E1432DD" w14:textId="77777777" w:rsidR="00C13958" w:rsidRPr="00CB3320" w:rsidRDefault="00C13958" w:rsidP="00D168B5">
            <w:pPr>
              <w:pStyle w:val="table"/>
              <w:rPr>
                <w:sz w:val="21"/>
              </w:rPr>
            </w:pPr>
            <w:r w:rsidRPr="00CB3320">
              <w:rPr>
                <w:sz w:val="21"/>
              </w:rPr>
              <w:t>-0.0424***</w:t>
            </w:r>
          </w:p>
          <w:p w14:paraId="0F981386" w14:textId="17F035FC" w:rsidR="00A723D7" w:rsidRPr="00CB3320" w:rsidRDefault="00A723D7" w:rsidP="00D168B5">
            <w:pPr>
              <w:pStyle w:val="table"/>
              <w:rPr>
                <w:sz w:val="21"/>
              </w:rPr>
            </w:pPr>
            <w:r w:rsidRPr="00CB3320">
              <w:rPr>
                <w:sz w:val="21"/>
              </w:rPr>
              <w:t>(0.00906)</w:t>
            </w:r>
          </w:p>
        </w:tc>
        <w:tc>
          <w:tcPr>
            <w:tcW w:w="731" w:type="pct"/>
            <w:noWrap/>
            <w:vAlign w:val="center"/>
            <w:hideMark/>
          </w:tcPr>
          <w:p w14:paraId="7FE322C4" w14:textId="77777777" w:rsidR="00C13958" w:rsidRPr="00CB3320" w:rsidRDefault="00C13958" w:rsidP="00D168B5">
            <w:pPr>
              <w:pStyle w:val="table"/>
              <w:rPr>
                <w:sz w:val="21"/>
              </w:rPr>
            </w:pPr>
            <w:r w:rsidRPr="00CB3320">
              <w:rPr>
                <w:sz w:val="21"/>
              </w:rPr>
              <w:t>-0.0479***</w:t>
            </w:r>
          </w:p>
          <w:p w14:paraId="5831AA6F" w14:textId="47B9A686" w:rsidR="00A723D7" w:rsidRPr="00CB3320" w:rsidRDefault="00A723D7" w:rsidP="00D168B5">
            <w:pPr>
              <w:pStyle w:val="table"/>
              <w:rPr>
                <w:sz w:val="21"/>
              </w:rPr>
            </w:pPr>
            <w:r w:rsidRPr="00CB3320">
              <w:rPr>
                <w:sz w:val="21"/>
              </w:rPr>
              <w:t>(0.00917)</w:t>
            </w:r>
          </w:p>
        </w:tc>
        <w:tc>
          <w:tcPr>
            <w:tcW w:w="731" w:type="pct"/>
            <w:noWrap/>
            <w:vAlign w:val="center"/>
            <w:hideMark/>
          </w:tcPr>
          <w:p w14:paraId="04644B5B" w14:textId="77777777" w:rsidR="00C13958" w:rsidRPr="00CB3320" w:rsidRDefault="00C13958" w:rsidP="00D168B5">
            <w:pPr>
              <w:pStyle w:val="table"/>
              <w:rPr>
                <w:sz w:val="21"/>
              </w:rPr>
            </w:pPr>
          </w:p>
        </w:tc>
        <w:tc>
          <w:tcPr>
            <w:tcW w:w="731" w:type="pct"/>
            <w:noWrap/>
            <w:vAlign w:val="center"/>
            <w:hideMark/>
          </w:tcPr>
          <w:p w14:paraId="16AB8C2C" w14:textId="77777777" w:rsidR="00C13958" w:rsidRPr="00CB3320" w:rsidRDefault="00C13958" w:rsidP="00D168B5">
            <w:pPr>
              <w:pStyle w:val="table"/>
              <w:rPr>
                <w:sz w:val="21"/>
              </w:rPr>
            </w:pPr>
          </w:p>
        </w:tc>
      </w:tr>
      <w:tr w:rsidR="00A723D7" w:rsidRPr="00CB3320" w14:paraId="08BBFB94" w14:textId="77777777" w:rsidTr="00D168B5">
        <w:trPr>
          <w:trHeight w:val="285"/>
        </w:trPr>
        <w:tc>
          <w:tcPr>
            <w:tcW w:w="910" w:type="pct"/>
            <w:noWrap/>
            <w:vAlign w:val="center"/>
            <w:hideMark/>
          </w:tcPr>
          <w:p w14:paraId="1C3A3543" w14:textId="77777777" w:rsidR="00C13958" w:rsidRPr="00CB3320" w:rsidRDefault="00C13958" w:rsidP="00D168B5">
            <w:pPr>
              <w:pStyle w:val="table"/>
              <w:rPr>
                <w:sz w:val="21"/>
              </w:rPr>
            </w:pPr>
            <w:r w:rsidRPr="00CB3320">
              <w:rPr>
                <w:sz w:val="21"/>
              </w:rPr>
              <w:t>Dhb</w:t>
            </w:r>
          </w:p>
        </w:tc>
        <w:tc>
          <w:tcPr>
            <w:tcW w:w="583" w:type="pct"/>
            <w:noWrap/>
            <w:vAlign w:val="center"/>
            <w:hideMark/>
          </w:tcPr>
          <w:p w14:paraId="001A167F" w14:textId="77777777" w:rsidR="00C13958" w:rsidRPr="00CB3320" w:rsidRDefault="00C13958" w:rsidP="00D168B5">
            <w:pPr>
              <w:pStyle w:val="table"/>
              <w:rPr>
                <w:sz w:val="21"/>
              </w:rPr>
            </w:pPr>
          </w:p>
        </w:tc>
        <w:tc>
          <w:tcPr>
            <w:tcW w:w="583" w:type="pct"/>
            <w:noWrap/>
            <w:vAlign w:val="center"/>
            <w:hideMark/>
          </w:tcPr>
          <w:p w14:paraId="03DDC0BC" w14:textId="77777777" w:rsidR="00C13958" w:rsidRPr="00CB3320" w:rsidRDefault="00C13958" w:rsidP="00D168B5">
            <w:pPr>
              <w:pStyle w:val="table"/>
              <w:rPr>
                <w:sz w:val="21"/>
              </w:rPr>
            </w:pPr>
          </w:p>
        </w:tc>
        <w:tc>
          <w:tcPr>
            <w:tcW w:w="731" w:type="pct"/>
            <w:noWrap/>
            <w:vAlign w:val="center"/>
            <w:hideMark/>
          </w:tcPr>
          <w:p w14:paraId="1EB84763" w14:textId="77777777" w:rsidR="00C13958" w:rsidRPr="00CB3320" w:rsidRDefault="00C13958" w:rsidP="00D168B5">
            <w:pPr>
              <w:pStyle w:val="table"/>
              <w:rPr>
                <w:sz w:val="21"/>
              </w:rPr>
            </w:pPr>
            <w:r w:rsidRPr="00CB3320">
              <w:rPr>
                <w:sz w:val="21"/>
              </w:rPr>
              <w:t>-0.0243**</w:t>
            </w:r>
          </w:p>
          <w:p w14:paraId="6D37A16C" w14:textId="1E97556B" w:rsidR="00A723D7" w:rsidRPr="00CB3320" w:rsidRDefault="00A723D7" w:rsidP="00D168B5">
            <w:pPr>
              <w:pStyle w:val="table"/>
              <w:rPr>
                <w:sz w:val="21"/>
              </w:rPr>
            </w:pPr>
            <w:r w:rsidRPr="00CB3320">
              <w:rPr>
                <w:sz w:val="21"/>
              </w:rPr>
              <w:t>(0.00906)</w:t>
            </w:r>
          </w:p>
        </w:tc>
        <w:tc>
          <w:tcPr>
            <w:tcW w:w="731" w:type="pct"/>
            <w:noWrap/>
            <w:vAlign w:val="center"/>
            <w:hideMark/>
          </w:tcPr>
          <w:p w14:paraId="14778368" w14:textId="77777777" w:rsidR="00C13958" w:rsidRPr="00CB3320" w:rsidRDefault="00C13958" w:rsidP="00D168B5">
            <w:pPr>
              <w:pStyle w:val="table"/>
              <w:rPr>
                <w:sz w:val="21"/>
              </w:rPr>
            </w:pPr>
            <w:r w:rsidRPr="00CB3320">
              <w:rPr>
                <w:sz w:val="21"/>
              </w:rPr>
              <w:t>-0.0243**</w:t>
            </w:r>
          </w:p>
          <w:p w14:paraId="0A388C22" w14:textId="47F8D94A" w:rsidR="00A723D7" w:rsidRPr="00CB3320" w:rsidRDefault="00A723D7" w:rsidP="00D168B5">
            <w:pPr>
              <w:pStyle w:val="table"/>
              <w:rPr>
                <w:sz w:val="21"/>
              </w:rPr>
            </w:pPr>
            <w:r w:rsidRPr="00CB3320">
              <w:rPr>
                <w:sz w:val="21"/>
              </w:rPr>
              <w:t>(0.00908)</w:t>
            </w:r>
          </w:p>
        </w:tc>
        <w:tc>
          <w:tcPr>
            <w:tcW w:w="731" w:type="pct"/>
            <w:noWrap/>
            <w:vAlign w:val="center"/>
            <w:hideMark/>
          </w:tcPr>
          <w:p w14:paraId="3664A43B" w14:textId="77777777" w:rsidR="00C13958" w:rsidRPr="00CB3320" w:rsidRDefault="00C13958" w:rsidP="00D168B5">
            <w:pPr>
              <w:pStyle w:val="table"/>
              <w:rPr>
                <w:sz w:val="21"/>
              </w:rPr>
            </w:pPr>
          </w:p>
        </w:tc>
        <w:tc>
          <w:tcPr>
            <w:tcW w:w="731" w:type="pct"/>
            <w:noWrap/>
            <w:vAlign w:val="center"/>
            <w:hideMark/>
          </w:tcPr>
          <w:p w14:paraId="4DFD47E5" w14:textId="77777777" w:rsidR="00C13958" w:rsidRPr="00CB3320" w:rsidRDefault="00C13958" w:rsidP="00D168B5">
            <w:pPr>
              <w:pStyle w:val="table"/>
              <w:rPr>
                <w:sz w:val="21"/>
              </w:rPr>
            </w:pPr>
          </w:p>
        </w:tc>
      </w:tr>
      <w:tr w:rsidR="00A723D7" w:rsidRPr="00CB3320" w14:paraId="12C5FCB3" w14:textId="77777777" w:rsidTr="00D168B5">
        <w:trPr>
          <w:trHeight w:val="285"/>
        </w:trPr>
        <w:tc>
          <w:tcPr>
            <w:tcW w:w="910" w:type="pct"/>
            <w:noWrap/>
            <w:vAlign w:val="center"/>
            <w:hideMark/>
          </w:tcPr>
          <w:p w14:paraId="2EAF1902" w14:textId="77777777" w:rsidR="00C13958" w:rsidRPr="00CB3320" w:rsidRDefault="00C13958" w:rsidP="00D168B5">
            <w:pPr>
              <w:pStyle w:val="table"/>
              <w:rPr>
                <w:sz w:val="21"/>
              </w:rPr>
            </w:pPr>
          </w:p>
        </w:tc>
        <w:tc>
          <w:tcPr>
            <w:tcW w:w="583" w:type="pct"/>
            <w:noWrap/>
            <w:vAlign w:val="center"/>
            <w:hideMark/>
          </w:tcPr>
          <w:p w14:paraId="0E5F3D11" w14:textId="77777777" w:rsidR="00C13958" w:rsidRPr="00CB3320" w:rsidRDefault="00C13958" w:rsidP="00D168B5">
            <w:pPr>
              <w:pStyle w:val="table"/>
              <w:rPr>
                <w:sz w:val="21"/>
              </w:rPr>
            </w:pPr>
          </w:p>
        </w:tc>
        <w:tc>
          <w:tcPr>
            <w:tcW w:w="583" w:type="pct"/>
            <w:noWrap/>
            <w:vAlign w:val="center"/>
            <w:hideMark/>
          </w:tcPr>
          <w:p w14:paraId="76B678C2" w14:textId="77777777" w:rsidR="00C13958" w:rsidRPr="00CB3320" w:rsidRDefault="00C13958" w:rsidP="00D168B5">
            <w:pPr>
              <w:pStyle w:val="table"/>
              <w:rPr>
                <w:sz w:val="21"/>
              </w:rPr>
            </w:pPr>
          </w:p>
        </w:tc>
        <w:tc>
          <w:tcPr>
            <w:tcW w:w="731" w:type="pct"/>
            <w:noWrap/>
            <w:vAlign w:val="center"/>
            <w:hideMark/>
          </w:tcPr>
          <w:p w14:paraId="5143A489" w14:textId="641BD509" w:rsidR="00C13958" w:rsidRPr="00CB3320" w:rsidRDefault="00C13958" w:rsidP="00D168B5">
            <w:pPr>
              <w:pStyle w:val="table"/>
              <w:rPr>
                <w:sz w:val="21"/>
              </w:rPr>
            </w:pPr>
          </w:p>
        </w:tc>
        <w:tc>
          <w:tcPr>
            <w:tcW w:w="731" w:type="pct"/>
            <w:noWrap/>
            <w:vAlign w:val="center"/>
            <w:hideMark/>
          </w:tcPr>
          <w:p w14:paraId="2B0BF190" w14:textId="391D3C72" w:rsidR="00C13958" w:rsidRPr="00CB3320" w:rsidRDefault="00C13958" w:rsidP="00D168B5">
            <w:pPr>
              <w:pStyle w:val="table"/>
              <w:rPr>
                <w:sz w:val="21"/>
              </w:rPr>
            </w:pPr>
          </w:p>
        </w:tc>
        <w:tc>
          <w:tcPr>
            <w:tcW w:w="731" w:type="pct"/>
            <w:noWrap/>
            <w:vAlign w:val="center"/>
            <w:hideMark/>
          </w:tcPr>
          <w:p w14:paraId="043EFA55" w14:textId="77777777" w:rsidR="00C13958" w:rsidRPr="00CB3320" w:rsidRDefault="00C13958" w:rsidP="00D168B5">
            <w:pPr>
              <w:pStyle w:val="table"/>
              <w:rPr>
                <w:sz w:val="21"/>
              </w:rPr>
            </w:pPr>
          </w:p>
        </w:tc>
        <w:tc>
          <w:tcPr>
            <w:tcW w:w="731" w:type="pct"/>
            <w:noWrap/>
            <w:vAlign w:val="center"/>
            <w:hideMark/>
          </w:tcPr>
          <w:p w14:paraId="7F163A42" w14:textId="77777777" w:rsidR="00C13958" w:rsidRPr="00CB3320" w:rsidRDefault="00C13958" w:rsidP="00D168B5">
            <w:pPr>
              <w:pStyle w:val="table"/>
              <w:rPr>
                <w:sz w:val="21"/>
              </w:rPr>
            </w:pPr>
          </w:p>
        </w:tc>
      </w:tr>
      <w:tr w:rsidR="00A723D7" w:rsidRPr="00CB3320" w14:paraId="49F0D99C" w14:textId="77777777" w:rsidTr="00D168B5">
        <w:trPr>
          <w:trHeight w:val="285"/>
        </w:trPr>
        <w:tc>
          <w:tcPr>
            <w:tcW w:w="910" w:type="pct"/>
            <w:noWrap/>
            <w:vAlign w:val="center"/>
            <w:hideMark/>
          </w:tcPr>
          <w:p w14:paraId="507C2948" w14:textId="77777777" w:rsidR="00C13958" w:rsidRPr="00CB3320" w:rsidRDefault="00C13958" w:rsidP="00D168B5">
            <w:pPr>
              <w:pStyle w:val="table"/>
              <w:rPr>
                <w:sz w:val="21"/>
              </w:rPr>
            </w:pPr>
            <w:r w:rsidRPr="00CB3320">
              <w:rPr>
                <w:sz w:val="21"/>
              </w:rPr>
              <w:t>Dcq</w:t>
            </w:r>
          </w:p>
        </w:tc>
        <w:tc>
          <w:tcPr>
            <w:tcW w:w="583" w:type="pct"/>
            <w:noWrap/>
            <w:vAlign w:val="center"/>
            <w:hideMark/>
          </w:tcPr>
          <w:p w14:paraId="46488938" w14:textId="77777777" w:rsidR="00C13958" w:rsidRPr="00CB3320" w:rsidRDefault="00C13958" w:rsidP="00D168B5">
            <w:pPr>
              <w:pStyle w:val="table"/>
              <w:rPr>
                <w:sz w:val="21"/>
              </w:rPr>
            </w:pPr>
          </w:p>
        </w:tc>
        <w:tc>
          <w:tcPr>
            <w:tcW w:w="583" w:type="pct"/>
            <w:noWrap/>
            <w:vAlign w:val="center"/>
            <w:hideMark/>
          </w:tcPr>
          <w:p w14:paraId="67C50FEB" w14:textId="77777777" w:rsidR="00C13958" w:rsidRPr="00CB3320" w:rsidRDefault="00C13958" w:rsidP="00D168B5">
            <w:pPr>
              <w:pStyle w:val="table"/>
              <w:rPr>
                <w:sz w:val="21"/>
              </w:rPr>
            </w:pPr>
          </w:p>
        </w:tc>
        <w:tc>
          <w:tcPr>
            <w:tcW w:w="731" w:type="pct"/>
            <w:noWrap/>
            <w:vAlign w:val="center"/>
            <w:hideMark/>
          </w:tcPr>
          <w:p w14:paraId="2529BBCF" w14:textId="77777777" w:rsidR="00C13958" w:rsidRPr="00CB3320" w:rsidRDefault="00C13958" w:rsidP="00D168B5">
            <w:pPr>
              <w:pStyle w:val="table"/>
              <w:rPr>
                <w:sz w:val="21"/>
              </w:rPr>
            </w:pPr>
            <w:r w:rsidRPr="00CB3320">
              <w:rPr>
                <w:sz w:val="21"/>
              </w:rPr>
              <w:t>0.0320***</w:t>
            </w:r>
          </w:p>
          <w:p w14:paraId="0E009DC4" w14:textId="4D16C067" w:rsidR="00A723D7" w:rsidRPr="00CB3320" w:rsidRDefault="00A723D7" w:rsidP="00D168B5">
            <w:pPr>
              <w:pStyle w:val="table"/>
              <w:rPr>
                <w:sz w:val="21"/>
              </w:rPr>
            </w:pPr>
            <w:r w:rsidRPr="00CB3320">
              <w:rPr>
                <w:sz w:val="21"/>
              </w:rPr>
              <w:t>(0.00906)</w:t>
            </w:r>
          </w:p>
        </w:tc>
        <w:tc>
          <w:tcPr>
            <w:tcW w:w="731" w:type="pct"/>
            <w:noWrap/>
            <w:vAlign w:val="center"/>
            <w:hideMark/>
          </w:tcPr>
          <w:p w14:paraId="0526E52F" w14:textId="77777777" w:rsidR="00C13958" w:rsidRPr="00CB3320" w:rsidRDefault="00C13958" w:rsidP="00D168B5">
            <w:pPr>
              <w:pStyle w:val="table"/>
              <w:rPr>
                <w:sz w:val="21"/>
              </w:rPr>
            </w:pPr>
            <w:r w:rsidRPr="00CB3320">
              <w:rPr>
                <w:sz w:val="21"/>
              </w:rPr>
              <w:t>0.0182*</w:t>
            </w:r>
          </w:p>
          <w:p w14:paraId="48B11130" w14:textId="4032FB50" w:rsidR="00A723D7" w:rsidRPr="00CB3320" w:rsidRDefault="00A723D7" w:rsidP="00D168B5">
            <w:pPr>
              <w:pStyle w:val="table"/>
              <w:rPr>
                <w:sz w:val="21"/>
              </w:rPr>
            </w:pPr>
            <w:r w:rsidRPr="00CB3320">
              <w:rPr>
                <w:sz w:val="21"/>
              </w:rPr>
              <w:t>(0.00989)</w:t>
            </w:r>
          </w:p>
        </w:tc>
        <w:tc>
          <w:tcPr>
            <w:tcW w:w="731" w:type="pct"/>
            <w:noWrap/>
            <w:vAlign w:val="center"/>
            <w:hideMark/>
          </w:tcPr>
          <w:p w14:paraId="4BED45FD" w14:textId="77777777" w:rsidR="00C13958" w:rsidRPr="00CB3320" w:rsidRDefault="00C13958" w:rsidP="00D168B5">
            <w:pPr>
              <w:pStyle w:val="table"/>
              <w:rPr>
                <w:sz w:val="21"/>
              </w:rPr>
            </w:pPr>
          </w:p>
        </w:tc>
        <w:tc>
          <w:tcPr>
            <w:tcW w:w="731" w:type="pct"/>
            <w:noWrap/>
            <w:vAlign w:val="center"/>
            <w:hideMark/>
          </w:tcPr>
          <w:p w14:paraId="68A2D5CC" w14:textId="77777777" w:rsidR="00C13958" w:rsidRPr="00CB3320" w:rsidRDefault="00C13958" w:rsidP="00D168B5">
            <w:pPr>
              <w:pStyle w:val="table"/>
              <w:rPr>
                <w:sz w:val="21"/>
              </w:rPr>
            </w:pPr>
          </w:p>
        </w:tc>
      </w:tr>
      <w:tr w:rsidR="00A723D7" w:rsidRPr="00CB3320" w14:paraId="5E3D24D2" w14:textId="77777777" w:rsidTr="00D168B5">
        <w:trPr>
          <w:trHeight w:val="285"/>
        </w:trPr>
        <w:tc>
          <w:tcPr>
            <w:tcW w:w="910" w:type="pct"/>
            <w:noWrap/>
            <w:vAlign w:val="center"/>
          </w:tcPr>
          <w:p w14:paraId="37D92218" w14:textId="77777777" w:rsidR="00C13958" w:rsidRPr="00CB3320" w:rsidRDefault="00C13958" w:rsidP="00D168B5">
            <w:pPr>
              <w:pStyle w:val="table"/>
              <w:rPr>
                <w:sz w:val="21"/>
              </w:rPr>
            </w:pPr>
          </w:p>
        </w:tc>
        <w:tc>
          <w:tcPr>
            <w:tcW w:w="583" w:type="pct"/>
            <w:noWrap/>
            <w:vAlign w:val="center"/>
          </w:tcPr>
          <w:p w14:paraId="1FFDC631" w14:textId="77777777" w:rsidR="00C13958" w:rsidRPr="00CB3320" w:rsidRDefault="00C13958" w:rsidP="00D168B5">
            <w:pPr>
              <w:pStyle w:val="table"/>
              <w:rPr>
                <w:sz w:val="21"/>
              </w:rPr>
            </w:pPr>
          </w:p>
        </w:tc>
        <w:tc>
          <w:tcPr>
            <w:tcW w:w="583" w:type="pct"/>
            <w:noWrap/>
            <w:vAlign w:val="center"/>
          </w:tcPr>
          <w:p w14:paraId="65A9069D" w14:textId="77777777" w:rsidR="00C13958" w:rsidRPr="00CB3320" w:rsidRDefault="00C13958" w:rsidP="00D168B5">
            <w:pPr>
              <w:pStyle w:val="table"/>
              <w:rPr>
                <w:sz w:val="21"/>
              </w:rPr>
            </w:pPr>
          </w:p>
        </w:tc>
        <w:tc>
          <w:tcPr>
            <w:tcW w:w="731" w:type="pct"/>
            <w:noWrap/>
            <w:vAlign w:val="center"/>
            <w:hideMark/>
          </w:tcPr>
          <w:p w14:paraId="206F9372" w14:textId="68EA0A08" w:rsidR="00C13958" w:rsidRPr="00CB3320" w:rsidRDefault="00C13958" w:rsidP="00D168B5">
            <w:pPr>
              <w:pStyle w:val="table"/>
              <w:rPr>
                <w:sz w:val="21"/>
              </w:rPr>
            </w:pPr>
          </w:p>
        </w:tc>
        <w:tc>
          <w:tcPr>
            <w:tcW w:w="731" w:type="pct"/>
            <w:noWrap/>
            <w:vAlign w:val="center"/>
            <w:hideMark/>
          </w:tcPr>
          <w:p w14:paraId="73785128" w14:textId="1A940CF8" w:rsidR="00C13958" w:rsidRPr="00CB3320" w:rsidRDefault="00C13958" w:rsidP="00D168B5">
            <w:pPr>
              <w:pStyle w:val="table"/>
              <w:rPr>
                <w:sz w:val="21"/>
              </w:rPr>
            </w:pPr>
          </w:p>
        </w:tc>
        <w:tc>
          <w:tcPr>
            <w:tcW w:w="731" w:type="pct"/>
            <w:noWrap/>
            <w:vAlign w:val="center"/>
          </w:tcPr>
          <w:p w14:paraId="69CE5614" w14:textId="77777777" w:rsidR="00C13958" w:rsidRPr="00CB3320" w:rsidRDefault="00C13958" w:rsidP="00D168B5">
            <w:pPr>
              <w:pStyle w:val="table"/>
              <w:rPr>
                <w:sz w:val="21"/>
              </w:rPr>
            </w:pPr>
          </w:p>
        </w:tc>
        <w:tc>
          <w:tcPr>
            <w:tcW w:w="731" w:type="pct"/>
            <w:noWrap/>
            <w:vAlign w:val="center"/>
          </w:tcPr>
          <w:p w14:paraId="2BC9227F" w14:textId="77777777" w:rsidR="00C13958" w:rsidRPr="00CB3320" w:rsidRDefault="00C13958" w:rsidP="00D168B5">
            <w:pPr>
              <w:pStyle w:val="table"/>
              <w:rPr>
                <w:sz w:val="21"/>
              </w:rPr>
            </w:pPr>
          </w:p>
        </w:tc>
      </w:tr>
      <w:tr w:rsidR="00A723D7" w:rsidRPr="00CB3320" w14:paraId="14F10D33" w14:textId="77777777" w:rsidTr="00D168B5">
        <w:trPr>
          <w:trHeight w:val="285"/>
        </w:trPr>
        <w:tc>
          <w:tcPr>
            <w:tcW w:w="910" w:type="pct"/>
            <w:noWrap/>
            <w:vAlign w:val="center"/>
            <w:hideMark/>
          </w:tcPr>
          <w:p w14:paraId="6ABA7F74" w14:textId="77777777" w:rsidR="00C13958" w:rsidRPr="00CB3320" w:rsidRDefault="00C13958" w:rsidP="00D168B5">
            <w:pPr>
              <w:pStyle w:val="table"/>
              <w:rPr>
                <w:sz w:val="21"/>
              </w:rPr>
            </w:pPr>
            <w:r w:rsidRPr="00CB3320">
              <w:rPr>
                <w:sz w:val="21"/>
              </w:rPr>
              <w:t>Ddeveloped</w:t>
            </w:r>
          </w:p>
        </w:tc>
        <w:tc>
          <w:tcPr>
            <w:tcW w:w="583" w:type="pct"/>
            <w:noWrap/>
            <w:vAlign w:val="center"/>
          </w:tcPr>
          <w:p w14:paraId="0FB865F4" w14:textId="77777777" w:rsidR="00C13958" w:rsidRPr="00CB3320" w:rsidRDefault="00C13958" w:rsidP="00D168B5">
            <w:pPr>
              <w:pStyle w:val="table"/>
              <w:rPr>
                <w:sz w:val="21"/>
              </w:rPr>
            </w:pPr>
          </w:p>
        </w:tc>
        <w:tc>
          <w:tcPr>
            <w:tcW w:w="583" w:type="pct"/>
            <w:noWrap/>
            <w:vAlign w:val="center"/>
          </w:tcPr>
          <w:p w14:paraId="302BE8D4" w14:textId="77777777" w:rsidR="00C13958" w:rsidRPr="00CB3320" w:rsidRDefault="00C13958" w:rsidP="00D168B5">
            <w:pPr>
              <w:pStyle w:val="table"/>
              <w:rPr>
                <w:sz w:val="21"/>
              </w:rPr>
            </w:pPr>
          </w:p>
        </w:tc>
        <w:tc>
          <w:tcPr>
            <w:tcW w:w="731" w:type="pct"/>
            <w:noWrap/>
            <w:vAlign w:val="center"/>
          </w:tcPr>
          <w:p w14:paraId="1F8FE6C8" w14:textId="77777777" w:rsidR="00C13958" w:rsidRPr="00CB3320" w:rsidRDefault="00C13958" w:rsidP="00D168B5">
            <w:pPr>
              <w:pStyle w:val="table"/>
              <w:rPr>
                <w:sz w:val="21"/>
              </w:rPr>
            </w:pPr>
          </w:p>
        </w:tc>
        <w:tc>
          <w:tcPr>
            <w:tcW w:w="731" w:type="pct"/>
            <w:noWrap/>
            <w:vAlign w:val="center"/>
          </w:tcPr>
          <w:p w14:paraId="6E95515B" w14:textId="77777777" w:rsidR="00C13958" w:rsidRPr="00CB3320" w:rsidRDefault="00C13958" w:rsidP="00D168B5">
            <w:pPr>
              <w:pStyle w:val="table"/>
              <w:rPr>
                <w:sz w:val="21"/>
              </w:rPr>
            </w:pPr>
          </w:p>
        </w:tc>
        <w:tc>
          <w:tcPr>
            <w:tcW w:w="731" w:type="pct"/>
            <w:noWrap/>
            <w:vAlign w:val="center"/>
            <w:hideMark/>
          </w:tcPr>
          <w:p w14:paraId="168C0295" w14:textId="77777777" w:rsidR="00C13958" w:rsidRPr="00CB3320" w:rsidRDefault="00C13958" w:rsidP="00D168B5">
            <w:pPr>
              <w:pStyle w:val="table"/>
              <w:rPr>
                <w:sz w:val="21"/>
              </w:rPr>
            </w:pPr>
            <w:r w:rsidRPr="00CB3320">
              <w:rPr>
                <w:sz w:val="21"/>
              </w:rPr>
              <w:t>0.0286*</w:t>
            </w:r>
          </w:p>
          <w:p w14:paraId="715F13EE" w14:textId="7DDA4BC7" w:rsidR="00A723D7" w:rsidRPr="00CB3320" w:rsidRDefault="00A723D7" w:rsidP="00D168B5">
            <w:pPr>
              <w:pStyle w:val="table"/>
              <w:rPr>
                <w:sz w:val="21"/>
              </w:rPr>
            </w:pPr>
            <w:r w:rsidRPr="00CB3320">
              <w:rPr>
                <w:sz w:val="21"/>
              </w:rPr>
              <w:t>(0.0142)</w:t>
            </w:r>
          </w:p>
        </w:tc>
        <w:tc>
          <w:tcPr>
            <w:tcW w:w="731" w:type="pct"/>
            <w:noWrap/>
            <w:vAlign w:val="center"/>
            <w:hideMark/>
          </w:tcPr>
          <w:p w14:paraId="62710383" w14:textId="77777777" w:rsidR="00C13958" w:rsidRPr="00CB3320" w:rsidRDefault="00C13958" w:rsidP="00D168B5">
            <w:pPr>
              <w:pStyle w:val="table"/>
              <w:rPr>
                <w:sz w:val="21"/>
              </w:rPr>
            </w:pPr>
            <w:r w:rsidRPr="00CB3320">
              <w:rPr>
                <w:sz w:val="21"/>
              </w:rPr>
              <w:t>0.0218</w:t>
            </w:r>
          </w:p>
          <w:p w14:paraId="678C85AC" w14:textId="24A0A8E9" w:rsidR="00A723D7" w:rsidRPr="00CB3320" w:rsidRDefault="00A723D7" w:rsidP="00D168B5">
            <w:pPr>
              <w:pStyle w:val="table"/>
              <w:rPr>
                <w:sz w:val="21"/>
              </w:rPr>
            </w:pPr>
            <w:r w:rsidRPr="00CB3320">
              <w:rPr>
                <w:sz w:val="21"/>
              </w:rPr>
              <w:t>(0.0159)</w:t>
            </w:r>
          </w:p>
        </w:tc>
      </w:tr>
      <w:tr w:rsidR="00A723D7" w:rsidRPr="00CB3320" w14:paraId="14A5A158" w14:textId="77777777" w:rsidTr="00D168B5">
        <w:trPr>
          <w:trHeight w:val="285"/>
        </w:trPr>
        <w:tc>
          <w:tcPr>
            <w:tcW w:w="910" w:type="pct"/>
            <w:noWrap/>
            <w:vAlign w:val="center"/>
            <w:hideMark/>
          </w:tcPr>
          <w:p w14:paraId="41E52724" w14:textId="77777777" w:rsidR="00C13958" w:rsidRPr="00CB3320" w:rsidRDefault="00C13958" w:rsidP="00D168B5">
            <w:pPr>
              <w:pStyle w:val="table"/>
              <w:rPr>
                <w:sz w:val="21"/>
              </w:rPr>
            </w:pPr>
            <w:r w:rsidRPr="00CB3320">
              <w:rPr>
                <w:sz w:val="21"/>
              </w:rPr>
              <w:t>Ddeveloping</w:t>
            </w:r>
          </w:p>
        </w:tc>
        <w:tc>
          <w:tcPr>
            <w:tcW w:w="583" w:type="pct"/>
            <w:noWrap/>
            <w:vAlign w:val="center"/>
          </w:tcPr>
          <w:p w14:paraId="0F1B723D" w14:textId="77777777" w:rsidR="00C13958" w:rsidRPr="00CB3320" w:rsidRDefault="00C13958" w:rsidP="00D168B5">
            <w:pPr>
              <w:pStyle w:val="table"/>
              <w:rPr>
                <w:sz w:val="21"/>
              </w:rPr>
            </w:pPr>
          </w:p>
        </w:tc>
        <w:tc>
          <w:tcPr>
            <w:tcW w:w="583" w:type="pct"/>
            <w:noWrap/>
            <w:vAlign w:val="center"/>
          </w:tcPr>
          <w:p w14:paraId="2AFA3FB0" w14:textId="77777777" w:rsidR="00C13958" w:rsidRPr="00CB3320" w:rsidRDefault="00C13958" w:rsidP="00D168B5">
            <w:pPr>
              <w:pStyle w:val="table"/>
              <w:rPr>
                <w:sz w:val="21"/>
              </w:rPr>
            </w:pPr>
          </w:p>
        </w:tc>
        <w:tc>
          <w:tcPr>
            <w:tcW w:w="731" w:type="pct"/>
            <w:noWrap/>
            <w:vAlign w:val="center"/>
          </w:tcPr>
          <w:p w14:paraId="5D6A1F3F" w14:textId="77777777" w:rsidR="00C13958" w:rsidRPr="00CB3320" w:rsidRDefault="00C13958" w:rsidP="00D168B5">
            <w:pPr>
              <w:pStyle w:val="table"/>
              <w:rPr>
                <w:sz w:val="21"/>
              </w:rPr>
            </w:pPr>
          </w:p>
        </w:tc>
        <w:tc>
          <w:tcPr>
            <w:tcW w:w="731" w:type="pct"/>
            <w:noWrap/>
            <w:vAlign w:val="center"/>
          </w:tcPr>
          <w:p w14:paraId="4B3DABB2" w14:textId="77777777" w:rsidR="00C13958" w:rsidRPr="00CB3320" w:rsidRDefault="00C13958" w:rsidP="00D168B5">
            <w:pPr>
              <w:pStyle w:val="table"/>
              <w:rPr>
                <w:sz w:val="21"/>
              </w:rPr>
            </w:pPr>
          </w:p>
        </w:tc>
        <w:tc>
          <w:tcPr>
            <w:tcW w:w="731" w:type="pct"/>
            <w:noWrap/>
            <w:vAlign w:val="center"/>
            <w:hideMark/>
          </w:tcPr>
          <w:p w14:paraId="7E26B4C5" w14:textId="77777777" w:rsidR="00C13958" w:rsidRPr="00CB3320" w:rsidRDefault="00C13958" w:rsidP="00D168B5">
            <w:pPr>
              <w:pStyle w:val="table"/>
              <w:rPr>
                <w:sz w:val="21"/>
              </w:rPr>
            </w:pPr>
            <w:r w:rsidRPr="00CB3320">
              <w:rPr>
                <w:sz w:val="21"/>
              </w:rPr>
              <w:t>-0.0333***</w:t>
            </w:r>
          </w:p>
          <w:p w14:paraId="17F0B684" w14:textId="2DF1E354" w:rsidR="00A723D7" w:rsidRPr="00CB3320" w:rsidRDefault="00A723D7" w:rsidP="00D168B5">
            <w:pPr>
              <w:pStyle w:val="table"/>
              <w:rPr>
                <w:sz w:val="21"/>
              </w:rPr>
            </w:pPr>
            <w:r w:rsidRPr="00CB3320">
              <w:rPr>
                <w:sz w:val="21"/>
              </w:rPr>
              <w:t>(0.0112)</w:t>
            </w:r>
          </w:p>
        </w:tc>
        <w:tc>
          <w:tcPr>
            <w:tcW w:w="731" w:type="pct"/>
            <w:noWrap/>
            <w:vAlign w:val="center"/>
            <w:hideMark/>
          </w:tcPr>
          <w:p w14:paraId="2B2A69F3" w14:textId="77777777" w:rsidR="00C13958" w:rsidRPr="00CB3320" w:rsidRDefault="00C13958" w:rsidP="00D168B5">
            <w:pPr>
              <w:pStyle w:val="table"/>
              <w:rPr>
                <w:sz w:val="21"/>
              </w:rPr>
            </w:pPr>
            <w:r w:rsidRPr="00CB3320">
              <w:rPr>
                <w:sz w:val="21"/>
              </w:rPr>
              <w:t>-0.0358***</w:t>
            </w:r>
          </w:p>
          <w:p w14:paraId="08969A2F" w14:textId="152F61DA" w:rsidR="00A723D7" w:rsidRPr="00CB3320" w:rsidRDefault="00A723D7" w:rsidP="00D168B5">
            <w:pPr>
              <w:pStyle w:val="table"/>
              <w:rPr>
                <w:sz w:val="21"/>
              </w:rPr>
            </w:pPr>
            <w:r w:rsidRPr="00CB3320">
              <w:rPr>
                <w:sz w:val="21"/>
              </w:rPr>
              <w:t>(0.0124)</w:t>
            </w:r>
          </w:p>
        </w:tc>
      </w:tr>
      <w:tr w:rsidR="00A723D7" w:rsidRPr="00CB3320" w14:paraId="392E99F5" w14:textId="77777777" w:rsidTr="00D168B5">
        <w:trPr>
          <w:trHeight w:val="285"/>
        </w:trPr>
        <w:tc>
          <w:tcPr>
            <w:tcW w:w="910" w:type="pct"/>
            <w:noWrap/>
            <w:vAlign w:val="center"/>
            <w:hideMark/>
          </w:tcPr>
          <w:p w14:paraId="1CA96D39" w14:textId="6092673D" w:rsidR="00C05871" w:rsidRPr="00CB3320" w:rsidRDefault="00C05871" w:rsidP="00D168B5">
            <w:pPr>
              <w:pStyle w:val="table"/>
              <w:rPr>
                <w:sz w:val="21"/>
              </w:rPr>
            </w:pPr>
            <w:r w:rsidRPr="00CB3320">
              <w:rPr>
                <w:rFonts w:hint="eastAsia"/>
                <w:sz w:val="21"/>
              </w:rPr>
              <w:t>控制变量</w:t>
            </w:r>
          </w:p>
        </w:tc>
        <w:tc>
          <w:tcPr>
            <w:tcW w:w="583" w:type="pct"/>
            <w:noWrap/>
            <w:vAlign w:val="center"/>
            <w:hideMark/>
          </w:tcPr>
          <w:p w14:paraId="2ACFE5CC" w14:textId="77777777" w:rsidR="00C05871" w:rsidRPr="00CB3320" w:rsidRDefault="00C05871" w:rsidP="00D168B5">
            <w:pPr>
              <w:pStyle w:val="table"/>
              <w:rPr>
                <w:sz w:val="21"/>
              </w:rPr>
            </w:pPr>
          </w:p>
        </w:tc>
        <w:tc>
          <w:tcPr>
            <w:tcW w:w="583" w:type="pct"/>
            <w:noWrap/>
            <w:vAlign w:val="center"/>
            <w:hideMark/>
          </w:tcPr>
          <w:p w14:paraId="04AF7E88" w14:textId="58CAEC8D" w:rsidR="00C05871" w:rsidRPr="00CB3320" w:rsidRDefault="00B44A4B" w:rsidP="00D168B5">
            <w:pPr>
              <w:pStyle w:val="table"/>
              <w:rPr>
                <w:sz w:val="21"/>
              </w:rPr>
            </w:pPr>
            <w:r w:rsidRPr="00CB3320">
              <w:rPr>
                <w:sz w:val="21"/>
              </w:rPr>
              <w:t>√</w:t>
            </w:r>
          </w:p>
        </w:tc>
        <w:tc>
          <w:tcPr>
            <w:tcW w:w="731" w:type="pct"/>
            <w:noWrap/>
            <w:vAlign w:val="center"/>
            <w:hideMark/>
          </w:tcPr>
          <w:p w14:paraId="5B95DC74" w14:textId="77777777" w:rsidR="00C05871" w:rsidRPr="00CB3320" w:rsidRDefault="00C05871" w:rsidP="00D168B5">
            <w:pPr>
              <w:pStyle w:val="table"/>
              <w:rPr>
                <w:sz w:val="21"/>
              </w:rPr>
            </w:pPr>
          </w:p>
        </w:tc>
        <w:tc>
          <w:tcPr>
            <w:tcW w:w="731" w:type="pct"/>
            <w:noWrap/>
            <w:vAlign w:val="center"/>
            <w:hideMark/>
          </w:tcPr>
          <w:p w14:paraId="1F373F0F" w14:textId="1E412697" w:rsidR="00C05871" w:rsidRPr="00CB3320" w:rsidRDefault="00B44A4B" w:rsidP="00D168B5">
            <w:pPr>
              <w:pStyle w:val="table"/>
              <w:rPr>
                <w:sz w:val="21"/>
              </w:rPr>
            </w:pPr>
            <w:r w:rsidRPr="00CB3320">
              <w:rPr>
                <w:sz w:val="21"/>
              </w:rPr>
              <w:t>√</w:t>
            </w:r>
          </w:p>
        </w:tc>
        <w:tc>
          <w:tcPr>
            <w:tcW w:w="731" w:type="pct"/>
            <w:noWrap/>
            <w:vAlign w:val="center"/>
          </w:tcPr>
          <w:p w14:paraId="257AF206" w14:textId="77777777" w:rsidR="00C05871" w:rsidRPr="00CB3320" w:rsidRDefault="00C05871" w:rsidP="00D168B5">
            <w:pPr>
              <w:pStyle w:val="table"/>
              <w:rPr>
                <w:sz w:val="21"/>
              </w:rPr>
            </w:pPr>
          </w:p>
        </w:tc>
        <w:tc>
          <w:tcPr>
            <w:tcW w:w="731" w:type="pct"/>
            <w:noWrap/>
            <w:vAlign w:val="center"/>
            <w:hideMark/>
          </w:tcPr>
          <w:p w14:paraId="78A3A645" w14:textId="6A3CE14E" w:rsidR="00C05871" w:rsidRPr="00CB3320" w:rsidRDefault="00B44A4B" w:rsidP="00D168B5">
            <w:pPr>
              <w:pStyle w:val="table"/>
              <w:rPr>
                <w:sz w:val="21"/>
              </w:rPr>
            </w:pPr>
            <w:r w:rsidRPr="00CB3320">
              <w:rPr>
                <w:sz w:val="21"/>
              </w:rPr>
              <w:t>√</w:t>
            </w:r>
          </w:p>
        </w:tc>
      </w:tr>
      <w:tr w:rsidR="00A723D7" w:rsidRPr="00CB3320" w14:paraId="1F4ACB3D" w14:textId="77777777" w:rsidTr="00D168B5">
        <w:trPr>
          <w:trHeight w:val="285"/>
        </w:trPr>
        <w:tc>
          <w:tcPr>
            <w:tcW w:w="910" w:type="pct"/>
            <w:noWrap/>
            <w:vAlign w:val="center"/>
            <w:hideMark/>
          </w:tcPr>
          <w:p w14:paraId="4BD50D44" w14:textId="777CB984" w:rsidR="00C05871" w:rsidRPr="00CB3320" w:rsidRDefault="00C05871" w:rsidP="00D168B5">
            <w:pPr>
              <w:pStyle w:val="table"/>
              <w:rPr>
                <w:sz w:val="21"/>
              </w:rPr>
            </w:pPr>
            <w:r w:rsidRPr="00CB3320">
              <w:rPr>
                <w:rFonts w:hint="eastAsia"/>
                <w:sz w:val="21"/>
              </w:rPr>
              <w:t>时间固定效应</w:t>
            </w:r>
          </w:p>
        </w:tc>
        <w:tc>
          <w:tcPr>
            <w:tcW w:w="583" w:type="pct"/>
            <w:noWrap/>
            <w:vAlign w:val="center"/>
            <w:hideMark/>
          </w:tcPr>
          <w:p w14:paraId="476ACB8F" w14:textId="57FADA9D" w:rsidR="00C05871" w:rsidRPr="00CB3320" w:rsidRDefault="00B44A4B" w:rsidP="00D168B5">
            <w:pPr>
              <w:pStyle w:val="table"/>
              <w:rPr>
                <w:sz w:val="21"/>
              </w:rPr>
            </w:pPr>
            <w:r w:rsidRPr="00CB3320">
              <w:rPr>
                <w:sz w:val="21"/>
              </w:rPr>
              <w:t>√</w:t>
            </w:r>
          </w:p>
        </w:tc>
        <w:tc>
          <w:tcPr>
            <w:tcW w:w="583" w:type="pct"/>
            <w:noWrap/>
            <w:vAlign w:val="center"/>
            <w:hideMark/>
          </w:tcPr>
          <w:p w14:paraId="67100F54" w14:textId="4D60CC75" w:rsidR="00C05871" w:rsidRPr="00CB3320" w:rsidRDefault="00B44A4B" w:rsidP="00D168B5">
            <w:pPr>
              <w:pStyle w:val="table"/>
              <w:rPr>
                <w:sz w:val="21"/>
              </w:rPr>
            </w:pPr>
            <w:r w:rsidRPr="00CB3320">
              <w:rPr>
                <w:sz w:val="21"/>
              </w:rPr>
              <w:t>√</w:t>
            </w:r>
          </w:p>
        </w:tc>
        <w:tc>
          <w:tcPr>
            <w:tcW w:w="731" w:type="pct"/>
            <w:noWrap/>
            <w:vAlign w:val="center"/>
            <w:hideMark/>
          </w:tcPr>
          <w:p w14:paraId="6E28F64F" w14:textId="62D30D12" w:rsidR="00C05871" w:rsidRPr="00CB3320" w:rsidRDefault="00B44A4B" w:rsidP="00D168B5">
            <w:pPr>
              <w:pStyle w:val="table"/>
              <w:rPr>
                <w:sz w:val="21"/>
              </w:rPr>
            </w:pPr>
            <w:r w:rsidRPr="00CB3320">
              <w:rPr>
                <w:sz w:val="21"/>
              </w:rPr>
              <w:t>√</w:t>
            </w:r>
          </w:p>
        </w:tc>
        <w:tc>
          <w:tcPr>
            <w:tcW w:w="731" w:type="pct"/>
            <w:noWrap/>
            <w:vAlign w:val="center"/>
            <w:hideMark/>
          </w:tcPr>
          <w:p w14:paraId="347E2B03" w14:textId="5CB74ACD" w:rsidR="00C05871" w:rsidRPr="00CB3320" w:rsidRDefault="00B44A4B" w:rsidP="00D168B5">
            <w:pPr>
              <w:pStyle w:val="table"/>
              <w:rPr>
                <w:sz w:val="21"/>
              </w:rPr>
            </w:pPr>
            <w:r w:rsidRPr="00CB3320">
              <w:rPr>
                <w:sz w:val="21"/>
              </w:rPr>
              <w:t>√</w:t>
            </w:r>
          </w:p>
        </w:tc>
        <w:tc>
          <w:tcPr>
            <w:tcW w:w="731" w:type="pct"/>
            <w:noWrap/>
            <w:vAlign w:val="center"/>
            <w:hideMark/>
          </w:tcPr>
          <w:p w14:paraId="6744E4BC" w14:textId="47F29267" w:rsidR="00C05871" w:rsidRPr="00CB3320" w:rsidRDefault="00B44A4B" w:rsidP="00D168B5">
            <w:pPr>
              <w:pStyle w:val="table"/>
              <w:rPr>
                <w:sz w:val="21"/>
              </w:rPr>
            </w:pPr>
            <w:r w:rsidRPr="00CB3320">
              <w:rPr>
                <w:sz w:val="21"/>
              </w:rPr>
              <w:t>√</w:t>
            </w:r>
          </w:p>
        </w:tc>
        <w:tc>
          <w:tcPr>
            <w:tcW w:w="731" w:type="pct"/>
            <w:noWrap/>
            <w:vAlign w:val="center"/>
            <w:hideMark/>
          </w:tcPr>
          <w:p w14:paraId="5907E78C" w14:textId="293553DB" w:rsidR="00C05871" w:rsidRPr="00CB3320" w:rsidRDefault="00B44A4B" w:rsidP="00D168B5">
            <w:pPr>
              <w:pStyle w:val="table"/>
              <w:rPr>
                <w:sz w:val="21"/>
              </w:rPr>
            </w:pPr>
            <w:r w:rsidRPr="00CB3320">
              <w:rPr>
                <w:sz w:val="21"/>
              </w:rPr>
              <w:t>√</w:t>
            </w:r>
          </w:p>
        </w:tc>
      </w:tr>
      <w:tr w:rsidR="00A723D7" w:rsidRPr="00CB3320" w14:paraId="352B479A" w14:textId="77777777" w:rsidTr="00D168B5">
        <w:trPr>
          <w:trHeight w:val="285"/>
        </w:trPr>
        <w:tc>
          <w:tcPr>
            <w:tcW w:w="910" w:type="pct"/>
            <w:noWrap/>
            <w:vAlign w:val="center"/>
            <w:hideMark/>
          </w:tcPr>
          <w:p w14:paraId="1363B3C9" w14:textId="3C736437" w:rsidR="00C05871" w:rsidRPr="00CB3320" w:rsidRDefault="00C05871" w:rsidP="00D168B5">
            <w:pPr>
              <w:pStyle w:val="table"/>
              <w:rPr>
                <w:sz w:val="21"/>
              </w:rPr>
            </w:pPr>
            <w:r w:rsidRPr="00CB3320">
              <w:rPr>
                <w:rFonts w:hint="eastAsia"/>
                <w:sz w:val="21"/>
              </w:rPr>
              <w:t>个体固定效应</w:t>
            </w:r>
          </w:p>
        </w:tc>
        <w:tc>
          <w:tcPr>
            <w:tcW w:w="583" w:type="pct"/>
            <w:noWrap/>
            <w:vAlign w:val="center"/>
            <w:hideMark/>
          </w:tcPr>
          <w:p w14:paraId="72F4EA93" w14:textId="6668B9AD" w:rsidR="00C05871" w:rsidRPr="00CB3320" w:rsidRDefault="00B44A4B" w:rsidP="00D168B5">
            <w:pPr>
              <w:pStyle w:val="table"/>
              <w:rPr>
                <w:sz w:val="21"/>
              </w:rPr>
            </w:pPr>
            <w:r w:rsidRPr="00CB3320">
              <w:rPr>
                <w:sz w:val="21"/>
              </w:rPr>
              <w:t>√</w:t>
            </w:r>
          </w:p>
        </w:tc>
        <w:tc>
          <w:tcPr>
            <w:tcW w:w="583" w:type="pct"/>
            <w:noWrap/>
            <w:vAlign w:val="center"/>
            <w:hideMark/>
          </w:tcPr>
          <w:p w14:paraId="38D81153" w14:textId="7BAE46BE" w:rsidR="00C05871" w:rsidRPr="00CB3320" w:rsidRDefault="00B44A4B" w:rsidP="00D168B5">
            <w:pPr>
              <w:pStyle w:val="table"/>
              <w:rPr>
                <w:sz w:val="21"/>
              </w:rPr>
            </w:pPr>
            <w:r w:rsidRPr="00CB3320">
              <w:rPr>
                <w:sz w:val="21"/>
              </w:rPr>
              <w:t>√</w:t>
            </w:r>
          </w:p>
        </w:tc>
        <w:tc>
          <w:tcPr>
            <w:tcW w:w="731" w:type="pct"/>
            <w:noWrap/>
            <w:vAlign w:val="center"/>
            <w:hideMark/>
          </w:tcPr>
          <w:p w14:paraId="541D63CF" w14:textId="1DC54EAB" w:rsidR="00C05871" w:rsidRPr="00CB3320" w:rsidRDefault="00B44A4B" w:rsidP="00D168B5">
            <w:pPr>
              <w:pStyle w:val="table"/>
              <w:rPr>
                <w:sz w:val="21"/>
              </w:rPr>
            </w:pPr>
            <w:r w:rsidRPr="00CB3320">
              <w:rPr>
                <w:sz w:val="21"/>
              </w:rPr>
              <w:t>√</w:t>
            </w:r>
          </w:p>
        </w:tc>
        <w:tc>
          <w:tcPr>
            <w:tcW w:w="731" w:type="pct"/>
            <w:noWrap/>
            <w:vAlign w:val="center"/>
            <w:hideMark/>
          </w:tcPr>
          <w:p w14:paraId="068AE10E" w14:textId="677FE61E" w:rsidR="00C05871" w:rsidRPr="00CB3320" w:rsidRDefault="00B44A4B" w:rsidP="00D168B5">
            <w:pPr>
              <w:pStyle w:val="table"/>
              <w:rPr>
                <w:sz w:val="21"/>
              </w:rPr>
            </w:pPr>
            <w:r w:rsidRPr="00CB3320">
              <w:rPr>
                <w:sz w:val="21"/>
              </w:rPr>
              <w:t>√</w:t>
            </w:r>
          </w:p>
        </w:tc>
        <w:tc>
          <w:tcPr>
            <w:tcW w:w="731" w:type="pct"/>
            <w:noWrap/>
            <w:vAlign w:val="center"/>
            <w:hideMark/>
          </w:tcPr>
          <w:p w14:paraId="18E89C4C" w14:textId="534312D5" w:rsidR="00C05871" w:rsidRPr="00CB3320" w:rsidRDefault="00B44A4B" w:rsidP="00D168B5">
            <w:pPr>
              <w:pStyle w:val="table"/>
              <w:rPr>
                <w:sz w:val="21"/>
              </w:rPr>
            </w:pPr>
            <w:r w:rsidRPr="00CB3320">
              <w:rPr>
                <w:sz w:val="21"/>
              </w:rPr>
              <w:t>√</w:t>
            </w:r>
          </w:p>
        </w:tc>
        <w:tc>
          <w:tcPr>
            <w:tcW w:w="731" w:type="pct"/>
            <w:noWrap/>
            <w:vAlign w:val="center"/>
            <w:hideMark/>
          </w:tcPr>
          <w:p w14:paraId="2EC0CAA7" w14:textId="72F138D9" w:rsidR="00C05871" w:rsidRPr="00CB3320" w:rsidRDefault="00B44A4B" w:rsidP="00D168B5">
            <w:pPr>
              <w:pStyle w:val="table"/>
              <w:rPr>
                <w:sz w:val="21"/>
              </w:rPr>
            </w:pPr>
            <w:r w:rsidRPr="00CB3320">
              <w:rPr>
                <w:sz w:val="21"/>
              </w:rPr>
              <w:t>√</w:t>
            </w:r>
          </w:p>
        </w:tc>
      </w:tr>
      <w:tr w:rsidR="00A723D7" w:rsidRPr="00CB3320" w14:paraId="25CF0C88" w14:textId="77777777" w:rsidTr="00D168B5">
        <w:trPr>
          <w:trHeight w:val="285"/>
        </w:trPr>
        <w:tc>
          <w:tcPr>
            <w:tcW w:w="910" w:type="pct"/>
            <w:noWrap/>
            <w:vAlign w:val="center"/>
            <w:hideMark/>
          </w:tcPr>
          <w:p w14:paraId="5866BE1A" w14:textId="77777777" w:rsidR="00C13958" w:rsidRPr="00CB3320" w:rsidRDefault="00C13958" w:rsidP="00D168B5">
            <w:pPr>
              <w:pStyle w:val="table"/>
              <w:rPr>
                <w:sz w:val="21"/>
              </w:rPr>
            </w:pPr>
            <w:r w:rsidRPr="00CB3320">
              <w:rPr>
                <w:sz w:val="21"/>
              </w:rPr>
              <w:t>N</w:t>
            </w:r>
          </w:p>
        </w:tc>
        <w:tc>
          <w:tcPr>
            <w:tcW w:w="583" w:type="pct"/>
            <w:noWrap/>
            <w:vAlign w:val="center"/>
            <w:hideMark/>
          </w:tcPr>
          <w:p w14:paraId="7897DF82" w14:textId="77777777" w:rsidR="00C13958" w:rsidRPr="00CB3320" w:rsidRDefault="00C13958" w:rsidP="00D168B5">
            <w:pPr>
              <w:pStyle w:val="table"/>
              <w:rPr>
                <w:sz w:val="21"/>
              </w:rPr>
            </w:pPr>
            <w:r w:rsidRPr="00CB3320">
              <w:rPr>
                <w:sz w:val="21"/>
              </w:rPr>
              <w:t>540</w:t>
            </w:r>
          </w:p>
        </w:tc>
        <w:tc>
          <w:tcPr>
            <w:tcW w:w="583" w:type="pct"/>
            <w:noWrap/>
            <w:vAlign w:val="center"/>
            <w:hideMark/>
          </w:tcPr>
          <w:p w14:paraId="756665ED" w14:textId="77777777" w:rsidR="00C13958" w:rsidRPr="00CB3320" w:rsidRDefault="00C13958" w:rsidP="00D168B5">
            <w:pPr>
              <w:pStyle w:val="table"/>
              <w:rPr>
                <w:sz w:val="21"/>
              </w:rPr>
            </w:pPr>
            <w:r w:rsidRPr="00CB3320">
              <w:rPr>
                <w:sz w:val="21"/>
              </w:rPr>
              <w:t>540</w:t>
            </w:r>
          </w:p>
        </w:tc>
        <w:tc>
          <w:tcPr>
            <w:tcW w:w="731" w:type="pct"/>
            <w:noWrap/>
            <w:vAlign w:val="center"/>
            <w:hideMark/>
          </w:tcPr>
          <w:p w14:paraId="74611DEB" w14:textId="77777777" w:rsidR="00C13958" w:rsidRPr="00CB3320" w:rsidRDefault="00C13958" w:rsidP="00D168B5">
            <w:pPr>
              <w:pStyle w:val="table"/>
              <w:rPr>
                <w:sz w:val="21"/>
              </w:rPr>
            </w:pPr>
            <w:r w:rsidRPr="00CB3320">
              <w:rPr>
                <w:sz w:val="21"/>
              </w:rPr>
              <w:t>540</w:t>
            </w:r>
          </w:p>
        </w:tc>
        <w:tc>
          <w:tcPr>
            <w:tcW w:w="731" w:type="pct"/>
            <w:noWrap/>
            <w:vAlign w:val="center"/>
            <w:hideMark/>
          </w:tcPr>
          <w:p w14:paraId="4CC5C512" w14:textId="77777777" w:rsidR="00C13958" w:rsidRPr="00CB3320" w:rsidRDefault="00C13958" w:rsidP="00D168B5">
            <w:pPr>
              <w:pStyle w:val="table"/>
              <w:rPr>
                <w:sz w:val="21"/>
              </w:rPr>
            </w:pPr>
            <w:r w:rsidRPr="00CB3320">
              <w:rPr>
                <w:sz w:val="21"/>
              </w:rPr>
              <w:t>540</w:t>
            </w:r>
          </w:p>
        </w:tc>
        <w:tc>
          <w:tcPr>
            <w:tcW w:w="731" w:type="pct"/>
            <w:noWrap/>
            <w:vAlign w:val="center"/>
            <w:hideMark/>
          </w:tcPr>
          <w:p w14:paraId="5A261163" w14:textId="77777777" w:rsidR="00C13958" w:rsidRPr="00CB3320" w:rsidRDefault="00C13958" w:rsidP="00D168B5">
            <w:pPr>
              <w:pStyle w:val="table"/>
              <w:rPr>
                <w:sz w:val="21"/>
              </w:rPr>
            </w:pPr>
            <w:r w:rsidRPr="00CB3320">
              <w:rPr>
                <w:sz w:val="21"/>
              </w:rPr>
              <w:t>540</w:t>
            </w:r>
          </w:p>
        </w:tc>
        <w:tc>
          <w:tcPr>
            <w:tcW w:w="731" w:type="pct"/>
            <w:noWrap/>
            <w:vAlign w:val="center"/>
            <w:hideMark/>
          </w:tcPr>
          <w:p w14:paraId="0175F89B" w14:textId="77777777" w:rsidR="00C13958" w:rsidRPr="00CB3320" w:rsidRDefault="00C13958" w:rsidP="00D168B5">
            <w:pPr>
              <w:pStyle w:val="table"/>
              <w:rPr>
                <w:sz w:val="21"/>
              </w:rPr>
            </w:pPr>
            <w:r w:rsidRPr="00CB3320">
              <w:rPr>
                <w:sz w:val="21"/>
              </w:rPr>
              <w:t>540</w:t>
            </w:r>
          </w:p>
        </w:tc>
      </w:tr>
      <w:tr w:rsidR="00A723D7" w:rsidRPr="00CB3320" w14:paraId="164995AB" w14:textId="77777777" w:rsidTr="00D168B5">
        <w:trPr>
          <w:trHeight w:val="285"/>
        </w:trPr>
        <w:tc>
          <w:tcPr>
            <w:tcW w:w="910" w:type="pct"/>
            <w:noWrap/>
            <w:vAlign w:val="center"/>
            <w:hideMark/>
          </w:tcPr>
          <w:p w14:paraId="1320760E" w14:textId="779A621B" w:rsidR="00C13958" w:rsidRPr="00CB3320" w:rsidRDefault="00B44A4B" w:rsidP="00D168B5">
            <w:pPr>
              <w:pStyle w:val="table"/>
              <w:rPr>
                <w:sz w:val="21"/>
              </w:rPr>
            </w:pPr>
            <w:r w:rsidRPr="00CB3320">
              <w:rPr>
                <w:sz w:val="21"/>
              </w:rPr>
              <w:t>R2</w:t>
            </w:r>
          </w:p>
        </w:tc>
        <w:tc>
          <w:tcPr>
            <w:tcW w:w="583" w:type="pct"/>
            <w:noWrap/>
            <w:vAlign w:val="center"/>
            <w:hideMark/>
          </w:tcPr>
          <w:p w14:paraId="5F5DC25A" w14:textId="77777777" w:rsidR="00C13958" w:rsidRPr="00CB3320" w:rsidRDefault="00C13958" w:rsidP="00D168B5">
            <w:pPr>
              <w:pStyle w:val="table"/>
              <w:rPr>
                <w:sz w:val="21"/>
              </w:rPr>
            </w:pPr>
            <w:r w:rsidRPr="00CB3320">
              <w:rPr>
                <w:sz w:val="21"/>
              </w:rPr>
              <w:t>0.441</w:t>
            </w:r>
          </w:p>
        </w:tc>
        <w:tc>
          <w:tcPr>
            <w:tcW w:w="583" w:type="pct"/>
            <w:noWrap/>
            <w:vAlign w:val="center"/>
            <w:hideMark/>
          </w:tcPr>
          <w:p w14:paraId="2AF5CEED" w14:textId="77777777" w:rsidR="00C13958" w:rsidRPr="00CB3320" w:rsidRDefault="00C13958" w:rsidP="00D168B5">
            <w:pPr>
              <w:pStyle w:val="table"/>
              <w:rPr>
                <w:sz w:val="21"/>
              </w:rPr>
            </w:pPr>
            <w:r w:rsidRPr="00CB3320">
              <w:rPr>
                <w:sz w:val="21"/>
              </w:rPr>
              <w:t>0.514</w:t>
            </w:r>
          </w:p>
        </w:tc>
        <w:tc>
          <w:tcPr>
            <w:tcW w:w="731" w:type="pct"/>
            <w:noWrap/>
            <w:vAlign w:val="center"/>
            <w:hideMark/>
          </w:tcPr>
          <w:p w14:paraId="33101C2F" w14:textId="77777777" w:rsidR="00C13958" w:rsidRPr="00CB3320" w:rsidRDefault="00C13958" w:rsidP="00D168B5">
            <w:pPr>
              <w:pStyle w:val="table"/>
              <w:rPr>
                <w:sz w:val="21"/>
              </w:rPr>
            </w:pPr>
            <w:r w:rsidRPr="00CB3320">
              <w:rPr>
                <w:sz w:val="21"/>
              </w:rPr>
              <w:t>0.461</w:t>
            </w:r>
          </w:p>
        </w:tc>
        <w:tc>
          <w:tcPr>
            <w:tcW w:w="731" w:type="pct"/>
            <w:noWrap/>
            <w:vAlign w:val="center"/>
            <w:hideMark/>
          </w:tcPr>
          <w:p w14:paraId="0C1618DC" w14:textId="77777777" w:rsidR="00C13958" w:rsidRPr="00CB3320" w:rsidRDefault="00C13958" w:rsidP="00D168B5">
            <w:pPr>
              <w:pStyle w:val="table"/>
              <w:rPr>
                <w:sz w:val="21"/>
              </w:rPr>
            </w:pPr>
            <w:r w:rsidRPr="00CB3320">
              <w:rPr>
                <w:sz w:val="21"/>
              </w:rPr>
              <w:t>0.535</w:t>
            </w:r>
          </w:p>
        </w:tc>
        <w:tc>
          <w:tcPr>
            <w:tcW w:w="731" w:type="pct"/>
            <w:noWrap/>
            <w:vAlign w:val="center"/>
            <w:hideMark/>
          </w:tcPr>
          <w:p w14:paraId="46C464F9" w14:textId="77777777" w:rsidR="00C13958" w:rsidRPr="00CB3320" w:rsidRDefault="00C13958" w:rsidP="00D168B5">
            <w:pPr>
              <w:pStyle w:val="table"/>
              <w:rPr>
                <w:sz w:val="21"/>
              </w:rPr>
            </w:pPr>
            <w:r w:rsidRPr="00CB3320">
              <w:rPr>
                <w:sz w:val="21"/>
              </w:rPr>
              <w:t>0.456</w:t>
            </w:r>
          </w:p>
        </w:tc>
        <w:tc>
          <w:tcPr>
            <w:tcW w:w="731" w:type="pct"/>
            <w:noWrap/>
            <w:vAlign w:val="center"/>
            <w:hideMark/>
          </w:tcPr>
          <w:p w14:paraId="77626F02" w14:textId="77777777" w:rsidR="00C13958" w:rsidRPr="00CB3320" w:rsidRDefault="00C13958" w:rsidP="00D168B5">
            <w:pPr>
              <w:pStyle w:val="table"/>
              <w:rPr>
                <w:sz w:val="21"/>
              </w:rPr>
            </w:pPr>
            <w:r w:rsidRPr="00CB3320">
              <w:rPr>
                <w:sz w:val="21"/>
              </w:rPr>
              <w:t>0.527</w:t>
            </w:r>
          </w:p>
        </w:tc>
      </w:tr>
      <w:tr w:rsidR="00A723D7" w:rsidRPr="00CB3320" w14:paraId="096F9427" w14:textId="77777777" w:rsidTr="00D168B5">
        <w:trPr>
          <w:trHeight w:val="285"/>
        </w:trPr>
        <w:tc>
          <w:tcPr>
            <w:tcW w:w="910" w:type="pct"/>
            <w:noWrap/>
            <w:vAlign w:val="center"/>
            <w:hideMark/>
          </w:tcPr>
          <w:p w14:paraId="1FFF7101" w14:textId="77777777" w:rsidR="00C13958" w:rsidRPr="00CB3320" w:rsidRDefault="00C13958" w:rsidP="00D168B5">
            <w:pPr>
              <w:pStyle w:val="table"/>
              <w:rPr>
                <w:sz w:val="21"/>
              </w:rPr>
            </w:pPr>
            <w:r w:rsidRPr="00CB3320">
              <w:rPr>
                <w:sz w:val="21"/>
              </w:rPr>
              <w:t>AIC</w:t>
            </w:r>
          </w:p>
        </w:tc>
        <w:tc>
          <w:tcPr>
            <w:tcW w:w="583" w:type="pct"/>
            <w:noWrap/>
            <w:vAlign w:val="center"/>
            <w:hideMark/>
          </w:tcPr>
          <w:p w14:paraId="259EE977" w14:textId="77777777" w:rsidR="00C13958" w:rsidRPr="00CB3320" w:rsidRDefault="00C13958" w:rsidP="00D168B5">
            <w:pPr>
              <w:pStyle w:val="table"/>
              <w:rPr>
                <w:sz w:val="21"/>
              </w:rPr>
            </w:pPr>
            <w:r w:rsidRPr="00CB3320">
              <w:rPr>
                <w:sz w:val="21"/>
              </w:rPr>
              <w:t>-1923.9</w:t>
            </w:r>
          </w:p>
        </w:tc>
        <w:tc>
          <w:tcPr>
            <w:tcW w:w="583" w:type="pct"/>
            <w:noWrap/>
            <w:vAlign w:val="center"/>
            <w:hideMark/>
          </w:tcPr>
          <w:p w14:paraId="5C6F3340" w14:textId="77777777" w:rsidR="00C13958" w:rsidRPr="00CB3320" w:rsidRDefault="00C13958" w:rsidP="00D168B5">
            <w:pPr>
              <w:pStyle w:val="table"/>
              <w:rPr>
                <w:sz w:val="21"/>
              </w:rPr>
            </w:pPr>
            <w:r w:rsidRPr="00CB3320">
              <w:rPr>
                <w:sz w:val="21"/>
              </w:rPr>
              <w:t>-1989.4</w:t>
            </w:r>
          </w:p>
        </w:tc>
        <w:tc>
          <w:tcPr>
            <w:tcW w:w="731" w:type="pct"/>
            <w:noWrap/>
            <w:vAlign w:val="center"/>
            <w:hideMark/>
          </w:tcPr>
          <w:p w14:paraId="310E00DB" w14:textId="77777777" w:rsidR="00C13958" w:rsidRPr="00CB3320" w:rsidRDefault="00C13958" w:rsidP="00D168B5">
            <w:pPr>
              <w:pStyle w:val="table"/>
              <w:rPr>
                <w:sz w:val="21"/>
              </w:rPr>
            </w:pPr>
            <w:r w:rsidRPr="00CB3320">
              <w:rPr>
                <w:sz w:val="21"/>
              </w:rPr>
              <w:t>-1945.7</w:t>
            </w:r>
          </w:p>
        </w:tc>
        <w:tc>
          <w:tcPr>
            <w:tcW w:w="731" w:type="pct"/>
            <w:noWrap/>
            <w:vAlign w:val="center"/>
            <w:hideMark/>
          </w:tcPr>
          <w:p w14:paraId="0143ACE6" w14:textId="77777777" w:rsidR="00C13958" w:rsidRPr="00CB3320" w:rsidRDefault="00C13958" w:rsidP="00D168B5">
            <w:pPr>
              <w:pStyle w:val="table"/>
              <w:rPr>
                <w:sz w:val="21"/>
              </w:rPr>
            </w:pPr>
            <w:r w:rsidRPr="00CB3320">
              <w:rPr>
                <w:sz w:val="21"/>
              </w:rPr>
              <w:t>-2015.1</w:t>
            </w:r>
          </w:p>
        </w:tc>
        <w:tc>
          <w:tcPr>
            <w:tcW w:w="731" w:type="pct"/>
            <w:noWrap/>
            <w:vAlign w:val="center"/>
            <w:hideMark/>
          </w:tcPr>
          <w:p w14:paraId="1C4CB724" w14:textId="77777777" w:rsidR="00C13958" w:rsidRPr="00CB3320" w:rsidRDefault="00C13958" w:rsidP="00D168B5">
            <w:pPr>
              <w:pStyle w:val="table"/>
              <w:rPr>
                <w:sz w:val="21"/>
              </w:rPr>
            </w:pPr>
            <w:r w:rsidRPr="00CB3320">
              <w:rPr>
                <w:sz w:val="21"/>
              </w:rPr>
              <w:t>-1936.2</w:t>
            </w:r>
          </w:p>
        </w:tc>
        <w:tc>
          <w:tcPr>
            <w:tcW w:w="731" w:type="pct"/>
            <w:noWrap/>
            <w:vAlign w:val="center"/>
            <w:hideMark/>
          </w:tcPr>
          <w:p w14:paraId="461AB3C6" w14:textId="77777777" w:rsidR="00C13958" w:rsidRPr="00CB3320" w:rsidRDefault="00C13958" w:rsidP="00D168B5">
            <w:pPr>
              <w:pStyle w:val="table"/>
              <w:rPr>
                <w:sz w:val="21"/>
              </w:rPr>
            </w:pPr>
            <w:r w:rsidRPr="00CB3320">
              <w:rPr>
                <w:sz w:val="21"/>
              </w:rPr>
              <w:t>-2001.5</w:t>
            </w:r>
          </w:p>
        </w:tc>
      </w:tr>
    </w:tbl>
    <w:p w14:paraId="096F6559" w14:textId="118FC154" w:rsidR="00A723D7" w:rsidRPr="00CB3320" w:rsidRDefault="00A723D7" w:rsidP="00A723D7">
      <w:pPr>
        <w:ind w:firstLine="300"/>
        <w:rPr>
          <w:rFonts w:eastAsia="楷体" w:cs="Times New Roman"/>
          <w:sz w:val="15"/>
          <w:szCs w:val="15"/>
        </w:rPr>
      </w:pPr>
      <w:bookmarkStart w:id="45" w:name="_Toc121778127"/>
      <w:r w:rsidRPr="00CB3320">
        <w:rPr>
          <w:rFonts w:eastAsia="楷体" w:cs="Times New Roman"/>
          <w:sz w:val="15"/>
          <w:szCs w:val="15"/>
        </w:rPr>
        <w:t>注：括号中为</w:t>
      </w:r>
      <w:r w:rsidRPr="00CB3320">
        <w:rPr>
          <w:rFonts w:eastAsia="楷体" w:cs="Times New Roman" w:hint="eastAsia"/>
          <w:sz w:val="15"/>
          <w:szCs w:val="15"/>
        </w:rPr>
        <w:t>稳健标准误；</w:t>
      </w:r>
      <w:r w:rsidRPr="00CB3320">
        <w:rPr>
          <w:rFonts w:eastAsia="楷体" w:cs="Times New Roman"/>
          <w:sz w:val="15"/>
          <w:szCs w:val="15"/>
        </w:rPr>
        <w:t>* p&lt;0.10, ** p&lt;0.05, *** p&lt;0.01</w:t>
      </w:r>
      <w:r w:rsidRPr="00CB3320">
        <w:rPr>
          <w:rFonts w:eastAsia="楷体" w:cs="Times New Roman" w:hint="eastAsia"/>
          <w:sz w:val="15"/>
          <w:szCs w:val="15"/>
        </w:rPr>
        <w:t>；本表的数据是</w:t>
      </w:r>
      <w:r w:rsidRPr="00CB3320">
        <w:rPr>
          <w:rFonts w:eastAsia="楷体" w:cs="Times New Roman" w:hint="eastAsia"/>
          <w:sz w:val="15"/>
          <w:szCs w:val="15"/>
        </w:rPr>
        <w:t>2000-2017</w:t>
      </w:r>
      <w:r w:rsidRPr="00CB3320">
        <w:rPr>
          <w:rFonts w:eastAsia="楷体" w:cs="Times New Roman" w:hint="eastAsia"/>
          <w:sz w:val="15"/>
          <w:szCs w:val="15"/>
        </w:rPr>
        <w:t>年</w:t>
      </w:r>
      <w:r w:rsidRPr="00CB3320">
        <w:rPr>
          <w:rFonts w:eastAsia="楷体" w:cs="Times New Roman" w:hint="eastAsia"/>
          <w:sz w:val="15"/>
          <w:szCs w:val="15"/>
        </w:rPr>
        <w:t>30</w:t>
      </w:r>
      <w:r w:rsidRPr="00CB3320">
        <w:rPr>
          <w:rFonts w:eastAsia="楷体" w:cs="Times New Roman" w:hint="eastAsia"/>
          <w:sz w:val="15"/>
          <w:szCs w:val="15"/>
        </w:rPr>
        <w:t>个省份的省级数据。由于西藏能源消费数据缺失，故不计入面板数据。由于最新的能源和投资数据截止到</w:t>
      </w:r>
      <w:r w:rsidRPr="00CB3320">
        <w:rPr>
          <w:rFonts w:eastAsia="楷体" w:cs="Times New Roman" w:hint="eastAsia"/>
          <w:sz w:val="15"/>
          <w:szCs w:val="15"/>
        </w:rPr>
        <w:t>2017</w:t>
      </w:r>
      <w:r w:rsidRPr="00CB3320">
        <w:rPr>
          <w:rFonts w:eastAsia="楷体" w:cs="Times New Roman" w:hint="eastAsia"/>
          <w:sz w:val="15"/>
          <w:szCs w:val="15"/>
        </w:rPr>
        <w:t>年，所以我们的数据只到</w:t>
      </w:r>
      <w:r w:rsidRPr="00CB3320">
        <w:rPr>
          <w:rFonts w:eastAsia="楷体" w:cs="Times New Roman" w:hint="eastAsia"/>
          <w:sz w:val="15"/>
          <w:szCs w:val="15"/>
        </w:rPr>
        <w:t>2017</w:t>
      </w:r>
      <w:r w:rsidRPr="00CB3320">
        <w:rPr>
          <w:rFonts w:eastAsia="楷体" w:cs="Times New Roman" w:hint="eastAsia"/>
          <w:sz w:val="15"/>
          <w:szCs w:val="15"/>
        </w:rPr>
        <w:t>年。</w:t>
      </w:r>
    </w:p>
    <w:p w14:paraId="39ABACD6" w14:textId="123B566E" w:rsidR="00477D8D" w:rsidRPr="00CB3320" w:rsidRDefault="00F13EAB" w:rsidP="00F13EAB">
      <w:pPr>
        <w:pStyle w:val="2"/>
        <w:numPr>
          <w:ilvl w:val="0"/>
          <w:numId w:val="0"/>
        </w:numPr>
        <w:spacing w:before="163" w:after="81"/>
      </w:pPr>
      <w:r w:rsidRPr="00CB3320">
        <w:rPr>
          <w:rFonts w:hint="eastAsia"/>
        </w:rPr>
        <w:t>（八）稳健性检验</w:t>
      </w:r>
      <w:bookmarkEnd w:id="45"/>
    </w:p>
    <w:p w14:paraId="0D3EB4D3" w14:textId="1455925F" w:rsidR="00477D8D" w:rsidRPr="00CB3320" w:rsidRDefault="00B976A8" w:rsidP="00477D8D">
      <w:pPr>
        <w:ind w:firstLine="420"/>
      </w:pPr>
      <w:r w:rsidRPr="00CB3320">
        <w:rPr>
          <w:rFonts w:hint="eastAsia"/>
        </w:rPr>
        <w:t>为了验证我们的结果是否稳健，我们进行了一系列的稳健测试，包括安慰剂</w:t>
      </w:r>
      <w:r w:rsidR="00DF2DC9" w:rsidRPr="00CB3320">
        <w:rPr>
          <w:rFonts w:hint="eastAsia"/>
        </w:rPr>
        <w:t>检验</w:t>
      </w:r>
      <w:r w:rsidRPr="00CB3320">
        <w:rPr>
          <w:rFonts w:hint="eastAsia"/>
        </w:rPr>
        <w:t>、替代</w:t>
      </w:r>
      <w:r w:rsidRPr="00CB3320">
        <w:rPr>
          <w:rFonts w:hint="eastAsia"/>
        </w:rPr>
        <w:t>TFP</w:t>
      </w:r>
      <w:r w:rsidRPr="00CB3320">
        <w:rPr>
          <w:rFonts w:hint="eastAsia"/>
        </w:rPr>
        <w:t>指数、改变回归模型、改变数据范围（时间和空间）等。</w:t>
      </w:r>
    </w:p>
    <w:p w14:paraId="6735973B" w14:textId="737EA8D5" w:rsidR="00B976A8" w:rsidRPr="00CB3320" w:rsidRDefault="009F7C2A" w:rsidP="009F7C2A">
      <w:pPr>
        <w:pStyle w:val="3"/>
        <w:numPr>
          <w:ilvl w:val="0"/>
          <w:numId w:val="0"/>
        </w:numPr>
        <w:spacing w:before="163" w:after="81"/>
        <w:ind w:left="709" w:hanging="709"/>
      </w:pPr>
      <w:bookmarkStart w:id="46" w:name="_Toc121778128"/>
      <w:r w:rsidRPr="00CB3320">
        <w:rPr>
          <w:rFonts w:hint="eastAsia"/>
        </w:rPr>
        <w:t>（</w:t>
      </w:r>
      <w:r w:rsidRPr="00CB3320">
        <w:rPr>
          <w:rFonts w:hint="eastAsia"/>
        </w:rPr>
        <w:t>1</w:t>
      </w:r>
      <w:r w:rsidRPr="00CB3320">
        <w:rPr>
          <w:rFonts w:hint="eastAsia"/>
        </w:rPr>
        <w:t>）</w:t>
      </w:r>
      <w:r w:rsidR="00B976A8" w:rsidRPr="00CB3320">
        <w:rPr>
          <w:rFonts w:hint="eastAsia"/>
        </w:rPr>
        <w:t>安慰剂检验</w:t>
      </w:r>
      <w:bookmarkEnd w:id="46"/>
    </w:p>
    <w:p w14:paraId="178FF9D5" w14:textId="72834F05" w:rsidR="008D77E4" w:rsidRPr="00CB3320" w:rsidRDefault="00400F88" w:rsidP="008D77E4">
      <w:pPr>
        <w:ind w:firstLine="420"/>
      </w:pPr>
      <w:r w:rsidRPr="00CB3320">
        <w:rPr>
          <w:rFonts w:hint="eastAsia"/>
        </w:rPr>
        <w:t>由于实验组和</w:t>
      </w:r>
      <w:r w:rsidR="00972FF5" w:rsidRPr="00CB3320">
        <w:rPr>
          <w:rFonts w:hint="eastAsia"/>
        </w:rPr>
        <w:t>对照组</w:t>
      </w:r>
      <w:r w:rsidRPr="00CB3320">
        <w:rPr>
          <w:rFonts w:hint="eastAsia"/>
        </w:rPr>
        <w:t>的选择是人为的，实验时间也是人为设定的，因此样本可能存在选择性偏差。我们通过随机数重新选择实验组和</w:t>
      </w:r>
      <w:r w:rsidR="00972FF5" w:rsidRPr="00CB3320">
        <w:rPr>
          <w:rFonts w:hint="eastAsia"/>
        </w:rPr>
        <w:t>对照组</w:t>
      </w:r>
      <w:r w:rsidRPr="00CB3320">
        <w:rPr>
          <w:rFonts w:hint="eastAsia"/>
        </w:rPr>
        <w:t>，重新估计</w:t>
      </w:r>
      <w:r w:rsidRPr="00CB3320">
        <w:rPr>
          <w:rFonts w:hint="eastAsia"/>
        </w:rPr>
        <w:t>ETS</w:t>
      </w:r>
      <w:r w:rsidRPr="00CB3320">
        <w:rPr>
          <w:rFonts w:hint="eastAsia"/>
        </w:rPr>
        <w:t>虚拟变量对</w:t>
      </w:r>
      <w:r w:rsidRPr="00CB3320">
        <w:rPr>
          <w:rFonts w:hint="eastAsia"/>
        </w:rPr>
        <w:t>TFP</w:t>
      </w:r>
      <w:r w:rsidRPr="00CB3320">
        <w:rPr>
          <w:rFonts w:hint="eastAsia"/>
        </w:rPr>
        <w:t>的影响</w:t>
      </w:r>
      <w:r w:rsidRPr="00CB3320">
        <w:rPr>
          <w:rFonts w:hint="eastAsia"/>
        </w:rPr>
        <w:t>1000</w:t>
      </w:r>
      <w:r w:rsidRPr="00CB3320">
        <w:rPr>
          <w:rFonts w:hint="eastAsia"/>
        </w:rPr>
        <w:t>次，最后生成</w:t>
      </w:r>
      <w:r w:rsidRPr="00CB3320">
        <w:rPr>
          <w:rFonts w:hint="eastAsia"/>
        </w:rPr>
        <w:t>t</w:t>
      </w:r>
      <w:r w:rsidRPr="00CB3320">
        <w:rPr>
          <w:rFonts w:hint="eastAsia"/>
        </w:rPr>
        <w:t>统计量的核密度图，以此探讨稳健性（</w:t>
      </w:r>
      <w:r w:rsidR="00A96520" w:rsidRPr="00CB3320">
        <w:fldChar w:fldCharType="begin"/>
      </w:r>
      <w:r w:rsidR="00A96520" w:rsidRPr="00CB3320">
        <w:instrText xml:space="preserve"> </w:instrText>
      </w:r>
      <w:r w:rsidR="00A96520" w:rsidRPr="00CB3320">
        <w:rPr>
          <w:rFonts w:hint="eastAsia"/>
        </w:rPr>
        <w:instrText>REF _Ref77243290 \h</w:instrText>
      </w:r>
      <w:r w:rsidR="00A96520" w:rsidRPr="00CB3320">
        <w:instrText xml:space="preserve"> </w:instrText>
      </w:r>
      <w:r w:rsidR="008A580C" w:rsidRPr="00CB3320">
        <w:instrText xml:space="preserve"> \* MERGEFORMAT </w:instrText>
      </w:r>
      <w:r w:rsidR="00A96520" w:rsidRPr="00CB3320">
        <w:fldChar w:fldCharType="separate"/>
      </w:r>
      <w:r w:rsidR="008A580C" w:rsidRPr="00CB3320">
        <w:rPr>
          <w:rFonts w:hint="eastAsia"/>
        </w:rPr>
        <w:t>图</w:t>
      </w:r>
      <w:r w:rsidR="008A580C" w:rsidRPr="00CB3320">
        <w:rPr>
          <w:rFonts w:hint="eastAsia"/>
        </w:rPr>
        <w:t>A.</w:t>
      </w:r>
      <w:r w:rsidR="008A580C" w:rsidRPr="00CB3320">
        <w:rPr>
          <w:noProof/>
        </w:rPr>
        <w:t>5</w:t>
      </w:r>
      <w:r w:rsidR="00A96520" w:rsidRPr="00CB3320">
        <w:fldChar w:fldCharType="end"/>
      </w:r>
      <w:r w:rsidRPr="00CB3320">
        <w:rPr>
          <w:rFonts w:hint="eastAsia"/>
        </w:rPr>
        <w:t>）。核密度估计的带宽为</w:t>
      </w:r>
      <w:r w:rsidRPr="00CB3320">
        <w:rPr>
          <w:rFonts w:hint="eastAsia"/>
        </w:rPr>
        <w:t>0.4286</w:t>
      </w:r>
      <w:r w:rsidRPr="00CB3320">
        <w:rPr>
          <w:rFonts w:hint="eastAsia"/>
        </w:rPr>
        <w:t>，说明曲线非常陡峭，数据非常集中。安慰剂检验表明，随机</w:t>
      </w:r>
      <w:r w:rsidR="008563F3" w:rsidRPr="00CB3320">
        <w:rPr>
          <w:rFonts w:hint="eastAsia"/>
        </w:rPr>
        <w:t>实验组</w:t>
      </w:r>
      <w:r w:rsidRPr="00CB3320">
        <w:rPr>
          <w:rFonts w:hint="eastAsia"/>
        </w:rPr>
        <w:t>与对照组无显著性差异，</w:t>
      </w:r>
      <w:r w:rsidRPr="00CB3320">
        <w:rPr>
          <w:rFonts w:hint="eastAsia"/>
        </w:rPr>
        <w:t>T</w:t>
      </w:r>
      <w:r w:rsidRPr="00CB3320">
        <w:rPr>
          <w:rFonts w:hint="eastAsia"/>
        </w:rPr>
        <w:t>统计量大多分布在</w:t>
      </w:r>
      <w:r w:rsidRPr="00CB3320">
        <w:rPr>
          <w:rFonts w:hint="eastAsia"/>
        </w:rPr>
        <w:t>0</w:t>
      </w:r>
      <w:r w:rsidRPr="00CB3320">
        <w:rPr>
          <w:rFonts w:hint="eastAsia"/>
        </w:rPr>
        <w:t>左右。</w:t>
      </w:r>
    </w:p>
    <w:p w14:paraId="797AAF38" w14:textId="2A8632D8" w:rsidR="00B976A8" w:rsidRPr="00CB3320" w:rsidRDefault="009F7C2A" w:rsidP="009F7C2A">
      <w:pPr>
        <w:pStyle w:val="3"/>
        <w:numPr>
          <w:ilvl w:val="0"/>
          <w:numId w:val="0"/>
        </w:numPr>
        <w:spacing w:before="163" w:after="81"/>
        <w:ind w:left="709" w:hanging="709"/>
      </w:pPr>
      <w:bookmarkStart w:id="47" w:name="_Toc121778129"/>
      <w:r w:rsidRPr="00CB3320">
        <w:rPr>
          <w:rFonts w:hint="eastAsia"/>
        </w:rPr>
        <w:t>（</w:t>
      </w:r>
      <w:r w:rsidRPr="00CB3320">
        <w:rPr>
          <w:rFonts w:hint="eastAsia"/>
        </w:rPr>
        <w:t>2</w:t>
      </w:r>
      <w:r w:rsidRPr="00CB3320">
        <w:rPr>
          <w:rFonts w:hint="eastAsia"/>
        </w:rPr>
        <w:t>）</w:t>
      </w:r>
      <w:r w:rsidR="00B976A8" w:rsidRPr="00CB3320">
        <w:rPr>
          <w:rFonts w:hint="eastAsia"/>
        </w:rPr>
        <w:t>其他</w:t>
      </w:r>
      <w:r w:rsidR="00B976A8" w:rsidRPr="00CB3320">
        <w:rPr>
          <w:rFonts w:hint="eastAsia"/>
        </w:rPr>
        <w:t>T</w:t>
      </w:r>
      <w:r w:rsidR="00B976A8" w:rsidRPr="00CB3320">
        <w:t>FP</w:t>
      </w:r>
      <w:r w:rsidR="00B976A8" w:rsidRPr="00CB3320">
        <w:rPr>
          <w:rFonts w:hint="eastAsia"/>
        </w:rPr>
        <w:t>测量手段</w:t>
      </w:r>
      <w:bookmarkEnd w:id="47"/>
    </w:p>
    <w:p w14:paraId="208E296B" w14:textId="589EA068" w:rsidR="00B976A8" w:rsidRPr="00CB3320" w:rsidRDefault="00CB2219" w:rsidP="00B976A8">
      <w:pPr>
        <w:ind w:firstLine="420"/>
      </w:pPr>
      <w:r w:rsidRPr="00CB3320">
        <w:rPr>
          <w:rFonts w:hint="eastAsia"/>
        </w:rPr>
        <w:t>在本研究中，</w:t>
      </w:r>
      <w:r w:rsidRPr="00CB3320">
        <w:rPr>
          <w:rFonts w:hint="eastAsia"/>
        </w:rPr>
        <w:t>TFP</w:t>
      </w:r>
      <w:r w:rsidRPr="00CB3320">
        <w:rPr>
          <w:rFonts w:hint="eastAsia"/>
        </w:rPr>
        <w:t>是一个关键的被解释变量，它是</w:t>
      </w:r>
      <w:r w:rsidR="008B4C2A" w:rsidRPr="00CB3320">
        <w:rPr>
          <w:rFonts w:hint="eastAsia"/>
        </w:rPr>
        <w:t>以</w:t>
      </w:r>
      <w:r w:rsidRPr="00CB3320">
        <w:rPr>
          <w:rFonts w:hint="eastAsia"/>
        </w:rPr>
        <w:t>Malmquist</w:t>
      </w:r>
      <w:r w:rsidRPr="00CB3320">
        <w:rPr>
          <w:rFonts w:hint="eastAsia"/>
        </w:rPr>
        <w:t>生产率指数来衡量的，通过</w:t>
      </w:r>
      <w:r w:rsidRPr="00CB3320">
        <w:rPr>
          <w:rFonts w:hint="eastAsia"/>
        </w:rPr>
        <w:t>DEA</w:t>
      </w:r>
      <w:r w:rsidRPr="00CB3320">
        <w:rPr>
          <w:rFonts w:hint="eastAsia"/>
        </w:rPr>
        <w:t>方法、面向产出的</w:t>
      </w:r>
      <w:r w:rsidRPr="00CB3320">
        <w:rPr>
          <w:rFonts w:hint="eastAsia"/>
        </w:rPr>
        <w:t>Shepard</w:t>
      </w:r>
      <w:r w:rsidRPr="00CB3320">
        <w:rPr>
          <w:rFonts w:hint="eastAsia"/>
        </w:rPr>
        <w:t>距离函数和全局前沿技术来求解的。我们将距离函数从产出导向转变为投入导向，并将全局前沿技术替换为</w:t>
      </w:r>
      <w:r w:rsidR="00106309" w:rsidRPr="00CB3320">
        <w:rPr>
          <w:rFonts w:hint="eastAsia"/>
        </w:rPr>
        <w:t>序列</w:t>
      </w:r>
      <w:r w:rsidRPr="00CB3320">
        <w:rPr>
          <w:rFonts w:hint="eastAsia"/>
        </w:rPr>
        <w:t>前沿技术（</w:t>
      </w:r>
      <w:r w:rsidR="00BE607C" w:rsidRPr="00CB3320">
        <w:fldChar w:fldCharType="begin"/>
      </w:r>
      <w:r w:rsidR="00BE607C" w:rsidRPr="00CB3320">
        <w:instrText xml:space="preserve"> </w:instrText>
      </w:r>
      <w:r w:rsidR="00BE607C" w:rsidRPr="00CB3320">
        <w:rPr>
          <w:rFonts w:hint="eastAsia"/>
        </w:rPr>
        <w:instrText>REF _Ref77317953 \h</w:instrText>
      </w:r>
      <w:r w:rsidR="00BE607C" w:rsidRPr="00CB3320">
        <w:instrText xml:space="preserve"> </w:instrText>
      </w:r>
      <w:r w:rsidR="00047413" w:rsidRPr="00CB3320">
        <w:instrText xml:space="preserve"> \* MERGEFORMAT </w:instrText>
      </w:r>
      <w:r w:rsidR="00BE607C" w:rsidRPr="00CB3320">
        <w:fldChar w:fldCharType="separate"/>
      </w:r>
      <w:r w:rsidR="008A580C" w:rsidRPr="00CB3320">
        <w:rPr>
          <w:rFonts w:hint="eastAsia"/>
        </w:rPr>
        <w:t>表</w:t>
      </w:r>
      <w:r w:rsidR="008A580C" w:rsidRPr="00CB3320">
        <w:rPr>
          <w:rFonts w:hint="eastAsia"/>
        </w:rPr>
        <w:t>A.</w:t>
      </w:r>
      <w:r w:rsidR="008A580C" w:rsidRPr="00CB3320">
        <w:t>2</w:t>
      </w:r>
      <w:r w:rsidR="00BE607C" w:rsidRPr="00CB3320">
        <w:fldChar w:fldCharType="end"/>
      </w:r>
      <w:r w:rsidRPr="00CB3320">
        <w:rPr>
          <w:rFonts w:hint="eastAsia"/>
        </w:rPr>
        <w:t>中的模型（</w:t>
      </w:r>
      <w:r w:rsidRPr="00CB3320">
        <w:rPr>
          <w:rFonts w:hint="eastAsia"/>
        </w:rPr>
        <w:t>1</w:t>
      </w:r>
      <w:r w:rsidRPr="00CB3320">
        <w:rPr>
          <w:rFonts w:hint="eastAsia"/>
        </w:rPr>
        <w:t>）</w:t>
      </w:r>
      <w:r w:rsidRPr="00CB3320">
        <w:rPr>
          <w:rFonts w:hint="eastAsia"/>
        </w:rPr>
        <w:t>-</w:t>
      </w:r>
      <w:r w:rsidRPr="00CB3320">
        <w:rPr>
          <w:rFonts w:hint="eastAsia"/>
        </w:rPr>
        <w:t>（</w:t>
      </w:r>
      <w:r w:rsidRPr="00CB3320">
        <w:rPr>
          <w:rFonts w:hint="eastAsia"/>
        </w:rPr>
        <w:t>4</w:t>
      </w:r>
      <w:r w:rsidRPr="00CB3320">
        <w:rPr>
          <w:rFonts w:hint="eastAsia"/>
        </w:rPr>
        <w:t>））。</w:t>
      </w:r>
      <w:r w:rsidR="00106309" w:rsidRPr="00CB3320">
        <w:rPr>
          <w:rFonts w:hint="eastAsia"/>
        </w:rPr>
        <w:t>另外</w:t>
      </w:r>
      <w:r w:rsidRPr="00CB3320">
        <w:rPr>
          <w:rFonts w:hint="eastAsia"/>
        </w:rPr>
        <w:t>，</w:t>
      </w:r>
      <w:r w:rsidRPr="00CB3320">
        <w:rPr>
          <w:rFonts w:hint="eastAsia"/>
        </w:rPr>
        <w:t>DEA</w:t>
      </w:r>
      <w:r w:rsidRPr="00CB3320">
        <w:rPr>
          <w:rFonts w:hint="eastAsia"/>
        </w:rPr>
        <w:t>方法并不是估计全要素生产率的唯一方法。</w:t>
      </w:r>
      <w:r w:rsidR="00106309" w:rsidRPr="00CB3320">
        <w:rPr>
          <w:rFonts w:hint="eastAsia"/>
        </w:rPr>
        <w:t>因此</w:t>
      </w:r>
      <w:r w:rsidRPr="00CB3320">
        <w:rPr>
          <w:rFonts w:hint="eastAsia"/>
        </w:rPr>
        <w:t>我们</w:t>
      </w:r>
      <w:r w:rsidR="00106309" w:rsidRPr="00CB3320">
        <w:rPr>
          <w:rFonts w:hint="eastAsia"/>
        </w:rPr>
        <w:t>额外</w:t>
      </w:r>
      <w:r w:rsidRPr="00CB3320">
        <w:rPr>
          <w:rFonts w:hint="eastAsia"/>
        </w:rPr>
        <w:t>考虑参数模型</w:t>
      </w:r>
      <w:r w:rsidR="004A1319" w:rsidRPr="00CB3320">
        <w:rPr>
          <w:rFonts w:hint="eastAsia"/>
        </w:rPr>
        <w:t>，</w:t>
      </w:r>
      <w:r w:rsidRPr="00CB3320">
        <w:rPr>
          <w:rFonts w:hint="eastAsia"/>
        </w:rPr>
        <w:t>随机前沿分析（</w:t>
      </w:r>
      <w:r w:rsidRPr="00CB3320">
        <w:rPr>
          <w:rFonts w:hint="eastAsia"/>
        </w:rPr>
        <w:t>SFA</w:t>
      </w:r>
      <w:r w:rsidRPr="00CB3320">
        <w:rPr>
          <w:rFonts w:hint="eastAsia"/>
        </w:rPr>
        <w:t>），来测量</w:t>
      </w:r>
      <w:r w:rsidR="004A1319" w:rsidRPr="00CB3320">
        <w:rPr>
          <w:rFonts w:hint="eastAsia"/>
        </w:rPr>
        <w:t>TFP</w:t>
      </w:r>
      <w:r w:rsidRPr="00CB3320">
        <w:rPr>
          <w:rFonts w:hint="eastAsia"/>
        </w:rPr>
        <w:t>（</w:t>
      </w:r>
      <w:r w:rsidR="00A96520" w:rsidRPr="00CB3320">
        <w:fldChar w:fldCharType="begin"/>
      </w:r>
      <w:r w:rsidR="00A96520" w:rsidRPr="00CB3320">
        <w:instrText xml:space="preserve"> </w:instrText>
      </w:r>
      <w:r w:rsidR="00A96520" w:rsidRPr="00CB3320">
        <w:rPr>
          <w:rFonts w:hint="eastAsia"/>
        </w:rPr>
        <w:instrText>REF _Ref77243331 \h</w:instrText>
      </w:r>
      <w:r w:rsidR="00A96520" w:rsidRPr="00CB3320">
        <w:instrText xml:space="preserve"> </w:instrText>
      </w:r>
      <w:r w:rsidR="008A580C" w:rsidRPr="00CB3320">
        <w:instrText xml:space="preserve"> \* MERGEFORMAT </w:instrText>
      </w:r>
      <w:r w:rsidR="00A96520" w:rsidRPr="00CB3320">
        <w:fldChar w:fldCharType="separate"/>
      </w:r>
      <w:r w:rsidR="008A580C" w:rsidRPr="00CB3320">
        <w:rPr>
          <w:rFonts w:hint="eastAsia"/>
        </w:rPr>
        <w:t>表</w:t>
      </w:r>
      <w:r w:rsidR="008A580C" w:rsidRPr="00CB3320">
        <w:rPr>
          <w:rFonts w:hint="eastAsia"/>
        </w:rPr>
        <w:t>A.</w:t>
      </w:r>
      <w:r w:rsidR="008A580C" w:rsidRPr="00CB3320">
        <w:rPr>
          <w:noProof/>
        </w:rPr>
        <w:t>3</w:t>
      </w:r>
      <w:r w:rsidR="00A96520" w:rsidRPr="00CB3320">
        <w:fldChar w:fldCharType="end"/>
      </w:r>
      <w:r w:rsidRPr="00CB3320">
        <w:rPr>
          <w:rFonts w:hint="eastAsia"/>
        </w:rPr>
        <w:t>中的模型（</w:t>
      </w:r>
      <w:r w:rsidRPr="00CB3320">
        <w:rPr>
          <w:rFonts w:hint="eastAsia"/>
        </w:rPr>
        <w:t>5</w:t>
      </w:r>
      <w:r w:rsidRPr="00CB3320">
        <w:rPr>
          <w:rFonts w:hint="eastAsia"/>
        </w:rPr>
        <w:t>）</w:t>
      </w:r>
      <w:r w:rsidRPr="00CB3320">
        <w:rPr>
          <w:rFonts w:hint="eastAsia"/>
        </w:rPr>
        <w:t>-</w:t>
      </w:r>
      <w:r w:rsidRPr="00CB3320">
        <w:rPr>
          <w:rFonts w:hint="eastAsia"/>
        </w:rPr>
        <w:t>（</w:t>
      </w:r>
      <w:r w:rsidRPr="00CB3320">
        <w:rPr>
          <w:rFonts w:hint="eastAsia"/>
        </w:rPr>
        <w:t>6</w:t>
      </w:r>
      <w:r w:rsidRPr="00CB3320">
        <w:rPr>
          <w:rFonts w:hint="eastAsia"/>
        </w:rPr>
        <w:t>））。由于我们的数据是面板数据，我们需要使用</w:t>
      </w:r>
      <w:r w:rsidR="006A10C6" w:rsidRPr="00CB3320">
        <w:rPr>
          <w:kern w:val="0"/>
        </w:rPr>
        <w:fldChar w:fldCharType="begin" w:fldLock="1"/>
      </w:r>
      <w:r w:rsidR="005B1161" w:rsidRPr="00CB3320">
        <w:rPr>
          <w:kern w:val="0"/>
        </w:rPr>
        <w:instrText>ADDIN CSL_CITATION {"citationItems":[{"id":"ITEM-1","itemData":{"DOI":"10.1016/j.jeconom.2017.09.005","ISSN":"03044076","author":[{"dropping-particle":"","family":"Belotti","given":"Federico","non-dropping-particle":"","parse-names":false,"suffix":""},{"dropping-particle":"","family":"Ilardi","given":"Giuseppe","non-dropping-particle":"","parse-names":false,"suffix":""}],"container-title":"Journal of Econometrics","id":"ITEM-1","issue":"2","issued":{"date-parts":[["2018","2"]]},"page":"161-177","title":"C</w:instrText>
      </w:r>
      <w:r w:rsidR="005B1161" w:rsidRPr="00CB3320">
        <w:rPr>
          <w:rFonts w:hint="eastAsia"/>
          <w:kern w:val="0"/>
        </w:rPr>
        <w:instrText>onsistent inference in fixed-effects stochastic frontier models","type":"article-journal","volume":"202"},"uris":["http://www.mendeley.com/documents/?uuid=4066b276-5be2-4f28-a229-a2c5aa254f95"]}],"mendeley":{"formattedCitation":"(Belotti</w:instrText>
      </w:r>
      <w:r w:rsidR="005B1161" w:rsidRPr="00CB3320">
        <w:rPr>
          <w:rFonts w:hint="eastAsia"/>
          <w:kern w:val="0"/>
        </w:rPr>
        <w:instrText>等</w:instrText>
      </w:r>
      <w:r w:rsidR="005B1161" w:rsidRPr="00CB3320">
        <w:rPr>
          <w:rFonts w:hint="eastAsia"/>
          <w:kern w:val="0"/>
        </w:rPr>
        <w:instrText>, 2018)","manualFormatting":"Belotti &amp; Ilardi (2018)","plainTextFormattedCitation":"(Belotti</w:instrText>
      </w:r>
      <w:r w:rsidR="005B1161" w:rsidRPr="00CB3320">
        <w:rPr>
          <w:rFonts w:hint="eastAsia"/>
          <w:kern w:val="0"/>
        </w:rPr>
        <w:instrText>等</w:instrText>
      </w:r>
      <w:r w:rsidR="005B1161" w:rsidRPr="00CB3320">
        <w:rPr>
          <w:rFonts w:hint="eastAsia"/>
          <w:kern w:val="0"/>
        </w:rPr>
        <w:instrText>, 2018)","previouslyFormattedCitation":"(Belotti</w:instrText>
      </w:r>
      <w:r w:rsidR="005B1161" w:rsidRPr="00CB3320">
        <w:rPr>
          <w:rFonts w:hint="eastAsia"/>
          <w:kern w:val="0"/>
        </w:rPr>
        <w:instrText>等</w:instrText>
      </w:r>
      <w:r w:rsidR="005B1161" w:rsidRPr="00CB3320">
        <w:rPr>
          <w:rFonts w:hint="eastAsia"/>
          <w:kern w:val="0"/>
        </w:rPr>
        <w:instrText>, 2018)"},"properties":{"noteIndex":0},"schema":"https://github.com/citation-style-language/schema/raw/master/csl-citation.json"}</w:instrText>
      </w:r>
      <w:r w:rsidR="006A10C6" w:rsidRPr="00CB3320">
        <w:rPr>
          <w:kern w:val="0"/>
        </w:rPr>
        <w:fldChar w:fldCharType="separate"/>
      </w:r>
      <w:r w:rsidR="006A10C6" w:rsidRPr="00CB3320">
        <w:rPr>
          <w:noProof/>
          <w:kern w:val="0"/>
        </w:rPr>
        <w:t>Belotti</w:t>
      </w:r>
      <w:r w:rsidR="005B1161" w:rsidRPr="00CB3320">
        <w:rPr>
          <w:noProof/>
          <w:kern w:val="0"/>
        </w:rPr>
        <w:t xml:space="preserve"> &amp; </w:t>
      </w:r>
      <w:r w:rsidR="006A10C6" w:rsidRPr="00CB3320">
        <w:rPr>
          <w:noProof/>
          <w:kern w:val="0"/>
        </w:rPr>
        <w:t>Ilardi (2018)</w:t>
      </w:r>
      <w:r w:rsidR="006A10C6" w:rsidRPr="00CB3320">
        <w:rPr>
          <w:kern w:val="0"/>
        </w:rPr>
        <w:lastRenderedPageBreak/>
        <w:fldChar w:fldCharType="end"/>
      </w:r>
      <w:r w:rsidRPr="00CB3320">
        <w:rPr>
          <w:rFonts w:hint="eastAsia"/>
        </w:rPr>
        <w:t>提出的模拟似然估计</w:t>
      </w:r>
      <w:r w:rsidR="006A10C6" w:rsidRPr="00CB3320">
        <w:rPr>
          <w:rFonts w:hint="eastAsia"/>
        </w:rPr>
        <w:t>的方法</w:t>
      </w:r>
      <w:r w:rsidRPr="00CB3320">
        <w:rPr>
          <w:rFonts w:hint="eastAsia"/>
        </w:rPr>
        <w:t>来</w:t>
      </w:r>
      <w:r w:rsidR="006A10C6" w:rsidRPr="00CB3320">
        <w:rPr>
          <w:rFonts w:hint="eastAsia"/>
        </w:rPr>
        <w:t>估计“</w:t>
      </w:r>
      <w:r w:rsidR="00DF5073" w:rsidRPr="00CB3320">
        <w:rPr>
          <w:rFonts w:hint="eastAsia"/>
        </w:rPr>
        <w:t>真实</w:t>
      </w:r>
      <w:r w:rsidRPr="00CB3320">
        <w:rPr>
          <w:rFonts w:hint="eastAsia"/>
        </w:rPr>
        <w:t>固定效应随机前沿模型</w:t>
      </w:r>
      <w:r w:rsidR="006A10C6" w:rsidRPr="00CB3320">
        <w:rPr>
          <w:rFonts w:hint="eastAsia"/>
        </w:rPr>
        <w:t>”</w:t>
      </w:r>
      <w:r w:rsidRPr="00CB3320">
        <w:rPr>
          <w:rFonts w:hint="eastAsia"/>
        </w:rPr>
        <w:t>（</w:t>
      </w:r>
      <w:r w:rsidRPr="00CB3320">
        <w:rPr>
          <w:rFonts w:hint="eastAsia"/>
        </w:rPr>
        <w:t>SFTFE</w:t>
      </w:r>
      <w:r w:rsidRPr="00CB3320">
        <w:rPr>
          <w:rFonts w:hint="eastAsia"/>
        </w:rPr>
        <w:t>），以避免</w:t>
      </w:r>
      <w:r w:rsidR="006A10C6" w:rsidRPr="00CB3320">
        <w:rPr>
          <w:rFonts w:hint="eastAsia"/>
        </w:rPr>
        <w:t>出现明显的</w:t>
      </w:r>
      <w:r w:rsidRPr="00CB3320">
        <w:rPr>
          <w:rFonts w:hint="eastAsia"/>
        </w:rPr>
        <w:t>偏差估计。这里使用的</w:t>
      </w:r>
      <w:r w:rsidR="006A10C6" w:rsidRPr="00CB3320">
        <w:rPr>
          <w:rFonts w:hint="eastAsia"/>
        </w:rPr>
        <w:t>投入和产出</w:t>
      </w:r>
      <w:r w:rsidRPr="00CB3320">
        <w:rPr>
          <w:rFonts w:hint="eastAsia"/>
        </w:rPr>
        <w:t>变量与</w:t>
      </w:r>
      <w:r w:rsidRPr="00CB3320">
        <w:rPr>
          <w:rFonts w:hint="eastAsia"/>
        </w:rPr>
        <w:t>DEA</w:t>
      </w:r>
      <w:r w:rsidR="006A10C6" w:rsidRPr="00CB3320">
        <w:rPr>
          <w:rFonts w:hint="eastAsia"/>
        </w:rPr>
        <w:t>方法</w:t>
      </w:r>
      <w:r w:rsidRPr="00CB3320">
        <w:rPr>
          <w:rFonts w:hint="eastAsia"/>
        </w:rPr>
        <w:t>中的变量相同，但它们必须是对数</w:t>
      </w:r>
      <w:r w:rsidR="00826599" w:rsidRPr="00CB3320">
        <w:rPr>
          <w:rFonts w:hint="eastAsia"/>
        </w:rPr>
        <w:t>形式</w:t>
      </w:r>
      <w:r w:rsidRPr="00CB3320">
        <w:rPr>
          <w:rFonts w:hint="eastAsia"/>
        </w:rPr>
        <w:t>的。另外，我们</w:t>
      </w:r>
      <w:proofErr w:type="gramStart"/>
      <w:r w:rsidRPr="00CB3320">
        <w:rPr>
          <w:rFonts w:hint="eastAsia"/>
        </w:rPr>
        <w:t>假设非</w:t>
      </w:r>
      <w:proofErr w:type="gramEnd"/>
      <w:r w:rsidRPr="00CB3320">
        <w:rPr>
          <w:rFonts w:hint="eastAsia"/>
        </w:rPr>
        <w:t>效率项服从半正态分布。结果表明，</w:t>
      </w:r>
      <w:r w:rsidR="00AA2F95" w:rsidRPr="00CB3320">
        <w:rPr>
          <w:rFonts w:hint="eastAsia"/>
        </w:rPr>
        <w:t>在更改了</w:t>
      </w:r>
      <w:r w:rsidR="00AA2F95" w:rsidRPr="00CB3320">
        <w:rPr>
          <w:rFonts w:hint="eastAsia"/>
        </w:rPr>
        <w:t>T</w:t>
      </w:r>
      <w:r w:rsidR="00AA2F95" w:rsidRPr="00CB3320">
        <w:t>FP</w:t>
      </w:r>
      <w:r w:rsidR="00AA2F95" w:rsidRPr="00CB3320">
        <w:rPr>
          <w:rFonts w:hint="eastAsia"/>
        </w:rPr>
        <w:t>测量手段后，</w:t>
      </w:r>
      <w:r w:rsidR="00A432E3" w:rsidRPr="00CB3320">
        <w:rPr>
          <w:rFonts w:hint="eastAsia"/>
        </w:rPr>
        <w:t>我们的</w:t>
      </w:r>
      <w:r w:rsidR="00AA2F95" w:rsidRPr="00CB3320">
        <w:rPr>
          <w:rFonts w:hint="eastAsia"/>
        </w:rPr>
        <w:t>结论依旧</w:t>
      </w:r>
      <w:r w:rsidRPr="00CB3320">
        <w:rPr>
          <w:rFonts w:hint="eastAsia"/>
        </w:rPr>
        <w:t>是稳健的。</w:t>
      </w:r>
    </w:p>
    <w:p w14:paraId="6FA18CD2" w14:textId="741D6DE1" w:rsidR="00B976A8" w:rsidRPr="00CB3320" w:rsidRDefault="009F7C2A" w:rsidP="009F7C2A">
      <w:pPr>
        <w:pStyle w:val="3"/>
        <w:numPr>
          <w:ilvl w:val="0"/>
          <w:numId w:val="0"/>
        </w:numPr>
        <w:spacing w:before="163" w:after="81"/>
        <w:ind w:left="709" w:hanging="709"/>
      </w:pPr>
      <w:bookmarkStart w:id="48" w:name="_Toc121778130"/>
      <w:r w:rsidRPr="00CB3320">
        <w:rPr>
          <w:rFonts w:hint="eastAsia"/>
        </w:rPr>
        <w:t>（</w:t>
      </w:r>
      <w:r w:rsidRPr="00CB3320">
        <w:rPr>
          <w:rFonts w:hint="eastAsia"/>
        </w:rPr>
        <w:t>3</w:t>
      </w:r>
      <w:r w:rsidRPr="00CB3320">
        <w:rPr>
          <w:rFonts w:hint="eastAsia"/>
        </w:rPr>
        <w:t>）</w:t>
      </w:r>
      <w:r w:rsidR="00C67E07" w:rsidRPr="00CB3320">
        <w:rPr>
          <w:rFonts w:hint="eastAsia"/>
        </w:rPr>
        <w:t>去除</w:t>
      </w:r>
      <w:r w:rsidR="00C67E07" w:rsidRPr="00CB3320">
        <w:rPr>
          <w:rFonts w:hint="eastAsia"/>
        </w:rPr>
        <w:t>P</w:t>
      </w:r>
      <w:r w:rsidR="00C67E07" w:rsidRPr="00CB3320">
        <w:t>SM</w:t>
      </w:r>
      <w:r w:rsidR="00C67E07" w:rsidRPr="00CB3320">
        <w:rPr>
          <w:rFonts w:hint="eastAsia"/>
        </w:rPr>
        <w:t>或协变量</w:t>
      </w:r>
      <w:bookmarkEnd w:id="48"/>
    </w:p>
    <w:p w14:paraId="27E19B72" w14:textId="568611EA" w:rsidR="00D706DB" w:rsidRPr="00CB3320" w:rsidRDefault="00D706DB" w:rsidP="00D706DB">
      <w:pPr>
        <w:ind w:firstLine="420"/>
      </w:pPr>
      <w:r w:rsidRPr="00CB3320">
        <w:rPr>
          <w:rFonts w:hint="eastAsia"/>
        </w:rPr>
        <w:t>协变量（控制变量）的作用是在回归中加入可能影响全要素生产率的个体特征，将</w:t>
      </w:r>
      <w:r w:rsidR="00674A5C" w:rsidRPr="00CB3320">
        <w:rPr>
          <w:rFonts w:hint="eastAsia"/>
        </w:rPr>
        <w:t>实验</w:t>
      </w:r>
      <w:r w:rsidRPr="00CB3320">
        <w:rPr>
          <w:rFonts w:hint="eastAsia"/>
        </w:rPr>
        <w:t>组和</w:t>
      </w:r>
      <w:r w:rsidR="00972FF5" w:rsidRPr="00CB3320">
        <w:rPr>
          <w:rFonts w:hint="eastAsia"/>
        </w:rPr>
        <w:t>对照组</w:t>
      </w:r>
      <w:r w:rsidRPr="00CB3320">
        <w:rPr>
          <w:rFonts w:hint="eastAsia"/>
        </w:rPr>
        <w:t>进行分层，从而更清晰地识别政策效应。</w:t>
      </w:r>
      <w:r w:rsidRPr="00CB3320">
        <w:rPr>
          <w:rFonts w:hint="eastAsia"/>
        </w:rPr>
        <w:t>PSM</w:t>
      </w:r>
      <w:r w:rsidRPr="00CB3320">
        <w:rPr>
          <w:rFonts w:hint="eastAsia"/>
        </w:rPr>
        <w:t>也有类似的含义，通过匹配的思想，使实验组和</w:t>
      </w:r>
      <w:r w:rsidR="00972FF5" w:rsidRPr="00CB3320">
        <w:rPr>
          <w:rFonts w:hint="eastAsia"/>
        </w:rPr>
        <w:t>对照组</w:t>
      </w:r>
      <w:r w:rsidRPr="00CB3320">
        <w:rPr>
          <w:rFonts w:hint="eastAsia"/>
        </w:rPr>
        <w:t>的可观察变量更加接近</w:t>
      </w:r>
      <w:r w:rsidRPr="00CB3320">
        <w:rPr>
          <w:rFonts w:hint="eastAsia"/>
        </w:rPr>
        <w:t>/</w:t>
      </w:r>
      <w:r w:rsidRPr="00CB3320">
        <w:rPr>
          <w:rFonts w:hint="eastAsia"/>
        </w:rPr>
        <w:t>匹配，从而根据可观察变量对样本进行</w:t>
      </w:r>
      <w:r w:rsidR="00956A42" w:rsidRPr="00CB3320">
        <w:rPr>
          <w:rFonts w:hint="eastAsia"/>
        </w:rPr>
        <w:t>筛选</w:t>
      </w:r>
      <w:r w:rsidRPr="00CB3320">
        <w:rPr>
          <w:rFonts w:hint="eastAsia"/>
        </w:rPr>
        <w:t>，</w:t>
      </w:r>
      <w:r w:rsidR="00956A42" w:rsidRPr="00CB3320">
        <w:rPr>
          <w:rFonts w:hint="eastAsia"/>
        </w:rPr>
        <w:t>进而</w:t>
      </w:r>
      <w:r w:rsidRPr="00CB3320">
        <w:rPr>
          <w:rFonts w:hint="eastAsia"/>
        </w:rPr>
        <w:t>清晰地识别</w:t>
      </w:r>
      <w:r w:rsidR="00956A42" w:rsidRPr="00CB3320">
        <w:rPr>
          <w:rFonts w:hint="eastAsia"/>
        </w:rPr>
        <w:t>实验</w:t>
      </w:r>
      <w:r w:rsidRPr="00CB3320">
        <w:rPr>
          <w:rFonts w:hint="eastAsia"/>
        </w:rPr>
        <w:t>效果。所以，在某种程度上，</w:t>
      </w:r>
      <w:r w:rsidRPr="00CB3320">
        <w:rPr>
          <w:rFonts w:hint="eastAsia"/>
        </w:rPr>
        <w:t>PSM</w:t>
      </w:r>
      <w:r w:rsidRPr="00CB3320">
        <w:rPr>
          <w:rFonts w:hint="eastAsia"/>
        </w:rPr>
        <w:t>和</w:t>
      </w:r>
      <w:proofErr w:type="gramStart"/>
      <w:r w:rsidRPr="00CB3320">
        <w:rPr>
          <w:rFonts w:hint="eastAsia"/>
        </w:rPr>
        <w:t>协变量</w:t>
      </w:r>
      <w:proofErr w:type="gramEnd"/>
      <w:r w:rsidRPr="00CB3320">
        <w:rPr>
          <w:rFonts w:hint="eastAsia"/>
        </w:rPr>
        <w:t>有相似的含义</w:t>
      </w:r>
      <w:r w:rsidR="007D1C0B" w:rsidRPr="00CB3320">
        <w:rPr>
          <w:rFonts w:hint="eastAsia"/>
        </w:rPr>
        <w:t>，过分使用方法论可能会受到诟病</w:t>
      </w:r>
      <w:r w:rsidRPr="00CB3320">
        <w:rPr>
          <w:rFonts w:hint="eastAsia"/>
        </w:rPr>
        <w:t>。因此，我们考虑去除回归的协变量或</w:t>
      </w:r>
      <w:r w:rsidRPr="00CB3320">
        <w:rPr>
          <w:rFonts w:hint="eastAsia"/>
        </w:rPr>
        <w:t>PSM</w:t>
      </w:r>
      <w:r w:rsidR="007D1C0B" w:rsidRPr="00CB3320">
        <w:rPr>
          <w:rFonts w:hint="eastAsia"/>
        </w:rPr>
        <w:t>的</w:t>
      </w:r>
      <w:r w:rsidRPr="00CB3320">
        <w:rPr>
          <w:rFonts w:hint="eastAsia"/>
        </w:rPr>
        <w:t>估计，以验证结果的稳健性（</w:t>
      </w:r>
      <w:r w:rsidR="00A96520" w:rsidRPr="00CB3320">
        <w:fldChar w:fldCharType="begin"/>
      </w:r>
      <w:r w:rsidR="00A96520" w:rsidRPr="00CB3320">
        <w:instrText xml:space="preserve"> </w:instrText>
      </w:r>
      <w:r w:rsidR="00A96520" w:rsidRPr="00CB3320">
        <w:rPr>
          <w:rFonts w:hint="eastAsia"/>
        </w:rPr>
        <w:instrText>REF _Ref77243331 \h</w:instrText>
      </w:r>
      <w:r w:rsidR="00A96520" w:rsidRPr="00CB3320">
        <w:instrText xml:space="preserve"> </w:instrText>
      </w:r>
      <w:r w:rsidR="00A96520" w:rsidRPr="00CB3320">
        <w:fldChar w:fldCharType="separate"/>
      </w:r>
      <w:r w:rsidR="00047413" w:rsidRPr="00CB3320">
        <w:rPr>
          <w:rFonts w:hint="eastAsia"/>
        </w:rPr>
        <w:t>表</w:t>
      </w:r>
      <w:r w:rsidR="00047413" w:rsidRPr="00CB3320">
        <w:rPr>
          <w:rFonts w:hint="eastAsia"/>
        </w:rPr>
        <w:t>A.</w:t>
      </w:r>
      <w:r w:rsidR="00047413" w:rsidRPr="00CB3320">
        <w:rPr>
          <w:noProof/>
        </w:rPr>
        <w:t>3</w:t>
      </w:r>
      <w:r w:rsidR="00A96520" w:rsidRPr="00CB3320">
        <w:fldChar w:fldCharType="end"/>
      </w:r>
      <w:r w:rsidRPr="00CB3320">
        <w:rPr>
          <w:rFonts w:hint="eastAsia"/>
        </w:rPr>
        <w:t>）</w:t>
      </w:r>
      <w:r w:rsidR="007D1C0B" w:rsidRPr="00CB3320">
        <w:rPr>
          <w:rFonts w:hint="eastAsia"/>
        </w:rPr>
        <w:t>，</w:t>
      </w:r>
      <w:r w:rsidRPr="00CB3320">
        <w:rPr>
          <w:rFonts w:hint="eastAsia"/>
        </w:rPr>
        <w:t>结果也显示了</w:t>
      </w:r>
      <w:r w:rsidR="007D1C0B" w:rsidRPr="00CB3320">
        <w:rPr>
          <w:rFonts w:hint="eastAsia"/>
        </w:rPr>
        <w:t>稳健</w:t>
      </w:r>
      <w:r w:rsidRPr="00CB3320">
        <w:rPr>
          <w:rFonts w:hint="eastAsia"/>
        </w:rPr>
        <w:t>性。</w:t>
      </w:r>
    </w:p>
    <w:p w14:paraId="66AF5AC0" w14:textId="3E99BB47" w:rsidR="00191549" w:rsidRPr="00CB3320" w:rsidRDefault="00D706DB" w:rsidP="00D706DB">
      <w:pPr>
        <w:ind w:firstLine="420"/>
      </w:pPr>
      <w:r w:rsidRPr="00CB3320">
        <w:rPr>
          <w:rFonts w:hint="eastAsia"/>
        </w:rPr>
        <w:t>我们观察到，</w:t>
      </w:r>
      <w:r w:rsidR="00A96520" w:rsidRPr="00CB3320">
        <w:fldChar w:fldCharType="begin"/>
      </w:r>
      <w:r w:rsidR="00A96520" w:rsidRPr="00CB3320">
        <w:instrText xml:space="preserve"> </w:instrText>
      </w:r>
      <w:r w:rsidR="00A96520" w:rsidRPr="00CB3320">
        <w:rPr>
          <w:rFonts w:hint="eastAsia"/>
        </w:rPr>
        <w:instrText>REF _Ref77243331 \h</w:instrText>
      </w:r>
      <w:r w:rsidR="00A96520" w:rsidRPr="00CB3320">
        <w:instrText xml:space="preserve"> </w:instrText>
      </w:r>
      <w:r w:rsidR="00A96520" w:rsidRPr="00CB3320">
        <w:fldChar w:fldCharType="separate"/>
      </w:r>
      <w:r w:rsidR="00047413" w:rsidRPr="00CB3320">
        <w:rPr>
          <w:rFonts w:hint="eastAsia"/>
        </w:rPr>
        <w:t>表</w:t>
      </w:r>
      <w:r w:rsidR="00047413" w:rsidRPr="00CB3320">
        <w:rPr>
          <w:rFonts w:hint="eastAsia"/>
        </w:rPr>
        <w:t>A.</w:t>
      </w:r>
      <w:r w:rsidR="00047413" w:rsidRPr="00CB3320">
        <w:rPr>
          <w:noProof/>
        </w:rPr>
        <w:t>3</w:t>
      </w:r>
      <w:r w:rsidR="00A96520" w:rsidRPr="00CB3320">
        <w:fldChar w:fldCharType="end"/>
      </w:r>
      <w:r w:rsidRPr="00CB3320">
        <w:rPr>
          <w:rFonts w:hint="eastAsia"/>
        </w:rPr>
        <w:t>中模型（</w:t>
      </w:r>
      <w:r w:rsidRPr="00CB3320">
        <w:rPr>
          <w:rFonts w:hint="eastAsia"/>
        </w:rPr>
        <w:t>2</w:t>
      </w:r>
      <w:r w:rsidRPr="00CB3320">
        <w:rPr>
          <w:rFonts w:hint="eastAsia"/>
        </w:rPr>
        <w:t>）和模型（</w:t>
      </w:r>
      <w:r w:rsidRPr="00CB3320">
        <w:rPr>
          <w:rFonts w:hint="eastAsia"/>
        </w:rPr>
        <w:t>3</w:t>
      </w:r>
      <w:r w:rsidRPr="00CB3320">
        <w:rPr>
          <w:rFonts w:hint="eastAsia"/>
        </w:rPr>
        <w:t>）的</w:t>
      </w:r>
      <w:r w:rsidRPr="00CB3320">
        <w:rPr>
          <w:rFonts w:hint="eastAsia"/>
        </w:rPr>
        <w:t>ETS</w:t>
      </w:r>
      <w:r w:rsidRPr="00CB3320">
        <w:rPr>
          <w:rFonts w:hint="eastAsia"/>
        </w:rPr>
        <w:t>对全要素生产率的影响系数较低，这</w:t>
      </w:r>
      <w:r w:rsidR="007D1C0B" w:rsidRPr="00CB3320">
        <w:rPr>
          <w:rFonts w:hint="eastAsia"/>
        </w:rPr>
        <w:t>正</w:t>
      </w:r>
      <w:r w:rsidRPr="00CB3320">
        <w:rPr>
          <w:rFonts w:hint="eastAsia"/>
        </w:rPr>
        <w:t>是由于</w:t>
      </w:r>
      <w:r w:rsidR="007D1C0B" w:rsidRPr="00CB3320">
        <w:rPr>
          <w:rFonts w:hint="eastAsia"/>
        </w:rPr>
        <w:t>研究发现的</w:t>
      </w:r>
      <w:r w:rsidRPr="00CB3320">
        <w:rPr>
          <w:rFonts w:hint="eastAsia"/>
        </w:rPr>
        <w:t>区域异质性造成的。在不考虑协变量的情况下，由于经济发展水平对</w:t>
      </w:r>
      <w:r w:rsidR="00595C73" w:rsidRPr="00CB3320">
        <w:rPr>
          <w:rFonts w:hint="eastAsia"/>
        </w:rPr>
        <w:t>TFP</w:t>
      </w:r>
      <w:r w:rsidRPr="00CB3320">
        <w:rPr>
          <w:rFonts w:hint="eastAsia"/>
        </w:rPr>
        <w:t>有显著的正向影响，高人均</w:t>
      </w:r>
      <w:r w:rsidRPr="00CB3320">
        <w:rPr>
          <w:rFonts w:hint="eastAsia"/>
        </w:rPr>
        <w:t>GDP</w:t>
      </w:r>
      <w:r w:rsidRPr="00CB3320">
        <w:rPr>
          <w:rFonts w:hint="eastAsia"/>
        </w:rPr>
        <w:t>地区的全要素生产率及其增长率普遍高于</w:t>
      </w:r>
      <w:proofErr w:type="gramStart"/>
      <w:r w:rsidRPr="00CB3320">
        <w:rPr>
          <w:rFonts w:hint="eastAsia"/>
        </w:rPr>
        <w:t>低人均</w:t>
      </w:r>
      <w:proofErr w:type="gramEnd"/>
      <w:r w:rsidRPr="00CB3320">
        <w:rPr>
          <w:rFonts w:hint="eastAsia"/>
        </w:rPr>
        <w:t>GDP</w:t>
      </w:r>
      <w:r w:rsidRPr="00CB3320">
        <w:rPr>
          <w:rFonts w:hint="eastAsia"/>
        </w:rPr>
        <w:t>地区。这部分影响可能会被</w:t>
      </w:r>
      <w:r w:rsidR="00595C73" w:rsidRPr="00CB3320">
        <w:rPr>
          <w:rFonts w:hint="eastAsia"/>
        </w:rPr>
        <w:t>虚拟变量</w:t>
      </w:r>
      <w:r w:rsidRPr="00CB3320">
        <w:rPr>
          <w:rFonts w:hint="eastAsia"/>
        </w:rPr>
        <w:t>所吸收，导致低估</w:t>
      </w:r>
      <w:proofErr w:type="gramStart"/>
      <w:r w:rsidRPr="00CB3320">
        <w:rPr>
          <w:rFonts w:hint="eastAsia"/>
        </w:rPr>
        <w:t>碳交易</w:t>
      </w:r>
      <w:proofErr w:type="gramEnd"/>
      <w:r w:rsidRPr="00CB3320">
        <w:rPr>
          <w:rFonts w:hint="eastAsia"/>
        </w:rPr>
        <w:t>的影响</w:t>
      </w:r>
      <w:r w:rsidR="007E0DA0" w:rsidRPr="00CB3320">
        <w:rPr>
          <w:rFonts w:hint="eastAsia"/>
        </w:rPr>
        <w:t>。</w:t>
      </w:r>
      <w:r w:rsidRPr="00CB3320">
        <w:rPr>
          <w:rFonts w:hint="eastAsia"/>
        </w:rPr>
        <w:t>没有</w:t>
      </w:r>
      <w:r w:rsidRPr="00CB3320">
        <w:rPr>
          <w:rFonts w:hint="eastAsia"/>
        </w:rPr>
        <w:t>PSM</w:t>
      </w:r>
      <w:r w:rsidRPr="00CB3320">
        <w:rPr>
          <w:rFonts w:hint="eastAsia"/>
        </w:rPr>
        <w:t>的结果也是如此</w:t>
      </w:r>
      <w:r w:rsidR="007E0DA0" w:rsidRPr="00CB3320">
        <w:rPr>
          <w:rFonts w:hint="eastAsia"/>
        </w:rPr>
        <w:t>：</w:t>
      </w:r>
      <w:r w:rsidRPr="00CB3320">
        <w:rPr>
          <w:rFonts w:hint="eastAsia"/>
        </w:rPr>
        <w:t>PSM</w:t>
      </w:r>
      <w:r w:rsidRPr="00CB3320">
        <w:rPr>
          <w:rFonts w:hint="eastAsia"/>
        </w:rPr>
        <w:t>对</w:t>
      </w:r>
      <w:r w:rsidR="007E0DA0" w:rsidRPr="00CB3320">
        <w:rPr>
          <w:rFonts w:hint="eastAsia"/>
        </w:rPr>
        <w:t>实验</w:t>
      </w:r>
      <w:r w:rsidRPr="00CB3320">
        <w:rPr>
          <w:rFonts w:hint="eastAsia"/>
        </w:rPr>
        <w:t>组的</w:t>
      </w:r>
      <w:r w:rsidR="00AF2E71" w:rsidRPr="00CB3320">
        <w:rPr>
          <w:rFonts w:hint="eastAsia"/>
        </w:rPr>
        <w:t>发达地</w:t>
      </w:r>
      <w:r w:rsidRPr="00CB3320">
        <w:rPr>
          <w:rFonts w:hint="eastAsia"/>
        </w:rPr>
        <w:t>区给予较低的权重，以匹配对照组的大量</w:t>
      </w:r>
      <w:r w:rsidR="00FF4AE6" w:rsidRPr="00CB3320">
        <w:rPr>
          <w:rFonts w:hint="eastAsia"/>
        </w:rPr>
        <w:t>发展中地</w:t>
      </w:r>
      <w:r w:rsidRPr="00CB3320">
        <w:rPr>
          <w:rFonts w:hint="eastAsia"/>
        </w:rPr>
        <w:t>区。然而，移除</w:t>
      </w:r>
      <w:r w:rsidRPr="00CB3320">
        <w:rPr>
          <w:rFonts w:hint="eastAsia"/>
        </w:rPr>
        <w:t>PSM</w:t>
      </w:r>
      <w:r w:rsidRPr="00CB3320">
        <w:rPr>
          <w:rFonts w:hint="eastAsia"/>
        </w:rPr>
        <w:t>会使所有城市获得相同的权重。虽然协变量可以吸收一些可观察到的效应，但模型</w:t>
      </w:r>
      <w:r w:rsidR="00FF4AE6" w:rsidRPr="00CB3320">
        <w:rPr>
          <w:rFonts w:hint="eastAsia"/>
        </w:rPr>
        <w:t>仍旧</w:t>
      </w:r>
      <w:r w:rsidRPr="00CB3320">
        <w:rPr>
          <w:rFonts w:hint="eastAsia"/>
        </w:rPr>
        <w:t>存在明显的选择性偏差，从而低估了</w:t>
      </w:r>
      <w:proofErr w:type="gramStart"/>
      <w:r w:rsidRPr="00CB3320">
        <w:rPr>
          <w:rFonts w:hint="eastAsia"/>
        </w:rPr>
        <w:t>碳交易</w:t>
      </w:r>
      <w:proofErr w:type="gramEnd"/>
      <w:r w:rsidRPr="00CB3320">
        <w:rPr>
          <w:rFonts w:hint="eastAsia"/>
        </w:rPr>
        <w:t>对全要素生产率的负面影响</w:t>
      </w:r>
      <w:r w:rsidR="00FF4AE6" w:rsidRPr="00CB3320">
        <w:rPr>
          <w:rFonts w:hint="eastAsia"/>
        </w:rPr>
        <w:t>。</w:t>
      </w:r>
    </w:p>
    <w:p w14:paraId="046BA6D5" w14:textId="1F51DD0B" w:rsidR="00B976A8" w:rsidRPr="00CB3320" w:rsidRDefault="009F7C2A" w:rsidP="009F7C2A">
      <w:pPr>
        <w:pStyle w:val="3"/>
        <w:numPr>
          <w:ilvl w:val="0"/>
          <w:numId w:val="0"/>
        </w:numPr>
        <w:spacing w:before="163" w:after="81"/>
        <w:ind w:left="709" w:hanging="709"/>
      </w:pPr>
      <w:bookmarkStart w:id="49" w:name="_Toc121778131"/>
      <w:r w:rsidRPr="00CB3320">
        <w:rPr>
          <w:rFonts w:hint="eastAsia"/>
        </w:rPr>
        <w:t>（</w:t>
      </w:r>
      <w:r w:rsidRPr="00CB3320">
        <w:rPr>
          <w:rFonts w:hint="eastAsia"/>
        </w:rPr>
        <w:t>4</w:t>
      </w:r>
      <w:r w:rsidRPr="00CB3320">
        <w:rPr>
          <w:rFonts w:hint="eastAsia"/>
        </w:rPr>
        <w:t>）</w:t>
      </w:r>
      <w:r w:rsidR="00C67E07" w:rsidRPr="00CB3320">
        <w:rPr>
          <w:rFonts w:hint="eastAsia"/>
        </w:rPr>
        <w:t>更改数据范围</w:t>
      </w:r>
      <w:bookmarkEnd w:id="49"/>
    </w:p>
    <w:p w14:paraId="792401DB" w14:textId="2483ADF4" w:rsidR="00DE711E" w:rsidRPr="00CB3320" w:rsidRDefault="00DE711E" w:rsidP="00DE711E">
      <w:pPr>
        <w:ind w:firstLine="420"/>
      </w:pPr>
      <w:r w:rsidRPr="00CB3320">
        <w:rPr>
          <w:rFonts w:hint="eastAsia"/>
        </w:rPr>
        <w:t>研究还对数据本身进行了稳健性检验，删除了前两年或最近两年的数据，重新做了识别估计，另外还删除了一线城市或直辖市的数据进行再次估算（</w:t>
      </w:r>
      <w:r w:rsidR="00A96520" w:rsidRPr="00CB3320">
        <w:fldChar w:fldCharType="begin"/>
      </w:r>
      <w:r w:rsidR="00A96520" w:rsidRPr="00CB3320">
        <w:instrText xml:space="preserve"> </w:instrText>
      </w:r>
      <w:r w:rsidR="00A96520" w:rsidRPr="00CB3320">
        <w:rPr>
          <w:rFonts w:hint="eastAsia"/>
        </w:rPr>
        <w:instrText>REF _Ref77243383 \h</w:instrText>
      </w:r>
      <w:r w:rsidR="00A96520" w:rsidRPr="00CB3320">
        <w:instrText xml:space="preserve"> </w:instrText>
      </w:r>
      <w:r w:rsidR="00A96520" w:rsidRPr="00CB3320">
        <w:fldChar w:fldCharType="separate"/>
      </w:r>
      <w:r w:rsidR="00047413" w:rsidRPr="00CB3320">
        <w:rPr>
          <w:rFonts w:hint="eastAsia"/>
        </w:rPr>
        <w:t>表</w:t>
      </w:r>
      <w:r w:rsidR="00047413" w:rsidRPr="00CB3320">
        <w:rPr>
          <w:rFonts w:hint="eastAsia"/>
        </w:rPr>
        <w:t>A.</w:t>
      </w:r>
      <w:r w:rsidR="00047413" w:rsidRPr="00CB3320">
        <w:rPr>
          <w:noProof/>
        </w:rPr>
        <w:t>4</w:t>
      </w:r>
      <w:r w:rsidR="00A96520" w:rsidRPr="00CB3320">
        <w:fldChar w:fldCharType="end"/>
      </w:r>
      <w:r w:rsidRPr="00CB3320">
        <w:rPr>
          <w:rFonts w:hint="eastAsia"/>
        </w:rPr>
        <w:t>）。这表明文章的结果也是稳健的。</w:t>
      </w:r>
    </w:p>
    <w:p w14:paraId="64271388" w14:textId="4CB959BE" w:rsidR="00B976A8" w:rsidRPr="00CB3320" w:rsidRDefault="00DE711E" w:rsidP="00DE711E">
      <w:pPr>
        <w:ind w:firstLine="420"/>
      </w:pPr>
      <w:r w:rsidRPr="00CB3320">
        <w:rPr>
          <w:rFonts w:hint="eastAsia"/>
        </w:rPr>
        <w:t>去除实验前</w:t>
      </w:r>
      <w:r w:rsidR="00B61DB2" w:rsidRPr="00CB3320">
        <w:rPr>
          <w:rFonts w:hint="eastAsia"/>
        </w:rPr>
        <w:t>时期</w:t>
      </w:r>
      <w:r w:rsidRPr="00CB3320">
        <w:rPr>
          <w:rFonts w:hint="eastAsia"/>
        </w:rPr>
        <w:t>的数据对回归结果影响不大，而去除实验后的数据（</w:t>
      </w:r>
      <w:r w:rsidR="00A96520" w:rsidRPr="00CB3320">
        <w:fldChar w:fldCharType="begin"/>
      </w:r>
      <w:r w:rsidR="00A96520" w:rsidRPr="00CB3320">
        <w:instrText xml:space="preserve"> </w:instrText>
      </w:r>
      <w:r w:rsidR="00A96520" w:rsidRPr="00CB3320">
        <w:rPr>
          <w:rFonts w:hint="eastAsia"/>
        </w:rPr>
        <w:instrText>REF _Ref77243383 \h</w:instrText>
      </w:r>
      <w:r w:rsidR="00A96520" w:rsidRPr="00CB3320">
        <w:instrText xml:space="preserve"> </w:instrText>
      </w:r>
      <w:r w:rsidR="00A96520" w:rsidRPr="00CB3320">
        <w:fldChar w:fldCharType="separate"/>
      </w:r>
      <w:r w:rsidR="00047413" w:rsidRPr="00CB3320">
        <w:rPr>
          <w:rFonts w:hint="eastAsia"/>
        </w:rPr>
        <w:t>表</w:t>
      </w:r>
      <w:r w:rsidR="00047413" w:rsidRPr="00CB3320">
        <w:rPr>
          <w:rFonts w:hint="eastAsia"/>
        </w:rPr>
        <w:t>A.</w:t>
      </w:r>
      <w:r w:rsidR="00047413" w:rsidRPr="00CB3320">
        <w:rPr>
          <w:noProof/>
        </w:rPr>
        <w:t>4</w:t>
      </w:r>
      <w:r w:rsidR="00A96520" w:rsidRPr="00CB3320">
        <w:fldChar w:fldCharType="end"/>
      </w:r>
      <w:r w:rsidRPr="00CB3320">
        <w:rPr>
          <w:rFonts w:hint="eastAsia"/>
        </w:rPr>
        <w:t>中的模型（</w:t>
      </w:r>
      <w:r w:rsidRPr="00CB3320">
        <w:rPr>
          <w:rFonts w:hint="eastAsia"/>
        </w:rPr>
        <w:t>3</w:t>
      </w:r>
      <w:r w:rsidRPr="00CB3320">
        <w:rPr>
          <w:rFonts w:hint="eastAsia"/>
        </w:rPr>
        <w:t>）和（</w:t>
      </w:r>
      <w:r w:rsidRPr="00CB3320">
        <w:rPr>
          <w:rFonts w:hint="eastAsia"/>
        </w:rPr>
        <w:t>4</w:t>
      </w:r>
      <w:r w:rsidRPr="00CB3320">
        <w:rPr>
          <w:rFonts w:hint="eastAsia"/>
        </w:rPr>
        <w:t>））影响较大。主要原因是</w:t>
      </w:r>
      <w:r w:rsidRPr="00CB3320">
        <w:rPr>
          <w:rFonts w:hint="eastAsia"/>
        </w:rPr>
        <w:t>ETS</w:t>
      </w:r>
      <w:r w:rsidRPr="00CB3320">
        <w:rPr>
          <w:rFonts w:hint="eastAsia"/>
        </w:rPr>
        <w:t>对全要素生产率的影响随着时间的推移而增大。剔除后两个时期的数据，使得</w:t>
      </w:r>
      <w:r w:rsidR="00B61DB2" w:rsidRPr="00CB3320">
        <w:rPr>
          <w:rFonts w:hint="eastAsia"/>
        </w:rPr>
        <w:t>实验</w:t>
      </w:r>
      <w:r w:rsidRPr="00CB3320">
        <w:rPr>
          <w:rFonts w:hint="eastAsia"/>
        </w:rPr>
        <w:t>组政策效应的平均值显著降低，从而使系数降低。剔除一线城市或直辖市的影响较小，主要是因为在</w:t>
      </w:r>
      <w:r w:rsidRPr="00CB3320">
        <w:rPr>
          <w:rFonts w:hint="eastAsia"/>
        </w:rPr>
        <w:t>PSM-DID</w:t>
      </w:r>
      <w:r w:rsidRPr="00CB3320">
        <w:rPr>
          <w:rFonts w:hint="eastAsia"/>
        </w:rPr>
        <w:t>模型中，这些城市的权重较低。因此，剔除权重较低的样本不会对模型的回归结果产生显著影响。</w:t>
      </w:r>
    </w:p>
    <w:p w14:paraId="1287C40C" w14:textId="00057391" w:rsidR="00B976A8" w:rsidRPr="00CB3320" w:rsidRDefault="009F7C2A" w:rsidP="009F7C2A">
      <w:pPr>
        <w:pStyle w:val="3"/>
        <w:numPr>
          <w:ilvl w:val="0"/>
          <w:numId w:val="0"/>
        </w:numPr>
        <w:spacing w:before="163" w:after="81"/>
        <w:ind w:left="709" w:hanging="709"/>
      </w:pPr>
      <w:bookmarkStart w:id="50" w:name="_Toc121778132"/>
      <w:bookmarkStart w:id="51" w:name="_Hlk121756414"/>
      <w:r w:rsidRPr="00CB3320">
        <w:rPr>
          <w:rFonts w:hint="eastAsia"/>
        </w:rPr>
        <w:t>（</w:t>
      </w:r>
      <w:r w:rsidRPr="00CB3320">
        <w:rPr>
          <w:rFonts w:hint="eastAsia"/>
        </w:rPr>
        <w:t>5</w:t>
      </w:r>
      <w:r w:rsidRPr="00CB3320">
        <w:rPr>
          <w:rFonts w:hint="eastAsia"/>
        </w:rPr>
        <w:t>）</w:t>
      </w:r>
      <w:r w:rsidR="00183E23" w:rsidRPr="00CB3320">
        <w:rPr>
          <w:rFonts w:hint="eastAsia"/>
        </w:rPr>
        <w:t>数据预处理方式</w:t>
      </w:r>
      <w:bookmarkEnd w:id="50"/>
    </w:p>
    <w:p w14:paraId="1ADA0771" w14:textId="19CE8E70" w:rsidR="00B976A8" w:rsidRPr="00CB3320" w:rsidRDefault="00C309AD" w:rsidP="00B976A8">
      <w:pPr>
        <w:ind w:firstLine="420"/>
      </w:pPr>
      <w:r w:rsidRPr="00CB3320">
        <w:rPr>
          <w:rFonts w:hint="eastAsia"/>
        </w:rPr>
        <w:t>在回归分析中，我们对所有协变量都采用了一阶差分，这主要是由于本文</w:t>
      </w:r>
      <w:r w:rsidRPr="00CB3320">
        <w:rPr>
          <w:rFonts w:hint="eastAsia"/>
        </w:rPr>
        <w:t>TFP</w:t>
      </w:r>
      <w:r w:rsidRPr="00CB3320">
        <w:rPr>
          <w:rFonts w:hint="eastAsia"/>
        </w:rPr>
        <w:t>指数的特点。本文构建的</w:t>
      </w:r>
      <w:r w:rsidRPr="00CB3320">
        <w:rPr>
          <w:rFonts w:hint="eastAsia"/>
        </w:rPr>
        <w:t>Malmquist</w:t>
      </w:r>
      <w:r w:rsidRPr="00CB3320">
        <w:rPr>
          <w:rFonts w:hint="eastAsia"/>
        </w:rPr>
        <w:t>生产率指数是各时期全要素生产率与前一时期全要素生产率的比较值。因此，在</w:t>
      </w:r>
      <w:r w:rsidRPr="00CB3320">
        <w:rPr>
          <w:rFonts w:hint="eastAsia"/>
        </w:rPr>
        <w:t>PSM</w:t>
      </w:r>
      <w:r w:rsidR="00183E23" w:rsidRPr="00CB3320">
        <w:rPr>
          <w:rFonts w:hint="eastAsia"/>
        </w:rPr>
        <w:t>-</w:t>
      </w:r>
      <w:r w:rsidR="00183E23" w:rsidRPr="00CB3320">
        <w:rPr>
          <w:rFonts w:hint="eastAsia"/>
        </w:rPr>
        <w:t>加权</w:t>
      </w:r>
      <w:r w:rsidRPr="00CB3320">
        <w:rPr>
          <w:rFonts w:hint="eastAsia"/>
        </w:rPr>
        <w:t>DID</w:t>
      </w:r>
      <w:r w:rsidRPr="00CB3320">
        <w:rPr>
          <w:rFonts w:hint="eastAsia"/>
        </w:rPr>
        <w:t>模型</w:t>
      </w:r>
      <w:r w:rsidR="00183E23" w:rsidRPr="00CB3320">
        <w:rPr>
          <w:rFonts w:hint="eastAsia"/>
        </w:rPr>
        <w:t>，我们使用的</w:t>
      </w:r>
      <w:r w:rsidRPr="00CB3320">
        <w:rPr>
          <w:rFonts w:hint="eastAsia"/>
        </w:rPr>
        <w:t>协变量</w:t>
      </w:r>
      <w:r w:rsidR="00183E23" w:rsidRPr="00CB3320">
        <w:rPr>
          <w:rFonts w:hint="eastAsia"/>
        </w:rPr>
        <w:t>均为一阶</w:t>
      </w:r>
      <w:r w:rsidR="000C4799" w:rsidRPr="00CB3320">
        <w:rPr>
          <w:rFonts w:hint="eastAsia"/>
        </w:rPr>
        <w:t>差分</w:t>
      </w:r>
      <w:r w:rsidR="00183E23" w:rsidRPr="00CB3320">
        <w:rPr>
          <w:rFonts w:hint="eastAsia"/>
        </w:rPr>
        <w:t>的变量</w:t>
      </w:r>
      <w:r w:rsidRPr="00CB3320">
        <w:rPr>
          <w:rFonts w:hint="eastAsia"/>
        </w:rPr>
        <w:t>。</w:t>
      </w:r>
      <w:r w:rsidR="00183E23" w:rsidRPr="00CB3320">
        <w:rPr>
          <w:rFonts w:hint="eastAsia"/>
        </w:rPr>
        <w:t>为了保证一般性，</w:t>
      </w:r>
      <w:r w:rsidRPr="00CB3320">
        <w:rPr>
          <w:rFonts w:hint="eastAsia"/>
        </w:rPr>
        <w:t>我们考虑</w:t>
      </w:r>
      <w:r w:rsidR="00183E23" w:rsidRPr="00CB3320">
        <w:rPr>
          <w:rFonts w:hint="eastAsia"/>
        </w:rPr>
        <w:t>使用</w:t>
      </w:r>
      <w:r w:rsidR="00183E23" w:rsidRPr="00CB3320">
        <w:rPr>
          <w:rFonts w:hint="eastAsia"/>
        </w:rPr>
        <w:t>T</w:t>
      </w:r>
      <w:r w:rsidR="00183E23" w:rsidRPr="00CB3320">
        <w:t>FP</w:t>
      </w:r>
      <w:r w:rsidR="00183E23" w:rsidRPr="00CB3320">
        <w:rPr>
          <w:rFonts w:hint="eastAsia"/>
        </w:rPr>
        <w:t>的累计值，以及</w:t>
      </w:r>
      <w:r w:rsidRPr="00CB3320">
        <w:rPr>
          <w:rFonts w:hint="eastAsia"/>
        </w:rPr>
        <w:t>使用</w:t>
      </w:r>
      <w:r w:rsidR="00183E23" w:rsidRPr="00CB3320">
        <w:rPr>
          <w:rFonts w:hint="eastAsia"/>
        </w:rPr>
        <w:t>非差分的</w:t>
      </w:r>
      <w:r w:rsidRPr="00CB3320">
        <w:rPr>
          <w:rFonts w:hint="eastAsia"/>
        </w:rPr>
        <w:t>协变量进行回归（</w:t>
      </w:r>
      <w:r w:rsidR="00A96520" w:rsidRPr="00CB3320">
        <w:fldChar w:fldCharType="begin"/>
      </w:r>
      <w:r w:rsidR="00A96520" w:rsidRPr="00CB3320">
        <w:instrText xml:space="preserve"> </w:instrText>
      </w:r>
      <w:r w:rsidR="00A96520" w:rsidRPr="00CB3320">
        <w:rPr>
          <w:rFonts w:hint="eastAsia"/>
        </w:rPr>
        <w:instrText>REF _Ref77243401 \h</w:instrText>
      </w:r>
      <w:r w:rsidR="00A96520" w:rsidRPr="00CB3320">
        <w:instrText xml:space="preserve"> </w:instrText>
      </w:r>
      <w:r w:rsidR="00A96520" w:rsidRPr="00CB3320">
        <w:fldChar w:fldCharType="separate"/>
      </w:r>
      <w:r w:rsidR="00183E23" w:rsidRPr="00CB3320">
        <w:rPr>
          <w:rFonts w:hint="eastAsia"/>
        </w:rPr>
        <w:t>表</w:t>
      </w:r>
      <w:r w:rsidR="00183E23" w:rsidRPr="00CB3320">
        <w:rPr>
          <w:rFonts w:hint="eastAsia"/>
        </w:rPr>
        <w:t>A.</w:t>
      </w:r>
      <w:r w:rsidR="00183E23" w:rsidRPr="00CB3320">
        <w:rPr>
          <w:noProof/>
        </w:rPr>
        <w:t>5</w:t>
      </w:r>
      <w:r w:rsidR="00A96520" w:rsidRPr="00CB3320">
        <w:fldChar w:fldCharType="end"/>
      </w:r>
      <w:r w:rsidRPr="00CB3320">
        <w:rPr>
          <w:rFonts w:hint="eastAsia"/>
        </w:rPr>
        <w:t>）</w:t>
      </w:r>
      <w:r w:rsidR="00183E23" w:rsidRPr="00CB3320">
        <w:rPr>
          <w:rFonts w:hint="eastAsia"/>
        </w:rPr>
        <w:t>，结果依然稳健</w:t>
      </w:r>
      <w:r w:rsidRPr="00CB3320">
        <w:rPr>
          <w:rFonts w:hint="eastAsia"/>
        </w:rPr>
        <w:t>。</w:t>
      </w:r>
    </w:p>
    <w:p w14:paraId="7AA9E8E1" w14:textId="635801D0" w:rsidR="005B1161" w:rsidRPr="00CB3320" w:rsidRDefault="005B1161" w:rsidP="005B1161">
      <w:pPr>
        <w:pStyle w:val="1"/>
      </w:pPr>
      <w:bookmarkStart w:id="52" w:name="_Ref75508455"/>
      <w:bookmarkStart w:id="53" w:name="_Toc121778133"/>
      <w:bookmarkStart w:id="54" w:name="_Hlk121752604"/>
      <w:bookmarkEnd w:id="51"/>
      <w:r w:rsidRPr="00CB3320">
        <w:rPr>
          <w:rFonts w:hint="eastAsia"/>
        </w:rPr>
        <w:t>五、进一步分析：空间相关性</w:t>
      </w:r>
      <w:bookmarkEnd w:id="52"/>
      <w:r w:rsidRPr="00CB3320">
        <w:rPr>
          <w:rFonts w:hint="eastAsia"/>
        </w:rPr>
        <w:t>、技术溢出与产业转移</w:t>
      </w:r>
      <w:bookmarkEnd w:id="53"/>
    </w:p>
    <w:bookmarkEnd w:id="54"/>
    <w:p w14:paraId="76012028" w14:textId="50DC523E" w:rsidR="00A30FB0" w:rsidRPr="00CB3320" w:rsidRDefault="00A30FB0" w:rsidP="00A30FB0">
      <w:pPr>
        <w:ind w:firstLine="420"/>
      </w:pPr>
      <w:r w:rsidRPr="00CB3320">
        <w:rPr>
          <w:rFonts w:hint="eastAsia"/>
        </w:rPr>
        <w:t>无论我们如何进行“完美”匹配来分析</w:t>
      </w:r>
      <w:r w:rsidRPr="00CB3320">
        <w:rPr>
          <w:rFonts w:hint="eastAsia"/>
        </w:rPr>
        <w:t>ETS</w:t>
      </w:r>
      <w:r w:rsidRPr="00CB3320">
        <w:rPr>
          <w:rFonts w:hint="eastAsia"/>
        </w:rPr>
        <w:t>对</w:t>
      </w:r>
      <w:r w:rsidRPr="00CB3320">
        <w:rPr>
          <w:rFonts w:hint="eastAsia"/>
        </w:rPr>
        <w:t>TFP</w:t>
      </w:r>
      <w:r w:rsidRPr="00CB3320">
        <w:rPr>
          <w:rFonts w:hint="eastAsia"/>
        </w:rPr>
        <w:t>的影响，比较的关键是</w:t>
      </w:r>
      <w:r w:rsidR="00DE6E72" w:rsidRPr="00CB3320">
        <w:rPr>
          <w:rFonts w:hint="eastAsia"/>
        </w:rPr>
        <w:t>如何处理</w:t>
      </w:r>
      <w:r w:rsidRPr="00CB3320">
        <w:rPr>
          <w:rFonts w:hint="eastAsia"/>
        </w:rPr>
        <w:t>实验组和对照组之间的差异。在理想状态下，</w:t>
      </w:r>
      <w:r w:rsidR="00917F5B" w:rsidRPr="00CB3320">
        <w:rPr>
          <w:rFonts w:hint="eastAsia"/>
        </w:rPr>
        <w:t>组内观测值之间没有显著的相关性（虽然我们报告的是聚类到省份的稳健标准差，但我们不能完全排除这种干扰），</w:t>
      </w:r>
      <w:r w:rsidRPr="00CB3320">
        <w:rPr>
          <w:rFonts w:hint="eastAsia"/>
        </w:rPr>
        <w:t>我们可以得出一个</w:t>
      </w:r>
      <w:r w:rsidR="004E0EDD" w:rsidRPr="00CB3320">
        <w:rPr>
          <w:rFonts w:hint="eastAsia"/>
        </w:rPr>
        <w:t>相对</w:t>
      </w:r>
      <w:r w:rsidRPr="00CB3320">
        <w:rPr>
          <w:rFonts w:hint="eastAsia"/>
        </w:rPr>
        <w:t>精确的结论。更重要的是，我们需要假设</w:t>
      </w:r>
      <w:r w:rsidR="004E0EDD" w:rsidRPr="00CB3320">
        <w:rPr>
          <w:rFonts w:hint="eastAsia"/>
        </w:rPr>
        <w:t>实验组和对照组</w:t>
      </w:r>
      <w:r w:rsidRPr="00CB3320">
        <w:rPr>
          <w:rFonts w:hint="eastAsia"/>
        </w:rPr>
        <w:t>之间没有相关性，即</w:t>
      </w:r>
      <w:proofErr w:type="gramStart"/>
      <w:r w:rsidRPr="00CB3320">
        <w:rPr>
          <w:rFonts w:hint="eastAsia"/>
        </w:rPr>
        <w:t>碳交易</w:t>
      </w:r>
      <w:proofErr w:type="gramEnd"/>
      <w:r w:rsidR="004E0EDD" w:rsidRPr="00CB3320">
        <w:rPr>
          <w:rFonts w:hint="eastAsia"/>
        </w:rPr>
        <w:t>试点</w:t>
      </w:r>
      <w:r w:rsidRPr="00CB3320">
        <w:rPr>
          <w:rFonts w:hint="eastAsia"/>
        </w:rPr>
        <w:t>不能影响非试点地区。然而，现实并非如此。</w:t>
      </w:r>
      <w:r w:rsidR="00506B20" w:rsidRPr="00CB3320">
        <w:rPr>
          <w:rFonts w:hint="eastAsia"/>
        </w:rPr>
        <w:t>因此，根据本文理论框架的经济学分析，本文考虑构建具有空间相关性的实证模型进行进一步分析。</w:t>
      </w:r>
      <w:r w:rsidR="00B44A4B" w:rsidRPr="00CB3320">
        <w:rPr>
          <w:rFonts w:hint="eastAsia"/>
        </w:rPr>
        <w:t>并且对可能的影响机理进行简单的定量分析。</w:t>
      </w:r>
    </w:p>
    <w:p w14:paraId="44378FF6" w14:textId="74AFEC54" w:rsidR="00477D8D" w:rsidRPr="00CB3320" w:rsidRDefault="00F13EAB" w:rsidP="00F13EAB">
      <w:pPr>
        <w:pStyle w:val="2"/>
        <w:numPr>
          <w:ilvl w:val="0"/>
          <w:numId w:val="0"/>
        </w:numPr>
        <w:spacing w:before="163" w:after="81"/>
      </w:pPr>
      <w:bookmarkStart w:id="55" w:name="_Toc121778134"/>
      <w:r w:rsidRPr="00CB3320">
        <w:rPr>
          <w:rFonts w:hint="eastAsia"/>
        </w:rPr>
        <w:t>（一）</w:t>
      </w:r>
      <w:r w:rsidR="00133F1F" w:rsidRPr="00CB3320">
        <w:rPr>
          <w:rFonts w:hint="eastAsia"/>
        </w:rPr>
        <w:t>引力模型与空间面板杜宾模型</w:t>
      </w:r>
      <w:bookmarkEnd w:id="55"/>
    </w:p>
    <w:p w14:paraId="2446B07F" w14:textId="32ACF121" w:rsidR="00477D8D" w:rsidRPr="00CB3320" w:rsidRDefault="004B7569" w:rsidP="00CA0E4B">
      <w:pPr>
        <w:ind w:firstLine="420"/>
      </w:pPr>
      <w:r w:rsidRPr="00CB3320">
        <w:rPr>
          <w:rFonts w:hint="eastAsia"/>
        </w:rPr>
        <w:t>本文</w:t>
      </w:r>
      <w:r w:rsidR="00CA0E4B" w:rsidRPr="00CB3320">
        <w:rPr>
          <w:rFonts w:hint="eastAsia"/>
        </w:rPr>
        <w:t>利用</w:t>
      </w:r>
      <w:r w:rsidRPr="00CB3320">
        <w:rPr>
          <w:rFonts w:hint="eastAsia"/>
        </w:rPr>
        <w:t>引力</w:t>
      </w:r>
      <w:r w:rsidR="00CA0E4B" w:rsidRPr="00CB3320">
        <w:rPr>
          <w:rFonts w:hint="eastAsia"/>
        </w:rPr>
        <w:t>模型构造</w:t>
      </w:r>
      <w:r w:rsidR="001A0FD6" w:rsidRPr="00CB3320">
        <w:rPr>
          <w:rFonts w:hint="eastAsia"/>
        </w:rPr>
        <w:t>全要素生产率的</w:t>
      </w:r>
      <w:r w:rsidR="00CA0E4B" w:rsidRPr="00CB3320">
        <w:rPr>
          <w:rFonts w:hint="eastAsia"/>
        </w:rPr>
        <w:t>空间权重矩阵。</w:t>
      </w:r>
      <w:r w:rsidR="009E0E22" w:rsidRPr="00CB3320">
        <w:rPr>
          <w:rFonts w:hint="eastAsia"/>
        </w:rPr>
        <w:t>因为，</w:t>
      </w:r>
      <w:r w:rsidR="00CA0E4B" w:rsidRPr="00CB3320">
        <w:rPr>
          <w:rFonts w:hint="eastAsia"/>
        </w:rPr>
        <w:t>相邻空间矩阵</w:t>
      </w:r>
      <w:proofErr w:type="gramStart"/>
      <w:r w:rsidR="00CA0E4B" w:rsidRPr="00CB3320">
        <w:rPr>
          <w:rFonts w:hint="eastAsia"/>
        </w:rPr>
        <w:t>假设非</w:t>
      </w:r>
      <w:proofErr w:type="gramEnd"/>
      <w:r w:rsidR="00CA0E4B" w:rsidRPr="00CB3320">
        <w:rPr>
          <w:rFonts w:hint="eastAsia"/>
        </w:rPr>
        <w:t>相邻城市之间不存在相关性，假设性太强</w:t>
      </w:r>
      <w:r w:rsidR="009E0E22" w:rsidRPr="00CB3320">
        <w:rPr>
          <w:rFonts w:hint="eastAsia"/>
        </w:rPr>
        <w:t>；</w:t>
      </w:r>
      <w:r w:rsidR="00CA0E4B" w:rsidRPr="00CB3320">
        <w:rPr>
          <w:rFonts w:hint="eastAsia"/>
        </w:rPr>
        <w:t>地理距离矩阵没有考虑经济体量造成的双向影响。引力模型构建的</w:t>
      </w:r>
      <w:r w:rsidR="009E0E22" w:rsidRPr="00CB3320">
        <w:rPr>
          <w:rFonts w:hint="eastAsia"/>
        </w:rPr>
        <w:lastRenderedPageBreak/>
        <w:t>空间权重</w:t>
      </w:r>
      <w:r w:rsidR="00CA0E4B" w:rsidRPr="00CB3320">
        <w:rPr>
          <w:rFonts w:hint="eastAsia"/>
        </w:rPr>
        <w:t>矩阵既考虑了经济总量，又考虑了地理距离，</w:t>
      </w:r>
      <w:r w:rsidR="009E0E22" w:rsidRPr="00CB3320">
        <w:rPr>
          <w:rFonts w:hint="eastAsia"/>
        </w:rPr>
        <w:t>同时没有</w:t>
      </w:r>
      <w:proofErr w:type="gramStart"/>
      <w:r w:rsidR="00CA0E4B" w:rsidRPr="00CB3320">
        <w:rPr>
          <w:rFonts w:hint="eastAsia"/>
        </w:rPr>
        <w:t>假设非</w:t>
      </w:r>
      <w:proofErr w:type="gramEnd"/>
      <w:r w:rsidR="00CA0E4B" w:rsidRPr="00CB3320">
        <w:rPr>
          <w:rFonts w:hint="eastAsia"/>
        </w:rPr>
        <w:t>相邻城市没有空间溢出效应。两个城市之间的“吸引力”由两个城市的</w:t>
      </w:r>
      <w:r w:rsidR="00CA0E4B" w:rsidRPr="00CB3320">
        <w:rPr>
          <w:rFonts w:hint="eastAsia"/>
        </w:rPr>
        <w:t>GDP</w:t>
      </w:r>
      <w:r w:rsidR="00CA0E4B" w:rsidRPr="00CB3320">
        <w:rPr>
          <w:rFonts w:hint="eastAsia"/>
        </w:rPr>
        <w:t>和地理距离倒数的平方决定，如下所示：</w:t>
      </w:r>
    </w:p>
    <w:p w14:paraId="3F6F48BF" w14:textId="4A6D277D" w:rsidR="00BE40A4" w:rsidRPr="00CB3320" w:rsidRDefault="00BE40A4" w:rsidP="00C422C0">
      <w:pPr>
        <w:pStyle w:val="a3"/>
      </w:pPr>
      <w:r w:rsidRPr="00CB3320">
        <w:tab/>
      </w:r>
      <m:oMath>
        <m:sSub>
          <m:sSubPr>
            <m:ctrlPr>
              <w:rPr>
                <w:rFonts w:ascii="Cambria Math" w:hAnsi="Cambria Math"/>
              </w:rPr>
            </m:ctrlPr>
          </m:sSubPr>
          <m:e>
            <m:r>
              <w:rPr>
                <w:rFonts w:ascii="Cambria Math" w:hAnsi="Cambria Math"/>
              </w:rPr>
              <m:t>Gravity</m:t>
            </m:r>
          </m:e>
          <m:sub>
            <m:r>
              <w:rPr>
                <w:rFonts w:ascii="Cambria Math" w:hAnsi="Cambria Math"/>
              </w:rPr>
              <m:t>ijt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RGDP</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RGDP</m:t>
                </m:r>
              </m:e>
              <m:sub>
                <m:r>
                  <w:rPr>
                    <w:rFonts w:ascii="Cambria Math" w:hAnsi="Cambria Math"/>
                  </w:rPr>
                  <m:t>jt</m:t>
                </m:r>
              </m:sub>
            </m:sSub>
          </m:num>
          <m:den>
            <m:sSup>
              <m:sSupPr>
                <m:ctrlPr>
                  <w:rPr>
                    <w:rFonts w:ascii="Cambria Math" w:hAnsi="Cambria Math"/>
                  </w:rPr>
                </m:ctrlPr>
              </m:sSupPr>
              <m:e>
                <m:sSub>
                  <m:sSubPr>
                    <m:ctrlPr>
                      <w:rPr>
                        <w:rFonts w:ascii="Cambria Math" w:hAnsi="Cambria Math"/>
                      </w:rPr>
                    </m:ctrlPr>
                  </m:sSubPr>
                  <m:e>
                    <m:r>
                      <w:rPr>
                        <w:rFonts w:ascii="Cambria Math" w:hAnsi="Cambria Math"/>
                      </w:rPr>
                      <m:t>Distance</m:t>
                    </m:r>
                  </m:e>
                  <m:sub>
                    <m:r>
                      <w:rPr>
                        <w:rFonts w:ascii="Cambria Math" w:hAnsi="Cambria Math"/>
                      </w:rPr>
                      <m:t>ij</m:t>
                    </m:r>
                  </m:sub>
                </m:sSub>
              </m:e>
              <m:sup>
                <m:r>
                  <m:rPr>
                    <m:sty m:val="p"/>
                  </m:rPr>
                  <w:rPr>
                    <w:rFonts w:ascii="Cambria Math" w:hAnsi="Cambria Math"/>
                  </w:rPr>
                  <m:t>2</m:t>
                </m:r>
              </m:sup>
            </m:sSup>
          </m:den>
        </m:f>
      </m:oMath>
      <w:r w:rsidRPr="00CB3320">
        <w:tab/>
        <w:t>(</w:t>
      </w:r>
      <w:r w:rsidR="00137CE2" w:rsidRPr="00CB3320">
        <w:rPr>
          <w:noProof/>
        </w:rPr>
        <w:fldChar w:fldCharType="begin"/>
      </w:r>
      <w:r w:rsidR="00137CE2" w:rsidRPr="00CB3320">
        <w:rPr>
          <w:noProof/>
        </w:rPr>
        <w:instrText xml:space="preserve"> SEQ ( \* ARABIC </w:instrText>
      </w:r>
      <w:r w:rsidR="00137CE2" w:rsidRPr="00CB3320">
        <w:rPr>
          <w:noProof/>
        </w:rPr>
        <w:fldChar w:fldCharType="separate"/>
      </w:r>
      <w:r w:rsidR="00047413" w:rsidRPr="00CB3320">
        <w:rPr>
          <w:noProof/>
        </w:rPr>
        <w:t>9</w:t>
      </w:r>
      <w:r w:rsidR="00137CE2" w:rsidRPr="00CB3320">
        <w:rPr>
          <w:noProof/>
        </w:rPr>
        <w:fldChar w:fldCharType="end"/>
      </w:r>
      <w:r w:rsidRPr="00CB3320">
        <w:t>)</w:t>
      </w:r>
    </w:p>
    <w:p w14:paraId="7763AC59" w14:textId="5F36FD1C" w:rsidR="00CA0E4B" w:rsidRPr="00CB3320" w:rsidRDefault="00BE40A4" w:rsidP="00CA0E4B">
      <w:pPr>
        <w:ind w:firstLine="420"/>
      </w:pPr>
      <w:r w:rsidRPr="00CB3320">
        <w:rPr>
          <w:rFonts w:hint="eastAsia"/>
        </w:rPr>
        <w:t>其中，</w:t>
      </w:r>
      <m:oMath>
        <m:sSub>
          <m:sSubPr>
            <m:ctrlPr>
              <w:rPr>
                <w:rFonts w:ascii="Cambria Math" w:hAnsi="Cambria Math" w:cs="Times New Roman"/>
                <w:i/>
                <w:szCs w:val="28"/>
              </w:rPr>
            </m:ctrlPr>
          </m:sSubPr>
          <m:e>
            <m:r>
              <w:rPr>
                <w:rFonts w:ascii="Cambria Math" w:hAnsi="Cambria Math"/>
              </w:rPr>
              <m:t>RGDP</m:t>
            </m:r>
          </m:e>
          <m:sub>
            <m:r>
              <w:rPr>
                <w:rFonts w:ascii="Cambria Math" w:hAnsi="Cambria Math"/>
              </w:rPr>
              <m:t>it</m:t>
            </m:r>
          </m:sub>
        </m:sSub>
      </m:oMath>
      <w:r w:rsidRPr="00CB3320">
        <w:rPr>
          <w:rFonts w:hint="eastAsia"/>
        </w:rPr>
        <w:t>和</w:t>
      </w:r>
      <m:oMath>
        <m:sSub>
          <m:sSubPr>
            <m:ctrlPr>
              <w:rPr>
                <w:rFonts w:ascii="Cambria Math" w:hAnsi="Cambria Math" w:cs="Times New Roman"/>
                <w:i/>
                <w:szCs w:val="28"/>
              </w:rPr>
            </m:ctrlPr>
          </m:sSubPr>
          <m:e>
            <m:r>
              <w:rPr>
                <w:rFonts w:ascii="Cambria Math" w:hAnsi="Cambria Math"/>
              </w:rPr>
              <m:t>RGDP</m:t>
            </m:r>
          </m:e>
          <m:sub>
            <m:r>
              <w:rPr>
                <w:rFonts w:ascii="Cambria Math" w:hAnsi="Cambria Math"/>
              </w:rPr>
              <m:t>jt</m:t>
            </m:r>
          </m:sub>
        </m:sSub>
      </m:oMath>
      <w:r w:rsidRPr="00CB3320">
        <w:rPr>
          <w:rFonts w:hint="eastAsia"/>
        </w:rPr>
        <w:t>是</w:t>
      </w:r>
      <w:r w:rsidRPr="00CB3320">
        <w:rPr>
          <w:rFonts w:hint="eastAsia"/>
        </w:rPr>
        <w:t>t</w:t>
      </w:r>
      <w:r w:rsidR="00570D13" w:rsidRPr="00CB3320">
        <w:rPr>
          <w:rFonts w:hint="eastAsia"/>
        </w:rPr>
        <w:t>时期</w:t>
      </w:r>
      <w:proofErr w:type="spellStart"/>
      <w:r w:rsidRPr="00CB3320">
        <w:rPr>
          <w:rFonts w:hint="eastAsia"/>
        </w:rPr>
        <w:t>i</w:t>
      </w:r>
      <w:proofErr w:type="spellEnd"/>
      <w:r w:rsidRPr="00CB3320">
        <w:rPr>
          <w:rFonts w:hint="eastAsia"/>
        </w:rPr>
        <w:t>和</w:t>
      </w:r>
      <w:r w:rsidRPr="00CB3320">
        <w:rPr>
          <w:rFonts w:hint="eastAsia"/>
        </w:rPr>
        <w:t>j</w:t>
      </w:r>
      <w:r w:rsidRPr="00CB3320">
        <w:rPr>
          <w:rFonts w:hint="eastAsia"/>
        </w:rPr>
        <w:t>市的实际</w:t>
      </w:r>
      <w:r w:rsidRPr="00CB3320">
        <w:rPr>
          <w:rFonts w:hint="eastAsia"/>
        </w:rPr>
        <w:t>GDP</w:t>
      </w:r>
      <w:r w:rsidR="00384679" w:rsidRPr="00CB3320">
        <w:rPr>
          <w:rFonts w:hint="eastAsia"/>
        </w:rPr>
        <w:t>。</w:t>
      </w:r>
      <m:oMath>
        <m:sSub>
          <m:sSubPr>
            <m:ctrlPr>
              <w:rPr>
                <w:rFonts w:ascii="Cambria Math" w:hAnsi="Cambria Math" w:cs="Times New Roman"/>
                <w:i/>
                <w:szCs w:val="28"/>
              </w:rPr>
            </m:ctrlPr>
          </m:sSubPr>
          <m:e>
            <m:r>
              <w:rPr>
                <w:rFonts w:ascii="Cambria Math" w:hAnsi="Cambria Math"/>
              </w:rPr>
              <m:t>Distance</m:t>
            </m:r>
          </m:e>
          <m:sub>
            <m:r>
              <w:rPr>
                <w:rFonts w:ascii="Cambria Math" w:hAnsi="Cambria Math"/>
              </w:rPr>
              <m:t>ij</m:t>
            </m:r>
          </m:sub>
        </m:sSub>
      </m:oMath>
      <w:r w:rsidRPr="00CB3320">
        <w:rPr>
          <w:rFonts w:hint="eastAsia"/>
        </w:rPr>
        <w:t>是两个城市之间的欧几里德距离</w:t>
      </w:r>
      <w:r w:rsidR="00384679" w:rsidRPr="00CB3320">
        <w:rPr>
          <w:rFonts w:hint="eastAsia"/>
        </w:rPr>
        <w:t>。</w:t>
      </w:r>
      <m:oMath>
        <m:sSub>
          <m:sSubPr>
            <m:ctrlPr>
              <w:rPr>
                <w:rFonts w:ascii="Cambria Math" w:hAnsi="Cambria Math" w:cs="Times New Roman"/>
                <w:szCs w:val="28"/>
              </w:rPr>
            </m:ctrlPr>
          </m:sSubPr>
          <m:e>
            <m:r>
              <w:rPr>
                <w:rFonts w:ascii="Cambria Math" w:hAnsi="Cambria Math"/>
              </w:rPr>
              <m:t>Gravity</m:t>
            </m:r>
          </m:e>
          <m:sub>
            <m:r>
              <w:rPr>
                <w:rFonts w:ascii="Cambria Math" w:hAnsi="Cambria Math"/>
              </w:rPr>
              <m:t>ijt</m:t>
            </m:r>
          </m:sub>
        </m:sSub>
      </m:oMath>
      <w:r w:rsidRPr="00CB3320">
        <w:rPr>
          <w:rFonts w:hint="eastAsia"/>
        </w:rPr>
        <w:t>是两个城市之间的吸引力</w:t>
      </w:r>
      <w:r w:rsidR="00384679" w:rsidRPr="00CB3320">
        <w:rPr>
          <w:rFonts w:hint="eastAsia"/>
        </w:rPr>
        <w:t>，对其进行</w:t>
      </w:r>
      <w:r w:rsidRPr="00CB3320">
        <w:rPr>
          <w:rFonts w:hint="eastAsia"/>
        </w:rPr>
        <w:t>行标准化后得到空间权重矩阵。</w:t>
      </w:r>
      <w:r w:rsidR="001A0FD6" w:rsidRPr="00CB3320">
        <w:rPr>
          <w:rFonts w:hint="eastAsia"/>
        </w:rPr>
        <w:t>另外，由于</w:t>
      </w:r>
      <w:proofErr w:type="gramStart"/>
      <w:r w:rsidR="001A0FD6" w:rsidRPr="00CB3320">
        <w:rPr>
          <w:rFonts w:hint="eastAsia"/>
        </w:rPr>
        <w:t>碳交易</w:t>
      </w:r>
      <w:proofErr w:type="gramEnd"/>
      <w:r w:rsidR="001A0FD6" w:rsidRPr="00CB3320">
        <w:rPr>
          <w:rFonts w:hint="eastAsia"/>
        </w:rPr>
        <w:t>试点与不同地区的经济表现没有直接关系，所以不太适合使用引力模型作为权重，因此，我们对空间</w:t>
      </w:r>
      <w:proofErr w:type="gramStart"/>
      <w:r w:rsidR="001A0FD6" w:rsidRPr="00CB3320">
        <w:rPr>
          <w:rFonts w:hint="eastAsia"/>
        </w:rPr>
        <w:t>杜宾项的</w:t>
      </w:r>
      <w:proofErr w:type="gramEnd"/>
      <w:r w:rsidR="001A0FD6" w:rsidRPr="00CB3320">
        <w:rPr>
          <w:rFonts w:hint="eastAsia"/>
        </w:rPr>
        <w:t>权重矩阵采用的是空间距离权重矩阵（空间距离的倒数）。</w:t>
      </w:r>
    </w:p>
    <w:p w14:paraId="02F9CC00" w14:textId="5421E0C4" w:rsidR="00CA0E4B" w:rsidRPr="00CB3320" w:rsidRDefault="00565D95" w:rsidP="00CA0E4B">
      <w:pPr>
        <w:ind w:firstLine="420"/>
      </w:pPr>
      <w:r w:rsidRPr="00CB3320">
        <w:rPr>
          <w:rFonts w:hint="eastAsia"/>
        </w:rPr>
        <w:t>在</w:t>
      </w:r>
      <w:r w:rsidR="001A0FD6" w:rsidRPr="00CB3320">
        <w:rPr>
          <w:rFonts w:hint="eastAsia"/>
        </w:rPr>
        <w:t>完成了</w:t>
      </w:r>
      <w:r w:rsidRPr="00CB3320">
        <w:rPr>
          <w:rFonts w:hint="eastAsia"/>
        </w:rPr>
        <w:t>平衡面板之后，我们仍然对新数据进行了三个阶段的</w:t>
      </w:r>
      <w:r w:rsidRPr="00CB3320">
        <w:rPr>
          <w:rFonts w:hint="eastAsia"/>
        </w:rPr>
        <w:t>PSM</w:t>
      </w:r>
      <w:r w:rsidRPr="00CB3320">
        <w:rPr>
          <w:rFonts w:hint="eastAsia"/>
        </w:rPr>
        <w:t>匹配，并对三期权重取了平均值。</w:t>
      </w:r>
      <w:r w:rsidR="00903EC1" w:rsidRPr="00CB3320">
        <w:rPr>
          <w:rFonts w:hint="eastAsia"/>
        </w:rPr>
        <w:t>然后</w:t>
      </w:r>
      <w:r w:rsidRPr="00CB3320">
        <w:rPr>
          <w:rFonts w:hint="eastAsia"/>
        </w:rPr>
        <w:t>，</w:t>
      </w:r>
      <w:r w:rsidR="00903EC1" w:rsidRPr="00CB3320">
        <w:rPr>
          <w:rFonts w:hint="eastAsia"/>
        </w:rPr>
        <w:t>文章</w:t>
      </w:r>
      <w:r w:rsidRPr="00CB3320">
        <w:rPr>
          <w:rFonts w:hint="eastAsia"/>
        </w:rPr>
        <w:t>采用考虑</w:t>
      </w:r>
      <w:r w:rsidR="006B5581" w:rsidRPr="00CB3320">
        <w:rPr>
          <w:rFonts w:hint="eastAsia"/>
        </w:rPr>
        <w:t>基于</w:t>
      </w:r>
      <w:r w:rsidRPr="00CB3320">
        <w:rPr>
          <w:rFonts w:hint="eastAsia"/>
        </w:rPr>
        <w:t>权重的空间面板</w:t>
      </w:r>
      <w:r w:rsidRPr="00CB3320">
        <w:rPr>
          <w:rFonts w:hint="eastAsia"/>
        </w:rPr>
        <w:t>Durbin</w:t>
      </w:r>
      <w:r w:rsidRPr="00CB3320">
        <w:rPr>
          <w:rFonts w:hint="eastAsia"/>
        </w:rPr>
        <w:t>模型。由于</w:t>
      </w:r>
      <w:r w:rsidR="001A0FD6" w:rsidRPr="00CB3320">
        <w:rPr>
          <w:rFonts w:hint="eastAsia"/>
        </w:rPr>
        <w:t>考虑了</w:t>
      </w:r>
      <w:r w:rsidRPr="00CB3320">
        <w:rPr>
          <w:rFonts w:hint="eastAsia"/>
        </w:rPr>
        <w:t>空间效应引起的内生问题</w:t>
      </w:r>
      <w:r w:rsidR="001A0FD6" w:rsidRPr="00CB3320">
        <w:rPr>
          <w:rFonts w:hint="eastAsia"/>
        </w:rPr>
        <w:t>，</w:t>
      </w:r>
      <w:r w:rsidR="001A0FD6" w:rsidRPr="00CB3320">
        <w:rPr>
          <w:rFonts w:hint="eastAsia"/>
        </w:rPr>
        <w:t xml:space="preserve"> </w:t>
      </w:r>
      <w:r w:rsidR="00903EC1" w:rsidRPr="00CB3320">
        <w:rPr>
          <w:rFonts w:hint="eastAsia"/>
        </w:rPr>
        <w:t>O</w:t>
      </w:r>
      <w:r w:rsidR="00903EC1" w:rsidRPr="00CB3320">
        <w:t>LS</w:t>
      </w:r>
      <w:r w:rsidR="00903EC1" w:rsidRPr="00CB3320">
        <w:rPr>
          <w:rFonts w:hint="eastAsia"/>
        </w:rPr>
        <w:t>回归</w:t>
      </w:r>
      <w:r w:rsidR="001A0FD6" w:rsidRPr="00CB3320">
        <w:rPr>
          <w:rFonts w:hint="eastAsia"/>
        </w:rPr>
        <w:t>存在偏误</w:t>
      </w:r>
      <w:r w:rsidRPr="00CB3320">
        <w:rPr>
          <w:rFonts w:hint="eastAsia"/>
        </w:rPr>
        <w:t>，</w:t>
      </w:r>
      <w:r w:rsidR="00903EC1" w:rsidRPr="00CB3320">
        <w:rPr>
          <w:rFonts w:hint="eastAsia"/>
        </w:rPr>
        <w:t>因此</w:t>
      </w:r>
      <w:r w:rsidRPr="00CB3320">
        <w:rPr>
          <w:rFonts w:hint="eastAsia"/>
        </w:rPr>
        <w:t>我们采用极大似然估计法。</w:t>
      </w:r>
      <w:r w:rsidR="001A0FD6" w:rsidRPr="00CB3320">
        <w:rPr>
          <w:rFonts w:hint="eastAsia"/>
        </w:rPr>
        <w:t>空间面板</w:t>
      </w:r>
      <w:r w:rsidR="001A0FD6" w:rsidRPr="00CB3320">
        <w:rPr>
          <w:rFonts w:hint="eastAsia"/>
        </w:rPr>
        <w:t>Durbin</w:t>
      </w:r>
      <w:r w:rsidRPr="00CB3320">
        <w:rPr>
          <w:rFonts w:hint="eastAsia"/>
        </w:rPr>
        <w:t>模型如下：</w:t>
      </w:r>
    </w:p>
    <w:p w14:paraId="7B7BF5CE" w14:textId="017CD0C2" w:rsidR="001A3F83" w:rsidRPr="00CB3320" w:rsidRDefault="001A3F83" w:rsidP="00C422C0">
      <w:pPr>
        <w:pStyle w:val="a3"/>
      </w:pPr>
      <w:r w:rsidRPr="00CB3320">
        <w:tab/>
      </w:r>
      <m:oMath>
        <m:r>
          <m:rPr>
            <m:sty m:val="bi"/>
          </m:rPr>
          <w:rPr>
            <w:rFonts w:ascii="Cambria Math" w:hAnsi="Cambria Math"/>
          </w:rPr>
          <m:t>TFP</m:t>
        </m:r>
        <m:r>
          <m:rPr>
            <m:sty m:val="p"/>
          </m:rPr>
          <w:rPr>
            <w:rFonts w:ascii="Cambria Math" w:hAnsi="Cambria Math"/>
          </w:rPr>
          <m:t>=</m:t>
        </m:r>
        <m:r>
          <w:rPr>
            <w:rFonts w:ascii="Cambria Math" w:hAnsi="Cambria Math"/>
          </w:rPr>
          <m:t>λ</m:t>
        </m:r>
        <m:r>
          <m:rPr>
            <m:sty m:val="bi"/>
          </m:rPr>
          <w:rPr>
            <w:rFonts w:ascii="Cambria Math" w:hAnsi="Cambria Math"/>
          </w:rPr>
          <m:t>W</m:t>
        </m:r>
        <m:r>
          <m:rPr>
            <m:sty m:val="p"/>
          </m:rPr>
          <w:rPr>
            <w:rFonts w:ascii="Cambria Math" w:hAnsi="Cambria Math" w:cs="Arial"/>
            <w:szCs w:val="21"/>
            <w:shd w:val="clear" w:color="auto" w:fill="FFFFFF"/>
          </w:rPr>
          <m:t>×</m:t>
        </m:r>
        <m:r>
          <m:rPr>
            <m:sty m:val="bi"/>
          </m:rPr>
          <w:rPr>
            <w:rFonts w:ascii="Cambria Math" w:hAnsi="Cambria Math"/>
          </w:rPr>
          <m:t>TFP</m:t>
        </m:r>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bi"/>
          </m:rPr>
          <w:rPr>
            <w:rFonts w:ascii="Cambria Math" w:hAnsi="Cambria Math"/>
          </w:rPr>
          <m:t>D</m:t>
        </m:r>
        <m:r>
          <m:rPr>
            <m:sty m:val="p"/>
          </m:rPr>
          <w:rPr>
            <w:rFonts w:ascii="Cambria Math" w:hAnsi="Cambria Math"/>
          </w:rPr>
          <m:t>_</m:t>
        </m:r>
        <m:r>
          <m:rPr>
            <m:sty m:val="bi"/>
          </m:rPr>
          <w:rPr>
            <w:rFonts w:ascii="Cambria Math" w:hAnsi="Cambria Math"/>
          </w:rPr>
          <m:t>ETS</m:t>
        </m:r>
        <m:r>
          <m:rPr>
            <m:sty m:val="p"/>
          </m:rPr>
          <w:rPr>
            <w:rFonts w:ascii="Cambria Math" w:hAnsi="Cambria Math"/>
          </w:rPr>
          <m:t>+</m:t>
        </m:r>
        <m:nary>
          <m:naryPr>
            <m:chr m:val="∑"/>
            <m:limLoc m:val="undOvr"/>
            <m:ctrlPr>
              <w:rPr>
                <w:rFonts w:ascii="Cambria Math" w:hAnsi="Cambria Math"/>
                <w:bCs/>
              </w:rPr>
            </m:ctrlPr>
          </m:naryPr>
          <m:sub>
            <m:r>
              <m:rPr>
                <m:sty m:val="b"/>
              </m:rPr>
              <w:rPr>
                <w:rFonts w:ascii="Cambria Math" w:hAnsi="Cambria Math"/>
              </w:rPr>
              <m:t>1</m:t>
            </m:r>
          </m:sub>
          <m:sup>
            <m:r>
              <m:rPr>
                <m:sty m:val="bi"/>
              </m:rPr>
              <w:rPr>
                <w:rFonts w:ascii="Cambria Math" w:hAnsi="Cambria Math"/>
              </w:rPr>
              <m:t>k</m:t>
            </m:r>
          </m:sup>
          <m:e>
            <m:sSup>
              <m:sSupPr>
                <m:ctrlPr>
                  <w:rPr>
                    <w:rFonts w:ascii="Cambria Math" w:hAnsi="Cambria Math"/>
                    <w:bCs/>
                  </w:rPr>
                </m:ctrlPr>
              </m:sSupPr>
              <m:e>
                <m:r>
                  <m:rPr>
                    <m:sty m:val="bi"/>
                  </m:rPr>
                  <w:rPr>
                    <w:rFonts w:ascii="Cambria Math" w:hAnsi="Cambria Math"/>
                  </w:rPr>
                  <m:t>X</m:t>
                </m:r>
              </m:e>
              <m:sup>
                <m:r>
                  <m:rPr>
                    <m:sty m:val="bi"/>
                  </m:rPr>
                  <w:rPr>
                    <w:rFonts w:ascii="Cambria Math" w:hAnsi="Cambria Math"/>
                  </w:rPr>
                  <m:t>k</m:t>
                </m:r>
              </m:sup>
            </m:sSup>
            <m:sSubSup>
              <m:sSubSupPr>
                <m:ctrlPr>
                  <w:rPr>
                    <w:rFonts w:ascii="Cambria Math" w:hAnsi="Cambria Math"/>
                    <w:bCs/>
                  </w:rPr>
                </m:ctrlPr>
              </m:sSubSupPr>
              <m:e>
                <m:r>
                  <m:rPr>
                    <m:sty m:val="bi"/>
                  </m:rPr>
                  <w:rPr>
                    <w:rFonts w:ascii="Cambria Math" w:hAnsi="Cambria Math"/>
                  </w:rPr>
                  <m:t>β</m:t>
                </m:r>
              </m:e>
              <m:sub>
                <m:r>
                  <m:rPr>
                    <m:sty m:val="b"/>
                  </m:rPr>
                  <w:rPr>
                    <w:rFonts w:ascii="Cambria Math" w:hAnsi="Cambria Math"/>
                  </w:rPr>
                  <m:t>2</m:t>
                </m:r>
              </m:sub>
              <m:sup>
                <m:r>
                  <m:rPr>
                    <m:sty m:val="bi"/>
                  </m:rPr>
                  <w:rPr>
                    <w:rFonts w:ascii="Cambria Math" w:hAnsi="Cambria Math"/>
                  </w:rPr>
                  <m:t>k</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bi"/>
          </m:rPr>
          <w:rPr>
            <w:rFonts w:ascii="Cambria Math" w:hAnsi="Cambria Math"/>
          </w:rPr>
          <m:t>W</m:t>
        </m:r>
        <m:r>
          <m:rPr>
            <m:sty m:val="p"/>
          </m:rPr>
          <w:rPr>
            <w:rFonts w:ascii="Cambria Math" w:hAnsi="Cambria Math" w:cs="Arial"/>
            <w:szCs w:val="21"/>
            <w:shd w:val="clear" w:color="auto" w:fill="FFFFFF"/>
          </w:rPr>
          <m:t>×</m:t>
        </m:r>
        <m:r>
          <m:rPr>
            <m:sty m:val="bi"/>
          </m:rPr>
          <w:rPr>
            <w:rFonts w:ascii="Cambria Math" w:hAnsi="Cambria Math"/>
          </w:rPr>
          <m:t>D</m:t>
        </m:r>
        <m:r>
          <m:rPr>
            <m:sty m:val="p"/>
          </m:rPr>
          <w:rPr>
            <w:rFonts w:ascii="Cambria Math" w:hAnsi="Cambria Math"/>
          </w:rPr>
          <m:t>_</m:t>
        </m:r>
        <m:r>
          <m:rPr>
            <m:sty m:val="bi"/>
          </m:rPr>
          <w:rPr>
            <w:rFonts w:ascii="Cambria Math" w:hAnsi="Cambria Math"/>
          </w:rPr>
          <m:t>ETS</m:t>
        </m:r>
        <m:r>
          <m:rPr>
            <m:sty m:val="p"/>
          </m:rPr>
          <w:rPr>
            <w:rFonts w:ascii="Cambria Math" w:hAnsi="Cambria Math"/>
          </w:rPr>
          <m:t>+</m:t>
        </m:r>
        <m:nary>
          <m:naryPr>
            <m:chr m:val="∑"/>
            <m:limLoc m:val="undOvr"/>
            <m:ctrlPr>
              <w:rPr>
                <w:rFonts w:ascii="Cambria Math" w:hAnsi="Cambria Math"/>
                <w:bCs/>
              </w:rPr>
            </m:ctrlPr>
          </m:naryPr>
          <m:sub>
            <m:r>
              <m:rPr>
                <m:sty m:val="b"/>
              </m:rPr>
              <w:rPr>
                <w:rFonts w:ascii="Cambria Math" w:hAnsi="Cambria Math"/>
              </w:rPr>
              <m:t>1</m:t>
            </m:r>
          </m:sub>
          <m:sup>
            <m:r>
              <m:rPr>
                <m:sty m:val="bi"/>
              </m:rPr>
              <w:rPr>
                <w:rFonts w:ascii="Cambria Math" w:hAnsi="Cambria Math"/>
              </w:rPr>
              <m:t>k</m:t>
            </m:r>
          </m:sup>
          <m:e>
            <m:r>
              <m:rPr>
                <m:sty m:val="bi"/>
              </m:rPr>
              <w:rPr>
                <w:rFonts w:ascii="Cambria Math" w:hAnsi="Cambria Math"/>
              </w:rPr>
              <m:t>W</m:t>
            </m:r>
            <m:r>
              <m:rPr>
                <m:sty m:val="p"/>
              </m:rPr>
              <w:rPr>
                <w:rFonts w:ascii="Cambria Math" w:hAnsi="Cambria Math" w:cs="Arial"/>
                <w:szCs w:val="21"/>
                <w:shd w:val="clear" w:color="auto" w:fill="FFFFFF"/>
              </w:rPr>
              <m:t>×</m:t>
            </m:r>
            <m:sSup>
              <m:sSupPr>
                <m:ctrlPr>
                  <w:rPr>
                    <w:rFonts w:ascii="Cambria Math" w:hAnsi="Cambria Math"/>
                    <w:bCs/>
                  </w:rPr>
                </m:ctrlPr>
              </m:sSupPr>
              <m:e>
                <m:r>
                  <m:rPr>
                    <m:sty m:val="bi"/>
                  </m:rPr>
                  <w:rPr>
                    <w:rFonts w:ascii="Cambria Math" w:hAnsi="Cambria Math"/>
                  </w:rPr>
                  <m:t>X</m:t>
                </m:r>
              </m:e>
              <m:sup>
                <m:r>
                  <m:rPr>
                    <m:sty m:val="bi"/>
                  </m:rPr>
                  <w:rPr>
                    <w:rFonts w:ascii="Cambria Math" w:hAnsi="Cambria Math"/>
                  </w:rPr>
                  <m:t>k</m:t>
                </m:r>
              </m:sup>
            </m:sSup>
            <m:r>
              <m:rPr>
                <m:sty m:val="p"/>
              </m:rPr>
              <w:rPr>
                <w:rFonts w:ascii="Cambria Math" w:hAnsi="Cambria Math" w:cs="Arial"/>
                <w:szCs w:val="21"/>
                <w:shd w:val="clear" w:color="auto" w:fill="FFFFFF"/>
              </w:rPr>
              <m:t>×</m:t>
            </m:r>
            <m:sSubSup>
              <m:sSubSupPr>
                <m:ctrlPr>
                  <w:rPr>
                    <w:rFonts w:ascii="Cambria Math" w:hAnsi="Cambria Math"/>
                    <w:bCs/>
                  </w:rPr>
                </m:ctrlPr>
              </m:sSubSupPr>
              <m:e>
                <m:r>
                  <m:rPr>
                    <m:sty m:val="bi"/>
                  </m:rPr>
                  <w:rPr>
                    <w:rFonts w:ascii="Cambria Math" w:hAnsi="Cambria Math"/>
                  </w:rPr>
                  <m:t>δ</m:t>
                </m:r>
              </m:e>
              <m:sub>
                <m:r>
                  <m:rPr>
                    <m:sty m:val="b"/>
                  </m:rPr>
                  <w:rPr>
                    <w:rFonts w:ascii="Cambria Math" w:hAnsi="Cambria Math"/>
                  </w:rPr>
                  <m:t>2</m:t>
                </m:r>
              </m:sub>
              <m:sup>
                <m:r>
                  <m:rPr>
                    <m:sty m:val="bi"/>
                  </m:rPr>
                  <w:rPr>
                    <w:rFonts w:ascii="Cambria Math" w:hAnsi="Cambria Math"/>
                  </w:rPr>
                  <m:t>k</m:t>
                </m:r>
              </m:sup>
            </m:sSubSup>
          </m:e>
        </m:nary>
        <m:r>
          <m:rPr>
            <m:sty m:val="p"/>
          </m:rPr>
          <w:rPr>
            <w:rFonts w:ascii="Cambria Math" w:hAnsi="Cambria Math"/>
          </w:rPr>
          <m:t>+</m:t>
        </m:r>
        <m:r>
          <m:rPr>
            <m:sty m:val="bi"/>
          </m:rPr>
          <w:rPr>
            <w:rFonts w:ascii="Cambria Math" w:hAnsi="Cambria Math"/>
          </w:rPr>
          <m:t>ε</m:t>
        </m:r>
      </m:oMath>
      <w:r w:rsidRPr="00CB3320">
        <w:tab/>
        <w:t>(</w:t>
      </w:r>
      <w:r w:rsidR="00B00CAF" w:rsidRPr="00CB3320">
        <w:rPr>
          <w:noProof/>
        </w:rPr>
        <w:fldChar w:fldCharType="begin"/>
      </w:r>
      <w:r w:rsidR="00B00CAF" w:rsidRPr="00CB3320">
        <w:rPr>
          <w:noProof/>
        </w:rPr>
        <w:instrText xml:space="preserve"> SEQ ( \* ARABIC </w:instrText>
      </w:r>
      <w:r w:rsidR="00B00CAF" w:rsidRPr="00CB3320">
        <w:rPr>
          <w:noProof/>
        </w:rPr>
        <w:fldChar w:fldCharType="separate"/>
      </w:r>
      <w:r w:rsidR="002D3301" w:rsidRPr="00CB3320">
        <w:rPr>
          <w:noProof/>
        </w:rPr>
        <w:t>10</w:t>
      </w:r>
      <w:r w:rsidR="00B00CAF" w:rsidRPr="00CB3320">
        <w:rPr>
          <w:noProof/>
        </w:rPr>
        <w:fldChar w:fldCharType="end"/>
      </w:r>
      <w:r w:rsidRPr="00CB3320">
        <w:t>)</w:t>
      </w:r>
    </w:p>
    <w:p w14:paraId="48F6D6E1" w14:textId="44C2125D" w:rsidR="00CA0E4B" w:rsidRPr="00CB3320" w:rsidRDefault="00A21775" w:rsidP="00CA0E4B">
      <w:pPr>
        <w:ind w:firstLine="420"/>
      </w:pPr>
      <w:r w:rsidRPr="00CB3320">
        <w:rPr>
          <w:rFonts w:hint="eastAsia"/>
        </w:rPr>
        <w:t>其中</w:t>
      </w:r>
      <m:oMath>
        <m:r>
          <m:rPr>
            <m:sty m:val="bi"/>
          </m:rPr>
          <w:rPr>
            <w:rFonts w:ascii="Cambria Math" w:hAnsi="Cambria Math"/>
          </w:rPr>
          <m:t>W</m:t>
        </m:r>
      </m:oMath>
      <w:r w:rsidRPr="00CB3320">
        <w:rPr>
          <w:rFonts w:hint="eastAsia"/>
        </w:rPr>
        <w:t>是</w:t>
      </w:r>
      <w:r w:rsidR="00170FD7" w:rsidRPr="00CB3320">
        <w:t>218</w:t>
      </w:r>
      <w:r w:rsidR="00A86356" w:rsidRPr="00CB3320">
        <w:rPr>
          <w:rFonts w:hint="eastAsia"/>
        </w:rPr>
        <w:t>×</w:t>
      </w:r>
      <w:r w:rsidR="00170FD7" w:rsidRPr="00CB3320">
        <w:t>218</w:t>
      </w:r>
      <w:r w:rsidRPr="00CB3320">
        <w:rPr>
          <w:rFonts w:hint="eastAsia"/>
        </w:rPr>
        <w:t>的空间权重矩阵。</w:t>
      </w:r>
      <m:oMath>
        <m:r>
          <m:rPr>
            <m:sty m:val="bi"/>
          </m:rPr>
          <w:rPr>
            <w:rFonts w:ascii="Cambria Math" w:hAnsi="Cambria Math"/>
          </w:rPr>
          <m:t>TFP</m:t>
        </m:r>
      </m:oMath>
      <w:r w:rsidRPr="00CB3320">
        <w:rPr>
          <w:rFonts w:hint="eastAsia"/>
        </w:rPr>
        <w:t>是</w:t>
      </w:r>
      <w:r w:rsidR="009B0697" w:rsidRPr="00CB3320">
        <w:rPr>
          <w:rFonts w:hint="eastAsia"/>
        </w:rPr>
        <w:t>全要素生产率</w:t>
      </w:r>
      <w:r w:rsidRPr="00CB3320">
        <w:rPr>
          <w:rFonts w:hint="eastAsia"/>
        </w:rPr>
        <w:t>矩阵。</w:t>
      </w:r>
      <m:oMath>
        <m:r>
          <m:rPr>
            <m:sty m:val="bi"/>
          </m:rPr>
          <w:rPr>
            <w:rFonts w:ascii="Cambria Math" w:hAnsi="Cambria Math"/>
          </w:rPr>
          <m:t>D_ETS</m:t>
        </m:r>
      </m:oMath>
      <w:r w:rsidRPr="00CB3320">
        <w:rPr>
          <w:rFonts w:hint="eastAsia"/>
        </w:rPr>
        <w:t>为</w:t>
      </w:r>
      <w:r w:rsidR="00E123F7" w:rsidRPr="00CB3320">
        <w:rPr>
          <w:rFonts w:hint="eastAsia"/>
        </w:rPr>
        <w:t>一个</w:t>
      </w:r>
      <w:r w:rsidRPr="00CB3320">
        <w:t>ETS</w:t>
      </w:r>
      <w:r w:rsidR="009B0697" w:rsidRPr="00CB3320">
        <w:rPr>
          <w:rFonts w:hint="eastAsia"/>
        </w:rPr>
        <w:t>虚拟变量</w:t>
      </w:r>
      <w:r w:rsidRPr="00CB3320">
        <w:rPr>
          <w:rFonts w:hint="eastAsia"/>
        </w:rPr>
        <w:t>矩阵。</w:t>
      </w:r>
      <m:oMath>
        <m:sSub>
          <m:sSubPr>
            <m:ctrlPr>
              <w:rPr>
                <w:rFonts w:ascii="Cambria Math" w:hAnsi="Cambria Math" w:cs="Times New Roman"/>
                <w:i/>
                <w:szCs w:val="28"/>
              </w:rPr>
            </m:ctrlPr>
          </m:sSubPr>
          <m:e>
            <m:r>
              <w:rPr>
                <w:rFonts w:ascii="Cambria Math" w:hAnsi="Cambria Math"/>
              </w:rPr>
              <m:t>β</m:t>
            </m:r>
          </m:e>
          <m:sub>
            <m:r>
              <w:rPr>
                <w:rFonts w:ascii="Cambria Math" w:hAnsi="Cambria Math"/>
              </w:rPr>
              <m:t>1</m:t>
            </m:r>
          </m:sub>
        </m:sSub>
      </m:oMath>
      <w:r w:rsidRPr="00CB3320">
        <w:rPr>
          <w:rFonts w:hint="eastAsia"/>
        </w:rPr>
        <w:t>是标量系数。</w:t>
      </w:r>
      <m:oMath>
        <m:sSup>
          <m:sSupPr>
            <m:ctrlPr>
              <w:rPr>
                <w:rFonts w:ascii="Cambria Math" w:hAnsi="Cambria Math" w:cs="Times New Roman"/>
                <w:b/>
                <w:bCs/>
                <w:i/>
                <w:szCs w:val="28"/>
              </w:rPr>
            </m:ctrlPr>
          </m:sSupPr>
          <m:e>
            <m:r>
              <m:rPr>
                <m:sty m:val="bi"/>
              </m:rPr>
              <w:rPr>
                <w:rFonts w:ascii="Cambria Math" w:hAnsi="Cambria Math"/>
              </w:rPr>
              <m:t>X</m:t>
            </m:r>
          </m:e>
          <m:sup>
            <m:r>
              <m:rPr>
                <m:sty m:val="bi"/>
              </m:rPr>
              <w:rPr>
                <w:rFonts w:ascii="Cambria Math" w:hAnsi="Cambria Math"/>
              </w:rPr>
              <m:t>k</m:t>
            </m:r>
          </m:sup>
        </m:sSup>
      </m:oMath>
      <w:r w:rsidRPr="00CB3320">
        <w:rPr>
          <w:rFonts w:hint="eastAsia"/>
        </w:rPr>
        <w:t>是</w:t>
      </w:r>
      <w:r w:rsidR="00110ECF" w:rsidRPr="00CB3320">
        <w:rPr>
          <w:rFonts w:hint="eastAsia"/>
        </w:rPr>
        <w:t>第</w:t>
      </w:r>
      <w:r w:rsidR="00110ECF" w:rsidRPr="00CB3320">
        <w:rPr>
          <w:rFonts w:hint="eastAsia"/>
        </w:rPr>
        <w:t>k</w:t>
      </w:r>
      <w:proofErr w:type="gramStart"/>
      <w:r w:rsidR="00110ECF" w:rsidRPr="00CB3320">
        <w:rPr>
          <w:rFonts w:hint="eastAsia"/>
        </w:rPr>
        <w:t>个</w:t>
      </w:r>
      <w:proofErr w:type="gramEnd"/>
      <w:r w:rsidR="00910730" w:rsidRPr="00CB3320">
        <w:rPr>
          <w:rFonts w:hint="eastAsia"/>
        </w:rPr>
        <w:t>控制变量</w:t>
      </w:r>
      <w:r w:rsidRPr="00CB3320">
        <w:rPr>
          <w:rFonts w:hint="eastAsia"/>
        </w:rPr>
        <w:t>矩阵，</w:t>
      </w:r>
      <m:oMath>
        <m:sSubSup>
          <m:sSubSupPr>
            <m:ctrlPr>
              <w:rPr>
                <w:rFonts w:ascii="Cambria Math" w:hAnsi="Cambria Math" w:cs="Times New Roman"/>
                <w:b/>
                <w:bCs/>
                <w:i/>
                <w:szCs w:val="28"/>
              </w:rPr>
            </m:ctrlPr>
          </m:sSubSupPr>
          <m:e>
            <m:r>
              <m:rPr>
                <m:sty m:val="bi"/>
              </m:rPr>
              <w:rPr>
                <w:rFonts w:ascii="Cambria Math" w:hAnsi="Cambria Math"/>
              </w:rPr>
              <m:t>β</m:t>
            </m:r>
          </m:e>
          <m:sub>
            <m:r>
              <m:rPr>
                <m:sty m:val="bi"/>
              </m:rPr>
              <w:rPr>
                <w:rFonts w:ascii="Cambria Math" w:hAnsi="Cambria Math"/>
              </w:rPr>
              <m:t>2</m:t>
            </m:r>
          </m:sub>
          <m:sup>
            <m:r>
              <m:rPr>
                <m:sty m:val="bi"/>
              </m:rPr>
              <w:rPr>
                <w:rFonts w:ascii="Cambria Math" w:hAnsi="Cambria Math"/>
              </w:rPr>
              <m:t>k</m:t>
            </m:r>
          </m:sup>
        </m:sSubSup>
      </m:oMath>
      <w:r w:rsidRPr="00CB3320">
        <w:rPr>
          <w:rFonts w:hint="eastAsia"/>
        </w:rPr>
        <w:t>是它</w:t>
      </w:r>
      <w:r w:rsidR="00910730" w:rsidRPr="00CB3320">
        <w:rPr>
          <w:rFonts w:hint="eastAsia"/>
        </w:rPr>
        <w:t>们</w:t>
      </w:r>
      <w:r w:rsidRPr="00CB3320">
        <w:rPr>
          <w:rFonts w:hint="eastAsia"/>
        </w:rPr>
        <w:t>的系数。</w:t>
      </w:r>
      <m:oMath>
        <m:sSub>
          <m:sSubPr>
            <m:ctrlPr>
              <w:rPr>
                <w:rFonts w:ascii="Cambria Math" w:hAnsi="Cambria Math" w:cs="Times New Roman"/>
                <w:i/>
                <w:szCs w:val="28"/>
              </w:rPr>
            </m:ctrlPr>
          </m:sSubPr>
          <m:e>
            <m:r>
              <w:rPr>
                <w:rFonts w:ascii="Cambria Math" w:hAnsi="Cambria Math"/>
                <w:kern w:val="0"/>
              </w:rPr>
              <m:t>δ</m:t>
            </m:r>
          </m:e>
          <m:sub>
            <m:r>
              <w:rPr>
                <w:rFonts w:ascii="Cambria Math" w:hAnsi="Cambria Math"/>
                <w:kern w:val="0"/>
              </w:rPr>
              <m:t>1</m:t>
            </m:r>
          </m:sub>
        </m:sSub>
      </m:oMath>
      <w:r w:rsidRPr="00CB3320">
        <w:rPr>
          <w:rFonts w:hint="eastAsia"/>
        </w:rPr>
        <w:t>和</w:t>
      </w:r>
      <m:oMath>
        <m:sSubSup>
          <m:sSubSupPr>
            <m:ctrlPr>
              <w:rPr>
                <w:rFonts w:ascii="Cambria Math" w:hAnsi="Cambria Math" w:cs="Times New Roman"/>
                <w:b/>
                <w:bCs/>
                <w:i/>
                <w:szCs w:val="28"/>
              </w:rPr>
            </m:ctrlPr>
          </m:sSubSupPr>
          <m:e>
            <m:r>
              <m:rPr>
                <m:sty m:val="bi"/>
              </m:rPr>
              <w:rPr>
                <w:rFonts w:ascii="Cambria Math" w:hAnsi="Cambria Math"/>
                <w:kern w:val="0"/>
              </w:rPr>
              <m:t>δ</m:t>
            </m:r>
          </m:e>
          <m:sub>
            <m:r>
              <m:rPr>
                <m:sty m:val="bi"/>
              </m:rPr>
              <w:rPr>
                <w:rFonts w:ascii="Cambria Math" w:hAnsi="Cambria Math"/>
                <w:kern w:val="0"/>
              </w:rPr>
              <m:t>2</m:t>
            </m:r>
          </m:sub>
          <m:sup>
            <m:r>
              <m:rPr>
                <m:sty m:val="bi"/>
              </m:rPr>
              <w:rPr>
                <w:rFonts w:ascii="Cambria Math" w:hAnsi="Cambria Math"/>
                <w:kern w:val="0"/>
              </w:rPr>
              <m:t>k</m:t>
            </m:r>
          </m:sup>
        </m:sSubSup>
      </m:oMath>
      <w:r w:rsidRPr="00CB3320">
        <w:rPr>
          <w:rFonts w:hint="eastAsia"/>
        </w:rPr>
        <w:t>是不同变量的空间杜宾系数。</w:t>
      </w:r>
      <m:oMath>
        <m:r>
          <w:rPr>
            <w:rFonts w:ascii="Cambria Math" w:hAnsi="Cambria Math"/>
          </w:rPr>
          <m:t>λ</m:t>
        </m:r>
        <m:r>
          <m:rPr>
            <m:sty m:val="bi"/>
          </m:rPr>
          <w:rPr>
            <w:rFonts w:ascii="Cambria Math" w:hAnsi="Cambria Math"/>
          </w:rPr>
          <m:t>W</m:t>
        </m:r>
        <m:r>
          <m:rPr>
            <m:sty m:val="p"/>
          </m:rPr>
          <w:rPr>
            <w:rFonts w:ascii="Cambria Math" w:hAnsi="Cambria Math" w:cs="Arial"/>
            <w:shd w:val="clear" w:color="auto" w:fill="FFFFFF"/>
          </w:rPr>
          <m:t>×</m:t>
        </m:r>
        <m:r>
          <m:rPr>
            <m:sty m:val="bi"/>
          </m:rPr>
          <w:rPr>
            <w:rFonts w:ascii="Cambria Math" w:hAnsi="Cambria Math"/>
          </w:rPr>
          <m:t>TFP</m:t>
        </m:r>
      </m:oMath>
      <w:r w:rsidRPr="00CB3320">
        <w:rPr>
          <w:rFonts w:hint="eastAsia"/>
        </w:rPr>
        <w:t>表示空间自相关</w:t>
      </w:r>
      <w:r w:rsidR="005E2016" w:rsidRPr="00CB3320">
        <w:rPr>
          <w:rFonts w:hint="eastAsia"/>
        </w:rPr>
        <w:t>项</w:t>
      </w:r>
      <w:r w:rsidRPr="00CB3320">
        <w:rPr>
          <w:rFonts w:hint="eastAsia"/>
        </w:rPr>
        <w:t>，</w:t>
      </w:r>
      <m:oMath>
        <m:sSub>
          <m:sSubPr>
            <m:ctrlPr>
              <w:rPr>
                <w:rFonts w:ascii="Cambria Math" w:hAnsi="Cambria Math" w:cs="Times New Roman"/>
                <w:i/>
                <w:szCs w:val="28"/>
              </w:rPr>
            </m:ctrlPr>
          </m:sSubPr>
          <m:e>
            <m:r>
              <w:rPr>
                <w:rFonts w:ascii="Cambria Math" w:hAnsi="Cambria Math"/>
              </w:rPr>
              <m:t>β</m:t>
            </m:r>
          </m:e>
          <m:sub>
            <m:r>
              <w:rPr>
                <w:rFonts w:ascii="Cambria Math" w:hAnsi="Cambria Math"/>
              </w:rPr>
              <m:t>1</m:t>
            </m:r>
          </m:sub>
        </m:sSub>
        <m:r>
          <m:rPr>
            <m:sty m:val="bi"/>
          </m:rPr>
          <w:rPr>
            <w:rFonts w:ascii="Cambria Math" w:hAnsi="Cambria Math"/>
          </w:rPr>
          <m:t>D_ETS</m:t>
        </m:r>
      </m:oMath>
      <w:r w:rsidRPr="00CB3320">
        <w:rPr>
          <w:rFonts w:hint="eastAsia"/>
        </w:rPr>
        <w:t>和</w:t>
      </w:r>
      <m:oMath>
        <m:nary>
          <m:naryPr>
            <m:chr m:val="∑"/>
            <m:limLoc m:val="undOvr"/>
            <m:ctrlPr>
              <w:rPr>
                <w:rFonts w:ascii="Cambria Math" w:hAnsi="Cambria Math" w:cs="宋体"/>
                <w:b/>
                <w:bCs/>
                <w:i/>
                <w:szCs w:val="24"/>
              </w:rPr>
            </m:ctrlPr>
          </m:naryPr>
          <m:sub>
            <m:r>
              <m:rPr>
                <m:sty m:val="bi"/>
              </m:rPr>
              <w:rPr>
                <w:rFonts w:ascii="Cambria Math" w:hAnsi="Cambria Math"/>
                <w:kern w:val="0"/>
              </w:rPr>
              <m:t>1</m:t>
            </m:r>
          </m:sub>
          <m:sup>
            <m:r>
              <m:rPr>
                <m:sty m:val="bi"/>
              </m:rPr>
              <w:rPr>
                <w:rFonts w:ascii="Cambria Math" w:hAnsi="Cambria Math"/>
                <w:kern w:val="0"/>
              </w:rPr>
              <m:t>k</m:t>
            </m:r>
          </m:sup>
          <m:e>
            <m:sSup>
              <m:sSupPr>
                <m:ctrlPr>
                  <w:rPr>
                    <w:rFonts w:ascii="Cambria Math" w:hAnsi="Cambria Math" w:cs="宋体"/>
                    <w:b/>
                    <w:bCs/>
                    <w:i/>
                    <w:szCs w:val="24"/>
                  </w:rPr>
                </m:ctrlPr>
              </m:sSupPr>
              <m:e>
                <m:r>
                  <m:rPr>
                    <m:sty m:val="bi"/>
                  </m:rPr>
                  <w:rPr>
                    <w:rFonts w:ascii="Cambria Math" w:hAnsi="Cambria Math"/>
                    <w:kern w:val="0"/>
                  </w:rPr>
                  <m:t>X</m:t>
                </m:r>
              </m:e>
              <m:sup>
                <m:r>
                  <m:rPr>
                    <m:sty m:val="bi"/>
                  </m:rPr>
                  <w:rPr>
                    <w:rFonts w:ascii="Cambria Math" w:hAnsi="Cambria Math"/>
                    <w:kern w:val="0"/>
                  </w:rPr>
                  <m:t>k</m:t>
                </m:r>
              </m:sup>
            </m:sSup>
            <m:sSubSup>
              <m:sSubSupPr>
                <m:ctrlPr>
                  <w:rPr>
                    <w:rFonts w:ascii="Cambria Math" w:hAnsi="Cambria Math" w:cs="宋体"/>
                    <w:b/>
                    <w:bCs/>
                    <w:i/>
                    <w:szCs w:val="24"/>
                  </w:rPr>
                </m:ctrlPr>
              </m:sSubSupPr>
              <m:e>
                <m:r>
                  <m:rPr>
                    <m:sty m:val="bi"/>
                  </m:rPr>
                  <w:rPr>
                    <w:rFonts w:ascii="Cambria Math" w:hAnsi="Cambria Math"/>
                    <w:kern w:val="0"/>
                  </w:rPr>
                  <m:t>β</m:t>
                </m:r>
              </m:e>
              <m:sub>
                <m:r>
                  <m:rPr>
                    <m:sty m:val="bi"/>
                  </m:rPr>
                  <w:rPr>
                    <w:rFonts w:ascii="Cambria Math" w:hAnsi="Cambria Math"/>
                    <w:kern w:val="0"/>
                  </w:rPr>
                  <m:t>2</m:t>
                </m:r>
              </m:sub>
              <m:sup>
                <m:r>
                  <m:rPr>
                    <m:sty m:val="bi"/>
                  </m:rPr>
                  <w:rPr>
                    <w:rFonts w:ascii="Cambria Math" w:hAnsi="Cambria Math"/>
                    <w:kern w:val="0"/>
                  </w:rPr>
                  <m:t>k</m:t>
                </m:r>
              </m:sup>
            </m:sSubSup>
          </m:e>
        </m:nary>
      </m:oMath>
      <w:r w:rsidRPr="00CB3320">
        <w:rPr>
          <w:rFonts w:hint="eastAsia"/>
        </w:rPr>
        <w:t>表示同一</w:t>
      </w:r>
      <w:r w:rsidR="0058373C" w:rsidRPr="00CB3320">
        <w:rPr>
          <w:rFonts w:hint="eastAsia"/>
        </w:rPr>
        <w:t>地区</w:t>
      </w:r>
      <w:r w:rsidRPr="00CB3320">
        <w:rPr>
          <w:rFonts w:hint="eastAsia"/>
        </w:rPr>
        <w:t>内</w:t>
      </w:r>
      <w:r w:rsidR="00C4662C" w:rsidRPr="00CB3320">
        <w:rPr>
          <w:rFonts w:hint="eastAsia"/>
        </w:rPr>
        <w:t>自变量和控制变量与因变量</w:t>
      </w:r>
      <w:r w:rsidRPr="00CB3320">
        <w:rPr>
          <w:rFonts w:hint="eastAsia"/>
        </w:rPr>
        <w:t>的相关性。而</w:t>
      </w:r>
      <m:oMath>
        <m:sSub>
          <m:sSubPr>
            <m:ctrlPr>
              <w:rPr>
                <w:rFonts w:ascii="Cambria Math" w:hAnsi="Cambria Math" w:cs="Times New Roman"/>
                <w:i/>
                <w:szCs w:val="28"/>
              </w:rPr>
            </m:ctrlPr>
          </m:sSubPr>
          <m:e>
            <m:r>
              <w:rPr>
                <w:rFonts w:ascii="Cambria Math" w:hAnsi="Cambria Math"/>
                <w:kern w:val="0"/>
              </w:rPr>
              <m:t>δ</m:t>
            </m:r>
          </m:e>
          <m:sub>
            <m:r>
              <w:rPr>
                <w:rFonts w:ascii="Cambria Math" w:hAnsi="Cambria Math"/>
                <w:kern w:val="0"/>
              </w:rPr>
              <m:t>1</m:t>
            </m:r>
          </m:sub>
        </m:sSub>
        <m:r>
          <m:rPr>
            <m:sty m:val="bi"/>
          </m:rPr>
          <w:rPr>
            <w:rFonts w:ascii="Cambria Math" w:hAnsi="Cambria Math"/>
            <w:kern w:val="0"/>
          </w:rPr>
          <m:t>W</m:t>
        </m:r>
        <m:r>
          <m:rPr>
            <m:sty m:val="p"/>
          </m:rPr>
          <w:rPr>
            <w:rFonts w:ascii="Cambria Math" w:hAnsi="Cambria Math" w:cs="Arial"/>
            <w:kern w:val="0"/>
            <w:shd w:val="clear" w:color="auto" w:fill="FFFFFF"/>
          </w:rPr>
          <m:t>×</m:t>
        </m:r>
        <m:r>
          <m:rPr>
            <m:sty m:val="bi"/>
          </m:rPr>
          <w:rPr>
            <w:rFonts w:ascii="Cambria Math" w:hAnsi="Cambria Math"/>
            <w:kern w:val="0"/>
          </w:rPr>
          <m:t>D_ETS</m:t>
        </m:r>
      </m:oMath>
      <w:r w:rsidR="00C4662C" w:rsidRPr="00CB3320">
        <w:rPr>
          <w:kern w:val="0"/>
        </w:rPr>
        <w:t xml:space="preserve"> </w:t>
      </w:r>
      <w:r w:rsidRPr="00CB3320">
        <w:rPr>
          <w:rFonts w:hint="eastAsia"/>
        </w:rPr>
        <w:t>和</w:t>
      </w:r>
      <m:oMath>
        <m:nary>
          <m:naryPr>
            <m:chr m:val="∑"/>
            <m:limLoc m:val="undOvr"/>
            <m:ctrlPr>
              <w:rPr>
                <w:rFonts w:ascii="Cambria Math" w:hAnsi="Cambria Math" w:cs="Times New Roman"/>
                <w:b/>
                <w:bCs/>
                <w:i/>
                <w:szCs w:val="28"/>
              </w:rPr>
            </m:ctrlPr>
          </m:naryPr>
          <m:sub>
            <m:r>
              <m:rPr>
                <m:sty m:val="bi"/>
              </m:rPr>
              <w:rPr>
                <w:rFonts w:ascii="Cambria Math" w:hAnsi="Cambria Math"/>
                <w:kern w:val="0"/>
              </w:rPr>
              <m:t>1</m:t>
            </m:r>
          </m:sub>
          <m:sup>
            <m:r>
              <m:rPr>
                <m:sty m:val="bi"/>
              </m:rPr>
              <w:rPr>
                <w:rFonts w:ascii="Cambria Math" w:hAnsi="Cambria Math"/>
                <w:kern w:val="0"/>
              </w:rPr>
              <m:t>k</m:t>
            </m:r>
          </m:sup>
          <m:e>
            <m:r>
              <m:rPr>
                <m:sty m:val="bi"/>
              </m:rPr>
              <w:rPr>
                <w:rFonts w:ascii="Cambria Math" w:hAnsi="Cambria Math"/>
                <w:kern w:val="0"/>
              </w:rPr>
              <m:t>W</m:t>
            </m:r>
            <m:r>
              <m:rPr>
                <m:sty m:val="p"/>
              </m:rPr>
              <w:rPr>
                <w:rFonts w:ascii="Cambria Math" w:hAnsi="Cambria Math" w:cs="Arial"/>
                <w:kern w:val="0"/>
                <w:shd w:val="clear" w:color="auto" w:fill="FFFFFF"/>
              </w:rPr>
              <m:t>×</m:t>
            </m:r>
            <m:sSup>
              <m:sSupPr>
                <m:ctrlPr>
                  <w:rPr>
                    <w:rFonts w:ascii="Cambria Math" w:hAnsi="Cambria Math" w:cs="Times New Roman"/>
                    <w:b/>
                    <w:bCs/>
                    <w:i/>
                    <w:szCs w:val="28"/>
                  </w:rPr>
                </m:ctrlPr>
              </m:sSupPr>
              <m:e>
                <m:r>
                  <m:rPr>
                    <m:sty m:val="bi"/>
                  </m:rPr>
                  <w:rPr>
                    <w:rFonts w:ascii="Cambria Math" w:hAnsi="Cambria Math"/>
                    <w:kern w:val="0"/>
                  </w:rPr>
                  <m:t>X</m:t>
                </m:r>
              </m:e>
              <m:sup>
                <m:r>
                  <m:rPr>
                    <m:sty m:val="bi"/>
                  </m:rPr>
                  <w:rPr>
                    <w:rFonts w:ascii="Cambria Math" w:hAnsi="Cambria Math"/>
                    <w:kern w:val="0"/>
                  </w:rPr>
                  <m:t>k</m:t>
                </m:r>
              </m:sup>
            </m:sSup>
            <m:r>
              <m:rPr>
                <m:sty m:val="p"/>
              </m:rPr>
              <w:rPr>
                <w:rFonts w:ascii="Cambria Math" w:hAnsi="Cambria Math" w:cs="Arial"/>
                <w:kern w:val="0"/>
                <w:shd w:val="clear" w:color="auto" w:fill="FFFFFF"/>
              </w:rPr>
              <m:t>×</m:t>
            </m:r>
            <m:sSubSup>
              <m:sSubSupPr>
                <m:ctrlPr>
                  <w:rPr>
                    <w:rFonts w:ascii="Cambria Math" w:hAnsi="Cambria Math" w:cs="Times New Roman"/>
                    <w:b/>
                    <w:bCs/>
                    <w:i/>
                    <w:szCs w:val="28"/>
                  </w:rPr>
                </m:ctrlPr>
              </m:sSubSupPr>
              <m:e>
                <m:r>
                  <m:rPr>
                    <m:sty m:val="bi"/>
                  </m:rPr>
                  <w:rPr>
                    <w:rFonts w:ascii="Cambria Math" w:hAnsi="Cambria Math"/>
                    <w:kern w:val="0"/>
                  </w:rPr>
                  <m:t>δ</m:t>
                </m:r>
              </m:e>
              <m:sub>
                <m:r>
                  <m:rPr>
                    <m:sty m:val="bi"/>
                  </m:rPr>
                  <w:rPr>
                    <w:rFonts w:ascii="Cambria Math" w:hAnsi="Cambria Math"/>
                    <w:kern w:val="0"/>
                  </w:rPr>
                  <m:t>2</m:t>
                </m:r>
              </m:sub>
              <m:sup>
                <m:r>
                  <m:rPr>
                    <m:sty m:val="bi"/>
                  </m:rPr>
                  <w:rPr>
                    <w:rFonts w:ascii="Cambria Math" w:hAnsi="Cambria Math"/>
                    <w:kern w:val="0"/>
                  </w:rPr>
                  <m:t>k</m:t>
                </m:r>
              </m:sup>
            </m:sSubSup>
          </m:e>
        </m:nary>
      </m:oMath>
      <w:r w:rsidRPr="00CB3320">
        <w:rPr>
          <w:rFonts w:hint="eastAsia"/>
        </w:rPr>
        <w:t>表示</w:t>
      </w:r>
      <w:r w:rsidR="00CB495F" w:rsidRPr="00CB3320">
        <w:rPr>
          <w:rFonts w:hint="eastAsia"/>
        </w:rPr>
        <w:t>其他地区的自变量和控制变量对本地区因变量的相关性。</w:t>
      </w:r>
    </w:p>
    <w:p w14:paraId="26F476AD" w14:textId="53DD6589" w:rsidR="00477D8D" w:rsidRPr="00CB3320" w:rsidRDefault="00F13EAB" w:rsidP="00F13EAB">
      <w:pPr>
        <w:pStyle w:val="2"/>
        <w:numPr>
          <w:ilvl w:val="0"/>
          <w:numId w:val="0"/>
        </w:numPr>
        <w:spacing w:before="163" w:after="81"/>
      </w:pPr>
      <w:bookmarkStart w:id="56" w:name="_Toc121778135"/>
      <w:r w:rsidRPr="00CB3320">
        <w:rPr>
          <w:rFonts w:hint="eastAsia"/>
        </w:rPr>
        <w:t>（二）</w:t>
      </w:r>
      <w:r w:rsidR="00460960" w:rsidRPr="00CB3320">
        <w:rPr>
          <w:rFonts w:hint="eastAsia"/>
        </w:rPr>
        <w:t>估计结果</w:t>
      </w:r>
      <w:bookmarkEnd w:id="56"/>
    </w:p>
    <w:p w14:paraId="350FD701" w14:textId="3ED57798" w:rsidR="00460960" w:rsidRPr="00CB3320" w:rsidRDefault="003718E8" w:rsidP="00D50C94">
      <w:pPr>
        <w:ind w:firstLine="420"/>
      </w:pPr>
      <w:r w:rsidRPr="00CB3320">
        <w:rPr>
          <w:rFonts w:hint="eastAsia"/>
        </w:rPr>
        <w:t>结果如</w:t>
      </w:r>
      <w:r w:rsidRPr="00CB3320">
        <w:fldChar w:fldCharType="begin"/>
      </w:r>
      <w:r w:rsidRPr="00CB3320">
        <w:instrText xml:space="preserve"> </w:instrText>
      </w:r>
      <w:r w:rsidRPr="00CB3320">
        <w:rPr>
          <w:rFonts w:hint="eastAsia"/>
        </w:rPr>
        <w:instrText>REF _Ref75591059 \h</w:instrText>
      </w:r>
      <w:r w:rsidRPr="00CB3320">
        <w:instrText xml:space="preserve"> </w:instrText>
      </w:r>
      <w:r w:rsidRPr="00CB3320">
        <w:fldChar w:fldCharType="separate"/>
      </w:r>
      <w:r w:rsidR="00EC325E" w:rsidRPr="00CB3320">
        <w:rPr>
          <w:rFonts w:hint="eastAsia"/>
        </w:rPr>
        <w:t>表</w:t>
      </w:r>
      <w:r w:rsidR="00EC325E" w:rsidRPr="00CB3320">
        <w:rPr>
          <w:noProof/>
        </w:rPr>
        <w:t>4</w:t>
      </w:r>
      <w:r w:rsidRPr="00CB3320">
        <w:fldChar w:fldCharType="end"/>
      </w:r>
      <w:r w:rsidRPr="00CB3320">
        <w:rPr>
          <w:rFonts w:hint="eastAsia"/>
        </w:rPr>
        <w:t>所示。在逐步回归的结果中，我们发现了一个正的空间杜宾</w:t>
      </w:r>
      <w:r w:rsidR="004902F6" w:rsidRPr="00CB3320">
        <w:rPr>
          <w:rFonts w:hint="eastAsia"/>
        </w:rPr>
        <w:t>系数</w:t>
      </w:r>
      <w:r w:rsidRPr="00CB3320">
        <w:rPr>
          <w:rFonts w:hint="eastAsia"/>
        </w:rPr>
        <w:t>，这表明技术溢出效应可能是中国</w:t>
      </w:r>
      <w:proofErr w:type="gramStart"/>
      <w:r w:rsidR="00F302A4" w:rsidRPr="00CB3320">
        <w:rPr>
          <w:rFonts w:hint="eastAsia"/>
        </w:rPr>
        <w:t>碳试点</w:t>
      </w:r>
      <w:proofErr w:type="gramEnd"/>
      <w:r w:rsidRPr="00CB3320">
        <w:rPr>
          <w:rFonts w:hint="eastAsia"/>
        </w:rPr>
        <w:t>的主要影响因素。为了解决空间计量模型系数难以解释的问题，</w:t>
      </w:r>
      <w:r w:rsidR="004902F6" w:rsidRPr="00CB3320">
        <w:rPr>
          <w:kern w:val="0"/>
        </w:rPr>
        <w:fldChar w:fldCharType="begin" w:fldLock="1"/>
      </w:r>
      <w:r w:rsidR="005B1161" w:rsidRPr="00CB3320">
        <w:rPr>
          <w:kern w:val="0"/>
        </w:rPr>
        <w:instrText>ADDIN CSL_CITATION {"citationItems":[{"id":"ITEM-1","itemData":{"DOI":"10.1007/978-3-642-03647-7_18","author":[{"dropping-particle":"","family":"LeSage","given":"James P.","non-dropping-particle":"","parse-names":false,"suffix":""},{"dropping-particle":"","family":"Pace","given":"R. Kelley","non-dropping-particle":"","parse-names":false,"suffix":""}],"container-title":"Handbook of Applied Spatial Analysis","id":"ITEM-1","issued":{"date-parts":[["2010"]]},"page":"355-376","publisher":"Springer Berlin Heide</w:instrText>
      </w:r>
      <w:r w:rsidR="005B1161" w:rsidRPr="00CB3320">
        <w:rPr>
          <w:rFonts w:hint="eastAsia"/>
          <w:kern w:val="0"/>
        </w:rPr>
        <w:instrText>lberg","publisher-place":"Berlin, Heidelberg","title":"Spatial Econometric Models","type":"chapter"},"uris":["http://www.mendeley.com/documents/?uuid=520881f6-e458-4fc6-96ab-1bb71a48884d"]}],"mendeley":{"formattedCitation":"(LeSage</w:instrText>
      </w:r>
      <w:r w:rsidR="005B1161" w:rsidRPr="00CB3320">
        <w:rPr>
          <w:rFonts w:hint="eastAsia"/>
          <w:kern w:val="0"/>
        </w:rPr>
        <w:instrText>等</w:instrText>
      </w:r>
      <w:r w:rsidR="005B1161" w:rsidRPr="00CB3320">
        <w:rPr>
          <w:rFonts w:hint="eastAsia"/>
          <w:kern w:val="0"/>
        </w:rPr>
        <w:instrText>, 2010)","manualFormatting":"LeSage &amp; Pace (2010)","plainTextFormattedCitation":"(LeSage</w:instrText>
      </w:r>
      <w:r w:rsidR="005B1161" w:rsidRPr="00CB3320">
        <w:rPr>
          <w:rFonts w:hint="eastAsia"/>
          <w:kern w:val="0"/>
        </w:rPr>
        <w:instrText>等</w:instrText>
      </w:r>
      <w:r w:rsidR="005B1161" w:rsidRPr="00CB3320">
        <w:rPr>
          <w:rFonts w:hint="eastAsia"/>
          <w:kern w:val="0"/>
        </w:rPr>
        <w:instrText>, 2010)","previouslyFormattedCitation":"(LeSage</w:instrText>
      </w:r>
      <w:r w:rsidR="005B1161" w:rsidRPr="00CB3320">
        <w:rPr>
          <w:rFonts w:hint="eastAsia"/>
          <w:kern w:val="0"/>
        </w:rPr>
        <w:instrText>等</w:instrText>
      </w:r>
      <w:r w:rsidR="005B1161" w:rsidRPr="00CB3320">
        <w:rPr>
          <w:rFonts w:hint="eastAsia"/>
          <w:kern w:val="0"/>
        </w:rPr>
        <w:instrText>, 2010)"},"properties":{"noteIndex":0},"schema":"https://github.com/citation-style-language/schema/raw/master/csl-citation.json"}</w:instrText>
      </w:r>
      <w:r w:rsidR="004902F6" w:rsidRPr="00CB3320">
        <w:rPr>
          <w:kern w:val="0"/>
        </w:rPr>
        <w:fldChar w:fldCharType="separate"/>
      </w:r>
      <w:r w:rsidR="004902F6" w:rsidRPr="00CB3320">
        <w:rPr>
          <w:noProof/>
          <w:kern w:val="0"/>
        </w:rPr>
        <w:t xml:space="preserve">LeSage </w:t>
      </w:r>
      <w:r w:rsidR="005B1161" w:rsidRPr="00CB3320">
        <w:rPr>
          <w:rFonts w:hint="eastAsia"/>
          <w:noProof/>
          <w:kern w:val="0"/>
        </w:rPr>
        <w:t>&amp;</w:t>
      </w:r>
      <w:r w:rsidR="005B1161" w:rsidRPr="00CB3320">
        <w:rPr>
          <w:noProof/>
          <w:kern w:val="0"/>
        </w:rPr>
        <w:t xml:space="preserve"> </w:t>
      </w:r>
      <w:r w:rsidR="004902F6" w:rsidRPr="00CB3320">
        <w:rPr>
          <w:noProof/>
          <w:kern w:val="0"/>
        </w:rPr>
        <w:t>Pace (2010)</w:t>
      </w:r>
      <w:r w:rsidR="004902F6" w:rsidRPr="00CB3320">
        <w:rPr>
          <w:kern w:val="0"/>
        </w:rPr>
        <w:fldChar w:fldCharType="end"/>
      </w:r>
      <w:r w:rsidRPr="00CB3320">
        <w:rPr>
          <w:rFonts w:hint="eastAsia"/>
        </w:rPr>
        <w:t>提出了直接效应、间接效应（空间溢出效应）和总效应的计算方法。其基本思想是利用</w:t>
      </w:r>
      <w:r w:rsidRPr="00CB3320">
        <w:rPr>
          <w:rFonts w:hint="eastAsia"/>
        </w:rPr>
        <w:t>Leontief</w:t>
      </w:r>
      <w:r w:rsidRPr="00CB3320">
        <w:rPr>
          <w:rFonts w:hint="eastAsia"/>
        </w:rPr>
        <w:t>逆矩阵的“完全</w:t>
      </w:r>
      <w:r w:rsidR="004902F6" w:rsidRPr="00CB3320">
        <w:rPr>
          <w:rFonts w:hint="eastAsia"/>
        </w:rPr>
        <w:t>消耗</w:t>
      </w:r>
      <w:r w:rsidRPr="00CB3320">
        <w:rPr>
          <w:rFonts w:hint="eastAsia"/>
        </w:rPr>
        <w:t>”</w:t>
      </w:r>
      <w:r w:rsidR="004902F6" w:rsidRPr="00CB3320">
        <w:rPr>
          <w:rFonts w:hint="eastAsia"/>
        </w:rPr>
        <w:t>思想</w:t>
      </w:r>
      <w:r w:rsidRPr="00CB3320">
        <w:rPr>
          <w:rFonts w:hint="eastAsia"/>
        </w:rPr>
        <w:t>对</w:t>
      </w:r>
      <w:r w:rsidR="004902F6" w:rsidRPr="00CB3320">
        <w:rPr>
          <w:rFonts w:hint="eastAsia"/>
        </w:rPr>
        <w:t>估计</w:t>
      </w:r>
      <w:r w:rsidRPr="00CB3320">
        <w:rPr>
          <w:rFonts w:hint="eastAsia"/>
        </w:rPr>
        <w:t>结果进行重新计算和解释。我们计算的三个效应如</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Pr="00CB3320">
        <w:rPr>
          <w:rFonts w:hint="eastAsia"/>
        </w:rPr>
        <w:t>所示。结果表明，</w:t>
      </w:r>
      <w:proofErr w:type="gramStart"/>
      <w:r w:rsidRPr="00CB3320">
        <w:rPr>
          <w:rFonts w:hint="eastAsia"/>
        </w:rPr>
        <w:t>碳交易</w:t>
      </w:r>
      <w:proofErr w:type="gramEnd"/>
      <w:r w:rsidRPr="00CB3320">
        <w:rPr>
          <w:rFonts w:hint="eastAsia"/>
        </w:rPr>
        <w:t>试点确实具有显著的</w:t>
      </w:r>
      <w:proofErr w:type="gramStart"/>
      <w:r w:rsidRPr="00CB3320">
        <w:rPr>
          <w:rFonts w:hint="eastAsia"/>
        </w:rPr>
        <w:t>正空间</w:t>
      </w:r>
      <w:proofErr w:type="gramEnd"/>
      <w:r w:rsidRPr="00CB3320">
        <w:rPr>
          <w:rFonts w:hint="eastAsia"/>
        </w:rPr>
        <w:t>溢出效应。与基准结果（</w:t>
      </w:r>
      <w:r w:rsidR="004902F6" w:rsidRPr="00CB3320">
        <w:fldChar w:fldCharType="begin"/>
      </w:r>
      <w:r w:rsidR="004902F6" w:rsidRPr="00CB3320">
        <w:instrText xml:space="preserve"> </w:instrText>
      </w:r>
      <w:r w:rsidR="004902F6" w:rsidRPr="00CB3320">
        <w:rPr>
          <w:rFonts w:hint="eastAsia"/>
        </w:rPr>
        <w:instrText>REF _Ref75449305 \h</w:instrText>
      </w:r>
      <w:r w:rsidR="004902F6" w:rsidRPr="00CB3320">
        <w:instrText xml:space="preserve"> </w:instrText>
      </w:r>
      <w:r w:rsidR="004902F6" w:rsidRPr="00CB3320">
        <w:fldChar w:fldCharType="separate"/>
      </w:r>
      <w:r w:rsidR="00EC325E" w:rsidRPr="00CB3320">
        <w:rPr>
          <w:rFonts w:hint="eastAsia"/>
        </w:rPr>
        <w:t>表</w:t>
      </w:r>
      <w:r w:rsidR="00EC325E" w:rsidRPr="00CB3320">
        <w:t>1</w:t>
      </w:r>
      <w:r w:rsidR="004902F6" w:rsidRPr="00CB3320">
        <w:fldChar w:fldCharType="end"/>
      </w:r>
      <w:r w:rsidRPr="00CB3320">
        <w:rPr>
          <w:rFonts w:hint="eastAsia"/>
        </w:rPr>
        <w:t>）相比，</w:t>
      </w:r>
      <w:r w:rsidRPr="00CB3320">
        <w:rPr>
          <w:rFonts w:hint="eastAsia"/>
        </w:rPr>
        <w:t>ETS</w:t>
      </w:r>
      <w:r w:rsidRPr="00CB3320">
        <w:rPr>
          <w:rFonts w:hint="eastAsia"/>
        </w:rPr>
        <w:t>对全要素生产率的负直接影响有所降低。研究还表明，不考虑空间相关性的</w:t>
      </w:r>
      <w:r w:rsidRPr="00CB3320">
        <w:rPr>
          <w:rFonts w:hint="eastAsia"/>
        </w:rPr>
        <w:t>DID</w:t>
      </w:r>
      <w:r w:rsidRPr="00CB3320">
        <w:rPr>
          <w:rFonts w:hint="eastAsia"/>
        </w:rPr>
        <w:t>模型可能高估了</w:t>
      </w:r>
      <w:proofErr w:type="gramStart"/>
      <w:r w:rsidRPr="00CB3320">
        <w:rPr>
          <w:rFonts w:hint="eastAsia"/>
        </w:rPr>
        <w:t>碳</w:t>
      </w:r>
      <w:r w:rsidR="008315A1" w:rsidRPr="00CB3320">
        <w:rPr>
          <w:rFonts w:hint="eastAsia"/>
        </w:rPr>
        <w:t>试点</w:t>
      </w:r>
      <w:proofErr w:type="gramEnd"/>
      <w:r w:rsidRPr="00CB3320">
        <w:rPr>
          <w:rFonts w:hint="eastAsia"/>
        </w:rPr>
        <w:t>的直接负面影响，因为</w:t>
      </w:r>
      <w:proofErr w:type="gramStart"/>
      <w:r w:rsidRPr="00CB3320">
        <w:rPr>
          <w:rFonts w:hint="eastAsia"/>
        </w:rPr>
        <w:t>碳</w:t>
      </w:r>
      <w:r w:rsidR="008315A1" w:rsidRPr="00CB3320">
        <w:rPr>
          <w:rFonts w:hint="eastAsia"/>
        </w:rPr>
        <w:t>试点</w:t>
      </w:r>
      <w:proofErr w:type="gramEnd"/>
      <w:r w:rsidRPr="00CB3320">
        <w:rPr>
          <w:rFonts w:hint="eastAsia"/>
        </w:rPr>
        <w:t>也会提高</w:t>
      </w:r>
      <w:proofErr w:type="gramStart"/>
      <w:r w:rsidRPr="00CB3320">
        <w:rPr>
          <w:rFonts w:hint="eastAsia"/>
        </w:rPr>
        <w:t>非碳</w:t>
      </w:r>
      <w:r w:rsidR="008315A1" w:rsidRPr="00CB3320">
        <w:rPr>
          <w:rFonts w:hint="eastAsia"/>
        </w:rPr>
        <w:t>试点</w:t>
      </w:r>
      <w:proofErr w:type="gramEnd"/>
      <w:r w:rsidRPr="00CB3320">
        <w:rPr>
          <w:rFonts w:hint="eastAsia"/>
        </w:rPr>
        <w:t>地区的全要素生产率。另外，根据总效应的结果，我们可以</w:t>
      </w:r>
      <w:r w:rsidR="00D50C94" w:rsidRPr="00CB3320">
        <w:rPr>
          <w:rFonts w:hint="eastAsia"/>
        </w:rPr>
        <w:t>大致</w:t>
      </w:r>
      <w:r w:rsidRPr="00CB3320">
        <w:rPr>
          <w:rFonts w:hint="eastAsia"/>
        </w:rPr>
        <w:t>地认为，在考虑了空间溢出效应后，</w:t>
      </w:r>
      <w:proofErr w:type="gramStart"/>
      <w:r w:rsidRPr="00CB3320">
        <w:rPr>
          <w:rFonts w:hint="eastAsia"/>
        </w:rPr>
        <w:t>碳试点</w:t>
      </w:r>
      <w:proofErr w:type="gramEnd"/>
      <w:r w:rsidR="00D50C94" w:rsidRPr="00CB3320">
        <w:rPr>
          <w:rFonts w:hint="eastAsia"/>
        </w:rPr>
        <w:t>从整体来看，</w:t>
      </w:r>
      <w:r w:rsidRPr="00CB3320">
        <w:rPr>
          <w:rFonts w:hint="eastAsia"/>
        </w:rPr>
        <w:t>对国家全要素生产率起到了积极的作用。</w:t>
      </w:r>
    </w:p>
    <w:p w14:paraId="4EC2D150" w14:textId="34474464" w:rsidR="004D6769" w:rsidRPr="00CB3320" w:rsidRDefault="004D6769" w:rsidP="00D50C94">
      <w:pPr>
        <w:ind w:firstLine="420"/>
      </w:pPr>
      <w:r w:rsidRPr="00CB3320">
        <w:rPr>
          <w:rFonts w:hint="eastAsia"/>
        </w:rPr>
        <w:t>结果表明，技术溢出效应显著大于产业转移的影响。意料之外，但合情合理。因为技术溢出的</w:t>
      </w:r>
      <w:r w:rsidR="00494916" w:rsidRPr="00CB3320">
        <w:rPr>
          <w:rFonts w:hint="eastAsia"/>
        </w:rPr>
        <w:t>成本</w:t>
      </w:r>
      <w:r w:rsidRPr="00CB3320">
        <w:rPr>
          <w:rFonts w:hint="eastAsia"/>
        </w:rPr>
        <w:t>远比产业转移</w:t>
      </w:r>
      <w:r w:rsidR="00494916" w:rsidRPr="00CB3320">
        <w:rPr>
          <w:rFonts w:hint="eastAsia"/>
        </w:rPr>
        <w:t>低</w:t>
      </w:r>
      <w:r w:rsidRPr="00CB3320">
        <w:rPr>
          <w:rFonts w:hint="eastAsia"/>
        </w:rPr>
        <w:t>。此外，由于</w:t>
      </w:r>
      <w:r w:rsidR="00F810DB" w:rsidRPr="00CB3320">
        <w:rPr>
          <w:rFonts w:hint="eastAsia"/>
        </w:rPr>
        <w:t>存在</w:t>
      </w:r>
      <w:r w:rsidRPr="00CB3320">
        <w:rPr>
          <w:rFonts w:hint="eastAsia"/>
        </w:rPr>
        <w:t>非试点地区将很快参与全国</w:t>
      </w:r>
      <w:proofErr w:type="gramStart"/>
      <w:r w:rsidRPr="00CB3320">
        <w:rPr>
          <w:rFonts w:hint="eastAsia"/>
        </w:rPr>
        <w:t>碳交易</w:t>
      </w:r>
      <w:proofErr w:type="gramEnd"/>
      <w:r w:rsidRPr="00CB3320">
        <w:rPr>
          <w:rFonts w:hint="eastAsia"/>
        </w:rPr>
        <w:t>市场</w:t>
      </w:r>
      <w:r w:rsidR="00F810DB" w:rsidRPr="00CB3320">
        <w:rPr>
          <w:rFonts w:hint="eastAsia"/>
        </w:rPr>
        <w:t>的预期</w:t>
      </w:r>
      <w:r w:rsidRPr="00CB3320">
        <w:rPr>
          <w:rFonts w:hint="eastAsia"/>
        </w:rPr>
        <w:t>，</w:t>
      </w:r>
      <w:r w:rsidR="008577E4" w:rsidRPr="00CB3320">
        <w:rPr>
          <w:rFonts w:hint="eastAsia"/>
        </w:rPr>
        <w:t>因此</w:t>
      </w:r>
      <w:r w:rsidRPr="00CB3320">
        <w:rPr>
          <w:rFonts w:hint="eastAsia"/>
        </w:rPr>
        <w:t>污染天堂假说可能</w:t>
      </w:r>
      <w:r w:rsidR="00047413" w:rsidRPr="00CB3320">
        <w:rPr>
          <w:rFonts w:hint="eastAsia"/>
        </w:rPr>
        <w:t>并不</w:t>
      </w:r>
      <w:proofErr w:type="gramStart"/>
      <w:r w:rsidRPr="00CB3320">
        <w:rPr>
          <w:rFonts w:hint="eastAsia"/>
        </w:rPr>
        <w:t>不</w:t>
      </w:r>
      <w:proofErr w:type="gramEnd"/>
      <w:r w:rsidRPr="00CB3320">
        <w:rPr>
          <w:rFonts w:hint="eastAsia"/>
        </w:rPr>
        <w:t>成立。</w:t>
      </w:r>
      <w:r w:rsidR="00047413" w:rsidRPr="00CB3320">
        <w:rPr>
          <w:rFonts w:hint="eastAsia"/>
        </w:rPr>
        <w:t>因此，假说</w:t>
      </w:r>
      <w:r w:rsidR="00047413" w:rsidRPr="00CB3320">
        <w:rPr>
          <w:rFonts w:hint="eastAsia"/>
        </w:rPr>
        <w:t>2a</w:t>
      </w:r>
      <w:r w:rsidR="00047413" w:rsidRPr="00CB3320">
        <w:rPr>
          <w:rFonts w:hint="eastAsia"/>
        </w:rPr>
        <w:t>可能成立，而实证结果没有证明假说</w:t>
      </w:r>
      <w:r w:rsidR="00047413" w:rsidRPr="00CB3320">
        <w:rPr>
          <w:rFonts w:hint="eastAsia"/>
        </w:rPr>
        <w:t>2b</w:t>
      </w:r>
      <w:r w:rsidR="00047413" w:rsidRPr="00CB3320">
        <w:rPr>
          <w:rFonts w:hint="eastAsia"/>
        </w:rPr>
        <w:t>和假说</w:t>
      </w:r>
      <w:r w:rsidR="00047413" w:rsidRPr="00CB3320">
        <w:rPr>
          <w:rFonts w:hint="eastAsia"/>
        </w:rPr>
        <w:t>2c</w:t>
      </w:r>
      <w:r w:rsidR="00047413" w:rsidRPr="00CB3320">
        <w:rPr>
          <w:rFonts w:hint="eastAsia"/>
        </w:rPr>
        <w:t>的成立。</w:t>
      </w:r>
    </w:p>
    <w:p w14:paraId="6987C802" w14:textId="43F01DB4" w:rsidR="00A61A68" w:rsidRPr="00CB3320" w:rsidRDefault="00A61A68" w:rsidP="008563F3">
      <w:pPr>
        <w:pStyle w:val="TableX"/>
      </w:pPr>
      <w:bookmarkStart w:id="57" w:name="_Ref75591059"/>
      <w:r w:rsidRPr="00CB3320">
        <w:rPr>
          <w:rFonts w:hint="eastAsia"/>
        </w:rPr>
        <w:t>表</w:t>
      </w:r>
      <w:r w:rsidR="00E21259" w:rsidRPr="00CB3320">
        <w:fldChar w:fldCharType="begin"/>
      </w:r>
      <w:r w:rsidR="00E21259" w:rsidRPr="00CB3320">
        <w:instrText xml:space="preserve"> </w:instrText>
      </w:r>
      <w:r w:rsidR="00E21259" w:rsidRPr="00CB3320">
        <w:rPr>
          <w:rFonts w:hint="eastAsia"/>
        </w:rPr>
        <w:instrText xml:space="preserve">SEQ </w:instrText>
      </w:r>
      <w:r w:rsidR="00E21259" w:rsidRPr="00CB3320">
        <w:rPr>
          <w:rFonts w:hint="eastAsia"/>
        </w:rPr>
        <w:instrText>表</w:instrText>
      </w:r>
      <w:r w:rsidR="00E21259" w:rsidRPr="00CB3320">
        <w:rPr>
          <w:rFonts w:hint="eastAsia"/>
        </w:rPr>
        <w:instrText xml:space="preserve"> \* ARABIC</w:instrText>
      </w:r>
      <w:r w:rsidR="00E21259" w:rsidRPr="00CB3320">
        <w:instrText xml:space="preserve"> </w:instrText>
      </w:r>
      <w:r w:rsidR="00E21259" w:rsidRPr="00CB3320">
        <w:fldChar w:fldCharType="separate"/>
      </w:r>
      <w:r w:rsidR="00047413" w:rsidRPr="00CB3320">
        <w:rPr>
          <w:noProof/>
        </w:rPr>
        <w:t>4</w:t>
      </w:r>
      <w:r w:rsidR="00E21259" w:rsidRPr="00CB3320">
        <w:fldChar w:fldCharType="end"/>
      </w:r>
      <w:bookmarkEnd w:id="57"/>
      <w:r w:rsidR="00344D5D" w:rsidRPr="00CB3320">
        <w:t xml:space="preserve">  </w:t>
      </w:r>
      <w:r w:rsidRPr="00CB3320">
        <w:rPr>
          <w:rFonts w:hint="eastAsia"/>
        </w:rPr>
        <w:t>空间杜宾模型结果</w:t>
      </w:r>
    </w:p>
    <w:tbl>
      <w:tblPr>
        <w:tblW w:w="5078" w:type="pct"/>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81"/>
        <w:gridCol w:w="1048"/>
        <w:gridCol w:w="1048"/>
        <w:gridCol w:w="1046"/>
        <w:gridCol w:w="1047"/>
        <w:gridCol w:w="1047"/>
        <w:gridCol w:w="1047"/>
        <w:gridCol w:w="1047"/>
      </w:tblGrid>
      <w:tr w:rsidR="00A723D7" w:rsidRPr="00CB3320" w14:paraId="4A3633A2" w14:textId="77777777" w:rsidTr="00A723D7">
        <w:trPr>
          <w:trHeight w:val="270"/>
        </w:trPr>
        <w:tc>
          <w:tcPr>
            <w:tcW w:w="770" w:type="pct"/>
            <w:noWrap/>
            <w:vAlign w:val="center"/>
            <w:hideMark/>
          </w:tcPr>
          <w:p w14:paraId="1ACF0482" w14:textId="77777777" w:rsidR="00483A0C" w:rsidRPr="00CB3320" w:rsidRDefault="00483A0C" w:rsidP="00A723D7">
            <w:pPr>
              <w:pStyle w:val="table"/>
            </w:pPr>
            <w:r w:rsidRPr="00CB3320">
              <w:rPr>
                <w:rFonts w:hint="eastAsia"/>
              </w:rPr>
              <w:t xml:space="preserve">　</w:t>
            </w:r>
          </w:p>
        </w:tc>
        <w:tc>
          <w:tcPr>
            <w:tcW w:w="605" w:type="pct"/>
            <w:noWrap/>
            <w:vAlign w:val="center"/>
            <w:hideMark/>
          </w:tcPr>
          <w:p w14:paraId="12EC9D63" w14:textId="77777777" w:rsidR="00483A0C" w:rsidRPr="00CB3320" w:rsidRDefault="00483A0C" w:rsidP="00A723D7">
            <w:pPr>
              <w:pStyle w:val="table"/>
            </w:pPr>
            <w:r w:rsidRPr="00CB3320">
              <w:t>(1)</w:t>
            </w:r>
          </w:p>
        </w:tc>
        <w:tc>
          <w:tcPr>
            <w:tcW w:w="605" w:type="pct"/>
            <w:noWrap/>
            <w:vAlign w:val="center"/>
            <w:hideMark/>
          </w:tcPr>
          <w:p w14:paraId="1A5E8E3F" w14:textId="77777777" w:rsidR="00483A0C" w:rsidRPr="00CB3320" w:rsidRDefault="00483A0C" w:rsidP="00A723D7">
            <w:pPr>
              <w:pStyle w:val="table"/>
            </w:pPr>
            <w:r w:rsidRPr="00CB3320">
              <w:t>(2)</w:t>
            </w:r>
          </w:p>
        </w:tc>
        <w:tc>
          <w:tcPr>
            <w:tcW w:w="604" w:type="pct"/>
            <w:noWrap/>
            <w:vAlign w:val="center"/>
            <w:hideMark/>
          </w:tcPr>
          <w:p w14:paraId="3883D1F7" w14:textId="77777777" w:rsidR="00483A0C" w:rsidRPr="00CB3320" w:rsidRDefault="00483A0C" w:rsidP="00A723D7">
            <w:pPr>
              <w:pStyle w:val="table"/>
            </w:pPr>
            <w:r w:rsidRPr="00CB3320">
              <w:t>(3)</w:t>
            </w:r>
          </w:p>
        </w:tc>
        <w:tc>
          <w:tcPr>
            <w:tcW w:w="604" w:type="pct"/>
            <w:noWrap/>
            <w:vAlign w:val="center"/>
            <w:hideMark/>
          </w:tcPr>
          <w:p w14:paraId="341ACAB8" w14:textId="77777777" w:rsidR="00483A0C" w:rsidRPr="00CB3320" w:rsidRDefault="00483A0C" w:rsidP="00A723D7">
            <w:pPr>
              <w:pStyle w:val="table"/>
            </w:pPr>
            <w:r w:rsidRPr="00CB3320">
              <w:t>(4)</w:t>
            </w:r>
          </w:p>
        </w:tc>
        <w:tc>
          <w:tcPr>
            <w:tcW w:w="604" w:type="pct"/>
            <w:noWrap/>
            <w:vAlign w:val="center"/>
            <w:hideMark/>
          </w:tcPr>
          <w:p w14:paraId="02DFD475" w14:textId="77777777" w:rsidR="00483A0C" w:rsidRPr="00CB3320" w:rsidRDefault="00483A0C" w:rsidP="00A723D7">
            <w:pPr>
              <w:pStyle w:val="table"/>
            </w:pPr>
            <w:r w:rsidRPr="00CB3320">
              <w:t>(5)</w:t>
            </w:r>
          </w:p>
        </w:tc>
        <w:tc>
          <w:tcPr>
            <w:tcW w:w="604" w:type="pct"/>
            <w:noWrap/>
            <w:vAlign w:val="center"/>
            <w:hideMark/>
          </w:tcPr>
          <w:p w14:paraId="5FE63749" w14:textId="77777777" w:rsidR="00483A0C" w:rsidRPr="00CB3320" w:rsidRDefault="00483A0C" w:rsidP="00A723D7">
            <w:pPr>
              <w:pStyle w:val="table"/>
            </w:pPr>
            <w:r w:rsidRPr="00CB3320">
              <w:t>(6)</w:t>
            </w:r>
          </w:p>
        </w:tc>
        <w:tc>
          <w:tcPr>
            <w:tcW w:w="604" w:type="pct"/>
            <w:noWrap/>
            <w:vAlign w:val="center"/>
            <w:hideMark/>
          </w:tcPr>
          <w:p w14:paraId="1DE3E0DD" w14:textId="77777777" w:rsidR="00483A0C" w:rsidRPr="00CB3320" w:rsidRDefault="00483A0C" w:rsidP="00A723D7">
            <w:pPr>
              <w:pStyle w:val="table"/>
            </w:pPr>
            <w:r w:rsidRPr="00CB3320">
              <w:t>(7)</w:t>
            </w:r>
          </w:p>
        </w:tc>
      </w:tr>
      <w:tr w:rsidR="00A723D7" w:rsidRPr="00CB3320" w14:paraId="793860C6" w14:textId="77777777" w:rsidTr="00A723D7">
        <w:trPr>
          <w:trHeight w:val="270"/>
        </w:trPr>
        <w:tc>
          <w:tcPr>
            <w:tcW w:w="770" w:type="pct"/>
            <w:noWrap/>
            <w:vAlign w:val="center"/>
            <w:hideMark/>
          </w:tcPr>
          <w:p w14:paraId="1C67B448" w14:textId="77777777" w:rsidR="00483A0C" w:rsidRPr="00CB3320" w:rsidRDefault="00483A0C" w:rsidP="00A723D7">
            <w:pPr>
              <w:pStyle w:val="table"/>
            </w:pPr>
            <w:r w:rsidRPr="00CB3320">
              <w:rPr>
                <w:rFonts w:hint="eastAsia"/>
              </w:rPr>
              <w:t xml:space="preserve">　</w:t>
            </w:r>
          </w:p>
        </w:tc>
        <w:tc>
          <w:tcPr>
            <w:tcW w:w="605" w:type="pct"/>
            <w:noWrap/>
            <w:vAlign w:val="center"/>
            <w:hideMark/>
          </w:tcPr>
          <w:p w14:paraId="517BED3F" w14:textId="77777777" w:rsidR="00483A0C" w:rsidRPr="00CB3320" w:rsidRDefault="00483A0C" w:rsidP="00A723D7">
            <w:pPr>
              <w:pStyle w:val="table"/>
            </w:pPr>
            <w:r w:rsidRPr="00CB3320">
              <w:t>TFP</w:t>
            </w:r>
          </w:p>
        </w:tc>
        <w:tc>
          <w:tcPr>
            <w:tcW w:w="605" w:type="pct"/>
            <w:noWrap/>
            <w:vAlign w:val="center"/>
            <w:hideMark/>
          </w:tcPr>
          <w:p w14:paraId="1A49617B" w14:textId="77777777" w:rsidR="00483A0C" w:rsidRPr="00CB3320" w:rsidRDefault="00483A0C" w:rsidP="00A723D7">
            <w:pPr>
              <w:pStyle w:val="table"/>
            </w:pPr>
            <w:r w:rsidRPr="00CB3320">
              <w:t>TFP</w:t>
            </w:r>
          </w:p>
        </w:tc>
        <w:tc>
          <w:tcPr>
            <w:tcW w:w="604" w:type="pct"/>
            <w:noWrap/>
            <w:vAlign w:val="center"/>
            <w:hideMark/>
          </w:tcPr>
          <w:p w14:paraId="0C2D6C20" w14:textId="77777777" w:rsidR="00483A0C" w:rsidRPr="00CB3320" w:rsidRDefault="00483A0C" w:rsidP="00A723D7">
            <w:pPr>
              <w:pStyle w:val="table"/>
            </w:pPr>
            <w:r w:rsidRPr="00CB3320">
              <w:t>TFP</w:t>
            </w:r>
          </w:p>
        </w:tc>
        <w:tc>
          <w:tcPr>
            <w:tcW w:w="604" w:type="pct"/>
            <w:noWrap/>
            <w:vAlign w:val="center"/>
            <w:hideMark/>
          </w:tcPr>
          <w:p w14:paraId="4599C331" w14:textId="77777777" w:rsidR="00483A0C" w:rsidRPr="00CB3320" w:rsidRDefault="00483A0C" w:rsidP="00A723D7">
            <w:pPr>
              <w:pStyle w:val="table"/>
            </w:pPr>
            <w:r w:rsidRPr="00CB3320">
              <w:t>TFP</w:t>
            </w:r>
          </w:p>
        </w:tc>
        <w:tc>
          <w:tcPr>
            <w:tcW w:w="604" w:type="pct"/>
            <w:noWrap/>
            <w:vAlign w:val="center"/>
            <w:hideMark/>
          </w:tcPr>
          <w:p w14:paraId="36E21827" w14:textId="77777777" w:rsidR="00483A0C" w:rsidRPr="00CB3320" w:rsidRDefault="00483A0C" w:rsidP="00A723D7">
            <w:pPr>
              <w:pStyle w:val="table"/>
            </w:pPr>
            <w:r w:rsidRPr="00CB3320">
              <w:t>TFP</w:t>
            </w:r>
          </w:p>
        </w:tc>
        <w:tc>
          <w:tcPr>
            <w:tcW w:w="604" w:type="pct"/>
            <w:noWrap/>
            <w:vAlign w:val="center"/>
            <w:hideMark/>
          </w:tcPr>
          <w:p w14:paraId="1AC5527B" w14:textId="77777777" w:rsidR="00483A0C" w:rsidRPr="00CB3320" w:rsidRDefault="00483A0C" w:rsidP="00A723D7">
            <w:pPr>
              <w:pStyle w:val="table"/>
            </w:pPr>
            <w:r w:rsidRPr="00CB3320">
              <w:t>TFP</w:t>
            </w:r>
          </w:p>
        </w:tc>
        <w:tc>
          <w:tcPr>
            <w:tcW w:w="604" w:type="pct"/>
            <w:noWrap/>
            <w:vAlign w:val="center"/>
            <w:hideMark/>
          </w:tcPr>
          <w:p w14:paraId="1EFA0902" w14:textId="77777777" w:rsidR="00483A0C" w:rsidRPr="00CB3320" w:rsidRDefault="00483A0C" w:rsidP="00A723D7">
            <w:pPr>
              <w:pStyle w:val="table"/>
            </w:pPr>
            <w:r w:rsidRPr="00CB3320">
              <w:t>TFP</w:t>
            </w:r>
          </w:p>
        </w:tc>
      </w:tr>
      <w:tr w:rsidR="00A723D7" w:rsidRPr="00CB3320" w14:paraId="487DD6CC" w14:textId="77777777" w:rsidTr="00A723D7">
        <w:trPr>
          <w:trHeight w:val="270"/>
        </w:trPr>
        <w:tc>
          <w:tcPr>
            <w:tcW w:w="770" w:type="pct"/>
            <w:noWrap/>
            <w:vAlign w:val="center"/>
            <w:hideMark/>
          </w:tcPr>
          <w:p w14:paraId="65B44D71" w14:textId="28894FC3" w:rsidR="001A0FD6" w:rsidRPr="00CB3320" w:rsidRDefault="00A723D7" w:rsidP="00A723D7">
            <w:pPr>
              <w:pStyle w:val="table"/>
            </w:pPr>
            <w:r w:rsidRPr="00CB3320">
              <w:t>主</w:t>
            </w:r>
            <w:r w:rsidRPr="00CB3320">
              <w:rPr>
                <w:rFonts w:hint="eastAsia"/>
              </w:rPr>
              <w:t>系数</w:t>
            </w:r>
            <w:r w:rsidRPr="00CB3320">
              <w:t>D_ETS</w:t>
            </w:r>
          </w:p>
        </w:tc>
        <w:tc>
          <w:tcPr>
            <w:tcW w:w="605" w:type="pct"/>
            <w:noWrap/>
            <w:vAlign w:val="center"/>
            <w:hideMark/>
          </w:tcPr>
          <w:p w14:paraId="6C95B9B1" w14:textId="77777777" w:rsidR="001A0FD6" w:rsidRPr="00CB3320" w:rsidRDefault="001A0FD6" w:rsidP="00A723D7">
            <w:pPr>
              <w:pStyle w:val="table"/>
            </w:pPr>
            <w:r w:rsidRPr="00CB3320">
              <w:t>-0.0241***</w:t>
            </w:r>
          </w:p>
          <w:p w14:paraId="510BC543" w14:textId="0CEA6581" w:rsidR="00A723D7" w:rsidRPr="00CB3320" w:rsidRDefault="00A723D7" w:rsidP="00A723D7">
            <w:pPr>
              <w:pStyle w:val="table"/>
            </w:pPr>
            <w:r w:rsidRPr="00CB3320">
              <w:t>(0.00556)</w:t>
            </w:r>
          </w:p>
        </w:tc>
        <w:tc>
          <w:tcPr>
            <w:tcW w:w="605" w:type="pct"/>
            <w:noWrap/>
            <w:vAlign w:val="center"/>
            <w:hideMark/>
          </w:tcPr>
          <w:p w14:paraId="59E35E91" w14:textId="77777777" w:rsidR="001A0FD6" w:rsidRPr="00CB3320" w:rsidRDefault="001A0FD6" w:rsidP="00A723D7">
            <w:pPr>
              <w:pStyle w:val="table"/>
            </w:pPr>
            <w:r w:rsidRPr="00CB3320">
              <w:t>-0.0421***</w:t>
            </w:r>
          </w:p>
          <w:p w14:paraId="4B9B73AE" w14:textId="02AFD737" w:rsidR="00A723D7" w:rsidRPr="00CB3320" w:rsidRDefault="00A723D7" w:rsidP="00A723D7">
            <w:pPr>
              <w:pStyle w:val="table"/>
            </w:pPr>
            <w:r w:rsidRPr="00CB3320">
              <w:t>(0.00497)</w:t>
            </w:r>
          </w:p>
        </w:tc>
        <w:tc>
          <w:tcPr>
            <w:tcW w:w="604" w:type="pct"/>
            <w:noWrap/>
            <w:vAlign w:val="center"/>
            <w:hideMark/>
          </w:tcPr>
          <w:p w14:paraId="402BA6CF" w14:textId="77777777" w:rsidR="001A0FD6" w:rsidRPr="00CB3320" w:rsidRDefault="001A0FD6" w:rsidP="00A723D7">
            <w:pPr>
              <w:pStyle w:val="table"/>
            </w:pPr>
            <w:r w:rsidRPr="00CB3320">
              <w:t>-0.0396***</w:t>
            </w:r>
          </w:p>
          <w:p w14:paraId="25B1B9F9" w14:textId="65AB288A" w:rsidR="00A723D7" w:rsidRPr="00CB3320" w:rsidRDefault="00A723D7" w:rsidP="00A723D7">
            <w:pPr>
              <w:pStyle w:val="table"/>
            </w:pPr>
            <w:r w:rsidRPr="00CB3320">
              <w:t>(0.00490)</w:t>
            </w:r>
          </w:p>
        </w:tc>
        <w:tc>
          <w:tcPr>
            <w:tcW w:w="604" w:type="pct"/>
            <w:noWrap/>
            <w:vAlign w:val="center"/>
            <w:hideMark/>
          </w:tcPr>
          <w:p w14:paraId="4F059AA3" w14:textId="77777777" w:rsidR="001A0FD6" w:rsidRPr="00CB3320" w:rsidRDefault="001A0FD6" w:rsidP="00A723D7">
            <w:pPr>
              <w:pStyle w:val="table"/>
            </w:pPr>
            <w:r w:rsidRPr="00CB3320">
              <w:t>-0.0388***</w:t>
            </w:r>
          </w:p>
          <w:p w14:paraId="2E383E2E" w14:textId="250A3F0D" w:rsidR="00A723D7" w:rsidRPr="00CB3320" w:rsidRDefault="00A723D7" w:rsidP="00A723D7">
            <w:pPr>
              <w:pStyle w:val="table"/>
            </w:pPr>
            <w:r w:rsidRPr="00CB3320">
              <w:t>(0.00492)</w:t>
            </w:r>
          </w:p>
        </w:tc>
        <w:tc>
          <w:tcPr>
            <w:tcW w:w="604" w:type="pct"/>
            <w:noWrap/>
            <w:vAlign w:val="center"/>
            <w:hideMark/>
          </w:tcPr>
          <w:p w14:paraId="1F31F77C" w14:textId="77777777" w:rsidR="001A0FD6" w:rsidRPr="00CB3320" w:rsidRDefault="001A0FD6" w:rsidP="00A723D7">
            <w:pPr>
              <w:pStyle w:val="table"/>
            </w:pPr>
            <w:r w:rsidRPr="00CB3320">
              <w:t>-0.0391***</w:t>
            </w:r>
          </w:p>
          <w:p w14:paraId="3EB63172" w14:textId="5AF006F8" w:rsidR="00A723D7" w:rsidRPr="00CB3320" w:rsidRDefault="00A723D7" w:rsidP="00A723D7">
            <w:pPr>
              <w:pStyle w:val="table"/>
            </w:pPr>
            <w:r w:rsidRPr="00CB3320">
              <w:t>(0.00491)</w:t>
            </w:r>
          </w:p>
        </w:tc>
        <w:tc>
          <w:tcPr>
            <w:tcW w:w="604" w:type="pct"/>
            <w:noWrap/>
            <w:vAlign w:val="center"/>
            <w:hideMark/>
          </w:tcPr>
          <w:p w14:paraId="3D9F657F" w14:textId="77777777" w:rsidR="001A0FD6" w:rsidRPr="00CB3320" w:rsidRDefault="001A0FD6" w:rsidP="00A723D7">
            <w:pPr>
              <w:pStyle w:val="table"/>
            </w:pPr>
            <w:r w:rsidRPr="00CB3320">
              <w:t>-0.0384***</w:t>
            </w:r>
          </w:p>
          <w:p w14:paraId="6E93A7DF" w14:textId="27059B38" w:rsidR="00A723D7" w:rsidRPr="00CB3320" w:rsidRDefault="00A723D7" w:rsidP="00A723D7">
            <w:pPr>
              <w:pStyle w:val="table"/>
            </w:pPr>
            <w:r w:rsidRPr="00CB3320">
              <w:t>(0.00492)</w:t>
            </w:r>
          </w:p>
        </w:tc>
        <w:tc>
          <w:tcPr>
            <w:tcW w:w="604" w:type="pct"/>
            <w:noWrap/>
            <w:vAlign w:val="center"/>
            <w:hideMark/>
          </w:tcPr>
          <w:p w14:paraId="11515E29" w14:textId="77777777" w:rsidR="001A0FD6" w:rsidRPr="00CB3320" w:rsidRDefault="001A0FD6" w:rsidP="00A723D7">
            <w:pPr>
              <w:pStyle w:val="table"/>
            </w:pPr>
            <w:r w:rsidRPr="00CB3320">
              <w:t>-0.0374***</w:t>
            </w:r>
          </w:p>
          <w:p w14:paraId="319BFE77" w14:textId="799613A6" w:rsidR="00A723D7" w:rsidRPr="00CB3320" w:rsidRDefault="00A723D7" w:rsidP="00A723D7">
            <w:pPr>
              <w:pStyle w:val="table"/>
            </w:pPr>
            <w:r w:rsidRPr="00CB3320">
              <w:t>(0.00493)</w:t>
            </w:r>
          </w:p>
        </w:tc>
      </w:tr>
      <w:tr w:rsidR="00A723D7" w:rsidRPr="00CB3320" w14:paraId="52444971" w14:textId="77777777" w:rsidTr="00A723D7">
        <w:trPr>
          <w:trHeight w:val="270"/>
        </w:trPr>
        <w:tc>
          <w:tcPr>
            <w:tcW w:w="770" w:type="pct"/>
            <w:noWrap/>
            <w:vAlign w:val="center"/>
            <w:hideMark/>
          </w:tcPr>
          <w:p w14:paraId="758634C7" w14:textId="49DAB4D8" w:rsidR="001A0FD6" w:rsidRPr="00CB3320" w:rsidRDefault="00A723D7" w:rsidP="00A723D7">
            <w:pPr>
              <w:pStyle w:val="table"/>
            </w:pPr>
            <w:r w:rsidRPr="00CB3320">
              <w:t>空间杜宾</w:t>
            </w:r>
            <w:r w:rsidRPr="00CB3320">
              <w:rPr>
                <w:rFonts w:hint="eastAsia"/>
              </w:rPr>
              <w:t>系数</w:t>
            </w:r>
            <w:r w:rsidR="001A0FD6" w:rsidRPr="00CB3320">
              <w:t>D_ETS</w:t>
            </w:r>
          </w:p>
        </w:tc>
        <w:tc>
          <w:tcPr>
            <w:tcW w:w="605" w:type="pct"/>
            <w:noWrap/>
            <w:vAlign w:val="center"/>
            <w:hideMark/>
          </w:tcPr>
          <w:p w14:paraId="5828E302" w14:textId="77777777" w:rsidR="001A0FD6" w:rsidRPr="00CB3320" w:rsidRDefault="001A0FD6" w:rsidP="00A723D7">
            <w:pPr>
              <w:pStyle w:val="table"/>
            </w:pPr>
            <w:r w:rsidRPr="00CB3320">
              <w:t>0.0355**</w:t>
            </w:r>
          </w:p>
          <w:p w14:paraId="38A3BDD7" w14:textId="3399B8B1" w:rsidR="00A723D7" w:rsidRPr="00CB3320" w:rsidRDefault="00A723D7" w:rsidP="00A723D7">
            <w:pPr>
              <w:pStyle w:val="table"/>
            </w:pPr>
            <w:r w:rsidRPr="00CB3320">
              <w:t>(0.0165)</w:t>
            </w:r>
          </w:p>
        </w:tc>
        <w:tc>
          <w:tcPr>
            <w:tcW w:w="605" w:type="pct"/>
            <w:noWrap/>
            <w:vAlign w:val="center"/>
            <w:hideMark/>
          </w:tcPr>
          <w:p w14:paraId="3C71EC60" w14:textId="77777777" w:rsidR="001A0FD6" w:rsidRPr="00CB3320" w:rsidRDefault="001A0FD6" w:rsidP="00A723D7">
            <w:pPr>
              <w:pStyle w:val="table"/>
            </w:pPr>
            <w:r w:rsidRPr="00CB3320">
              <w:t>0.0798***</w:t>
            </w:r>
          </w:p>
          <w:p w14:paraId="7CB6AB35" w14:textId="7985F351" w:rsidR="00A723D7" w:rsidRPr="00CB3320" w:rsidRDefault="00A723D7" w:rsidP="00A723D7">
            <w:pPr>
              <w:pStyle w:val="table"/>
            </w:pPr>
            <w:r w:rsidRPr="00CB3320">
              <w:t>(0.0147)</w:t>
            </w:r>
          </w:p>
        </w:tc>
        <w:tc>
          <w:tcPr>
            <w:tcW w:w="604" w:type="pct"/>
            <w:noWrap/>
            <w:vAlign w:val="center"/>
            <w:hideMark/>
          </w:tcPr>
          <w:p w14:paraId="537C9BFE" w14:textId="77777777" w:rsidR="001A0FD6" w:rsidRPr="00CB3320" w:rsidRDefault="001A0FD6" w:rsidP="00A723D7">
            <w:pPr>
              <w:pStyle w:val="table"/>
            </w:pPr>
            <w:r w:rsidRPr="00CB3320">
              <w:t>0.0711***</w:t>
            </w:r>
          </w:p>
          <w:p w14:paraId="06D302C0" w14:textId="6E7941A7" w:rsidR="00A723D7" w:rsidRPr="00CB3320" w:rsidRDefault="00A723D7" w:rsidP="00A723D7">
            <w:pPr>
              <w:pStyle w:val="table"/>
            </w:pPr>
            <w:r w:rsidRPr="00CB3320">
              <w:t>(0.0145)</w:t>
            </w:r>
          </w:p>
        </w:tc>
        <w:tc>
          <w:tcPr>
            <w:tcW w:w="604" w:type="pct"/>
            <w:noWrap/>
            <w:vAlign w:val="center"/>
            <w:hideMark/>
          </w:tcPr>
          <w:p w14:paraId="15C6EC30" w14:textId="77777777" w:rsidR="001A0FD6" w:rsidRPr="00CB3320" w:rsidRDefault="001A0FD6" w:rsidP="00A723D7">
            <w:pPr>
              <w:pStyle w:val="table"/>
            </w:pPr>
            <w:r w:rsidRPr="00CB3320">
              <w:t>0.0687***</w:t>
            </w:r>
          </w:p>
          <w:p w14:paraId="681D21D7" w14:textId="0B5FBDB0" w:rsidR="00A723D7" w:rsidRPr="00CB3320" w:rsidRDefault="00A723D7" w:rsidP="00A723D7">
            <w:pPr>
              <w:pStyle w:val="table"/>
            </w:pPr>
            <w:r w:rsidRPr="00CB3320">
              <w:t>(0.0145)</w:t>
            </w:r>
          </w:p>
        </w:tc>
        <w:tc>
          <w:tcPr>
            <w:tcW w:w="604" w:type="pct"/>
            <w:noWrap/>
            <w:vAlign w:val="center"/>
            <w:hideMark/>
          </w:tcPr>
          <w:p w14:paraId="6FC68B99" w14:textId="77777777" w:rsidR="001A0FD6" w:rsidRPr="00CB3320" w:rsidRDefault="001A0FD6" w:rsidP="00A723D7">
            <w:pPr>
              <w:pStyle w:val="table"/>
            </w:pPr>
            <w:r w:rsidRPr="00CB3320">
              <w:t>0.0662***</w:t>
            </w:r>
          </w:p>
          <w:p w14:paraId="40A827BF" w14:textId="2EE66A9D" w:rsidR="00A723D7" w:rsidRPr="00CB3320" w:rsidRDefault="00A723D7" w:rsidP="00A723D7">
            <w:pPr>
              <w:pStyle w:val="table"/>
            </w:pPr>
            <w:r w:rsidRPr="00CB3320">
              <w:t>(0.0145)</w:t>
            </w:r>
          </w:p>
        </w:tc>
        <w:tc>
          <w:tcPr>
            <w:tcW w:w="604" w:type="pct"/>
            <w:noWrap/>
            <w:vAlign w:val="center"/>
            <w:hideMark/>
          </w:tcPr>
          <w:p w14:paraId="53DC6189" w14:textId="77777777" w:rsidR="001A0FD6" w:rsidRPr="00CB3320" w:rsidRDefault="001A0FD6" w:rsidP="00A723D7">
            <w:pPr>
              <w:pStyle w:val="table"/>
            </w:pPr>
            <w:r w:rsidRPr="00CB3320">
              <w:t>0.0586***</w:t>
            </w:r>
          </w:p>
          <w:p w14:paraId="0E09A0C8" w14:textId="4896B935" w:rsidR="00A723D7" w:rsidRPr="00CB3320" w:rsidRDefault="00A723D7" w:rsidP="00A723D7">
            <w:pPr>
              <w:pStyle w:val="table"/>
            </w:pPr>
            <w:r w:rsidRPr="00CB3320">
              <w:t>(0.0146)</w:t>
            </w:r>
          </w:p>
        </w:tc>
        <w:tc>
          <w:tcPr>
            <w:tcW w:w="604" w:type="pct"/>
            <w:noWrap/>
            <w:vAlign w:val="center"/>
            <w:hideMark/>
          </w:tcPr>
          <w:p w14:paraId="7D1E2336" w14:textId="77777777" w:rsidR="001A0FD6" w:rsidRPr="00CB3320" w:rsidRDefault="001A0FD6" w:rsidP="00A723D7">
            <w:pPr>
              <w:pStyle w:val="table"/>
            </w:pPr>
            <w:r w:rsidRPr="00CB3320">
              <w:t>0.0614***</w:t>
            </w:r>
          </w:p>
          <w:p w14:paraId="2269DCB1" w14:textId="0839BC64" w:rsidR="00A723D7" w:rsidRPr="00CB3320" w:rsidRDefault="00A723D7" w:rsidP="00A723D7">
            <w:pPr>
              <w:pStyle w:val="table"/>
            </w:pPr>
            <w:r w:rsidRPr="00CB3320">
              <w:t>(0.0146)</w:t>
            </w:r>
          </w:p>
        </w:tc>
      </w:tr>
      <w:tr w:rsidR="00A723D7" w:rsidRPr="00CB3320" w14:paraId="1FF70176" w14:textId="77777777" w:rsidTr="00A723D7">
        <w:trPr>
          <w:trHeight w:val="270"/>
        </w:trPr>
        <w:tc>
          <w:tcPr>
            <w:tcW w:w="770" w:type="pct"/>
            <w:noWrap/>
            <w:vAlign w:val="center"/>
            <w:hideMark/>
          </w:tcPr>
          <w:p w14:paraId="78DAD366" w14:textId="5DFADF8A" w:rsidR="001A0FD6" w:rsidRPr="00CB3320" w:rsidRDefault="00A723D7" w:rsidP="00A723D7">
            <w:pPr>
              <w:pStyle w:val="table"/>
            </w:pPr>
            <w:r w:rsidRPr="00CB3320">
              <w:t>空间自回归系数</w:t>
            </w:r>
            <w:r w:rsidR="001A0FD6" w:rsidRPr="00CB3320">
              <w:t>ρ</w:t>
            </w:r>
          </w:p>
        </w:tc>
        <w:tc>
          <w:tcPr>
            <w:tcW w:w="605" w:type="pct"/>
            <w:noWrap/>
            <w:vAlign w:val="center"/>
            <w:hideMark/>
          </w:tcPr>
          <w:p w14:paraId="42EDC899" w14:textId="77777777" w:rsidR="001A0FD6" w:rsidRPr="00CB3320" w:rsidRDefault="001A0FD6" w:rsidP="00A723D7">
            <w:pPr>
              <w:pStyle w:val="table"/>
            </w:pPr>
            <w:r w:rsidRPr="00CB3320">
              <w:t>0.719***</w:t>
            </w:r>
          </w:p>
          <w:p w14:paraId="7DECE4DD" w14:textId="37355B6B" w:rsidR="00A723D7" w:rsidRPr="00CB3320" w:rsidRDefault="00A723D7" w:rsidP="00A723D7">
            <w:pPr>
              <w:pStyle w:val="table"/>
            </w:pPr>
            <w:r w:rsidRPr="00CB3320">
              <w:t>(0.0241)</w:t>
            </w:r>
          </w:p>
        </w:tc>
        <w:tc>
          <w:tcPr>
            <w:tcW w:w="605" w:type="pct"/>
            <w:noWrap/>
            <w:vAlign w:val="center"/>
            <w:hideMark/>
          </w:tcPr>
          <w:p w14:paraId="5C67A3F8" w14:textId="77777777" w:rsidR="001A0FD6" w:rsidRPr="00CB3320" w:rsidRDefault="001A0FD6" w:rsidP="00A723D7">
            <w:pPr>
              <w:pStyle w:val="table"/>
            </w:pPr>
            <w:r w:rsidRPr="00CB3320">
              <w:t>0.656***</w:t>
            </w:r>
          </w:p>
          <w:p w14:paraId="0414F963" w14:textId="0F0A408E" w:rsidR="00A723D7" w:rsidRPr="00CB3320" w:rsidRDefault="00A723D7" w:rsidP="00A723D7">
            <w:pPr>
              <w:pStyle w:val="table"/>
            </w:pPr>
            <w:r w:rsidRPr="00CB3320">
              <w:t>(0.0244)</w:t>
            </w:r>
          </w:p>
        </w:tc>
        <w:tc>
          <w:tcPr>
            <w:tcW w:w="604" w:type="pct"/>
            <w:noWrap/>
            <w:vAlign w:val="center"/>
            <w:hideMark/>
          </w:tcPr>
          <w:p w14:paraId="4083A240" w14:textId="77777777" w:rsidR="001A0FD6" w:rsidRPr="00CB3320" w:rsidRDefault="001A0FD6" w:rsidP="00A723D7">
            <w:pPr>
              <w:pStyle w:val="table"/>
            </w:pPr>
            <w:r w:rsidRPr="00CB3320">
              <w:t>0.574***</w:t>
            </w:r>
          </w:p>
          <w:p w14:paraId="33AFEB43" w14:textId="14F4452C" w:rsidR="00A723D7" w:rsidRPr="00CB3320" w:rsidRDefault="00A723D7" w:rsidP="00A723D7">
            <w:pPr>
              <w:pStyle w:val="table"/>
            </w:pPr>
            <w:r w:rsidRPr="00CB3320">
              <w:t>(0.0263)</w:t>
            </w:r>
          </w:p>
        </w:tc>
        <w:tc>
          <w:tcPr>
            <w:tcW w:w="604" w:type="pct"/>
            <w:noWrap/>
            <w:vAlign w:val="center"/>
            <w:hideMark/>
          </w:tcPr>
          <w:p w14:paraId="104A8B79" w14:textId="77777777" w:rsidR="001A0FD6" w:rsidRPr="00CB3320" w:rsidRDefault="001A0FD6" w:rsidP="00A723D7">
            <w:pPr>
              <w:pStyle w:val="table"/>
            </w:pPr>
            <w:r w:rsidRPr="00CB3320">
              <w:t>0.578***</w:t>
            </w:r>
          </w:p>
          <w:p w14:paraId="7EE127D4" w14:textId="16D561B3" w:rsidR="00A723D7" w:rsidRPr="00CB3320" w:rsidRDefault="00A723D7" w:rsidP="00A723D7">
            <w:pPr>
              <w:pStyle w:val="table"/>
            </w:pPr>
            <w:r w:rsidRPr="00CB3320">
              <w:t>(0.0263)</w:t>
            </w:r>
          </w:p>
        </w:tc>
        <w:tc>
          <w:tcPr>
            <w:tcW w:w="604" w:type="pct"/>
            <w:noWrap/>
            <w:vAlign w:val="center"/>
            <w:hideMark/>
          </w:tcPr>
          <w:p w14:paraId="4C02E635" w14:textId="77777777" w:rsidR="001A0FD6" w:rsidRPr="00CB3320" w:rsidRDefault="001A0FD6" w:rsidP="00A723D7">
            <w:pPr>
              <w:pStyle w:val="table"/>
            </w:pPr>
            <w:r w:rsidRPr="00CB3320">
              <w:t>0.572***</w:t>
            </w:r>
          </w:p>
          <w:p w14:paraId="1EC1DC97" w14:textId="2646526D" w:rsidR="00A723D7" w:rsidRPr="00CB3320" w:rsidRDefault="00A723D7" w:rsidP="00A723D7">
            <w:pPr>
              <w:pStyle w:val="table"/>
            </w:pPr>
            <w:r w:rsidRPr="00CB3320">
              <w:t>(0.0266)</w:t>
            </w:r>
          </w:p>
        </w:tc>
        <w:tc>
          <w:tcPr>
            <w:tcW w:w="604" w:type="pct"/>
            <w:noWrap/>
            <w:vAlign w:val="center"/>
            <w:hideMark/>
          </w:tcPr>
          <w:p w14:paraId="70AFAD7E" w14:textId="77777777" w:rsidR="001A0FD6" w:rsidRPr="00CB3320" w:rsidRDefault="001A0FD6" w:rsidP="00A723D7">
            <w:pPr>
              <w:pStyle w:val="table"/>
            </w:pPr>
            <w:r w:rsidRPr="00CB3320">
              <w:t>0.545***</w:t>
            </w:r>
          </w:p>
          <w:p w14:paraId="0E3847FA" w14:textId="1E9FB79B" w:rsidR="00A723D7" w:rsidRPr="00CB3320" w:rsidRDefault="00A723D7" w:rsidP="00A723D7">
            <w:pPr>
              <w:pStyle w:val="table"/>
            </w:pPr>
            <w:r w:rsidRPr="00CB3320">
              <w:t>(0.0278)</w:t>
            </w:r>
          </w:p>
        </w:tc>
        <w:tc>
          <w:tcPr>
            <w:tcW w:w="604" w:type="pct"/>
            <w:noWrap/>
            <w:vAlign w:val="center"/>
            <w:hideMark/>
          </w:tcPr>
          <w:p w14:paraId="444C662E" w14:textId="77777777" w:rsidR="001A0FD6" w:rsidRPr="00CB3320" w:rsidRDefault="001A0FD6" w:rsidP="00A723D7">
            <w:pPr>
              <w:pStyle w:val="table"/>
            </w:pPr>
            <w:r w:rsidRPr="00CB3320">
              <w:t>0.537***</w:t>
            </w:r>
          </w:p>
          <w:p w14:paraId="202E015D" w14:textId="41F8C9ED" w:rsidR="00A723D7" w:rsidRPr="00CB3320" w:rsidRDefault="00A723D7" w:rsidP="00A723D7">
            <w:pPr>
              <w:pStyle w:val="table"/>
            </w:pPr>
            <w:r w:rsidRPr="00CB3320">
              <w:t>(0.0280)</w:t>
            </w:r>
          </w:p>
        </w:tc>
      </w:tr>
      <w:tr w:rsidR="00A723D7" w:rsidRPr="00CB3320" w14:paraId="022C9021" w14:textId="77777777" w:rsidTr="00A723D7">
        <w:trPr>
          <w:trHeight w:val="270"/>
        </w:trPr>
        <w:tc>
          <w:tcPr>
            <w:tcW w:w="770" w:type="pct"/>
            <w:noWrap/>
            <w:vAlign w:val="center"/>
            <w:hideMark/>
          </w:tcPr>
          <w:p w14:paraId="6F2B1BB0" w14:textId="22A788FE" w:rsidR="00483A0C" w:rsidRPr="00CB3320" w:rsidRDefault="00CB2BC1" w:rsidP="00A723D7">
            <w:pPr>
              <w:pStyle w:val="table"/>
            </w:pPr>
            <w:r w:rsidRPr="00CB3320">
              <w:lastRenderedPageBreak/>
              <w:t>控制变量个数</w:t>
            </w:r>
          </w:p>
        </w:tc>
        <w:tc>
          <w:tcPr>
            <w:tcW w:w="605" w:type="pct"/>
            <w:noWrap/>
            <w:vAlign w:val="center"/>
            <w:hideMark/>
          </w:tcPr>
          <w:p w14:paraId="63D220E7" w14:textId="77777777" w:rsidR="00483A0C" w:rsidRPr="00CB3320" w:rsidRDefault="00483A0C" w:rsidP="00A723D7">
            <w:pPr>
              <w:pStyle w:val="table"/>
            </w:pPr>
            <w:r w:rsidRPr="00CB3320">
              <w:t>0</w:t>
            </w:r>
          </w:p>
        </w:tc>
        <w:tc>
          <w:tcPr>
            <w:tcW w:w="605" w:type="pct"/>
            <w:noWrap/>
            <w:vAlign w:val="center"/>
            <w:hideMark/>
          </w:tcPr>
          <w:p w14:paraId="0F452266" w14:textId="77777777" w:rsidR="00483A0C" w:rsidRPr="00CB3320" w:rsidRDefault="00483A0C" w:rsidP="00A723D7">
            <w:pPr>
              <w:pStyle w:val="table"/>
            </w:pPr>
            <w:r w:rsidRPr="00CB3320">
              <w:t>1</w:t>
            </w:r>
          </w:p>
        </w:tc>
        <w:tc>
          <w:tcPr>
            <w:tcW w:w="604" w:type="pct"/>
            <w:noWrap/>
            <w:vAlign w:val="center"/>
            <w:hideMark/>
          </w:tcPr>
          <w:p w14:paraId="6A456CC8" w14:textId="77777777" w:rsidR="00483A0C" w:rsidRPr="00CB3320" w:rsidRDefault="00483A0C" w:rsidP="00A723D7">
            <w:pPr>
              <w:pStyle w:val="table"/>
            </w:pPr>
            <w:r w:rsidRPr="00CB3320">
              <w:t>2</w:t>
            </w:r>
          </w:p>
        </w:tc>
        <w:tc>
          <w:tcPr>
            <w:tcW w:w="604" w:type="pct"/>
            <w:noWrap/>
            <w:vAlign w:val="center"/>
            <w:hideMark/>
          </w:tcPr>
          <w:p w14:paraId="046B2AAC" w14:textId="77777777" w:rsidR="00483A0C" w:rsidRPr="00CB3320" w:rsidRDefault="00483A0C" w:rsidP="00A723D7">
            <w:pPr>
              <w:pStyle w:val="table"/>
            </w:pPr>
            <w:r w:rsidRPr="00CB3320">
              <w:t>3</w:t>
            </w:r>
          </w:p>
        </w:tc>
        <w:tc>
          <w:tcPr>
            <w:tcW w:w="604" w:type="pct"/>
            <w:noWrap/>
            <w:vAlign w:val="center"/>
            <w:hideMark/>
          </w:tcPr>
          <w:p w14:paraId="1E50BF2F" w14:textId="77777777" w:rsidR="00483A0C" w:rsidRPr="00CB3320" w:rsidRDefault="00483A0C" w:rsidP="00A723D7">
            <w:pPr>
              <w:pStyle w:val="table"/>
            </w:pPr>
            <w:r w:rsidRPr="00CB3320">
              <w:t>4</w:t>
            </w:r>
          </w:p>
        </w:tc>
        <w:tc>
          <w:tcPr>
            <w:tcW w:w="604" w:type="pct"/>
            <w:noWrap/>
            <w:vAlign w:val="center"/>
            <w:hideMark/>
          </w:tcPr>
          <w:p w14:paraId="1AC3387B" w14:textId="77777777" w:rsidR="00483A0C" w:rsidRPr="00CB3320" w:rsidRDefault="00483A0C" w:rsidP="00A723D7">
            <w:pPr>
              <w:pStyle w:val="table"/>
            </w:pPr>
            <w:r w:rsidRPr="00CB3320">
              <w:t>5</w:t>
            </w:r>
          </w:p>
        </w:tc>
        <w:tc>
          <w:tcPr>
            <w:tcW w:w="604" w:type="pct"/>
            <w:noWrap/>
            <w:vAlign w:val="center"/>
            <w:hideMark/>
          </w:tcPr>
          <w:p w14:paraId="4E5A8852" w14:textId="77777777" w:rsidR="00483A0C" w:rsidRPr="00CB3320" w:rsidRDefault="00483A0C" w:rsidP="00A723D7">
            <w:pPr>
              <w:pStyle w:val="table"/>
            </w:pPr>
            <w:r w:rsidRPr="00CB3320">
              <w:t>ALL</w:t>
            </w:r>
          </w:p>
        </w:tc>
      </w:tr>
      <w:tr w:rsidR="00A723D7" w:rsidRPr="00CB3320" w14:paraId="4FD97A5A" w14:textId="77777777" w:rsidTr="00A723D7">
        <w:trPr>
          <w:trHeight w:val="270"/>
        </w:trPr>
        <w:tc>
          <w:tcPr>
            <w:tcW w:w="770" w:type="pct"/>
            <w:noWrap/>
            <w:vAlign w:val="center"/>
            <w:hideMark/>
          </w:tcPr>
          <w:p w14:paraId="02A1E968" w14:textId="48419C24" w:rsidR="00483A0C" w:rsidRPr="00CB3320" w:rsidRDefault="00CB2BC1" w:rsidP="00A723D7">
            <w:pPr>
              <w:pStyle w:val="table"/>
            </w:pPr>
            <w:r w:rsidRPr="00CB3320">
              <w:t>时间趋势效应</w:t>
            </w:r>
          </w:p>
        </w:tc>
        <w:tc>
          <w:tcPr>
            <w:tcW w:w="605" w:type="pct"/>
            <w:noWrap/>
            <w:vAlign w:val="center"/>
            <w:hideMark/>
          </w:tcPr>
          <w:p w14:paraId="1883DCBB" w14:textId="578BB130" w:rsidR="00483A0C" w:rsidRPr="00CB3320" w:rsidRDefault="00B44A4B" w:rsidP="00A723D7">
            <w:pPr>
              <w:pStyle w:val="table"/>
            </w:pPr>
            <w:r w:rsidRPr="00CB3320">
              <w:t>√</w:t>
            </w:r>
          </w:p>
        </w:tc>
        <w:tc>
          <w:tcPr>
            <w:tcW w:w="605" w:type="pct"/>
            <w:noWrap/>
            <w:vAlign w:val="center"/>
            <w:hideMark/>
          </w:tcPr>
          <w:p w14:paraId="15B7A0E9" w14:textId="5B5BEAEF" w:rsidR="00483A0C" w:rsidRPr="00CB3320" w:rsidRDefault="00B44A4B" w:rsidP="00A723D7">
            <w:pPr>
              <w:pStyle w:val="table"/>
            </w:pPr>
            <w:r w:rsidRPr="00CB3320">
              <w:t>√</w:t>
            </w:r>
          </w:p>
        </w:tc>
        <w:tc>
          <w:tcPr>
            <w:tcW w:w="604" w:type="pct"/>
            <w:noWrap/>
            <w:vAlign w:val="center"/>
            <w:hideMark/>
          </w:tcPr>
          <w:p w14:paraId="40A4D897" w14:textId="63C01320" w:rsidR="00483A0C" w:rsidRPr="00CB3320" w:rsidRDefault="00B44A4B" w:rsidP="00A723D7">
            <w:pPr>
              <w:pStyle w:val="table"/>
            </w:pPr>
            <w:r w:rsidRPr="00CB3320">
              <w:t>√</w:t>
            </w:r>
          </w:p>
        </w:tc>
        <w:tc>
          <w:tcPr>
            <w:tcW w:w="604" w:type="pct"/>
            <w:noWrap/>
            <w:vAlign w:val="center"/>
            <w:hideMark/>
          </w:tcPr>
          <w:p w14:paraId="0F15E741" w14:textId="5C937AA0" w:rsidR="00483A0C" w:rsidRPr="00CB3320" w:rsidRDefault="00B44A4B" w:rsidP="00A723D7">
            <w:pPr>
              <w:pStyle w:val="table"/>
            </w:pPr>
            <w:r w:rsidRPr="00CB3320">
              <w:t>√</w:t>
            </w:r>
          </w:p>
        </w:tc>
        <w:tc>
          <w:tcPr>
            <w:tcW w:w="604" w:type="pct"/>
            <w:noWrap/>
            <w:vAlign w:val="center"/>
            <w:hideMark/>
          </w:tcPr>
          <w:p w14:paraId="56555412" w14:textId="0667FEE8" w:rsidR="00483A0C" w:rsidRPr="00CB3320" w:rsidRDefault="00B44A4B" w:rsidP="00A723D7">
            <w:pPr>
              <w:pStyle w:val="table"/>
            </w:pPr>
            <w:r w:rsidRPr="00CB3320">
              <w:t>√</w:t>
            </w:r>
          </w:p>
        </w:tc>
        <w:tc>
          <w:tcPr>
            <w:tcW w:w="604" w:type="pct"/>
            <w:noWrap/>
            <w:vAlign w:val="center"/>
            <w:hideMark/>
          </w:tcPr>
          <w:p w14:paraId="22871DDE" w14:textId="55DA1D2F" w:rsidR="00483A0C" w:rsidRPr="00CB3320" w:rsidRDefault="00B44A4B" w:rsidP="00A723D7">
            <w:pPr>
              <w:pStyle w:val="table"/>
            </w:pPr>
            <w:r w:rsidRPr="00CB3320">
              <w:t>√</w:t>
            </w:r>
          </w:p>
        </w:tc>
        <w:tc>
          <w:tcPr>
            <w:tcW w:w="604" w:type="pct"/>
            <w:noWrap/>
            <w:vAlign w:val="center"/>
            <w:hideMark/>
          </w:tcPr>
          <w:p w14:paraId="349193A2" w14:textId="79B1A73E" w:rsidR="00483A0C" w:rsidRPr="00CB3320" w:rsidRDefault="00B44A4B" w:rsidP="00A723D7">
            <w:pPr>
              <w:pStyle w:val="table"/>
            </w:pPr>
            <w:r w:rsidRPr="00CB3320">
              <w:t>√</w:t>
            </w:r>
          </w:p>
        </w:tc>
      </w:tr>
      <w:tr w:rsidR="00A723D7" w:rsidRPr="00CB3320" w14:paraId="676D817A" w14:textId="77777777" w:rsidTr="00A723D7">
        <w:trPr>
          <w:trHeight w:val="270"/>
        </w:trPr>
        <w:tc>
          <w:tcPr>
            <w:tcW w:w="770" w:type="pct"/>
            <w:noWrap/>
            <w:vAlign w:val="center"/>
            <w:hideMark/>
          </w:tcPr>
          <w:p w14:paraId="6537B9FE" w14:textId="069D1455" w:rsidR="00483A0C" w:rsidRPr="00CB3320" w:rsidRDefault="00CB2BC1" w:rsidP="00A723D7">
            <w:pPr>
              <w:pStyle w:val="table"/>
            </w:pPr>
            <w:r w:rsidRPr="00CB3320">
              <w:t>个体固定效应</w:t>
            </w:r>
          </w:p>
        </w:tc>
        <w:tc>
          <w:tcPr>
            <w:tcW w:w="605" w:type="pct"/>
            <w:noWrap/>
            <w:vAlign w:val="center"/>
            <w:hideMark/>
          </w:tcPr>
          <w:p w14:paraId="25E7234F" w14:textId="0F1BB149" w:rsidR="00483A0C" w:rsidRPr="00CB3320" w:rsidRDefault="00B44A4B" w:rsidP="00A723D7">
            <w:pPr>
              <w:pStyle w:val="table"/>
            </w:pPr>
            <w:r w:rsidRPr="00CB3320">
              <w:t>√</w:t>
            </w:r>
          </w:p>
        </w:tc>
        <w:tc>
          <w:tcPr>
            <w:tcW w:w="605" w:type="pct"/>
            <w:noWrap/>
            <w:vAlign w:val="center"/>
            <w:hideMark/>
          </w:tcPr>
          <w:p w14:paraId="2F4265F7" w14:textId="542F43BF" w:rsidR="00483A0C" w:rsidRPr="00CB3320" w:rsidRDefault="00B44A4B" w:rsidP="00A723D7">
            <w:pPr>
              <w:pStyle w:val="table"/>
            </w:pPr>
            <w:r w:rsidRPr="00CB3320">
              <w:t>√</w:t>
            </w:r>
          </w:p>
        </w:tc>
        <w:tc>
          <w:tcPr>
            <w:tcW w:w="604" w:type="pct"/>
            <w:noWrap/>
            <w:vAlign w:val="center"/>
            <w:hideMark/>
          </w:tcPr>
          <w:p w14:paraId="214E8D86" w14:textId="1B27F8D3" w:rsidR="00483A0C" w:rsidRPr="00CB3320" w:rsidRDefault="00B44A4B" w:rsidP="00A723D7">
            <w:pPr>
              <w:pStyle w:val="table"/>
            </w:pPr>
            <w:r w:rsidRPr="00CB3320">
              <w:t>√</w:t>
            </w:r>
          </w:p>
        </w:tc>
        <w:tc>
          <w:tcPr>
            <w:tcW w:w="604" w:type="pct"/>
            <w:noWrap/>
            <w:vAlign w:val="center"/>
            <w:hideMark/>
          </w:tcPr>
          <w:p w14:paraId="5D980A85" w14:textId="6B07E333" w:rsidR="00483A0C" w:rsidRPr="00CB3320" w:rsidRDefault="00B44A4B" w:rsidP="00A723D7">
            <w:pPr>
              <w:pStyle w:val="table"/>
            </w:pPr>
            <w:r w:rsidRPr="00CB3320">
              <w:t>√</w:t>
            </w:r>
          </w:p>
        </w:tc>
        <w:tc>
          <w:tcPr>
            <w:tcW w:w="604" w:type="pct"/>
            <w:noWrap/>
            <w:vAlign w:val="center"/>
            <w:hideMark/>
          </w:tcPr>
          <w:p w14:paraId="2CD87D0A" w14:textId="3A7B0A19" w:rsidR="00483A0C" w:rsidRPr="00CB3320" w:rsidRDefault="00B44A4B" w:rsidP="00A723D7">
            <w:pPr>
              <w:pStyle w:val="table"/>
            </w:pPr>
            <w:r w:rsidRPr="00CB3320">
              <w:t>√</w:t>
            </w:r>
          </w:p>
        </w:tc>
        <w:tc>
          <w:tcPr>
            <w:tcW w:w="604" w:type="pct"/>
            <w:noWrap/>
            <w:vAlign w:val="center"/>
            <w:hideMark/>
          </w:tcPr>
          <w:p w14:paraId="0841B19E" w14:textId="1D2068C8" w:rsidR="00483A0C" w:rsidRPr="00CB3320" w:rsidRDefault="00B44A4B" w:rsidP="00A723D7">
            <w:pPr>
              <w:pStyle w:val="table"/>
            </w:pPr>
            <w:r w:rsidRPr="00CB3320">
              <w:t>√</w:t>
            </w:r>
          </w:p>
        </w:tc>
        <w:tc>
          <w:tcPr>
            <w:tcW w:w="604" w:type="pct"/>
            <w:noWrap/>
            <w:vAlign w:val="center"/>
            <w:hideMark/>
          </w:tcPr>
          <w:p w14:paraId="5B47AABA" w14:textId="32F7E6A7" w:rsidR="00483A0C" w:rsidRPr="00CB3320" w:rsidRDefault="00B44A4B" w:rsidP="00A723D7">
            <w:pPr>
              <w:pStyle w:val="table"/>
            </w:pPr>
            <w:r w:rsidRPr="00CB3320">
              <w:t>√</w:t>
            </w:r>
          </w:p>
        </w:tc>
      </w:tr>
      <w:tr w:rsidR="00A723D7" w:rsidRPr="00CB3320" w14:paraId="3BD501B5" w14:textId="77777777" w:rsidTr="00A723D7">
        <w:trPr>
          <w:trHeight w:val="270"/>
        </w:trPr>
        <w:tc>
          <w:tcPr>
            <w:tcW w:w="770" w:type="pct"/>
            <w:noWrap/>
            <w:vAlign w:val="center"/>
            <w:hideMark/>
          </w:tcPr>
          <w:p w14:paraId="6F0D1257" w14:textId="77777777" w:rsidR="001A0FD6" w:rsidRPr="00CB3320" w:rsidRDefault="001A0FD6" w:rsidP="00A723D7">
            <w:pPr>
              <w:pStyle w:val="table"/>
            </w:pPr>
            <w:r w:rsidRPr="00CB3320">
              <w:t>N</w:t>
            </w:r>
          </w:p>
        </w:tc>
        <w:tc>
          <w:tcPr>
            <w:tcW w:w="605" w:type="pct"/>
            <w:noWrap/>
            <w:vAlign w:val="center"/>
            <w:hideMark/>
          </w:tcPr>
          <w:p w14:paraId="63857875" w14:textId="16B3D56B" w:rsidR="001A0FD6" w:rsidRPr="00CB3320" w:rsidRDefault="001A0FD6" w:rsidP="00A723D7">
            <w:pPr>
              <w:pStyle w:val="table"/>
            </w:pPr>
            <w:r w:rsidRPr="00CB3320">
              <w:t>2844</w:t>
            </w:r>
          </w:p>
        </w:tc>
        <w:tc>
          <w:tcPr>
            <w:tcW w:w="605" w:type="pct"/>
            <w:noWrap/>
            <w:vAlign w:val="center"/>
            <w:hideMark/>
          </w:tcPr>
          <w:p w14:paraId="126B0D3A" w14:textId="3B41ACDE" w:rsidR="001A0FD6" w:rsidRPr="00CB3320" w:rsidRDefault="001A0FD6" w:rsidP="00A723D7">
            <w:pPr>
              <w:pStyle w:val="table"/>
            </w:pPr>
            <w:r w:rsidRPr="00CB3320">
              <w:t>2844</w:t>
            </w:r>
          </w:p>
        </w:tc>
        <w:tc>
          <w:tcPr>
            <w:tcW w:w="604" w:type="pct"/>
            <w:noWrap/>
            <w:vAlign w:val="center"/>
            <w:hideMark/>
          </w:tcPr>
          <w:p w14:paraId="2FE7330D" w14:textId="274B5CD4" w:rsidR="001A0FD6" w:rsidRPr="00CB3320" w:rsidRDefault="001A0FD6" w:rsidP="00A723D7">
            <w:pPr>
              <w:pStyle w:val="table"/>
            </w:pPr>
            <w:r w:rsidRPr="00CB3320">
              <w:t>2844</w:t>
            </w:r>
          </w:p>
        </w:tc>
        <w:tc>
          <w:tcPr>
            <w:tcW w:w="604" w:type="pct"/>
            <w:noWrap/>
            <w:vAlign w:val="center"/>
            <w:hideMark/>
          </w:tcPr>
          <w:p w14:paraId="539E506A" w14:textId="392DD968" w:rsidR="001A0FD6" w:rsidRPr="00CB3320" w:rsidRDefault="001A0FD6" w:rsidP="00A723D7">
            <w:pPr>
              <w:pStyle w:val="table"/>
            </w:pPr>
            <w:r w:rsidRPr="00CB3320">
              <w:t>2844</w:t>
            </w:r>
          </w:p>
        </w:tc>
        <w:tc>
          <w:tcPr>
            <w:tcW w:w="604" w:type="pct"/>
            <w:noWrap/>
            <w:vAlign w:val="center"/>
            <w:hideMark/>
          </w:tcPr>
          <w:p w14:paraId="7B7FD26A" w14:textId="50B1AA3F" w:rsidR="001A0FD6" w:rsidRPr="00CB3320" w:rsidRDefault="001A0FD6" w:rsidP="00A723D7">
            <w:pPr>
              <w:pStyle w:val="table"/>
            </w:pPr>
            <w:r w:rsidRPr="00CB3320">
              <w:t>2844</w:t>
            </w:r>
          </w:p>
        </w:tc>
        <w:tc>
          <w:tcPr>
            <w:tcW w:w="604" w:type="pct"/>
            <w:noWrap/>
            <w:vAlign w:val="center"/>
            <w:hideMark/>
          </w:tcPr>
          <w:p w14:paraId="71B81987" w14:textId="1CF91059" w:rsidR="001A0FD6" w:rsidRPr="00CB3320" w:rsidRDefault="001A0FD6" w:rsidP="00A723D7">
            <w:pPr>
              <w:pStyle w:val="table"/>
            </w:pPr>
            <w:r w:rsidRPr="00CB3320">
              <w:t>2844</w:t>
            </w:r>
          </w:p>
        </w:tc>
        <w:tc>
          <w:tcPr>
            <w:tcW w:w="604" w:type="pct"/>
            <w:noWrap/>
            <w:vAlign w:val="center"/>
            <w:hideMark/>
          </w:tcPr>
          <w:p w14:paraId="3EB834F9" w14:textId="6496465D" w:rsidR="001A0FD6" w:rsidRPr="00CB3320" w:rsidRDefault="001A0FD6" w:rsidP="00A723D7">
            <w:pPr>
              <w:pStyle w:val="table"/>
            </w:pPr>
            <w:r w:rsidRPr="00CB3320">
              <w:t>2844</w:t>
            </w:r>
          </w:p>
        </w:tc>
      </w:tr>
      <w:tr w:rsidR="00A723D7" w:rsidRPr="00CB3320" w14:paraId="1ABE0013" w14:textId="77777777" w:rsidTr="00A723D7">
        <w:trPr>
          <w:trHeight w:val="270"/>
        </w:trPr>
        <w:tc>
          <w:tcPr>
            <w:tcW w:w="770" w:type="pct"/>
            <w:noWrap/>
            <w:vAlign w:val="center"/>
            <w:hideMark/>
          </w:tcPr>
          <w:p w14:paraId="75AF6101" w14:textId="7A18C181" w:rsidR="001A0FD6" w:rsidRPr="00CB3320" w:rsidRDefault="001A0FD6" w:rsidP="00A723D7">
            <w:pPr>
              <w:pStyle w:val="table"/>
            </w:pPr>
            <w:r w:rsidRPr="00CB3320">
              <w:t>R</w:t>
            </w:r>
            <w:r w:rsidRPr="00CB3320">
              <w:rPr>
                <w:vertAlign w:val="superscript"/>
              </w:rPr>
              <w:t>2</w:t>
            </w:r>
          </w:p>
        </w:tc>
        <w:tc>
          <w:tcPr>
            <w:tcW w:w="605" w:type="pct"/>
            <w:noWrap/>
            <w:vAlign w:val="center"/>
            <w:hideMark/>
          </w:tcPr>
          <w:p w14:paraId="642964EA" w14:textId="182F0F73" w:rsidR="001A0FD6" w:rsidRPr="00CB3320" w:rsidRDefault="001A0FD6" w:rsidP="00A723D7">
            <w:pPr>
              <w:pStyle w:val="table"/>
            </w:pPr>
            <w:r w:rsidRPr="00CB3320">
              <w:t>0.114</w:t>
            </w:r>
          </w:p>
        </w:tc>
        <w:tc>
          <w:tcPr>
            <w:tcW w:w="605" w:type="pct"/>
            <w:noWrap/>
            <w:vAlign w:val="center"/>
            <w:hideMark/>
          </w:tcPr>
          <w:p w14:paraId="23114119" w14:textId="528D2840" w:rsidR="001A0FD6" w:rsidRPr="00CB3320" w:rsidRDefault="001A0FD6" w:rsidP="00A723D7">
            <w:pPr>
              <w:pStyle w:val="table"/>
            </w:pPr>
            <w:r w:rsidRPr="00CB3320">
              <w:t>0.243</w:t>
            </w:r>
          </w:p>
        </w:tc>
        <w:tc>
          <w:tcPr>
            <w:tcW w:w="604" w:type="pct"/>
            <w:noWrap/>
            <w:vAlign w:val="center"/>
            <w:hideMark/>
          </w:tcPr>
          <w:p w14:paraId="67FB189F" w14:textId="2717707E" w:rsidR="001A0FD6" w:rsidRPr="00CB3320" w:rsidRDefault="001A0FD6" w:rsidP="00A723D7">
            <w:pPr>
              <w:pStyle w:val="table"/>
            </w:pPr>
            <w:r w:rsidRPr="00CB3320">
              <w:t>0.357</w:t>
            </w:r>
          </w:p>
        </w:tc>
        <w:tc>
          <w:tcPr>
            <w:tcW w:w="604" w:type="pct"/>
            <w:noWrap/>
            <w:vAlign w:val="center"/>
            <w:hideMark/>
          </w:tcPr>
          <w:p w14:paraId="26EC82F9" w14:textId="39EEBE6F" w:rsidR="001A0FD6" w:rsidRPr="00CB3320" w:rsidRDefault="001A0FD6" w:rsidP="00A723D7">
            <w:pPr>
              <w:pStyle w:val="table"/>
            </w:pPr>
            <w:r w:rsidRPr="00CB3320">
              <w:t>0.357</w:t>
            </w:r>
          </w:p>
        </w:tc>
        <w:tc>
          <w:tcPr>
            <w:tcW w:w="604" w:type="pct"/>
            <w:noWrap/>
            <w:vAlign w:val="center"/>
            <w:hideMark/>
          </w:tcPr>
          <w:p w14:paraId="5A6963EC" w14:textId="5377B31F" w:rsidR="001A0FD6" w:rsidRPr="00CB3320" w:rsidRDefault="001A0FD6" w:rsidP="00A723D7">
            <w:pPr>
              <w:pStyle w:val="table"/>
            </w:pPr>
            <w:r w:rsidRPr="00CB3320">
              <w:t>0.360</w:t>
            </w:r>
          </w:p>
        </w:tc>
        <w:tc>
          <w:tcPr>
            <w:tcW w:w="604" w:type="pct"/>
            <w:noWrap/>
            <w:vAlign w:val="center"/>
            <w:hideMark/>
          </w:tcPr>
          <w:p w14:paraId="182B29EE" w14:textId="00BE4A39" w:rsidR="001A0FD6" w:rsidRPr="00CB3320" w:rsidRDefault="001A0FD6" w:rsidP="00A723D7">
            <w:pPr>
              <w:pStyle w:val="table"/>
            </w:pPr>
            <w:r w:rsidRPr="00CB3320">
              <w:t>0.381</w:t>
            </w:r>
          </w:p>
        </w:tc>
        <w:tc>
          <w:tcPr>
            <w:tcW w:w="604" w:type="pct"/>
            <w:noWrap/>
            <w:vAlign w:val="center"/>
            <w:hideMark/>
          </w:tcPr>
          <w:p w14:paraId="4AF45718" w14:textId="5EFE5448" w:rsidR="001A0FD6" w:rsidRPr="00CB3320" w:rsidRDefault="001A0FD6" w:rsidP="00A723D7">
            <w:pPr>
              <w:pStyle w:val="table"/>
            </w:pPr>
            <w:r w:rsidRPr="00CB3320">
              <w:t>0.389</w:t>
            </w:r>
          </w:p>
        </w:tc>
      </w:tr>
    </w:tbl>
    <w:p w14:paraId="115C91DE" w14:textId="41AF7133" w:rsidR="00A723D7" w:rsidRPr="00CB3320" w:rsidRDefault="00A723D7" w:rsidP="00A723D7">
      <w:pPr>
        <w:ind w:firstLine="300"/>
        <w:rPr>
          <w:rFonts w:eastAsia="楷体" w:cs="Times New Roman"/>
          <w:sz w:val="15"/>
          <w:szCs w:val="15"/>
        </w:rPr>
      </w:pPr>
      <w:bookmarkStart w:id="58" w:name="_Ref75591064"/>
      <w:bookmarkStart w:id="59" w:name="_Ref71884027"/>
      <w:r w:rsidRPr="00CB3320">
        <w:rPr>
          <w:rFonts w:eastAsia="楷体" w:cs="Times New Roman" w:hint="eastAsia"/>
          <w:sz w:val="15"/>
          <w:szCs w:val="15"/>
        </w:rPr>
        <w:t>注：括号中为聚类到省份的稳健标准误；</w:t>
      </w:r>
      <w:r w:rsidRPr="00CB3320">
        <w:rPr>
          <w:rFonts w:eastAsia="楷体" w:cs="Times New Roman"/>
          <w:sz w:val="15"/>
          <w:szCs w:val="15"/>
        </w:rPr>
        <w:t>* p&lt;0.10, ** p&lt;0.05, *** p&lt;0.01</w:t>
      </w:r>
      <w:r w:rsidRPr="00CB3320">
        <w:rPr>
          <w:rFonts w:eastAsia="楷体" w:cs="Times New Roman"/>
          <w:sz w:val="15"/>
          <w:szCs w:val="15"/>
        </w:rPr>
        <w:t>；</w:t>
      </w:r>
      <w:r w:rsidRPr="00CB3320">
        <w:rPr>
          <w:rFonts w:eastAsia="楷体" w:cs="Times New Roman" w:hint="eastAsia"/>
          <w:sz w:val="15"/>
          <w:szCs w:val="15"/>
        </w:rPr>
        <w:t>由于我们需要计算直接和间接的影响，我们不能在模型中加入时间虚拟变量，所以我们只能用时间趋势项来代替时间虚拟变量。</w:t>
      </w:r>
    </w:p>
    <w:p w14:paraId="0B7F2CA3" w14:textId="399E84E2" w:rsidR="00A61A68" w:rsidRPr="00EC325E" w:rsidRDefault="00A61A68" w:rsidP="00EC325E">
      <w:pPr>
        <w:pStyle w:val="TableX"/>
      </w:pPr>
      <w:bookmarkStart w:id="60" w:name="_Ref126766685"/>
      <w:r w:rsidRPr="00EC325E">
        <w:rPr>
          <w:rFonts w:hint="eastAsia"/>
        </w:rPr>
        <w:t>表</w:t>
      </w:r>
      <w:r w:rsidR="00E21259" w:rsidRPr="00EC325E">
        <w:fldChar w:fldCharType="begin"/>
      </w:r>
      <w:r w:rsidR="00E21259" w:rsidRPr="00EC325E">
        <w:instrText xml:space="preserve"> </w:instrText>
      </w:r>
      <w:r w:rsidR="00E21259" w:rsidRPr="00EC325E">
        <w:rPr>
          <w:rFonts w:hint="eastAsia"/>
        </w:rPr>
        <w:instrText xml:space="preserve">SEQ </w:instrText>
      </w:r>
      <w:r w:rsidR="00E21259" w:rsidRPr="00EC325E">
        <w:rPr>
          <w:rFonts w:hint="eastAsia"/>
        </w:rPr>
        <w:instrText>表</w:instrText>
      </w:r>
      <w:r w:rsidR="00E21259" w:rsidRPr="00EC325E">
        <w:rPr>
          <w:rFonts w:hint="eastAsia"/>
        </w:rPr>
        <w:instrText xml:space="preserve"> \* ARABIC</w:instrText>
      </w:r>
      <w:r w:rsidR="00E21259" w:rsidRPr="00EC325E">
        <w:instrText xml:space="preserve"> </w:instrText>
      </w:r>
      <w:r w:rsidR="00E21259" w:rsidRPr="00EC325E">
        <w:fldChar w:fldCharType="separate"/>
      </w:r>
      <w:r w:rsidR="00047413" w:rsidRPr="00EC325E">
        <w:t>5</w:t>
      </w:r>
      <w:r w:rsidR="00E21259" w:rsidRPr="00EC325E">
        <w:fldChar w:fldCharType="end"/>
      </w:r>
      <w:bookmarkEnd w:id="58"/>
      <w:bookmarkEnd w:id="60"/>
      <w:r w:rsidR="00344D5D" w:rsidRPr="00EC325E">
        <w:t xml:space="preserve">  </w:t>
      </w:r>
      <w:r w:rsidRPr="00EC325E">
        <w:rPr>
          <w:rFonts w:hint="eastAsia"/>
        </w:rPr>
        <w:t>直接效应、间接效应（空间溢出效应）和总效应</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6"/>
        <w:gridCol w:w="1110"/>
        <w:gridCol w:w="1111"/>
        <w:gridCol w:w="1111"/>
        <w:gridCol w:w="1111"/>
        <w:gridCol w:w="1111"/>
        <w:gridCol w:w="1111"/>
        <w:gridCol w:w="1109"/>
      </w:tblGrid>
      <w:tr w:rsidR="00483A0C" w:rsidRPr="00CB3320" w14:paraId="5324A121" w14:textId="77777777" w:rsidTr="00A723D7">
        <w:trPr>
          <w:trHeight w:val="270"/>
        </w:trPr>
        <w:tc>
          <w:tcPr>
            <w:tcW w:w="563" w:type="pct"/>
            <w:noWrap/>
            <w:vAlign w:val="center"/>
            <w:hideMark/>
          </w:tcPr>
          <w:bookmarkEnd w:id="59"/>
          <w:p w14:paraId="2BCEB507" w14:textId="77777777" w:rsidR="00483A0C" w:rsidRPr="00CB3320" w:rsidRDefault="00483A0C" w:rsidP="00A723D7">
            <w:pPr>
              <w:pStyle w:val="table"/>
            </w:pPr>
            <w:r w:rsidRPr="00CB3320">
              <w:rPr>
                <w:rFonts w:hint="eastAsia"/>
              </w:rPr>
              <w:t xml:space="preserve">　</w:t>
            </w:r>
          </w:p>
        </w:tc>
        <w:tc>
          <w:tcPr>
            <w:tcW w:w="634" w:type="pct"/>
            <w:noWrap/>
            <w:vAlign w:val="center"/>
            <w:hideMark/>
          </w:tcPr>
          <w:p w14:paraId="3403A270" w14:textId="77777777" w:rsidR="00483A0C" w:rsidRPr="00CB3320" w:rsidRDefault="00483A0C" w:rsidP="00A723D7">
            <w:pPr>
              <w:pStyle w:val="table"/>
            </w:pPr>
            <w:r w:rsidRPr="00CB3320">
              <w:t>(1)</w:t>
            </w:r>
          </w:p>
        </w:tc>
        <w:tc>
          <w:tcPr>
            <w:tcW w:w="634" w:type="pct"/>
            <w:noWrap/>
            <w:vAlign w:val="center"/>
            <w:hideMark/>
          </w:tcPr>
          <w:p w14:paraId="0A7B8050" w14:textId="77777777" w:rsidR="00483A0C" w:rsidRPr="00CB3320" w:rsidRDefault="00483A0C" w:rsidP="00A723D7">
            <w:pPr>
              <w:pStyle w:val="table"/>
            </w:pPr>
            <w:r w:rsidRPr="00CB3320">
              <w:t>(2)</w:t>
            </w:r>
          </w:p>
        </w:tc>
        <w:tc>
          <w:tcPr>
            <w:tcW w:w="634" w:type="pct"/>
            <w:noWrap/>
            <w:vAlign w:val="center"/>
            <w:hideMark/>
          </w:tcPr>
          <w:p w14:paraId="3EF6422F" w14:textId="77777777" w:rsidR="00483A0C" w:rsidRPr="00CB3320" w:rsidRDefault="00483A0C" w:rsidP="00A723D7">
            <w:pPr>
              <w:pStyle w:val="table"/>
            </w:pPr>
            <w:r w:rsidRPr="00CB3320">
              <w:t>(3)</w:t>
            </w:r>
          </w:p>
        </w:tc>
        <w:tc>
          <w:tcPr>
            <w:tcW w:w="634" w:type="pct"/>
            <w:noWrap/>
            <w:vAlign w:val="center"/>
            <w:hideMark/>
          </w:tcPr>
          <w:p w14:paraId="0855E15A" w14:textId="77777777" w:rsidR="00483A0C" w:rsidRPr="00CB3320" w:rsidRDefault="00483A0C" w:rsidP="00A723D7">
            <w:pPr>
              <w:pStyle w:val="table"/>
            </w:pPr>
            <w:r w:rsidRPr="00CB3320">
              <w:t>(4)</w:t>
            </w:r>
          </w:p>
        </w:tc>
        <w:tc>
          <w:tcPr>
            <w:tcW w:w="634" w:type="pct"/>
            <w:noWrap/>
            <w:vAlign w:val="center"/>
            <w:hideMark/>
          </w:tcPr>
          <w:p w14:paraId="61B2F470" w14:textId="77777777" w:rsidR="00483A0C" w:rsidRPr="00CB3320" w:rsidRDefault="00483A0C" w:rsidP="00A723D7">
            <w:pPr>
              <w:pStyle w:val="table"/>
            </w:pPr>
            <w:r w:rsidRPr="00CB3320">
              <w:t>(5)</w:t>
            </w:r>
          </w:p>
        </w:tc>
        <w:tc>
          <w:tcPr>
            <w:tcW w:w="634" w:type="pct"/>
            <w:noWrap/>
            <w:vAlign w:val="center"/>
            <w:hideMark/>
          </w:tcPr>
          <w:p w14:paraId="2958561D" w14:textId="77777777" w:rsidR="00483A0C" w:rsidRPr="00CB3320" w:rsidRDefault="00483A0C" w:rsidP="00A723D7">
            <w:pPr>
              <w:pStyle w:val="table"/>
            </w:pPr>
            <w:r w:rsidRPr="00CB3320">
              <w:t>(6)</w:t>
            </w:r>
          </w:p>
        </w:tc>
        <w:tc>
          <w:tcPr>
            <w:tcW w:w="633" w:type="pct"/>
            <w:noWrap/>
            <w:vAlign w:val="center"/>
            <w:hideMark/>
          </w:tcPr>
          <w:p w14:paraId="3CEC5FD1" w14:textId="77777777" w:rsidR="00483A0C" w:rsidRPr="00CB3320" w:rsidRDefault="00483A0C" w:rsidP="00A723D7">
            <w:pPr>
              <w:pStyle w:val="table"/>
            </w:pPr>
            <w:r w:rsidRPr="00CB3320">
              <w:t>(7)</w:t>
            </w:r>
          </w:p>
        </w:tc>
      </w:tr>
      <w:tr w:rsidR="00483A0C" w:rsidRPr="00CB3320" w14:paraId="3E78DA1B" w14:textId="77777777" w:rsidTr="00A723D7">
        <w:trPr>
          <w:trHeight w:val="270"/>
        </w:trPr>
        <w:tc>
          <w:tcPr>
            <w:tcW w:w="563" w:type="pct"/>
            <w:noWrap/>
            <w:vAlign w:val="center"/>
            <w:hideMark/>
          </w:tcPr>
          <w:p w14:paraId="3F463E6A" w14:textId="77777777" w:rsidR="00483A0C" w:rsidRPr="00CB3320" w:rsidRDefault="00483A0C" w:rsidP="00A723D7">
            <w:pPr>
              <w:pStyle w:val="table"/>
            </w:pPr>
            <w:r w:rsidRPr="00CB3320">
              <w:rPr>
                <w:rFonts w:hint="eastAsia"/>
              </w:rPr>
              <w:t xml:space="preserve">　</w:t>
            </w:r>
          </w:p>
        </w:tc>
        <w:tc>
          <w:tcPr>
            <w:tcW w:w="634" w:type="pct"/>
            <w:noWrap/>
            <w:vAlign w:val="center"/>
            <w:hideMark/>
          </w:tcPr>
          <w:p w14:paraId="04D530AB" w14:textId="77777777" w:rsidR="00483A0C" w:rsidRPr="00CB3320" w:rsidRDefault="00483A0C" w:rsidP="00A723D7">
            <w:pPr>
              <w:pStyle w:val="table"/>
            </w:pPr>
            <w:r w:rsidRPr="00CB3320">
              <w:t>TFP</w:t>
            </w:r>
          </w:p>
        </w:tc>
        <w:tc>
          <w:tcPr>
            <w:tcW w:w="634" w:type="pct"/>
            <w:noWrap/>
            <w:vAlign w:val="center"/>
            <w:hideMark/>
          </w:tcPr>
          <w:p w14:paraId="01B8C087" w14:textId="77777777" w:rsidR="00483A0C" w:rsidRPr="00CB3320" w:rsidRDefault="00483A0C" w:rsidP="00A723D7">
            <w:pPr>
              <w:pStyle w:val="table"/>
            </w:pPr>
            <w:r w:rsidRPr="00CB3320">
              <w:t>TFP</w:t>
            </w:r>
          </w:p>
        </w:tc>
        <w:tc>
          <w:tcPr>
            <w:tcW w:w="634" w:type="pct"/>
            <w:noWrap/>
            <w:vAlign w:val="center"/>
            <w:hideMark/>
          </w:tcPr>
          <w:p w14:paraId="27BEBB8F" w14:textId="77777777" w:rsidR="00483A0C" w:rsidRPr="00CB3320" w:rsidRDefault="00483A0C" w:rsidP="00A723D7">
            <w:pPr>
              <w:pStyle w:val="table"/>
            </w:pPr>
            <w:r w:rsidRPr="00CB3320">
              <w:t>TFP</w:t>
            </w:r>
          </w:p>
        </w:tc>
        <w:tc>
          <w:tcPr>
            <w:tcW w:w="634" w:type="pct"/>
            <w:noWrap/>
            <w:vAlign w:val="center"/>
            <w:hideMark/>
          </w:tcPr>
          <w:p w14:paraId="5B2E1F7D" w14:textId="77777777" w:rsidR="00483A0C" w:rsidRPr="00CB3320" w:rsidRDefault="00483A0C" w:rsidP="00A723D7">
            <w:pPr>
              <w:pStyle w:val="table"/>
            </w:pPr>
            <w:r w:rsidRPr="00CB3320">
              <w:t>TFP</w:t>
            </w:r>
          </w:p>
        </w:tc>
        <w:tc>
          <w:tcPr>
            <w:tcW w:w="634" w:type="pct"/>
            <w:noWrap/>
            <w:vAlign w:val="center"/>
            <w:hideMark/>
          </w:tcPr>
          <w:p w14:paraId="137AD448" w14:textId="77777777" w:rsidR="00483A0C" w:rsidRPr="00CB3320" w:rsidRDefault="00483A0C" w:rsidP="00A723D7">
            <w:pPr>
              <w:pStyle w:val="table"/>
            </w:pPr>
            <w:r w:rsidRPr="00CB3320">
              <w:t>TFP</w:t>
            </w:r>
          </w:p>
        </w:tc>
        <w:tc>
          <w:tcPr>
            <w:tcW w:w="634" w:type="pct"/>
            <w:noWrap/>
            <w:vAlign w:val="center"/>
            <w:hideMark/>
          </w:tcPr>
          <w:p w14:paraId="6A2E87C6" w14:textId="77777777" w:rsidR="00483A0C" w:rsidRPr="00CB3320" w:rsidRDefault="00483A0C" w:rsidP="00A723D7">
            <w:pPr>
              <w:pStyle w:val="table"/>
            </w:pPr>
            <w:r w:rsidRPr="00CB3320">
              <w:t>TFP</w:t>
            </w:r>
          </w:p>
        </w:tc>
        <w:tc>
          <w:tcPr>
            <w:tcW w:w="633" w:type="pct"/>
            <w:noWrap/>
            <w:vAlign w:val="center"/>
            <w:hideMark/>
          </w:tcPr>
          <w:p w14:paraId="161BAAEC" w14:textId="77777777" w:rsidR="00483A0C" w:rsidRPr="00CB3320" w:rsidRDefault="00483A0C" w:rsidP="00A723D7">
            <w:pPr>
              <w:pStyle w:val="table"/>
            </w:pPr>
            <w:r w:rsidRPr="00CB3320">
              <w:t>TFP</w:t>
            </w:r>
          </w:p>
        </w:tc>
      </w:tr>
      <w:tr w:rsidR="001A0FD6" w:rsidRPr="00CB3320" w14:paraId="7903C300" w14:textId="77777777" w:rsidTr="00A723D7">
        <w:trPr>
          <w:trHeight w:val="270"/>
        </w:trPr>
        <w:tc>
          <w:tcPr>
            <w:tcW w:w="563" w:type="pct"/>
            <w:noWrap/>
            <w:vAlign w:val="center"/>
            <w:hideMark/>
          </w:tcPr>
          <w:p w14:paraId="45350A6C" w14:textId="1433A3E5" w:rsidR="001A0FD6" w:rsidRPr="00CB3320" w:rsidRDefault="00A723D7" w:rsidP="00A723D7">
            <w:pPr>
              <w:pStyle w:val="table"/>
            </w:pPr>
            <w:r w:rsidRPr="00CB3320">
              <w:t>直接效应</w:t>
            </w:r>
          </w:p>
        </w:tc>
        <w:tc>
          <w:tcPr>
            <w:tcW w:w="634" w:type="pct"/>
            <w:noWrap/>
            <w:vAlign w:val="center"/>
            <w:hideMark/>
          </w:tcPr>
          <w:p w14:paraId="51D4BBE2" w14:textId="77777777" w:rsidR="001A0FD6" w:rsidRPr="00CB3320" w:rsidRDefault="001A0FD6" w:rsidP="00A723D7">
            <w:pPr>
              <w:pStyle w:val="table"/>
            </w:pPr>
            <w:r w:rsidRPr="00CB3320">
              <w:t>-0.0242***</w:t>
            </w:r>
          </w:p>
          <w:p w14:paraId="1EDD9F3D" w14:textId="6938A25E" w:rsidR="00A723D7" w:rsidRPr="00CB3320" w:rsidRDefault="00A723D7" w:rsidP="00A723D7">
            <w:pPr>
              <w:pStyle w:val="table"/>
            </w:pPr>
            <w:r w:rsidRPr="00CB3320">
              <w:t>(0.00560)</w:t>
            </w:r>
          </w:p>
        </w:tc>
        <w:tc>
          <w:tcPr>
            <w:tcW w:w="634" w:type="pct"/>
            <w:noWrap/>
            <w:vAlign w:val="center"/>
            <w:hideMark/>
          </w:tcPr>
          <w:p w14:paraId="49D78CD3" w14:textId="77777777" w:rsidR="001A0FD6" w:rsidRPr="00CB3320" w:rsidRDefault="001A0FD6" w:rsidP="00A723D7">
            <w:pPr>
              <w:pStyle w:val="table"/>
            </w:pPr>
            <w:r w:rsidRPr="00CB3320">
              <w:t>-0.0417***</w:t>
            </w:r>
          </w:p>
          <w:p w14:paraId="37329E02" w14:textId="6D425C5B" w:rsidR="00A723D7" w:rsidRPr="00CB3320" w:rsidRDefault="00A723D7" w:rsidP="00A723D7">
            <w:pPr>
              <w:pStyle w:val="table"/>
            </w:pPr>
            <w:r w:rsidRPr="00CB3320">
              <w:t>(0.00499)</w:t>
            </w:r>
          </w:p>
        </w:tc>
        <w:tc>
          <w:tcPr>
            <w:tcW w:w="634" w:type="pct"/>
            <w:noWrap/>
            <w:vAlign w:val="center"/>
            <w:hideMark/>
          </w:tcPr>
          <w:p w14:paraId="5AB27708" w14:textId="77777777" w:rsidR="001A0FD6" w:rsidRPr="00CB3320" w:rsidRDefault="001A0FD6" w:rsidP="00A723D7">
            <w:pPr>
              <w:pStyle w:val="table"/>
            </w:pPr>
            <w:r w:rsidRPr="00CB3320">
              <w:t>-0.0392***</w:t>
            </w:r>
          </w:p>
          <w:p w14:paraId="2BE48B12" w14:textId="0B8D5024" w:rsidR="00A723D7" w:rsidRPr="00CB3320" w:rsidRDefault="00A723D7" w:rsidP="00A723D7">
            <w:pPr>
              <w:pStyle w:val="table"/>
            </w:pPr>
            <w:r w:rsidRPr="00CB3320">
              <w:t>(0.00495)</w:t>
            </w:r>
          </w:p>
        </w:tc>
        <w:tc>
          <w:tcPr>
            <w:tcW w:w="634" w:type="pct"/>
            <w:noWrap/>
            <w:vAlign w:val="center"/>
            <w:hideMark/>
          </w:tcPr>
          <w:p w14:paraId="3F66EA6D" w14:textId="77777777" w:rsidR="001A0FD6" w:rsidRPr="00CB3320" w:rsidRDefault="001A0FD6" w:rsidP="00A723D7">
            <w:pPr>
              <w:pStyle w:val="table"/>
            </w:pPr>
            <w:r w:rsidRPr="00CB3320">
              <w:t>-0.0385***</w:t>
            </w:r>
          </w:p>
          <w:p w14:paraId="79B7EAEE" w14:textId="6A3C2B11" w:rsidR="00A723D7" w:rsidRPr="00CB3320" w:rsidRDefault="00A723D7" w:rsidP="00A723D7">
            <w:pPr>
              <w:pStyle w:val="table"/>
            </w:pPr>
            <w:r w:rsidRPr="00CB3320">
              <w:t>(0.00495)</w:t>
            </w:r>
          </w:p>
        </w:tc>
        <w:tc>
          <w:tcPr>
            <w:tcW w:w="634" w:type="pct"/>
            <w:noWrap/>
            <w:vAlign w:val="center"/>
            <w:hideMark/>
          </w:tcPr>
          <w:p w14:paraId="6B8FC2A4" w14:textId="77777777" w:rsidR="001A0FD6" w:rsidRPr="00CB3320" w:rsidRDefault="001A0FD6" w:rsidP="00A723D7">
            <w:pPr>
              <w:pStyle w:val="table"/>
            </w:pPr>
            <w:r w:rsidRPr="00CB3320">
              <w:t>-0.0388***</w:t>
            </w:r>
          </w:p>
          <w:p w14:paraId="1FBCB1E9" w14:textId="052B0F0F" w:rsidR="00A723D7" w:rsidRPr="00CB3320" w:rsidRDefault="00A723D7" w:rsidP="00A723D7">
            <w:pPr>
              <w:pStyle w:val="table"/>
            </w:pPr>
            <w:r w:rsidRPr="00CB3320">
              <w:t>(0.00495)</w:t>
            </w:r>
          </w:p>
        </w:tc>
        <w:tc>
          <w:tcPr>
            <w:tcW w:w="634" w:type="pct"/>
            <w:noWrap/>
            <w:vAlign w:val="center"/>
            <w:hideMark/>
          </w:tcPr>
          <w:p w14:paraId="39110892" w14:textId="77777777" w:rsidR="001A0FD6" w:rsidRPr="00CB3320" w:rsidRDefault="001A0FD6" w:rsidP="00A723D7">
            <w:pPr>
              <w:pStyle w:val="table"/>
            </w:pPr>
            <w:r w:rsidRPr="00CB3320">
              <w:t>-0.0382***</w:t>
            </w:r>
          </w:p>
          <w:p w14:paraId="2501FE74" w14:textId="5D82A37A" w:rsidR="00A723D7" w:rsidRPr="00CB3320" w:rsidRDefault="00A723D7" w:rsidP="00A723D7">
            <w:pPr>
              <w:pStyle w:val="table"/>
            </w:pPr>
            <w:r w:rsidRPr="00CB3320">
              <w:t>(0.00494)</w:t>
            </w:r>
          </w:p>
        </w:tc>
        <w:tc>
          <w:tcPr>
            <w:tcW w:w="633" w:type="pct"/>
            <w:noWrap/>
            <w:vAlign w:val="center"/>
            <w:hideMark/>
          </w:tcPr>
          <w:p w14:paraId="66507C72" w14:textId="77777777" w:rsidR="001A0FD6" w:rsidRPr="00CB3320" w:rsidRDefault="001A0FD6" w:rsidP="00A723D7">
            <w:pPr>
              <w:pStyle w:val="table"/>
            </w:pPr>
            <w:r w:rsidRPr="00CB3320">
              <w:t>-0.0371***</w:t>
            </w:r>
          </w:p>
          <w:p w14:paraId="588B7491" w14:textId="38C311A8" w:rsidR="00A723D7" w:rsidRPr="00CB3320" w:rsidRDefault="00A723D7" w:rsidP="00A723D7">
            <w:pPr>
              <w:pStyle w:val="table"/>
            </w:pPr>
            <w:r w:rsidRPr="00CB3320">
              <w:t>(0.00498)</w:t>
            </w:r>
          </w:p>
        </w:tc>
      </w:tr>
      <w:tr w:rsidR="001A0FD6" w:rsidRPr="00CB3320" w14:paraId="336BA39D" w14:textId="77777777" w:rsidTr="00A723D7">
        <w:trPr>
          <w:trHeight w:val="270"/>
        </w:trPr>
        <w:tc>
          <w:tcPr>
            <w:tcW w:w="563" w:type="pct"/>
            <w:noWrap/>
            <w:vAlign w:val="center"/>
            <w:hideMark/>
          </w:tcPr>
          <w:p w14:paraId="6D475ED4" w14:textId="7F0B353F" w:rsidR="001A0FD6" w:rsidRPr="00CB3320" w:rsidRDefault="00A723D7" w:rsidP="00A723D7">
            <w:pPr>
              <w:pStyle w:val="table"/>
            </w:pPr>
            <w:r w:rsidRPr="00CB3320">
              <w:t>间接效应</w:t>
            </w:r>
          </w:p>
        </w:tc>
        <w:tc>
          <w:tcPr>
            <w:tcW w:w="634" w:type="pct"/>
            <w:noWrap/>
            <w:vAlign w:val="center"/>
            <w:hideMark/>
          </w:tcPr>
          <w:p w14:paraId="466A995F" w14:textId="77777777" w:rsidR="001A0FD6" w:rsidRPr="00CB3320" w:rsidRDefault="001A0FD6" w:rsidP="00A723D7">
            <w:pPr>
              <w:pStyle w:val="table"/>
            </w:pPr>
            <w:r w:rsidRPr="00CB3320">
              <w:t>0.0678</w:t>
            </w:r>
          </w:p>
          <w:p w14:paraId="660DE107" w14:textId="028A9F37" w:rsidR="00A723D7" w:rsidRPr="00CB3320" w:rsidRDefault="00A723D7" w:rsidP="00A723D7">
            <w:pPr>
              <w:pStyle w:val="table"/>
            </w:pPr>
            <w:r w:rsidRPr="00CB3320">
              <w:t>(0.0482)</w:t>
            </w:r>
          </w:p>
        </w:tc>
        <w:tc>
          <w:tcPr>
            <w:tcW w:w="634" w:type="pct"/>
            <w:noWrap/>
            <w:vAlign w:val="center"/>
            <w:hideMark/>
          </w:tcPr>
          <w:p w14:paraId="4C7954EA" w14:textId="77777777" w:rsidR="001A0FD6" w:rsidRPr="00CB3320" w:rsidRDefault="001A0FD6" w:rsidP="00A723D7">
            <w:pPr>
              <w:pStyle w:val="table"/>
            </w:pPr>
            <w:r w:rsidRPr="00CB3320">
              <w:t>0.150***</w:t>
            </w:r>
          </w:p>
          <w:p w14:paraId="3D7EA6AE" w14:textId="65BB7943" w:rsidR="00A723D7" w:rsidRPr="00CB3320" w:rsidRDefault="00A723D7" w:rsidP="00A723D7">
            <w:pPr>
              <w:pStyle w:val="table"/>
            </w:pPr>
            <w:r w:rsidRPr="00CB3320">
              <w:t>(0.0362)</w:t>
            </w:r>
          </w:p>
        </w:tc>
        <w:tc>
          <w:tcPr>
            <w:tcW w:w="634" w:type="pct"/>
            <w:noWrap/>
            <w:vAlign w:val="center"/>
            <w:hideMark/>
          </w:tcPr>
          <w:p w14:paraId="714D43E4" w14:textId="77777777" w:rsidR="001A0FD6" w:rsidRPr="00CB3320" w:rsidRDefault="001A0FD6" w:rsidP="00A723D7">
            <w:pPr>
              <w:pStyle w:val="table"/>
            </w:pPr>
            <w:r w:rsidRPr="00CB3320">
              <w:t>0.113***</w:t>
            </w:r>
          </w:p>
          <w:p w14:paraId="3ECD3295" w14:textId="3C3280E8" w:rsidR="00A723D7" w:rsidRPr="00CB3320" w:rsidRDefault="00A723D7" w:rsidP="00A723D7">
            <w:pPr>
              <w:pStyle w:val="table"/>
            </w:pPr>
            <w:r w:rsidRPr="00CB3320">
              <w:t>(0.0282)</w:t>
            </w:r>
          </w:p>
        </w:tc>
        <w:tc>
          <w:tcPr>
            <w:tcW w:w="634" w:type="pct"/>
            <w:noWrap/>
            <w:vAlign w:val="center"/>
            <w:hideMark/>
          </w:tcPr>
          <w:p w14:paraId="379B1E99" w14:textId="77777777" w:rsidR="001A0FD6" w:rsidRPr="00CB3320" w:rsidRDefault="001A0FD6" w:rsidP="00A723D7">
            <w:pPr>
              <w:pStyle w:val="table"/>
            </w:pPr>
            <w:r w:rsidRPr="00CB3320">
              <w:t>0.110***</w:t>
            </w:r>
          </w:p>
          <w:p w14:paraId="611A6202" w14:textId="54F1991D" w:rsidR="00A723D7" w:rsidRPr="00CB3320" w:rsidRDefault="00A723D7" w:rsidP="00A723D7">
            <w:pPr>
              <w:pStyle w:val="table"/>
            </w:pPr>
            <w:r w:rsidRPr="00CB3320">
              <w:t>(0.0304)</w:t>
            </w:r>
          </w:p>
        </w:tc>
        <w:tc>
          <w:tcPr>
            <w:tcW w:w="634" w:type="pct"/>
            <w:noWrap/>
            <w:vAlign w:val="center"/>
            <w:hideMark/>
          </w:tcPr>
          <w:p w14:paraId="239BFE58" w14:textId="77777777" w:rsidR="001A0FD6" w:rsidRPr="00CB3320" w:rsidRDefault="001A0FD6" w:rsidP="00A723D7">
            <w:pPr>
              <w:pStyle w:val="table"/>
            </w:pPr>
            <w:r w:rsidRPr="00CB3320">
              <w:t>0.101***</w:t>
            </w:r>
          </w:p>
          <w:p w14:paraId="4C2EC56F" w14:textId="32794DF0" w:rsidR="00A723D7" w:rsidRPr="00CB3320" w:rsidRDefault="00A723D7" w:rsidP="00A723D7">
            <w:pPr>
              <w:pStyle w:val="table"/>
            </w:pPr>
            <w:r w:rsidRPr="00CB3320">
              <w:t>(0.0301)</w:t>
            </w:r>
          </w:p>
        </w:tc>
        <w:tc>
          <w:tcPr>
            <w:tcW w:w="634" w:type="pct"/>
            <w:noWrap/>
            <w:vAlign w:val="center"/>
            <w:hideMark/>
          </w:tcPr>
          <w:p w14:paraId="4825B778" w14:textId="77777777" w:rsidR="001A0FD6" w:rsidRPr="00CB3320" w:rsidRDefault="001A0FD6" w:rsidP="00A723D7">
            <w:pPr>
              <w:pStyle w:val="table"/>
            </w:pPr>
            <w:r w:rsidRPr="00CB3320">
              <w:t>0.0818***</w:t>
            </w:r>
          </w:p>
          <w:p w14:paraId="395923F1" w14:textId="69FC52FA" w:rsidR="00A723D7" w:rsidRPr="00CB3320" w:rsidRDefault="00A723D7" w:rsidP="00A723D7">
            <w:pPr>
              <w:pStyle w:val="table"/>
            </w:pPr>
            <w:r w:rsidRPr="00CB3320">
              <w:t>(0.0282)</w:t>
            </w:r>
          </w:p>
        </w:tc>
        <w:tc>
          <w:tcPr>
            <w:tcW w:w="633" w:type="pct"/>
            <w:noWrap/>
            <w:vAlign w:val="center"/>
            <w:hideMark/>
          </w:tcPr>
          <w:p w14:paraId="3F0AD2A9" w14:textId="77777777" w:rsidR="001A0FD6" w:rsidRPr="00CB3320" w:rsidRDefault="001A0FD6" w:rsidP="00A723D7">
            <w:pPr>
              <w:pStyle w:val="table"/>
            </w:pPr>
            <w:r w:rsidRPr="00CB3320">
              <w:t>0.0906***</w:t>
            </w:r>
          </w:p>
          <w:p w14:paraId="2BC4AE9E" w14:textId="1D407836" w:rsidR="00A723D7" w:rsidRPr="00CB3320" w:rsidRDefault="00A723D7" w:rsidP="00A723D7">
            <w:pPr>
              <w:pStyle w:val="table"/>
            </w:pPr>
            <w:r w:rsidRPr="00CB3320">
              <w:t>(0.0275)</w:t>
            </w:r>
          </w:p>
        </w:tc>
      </w:tr>
      <w:tr w:rsidR="001A0FD6" w:rsidRPr="00CB3320" w14:paraId="54604F15" w14:textId="77777777" w:rsidTr="00A723D7">
        <w:trPr>
          <w:trHeight w:val="270"/>
        </w:trPr>
        <w:tc>
          <w:tcPr>
            <w:tcW w:w="563" w:type="pct"/>
            <w:noWrap/>
            <w:vAlign w:val="center"/>
            <w:hideMark/>
          </w:tcPr>
          <w:p w14:paraId="0CD27755" w14:textId="0496A9D8" w:rsidR="001A0FD6" w:rsidRPr="00CB3320" w:rsidRDefault="00A723D7" w:rsidP="00A723D7">
            <w:pPr>
              <w:pStyle w:val="table"/>
            </w:pPr>
            <w:r w:rsidRPr="00CB3320">
              <w:t>总效应</w:t>
            </w:r>
          </w:p>
        </w:tc>
        <w:tc>
          <w:tcPr>
            <w:tcW w:w="634" w:type="pct"/>
            <w:noWrap/>
            <w:vAlign w:val="center"/>
            <w:hideMark/>
          </w:tcPr>
          <w:p w14:paraId="5860E0E0" w14:textId="77777777" w:rsidR="00A723D7" w:rsidRPr="00CB3320" w:rsidRDefault="001A0FD6" w:rsidP="00A723D7">
            <w:pPr>
              <w:pStyle w:val="table"/>
            </w:pPr>
            <w:r w:rsidRPr="00CB3320">
              <w:t>0.0437</w:t>
            </w:r>
          </w:p>
          <w:p w14:paraId="0138B4BA" w14:textId="179FCBAB" w:rsidR="00A723D7" w:rsidRPr="00CB3320" w:rsidRDefault="00A723D7" w:rsidP="00A723D7">
            <w:pPr>
              <w:pStyle w:val="table"/>
            </w:pPr>
            <w:r w:rsidRPr="00CB3320">
              <w:t>(0.0446)</w:t>
            </w:r>
          </w:p>
        </w:tc>
        <w:tc>
          <w:tcPr>
            <w:tcW w:w="634" w:type="pct"/>
            <w:noWrap/>
            <w:vAlign w:val="center"/>
            <w:hideMark/>
          </w:tcPr>
          <w:p w14:paraId="5E4F0C5C" w14:textId="77777777" w:rsidR="001A0FD6" w:rsidRPr="00CB3320" w:rsidRDefault="001A0FD6" w:rsidP="00A723D7">
            <w:pPr>
              <w:pStyle w:val="table"/>
            </w:pPr>
            <w:r w:rsidRPr="00CB3320">
              <w:t>0.108***</w:t>
            </w:r>
          </w:p>
          <w:p w14:paraId="7779E390" w14:textId="199A118C" w:rsidR="00A723D7" w:rsidRPr="00CB3320" w:rsidRDefault="00A723D7" w:rsidP="00A723D7">
            <w:pPr>
              <w:pStyle w:val="table"/>
            </w:pPr>
            <w:r w:rsidRPr="00CB3320">
              <w:t>(0.0328)</w:t>
            </w:r>
          </w:p>
        </w:tc>
        <w:tc>
          <w:tcPr>
            <w:tcW w:w="634" w:type="pct"/>
            <w:noWrap/>
            <w:vAlign w:val="center"/>
            <w:hideMark/>
          </w:tcPr>
          <w:p w14:paraId="2C643F34" w14:textId="77777777" w:rsidR="001A0FD6" w:rsidRPr="00CB3320" w:rsidRDefault="001A0FD6" w:rsidP="00A723D7">
            <w:pPr>
              <w:pStyle w:val="table"/>
            </w:pPr>
            <w:r w:rsidRPr="00CB3320">
              <w:t>0.0738***</w:t>
            </w:r>
          </w:p>
          <w:p w14:paraId="1A1BFAA9" w14:textId="1CD98B7B" w:rsidR="00A723D7" w:rsidRPr="00CB3320" w:rsidRDefault="00A723D7" w:rsidP="00A723D7">
            <w:pPr>
              <w:pStyle w:val="table"/>
            </w:pPr>
            <w:r w:rsidRPr="00CB3320">
              <w:t>(0.0250)</w:t>
            </w:r>
          </w:p>
        </w:tc>
        <w:tc>
          <w:tcPr>
            <w:tcW w:w="634" w:type="pct"/>
            <w:noWrap/>
            <w:vAlign w:val="center"/>
            <w:hideMark/>
          </w:tcPr>
          <w:p w14:paraId="327F0273" w14:textId="77777777" w:rsidR="001A0FD6" w:rsidRPr="00CB3320" w:rsidRDefault="001A0FD6" w:rsidP="00A723D7">
            <w:pPr>
              <w:pStyle w:val="table"/>
            </w:pPr>
            <w:r w:rsidRPr="00CB3320">
              <w:t>0.0712***</w:t>
            </w:r>
          </w:p>
          <w:p w14:paraId="3E6BE143" w14:textId="4D8DC13B" w:rsidR="00A723D7" w:rsidRPr="00CB3320" w:rsidRDefault="00A723D7" w:rsidP="00A723D7">
            <w:pPr>
              <w:pStyle w:val="table"/>
            </w:pPr>
            <w:r w:rsidRPr="00CB3320">
              <w:t>(0.0271)</w:t>
            </w:r>
          </w:p>
        </w:tc>
        <w:tc>
          <w:tcPr>
            <w:tcW w:w="634" w:type="pct"/>
            <w:noWrap/>
            <w:vAlign w:val="center"/>
            <w:hideMark/>
          </w:tcPr>
          <w:p w14:paraId="3CCF043E" w14:textId="77777777" w:rsidR="001A0FD6" w:rsidRPr="00CB3320" w:rsidRDefault="001A0FD6" w:rsidP="00A723D7">
            <w:pPr>
              <w:pStyle w:val="table"/>
            </w:pPr>
            <w:r w:rsidRPr="00CB3320">
              <w:t>0.0625**</w:t>
            </w:r>
          </w:p>
          <w:p w14:paraId="4BADA633" w14:textId="6CE29104" w:rsidR="00A723D7" w:rsidRPr="00CB3320" w:rsidRDefault="00A723D7" w:rsidP="00A723D7">
            <w:pPr>
              <w:pStyle w:val="table"/>
            </w:pPr>
            <w:r w:rsidRPr="00CB3320">
              <w:t>(0.0270)</w:t>
            </w:r>
          </w:p>
        </w:tc>
        <w:tc>
          <w:tcPr>
            <w:tcW w:w="634" w:type="pct"/>
            <w:noWrap/>
            <w:vAlign w:val="center"/>
            <w:hideMark/>
          </w:tcPr>
          <w:p w14:paraId="0817B246" w14:textId="77777777" w:rsidR="001A0FD6" w:rsidRPr="00CB3320" w:rsidRDefault="001A0FD6" w:rsidP="00A723D7">
            <w:pPr>
              <w:pStyle w:val="table"/>
            </w:pPr>
            <w:r w:rsidRPr="00CB3320">
              <w:t>0.0436*</w:t>
            </w:r>
          </w:p>
          <w:p w14:paraId="5FCDCAB7" w14:textId="101EEA32" w:rsidR="00A723D7" w:rsidRPr="00CB3320" w:rsidRDefault="00A723D7" w:rsidP="00A723D7">
            <w:pPr>
              <w:pStyle w:val="table"/>
            </w:pPr>
            <w:r w:rsidRPr="00CB3320">
              <w:t>(0.0247)</w:t>
            </w:r>
          </w:p>
        </w:tc>
        <w:tc>
          <w:tcPr>
            <w:tcW w:w="633" w:type="pct"/>
            <w:noWrap/>
            <w:vAlign w:val="center"/>
            <w:hideMark/>
          </w:tcPr>
          <w:p w14:paraId="55DC5A33" w14:textId="77777777" w:rsidR="001A0FD6" w:rsidRPr="00CB3320" w:rsidRDefault="001A0FD6" w:rsidP="00A723D7">
            <w:pPr>
              <w:pStyle w:val="table"/>
            </w:pPr>
            <w:r w:rsidRPr="00CB3320">
              <w:t>0.0535**</w:t>
            </w:r>
          </w:p>
          <w:p w14:paraId="74E6C6AA" w14:textId="017D4490" w:rsidR="00A723D7" w:rsidRPr="00CB3320" w:rsidRDefault="00A723D7" w:rsidP="00A723D7">
            <w:pPr>
              <w:pStyle w:val="table"/>
            </w:pPr>
            <w:r w:rsidRPr="00CB3320">
              <w:t>(0.0244)</w:t>
            </w:r>
          </w:p>
        </w:tc>
      </w:tr>
      <w:tr w:rsidR="00483A0C" w:rsidRPr="00CB3320" w14:paraId="537C8D1A" w14:textId="77777777" w:rsidTr="00A723D7">
        <w:trPr>
          <w:trHeight w:val="270"/>
        </w:trPr>
        <w:tc>
          <w:tcPr>
            <w:tcW w:w="563" w:type="pct"/>
            <w:noWrap/>
            <w:vAlign w:val="center"/>
            <w:hideMark/>
          </w:tcPr>
          <w:p w14:paraId="4A773910" w14:textId="12B78AAE" w:rsidR="00483A0C" w:rsidRPr="00CB3320" w:rsidRDefault="00690C58" w:rsidP="00A723D7">
            <w:pPr>
              <w:pStyle w:val="table"/>
            </w:pPr>
            <w:r w:rsidRPr="00CB3320">
              <w:t>控制变量个数</w:t>
            </w:r>
          </w:p>
        </w:tc>
        <w:tc>
          <w:tcPr>
            <w:tcW w:w="634" w:type="pct"/>
            <w:noWrap/>
            <w:vAlign w:val="center"/>
            <w:hideMark/>
          </w:tcPr>
          <w:p w14:paraId="5AD4EFDB" w14:textId="77777777" w:rsidR="00483A0C" w:rsidRPr="00CB3320" w:rsidRDefault="00483A0C" w:rsidP="00A723D7">
            <w:pPr>
              <w:pStyle w:val="table"/>
            </w:pPr>
            <w:r w:rsidRPr="00CB3320">
              <w:t>0</w:t>
            </w:r>
          </w:p>
        </w:tc>
        <w:tc>
          <w:tcPr>
            <w:tcW w:w="634" w:type="pct"/>
            <w:noWrap/>
            <w:vAlign w:val="center"/>
            <w:hideMark/>
          </w:tcPr>
          <w:p w14:paraId="3602849E" w14:textId="77777777" w:rsidR="00483A0C" w:rsidRPr="00CB3320" w:rsidRDefault="00483A0C" w:rsidP="00A723D7">
            <w:pPr>
              <w:pStyle w:val="table"/>
            </w:pPr>
            <w:r w:rsidRPr="00CB3320">
              <w:t>1</w:t>
            </w:r>
          </w:p>
        </w:tc>
        <w:tc>
          <w:tcPr>
            <w:tcW w:w="634" w:type="pct"/>
            <w:noWrap/>
            <w:vAlign w:val="center"/>
            <w:hideMark/>
          </w:tcPr>
          <w:p w14:paraId="19A675FF" w14:textId="77777777" w:rsidR="00483A0C" w:rsidRPr="00CB3320" w:rsidRDefault="00483A0C" w:rsidP="00A723D7">
            <w:pPr>
              <w:pStyle w:val="table"/>
            </w:pPr>
            <w:r w:rsidRPr="00CB3320">
              <w:t>2</w:t>
            </w:r>
          </w:p>
        </w:tc>
        <w:tc>
          <w:tcPr>
            <w:tcW w:w="634" w:type="pct"/>
            <w:noWrap/>
            <w:vAlign w:val="center"/>
            <w:hideMark/>
          </w:tcPr>
          <w:p w14:paraId="22096DE3" w14:textId="77777777" w:rsidR="00483A0C" w:rsidRPr="00CB3320" w:rsidRDefault="00483A0C" w:rsidP="00A723D7">
            <w:pPr>
              <w:pStyle w:val="table"/>
            </w:pPr>
            <w:r w:rsidRPr="00CB3320">
              <w:t>3</w:t>
            </w:r>
          </w:p>
        </w:tc>
        <w:tc>
          <w:tcPr>
            <w:tcW w:w="634" w:type="pct"/>
            <w:noWrap/>
            <w:vAlign w:val="center"/>
            <w:hideMark/>
          </w:tcPr>
          <w:p w14:paraId="5EC9646C" w14:textId="77777777" w:rsidR="00483A0C" w:rsidRPr="00CB3320" w:rsidRDefault="00483A0C" w:rsidP="00A723D7">
            <w:pPr>
              <w:pStyle w:val="table"/>
            </w:pPr>
            <w:r w:rsidRPr="00CB3320">
              <w:t>4</w:t>
            </w:r>
          </w:p>
        </w:tc>
        <w:tc>
          <w:tcPr>
            <w:tcW w:w="634" w:type="pct"/>
            <w:noWrap/>
            <w:vAlign w:val="center"/>
            <w:hideMark/>
          </w:tcPr>
          <w:p w14:paraId="6F1E5D98" w14:textId="77777777" w:rsidR="00483A0C" w:rsidRPr="00CB3320" w:rsidRDefault="00483A0C" w:rsidP="00A723D7">
            <w:pPr>
              <w:pStyle w:val="table"/>
            </w:pPr>
            <w:r w:rsidRPr="00CB3320">
              <w:t>5</w:t>
            </w:r>
          </w:p>
        </w:tc>
        <w:tc>
          <w:tcPr>
            <w:tcW w:w="633" w:type="pct"/>
            <w:noWrap/>
            <w:vAlign w:val="center"/>
            <w:hideMark/>
          </w:tcPr>
          <w:p w14:paraId="7AF992AA" w14:textId="77777777" w:rsidR="00483A0C" w:rsidRPr="00CB3320" w:rsidRDefault="00483A0C" w:rsidP="00A723D7">
            <w:pPr>
              <w:pStyle w:val="table"/>
            </w:pPr>
            <w:r w:rsidRPr="00CB3320">
              <w:t>ALL</w:t>
            </w:r>
          </w:p>
        </w:tc>
      </w:tr>
    </w:tbl>
    <w:p w14:paraId="419D0177" w14:textId="025995DF" w:rsidR="00B44A4B" w:rsidRPr="00CB3320" w:rsidRDefault="00A723D7" w:rsidP="00B44A4B">
      <w:pPr>
        <w:ind w:firstLine="300"/>
        <w:rPr>
          <w:rFonts w:eastAsia="楷体" w:cs="Times New Roman"/>
          <w:sz w:val="15"/>
          <w:szCs w:val="15"/>
        </w:rPr>
      </w:pPr>
      <w:r w:rsidRPr="00CB3320">
        <w:rPr>
          <w:rFonts w:eastAsia="楷体" w:cs="Times New Roman" w:hint="eastAsia"/>
          <w:sz w:val="15"/>
          <w:szCs w:val="15"/>
        </w:rPr>
        <w:t>注：括号中为聚类到省份的稳健标准误；</w:t>
      </w:r>
      <w:r w:rsidRPr="00CB3320">
        <w:rPr>
          <w:rFonts w:eastAsia="楷体" w:cs="Times New Roman"/>
          <w:sz w:val="15"/>
          <w:szCs w:val="15"/>
        </w:rPr>
        <w:t>* p&lt;0.10, ** p&lt;0.05, *** p&lt;0.01</w:t>
      </w:r>
      <w:r w:rsidRPr="00CB3320">
        <w:rPr>
          <w:rFonts w:eastAsia="楷体" w:cs="Times New Roman"/>
          <w:sz w:val="15"/>
          <w:szCs w:val="15"/>
        </w:rPr>
        <w:t>。</w:t>
      </w:r>
    </w:p>
    <w:p w14:paraId="41D74422" w14:textId="77777777" w:rsidR="00A723D7" w:rsidRPr="00CB3320" w:rsidRDefault="00A723D7" w:rsidP="00B44A4B">
      <w:pPr>
        <w:ind w:firstLine="300"/>
        <w:rPr>
          <w:rFonts w:eastAsia="楷体" w:cs="Times New Roman"/>
          <w:sz w:val="15"/>
          <w:szCs w:val="15"/>
        </w:rPr>
      </w:pPr>
    </w:p>
    <w:p w14:paraId="799DBBD6" w14:textId="1BE5D535" w:rsidR="00B44A4B" w:rsidRPr="00CB3320" w:rsidRDefault="00B44A4B" w:rsidP="00B44A4B">
      <w:pPr>
        <w:ind w:firstLine="420"/>
      </w:pPr>
      <w:bookmarkStart w:id="61" w:name="_Hlk121752595"/>
      <w:r w:rsidRPr="00CB3320">
        <w:rPr>
          <w:rFonts w:hint="eastAsia"/>
        </w:rPr>
        <w:t>另外，我们根据</w:t>
      </w:r>
      <w:r w:rsidR="00047413" w:rsidRPr="00CB3320">
        <w:rPr>
          <w:rFonts w:hint="eastAsia"/>
        </w:rPr>
        <w:t>提出的假说</w:t>
      </w:r>
      <w:r w:rsidR="00047413" w:rsidRPr="00CB3320">
        <w:rPr>
          <w:rFonts w:hint="eastAsia"/>
        </w:rPr>
        <w:t>2a</w:t>
      </w:r>
      <w:r w:rsidR="00047413" w:rsidRPr="00CB3320">
        <w:rPr>
          <w:rFonts w:hint="eastAsia"/>
        </w:rPr>
        <w:t>和假说</w:t>
      </w:r>
      <w:r w:rsidR="00047413" w:rsidRPr="00CB3320">
        <w:rPr>
          <w:rFonts w:hint="eastAsia"/>
        </w:rPr>
        <w:t>2b</w:t>
      </w:r>
      <w:r w:rsidR="00047413" w:rsidRPr="00CB3320">
        <w:rPr>
          <w:rFonts w:hint="eastAsia"/>
        </w:rPr>
        <w:t>的机制，我们进一步分析了潜在的机制。我们以各个城市绿色实用新型专利申请量作为城市创新指标的代理变量，以第二产业占比作为产业结构的代理变量，运用通过分布滞后的加权</w:t>
      </w:r>
      <w:r w:rsidR="00047413" w:rsidRPr="00CB3320">
        <w:rPr>
          <w:rFonts w:hint="eastAsia"/>
        </w:rPr>
        <w:t>D</w:t>
      </w:r>
      <w:r w:rsidR="00047413" w:rsidRPr="00CB3320">
        <w:t>ID</w:t>
      </w:r>
      <w:r w:rsidR="00047413" w:rsidRPr="00CB3320">
        <w:rPr>
          <w:rFonts w:hint="eastAsia"/>
        </w:rPr>
        <w:t>模型分析</w:t>
      </w:r>
      <w:proofErr w:type="gramStart"/>
      <w:r w:rsidR="00047413" w:rsidRPr="00CB3320">
        <w:rPr>
          <w:rFonts w:hint="eastAsia"/>
        </w:rPr>
        <w:t>碳交易</w:t>
      </w:r>
      <w:proofErr w:type="gramEnd"/>
      <w:r w:rsidR="00047413" w:rsidRPr="00CB3320">
        <w:rPr>
          <w:rFonts w:hint="eastAsia"/>
        </w:rPr>
        <w:t>对创新与产业结构的影响。结果（</w:t>
      </w:r>
      <w:r w:rsidR="00047413" w:rsidRPr="00CB3320">
        <w:fldChar w:fldCharType="begin"/>
      </w:r>
      <w:r w:rsidR="00047413" w:rsidRPr="00CB3320">
        <w:instrText xml:space="preserve"> </w:instrText>
      </w:r>
      <w:r w:rsidR="00047413" w:rsidRPr="00CB3320">
        <w:rPr>
          <w:rFonts w:hint="eastAsia"/>
        </w:rPr>
        <w:instrText>REF _Ref121752160 \h</w:instrText>
      </w:r>
      <w:r w:rsidR="00047413" w:rsidRPr="00CB3320">
        <w:instrText xml:space="preserve"> </w:instrText>
      </w:r>
      <w:r w:rsidR="00047413" w:rsidRPr="00CB3320">
        <w:fldChar w:fldCharType="separate"/>
      </w:r>
      <w:r w:rsidR="00EC325E" w:rsidRPr="00CB3320">
        <w:rPr>
          <w:rFonts w:hint="eastAsia"/>
        </w:rPr>
        <w:t>表</w:t>
      </w:r>
      <w:r w:rsidR="00EC325E" w:rsidRPr="00CB3320">
        <w:rPr>
          <w:noProof/>
        </w:rPr>
        <w:t>6</w:t>
      </w:r>
      <w:r w:rsidR="00047413" w:rsidRPr="00CB3320">
        <w:fldChar w:fldCharType="end"/>
      </w:r>
      <w:r w:rsidR="00047413" w:rsidRPr="00CB3320">
        <w:rPr>
          <w:rFonts w:hint="eastAsia"/>
        </w:rPr>
        <w:t>）显示，在样本期内，综合来看</w:t>
      </w:r>
      <w:proofErr w:type="gramStart"/>
      <w:r w:rsidR="00047413" w:rsidRPr="00CB3320">
        <w:rPr>
          <w:rFonts w:hint="eastAsia"/>
        </w:rPr>
        <w:t>碳交易</w:t>
      </w:r>
      <w:proofErr w:type="gramEnd"/>
      <w:r w:rsidR="00047413" w:rsidRPr="00CB3320">
        <w:rPr>
          <w:rFonts w:hint="eastAsia"/>
        </w:rPr>
        <w:t>对创新和产业结构似乎并没有显著的影响。但是通过分布滞后模型的结果，我们可以看到，在滞后三期左右，</w:t>
      </w:r>
      <w:proofErr w:type="gramStart"/>
      <w:r w:rsidR="00047413" w:rsidRPr="00CB3320">
        <w:rPr>
          <w:rFonts w:hint="eastAsia"/>
        </w:rPr>
        <w:t>碳交易</w:t>
      </w:r>
      <w:proofErr w:type="gramEnd"/>
      <w:r w:rsidR="00047413" w:rsidRPr="00CB3320">
        <w:rPr>
          <w:rFonts w:hint="eastAsia"/>
        </w:rPr>
        <w:t>能够刺激城市创新的提高。由于试点</w:t>
      </w:r>
      <w:r w:rsidR="00D62208" w:rsidRPr="00CB3320">
        <w:rPr>
          <w:rFonts w:hint="eastAsia"/>
        </w:rPr>
        <w:t>时期</w:t>
      </w:r>
      <w:r w:rsidR="00047413" w:rsidRPr="00CB3320">
        <w:rPr>
          <w:rFonts w:hint="eastAsia"/>
        </w:rPr>
        <w:t>比较短</w:t>
      </w:r>
      <w:r w:rsidR="00D62208" w:rsidRPr="00CB3320">
        <w:rPr>
          <w:rFonts w:hint="eastAsia"/>
        </w:rPr>
        <w:t>，我们无法采用更高阶的滞后项</w:t>
      </w:r>
      <w:r w:rsidR="00047413" w:rsidRPr="00CB3320">
        <w:rPr>
          <w:rFonts w:hint="eastAsia"/>
        </w:rPr>
        <w:t>，</w:t>
      </w:r>
      <w:r w:rsidR="00D62208" w:rsidRPr="00CB3320">
        <w:rPr>
          <w:rFonts w:hint="eastAsia"/>
        </w:rPr>
        <w:t>因此，</w:t>
      </w:r>
      <w:r w:rsidR="00047413" w:rsidRPr="00CB3320">
        <w:rPr>
          <w:rFonts w:hint="eastAsia"/>
        </w:rPr>
        <w:t>我们无法识别充足的证据认为</w:t>
      </w:r>
      <w:proofErr w:type="gramStart"/>
      <w:r w:rsidR="00047413" w:rsidRPr="00CB3320">
        <w:rPr>
          <w:rFonts w:hint="eastAsia"/>
        </w:rPr>
        <w:t>碳交易</w:t>
      </w:r>
      <w:proofErr w:type="gramEnd"/>
      <w:r w:rsidR="00047413" w:rsidRPr="00CB3320">
        <w:rPr>
          <w:rFonts w:hint="eastAsia"/>
        </w:rPr>
        <w:t>能够刺激创新，但有理由认为短期可能不会看到技术创新，</w:t>
      </w:r>
      <w:r w:rsidR="00D62208" w:rsidRPr="00CB3320">
        <w:rPr>
          <w:rFonts w:hint="eastAsia"/>
        </w:rPr>
        <w:t>而</w:t>
      </w:r>
      <w:r w:rsidR="00047413" w:rsidRPr="00CB3320">
        <w:rPr>
          <w:rFonts w:hint="eastAsia"/>
        </w:rPr>
        <w:t>长期</w:t>
      </w:r>
      <w:r w:rsidR="00D62208" w:rsidRPr="00CB3320">
        <w:rPr>
          <w:rFonts w:hint="eastAsia"/>
        </w:rPr>
        <w:t>可能存在</w:t>
      </w:r>
      <w:proofErr w:type="gramStart"/>
      <w:r w:rsidR="00047413" w:rsidRPr="00CB3320">
        <w:rPr>
          <w:rFonts w:hint="eastAsia"/>
        </w:rPr>
        <w:t>碳减排领域</w:t>
      </w:r>
      <w:proofErr w:type="gramEnd"/>
      <w:r w:rsidR="00047413" w:rsidRPr="00CB3320">
        <w:rPr>
          <w:rFonts w:hint="eastAsia"/>
        </w:rPr>
        <w:t>的技术创新</w:t>
      </w:r>
      <w:r w:rsidR="00D62208" w:rsidRPr="00CB3320">
        <w:rPr>
          <w:rFonts w:hint="eastAsia"/>
        </w:rPr>
        <w:t>（假说</w:t>
      </w:r>
      <w:r w:rsidR="00D62208" w:rsidRPr="00CB3320">
        <w:rPr>
          <w:rFonts w:hint="eastAsia"/>
        </w:rPr>
        <w:t>2a</w:t>
      </w:r>
      <w:r w:rsidR="00D62208" w:rsidRPr="00CB3320">
        <w:rPr>
          <w:rFonts w:hint="eastAsia"/>
        </w:rPr>
        <w:t>成立的条件）。另外，就产业结构而言，我们并没有发现显著为负的产业结构，也就是污染天堂假说（假说</w:t>
      </w:r>
      <w:r w:rsidR="00D62208" w:rsidRPr="00CB3320">
        <w:rPr>
          <w:rFonts w:hint="eastAsia"/>
        </w:rPr>
        <w:t>2b</w:t>
      </w:r>
      <w:r w:rsidR="00D62208" w:rsidRPr="00CB3320">
        <w:rPr>
          <w:rFonts w:hint="eastAsia"/>
        </w:rPr>
        <w:t>成立的条件）并不成立。从目前</w:t>
      </w:r>
      <w:proofErr w:type="gramStart"/>
      <w:r w:rsidR="00D62208" w:rsidRPr="00CB3320">
        <w:rPr>
          <w:rFonts w:hint="eastAsia"/>
        </w:rPr>
        <w:t>碳交易</w:t>
      </w:r>
      <w:proofErr w:type="gramEnd"/>
      <w:r w:rsidR="00D62208" w:rsidRPr="00CB3320">
        <w:rPr>
          <w:rFonts w:hint="eastAsia"/>
        </w:rPr>
        <w:t>市场的表现来看，我们也认为，当前的碳定价可能不足以刺激较高的创新水平，适当提高</w:t>
      </w:r>
      <w:proofErr w:type="gramStart"/>
      <w:r w:rsidR="00D62208" w:rsidRPr="00CB3320">
        <w:rPr>
          <w:rFonts w:hint="eastAsia"/>
        </w:rPr>
        <w:t>碳价格</w:t>
      </w:r>
      <w:proofErr w:type="gramEnd"/>
      <w:r w:rsidR="00D62208" w:rsidRPr="00CB3320">
        <w:rPr>
          <w:rFonts w:hint="eastAsia"/>
        </w:rPr>
        <w:t>以刺激创新可能是提高</w:t>
      </w:r>
      <w:r w:rsidR="00D62208" w:rsidRPr="00CB3320">
        <w:rPr>
          <w:rFonts w:hint="eastAsia"/>
        </w:rPr>
        <w:t>T</w:t>
      </w:r>
      <w:r w:rsidR="00D62208" w:rsidRPr="00CB3320">
        <w:t>FP</w:t>
      </w:r>
      <w:r w:rsidR="00D62208" w:rsidRPr="00CB3320">
        <w:rPr>
          <w:rFonts w:hint="eastAsia"/>
        </w:rPr>
        <w:t>的途径之一；</w:t>
      </w:r>
      <w:bookmarkStart w:id="62" w:name="_Hlk121752726"/>
      <w:r w:rsidR="00D62208" w:rsidRPr="00CB3320">
        <w:rPr>
          <w:rFonts w:hint="eastAsia"/>
        </w:rPr>
        <w:t>当前的碳定价也不足以产生污染天堂假说，但是提高</w:t>
      </w:r>
      <w:proofErr w:type="gramStart"/>
      <w:r w:rsidR="00D62208" w:rsidRPr="00CB3320">
        <w:rPr>
          <w:rFonts w:hint="eastAsia"/>
        </w:rPr>
        <w:t>碳价格</w:t>
      </w:r>
      <w:proofErr w:type="gramEnd"/>
      <w:r w:rsidR="00D62208" w:rsidRPr="00CB3320">
        <w:rPr>
          <w:rFonts w:hint="eastAsia"/>
        </w:rPr>
        <w:t>后，仍需要警惕潜在的污染天堂效应。</w:t>
      </w:r>
      <w:bookmarkEnd w:id="62"/>
    </w:p>
    <w:p w14:paraId="1DCDD563" w14:textId="53A40DCB" w:rsidR="00B44A4B" w:rsidRPr="00CB3320" w:rsidRDefault="00B44A4B" w:rsidP="00B44A4B">
      <w:pPr>
        <w:pStyle w:val="TableX"/>
      </w:pPr>
      <w:bookmarkStart w:id="63" w:name="_Ref121752160"/>
      <w:r w:rsidRPr="00CB3320">
        <w:rPr>
          <w:rFonts w:hint="eastAsia"/>
        </w:rPr>
        <w:t>表</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 xml:space="preserve"> \* ARABIC</w:instrText>
      </w:r>
      <w:r w:rsidRPr="00CB3320">
        <w:instrText xml:space="preserve"> </w:instrText>
      </w:r>
      <w:r w:rsidRPr="00CB3320">
        <w:fldChar w:fldCharType="separate"/>
      </w:r>
      <w:r w:rsidR="00047413" w:rsidRPr="00CB3320">
        <w:rPr>
          <w:noProof/>
        </w:rPr>
        <w:t>6</w:t>
      </w:r>
      <w:r w:rsidRPr="00CB3320">
        <w:fldChar w:fldCharType="end"/>
      </w:r>
      <w:bookmarkEnd w:id="63"/>
      <w:r w:rsidR="00344D5D" w:rsidRPr="00CB3320">
        <w:t xml:space="preserve">  </w:t>
      </w:r>
      <w:r w:rsidR="003B3588" w:rsidRPr="00CB3320">
        <w:rPr>
          <w:rFonts w:hint="eastAsia"/>
        </w:rPr>
        <w:t>潜在机制：</w:t>
      </w:r>
      <w:proofErr w:type="gramStart"/>
      <w:r w:rsidRPr="00CB3320">
        <w:rPr>
          <w:rFonts w:hint="eastAsia"/>
        </w:rPr>
        <w:t>碳交易</w:t>
      </w:r>
      <w:proofErr w:type="gramEnd"/>
      <w:r w:rsidRPr="00CB3320">
        <w:rPr>
          <w:rFonts w:hint="eastAsia"/>
        </w:rPr>
        <w:t>对创新和产业结构的影响</w:t>
      </w:r>
    </w:p>
    <w:tbl>
      <w:tblPr>
        <w:tblW w:w="5000" w:type="pct"/>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1831"/>
        <w:gridCol w:w="1761"/>
        <w:gridCol w:w="1725"/>
        <w:gridCol w:w="1877"/>
        <w:gridCol w:w="1876"/>
      </w:tblGrid>
      <w:tr w:rsidR="001D37CC" w:rsidRPr="00CB3320" w14:paraId="4CC8B19E" w14:textId="77777777" w:rsidTr="00D168B5">
        <w:trPr>
          <w:trHeight w:val="300"/>
        </w:trPr>
        <w:tc>
          <w:tcPr>
            <w:tcW w:w="1009" w:type="pct"/>
            <w:shd w:val="clear" w:color="auto" w:fill="auto"/>
            <w:noWrap/>
            <w:vAlign w:val="center"/>
            <w:hideMark/>
          </w:tcPr>
          <w:p w14:paraId="561EB9F2" w14:textId="77777777" w:rsidR="001D37CC" w:rsidRPr="00CB3320" w:rsidRDefault="001D37CC" w:rsidP="00D168B5">
            <w:pPr>
              <w:pStyle w:val="table"/>
            </w:pPr>
            <w:r w:rsidRPr="00CB3320">
              <w:t xml:space="preserve">　</w:t>
            </w:r>
          </w:p>
        </w:tc>
        <w:tc>
          <w:tcPr>
            <w:tcW w:w="971" w:type="pct"/>
            <w:shd w:val="clear" w:color="auto" w:fill="auto"/>
            <w:noWrap/>
            <w:vAlign w:val="center"/>
            <w:hideMark/>
          </w:tcPr>
          <w:p w14:paraId="1B45794E" w14:textId="77777777" w:rsidR="001D37CC" w:rsidRPr="00CB3320" w:rsidRDefault="001D37CC" w:rsidP="00D168B5">
            <w:pPr>
              <w:pStyle w:val="table"/>
            </w:pPr>
            <w:r w:rsidRPr="00CB3320">
              <w:rPr>
                <w:rFonts w:hint="eastAsia"/>
              </w:rPr>
              <w:t>(</w:t>
            </w:r>
            <w:r w:rsidRPr="00CB3320">
              <w:t>1)</w:t>
            </w:r>
          </w:p>
        </w:tc>
        <w:tc>
          <w:tcPr>
            <w:tcW w:w="951" w:type="pct"/>
            <w:shd w:val="clear" w:color="auto" w:fill="auto"/>
            <w:noWrap/>
            <w:vAlign w:val="center"/>
            <w:hideMark/>
          </w:tcPr>
          <w:p w14:paraId="0C6177D3" w14:textId="77777777" w:rsidR="001D37CC" w:rsidRPr="00CB3320" w:rsidRDefault="001D37CC" w:rsidP="00D168B5">
            <w:pPr>
              <w:pStyle w:val="table"/>
            </w:pPr>
            <w:r w:rsidRPr="00CB3320">
              <w:rPr>
                <w:rFonts w:hint="eastAsia"/>
              </w:rPr>
              <w:t>(</w:t>
            </w:r>
            <w:r w:rsidRPr="00CB3320">
              <w:t>2)</w:t>
            </w:r>
          </w:p>
        </w:tc>
        <w:tc>
          <w:tcPr>
            <w:tcW w:w="1035" w:type="pct"/>
            <w:shd w:val="clear" w:color="auto" w:fill="auto"/>
            <w:noWrap/>
            <w:vAlign w:val="center"/>
            <w:hideMark/>
          </w:tcPr>
          <w:p w14:paraId="0582339C" w14:textId="77777777" w:rsidR="001D37CC" w:rsidRPr="00CB3320" w:rsidRDefault="001D37CC" w:rsidP="00D168B5">
            <w:pPr>
              <w:pStyle w:val="table"/>
            </w:pPr>
            <w:r w:rsidRPr="00CB3320">
              <w:rPr>
                <w:rFonts w:hint="eastAsia"/>
              </w:rPr>
              <w:t>(</w:t>
            </w:r>
            <w:r w:rsidRPr="00CB3320">
              <w:t>3)</w:t>
            </w:r>
          </w:p>
        </w:tc>
        <w:tc>
          <w:tcPr>
            <w:tcW w:w="1034" w:type="pct"/>
            <w:shd w:val="clear" w:color="auto" w:fill="auto"/>
            <w:noWrap/>
            <w:vAlign w:val="center"/>
            <w:hideMark/>
          </w:tcPr>
          <w:p w14:paraId="54B8B370" w14:textId="77777777" w:rsidR="001D37CC" w:rsidRPr="00CB3320" w:rsidRDefault="001D37CC" w:rsidP="00D168B5">
            <w:pPr>
              <w:pStyle w:val="table"/>
            </w:pPr>
            <w:r w:rsidRPr="00CB3320">
              <w:rPr>
                <w:rFonts w:hint="eastAsia"/>
              </w:rPr>
              <w:t>(</w:t>
            </w:r>
            <w:r w:rsidRPr="00CB3320">
              <w:t>4)</w:t>
            </w:r>
          </w:p>
        </w:tc>
      </w:tr>
      <w:tr w:rsidR="001D37CC" w:rsidRPr="00CB3320" w14:paraId="124DB791" w14:textId="77777777" w:rsidTr="00D168B5">
        <w:trPr>
          <w:trHeight w:val="300"/>
        </w:trPr>
        <w:tc>
          <w:tcPr>
            <w:tcW w:w="1009" w:type="pct"/>
            <w:shd w:val="clear" w:color="auto" w:fill="auto"/>
            <w:noWrap/>
            <w:vAlign w:val="center"/>
            <w:hideMark/>
          </w:tcPr>
          <w:p w14:paraId="5A9BBD04" w14:textId="77777777" w:rsidR="001D37CC" w:rsidRPr="00CB3320" w:rsidRDefault="001D37CC" w:rsidP="00D168B5">
            <w:pPr>
              <w:pStyle w:val="table"/>
            </w:pPr>
            <w:r w:rsidRPr="00CB3320">
              <w:t xml:space="preserve">　</w:t>
            </w:r>
          </w:p>
        </w:tc>
        <w:tc>
          <w:tcPr>
            <w:tcW w:w="971" w:type="pct"/>
            <w:shd w:val="clear" w:color="auto" w:fill="auto"/>
            <w:noWrap/>
            <w:vAlign w:val="center"/>
            <w:hideMark/>
          </w:tcPr>
          <w:p w14:paraId="0F39624B" w14:textId="5DA1B2F2" w:rsidR="001D37CC" w:rsidRPr="00CB3320" w:rsidRDefault="001D37CC" w:rsidP="00D168B5">
            <w:pPr>
              <w:pStyle w:val="table"/>
            </w:pPr>
            <w:r w:rsidRPr="00CB3320">
              <w:t>创新</w:t>
            </w:r>
          </w:p>
        </w:tc>
        <w:tc>
          <w:tcPr>
            <w:tcW w:w="951" w:type="pct"/>
            <w:shd w:val="clear" w:color="auto" w:fill="auto"/>
            <w:noWrap/>
            <w:vAlign w:val="center"/>
            <w:hideMark/>
          </w:tcPr>
          <w:p w14:paraId="70868581" w14:textId="0217F79D" w:rsidR="001D37CC" w:rsidRPr="00CB3320" w:rsidRDefault="001D37CC" w:rsidP="00D168B5">
            <w:pPr>
              <w:pStyle w:val="table"/>
            </w:pPr>
            <w:r w:rsidRPr="00CB3320">
              <w:t>创新</w:t>
            </w:r>
          </w:p>
        </w:tc>
        <w:tc>
          <w:tcPr>
            <w:tcW w:w="1035" w:type="pct"/>
            <w:shd w:val="clear" w:color="auto" w:fill="auto"/>
            <w:noWrap/>
            <w:vAlign w:val="center"/>
            <w:hideMark/>
          </w:tcPr>
          <w:p w14:paraId="267554EC" w14:textId="74EF4CD5" w:rsidR="001D37CC" w:rsidRPr="00CB3320" w:rsidRDefault="001D37CC" w:rsidP="00D168B5">
            <w:pPr>
              <w:pStyle w:val="table"/>
            </w:pPr>
            <w:r w:rsidRPr="00CB3320">
              <w:t>产业结构</w:t>
            </w:r>
          </w:p>
        </w:tc>
        <w:tc>
          <w:tcPr>
            <w:tcW w:w="1034" w:type="pct"/>
            <w:shd w:val="clear" w:color="auto" w:fill="auto"/>
            <w:noWrap/>
            <w:vAlign w:val="center"/>
            <w:hideMark/>
          </w:tcPr>
          <w:p w14:paraId="1F9AD798" w14:textId="4B20B367" w:rsidR="001D37CC" w:rsidRPr="00CB3320" w:rsidRDefault="001D37CC" w:rsidP="00D168B5">
            <w:pPr>
              <w:pStyle w:val="table"/>
            </w:pPr>
            <w:r w:rsidRPr="00CB3320">
              <w:t>产业结构</w:t>
            </w:r>
          </w:p>
        </w:tc>
      </w:tr>
      <w:tr w:rsidR="001D37CC" w:rsidRPr="00CB3320" w14:paraId="59E6CD9E" w14:textId="77777777" w:rsidTr="00D168B5">
        <w:trPr>
          <w:trHeight w:val="285"/>
        </w:trPr>
        <w:tc>
          <w:tcPr>
            <w:tcW w:w="1009" w:type="pct"/>
            <w:shd w:val="clear" w:color="auto" w:fill="auto"/>
            <w:noWrap/>
            <w:vAlign w:val="center"/>
            <w:hideMark/>
          </w:tcPr>
          <w:p w14:paraId="4A87E4E1" w14:textId="77777777" w:rsidR="001D37CC" w:rsidRPr="00CB3320" w:rsidRDefault="001D37CC" w:rsidP="00D168B5">
            <w:pPr>
              <w:pStyle w:val="table"/>
            </w:pPr>
            <w:r w:rsidRPr="00CB3320">
              <w:t>D_ETS</w:t>
            </w:r>
          </w:p>
        </w:tc>
        <w:tc>
          <w:tcPr>
            <w:tcW w:w="971" w:type="pct"/>
            <w:shd w:val="clear" w:color="auto" w:fill="auto"/>
            <w:noWrap/>
            <w:vAlign w:val="center"/>
            <w:hideMark/>
          </w:tcPr>
          <w:p w14:paraId="6BD5C3FB" w14:textId="77777777" w:rsidR="001D37CC" w:rsidRPr="00CB3320" w:rsidRDefault="001D37CC" w:rsidP="00D168B5">
            <w:pPr>
              <w:pStyle w:val="table"/>
            </w:pPr>
            <w:r w:rsidRPr="00CB3320">
              <w:t>15.10</w:t>
            </w:r>
          </w:p>
          <w:p w14:paraId="5B17D3BA" w14:textId="02CC73B7" w:rsidR="00D168B5" w:rsidRPr="00CB3320" w:rsidRDefault="00D168B5" w:rsidP="00D168B5">
            <w:pPr>
              <w:pStyle w:val="table"/>
            </w:pPr>
            <w:r w:rsidRPr="00CB3320">
              <w:t>(41.37)</w:t>
            </w:r>
          </w:p>
        </w:tc>
        <w:tc>
          <w:tcPr>
            <w:tcW w:w="951" w:type="pct"/>
            <w:shd w:val="clear" w:color="auto" w:fill="auto"/>
            <w:noWrap/>
            <w:vAlign w:val="center"/>
            <w:hideMark/>
          </w:tcPr>
          <w:p w14:paraId="06C72391" w14:textId="77777777" w:rsidR="001D37CC" w:rsidRPr="00CB3320" w:rsidRDefault="001D37CC" w:rsidP="00D168B5">
            <w:pPr>
              <w:pStyle w:val="table"/>
            </w:pPr>
            <w:r w:rsidRPr="00CB3320">
              <w:t>14.56</w:t>
            </w:r>
          </w:p>
          <w:p w14:paraId="0EA86482" w14:textId="20AC18CB" w:rsidR="00D168B5" w:rsidRPr="00CB3320" w:rsidRDefault="00D168B5" w:rsidP="00D168B5">
            <w:pPr>
              <w:pStyle w:val="table"/>
            </w:pPr>
            <w:r w:rsidRPr="00CB3320">
              <w:t>(41.28)</w:t>
            </w:r>
          </w:p>
        </w:tc>
        <w:tc>
          <w:tcPr>
            <w:tcW w:w="1035" w:type="pct"/>
            <w:shd w:val="clear" w:color="auto" w:fill="auto"/>
            <w:noWrap/>
            <w:vAlign w:val="center"/>
            <w:hideMark/>
          </w:tcPr>
          <w:p w14:paraId="6DD44482" w14:textId="77777777" w:rsidR="001D37CC" w:rsidRPr="00CB3320" w:rsidRDefault="001D37CC" w:rsidP="00D168B5">
            <w:pPr>
              <w:pStyle w:val="table"/>
            </w:pPr>
            <w:r w:rsidRPr="00CB3320">
              <w:t>0.00401</w:t>
            </w:r>
          </w:p>
          <w:p w14:paraId="2E2CB440" w14:textId="035514FC" w:rsidR="00D168B5" w:rsidRPr="00CB3320" w:rsidRDefault="00D168B5" w:rsidP="00D168B5">
            <w:pPr>
              <w:pStyle w:val="table"/>
            </w:pPr>
            <w:r w:rsidRPr="00CB3320">
              <w:t>(0.00919)</w:t>
            </w:r>
          </w:p>
        </w:tc>
        <w:tc>
          <w:tcPr>
            <w:tcW w:w="1034" w:type="pct"/>
            <w:shd w:val="clear" w:color="auto" w:fill="auto"/>
            <w:noWrap/>
            <w:vAlign w:val="center"/>
            <w:hideMark/>
          </w:tcPr>
          <w:p w14:paraId="11C878EF" w14:textId="77777777" w:rsidR="001D37CC" w:rsidRPr="00CB3320" w:rsidRDefault="001D37CC" w:rsidP="00D168B5">
            <w:pPr>
              <w:pStyle w:val="table"/>
            </w:pPr>
            <w:r w:rsidRPr="00CB3320">
              <w:t>0.00392</w:t>
            </w:r>
          </w:p>
          <w:p w14:paraId="551D2379" w14:textId="52D417CE" w:rsidR="00D168B5" w:rsidRPr="00CB3320" w:rsidRDefault="00D168B5" w:rsidP="00D168B5">
            <w:pPr>
              <w:pStyle w:val="table"/>
            </w:pPr>
            <w:r w:rsidRPr="00CB3320">
              <w:t>(0.00919)</w:t>
            </w:r>
          </w:p>
        </w:tc>
      </w:tr>
      <w:tr w:rsidR="001D37CC" w:rsidRPr="00CB3320" w14:paraId="2B519959" w14:textId="77777777" w:rsidTr="00D168B5">
        <w:trPr>
          <w:trHeight w:val="285"/>
        </w:trPr>
        <w:tc>
          <w:tcPr>
            <w:tcW w:w="1009" w:type="pct"/>
            <w:shd w:val="clear" w:color="auto" w:fill="auto"/>
            <w:noWrap/>
            <w:vAlign w:val="center"/>
          </w:tcPr>
          <w:p w14:paraId="3D011FC5" w14:textId="4057FCC5" w:rsidR="001D37CC" w:rsidRPr="00CB3320" w:rsidRDefault="001D37CC" w:rsidP="00D168B5">
            <w:pPr>
              <w:pStyle w:val="table"/>
            </w:pPr>
            <w:r w:rsidRPr="00CB3320">
              <w:t>Lag 1: D_ETS</w:t>
            </w:r>
          </w:p>
        </w:tc>
        <w:tc>
          <w:tcPr>
            <w:tcW w:w="971" w:type="pct"/>
            <w:shd w:val="clear" w:color="auto" w:fill="auto"/>
            <w:noWrap/>
            <w:vAlign w:val="center"/>
          </w:tcPr>
          <w:p w14:paraId="21E105E8" w14:textId="77777777" w:rsidR="001D37CC" w:rsidRPr="00CB3320" w:rsidRDefault="001D37CC" w:rsidP="00D168B5">
            <w:pPr>
              <w:pStyle w:val="table"/>
            </w:pPr>
            <w:r w:rsidRPr="00CB3320">
              <w:t>-2.911</w:t>
            </w:r>
          </w:p>
          <w:p w14:paraId="1CBB9456" w14:textId="50AC52A6" w:rsidR="00D168B5" w:rsidRPr="00CB3320" w:rsidRDefault="00D168B5" w:rsidP="00D168B5">
            <w:pPr>
              <w:pStyle w:val="table"/>
            </w:pPr>
            <w:r w:rsidRPr="00CB3320">
              <w:t>(24.08)</w:t>
            </w:r>
          </w:p>
        </w:tc>
        <w:tc>
          <w:tcPr>
            <w:tcW w:w="951" w:type="pct"/>
            <w:shd w:val="clear" w:color="auto" w:fill="auto"/>
            <w:noWrap/>
            <w:vAlign w:val="center"/>
          </w:tcPr>
          <w:p w14:paraId="0B26B227" w14:textId="77777777" w:rsidR="001D37CC" w:rsidRPr="00CB3320" w:rsidRDefault="001D37CC" w:rsidP="00D168B5">
            <w:pPr>
              <w:pStyle w:val="table"/>
            </w:pPr>
            <w:r w:rsidRPr="00CB3320">
              <w:t>-2.960</w:t>
            </w:r>
          </w:p>
          <w:p w14:paraId="3B1FEA07" w14:textId="668D27C8" w:rsidR="00D168B5" w:rsidRPr="00CB3320" w:rsidRDefault="00D168B5" w:rsidP="00D168B5">
            <w:pPr>
              <w:pStyle w:val="table"/>
            </w:pPr>
            <w:r w:rsidRPr="00CB3320">
              <w:t>(24.49)</w:t>
            </w:r>
          </w:p>
        </w:tc>
        <w:tc>
          <w:tcPr>
            <w:tcW w:w="1035" w:type="pct"/>
            <w:shd w:val="clear" w:color="auto" w:fill="auto"/>
            <w:noWrap/>
            <w:vAlign w:val="center"/>
          </w:tcPr>
          <w:p w14:paraId="0ABB7112" w14:textId="77777777" w:rsidR="001D37CC" w:rsidRPr="00CB3320" w:rsidRDefault="001D37CC" w:rsidP="00D168B5">
            <w:pPr>
              <w:pStyle w:val="table"/>
            </w:pPr>
            <w:r w:rsidRPr="00CB3320">
              <w:t>0.00422**</w:t>
            </w:r>
          </w:p>
          <w:p w14:paraId="115086F3" w14:textId="53ED78C9" w:rsidR="00D168B5" w:rsidRPr="00CB3320" w:rsidRDefault="00D168B5" w:rsidP="00D168B5">
            <w:pPr>
              <w:pStyle w:val="table"/>
            </w:pPr>
            <w:r w:rsidRPr="00CB3320">
              <w:t>(0.00197)</w:t>
            </w:r>
          </w:p>
        </w:tc>
        <w:tc>
          <w:tcPr>
            <w:tcW w:w="1034" w:type="pct"/>
            <w:shd w:val="clear" w:color="auto" w:fill="auto"/>
            <w:noWrap/>
            <w:vAlign w:val="center"/>
          </w:tcPr>
          <w:p w14:paraId="68207F80" w14:textId="77777777" w:rsidR="001D37CC" w:rsidRPr="00CB3320" w:rsidRDefault="001D37CC" w:rsidP="00D168B5">
            <w:pPr>
              <w:pStyle w:val="table"/>
            </w:pPr>
            <w:r w:rsidRPr="00CB3320">
              <w:t>0.00420**</w:t>
            </w:r>
          </w:p>
          <w:p w14:paraId="4BC6F92A" w14:textId="41C84F9B" w:rsidR="00D168B5" w:rsidRPr="00CB3320" w:rsidRDefault="00D168B5" w:rsidP="00D168B5">
            <w:pPr>
              <w:pStyle w:val="table"/>
            </w:pPr>
            <w:r w:rsidRPr="00CB3320">
              <w:t>(0.00192)</w:t>
            </w:r>
          </w:p>
        </w:tc>
      </w:tr>
      <w:tr w:rsidR="001D37CC" w:rsidRPr="00CB3320" w14:paraId="45786694" w14:textId="77777777" w:rsidTr="00D168B5">
        <w:trPr>
          <w:trHeight w:val="285"/>
        </w:trPr>
        <w:tc>
          <w:tcPr>
            <w:tcW w:w="1009" w:type="pct"/>
            <w:shd w:val="clear" w:color="auto" w:fill="auto"/>
            <w:noWrap/>
            <w:vAlign w:val="center"/>
          </w:tcPr>
          <w:p w14:paraId="21C4EA73" w14:textId="75986938" w:rsidR="001D37CC" w:rsidRPr="00CB3320" w:rsidRDefault="001D37CC" w:rsidP="00D168B5">
            <w:pPr>
              <w:pStyle w:val="table"/>
            </w:pPr>
            <w:r w:rsidRPr="00CB3320">
              <w:t>Lag 2: D_ETS</w:t>
            </w:r>
          </w:p>
        </w:tc>
        <w:tc>
          <w:tcPr>
            <w:tcW w:w="971" w:type="pct"/>
            <w:shd w:val="clear" w:color="auto" w:fill="auto"/>
            <w:noWrap/>
            <w:vAlign w:val="center"/>
          </w:tcPr>
          <w:p w14:paraId="6174D4C8" w14:textId="362B61F4" w:rsidR="001D37CC" w:rsidRPr="00CB3320" w:rsidRDefault="001D37CC" w:rsidP="00D168B5">
            <w:pPr>
              <w:pStyle w:val="table"/>
            </w:pPr>
          </w:p>
        </w:tc>
        <w:tc>
          <w:tcPr>
            <w:tcW w:w="951" w:type="pct"/>
            <w:shd w:val="clear" w:color="auto" w:fill="auto"/>
            <w:noWrap/>
            <w:vAlign w:val="center"/>
          </w:tcPr>
          <w:p w14:paraId="30F87744" w14:textId="77777777" w:rsidR="001D37CC" w:rsidRPr="00CB3320" w:rsidRDefault="001D37CC" w:rsidP="00D168B5">
            <w:pPr>
              <w:pStyle w:val="table"/>
            </w:pPr>
            <w:r w:rsidRPr="00CB3320">
              <w:t>31.42</w:t>
            </w:r>
          </w:p>
          <w:p w14:paraId="4A73E5A1" w14:textId="47043E80" w:rsidR="00D168B5" w:rsidRPr="00CB3320" w:rsidRDefault="00D168B5" w:rsidP="00D168B5">
            <w:pPr>
              <w:pStyle w:val="table"/>
            </w:pPr>
            <w:r w:rsidRPr="00CB3320">
              <w:t>(29.96)</w:t>
            </w:r>
          </w:p>
        </w:tc>
        <w:tc>
          <w:tcPr>
            <w:tcW w:w="1035" w:type="pct"/>
            <w:shd w:val="clear" w:color="auto" w:fill="auto"/>
            <w:noWrap/>
            <w:vAlign w:val="center"/>
          </w:tcPr>
          <w:p w14:paraId="567A32C1" w14:textId="77777777" w:rsidR="001D37CC" w:rsidRPr="00CB3320" w:rsidRDefault="001D37CC" w:rsidP="00D168B5">
            <w:pPr>
              <w:pStyle w:val="table"/>
            </w:pPr>
          </w:p>
        </w:tc>
        <w:tc>
          <w:tcPr>
            <w:tcW w:w="1034" w:type="pct"/>
            <w:shd w:val="clear" w:color="auto" w:fill="auto"/>
            <w:noWrap/>
            <w:vAlign w:val="center"/>
          </w:tcPr>
          <w:p w14:paraId="394FD97C" w14:textId="77777777" w:rsidR="001D37CC" w:rsidRPr="00CB3320" w:rsidRDefault="001D37CC" w:rsidP="00D168B5">
            <w:pPr>
              <w:pStyle w:val="table"/>
            </w:pPr>
            <w:r w:rsidRPr="00CB3320">
              <w:t>-0.00749</w:t>
            </w:r>
          </w:p>
          <w:p w14:paraId="178E3448" w14:textId="4757344D" w:rsidR="00D168B5" w:rsidRPr="00CB3320" w:rsidRDefault="00D168B5" w:rsidP="00D168B5">
            <w:pPr>
              <w:pStyle w:val="table"/>
            </w:pPr>
            <w:r w:rsidRPr="00CB3320">
              <w:t>(0.00556)</w:t>
            </w:r>
          </w:p>
        </w:tc>
      </w:tr>
      <w:tr w:rsidR="001D37CC" w:rsidRPr="00CB3320" w14:paraId="7A029520" w14:textId="77777777" w:rsidTr="00D168B5">
        <w:trPr>
          <w:trHeight w:val="285"/>
        </w:trPr>
        <w:tc>
          <w:tcPr>
            <w:tcW w:w="1009" w:type="pct"/>
            <w:shd w:val="clear" w:color="auto" w:fill="auto"/>
            <w:noWrap/>
            <w:vAlign w:val="center"/>
          </w:tcPr>
          <w:p w14:paraId="04AD221D" w14:textId="1C9791C1" w:rsidR="001D37CC" w:rsidRPr="00CB3320" w:rsidRDefault="001D37CC" w:rsidP="00D168B5">
            <w:pPr>
              <w:pStyle w:val="table"/>
            </w:pPr>
            <w:r w:rsidRPr="00CB3320">
              <w:t>Lag 3: D_ETS</w:t>
            </w:r>
          </w:p>
        </w:tc>
        <w:tc>
          <w:tcPr>
            <w:tcW w:w="971" w:type="pct"/>
            <w:shd w:val="clear" w:color="auto" w:fill="auto"/>
            <w:noWrap/>
            <w:vAlign w:val="center"/>
          </w:tcPr>
          <w:p w14:paraId="5363DA85" w14:textId="77777777" w:rsidR="001D37CC" w:rsidRPr="00CB3320" w:rsidRDefault="001D37CC" w:rsidP="00D168B5">
            <w:pPr>
              <w:pStyle w:val="table"/>
            </w:pPr>
          </w:p>
        </w:tc>
        <w:tc>
          <w:tcPr>
            <w:tcW w:w="951" w:type="pct"/>
            <w:shd w:val="clear" w:color="auto" w:fill="auto"/>
            <w:noWrap/>
            <w:vAlign w:val="center"/>
          </w:tcPr>
          <w:p w14:paraId="617A8F82" w14:textId="77777777" w:rsidR="001D37CC" w:rsidRPr="00CB3320" w:rsidRDefault="001D37CC" w:rsidP="00D168B5">
            <w:pPr>
              <w:pStyle w:val="table"/>
            </w:pPr>
            <w:r w:rsidRPr="00CB3320">
              <w:t>66.22**</w:t>
            </w:r>
          </w:p>
          <w:p w14:paraId="2D81D0F5" w14:textId="35E0497D" w:rsidR="00D168B5" w:rsidRPr="00CB3320" w:rsidRDefault="00D168B5" w:rsidP="00D168B5">
            <w:pPr>
              <w:pStyle w:val="table"/>
            </w:pPr>
            <w:r w:rsidRPr="00CB3320">
              <w:t>(27.12)</w:t>
            </w:r>
          </w:p>
        </w:tc>
        <w:tc>
          <w:tcPr>
            <w:tcW w:w="1035" w:type="pct"/>
            <w:shd w:val="clear" w:color="auto" w:fill="auto"/>
            <w:noWrap/>
            <w:vAlign w:val="center"/>
          </w:tcPr>
          <w:p w14:paraId="18A634AB" w14:textId="77777777" w:rsidR="001D37CC" w:rsidRPr="00CB3320" w:rsidRDefault="001D37CC" w:rsidP="00D168B5">
            <w:pPr>
              <w:pStyle w:val="table"/>
            </w:pPr>
          </w:p>
        </w:tc>
        <w:tc>
          <w:tcPr>
            <w:tcW w:w="1034" w:type="pct"/>
            <w:shd w:val="clear" w:color="auto" w:fill="auto"/>
            <w:noWrap/>
            <w:vAlign w:val="center"/>
          </w:tcPr>
          <w:p w14:paraId="1F102B78" w14:textId="77777777" w:rsidR="001D37CC" w:rsidRPr="00CB3320" w:rsidRDefault="001D37CC" w:rsidP="00D168B5">
            <w:pPr>
              <w:pStyle w:val="table"/>
            </w:pPr>
            <w:r w:rsidRPr="00CB3320">
              <w:t>0.00905*</w:t>
            </w:r>
          </w:p>
          <w:p w14:paraId="0791A8BA" w14:textId="4A60611A" w:rsidR="00D168B5" w:rsidRPr="00CB3320" w:rsidRDefault="00D168B5" w:rsidP="00D168B5">
            <w:pPr>
              <w:pStyle w:val="table"/>
            </w:pPr>
            <w:r w:rsidRPr="00CB3320">
              <w:t>(0.00456)</w:t>
            </w:r>
          </w:p>
        </w:tc>
      </w:tr>
      <w:tr w:rsidR="001D37CC" w:rsidRPr="00CB3320" w14:paraId="7A28EDCA" w14:textId="77777777" w:rsidTr="00D168B5">
        <w:trPr>
          <w:trHeight w:val="285"/>
        </w:trPr>
        <w:tc>
          <w:tcPr>
            <w:tcW w:w="1009" w:type="pct"/>
            <w:shd w:val="clear" w:color="auto" w:fill="auto"/>
            <w:noWrap/>
            <w:vAlign w:val="center"/>
          </w:tcPr>
          <w:p w14:paraId="32A9DF1F" w14:textId="7DBF5B1F" w:rsidR="001D37CC" w:rsidRPr="00CB3320" w:rsidRDefault="001D37CC" w:rsidP="00D168B5">
            <w:pPr>
              <w:pStyle w:val="table"/>
            </w:pPr>
            <w:r w:rsidRPr="00CB3320">
              <w:lastRenderedPageBreak/>
              <w:t>Lag 4: D_ETS</w:t>
            </w:r>
          </w:p>
        </w:tc>
        <w:tc>
          <w:tcPr>
            <w:tcW w:w="971" w:type="pct"/>
            <w:shd w:val="clear" w:color="auto" w:fill="auto"/>
            <w:noWrap/>
            <w:vAlign w:val="center"/>
          </w:tcPr>
          <w:p w14:paraId="1C3A6642" w14:textId="77777777" w:rsidR="001D37CC" w:rsidRPr="00CB3320" w:rsidRDefault="001D37CC" w:rsidP="00D168B5">
            <w:pPr>
              <w:pStyle w:val="table"/>
            </w:pPr>
          </w:p>
        </w:tc>
        <w:tc>
          <w:tcPr>
            <w:tcW w:w="951" w:type="pct"/>
            <w:shd w:val="clear" w:color="auto" w:fill="auto"/>
            <w:noWrap/>
            <w:vAlign w:val="center"/>
          </w:tcPr>
          <w:p w14:paraId="0730E6A6" w14:textId="77777777" w:rsidR="001D37CC" w:rsidRPr="00CB3320" w:rsidRDefault="001D37CC" w:rsidP="00D168B5">
            <w:pPr>
              <w:pStyle w:val="table"/>
            </w:pPr>
            <w:r w:rsidRPr="00CB3320">
              <w:t>56.69</w:t>
            </w:r>
          </w:p>
          <w:p w14:paraId="2DB16724" w14:textId="7A0D27D9" w:rsidR="00D168B5" w:rsidRPr="00CB3320" w:rsidRDefault="00D168B5" w:rsidP="00D168B5">
            <w:pPr>
              <w:pStyle w:val="table"/>
            </w:pPr>
            <w:r w:rsidRPr="00CB3320">
              <w:t>(74.26)</w:t>
            </w:r>
          </w:p>
        </w:tc>
        <w:tc>
          <w:tcPr>
            <w:tcW w:w="1035" w:type="pct"/>
            <w:shd w:val="clear" w:color="auto" w:fill="auto"/>
            <w:noWrap/>
            <w:vAlign w:val="center"/>
          </w:tcPr>
          <w:p w14:paraId="57E67337" w14:textId="77777777" w:rsidR="001D37CC" w:rsidRPr="00CB3320" w:rsidRDefault="001D37CC" w:rsidP="00D168B5">
            <w:pPr>
              <w:pStyle w:val="table"/>
            </w:pPr>
          </w:p>
        </w:tc>
        <w:tc>
          <w:tcPr>
            <w:tcW w:w="1034" w:type="pct"/>
            <w:shd w:val="clear" w:color="auto" w:fill="auto"/>
            <w:noWrap/>
            <w:vAlign w:val="center"/>
          </w:tcPr>
          <w:p w14:paraId="57D23FF2" w14:textId="77777777" w:rsidR="001D37CC" w:rsidRPr="00CB3320" w:rsidRDefault="001D37CC" w:rsidP="00D168B5">
            <w:pPr>
              <w:pStyle w:val="table"/>
            </w:pPr>
            <w:r w:rsidRPr="00CB3320">
              <w:t>0.00445</w:t>
            </w:r>
          </w:p>
          <w:p w14:paraId="08BA9D15" w14:textId="37EBFF2E" w:rsidR="00D168B5" w:rsidRPr="00CB3320" w:rsidRDefault="00D168B5" w:rsidP="00D168B5">
            <w:pPr>
              <w:pStyle w:val="table"/>
            </w:pPr>
            <w:r w:rsidRPr="00CB3320">
              <w:t>(0.00774)</w:t>
            </w:r>
          </w:p>
        </w:tc>
      </w:tr>
      <w:tr w:rsidR="001D37CC" w:rsidRPr="00CB3320" w14:paraId="72CA5C61" w14:textId="77777777" w:rsidTr="00D168B5">
        <w:trPr>
          <w:trHeight w:val="285"/>
        </w:trPr>
        <w:tc>
          <w:tcPr>
            <w:tcW w:w="1009" w:type="pct"/>
            <w:shd w:val="clear" w:color="auto" w:fill="auto"/>
            <w:noWrap/>
            <w:vAlign w:val="center"/>
            <w:hideMark/>
          </w:tcPr>
          <w:p w14:paraId="1E7B50B7" w14:textId="77777777" w:rsidR="001D37CC" w:rsidRPr="00CB3320" w:rsidRDefault="001D37CC" w:rsidP="00D168B5">
            <w:pPr>
              <w:pStyle w:val="table"/>
            </w:pPr>
            <w:r w:rsidRPr="00CB3320">
              <w:rPr>
                <w:rFonts w:hint="eastAsia"/>
              </w:rPr>
              <w:t>控制变量</w:t>
            </w:r>
          </w:p>
        </w:tc>
        <w:tc>
          <w:tcPr>
            <w:tcW w:w="971" w:type="pct"/>
            <w:shd w:val="clear" w:color="auto" w:fill="auto"/>
            <w:noWrap/>
            <w:vAlign w:val="center"/>
            <w:hideMark/>
          </w:tcPr>
          <w:p w14:paraId="19C45333" w14:textId="37D76DA7" w:rsidR="001D37CC" w:rsidRPr="00CB3320" w:rsidRDefault="001D37CC" w:rsidP="00D168B5">
            <w:pPr>
              <w:pStyle w:val="table"/>
            </w:pPr>
            <w:r w:rsidRPr="00CB3320">
              <w:t>√</w:t>
            </w:r>
          </w:p>
        </w:tc>
        <w:tc>
          <w:tcPr>
            <w:tcW w:w="951" w:type="pct"/>
            <w:shd w:val="clear" w:color="auto" w:fill="auto"/>
            <w:noWrap/>
            <w:vAlign w:val="center"/>
            <w:hideMark/>
          </w:tcPr>
          <w:p w14:paraId="120982BA" w14:textId="62998D87" w:rsidR="001D37CC" w:rsidRPr="00CB3320" w:rsidRDefault="001D37CC" w:rsidP="00D168B5">
            <w:pPr>
              <w:pStyle w:val="table"/>
            </w:pPr>
            <w:r w:rsidRPr="00CB3320">
              <w:t>√</w:t>
            </w:r>
          </w:p>
        </w:tc>
        <w:tc>
          <w:tcPr>
            <w:tcW w:w="1035" w:type="pct"/>
            <w:shd w:val="clear" w:color="auto" w:fill="auto"/>
            <w:noWrap/>
            <w:vAlign w:val="center"/>
            <w:hideMark/>
          </w:tcPr>
          <w:p w14:paraId="29DE64BE" w14:textId="77777777" w:rsidR="001D37CC" w:rsidRPr="00CB3320" w:rsidRDefault="001D37CC" w:rsidP="00D168B5">
            <w:pPr>
              <w:pStyle w:val="table"/>
            </w:pPr>
            <w:r w:rsidRPr="00CB3320">
              <w:t>√</w:t>
            </w:r>
          </w:p>
        </w:tc>
        <w:tc>
          <w:tcPr>
            <w:tcW w:w="1034" w:type="pct"/>
            <w:shd w:val="clear" w:color="auto" w:fill="auto"/>
            <w:noWrap/>
            <w:vAlign w:val="center"/>
            <w:hideMark/>
          </w:tcPr>
          <w:p w14:paraId="43356757" w14:textId="77777777" w:rsidR="001D37CC" w:rsidRPr="00CB3320" w:rsidRDefault="001D37CC" w:rsidP="00D168B5">
            <w:pPr>
              <w:pStyle w:val="table"/>
            </w:pPr>
            <w:r w:rsidRPr="00CB3320">
              <w:t>√</w:t>
            </w:r>
          </w:p>
        </w:tc>
      </w:tr>
      <w:tr w:rsidR="001D37CC" w:rsidRPr="00CB3320" w14:paraId="071258BE" w14:textId="77777777" w:rsidTr="00D168B5">
        <w:trPr>
          <w:trHeight w:val="285"/>
        </w:trPr>
        <w:tc>
          <w:tcPr>
            <w:tcW w:w="1009" w:type="pct"/>
            <w:shd w:val="clear" w:color="auto" w:fill="auto"/>
            <w:vAlign w:val="center"/>
            <w:hideMark/>
          </w:tcPr>
          <w:p w14:paraId="5846E508" w14:textId="77777777" w:rsidR="001D37CC" w:rsidRPr="00CB3320" w:rsidRDefault="001D37CC" w:rsidP="00D168B5">
            <w:pPr>
              <w:pStyle w:val="table"/>
            </w:pPr>
            <w:r w:rsidRPr="00CB3320">
              <w:rPr>
                <w:rFonts w:hint="eastAsia"/>
              </w:rPr>
              <w:t>时间固定效应</w:t>
            </w:r>
          </w:p>
        </w:tc>
        <w:tc>
          <w:tcPr>
            <w:tcW w:w="971" w:type="pct"/>
            <w:shd w:val="clear" w:color="auto" w:fill="auto"/>
            <w:noWrap/>
            <w:vAlign w:val="center"/>
            <w:hideMark/>
          </w:tcPr>
          <w:p w14:paraId="06D2198C" w14:textId="77777777" w:rsidR="001D37CC" w:rsidRPr="00CB3320" w:rsidRDefault="001D37CC" w:rsidP="00D168B5">
            <w:pPr>
              <w:pStyle w:val="table"/>
            </w:pPr>
            <w:r w:rsidRPr="00CB3320">
              <w:t>√</w:t>
            </w:r>
          </w:p>
        </w:tc>
        <w:tc>
          <w:tcPr>
            <w:tcW w:w="951" w:type="pct"/>
            <w:shd w:val="clear" w:color="auto" w:fill="auto"/>
            <w:noWrap/>
            <w:vAlign w:val="center"/>
            <w:hideMark/>
          </w:tcPr>
          <w:p w14:paraId="120AE925" w14:textId="77777777" w:rsidR="001D37CC" w:rsidRPr="00CB3320" w:rsidRDefault="001D37CC" w:rsidP="00D168B5">
            <w:pPr>
              <w:pStyle w:val="table"/>
            </w:pPr>
            <w:r w:rsidRPr="00CB3320">
              <w:t>√</w:t>
            </w:r>
          </w:p>
        </w:tc>
        <w:tc>
          <w:tcPr>
            <w:tcW w:w="1035" w:type="pct"/>
            <w:shd w:val="clear" w:color="auto" w:fill="auto"/>
            <w:noWrap/>
            <w:vAlign w:val="center"/>
            <w:hideMark/>
          </w:tcPr>
          <w:p w14:paraId="37216E75" w14:textId="77777777" w:rsidR="001D37CC" w:rsidRPr="00CB3320" w:rsidRDefault="001D37CC" w:rsidP="00D168B5">
            <w:pPr>
              <w:pStyle w:val="table"/>
            </w:pPr>
            <w:r w:rsidRPr="00CB3320">
              <w:t>√</w:t>
            </w:r>
          </w:p>
        </w:tc>
        <w:tc>
          <w:tcPr>
            <w:tcW w:w="1034" w:type="pct"/>
            <w:shd w:val="clear" w:color="auto" w:fill="auto"/>
            <w:noWrap/>
            <w:vAlign w:val="center"/>
            <w:hideMark/>
          </w:tcPr>
          <w:p w14:paraId="7D92E2C3" w14:textId="77777777" w:rsidR="001D37CC" w:rsidRPr="00CB3320" w:rsidRDefault="001D37CC" w:rsidP="00D168B5">
            <w:pPr>
              <w:pStyle w:val="table"/>
            </w:pPr>
            <w:r w:rsidRPr="00CB3320">
              <w:t>√</w:t>
            </w:r>
          </w:p>
        </w:tc>
      </w:tr>
      <w:tr w:rsidR="001D37CC" w:rsidRPr="00CB3320" w14:paraId="08E36E2F" w14:textId="77777777" w:rsidTr="00D168B5">
        <w:trPr>
          <w:trHeight w:val="300"/>
        </w:trPr>
        <w:tc>
          <w:tcPr>
            <w:tcW w:w="1009" w:type="pct"/>
            <w:shd w:val="clear" w:color="auto" w:fill="auto"/>
            <w:vAlign w:val="center"/>
            <w:hideMark/>
          </w:tcPr>
          <w:p w14:paraId="65E314E9" w14:textId="77777777" w:rsidR="001D37CC" w:rsidRPr="00CB3320" w:rsidRDefault="001D37CC" w:rsidP="00D168B5">
            <w:pPr>
              <w:pStyle w:val="table"/>
            </w:pPr>
            <w:r w:rsidRPr="00CB3320">
              <w:rPr>
                <w:rFonts w:hint="eastAsia"/>
              </w:rPr>
              <w:t>个体固定效应</w:t>
            </w:r>
          </w:p>
        </w:tc>
        <w:tc>
          <w:tcPr>
            <w:tcW w:w="971" w:type="pct"/>
            <w:shd w:val="clear" w:color="auto" w:fill="auto"/>
            <w:noWrap/>
            <w:vAlign w:val="center"/>
            <w:hideMark/>
          </w:tcPr>
          <w:p w14:paraId="2968AC1E" w14:textId="77777777" w:rsidR="001D37CC" w:rsidRPr="00CB3320" w:rsidRDefault="001D37CC" w:rsidP="00D168B5">
            <w:pPr>
              <w:pStyle w:val="table"/>
            </w:pPr>
            <w:r w:rsidRPr="00CB3320">
              <w:t>√</w:t>
            </w:r>
          </w:p>
        </w:tc>
        <w:tc>
          <w:tcPr>
            <w:tcW w:w="951" w:type="pct"/>
            <w:shd w:val="clear" w:color="auto" w:fill="auto"/>
            <w:noWrap/>
            <w:vAlign w:val="center"/>
            <w:hideMark/>
          </w:tcPr>
          <w:p w14:paraId="1FC59E73" w14:textId="77777777" w:rsidR="001D37CC" w:rsidRPr="00CB3320" w:rsidRDefault="001D37CC" w:rsidP="00D168B5">
            <w:pPr>
              <w:pStyle w:val="table"/>
            </w:pPr>
            <w:r w:rsidRPr="00CB3320">
              <w:t>√</w:t>
            </w:r>
          </w:p>
        </w:tc>
        <w:tc>
          <w:tcPr>
            <w:tcW w:w="1035" w:type="pct"/>
            <w:shd w:val="clear" w:color="auto" w:fill="auto"/>
            <w:noWrap/>
            <w:vAlign w:val="center"/>
            <w:hideMark/>
          </w:tcPr>
          <w:p w14:paraId="224D789F" w14:textId="77777777" w:rsidR="001D37CC" w:rsidRPr="00CB3320" w:rsidRDefault="001D37CC" w:rsidP="00D168B5">
            <w:pPr>
              <w:pStyle w:val="table"/>
            </w:pPr>
            <w:r w:rsidRPr="00CB3320">
              <w:t>√</w:t>
            </w:r>
          </w:p>
        </w:tc>
        <w:tc>
          <w:tcPr>
            <w:tcW w:w="1034" w:type="pct"/>
            <w:shd w:val="clear" w:color="auto" w:fill="auto"/>
            <w:noWrap/>
            <w:vAlign w:val="center"/>
            <w:hideMark/>
          </w:tcPr>
          <w:p w14:paraId="0DB8E2DA" w14:textId="77777777" w:rsidR="001D37CC" w:rsidRPr="00CB3320" w:rsidRDefault="001D37CC" w:rsidP="00D168B5">
            <w:pPr>
              <w:pStyle w:val="table"/>
            </w:pPr>
            <w:r w:rsidRPr="00CB3320">
              <w:t>√</w:t>
            </w:r>
          </w:p>
        </w:tc>
      </w:tr>
      <w:tr w:rsidR="001D37CC" w:rsidRPr="00CB3320" w14:paraId="5FECA381" w14:textId="77777777" w:rsidTr="00D168B5">
        <w:trPr>
          <w:trHeight w:val="285"/>
        </w:trPr>
        <w:tc>
          <w:tcPr>
            <w:tcW w:w="1009" w:type="pct"/>
            <w:shd w:val="clear" w:color="auto" w:fill="auto"/>
            <w:noWrap/>
            <w:vAlign w:val="center"/>
            <w:hideMark/>
          </w:tcPr>
          <w:p w14:paraId="1806C244" w14:textId="77777777" w:rsidR="001D37CC" w:rsidRPr="00CB3320" w:rsidRDefault="001D37CC" w:rsidP="00D168B5">
            <w:pPr>
              <w:pStyle w:val="table"/>
            </w:pPr>
            <w:r w:rsidRPr="00CB3320">
              <w:t>N</w:t>
            </w:r>
          </w:p>
        </w:tc>
        <w:tc>
          <w:tcPr>
            <w:tcW w:w="971" w:type="pct"/>
            <w:shd w:val="clear" w:color="auto" w:fill="auto"/>
            <w:noWrap/>
            <w:vAlign w:val="center"/>
            <w:hideMark/>
          </w:tcPr>
          <w:p w14:paraId="70ED1A92" w14:textId="521A45AF" w:rsidR="001D37CC" w:rsidRPr="00CB3320" w:rsidRDefault="001D37CC" w:rsidP="00D168B5">
            <w:pPr>
              <w:pStyle w:val="table"/>
            </w:pPr>
            <w:r w:rsidRPr="00CB3320">
              <w:t>3053</w:t>
            </w:r>
          </w:p>
        </w:tc>
        <w:tc>
          <w:tcPr>
            <w:tcW w:w="951" w:type="pct"/>
            <w:shd w:val="clear" w:color="auto" w:fill="auto"/>
            <w:noWrap/>
            <w:vAlign w:val="center"/>
            <w:hideMark/>
          </w:tcPr>
          <w:p w14:paraId="3D8C656A" w14:textId="6453BDF1" w:rsidR="001D37CC" w:rsidRPr="00CB3320" w:rsidRDefault="001D37CC" w:rsidP="00D168B5">
            <w:pPr>
              <w:pStyle w:val="table"/>
            </w:pPr>
            <w:r w:rsidRPr="00CB3320">
              <w:t>3053</w:t>
            </w:r>
          </w:p>
        </w:tc>
        <w:tc>
          <w:tcPr>
            <w:tcW w:w="1035" w:type="pct"/>
            <w:shd w:val="clear" w:color="auto" w:fill="auto"/>
            <w:noWrap/>
            <w:vAlign w:val="center"/>
            <w:hideMark/>
          </w:tcPr>
          <w:p w14:paraId="0A8A002D" w14:textId="5EB9563A" w:rsidR="001D37CC" w:rsidRPr="00CB3320" w:rsidRDefault="001D37CC" w:rsidP="00D168B5">
            <w:pPr>
              <w:pStyle w:val="table"/>
            </w:pPr>
            <w:r w:rsidRPr="00CB3320">
              <w:t>3053</w:t>
            </w:r>
          </w:p>
        </w:tc>
        <w:tc>
          <w:tcPr>
            <w:tcW w:w="1034" w:type="pct"/>
            <w:shd w:val="clear" w:color="auto" w:fill="auto"/>
            <w:noWrap/>
            <w:vAlign w:val="center"/>
            <w:hideMark/>
          </w:tcPr>
          <w:p w14:paraId="7BA76578" w14:textId="11B3E996" w:rsidR="001D37CC" w:rsidRPr="00CB3320" w:rsidRDefault="001D37CC" w:rsidP="00D168B5">
            <w:pPr>
              <w:pStyle w:val="table"/>
            </w:pPr>
            <w:r w:rsidRPr="00CB3320">
              <w:t>3053</w:t>
            </w:r>
          </w:p>
        </w:tc>
      </w:tr>
      <w:tr w:rsidR="001D37CC" w:rsidRPr="00CB3320" w14:paraId="70D87E38" w14:textId="77777777" w:rsidTr="00D168B5">
        <w:trPr>
          <w:trHeight w:val="300"/>
        </w:trPr>
        <w:tc>
          <w:tcPr>
            <w:tcW w:w="1009" w:type="pct"/>
            <w:shd w:val="clear" w:color="auto" w:fill="auto"/>
            <w:noWrap/>
            <w:vAlign w:val="center"/>
            <w:hideMark/>
          </w:tcPr>
          <w:p w14:paraId="14496FE5" w14:textId="77777777" w:rsidR="001D37CC" w:rsidRPr="00CB3320" w:rsidRDefault="001D37CC" w:rsidP="00D168B5">
            <w:pPr>
              <w:pStyle w:val="table"/>
            </w:pPr>
            <w:r w:rsidRPr="00CB3320">
              <w:t>R2</w:t>
            </w:r>
          </w:p>
        </w:tc>
        <w:tc>
          <w:tcPr>
            <w:tcW w:w="971" w:type="pct"/>
            <w:shd w:val="clear" w:color="auto" w:fill="auto"/>
            <w:noWrap/>
            <w:vAlign w:val="center"/>
            <w:hideMark/>
          </w:tcPr>
          <w:p w14:paraId="6E3F8C54" w14:textId="1C0AE42C" w:rsidR="001D37CC" w:rsidRPr="00CB3320" w:rsidRDefault="001D37CC" w:rsidP="00D168B5">
            <w:pPr>
              <w:pStyle w:val="table"/>
            </w:pPr>
            <w:r w:rsidRPr="00CB3320">
              <w:t>0.677</w:t>
            </w:r>
          </w:p>
        </w:tc>
        <w:tc>
          <w:tcPr>
            <w:tcW w:w="951" w:type="pct"/>
            <w:shd w:val="clear" w:color="auto" w:fill="auto"/>
            <w:noWrap/>
            <w:vAlign w:val="center"/>
            <w:hideMark/>
          </w:tcPr>
          <w:p w14:paraId="2E1E2CD6" w14:textId="0F108251" w:rsidR="001D37CC" w:rsidRPr="00CB3320" w:rsidRDefault="001D37CC" w:rsidP="00D168B5">
            <w:pPr>
              <w:pStyle w:val="table"/>
            </w:pPr>
            <w:r w:rsidRPr="00CB3320">
              <w:t>0.678</w:t>
            </w:r>
          </w:p>
        </w:tc>
        <w:tc>
          <w:tcPr>
            <w:tcW w:w="1035" w:type="pct"/>
            <w:shd w:val="clear" w:color="auto" w:fill="auto"/>
            <w:noWrap/>
            <w:vAlign w:val="center"/>
            <w:hideMark/>
          </w:tcPr>
          <w:p w14:paraId="732A4BD4" w14:textId="05390506" w:rsidR="001D37CC" w:rsidRPr="00CB3320" w:rsidRDefault="001D37CC" w:rsidP="00D168B5">
            <w:pPr>
              <w:pStyle w:val="table"/>
            </w:pPr>
            <w:r w:rsidRPr="00CB3320">
              <w:t>0.900</w:t>
            </w:r>
          </w:p>
        </w:tc>
        <w:tc>
          <w:tcPr>
            <w:tcW w:w="1034" w:type="pct"/>
            <w:shd w:val="clear" w:color="auto" w:fill="auto"/>
            <w:noWrap/>
            <w:vAlign w:val="center"/>
            <w:hideMark/>
          </w:tcPr>
          <w:p w14:paraId="36F1AF22" w14:textId="3E561821" w:rsidR="001D37CC" w:rsidRPr="00CB3320" w:rsidRDefault="001D37CC" w:rsidP="00D168B5">
            <w:pPr>
              <w:pStyle w:val="table"/>
            </w:pPr>
            <w:r w:rsidRPr="00CB3320">
              <w:t>0.900</w:t>
            </w:r>
          </w:p>
        </w:tc>
      </w:tr>
    </w:tbl>
    <w:p w14:paraId="0A82C726" w14:textId="596E916C" w:rsidR="00CA4452" w:rsidRPr="00CB3320" w:rsidRDefault="002E7913" w:rsidP="00D168B5">
      <w:pPr>
        <w:ind w:firstLine="300"/>
        <w:rPr>
          <w:rFonts w:eastAsia="楷体" w:cs="Times New Roman"/>
          <w:sz w:val="15"/>
          <w:szCs w:val="15"/>
        </w:rPr>
      </w:pPr>
      <w:r w:rsidRPr="00CB3320">
        <w:rPr>
          <w:rFonts w:eastAsia="楷体" w:cs="Times New Roman" w:hint="eastAsia"/>
          <w:sz w:val="15"/>
          <w:szCs w:val="15"/>
        </w:rPr>
        <w:t>注：括号中为聚类到省份的稳健标准误；</w:t>
      </w:r>
      <w:r w:rsidRPr="00CB3320">
        <w:rPr>
          <w:rFonts w:eastAsia="楷体" w:cs="Times New Roman"/>
          <w:sz w:val="15"/>
          <w:szCs w:val="15"/>
        </w:rPr>
        <w:t>* p&lt;0.10, ** p&lt;0.05, *** p&lt;0.01</w:t>
      </w:r>
      <w:r w:rsidRPr="00CB3320">
        <w:rPr>
          <w:rFonts w:eastAsia="楷体" w:cs="Times New Roman" w:hint="eastAsia"/>
          <w:sz w:val="15"/>
          <w:szCs w:val="15"/>
        </w:rPr>
        <w:t>。</w:t>
      </w:r>
      <w:r w:rsidRPr="00CB3320">
        <w:rPr>
          <w:rFonts w:eastAsia="楷体" w:cs="Times New Roman"/>
          <w:sz w:val="15"/>
          <w:szCs w:val="15"/>
        </w:rPr>
        <w:t>L</w:t>
      </w:r>
      <w:r w:rsidRPr="00CB3320">
        <w:rPr>
          <w:rFonts w:eastAsia="楷体" w:cs="Times New Roman" w:hint="eastAsia"/>
          <w:sz w:val="15"/>
          <w:szCs w:val="15"/>
        </w:rPr>
        <w:t>ag</w:t>
      </w:r>
      <w:r w:rsidRPr="00CB3320">
        <w:rPr>
          <w:rFonts w:eastAsia="楷体" w:cs="Times New Roman"/>
          <w:sz w:val="15"/>
          <w:szCs w:val="15"/>
        </w:rPr>
        <w:t xml:space="preserve"> 1: D_ETS</w:t>
      </w:r>
      <w:r w:rsidRPr="00CB3320">
        <w:rPr>
          <w:rFonts w:eastAsia="楷体" w:cs="Times New Roman" w:hint="eastAsia"/>
          <w:sz w:val="15"/>
          <w:szCs w:val="15"/>
        </w:rPr>
        <w:t>到</w:t>
      </w:r>
      <w:r w:rsidRPr="00CB3320">
        <w:rPr>
          <w:rFonts w:eastAsia="楷体" w:cs="Times New Roman"/>
          <w:sz w:val="15"/>
          <w:szCs w:val="15"/>
        </w:rPr>
        <w:t>L</w:t>
      </w:r>
      <w:r w:rsidRPr="00CB3320">
        <w:rPr>
          <w:rFonts w:eastAsia="楷体" w:cs="Times New Roman" w:hint="eastAsia"/>
          <w:sz w:val="15"/>
          <w:szCs w:val="15"/>
        </w:rPr>
        <w:t>ag</w:t>
      </w:r>
      <w:r w:rsidRPr="00CB3320">
        <w:rPr>
          <w:rFonts w:eastAsia="楷体" w:cs="Times New Roman"/>
          <w:sz w:val="15"/>
          <w:szCs w:val="15"/>
        </w:rPr>
        <w:t xml:space="preserve"> 4: D_ETS</w:t>
      </w:r>
      <w:r w:rsidRPr="00CB3320">
        <w:rPr>
          <w:rFonts w:eastAsia="楷体" w:cs="Times New Roman" w:hint="eastAsia"/>
          <w:sz w:val="15"/>
          <w:szCs w:val="15"/>
        </w:rPr>
        <w:t>分别为</w:t>
      </w:r>
      <w:proofErr w:type="gramStart"/>
      <w:r w:rsidRPr="00CB3320">
        <w:rPr>
          <w:rFonts w:eastAsia="楷体" w:cs="Times New Roman" w:hint="eastAsia"/>
          <w:sz w:val="15"/>
          <w:szCs w:val="15"/>
        </w:rPr>
        <w:t>碳交易</w:t>
      </w:r>
      <w:proofErr w:type="gramEnd"/>
      <w:r w:rsidRPr="00CB3320">
        <w:rPr>
          <w:rFonts w:eastAsia="楷体" w:cs="Times New Roman" w:hint="eastAsia"/>
          <w:sz w:val="15"/>
          <w:szCs w:val="15"/>
        </w:rPr>
        <w:t>试点变量的</w:t>
      </w:r>
      <w:proofErr w:type="gramStart"/>
      <w:r w:rsidRPr="00CB3320">
        <w:rPr>
          <w:rFonts w:eastAsia="楷体" w:cs="Times New Roman" w:hint="eastAsia"/>
          <w:sz w:val="15"/>
          <w:szCs w:val="15"/>
        </w:rPr>
        <w:t>一阶到四</w:t>
      </w:r>
      <w:proofErr w:type="gramEnd"/>
      <w:r w:rsidRPr="00CB3320">
        <w:rPr>
          <w:rFonts w:eastAsia="楷体" w:cs="Times New Roman" w:hint="eastAsia"/>
          <w:sz w:val="15"/>
          <w:szCs w:val="15"/>
        </w:rPr>
        <w:t>阶滞后项。</w:t>
      </w:r>
      <w:r w:rsidR="00783AC1" w:rsidRPr="00CB3320">
        <w:rPr>
          <w:rFonts w:eastAsia="楷体" w:cs="Times New Roman" w:hint="eastAsia"/>
          <w:sz w:val="15"/>
          <w:szCs w:val="15"/>
        </w:rPr>
        <w:t>控制变量同基准结果中的控制变量，但是在第</w:t>
      </w:r>
      <w:r w:rsidR="00783AC1" w:rsidRPr="00CB3320">
        <w:rPr>
          <w:rFonts w:eastAsia="楷体" w:cs="Times New Roman" w:hint="eastAsia"/>
          <w:sz w:val="15"/>
          <w:szCs w:val="15"/>
        </w:rPr>
        <w:t>3</w:t>
      </w:r>
      <w:r w:rsidR="00783AC1" w:rsidRPr="00CB3320">
        <w:rPr>
          <w:rFonts w:eastAsia="楷体" w:cs="Times New Roman" w:hint="eastAsia"/>
          <w:sz w:val="15"/>
          <w:szCs w:val="15"/>
        </w:rPr>
        <w:t>、</w:t>
      </w:r>
      <w:r w:rsidR="00783AC1" w:rsidRPr="00CB3320">
        <w:rPr>
          <w:rFonts w:eastAsia="楷体" w:cs="Times New Roman" w:hint="eastAsia"/>
          <w:sz w:val="15"/>
          <w:szCs w:val="15"/>
        </w:rPr>
        <w:t>4</w:t>
      </w:r>
      <w:r w:rsidR="00783AC1" w:rsidRPr="00CB3320">
        <w:rPr>
          <w:rFonts w:eastAsia="楷体" w:cs="Times New Roman" w:hint="eastAsia"/>
          <w:sz w:val="15"/>
          <w:szCs w:val="15"/>
        </w:rPr>
        <w:t>列中，我们删去了产业结构的控制变量。</w:t>
      </w:r>
    </w:p>
    <w:p w14:paraId="01CDD27A" w14:textId="2B53AC0A" w:rsidR="006A6EC4" w:rsidRPr="00CB3320" w:rsidRDefault="00F13EAB" w:rsidP="00F13EAB">
      <w:pPr>
        <w:pStyle w:val="2"/>
        <w:numPr>
          <w:ilvl w:val="0"/>
          <w:numId w:val="0"/>
        </w:numPr>
        <w:spacing w:before="163" w:after="81"/>
        <w:rPr>
          <w:lang w:val="de-DE" w:bidi="en-US"/>
        </w:rPr>
      </w:pPr>
      <w:bookmarkStart w:id="64" w:name="_Toc121778136"/>
      <w:bookmarkStart w:id="65" w:name="_Hlk121777171"/>
      <w:r w:rsidRPr="00CB3320">
        <w:rPr>
          <w:rFonts w:hint="eastAsia"/>
        </w:rPr>
        <w:t>（三）</w:t>
      </w:r>
      <w:r w:rsidR="005152AE" w:rsidRPr="00CB3320">
        <w:rPr>
          <w:rFonts w:hint="eastAsia"/>
          <w:lang w:val="de-DE" w:bidi="en-US"/>
        </w:rPr>
        <w:t>进一步讨论</w:t>
      </w:r>
      <w:bookmarkEnd w:id="64"/>
    </w:p>
    <w:p w14:paraId="47C631C5" w14:textId="7750699A" w:rsidR="005152AE" w:rsidRPr="00CB3320" w:rsidRDefault="005152AE" w:rsidP="005152AE">
      <w:pPr>
        <w:ind w:firstLine="420"/>
        <w:rPr>
          <w:lang w:val="de-DE" w:bidi="en-US"/>
        </w:rPr>
      </w:pPr>
      <w:r w:rsidRPr="00CB3320">
        <w:rPr>
          <w:rFonts w:hint="eastAsia"/>
          <w:lang w:val="de-DE" w:bidi="en-US"/>
        </w:rPr>
        <w:t>在基准分析中，研究认为</w:t>
      </w:r>
      <w:r w:rsidRPr="00CB3320">
        <w:rPr>
          <w:lang w:val="de-DE" w:bidi="en-US"/>
        </w:rPr>
        <w:t>ETS</w:t>
      </w:r>
      <w:r w:rsidRPr="00CB3320">
        <w:rPr>
          <w:rFonts w:hint="eastAsia"/>
          <w:lang w:val="de-DE" w:bidi="en-US"/>
        </w:rPr>
        <w:t>对</w:t>
      </w:r>
      <w:r w:rsidRPr="00CB3320">
        <w:rPr>
          <w:rFonts w:hint="eastAsia"/>
          <w:lang w:val="de-DE" w:bidi="en-US"/>
        </w:rPr>
        <w:t>T</w:t>
      </w:r>
      <w:r w:rsidRPr="00CB3320">
        <w:rPr>
          <w:lang w:val="de-DE" w:bidi="en-US"/>
        </w:rPr>
        <w:t>FP</w:t>
      </w:r>
      <w:r w:rsidRPr="00CB3320">
        <w:rPr>
          <w:rFonts w:hint="eastAsia"/>
          <w:lang w:val="de-DE" w:bidi="en-US"/>
        </w:rPr>
        <w:t>有负面影响；然而，在空间分析中，我们发现，</w:t>
      </w:r>
      <w:r w:rsidRPr="00CB3320">
        <w:rPr>
          <w:rFonts w:hint="eastAsia"/>
          <w:lang w:val="de-DE" w:bidi="en-US"/>
        </w:rPr>
        <w:t>E</w:t>
      </w:r>
      <w:r w:rsidRPr="00CB3320">
        <w:rPr>
          <w:lang w:val="de-DE" w:bidi="en-US"/>
        </w:rPr>
        <w:t>TS</w:t>
      </w:r>
      <w:r w:rsidRPr="00CB3320">
        <w:rPr>
          <w:rFonts w:hint="eastAsia"/>
          <w:lang w:val="de-DE" w:bidi="en-US"/>
        </w:rPr>
        <w:t>对试点地区有负面影响，但是对非试点地区有正面影响；在机制分析中，我们只发现了对创新的延迟刺激，没有发现污染天堂效应。如果将这些结论串联起来，我们可以得到以下结论：</w:t>
      </w:r>
    </w:p>
    <w:p w14:paraId="0BCC6691" w14:textId="433EA2B7" w:rsidR="00234341" w:rsidRPr="00CB3320" w:rsidRDefault="005152AE" w:rsidP="005152AE">
      <w:pPr>
        <w:ind w:firstLine="420"/>
      </w:pPr>
      <w:r w:rsidRPr="00CB3320">
        <w:rPr>
          <w:rFonts w:hint="eastAsia"/>
        </w:rPr>
        <w:t>ETS</w:t>
      </w:r>
      <w:r w:rsidRPr="00CB3320">
        <w:rPr>
          <w:rFonts w:hint="eastAsia"/>
        </w:rPr>
        <w:t>对试点地区的边际影响包括：</w:t>
      </w:r>
      <w:r w:rsidRPr="00CB3320">
        <w:rPr>
          <w:rFonts w:hint="eastAsia"/>
        </w:rPr>
        <w:t>1</w:t>
      </w:r>
      <w:r w:rsidRPr="00CB3320">
        <w:rPr>
          <w:rFonts w:hint="eastAsia"/>
        </w:rPr>
        <w:t>）</w:t>
      </w:r>
      <w:proofErr w:type="gramStart"/>
      <w:r w:rsidRPr="00CB3320">
        <w:rPr>
          <w:rFonts w:hint="eastAsia"/>
        </w:rPr>
        <w:t>碳市场</w:t>
      </w:r>
      <w:proofErr w:type="gramEnd"/>
      <w:r w:rsidRPr="00CB3320">
        <w:rPr>
          <w:rFonts w:hint="eastAsia"/>
        </w:rPr>
        <w:t>带来的碳排放成本引起的</w:t>
      </w:r>
      <w:r w:rsidRPr="00CB3320">
        <w:rPr>
          <w:rFonts w:hint="eastAsia"/>
        </w:rPr>
        <w:t>TFP</w:t>
      </w:r>
      <w:r w:rsidRPr="00CB3320">
        <w:rPr>
          <w:rFonts w:hint="eastAsia"/>
        </w:rPr>
        <w:t>下降，我们</w:t>
      </w:r>
      <w:r w:rsidR="00134A6A" w:rsidRPr="00CB3320">
        <w:rPr>
          <w:rFonts w:hint="eastAsia"/>
        </w:rPr>
        <w:t>称之为</w:t>
      </w:r>
      <w:proofErr w:type="gramStart"/>
      <w:r w:rsidRPr="00CB3320">
        <w:rPr>
          <w:rFonts w:hint="eastAsia"/>
        </w:rPr>
        <w:t>碳成本</w:t>
      </w:r>
      <w:proofErr w:type="gramEnd"/>
      <w:r w:rsidRPr="00CB3320">
        <w:rPr>
          <w:rFonts w:hint="eastAsia"/>
        </w:rPr>
        <w:t>效应，该值为负；</w:t>
      </w:r>
      <w:r w:rsidRPr="00CB3320">
        <w:rPr>
          <w:rFonts w:hint="eastAsia"/>
        </w:rPr>
        <w:t>2</w:t>
      </w:r>
      <w:r w:rsidRPr="00CB3320">
        <w:rPr>
          <w:rFonts w:hint="eastAsia"/>
        </w:rPr>
        <w:t>）</w:t>
      </w:r>
      <w:proofErr w:type="gramStart"/>
      <w:r w:rsidRPr="00CB3320">
        <w:rPr>
          <w:rFonts w:hint="eastAsia"/>
        </w:rPr>
        <w:t>碳市场</w:t>
      </w:r>
      <w:proofErr w:type="gramEnd"/>
      <w:r w:rsidRPr="00CB3320">
        <w:rPr>
          <w:rFonts w:hint="eastAsia"/>
        </w:rPr>
        <w:t>带来的技术进步效应，该值为正。因此，我们识别出来的主系数</w:t>
      </w:r>
      <w:r w:rsidR="000852B6" w:rsidRPr="00CB3320">
        <w:rPr>
          <w:rFonts w:hint="eastAsia"/>
        </w:rPr>
        <w:t>（</w:t>
      </w:r>
      <w:r w:rsidR="000852B6" w:rsidRPr="00CB3320">
        <w:fldChar w:fldCharType="begin"/>
      </w:r>
      <w:r w:rsidR="000852B6" w:rsidRPr="00CB3320">
        <w:instrText xml:space="preserve"> </w:instrText>
      </w:r>
      <w:r w:rsidR="000852B6" w:rsidRPr="00CB3320">
        <w:rPr>
          <w:rFonts w:hint="eastAsia"/>
        </w:rPr>
        <w:instrText>REF _Ref75449305 \h</w:instrText>
      </w:r>
      <w:r w:rsidR="000852B6" w:rsidRPr="00CB3320">
        <w:instrText xml:space="preserve"> </w:instrText>
      </w:r>
      <w:r w:rsidR="000852B6" w:rsidRPr="00CB3320">
        <w:fldChar w:fldCharType="separate"/>
      </w:r>
      <w:r w:rsidR="00EC325E" w:rsidRPr="00CB3320">
        <w:rPr>
          <w:rFonts w:hint="eastAsia"/>
        </w:rPr>
        <w:t>表</w:t>
      </w:r>
      <w:r w:rsidR="00EC325E" w:rsidRPr="00CB3320">
        <w:t>1</w:t>
      </w:r>
      <w:r w:rsidR="000852B6" w:rsidRPr="00CB3320">
        <w:fldChar w:fldCharType="end"/>
      </w:r>
      <w:r w:rsidR="000852B6" w:rsidRPr="00CB3320">
        <w:rPr>
          <w:rFonts w:hint="eastAsia"/>
        </w:rPr>
        <w:t>第三列</w:t>
      </w:r>
      <w:r w:rsidR="00234341" w:rsidRPr="00CB3320">
        <w:rPr>
          <w:rFonts w:hint="eastAsia"/>
        </w:rPr>
        <w:t>和</w:t>
      </w:r>
      <w:r w:rsidR="000852B6" w:rsidRPr="00CB3320">
        <w:fldChar w:fldCharType="begin"/>
      </w:r>
      <w:r w:rsidR="000852B6" w:rsidRPr="00CB3320">
        <w:instrText xml:space="preserve"> REF _Ref75591059 \h </w:instrText>
      </w:r>
      <w:r w:rsidR="000852B6" w:rsidRPr="00CB3320">
        <w:fldChar w:fldCharType="separate"/>
      </w:r>
      <w:r w:rsidR="00EC325E" w:rsidRPr="00CB3320">
        <w:rPr>
          <w:rFonts w:hint="eastAsia"/>
        </w:rPr>
        <w:t>表</w:t>
      </w:r>
      <w:r w:rsidR="00EC325E" w:rsidRPr="00CB3320">
        <w:rPr>
          <w:noProof/>
        </w:rPr>
        <w:t>4</w:t>
      </w:r>
      <w:r w:rsidR="000852B6" w:rsidRPr="00CB3320">
        <w:fldChar w:fldCharType="end"/>
      </w:r>
      <w:r w:rsidR="000852B6" w:rsidRPr="00CB3320">
        <w:rPr>
          <w:rFonts w:hint="eastAsia"/>
        </w:rPr>
        <w:t>第七列）</w:t>
      </w:r>
      <w:r w:rsidRPr="00CB3320">
        <w:rPr>
          <w:rFonts w:hint="eastAsia"/>
        </w:rPr>
        <w:t>，或直接效应系数（</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000852B6" w:rsidRPr="00CB3320">
        <w:rPr>
          <w:rFonts w:hint="eastAsia"/>
        </w:rPr>
        <w:t>第七列</w:t>
      </w:r>
      <w:r w:rsidRPr="00CB3320">
        <w:rPr>
          <w:rFonts w:hint="eastAsia"/>
        </w:rPr>
        <w:t>）应当包括这两</w:t>
      </w:r>
      <w:r w:rsidR="00234341" w:rsidRPr="00CB3320">
        <w:rPr>
          <w:rFonts w:hint="eastAsia"/>
        </w:rPr>
        <w:t>种效应，并且总边际影响应当为</w:t>
      </w:r>
      <w:r w:rsidR="00234341" w:rsidRPr="00CB3320">
        <w:rPr>
          <w:rFonts w:hint="eastAsia"/>
        </w:rPr>
        <w:t>-</w:t>
      </w:r>
      <w:r w:rsidR="00234341" w:rsidRPr="00CB3320">
        <w:t>0.371</w:t>
      </w:r>
      <w:r w:rsidR="00234341" w:rsidRPr="00CB3320">
        <w:rPr>
          <w:rFonts w:hint="eastAsia"/>
        </w:rPr>
        <w:t>左右</w:t>
      </w:r>
      <w:r w:rsidR="0080271E" w:rsidRPr="00CB3320">
        <w:rPr>
          <w:rFonts w:hint="eastAsia"/>
        </w:rPr>
        <w:t>（</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0080271E" w:rsidRPr="00CB3320">
        <w:rPr>
          <w:rFonts w:hint="eastAsia"/>
        </w:rPr>
        <w:t>第七列）</w:t>
      </w:r>
      <w:r w:rsidR="00234341" w:rsidRPr="00CB3320">
        <w:rPr>
          <w:rFonts w:hint="eastAsia"/>
        </w:rPr>
        <w:t>。</w:t>
      </w:r>
    </w:p>
    <w:p w14:paraId="5C9732EA" w14:textId="2A831EDA" w:rsidR="005152AE" w:rsidRPr="00CB3320" w:rsidRDefault="00234341" w:rsidP="005152AE">
      <w:pPr>
        <w:ind w:firstLine="420"/>
      </w:pPr>
      <w:r w:rsidRPr="00CB3320">
        <w:rPr>
          <w:rFonts w:hint="eastAsia"/>
        </w:rPr>
        <w:t>E</w:t>
      </w:r>
      <w:r w:rsidRPr="00CB3320">
        <w:t>TS</w:t>
      </w:r>
      <w:r w:rsidR="005152AE" w:rsidRPr="00CB3320">
        <w:rPr>
          <w:rFonts w:hint="eastAsia"/>
        </w:rPr>
        <w:t>对非试点地区的边际影响包括技术溢出效应，</w:t>
      </w:r>
      <w:r w:rsidRPr="00CB3320">
        <w:rPr>
          <w:rFonts w:hint="eastAsia"/>
        </w:rPr>
        <w:t>但是</w:t>
      </w:r>
      <w:r w:rsidR="005152AE" w:rsidRPr="00CB3320">
        <w:rPr>
          <w:rFonts w:hint="eastAsia"/>
        </w:rPr>
        <w:t>不包括产业转移</w:t>
      </w:r>
      <w:r w:rsidRPr="00CB3320">
        <w:rPr>
          <w:rFonts w:hint="eastAsia"/>
        </w:rPr>
        <w:t>（可根据</w:t>
      </w:r>
      <w:r w:rsidRPr="00CB3320">
        <w:fldChar w:fldCharType="begin"/>
      </w:r>
      <w:r w:rsidRPr="00CB3320">
        <w:instrText xml:space="preserve"> </w:instrText>
      </w:r>
      <w:r w:rsidRPr="00CB3320">
        <w:rPr>
          <w:rFonts w:hint="eastAsia"/>
        </w:rPr>
        <w:instrText>REF _Ref121752160 \h</w:instrText>
      </w:r>
      <w:r w:rsidRPr="00CB3320">
        <w:instrText xml:space="preserve"> </w:instrText>
      </w:r>
      <w:r w:rsidRPr="00CB3320">
        <w:fldChar w:fldCharType="separate"/>
      </w:r>
      <w:r w:rsidR="00EC325E" w:rsidRPr="00CB3320">
        <w:rPr>
          <w:rFonts w:hint="eastAsia"/>
        </w:rPr>
        <w:t>表</w:t>
      </w:r>
      <w:r w:rsidR="00EC325E" w:rsidRPr="00CB3320">
        <w:rPr>
          <w:noProof/>
        </w:rPr>
        <w:t>6</w:t>
      </w:r>
      <w:r w:rsidRPr="00CB3320">
        <w:fldChar w:fldCharType="end"/>
      </w:r>
      <w:r w:rsidRPr="00CB3320">
        <w:rPr>
          <w:rFonts w:hint="eastAsia"/>
        </w:rPr>
        <w:t>结果进行假设）</w:t>
      </w:r>
      <w:r w:rsidR="005152AE" w:rsidRPr="00CB3320">
        <w:rPr>
          <w:rFonts w:hint="eastAsia"/>
        </w:rPr>
        <w:t>，因此，我们识别出来的空间杜宾系数</w:t>
      </w:r>
      <w:r w:rsidRPr="00CB3320">
        <w:rPr>
          <w:rFonts w:hint="eastAsia"/>
        </w:rPr>
        <w:t>（</w:t>
      </w:r>
      <w:r w:rsidRPr="00CB3320">
        <w:fldChar w:fldCharType="begin"/>
      </w:r>
      <w:r w:rsidRPr="00CB3320">
        <w:instrText xml:space="preserve"> REF _Ref75591059 \h </w:instrText>
      </w:r>
      <w:r w:rsidRPr="00CB3320">
        <w:fldChar w:fldCharType="separate"/>
      </w:r>
      <w:r w:rsidR="00EC325E" w:rsidRPr="00CB3320">
        <w:rPr>
          <w:rFonts w:hint="eastAsia"/>
        </w:rPr>
        <w:t>表</w:t>
      </w:r>
      <w:r w:rsidR="00EC325E" w:rsidRPr="00CB3320">
        <w:rPr>
          <w:noProof/>
        </w:rPr>
        <w:t>4</w:t>
      </w:r>
      <w:r w:rsidRPr="00CB3320">
        <w:fldChar w:fldCharType="end"/>
      </w:r>
      <w:r w:rsidRPr="00CB3320">
        <w:rPr>
          <w:rFonts w:hint="eastAsia"/>
        </w:rPr>
        <w:t>第七列）</w:t>
      </w:r>
      <w:r w:rsidR="005152AE" w:rsidRPr="00CB3320">
        <w:rPr>
          <w:rFonts w:hint="eastAsia"/>
        </w:rPr>
        <w:t>、或间接效应</w:t>
      </w:r>
      <w:r w:rsidRPr="00CB3320">
        <w:rPr>
          <w:rFonts w:hint="eastAsia"/>
        </w:rPr>
        <w:t>（</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Pr="00CB3320">
        <w:rPr>
          <w:rFonts w:hint="eastAsia"/>
        </w:rPr>
        <w:t>第七列）</w:t>
      </w:r>
      <w:r w:rsidR="005152AE" w:rsidRPr="00CB3320">
        <w:rPr>
          <w:rFonts w:hint="eastAsia"/>
        </w:rPr>
        <w:t>应当</w:t>
      </w:r>
      <w:r w:rsidRPr="00CB3320">
        <w:rPr>
          <w:rFonts w:hint="eastAsia"/>
        </w:rPr>
        <w:t>为技术溢出效应的结果，且技术溢出效应的值为</w:t>
      </w:r>
      <w:r w:rsidRPr="00CB3320">
        <w:rPr>
          <w:rFonts w:hint="eastAsia"/>
        </w:rPr>
        <w:t>0</w:t>
      </w:r>
      <w:r w:rsidRPr="00CB3320">
        <w:t>.0906</w:t>
      </w:r>
      <w:r w:rsidR="0080271E" w:rsidRPr="00CB3320">
        <w:rPr>
          <w:rFonts w:hint="eastAsia"/>
        </w:rPr>
        <w:t>（</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0080271E" w:rsidRPr="00CB3320">
        <w:rPr>
          <w:rFonts w:hint="eastAsia"/>
        </w:rPr>
        <w:t>第七列）</w:t>
      </w:r>
      <w:r w:rsidR="005152AE" w:rsidRPr="00CB3320">
        <w:rPr>
          <w:rFonts w:hint="eastAsia"/>
        </w:rPr>
        <w:t>。也就是：</w:t>
      </w:r>
    </w:p>
    <w:p w14:paraId="1889995B" w14:textId="5B9B5494" w:rsidR="00134A6A" w:rsidRPr="00CB3320" w:rsidRDefault="00134A6A" w:rsidP="00134A6A">
      <w:pPr>
        <w:pStyle w:val="a3"/>
      </w:pPr>
      <w:r w:rsidRPr="00CB3320">
        <w:rPr>
          <w:rFonts w:asciiTheme="minorHAnsi" w:eastAsiaTheme="minorEastAsia" w:hAnsiTheme="minorHAnsi" w:cstheme="minorBidi"/>
        </w:rPr>
        <w:tab/>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ETS</m:t>
                </m:r>
                <m:r>
                  <m:rPr>
                    <m:sty m:val="p"/>
                  </m:rPr>
                  <w:rPr>
                    <w:rFonts w:ascii="Cambria Math" w:hAnsi="Cambria Math" w:hint="eastAsia"/>
                  </w:rPr>
                  <m:t>对试点地区的边际影响</m:t>
                </m:r>
                <m:r>
                  <m:rPr>
                    <m:sty m:val="p"/>
                  </m:rPr>
                  <w:rPr>
                    <w:rFonts w:ascii="Cambria Math" w:hAnsi="Cambria Math"/>
                  </w:rPr>
                  <m:t>=</m:t>
                </m:r>
                <m:r>
                  <m:rPr>
                    <m:sty m:val="p"/>
                  </m:rPr>
                  <w:rPr>
                    <w:rFonts w:ascii="Cambria Math" w:hAnsi="Cambria Math" w:hint="eastAsia"/>
                  </w:rPr>
                  <m:t>碳成本效应</m:t>
                </m:r>
                <m:r>
                  <m:rPr>
                    <m:sty m:val="p"/>
                  </m:rPr>
                  <w:rPr>
                    <w:rFonts w:ascii="Cambria Math" w:hAnsi="Cambria Math"/>
                  </w:rPr>
                  <m:t>+</m:t>
                </m:r>
                <m:r>
                  <m:rPr>
                    <m:sty m:val="p"/>
                  </m:rPr>
                  <w:rPr>
                    <w:rFonts w:ascii="Cambria Math" w:hAnsi="Cambria Math" w:hint="eastAsia"/>
                  </w:rPr>
                  <m:t>技术进步效应</m:t>
                </m:r>
                <m:r>
                  <m:rPr>
                    <m:sty m:val="p"/>
                  </m:rPr>
                  <w:rPr>
                    <w:rFonts w:ascii="Cambria Math" w:hAnsi="Cambria Math" w:hint="eastAsia"/>
                  </w:rPr>
                  <m:t>=</m:t>
                </m:r>
                <m:r>
                  <m:rPr>
                    <m:sty m:val="p"/>
                  </m:rPr>
                  <w:rPr>
                    <w:rFonts w:ascii="Cambria Math" w:eastAsia="微软雅黑" w:hAnsi="Cambria Math" w:cs="微软雅黑" w:hint="eastAsia"/>
                  </w:rPr>
                  <m:t>-</m:t>
                </m:r>
                <m:r>
                  <m:rPr>
                    <m:sty m:val="p"/>
                  </m:rPr>
                  <w:rPr>
                    <w:rFonts w:ascii="Cambria Math" w:hAnsi="Cambria Math"/>
                  </w:rPr>
                  <m:t>0.371</m:t>
                </m:r>
              </m:e>
              <m:e>
                <m:r>
                  <m:rPr>
                    <m:sty m:val="p"/>
                  </m:rPr>
                  <w:rPr>
                    <w:rFonts w:ascii="Cambria Math" w:hAnsi="Cambria Math"/>
                  </w:rPr>
                  <m:t>ETS</m:t>
                </m:r>
                <m:r>
                  <m:rPr>
                    <m:sty m:val="p"/>
                  </m:rPr>
                  <w:rPr>
                    <w:rFonts w:ascii="Cambria Math" w:hAnsi="Cambria Math" w:hint="eastAsia"/>
                  </w:rPr>
                  <m:t>对非试点地区的边际影响</m:t>
                </m:r>
                <m:r>
                  <m:rPr>
                    <m:sty m:val="p"/>
                  </m:rPr>
                  <w:rPr>
                    <w:rFonts w:ascii="Cambria Math" w:hAnsi="Cambria Math"/>
                  </w:rPr>
                  <m:t>=</m:t>
                </m:r>
                <m:r>
                  <m:rPr>
                    <m:sty m:val="p"/>
                  </m:rPr>
                  <w:rPr>
                    <w:rFonts w:ascii="Cambria Math" w:hAnsi="Cambria Math" w:hint="eastAsia"/>
                  </w:rPr>
                  <m:t>技术溢出效应</m:t>
                </m:r>
                <m:r>
                  <m:rPr>
                    <m:sty m:val="p"/>
                  </m:rPr>
                  <w:rPr>
                    <w:rFonts w:ascii="Cambria Math" w:hAnsi="Cambria Math" w:hint="eastAsia"/>
                  </w:rPr>
                  <m:t>=0</m:t>
                </m:r>
                <m:r>
                  <m:rPr>
                    <m:sty m:val="p"/>
                  </m:rPr>
                  <w:rPr>
                    <w:rFonts w:ascii="Cambria Math" w:hAnsi="Cambria Math"/>
                  </w:rPr>
                  <m:t>.0906</m:t>
                </m:r>
              </m:e>
            </m:eqArr>
          </m:e>
        </m:d>
      </m:oMath>
      <w:r w:rsidRPr="00CB3320">
        <w:rPr>
          <w:rFonts w:asciiTheme="minorHAnsi" w:eastAsiaTheme="minorEastAsia" w:hAnsiTheme="minorHAnsi" w:cstheme="minorBidi"/>
        </w:rPr>
        <w:tab/>
      </w:r>
      <w:r w:rsidRPr="00CB3320">
        <w:t>(</w:t>
      </w:r>
      <w:r w:rsidR="00853A21" w:rsidRPr="00CB3320">
        <w:rPr>
          <w:noProof/>
        </w:rPr>
        <w:fldChar w:fldCharType="begin"/>
      </w:r>
      <w:r w:rsidR="00853A21" w:rsidRPr="00CB3320">
        <w:rPr>
          <w:noProof/>
        </w:rPr>
        <w:instrText xml:space="preserve"> SEQ ( \* ARABIC </w:instrText>
      </w:r>
      <w:r w:rsidR="00853A21" w:rsidRPr="00CB3320">
        <w:rPr>
          <w:noProof/>
        </w:rPr>
        <w:fldChar w:fldCharType="separate"/>
      </w:r>
      <w:r w:rsidR="00EC325E">
        <w:rPr>
          <w:noProof/>
        </w:rPr>
        <w:t>11</w:t>
      </w:r>
      <w:r w:rsidR="00853A21" w:rsidRPr="00CB3320">
        <w:rPr>
          <w:noProof/>
        </w:rPr>
        <w:fldChar w:fldCharType="end"/>
      </w:r>
      <w:r w:rsidRPr="00CB3320">
        <w:t>)</w:t>
      </w:r>
    </w:p>
    <w:p w14:paraId="31451C92" w14:textId="4365D678" w:rsidR="00134A6A" w:rsidRPr="00CB3320" w:rsidRDefault="00234341" w:rsidP="005152AE">
      <w:pPr>
        <w:ind w:firstLine="420"/>
      </w:pPr>
      <w:r w:rsidRPr="00CB3320">
        <w:rPr>
          <w:rFonts w:hint="eastAsia"/>
        </w:rPr>
        <w:t>我们通常认为技术进步效应大于等于技术溢出效应，因此</w:t>
      </w:r>
      <w:r w:rsidR="005152AE" w:rsidRPr="00CB3320">
        <w:rPr>
          <w:rFonts w:hint="eastAsia"/>
        </w:rPr>
        <w:t>，我们可以</w:t>
      </w:r>
      <w:r w:rsidRPr="00CB3320">
        <w:rPr>
          <w:rFonts w:hint="eastAsia"/>
        </w:rPr>
        <w:t>进一步</w:t>
      </w:r>
      <w:r w:rsidR="005152AE" w:rsidRPr="00CB3320">
        <w:rPr>
          <w:rFonts w:hint="eastAsia"/>
        </w:rPr>
        <w:t>假定</w:t>
      </w:r>
      <w:r w:rsidR="00134A6A" w:rsidRPr="00CB3320">
        <w:rPr>
          <w:rFonts w:hint="eastAsia"/>
        </w:rPr>
        <w:t>：</w:t>
      </w:r>
    </w:p>
    <w:p w14:paraId="5AB605FA" w14:textId="1C139D72" w:rsidR="007468AF" w:rsidRPr="00CB3320" w:rsidRDefault="007468AF" w:rsidP="007468AF">
      <w:pPr>
        <w:pStyle w:val="a3"/>
      </w:pPr>
      <w:r w:rsidRPr="00CB3320">
        <w:tab/>
      </w:r>
      <m:oMath>
        <m:r>
          <m:rPr>
            <m:sty m:val="p"/>
          </m:rPr>
          <w:rPr>
            <w:rFonts w:ascii="Cambria Math" w:hAnsi="Cambria Math" w:hint="eastAsia"/>
          </w:rPr>
          <m:t>技术进步效应</m:t>
        </m:r>
        <m:r>
          <m:rPr>
            <m:sty m:val="p"/>
          </m:rPr>
          <w:rPr>
            <w:rFonts w:ascii="Cambria Math" w:hAnsi="Cambria Math"/>
          </w:rPr>
          <m:t>×</m:t>
        </m:r>
        <m:r>
          <w:rPr>
            <w:rFonts w:ascii="Cambria Math" w:hAnsi="Cambria Math"/>
          </w:rPr>
          <m:t>μ</m:t>
        </m:r>
        <m:r>
          <m:rPr>
            <m:sty m:val="p"/>
          </m:rPr>
          <w:rPr>
            <w:rFonts w:ascii="Cambria Math" w:hAnsi="Cambria Math" w:hint="eastAsia"/>
          </w:rPr>
          <m:t>=</m:t>
        </m:r>
        <m:r>
          <m:rPr>
            <m:sty m:val="p"/>
          </m:rPr>
          <w:rPr>
            <w:rFonts w:ascii="Cambria Math" w:hAnsi="Cambria Math" w:hint="eastAsia"/>
          </w:rPr>
          <m:t>技术溢出效应</m:t>
        </m:r>
      </m:oMath>
      <w:r w:rsidRPr="00CB3320">
        <w:tab/>
        <w:t>(</w:t>
      </w:r>
      <w:r w:rsidR="00853A21" w:rsidRPr="00CB3320">
        <w:rPr>
          <w:noProof/>
        </w:rPr>
        <w:fldChar w:fldCharType="begin"/>
      </w:r>
      <w:r w:rsidR="00853A21" w:rsidRPr="00CB3320">
        <w:rPr>
          <w:noProof/>
        </w:rPr>
        <w:instrText xml:space="preserve"> SEQ ( \* ARABIC </w:instrText>
      </w:r>
      <w:r w:rsidR="00853A21" w:rsidRPr="00CB3320">
        <w:rPr>
          <w:noProof/>
        </w:rPr>
        <w:fldChar w:fldCharType="separate"/>
      </w:r>
      <w:r w:rsidR="00EC325E">
        <w:rPr>
          <w:noProof/>
        </w:rPr>
        <w:t>12</w:t>
      </w:r>
      <w:r w:rsidR="00853A21" w:rsidRPr="00CB3320">
        <w:rPr>
          <w:noProof/>
        </w:rPr>
        <w:fldChar w:fldCharType="end"/>
      </w:r>
      <w:r w:rsidRPr="00CB3320">
        <w:t>)</w:t>
      </w:r>
    </w:p>
    <w:p w14:paraId="4D1FCA2D" w14:textId="0EB08E32" w:rsidR="0080271E" w:rsidRPr="00CB3320" w:rsidRDefault="00234341" w:rsidP="005152AE">
      <w:pPr>
        <w:ind w:firstLine="420"/>
      </w:pPr>
      <w:r w:rsidRPr="00CB3320">
        <w:rPr>
          <w:rFonts w:hint="eastAsia"/>
        </w:rPr>
        <w:t>其中</w:t>
      </w:r>
      <m:oMath>
        <m:r>
          <m:rPr>
            <m:sty m:val="p"/>
          </m:rPr>
          <w:rPr>
            <w:rFonts w:ascii="Cambria Math" w:hAnsi="Cambria Math"/>
          </w:rPr>
          <m:t>0&lt;</m:t>
        </m:r>
        <m:r>
          <w:rPr>
            <w:rFonts w:ascii="Cambria Math" w:hAnsi="Cambria Math"/>
          </w:rPr>
          <m:t>μ≤1</m:t>
        </m:r>
      </m:oMath>
      <w:r w:rsidR="005152AE" w:rsidRPr="00CB3320">
        <w:rPr>
          <w:rFonts w:hint="eastAsia"/>
        </w:rPr>
        <w:t>。并且利用</w:t>
      </w:r>
      <w:r w:rsidR="00EC325E">
        <w:fldChar w:fldCharType="begin"/>
      </w:r>
      <w:r w:rsidR="00EC325E">
        <w:instrText xml:space="preserve"> </w:instrText>
      </w:r>
      <w:r w:rsidR="00EC325E">
        <w:rPr>
          <w:rFonts w:hint="eastAsia"/>
        </w:rPr>
        <w:instrText>REF _Ref126766685 \h</w:instrText>
      </w:r>
      <w:r w:rsidR="00EC325E">
        <w:instrText xml:space="preserve"> </w:instrText>
      </w:r>
      <w:r w:rsidR="00EC325E">
        <w:fldChar w:fldCharType="separate"/>
      </w:r>
      <w:r w:rsidR="00EC325E" w:rsidRPr="00EC325E">
        <w:rPr>
          <w:rFonts w:hint="eastAsia"/>
        </w:rPr>
        <w:t>表</w:t>
      </w:r>
      <w:r w:rsidR="00EC325E" w:rsidRPr="00EC325E">
        <w:t>5</w:t>
      </w:r>
      <w:r w:rsidR="00EC325E">
        <w:fldChar w:fldCharType="end"/>
      </w:r>
      <w:r w:rsidR="0080271E" w:rsidRPr="00CB3320">
        <w:rPr>
          <w:rFonts w:hint="eastAsia"/>
        </w:rPr>
        <w:t>第七列</w:t>
      </w:r>
      <w:r w:rsidR="005152AE" w:rsidRPr="00CB3320">
        <w:rPr>
          <w:rFonts w:hint="eastAsia"/>
        </w:rPr>
        <w:t>模型的估计值，可以得到</w:t>
      </w:r>
      <w:r w:rsidR="0080271E" w:rsidRPr="00CB3320">
        <w:rPr>
          <w:rFonts w:hint="eastAsia"/>
        </w:rPr>
        <w:t>：</w:t>
      </w:r>
    </w:p>
    <w:p w14:paraId="783C40E0" w14:textId="3A91BCD3" w:rsidR="0080271E" w:rsidRPr="00CB3320" w:rsidRDefault="0080271E" w:rsidP="005152AE">
      <w:pPr>
        <w:ind w:firstLine="420"/>
      </w:pPr>
      <w:r w:rsidRPr="00CB3320">
        <w:rPr>
          <w:rFonts w:hint="eastAsia"/>
        </w:rPr>
        <w:t>当</w:t>
      </w:r>
      <m:oMath>
        <m:r>
          <w:rPr>
            <w:rFonts w:ascii="Cambria Math" w:hAnsi="Cambria Math"/>
          </w:rPr>
          <m:t>μ</m:t>
        </m:r>
        <m:r>
          <w:rPr>
            <w:rFonts w:ascii="Cambria Math" w:hAnsi="Cambria Math" w:hint="eastAsia"/>
          </w:rPr>
          <m:t>=</m:t>
        </m:r>
        <m:r>
          <w:rPr>
            <w:rFonts w:ascii="Cambria Math" w:hAnsi="Cambria Math"/>
          </w:rPr>
          <m:t>1</m:t>
        </m:r>
      </m:oMath>
      <w:r w:rsidRPr="00CB3320">
        <w:rPr>
          <w:rFonts w:hint="eastAsia"/>
        </w:rPr>
        <w:t>时，</w:t>
      </w:r>
      <w:proofErr w:type="gramStart"/>
      <w:r w:rsidR="005152AE" w:rsidRPr="00CB3320">
        <w:rPr>
          <w:rFonts w:hint="eastAsia"/>
        </w:rPr>
        <w:t>碳成本</w:t>
      </w:r>
      <w:proofErr w:type="gramEnd"/>
      <w:r w:rsidR="005152AE" w:rsidRPr="00CB3320">
        <w:rPr>
          <w:rFonts w:hint="eastAsia"/>
        </w:rPr>
        <w:t>效应为</w:t>
      </w:r>
      <w:r w:rsidR="005152AE" w:rsidRPr="00CB3320">
        <w:rPr>
          <w:rFonts w:hint="eastAsia"/>
        </w:rPr>
        <w:t>-0.1277</w:t>
      </w:r>
      <w:r w:rsidR="005152AE" w:rsidRPr="00CB3320">
        <w:rPr>
          <w:rFonts w:hint="eastAsia"/>
        </w:rPr>
        <w:t>，技术进步效应</w:t>
      </w:r>
      <w:r w:rsidR="005152AE" w:rsidRPr="00CB3320">
        <w:rPr>
          <w:rFonts w:hint="eastAsia"/>
        </w:rPr>
        <w:t>=</w:t>
      </w:r>
      <w:r w:rsidR="005152AE" w:rsidRPr="00CB3320">
        <w:rPr>
          <w:rFonts w:hint="eastAsia"/>
        </w:rPr>
        <w:t>技术溢出效应</w:t>
      </w:r>
      <w:r w:rsidR="005152AE" w:rsidRPr="00CB3320">
        <w:rPr>
          <w:rFonts w:hint="eastAsia"/>
        </w:rPr>
        <w:t>=0.0906</w:t>
      </w:r>
      <w:r w:rsidR="005152AE" w:rsidRPr="00CB3320">
        <w:rPr>
          <w:rFonts w:hint="eastAsia"/>
        </w:rPr>
        <w:t>。</w:t>
      </w:r>
    </w:p>
    <w:p w14:paraId="0405B06A" w14:textId="3A4B78D7" w:rsidR="0080271E" w:rsidRPr="00CB3320" w:rsidRDefault="0080271E" w:rsidP="005152AE">
      <w:pPr>
        <w:ind w:firstLine="420"/>
      </w:pPr>
      <w:r w:rsidRPr="00CB3320">
        <w:rPr>
          <w:rFonts w:hint="eastAsia"/>
        </w:rPr>
        <w:t>当</w:t>
      </w:r>
      <m:oMath>
        <m:r>
          <w:rPr>
            <w:rFonts w:ascii="Cambria Math" w:hAnsi="Cambria Math"/>
          </w:rPr>
          <m:t>μ&lt;1</m:t>
        </m:r>
      </m:oMath>
      <w:r w:rsidRPr="00CB3320">
        <w:rPr>
          <w:rFonts w:hint="eastAsia"/>
        </w:rPr>
        <w:t>时，</w:t>
      </w:r>
      <m:oMath>
        <m:r>
          <m:rPr>
            <m:sty m:val="p"/>
          </m:rPr>
          <w:rPr>
            <w:rFonts w:ascii="Cambria Math" w:hAnsi="Cambria Math" w:hint="eastAsia"/>
          </w:rPr>
          <m:t>碳成本效应</m:t>
        </m:r>
        <m:r>
          <m:rPr>
            <m:sty m:val="p"/>
          </m:rPr>
          <w:rPr>
            <w:rFonts w:ascii="Cambria Math" w:hint="eastAsia"/>
          </w:rPr>
          <m:t>=</m:t>
        </m:r>
        <m:r>
          <m:rPr>
            <m:sty m:val="p"/>
          </m:rPr>
          <w:rPr>
            <w:rFonts w:ascii="Cambria Math" w:hAnsi="Cambria Math"/>
          </w:rPr>
          <m:t>-</m:t>
        </m:r>
        <m:f>
          <m:fPr>
            <m:ctrlPr>
              <w:rPr>
                <w:rFonts w:ascii="Cambria Math" w:hAnsi="Cambria Math"/>
                <w:i/>
              </w:rPr>
            </m:ctrlPr>
          </m:fPr>
          <m:num>
            <m:r>
              <w:rPr>
                <w:rFonts w:ascii="Cambria Math" w:hAnsi="Cambria Math"/>
              </w:rPr>
              <m:t>0.0906</m:t>
            </m:r>
          </m:num>
          <m:den>
            <m:r>
              <w:rPr>
                <w:rFonts w:ascii="Cambria Math" w:hAnsi="Cambria Math"/>
              </w:rPr>
              <m:t>μ</m:t>
            </m:r>
          </m:den>
        </m:f>
        <m:r>
          <w:rPr>
            <w:rFonts w:ascii="Cambria Math" w:hAnsi="Cambria Math"/>
          </w:rPr>
          <m:t>-0.0371&lt;</m:t>
        </m:r>
        <m:r>
          <m:rPr>
            <m:sty m:val="p"/>
          </m:rPr>
          <w:rPr>
            <w:rFonts w:ascii="Cambria Math" w:eastAsia="微软雅黑" w:hAnsi="Cambria Math" w:cs="微软雅黑" w:hint="eastAsia"/>
          </w:rPr>
          <m:t>-</m:t>
        </m:r>
        <m:r>
          <m:rPr>
            <m:sty m:val="p"/>
          </m:rPr>
          <w:rPr>
            <w:rFonts w:ascii="Cambria Math" w:hAnsi="Cambria Math" w:hint="eastAsia"/>
          </w:rPr>
          <m:t>0.1277</m:t>
        </m:r>
      </m:oMath>
      <w:r w:rsidRPr="00CB3320">
        <w:rPr>
          <w:rFonts w:hint="eastAsia"/>
        </w:rPr>
        <w:t>，</w:t>
      </w:r>
      <m:oMath>
        <m:r>
          <m:rPr>
            <m:sty m:val="p"/>
          </m:rPr>
          <w:rPr>
            <w:rFonts w:ascii="Cambria Math" w:hAnsi="Cambria Math" w:hint="eastAsia"/>
          </w:rPr>
          <m:t>技术进步效应</m:t>
        </m:r>
        <m:r>
          <m:rPr>
            <m:sty m:val="p"/>
          </m:rPr>
          <w:rPr>
            <w:rFonts w:ascii="Cambria Math" w:hAnsi="Cambria Math"/>
          </w:rPr>
          <m:t>=</m:t>
        </m:r>
        <m:f>
          <m:fPr>
            <m:ctrlPr>
              <w:rPr>
                <w:rFonts w:ascii="Cambria Math" w:hAnsi="Cambria Math"/>
                <w:i/>
              </w:rPr>
            </m:ctrlPr>
          </m:fPr>
          <m:num>
            <m:r>
              <w:rPr>
                <w:rFonts w:ascii="Cambria Math" w:hAnsi="Cambria Math"/>
              </w:rPr>
              <m:t>0.0906</m:t>
            </m:r>
          </m:num>
          <m:den>
            <m:r>
              <w:rPr>
                <w:rFonts w:ascii="Cambria Math" w:hAnsi="Cambria Math"/>
              </w:rPr>
              <m:t>μ</m:t>
            </m:r>
          </m:den>
        </m:f>
        <m:r>
          <w:rPr>
            <w:rFonts w:ascii="Cambria Math" w:hAnsi="Cambria Math"/>
          </w:rPr>
          <m:t>&gt;</m:t>
        </m:r>
        <m:r>
          <m:rPr>
            <m:sty m:val="p"/>
          </m:rPr>
          <w:rPr>
            <w:rFonts w:ascii="Cambria Math" w:hAnsi="Cambria Math" w:hint="eastAsia"/>
          </w:rPr>
          <m:t>0.0906</m:t>
        </m:r>
      </m:oMath>
      <w:r w:rsidR="00134A6A" w:rsidRPr="00CB3320">
        <w:rPr>
          <w:rFonts w:hint="eastAsia"/>
        </w:rPr>
        <w:t>，</w:t>
      </w:r>
      <m:oMath>
        <m:r>
          <m:rPr>
            <m:sty m:val="p"/>
          </m:rPr>
          <w:rPr>
            <w:rFonts w:ascii="Cambria Math" w:hAnsi="Cambria Math" w:hint="eastAsia"/>
          </w:rPr>
          <m:t>技术溢出效应</m:t>
        </m:r>
        <m:r>
          <m:rPr>
            <m:sty m:val="p"/>
          </m:rPr>
          <w:rPr>
            <w:rFonts w:ascii="Cambria Math" w:hAnsi="Cambria Math" w:hint="eastAsia"/>
          </w:rPr>
          <m:t>=0.0906</m:t>
        </m:r>
      </m:oMath>
      <w:r w:rsidR="00134A6A" w:rsidRPr="00CB3320">
        <w:rPr>
          <w:rFonts w:hint="eastAsia"/>
        </w:rPr>
        <w:t>。</w:t>
      </w:r>
    </w:p>
    <w:p w14:paraId="7CB4ECC8" w14:textId="0F1B5963" w:rsidR="005152AE" w:rsidRPr="00CB3320" w:rsidRDefault="005152AE" w:rsidP="005152AE">
      <w:pPr>
        <w:ind w:firstLine="420"/>
      </w:pPr>
      <w:r w:rsidRPr="00CB3320">
        <w:rPr>
          <w:rFonts w:hint="eastAsia"/>
        </w:rPr>
        <w:t>因此</w:t>
      </w:r>
      <w:r w:rsidR="00134A6A" w:rsidRPr="00CB3320">
        <w:rPr>
          <w:rFonts w:hint="eastAsia"/>
        </w:rPr>
        <w:t>，实际上碳排放带来的</w:t>
      </w:r>
      <w:proofErr w:type="gramStart"/>
      <w:r w:rsidR="00134A6A" w:rsidRPr="00CB3320">
        <w:rPr>
          <w:rFonts w:hint="eastAsia"/>
        </w:rPr>
        <w:t>碳成本</w:t>
      </w:r>
      <w:proofErr w:type="gramEnd"/>
      <w:r w:rsidR="00134A6A" w:rsidRPr="00CB3320">
        <w:rPr>
          <w:rFonts w:hint="eastAsia"/>
        </w:rPr>
        <w:t>效应是远大于我们识别出来的负面影响的，但是由于技术进步，抵消了大部分</w:t>
      </w:r>
      <w:proofErr w:type="gramStart"/>
      <w:r w:rsidR="00134A6A" w:rsidRPr="00CB3320">
        <w:rPr>
          <w:rFonts w:hint="eastAsia"/>
        </w:rPr>
        <w:t>碳市场</w:t>
      </w:r>
      <w:proofErr w:type="gramEnd"/>
      <w:r w:rsidR="00134A6A" w:rsidRPr="00CB3320">
        <w:rPr>
          <w:rFonts w:hint="eastAsia"/>
        </w:rPr>
        <w:t>带来的</w:t>
      </w:r>
      <w:proofErr w:type="gramStart"/>
      <w:r w:rsidR="00134A6A" w:rsidRPr="00CB3320">
        <w:rPr>
          <w:rFonts w:hint="eastAsia"/>
        </w:rPr>
        <w:t>碳成本</w:t>
      </w:r>
      <w:proofErr w:type="gramEnd"/>
      <w:r w:rsidR="00134A6A" w:rsidRPr="00CB3320">
        <w:rPr>
          <w:rFonts w:hint="eastAsia"/>
        </w:rPr>
        <w:t>效应。另外，我们观测到，技术进步可以抵消</w:t>
      </w:r>
      <m:oMath>
        <m:f>
          <m:fPr>
            <m:ctrlPr>
              <w:rPr>
                <w:rFonts w:ascii="Cambria Math" w:hAnsi="Cambria Math"/>
                <w:i/>
              </w:rPr>
            </m:ctrlPr>
          </m:fPr>
          <m:num>
            <m:f>
              <m:fPr>
                <m:type m:val="lin"/>
                <m:ctrlPr>
                  <w:rPr>
                    <w:rFonts w:ascii="Cambria Math" w:hAnsi="Cambria Math"/>
                    <w:i/>
                  </w:rPr>
                </m:ctrlPr>
              </m:fPr>
              <m:num>
                <m:r>
                  <w:rPr>
                    <w:rFonts w:ascii="Cambria Math" w:hAnsi="Cambria Math"/>
                  </w:rPr>
                  <m:t>0.0906</m:t>
                </m:r>
              </m:num>
              <m:den>
                <m:r>
                  <w:rPr>
                    <w:rFonts w:ascii="Cambria Math" w:hAnsi="Cambria Math"/>
                  </w:rPr>
                  <m:t>μ</m:t>
                </m:r>
              </m:den>
            </m:f>
            <m:ctrlPr>
              <w:rPr>
                <w:rFonts w:ascii="Cambria Math" w:hAnsi="Cambria Math"/>
              </w:rPr>
            </m:ctrlPr>
          </m:num>
          <m:den>
            <m:d>
              <m:dPr>
                <m:begChr m:val="|"/>
                <m:endChr m:val="|"/>
                <m:ctrlPr>
                  <w:rPr>
                    <w:rFonts w:ascii="Cambria Math" w:hAnsi="Cambria Math"/>
                  </w:rPr>
                </m:ctrlPr>
              </m:dPr>
              <m:e>
                <m:r>
                  <m:rPr>
                    <m:sty m:val="p"/>
                  </m:rPr>
                  <w:rPr>
                    <w:rFonts w:ascii="Cambria Math" w:hAnsi="Cambria Math"/>
                  </w:rPr>
                  <m:t>-</m:t>
                </m:r>
                <m:f>
                  <m:fPr>
                    <m:ctrlPr>
                      <w:rPr>
                        <w:rFonts w:ascii="Cambria Math" w:hAnsi="Cambria Math"/>
                        <w:i/>
                      </w:rPr>
                    </m:ctrlPr>
                  </m:fPr>
                  <m:num>
                    <m:r>
                      <w:rPr>
                        <w:rFonts w:ascii="Cambria Math" w:hAnsi="Cambria Math"/>
                      </w:rPr>
                      <m:t>0.0906</m:t>
                    </m:r>
                  </m:num>
                  <m:den>
                    <m:r>
                      <w:rPr>
                        <w:rFonts w:ascii="Cambria Math" w:hAnsi="Cambria Math"/>
                      </w:rPr>
                      <m:t>μ</m:t>
                    </m:r>
                  </m:den>
                </m:f>
                <m:r>
                  <w:rPr>
                    <w:rFonts w:ascii="Cambria Math" w:hAnsi="Cambria Math"/>
                  </w:rPr>
                  <m:t>-0.0371</m:t>
                </m:r>
              </m:e>
            </m:d>
          </m:den>
        </m:f>
        <m:r>
          <m:rPr>
            <m:sty m:val="p"/>
          </m:rPr>
          <w:rPr>
            <w:rFonts w:ascii="Cambria Math" w:hAnsi="Cambria Math"/>
          </w:rPr>
          <m:t>&gt;70.9</m:t>
        </m:r>
        <m:r>
          <m:rPr>
            <m:sty m:val="p"/>
          </m:rPr>
          <w:rPr>
            <w:rFonts w:ascii="Cambria Math" w:hAnsi="Cambria Math" w:hint="eastAsia"/>
          </w:rPr>
          <m:t>%</m:t>
        </m:r>
      </m:oMath>
      <w:r w:rsidR="00134A6A" w:rsidRPr="00CB3320">
        <w:rPr>
          <w:rFonts w:hint="eastAsia"/>
        </w:rPr>
        <w:t>的</w:t>
      </w:r>
      <w:proofErr w:type="gramStart"/>
      <w:r w:rsidR="00134A6A" w:rsidRPr="00CB3320">
        <w:rPr>
          <w:rFonts w:hint="eastAsia"/>
        </w:rPr>
        <w:t>碳成本</w:t>
      </w:r>
      <w:proofErr w:type="gramEnd"/>
      <w:r w:rsidR="00134A6A" w:rsidRPr="00CB3320">
        <w:rPr>
          <w:rFonts w:hint="eastAsia"/>
        </w:rPr>
        <w:t>对</w:t>
      </w:r>
      <w:r w:rsidR="00134A6A" w:rsidRPr="00CB3320">
        <w:rPr>
          <w:rFonts w:hint="eastAsia"/>
        </w:rPr>
        <w:t>T</w:t>
      </w:r>
      <w:r w:rsidR="00134A6A" w:rsidRPr="00CB3320">
        <w:t>FP</w:t>
      </w:r>
      <w:r w:rsidR="00134A6A" w:rsidRPr="00CB3320">
        <w:rPr>
          <w:rFonts w:hint="eastAsia"/>
        </w:rPr>
        <w:t>带来的负面影响。</w:t>
      </w:r>
      <w:r w:rsidR="007468AF" w:rsidRPr="00CB3320">
        <w:rPr>
          <w:rFonts w:hint="eastAsia"/>
        </w:rPr>
        <w:t>虽然</w:t>
      </w:r>
      <w:proofErr w:type="gramStart"/>
      <w:r w:rsidR="007468AF" w:rsidRPr="00CB3320">
        <w:rPr>
          <w:rFonts w:hint="eastAsia"/>
        </w:rPr>
        <w:t>碳市场</w:t>
      </w:r>
      <w:proofErr w:type="gramEnd"/>
      <w:r w:rsidR="007468AF" w:rsidRPr="00CB3320">
        <w:rPr>
          <w:rFonts w:hint="eastAsia"/>
        </w:rPr>
        <w:t>带来的技术进步并不能够抵消全部的</w:t>
      </w:r>
      <w:r w:rsidR="007468AF" w:rsidRPr="00CB3320">
        <w:rPr>
          <w:rFonts w:hint="eastAsia"/>
        </w:rPr>
        <w:t>T</w:t>
      </w:r>
      <w:r w:rsidR="007468AF" w:rsidRPr="00CB3320">
        <w:t>FP</w:t>
      </w:r>
      <w:r w:rsidR="007468AF" w:rsidRPr="00CB3320">
        <w:rPr>
          <w:rFonts w:hint="eastAsia"/>
        </w:rPr>
        <w:t>损失，但是仍然具有可观的止损能力。</w:t>
      </w:r>
    </w:p>
    <w:p w14:paraId="2740EE54" w14:textId="52053B43" w:rsidR="007468AF" w:rsidRPr="00CB3320" w:rsidRDefault="007468AF" w:rsidP="005152AE">
      <w:pPr>
        <w:ind w:firstLine="420"/>
        <w:rPr>
          <w:lang w:val="de-DE" w:bidi="en-US"/>
        </w:rPr>
      </w:pPr>
      <w:r w:rsidRPr="00CB3320">
        <w:rPr>
          <w:rFonts w:hint="eastAsia"/>
          <w:lang w:val="de-DE" w:bidi="en-US"/>
        </w:rPr>
        <w:t>需要注意的是，本文的技术进步扩散系数</w:t>
      </w:r>
      <m:oMath>
        <m:r>
          <w:rPr>
            <w:rFonts w:ascii="Cambria Math" w:hAnsi="Cambria Math"/>
          </w:rPr>
          <m:t>μ</m:t>
        </m:r>
      </m:oMath>
      <w:r w:rsidRPr="00CB3320">
        <w:rPr>
          <w:rFonts w:hint="eastAsia"/>
        </w:rPr>
        <w:t>是一个假设的值，本文无法估计该值。我们只能姑且认为该值小于</w:t>
      </w:r>
      <w:r w:rsidRPr="00CB3320">
        <w:rPr>
          <w:rFonts w:hint="eastAsia"/>
        </w:rPr>
        <w:t>1</w:t>
      </w:r>
      <w:r w:rsidRPr="00CB3320">
        <w:rPr>
          <w:rFonts w:hint="eastAsia"/>
        </w:rPr>
        <w:t>，并且该值越小，通过本文计算出来的技术进步效应和</w:t>
      </w:r>
      <w:proofErr w:type="gramStart"/>
      <w:r w:rsidRPr="00CB3320">
        <w:rPr>
          <w:rFonts w:hint="eastAsia"/>
        </w:rPr>
        <w:t>碳成本</w:t>
      </w:r>
      <w:proofErr w:type="gramEnd"/>
      <w:r w:rsidRPr="00CB3320">
        <w:rPr>
          <w:rFonts w:hint="eastAsia"/>
        </w:rPr>
        <w:t>效应就越大，并且技术进步抵消</w:t>
      </w:r>
      <w:r w:rsidRPr="00CB3320">
        <w:rPr>
          <w:rFonts w:hint="eastAsia"/>
        </w:rPr>
        <w:t>T</w:t>
      </w:r>
      <w:r w:rsidRPr="00CB3320">
        <w:t>FP</w:t>
      </w:r>
      <w:r w:rsidRPr="00CB3320">
        <w:rPr>
          <w:rFonts w:hint="eastAsia"/>
        </w:rPr>
        <w:t>损失的比例也越大。</w:t>
      </w:r>
    </w:p>
    <w:p w14:paraId="20D30D3F" w14:textId="7067D51D" w:rsidR="00460960" w:rsidRPr="00CB3320" w:rsidRDefault="005B1161" w:rsidP="005B1161">
      <w:pPr>
        <w:pStyle w:val="1"/>
      </w:pPr>
      <w:bookmarkStart w:id="66" w:name="_Toc121778137"/>
      <w:bookmarkEnd w:id="61"/>
      <w:bookmarkEnd w:id="65"/>
      <w:r w:rsidRPr="00CB3320">
        <w:rPr>
          <w:rFonts w:hint="eastAsia"/>
        </w:rPr>
        <w:t>六、结论与政策启示</w:t>
      </w:r>
      <w:bookmarkEnd w:id="66"/>
    </w:p>
    <w:p w14:paraId="0261B3B6" w14:textId="1A662D05" w:rsidR="00DD7F8C" w:rsidRPr="00CB3320" w:rsidRDefault="00DD7F8C" w:rsidP="00DD7F8C">
      <w:pPr>
        <w:ind w:firstLine="420"/>
      </w:pPr>
      <w:r w:rsidRPr="00CB3320">
        <w:rPr>
          <w:rFonts w:hint="eastAsia"/>
        </w:rPr>
        <w:lastRenderedPageBreak/>
        <w:t>本文基于多种方法，通过不同的假设，对</w:t>
      </w:r>
      <w:proofErr w:type="gramStart"/>
      <w:r w:rsidR="00A81401" w:rsidRPr="00CB3320">
        <w:rPr>
          <w:rFonts w:hint="eastAsia"/>
        </w:rPr>
        <w:t>碳交易</w:t>
      </w:r>
      <w:proofErr w:type="gramEnd"/>
      <w:r w:rsidR="00012FAF" w:rsidRPr="00CB3320">
        <w:rPr>
          <w:rFonts w:hint="eastAsia"/>
        </w:rPr>
        <w:t>对</w:t>
      </w:r>
      <w:r w:rsidR="00012FAF" w:rsidRPr="00CB3320">
        <w:rPr>
          <w:rFonts w:hint="eastAsia"/>
        </w:rPr>
        <w:t>T</w:t>
      </w:r>
      <w:r w:rsidR="00012FAF" w:rsidRPr="00CB3320">
        <w:t>FP</w:t>
      </w:r>
      <w:r w:rsidR="00A81401" w:rsidRPr="00CB3320">
        <w:rPr>
          <w:rFonts w:hint="eastAsia"/>
        </w:rPr>
        <w:t>的</w:t>
      </w:r>
      <w:r w:rsidRPr="00CB3320">
        <w:rPr>
          <w:rFonts w:hint="eastAsia"/>
        </w:rPr>
        <w:t>影响进行了识别。</w:t>
      </w:r>
      <w:r w:rsidR="00A81401" w:rsidRPr="00CB3320">
        <w:rPr>
          <w:rFonts w:hint="eastAsia"/>
        </w:rPr>
        <w:t>以</w:t>
      </w:r>
      <w:r w:rsidRPr="00CB3320">
        <w:rPr>
          <w:rFonts w:hint="eastAsia"/>
        </w:rPr>
        <w:t>PSM-DID</w:t>
      </w:r>
      <w:r w:rsidR="00A81401" w:rsidRPr="00CB3320">
        <w:rPr>
          <w:rFonts w:hint="eastAsia"/>
        </w:rPr>
        <w:t>模型为基准</w:t>
      </w:r>
      <w:r w:rsidRPr="00CB3320">
        <w:rPr>
          <w:rFonts w:hint="eastAsia"/>
        </w:rPr>
        <w:t>，本研究</w:t>
      </w:r>
      <w:r w:rsidR="00925463" w:rsidRPr="00CB3320">
        <w:rPr>
          <w:rFonts w:hint="eastAsia"/>
        </w:rPr>
        <w:t>又进一步放宽了研究假定，扩展了研究边界。</w:t>
      </w:r>
      <w:r w:rsidRPr="00CB3320">
        <w:rPr>
          <w:rFonts w:hint="eastAsia"/>
        </w:rPr>
        <w:t>主要</w:t>
      </w:r>
      <w:r w:rsidR="00925463" w:rsidRPr="00CB3320">
        <w:rPr>
          <w:rFonts w:hint="eastAsia"/>
        </w:rPr>
        <w:t>结论</w:t>
      </w:r>
      <w:r w:rsidRPr="00CB3320">
        <w:rPr>
          <w:rFonts w:hint="eastAsia"/>
        </w:rPr>
        <w:t>如下：</w:t>
      </w:r>
    </w:p>
    <w:p w14:paraId="68DE2E63" w14:textId="0968A69B" w:rsidR="00460960" w:rsidRPr="00CB3320" w:rsidRDefault="00DD7F8C" w:rsidP="00DD7F8C">
      <w:pPr>
        <w:ind w:firstLine="420"/>
      </w:pPr>
      <w:r w:rsidRPr="00CB3320">
        <w:rPr>
          <w:rFonts w:hint="eastAsia"/>
        </w:rPr>
        <w:t>首先，本研究分析了</w:t>
      </w:r>
      <w:r w:rsidRPr="00CB3320">
        <w:rPr>
          <w:rFonts w:hint="eastAsia"/>
        </w:rPr>
        <w:t>ETS</w:t>
      </w:r>
      <w:r w:rsidRPr="00CB3320">
        <w:rPr>
          <w:rFonts w:hint="eastAsia"/>
        </w:rPr>
        <w:t>对全要素生产率</w:t>
      </w:r>
      <w:r w:rsidR="005B0125" w:rsidRPr="00CB3320">
        <w:rPr>
          <w:rFonts w:hint="eastAsia"/>
        </w:rPr>
        <w:t>的</w:t>
      </w:r>
      <w:r w:rsidR="00D11F12" w:rsidRPr="00CB3320">
        <w:rPr>
          <w:rFonts w:hint="eastAsia"/>
        </w:rPr>
        <w:t>影响</w:t>
      </w:r>
      <w:r w:rsidR="00D90B75" w:rsidRPr="00CB3320">
        <w:rPr>
          <w:rFonts w:hint="eastAsia"/>
        </w:rPr>
        <w:t>在</w:t>
      </w:r>
      <w:r w:rsidR="008C5622" w:rsidRPr="00CB3320">
        <w:rPr>
          <w:rFonts w:hint="eastAsia"/>
        </w:rPr>
        <w:t>经济层面的</w:t>
      </w:r>
      <w:r w:rsidRPr="00CB3320">
        <w:rPr>
          <w:rFonts w:hint="eastAsia"/>
        </w:rPr>
        <w:t>异质</w:t>
      </w:r>
      <w:r w:rsidR="008C5622" w:rsidRPr="00CB3320">
        <w:rPr>
          <w:rFonts w:hint="eastAsia"/>
        </w:rPr>
        <w:t>性</w:t>
      </w:r>
      <w:r w:rsidRPr="00CB3320">
        <w:rPr>
          <w:rFonts w:hint="eastAsia"/>
        </w:rPr>
        <w:t>。当</w:t>
      </w:r>
      <w:proofErr w:type="gramStart"/>
      <w:r w:rsidR="00F302A4" w:rsidRPr="00CB3320">
        <w:rPr>
          <w:rFonts w:hint="eastAsia"/>
        </w:rPr>
        <w:t>碳试点</w:t>
      </w:r>
      <w:proofErr w:type="gramEnd"/>
      <w:r w:rsidRPr="00CB3320">
        <w:rPr>
          <w:rFonts w:hint="eastAsia"/>
        </w:rPr>
        <w:t>到来时，经济水平较高的城市</w:t>
      </w:r>
      <w:r w:rsidR="006A020F" w:rsidRPr="00CB3320">
        <w:rPr>
          <w:rFonts w:hint="eastAsia"/>
        </w:rPr>
        <w:t>的</w:t>
      </w:r>
      <w:r w:rsidR="006A020F" w:rsidRPr="00CB3320">
        <w:rPr>
          <w:rFonts w:hint="eastAsia"/>
        </w:rPr>
        <w:t>TFP</w:t>
      </w:r>
      <w:r w:rsidR="000838B1" w:rsidRPr="00CB3320">
        <w:rPr>
          <w:rFonts w:hint="eastAsia"/>
        </w:rPr>
        <w:t>受到</w:t>
      </w:r>
      <w:r w:rsidRPr="00CB3320">
        <w:rPr>
          <w:rFonts w:hint="eastAsia"/>
        </w:rPr>
        <w:t>的</w:t>
      </w:r>
      <w:r w:rsidR="006A020F" w:rsidRPr="00CB3320">
        <w:rPr>
          <w:rFonts w:hint="eastAsia"/>
        </w:rPr>
        <w:t>负面影响较小</w:t>
      </w:r>
      <w:r w:rsidR="004A24F0" w:rsidRPr="00CB3320">
        <w:rPr>
          <w:rFonts w:hint="eastAsia"/>
        </w:rPr>
        <w:t>。</w:t>
      </w:r>
      <w:r w:rsidRPr="00CB3320">
        <w:rPr>
          <w:rFonts w:hint="eastAsia"/>
        </w:rPr>
        <w:t>然而，</w:t>
      </w:r>
      <w:r w:rsidR="00FA6335" w:rsidRPr="00CB3320">
        <w:rPr>
          <w:rFonts w:hint="eastAsia"/>
        </w:rPr>
        <w:t>普通</w:t>
      </w:r>
      <w:r w:rsidRPr="00CB3320">
        <w:rPr>
          <w:rFonts w:hint="eastAsia"/>
        </w:rPr>
        <w:t>城市</w:t>
      </w:r>
      <w:r w:rsidR="00FA6335" w:rsidRPr="00CB3320">
        <w:rPr>
          <w:rFonts w:hint="eastAsia"/>
        </w:rPr>
        <w:t>并不是这样的</w:t>
      </w:r>
      <w:r w:rsidR="004A24F0" w:rsidRPr="00CB3320">
        <w:rPr>
          <w:rFonts w:hint="eastAsia"/>
        </w:rPr>
        <w:t>，</w:t>
      </w:r>
      <w:r w:rsidRPr="00CB3320">
        <w:rPr>
          <w:rFonts w:hint="eastAsia"/>
        </w:rPr>
        <w:t>大多数</w:t>
      </w:r>
      <w:r w:rsidR="00FA6335" w:rsidRPr="00CB3320">
        <w:rPr>
          <w:rFonts w:hint="eastAsia"/>
        </w:rPr>
        <w:t>普通试点城市受到的</w:t>
      </w:r>
      <w:r w:rsidR="00FA6335" w:rsidRPr="00CB3320">
        <w:rPr>
          <w:rFonts w:hint="eastAsia"/>
        </w:rPr>
        <w:t>T</w:t>
      </w:r>
      <w:r w:rsidR="00FA6335" w:rsidRPr="00CB3320">
        <w:t>FP</w:t>
      </w:r>
      <w:r w:rsidR="00FA6335" w:rsidRPr="00CB3320">
        <w:rPr>
          <w:rFonts w:hint="eastAsia"/>
        </w:rPr>
        <w:t>损失较大</w:t>
      </w:r>
      <w:r w:rsidR="004A24F0" w:rsidRPr="00CB3320">
        <w:rPr>
          <w:rFonts w:hint="eastAsia"/>
        </w:rPr>
        <w:t>。</w:t>
      </w:r>
      <w:r w:rsidRPr="00CB3320">
        <w:rPr>
          <w:rFonts w:hint="eastAsia"/>
        </w:rPr>
        <w:t>造成这种差异的原因可能是不同城市的</w:t>
      </w:r>
      <w:r w:rsidR="004A24F0" w:rsidRPr="00CB3320">
        <w:rPr>
          <w:rFonts w:hint="eastAsia"/>
        </w:rPr>
        <w:t>M</w:t>
      </w:r>
      <w:r w:rsidR="004A24F0" w:rsidRPr="00CB3320">
        <w:t>RV</w:t>
      </w:r>
      <w:r w:rsidR="004A24F0" w:rsidRPr="00CB3320">
        <w:rPr>
          <w:rFonts w:hint="eastAsia"/>
        </w:rPr>
        <w:t>、</w:t>
      </w:r>
      <w:r w:rsidRPr="00CB3320">
        <w:rPr>
          <w:rFonts w:hint="eastAsia"/>
        </w:rPr>
        <w:t>技术储备</w:t>
      </w:r>
      <w:r w:rsidR="004A24F0" w:rsidRPr="00CB3320">
        <w:rPr>
          <w:rFonts w:hint="eastAsia"/>
        </w:rPr>
        <w:t>、</w:t>
      </w:r>
      <w:r w:rsidRPr="00CB3320">
        <w:rPr>
          <w:rFonts w:hint="eastAsia"/>
        </w:rPr>
        <w:t>研发能力不同。人均</w:t>
      </w:r>
      <w:r w:rsidRPr="00CB3320">
        <w:rPr>
          <w:rFonts w:hint="eastAsia"/>
        </w:rPr>
        <w:t>GDP</w:t>
      </w:r>
      <w:r w:rsidRPr="00CB3320">
        <w:rPr>
          <w:rFonts w:hint="eastAsia"/>
        </w:rPr>
        <w:t>较高的城市通常拥有更多的此类储备和能力，如北京、上海和</w:t>
      </w:r>
      <w:r w:rsidR="00E57CB5" w:rsidRPr="00CB3320">
        <w:rPr>
          <w:rFonts w:hint="eastAsia"/>
        </w:rPr>
        <w:t>天津等</w:t>
      </w:r>
      <w:r w:rsidRPr="00CB3320">
        <w:rPr>
          <w:rFonts w:hint="eastAsia"/>
        </w:rPr>
        <w:t>。这些因素可能有助于这些城市应对碳</w:t>
      </w:r>
      <w:r w:rsidR="004A24F0" w:rsidRPr="00CB3320">
        <w:rPr>
          <w:rFonts w:hint="eastAsia"/>
        </w:rPr>
        <w:t>定价</w:t>
      </w:r>
      <w:r w:rsidRPr="00CB3320">
        <w:rPr>
          <w:rFonts w:hint="eastAsia"/>
        </w:rPr>
        <w:t>的压力。</w:t>
      </w:r>
      <w:r w:rsidRPr="00CB3320">
        <w:rPr>
          <w:rFonts w:hint="eastAsia"/>
        </w:rPr>
        <w:t>PSM</w:t>
      </w:r>
      <w:r w:rsidRPr="00CB3320">
        <w:rPr>
          <w:rFonts w:hint="eastAsia"/>
        </w:rPr>
        <w:t>结果表明，由于</w:t>
      </w:r>
      <w:proofErr w:type="gramStart"/>
      <w:r w:rsidR="004A24F0" w:rsidRPr="00CB3320">
        <w:rPr>
          <w:rFonts w:hint="eastAsia"/>
        </w:rPr>
        <w:t>碳</w:t>
      </w:r>
      <w:r w:rsidRPr="00CB3320">
        <w:rPr>
          <w:rFonts w:hint="eastAsia"/>
        </w:rPr>
        <w:t>试点</w:t>
      </w:r>
      <w:proofErr w:type="gramEnd"/>
      <w:r w:rsidRPr="00CB3320">
        <w:rPr>
          <w:rFonts w:hint="eastAsia"/>
        </w:rPr>
        <w:t>的初始选择</w:t>
      </w:r>
      <w:r w:rsidR="004A24F0" w:rsidRPr="00CB3320">
        <w:rPr>
          <w:rFonts w:hint="eastAsia"/>
        </w:rPr>
        <w:t>并</w:t>
      </w:r>
      <w:r w:rsidRPr="00CB3320">
        <w:rPr>
          <w:rFonts w:hint="eastAsia"/>
        </w:rPr>
        <w:t>不是随机的，因此要想做一个基本清晰的识别，就必须对这些人均</w:t>
      </w:r>
      <w:r w:rsidRPr="00CB3320">
        <w:rPr>
          <w:rFonts w:hint="eastAsia"/>
        </w:rPr>
        <w:t>GDP</w:t>
      </w:r>
      <w:r w:rsidRPr="00CB3320">
        <w:rPr>
          <w:rFonts w:hint="eastAsia"/>
        </w:rPr>
        <w:t>较高的城市赋予较低的权重，而对一般的城市赋予</w:t>
      </w:r>
      <w:r w:rsidR="004A24F0" w:rsidRPr="00CB3320">
        <w:rPr>
          <w:rFonts w:hint="eastAsia"/>
        </w:rPr>
        <w:t>高</w:t>
      </w:r>
      <w:r w:rsidRPr="00CB3320">
        <w:rPr>
          <w:rFonts w:hint="eastAsia"/>
        </w:rPr>
        <w:t>的权重。如果给一线城市太多权重，结果甚至可能是</w:t>
      </w:r>
      <w:r w:rsidR="002F1D80" w:rsidRPr="00CB3320">
        <w:rPr>
          <w:rFonts w:hint="eastAsia"/>
        </w:rPr>
        <w:t>有偏的</w:t>
      </w:r>
      <w:r w:rsidRPr="00CB3320">
        <w:rPr>
          <w:rFonts w:hint="eastAsia"/>
        </w:rPr>
        <w:t>。基于这样的思路，我们通过省级面板数据进行了</w:t>
      </w:r>
      <w:r w:rsidRPr="00CB3320">
        <w:rPr>
          <w:rFonts w:hint="eastAsia"/>
        </w:rPr>
        <w:t>DID</w:t>
      </w:r>
      <w:r w:rsidRPr="00CB3320">
        <w:rPr>
          <w:rFonts w:hint="eastAsia"/>
        </w:rPr>
        <w:t>回归，</w:t>
      </w:r>
      <w:r w:rsidR="002F1D80" w:rsidRPr="00CB3320">
        <w:rPr>
          <w:rFonts w:hint="eastAsia"/>
        </w:rPr>
        <w:t>发现能得到不显著的结论</w:t>
      </w:r>
      <w:r w:rsidRPr="00CB3320">
        <w:rPr>
          <w:rFonts w:hint="eastAsia"/>
        </w:rPr>
        <w:t>。基于市级数据和精确的</w:t>
      </w:r>
      <w:r w:rsidRPr="00CB3320">
        <w:rPr>
          <w:rFonts w:hint="eastAsia"/>
        </w:rPr>
        <w:t>PSM</w:t>
      </w:r>
      <w:r w:rsidRPr="00CB3320">
        <w:rPr>
          <w:rFonts w:hint="eastAsia"/>
        </w:rPr>
        <w:t>，我们在一定程度上避免了“统计平均陷阱”和“选择性偏差”，满足了</w:t>
      </w:r>
      <w:r w:rsidRPr="00CB3320">
        <w:rPr>
          <w:rFonts w:hint="eastAsia"/>
        </w:rPr>
        <w:t>DID</w:t>
      </w:r>
      <w:r w:rsidRPr="00CB3320">
        <w:rPr>
          <w:rFonts w:hint="eastAsia"/>
        </w:rPr>
        <w:t>分析的基本前提</w:t>
      </w:r>
      <w:r w:rsidR="00466806" w:rsidRPr="00CB3320">
        <w:rPr>
          <w:rFonts w:hint="eastAsia"/>
        </w:rPr>
        <w:t>，得出了</w:t>
      </w:r>
      <w:proofErr w:type="gramStart"/>
      <w:r w:rsidR="00466806" w:rsidRPr="00CB3320">
        <w:rPr>
          <w:rFonts w:hint="eastAsia"/>
        </w:rPr>
        <w:t>碳试点</w:t>
      </w:r>
      <w:proofErr w:type="gramEnd"/>
      <w:r w:rsidR="00466806" w:rsidRPr="00CB3320">
        <w:rPr>
          <w:rFonts w:hint="eastAsia"/>
        </w:rPr>
        <w:t>城市对</w:t>
      </w:r>
      <w:proofErr w:type="gramStart"/>
      <w:r w:rsidR="00466806" w:rsidRPr="00CB3320">
        <w:rPr>
          <w:rFonts w:hint="eastAsia"/>
        </w:rPr>
        <w:t>碳试点</w:t>
      </w:r>
      <w:proofErr w:type="gramEnd"/>
      <w:r w:rsidR="00466806" w:rsidRPr="00CB3320">
        <w:rPr>
          <w:rFonts w:hint="eastAsia"/>
        </w:rPr>
        <w:t>地区的</w:t>
      </w:r>
      <w:r w:rsidR="00466806" w:rsidRPr="00CB3320">
        <w:rPr>
          <w:rFonts w:hint="eastAsia"/>
        </w:rPr>
        <w:t>T</w:t>
      </w:r>
      <w:r w:rsidR="00466806" w:rsidRPr="00CB3320">
        <w:t>FP</w:t>
      </w:r>
      <w:r w:rsidR="00466806" w:rsidRPr="00CB3320">
        <w:rPr>
          <w:rFonts w:hint="eastAsia"/>
        </w:rPr>
        <w:t>具有负面影响的结论。</w:t>
      </w:r>
    </w:p>
    <w:p w14:paraId="2C1A8C39" w14:textId="0B08FF70" w:rsidR="00466806" w:rsidRPr="00CB3320" w:rsidRDefault="00D17496" w:rsidP="00DD7F8C">
      <w:pPr>
        <w:ind w:firstLine="420"/>
      </w:pPr>
      <w:r w:rsidRPr="00CB3320">
        <w:rPr>
          <w:rFonts w:hint="eastAsia"/>
        </w:rPr>
        <w:t>第二，在</w:t>
      </w:r>
      <w:r w:rsidRPr="00CB3320">
        <w:rPr>
          <w:rFonts w:hint="eastAsia"/>
        </w:rPr>
        <w:t>DID</w:t>
      </w:r>
      <w:r w:rsidRPr="00CB3320">
        <w:rPr>
          <w:rFonts w:hint="eastAsia"/>
        </w:rPr>
        <w:t>分析中，实验组和</w:t>
      </w:r>
      <w:r w:rsidR="00972FF5" w:rsidRPr="00CB3320">
        <w:rPr>
          <w:rFonts w:hint="eastAsia"/>
        </w:rPr>
        <w:t>对照组</w:t>
      </w:r>
      <w:r w:rsidRPr="00CB3320">
        <w:rPr>
          <w:rFonts w:hint="eastAsia"/>
        </w:rPr>
        <w:t>之间具有独立性要求。但我们不能完全保证</w:t>
      </w:r>
      <w:r w:rsidR="004720FB" w:rsidRPr="00CB3320">
        <w:rPr>
          <w:rFonts w:hint="eastAsia"/>
        </w:rPr>
        <w:t>数据</w:t>
      </w:r>
      <w:r w:rsidRPr="00CB3320">
        <w:rPr>
          <w:rFonts w:hint="eastAsia"/>
        </w:rPr>
        <w:t>的独立性。换言之，</w:t>
      </w:r>
      <w:proofErr w:type="gramStart"/>
      <w:r w:rsidRPr="00CB3320">
        <w:rPr>
          <w:rFonts w:hint="eastAsia"/>
        </w:rPr>
        <w:t>碳交易</w:t>
      </w:r>
      <w:proofErr w:type="gramEnd"/>
      <w:r w:rsidRPr="00CB3320">
        <w:rPr>
          <w:rFonts w:hint="eastAsia"/>
        </w:rPr>
        <w:t>试点政策可能通过技术溢出和产业转移影响非试点地区。如果存在空间影响，模型</w:t>
      </w:r>
      <w:r w:rsidR="000C67A8" w:rsidRPr="00CB3320">
        <w:rPr>
          <w:rFonts w:hint="eastAsia"/>
        </w:rPr>
        <w:t>对</w:t>
      </w:r>
      <w:proofErr w:type="gramStart"/>
      <w:r w:rsidRPr="00CB3320">
        <w:rPr>
          <w:rFonts w:hint="eastAsia"/>
        </w:rPr>
        <w:t>碳交易</w:t>
      </w:r>
      <w:proofErr w:type="gramEnd"/>
      <w:r w:rsidRPr="00CB3320">
        <w:rPr>
          <w:rFonts w:hint="eastAsia"/>
        </w:rPr>
        <w:t>试点的影响</w:t>
      </w:r>
      <w:r w:rsidR="000C67A8" w:rsidRPr="00CB3320">
        <w:rPr>
          <w:rFonts w:hint="eastAsia"/>
        </w:rPr>
        <w:t>将是有误的</w:t>
      </w:r>
      <w:r w:rsidRPr="00CB3320">
        <w:rPr>
          <w:rFonts w:hint="eastAsia"/>
        </w:rPr>
        <w:t>。因此，我们使用</w:t>
      </w:r>
      <w:r w:rsidR="003D3BB2" w:rsidRPr="00CB3320">
        <w:rPr>
          <w:rFonts w:hint="eastAsia"/>
        </w:rPr>
        <w:t>基于引力模型的</w:t>
      </w:r>
      <w:r w:rsidRPr="00CB3320">
        <w:rPr>
          <w:rFonts w:hint="eastAsia"/>
        </w:rPr>
        <w:t>空间面板杜宾模型来识别</w:t>
      </w:r>
      <w:proofErr w:type="gramStart"/>
      <w:r w:rsidRPr="00CB3320">
        <w:rPr>
          <w:rFonts w:hint="eastAsia"/>
        </w:rPr>
        <w:t>碳市场</w:t>
      </w:r>
      <w:proofErr w:type="gramEnd"/>
      <w:r w:rsidRPr="00CB3320">
        <w:rPr>
          <w:rFonts w:hint="eastAsia"/>
        </w:rPr>
        <w:t>的空间溢出效应。</w:t>
      </w:r>
      <w:r w:rsidR="003D3BB2" w:rsidRPr="00CB3320">
        <w:rPr>
          <w:rFonts w:hint="eastAsia"/>
        </w:rPr>
        <w:t>研究</w:t>
      </w:r>
      <w:r w:rsidRPr="00CB3320">
        <w:rPr>
          <w:rFonts w:hint="eastAsia"/>
        </w:rPr>
        <w:t>发现，</w:t>
      </w:r>
      <w:proofErr w:type="gramStart"/>
      <w:r w:rsidRPr="00CB3320">
        <w:rPr>
          <w:rFonts w:hint="eastAsia"/>
        </w:rPr>
        <w:t>碳市场</w:t>
      </w:r>
      <w:proofErr w:type="gramEnd"/>
      <w:r w:rsidRPr="00CB3320">
        <w:rPr>
          <w:rFonts w:hint="eastAsia"/>
        </w:rPr>
        <w:t>对</w:t>
      </w:r>
      <w:r w:rsidR="003D3BB2" w:rsidRPr="00CB3320">
        <w:rPr>
          <w:rFonts w:hint="eastAsia"/>
        </w:rPr>
        <w:t>TFP</w:t>
      </w:r>
      <w:r w:rsidRPr="00CB3320">
        <w:rPr>
          <w:rFonts w:hint="eastAsia"/>
        </w:rPr>
        <w:t>具有较强的</w:t>
      </w:r>
      <w:proofErr w:type="gramStart"/>
      <w:r w:rsidRPr="00CB3320">
        <w:rPr>
          <w:rFonts w:hint="eastAsia"/>
        </w:rPr>
        <w:t>正空间</w:t>
      </w:r>
      <w:proofErr w:type="gramEnd"/>
      <w:r w:rsidRPr="00CB3320">
        <w:rPr>
          <w:rFonts w:hint="eastAsia"/>
        </w:rPr>
        <w:t>溢出效应。由于空间溢出效应较大，</w:t>
      </w:r>
      <w:r w:rsidR="008F691D" w:rsidRPr="00CB3320">
        <w:rPr>
          <w:rFonts w:hint="eastAsia"/>
        </w:rPr>
        <w:t>因此</w:t>
      </w:r>
      <w:r w:rsidRPr="00CB3320">
        <w:rPr>
          <w:rFonts w:hint="eastAsia"/>
        </w:rPr>
        <w:t>总效应为正。这意味着</w:t>
      </w:r>
      <w:proofErr w:type="gramStart"/>
      <w:r w:rsidRPr="00CB3320">
        <w:rPr>
          <w:rFonts w:hint="eastAsia"/>
        </w:rPr>
        <w:t>碳试点</w:t>
      </w:r>
      <w:proofErr w:type="gramEnd"/>
      <w:r w:rsidRPr="00CB3320">
        <w:rPr>
          <w:rFonts w:hint="eastAsia"/>
        </w:rPr>
        <w:t>虽然降低</w:t>
      </w:r>
      <w:r w:rsidR="008F691D" w:rsidRPr="00CB3320">
        <w:rPr>
          <w:rFonts w:hint="eastAsia"/>
        </w:rPr>
        <w:t>了</w:t>
      </w:r>
      <w:r w:rsidRPr="00CB3320">
        <w:rPr>
          <w:rFonts w:hint="eastAsia"/>
        </w:rPr>
        <w:t>试点地区的全要素生产率，但对非试点地区的全要素生产率</w:t>
      </w:r>
      <w:r w:rsidR="008F691D" w:rsidRPr="00CB3320">
        <w:rPr>
          <w:rFonts w:hint="eastAsia"/>
        </w:rPr>
        <w:t>具有正面意义</w:t>
      </w:r>
      <w:r w:rsidR="00903D24" w:rsidRPr="00CB3320">
        <w:rPr>
          <w:rFonts w:hint="eastAsia"/>
        </w:rPr>
        <w:t>，即，</w:t>
      </w:r>
      <w:r w:rsidRPr="00CB3320">
        <w:rPr>
          <w:rFonts w:hint="eastAsia"/>
        </w:rPr>
        <w:t>强波特假说在</w:t>
      </w:r>
      <w:r w:rsidR="00903D24" w:rsidRPr="00CB3320">
        <w:rPr>
          <w:rFonts w:hint="eastAsia"/>
        </w:rPr>
        <w:t>全国</w:t>
      </w:r>
      <w:r w:rsidRPr="00CB3320">
        <w:rPr>
          <w:rFonts w:hint="eastAsia"/>
        </w:rPr>
        <w:t>层面是</w:t>
      </w:r>
      <w:r w:rsidR="00903D24" w:rsidRPr="00CB3320">
        <w:rPr>
          <w:rFonts w:hint="eastAsia"/>
        </w:rPr>
        <w:t>成立</w:t>
      </w:r>
      <w:r w:rsidRPr="00CB3320">
        <w:rPr>
          <w:rFonts w:hint="eastAsia"/>
        </w:rPr>
        <w:t>的</w:t>
      </w:r>
      <w:r w:rsidR="007906EF" w:rsidRPr="00CB3320">
        <w:rPr>
          <w:rFonts w:hint="eastAsia"/>
        </w:rPr>
        <w:t>，</w:t>
      </w:r>
      <w:proofErr w:type="gramStart"/>
      <w:r w:rsidR="007906EF" w:rsidRPr="00CB3320">
        <w:rPr>
          <w:rFonts w:hint="eastAsia"/>
        </w:rPr>
        <w:t>且试点</w:t>
      </w:r>
      <w:proofErr w:type="gramEnd"/>
      <w:r w:rsidR="007906EF" w:rsidRPr="00CB3320">
        <w:rPr>
          <w:rFonts w:hint="eastAsia"/>
        </w:rPr>
        <w:t>地区对非试点地区的技术溢出效应大于污染天堂假说的影响。</w:t>
      </w:r>
    </w:p>
    <w:p w14:paraId="466A7EA5" w14:textId="65E5B05C" w:rsidR="00460960" w:rsidRPr="00CB3320" w:rsidRDefault="00FE66BE" w:rsidP="00460960">
      <w:pPr>
        <w:ind w:firstLine="420"/>
      </w:pPr>
      <w:r w:rsidRPr="00CB3320">
        <w:rPr>
          <w:rFonts w:hint="eastAsia"/>
        </w:rPr>
        <w:t>最后，在基准分析和进一步分析的基础上，研究得出结论，</w:t>
      </w:r>
      <w:proofErr w:type="gramStart"/>
      <w:r w:rsidRPr="00CB3320">
        <w:rPr>
          <w:rFonts w:hint="eastAsia"/>
        </w:rPr>
        <w:t>碳试点</w:t>
      </w:r>
      <w:proofErr w:type="gramEnd"/>
      <w:r w:rsidR="00125371" w:rsidRPr="00CB3320">
        <w:rPr>
          <w:rFonts w:hint="eastAsia"/>
        </w:rPr>
        <w:t>虽然降低了试点地区的</w:t>
      </w:r>
      <w:r w:rsidR="00125371" w:rsidRPr="00CB3320">
        <w:rPr>
          <w:rFonts w:hint="eastAsia"/>
        </w:rPr>
        <w:t>T</w:t>
      </w:r>
      <w:r w:rsidR="00125371" w:rsidRPr="00CB3320">
        <w:t>FP</w:t>
      </w:r>
      <w:r w:rsidRPr="00CB3320">
        <w:rPr>
          <w:rFonts w:hint="eastAsia"/>
        </w:rPr>
        <w:t>。但总的来说，</w:t>
      </w:r>
      <w:proofErr w:type="gramStart"/>
      <w:r w:rsidR="00125371" w:rsidRPr="00CB3320">
        <w:rPr>
          <w:rFonts w:hint="eastAsia"/>
        </w:rPr>
        <w:t>碳</w:t>
      </w:r>
      <w:r w:rsidRPr="00CB3320">
        <w:rPr>
          <w:rFonts w:hint="eastAsia"/>
        </w:rPr>
        <w:t>试点</w:t>
      </w:r>
      <w:proofErr w:type="gramEnd"/>
      <w:r w:rsidRPr="00CB3320">
        <w:rPr>
          <w:rFonts w:hint="eastAsia"/>
        </w:rPr>
        <w:t>对国家层面的全要素生产率增长是有利的，因为</w:t>
      </w:r>
      <w:proofErr w:type="gramStart"/>
      <w:r w:rsidR="00125371" w:rsidRPr="00CB3320">
        <w:rPr>
          <w:rFonts w:hint="eastAsia"/>
        </w:rPr>
        <w:t>碳</w:t>
      </w:r>
      <w:r w:rsidRPr="00CB3320">
        <w:rPr>
          <w:rFonts w:hint="eastAsia"/>
        </w:rPr>
        <w:t>试点</w:t>
      </w:r>
      <w:proofErr w:type="gramEnd"/>
      <w:r w:rsidRPr="00CB3320">
        <w:rPr>
          <w:rFonts w:hint="eastAsia"/>
        </w:rPr>
        <w:t>对其他非试点城市的全要素生产率具有显著的</w:t>
      </w:r>
      <w:proofErr w:type="gramStart"/>
      <w:r w:rsidRPr="00CB3320">
        <w:rPr>
          <w:rFonts w:hint="eastAsia"/>
        </w:rPr>
        <w:t>正空间</w:t>
      </w:r>
      <w:proofErr w:type="gramEnd"/>
      <w:r w:rsidRPr="00CB3320">
        <w:rPr>
          <w:rFonts w:hint="eastAsia"/>
        </w:rPr>
        <w:t>溢出效应。可能的原因是</w:t>
      </w:r>
      <w:proofErr w:type="gramStart"/>
      <w:r w:rsidRPr="00CB3320">
        <w:rPr>
          <w:rFonts w:hint="eastAsia"/>
        </w:rPr>
        <w:t>碳交易</w:t>
      </w:r>
      <w:proofErr w:type="gramEnd"/>
      <w:r w:rsidRPr="00CB3320">
        <w:rPr>
          <w:rFonts w:hint="eastAsia"/>
        </w:rPr>
        <w:t>带来的技术创新溢出效应导致了其他地区全要素生产率的增长。</w:t>
      </w:r>
      <w:r w:rsidR="00114B73" w:rsidRPr="00CB3320">
        <w:rPr>
          <w:rFonts w:hint="eastAsia"/>
        </w:rPr>
        <w:t>文章没有识别出显著</w:t>
      </w:r>
      <w:r w:rsidRPr="00CB3320">
        <w:rPr>
          <w:rFonts w:hint="eastAsia"/>
        </w:rPr>
        <w:t>的污染天堂效应，部分原因是企业</w:t>
      </w:r>
      <w:r w:rsidR="00114B73" w:rsidRPr="00CB3320">
        <w:rPr>
          <w:rFonts w:hint="eastAsia"/>
        </w:rPr>
        <w:t>认为全国</w:t>
      </w:r>
      <w:proofErr w:type="gramStart"/>
      <w:r w:rsidR="00114B73" w:rsidRPr="00CB3320">
        <w:rPr>
          <w:rFonts w:hint="eastAsia"/>
        </w:rPr>
        <w:t>碳市场</w:t>
      </w:r>
      <w:proofErr w:type="gramEnd"/>
      <w:r w:rsidR="00114B73" w:rsidRPr="00CB3320">
        <w:rPr>
          <w:rFonts w:hint="eastAsia"/>
        </w:rPr>
        <w:t>即将铺开，</w:t>
      </w:r>
      <w:r w:rsidRPr="00CB3320">
        <w:rPr>
          <w:rFonts w:hint="eastAsia"/>
        </w:rPr>
        <w:t>因此企业从试点地区向非试点地区重新布局是没有意义的。</w:t>
      </w:r>
      <w:r w:rsidR="00D66C0E" w:rsidRPr="00CB3320">
        <w:rPr>
          <w:rFonts w:hint="eastAsia"/>
        </w:rPr>
        <w:t>原因</w:t>
      </w:r>
      <w:r w:rsidR="00114B73" w:rsidRPr="00CB3320">
        <w:rPr>
          <w:rFonts w:hint="eastAsia"/>
        </w:rPr>
        <w:t>也可能是</w:t>
      </w:r>
      <w:proofErr w:type="gramStart"/>
      <w:r w:rsidR="000F2C4B" w:rsidRPr="00CB3320">
        <w:rPr>
          <w:rFonts w:hint="eastAsia"/>
        </w:rPr>
        <w:t>碳市场</w:t>
      </w:r>
      <w:proofErr w:type="gramEnd"/>
      <w:r w:rsidR="000F2C4B" w:rsidRPr="00CB3320">
        <w:rPr>
          <w:rFonts w:hint="eastAsia"/>
        </w:rPr>
        <w:t>的成本小于企业转移的成本。</w:t>
      </w:r>
    </w:p>
    <w:p w14:paraId="7A6E037F" w14:textId="77777777" w:rsidR="003D399C" w:rsidRPr="00CB3320" w:rsidRDefault="003D399C" w:rsidP="003D399C">
      <w:pPr>
        <w:ind w:firstLine="420"/>
      </w:pPr>
      <w:bookmarkStart w:id="67" w:name="_Hlk121756698"/>
      <w:bookmarkStart w:id="68" w:name="_Hlk121818684"/>
      <w:bookmarkStart w:id="69" w:name="_Hlk121757978"/>
      <w:r w:rsidRPr="00CB3320">
        <w:rPr>
          <w:rFonts w:hint="eastAsia"/>
        </w:rPr>
        <w:t>不少地方政府和企业认为，</w:t>
      </w:r>
      <w:proofErr w:type="gramStart"/>
      <w:r w:rsidRPr="00CB3320">
        <w:rPr>
          <w:rFonts w:hint="eastAsia"/>
        </w:rPr>
        <w:t>碳交易</w:t>
      </w:r>
      <w:proofErr w:type="gramEnd"/>
      <w:r w:rsidRPr="00CB3320">
        <w:rPr>
          <w:rFonts w:hint="eastAsia"/>
        </w:rPr>
        <w:t>制度会降低地区的经济效益，降低全要素生产率，因此，对</w:t>
      </w:r>
      <w:proofErr w:type="gramStart"/>
      <w:r w:rsidRPr="00CB3320">
        <w:rPr>
          <w:rFonts w:hint="eastAsia"/>
        </w:rPr>
        <w:t>碳交易</w:t>
      </w:r>
      <w:proofErr w:type="gramEnd"/>
      <w:r w:rsidRPr="00CB3320">
        <w:rPr>
          <w:rFonts w:hint="eastAsia"/>
        </w:rPr>
        <w:t>市场的推进并不积极。</w:t>
      </w:r>
      <w:bookmarkEnd w:id="67"/>
      <w:r w:rsidRPr="00CB3320">
        <w:rPr>
          <w:rFonts w:hint="eastAsia"/>
        </w:rPr>
        <w:t>本文认为，</w:t>
      </w:r>
      <w:proofErr w:type="gramStart"/>
      <w:r w:rsidRPr="00CB3320">
        <w:rPr>
          <w:rFonts w:hint="eastAsia"/>
        </w:rPr>
        <w:t>碳交易</w:t>
      </w:r>
      <w:proofErr w:type="gramEnd"/>
      <w:r w:rsidRPr="00CB3320">
        <w:rPr>
          <w:rFonts w:hint="eastAsia"/>
        </w:rPr>
        <w:t>虽然对地区产生</w:t>
      </w:r>
      <w:proofErr w:type="gramStart"/>
      <w:r w:rsidRPr="00CB3320">
        <w:rPr>
          <w:rFonts w:hint="eastAsia"/>
        </w:rPr>
        <w:t>了碳减排</w:t>
      </w:r>
      <w:proofErr w:type="gramEnd"/>
      <w:r w:rsidRPr="00CB3320">
        <w:rPr>
          <w:rFonts w:hint="eastAsia"/>
        </w:rPr>
        <w:t>成本，但是长期来看仍然存在技术创新作用，并且来自创新的</w:t>
      </w:r>
      <w:r w:rsidRPr="00CB3320">
        <w:rPr>
          <w:rFonts w:hint="eastAsia"/>
        </w:rPr>
        <w:t>T</w:t>
      </w:r>
      <w:r w:rsidRPr="00CB3320">
        <w:t>FP</w:t>
      </w:r>
      <w:r w:rsidRPr="00CB3320">
        <w:rPr>
          <w:rFonts w:hint="eastAsia"/>
        </w:rPr>
        <w:t>提高抵消了大部分的来自</w:t>
      </w:r>
      <w:proofErr w:type="gramStart"/>
      <w:r w:rsidRPr="00CB3320">
        <w:rPr>
          <w:rFonts w:hint="eastAsia"/>
        </w:rPr>
        <w:t>碳交易</w:t>
      </w:r>
      <w:proofErr w:type="gramEnd"/>
      <w:r w:rsidRPr="00CB3320">
        <w:rPr>
          <w:rFonts w:hint="eastAsia"/>
        </w:rPr>
        <w:t>的负面影响。</w:t>
      </w:r>
    </w:p>
    <w:bookmarkEnd w:id="68"/>
    <w:p w14:paraId="4FADBF4A" w14:textId="5EDCB03F" w:rsidR="00477D8D" w:rsidRPr="00CB3320" w:rsidRDefault="000F2C4B" w:rsidP="00477D8D">
      <w:pPr>
        <w:ind w:firstLine="420"/>
      </w:pPr>
      <w:r w:rsidRPr="00CB3320">
        <w:rPr>
          <w:rFonts w:hint="eastAsia"/>
        </w:rPr>
        <w:t>虽然我们发现</w:t>
      </w:r>
      <w:proofErr w:type="gramStart"/>
      <w:r w:rsidR="00F302A4" w:rsidRPr="00CB3320">
        <w:rPr>
          <w:rFonts w:hint="eastAsia"/>
        </w:rPr>
        <w:t>碳试点</w:t>
      </w:r>
      <w:proofErr w:type="gramEnd"/>
      <w:r w:rsidR="00D56704" w:rsidRPr="00CB3320">
        <w:rPr>
          <w:rFonts w:hint="eastAsia"/>
        </w:rPr>
        <w:t>地区</w:t>
      </w:r>
      <w:r w:rsidRPr="00CB3320">
        <w:rPr>
          <w:rFonts w:hint="eastAsia"/>
        </w:rPr>
        <w:t>的全要素生产率会下降，</w:t>
      </w:r>
      <w:r w:rsidR="004A63D8" w:rsidRPr="00CB3320">
        <w:rPr>
          <w:rFonts w:hint="eastAsia"/>
        </w:rPr>
        <w:t>且</w:t>
      </w:r>
      <w:r w:rsidRPr="00CB3320">
        <w:rPr>
          <w:rFonts w:hint="eastAsia"/>
        </w:rPr>
        <w:t>在考虑溢出效应后，</w:t>
      </w:r>
      <w:r w:rsidRPr="00CB3320">
        <w:rPr>
          <w:rFonts w:hint="eastAsia"/>
        </w:rPr>
        <w:t>ETS</w:t>
      </w:r>
      <w:r w:rsidRPr="00CB3320">
        <w:rPr>
          <w:rFonts w:hint="eastAsia"/>
        </w:rPr>
        <w:t>对</w:t>
      </w:r>
      <w:r w:rsidR="004A63D8" w:rsidRPr="00CB3320">
        <w:rPr>
          <w:rFonts w:hint="eastAsia"/>
        </w:rPr>
        <w:t>总体的</w:t>
      </w:r>
      <w:r w:rsidRPr="00CB3320">
        <w:rPr>
          <w:rFonts w:hint="eastAsia"/>
        </w:rPr>
        <w:t>全要素生产率有积极的影响，但</w:t>
      </w:r>
      <w:r w:rsidR="004A63D8" w:rsidRPr="00CB3320">
        <w:rPr>
          <w:rFonts w:hint="eastAsia"/>
        </w:rPr>
        <w:t>严格来讲，我们</w:t>
      </w:r>
      <w:r w:rsidRPr="00CB3320">
        <w:rPr>
          <w:rFonts w:hint="eastAsia"/>
        </w:rPr>
        <w:t>仍然不认为当中国全面实施国家排放交易市场时，全要素生产率</w:t>
      </w:r>
      <w:r w:rsidR="00190DE0" w:rsidRPr="00CB3320">
        <w:rPr>
          <w:rFonts w:hint="eastAsia"/>
        </w:rPr>
        <w:t>一定</w:t>
      </w:r>
      <w:r w:rsidRPr="00CB3320">
        <w:rPr>
          <w:rFonts w:hint="eastAsia"/>
        </w:rPr>
        <w:t>会上升。碳定价是一种</w:t>
      </w:r>
      <w:r w:rsidR="00970195" w:rsidRPr="00CB3320">
        <w:rPr>
          <w:rFonts w:hint="eastAsia"/>
        </w:rPr>
        <w:t>额外</w:t>
      </w:r>
      <w:r w:rsidRPr="00CB3320">
        <w:rPr>
          <w:rFonts w:hint="eastAsia"/>
        </w:rPr>
        <w:t>成本，被纳入</w:t>
      </w:r>
      <w:proofErr w:type="gramStart"/>
      <w:r w:rsidR="00ED3C6A" w:rsidRPr="00CB3320">
        <w:rPr>
          <w:rFonts w:hint="eastAsia"/>
        </w:rPr>
        <w:t>碳</w:t>
      </w:r>
      <w:r w:rsidRPr="00CB3320">
        <w:rPr>
          <w:rFonts w:hint="eastAsia"/>
        </w:rPr>
        <w:t>交易</w:t>
      </w:r>
      <w:proofErr w:type="gramEnd"/>
      <w:r w:rsidRPr="00CB3320">
        <w:rPr>
          <w:rFonts w:hint="eastAsia"/>
        </w:rPr>
        <w:t>的城市（尤其是普通城市）</w:t>
      </w:r>
      <w:r w:rsidR="00ED3C6A" w:rsidRPr="00CB3320">
        <w:rPr>
          <w:rFonts w:hint="eastAsia"/>
        </w:rPr>
        <w:t>的</w:t>
      </w:r>
      <w:r w:rsidR="00ED3C6A" w:rsidRPr="00CB3320">
        <w:rPr>
          <w:rFonts w:hint="eastAsia"/>
        </w:rPr>
        <w:t>T</w:t>
      </w:r>
      <w:r w:rsidR="00ED3C6A" w:rsidRPr="00CB3320">
        <w:t>FP</w:t>
      </w:r>
      <w:r w:rsidRPr="00CB3320">
        <w:rPr>
          <w:rFonts w:hint="eastAsia"/>
        </w:rPr>
        <w:t>将受到</w:t>
      </w:r>
      <w:r w:rsidR="00ED3C6A" w:rsidRPr="00CB3320">
        <w:rPr>
          <w:rFonts w:hint="eastAsia"/>
        </w:rPr>
        <w:t>负面</w:t>
      </w:r>
      <w:r w:rsidRPr="00CB3320">
        <w:rPr>
          <w:rFonts w:hint="eastAsia"/>
        </w:rPr>
        <w:t>影响。</w:t>
      </w:r>
      <w:r w:rsidR="0013553E" w:rsidRPr="00CB3320">
        <w:rPr>
          <w:rFonts w:hint="eastAsia"/>
        </w:rPr>
        <w:t>因此，我们进一步分析认为</w:t>
      </w:r>
      <w:r w:rsidRPr="00CB3320">
        <w:rPr>
          <w:rFonts w:hint="eastAsia"/>
        </w:rPr>
        <w:t>，</w:t>
      </w:r>
      <w:proofErr w:type="gramStart"/>
      <w:r w:rsidR="00F302A4" w:rsidRPr="00CB3320">
        <w:rPr>
          <w:rFonts w:hint="eastAsia"/>
        </w:rPr>
        <w:t>碳试点</w:t>
      </w:r>
      <w:proofErr w:type="gramEnd"/>
      <w:r w:rsidRPr="00CB3320">
        <w:rPr>
          <w:rFonts w:hint="eastAsia"/>
        </w:rPr>
        <w:t>之所以产生如此积极的空间溢出效应，可能是因为随着信息技术的发展和大企业的发展，技术进步的空间溢出效应</w:t>
      </w:r>
      <w:r w:rsidR="00E07ECF" w:rsidRPr="00CB3320">
        <w:rPr>
          <w:rFonts w:hint="eastAsia"/>
        </w:rPr>
        <w:t>较大</w:t>
      </w:r>
      <w:r w:rsidRPr="00CB3320">
        <w:rPr>
          <w:rFonts w:hint="eastAsia"/>
        </w:rPr>
        <w:t>。</w:t>
      </w:r>
      <w:r w:rsidR="00E07ECF" w:rsidRPr="00CB3320">
        <w:rPr>
          <w:rFonts w:hint="eastAsia"/>
        </w:rPr>
        <w:t>但</w:t>
      </w:r>
      <w:r w:rsidRPr="00CB3320">
        <w:rPr>
          <w:rFonts w:hint="eastAsia"/>
        </w:rPr>
        <w:t>随着</w:t>
      </w:r>
      <w:proofErr w:type="gramStart"/>
      <w:r w:rsidRPr="00CB3320">
        <w:rPr>
          <w:rFonts w:hint="eastAsia"/>
        </w:rPr>
        <w:t>更多试点</w:t>
      </w:r>
      <w:proofErr w:type="gramEnd"/>
      <w:r w:rsidRPr="00CB3320">
        <w:rPr>
          <w:rFonts w:hint="eastAsia"/>
        </w:rPr>
        <w:t>的参与（或全面实施），这种空间溢出效应不</w:t>
      </w:r>
      <w:r w:rsidR="00E07ECF" w:rsidRPr="00CB3320">
        <w:rPr>
          <w:rFonts w:hint="eastAsia"/>
        </w:rPr>
        <w:t>一定</w:t>
      </w:r>
      <w:r w:rsidRPr="00CB3320">
        <w:rPr>
          <w:rFonts w:hint="eastAsia"/>
        </w:rPr>
        <w:t>会显著增加。</w:t>
      </w:r>
      <w:r w:rsidR="00E07ECF" w:rsidRPr="00CB3320">
        <w:rPr>
          <w:rFonts w:hint="eastAsia"/>
        </w:rPr>
        <w:t>当下，</w:t>
      </w:r>
      <w:r w:rsidRPr="00CB3320">
        <w:rPr>
          <w:rFonts w:hint="eastAsia"/>
        </w:rPr>
        <w:t>这些非试点城市在不受</w:t>
      </w:r>
      <w:proofErr w:type="gramStart"/>
      <w:r w:rsidRPr="00CB3320">
        <w:rPr>
          <w:rFonts w:hint="eastAsia"/>
        </w:rPr>
        <w:t>碳限制</w:t>
      </w:r>
      <w:proofErr w:type="gramEnd"/>
      <w:r w:rsidRPr="00CB3320">
        <w:rPr>
          <w:rFonts w:hint="eastAsia"/>
        </w:rPr>
        <w:t>的情况下享受</w:t>
      </w:r>
      <w:r w:rsidR="00E07ECF" w:rsidRPr="00CB3320">
        <w:rPr>
          <w:rFonts w:hint="eastAsia"/>
        </w:rPr>
        <w:t>了</w:t>
      </w:r>
      <w:r w:rsidRPr="00CB3320">
        <w:rPr>
          <w:rFonts w:hint="eastAsia"/>
        </w:rPr>
        <w:t>技术红利。然而，随着</w:t>
      </w:r>
      <w:proofErr w:type="gramStart"/>
      <w:r w:rsidR="00AC3357" w:rsidRPr="00CB3320">
        <w:rPr>
          <w:rFonts w:hint="eastAsia"/>
        </w:rPr>
        <w:t>碳</w:t>
      </w:r>
      <w:r w:rsidRPr="00CB3320">
        <w:rPr>
          <w:rFonts w:hint="eastAsia"/>
        </w:rPr>
        <w:t>市场</w:t>
      </w:r>
      <w:proofErr w:type="gramEnd"/>
      <w:r w:rsidR="0042551A" w:rsidRPr="00CB3320">
        <w:rPr>
          <w:rFonts w:hint="eastAsia"/>
        </w:rPr>
        <w:t>范围的增大</w:t>
      </w:r>
      <w:r w:rsidRPr="00CB3320">
        <w:rPr>
          <w:rFonts w:hint="eastAsia"/>
        </w:rPr>
        <w:t>，它们只能在</w:t>
      </w:r>
      <w:r w:rsidR="001D1811" w:rsidRPr="00CB3320">
        <w:rPr>
          <w:rFonts w:hint="eastAsia"/>
        </w:rPr>
        <w:t>承受碳定价</w:t>
      </w:r>
      <w:r w:rsidRPr="00CB3320">
        <w:rPr>
          <w:rFonts w:hint="eastAsia"/>
        </w:rPr>
        <w:t>的情况下享受这些技术红利。当</w:t>
      </w:r>
      <w:r w:rsidR="001D1811" w:rsidRPr="00CB3320">
        <w:rPr>
          <w:rFonts w:hint="eastAsia"/>
        </w:rPr>
        <w:t>全国性</w:t>
      </w:r>
      <w:proofErr w:type="gramStart"/>
      <w:r w:rsidR="001D1811" w:rsidRPr="00CB3320">
        <w:rPr>
          <w:rFonts w:hint="eastAsia"/>
        </w:rPr>
        <w:t>碳市场</w:t>
      </w:r>
      <w:proofErr w:type="gramEnd"/>
      <w:r w:rsidRPr="00CB3320">
        <w:rPr>
          <w:rFonts w:hint="eastAsia"/>
        </w:rPr>
        <w:t>到来时，很难衡量碳约束对全要素生产率</w:t>
      </w:r>
      <w:r w:rsidR="001D1811" w:rsidRPr="00CB3320">
        <w:rPr>
          <w:rFonts w:hint="eastAsia"/>
        </w:rPr>
        <w:t>的</w:t>
      </w:r>
      <w:r w:rsidRPr="00CB3320">
        <w:rPr>
          <w:rFonts w:hint="eastAsia"/>
        </w:rPr>
        <w:t>负面影响</w:t>
      </w:r>
      <w:r w:rsidR="001D1811" w:rsidRPr="00CB3320">
        <w:rPr>
          <w:rFonts w:hint="eastAsia"/>
        </w:rPr>
        <w:t>更大，还是</w:t>
      </w:r>
      <w:r w:rsidRPr="00CB3320">
        <w:rPr>
          <w:rFonts w:hint="eastAsia"/>
        </w:rPr>
        <w:t>技术红利对全要素生产率产生</w:t>
      </w:r>
      <w:r w:rsidR="001D1811" w:rsidRPr="00CB3320">
        <w:rPr>
          <w:rFonts w:hint="eastAsia"/>
        </w:rPr>
        <w:t>的</w:t>
      </w:r>
      <w:r w:rsidRPr="00CB3320">
        <w:rPr>
          <w:rFonts w:hint="eastAsia"/>
        </w:rPr>
        <w:t>正面影响</w:t>
      </w:r>
      <w:r w:rsidR="001D1811" w:rsidRPr="00CB3320">
        <w:rPr>
          <w:rFonts w:hint="eastAsia"/>
        </w:rPr>
        <w:t>更大</w:t>
      </w:r>
      <w:r w:rsidRPr="00CB3320">
        <w:rPr>
          <w:rFonts w:hint="eastAsia"/>
        </w:rPr>
        <w:t>。</w:t>
      </w:r>
    </w:p>
    <w:p w14:paraId="5653389A" w14:textId="63A59BB3" w:rsidR="00477D8D" w:rsidRPr="00CB3320" w:rsidRDefault="00E827C4" w:rsidP="00477D8D">
      <w:pPr>
        <w:ind w:firstLine="420"/>
      </w:pPr>
      <w:r w:rsidRPr="00CB3320">
        <w:rPr>
          <w:rFonts w:hint="eastAsia"/>
        </w:rPr>
        <w:t>因此，如何应对</w:t>
      </w:r>
      <w:proofErr w:type="gramStart"/>
      <w:r w:rsidRPr="00CB3320">
        <w:rPr>
          <w:rFonts w:hint="eastAsia"/>
        </w:rPr>
        <w:t>碳交易</w:t>
      </w:r>
      <w:proofErr w:type="gramEnd"/>
      <w:r w:rsidRPr="00CB3320">
        <w:rPr>
          <w:rFonts w:hint="eastAsia"/>
        </w:rPr>
        <w:t>可能带来的负面影响仍是一个重要课题。目前，在</w:t>
      </w:r>
      <w:proofErr w:type="gramStart"/>
      <w:r w:rsidR="00AC3357" w:rsidRPr="00CB3320">
        <w:rPr>
          <w:rFonts w:hint="eastAsia"/>
        </w:rPr>
        <w:t>碳</w:t>
      </w:r>
      <w:r w:rsidRPr="00CB3320">
        <w:rPr>
          <w:rFonts w:hint="eastAsia"/>
        </w:rPr>
        <w:t>试点</w:t>
      </w:r>
      <w:proofErr w:type="gramEnd"/>
      <w:r w:rsidRPr="00CB3320">
        <w:rPr>
          <w:rFonts w:hint="eastAsia"/>
        </w:rPr>
        <w:t>期间，高度发达的城市全要素生产率下降</w:t>
      </w:r>
      <w:r w:rsidR="00E0761C" w:rsidRPr="00CB3320">
        <w:rPr>
          <w:rFonts w:hint="eastAsia"/>
        </w:rPr>
        <w:t>幅度不大</w:t>
      </w:r>
      <w:r w:rsidRPr="00CB3320">
        <w:rPr>
          <w:rFonts w:hint="eastAsia"/>
        </w:rPr>
        <w:t>，但</w:t>
      </w:r>
      <w:r w:rsidR="00E56595" w:rsidRPr="00CB3320">
        <w:rPr>
          <w:rFonts w:hint="eastAsia"/>
        </w:rPr>
        <w:t>普通</w:t>
      </w:r>
      <w:r w:rsidRPr="00CB3320">
        <w:rPr>
          <w:rFonts w:hint="eastAsia"/>
        </w:rPr>
        <w:t>城市可能并非如此。</w:t>
      </w:r>
      <w:r w:rsidR="000B4CF9" w:rsidRPr="00CB3320">
        <w:rPr>
          <w:rFonts w:hint="eastAsia"/>
        </w:rPr>
        <w:t>根据最后一部分本文的讨论</w:t>
      </w:r>
      <w:r w:rsidR="00985119" w:rsidRPr="00CB3320">
        <w:rPr>
          <w:rFonts w:hint="eastAsia"/>
        </w:rPr>
        <w:t>，</w:t>
      </w:r>
      <w:bookmarkStart w:id="70" w:name="_Hlk121062465"/>
      <w:r w:rsidR="00985119" w:rsidRPr="00CB3320">
        <w:rPr>
          <w:rFonts w:hint="eastAsia"/>
        </w:rPr>
        <w:t>文章认为，</w:t>
      </w:r>
      <w:r w:rsidR="00297C9F" w:rsidRPr="00CB3320">
        <w:rPr>
          <w:rFonts w:hint="eastAsia"/>
        </w:rPr>
        <w:t>由于碳定价造成的</w:t>
      </w:r>
      <w:r w:rsidRPr="00CB3320">
        <w:rPr>
          <w:rFonts w:hint="eastAsia"/>
        </w:rPr>
        <w:t>全要素生产率的下降大部分</w:t>
      </w:r>
      <w:r w:rsidR="00297C9F" w:rsidRPr="00CB3320">
        <w:rPr>
          <w:rFonts w:hint="eastAsia"/>
        </w:rPr>
        <w:t>会</w:t>
      </w:r>
      <w:r w:rsidRPr="00CB3320">
        <w:rPr>
          <w:rFonts w:hint="eastAsia"/>
        </w:rPr>
        <w:t>被技术进步所抵消</w:t>
      </w:r>
      <w:bookmarkEnd w:id="70"/>
      <w:r w:rsidRPr="00CB3320">
        <w:rPr>
          <w:rFonts w:hint="eastAsia"/>
        </w:rPr>
        <w:t>。那么，如何</w:t>
      </w:r>
      <w:r w:rsidR="00297C9F" w:rsidRPr="00CB3320">
        <w:rPr>
          <w:rFonts w:hint="eastAsia"/>
        </w:rPr>
        <w:t>进一步</w:t>
      </w:r>
      <w:r w:rsidRPr="00CB3320">
        <w:rPr>
          <w:rFonts w:hint="eastAsia"/>
        </w:rPr>
        <w:t>刺激技术进步</w:t>
      </w:r>
      <w:r w:rsidR="00297C9F" w:rsidRPr="00CB3320">
        <w:rPr>
          <w:rFonts w:hint="eastAsia"/>
        </w:rPr>
        <w:t>或许是国家</w:t>
      </w:r>
      <w:r w:rsidRPr="00CB3320">
        <w:rPr>
          <w:rFonts w:hint="eastAsia"/>
        </w:rPr>
        <w:t>应对</w:t>
      </w:r>
      <w:proofErr w:type="gramStart"/>
      <w:r w:rsidR="00297C9F" w:rsidRPr="00CB3320">
        <w:rPr>
          <w:rFonts w:hint="eastAsia"/>
        </w:rPr>
        <w:t>碳交易</w:t>
      </w:r>
      <w:proofErr w:type="gramEnd"/>
      <w:r w:rsidR="00297C9F" w:rsidRPr="00CB3320">
        <w:rPr>
          <w:rFonts w:hint="eastAsia"/>
        </w:rPr>
        <w:t>市场</w:t>
      </w:r>
      <w:r w:rsidR="00F97E16" w:rsidRPr="00CB3320">
        <w:rPr>
          <w:rFonts w:hint="eastAsia"/>
        </w:rPr>
        <w:t>对经济</w:t>
      </w:r>
      <w:r w:rsidRPr="00CB3320">
        <w:rPr>
          <w:rFonts w:hint="eastAsia"/>
        </w:rPr>
        <w:t>负面影响的关键所在。</w:t>
      </w:r>
    </w:p>
    <w:p w14:paraId="6353060E" w14:textId="77777777" w:rsidR="009F7C2A" w:rsidRPr="00CB3320" w:rsidRDefault="009F7C2A" w:rsidP="00477D8D">
      <w:pPr>
        <w:ind w:firstLine="420"/>
      </w:pPr>
    </w:p>
    <w:p w14:paraId="09128C6E" w14:textId="57590AE4" w:rsidR="00271FEA" w:rsidRPr="00CB3320" w:rsidRDefault="00271FEA" w:rsidP="009F7C2A">
      <w:pPr>
        <w:pStyle w:val="1"/>
        <w:jc w:val="both"/>
        <w:rPr>
          <w:sz w:val="24"/>
          <w:szCs w:val="24"/>
        </w:rPr>
      </w:pPr>
      <w:bookmarkStart w:id="71" w:name="_Toc121778138"/>
      <w:bookmarkEnd w:id="69"/>
      <w:r w:rsidRPr="00CB3320">
        <w:rPr>
          <w:rFonts w:hint="eastAsia"/>
          <w:sz w:val="24"/>
          <w:szCs w:val="24"/>
        </w:rPr>
        <w:lastRenderedPageBreak/>
        <w:t>参考文献</w:t>
      </w:r>
      <w:bookmarkEnd w:id="71"/>
      <w:r w:rsidR="009F7C2A" w:rsidRPr="00CB3320">
        <w:rPr>
          <w:rFonts w:hint="eastAsia"/>
          <w:sz w:val="24"/>
          <w:szCs w:val="24"/>
        </w:rPr>
        <w:t>：</w:t>
      </w:r>
    </w:p>
    <w:p w14:paraId="71D47002" w14:textId="77777777" w:rsidR="00EF405D" w:rsidRDefault="00EF405D" w:rsidP="00EF405D">
      <w:pPr>
        <w:pStyle w:val="Ref"/>
        <w:ind w:left="420" w:hanging="420"/>
      </w:pPr>
      <w:r>
        <w:rPr>
          <w:rFonts w:hint="eastAsia"/>
        </w:rPr>
        <w:t>蔡宏波</w:t>
      </w:r>
      <w:r>
        <w:rPr>
          <w:rFonts w:hint="eastAsia"/>
        </w:rPr>
        <w:t xml:space="preserve"> </w:t>
      </w:r>
      <w:r>
        <w:rPr>
          <w:rFonts w:hint="eastAsia"/>
        </w:rPr>
        <w:t>韩金镕</w:t>
      </w:r>
      <w:r>
        <w:rPr>
          <w:rFonts w:hint="eastAsia"/>
        </w:rPr>
        <w:t xml:space="preserve"> </w:t>
      </w:r>
      <w:r>
        <w:rPr>
          <w:rFonts w:hint="eastAsia"/>
        </w:rPr>
        <w:t>钟腾龙，</w:t>
      </w:r>
      <w:r>
        <w:rPr>
          <w:rFonts w:hint="eastAsia"/>
        </w:rPr>
        <w:t>2022</w:t>
      </w:r>
      <w:r>
        <w:rPr>
          <w:rFonts w:hint="eastAsia"/>
        </w:rPr>
        <w:t>：《企业迁移的减排效应——兼论“污染天堂假说”与“波特假说”》，《经济学动态》第</w:t>
      </w:r>
      <w:r>
        <w:rPr>
          <w:rFonts w:hint="eastAsia"/>
        </w:rPr>
        <w:t>11</w:t>
      </w:r>
      <w:r>
        <w:rPr>
          <w:rFonts w:hint="eastAsia"/>
        </w:rPr>
        <w:t>期。</w:t>
      </w:r>
    </w:p>
    <w:p w14:paraId="7DD9DF54" w14:textId="77777777" w:rsidR="00EF405D" w:rsidRDefault="00EF405D" w:rsidP="00EF405D">
      <w:pPr>
        <w:pStyle w:val="Ref"/>
        <w:ind w:left="420" w:hanging="420"/>
      </w:pPr>
      <w:r>
        <w:rPr>
          <w:rFonts w:hint="eastAsia"/>
        </w:rPr>
        <w:t>陈诗一，</w:t>
      </w:r>
      <w:r>
        <w:rPr>
          <w:rFonts w:hint="eastAsia"/>
        </w:rPr>
        <w:t>2010</w:t>
      </w:r>
      <w:r>
        <w:rPr>
          <w:rFonts w:hint="eastAsia"/>
        </w:rPr>
        <w:t>：《节能减排与中国工业的双赢发展</w:t>
      </w:r>
      <w:r>
        <w:rPr>
          <w:rFonts w:hint="eastAsia"/>
        </w:rPr>
        <w:t>:2009</w:t>
      </w:r>
      <w:r>
        <w:rPr>
          <w:rFonts w:hint="eastAsia"/>
        </w:rPr>
        <w:t>—</w:t>
      </w:r>
      <w:r>
        <w:rPr>
          <w:rFonts w:hint="eastAsia"/>
        </w:rPr>
        <w:t>2049</w:t>
      </w:r>
      <w:r>
        <w:rPr>
          <w:rFonts w:hint="eastAsia"/>
        </w:rPr>
        <w:t>》，《经济研究》第</w:t>
      </w:r>
      <w:r>
        <w:rPr>
          <w:rFonts w:hint="eastAsia"/>
        </w:rPr>
        <w:t>03</w:t>
      </w:r>
      <w:r>
        <w:rPr>
          <w:rFonts w:hint="eastAsia"/>
        </w:rPr>
        <w:t>期。</w:t>
      </w:r>
    </w:p>
    <w:p w14:paraId="2A599B38" w14:textId="77777777" w:rsidR="00EF405D" w:rsidRDefault="00EF405D" w:rsidP="00EF405D">
      <w:pPr>
        <w:pStyle w:val="Ref"/>
        <w:ind w:left="420" w:hanging="420"/>
      </w:pPr>
      <w:r>
        <w:rPr>
          <w:rFonts w:hint="eastAsia"/>
        </w:rPr>
        <w:t>陈诗一，</w:t>
      </w:r>
      <w:r>
        <w:rPr>
          <w:rFonts w:hint="eastAsia"/>
        </w:rPr>
        <w:t>2012</w:t>
      </w:r>
      <w:r>
        <w:rPr>
          <w:rFonts w:hint="eastAsia"/>
        </w:rPr>
        <w:t>：《中国各地区低碳经济转型进程评估》，《经济研究》第</w:t>
      </w:r>
      <w:r>
        <w:rPr>
          <w:rFonts w:hint="eastAsia"/>
        </w:rPr>
        <w:t>8</w:t>
      </w:r>
      <w:r>
        <w:rPr>
          <w:rFonts w:hint="eastAsia"/>
        </w:rPr>
        <w:t>期。</w:t>
      </w:r>
    </w:p>
    <w:p w14:paraId="4AA47701" w14:textId="77777777" w:rsidR="00EF405D" w:rsidRDefault="00EF405D" w:rsidP="00EF405D">
      <w:pPr>
        <w:pStyle w:val="Ref"/>
        <w:ind w:left="420" w:hanging="420"/>
      </w:pPr>
      <w:r>
        <w:rPr>
          <w:rFonts w:hint="eastAsia"/>
        </w:rPr>
        <w:t>程惠芳</w:t>
      </w:r>
      <w:r>
        <w:rPr>
          <w:rFonts w:hint="eastAsia"/>
        </w:rPr>
        <w:t xml:space="preserve"> </w:t>
      </w:r>
      <w:r>
        <w:rPr>
          <w:rFonts w:hint="eastAsia"/>
        </w:rPr>
        <w:t>陈超，</w:t>
      </w:r>
      <w:r>
        <w:rPr>
          <w:rFonts w:hint="eastAsia"/>
        </w:rPr>
        <w:t>2017</w:t>
      </w:r>
      <w:r>
        <w:rPr>
          <w:rFonts w:hint="eastAsia"/>
        </w:rPr>
        <w:t>：《开放经济下知识资本与全要素生产率——国际经验与中国启示》，《经济研究》第</w:t>
      </w:r>
      <w:r>
        <w:rPr>
          <w:rFonts w:hint="eastAsia"/>
        </w:rPr>
        <w:t>10</w:t>
      </w:r>
      <w:r>
        <w:rPr>
          <w:rFonts w:hint="eastAsia"/>
        </w:rPr>
        <w:t>期。</w:t>
      </w:r>
    </w:p>
    <w:p w14:paraId="22763C07" w14:textId="77777777" w:rsidR="00EF405D" w:rsidRDefault="00EF405D" w:rsidP="00EF405D">
      <w:pPr>
        <w:pStyle w:val="Ref"/>
        <w:ind w:left="420" w:hanging="420"/>
      </w:pPr>
      <w:r>
        <w:rPr>
          <w:rFonts w:hint="eastAsia"/>
        </w:rPr>
        <w:t>程名望</w:t>
      </w:r>
      <w:r>
        <w:rPr>
          <w:rFonts w:hint="eastAsia"/>
        </w:rPr>
        <w:t xml:space="preserve"> </w:t>
      </w:r>
      <w:r>
        <w:rPr>
          <w:rFonts w:hint="eastAsia"/>
        </w:rPr>
        <w:t>贾晓佳</w:t>
      </w:r>
      <w:r>
        <w:rPr>
          <w:rFonts w:hint="eastAsia"/>
        </w:rPr>
        <w:t xml:space="preserve"> </w:t>
      </w:r>
      <w:r>
        <w:rPr>
          <w:rFonts w:hint="eastAsia"/>
        </w:rPr>
        <w:t>仇焕广，</w:t>
      </w:r>
      <w:r>
        <w:rPr>
          <w:rFonts w:hint="eastAsia"/>
        </w:rPr>
        <w:t>2019</w:t>
      </w:r>
      <w:r>
        <w:rPr>
          <w:rFonts w:hint="eastAsia"/>
        </w:rPr>
        <w:t>：《中国经济增长</w:t>
      </w:r>
      <w:r>
        <w:rPr>
          <w:rFonts w:hint="eastAsia"/>
        </w:rPr>
        <w:t>(1978</w:t>
      </w:r>
      <w:r>
        <w:rPr>
          <w:rFonts w:hint="eastAsia"/>
        </w:rPr>
        <w:t>—</w:t>
      </w:r>
      <w:r>
        <w:rPr>
          <w:rFonts w:hint="eastAsia"/>
        </w:rPr>
        <w:t>2015):</w:t>
      </w:r>
      <w:r>
        <w:rPr>
          <w:rFonts w:hint="eastAsia"/>
        </w:rPr>
        <w:t>灵感还是汗水</w:t>
      </w:r>
      <w:r>
        <w:rPr>
          <w:rFonts w:hint="eastAsia"/>
        </w:rPr>
        <w:t>?</w:t>
      </w:r>
      <w:r>
        <w:rPr>
          <w:rFonts w:hint="eastAsia"/>
        </w:rPr>
        <w:t>》，《经济研究》第</w:t>
      </w:r>
      <w:r>
        <w:rPr>
          <w:rFonts w:hint="eastAsia"/>
        </w:rPr>
        <w:t>7</w:t>
      </w:r>
      <w:r>
        <w:rPr>
          <w:rFonts w:hint="eastAsia"/>
        </w:rPr>
        <w:t>期。</w:t>
      </w:r>
    </w:p>
    <w:p w14:paraId="2CE9AA24" w14:textId="77777777" w:rsidR="00EF405D" w:rsidRDefault="00EF405D" w:rsidP="00EF405D">
      <w:pPr>
        <w:pStyle w:val="Ref"/>
        <w:ind w:left="420" w:hanging="420"/>
      </w:pPr>
      <w:r>
        <w:rPr>
          <w:rFonts w:hint="eastAsia"/>
        </w:rPr>
        <w:t>邓忠奇</w:t>
      </w:r>
      <w:r>
        <w:rPr>
          <w:rFonts w:hint="eastAsia"/>
        </w:rPr>
        <w:t xml:space="preserve"> </w:t>
      </w:r>
      <w:r>
        <w:rPr>
          <w:rFonts w:hint="eastAsia"/>
        </w:rPr>
        <w:t>高廷帆</w:t>
      </w:r>
      <w:r>
        <w:rPr>
          <w:rFonts w:hint="eastAsia"/>
        </w:rPr>
        <w:t xml:space="preserve"> </w:t>
      </w:r>
      <w:r>
        <w:rPr>
          <w:rFonts w:hint="eastAsia"/>
        </w:rPr>
        <w:t>朱峰，</w:t>
      </w:r>
      <w:r>
        <w:rPr>
          <w:rFonts w:hint="eastAsia"/>
        </w:rPr>
        <w:t>2020</w:t>
      </w:r>
      <w:r>
        <w:rPr>
          <w:rFonts w:hint="eastAsia"/>
        </w:rPr>
        <w:t>：《地区差距与供给侧结构性改革——“三期叠加”下的内生增长》，《经济研究》第</w:t>
      </w:r>
      <w:r>
        <w:rPr>
          <w:rFonts w:hint="eastAsia"/>
        </w:rPr>
        <w:t>10</w:t>
      </w:r>
      <w:r>
        <w:rPr>
          <w:rFonts w:hint="eastAsia"/>
        </w:rPr>
        <w:t>期。</w:t>
      </w:r>
    </w:p>
    <w:p w14:paraId="1B30F980" w14:textId="77777777" w:rsidR="00EF405D" w:rsidRDefault="00EF405D" w:rsidP="00EF405D">
      <w:pPr>
        <w:pStyle w:val="Ref"/>
        <w:ind w:left="420" w:hanging="420"/>
      </w:pPr>
      <w:r>
        <w:rPr>
          <w:rFonts w:hint="eastAsia"/>
        </w:rPr>
        <w:t>都阳</w:t>
      </w:r>
      <w:r>
        <w:rPr>
          <w:rFonts w:hint="eastAsia"/>
        </w:rPr>
        <w:t xml:space="preserve"> </w:t>
      </w:r>
      <w:r>
        <w:rPr>
          <w:rFonts w:hint="eastAsia"/>
        </w:rPr>
        <w:t>封永刚，</w:t>
      </w:r>
      <w:r>
        <w:rPr>
          <w:rFonts w:hint="eastAsia"/>
        </w:rPr>
        <w:t>2021</w:t>
      </w:r>
      <w:r>
        <w:rPr>
          <w:rFonts w:hint="eastAsia"/>
        </w:rPr>
        <w:t>：《人口快速老龄化对经济增长的冲击》，《经济研究》第</w:t>
      </w:r>
      <w:r>
        <w:rPr>
          <w:rFonts w:hint="eastAsia"/>
        </w:rPr>
        <w:t>2</w:t>
      </w:r>
      <w:r>
        <w:rPr>
          <w:rFonts w:hint="eastAsia"/>
        </w:rPr>
        <w:t>期。</w:t>
      </w:r>
    </w:p>
    <w:p w14:paraId="40E075D9" w14:textId="77777777" w:rsidR="00EF405D" w:rsidRDefault="00EF405D" w:rsidP="00EF405D">
      <w:pPr>
        <w:pStyle w:val="Ref"/>
        <w:ind w:left="420" w:hanging="420"/>
      </w:pPr>
      <w:r>
        <w:rPr>
          <w:rFonts w:hint="eastAsia"/>
        </w:rPr>
        <w:t>符淼，</w:t>
      </w:r>
      <w:r>
        <w:rPr>
          <w:rFonts w:hint="eastAsia"/>
        </w:rPr>
        <w:t>2009</w:t>
      </w:r>
      <w:r>
        <w:rPr>
          <w:rFonts w:hint="eastAsia"/>
        </w:rPr>
        <w:t>：《地理距离和技术外溢效应——对技术和经济集聚现象的空间计量学解释》，《经济学</w:t>
      </w:r>
      <w:r>
        <w:rPr>
          <w:rFonts w:hint="eastAsia"/>
        </w:rPr>
        <w:t>(</w:t>
      </w:r>
      <w:r>
        <w:rPr>
          <w:rFonts w:hint="eastAsia"/>
        </w:rPr>
        <w:t>季刊</w:t>
      </w:r>
      <w:r>
        <w:rPr>
          <w:rFonts w:hint="eastAsia"/>
        </w:rPr>
        <w:t xml:space="preserve">) </w:t>
      </w:r>
      <w:r>
        <w:rPr>
          <w:rFonts w:hint="eastAsia"/>
        </w:rPr>
        <w:t>》第</w:t>
      </w:r>
      <w:r>
        <w:rPr>
          <w:rFonts w:hint="eastAsia"/>
        </w:rPr>
        <w:t>8</w:t>
      </w:r>
      <w:r>
        <w:rPr>
          <w:rFonts w:hint="eastAsia"/>
        </w:rPr>
        <w:t>期。</w:t>
      </w:r>
    </w:p>
    <w:p w14:paraId="7E15D135" w14:textId="77777777" w:rsidR="00EF405D" w:rsidRDefault="00EF405D" w:rsidP="00EF405D">
      <w:pPr>
        <w:pStyle w:val="Ref"/>
        <w:ind w:left="420" w:hanging="420"/>
      </w:pPr>
      <w:r>
        <w:rPr>
          <w:rFonts w:hint="eastAsia"/>
        </w:rPr>
        <w:t>韩纪江</w:t>
      </w:r>
      <w:r>
        <w:rPr>
          <w:rFonts w:hint="eastAsia"/>
        </w:rPr>
        <w:t xml:space="preserve"> </w:t>
      </w:r>
      <w:r>
        <w:rPr>
          <w:rFonts w:hint="eastAsia"/>
        </w:rPr>
        <w:t>郭熙保，</w:t>
      </w:r>
      <w:r>
        <w:rPr>
          <w:rFonts w:hint="eastAsia"/>
        </w:rPr>
        <w:t>2014</w:t>
      </w:r>
      <w:r>
        <w:rPr>
          <w:rFonts w:hint="eastAsia"/>
        </w:rPr>
        <w:t>：《扩散—回波效应的研究脉络及其新进展》，《经济学动态》第</w:t>
      </w:r>
      <w:r>
        <w:rPr>
          <w:rFonts w:hint="eastAsia"/>
        </w:rPr>
        <w:t>2</w:t>
      </w:r>
      <w:r>
        <w:rPr>
          <w:rFonts w:hint="eastAsia"/>
        </w:rPr>
        <w:t>期。</w:t>
      </w:r>
    </w:p>
    <w:p w14:paraId="2607D41E" w14:textId="77777777" w:rsidR="00EF405D" w:rsidRDefault="00EF405D" w:rsidP="00EF405D">
      <w:pPr>
        <w:pStyle w:val="Ref"/>
        <w:ind w:left="420" w:hanging="420"/>
      </w:pPr>
      <w:r>
        <w:rPr>
          <w:rFonts w:hint="eastAsia"/>
        </w:rPr>
        <w:t>胡玉凤</w:t>
      </w:r>
      <w:r>
        <w:rPr>
          <w:rFonts w:hint="eastAsia"/>
        </w:rPr>
        <w:t xml:space="preserve"> </w:t>
      </w:r>
      <w:r>
        <w:rPr>
          <w:rFonts w:hint="eastAsia"/>
        </w:rPr>
        <w:t>丁友强，</w:t>
      </w:r>
      <w:r>
        <w:rPr>
          <w:rFonts w:hint="eastAsia"/>
        </w:rPr>
        <w:t>2020</w:t>
      </w:r>
      <w:r>
        <w:rPr>
          <w:rFonts w:hint="eastAsia"/>
        </w:rPr>
        <w:t>：《碳排放权交易机制能否兼顾企业效益与绿色效率</w:t>
      </w:r>
      <w:r>
        <w:rPr>
          <w:rFonts w:hint="eastAsia"/>
        </w:rPr>
        <w:t>?</w:t>
      </w:r>
      <w:r>
        <w:rPr>
          <w:rFonts w:hint="eastAsia"/>
        </w:rPr>
        <w:t>》，《中国人口·资源与环境》第</w:t>
      </w:r>
      <w:r>
        <w:rPr>
          <w:rFonts w:hint="eastAsia"/>
        </w:rPr>
        <w:t>3</w:t>
      </w:r>
      <w:r>
        <w:rPr>
          <w:rFonts w:hint="eastAsia"/>
        </w:rPr>
        <w:t>期。</w:t>
      </w:r>
    </w:p>
    <w:p w14:paraId="1561521A" w14:textId="77777777" w:rsidR="00EF405D" w:rsidRDefault="00EF405D" w:rsidP="00EF405D">
      <w:pPr>
        <w:pStyle w:val="Ref"/>
        <w:ind w:left="420" w:hanging="420"/>
      </w:pPr>
      <w:r>
        <w:rPr>
          <w:rFonts w:hint="eastAsia"/>
        </w:rPr>
        <w:t>华萍，</w:t>
      </w:r>
      <w:r>
        <w:rPr>
          <w:rFonts w:hint="eastAsia"/>
        </w:rPr>
        <w:t>2005</w:t>
      </w:r>
      <w:r>
        <w:rPr>
          <w:rFonts w:hint="eastAsia"/>
        </w:rPr>
        <w:t>：《不同教育水平对全要素生产率增长的影响——来自中国省份的实证研究》，《经济学</w:t>
      </w:r>
      <w:r>
        <w:rPr>
          <w:rFonts w:hint="eastAsia"/>
        </w:rPr>
        <w:t>(</w:t>
      </w:r>
      <w:r>
        <w:rPr>
          <w:rFonts w:hint="eastAsia"/>
        </w:rPr>
        <w:t>季刊</w:t>
      </w:r>
      <w:r>
        <w:rPr>
          <w:rFonts w:hint="eastAsia"/>
        </w:rPr>
        <w:t>)</w:t>
      </w:r>
      <w:r>
        <w:rPr>
          <w:rFonts w:hint="eastAsia"/>
        </w:rPr>
        <w:t>》第</w:t>
      </w:r>
      <w:r>
        <w:rPr>
          <w:rFonts w:hint="eastAsia"/>
        </w:rPr>
        <w:t>4</w:t>
      </w:r>
      <w:r>
        <w:rPr>
          <w:rFonts w:hint="eastAsia"/>
        </w:rPr>
        <w:t>期。</w:t>
      </w:r>
    </w:p>
    <w:p w14:paraId="519762B2" w14:textId="77777777" w:rsidR="00EF405D" w:rsidRDefault="00EF405D" w:rsidP="00EF405D">
      <w:pPr>
        <w:pStyle w:val="Ref"/>
        <w:ind w:left="420" w:hanging="420"/>
      </w:pPr>
      <w:r>
        <w:rPr>
          <w:rFonts w:hint="eastAsia"/>
        </w:rPr>
        <w:t>李虹</w:t>
      </w:r>
      <w:r>
        <w:rPr>
          <w:rFonts w:hint="eastAsia"/>
        </w:rPr>
        <w:t xml:space="preserve"> </w:t>
      </w:r>
      <w:r>
        <w:rPr>
          <w:rFonts w:hint="eastAsia"/>
        </w:rPr>
        <w:t>邹庆，</w:t>
      </w:r>
      <w:r>
        <w:rPr>
          <w:rFonts w:hint="eastAsia"/>
        </w:rPr>
        <w:t>2018</w:t>
      </w:r>
      <w:r>
        <w:rPr>
          <w:rFonts w:hint="eastAsia"/>
        </w:rPr>
        <w:t>：《环境规制、资源禀赋与城市产业转型研究——基于资源型城市与非资源型城市的对比分析》，《经济研究》第</w:t>
      </w:r>
      <w:r>
        <w:rPr>
          <w:rFonts w:hint="eastAsia"/>
        </w:rPr>
        <w:t>11</w:t>
      </w:r>
      <w:r>
        <w:rPr>
          <w:rFonts w:hint="eastAsia"/>
        </w:rPr>
        <w:t>期。</w:t>
      </w:r>
    </w:p>
    <w:p w14:paraId="37B229CC" w14:textId="77777777" w:rsidR="00EF405D" w:rsidRDefault="00EF405D" w:rsidP="00EF405D">
      <w:pPr>
        <w:pStyle w:val="Ref"/>
        <w:ind w:left="420" w:hanging="420"/>
      </w:pPr>
      <w:r>
        <w:rPr>
          <w:rFonts w:hint="eastAsia"/>
        </w:rPr>
        <w:t>李小平</w:t>
      </w:r>
      <w:r>
        <w:rPr>
          <w:rFonts w:hint="eastAsia"/>
        </w:rPr>
        <w:t xml:space="preserve"> </w:t>
      </w:r>
      <w:r>
        <w:rPr>
          <w:rFonts w:hint="eastAsia"/>
        </w:rPr>
        <w:t>陈勇，</w:t>
      </w:r>
      <w:r>
        <w:rPr>
          <w:rFonts w:hint="eastAsia"/>
        </w:rPr>
        <w:t>2007</w:t>
      </w:r>
      <w:r>
        <w:rPr>
          <w:rFonts w:hint="eastAsia"/>
        </w:rPr>
        <w:t>：《劳动力流动、资本转移和生产率增长——对中国工业“结构红利假说”的实证检验》，《统计研究》第</w:t>
      </w:r>
      <w:r>
        <w:rPr>
          <w:rFonts w:hint="eastAsia"/>
        </w:rPr>
        <w:t>7</w:t>
      </w:r>
      <w:r>
        <w:rPr>
          <w:rFonts w:hint="eastAsia"/>
        </w:rPr>
        <w:t>期。</w:t>
      </w:r>
    </w:p>
    <w:p w14:paraId="48FA3680" w14:textId="77777777" w:rsidR="00EF405D" w:rsidRDefault="00EF405D" w:rsidP="00EF405D">
      <w:pPr>
        <w:pStyle w:val="Ref"/>
        <w:ind w:left="420" w:hanging="420"/>
      </w:pPr>
      <w:r>
        <w:rPr>
          <w:rFonts w:hint="eastAsia"/>
        </w:rPr>
        <w:t>李小平</w:t>
      </w:r>
      <w:r>
        <w:rPr>
          <w:rFonts w:hint="eastAsia"/>
        </w:rPr>
        <w:t xml:space="preserve"> </w:t>
      </w:r>
      <w:r>
        <w:rPr>
          <w:rFonts w:hint="eastAsia"/>
        </w:rPr>
        <w:t>李小克，</w:t>
      </w:r>
      <w:r>
        <w:rPr>
          <w:rFonts w:hint="eastAsia"/>
        </w:rPr>
        <w:t>2018</w:t>
      </w:r>
      <w:r>
        <w:rPr>
          <w:rFonts w:hint="eastAsia"/>
        </w:rPr>
        <w:t>：《偏向性技术进步与中国工业全要素生产率增长》，《经济研究》第</w:t>
      </w:r>
      <w:r>
        <w:rPr>
          <w:rFonts w:hint="eastAsia"/>
        </w:rPr>
        <w:t>10</w:t>
      </w:r>
      <w:r>
        <w:rPr>
          <w:rFonts w:hint="eastAsia"/>
        </w:rPr>
        <w:t>期。</w:t>
      </w:r>
    </w:p>
    <w:p w14:paraId="4209999A" w14:textId="77777777" w:rsidR="00EF405D" w:rsidRDefault="00EF405D" w:rsidP="00EF405D">
      <w:pPr>
        <w:pStyle w:val="Ref"/>
        <w:ind w:left="420" w:hanging="420"/>
      </w:pPr>
      <w:r>
        <w:rPr>
          <w:rFonts w:hint="eastAsia"/>
        </w:rPr>
        <w:t>梁超</w:t>
      </w:r>
      <w:r>
        <w:rPr>
          <w:rFonts w:hint="eastAsia"/>
        </w:rPr>
        <w:t xml:space="preserve"> </w:t>
      </w:r>
      <w:r>
        <w:rPr>
          <w:rFonts w:hint="eastAsia"/>
        </w:rPr>
        <w:t>王素素，</w:t>
      </w:r>
      <w:r>
        <w:rPr>
          <w:rFonts w:hint="eastAsia"/>
        </w:rPr>
        <w:t>2020</w:t>
      </w:r>
      <w:r>
        <w:rPr>
          <w:rFonts w:hint="eastAsia"/>
        </w:rPr>
        <w:t>：《教育公共品配置调整对人力资本的影响——基于撤点并校的研究》，《经济研究》第</w:t>
      </w:r>
      <w:r>
        <w:rPr>
          <w:rFonts w:hint="eastAsia"/>
        </w:rPr>
        <w:t>9</w:t>
      </w:r>
      <w:r>
        <w:rPr>
          <w:rFonts w:hint="eastAsia"/>
        </w:rPr>
        <w:t>期。</w:t>
      </w:r>
    </w:p>
    <w:p w14:paraId="05567F44" w14:textId="77777777" w:rsidR="00EF405D" w:rsidRDefault="00EF405D" w:rsidP="00EF405D">
      <w:pPr>
        <w:pStyle w:val="Ref"/>
        <w:ind w:left="420" w:hanging="420"/>
      </w:pPr>
      <w:r>
        <w:rPr>
          <w:rFonts w:hint="eastAsia"/>
        </w:rPr>
        <w:t>林伯强</w:t>
      </w:r>
      <w:r>
        <w:rPr>
          <w:rFonts w:hint="eastAsia"/>
        </w:rPr>
        <w:t xml:space="preserve"> </w:t>
      </w:r>
      <w:r>
        <w:rPr>
          <w:rFonts w:hint="eastAsia"/>
        </w:rPr>
        <w:t>杜克锐，</w:t>
      </w:r>
      <w:r>
        <w:rPr>
          <w:rFonts w:hint="eastAsia"/>
        </w:rPr>
        <w:t>2013</w:t>
      </w:r>
      <w:r>
        <w:rPr>
          <w:rFonts w:hint="eastAsia"/>
        </w:rPr>
        <w:t>：《要素市场扭曲对能源效率的影响》，《经济研究》第</w:t>
      </w:r>
      <w:r>
        <w:rPr>
          <w:rFonts w:hint="eastAsia"/>
        </w:rPr>
        <w:t>9</w:t>
      </w:r>
      <w:r>
        <w:rPr>
          <w:rFonts w:hint="eastAsia"/>
        </w:rPr>
        <w:t>期。</w:t>
      </w:r>
    </w:p>
    <w:p w14:paraId="625D10C5" w14:textId="77777777" w:rsidR="00EF405D" w:rsidRDefault="00EF405D" w:rsidP="00EF405D">
      <w:pPr>
        <w:pStyle w:val="Ref"/>
        <w:ind w:left="420" w:hanging="420"/>
      </w:pPr>
      <w:r>
        <w:rPr>
          <w:rFonts w:hint="eastAsia"/>
        </w:rPr>
        <w:t>刘传明</w:t>
      </w:r>
      <w:r>
        <w:rPr>
          <w:rFonts w:hint="eastAsia"/>
        </w:rPr>
        <w:t xml:space="preserve"> </w:t>
      </w:r>
      <w:r>
        <w:rPr>
          <w:rFonts w:hint="eastAsia"/>
        </w:rPr>
        <w:t>孙喆</w:t>
      </w:r>
      <w:r>
        <w:rPr>
          <w:rFonts w:hint="eastAsia"/>
        </w:rPr>
        <w:t xml:space="preserve"> </w:t>
      </w:r>
      <w:r>
        <w:rPr>
          <w:rFonts w:hint="eastAsia"/>
        </w:rPr>
        <w:t>张瑾，</w:t>
      </w:r>
      <w:r>
        <w:rPr>
          <w:rFonts w:hint="eastAsia"/>
        </w:rPr>
        <w:t>2019</w:t>
      </w:r>
      <w:r>
        <w:rPr>
          <w:rFonts w:hint="eastAsia"/>
        </w:rPr>
        <w:t>：《中国碳排放权交易试点的碳减排政策效应研究》，《中国人口·资源与环境》第</w:t>
      </w:r>
      <w:r>
        <w:rPr>
          <w:rFonts w:hint="eastAsia"/>
        </w:rPr>
        <w:t>11</w:t>
      </w:r>
      <w:r>
        <w:rPr>
          <w:rFonts w:hint="eastAsia"/>
        </w:rPr>
        <w:t>期。</w:t>
      </w:r>
    </w:p>
    <w:p w14:paraId="275930D5" w14:textId="77777777" w:rsidR="00EF405D" w:rsidRDefault="00EF405D" w:rsidP="00EF405D">
      <w:pPr>
        <w:pStyle w:val="Ref"/>
        <w:ind w:left="420" w:hanging="420"/>
      </w:pPr>
      <w:r>
        <w:rPr>
          <w:rFonts w:hint="eastAsia"/>
        </w:rPr>
        <w:t>刘亦文</w:t>
      </w:r>
      <w:r>
        <w:rPr>
          <w:rFonts w:hint="eastAsia"/>
        </w:rPr>
        <w:t xml:space="preserve"> </w:t>
      </w:r>
      <w:r>
        <w:rPr>
          <w:rFonts w:hint="eastAsia"/>
        </w:rPr>
        <w:t>欧阳莹</w:t>
      </w:r>
      <w:r>
        <w:rPr>
          <w:rFonts w:hint="eastAsia"/>
        </w:rPr>
        <w:t xml:space="preserve"> </w:t>
      </w:r>
      <w:r>
        <w:rPr>
          <w:rFonts w:hint="eastAsia"/>
        </w:rPr>
        <w:t>蔡宏宇，</w:t>
      </w:r>
      <w:r>
        <w:rPr>
          <w:rFonts w:hint="eastAsia"/>
        </w:rPr>
        <w:t>2021</w:t>
      </w:r>
      <w:r>
        <w:rPr>
          <w:rFonts w:hint="eastAsia"/>
        </w:rPr>
        <w:t>：《中国农业绿色全要素生产率测度及时空演化特征研究》，《数量经济技术经济研究》第</w:t>
      </w:r>
      <w:r>
        <w:rPr>
          <w:rFonts w:hint="eastAsia"/>
        </w:rPr>
        <w:t>5</w:t>
      </w:r>
      <w:r>
        <w:rPr>
          <w:rFonts w:hint="eastAsia"/>
        </w:rPr>
        <w:t>期。</w:t>
      </w:r>
    </w:p>
    <w:p w14:paraId="23B317FF" w14:textId="77777777" w:rsidR="00EF405D" w:rsidRDefault="00EF405D" w:rsidP="00EF405D">
      <w:pPr>
        <w:pStyle w:val="Ref"/>
        <w:ind w:left="420" w:hanging="420"/>
      </w:pPr>
      <w:r>
        <w:rPr>
          <w:rFonts w:hint="eastAsia"/>
        </w:rPr>
        <w:t>毛其淋</w:t>
      </w:r>
      <w:r>
        <w:rPr>
          <w:rFonts w:hint="eastAsia"/>
        </w:rPr>
        <w:t xml:space="preserve"> </w:t>
      </w:r>
      <w:r>
        <w:rPr>
          <w:rFonts w:hint="eastAsia"/>
        </w:rPr>
        <w:t>盛斌，</w:t>
      </w:r>
      <w:r>
        <w:rPr>
          <w:rFonts w:hint="eastAsia"/>
        </w:rPr>
        <w:t>2012</w:t>
      </w:r>
      <w:r>
        <w:rPr>
          <w:rFonts w:hint="eastAsia"/>
        </w:rPr>
        <w:t>：《对外经济开放、区域市场整合与全要素生产率》，《经济学</w:t>
      </w:r>
      <w:r>
        <w:rPr>
          <w:rFonts w:hint="eastAsia"/>
        </w:rPr>
        <w:t>(</w:t>
      </w:r>
      <w:r>
        <w:rPr>
          <w:rFonts w:hint="eastAsia"/>
        </w:rPr>
        <w:t>季刊</w:t>
      </w:r>
      <w:r>
        <w:rPr>
          <w:rFonts w:hint="eastAsia"/>
        </w:rPr>
        <w:t>)</w:t>
      </w:r>
      <w:r>
        <w:rPr>
          <w:rFonts w:hint="eastAsia"/>
        </w:rPr>
        <w:t>》第</w:t>
      </w:r>
      <w:r>
        <w:rPr>
          <w:rFonts w:hint="eastAsia"/>
        </w:rPr>
        <w:t>1</w:t>
      </w:r>
      <w:r>
        <w:rPr>
          <w:rFonts w:hint="eastAsia"/>
        </w:rPr>
        <w:t>期。</w:t>
      </w:r>
    </w:p>
    <w:p w14:paraId="28AC6974" w14:textId="77777777" w:rsidR="00EF405D" w:rsidRDefault="00EF405D" w:rsidP="00EF405D">
      <w:pPr>
        <w:pStyle w:val="Ref"/>
        <w:ind w:left="420" w:hanging="420"/>
      </w:pPr>
      <w:r>
        <w:rPr>
          <w:rFonts w:hint="eastAsia"/>
        </w:rPr>
        <w:t>邵帅</w:t>
      </w:r>
      <w:r>
        <w:rPr>
          <w:rFonts w:hint="eastAsia"/>
        </w:rPr>
        <w:t xml:space="preserve"> </w:t>
      </w:r>
      <w:r>
        <w:rPr>
          <w:rFonts w:hint="eastAsia"/>
        </w:rPr>
        <w:t>李欣</w:t>
      </w:r>
      <w:r>
        <w:rPr>
          <w:rFonts w:hint="eastAsia"/>
        </w:rPr>
        <w:t xml:space="preserve"> </w:t>
      </w:r>
      <w:r>
        <w:rPr>
          <w:rFonts w:hint="eastAsia"/>
        </w:rPr>
        <w:t>曹建华等，</w:t>
      </w:r>
      <w:r>
        <w:rPr>
          <w:rFonts w:hint="eastAsia"/>
        </w:rPr>
        <w:t>2016</w:t>
      </w:r>
      <w:r>
        <w:rPr>
          <w:rFonts w:hint="eastAsia"/>
        </w:rPr>
        <w:t>：《中国雾霾污染治理的经济政策选择——基于空间溢出效应的视角》，《经济研究》第</w:t>
      </w:r>
      <w:r>
        <w:rPr>
          <w:rFonts w:hint="eastAsia"/>
        </w:rPr>
        <w:t>9</w:t>
      </w:r>
      <w:r>
        <w:rPr>
          <w:rFonts w:hint="eastAsia"/>
        </w:rPr>
        <w:t>期。</w:t>
      </w:r>
    </w:p>
    <w:p w14:paraId="79565C7B" w14:textId="77777777" w:rsidR="00EF405D" w:rsidRDefault="00EF405D" w:rsidP="00EF405D">
      <w:pPr>
        <w:pStyle w:val="Ref"/>
        <w:ind w:left="420" w:hanging="420"/>
      </w:pPr>
      <w:r>
        <w:rPr>
          <w:rFonts w:hint="eastAsia"/>
        </w:rPr>
        <w:t>沈坤荣</w:t>
      </w:r>
      <w:r>
        <w:rPr>
          <w:rFonts w:hint="eastAsia"/>
        </w:rPr>
        <w:t xml:space="preserve"> </w:t>
      </w:r>
      <w:r>
        <w:rPr>
          <w:rFonts w:hint="eastAsia"/>
        </w:rPr>
        <w:t>金刚</w:t>
      </w:r>
      <w:r>
        <w:rPr>
          <w:rFonts w:hint="eastAsia"/>
        </w:rPr>
        <w:t xml:space="preserve"> </w:t>
      </w:r>
      <w:r>
        <w:rPr>
          <w:rFonts w:hint="eastAsia"/>
        </w:rPr>
        <w:t>方娴，</w:t>
      </w:r>
      <w:r>
        <w:rPr>
          <w:rFonts w:hint="eastAsia"/>
        </w:rPr>
        <w:t>2017</w:t>
      </w:r>
      <w:r>
        <w:rPr>
          <w:rFonts w:hint="eastAsia"/>
        </w:rPr>
        <w:t>：《环境规制引起了污染就近转移吗</w:t>
      </w:r>
      <w:r>
        <w:rPr>
          <w:rFonts w:hint="eastAsia"/>
        </w:rPr>
        <w:t>?</w:t>
      </w:r>
      <w:r>
        <w:rPr>
          <w:rFonts w:hint="eastAsia"/>
        </w:rPr>
        <w:t>》，《经济研究》第</w:t>
      </w:r>
      <w:r>
        <w:rPr>
          <w:rFonts w:hint="eastAsia"/>
        </w:rPr>
        <w:t>5</w:t>
      </w:r>
      <w:r>
        <w:rPr>
          <w:rFonts w:hint="eastAsia"/>
        </w:rPr>
        <w:t>期。</w:t>
      </w:r>
    </w:p>
    <w:p w14:paraId="0126D69F" w14:textId="77777777" w:rsidR="00EF405D" w:rsidRDefault="00EF405D" w:rsidP="00EF405D">
      <w:pPr>
        <w:pStyle w:val="Ref"/>
        <w:ind w:left="420" w:hanging="420"/>
      </w:pPr>
      <w:r>
        <w:rPr>
          <w:rFonts w:hint="eastAsia"/>
        </w:rPr>
        <w:t>汤铎铎</w:t>
      </w:r>
      <w:r>
        <w:rPr>
          <w:rFonts w:hint="eastAsia"/>
        </w:rPr>
        <w:t xml:space="preserve"> </w:t>
      </w:r>
      <w:r>
        <w:rPr>
          <w:rFonts w:hint="eastAsia"/>
        </w:rPr>
        <w:t>刘学良</w:t>
      </w:r>
      <w:r>
        <w:rPr>
          <w:rFonts w:hint="eastAsia"/>
        </w:rPr>
        <w:t xml:space="preserve"> </w:t>
      </w:r>
      <w:r>
        <w:rPr>
          <w:rFonts w:hint="eastAsia"/>
        </w:rPr>
        <w:t>倪红福等，</w:t>
      </w:r>
      <w:r>
        <w:rPr>
          <w:rFonts w:hint="eastAsia"/>
        </w:rPr>
        <w:t>2020</w:t>
      </w:r>
      <w:r>
        <w:rPr>
          <w:rFonts w:hint="eastAsia"/>
        </w:rPr>
        <w:t>：《全球经济大变局、中国潜在增长率与后疫情时期高质量发展》，《经济研究》第</w:t>
      </w:r>
      <w:r>
        <w:rPr>
          <w:rFonts w:hint="eastAsia"/>
        </w:rPr>
        <w:t>8</w:t>
      </w:r>
      <w:r>
        <w:rPr>
          <w:rFonts w:hint="eastAsia"/>
        </w:rPr>
        <w:t>期。</w:t>
      </w:r>
    </w:p>
    <w:p w14:paraId="4A042FA8" w14:textId="77777777" w:rsidR="00EF405D" w:rsidRDefault="00EF405D" w:rsidP="00EF405D">
      <w:pPr>
        <w:pStyle w:val="Ref"/>
        <w:ind w:left="420" w:hanging="420"/>
      </w:pPr>
      <w:r>
        <w:rPr>
          <w:rFonts w:hint="eastAsia"/>
        </w:rPr>
        <w:t>田友春</w:t>
      </w:r>
      <w:r>
        <w:rPr>
          <w:rFonts w:hint="eastAsia"/>
        </w:rPr>
        <w:t xml:space="preserve"> </w:t>
      </w:r>
      <w:r>
        <w:rPr>
          <w:rFonts w:hint="eastAsia"/>
        </w:rPr>
        <w:t>卢盛荣</w:t>
      </w:r>
      <w:r>
        <w:rPr>
          <w:rFonts w:hint="eastAsia"/>
        </w:rPr>
        <w:t xml:space="preserve"> </w:t>
      </w:r>
      <w:r>
        <w:rPr>
          <w:rFonts w:hint="eastAsia"/>
        </w:rPr>
        <w:t>李文溥，</w:t>
      </w:r>
      <w:r>
        <w:rPr>
          <w:rFonts w:hint="eastAsia"/>
        </w:rPr>
        <w:t>2021</w:t>
      </w:r>
      <w:r>
        <w:rPr>
          <w:rFonts w:hint="eastAsia"/>
        </w:rPr>
        <w:t>：《中国全要素生产率增长率的变化及提升途径——基于产业视角》，《经济学</w:t>
      </w:r>
      <w:r>
        <w:rPr>
          <w:rFonts w:hint="eastAsia"/>
        </w:rPr>
        <w:t>(</w:t>
      </w:r>
      <w:r>
        <w:rPr>
          <w:rFonts w:hint="eastAsia"/>
        </w:rPr>
        <w:t>季刊</w:t>
      </w:r>
      <w:r>
        <w:rPr>
          <w:rFonts w:hint="eastAsia"/>
        </w:rPr>
        <w:t>)</w:t>
      </w:r>
      <w:r>
        <w:rPr>
          <w:rFonts w:hint="eastAsia"/>
        </w:rPr>
        <w:t>》第</w:t>
      </w:r>
      <w:r>
        <w:rPr>
          <w:rFonts w:hint="eastAsia"/>
        </w:rPr>
        <w:t>2</w:t>
      </w:r>
      <w:r>
        <w:rPr>
          <w:rFonts w:hint="eastAsia"/>
        </w:rPr>
        <w:t>期。</w:t>
      </w:r>
    </w:p>
    <w:p w14:paraId="1DA52C15" w14:textId="77777777" w:rsidR="00EF405D" w:rsidRDefault="00EF405D" w:rsidP="00EF405D">
      <w:pPr>
        <w:pStyle w:val="Ref"/>
        <w:ind w:left="420" w:hanging="420"/>
      </w:pPr>
      <w:r>
        <w:rPr>
          <w:rFonts w:hint="eastAsia"/>
        </w:rPr>
        <w:t>王杰</w:t>
      </w:r>
      <w:r>
        <w:rPr>
          <w:rFonts w:hint="eastAsia"/>
        </w:rPr>
        <w:t xml:space="preserve"> </w:t>
      </w:r>
      <w:r>
        <w:rPr>
          <w:rFonts w:hint="eastAsia"/>
        </w:rPr>
        <w:t>刘斌，</w:t>
      </w:r>
      <w:r>
        <w:rPr>
          <w:rFonts w:hint="eastAsia"/>
        </w:rPr>
        <w:t>2014</w:t>
      </w:r>
      <w:r>
        <w:rPr>
          <w:rFonts w:hint="eastAsia"/>
        </w:rPr>
        <w:t>：《环境规制与企业全要素生产率——基于中国工业企业数据的经验分析》，《中国工业经济》第</w:t>
      </w:r>
      <w:r>
        <w:rPr>
          <w:rFonts w:hint="eastAsia"/>
        </w:rPr>
        <w:t>3</w:t>
      </w:r>
      <w:r>
        <w:rPr>
          <w:rFonts w:hint="eastAsia"/>
        </w:rPr>
        <w:t>期。</w:t>
      </w:r>
    </w:p>
    <w:p w14:paraId="6498DDB8" w14:textId="77777777" w:rsidR="00EF405D" w:rsidRDefault="00EF405D" w:rsidP="00EF405D">
      <w:pPr>
        <w:pStyle w:val="Ref"/>
        <w:ind w:left="420" w:hanging="420"/>
      </w:pPr>
      <w:r>
        <w:rPr>
          <w:rFonts w:hint="eastAsia"/>
        </w:rPr>
        <w:t>王鹏</w:t>
      </w:r>
      <w:r>
        <w:rPr>
          <w:rFonts w:hint="eastAsia"/>
        </w:rPr>
        <w:t xml:space="preserve"> </w:t>
      </w:r>
      <w:r>
        <w:rPr>
          <w:rFonts w:hint="eastAsia"/>
        </w:rPr>
        <w:t>尤济红，</w:t>
      </w:r>
      <w:r>
        <w:rPr>
          <w:rFonts w:hint="eastAsia"/>
        </w:rPr>
        <w:t>2015</w:t>
      </w:r>
      <w:r>
        <w:rPr>
          <w:rFonts w:hint="eastAsia"/>
        </w:rPr>
        <w:t>：《产业结构调整中的要素配置效率——兼对“结构红利假说”的再检验》，《经济学动态》第</w:t>
      </w:r>
      <w:r>
        <w:rPr>
          <w:rFonts w:hint="eastAsia"/>
        </w:rPr>
        <w:t>10</w:t>
      </w:r>
      <w:r>
        <w:rPr>
          <w:rFonts w:hint="eastAsia"/>
        </w:rPr>
        <w:t>期。</w:t>
      </w:r>
    </w:p>
    <w:p w14:paraId="577ECF9B" w14:textId="77777777" w:rsidR="00EF405D" w:rsidRDefault="00EF405D" w:rsidP="00EF405D">
      <w:pPr>
        <w:pStyle w:val="Ref"/>
        <w:ind w:left="420" w:hanging="420"/>
      </w:pPr>
      <w:r>
        <w:rPr>
          <w:rFonts w:hint="eastAsia"/>
        </w:rPr>
        <w:t>文东伟，</w:t>
      </w:r>
      <w:r>
        <w:rPr>
          <w:rFonts w:hint="eastAsia"/>
        </w:rPr>
        <w:t>2019</w:t>
      </w:r>
      <w:r>
        <w:rPr>
          <w:rFonts w:hint="eastAsia"/>
        </w:rPr>
        <w:t>：《资源错配、全要素生产率与中国制造业的增长潜力》，《经济学</w:t>
      </w:r>
      <w:r>
        <w:rPr>
          <w:rFonts w:hint="eastAsia"/>
        </w:rPr>
        <w:t>(</w:t>
      </w:r>
      <w:r>
        <w:rPr>
          <w:rFonts w:hint="eastAsia"/>
        </w:rPr>
        <w:t>季刊</w:t>
      </w:r>
      <w:r>
        <w:rPr>
          <w:rFonts w:hint="eastAsia"/>
        </w:rPr>
        <w:t>)</w:t>
      </w:r>
      <w:r>
        <w:rPr>
          <w:rFonts w:hint="eastAsia"/>
        </w:rPr>
        <w:t>》第</w:t>
      </w:r>
      <w:r>
        <w:rPr>
          <w:rFonts w:hint="eastAsia"/>
        </w:rPr>
        <w:t>2</w:t>
      </w:r>
      <w:r>
        <w:rPr>
          <w:rFonts w:hint="eastAsia"/>
        </w:rPr>
        <w:t>期。</w:t>
      </w:r>
    </w:p>
    <w:p w14:paraId="36EF5F80" w14:textId="77777777" w:rsidR="00EF405D" w:rsidRDefault="00EF405D" w:rsidP="00EF405D">
      <w:pPr>
        <w:pStyle w:val="Ref"/>
        <w:ind w:left="420" w:hanging="420"/>
      </w:pPr>
      <w:r>
        <w:rPr>
          <w:rFonts w:hint="eastAsia"/>
        </w:rPr>
        <w:lastRenderedPageBreak/>
        <w:t>吴磊</w:t>
      </w:r>
      <w:r>
        <w:rPr>
          <w:rFonts w:hint="eastAsia"/>
        </w:rPr>
        <w:t xml:space="preserve"> </w:t>
      </w:r>
      <w:r>
        <w:rPr>
          <w:rFonts w:hint="eastAsia"/>
        </w:rPr>
        <w:t>贾晓燕</w:t>
      </w:r>
      <w:r>
        <w:rPr>
          <w:rFonts w:hint="eastAsia"/>
        </w:rPr>
        <w:t xml:space="preserve"> </w:t>
      </w:r>
      <w:r>
        <w:rPr>
          <w:rFonts w:hint="eastAsia"/>
        </w:rPr>
        <w:t>吴超等，</w:t>
      </w:r>
      <w:r>
        <w:rPr>
          <w:rFonts w:hint="eastAsia"/>
        </w:rPr>
        <w:t>2020</w:t>
      </w:r>
      <w:r>
        <w:rPr>
          <w:rFonts w:hint="eastAsia"/>
        </w:rPr>
        <w:t>：《异质型环境规制对中国绿色全要素生产率的影响》，《中国人口·资源与环境》第</w:t>
      </w:r>
      <w:r>
        <w:rPr>
          <w:rFonts w:hint="eastAsia"/>
        </w:rPr>
        <w:t>10</w:t>
      </w:r>
      <w:r>
        <w:rPr>
          <w:rFonts w:hint="eastAsia"/>
        </w:rPr>
        <w:t>期。</w:t>
      </w:r>
    </w:p>
    <w:p w14:paraId="632FF926" w14:textId="182F8473" w:rsidR="00EF405D" w:rsidRDefault="00EF405D" w:rsidP="00EF405D">
      <w:pPr>
        <w:pStyle w:val="Ref"/>
        <w:ind w:left="420" w:hanging="420"/>
      </w:pPr>
      <w:r>
        <w:rPr>
          <w:rFonts w:hint="eastAsia"/>
        </w:rPr>
        <w:t>张学良，</w:t>
      </w:r>
      <w:r>
        <w:rPr>
          <w:rFonts w:hint="eastAsia"/>
        </w:rPr>
        <w:t>2012</w:t>
      </w:r>
      <w:r>
        <w:rPr>
          <w:rFonts w:hint="eastAsia"/>
        </w:rPr>
        <w:t>：《中国交通基础设施促进了区域经济增长吗——兼论交通基础设施的空间溢出效应》，《中国社会科学》第</w:t>
      </w:r>
      <w:r>
        <w:rPr>
          <w:rFonts w:hint="eastAsia"/>
        </w:rPr>
        <w:t>3</w:t>
      </w:r>
      <w:r>
        <w:rPr>
          <w:rFonts w:hint="eastAsia"/>
        </w:rPr>
        <w:t>期。</w:t>
      </w:r>
    </w:p>
    <w:p w14:paraId="04D41CC5" w14:textId="77777777" w:rsidR="00FB72F5" w:rsidRDefault="00FB72F5" w:rsidP="00FB72F5">
      <w:pPr>
        <w:pStyle w:val="Ref"/>
        <w:ind w:left="420" w:hanging="420"/>
      </w:pPr>
      <w:r>
        <w:rPr>
          <w:rFonts w:hint="eastAsia"/>
        </w:rPr>
        <w:t xml:space="preserve">Acemoglu D, (1998). </w:t>
      </w:r>
      <w:r>
        <w:rPr>
          <w:rFonts w:hint="eastAsia"/>
        </w:rPr>
        <w:t>“</w:t>
      </w:r>
      <w:r>
        <w:rPr>
          <w:rFonts w:hint="eastAsia"/>
        </w:rPr>
        <w:t>Why Do New Technologies Complement Skills? Directed Technical Change and Wage Inequality</w:t>
      </w:r>
      <w:r>
        <w:rPr>
          <w:rFonts w:hint="eastAsia"/>
        </w:rPr>
        <w:t>”，</w:t>
      </w:r>
      <w:r w:rsidRPr="00FB72F5">
        <w:rPr>
          <w:rFonts w:hint="eastAsia"/>
          <w:i/>
          <w:iCs/>
        </w:rPr>
        <w:t>The Quarterly Journal of Economics</w:t>
      </w:r>
      <w:r>
        <w:rPr>
          <w:rFonts w:hint="eastAsia"/>
        </w:rPr>
        <w:t xml:space="preserve"> 113(4): 1055</w:t>
      </w:r>
      <w:r>
        <w:rPr>
          <w:rFonts w:hint="eastAsia"/>
        </w:rPr>
        <w:t>–</w:t>
      </w:r>
      <w:r>
        <w:rPr>
          <w:rFonts w:hint="eastAsia"/>
        </w:rPr>
        <w:t xml:space="preserve">1089. </w:t>
      </w:r>
    </w:p>
    <w:p w14:paraId="58607154" w14:textId="77777777" w:rsidR="00FB72F5" w:rsidRDefault="00FB72F5" w:rsidP="00FB72F5">
      <w:pPr>
        <w:pStyle w:val="Ref"/>
        <w:ind w:left="420" w:hanging="420"/>
      </w:pPr>
      <w:r>
        <w:rPr>
          <w:rFonts w:hint="eastAsia"/>
        </w:rPr>
        <w:t>Aghion P, Askenazy P, Bourl</w:t>
      </w:r>
      <w:r>
        <w:rPr>
          <w:rFonts w:hint="eastAsia"/>
        </w:rPr>
        <w:t>è</w:t>
      </w:r>
      <w:r>
        <w:rPr>
          <w:rFonts w:hint="eastAsia"/>
        </w:rPr>
        <w:t xml:space="preserve">s R et al(2009). </w:t>
      </w:r>
      <w:r>
        <w:rPr>
          <w:rFonts w:hint="eastAsia"/>
        </w:rPr>
        <w:t>“</w:t>
      </w:r>
      <w:r>
        <w:rPr>
          <w:rFonts w:hint="eastAsia"/>
        </w:rPr>
        <w:t>Education, market rigidities and growth</w:t>
      </w:r>
      <w:r>
        <w:rPr>
          <w:rFonts w:hint="eastAsia"/>
        </w:rPr>
        <w:t>”，</w:t>
      </w:r>
      <w:r w:rsidRPr="00FB72F5">
        <w:rPr>
          <w:rFonts w:hint="eastAsia"/>
          <w:i/>
          <w:iCs/>
        </w:rPr>
        <w:t>Economics Letters</w:t>
      </w:r>
      <w:r>
        <w:rPr>
          <w:rFonts w:hint="eastAsia"/>
        </w:rPr>
        <w:t xml:space="preserve"> 102(1): 62</w:t>
      </w:r>
      <w:r>
        <w:rPr>
          <w:rFonts w:hint="eastAsia"/>
        </w:rPr>
        <w:t>–</w:t>
      </w:r>
      <w:r>
        <w:rPr>
          <w:rFonts w:hint="eastAsia"/>
        </w:rPr>
        <w:t xml:space="preserve">65. </w:t>
      </w:r>
    </w:p>
    <w:p w14:paraId="06E89376" w14:textId="77777777" w:rsidR="00FB72F5" w:rsidRDefault="00FB72F5" w:rsidP="00FB72F5">
      <w:pPr>
        <w:pStyle w:val="Ref"/>
        <w:ind w:left="420" w:hanging="420"/>
      </w:pPr>
      <w:r>
        <w:rPr>
          <w:rFonts w:hint="eastAsia"/>
        </w:rPr>
        <w:t xml:space="preserve">Aigner D, Lovell C A K, Schmidt P, (1977). </w:t>
      </w:r>
      <w:r>
        <w:rPr>
          <w:rFonts w:hint="eastAsia"/>
        </w:rPr>
        <w:t>“</w:t>
      </w:r>
      <w:r>
        <w:rPr>
          <w:rFonts w:hint="eastAsia"/>
        </w:rPr>
        <w:t>Formulation and estimation of stochastic frontier production function models</w:t>
      </w:r>
      <w:r>
        <w:rPr>
          <w:rFonts w:hint="eastAsia"/>
        </w:rPr>
        <w:t>”，</w:t>
      </w:r>
      <w:r w:rsidRPr="00FB72F5">
        <w:rPr>
          <w:rFonts w:hint="eastAsia"/>
          <w:i/>
          <w:iCs/>
        </w:rPr>
        <w:t>Journal of Econometrics</w:t>
      </w:r>
      <w:r>
        <w:rPr>
          <w:rFonts w:hint="eastAsia"/>
        </w:rPr>
        <w:t xml:space="preserve"> 6(1): 21</w:t>
      </w:r>
      <w:r>
        <w:rPr>
          <w:rFonts w:hint="eastAsia"/>
        </w:rPr>
        <w:t>–</w:t>
      </w:r>
      <w:r>
        <w:rPr>
          <w:rFonts w:hint="eastAsia"/>
        </w:rPr>
        <w:t xml:space="preserve">37. </w:t>
      </w:r>
    </w:p>
    <w:p w14:paraId="236DD795" w14:textId="1E40D4CF" w:rsidR="00FB72F5" w:rsidRDefault="00FB72F5" w:rsidP="00FB72F5">
      <w:pPr>
        <w:pStyle w:val="Ref"/>
        <w:ind w:left="420" w:hanging="420"/>
      </w:pPr>
      <w:r>
        <w:t xml:space="preserve">Ambec S, Cohen M A, Elgie S et al, (2013). “The Porter Hypothesis at 20: Can Environmental Regulation Enhance Innovation and Competitiveness?”, </w:t>
      </w:r>
      <w:r w:rsidRPr="00FB72F5">
        <w:rPr>
          <w:i/>
          <w:iCs/>
        </w:rPr>
        <w:t>Review of Environmental Economics and Policy</w:t>
      </w:r>
      <w:r>
        <w:t xml:space="preserve"> 7(1): 2–22. </w:t>
      </w:r>
    </w:p>
    <w:p w14:paraId="47F42E12" w14:textId="77777777" w:rsidR="00FB72F5" w:rsidRDefault="00FB72F5" w:rsidP="00FB72F5">
      <w:pPr>
        <w:pStyle w:val="Ref"/>
        <w:ind w:left="420" w:hanging="420"/>
      </w:pPr>
      <w:r>
        <w:rPr>
          <w:rFonts w:hint="eastAsia"/>
        </w:rPr>
        <w:t xml:space="preserve">Banker R D, Charnes A, Cooper W W, (1984). </w:t>
      </w:r>
      <w:r>
        <w:rPr>
          <w:rFonts w:hint="eastAsia"/>
        </w:rPr>
        <w:t>“</w:t>
      </w:r>
      <w:r>
        <w:rPr>
          <w:rFonts w:hint="eastAsia"/>
        </w:rPr>
        <w:t>Some Models for Estimating Technical and Scale Inefficiencies in Data Envelopment Analysis</w:t>
      </w:r>
      <w:r>
        <w:rPr>
          <w:rFonts w:hint="eastAsia"/>
        </w:rPr>
        <w:t>”，</w:t>
      </w:r>
      <w:r w:rsidRPr="00FB72F5">
        <w:rPr>
          <w:rFonts w:hint="eastAsia"/>
          <w:i/>
          <w:iCs/>
        </w:rPr>
        <w:t>Management Science</w:t>
      </w:r>
      <w:r>
        <w:rPr>
          <w:rFonts w:hint="eastAsia"/>
        </w:rPr>
        <w:t xml:space="preserve"> 30(9): 1078</w:t>
      </w:r>
      <w:r>
        <w:rPr>
          <w:rFonts w:hint="eastAsia"/>
        </w:rPr>
        <w:t>–</w:t>
      </w:r>
      <w:r>
        <w:rPr>
          <w:rFonts w:hint="eastAsia"/>
        </w:rPr>
        <w:t>1092.</w:t>
      </w:r>
    </w:p>
    <w:p w14:paraId="7D983231" w14:textId="77777777" w:rsidR="00FB72F5" w:rsidRDefault="00FB72F5" w:rsidP="00FB72F5">
      <w:pPr>
        <w:pStyle w:val="Ref"/>
        <w:ind w:left="420" w:hanging="420"/>
      </w:pPr>
      <w:r>
        <w:rPr>
          <w:rFonts w:hint="eastAsia"/>
        </w:rPr>
        <w:t xml:space="preserve">Belotti F, Ilardi G, (2018). </w:t>
      </w:r>
      <w:r>
        <w:rPr>
          <w:rFonts w:hint="eastAsia"/>
        </w:rPr>
        <w:t>“</w:t>
      </w:r>
      <w:r>
        <w:rPr>
          <w:rFonts w:hint="eastAsia"/>
        </w:rPr>
        <w:t>Consistent inference in fixed-effects stochastic frontier models</w:t>
      </w:r>
      <w:r>
        <w:rPr>
          <w:rFonts w:hint="eastAsia"/>
        </w:rPr>
        <w:t>”，</w:t>
      </w:r>
      <w:r w:rsidRPr="00FB72F5">
        <w:rPr>
          <w:rFonts w:hint="eastAsia"/>
          <w:i/>
          <w:iCs/>
        </w:rPr>
        <w:t>Journal of Econometrics</w:t>
      </w:r>
      <w:r>
        <w:rPr>
          <w:rFonts w:hint="eastAsia"/>
        </w:rPr>
        <w:t xml:space="preserve"> 202(2): 161</w:t>
      </w:r>
      <w:r>
        <w:rPr>
          <w:rFonts w:hint="eastAsia"/>
        </w:rPr>
        <w:t>–</w:t>
      </w:r>
      <w:r>
        <w:rPr>
          <w:rFonts w:hint="eastAsia"/>
        </w:rPr>
        <w:t xml:space="preserve">177. </w:t>
      </w:r>
    </w:p>
    <w:p w14:paraId="52CA70D8" w14:textId="77777777" w:rsidR="00FB72F5" w:rsidRDefault="00FB72F5" w:rsidP="00FB72F5">
      <w:pPr>
        <w:pStyle w:val="Ref"/>
        <w:ind w:left="420" w:hanging="420"/>
      </w:pPr>
      <w:r>
        <w:t>Calligaris S, D’Arcangelo F M, Pavan G, (2018). “The impact of the european carbon market on firm productivity: Evidence from italian manufacturing firms”[R].</w:t>
      </w:r>
    </w:p>
    <w:p w14:paraId="3B57EFCD" w14:textId="77777777" w:rsidR="00FB72F5" w:rsidRDefault="00FB72F5" w:rsidP="00FB72F5">
      <w:pPr>
        <w:pStyle w:val="Ref"/>
        <w:ind w:left="420" w:hanging="420"/>
      </w:pPr>
      <w:r>
        <w:rPr>
          <w:rFonts w:hint="eastAsia"/>
        </w:rPr>
        <w:t xml:space="preserve">Coe D T, Helpman E, (1995). </w:t>
      </w:r>
      <w:r>
        <w:rPr>
          <w:rFonts w:hint="eastAsia"/>
        </w:rPr>
        <w:t>“</w:t>
      </w:r>
      <w:r>
        <w:rPr>
          <w:rFonts w:hint="eastAsia"/>
        </w:rPr>
        <w:t>International R&amp;amp;D spillovers</w:t>
      </w:r>
      <w:r>
        <w:rPr>
          <w:rFonts w:hint="eastAsia"/>
        </w:rPr>
        <w:t>”，</w:t>
      </w:r>
      <w:r w:rsidRPr="00FB72F5">
        <w:rPr>
          <w:rFonts w:hint="eastAsia"/>
          <w:i/>
          <w:iCs/>
        </w:rPr>
        <w:t>European Economic Review</w:t>
      </w:r>
      <w:r>
        <w:rPr>
          <w:rFonts w:hint="eastAsia"/>
        </w:rPr>
        <w:t xml:space="preserve"> 39(5): 859</w:t>
      </w:r>
      <w:r>
        <w:rPr>
          <w:rFonts w:hint="eastAsia"/>
        </w:rPr>
        <w:t>–</w:t>
      </w:r>
      <w:r>
        <w:rPr>
          <w:rFonts w:hint="eastAsia"/>
        </w:rPr>
        <w:t xml:space="preserve">887. </w:t>
      </w:r>
    </w:p>
    <w:p w14:paraId="37976370" w14:textId="77777777" w:rsidR="00FB72F5" w:rsidRDefault="00FB72F5" w:rsidP="00FB72F5">
      <w:pPr>
        <w:pStyle w:val="Ref"/>
        <w:ind w:left="420" w:hanging="420"/>
      </w:pPr>
      <w:r>
        <w:rPr>
          <w:rFonts w:hint="eastAsia"/>
        </w:rPr>
        <w:t>Del Barrio-Castro T, L</w:t>
      </w:r>
      <w:r>
        <w:rPr>
          <w:rFonts w:hint="eastAsia"/>
        </w:rPr>
        <w:t>ó</w:t>
      </w:r>
      <w:r>
        <w:rPr>
          <w:rFonts w:hint="eastAsia"/>
        </w:rPr>
        <w:t xml:space="preserve">pez-Bazo E, Serrano-Domingo G, (2002). </w:t>
      </w:r>
      <w:r>
        <w:rPr>
          <w:rFonts w:hint="eastAsia"/>
        </w:rPr>
        <w:t>“</w:t>
      </w:r>
      <w:r>
        <w:rPr>
          <w:rFonts w:hint="eastAsia"/>
        </w:rPr>
        <w:t>New evidence on international R&amp;amp;D spillovers, human capital and productivity in the OECD</w:t>
      </w:r>
      <w:r>
        <w:rPr>
          <w:rFonts w:hint="eastAsia"/>
        </w:rPr>
        <w:t>”，</w:t>
      </w:r>
      <w:r w:rsidRPr="00FB72F5">
        <w:rPr>
          <w:rFonts w:hint="eastAsia"/>
          <w:i/>
          <w:iCs/>
        </w:rPr>
        <w:t>Economics Letters</w:t>
      </w:r>
      <w:r>
        <w:rPr>
          <w:rFonts w:hint="eastAsia"/>
        </w:rPr>
        <w:t xml:space="preserve"> 77(1): 41</w:t>
      </w:r>
      <w:r>
        <w:rPr>
          <w:rFonts w:hint="eastAsia"/>
        </w:rPr>
        <w:t>–</w:t>
      </w:r>
      <w:r>
        <w:rPr>
          <w:rFonts w:hint="eastAsia"/>
        </w:rPr>
        <w:t xml:space="preserve">45. </w:t>
      </w:r>
    </w:p>
    <w:p w14:paraId="45CEA2F8" w14:textId="77777777" w:rsidR="00FB72F5" w:rsidRDefault="00FB72F5" w:rsidP="00FB72F5">
      <w:pPr>
        <w:pStyle w:val="Ref"/>
        <w:ind w:left="420" w:hanging="420"/>
      </w:pPr>
      <w:r>
        <w:rPr>
          <w:rFonts w:hint="eastAsia"/>
        </w:rPr>
        <w:t xml:space="preserve">Dong Z-Q, Wang H, Wang S-X et al(2020). </w:t>
      </w:r>
      <w:r>
        <w:rPr>
          <w:rFonts w:hint="eastAsia"/>
        </w:rPr>
        <w:t>“</w:t>
      </w:r>
      <w:r>
        <w:rPr>
          <w:rFonts w:hint="eastAsia"/>
        </w:rPr>
        <w:t>The validity of carbon emission trading policies: Evidence from a quasi-natural experiment in China</w:t>
      </w:r>
      <w:r>
        <w:rPr>
          <w:rFonts w:hint="eastAsia"/>
        </w:rPr>
        <w:t>”，</w:t>
      </w:r>
      <w:r>
        <w:rPr>
          <w:rFonts w:hint="eastAsia"/>
        </w:rPr>
        <w:t>Advances in Climate Change Research 11(2): 102</w:t>
      </w:r>
      <w:r>
        <w:rPr>
          <w:rFonts w:hint="eastAsia"/>
        </w:rPr>
        <w:t>–</w:t>
      </w:r>
      <w:r>
        <w:rPr>
          <w:rFonts w:hint="eastAsia"/>
        </w:rPr>
        <w:t xml:space="preserve">109. </w:t>
      </w:r>
    </w:p>
    <w:p w14:paraId="234ED16C" w14:textId="77777777" w:rsidR="00FB72F5" w:rsidRDefault="00FB72F5" w:rsidP="00FB72F5">
      <w:pPr>
        <w:pStyle w:val="Ref"/>
        <w:ind w:left="420" w:hanging="420"/>
      </w:pPr>
      <w:r>
        <w:rPr>
          <w:rFonts w:hint="eastAsia"/>
        </w:rPr>
        <w:t xml:space="preserve">Einar Rosendahl K, Strand J, (2011). </w:t>
      </w:r>
      <w:r>
        <w:rPr>
          <w:rFonts w:hint="eastAsia"/>
        </w:rPr>
        <w:t>“</w:t>
      </w:r>
      <w:r>
        <w:rPr>
          <w:rFonts w:hint="eastAsia"/>
        </w:rPr>
        <w:t>Carbon Leakage from the Clean Development Mechanism</w:t>
      </w:r>
      <w:r>
        <w:rPr>
          <w:rFonts w:hint="eastAsia"/>
        </w:rPr>
        <w:t>”，</w:t>
      </w:r>
      <w:r w:rsidRPr="00FB72F5">
        <w:rPr>
          <w:rFonts w:hint="eastAsia"/>
          <w:i/>
          <w:iCs/>
        </w:rPr>
        <w:t>The Energy Journal</w:t>
      </w:r>
      <w:r>
        <w:rPr>
          <w:rFonts w:hint="eastAsia"/>
        </w:rPr>
        <w:t xml:space="preserve"> 32(4). </w:t>
      </w:r>
    </w:p>
    <w:p w14:paraId="21C4E118" w14:textId="77777777" w:rsidR="00FB72F5" w:rsidRDefault="00FB72F5" w:rsidP="00FB72F5">
      <w:pPr>
        <w:pStyle w:val="Ref"/>
        <w:ind w:left="420" w:hanging="420"/>
      </w:pPr>
      <w:r>
        <w:rPr>
          <w:rFonts w:hint="eastAsia"/>
        </w:rPr>
        <w:t xml:space="preserve">Fang X, Guo H, Zhang D et al(2021). </w:t>
      </w:r>
      <w:r>
        <w:rPr>
          <w:rFonts w:hint="eastAsia"/>
        </w:rPr>
        <w:t>“</w:t>
      </w:r>
      <w:r>
        <w:rPr>
          <w:rFonts w:hint="eastAsia"/>
        </w:rPr>
        <w:t>Cost recovery and investment barriers for renewables under market manipulation of thermal collusion</w:t>
      </w:r>
      <w:r>
        <w:rPr>
          <w:rFonts w:hint="eastAsia"/>
        </w:rPr>
        <w:t>”，</w:t>
      </w:r>
      <w:r w:rsidRPr="00FB72F5">
        <w:rPr>
          <w:rFonts w:hint="eastAsia"/>
          <w:i/>
          <w:iCs/>
        </w:rPr>
        <w:t>Applied Energy</w:t>
      </w:r>
      <w:r>
        <w:rPr>
          <w:rFonts w:hint="eastAsia"/>
        </w:rPr>
        <w:t xml:space="preserve"> 285: 116487. </w:t>
      </w:r>
    </w:p>
    <w:p w14:paraId="18FC2CCA" w14:textId="77777777" w:rsidR="00FB72F5" w:rsidRDefault="00FB72F5" w:rsidP="00FB72F5">
      <w:pPr>
        <w:pStyle w:val="Ref"/>
        <w:ind w:left="420" w:hanging="420"/>
      </w:pPr>
      <w:r>
        <w:rPr>
          <w:rFonts w:hint="eastAsia"/>
        </w:rPr>
        <w:t xml:space="preserve">Färe R, Grosskopf S, Norris M et al(1994). </w:t>
      </w:r>
      <w:r>
        <w:rPr>
          <w:rFonts w:hint="eastAsia"/>
        </w:rPr>
        <w:t>“</w:t>
      </w:r>
      <w:r>
        <w:rPr>
          <w:rFonts w:hint="eastAsia"/>
        </w:rPr>
        <w:t>Productivity Growth, Technical Progress, and Efficiency Change in Industrialized Countries</w:t>
      </w:r>
      <w:r>
        <w:rPr>
          <w:rFonts w:hint="eastAsia"/>
        </w:rPr>
        <w:t>”，</w:t>
      </w:r>
      <w:r w:rsidRPr="00FB72F5">
        <w:rPr>
          <w:rFonts w:hint="eastAsia"/>
          <w:i/>
          <w:iCs/>
        </w:rPr>
        <w:t>The American Economic Review</w:t>
      </w:r>
      <w:r>
        <w:rPr>
          <w:rFonts w:hint="eastAsia"/>
        </w:rPr>
        <w:t xml:space="preserve"> 84(1): 66</w:t>
      </w:r>
      <w:r>
        <w:rPr>
          <w:rFonts w:hint="eastAsia"/>
        </w:rPr>
        <w:t>–</w:t>
      </w:r>
      <w:r>
        <w:rPr>
          <w:rFonts w:hint="eastAsia"/>
        </w:rPr>
        <w:t>83.</w:t>
      </w:r>
    </w:p>
    <w:p w14:paraId="1D4EF769" w14:textId="77777777" w:rsidR="00FB72F5" w:rsidRDefault="00FB72F5" w:rsidP="00FB72F5">
      <w:pPr>
        <w:pStyle w:val="Ref"/>
        <w:ind w:left="420" w:hanging="420"/>
      </w:pPr>
      <w:r>
        <w:rPr>
          <w:rFonts w:hint="eastAsia"/>
        </w:rPr>
        <w:t xml:space="preserve">Fleisher B M, Hu Y, Li H et al(2011). </w:t>
      </w:r>
      <w:r>
        <w:rPr>
          <w:rFonts w:hint="eastAsia"/>
        </w:rPr>
        <w:t>“</w:t>
      </w:r>
      <w:r>
        <w:rPr>
          <w:rFonts w:hint="eastAsia"/>
        </w:rPr>
        <w:t>Economic transition, higher education and worker productivity in China</w:t>
      </w:r>
      <w:r>
        <w:rPr>
          <w:rFonts w:hint="eastAsia"/>
        </w:rPr>
        <w:t>”，</w:t>
      </w:r>
      <w:r w:rsidRPr="00FB72F5">
        <w:rPr>
          <w:rFonts w:hint="eastAsia"/>
          <w:i/>
          <w:iCs/>
        </w:rPr>
        <w:t>Journal of Development Economics</w:t>
      </w:r>
      <w:r>
        <w:rPr>
          <w:rFonts w:hint="eastAsia"/>
        </w:rPr>
        <w:t xml:space="preserve"> 94(1): 86</w:t>
      </w:r>
      <w:r>
        <w:rPr>
          <w:rFonts w:hint="eastAsia"/>
        </w:rPr>
        <w:t>–</w:t>
      </w:r>
      <w:r>
        <w:rPr>
          <w:rFonts w:hint="eastAsia"/>
        </w:rPr>
        <w:t xml:space="preserve">94. </w:t>
      </w:r>
    </w:p>
    <w:p w14:paraId="79762932" w14:textId="77777777" w:rsidR="00FB72F5" w:rsidRDefault="00FB72F5" w:rsidP="00FB72F5">
      <w:pPr>
        <w:pStyle w:val="Ref"/>
        <w:ind w:left="420" w:hanging="420"/>
      </w:pPr>
      <w:r>
        <w:rPr>
          <w:rFonts w:hint="eastAsia"/>
        </w:rPr>
        <w:t xml:space="preserve">Fu L, Yi Y, Wu T et al(2022). </w:t>
      </w:r>
      <w:r>
        <w:rPr>
          <w:rFonts w:hint="eastAsia"/>
        </w:rPr>
        <w:t>“</w:t>
      </w:r>
      <w:r>
        <w:rPr>
          <w:rFonts w:hint="eastAsia"/>
        </w:rPr>
        <w:t>Do carbon emission trading scheme policies induce green technology innovation? New evidence from provincial green patents in China</w:t>
      </w:r>
      <w:r>
        <w:rPr>
          <w:rFonts w:hint="eastAsia"/>
        </w:rPr>
        <w:t>”，</w:t>
      </w:r>
      <w:r w:rsidRPr="00FB72F5">
        <w:rPr>
          <w:rFonts w:hint="eastAsia"/>
          <w:i/>
          <w:iCs/>
        </w:rPr>
        <w:t>Environmental Science and Pollution Research</w:t>
      </w:r>
      <w:r>
        <w:rPr>
          <w:rFonts w:hint="eastAsia"/>
        </w:rPr>
        <w:t>. 30(5): 13342</w:t>
      </w:r>
      <w:r>
        <w:rPr>
          <w:rFonts w:hint="eastAsia"/>
        </w:rPr>
        <w:t>–</w:t>
      </w:r>
      <w:r>
        <w:rPr>
          <w:rFonts w:hint="eastAsia"/>
        </w:rPr>
        <w:t>13358</w:t>
      </w:r>
    </w:p>
    <w:p w14:paraId="451749E4" w14:textId="77777777" w:rsidR="00FB72F5" w:rsidRDefault="00FB72F5" w:rsidP="00FB72F5">
      <w:pPr>
        <w:pStyle w:val="Ref"/>
        <w:ind w:left="420" w:hanging="420"/>
      </w:pPr>
      <w:r>
        <w:rPr>
          <w:rFonts w:hint="eastAsia"/>
        </w:rPr>
        <w:t xml:space="preserve">Hu Y, Ren S, Wang Y et al(2020). </w:t>
      </w:r>
      <w:r>
        <w:rPr>
          <w:rFonts w:hint="eastAsia"/>
        </w:rPr>
        <w:t>“</w:t>
      </w:r>
      <w:r>
        <w:rPr>
          <w:rFonts w:hint="eastAsia"/>
        </w:rPr>
        <w:t>Can carbon emission trading scheme achieve energy conservation and emission reduction? Evidence from the industrial sector in China</w:t>
      </w:r>
      <w:r>
        <w:rPr>
          <w:rFonts w:hint="eastAsia"/>
        </w:rPr>
        <w:t>”，</w:t>
      </w:r>
      <w:r w:rsidRPr="00FB72F5">
        <w:rPr>
          <w:rFonts w:hint="eastAsia"/>
          <w:i/>
          <w:iCs/>
        </w:rPr>
        <w:t>Energy Economics</w:t>
      </w:r>
      <w:r>
        <w:rPr>
          <w:rFonts w:hint="eastAsia"/>
        </w:rPr>
        <w:t xml:space="preserve">, 85: 104590. </w:t>
      </w:r>
    </w:p>
    <w:p w14:paraId="297A8ADE" w14:textId="77777777" w:rsidR="00FB72F5" w:rsidRDefault="00FB72F5" w:rsidP="00FB72F5">
      <w:pPr>
        <w:pStyle w:val="Ref"/>
        <w:ind w:left="420" w:hanging="420"/>
      </w:pPr>
      <w:r>
        <w:t xml:space="preserve">Jaffe A B, Palmer K, (1997). “Environmental regulation and innovation: A panel data study”. </w:t>
      </w:r>
      <w:r w:rsidRPr="00FB72F5">
        <w:rPr>
          <w:i/>
          <w:iCs/>
        </w:rPr>
        <w:t>Review of Economics and Statistics</w:t>
      </w:r>
      <w:r>
        <w:t xml:space="preserve">, 79(4): 610–619. </w:t>
      </w:r>
    </w:p>
    <w:p w14:paraId="5D2E34B9" w14:textId="77777777" w:rsidR="00FB72F5" w:rsidRDefault="00FB72F5" w:rsidP="00FB72F5">
      <w:pPr>
        <w:pStyle w:val="Ref"/>
        <w:ind w:left="420" w:hanging="420"/>
      </w:pPr>
      <w:r>
        <w:rPr>
          <w:rFonts w:hint="eastAsia"/>
        </w:rPr>
        <w:t xml:space="preserve">Ji Y, Lee C, (2010). </w:t>
      </w:r>
      <w:r>
        <w:rPr>
          <w:rFonts w:hint="eastAsia"/>
        </w:rPr>
        <w:t>“</w:t>
      </w:r>
      <w:r>
        <w:rPr>
          <w:rFonts w:hint="eastAsia"/>
        </w:rPr>
        <w:t>Data Envelopment Analysis</w:t>
      </w:r>
      <w:r>
        <w:rPr>
          <w:rFonts w:hint="eastAsia"/>
        </w:rPr>
        <w:t>”，</w:t>
      </w:r>
      <w:r w:rsidRPr="00FB72F5">
        <w:rPr>
          <w:rFonts w:hint="eastAsia"/>
          <w:i/>
          <w:iCs/>
        </w:rPr>
        <w:t>The Stata Journal: Promoting communications on statistics and Stata</w:t>
      </w:r>
      <w:r>
        <w:rPr>
          <w:rFonts w:hint="eastAsia"/>
        </w:rPr>
        <w:t xml:space="preserve"> 10(2): 267</w:t>
      </w:r>
      <w:r>
        <w:rPr>
          <w:rFonts w:hint="eastAsia"/>
        </w:rPr>
        <w:t>–</w:t>
      </w:r>
      <w:r>
        <w:rPr>
          <w:rFonts w:hint="eastAsia"/>
        </w:rPr>
        <w:t xml:space="preserve">280. </w:t>
      </w:r>
    </w:p>
    <w:p w14:paraId="50A98163" w14:textId="77777777" w:rsidR="00FB72F5" w:rsidRDefault="00FB72F5" w:rsidP="00FB72F5">
      <w:pPr>
        <w:pStyle w:val="Ref"/>
        <w:ind w:left="420" w:hanging="420"/>
      </w:pPr>
      <w:r>
        <w:rPr>
          <w:rFonts w:hint="eastAsia"/>
        </w:rPr>
        <w:lastRenderedPageBreak/>
        <w:t xml:space="preserve">Klemetsen M, Rosendahl K E, Jakobsen A L, (2020). </w:t>
      </w:r>
      <w:r>
        <w:rPr>
          <w:rFonts w:hint="eastAsia"/>
        </w:rPr>
        <w:t>“</w:t>
      </w:r>
      <w:r>
        <w:rPr>
          <w:rFonts w:hint="eastAsia"/>
        </w:rPr>
        <w:t>The Impacts Of The Eu Ets On Norwegian Plants</w:t>
      </w:r>
      <w:r>
        <w:rPr>
          <w:rFonts w:hint="eastAsia"/>
        </w:rPr>
        <w:t>’</w:t>
      </w:r>
      <w:r>
        <w:rPr>
          <w:rFonts w:hint="eastAsia"/>
        </w:rPr>
        <w:t xml:space="preserve"> Environmental And Economic Performance</w:t>
      </w:r>
      <w:r>
        <w:rPr>
          <w:rFonts w:hint="eastAsia"/>
        </w:rPr>
        <w:t>”，</w:t>
      </w:r>
      <w:r w:rsidRPr="00FB72F5">
        <w:rPr>
          <w:rFonts w:hint="eastAsia"/>
          <w:i/>
          <w:iCs/>
        </w:rPr>
        <w:t xml:space="preserve">Climate Change Economics </w:t>
      </w:r>
      <w:r>
        <w:rPr>
          <w:rFonts w:hint="eastAsia"/>
        </w:rPr>
        <w:t>11(1).</w:t>
      </w:r>
    </w:p>
    <w:p w14:paraId="11D58730" w14:textId="77777777" w:rsidR="00FB72F5" w:rsidRDefault="00FB72F5" w:rsidP="00FB72F5">
      <w:pPr>
        <w:pStyle w:val="Ref"/>
        <w:ind w:left="420" w:hanging="420"/>
      </w:pPr>
      <w:r>
        <w:rPr>
          <w:rFonts w:hint="eastAsia"/>
        </w:rPr>
        <w:t xml:space="preserve">LeSage J P, Pace R K, (2010). </w:t>
      </w:r>
      <w:r>
        <w:rPr>
          <w:rFonts w:hint="eastAsia"/>
        </w:rPr>
        <w:t>“</w:t>
      </w:r>
      <w:r>
        <w:rPr>
          <w:rFonts w:hint="eastAsia"/>
        </w:rPr>
        <w:t>Spatial Econometric Models[M]//Handbook of Applied Spatial Analysis</w:t>
      </w:r>
      <w:r>
        <w:rPr>
          <w:rFonts w:hint="eastAsia"/>
        </w:rPr>
        <w:t>”，</w:t>
      </w:r>
      <w:r>
        <w:rPr>
          <w:rFonts w:hint="eastAsia"/>
        </w:rPr>
        <w:t>Berlin, Heidelberg:</w:t>
      </w:r>
      <w:r w:rsidRPr="00FB72F5">
        <w:rPr>
          <w:rFonts w:hint="eastAsia"/>
          <w:i/>
          <w:iCs/>
        </w:rPr>
        <w:t xml:space="preserve"> Springer Berlin Heidelberg</w:t>
      </w:r>
      <w:r>
        <w:rPr>
          <w:rFonts w:hint="eastAsia"/>
        </w:rPr>
        <w:t>: 355</w:t>
      </w:r>
      <w:r>
        <w:rPr>
          <w:rFonts w:hint="eastAsia"/>
        </w:rPr>
        <w:t>–</w:t>
      </w:r>
      <w:r>
        <w:rPr>
          <w:rFonts w:hint="eastAsia"/>
        </w:rPr>
        <w:t xml:space="preserve">376. </w:t>
      </w:r>
    </w:p>
    <w:p w14:paraId="47AFF635" w14:textId="77777777" w:rsidR="00FB72F5" w:rsidRDefault="00FB72F5" w:rsidP="00FB72F5">
      <w:pPr>
        <w:pStyle w:val="Ref"/>
        <w:ind w:left="420" w:hanging="420"/>
      </w:pPr>
      <w:r>
        <w:rPr>
          <w:rFonts w:hint="eastAsia"/>
        </w:rPr>
        <w:t xml:space="preserve">Levinsohn J, Petrin A, (2003). </w:t>
      </w:r>
      <w:r>
        <w:rPr>
          <w:rFonts w:hint="eastAsia"/>
        </w:rPr>
        <w:t>“</w:t>
      </w:r>
      <w:r>
        <w:rPr>
          <w:rFonts w:hint="eastAsia"/>
        </w:rPr>
        <w:t>Estimating Production Functions Using Inputs to Control for Unobservables</w:t>
      </w:r>
      <w:r>
        <w:rPr>
          <w:rFonts w:hint="eastAsia"/>
        </w:rPr>
        <w:t>”，</w:t>
      </w:r>
      <w:r w:rsidRPr="00FB72F5">
        <w:rPr>
          <w:rFonts w:hint="eastAsia"/>
          <w:i/>
          <w:iCs/>
        </w:rPr>
        <w:t>Review of Economic Studies</w:t>
      </w:r>
      <w:r>
        <w:rPr>
          <w:rFonts w:hint="eastAsia"/>
        </w:rPr>
        <w:t xml:space="preserve"> 70(2): 317</w:t>
      </w:r>
      <w:r>
        <w:rPr>
          <w:rFonts w:hint="eastAsia"/>
        </w:rPr>
        <w:t>–</w:t>
      </w:r>
      <w:r>
        <w:rPr>
          <w:rFonts w:hint="eastAsia"/>
        </w:rPr>
        <w:t xml:space="preserve">341. </w:t>
      </w:r>
    </w:p>
    <w:p w14:paraId="44852AD1" w14:textId="77777777" w:rsidR="00FB72F5" w:rsidRDefault="00FB72F5" w:rsidP="00FB72F5">
      <w:pPr>
        <w:pStyle w:val="Ref"/>
        <w:ind w:left="420" w:hanging="420"/>
      </w:pPr>
      <w:r>
        <w:rPr>
          <w:rFonts w:hint="eastAsia"/>
        </w:rPr>
        <w:t xml:space="preserve">Li C S, Qi Y P, Liu S H et al(2022). </w:t>
      </w:r>
      <w:r>
        <w:rPr>
          <w:rFonts w:hint="eastAsia"/>
        </w:rPr>
        <w:t>“</w:t>
      </w:r>
      <w:r>
        <w:rPr>
          <w:rFonts w:hint="eastAsia"/>
        </w:rPr>
        <w:t>Do carbon ETS pilots improve cities</w:t>
      </w:r>
      <w:r>
        <w:rPr>
          <w:rFonts w:hint="eastAsia"/>
        </w:rPr>
        <w:t>’</w:t>
      </w:r>
      <w:r>
        <w:rPr>
          <w:rFonts w:hint="eastAsia"/>
        </w:rPr>
        <w:t xml:space="preserve"> green total factor productivity? Evidence from a quasi-natural experiment in China</w:t>
      </w:r>
      <w:r>
        <w:rPr>
          <w:rFonts w:hint="eastAsia"/>
        </w:rPr>
        <w:t>”，</w:t>
      </w:r>
      <w:r w:rsidRPr="00FB72F5">
        <w:rPr>
          <w:rFonts w:hint="eastAsia"/>
          <w:i/>
          <w:iCs/>
        </w:rPr>
        <w:t>Energy</w:t>
      </w:r>
      <w:r>
        <w:rPr>
          <w:rFonts w:hint="eastAsia"/>
        </w:rPr>
        <w:t xml:space="preserve"> </w:t>
      </w:r>
      <w:r w:rsidRPr="00FB72F5">
        <w:rPr>
          <w:rFonts w:hint="eastAsia"/>
          <w:i/>
          <w:iCs/>
        </w:rPr>
        <w:t>Economics</w:t>
      </w:r>
      <w:r>
        <w:rPr>
          <w:rFonts w:hint="eastAsia"/>
        </w:rPr>
        <w:t xml:space="preserve"> 108: 105931</w:t>
      </w:r>
    </w:p>
    <w:p w14:paraId="43C86C6B" w14:textId="77777777" w:rsidR="00FB72F5" w:rsidRDefault="00FB72F5" w:rsidP="00FB72F5">
      <w:pPr>
        <w:pStyle w:val="Ref"/>
        <w:ind w:left="420" w:hanging="420"/>
      </w:pPr>
      <w:r>
        <w:rPr>
          <w:rFonts w:hint="eastAsia"/>
        </w:rPr>
        <w:t xml:space="preserve">Liu C, Ma C, Xie R, (2020). </w:t>
      </w:r>
      <w:r>
        <w:rPr>
          <w:rFonts w:hint="eastAsia"/>
        </w:rPr>
        <w:t>“</w:t>
      </w:r>
      <w:r>
        <w:rPr>
          <w:rFonts w:hint="eastAsia"/>
        </w:rPr>
        <w:t>Structural, Innovation and Efficiency Effects of Environmental Regulation: Evidence from China</w:t>
      </w:r>
      <w:r>
        <w:rPr>
          <w:rFonts w:hint="eastAsia"/>
        </w:rPr>
        <w:t>’</w:t>
      </w:r>
      <w:r>
        <w:rPr>
          <w:rFonts w:hint="eastAsia"/>
        </w:rPr>
        <w:t>s Carbon Emissions Trading Pilot</w:t>
      </w:r>
      <w:r>
        <w:rPr>
          <w:rFonts w:hint="eastAsia"/>
        </w:rPr>
        <w:t>”，</w:t>
      </w:r>
      <w:r w:rsidRPr="00FB72F5">
        <w:rPr>
          <w:rFonts w:hint="eastAsia"/>
          <w:i/>
          <w:iCs/>
        </w:rPr>
        <w:t xml:space="preserve">Environmental and Resource Economics </w:t>
      </w:r>
      <w:r>
        <w:rPr>
          <w:rFonts w:hint="eastAsia"/>
        </w:rPr>
        <w:t>75(4): 741</w:t>
      </w:r>
      <w:r>
        <w:rPr>
          <w:rFonts w:hint="eastAsia"/>
        </w:rPr>
        <w:t>–</w:t>
      </w:r>
      <w:r>
        <w:rPr>
          <w:rFonts w:hint="eastAsia"/>
        </w:rPr>
        <w:t xml:space="preserve">768. </w:t>
      </w:r>
    </w:p>
    <w:p w14:paraId="7AF40C33" w14:textId="77777777" w:rsidR="00FB72F5" w:rsidRDefault="00FB72F5" w:rsidP="00FB72F5">
      <w:pPr>
        <w:pStyle w:val="Ref"/>
        <w:ind w:left="420" w:hanging="420"/>
      </w:pPr>
      <w:r>
        <w:rPr>
          <w:rFonts w:hint="eastAsia"/>
        </w:rPr>
        <w:t xml:space="preserve">Liu M D, Shadbegian R, Zhang B, (2022). </w:t>
      </w:r>
      <w:r>
        <w:rPr>
          <w:rFonts w:hint="eastAsia"/>
        </w:rPr>
        <w:t>“</w:t>
      </w:r>
      <w:r>
        <w:rPr>
          <w:rFonts w:hint="eastAsia"/>
        </w:rPr>
        <w:t>Environmental Regulation, Compliance Strategies, and Productivity: Evidence from China</w:t>
      </w:r>
      <w:r>
        <w:rPr>
          <w:rFonts w:hint="eastAsia"/>
        </w:rPr>
        <w:t>”，</w:t>
      </w:r>
      <w:r w:rsidRPr="00FB72F5">
        <w:rPr>
          <w:rFonts w:hint="eastAsia"/>
          <w:i/>
          <w:iCs/>
        </w:rPr>
        <w:t xml:space="preserve">Land Economics </w:t>
      </w:r>
      <w:r>
        <w:rPr>
          <w:rFonts w:hint="eastAsia"/>
        </w:rPr>
        <w:t>98(1): 41</w:t>
      </w:r>
      <w:r>
        <w:rPr>
          <w:rFonts w:hint="eastAsia"/>
        </w:rPr>
        <w:t>–</w:t>
      </w:r>
      <w:r>
        <w:rPr>
          <w:rFonts w:hint="eastAsia"/>
        </w:rPr>
        <w:t xml:space="preserve">61. </w:t>
      </w:r>
    </w:p>
    <w:p w14:paraId="7F84FDBB" w14:textId="77777777" w:rsidR="00FB72F5" w:rsidRDefault="00FB72F5" w:rsidP="00FB72F5">
      <w:pPr>
        <w:pStyle w:val="Ref"/>
        <w:ind w:left="420" w:hanging="420"/>
      </w:pPr>
      <w:r>
        <w:rPr>
          <w:rFonts w:hint="eastAsia"/>
        </w:rPr>
        <w:t xml:space="preserve">Lu Y, Zhang L, (2022). </w:t>
      </w:r>
      <w:r>
        <w:rPr>
          <w:rFonts w:hint="eastAsia"/>
        </w:rPr>
        <w:t>“</w:t>
      </w:r>
      <w:r>
        <w:rPr>
          <w:rFonts w:hint="eastAsia"/>
        </w:rPr>
        <w:t>National mitigation policy and the competitiveness of Chinese firms</w:t>
      </w:r>
      <w:r>
        <w:rPr>
          <w:rFonts w:hint="eastAsia"/>
        </w:rPr>
        <w:t>”，</w:t>
      </w:r>
      <w:r w:rsidRPr="00FB72F5">
        <w:rPr>
          <w:rFonts w:hint="eastAsia"/>
          <w:i/>
          <w:iCs/>
        </w:rPr>
        <w:t>Energy</w:t>
      </w:r>
      <w:r>
        <w:rPr>
          <w:rFonts w:hint="eastAsia"/>
        </w:rPr>
        <w:t xml:space="preserve"> </w:t>
      </w:r>
      <w:r w:rsidRPr="00FB72F5">
        <w:rPr>
          <w:rFonts w:hint="eastAsia"/>
          <w:i/>
          <w:iCs/>
        </w:rPr>
        <w:t>Economics</w:t>
      </w:r>
      <w:r>
        <w:rPr>
          <w:rFonts w:hint="eastAsia"/>
        </w:rPr>
        <w:t xml:space="preserve"> 109: 105971. </w:t>
      </w:r>
    </w:p>
    <w:p w14:paraId="2C06DCDB" w14:textId="77777777" w:rsidR="00FB72F5" w:rsidRDefault="00FB72F5" w:rsidP="00FB72F5">
      <w:pPr>
        <w:pStyle w:val="Ref"/>
        <w:ind w:left="420" w:hanging="420"/>
      </w:pPr>
      <w:r>
        <w:rPr>
          <w:rFonts w:hint="eastAsia"/>
        </w:rPr>
        <w:t xml:space="preserve">Lundgren T, Marklund P O, Samakovlis E et al(2015). </w:t>
      </w:r>
      <w:r>
        <w:rPr>
          <w:rFonts w:hint="eastAsia"/>
        </w:rPr>
        <w:t>“</w:t>
      </w:r>
      <w:r>
        <w:rPr>
          <w:rFonts w:hint="eastAsia"/>
        </w:rPr>
        <w:t>Carbon prices and incentives for technological development</w:t>
      </w:r>
      <w:r>
        <w:rPr>
          <w:rFonts w:hint="eastAsia"/>
        </w:rPr>
        <w:t>”，</w:t>
      </w:r>
      <w:r w:rsidRPr="00FB72F5">
        <w:rPr>
          <w:rFonts w:hint="eastAsia"/>
          <w:i/>
          <w:iCs/>
        </w:rPr>
        <w:t>Journal of Environmental Management</w:t>
      </w:r>
      <w:r>
        <w:rPr>
          <w:rFonts w:hint="eastAsia"/>
        </w:rPr>
        <w:t xml:space="preserve"> 150: 393</w:t>
      </w:r>
      <w:r>
        <w:rPr>
          <w:rFonts w:hint="eastAsia"/>
        </w:rPr>
        <w:t>–</w:t>
      </w:r>
      <w:r>
        <w:rPr>
          <w:rFonts w:hint="eastAsia"/>
        </w:rPr>
        <w:t xml:space="preserve">403. </w:t>
      </w:r>
    </w:p>
    <w:p w14:paraId="1E538305" w14:textId="77777777" w:rsidR="00FB72F5" w:rsidRDefault="00FB72F5" w:rsidP="00FB72F5">
      <w:pPr>
        <w:pStyle w:val="Ref"/>
        <w:ind w:left="420" w:hanging="420"/>
      </w:pPr>
      <w:r>
        <w:rPr>
          <w:rFonts w:hint="eastAsia"/>
        </w:rPr>
        <w:t xml:space="preserve">Lutz B J, (2016). </w:t>
      </w:r>
      <w:r>
        <w:rPr>
          <w:rFonts w:hint="eastAsia"/>
        </w:rPr>
        <w:t>“</w:t>
      </w:r>
      <w:r>
        <w:rPr>
          <w:rFonts w:hint="eastAsia"/>
        </w:rPr>
        <w:t>Emissions Trading and Productivity: Firm-Level Evidence from German Manufacturing</w:t>
      </w:r>
      <w:r>
        <w:rPr>
          <w:rFonts w:hint="eastAsia"/>
        </w:rPr>
        <w:t>”，</w:t>
      </w:r>
      <w:r w:rsidRPr="00FB72F5">
        <w:rPr>
          <w:rFonts w:hint="eastAsia"/>
          <w:i/>
          <w:iCs/>
        </w:rPr>
        <w:t>SSRN Electronic Journal</w:t>
      </w:r>
      <w:r>
        <w:rPr>
          <w:rFonts w:hint="eastAsia"/>
        </w:rPr>
        <w:t xml:space="preserve">. </w:t>
      </w:r>
    </w:p>
    <w:p w14:paraId="04D618E8" w14:textId="77777777" w:rsidR="00FB72F5" w:rsidRDefault="00FB72F5" w:rsidP="00FB72F5">
      <w:pPr>
        <w:pStyle w:val="Ref"/>
        <w:ind w:left="420" w:hanging="420"/>
      </w:pPr>
      <w:r>
        <w:rPr>
          <w:rFonts w:hint="eastAsia"/>
        </w:rPr>
        <w:t xml:space="preserve">Meeusen W, Van den Broeck J, (1977). </w:t>
      </w:r>
      <w:r>
        <w:rPr>
          <w:rFonts w:hint="eastAsia"/>
        </w:rPr>
        <w:t>“</w:t>
      </w:r>
      <w:r>
        <w:rPr>
          <w:rFonts w:hint="eastAsia"/>
        </w:rPr>
        <w:t>Efficiency Estimation from Cobb-Douglas Production Functions with Composed Error</w:t>
      </w:r>
      <w:r>
        <w:rPr>
          <w:rFonts w:hint="eastAsia"/>
        </w:rPr>
        <w:t>”，</w:t>
      </w:r>
      <w:r w:rsidRPr="00FB72F5">
        <w:rPr>
          <w:rFonts w:hint="eastAsia"/>
          <w:i/>
          <w:iCs/>
        </w:rPr>
        <w:t>International Economic Review</w:t>
      </w:r>
      <w:r>
        <w:rPr>
          <w:rFonts w:hint="eastAsia"/>
        </w:rPr>
        <w:t xml:space="preserve"> 18(2): 435</w:t>
      </w:r>
      <w:r>
        <w:rPr>
          <w:rFonts w:hint="eastAsia"/>
        </w:rPr>
        <w:t>–</w:t>
      </w:r>
      <w:r>
        <w:rPr>
          <w:rFonts w:hint="eastAsia"/>
        </w:rPr>
        <w:t>444.</w:t>
      </w:r>
    </w:p>
    <w:p w14:paraId="248637B4" w14:textId="77777777" w:rsidR="00FB72F5" w:rsidRDefault="00FB72F5" w:rsidP="00FB72F5">
      <w:pPr>
        <w:pStyle w:val="Ref"/>
        <w:ind w:left="420" w:hanging="420"/>
      </w:pPr>
      <w:r>
        <w:rPr>
          <w:rFonts w:hint="eastAsia"/>
        </w:rPr>
        <w:t xml:space="preserve">Molina T, Rivadeneyra I, (2021). </w:t>
      </w:r>
      <w:r>
        <w:rPr>
          <w:rFonts w:hint="eastAsia"/>
        </w:rPr>
        <w:t>“</w:t>
      </w:r>
      <w:r>
        <w:rPr>
          <w:rFonts w:hint="eastAsia"/>
        </w:rPr>
        <w:t>The schooling and labor market effects of eliminating university tuition in Ecuador</w:t>
      </w:r>
      <w:r>
        <w:rPr>
          <w:rFonts w:hint="eastAsia"/>
        </w:rPr>
        <w:t>”，</w:t>
      </w:r>
      <w:r w:rsidRPr="00FB72F5">
        <w:rPr>
          <w:rFonts w:hint="eastAsia"/>
          <w:i/>
          <w:iCs/>
        </w:rPr>
        <w:t>Journal of Public Economics</w:t>
      </w:r>
      <w:r>
        <w:rPr>
          <w:rFonts w:hint="eastAsia"/>
        </w:rPr>
        <w:t xml:space="preserve"> 196: 104383. </w:t>
      </w:r>
    </w:p>
    <w:p w14:paraId="4C13A970" w14:textId="77777777" w:rsidR="00FB72F5" w:rsidRDefault="00FB72F5" w:rsidP="00FB72F5">
      <w:pPr>
        <w:pStyle w:val="Ref"/>
        <w:ind w:left="420" w:hanging="420"/>
      </w:pPr>
      <w:r>
        <w:rPr>
          <w:rFonts w:hint="eastAsia"/>
        </w:rPr>
        <w:t xml:space="preserve">Olley G S, Pakes A, (1996). </w:t>
      </w:r>
      <w:r>
        <w:rPr>
          <w:rFonts w:hint="eastAsia"/>
        </w:rPr>
        <w:t>“</w:t>
      </w:r>
      <w:r>
        <w:rPr>
          <w:rFonts w:hint="eastAsia"/>
        </w:rPr>
        <w:t>The Dynamics of Productivity in the Telecommunications Equipment Industry</w:t>
      </w:r>
      <w:r>
        <w:rPr>
          <w:rFonts w:hint="eastAsia"/>
        </w:rPr>
        <w:t>”，</w:t>
      </w:r>
      <w:r w:rsidRPr="00FB72F5">
        <w:rPr>
          <w:rFonts w:hint="eastAsia"/>
          <w:i/>
          <w:iCs/>
        </w:rPr>
        <w:t>Econometrica</w:t>
      </w:r>
      <w:r>
        <w:rPr>
          <w:rFonts w:hint="eastAsia"/>
        </w:rPr>
        <w:t xml:space="preserve"> 64(6): 1263. </w:t>
      </w:r>
    </w:p>
    <w:p w14:paraId="29581E9B" w14:textId="77777777" w:rsidR="00FB72F5" w:rsidRDefault="00FB72F5" w:rsidP="00FB72F5">
      <w:pPr>
        <w:pStyle w:val="Ref"/>
        <w:ind w:left="420" w:hanging="420"/>
      </w:pPr>
      <w:r>
        <w:rPr>
          <w:rFonts w:hint="eastAsia"/>
        </w:rPr>
        <w:t xml:space="preserve">Pan X, Pu C, Yuan S et al(2022). </w:t>
      </w:r>
      <w:r>
        <w:rPr>
          <w:rFonts w:hint="eastAsia"/>
        </w:rPr>
        <w:t>“</w:t>
      </w:r>
      <w:r>
        <w:rPr>
          <w:rFonts w:hint="eastAsia"/>
        </w:rPr>
        <w:t>Effect of Chinese pilots carbon emission trading scheme on enterprises</w:t>
      </w:r>
      <w:r>
        <w:rPr>
          <w:rFonts w:hint="eastAsia"/>
        </w:rPr>
        <w:t>’</w:t>
      </w:r>
      <w:r>
        <w:rPr>
          <w:rFonts w:hint="eastAsia"/>
        </w:rPr>
        <w:t xml:space="preserve"> total factor productivity: The moderating role of government participation and carbon trading market efficiency</w:t>
      </w:r>
      <w:r>
        <w:rPr>
          <w:rFonts w:hint="eastAsia"/>
        </w:rPr>
        <w:t>”，</w:t>
      </w:r>
      <w:r w:rsidRPr="00FB72F5">
        <w:rPr>
          <w:rFonts w:hint="eastAsia"/>
          <w:i/>
          <w:iCs/>
        </w:rPr>
        <w:t xml:space="preserve">Journal of Environmental Management </w:t>
      </w:r>
      <w:r>
        <w:rPr>
          <w:rFonts w:hint="eastAsia"/>
        </w:rPr>
        <w:t>3</w:t>
      </w:r>
      <w:r>
        <w:t xml:space="preserve">16: 115228. </w:t>
      </w:r>
    </w:p>
    <w:p w14:paraId="349AEFE2" w14:textId="77777777" w:rsidR="00FB72F5" w:rsidRDefault="00FB72F5" w:rsidP="00FB72F5">
      <w:pPr>
        <w:pStyle w:val="Ref"/>
        <w:ind w:left="420" w:hanging="420"/>
      </w:pPr>
      <w:r>
        <w:rPr>
          <w:rFonts w:hint="eastAsia"/>
        </w:rPr>
        <w:t xml:space="preserve">Pigou A C, 1932. The Economics of Welfare[M]. 4 </w:t>
      </w:r>
      <w:r>
        <w:rPr>
          <w:rFonts w:hint="eastAsia"/>
        </w:rPr>
        <w:t>版</w:t>
      </w:r>
      <w:r>
        <w:rPr>
          <w:rFonts w:hint="eastAsia"/>
        </w:rPr>
        <w:t xml:space="preserve">. </w:t>
      </w:r>
      <w:r w:rsidRPr="00FB72F5">
        <w:rPr>
          <w:rFonts w:hint="eastAsia"/>
          <w:i/>
          <w:iCs/>
        </w:rPr>
        <w:t>London: Macmillan</w:t>
      </w:r>
      <w:r>
        <w:rPr>
          <w:rFonts w:hint="eastAsia"/>
        </w:rPr>
        <w:t>.</w:t>
      </w:r>
    </w:p>
    <w:p w14:paraId="36F18732" w14:textId="4847B1B7" w:rsidR="00FB72F5" w:rsidRDefault="00FB72F5" w:rsidP="00FB72F5">
      <w:pPr>
        <w:pStyle w:val="Ref"/>
        <w:ind w:left="420" w:hanging="420"/>
      </w:pPr>
      <w:r>
        <w:t xml:space="preserve">Porter M E, Linde C Van der, (1995). “Toward a New Conception of the Environment-Competitiveness Relationship”. </w:t>
      </w:r>
      <w:r w:rsidRPr="00FB72F5">
        <w:rPr>
          <w:i/>
          <w:iCs/>
        </w:rPr>
        <w:t>Journal of Economic Perspectives</w:t>
      </w:r>
      <w:r>
        <w:t xml:space="preserve"> 9(4): 97–118. </w:t>
      </w:r>
    </w:p>
    <w:p w14:paraId="6ADC57B0" w14:textId="77777777" w:rsidR="00FB72F5" w:rsidRDefault="00FB72F5" w:rsidP="00FB72F5">
      <w:pPr>
        <w:pStyle w:val="Ref"/>
        <w:ind w:left="420" w:hanging="420"/>
      </w:pPr>
      <w:r>
        <w:rPr>
          <w:rFonts w:hint="eastAsia"/>
        </w:rPr>
        <w:t xml:space="preserve">Savvides A, Zachariadis M, (2005). </w:t>
      </w:r>
      <w:r>
        <w:rPr>
          <w:rFonts w:hint="eastAsia"/>
        </w:rPr>
        <w:t>“</w:t>
      </w:r>
      <w:r>
        <w:rPr>
          <w:rFonts w:hint="eastAsia"/>
        </w:rPr>
        <w:t>International Technology Diffusion and the Growth of TFP in the Manufacturing Sector of Developing Economies</w:t>
      </w:r>
      <w:r>
        <w:rPr>
          <w:rFonts w:hint="eastAsia"/>
        </w:rPr>
        <w:t>”，</w:t>
      </w:r>
      <w:r w:rsidRPr="00FB72F5">
        <w:rPr>
          <w:rFonts w:hint="eastAsia"/>
          <w:i/>
          <w:iCs/>
        </w:rPr>
        <w:t>Review of Development Economics</w:t>
      </w:r>
      <w:r>
        <w:rPr>
          <w:rFonts w:hint="eastAsia"/>
        </w:rPr>
        <w:t xml:space="preserve"> 9(4): 482</w:t>
      </w:r>
      <w:r>
        <w:rPr>
          <w:rFonts w:hint="eastAsia"/>
        </w:rPr>
        <w:t>–</w:t>
      </w:r>
      <w:r>
        <w:rPr>
          <w:rFonts w:hint="eastAsia"/>
        </w:rPr>
        <w:t xml:space="preserve">501. </w:t>
      </w:r>
    </w:p>
    <w:p w14:paraId="221CE291" w14:textId="77777777" w:rsidR="00FB72F5" w:rsidRDefault="00FB72F5" w:rsidP="00FB72F5">
      <w:pPr>
        <w:pStyle w:val="Ref"/>
        <w:ind w:left="420" w:hanging="420"/>
      </w:pPr>
      <w:r>
        <w:rPr>
          <w:rFonts w:hint="eastAsia"/>
        </w:rPr>
        <w:t xml:space="preserve">Solow R M, (1957). </w:t>
      </w:r>
      <w:r>
        <w:rPr>
          <w:rFonts w:hint="eastAsia"/>
        </w:rPr>
        <w:t>“</w:t>
      </w:r>
      <w:r>
        <w:rPr>
          <w:rFonts w:hint="eastAsia"/>
        </w:rPr>
        <w:t>Technical Change and the Aggregate Production Function</w:t>
      </w:r>
      <w:r>
        <w:rPr>
          <w:rFonts w:hint="eastAsia"/>
        </w:rPr>
        <w:t>”，</w:t>
      </w:r>
      <w:r w:rsidRPr="00FB72F5">
        <w:rPr>
          <w:rFonts w:hint="eastAsia"/>
          <w:i/>
          <w:iCs/>
        </w:rPr>
        <w:t>The Review of Economics and Statistics</w:t>
      </w:r>
      <w:r>
        <w:rPr>
          <w:rFonts w:hint="eastAsia"/>
        </w:rPr>
        <w:t xml:space="preserve"> 39(3): 312.</w:t>
      </w:r>
    </w:p>
    <w:p w14:paraId="492C903E" w14:textId="77777777" w:rsidR="00FB72F5" w:rsidRDefault="00FB72F5" w:rsidP="00FB72F5">
      <w:pPr>
        <w:pStyle w:val="Ref"/>
        <w:ind w:left="420" w:hanging="420"/>
      </w:pPr>
      <w:r>
        <w:rPr>
          <w:rFonts w:hint="eastAsia"/>
        </w:rPr>
        <w:t xml:space="preserve">Stoever J, Weche J P, (2018). </w:t>
      </w:r>
      <w:r>
        <w:rPr>
          <w:rFonts w:hint="eastAsia"/>
        </w:rPr>
        <w:t>“</w:t>
      </w:r>
      <w:r>
        <w:rPr>
          <w:rFonts w:hint="eastAsia"/>
        </w:rPr>
        <w:t>Environmental Regulation and Sustainable Competitiveness: Evaluating the Role of Firm-Level Green Investments in the Context of the Porter Hypothesis</w:t>
      </w:r>
      <w:r>
        <w:rPr>
          <w:rFonts w:hint="eastAsia"/>
        </w:rPr>
        <w:t>”，</w:t>
      </w:r>
      <w:r w:rsidRPr="00FB72F5">
        <w:rPr>
          <w:rFonts w:hint="eastAsia"/>
          <w:i/>
          <w:iCs/>
        </w:rPr>
        <w:t xml:space="preserve">Environmental and Resource Economics </w:t>
      </w:r>
      <w:r>
        <w:rPr>
          <w:rFonts w:hint="eastAsia"/>
        </w:rPr>
        <w:t>70(2): 429</w:t>
      </w:r>
      <w:r>
        <w:rPr>
          <w:rFonts w:hint="eastAsia"/>
        </w:rPr>
        <w:t>–</w:t>
      </w:r>
      <w:r>
        <w:rPr>
          <w:rFonts w:hint="eastAsia"/>
        </w:rPr>
        <w:t xml:space="preserve">455. </w:t>
      </w:r>
    </w:p>
    <w:p w14:paraId="4DA683DF" w14:textId="77777777" w:rsidR="00FB72F5" w:rsidRDefault="00FB72F5" w:rsidP="00FB72F5">
      <w:pPr>
        <w:pStyle w:val="Ref"/>
        <w:ind w:left="420" w:hanging="420"/>
      </w:pPr>
      <w:r>
        <w:rPr>
          <w:rFonts w:hint="eastAsia"/>
        </w:rPr>
        <w:t xml:space="preserve">Strittmatter A, Lechner M, (2020). </w:t>
      </w:r>
      <w:r>
        <w:rPr>
          <w:rFonts w:hint="eastAsia"/>
        </w:rPr>
        <w:t>“</w:t>
      </w:r>
      <w:r>
        <w:rPr>
          <w:rFonts w:hint="eastAsia"/>
        </w:rPr>
        <w:t>Sorting in the used-car market after the Volkswagen emission scandal</w:t>
      </w:r>
      <w:r>
        <w:rPr>
          <w:rFonts w:hint="eastAsia"/>
        </w:rPr>
        <w:t>”，</w:t>
      </w:r>
      <w:r w:rsidRPr="00FB72F5">
        <w:rPr>
          <w:rFonts w:hint="eastAsia"/>
          <w:i/>
          <w:iCs/>
        </w:rPr>
        <w:t xml:space="preserve">Journal of Environmental Economics and Management </w:t>
      </w:r>
      <w:r>
        <w:rPr>
          <w:rFonts w:hint="eastAsia"/>
        </w:rPr>
        <w:t xml:space="preserve">101: 102305. </w:t>
      </w:r>
    </w:p>
    <w:p w14:paraId="081DEAB1" w14:textId="77777777" w:rsidR="00FB72F5" w:rsidRDefault="00FB72F5" w:rsidP="00FB72F5">
      <w:pPr>
        <w:pStyle w:val="Ref"/>
        <w:ind w:left="420" w:hanging="420"/>
      </w:pPr>
      <w:r>
        <w:rPr>
          <w:rFonts w:hint="eastAsia"/>
        </w:rPr>
        <w:t xml:space="preserve">Tang L, Wu J, Yu L et al(2015). </w:t>
      </w:r>
      <w:r>
        <w:rPr>
          <w:rFonts w:hint="eastAsia"/>
        </w:rPr>
        <w:t>“</w:t>
      </w:r>
      <w:r>
        <w:rPr>
          <w:rFonts w:hint="eastAsia"/>
        </w:rPr>
        <w:t>Carbon emissions trading scheme exploration in China: A multi-agent-based model</w:t>
      </w:r>
      <w:r>
        <w:rPr>
          <w:rFonts w:hint="eastAsia"/>
        </w:rPr>
        <w:t>”，</w:t>
      </w:r>
      <w:r w:rsidRPr="00FB72F5">
        <w:rPr>
          <w:rFonts w:hint="eastAsia"/>
          <w:i/>
          <w:iCs/>
        </w:rPr>
        <w:t>Energy</w:t>
      </w:r>
      <w:r>
        <w:rPr>
          <w:rFonts w:hint="eastAsia"/>
        </w:rPr>
        <w:t xml:space="preserve"> </w:t>
      </w:r>
      <w:r w:rsidRPr="00FB72F5">
        <w:rPr>
          <w:rFonts w:hint="eastAsia"/>
          <w:i/>
          <w:iCs/>
        </w:rPr>
        <w:t>Policy</w:t>
      </w:r>
      <w:r>
        <w:rPr>
          <w:rFonts w:hint="eastAsia"/>
        </w:rPr>
        <w:t xml:space="preserve"> 81: 152</w:t>
      </w:r>
      <w:r>
        <w:rPr>
          <w:rFonts w:hint="eastAsia"/>
        </w:rPr>
        <w:t>–</w:t>
      </w:r>
      <w:r>
        <w:rPr>
          <w:rFonts w:hint="eastAsia"/>
        </w:rPr>
        <w:t xml:space="preserve">169. </w:t>
      </w:r>
    </w:p>
    <w:p w14:paraId="7EC13242" w14:textId="77777777" w:rsidR="00FB72F5" w:rsidRDefault="00FB72F5" w:rsidP="00FB72F5">
      <w:pPr>
        <w:pStyle w:val="Ref"/>
        <w:ind w:left="420" w:hanging="420"/>
      </w:pPr>
      <w:r>
        <w:rPr>
          <w:rFonts w:hint="eastAsia"/>
        </w:rPr>
        <w:t xml:space="preserve">Themann M, Koch N, (2021). </w:t>
      </w:r>
      <w:r>
        <w:rPr>
          <w:rFonts w:hint="eastAsia"/>
        </w:rPr>
        <w:t>“</w:t>
      </w:r>
      <w:r>
        <w:rPr>
          <w:rFonts w:hint="eastAsia"/>
        </w:rPr>
        <w:t xml:space="preserve">Catching Up and Falling Behind: Cross-country Evidence on the Impact of </w:t>
      </w:r>
      <w:r>
        <w:rPr>
          <w:rFonts w:hint="eastAsia"/>
        </w:rPr>
        <w:lastRenderedPageBreak/>
        <w:t>the EU ETS on Firm Productivity</w:t>
      </w:r>
      <w:r>
        <w:rPr>
          <w:rFonts w:hint="eastAsia"/>
        </w:rPr>
        <w:t>”，</w:t>
      </w:r>
      <w:r w:rsidRPr="00FB72F5">
        <w:rPr>
          <w:rFonts w:hint="eastAsia"/>
          <w:i/>
          <w:iCs/>
        </w:rPr>
        <w:t>SSRN Electronic Journal</w:t>
      </w:r>
      <w:r>
        <w:rPr>
          <w:rFonts w:hint="eastAsia"/>
        </w:rPr>
        <w:t xml:space="preserve">. </w:t>
      </w:r>
    </w:p>
    <w:p w14:paraId="54B20363" w14:textId="77777777" w:rsidR="00FB72F5" w:rsidRDefault="00FB72F5" w:rsidP="00FB72F5">
      <w:pPr>
        <w:pStyle w:val="Ref"/>
        <w:ind w:left="420" w:hanging="420"/>
      </w:pPr>
      <w:r>
        <w:rPr>
          <w:rFonts w:hint="eastAsia"/>
        </w:rPr>
        <w:t xml:space="preserve">Tsamadias C, Pegkas P, Mamatzakis E et al(2019). </w:t>
      </w:r>
      <w:r>
        <w:rPr>
          <w:rFonts w:hint="eastAsia"/>
        </w:rPr>
        <w:t>“</w:t>
      </w:r>
      <w:r>
        <w:rPr>
          <w:rFonts w:hint="eastAsia"/>
        </w:rPr>
        <w:t>Does R&amp;amp;D, human capital and FDI matter for TFP in OECD countries?</w:t>
      </w:r>
      <w:r>
        <w:rPr>
          <w:rFonts w:hint="eastAsia"/>
        </w:rPr>
        <w:t>”，</w:t>
      </w:r>
      <w:r w:rsidRPr="00FB72F5">
        <w:rPr>
          <w:rFonts w:hint="eastAsia"/>
          <w:i/>
          <w:iCs/>
        </w:rPr>
        <w:t>Economics of Innovation and New Technology</w:t>
      </w:r>
      <w:r>
        <w:rPr>
          <w:rFonts w:hint="eastAsia"/>
        </w:rPr>
        <w:t xml:space="preserve"> 28(4): 386</w:t>
      </w:r>
      <w:r>
        <w:rPr>
          <w:rFonts w:hint="eastAsia"/>
        </w:rPr>
        <w:t>–</w:t>
      </w:r>
      <w:r>
        <w:rPr>
          <w:rFonts w:hint="eastAsia"/>
        </w:rPr>
        <w:t xml:space="preserve">406. </w:t>
      </w:r>
    </w:p>
    <w:p w14:paraId="4C38DF15" w14:textId="77777777" w:rsidR="00FB72F5" w:rsidRDefault="00FB72F5" w:rsidP="00FB72F5">
      <w:pPr>
        <w:pStyle w:val="Ref"/>
        <w:ind w:left="420" w:hanging="420"/>
      </w:pPr>
      <w:r>
        <w:rPr>
          <w:rFonts w:hint="eastAsia"/>
        </w:rPr>
        <w:t xml:space="preserve">Venmans F, Ellis J, Nachtigall D, (2020). </w:t>
      </w:r>
      <w:r>
        <w:rPr>
          <w:rFonts w:hint="eastAsia"/>
        </w:rPr>
        <w:t>“</w:t>
      </w:r>
      <w:r>
        <w:rPr>
          <w:rFonts w:hint="eastAsia"/>
        </w:rPr>
        <w:t>Carbon pricing and competitiveness: are they at odds?</w:t>
      </w:r>
      <w:r>
        <w:rPr>
          <w:rFonts w:hint="eastAsia"/>
        </w:rPr>
        <w:t>”，</w:t>
      </w:r>
      <w:r w:rsidRPr="00FB72F5">
        <w:rPr>
          <w:rFonts w:hint="eastAsia"/>
          <w:i/>
          <w:iCs/>
        </w:rPr>
        <w:t>Climate</w:t>
      </w:r>
      <w:r>
        <w:rPr>
          <w:rFonts w:hint="eastAsia"/>
        </w:rPr>
        <w:t xml:space="preserve"> </w:t>
      </w:r>
      <w:r w:rsidRPr="00FB72F5">
        <w:rPr>
          <w:rFonts w:hint="eastAsia"/>
          <w:i/>
          <w:iCs/>
        </w:rPr>
        <w:t>Policy</w:t>
      </w:r>
      <w:r>
        <w:rPr>
          <w:rFonts w:hint="eastAsia"/>
        </w:rPr>
        <w:t xml:space="preserve"> 20(9): 1070</w:t>
      </w:r>
      <w:r>
        <w:rPr>
          <w:rFonts w:hint="eastAsia"/>
        </w:rPr>
        <w:t>–</w:t>
      </w:r>
      <w:r>
        <w:rPr>
          <w:rFonts w:hint="eastAsia"/>
        </w:rPr>
        <w:t>1091.</w:t>
      </w:r>
    </w:p>
    <w:p w14:paraId="3CD2F49B" w14:textId="77777777" w:rsidR="00FB72F5" w:rsidRDefault="00FB72F5" w:rsidP="00FB72F5">
      <w:pPr>
        <w:pStyle w:val="Ref"/>
        <w:ind w:left="420" w:hanging="420"/>
      </w:pPr>
      <w:r>
        <w:rPr>
          <w:rFonts w:hint="eastAsia"/>
        </w:rPr>
        <w:t xml:space="preserve">Wang F, Liu X, Nguyen T A, (2018). </w:t>
      </w:r>
      <w:r>
        <w:rPr>
          <w:rFonts w:hint="eastAsia"/>
        </w:rPr>
        <w:t>“</w:t>
      </w:r>
      <w:r>
        <w:rPr>
          <w:rFonts w:hint="eastAsia"/>
        </w:rPr>
        <w:t>Evaluating the economic impacts and feasibility of China</w:t>
      </w:r>
      <w:r>
        <w:rPr>
          <w:rFonts w:hint="eastAsia"/>
        </w:rPr>
        <w:t>’</w:t>
      </w:r>
      <w:r>
        <w:rPr>
          <w:rFonts w:hint="eastAsia"/>
        </w:rPr>
        <w:t>s energy cap: Based on an Analytic General Equilibrium Model</w:t>
      </w:r>
      <w:r>
        <w:rPr>
          <w:rFonts w:hint="eastAsia"/>
        </w:rPr>
        <w:t>”，</w:t>
      </w:r>
      <w:r w:rsidRPr="00FB72F5">
        <w:rPr>
          <w:rFonts w:hint="eastAsia"/>
          <w:i/>
          <w:iCs/>
        </w:rPr>
        <w:t>Economic</w:t>
      </w:r>
      <w:r>
        <w:rPr>
          <w:rFonts w:hint="eastAsia"/>
        </w:rPr>
        <w:t xml:space="preserve"> </w:t>
      </w:r>
      <w:r w:rsidRPr="00FB72F5">
        <w:rPr>
          <w:rFonts w:hint="eastAsia"/>
          <w:i/>
          <w:iCs/>
        </w:rPr>
        <w:t>Modelling</w:t>
      </w:r>
      <w:r>
        <w:rPr>
          <w:rFonts w:hint="eastAsia"/>
        </w:rPr>
        <w:t xml:space="preserve"> 69: 114</w:t>
      </w:r>
      <w:r>
        <w:rPr>
          <w:rFonts w:hint="eastAsia"/>
        </w:rPr>
        <w:t>–</w:t>
      </w:r>
      <w:r>
        <w:rPr>
          <w:rFonts w:hint="eastAsia"/>
        </w:rPr>
        <w:t xml:space="preserve">126. </w:t>
      </w:r>
    </w:p>
    <w:p w14:paraId="03FEBF32" w14:textId="77777777" w:rsidR="00FB72F5" w:rsidRDefault="00FB72F5" w:rsidP="00FB72F5">
      <w:pPr>
        <w:pStyle w:val="Ref"/>
        <w:ind w:left="420" w:hanging="420"/>
      </w:pPr>
      <w:r>
        <w:rPr>
          <w:rFonts w:hint="eastAsia"/>
        </w:rPr>
        <w:t xml:space="preserve">Wu Q, Wang Y, (2022). </w:t>
      </w:r>
      <w:r>
        <w:rPr>
          <w:rFonts w:hint="eastAsia"/>
        </w:rPr>
        <w:t>“</w:t>
      </w:r>
      <w:r>
        <w:rPr>
          <w:rFonts w:hint="eastAsia"/>
        </w:rPr>
        <w:t>How does carbon emission price stimulate enterprises</w:t>
      </w:r>
      <w:r>
        <w:rPr>
          <w:rFonts w:hint="eastAsia"/>
        </w:rPr>
        <w:t>’</w:t>
      </w:r>
      <w:r>
        <w:rPr>
          <w:rFonts w:hint="eastAsia"/>
        </w:rPr>
        <w:t xml:space="preserve"> total factor productivity? Insights from China</w:t>
      </w:r>
      <w:r>
        <w:rPr>
          <w:rFonts w:hint="eastAsia"/>
        </w:rPr>
        <w:t>’</w:t>
      </w:r>
      <w:r>
        <w:rPr>
          <w:rFonts w:hint="eastAsia"/>
        </w:rPr>
        <w:t>s emission trading scheme pilots</w:t>
      </w:r>
      <w:r>
        <w:rPr>
          <w:rFonts w:hint="eastAsia"/>
        </w:rPr>
        <w:t>”，</w:t>
      </w:r>
      <w:r w:rsidRPr="00FB72F5">
        <w:rPr>
          <w:rFonts w:hint="eastAsia"/>
          <w:i/>
          <w:iCs/>
        </w:rPr>
        <w:t>Energy</w:t>
      </w:r>
      <w:r>
        <w:rPr>
          <w:rFonts w:hint="eastAsia"/>
        </w:rPr>
        <w:t xml:space="preserve"> </w:t>
      </w:r>
      <w:r w:rsidRPr="00FB72F5">
        <w:rPr>
          <w:rFonts w:hint="eastAsia"/>
          <w:i/>
          <w:iCs/>
        </w:rPr>
        <w:t>Economics</w:t>
      </w:r>
      <w:r>
        <w:rPr>
          <w:rFonts w:hint="eastAsia"/>
        </w:rPr>
        <w:t xml:space="preserve"> 109: 105990. </w:t>
      </w:r>
    </w:p>
    <w:p w14:paraId="5EF98F51" w14:textId="77777777" w:rsidR="00FB72F5" w:rsidRDefault="00FB72F5" w:rsidP="00FB72F5">
      <w:pPr>
        <w:pStyle w:val="Ref"/>
        <w:ind w:left="420" w:hanging="420"/>
      </w:pPr>
      <w:r>
        <w:rPr>
          <w:rFonts w:hint="eastAsia"/>
        </w:rPr>
        <w:t xml:space="preserve">Xiao J, Li G, Zhu B et al(2021). </w:t>
      </w:r>
      <w:r>
        <w:rPr>
          <w:rFonts w:hint="eastAsia"/>
        </w:rPr>
        <w:t>“</w:t>
      </w:r>
      <w:r>
        <w:rPr>
          <w:rFonts w:hint="eastAsia"/>
        </w:rPr>
        <w:t>Evaluating the impact of carbon emissions trading scheme on Chinese firms</w:t>
      </w:r>
      <w:r>
        <w:rPr>
          <w:rFonts w:hint="eastAsia"/>
        </w:rPr>
        <w:t>’</w:t>
      </w:r>
      <w:r>
        <w:rPr>
          <w:rFonts w:hint="eastAsia"/>
        </w:rPr>
        <w:t xml:space="preserve"> total factor productivity</w:t>
      </w:r>
      <w:r>
        <w:rPr>
          <w:rFonts w:hint="eastAsia"/>
        </w:rPr>
        <w:t>”，</w:t>
      </w:r>
      <w:r w:rsidRPr="00FB72F5">
        <w:rPr>
          <w:rFonts w:hint="eastAsia"/>
          <w:i/>
          <w:iCs/>
        </w:rPr>
        <w:t xml:space="preserve">Journal of Cleaner Production </w:t>
      </w:r>
      <w:r>
        <w:rPr>
          <w:rFonts w:hint="eastAsia"/>
        </w:rPr>
        <w:t xml:space="preserve">306: 127104. </w:t>
      </w:r>
    </w:p>
    <w:p w14:paraId="26FC126F" w14:textId="77777777" w:rsidR="00FB72F5" w:rsidRDefault="00FB72F5" w:rsidP="00FB72F5">
      <w:pPr>
        <w:pStyle w:val="Ref"/>
        <w:ind w:left="420" w:hanging="420"/>
      </w:pPr>
      <w:r>
        <w:rPr>
          <w:rFonts w:hint="eastAsia"/>
        </w:rPr>
        <w:t xml:space="preserve">Yang S W, Wang C, Zhang H et al(2022). </w:t>
      </w:r>
      <w:r>
        <w:rPr>
          <w:rFonts w:hint="eastAsia"/>
        </w:rPr>
        <w:t>“</w:t>
      </w:r>
      <w:r>
        <w:rPr>
          <w:rFonts w:hint="eastAsia"/>
        </w:rPr>
        <w:t>Environmental regulation, firms</w:t>
      </w:r>
      <w:r>
        <w:rPr>
          <w:rFonts w:hint="eastAsia"/>
        </w:rPr>
        <w:t>’</w:t>
      </w:r>
      <w:r>
        <w:rPr>
          <w:rFonts w:hint="eastAsia"/>
        </w:rPr>
        <w:t xml:space="preserve"> bargaining power, and firms</w:t>
      </w:r>
      <w:r>
        <w:rPr>
          <w:rFonts w:hint="eastAsia"/>
        </w:rPr>
        <w:t>’</w:t>
      </w:r>
      <w:r>
        <w:rPr>
          <w:rFonts w:hint="eastAsia"/>
        </w:rPr>
        <w:t xml:space="preserve"> total factor productivity: evidence from China</w:t>
      </w:r>
      <w:r>
        <w:rPr>
          <w:rFonts w:hint="eastAsia"/>
        </w:rPr>
        <w:t>”，</w:t>
      </w:r>
      <w:r w:rsidRPr="00FB72F5">
        <w:rPr>
          <w:rFonts w:hint="eastAsia"/>
          <w:i/>
          <w:iCs/>
        </w:rPr>
        <w:t xml:space="preserve">Environmental Science and Pollution Research </w:t>
      </w:r>
      <w:r>
        <w:rPr>
          <w:rFonts w:hint="eastAsia"/>
        </w:rPr>
        <w:t>29(6): 9341</w:t>
      </w:r>
      <w:r>
        <w:rPr>
          <w:rFonts w:hint="eastAsia"/>
        </w:rPr>
        <w:t>–</w:t>
      </w:r>
      <w:r>
        <w:rPr>
          <w:rFonts w:hint="eastAsia"/>
        </w:rPr>
        <w:t xml:space="preserve">9353. </w:t>
      </w:r>
    </w:p>
    <w:p w14:paraId="2F5BF767" w14:textId="77777777" w:rsidR="00FB72F5" w:rsidRDefault="00FB72F5" w:rsidP="00FB72F5">
      <w:pPr>
        <w:pStyle w:val="Ref"/>
        <w:ind w:left="420" w:hanging="420"/>
      </w:pPr>
      <w:r>
        <w:rPr>
          <w:rFonts w:hint="eastAsia"/>
        </w:rPr>
        <w:t xml:space="preserve">Yuan B, Xiang Q, (2018). </w:t>
      </w:r>
      <w:r>
        <w:rPr>
          <w:rFonts w:hint="eastAsia"/>
        </w:rPr>
        <w:t>“</w:t>
      </w:r>
      <w:r>
        <w:rPr>
          <w:rFonts w:hint="eastAsia"/>
        </w:rPr>
        <w:t>Environmental regulation, industrial innovation and green development of Chinese manufacturing: Based on an extended CDM model</w:t>
      </w:r>
      <w:r>
        <w:rPr>
          <w:rFonts w:hint="eastAsia"/>
        </w:rPr>
        <w:t>”，</w:t>
      </w:r>
      <w:r w:rsidRPr="00FB72F5">
        <w:rPr>
          <w:rFonts w:hint="eastAsia"/>
          <w:i/>
          <w:iCs/>
        </w:rPr>
        <w:t>Journal of Cleaner Production</w:t>
      </w:r>
      <w:r>
        <w:rPr>
          <w:rFonts w:hint="eastAsia"/>
        </w:rPr>
        <w:t xml:space="preserve"> 176: 895</w:t>
      </w:r>
      <w:r>
        <w:rPr>
          <w:rFonts w:hint="eastAsia"/>
        </w:rPr>
        <w:t>–</w:t>
      </w:r>
      <w:r>
        <w:rPr>
          <w:rFonts w:hint="eastAsia"/>
        </w:rPr>
        <w:t xml:space="preserve">908. </w:t>
      </w:r>
    </w:p>
    <w:p w14:paraId="762F0467" w14:textId="77777777" w:rsidR="00FB72F5" w:rsidRDefault="00FB72F5" w:rsidP="00FB72F5">
      <w:pPr>
        <w:pStyle w:val="Ref"/>
        <w:ind w:left="420" w:hanging="420"/>
      </w:pPr>
      <w:r>
        <w:rPr>
          <w:rFonts w:hint="eastAsia"/>
        </w:rPr>
        <w:t xml:space="preserve">Zhang D, Vigne S A, (2021). </w:t>
      </w:r>
      <w:r>
        <w:rPr>
          <w:rFonts w:hint="eastAsia"/>
        </w:rPr>
        <w:t>“</w:t>
      </w:r>
      <w:r>
        <w:rPr>
          <w:rFonts w:hint="eastAsia"/>
        </w:rPr>
        <w:t>The causal effect on firm performance of China</w:t>
      </w:r>
      <w:r>
        <w:rPr>
          <w:rFonts w:hint="eastAsia"/>
        </w:rPr>
        <w:t>’</w:t>
      </w:r>
      <w:r>
        <w:rPr>
          <w:rFonts w:hint="eastAsia"/>
        </w:rPr>
        <w:t>s financing</w:t>
      </w:r>
      <w:r>
        <w:rPr>
          <w:rFonts w:hint="eastAsia"/>
        </w:rPr>
        <w:t>–</w:t>
      </w:r>
      <w:r>
        <w:rPr>
          <w:rFonts w:hint="eastAsia"/>
        </w:rPr>
        <w:t>pollution emission reduction policy: Firm-level evidence</w:t>
      </w:r>
      <w:r>
        <w:rPr>
          <w:rFonts w:hint="eastAsia"/>
        </w:rPr>
        <w:t>”，</w:t>
      </w:r>
      <w:r w:rsidRPr="00FB72F5">
        <w:rPr>
          <w:rFonts w:hint="eastAsia"/>
          <w:i/>
          <w:iCs/>
        </w:rPr>
        <w:t>Journal of Environmental Management</w:t>
      </w:r>
      <w:r>
        <w:rPr>
          <w:rFonts w:hint="eastAsia"/>
        </w:rPr>
        <w:t xml:space="preserve"> 279: 111609. </w:t>
      </w:r>
    </w:p>
    <w:p w14:paraId="04C8E965" w14:textId="77777777" w:rsidR="00FB72F5" w:rsidRDefault="00FB72F5" w:rsidP="00FB72F5">
      <w:pPr>
        <w:pStyle w:val="Ref"/>
        <w:ind w:left="420" w:hanging="420"/>
      </w:pPr>
      <w:r>
        <w:rPr>
          <w:rFonts w:hint="eastAsia"/>
        </w:rPr>
        <w:t xml:space="preserve">Zhang N, Choi Y, (2013). </w:t>
      </w:r>
      <w:r>
        <w:rPr>
          <w:rFonts w:hint="eastAsia"/>
        </w:rPr>
        <w:t>“</w:t>
      </w:r>
      <w:r>
        <w:rPr>
          <w:rFonts w:hint="eastAsia"/>
        </w:rPr>
        <w:t>Total-factor carbon emission performance of fossil fuel power plants in China: A metafrontier non-radial Malmquist index analysis</w:t>
      </w:r>
      <w:r>
        <w:rPr>
          <w:rFonts w:hint="eastAsia"/>
        </w:rPr>
        <w:t>”，</w:t>
      </w:r>
      <w:r w:rsidRPr="00FB72F5">
        <w:rPr>
          <w:rFonts w:hint="eastAsia"/>
          <w:i/>
          <w:iCs/>
        </w:rPr>
        <w:t>Energy</w:t>
      </w:r>
      <w:r>
        <w:rPr>
          <w:rFonts w:hint="eastAsia"/>
        </w:rPr>
        <w:t xml:space="preserve"> </w:t>
      </w:r>
      <w:r w:rsidRPr="00FB72F5">
        <w:rPr>
          <w:rFonts w:hint="eastAsia"/>
          <w:i/>
          <w:iCs/>
        </w:rPr>
        <w:t>Economics</w:t>
      </w:r>
      <w:r>
        <w:rPr>
          <w:rFonts w:hint="eastAsia"/>
        </w:rPr>
        <w:t xml:space="preserve"> 40: 549</w:t>
      </w:r>
      <w:r>
        <w:rPr>
          <w:rFonts w:hint="eastAsia"/>
        </w:rPr>
        <w:t>–</w:t>
      </w:r>
      <w:r>
        <w:rPr>
          <w:rFonts w:hint="eastAsia"/>
        </w:rPr>
        <w:t>559.</w:t>
      </w:r>
    </w:p>
    <w:p w14:paraId="2AAE727A" w14:textId="77777777" w:rsidR="00FB72F5" w:rsidRDefault="00FB72F5" w:rsidP="00FB72F5">
      <w:pPr>
        <w:pStyle w:val="Ref"/>
        <w:ind w:left="420" w:hanging="420"/>
      </w:pPr>
      <w:r>
        <w:rPr>
          <w:rFonts w:hint="eastAsia"/>
        </w:rPr>
        <w:t xml:space="preserve">Zhang S, Wang Y, Hao Y et al(2021). </w:t>
      </w:r>
      <w:r>
        <w:rPr>
          <w:rFonts w:hint="eastAsia"/>
        </w:rPr>
        <w:t>“</w:t>
      </w:r>
      <w:r>
        <w:rPr>
          <w:rFonts w:hint="eastAsia"/>
        </w:rPr>
        <w:t>Shooting two hawks with one arrow: Could China</w:t>
      </w:r>
      <w:r>
        <w:rPr>
          <w:rFonts w:hint="eastAsia"/>
        </w:rPr>
        <w:t>’</w:t>
      </w:r>
      <w:r>
        <w:rPr>
          <w:rFonts w:hint="eastAsia"/>
        </w:rPr>
        <w:t>s emission trading scheme promote green development efficiency and regional carbon equality?</w:t>
      </w:r>
      <w:r>
        <w:rPr>
          <w:rFonts w:hint="eastAsia"/>
        </w:rPr>
        <w:t>”，</w:t>
      </w:r>
      <w:r w:rsidRPr="00FB72F5">
        <w:rPr>
          <w:rFonts w:hint="eastAsia"/>
          <w:i/>
          <w:iCs/>
        </w:rPr>
        <w:t>Energy</w:t>
      </w:r>
      <w:r>
        <w:rPr>
          <w:rFonts w:hint="eastAsia"/>
        </w:rPr>
        <w:t xml:space="preserve"> </w:t>
      </w:r>
      <w:r w:rsidRPr="00FB72F5">
        <w:rPr>
          <w:rFonts w:hint="eastAsia"/>
          <w:i/>
          <w:iCs/>
        </w:rPr>
        <w:t>Economics</w:t>
      </w:r>
      <w:r>
        <w:rPr>
          <w:rFonts w:hint="eastAsia"/>
        </w:rPr>
        <w:t xml:space="preserve"> 101: 105412. </w:t>
      </w:r>
    </w:p>
    <w:p w14:paraId="016A814D" w14:textId="77777777" w:rsidR="00FB72F5" w:rsidRDefault="00FB72F5" w:rsidP="00FB72F5">
      <w:pPr>
        <w:pStyle w:val="Ref"/>
        <w:ind w:left="420" w:hanging="420"/>
      </w:pPr>
      <w:r>
        <w:rPr>
          <w:rFonts w:hint="eastAsia"/>
        </w:rPr>
        <w:t xml:space="preserve">Zhang Y J, Li X P, Song Y et al(2021). </w:t>
      </w:r>
      <w:r>
        <w:rPr>
          <w:rFonts w:hint="eastAsia"/>
        </w:rPr>
        <w:t>“</w:t>
      </w:r>
      <w:r>
        <w:rPr>
          <w:rFonts w:hint="eastAsia"/>
        </w:rPr>
        <w:t>Can green industrial policy improve total factor productivity? Firm-level evidence from China</w:t>
      </w:r>
      <w:r>
        <w:rPr>
          <w:rFonts w:hint="eastAsia"/>
        </w:rPr>
        <w:t>”，</w:t>
      </w:r>
      <w:r w:rsidRPr="00FB72F5">
        <w:rPr>
          <w:rFonts w:hint="eastAsia"/>
          <w:i/>
          <w:iCs/>
        </w:rPr>
        <w:t>Structural Change and Economic Dynamics</w:t>
      </w:r>
      <w:r>
        <w:rPr>
          <w:rFonts w:hint="eastAsia"/>
        </w:rPr>
        <w:t xml:space="preserve"> 59: 51</w:t>
      </w:r>
      <w:r>
        <w:rPr>
          <w:rFonts w:hint="eastAsia"/>
        </w:rPr>
        <w:t>–</w:t>
      </w:r>
      <w:r>
        <w:rPr>
          <w:rFonts w:hint="eastAsia"/>
        </w:rPr>
        <w:t xml:space="preserve">62. </w:t>
      </w:r>
    </w:p>
    <w:p w14:paraId="6DEF0551" w14:textId="77777777" w:rsidR="00FB72F5" w:rsidRDefault="00FB72F5" w:rsidP="00FB72F5">
      <w:pPr>
        <w:pStyle w:val="Ref"/>
        <w:ind w:left="420" w:hanging="420"/>
      </w:pPr>
      <w:r>
        <w:rPr>
          <w:rFonts w:hint="eastAsia"/>
        </w:rPr>
        <w:t xml:space="preserve">Zhou D, Liang X, Zhou Y et al(2020). </w:t>
      </w:r>
      <w:r>
        <w:rPr>
          <w:rFonts w:hint="eastAsia"/>
        </w:rPr>
        <w:t>“</w:t>
      </w:r>
      <w:r>
        <w:rPr>
          <w:rFonts w:hint="eastAsia"/>
        </w:rPr>
        <w:t>Does Emission Trading Boost Carbon Productivity? Evidence from China</w:t>
      </w:r>
      <w:r>
        <w:rPr>
          <w:rFonts w:hint="eastAsia"/>
        </w:rPr>
        <w:t>’</w:t>
      </w:r>
      <w:r>
        <w:rPr>
          <w:rFonts w:hint="eastAsia"/>
        </w:rPr>
        <w:t>s Pilot Emission Trading Scheme</w:t>
      </w:r>
      <w:r>
        <w:rPr>
          <w:rFonts w:hint="eastAsia"/>
        </w:rPr>
        <w:t>”，</w:t>
      </w:r>
      <w:r w:rsidRPr="00FB72F5">
        <w:rPr>
          <w:rFonts w:hint="eastAsia"/>
          <w:i/>
          <w:iCs/>
        </w:rPr>
        <w:t>International Journal of Environmental Research and Public Health</w:t>
      </w:r>
      <w:r>
        <w:rPr>
          <w:rFonts w:hint="eastAsia"/>
        </w:rPr>
        <w:t xml:space="preserve"> 17(15): 5522.</w:t>
      </w:r>
    </w:p>
    <w:p w14:paraId="502A38F8" w14:textId="05ABE3ED" w:rsidR="00EF405D" w:rsidRDefault="00FB72F5" w:rsidP="00FB72F5">
      <w:pPr>
        <w:pStyle w:val="Ref"/>
        <w:ind w:left="420" w:hanging="420"/>
      </w:pPr>
      <w:r>
        <w:rPr>
          <w:rFonts w:hint="eastAsia"/>
        </w:rPr>
        <w:t xml:space="preserve">Zhu B, Zhang M, Huang L et al(2020). </w:t>
      </w:r>
      <w:r>
        <w:rPr>
          <w:rFonts w:hint="eastAsia"/>
        </w:rPr>
        <w:t>“</w:t>
      </w:r>
      <w:r>
        <w:rPr>
          <w:rFonts w:hint="eastAsia"/>
        </w:rPr>
        <w:t>Exploring the effect of carbon trading mechanism on China</w:t>
      </w:r>
      <w:r>
        <w:rPr>
          <w:rFonts w:hint="eastAsia"/>
        </w:rPr>
        <w:t>’</w:t>
      </w:r>
      <w:r>
        <w:rPr>
          <w:rFonts w:hint="eastAsia"/>
        </w:rPr>
        <w:t>s green development efficiency: A novel integrated approach</w:t>
      </w:r>
      <w:r>
        <w:rPr>
          <w:rFonts w:hint="eastAsia"/>
        </w:rPr>
        <w:t>”，</w:t>
      </w:r>
      <w:r w:rsidRPr="00FB72F5">
        <w:rPr>
          <w:rFonts w:hint="eastAsia"/>
          <w:i/>
          <w:iCs/>
        </w:rPr>
        <w:t>Energy Economics</w:t>
      </w:r>
      <w:r>
        <w:rPr>
          <w:rFonts w:hint="eastAsia"/>
        </w:rPr>
        <w:t xml:space="preserve"> 85: 104601.</w:t>
      </w:r>
    </w:p>
    <w:p w14:paraId="0151C9EF" w14:textId="0C0896C6" w:rsidR="009C0A08" w:rsidRPr="00CB3320" w:rsidRDefault="009C0A08" w:rsidP="006A17DE">
      <w:pPr>
        <w:pStyle w:val="Ref"/>
        <w:ind w:left="420" w:hanging="420"/>
      </w:pPr>
      <w:r w:rsidRPr="00CB3320">
        <w:br w:type="page"/>
      </w:r>
    </w:p>
    <w:p w14:paraId="3E310D22" w14:textId="64ADED42" w:rsidR="004B07B4" w:rsidRPr="00CB3320" w:rsidRDefault="004B07B4" w:rsidP="005B1161">
      <w:pPr>
        <w:pStyle w:val="AppendixA"/>
      </w:pPr>
      <w:bookmarkStart w:id="72" w:name="_Toc121778139"/>
      <w:r w:rsidRPr="00CB3320">
        <w:lastRenderedPageBreak/>
        <w:t>补充性图表</w:t>
      </w:r>
      <w:bookmarkEnd w:id="72"/>
    </w:p>
    <w:p w14:paraId="57E0B123" w14:textId="46FC7667" w:rsidR="004B07B4" w:rsidRPr="00CB3320" w:rsidRDefault="004B07B4" w:rsidP="008563F3">
      <w:pPr>
        <w:pStyle w:val="Fig"/>
      </w:pPr>
      <w:r w:rsidRPr="00CB3320">
        <w:rPr>
          <w:noProof/>
        </w:rPr>
        <w:drawing>
          <wp:inline distT="0" distB="0" distL="0" distR="0" wp14:anchorId="509074EA" wp14:editId="7270E39A">
            <wp:extent cx="3800723" cy="2747171"/>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21519" cy="2762203"/>
                    </a:xfrm>
                    <a:prstGeom prst="rect">
                      <a:avLst/>
                    </a:prstGeom>
                    <a:noFill/>
                    <a:ln>
                      <a:noFill/>
                    </a:ln>
                  </pic:spPr>
                </pic:pic>
              </a:graphicData>
            </a:graphic>
          </wp:inline>
        </w:drawing>
      </w:r>
    </w:p>
    <w:p w14:paraId="7446DA13" w14:textId="580809D6" w:rsidR="00E759A7" w:rsidRPr="00CB3320" w:rsidRDefault="00E759A7" w:rsidP="008563F3">
      <w:pPr>
        <w:pStyle w:val="FigX"/>
        <w:spacing w:after="163"/>
      </w:pPr>
      <w:bookmarkStart w:id="73" w:name="_Ref75446819"/>
      <w:r w:rsidRPr="00CB3320">
        <w:rPr>
          <w:rFonts w:hint="eastAsia"/>
        </w:rPr>
        <w:t>图</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A. \* ARABIC</w:instrText>
      </w:r>
      <w:r w:rsidRPr="00CB3320">
        <w:instrText xml:space="preserve"> </w:instrText>
      </w:r>
      <w:r w:rsidRPr="00CB3320">
        <w:fldChar w:fldCharType="separate"/>
      </w:r>
      <w:r w:rsidR="00AB4F56" w:rsidRPr="00CB3320">
        <w:rPr>
          <w:noProof/>
        </w:rPr>
        <w:t>1</w:t>
      </w:r>
      <w:r w:rsidRPr="00CB3320">
        <w:fldChar w:fldCharType="end"/>
      </w:r>
      <w:bookmarkEnd w:id="73"/>
      <w:r w:rsidR="00344D5D" w:rsidRPr="00CB3320">
        <w:t xml:space="preserve">  </w:t>
      </w:r>
      <w:r w:rsidRPr="00CB3320">
        <w:t>2008</w:t>
      </w:r>
      <w:r w:rsidRPr="00CB3320">
        <w:rPr>
          <w:rFonts w:hint="eastAsia"/>
        </w:rPr>
        <w:t>年基于核匹配方法的</w:t>
      </w:r>
      <w:r w:rsidRPr="00CB3320">
        <w:rPr>
          <w:rFonts w:hint="eastAsia"/>
        </w:rPr>
        <w:t>P</w:t>
      </w:r>
      <w:r w:rsidRPr="00CB3320">
        <w:t>SM</w:t>
      </w:r>
      <w:r w:rsidRPr="00CB3320">
        <w:rPr>
          <w:rFonts w:hint="eastAsia"/>
        </w:rPr>
        <w:t>结果</w:t>
      </w:r>
    </w:p>
    <w:p w14:paraId="1270BDD8" w14:textId="623536D7" w:rsidR="004B07B4" w:rsidRPr="00CB3320" w:rsidRDefault="004B07B4" w:rsidP="008563F3">
      <w:pPr>
        <w:pStyle w:val="Fig"/>
      </w:pPr>
      <w:r w:rsidRPr="00CB3320">
        <w:rPr>
          <w:noProof/>
        </w:rPr>
        <w:drawing>
          <wp:inline distT="0" distB="0" distL="0" distR="0" wp14:anchorId="50E217D6" wp14:editId="0C9F6E54">
            <wp:extent cx="3625795" cy="2645759"/>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1801" cy="2664736"/>
                    </a:xfrm>
                    <a:prstGeom prst="rect">
                      <a:avLst/>
                    </a:prstGeom>
                    <a:noFill/>
                    <a:ln>
                      <a:noFill/>
                    </a:ln>
                  </pic:spPr>
                </pic:pic>
              </a:graphicData>
            </a:graphic>
          </wp:inline>
        </w:drawing>
      </w:r>
    </w:p>
    <w:p w14:paraId="074EE91B" w14:textId="6D8EE4A8" w:rsidR="00E759A7" w:rsidRPr="00CB3320" w:rsidRDefault="00E759A7" w:rsidP="008563F3">
      <w:pPr>
        <w:pStyle w:val="FigX"/>
        <w:spacing w:after="163"/>
      </w:pPr>
      <w:bookmarkStart w:id="74" w:name="_Ref75446820"/>
      <w:r w:rsidRPr="00CB3320">
        <w:rPr>
          <w:rFonts w:hint="eastAsia"/>
        </w:rPr>
        <w:t>图</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A. \* ARABIC</w:instrText>
      </w:r>
      <w:r w:rsidRPr="00CB3320">
        <w:instrText xml:space="preserve"> </w:instrText>
      </w:r>
      <w:r w:rsidRPr="00CB3320">
        <w:fldChar w:fldCharType="separate"/>
      </w:r>
      <w:r w:rsidR="00AB4F56" w:rsidRPr="00CB3320">
        <w:rPr>
          <w:noProof/>
        </w:rPr>
        <w:t>2</w:t>
      </w:r>
      <w:r w:rsidRPr="00CB3320">
        <w:fldChar w:fldCharType="end"/>
      </w:r>
      <w:bookmarkEnd w:id="74"/>
      <w:r w:rsidR="00344D5D" w:rsidRPr="00CB3320">
        <w:t xml:space="preserve">  </w:t>
      </w:r>
      <w:r w:rsidRPr="00CB3320">
        <w:t>2009</w:t>
      </w:r>
      <w:r w:rsidRPr="00CB3320">
        <w:rPr>
          <w:rFonts w:hint="eastAsia"/>
        </w:rPr>
        <w:t>年基于核匹配方法的</w:t>
      </w:r>
      <w:r w:rsidRPr="00CB3320">
        <w:rPr>
          <w:rFonts w:hint="eastAsia"/>
        </w:rPr>
        <w:t>P</w:t>
      </w:r>
      <w:r w:rsidRPr="00CB3320">
        <w:t>SM</w:t>
      </w:r>
      <w:r w:rsidRPr="00CB3320">
        <w:rPr>
          <w:rFonts w:hint="eastAsia"/>
        </w:rPr>
        <w:t>结果</w:t>
      </w:r>
    </w:p>
    <w:p w14:paraId="68063AD6" w14:textId="6F0E4FA6" w:rsidR="004B07B4" w:rsidRPr="00CB3320" w:rsidRDefault="004B07B4" w:rsidP="008563F3">
      <w:pPr>
        <w:pStyle w:val="Fig"/>
      </w:pPr>
      <w:r w:rsidRPr="00CB3320">
        <w:rPr>
          <w:noProof/>
        </w:rPr>
        <w:lastRenderedPageBreak/>
        <w:drawing>
          <wp:inline distT="0" distB="0" distL="0" distR="0" wp14:anchorId="0CB95CFD" wp14:editId="70D8E6E3">
            <wp:extent cx="3641698" cy="262616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6724" cy="2629794"/>
                    </a:xfrm>
                    <a:prstGeom prst="rect">
                      <a:avLst/>
                    </a:prstGeom>
                    <a:noFill/>
                    <a:ln>
                      <a:noFill/>
                    </a:ln>
                  </pic:spPr>
                </pic:pic>
              </a:graphicData>
            </a:graphic>
          </wp:inline>
        </w:drawing>
      </w:r>
    </w:p>
    <w:p w14:paraId="595E7AE0" w14:textId="3D5EA3A3" w:rsidR="00E759A7" w:rsidRPr="00CB3320" w:rsidRDefault="00E759A7" w:rsidP="008563F3">
      <w:pPr>
        <w:pStyle w:val="FigX"/>
        <w:spacing w:after="163"/>
      </w:pPr>
      <w:bookmarkStart w:id="75" w:name="_Ref75446822"/>
      <w:r w:rsidRPr="00CB3320">
        <w:rPr>
          <w:rFonts w:hint="eastAsia"/>
        </w:rPr>
        <w:t>图</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A. \* ARABIC</w:instrText>
      </w:r>
      <w:r w:rsidRPr="00CB3320">
        <w:instrText xml:space="preserve"> </w:instrText>
      </w:r>
      <w:r w:rsidRPr="00CB3320">
        <w:fldChar w:fldCharType="separate"/>
      </w:r>
      <w:r w:rsidR="00AB4F56" w:rsidRPr="00CB3320">
        <w:rPr>
          <w:noProof/>
        </w:rPr>
        <w:t>3</w:t>
      </w:r>
      <w:r w:rsidRPr="00CB3320">
        <w:fldChar w:fldCharType="end"/>
      </w:r>
      <w:bookmarkEnd w:id="75"/>
      <w:r w:rsidR="00344D5D" w:rsidRPr="00CB3320">
        <w:t xml:space="preserve">  </w:t>
      </w:r>
      <w:r w:rsidRPr="00CB3320">
        <w:t>2010</w:t>
      </w:r>
      <w:r w:rsidRPr="00CB3320">
        <w:rPr>
          <w:rFonts w:hint="eastAsia"/>
        </w:rPr>
        <w:t>年基于核匹配方法的</w:t>
      </w:r>
      <w:r w:rsidRPr="00CB3320">
        <w:rPr>
          <w:rFonts w:hint="eastAsia"/>
        </w:rPr>
        <w:t>P</w:t>
      </w:r>
      <w:r w:rsidRPr="00CB3320">
        <w:t>SM</w:t>
      </w:r>
      <w:r w:rsidRPr="00CB3320">
        <w:rPr>
          <w:rFonts w:hint="eastAsia"/>
        </w:rPr>
        <w:t>结果</w:t>
      </w:r>
    </w:p>
    <w:p w14:paraId="57EEAA4D" w14:textId="429EE505" w:rsidR="00901F17" w:rsidRPr="00CB3320" w:rsidRDefault="00901F17" w:rsidP="008563F3">
      <w:pPr>
        <w:pStyle w:val="Fig"/>
      </w:pPr>
      <w:r w:rsidRPr="00CB3320">
        <w:rPr>
          <w:noProof/>
        </w:rPr>
        <w:drawing>
          <wp:inline distT="0" distB="0" distL="0" distR="0" wp14:anchorId="719D2638" wp14:editId="7E290801">
            <wp:extent cx="3912041" cy="281395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9244" cy="2819136"/>
                    </a:xfrm>
                    <a:prstGeom prst="rect">
                      <a:avLst/>
                    </a:prstGeom>
                    <a:noFill/>
                    <a:ln>
                      <a:noFill/>
                    </a:ln>
                  </pic:spPr>
                </pic:pic>
              </a:graphicData>
            </a:graphic>
          </wp:inline>
        </w:drawing>
      </w:r>
    </w:p>
    <w:p w14:paraId="67CA137D" w14:textId="2A641549" w:rsidR="00271FEA" w:rsidRPr="00CB3320" w:rsidRDefault="00901F17" w:rsidP="008563F3">
      <w:pPr>
        <w:pStyle w:val="FigX"/>
        <w:spacing w:after="163"/>
      </w:pPr>
      <w:bookmarkStart w:id="76" w:name="_Ref75508311"/>
      <w:r w:rsidRPr="00CB3320">
        <w:rPr>
          <w:rFonts w:hint="eastAsia"/>
        </w:rPr>
        <w:t>图</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A. \* ARABIC</w:instrText>
      </w:r>
      <w:r w:rsidRPr="00CB3320">
        <w:instrText xml:space="preserve"> </w:instrText>
      </w:r>
      <w:r w:rsidRPr="00CB3320">
        <w:fldChar w:fldCharType="separate"/>
      </w:r>
      <w:r w:rsidR="00C2204F" w:rsidRPr="00CB3320">
        <w:rPr>
          <w:noProof/>
        </w:rPr>
        <w:t>4</w:t>
      </w:r>
      <w:r w:rsidRPr="00CB3320">
        <w:fldChar w:fldCharType="end"/>
      </w:r>
      <w:bookmarkEnd w:id="76"/>
      <w:r w:rsidR="00344D5D" w:rsidRPr="00CB3320">
        <w:t xml:space="preserve">  </w:t>
      </w:r>
      <w:r w:rsidR="000C4ED8" w:rsidRPr="00CB3320">
        <w:rPr>
          <w:rFonts w:hint="eastAsia"/>
        </w:rPr>
        <w:t>第</w:t>
      </w:r>
      <w:r w:rsidR="00540F7C" w:rsidRPr="00CB3320">
        <w:fldChar w:fldCharType="begin"/>
      </w:r>
      <w:r w:rsidR="00540F7C" w:rsidRPr="00CB3320">
        <w:instrText xml:space="preserve"> </w:instrText>
      </w:r>
      <w:r w:rsidR="00540F7C" w:rsidRPr="00CB3320">
        <w:rPr>
          <w:rFonts w:hint="eastAsia"/>
        </w:rPr>
        <w:instrText>REF _Ref75508264 \r \h</w:instrText>
      </w:r>
      <w:r w:rsidR="00540F7C" w:rsidRPr="00CB3320">
        <w:instrText xml:space="preserve"> </w:instrText>
      </w:r>
      <w:r w:rsidR="00FB5F04" w:rsidRPr="00CB3320">
        <w:instrText xml:space="preserve"> \* MERGEFORMAT </w:instrText>
      </w:r>
      <w:r w:rsidR="00540F7C" w:rsidRPr="00CB3320">
        <w:fldChar w:fldCharType="separate"/>
      </w:r>
      <w:r w:rsidR="00C2204F" w:rsidRPr="00CB3320">
        <w:t>4.7</w:t>
      </w:r>
      <w:r w:rsidR="00540F7C" w:rsidRPr="00CB3320">
        <w:fldChar w:fldCharType="end"/>
      </w:r>
      <w:r w:rsidR="000C4ED8" w:rsidRPr="00CB3320">
        <w:rPr>
          <w:rFonts w:hint="eastAsia"/>
        </w:rPr>
        <w:t>节对省级</w:t>
      </w:r>
      <w:r w:rsidR="00DE29B8" w:rsidRPr="00CB3320">
        <w:rPr>
          <w:rFonts w:hint="eastAsia"/>
        </w:rPr>
        <w:t>数据</w:t>
      </w:r>
      <w:r w:rsidR="000C4ED8" w:rsidRPr="00CB3320">
        <w:rPr>
          <w:rFonts w:hint="eastAsia"/>
        </w:rPr>
        <w:t>的平行趋势检验</w:t>
      </w:r>
    </w:p>
    <w:p w14:paraId="0DA85E59" w14:textId="77777777" w:rsidR="00BE607C" w:rsidRPr="00CB3320" w:rsidRDefault="00BE607C" w:rsidP="00BE607C">
      <w:pPr>
        <w:ind w:firstLine="420"/>
      </w:pPr>
    </w:p>
    <w:p w14:paraId="41156D26" w14:textId="77777777" w:rsidR="00C422C0" w:rsidRPr="00CB3320" w:rsidRDefault="00C422C0" w:rsidP="00C422C0">
      <w:pPr>
        <w:pStyle w:val="Fig"/>
      </w:pPr>
      <w:r w:rsidRPr="00CB3320">
        <w:rPr>
          <w:noProof/>
        </w:rPr>
        <w:lastRenderedPageBreak/>
        <w:drawing>
          <wp:inline distT="0" distB="0" distL="0" distR="0" wp14:anchorId="714DEE69" wp14:editId="55C026F5">
            <wp:extent cx="3236181" cy="2284386"/>
            <wp:effectExtent l="0" t="0" r="2540" b="1905"/>
            <wp:docPr id="11" name="图片 1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3246491" cy="2291664"/>
                    </a:xfrm>
                    <a:prstGeom prst="rect">
                      <a:avLst/>
                    </a:prstGeom>
                  </pic:spPr>
                </pic:pic>
              </a:graphicData>
            </a:graphic>
          </wp:inline>
        </w:drawing>
      </w:r>
    </w:p>
    <w:p w14:paraId="0B1735D7" w14:textId="7A13BB6E" w:rsidR="00A96520" w:rsidRPr="00CB3320" w:rsidRDefault="00A96520" w:rsidP="00A96520">
      <w:pPr>
        <w:pStyle w:val="FigX"/>
        <w:spacing w:after="163"/>
      </w:pPr>
      <w:bookmarkStart w:id="77" w:name="_Ref77243290"/>
      <w:r w:rsidRPr="00CB3320">
        <w:rPr>
          <w:rFonts w:hint="eastAsia"/>
        </w:rPr>
        <w:t>图</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图</w:instrText>
      </w:r>
      <w:r w:rsidRPr="00CB3320">
        <w:rPr>
          <w:rFonts w:hint="eastAsia"/>
        </w:rPr>
        <w:instrText>A. \* ARABIC</w:instrText>
      </w:r>
      <w:r w:rsidRPr="00CB3320">
        <w:instrText xml:space="preserve"> </w:instrText>
      </w:r>
      <w:r w:rsidRPr="00CB3320">
        <w:fldChar w:fldCharType="separate"/>
      </w:r>
      <w:r w:rsidR="00DF44AD" w:rsidRPr="00CB3320">
        <w:rPr>
          <w:noProof/>
        </w:rPr>
        <w:t>5</w:t>
      </w:r>
      <w:r w:rsidRPr="00CB3320">
        <w:fldChar w:fldCharType="end"/>
      </w:r>
      <w:bookmarkEnd w:id="77"/>
      <w:r w:rsidR="00D168B5" w:rsidRPr="00CB3320">
        <w:t xml:space="preserve">  </w:t>
      </w:r>
      <w:r w:rsidRPr="00CB3320">
        <w:rPr>
          <w:rFonts w:hint="eastAsia"/>
        </w:rPr>
        <w:t>安慰剂检验的核密度图</w:t>
      </w:r>
    </w:p>
    <w:p w14:paraId="7CEA9F62" w14:textId="67901A71" w:rsidR="00084D53" w:rsidRPr="00CB3320" w:rsidRDefault="00084D53" w:rsidP="00BE607C">
      <w:pPr>
        <w:pStyle w:val="TableX"/>
      </w:pPr>
      <w:bookmarkStart w:id="78" w:name="_Ref77317602"/>
      <w:bookmarkStart w:id="79" w:name="_Ref77060498"/>
      <w:bookmarkStart w:id="80" w:name="_Ref77243312"/>
      <w:bookmarkStart w:id="81" w:name="_Ref75509393"/>
      <w:bookmarkStart w:id="82" w:name="_Ref73367953"/>
      <w:r w:rsidRPr="00CB3320">
        <w:rPr>
          <w:rFonts w:hint="eastAsia"/>
        </w:rPr>
        <w:t>表</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A. \* ARABIC</w:instrText>
      </w:r>
      <w:r w:rsidRPr="00CB3320">
        <w:instrText xml:space="preserve"> </w:instrText>
      </w:r>
      <w:r w:rsidRPr="00CB3320">
        <w:fldChar w:fldCharType="separate"/>
      </w:r>
      <w:r w:rsidR="00DF44AD" w:rsidRPr="00CB3320">
        <w:rPr>
          <w:noProof/>
        </w:rPr>
        <w:t>1</w:t>
      </w:r>
      <w:r w:rsidRPr="00CB3320">
        <w:fldChar w:fldCharType="end"/>
      </w:r>
      <w:bookmarkEnd w:id="78"/>
      <w:r w:rsidR="00344D5D" w:rsidRPr="00CB3320">
        <w:t xml:space="preserve">  </w:t>
      </w:r>
      <w:r w:rsidRPr="00CB3320">
        <w:t>描述性统计</w:t>
      </w:r>
    </w:p>
    <w:bookmarkEnd w:id="79"/>
    <w:tbl>
      <w:tblPr>
        <w:tblW w:w="5369"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51"/>
        <w:gridCol w:w="1737"/>
        <w:gridCol w:w="1050"/>
        <w:gridCol w:w="1237"/>
        <w:gridCol w:w="1330"/>
        <w:gridCol w:w="1143"/>
        <w:gridCol w:w="1691"/>
      </w:tblGrid>
      <w:tr w:rsidR="00084D53" w:rsidRPr="00CB3320" w14:paraId="1B03C925" w14:textId="77777777" w:rsidTr="00D168B5">
        <w:trPr>
          <w:trHeight w:val="20"/>
          <w:jc w:val="center"/>
        </w:trPr>
        <w:tc>
          <w:tcPr>
            <w:tcW w:w="796" w:type="pct"/>
          </w:tcPr>
          <w:p w14:paraId="4FF176B3" w14:textId="77777777" w:rsidR="00084D53" w:rsidRPr="00CB3320" w:rsidRDefault="00084D53" w:rsidP="00137CE2">
            <w:pPr>
              <w:pStyle w:val="table"/>
              <w:rPr>
                <w:b/>
                <w:bCs/>
              </w:rPr>
            </w:pPr>
          </w:p>
        </w:tc>
        <w:tc>
          <w:tcPr>
            <w:tcW w:w="892" w:type="pct"/>
            <w:shd w:val="clear" w:color="auto" w:fill="auto"/>
            <w:hideMark/>
          </w:tcPr>
          <w:p w14:paraId="7D6393DB" w14:textId="77777777" w:rsidR="00084D53" w:rsidRPr="00CB3320" w:rsidRDefault="00084D53" w:rsidP="00137CE2">
            <w:pPr>
              <w:pStyle w:val="table"/>
            </w:pPr>
            <w:r w:rsidRPr="00CB3320">
              <w:rPr>
                <w:rFonts w:hint="eastAsia"/>
              </w:rPr>
              <w:t>变量</w:t>
            </w:r>
          </w:p>
        </w:tc>
        <w:tc>
          <w:tcPr>
            <w:tcW w:w="539" w:type="pct"/>
            <w:shd w:val="clear" w:color="auto" w:fill="auto"/>
            <w:hideMark/>
          </w:tcPr>
          <w:p w14:paraId="702C28CC" w14:textId="77777777" w:rsidR="00084D53" w:rsidRPr="00CB3320" w:rsidRDefault="00084D53" w:rsidP="004120EE">
            <w:pPr>
              <w:pStyle w:val="table"/>
            </w:pPr>
            <w:r w:rsidRPr="00CB3320">
              <w:t>观测值</w:t>
            </w:r>
          </w:p>
        </w:tc>
        <w:tc>
          <w:tcPr>
            <w:tcW w:w="635" w:type="pct"/>
            <w:shd w:val="clear" w:color="auto" w:fill="auto"/>
            <w:hideMark/>
          </w:tcPr>
          <w:p w14:paraId="69261E35" w14:textId="77777777" w:rsidR="00084D53" w:rsidRPr="00CB3320" w:rsidRDefault="00084D53" w:rsidP="004120EE">
            <w:pPr>
              <w:pStyle w:val="table"/>
            </w:pPr>
            <w:r w:rsidRPr="00CB3320">
              <w:t>均值</w:t>
            </w:r>
          </w:p>
        </w:tc>
        <w:tc>
          <w:tcPr>
            <w:tcW w:w="683" w:type="pct"/>
            <w:shd w:val="clear" w:color="auto" w:fill="auto"/>
            <w:hideMark/>
          </w:tcPr>
          <w:p w14:paraId="7661BA15" w14:textId="77777777" w:rsidR="00084D53" w:rsidRPr="00CB3320" w:rsidRDefault="00084D53" w:rsidP="004120EE">
            <w:pPr>
              <w:pStyle w:val="table"/>
            </w:pPr>
            <w:r w:rsidRPr="00CB3320">
              <w:t>标准误</w:t>
            </w:r>
          </w:p>
        </w:tc>
        <w:tc>
          <w:tcPr>
            <w:tcW w:w="587" w:type="pct"/>
            <w:shd w:val="clear" w:color="auto" w:fill="auto"/>
            <w:hideMark/>
          </w:tcPr>
          <w:p w14:paraId="1E2CA7E0" w14:textId="77777777" w:rsidR="00084D53" w:rsidRPr="00CB3320" w:rsidRDefault="00084D53" w:rsidP="004120EE">
            <w:pPr>
              <w:pStyle w:val="table"/>
            </w:pPr>
            <w:r w:rsidRPr="00CB3320">
              <w:t>最小值</w:t>
            </w:r>
          </w:p>
        </w:tc>
        <w:tc>
          <w:tcPr>
            <w:tcW w:w="868" w:type="pct"/>
            <w:shd w:val="clear" w:color="auto" w:fill="auto"/>
            <w:hideMark/>
          </w:tcPr>
          <w:p w14:paraId="3230F3C0" w14:textId="77777777" w:rsidR="00084D53" w:rsidRPr="00CB3320" w:rsidRDefault="00084D53" w:rsidP="004120EE">
            <w:pPr>
              <w:pStyle w:val="table"/>
            </w:pPr>
            <w:r w:rsidRPr="00CB3320">
              <w:t>最大值</w:t>
            </w:r>
          </w:p>
        </w:tc>
      </w:tr>
      <w:tr w:rsidR="004120EE" w:rsidRPr="00CB3320" w14:paraId="49890B3F" w14:textId="77777777" w:rsidTr="00D168B5">
        <w:trPr>
          <w:trHeight w:val="20"/>
          <w:jc w:val="center"/>
        </w:trPr>
        <w:tc>
          <w:tcPr>
            <w:tcW w:w="796" w:type="pct"/>
          </w:tcPr>
          <w:p w14:paraId="7B485359" w14:textId="77777777" w:rsidR="004120EE" w:rsidRPr="00CB3320" w:rsidRDefault="004120EE" w:rsidP="004120EE">
            <w:pPr>
              <w:pStyle w:val="table"/>
            </w:pPr>
            <w:bookmarkStart w:id="83" w:name="_Hlk73370532"/>
            <w:r w:rsidRPr="00CB3320">
              <w:t>因变量</w:t>
            </w:r>
          </w:p>
        </w:tc>
        <w:tc>
          <w:tcPr>
            <w:tcW w:w="892" w:type="pct"/>
            <w:shd w:val="clear" w:color="auto" w:fill="auto"/>
            <w:hideMark/>
          </w:tcPr>
          <w:p w14:paraId="20B28567" w14:textId="77777777" w:rsidR="004120EE" w:rsidRPr="00CB3320" w:rsidRDefault="004120EE" w:rsidP="004120EE">
            <w:pPr>
              <w:pStyle w:val="table"/>
            </w:pPr>
            <w:r w:rsidRPr="00CB3320">
              <w:t>TFP</w:t>
            </w:r>
          </w:p>
        </w:tc>
        <w:tc>
          <w:tcPr>
            <w:tcW w:w="539" w:type="pct"/>
            <w:shd w:val="clear" w:color="auto" w:fill="auto"/>
            <w:vAlign w:val="center"/>
            <w:hideMark/>
          </w:tcPr>
          <w:p w14:paraId="7BB494DC" w14:textId="74C55928" w:rsidR="004120EE" w:rsidRPr="00CB3320" w:rsidRDefault="004120EE" w:rsidP="004120EE">
            <w:pPr>
              <w:pStyle w:val="table"/>
            </w:pPr>
            <w:r w:rsidRPr="00CB3320">
              <w:rPr>
                <w:rFonts w:hint="eastAsia"/>
              </w:rPr>
              <w:t>3,154</w:t>
            </w:r>
          </w:p>
        </w:tc>
        <w:tc>
          <w:tcPr>
            <w:tcW w:w="635" w:type="pct"/>
            <w:shd w:val="clear" w:color="auto" w:fill="auto"/>
            <w:vAlign w:val="center"/>
            <w:hideMark/>
          </w:tcPr>
          <w:p w14:paraId="59BFB0F5" w14:textId="49CE0333" w:rsidR="004120EE" w:rsidRPr="00CB3320" w:rsidRDefault="004120EE" w:rsidP="004120EE">
            <w:pPr>
              <w:pStyle w:val="table"/>
            </w:pPr>
            <w:r w:rsidRPr="00CB3320">
              <w:rPr>
                <w:rFonts w:hint="eastAsia"/>
              </w:rPr>
              <w:t>0.991</w:t>
            </w:r>
          </w:p>
        </w:tc>
        <w:tc>
          <w:tcPr>
            <w:tcW w:w="683" w:type="pct"/>
            <w:shd w:val="clear" w:color="auto" w:fill="auto"/>
            <w:vAlign w:val="center"/>
            <w:hideMark/>
          </w:tcPr>
          <w:p w14:paraId="29F49CB8" w14:textId="7F5D912B" w:rsidR="004120EE" w:rsidRPr="00CB3320" w:rsidRDefault="004120EE" w:rsidP="004120EE">
            <w:pPr>
              <w:pStyle w:val="table"/>
            </w:pPr>
            <w:r w:rsidRPr="00CB3320">
              <w:rPr>
                <w:rFonts w:hint="eastAsia"/>
              </w:rPr>
              <w:t>0.115</w:t>
            </w:r>
          </w:p>
        </w:tc>
        <w:tc>
          <w:tcPr>
            <w:tcW w:w="587" w:type="pct"/>
            <w:shd w:val="clear" w:color="auto" w:fill="auto"/>
            <w:vAlign w:val="center"/>
            <w:hideMark/>
          </w:tcPr>
          <w:p w14:paraId="282D0008" w14:textId="43971010" w:rsidR="004120EE" w:rsidRPr="00CB3320" w:rsidRDefault="004120EE" w:rsidP="004120EE">
            <w:pPr>
              <w:pStyle w:val="table"/>
            </w:pPr>
            <w:r w:rsidRPr="00CB3320">
              <w:rPr>
                <w:rFonts w:hint="eastAsia"/>
              </w:rPr>
              <w:t>0.528</w:t>
            </w:r>
          </w:p>
        </w:tc>
        <w:tc>
          <w:tcPr>
            <w:tcW w:w="868" w:type="pct"/>
            <w:shd w:val="clear" w:color="auto" w:fill="auto"/>
            <w:vAlign w:val="center"/>
            <w:hideMark/>
          </w:tcPr>
          <w:p w14:paraId="61670DCB" w14:textId="15500FF4" w:rsidR="004120EE" w:rsidRPr="00CB3320" w:rsidRDefault="004120EE" w:rsidP="004120EE">
            <w:pPr>
              <w:pStyle w:val="table"/>
            </w:pPr>
            <w:r w:rsidRPr="00CB3320">
              <w:rPr>
                <w:rFonts w:hint="eastAsia"/>
              </w:rPr>
              <w:t>6.006</w:t>
            </w:r>
          </w:p>
        </w:tc>
      </w:tr>
      <w:tr w:rsidR="004120EE" w:rsidRPr="00CB3320" w14:paraId="0580E457" w14:textId="77777777" w:rsidTr="00D168B5">
        <w:trPr>
          <w:trHeight w:val="20"/>
          <w:jc w:val="center"/>
        </w:trPr>
        <w:tc>
          <w:tcPr>
            <w:tcW w:w="796" w:type="pct"/>
          </w:tcPr>
          <w:p w14:paraId="29815C4F" w14:textId="77777777" w:rsidR="004120EE" w:rsidRPr="00CB3320" w:rsidRDefault="004120EE" w:rsidP="004120EE">
            <w:pPr>
              <w:pStyle w:val="table"/>
            </w:pPr>
            <w:r w:rsidRPr="00CB3320">
              <w:t>核心变量</w:t>
            </w:r>
          </w:p>
        </w:tc>
        <w:tc>
          <w:tcPr>
            <w:tcW w:w="892" w:type="pct"/>
            <w:shd w:val="clear" w:color="auto" w:fill="auto"/>
            <w:hideMark/>
          </w:tcPr>
          <w:p w14:paraId="62BF162B" w14:textId="77777777" w:rsidR="004120EE" w:rsidRPr="00CB3320" w:rsidRDefault="004120EE" w:rsidP="004120EE">
            <w:pPr>
              <w:pStyle w:val="table"/>
            </w:pPr>
            <w:r w:rsidRPr="00CB3320">
              <w:rPr>
                <w:rFonts w:hint="eastAsia"/>
              </w:rPr>
              <w:t>D_ETS</w:t>
            </w:r>
          </w:p>
        </w:tc>
        <w:tc>
          <w:tcPr>
            <w:tcW w:w="539" w:type="pct"/>
            <w:shd w:val="clear" w:color="auto" w:fill="auto"/>
            <w:vAlign w:val="center"/>
            <w:hideMark/>
          </w:tcPr>
          <w:p w14:paraId="57C256CC" w14:textId="2D522C3C" w:rsidR="004120EE" w:rsidRPr="00CB3320" w:rsidRDefault="004120EE" w:rsidP="004120EE">
            <w:pPr>
              <w:pStyle w:val="table"/>
            </w:pPr>
            <w:r w:rsidRPr="00CB3320">
              <w:rPr>
                <w:rFonts w:hint="eastAsia"/>
              </w:rPr>
              <w:t>3,154</w:t>
            </w:r>
          </w:p>
        </w:tc>
        <w:tc>
          <w:tcPr>
            <w:tcW w:w="635" w:type="pct"/>
            <w:shd w:val="clear" w:color="auto" w:fill="auto"/>
            <w:vAlign w:val="center"/>
            <w:hideMark/>
          </w:tcPr>
          <w:p w14:paraId="5588AE85" w14:textId="3B80CAD3" w:rsidR="004120EE" w:rsidRPr="00CB3320" w:rsidRDefault="004120EE" w:rsidP="004120EE">
            <w:pPr>
              <w:pStyle w:val="table"/>
            </w:pPr>
            <w:r w:rsidRPr="00CB3320">
              <w:rPr>
                <w:rFonts w:hint="eastAsia"/>
              </w:rPr>
              <w:t>0.070</w:t>
            </w:r>
          </w:p>
        </w:tc>
        <w:tc>
          <w:tcPr>
            <w:tcW w:w="683" w:type="pct"/>
            <w:shd w:val="clear" w:color="auto" w:fill="auto"/>
            <w:vAlign w:val="center"/>
            <w:hideMark/>
          </w:tcPr>
          <w:p w14:paraId="779BF90F" w14:textId="56F1C98E" w:rsidR="004120EE" w:rsidRPr="00CB3320" w:rsidRDefault="004120EE" w:rsidP="004120EE">
            <w:pPr>
              <w:pStyle w:val="table"/>
            </w:pPr>
            <w:r w:rsidRPr="00CB3320">
              <w:rPr>
                <w:rFonts w:hint="eastAsia"/>
              </w:rPr>
              <w:t>0.256</w:t>
            </w:r>
          </w:p>
        </w:tc>
        <w:tc>
          <w:tcPr>
            <w:tcW w:w="587" w:type="pct"/>
            <w:shd w:val="clear" w:color="auto" w:fill="auto"/>
            <w:vAlign w:val="center"/>
            <w:hideMark/>
          </w:tcPr>
          <w:p w14:paraId="35AE9F00" w14:textId="14CE42AD" w:rsidR="004120EE" w:rsidRPr="00CB3320" w:rsidRDefault="004120EE" w:rsidP="004120EE">
            <w:pPr>
              <w:pStyle w:val="table"/>
            </w:pPr>
            <w:r w:rsidRPr="00CB3320">
              <w:rPr>
                <w:rFonts w:hint="eastAsia"/>
              </w:rPr>
              <w:t>0.000</w:t>
            </w:r>
          </w:p>
        </w:tc>
        <w:tc>
          <w:tcPr>
            <w:tcW w:w="868" w:type="pct"/>
            <w:shd w:val="clear" w:color="auto" w:fill="auto"/>
            <w:vAlign w:val="center"/>
            <w:hideMark/>
          </w:tcPr>
          <w:p w14:paraId="071681DE" w14:textId="47E0A483" w:rsidR="004120EE" w:rsidRPr="00CB3320" w:rsidRDefault="004120EE" w:rsidP="004120EE">
            <w:pPr>
              <w:pStyle w:val="table"/>
            </w:pPr>
            <w:r w:rsidRPr="00CB3320">
              <w:rPr>
                <w:rFonts w:hint="eastAsia"/>
              </w:rPr>
              <w:t>1.000</w:t>
            </w:r>
          </w:p>
        </w:tc>
      </w:tr>
      <w:tr w:rsidR="004120EE" w:rsidRPr="00CB3320" w14:paraId="61AE0682" w14:textId="77777777" w:rsidTr="00D168B5">
        <w:trPr>
          <w:trHeight w:val="20"/>
          <w:jc w:val="center"/>
        </w:trPr>
        <w:tc>
          <w:tcPr>
            <w:tcW w:w="796" w:type="pct"/>
            <w:vMerge w:val="restart"/>
          </w:tcPr>
          <w:p w14:paraId="3CC4840B" w14:textId="77777777" w:rsidR="004120EE" w:rsidRPr="00CB3320" w:rsidRDefault="004120EE" w:rsidP="004120EE">
            <w:pPr>
              <w:pStyle w:val="table"/>
            </w:pPr>
            <w:r w:rsidRPr="00CB3320">
              <w:t>控制变量</w:t>
            </w:r>
          </w:p>
        </w:tc>
        <w:tc>
          <w:tcPr>
            <w:tcW w:w="892" w:type="pct"/>
            <w:shd w:val="clear" w:color="auto" w:fill="auto"/>
            <w:hideMark/>
          </w:tcPr>
          <w:p w14:paraId="5A0A7ACD" w14:textId="77777777" w:rsidR="004120EE" w:rsidRPr="00CB3320" w:rsidRDefault="004120EE" w:rsidP="004120EE">
            <w:pPr>
              <w:pStyle w:val="table"/>
            </w:pPr>
            <w:r w:rsidRPr="00CB3320">
              <w:rPr>
                <w:rFonts w:hint="eastAsia"/>
              </w:rPr>
              <w:t>lnrgdppC</w:t>
            </w:r>
          </w:p>
        </w:tc>
        <w:tc>
          <w:tcPr>
            <w:tcW w:w="539" w:type="pct"/>
            <w:shd w:val="clear" w:color="auto" w:fill="auto"/>
            <w:vAlign w:val="center"/>
          </w:tcPr>
          <w:p w14:paraId="5F15FE63" w14:textId="67100CF7" w:rsidR="004120EE" w:rsidRPr="00CB3320" w:rsidRDefault="004120EE" w:rsidP="004120EE">
            <w:pPr>
              <w:pStyle w:val="table"/>
            </w:pPr>
            <w:r w:rsidRPr="00CB3320">
              <w:rPr>
                <w:rFonts w:hint="eastAsia"/>
              </w:rPr>
              <w:t>3,116</w:t>
            </w:r>
          </w:p>
        </w:tc>
        <w:tc>
          <w:tcPr>
            <w:tcW w:w="635" w:type="pct"/>
            <w:shd w:val="clear" w:color="auto" w:fill="auto"/>
            <w:vAlign w:val="center"/>
          </w:tcPr>
          <w:p w14:paraId="69CCF5BA" w14:textId="1014223D" w:rsidR="004120EE" w:rsidRPr="00CB3320" w:rsidRDefault="004120EE" w:rsidP="004120EE">
            <w:pPr>
              <w:pStyle w:val="table"/>
            </w:pPr>
            <w:r w:rsidRPr="00CB3320">
              <w:rPr>
                <w:rFonts w:hint="eastAsia"/>
              </w:rPr>
              <w:t>-5.259</w:t>
            </w:r>
          </w:p>
        </w:tc>
        <w:tc>
          <w:tcPr>
            <w:tcW w:w="683" w:type="pct"/>
            <w:shd w:val="clear" w:color="auto" w:fill="auto"/>
            <w:vAlign w:val="center"/>
          </w:tcPr>
          <w:p w14:paraId="76FBD1A2" w14:textId="6F72402B" w:rsidR="004120EE" w:rsidRPr="00CB3320" w:rsidRDefault="004120EE" w:rsidP="004120EE">
            <w:pPr>
              <w:pStyle w:val="table"/>
            </w:pPr>
            <w:r w:rsidRPr="00CB3320">
              <w:rPr>
                <w:rFonts w:hint="eastAsia"/>
              </w:rPr>
              <w:t>0.749</w:t>
            </w:r>
          </w:p>
        </w:tc>
        <w:tc>
          <w:tcPr>
            <w:tcW w:w="587" w:type="pct"/>
            <w:shd w:val="clear" w:color="auto" w:fill="auto"/>
            <w:vAlign w:val="center"/>
          </w:tcPr>
          <w:p w14:paraId="35A637BA" w14:textId="0D14B2CD" w:rsidR="004120EE" w:rsidRPr="00CB3320" w:rsidRDefault="004120EE" w:rsidP="004120EE">
            <w:pPr>
              <w:pStyle w:val="table"/>
            </w:pPr>
            <w:r w:rsidRPr="00CB3320">
              <w:rPr>
                <w:rFonts w:hint="eastAsia"/>
              </w:rPr>
              <w:t>-7.179</w:t>
            </w:r>
          </w:p>
        </w:tc>
        <w:tc>
          <w:tcPr>
            <w:tcW w:w="868" w:type="pct"/>
            <w:shd w:val="clear" w:color="auto" w:fill="auto"/>
            <w:vAlign w:val="center"/>
          </w:tcPr>
          <w:p w14:paraId="44B4A86C" w14:textId="6E1C1BA4" w:rsidR="004120EE" w:rsidRPr="00CB3320" w:rsidRDefault="004120EE" w:rsidP="004120EE">
            <w:pPr>
              <w:pStyle w:val="table"/>
            </w:pPr>
            <w:r w:rsidRPr="00CB3320">
              <w:rPr>
                <w:rFonts w:hint="eastAsia"/>
              </w:rPr>
              <w:t>-2.453</w:t>
            </w:r>
          </w:p>
        </w:tc>
      </w:tr>
      <w:tr w:rsidR="004120EE" w:rsidRPr="00CB3320" w14:paraId="0C5BF7E2" w14:textId="77777777" w:rsidTr="00D168B5">
        <w:trPr>
          <w:trHeight w:val="20"/>
          <w:jc w:val="center"/>
        </w:trPr>
        <w:tc>
          <w:tcPr>
            <w:tcW w:w="796" w:type="pct"/>
            <w:vMerge/>
          </w:tcPr>
          <w:p w14:paraId="6C3C89CF" w14:textId="77777777" w:rsidR="004120EE" w:rsidRPr="00CB3320" w:rsidRDefault="004120EE" w:rsidP="004120EE">
            <w:pPr>
              <w:pStyle w:val="table"/>
            </w:pPr>
          </w:p>
        </w:tc>
        <w:tc>
          <w:tcPr>
            <w:tcW w:w="892" w:type="pct"/>
            <w:shd w:val="clear" w:color="auto" w:fill="auto"/>
            <w:hideMark/>
          </w:tcPr>
          <w:p w14:paraId="697FA935" w14:textId="77777777" w:rsidR="004120EE" w:rsidRPr="00CB3320" w:rsidRDefault="004120EE" w:rsidP="004120EE">
            <w:pPr>
              <w:pStyle w:val="table"/>
            </w:pPr>
            <w:r w:rsidRPr="00CB3320">
              <w:rPr>
                <w:rFonts w:hint="eastAsia"/>
              </w:rPr>
              <w:t>gdp2ndp</w:t>
            </w:r>
          </w:p>
        </w:tc>
        <w:tc>
          <w:tcPr>
            <w:tcW w:w="539" w:type="pct"/>
            <w:shd w:val="clear" w:color="auto" w:fill="auto"/>
            <w:vAlign w:val="center"/>
          </w:tcPr>
          <w:p w14:paraId="618B3C61" w14:textId="4CF981B2" w:rsidR="004120EE" w:rsidRPr="00CB3320" w:rsidRDefault="004120EE" w:rsidP="004120EE">
            <w:pPr>
              <w:pStyle w:val="table"/>
            </w:pPr>
            <w:r w:rsidRPr="00CB3320">
              <w:rPr>
                <w:rFonts w:hint="eastAsia"/>
              </w:rPr>
              <w:t>3,154</w:t>
            </w:r>
          </w:p>
        </w:tc>
        <w:tc>
          <w:tcPr>
            <w:tcW w:w="635" w:type="pct"/>
            <w:shd w:val="clear" w:color="auto" w:fill="auto"/>
            <w:vAlign w:val="center"/>
          </w:tcPr>
          <w:p w14:paraId="3598452F" w14:textId="475D531F" w:rsidR="004120EE" w:rsidRPr="00CB3320" w:rsidRDefault="004120EE" w:rsidP="004120EE">
            <w:pPr>
              <w:pStyle w:val="table"/>
            </w:pPr>
            <w:r w:rsidRPr="00CB3320">
              <w:rPr>
                <w:rFonts w:hint="eastAsia"/>
              </w:rPr>
              <w:t>0.491</w:t>
            </w:r>
          </w:p>
        </w:tc>
        <w:tc>
          <w:tcPr>
            <w:tcW w:w="683" w:type="pct"/>
            <w:shd w:val="clear" w:color="auto" w:fill="auto"/>
            <w:vAlign w:val="center"/>
          </w:tcPr>
          <w:p w14:paraId="2DA2DDCA" w14:textId="624A9F81" w:rsidR="004120EE" w:rsidRPr="00CB3320" w:rsidRDefault="004120EE" w:rsidP="004120EE">
            <w:pPr>
              <w:pStyle w:val="table"/>
            </w:pPr>
            <w:r w:rsidRPr="00CB3320">
              <w:rPr>
                <w:rFonts w:hint="eastAsia"/>
              </w:rPr>
              <w:t>0.107</w:t>
            </w:r>
          </w:p>
        </w:tc>
        <w:tc>
          <w:tcPr>
            <w:tcW w:w="587" w:type="pct"/>
            <w:shd w:val="clear" w:color="auto" w:fill="auto"/>
            <w:vAlign w:val="center"/>
          </w:tcPr>
          <w:p w14:paraId="5C234D52" w14:textId="63D6107F" w:rsidR="004120EE" w:rsidRPr="00CB3320" w:rsidRDefault="004120EE" w:rsidP="004120EE">
            <w:pPr>
              <w:pStyle w:val="table"/>
            </w:pPr>
            <w:r w:rsidRPr="00CB3320">
              <w:rPr>
                <w:rFonts w:hint="eastAsia"/>
              </w:rPr>
              <w:t>0.146</w:t>
            </w:r>
          </w:p>
        </w:tc>
        <w:tc>
          <w:tcPr>
            <w:tcW w:w="868" w:type="pct"/>
            <w:shd w:val="clear" w:color="auto" w:fill="auto"/>
            <w:vAlign w:val="center"/>
          </w:tcPr>
          <w:p w14:paraId="515A32CE" w14:textId="2643C2E9" w:rsidR="004120EE" w:rsidRPr="00CB3320" w:rsidRDefault="004120EE" w:rsidP="004120EE">
            <w:pPr>
              <w:pStyle w:val="table"/>
            </w:pPr>
            <w:r w:rsidRPr="00CB3320">
              <w:rPr>
                <w:rFonts w:hint="eastAsia"/>
              </w:rPr>
              <w:t>0.910</w:t>
            </w:r>
          </w:p>
        </w:tc>
      </w:tr>
      <w:tr w:rsidR="004120EE" w:rsidRPr="00CB3320" w14:paraId="7185F46A" w14:textId="77777777" w:rsidTr="00D168B5">
        <w:trPr>
          <w:trHeight w:val="20"/>
          <w:jc w:val="center"/>
        </w:trPr>
        <w:tc>
          <w:tcPr>
            <w:tcW w:w="796" w:type="pct"/>
            <w:vMerge/>
          </w:tcPr>
          <w:p w14:paraId="3F4153EC" w14:textId="77777777" w:rsidR="004120EE" w:rsidRPr="00CB3320" w:rsidRDefault="004120EE" w:rsidP="004120EE">
            <w:pPr>
              <w:pStyle w:val="table"/>
            </w:pPr>
          </w:p>
        </w:tc>
        <w:tc>
          <w:tcPr>
            <w:tcW w:w="892" w:type="pct"/>
            <w:shd w:val="clear" w:color="auto" w:fill="auto"/>
            <w:hideMark/>
          </w:tcPr>
          <w:p w14:paraId="483D4EC3" w14:textId="77777777" w:rsidR="004120EE" w:rsidRPr="00CB3320" w:rsidRDefault="004120EE" w:rsidP="004120EE">
            <w:pPr>
              <w:pStyle w:val="table"/>
            </w:pPr>
            <w:r w:rsidRPr="00CB3320">
              <w:rPr>
                <w:rFonts w:hint="eastAsia"/>
              </w:rPr>
              <w:t>lnrFDIpC</w:t>
            </w:r>
          </w:p>
        </w:tc>
        <w:tc>
          <w:tcPr>
            <w:tcW w:w="539" w:type="pct"/>
            <w:shd w:val="clear" w:color="auto" w:fill="auto"/>
            <w:vAlign w:val="center"/>
          </w:tcPr>
          <w:p w14:paraId="73037A5C" w14:textId="3FE01C6D" w:rsidR="004120EE" w:rsidRPr="00CB3320" w:rsidRDefault="004120EE" w:rsidP="004120EE">
            <w:pPr>
              <w:pStyle w:val="table"/>
            </w:pPr>
            <w:r w:rsidRPr="00CB3320">
              <w:rPr>
                <w:rFonts w:hint="eastAsia"/>
              </w:rPr>
              <w:t>3,061</w:t>
            </w:r>
          </w:p>
        </w:tc>
        <w:tc>
          <w:tcPr>
            <w:tcW w:w="635" w:type="pct"/>
            <w:shd w:val="clear" w:color="auto" w:fill="auto"/>
            <w:vAlign w:val="center"/>
          </w:tcPr>
          <w:p w14:paraId="677A0E5C" w14:textId="10993845" w:rsidR="004120EE" w:rsidRPr="00CB3320" w:rsidRDefault="004120EE" w:rsidP="004120EE">
            <w:pPr>
              <w:pStyle w:val="table"/>
            </w:pPr>
            <w:r w:rsidRPr="00CB3320">
              <w:rPr>
                <w:rFonts w:hint="eastAsia"/>
              </w:rPr>
              <w:t>-2.808</w:t>
            </w:r>
          </w:p>
        </w:tc>
        <w:tc>
          <w:tcPr>
            <w:tcW w:w="683" w:type="pct"/>
            <w:shd w:val="clear" w:color="auto" w:fill="auto"/>
            <w:vAlign w:val="center"/>
          </w:tcPr>
          <w:p w14:paraId="5085D1D6" w14:textId="61105773" w:rsidR="004120EE" w:rsidRPr="00CB3320" w:rsidRDefault="004120EE" w:rsidP="004120EE">
            <w:pPr>
              <w:pStyle w:val="table"/>
            </w:pPr>
            <w:r w:rsidRPr="00CB3320">
              <w:rPr>
                <w:rFonts w:hint="eastAsia"/>
              </w:rPr>
              <w:t>1.648</w:t>
            </w:r>
          </w:p>
        </w:tc>
        <w:tc>
          <w:tcPr>
            <w:tcW w:w="587" w:type="pct"/>
            <w:shd w:val="clear" w:color="auto" w:fill="auto"/>
            <w:vAlign w:val="center"/>
          </w:tcPr>
          <w:p w14:paraId="38CFE698" w14:textId="4AF7D34F" w:rsidR="004120EE" w:rsidRPr="00CB3320" w:rsidRDefault="004120EE" w:rsidP="004120EE">
            <w:pPr>
              <w:pStyle w:val="table"/>
            </w:pPr>
            <w:r w:rsidRPr="00CB3320">
              <w:rPr>
                <w:rFonts w:hint="eastAsia"/>
              </w:rPr>
              <w:t>-12.072</w:t>
            </w:r>
          </w:p>
        </w:tc>
        <w:tc>
          <w:tcPr>
            <w:tcW w:w="868" w:type="pct"/>
            <w:shd w:val="clear" w:color="auto" w:fill="auto"/>
            <w:vAlign w:val="center"/>
          </w:tcPr>
          <w:p w14:paraId="1ACE259F" w14:textId="20725332" w:rsidR="004120EE" w:rsidRPr="00CB3320" w:rsidRDefault="004120EE" w:rsidP="004120EE">
            <w:pPr>
              <w:pStyle w:val="table"/>
            </w:pPr>
            <w:r w:rsidRPr="00CB3320">
              <w:rPr>
                <w:rFonts w:hint="eastAsia"/>
              </w:rPr>
              <w:t>1.158</w:t>
            </w:r>
          </w:p>
        </w:tc>
      </w:tr>
      <w:tr w:rsidR="004120EE" w:rsidRPr="00CB3320" w14:paraId="2D875341" w14:textId="77777777" w:rsidTr="00D168B5">
        <w:trPr>
          <w:trHeight w:val="20"/>
          <w:jc w:val="center"/>
        </w:trPr>
        <w:tc>
          <w:tcPr>
            <w:tcW w:w="796" w:type="pct"/>
            <w:vMerge/>
          </w:tcPr>
          <w:p w14:paraId="3AFE746E" w14:textId="77777777" w:rsidR="004120EE" w:rsidRPr="00CB3320" w:rsidRDefault="004120EE" w:rsidP="004120EE">
            <w:pPr>
              <w:pStyle w:val="table"/>
            </w:pPr>
          </w:p>
        </w:tc>
        <w:tc>
          <w:tcPr>
            <w:tcW w:w="892" w:type="pct"/>
            <w:shd w:val="clear" w:color="auto" w:fill="auto"/>
          </w:tcPr>
          <w:p w14:paraId="4EC5656B" w14:textId="77777777" w:rsidR="004120EE" w:rsidRPr="00CB3320" w:rsidRDefault="004120EE" w:rsidP="004120EE">
            <w:pPr>
              <w:pStyle w:val="table"/>
            </w:pPr>
            <w:r w:rsidRPr="00CB3320">
              <w:rPr>
                <w:rFonts w:hint="eastAsia"/>
              </w:rPr>
              <w:t>r_unemp</w:t>
            </w:r>
          </w:p>
        </w:tc>
        <w:tc>
          <w:tcPr>
            <w:tcW w:w="539" w:type="pct"/>
            <w:shd w:val="clear" w:color="auto" w:fill="auto"/>
            <w:vAlign w:val="center"/>
          </w:tcPr>
          <w:p w14:paraId="05D0A253" w14:textId="1094E5D2" w:rsidR="004120EE" w:rsidRPr="00CB3320" w:rsidRDefault="004120EE" w:rsidP="004120EE">
            <w:pPr>
              <w:pStyle w:val="table"/>
            </w:pPr>
            <w:r w:rsidRPr="00CB3320">
              <w:rPr>
                <w:rFonts w:hint="eastAsia"/>
              </w:rPr>
              <w:t>3,109</w:t>
            </w:r>
          </w:p>
        </w:tc>
        <w:tc>
          <w:tcPr>
            <w:tcW w:w="635" w:type="pct"/>
            <w:shd w:val="clear" w:color="auto" w:fill="auto"/>
            <w:vAlign w:val="center"/>
          </w:tcPr>
          <w:p w14:paraId="2FF00592" w14:textId="5CEE624E" w:rsidR="004120EE" w:rsidRPr="00CB3320" w:rsidRDefault="004120EE" w:rsidP="004120EE">
            <w:pPr>
              <w:pStyle w:val="table"/>
            </w:pPr>
            <w:r w:rsidRPr="00CB3320">
              <w:rPr>
                <w:rFonts w:hint="eastAsia"/>
              </w:rPr>
              <w:t>0.006</w:t>
            </w:r>
          </w:p>
        </w:tc>
        <w:tc>
          <w:tcPr>
            <w:tcW w:w="683" w:type="pct"/>
            <w:shd w:val="clear" w:color="auto" w:fill="auto"/>
            <w:vAlign w:val="center"/>
          </w:tcPr>
          <w:p w14:paraId="26128D74" w14:textId="403E2C91" w:rsidR="004120EE" w:rsidRPr="00CB3320" w:rsidRDefault="004120EE" w:rsidP="004120EE">
            <w:pPr>
              <w:pStyle w:val="table"/>
            </w:pPr>
            <w:r w:rsidRPr="00CB3320">
              <w:rPr>
                <w:rFonts w:hint="eastAsia"/>
              </w:rPr>
              <w:t>0.004</w:t>
            </w:r>
          </w:p>
        </w:tc>
        <w:tc>
          <w:tcPr>
            <w:tcW w:w="587" w:type="pct"/>
            <w:shd w:val="clear" w:color="auto" w:fill="auto"/>
            <w:vAlign w:val="center"/>
          </w:tcPr>
          <w:p w14:paraId="30C965B2" w14:textId="2C409589" w:rsidR="004120EE" w:rsidRPr="00CB3320" w:rsidRDefault="004120EE" w:rsidP="004120EE">
            <w:pPr>
              <w:pStyle w:val="table"/>
            </w:pPr>
            <w:r w:rsidRPr="00CB3320">
              <w:rPr>
                <w:rFonts w:hint="eastAsia"/>
              </w:rPr>
              <w:t>0.000</w:t>
            </w:r>
          </w:p>
        </w:tc>
        <w:tc>
          <w:tcPr>
            <w:tcW w:w="868" w:type="pct"/>
            <w:shd w:val="clear" w:color="auto" w:fill="auto"/>
            <w:vAlign w:val="center"/>
          </w:tcPr>
          <w:p w14:paraId="394F2D3D" w14:textId="44B580F6" w:rsidR="004120EE" w:rsidRPr="00CB3320" w:rsidRDefault="004120EE" w:rsidP="004120EE">
            <w:pPr>
              <w:pStyle w:val="table"/>
            </w:pPr>
            <w:r w:rsidRPr="00CB3320">
              <w:rPr>
                <w:rFonts w:hint="eastAsia"/>
              </w:rPr>
              <w:t>0.042</w:t>
            </w:r>
          </w:p>
        </w:tc>
      </w:tr>
      <w:tr w:rsidR="004120EE" w:rsidRPr="00CB3320" w14:paraId="3E6B9989" w14:textId="77777777" w:rsidTr="00D168B5">
        <w:trPr>
          <w:trHeight w:val="20"/>
          <w:jc w:val="center"/>
        </w:trPr>
        <w:tc>
          <w:tcPr>
            <w:tcW w:w="796" w:type="pct"/>
            <w:vMerge/>
          </w:tcPr>
          <w:p w14:paraId="3B91B324" w14:textId="77777777" w:rsidR="004120EE" w:rsidRPr="00CB3320" w:rsidRDefault="004120EE" w:rsidP="004120EE">
            <w:pPr>
              <w:pStyle w:val="table"/>
            </w:pPr>
          </w:p>
        </w:tc>
        <w:tc>
          <w:tcPr>
            <w:tcW w:w="892" w:type="pct"/>
            <w:shd w:val="clear" w:color="auto" w:fill="auto"/>
          </w:tcPr>
          <w:p w14:paraId="5F922D57" w14:textId="77777777" w:rsidR="004120EE" w:rsidRPr="00CB3320" w:rsidRDefault="004120EE" w:rsidP="004120EE">
            <w:pPr>
              <w:pStyle w:val="table"/>
            </w:pPr>
            <w:r w:rsidRPr="00CB3320">
              <w:t>lnrfiscaledupG</w:t>
            </w:r>
          </w:p>
        </w:tc>
        <w:tc>
          <w:tcPr>
            <w:tcW w:w="539" w:type="pct"/>
            <w:shd w:val="clear" w:color="auto" w:fill="auto"/>
            <w:vAlign w:val="center"/>
          </w:tcPr>
          <w:p w14:paraId="05E24477" w14:textId="4BCC4EB0" w:rsidR="004120EE" w:rsidRPr="00CB3320" w:rsidRDefault="004120EE" w:rsidP="004120EE">
            <w:pPr>
              <w:pStyle w:val="table"/>
            </w:pPr>
            <w:r w:rsidRPr="00CB3320">
              <w:rPr>
                <w:rFonts w:hint="eastAsia"/>
              </w:rPr>
              <w:t>3,154</w:t>
            </w:r>
          </w:p>
        </w:tc>
        <w:tc>
          <w:tcPr>
            <w:tcW w:w="635" w:type="pct"/>
            <w:shd w:val="clear" w:color="auto" w:fill="auto"/>
            <w:vAlign w:val="center"/>
          </w:tcPr>
          <w:p w14:paraId="5469453F" w14:textId="02212F31" w:rsidR="004120EE" w:rsidRPr="00CB3320" w:rsidRDefault="004120EE" w:rsidP="004120EE">
            <w:pPr>
              <w:pStyle w:val="table"/>
            </w:pPr>
            <w:r w:rsidRPr="00CB3320">
              <w:rPr>
                <w:rFonts w:hint="eastAsia"/>
              </w:rPr>
              <w:t>3.236</w:t>
            </w:r>
          </w:p>
        </w:tc>
        <w:tc>
          <w:tcPr>
            <w:tcW w:w="683" w:type="pct"/>
            <w:shd w:val="clear" w:color="auto" w:fill="auto"/>
            <w:vAlign w:val="center"/>
          </w:tcPr>
          <w:p w14:paraId="65926EAE" w14:textId="4E1C2BC3" w:rsidR="004120EE" w:rsidRPr="00CB3320" w:rsidRDefault="004120EE" w:rsidP="004120EE">
            <w:pPr>
              <w:pStyle w:val="table"/>
            </w:pPr>
            <w:r w:rsidRPr="00CB3320">
              <w:rPr>
                <w:rFonts w:hint="eastAsia"/>
              </w:rPr>
              <w:t>0.459</w:t>
            </w:r>
          </w:p>
        </w:tc>
        <w:tc>
          <w:tcPr>
            <w:tcW w:w="587" w:type="pct"/>
            <w:shd w:val="clear" w:color="auto" w:fill="auto"/>
            <w:vAlign w:val="center"/>
          </w:tcPr>
          <w:p w14:paraId="3DACFF86" w14:textId="29C7C431" w:rsidR="004120EE" w:rsidRPr="00CB3320" w:rsidRDefault="004120EE" w:rsidP="004120EE">
            <w:pPr>
              <w:pStyle w:val="table"/>
            </w:pPr>
            <w:r w:rsidRPr="00CB3320">
              <w:rPr>
                <w:rFonts w:hint="eastAsia"/>
              </w:rPr>
              <w:t>0.201</w:t>
            </w:r>
          </w:p>
        </w:tc>
        <w:tc>
          <w:tcPr>
            <w:tcW w:w="868" w:type="pct"/>
            <w:shd w:val="clear" w:color="auto" w:fill="auto"/>
            <w:vAlign w:val="center"/>
          </w:tcPr>
          <w:p w14:paraId="30D38A40" w14:textId="6FBE48F1" w:rsidR="004120EE" w:rsidRPr="00CB3320" w:rsidRDefault="004120EE" w:rsidP="004120EE">
            <w:pPr>
              <w:pStyle w:val="table"/>
            </w:pPr>
            <w:r w:rsidRPr="00CB3320">
              <w:rPr>
                <w:rFonts w:hint="eastAsia"/>
              </w:rPr>
              <w:t>4.681</w:t>
            </w:r>
          </w:p>
        </w:tc>
      </w:tr>
      <w:tr w:rsidR="004120EE" w:rsidRPr="00CB3320" w14:paraId="4C636EB2" w14:textId="77777777" w:rsidTr="00D168B5">
        <w:trPr>
          <w:trHeight w:val="20"/>
          <w:jc w:val="center"/>
        </w:trPr>
        <w:tc>
          <w:tcPr>
            <w:tcW w:w="796" w:type="pct"/>
          </w:tcPr>
          <w:p w14:paraId="40EDDFE8" w14:textId="77777777" w:rsidR="004120EE" w:rsidRPr="00CB3320" w:rsidRDefault="004120EE" w:rsidP="004120EE">
            <w:pPr>
              <w:pStyle w:val="table"/>
            </w:pPr>
          </w:p>
        </w:tc>
        <w:tc>
          <w:tcPr>
            <w:tcW w:w="892" w:type="pct"/>
            <w:shd w:val="clear" w:color="auto" w:fill="auto"/>
          </w:tcPr>
          <w:p w14:paraId="00B39789" w14:textId="77777777" w:rsidR="004120EE" w:rsidRPr="00CB3320" w:rsidRDefault="004120EE" w:rsidP="004120EE">
            <w:pPr>
              <w:pStyle w:val="table"/>
            </w:pPr>
            <w:r w:rsidRPr="00CB3320">
              <w:t>lnrfiscalscipG</w:t>
            </w:r>
          </w:p>
        </w:tc>
        <w:tc>
          <w:tcPr>
            <w:tcW w:w="539" w:type="pct"/>
            <w:shd w:val="clear" w:color="auto" w:fill="auto"/>
            <w:vAlign w:val="center"/>
          </w:tcPr>
          <w:p w14:paraId="04C9047E" w14:textId="70F90F25" w:rsidR="004120EE" w:rsidRPr="00CB3320" w:rsidRDefault="004120EE" w:rsidP="004120EE">
            <w:pPr>
              <w:pStyle w:val="table"/>
            </w:pPr>
            <w:r w:rsidRPr="00CB3320">
              <w:rPr>
                <w:rFonts w:hint="eastAsia"/>
              </w:rPr>
              <w:t>3,150</w:t>
            </w:r>
          </w:p>
        </w:tc>
        <w:tc>
          <w:tcPr>
            <w:tcW w:w="635" w:type="pct"/>
            <w:shd w:val="clear" w:color="auto" w:fill="auto"/>
            <w:vAlign w:val="center"/>
          </w:tcPr>
          <w:p w14:paraId="2EBDFF36" w14:textId="720127C7" w:rsidR="004120EE" w:rsidRPr="00CB3320" w:rsidRDefault="004120EE" w:rsidP="004120EE">
            <w:pPr>
              <w:pStyle w:val="table"/>
            </w:pPr>
            <w:r w:rsidRPr="00CB3320">
              <w:rPr>
                <w:rFonts w:hint="eastAsia"/>
              </w:rPr>
              <w:t>0.208</w:t>
            </w:r>
          </w:p>
        </w:tc>
        <w:tc>
          <w:tcPr>
            <w:tcW w:w="683" w:type="pct"/>
            <w:shd w:val="clear" w:color="auto" w:fill="auto"/>
            <w:vAlign w:val="center"/>
          </w:tcPr>
          <w:p w14:paraId="49F48ABF" w14:textId="31600297" w:rsidR="004120EE" w:rsidRPr="00CB3320" w:rsidRDefault="004120EE" w:rsidP="004120EE">
            <w:pPr>
              <w:pStyle w:val="table"/>
            </w:pPr>
            <w:r w:rsidRPr="00CB3320">
              <w:rPr>
                <w:rFonts w:hint="eastAsia"/>
              </w:rPr>
              <w:t>0.994</w:t>
            </w:r>
          </w:p>
        </w:tc>
        <w:tc>
          <w:tcPr>
            <w:tcW w:w="587" w:type="pct"/>
            <w:shd w:val="clear" w:color="auto" w:fill="auto"/>
            <w:vAlign w:val="center"/>
          </w:tcPr>
          <w:p w14:paraId="457BB0EB" w14:textId="4B503A17" w:rsidR="004120EE" w:rsidRPr="00CB3320" w:rsidRDefault="004120EE" w:rsidP="004120EE">
            <w:pPr>
              <w:pStyle w:val="table"/>
            </w:pPr>
            <w:r w:rsidRPr="00CB3320">
              <w:rPr>
                <w:rFonts w:hint="eastAsia"/>
              </w:rPr>
              <w:t>-4.177</w:t>
            </w:r>
          </w:p>
        </w:tc>
        <w:tc>
          <w:tcPr>
            <w:tcW w:w="868" w:type="pct"/>
            <w:shd w:val="clear" w:color="auto" w:fill="auto"/>
            <w:vAlign w:val="center"/>
          </w:tcPr>
          <w:p w14:paraId="353EFC57" w14:textId="5FD15906" w:rsidR="004120EE" w:rsidRPr="00CB3320" w:rsidRDefault="004120EE" w:rsidP="004120EE">
            <w:pPr>
              <w:pStyle w:val="table"/>
            </w:pPr>
            <w:r w:rsidRPr="00CB3320">
              <w:rPr>
                <w:rFonts w:hint="eastAsia"/>
              </w:rPr>
              <w:t>2.971</w:t>
            </w:r>
          </w:p>
        </w:tc>
      </w:tr>
      <w:tr w:rsidR="004120EE" w:rsidRPr="00CB3320" w14:paraId="779FF102" w14:textId="77777777" w:rsidTr="00D168B5">
        <w:trPr>
          <w:trHeight w:val="20"/>
          <w:jc w:val="center"/>
        </w:trPr>
        <w:tc>
          <w:tcPr>
            <w:tcW w:w="796" w:type="pct"/>
            <w:vMerge w:val="restart"/>
          </w:tcPr>
          <w:p w14:paraId="1D9A7B62" w14:textId="77777777" w:rsidR="004120EE" w:rsidRPr="00CB3320" w:rsidRDefault="004120EE" w:rsidP="004120EE">
            <w:pPr>
              <w:pStyle w:val="table"/>
            </w:pPr>
            <w:bookmarkStart w:id="84" w:name="_Hlk121729975"/>
            <w:r w:rsidRPr="00CB3320">
              <w:t>原始变量</w:t>
            </w:r>
          </w:p>
        </w:tc>
        <w:tc>
          <w:tcPr>
            <w:tcW w:w="892" w:type="pct"/>
            <w:shd w:val="clear" w:color="auto" w:fill="auto"/>
          </w:tcPr>
          <w:p w14:paraId="4A7C147A" w14:textId="77777777" w:rsidR="004120EE" w:rsidRPr="00CB3320" w:rsidRDefault="004120EE" w:rsidP="004120EE">
            <w:pPr>
              <w:pStyle w:val="table"/>
            </w:pPr>
            <w:r w:rsidRPr="00CB3320">
              <w:rPr>
                <w:rFonts w:hint="eastAsia"/>
              </w:rPr>
              <w:t>rgdp</w:t>
            </w:r>
          </w:p>
        </w:tc>
        <w:tc>
          <w:tcPr>
            <w:tcW w:w="539" w:type="pct"/>
            <w:shd w:val="clear" w:color="auto" w:fill="auto"/>
            <w:vAlign w:val="center"/>
          </w:tcPr>
          <w:p w14:paraId="152A56CD" w14:textId="580E2A3F" w:rsidR="004120EE" w:rsidRPr="00CB3320" w:rsidRDefault="004120EE" w:rsidP="004120EE">
            <w:pPr>
              <w:pStyle w:val="table"/>
            </w:pPr>
            <w:r w:rsidRPr="00CB3320">
              <w:rPr>
                <w:rFonts w:hint="eastAsia"/>
              </w:rPr>
              <w:t>3,154</w:t>
            </w:r>
          </w:p>
        </w:tc>
        <w:tc>
          <w:tcPr>
            <w:tcW w:w="635" w:type="pct"/>
            <w:shd w:val="clear" w:color="auto" w:fill="auto"/>
            <w:vAlign w:val="center"/>
          </w:tcPr>
          <w:p w14:paraId="1450BF15" w14:textId="07C8D8C1" w:rsidR="004120EE" w:rsidRPr="00CB3320" w:rsidRDefault="004120EE" w:rsidP="004120EE">
            <w:pPr>
              <w:pStyle w:val="table"/>
            </w:pPr>
            <w:r w:rsidRPr="00CB3320">
              <w:rPr>
                <w:rFonts w:hint="eastAsia"/>
              </w:rPr>
              <w:t>30.762</w:t>
            </w:r>
          </w:p>
        </w:tc>
        <w:tc>
          <w:tcPr>
            <w:tcW w:w="683" w:type="pct"/>
            <w:shd w:val="clear" w:color="auto" w:fill="auto"/>
            <w:vAlign w:val="center"/>
          </w:tcPr>
          <w:p w14:paraId="78BF3C7A" w14:textId="3F301079" w:rsidR="004120EE" w:rsidRPr="00CB3320" w:rsidRDefault="004120EE" w:rsidP="004120EE">
            <w:pPr>
              <w:pStyle w:val="table"/>
            </w:pPr>
            <w:r w:rsidRPr="00CB3320">
              <w:rPr>
                <w:rFonts w:hint="eastAsia"/>
              </w:rPr>
              <w:t>43.302</w:t>
            </w:r>
          </w:p>
        </w:tc>
        <w:tc>
          <w:tcPr>
            <w:tcW w:w="587" w:type="pct"/>
            <w:shd w:val="clear" w:color="auto" w:fill="auto"/>
            <w:vAlign w:val="center"/>
          </w:tcPr>
          <w:p w14:paraId="5B8008D5" w14:textId="31F4B9D0" w:rsidR="004120EE" w:rsidRPr="00CB3320" w:rsidRDefault="004120EE" w:rsidP="004120EE">
            <w:pPr>
              <w:pStyle w:val="table"/>
            </w:pPr>
            <w:r w:rsidRPr="00CB3320">
              <w:rPr>
                <w:rFonts w:hint="eastAsia"/>
              </w:rPr>
              <w:t>1.622</w:t>
            </w:r>
          </w:p>
        </w:tc>
        <w:tc>
          <w:tcPr>
            <w:tcW w:w="868" w:type="pct"/>
            <w:shd w:val="clear" w:color="auto" w:fill="auto"/>
            <w:vAlign w:val="center"/>
          </w:tcPr>
          <w:p w14:paraId="59DFBE9A" w14:textId="148941D3" w:rsidR="004120EE" w:rsidRPr="00CB3320" w:rsidRDefault="004120EE" w:rsidP="004120EE">
            <w:pPr>
              <w:pStyle w:val="table"/>
            </w:pPr>
            <w:r w:rsidRPr="00CB3320">
              <w:rPr>
                <w:rFonts w:hint="eastAsia"/>
              </w:rPr>
              <w:t>477.776</w:t>
            </w:r>
          </w:p>
        </w:tc>
      </w:tr>
      <w:tr w:rsidR="004120EE" w:rsidRPr="00CB3320" w14:paraId="2CDD3779" w14:textId="77777777" w:rsidTr="00D168B5">
        <w:trPr>
          <w:trHeight w:val="20"/>
          <w:jc w:val="center"/>
        </w:trPr>
        <w:tc>
          <w:tcPr>
            <w:tcW w:w="796" w:type="pct"/>
            <w:vMerge/>
          </w:tcPr>
          <w:p w14:paraId="4DEDDC7A" w14:textId="77777777" w:rsidR="004120EE" w:rsidRPr="00CB3320" w:rsidRDefault="004120EE" w:rsidP="004120EE">
            <w:pPr>
              <w:pStyle w:val="table"/>
            </w:pPr>
          </w:p>
        </w:tc>
        <w:tc>
          <w:tcPr>
            <w:tcW w:w="892" w:type="pct"/>
            <w:shd w:val="clear" w:color="auto" w:fill="auto"/>
          </w:tcPr>
          <w:p w14:paraId="39300CD0" w14:textId="77777777" w:rsidR="004120EE" w:rsidRPr="00CB3320" w:rsidRDefault="004120EE" w:rsidP="004120EE">
            <w:pPr>
              <w:pStyle w:val="table"/>
            </w:pPr>
            <w:r w:rsidRPr="00CB3320">
              <w:rPr>
                <w:rFonts w:hint="eastAsia"/>
              </w:rPr>
              <w:t>rFDI</w:t>
            </w:r>
          </w:p>
        </w:tc>
        <w:tc>
          <w:tcPr>
            <w:tcW w:w="539" w:type="pct"/>
            <w:shd w:val="clear" w:color="auto" w:fill="auto"/>
            <w:vAlign w:val="center"/>
          </w:tcPr>
          <w:p w14:paraId="03684EE6" w14:textId="5F86146D" w:rsidR="004120EE" w:rsidRPr="00CB3320" w:rsidRDefault="004120EE" w:rsidP="004120EE">
            <w:pPr>
              <w:pStyle w:val="table"/>
            </w:pPr>
            <w:r w:rsidRPr="00CB3320">
              <w:rPr>
                <w:rFonts w:hint="eastAsia"/>
              </w:rPr>
              <w:t>3,101</w:t>
            </w:r>
          </w:p>
        </w:tc>
        <w:tc>
          <w:tcPr>
            <w:tcW w:w="635" w:type="pct"/>
            <w:shd w:val="clear" w:color="auto" w:fill="auto"/>
            <w:vAlign w:val="center"/>
          </w:tcPr>
          <w:p w14:paraId="53A77E08" w14:textId="70AEE649" w:rsidR="004120EE" w:rsidRPr="00CB3320" w:rsidRDefault="004120EE" w:rsidP="004120EE">
            <w:pPr>
              <w:pStyle w:val="table"/>
            </w:pPr>
            <w:r w:rsidRPr="00CB3320">
              <w:rPr>
                <w:rFonts w:hint="eastAsia"/>
              </w:rPr>
              <w:t>847</w:t>
            </w:r>
          </w:p>
        </w:tc>
        <w:tc>
          <w:tcPr>
            <w:tcW w:w="683" w:type="pct"/>
            <w:shd w:val="clear" w:color="auto" w:fill="auto"/>
            <w:vAlign w:val="center"/>
          </w:tcPr>
          <w:p w14:paraId="5B9AE6C0" w14:textId="00C565ED" w:rsidR="004120EE" w:rsidRPr="00CB3320" w:rsidRDefault="004120EE" w:rsidP="004120EE">
            <w:pPr>
              <w:pStyle w:val="table"/>
            </w:pPr>
            <w:r w:rsidRPr="00CB3320">
              <w:rPr>
                <w:rFonts w:hint="eastAsia"/>
              </w:rPr>
              <w:t>1900</w:t>
            </w:r>
          </w:p>
        </w:tc>
        <w:tc>
          <w:tcPr>
            <w:tcW w:w="587" w:type="pct"/>
            <w:shd w:val="clear" w:color="auto" w:fill="auto"/>
            <w:vAlign w:val="center"/>
          </w:tcPr>
          <w:p w14:paraId="60933887" w14:textId="2FE3DBB0" w:rsidR="004120EE" w:rsidRPr="00CB3320" w:rsidRDefault="004120EE" w:rsidP="004120EE">
            <w:pPr>
              <w:pStyle w:val="table"/>
            </w:pPr>
            <w:r w:rsidRPr="00CB3320">
              <w:rPr>
                <w:rFonts w:hint="eastAsia"/>
              </w:rPr>
              <w:t>0</w:t>
            </w:r>
          </w:p>
        </w:tc>
        <w:tc>
          <w:tcPr>
            <w:tcW w:w="868" w:type="pct"/>
            <w:shd w:val="clear" w:color="auto" w:fill="auto"/>
            <w:vAlign w:val="center"/>
          </w:tcPr>
          <w:p w14:paraId="0AEC78A6" w14:textId="536FB752" w:rsidR="004120EE" w:rsidRPr="00CB3320" w:rsidRDefault="004120EE" w:rsidP="004120EE">
            <w:pPr>
              <w:pStyle w:val="table"/>
            </w:pPr>
            <w:r w:rsidRPr="00CB3320">
              <w:rPr>
                <w:rFonts w:hint="eastAsia"/>
              </w:rPr>
              <w:t>21339</w:t>
            </w:r>
          </w:p>
        </w:tc>
      </w:tr>
      <w:tr w:rsidR="004120EE" w:rsidRPr="00CB3320" w14:paraId="0E8A259D" w14:textId="77777777" w:rsidTr="00D168B5">
        <w:trPr>
          <w:trHeight w:val="20"/>
          <w:jc w:val="center"/>
        </w:trPr>
        <w:tc>
          <w:tcPr>
            <w:tcW w:w="796" w:type="pct"/>
            <w:vMerge/>
          </w:tcPr>
          <w:p w14:paraId="3DA5D527" w14:textId="77777777" w:rsidR="004120EE" w:rsidRPr="00CB3320" w:rsidRDefault="004120EE" w:rsidP="004120EE">
            <w:pPr>
              <w:pStyle w:val="table"/>
            </w:pPr>
          </w:p>
        </w:tc>
        <w:tc>
          <w:tcPr>
            <w:tcW w:w="892" w:type="pct"/>
            <w:shd w:val="clear" w:color="auto" w:fill="auto"/>
          </w:tcPr>
          <w:p w14:paraId="1DEF1BDA" w14:textId="77777777" w:rsidR="004120EE" w:rsidRPr="00CB3320" w:rsidRDefault="004120EE" w:rsidP="004120EE">
            <w:pPr>
              <w:pStyle w:val="table"/>
            </w:pPr>
            <w:r w:rsidRPr="00CB3320">
              <w:rPr>
                <w:rFonts w:hint="eastAsia"/>
              </w:rPr>
              <w:t>rcapital</w:t>
            </w:r>
          </w:p>
        </w:tc>
        <w:tc>
          <w:tcPr>
            <w:tcW w:w="539" w:type="pct"/>
            <w:shd w:val="clear" w:color="auto" w:fill="auto"/>
            <w:vAlign w:val="center"/>
          </w:tcPr>
          <w:p w14:paraId="790C3623" w14:textId="28592DA5" w:rsidR="004120EE" w:rsidRPr="00CB3320" w:rsidRDefault="004120EE" w:rsidP="004120EE">
            <w:pPr>
              <w:pStyle w:val="table"/>
            </w:pPr>
            <w:r w:rsidRPr="00CB3320">
              <w:rPr>
                <w:rFonts w:hint="eastAsia"/>
              </w:rPr>
              <w:t>3,154</w:t>
            </w:r>
          </w:p>
        </w:tc>
        <w:tc>
          <w:tcPr>
            <w:tcW w:w="635" w:type="pct"/>
            <w:shd w:val="clear" w:color="auto" w:fill="auto"/>
            <w:vAlign w:val="center"/>
          </w:tcPr>
          <w:p w14:paraId="6485C28A" w14:textId="7FD89598" w:rsidR="004120EE" w:rsidRPr="00CB3320" w:rsidRDefault="004120EE" w:rsidP="004120EE">
            <w:pPr>
              <w:pStyle w:val="table"/>
            </w:pPr>
            <w:r w:rsidRPr="00CB3320">
              <w:rPr>
                <w:rFonts w:hint="eastAsia"/>
              </w:rPr>
              <w:t>76683</w:t>
            </w:r>
          </w:p>
        </w:tc>
        <w:tc>
          <w:tcPr>
            <w:tcW w:w="683" w:type="pct"/>
            <w:shd w:val="clear" w:color="auto" w:fill="auto"/>
            <w:vAlign w:val="center"/>
          </w:tcPr>
          <w:p w14:paraId="7A8522A3" w14:textId="32EFF7C8" w:rsidR="004120EE" w:rsidRPr="00CB3320" w:rsidRDefault="004120EE" w:rsidP="004120EE">
            <w:pPr>
              <w:pStyle w:val="table"/>
            </w:pPr>
            <w:r w:rsidRPr="00CB3320">
              <w:rPr>
                <w:rFonts w:hint="eastAsia"/>
              </w:rPr>
              <w:t>100340</w:t>
            </w:r>
          </w:p>
        </w:tc>
        <w:tc>
          <w:tcPr>
            <w:tcW w:w="587" w:type="pct"/>
            <w:shd w:val="clear" w:color="auto" w:fill="auto"/>
            <w:vAlign w:val="center"/>
          </w:tcPr>
          <w:p w14:paraId="608EC6BE" w14:textId="3B018E65" w:rsidR="004120EE" w:rsidRPr="00CB3320" w:rsidRDefault="004120EE" w:rsidP="004120EE">
            <w:pPr>
              <w:pStyle w:val="table"/>
            </w:pPr>
            <w:r w:rsidRPr="00CB3320">
              <w:rPr>
                <w:rFonts w:hint="eastAsia"/>
              </w:rPr>
              <w:t>2969</w:t>
            </w:r>
          </w:p>
        </w:tc>
        <w:tc>
          <w:tcPr>
            <w:tcW w:w="868" w:type="pct"/>
            <w:shd w:val="clear" w:color="auto" w:fill="auto"/>
            <w:vAlign w:val="center"/>
          </w:tcPr>
          <w:p w14:paraId="606B46DB" w14:textId="45C09142" w:rsidR="004120EE" w:rsidRPr="00CB3320" w:rsidRDefault="004120EE" w:rsidP="004120EE">
            <w:pPr>
              <w:pStyle w:val="table"/>
            </w:pPr>
            <w:r w:rsidRPr="00CB3320">
              <w:rPr>
                <w:rFonts w:hint="eastAsia"/>
              </w:rPr>
              <w:t>1173669</w:t>
            </w:r>
          </w:p>
        </w:tc>
      </w:tr>
      <w:tr w:rsidR="004120EE" w:rsidRPr="00CB3320" w14:paraId="49EF2D01" w14:textId="77777777" w:rsidTr="00D168B5">
        <w:trPr>
          <w:trHeight w:val="20"/>
          <w:jc w:val="center"/>
        </w:trPr>
        <w:tc>
          <w:tcPr>
            <w:tcW w:w="796" w:type="pct"/>
            <w:vMerge/>
          </w:tcPr>
          <w:p w14:paraId="64D1BAA5" w14:textId="77777777" w:rsidR="004120EE" w:rsidRPr="00CB3320" w:rsidRDefault="004120EE" w:rsidP="004120EE">
            <w:pPr>
              <w:pStyle w:val="table"/>
            </w:pPr>
          </w:p>
        </w:tc>
        <w:tc>
          <w:tcPr>
            <w:tcW w:w="892" w:type="pct"/>
            <w:shd w:val="clear" w:color="auto" w:fill="auto"/>
          </w:tcPr>
          <w:p w14:paraId="5CF23823" w14:textId="77777777" w:rsidR="004120EE" w:rsidRPr="00CB3320" w:rsidRDefault="004120EE" w:rsidP="004120EE">
            <w:pPr>
              <w:pStyle w:val="table"/>
            </w:pPr>
            <w:r w:rsidRPr="00CB3320">
              <w:rPr>
                <w:rFonts w:hint="eastAsia"/>
              </w:rPr>
              <w:t>rfiscalsci</w:t>
            </w:r>
          </w:p>
        </w:tc>
        <w:tc>
          <w:tcPr>
            <w:tcW w:w="539" w:type="pct"/>
            <w:shd w:val="clear" w:color="auto" w:fill="auto"/>
            <w:vAlign w:val="center"/>
          </w:tcPr>
          <w:p w14:paraId="53607BA4" w14:textId="7383E77D" w:rsidR="004120EE" w:rsidRPr="00CB3320" w:rsidRDefault="004120EE" w:rsidP="004120EE">
            <w:pPr>
              <w:pStyle w:val="table"/>
            </w:pPr>
            <w:r w:rsidRPr="00CB3320">
              <w:rPr>
                <w:rFonts w:hint="eastAsia"/>
              </w:rPr>
              <w:t>3,150</w:t>
            </w:r>
          </w:p>
        </w:tc>
        <w:tc>
          <w:tcPr>
            <w:tcW w:w="635" w:type="pct"/>
            <w:shd w:val="clear" w:color="auto" w:fill="auto"/>
            <w:vAlign w:val="center"/>
          </w:tcPr>
          <w:p w14:paraId="3774361E" w14:textId="07915F48" w:rsidR="004120EE" w:rsidRPr="00CB3320" w:rsidRDefault="004120EE" w:rsidP="004120EE">
            <w:pPr>
              <w:pStyle w:val="table"/>
            </w:pPr>
            <w:r w:rsidRPr="00CB3320">
              <w:rPr>
                <w:rFonts w:hint="eastAsia"/>
              </w:rPr>
              <w:t>98.510</w:t>
            </w:r>
          </w:p>
        </w:tc>
        <w:tc>
          <w:tcPr>
            <w:tcW w:w="683" w:type="pct"/>
            <w:shd w:val="clear" w:color="auto" w:fill="auto"/>
            <w:vAlign w:val="center"/>
          </w:tcPr>
          <w:p w14:paraId="004CFA30" w14:textId="6F00F983" w:rsidR="004120EE" w:rsidRPr="00CB3320" w:rsidRDefault="004120EE" w:rsidP="004120EE">
            <w:pPr>
              <w:pStyle w:val="table"/>
            </w:pPr>
            <w:r w:rsidRPr="00CB3320">
              <w:rPr>
                <w:rFonts w:hint="eastAsia"/>
              </w:rPr>
              <w:t>362.825</w:t>
            </w:r>
          </w:p>
        </w:tc>
        <w:tc>
          <w:tcPr>
            <w:tcW w:w="587" w:type="pct"/>
            <w:shd w:val="clear" w:color="auto" w:fill="auto"/>
            <w:vAlign w:val="center"/>
          </w:tcPr>
          <w:p w14:paraId="2426BC63" w14:textId="137104D0" w:rsidR="004120EE" w:rsidRPr="00CB3320" w:rsidRDefault="004120EE" w:rsidP="004120EE">
            <w:pPr>
              <w:pStyle w:val="table"/>
            </w:pPr>
            <w:r w:rsidRPr="00CB3320">
              <w:rPr>
                <w:rFonts w:hint="eastAsia"/>
              </w:rPr>
              <w:t>0.078</w:t>
            </w:r>
          </w:p>
        </w:tc>
        <w:tc>
          <w:tcPr>
            <w:tcW w:w="868" w:type="pct"/>
            <w:shd w:val="clear" w:color="auto" w:fill="auto"/>
            <w:vAlign w:val="center"/>
          </w:tcPr>
          <w:p w14:paraId="7D15D73D" w14:textId="71D25A87" w:rsidR="004120EE" w:rsidRPr="00CB3320" w:rsidRDefault="004120EE" w:rsidP="004120EE">
            <w:pPr>
              <w:pStyle w:val="table"/>
            </w:pPr>
            <w:r w:rsidRPr="00CB3320">
              <w:rPr>
                <w:rFonts w:hint="eastAsia"/>
              </w:rPr>
              <w:t>6450.756</w:t>
            </w:r>
          </w:p>
        </w:tc>
      </w:tr>
      <w:tr w:rsidR="004120EE" w:rsidRPr="00CB3320" w14:paraId="71E9A982" w14:textId="77777777" w:rsidTr="00D168B5">
        <w:trPr>
          <w:trHeight w:val="20"/>
          <w:jc w:val="center"/>
        </w:trPr>
        <w:tc>
          <w:tcPr>
            <w:tcW w:w="796" w:type="pct"/>
            <w:vMerge/>
          </w:tcPr>
          <w:p w14:paraId="779E644A" w14:textId="77777777" w:rsidR="004120EE" w:rsidRPr="00CB3320" w:rsidRDefault="004120EE" w:rsidP="004120EE">
            <w:pPr>
              <w:pStyle w:val="table"/>
            </w:pPr>
          </w:p>
        </w:tc>
        <w:tc>
          <w:tcPr>
            <w:tcW w:w="892" w:type="pct"/>
            <w:shd w:val="clear" w:color="auto" w:fill="auto"/>
          </w:tcPr>
          <w:p w14:paraId="127A5E6D" w14:textId="77777777" w:rsidR="004120EE" w:rsidRPr="00CB3320" w:rsidRDefault="004120EE" w:rsidP="004120EE">
            <w:pPr>
              <w:pStyle w:val="table"/>
            </w:pPr>
            <w:r w:rsidRPr="00CB3320">
              <w:rPr>
                <w:rFonts w:hint="eastAsia"/>
              </w:rPr>
              <w:t>rfiscaledu</w:t>
            </w:r>
          </w:p>
        </w:tc>
        <w:tc>
          <w:tcPr>
            <w:tcW w:w="539" w:type="pct"/>
            <w:shd w:val="clear" w:color="auto" w:fill="auto"/>
            <w:vAlign w:val="center"/>
          </w:tcPr>
          <w:p w14:paraId="7B8532AB" w14:textId="00D939FC" w:rsidR="004120EE" w:rsidRPr="00CB3320" w:rsidRDefault="004120EE" w:rsidP="004120EE">
            <w:pPr>
              <w:pStyle w:val="table"/>
            </w:pPr>
            <w:r w:rsidRPr="00CB3320">
              <w:rPr>
                <w:rFonts w:hint="eastAsia"/>
              </w:rPr>
              <w:t>3,154</w:t>
            </w:r>
          </w:p>
        </w:tc>
        <w:tc>
          <w:tcPr>
            <w:tcW w:w="635" w:type="pct"/>
            <w:shd w:val="clear" w:color="auto" w:fill="auto"/>
            <w:vAlign w:val="center"/>
          </w:tcPr>
          <w:p w14:paraId="3FF5B75E" w14:textId="2DE7EB60" w:rsidR="004120EE" w:rsidRPr="00CB3320" w:rsidRDefault="004120EE" w:rsidP="004120EE">
            <w:pPr>
              <w:pStyle w:val="table"/>
            </w:pPr>
            <w:r w:rsidRPr="00CB3320">
              <w:rPr>
                <w:rFonts w:hint="eastAsia"/>
              </w:rPr>
              <w:t>738</w:t>
            </w:r>
          </w:p>
        </w:tc>
        <w:tc>
          <w:tcPr>
            <w:tcW w:w="683" w:type="pct"/>
            <w:shd w:val="clear" w:color="auto" w:fill="auto"/>
            <w:vAlign w:val="center"/>
          </w:tcPr>
          <w:p w14:paraId="508864B1" w14:textId="353D7EF1" w:rsidR="004120EE" w:rsidRPr="00CB3320" w:rsidRDefault="004120EE" w:rsidP="004120EE">
            <w:pPr>
              <w:pStyle w:val="table"/>
            </w:pPr>
            <w:r w:rsidRPr="00CB3320">
              <w:rPr>
                <w:rFonts w:hint="eastAsia"/>
              </w:rPr>
              <w:t>1052</w:t>
            </w:r>
          </w:p>
        </w:tc>
        <w:tc>
          <w:tcPr>
            <w:tcW w:w="587" w:type="pct"/>
            <w:shd w:val="clear" w:color="auto" w:fill="auto"/>
            <w:vAlign w:val="center"/>
          </w:tcPr>
          <w:p w14:paraId="1B8BC873" w14:textId="133BBED1" w:rsidR="004120EE" w:rsidRPr="00CB3320" w:rsidRDefault="004120EE" w:rsidP="004120EE">
            <w:pPr>
              <w:pStyle w:val="table"/>
            </w:pPr>
            <w:r w:rsidRPr="00CB3320">
              <w:rPr>
                <w:rFonts w:hint="eastAsia"/>
              </w:rPr>
              <w:t>2</w:t>
            </w:r>
          </w:p>
        </w:tc>
        <w:tc>
          <w:tcPr>
            <w:tcW w:w="868" w:type="pct"/>
            <w:shd w:val="clear" w:color="auto" w:fill="auto"/>
            <w:vAlign w:val="center"/>
          </w:tcPr>
          <w:p w14:paraId="5C9597B4" w14:textId="7614148A" w:rsidR="004120EE" w:rsidRPr="00CB3320" w:rsidRDefault="004120EE" w:rsidP="004120EE">
            <w:pPr>
              <w:pStyle w:val="table"/>
            </w:pPr>
            <w:r w:rsidRPr="00CB3320">
              <w:rPr>
                <w:rFonts w:hint="eastAsia"/>
              </w:rPr>
              <w:t>14186</w:t>
            </w:r>
          </w:p>
        </w:tc>
      </w:tr>
      <w:tr w:rsidR="004120EE" w:rsidRPr="00CB3320" w14:paraId="70BE5291" w14:textId="77777777" w:rsidTr="00D168B5">
        <w:trPr>
          <w:trHeight w:val="20"/>
          <w:jc w:val="center"/>
        </w:trPr>
        <w:tc>
          <w:tcPr>
            <w:tcW w:w="796" w:type="pct"/>
            <w:vMerge/>
          </w:tcPr>
          <w:p w14:paraId="2C18C741" w14:textId="77777777" w:rsidR="004120EE" w:rsidRPr="00CB3320" w:rsidRDefault="004120EE" w:rsidP="004120EE">
            <w:pPr>
              <w:pStyle w:val="table"/>
            </w:pPr>
          </w:p>
        </w:tc>
        <w:tc>
          <w:tcPr>
            <w:tcW w:w="892" w:type="pct"/>
            <w:shd w:val="clear" w:color="auto" w:fill="auto"/>
          </w:tcPr>
          <w:p w14:paraId="4DA0D929" w14:textId="77777777" w:rsidR="004120EE" w:rsidRPr="00CB3320" w:rsidRDefault="004120EE" w:rsidP="004120EE">
            <w:pPr>
              <w:pStyle w:val="table"/>
            </w:pPr>
            <w:r w:rsidRPr="00CB3320">
              <w:rPr>
                <w:rFonts w:hint="eastAsia"/>
              </w:rPr>
              <w:t>popr</w:t>
            </w:r>
          </w:p>
        </w:tc>
        <w:tc>
          <w:tcPr>
            <w:tcW w:w="539" w:type="pct"/>
            <w:shd w:val="clear" w:color="auto" w:fill="auto"/>
            <w:vAlign w:val="center"/>
          </w:tcPr>
          <w:p w14:paraId="2EB7DDDA" w14:textId="400AFE97" w:rsidR="004120EE" w:rsidRPr="00CB3320" w:rsidRDefault="004120EE" w:rsidP="004120EE">
            <w:pPr>
              <w:pStyle w:val="table"/>
            </w:pPr>
            <w:r w:rsidRPr="00CB3320">
              <w:rPr>
                <w:rFonts w:hint="eastAsia"/>
              </w:rPr>
              <w:t>3,116</w:t>
            </w:r>
          </w:p>
        </w:tc>
        <w:tc>
          <w:tcPr>
            <w:tcW w:w="635" w:type="pct"/>
            <w:shd w:val="clear" w:color="auto" w:fill="auto"/>
            <w:vAlign w:val="center"/>
          </w:tcPr>
          <w:p w14:paraId="5EC6B382" w14:textId="7B64F04F" w:rsidR="004120EE" w:rsidRPr="00CB3320" w:rsidRDefault="004120EE" w:rsidP="004120EE">
            <w:pPr>
              <w:pStyle w:val="table"/>
            </w:pPr>
            <w:r w:rsidRPr="00CB3320">
              <w:rPr>
                <w:rFonts w:hint="eastAsia"/>
              </w:rPr>
              <w:t>4499</w:t>
            </w:r>
          </w:p>
        </w:tc>
        <w:tc>
          <w:tcPr>
            <w:tcW w:w="683" w:type="pct"/>
            <w:shd w:val="clear" w:color="auto" w:fill="auto"/>
            <w:vAlign w:val="center"/>
          </w:tcPr>
          <w:p w14:paraId="07E16EBA" w14:textId="6A640267" w:rsidR="004120EE" w:rsidRPr="00CB3320" w:rsidRDefault="004120EE" w:rsidP="004120EE">
            <w:pPr>
              <w:pStyle w:val="table"/>
            </w:pPr>
            <w:r w:rsidRPr="00CB3320">
              <w:rPr>
                <w:rFonts w:hint="eastAsia"/>
              </w:rPr>
              <w:t>3125</w:t>
            </w:r>
          </w:p>
        </w:tc>
        <w:tc>
          <w:tcPr>
            <w:tcW w:w="587" w:type="pct"/>
            <w:shd w:val="clear" w:color="auto" w:fill="auto"/>
            <w:vAlign w:val="center"/>
          </w:tcPr>
          <w:p w14:paraId="6E6189A5" w14:textId="19BD256D" w:rsidR="004120EE" w:rsidRPr="00CB3320" w:rsidRDefault="004120EE" w:rsidP="004120EE">
            <w:pPr>
              <w:pStyle w:val="table"/>
            </w:pPr>
            <w:r w:rsidRPr="00CB3320">
              <w:rPr>
                <w:rFonts w:hint="eastAsia"/>
              </w:rPr>
              <w:t>172</w:t>
            </w:r>
          </w:p>
        </w:tc>
        <w:tc>
          <w:tcPr>
            <w:tcW w:w="868" w:type="pct"/>
            <w:shd w:val="clear" w:color="auto" w:fill="auto"/>
            <w:vAlign w:val="center"/>
          </w:tcPr>
          <w:p w14:paraId="2EEA61FF" w14:textId="085191AE" w:rsidR="004120EE" w:rsidRPr="00CB3320" w:rsidRDefault="004120EE" w:rsidP="004120EE">
            <w:pPr>
              <w:pStyle w:val="table"/>
            </w:pPr>
            <w:r w:rsidRPr="00CB3320">
              <w:rPr>
                <w:rFonts w:hint="eastAsia"/>
              </w:rPr>
              <w:t>33921</w:t>
            </w:r>
          </w:p>
        </w:tc>
      </w:tr>
      <w:tr w:rsidR="004120EE" w:rsidRPr="00CB3320" w14:paraId="0B58F8B7" w14:textId="77777777" w:rsidTr="00D168B5">
        <w:trPr>
          <w:trHeight w:val="20"/>
          <w:jc w:val="center"/>
        </w:trPr>
        <w:tc>
          <w:tcPr>
            <w:tcW w:w="796" w:type="pct"/>
            <w:vMerge/>
          </w:tcPr>
          <w:p w14:paraId="50728A33" w14:textId="77777777" w:rsidR="004120EE" w:rsidRPr="00CB3320" w:rsidRDefault="004120EE" w:rsidP="004120EE">
            <w:pPr>
              <w:pStyle w:val="table"/>
            </w:pPr>
          </w:p>
        </w:tc>
        <w:tc>
          <w:tcPr>
            <w:tcW w:w="892" w:type="pct"/>
            <w:shd w:val="clear" w:color="auto" w:fill="auto"/>
          </w:tcPr>
          <w:p w14:paraId="552C9460" w14:textId="77777777" w:rsidR="004120EE" w:rsidRPr="00CB3320" w:rsidRDefault="004120EE" w:rsidP="004120EE">
            <w:pPr>
              <w:pStyle w:val="table"/>
            </w:pPr>
            <w:r w:rsidRPr="00CB3320">
              <w:rPr>
                <w:rFonts w:hint="eastAsia"/>
              </w:rPr>
              <w:t>emp</w:t>
            </w:r>
          </w:p>
        </w:tc>
        <w:tc>
          <w:tcPr>
            <w:tcW w:w="539" w:type="pct"/>
            <w:shd w:val="clear" w:color="auto" w:fill="auto"/>
            <w:vAlign w:val="center"/>
          </w:tcPr>
          <w:p w14:paraId="2A451C84" w14:textId="43342CB9" w:rsidR="004120EE" w:rsidRPr="00CB3320" w:rsidRDefault="004120EE" w:rsidP="004120EE">
            <w:pPr>
              <w:pStyle w:val="table"/>
            </w:pPr>
            <w:r w:rsidRPr="00CB3320">
              <w:rPr>
                <w:rFonts w:hint="eastAsia"/>
              </w:rPr>
              <w:t>3,154</w:t>
            </w:r>
          </w:p>
        </w:tc>
        <w:tc>
          <w:tcPr>
            <w:tcW w:w="635" w:type="pct"/>
            <w:shd w:val="clear" w:color="auto" w:fill="auto"/>
            <w:vAlign w:val="center"/>
          </w:tcPr>
          <w:p w14:paraId="3863AE2C" w14:textId="3C4E73D6" w:rsidR="004120EE" w:rsidRPr="00CB3320" w:rsidRDefault="004120EE" w:rsidP="004120EE">
            <w:pPr>
              <w:pStyle w:val="table"/>
            </w:pPr>
            <w:r w:rsidRPr="00CB3320">
              <w:rPr>
                <w:rFonts w:hint="eastAsia"/>
              </w:rPr>
              <w:t>1022</w:t>
            </w:r>
          </w:p>
        </w:tc>
        <w:tc>
          <w:tcPr>
            <w:tcW w:w="683" w:type="pct"/>
            <w:shd w:val="clear" w:color="auto" w:fill="auto"/>
            <w:vAlign w:val="center"/>
          </w:tcPr>
          <w:p w14:paraId="631DACFE" w14:textId="28BEB85A" w:rsidR="004120EE" w:rsidRPr="00CB3320" w:rsidRDefault="004120EE" w:rsidP="004120EE">
            <w:pPr>
              <w:pStyle w:val="table"/>
            </w:pPr>
            <w:r w:rsidRPr="00CB3320">
              <w:rPr>
                <w:rFonts w:hint="eastAsia"/>
              </w:rPr>
              <w:t>1858</w:t>
            </w:r>
          </w:p>
        </w:tc>
        <w:tc>
          <w:tcPr>
            <w:tcW w:w="587" w:type="pct"/>
            <w:shd w:val="clear" w:color="auto" w:fill="auto"/>
            <w:vAlign w:val="center"/>
          </w:tcPr>
          <w:p w14:paraId="04827268" w14:textId="37B325D8" w:rsidR="004120EE" w:rsidRPr="00CB3320" w:rsidRDefault="004120EE" w:rsidP="004120EE">
            <w:pPr>
              <w:pStyle w:val="table"/>
            </w:pPr>
            <w:r w:rsidRPr="00CB3320">
              <w:rPr>
                <w:rFonts w:hint="eastAsia"/>
              </w:rPr>
              <w:t>21</w:t>
            </w:r>
          </w:p>
        </w:tc>
        <w:tc>
          <w:tcPr>
            <w:tcW w:w="868" w:type="pct"/>
            <w:shd w:val="clear" w:color="auto" w:fill="auto"/>
            <w:vAlign w:val="center"/>
          </w:tcPr>
          <w:p w14:paraId="1B6BA300" w14:textId="6EBF9E71" w:rsidR="004120EE" w:rsidRPr="00CB3320" w:rsidRDefault="004120EE" w:rsidP="004120EE">
            <w:pPr>
              <w:pStyle w:val="table"/>
            </w:pPr>
            <w:r w:rsidRPr="00CB3320">
              <w:rPr>
                <w:rFonts w:hint="eastAsia"/>
              </w:rPr>
              <w:t>17175</w:t>
            </w:r>
          </w:p>
        </w:tc>
      </w:tr>
      <w:tr w:rsidR="004120EE" w:rsidRPr="00CB3320" w14:paraId="45289C20" w14:textId="77777777" w:rsidTr="00D168B5">
        <w:trPr>
          <w:trHeight w:val="20"/>
          <w:jc w:val="center"/>
        </w:trPr>
        <w:tc>
          <w:tcPr>
            <w:tcW w:w="796" w:type="pct"/>
            <w:vMerge/>
          </w:tcPr>
          <w:p w14:paraId="6F4A436B" w14:textId="77777777" w:rsidR="004120EE" w:rsidRPr="00CB3320" w:rsidRDefault="004120EE" w:rsidP="004120EE">
            <w:pPr>
              <w:pStyle w:val="table"/>
            </w:pPr>
          </w:p>
        </w:tc>
        <w:tc>
          <w:tcPr>
            <w:tcW w:w="892" w:type="pct"/>
            <w:shd w:val="clear" w:color="auto" w:fill="auto"/>
          </w:tcPr>
          <w:p w14:paraId="0F094FE4" w14:textId="77777777" w:rsidR="004120EE" w:rsidRPr="00CB3320" w:rsidRDefault="004120EE" w:rsidP="004120EE">
            <w:pPr>
              <w:pStyle w:val="table"/>
            </w:pPr>
            <w:r w:rsidRPr="00CB3320">
              <w:rPr>
                <w:rFonts w:hint="eastAsia"/>
              </w:rPr>
              <w:t>unemp</w:t>
            </w:r>
          </w:p>
        </w:tc>
        <w:tc>
          <w:tcPr>
            <w:tcW w:w="539" w:type="pct"/>
            <w:shd w:val="clear" w:color="auto" w:fill="auto"/>
            <w:vAlign w:val="center"/>
          </w:tcPr>
          <w:p w14:paraId="734AA695" w14:textId="7DE97312" w:rsidR="004120EE" w:rsidRPr="00CB3320" w:rsidRDefault="004120EE" w:rsidP="004120EE">
            <w:pPr>
              <w:pStyle w:val="table"/>
            </w:pPr>
            <w:r w:rsidRPr="00CB3320">
              <w:rPr>
                <w:rFonts w:hint="eastAsia"/>
              </w:rPr>
              <w:t>3,147</w:t>
            </w:r>
          </w:p>
        </w:tc>
        <w:tc>
          <w:tcPr>
            <w:tcW w:w="635" w:type="pct"/>
            <w:shd w:val="clear" w:color="auto" w:fill="auto"/>
            <w:vAlign w:val="center"/>
          </w:tcPr>
          <w:p w14:paraId="11E58A48" w14:textId="482E4020" w:rsidR="004120EE" w:rsidRPr="00CB3320" w:rsidRDefault="004120EE" w:rsidP="004120EE">
            <w:pPr>
              <w:pStyle w:val="table"/>
            </w:pPr>
            <w:r w:rsidRPr="00CB3320">
              <w:rPr>
                <w:rFonts w:hint="eastAsia"/>
              </w:rPr>
              <w:t>25.074</w:t>
            </w:r>
          </w:p>
        </w:tc>
        <w:tc>
          <w:tcPr>
            <w:tcW w:w="683" w:type="pct"/>
            <w:shd w:val="clear" w:color="auto" w:fill="auto"/>
            <w:vAlign w:val="center"/>
          </w:tcPr>
          <w:p w14:paraId="2DF6B237" w14:textId="315ED4D5" w:rsidR="004120EE" w:rsidRPr="00CB3320" w:rsidRDefault="004120EE" w:rsidP="004120EE">
            <w:pPr>
              <w:pStyle w:val="table"/>
            </w:pPr>
            <w:r w:rsidRPr="00CB3320">
              <w:rPr>
                <w:rFonts w:hint="eastAsia"/>
              </w:rPr>
              <w:t>26.703</w:t>
            </w:r>
          </w:p>
        </w:tc>
        <w:tc>
          <w:tcPr>
            <w:tcW w:w="587" w:type="pct"/>
            <w:shd w:val="clear" w:color="auto" w:fill="auto"/>
            <w:vAlign w:val="center"/>
          </w:tcPr>
          <w:p w14:paraId="6C1FBB73" w14:textId="1E17B49D" w:rsidR="004120EE" w:rsidRPr="00CB3320" w:rsidRDefault="004120EE" w:rsidP="004120EE">
            <w:pPr>
              <w:pStyle w:val="table"/>
            </w:pPr>
            <w:r w:rsidRPr="00CB3320">
              <w:rPr>
                <w:rFonts w:hint="eastAsia"/>
              </w:rPr>
              <w:t>0.918</w:t>
            </w:r>
          </w:p>
        </w:tc>
        <w:tc>
          <w:tcPr>
            <w:tcW w:w="868" w:type="pct"/>
            <w:shd w:val="clear" w:color="auto" w:fill="auto"/>
            <w:vAlign w:val="center"/>
          </w:tcPr>
          <w:p w14:paraId="186711F5" w14:textId="0E78BE95" w:rsidR="004120EE" w:rsidRPr="00CB3320" w:rsidRDefault="004120EE" w:rsidP="004120EE">
            <w:pPr>
              <w:pStyle w:val="table"/>
            </w:pPr>
            <w:r w:rsidRPr="00CB3320">
              <w:rPr>
                <w:rFonts w:hint="eastAsia"/>
              </w:rPr>
              <w:t>278.663</w:t>
            </w:r>
          </w:p>
        </w:tc>
      </w:tr>
      <w:tr w:rsidR="004120EE" w:rsidRPr="00CB3320" w14:paraId="21A75831" w14:textId="77777777" w:rsidTr="00D168B5">
        <w:trPr>
          <w:trHeight w:val="20"/>
          <w:jc w:val="center"/>
        </w:trPr>
        <w:tc>
          <w:tcPr>
            <w:tcW w:w="796" w:type="pct"/>
            <w:vMerge/>
          </w:tcPr>
          <w:p w14:paraId="41FA5356" w14:textId="77777777" w:rsidR="004120EE" w:rsidRPr="00CB3320" w:rsidRDefault="004120EE" w:rsidP="004120EE">
            <w:pPr>
              <w:pStyle w:val="table"/>
            </w:pPr>
          </w:p>
        </w:tc>
        <w:tc>
          <w:tcPr>
            <w:tcW w:w="892" w:type="pct"/>
            <w:shd w:val="clear" w:color="auto" w:fill="auto"/>
          </w:tcPr>
          <w:p w14:paraId="3B5BF0AB" w14:textId="77777777" w:rsidR="004120EE" w:rsidRPr="00CB3320" w:rsidRDefault="004120EE" w:rsidP="004120EE">
            <w:pPr>
              <w:pStyle w:val="table"/>
            </w:pPr>
            <w:r w:rsidRPr="00CB3320">
              <w:rPr>
                <w:rFonts w:hint="eastAsia"/>
              </w:rPr>
              <w:t>powercsp</w:t>
            </w:r>
          </w:p>
        </w:tc>
        <w:tc>
          <w:tcPr>
            <w:tcW w:w="539" w:type="pct"/>
            <w:shd w:val="clear" w:color="auto" w:fill="auto"/>
            <w:vAlign w:val="center"/>
          </w:tcPr>
          <w:p w14:paraId="512CB593" w14:textId="17E6780A" w:rsidR="004120EE" w:rsidRPr="00CB3320" w:rsidRDefault="004120EE" w:rsidP="004120EE">
            <w:pPr>
              <w:pStyle w:val="table"/>
            </w:pPr>
            <w:r w:rsidRPr="00CB3320">
              <w:rPr>
                <w:rFonts w:hint="eastAsia"/>
              </w:rPr>
              <w:t>3,096</w:t>
            </w:r>
          </w:p>
        </w:tc>
        <w:tc>
          <w:tcPr>
            <w:tcW w:w="635" w:type="pct"/>
            <w:shd w:val="clear" w:color="auto" w:fill="auto"/>
            <w:vAlign w:val="center"/>
          </w:tcPr>
          <w:p w14:paraId="3B3E9FFE" w14:textId="493421E9" w:rsidR="004120EE" w:rsidRPr="00CB3320" w:rsidRDefault="004120EE" w:rsidP="004120EE">
            <w:pPr>
              <w:pStyle w:val="table"/>
            </w:pPr>
            <w:r w:rsidRPr="00CB3320">
              <w:rPr>
                <w:rFonts w:hint="eastAsia"/>
              </w:rPr>
              <w:t>9.785</w:t>
            </w:r>
          </w:p>
        </w:tc>
        <w:tc>
          <w:tcPr>
            <w:tcW w:w="683" w:type="pct"/>
            <w:shd w:val="clear" w:color="auto" w:fill="auto"/>
            <w:vAlign w:val="center"/>
          </w:tcPr>
          <w:p w14:paraId="6C8CBA13" w14:textId="7005C1EE" w:rsidR="004120EE" w:rsidRPr="00CB3320" w:rsidRDefault="004120EE" w:rsidP="004120EE">
            <w:pPr>
              <w:pStyle w:val="table"/>
            </w:pPr>
            <w:r w:rsidRPr="00CB3320">
              <w:rPr>
                <w:rFonts w:hint="eastAsia"/>
              </w:rPr>
              <w:t>15.676</w:t>
            </w:r>
          </w:p>
        </w:tc>
        <w:tc>
          <w:tcPr>
            <w:tcW w:w="587" w:type="pct"/>
            <w:shd w:val="clear" w:color="auto" w:fill="auto"/>
            <w:vAlign w:val="center"/>
          </w:tcPr>
          <w:p w14:paraId="6DCB4CD5" w14:textId="27EDC2F2" w:rsidR="004120EE" w:rsidRPr="00CB3320" w:rsidRDefault="004120EE" w:rsidP="004120EE">
            <w:pPr>
              <w:pStyle w:val="table"/>
            </w:pPr>
            <w:r w:rsidRPr="00CB3320">
              <w:rPr>
                <w:rFonts w:hint="eastAsia"/>
              </w:rPr>
              <w:t>0.123</w:t>
            </w:r>
          </w:p>
        </w:tc>
        <w:tc>
          <w:tcPr>
            <w:tcW w:w="868" w:type="pct"/>
            <w:shd w:val="clear" w:color="auto" w:fill="auto"/>
            <w:vAlign w:val="center"/>
          </w:tcPr>
          <w:p w14:paraId="2B4F70CE" w14:textId="675C7E93" w:rsidR="004120EE" w:rsidRPr="00CB3320" w:rsidRDefault="004120EE" w:rsidP="004120EE">
            <w:pPr>
              <w:pStyle w:val="table"/>
            </w:pPr>
            <w:r w:rsidRPr="00CB3320">
              <w:rPr>
                <w:rFonts w:hint="eastAsia"/>
              </w:rPr>
              <w:t>148.602</w:t>
            </w:r>
          </w:p>
        </w:tc>
      </w:tr>
      <w:bookmarkEnd w:id="83"/>
      <w:bookmarkEnd w:id="84"/>
    </w:tbl>
    <w:p w14:paraId="2BEF22F9" w14:textId="77777777" w:rsidR="00084D53" w:rsidRPr="00CB3320" w:rsidRDefault="00084D53" w:rsidP="00BE607C">
      <w:pPr>
        <w:ind w:firstLine="420"/>
      </w:pPr>
    </w:p>
    <w:p w14:paraId="64A78B90" w14:textId="4400448A" w:rsidR="00C422C0" w:rsidRPr="00CB3320" w:rsidRDefault="00C422C0" w:rsidP="00BE607C">
      <w:pPr>
        <w:pStyle w:val="TableX"/>
      </w:pPr>
      <w:bookmarkStart w:id="85" w:name="_Ref77317953"/>
      <w:r w:rsidRPr="00CB3320">
        <w:rPr>
          <w:rFonts w:hint="eastAsia"/>
        </w:rPr>
        <w:t>表</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A. \* ARABIC</w:instrText>
      </w:r>
      <w:r w:rsidRPr="00CB3320">
        <w:instrText xml:space="preserve"> </w:instrText>
      </w:r>
      <w:r w:rsidRPr="00CB3320">
        <w:fldChar w:fldCharType="separate"/>
      </w:r>
      <w:r w:rsidR="00AB4F56" w:rsidRPr="00CB3320">
        <w:rPr>
          <w:noProof/>
        </w:rPr>
        <w:t>2</w:t>
      </w:r>
      <w:r w:rsidRPr="00CB3320">
        <w:fldChar w:fldCharType="end"/>
      </w:r>
      <w:bookmarkEnd w:id="80"/>
      <w:bookmarkEnd w:id="85"/>
      <w:r w:rsidR="00D168B5" w:rsidRPr="00CB3320">
        <w:rPr>
          <w:rFonts w:hint="eastAsia"/>
        </w:rPr>
        <w:t xml:space="preserve">  </w:t>
      </w:r>
      <w:r w:rsidRPr="00CB3320">
        <w:rPr>
          <w:rFonts w:hint="eastAsia"/>
        </w:rPr>
        <w:t>不同的</w:t>
      </w:r>
      <w:r w:rsidRPr="00CB3320">
        <w:rPr>
          <w:rFonts w:hint="eastAsia"/>
        </w:rPr>
        <w:t>T</w:t>
      </w:r>
      <w:r w:rsidRPr="00CB3320">
        <w:t>FP</w:t>
      </w:r>
      <w:r w:rsidRPr="00CB3320">
        <w:rPr>
          <w:rFonts w:hint="eastAsia"/>
        </w:rPr>
        <w:t>测定方法的稳健性</w:t>
      </w:r>
    </w:p>
    <w:bookmarkEnd w:id="81"/>
    <w:bookmarkEnd w:id="82"/>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6"/>
        <w:gridCol w:w="1226"/>
        <w:gridCol w:w="1328"/>
        <w:gridCol w:w="1234"/>
        <w:gridCol w:w="1328"/>
        <w:gridCol w:w="1328"/>
        <w:gridCol w:w="1330"/>
      </w:tblGrid>
      <w:tr w:rsidR="00C422C0" w:rsidRPr="00CB3320" w14:paraId="212D7F0A" w14:textId="77777777" w:rsidTr="00D168B5">
        <w:trPr>
          <w:trHeight w:val="270"/>
        </w:trPr>
        <w:tc>
          <w:tcPr>
            <w:tcW w:w="714" w:type="pct"/>
            <w:noWrap/>
            <w:vAlign w:val="center"/>
          </w:tcPr>
          <w:p w14:paraId="2E22A1B4" w14:textId="77777777" w:rsidR="00C422C0" w:rsidRPr="00CB3320" w:rsidRDefault="00C422C0" w:rsidP="00137CE2">
            <w:pPr>
              <w:pStyle w:val="table"/>
              <w:rPr>
                <w:b/>
                <w:bCs/>
              </w:rPr>
            </w:pPr>
          </w:p>
        </w:tc>
        <w:tc>
          <w:tcPr>
            <w:tcW w:w="676" w:type="pct"/>
            <w:noWrap/>
            <w:vAlign w:val="center"/>
            <w:hideMark/>
          </w:tcPr>
          <w:p w14:paraId="01A25135" w14:textId="77777777" w:rsidR="00C422C0" w:rsidRPr="00CB3320" w:rsidRDefault="00C422C0" w:rsidP="00137CE2">
            <w:pPr>
              <w:pStyle w:val="table"/>
            </w:pPr>
            <w:r w:rsidRPr="00CB3320">
              <w:t>(1)</w:t>
            </w:r>
          </w:p>
        </w:tc>
        <w:tc>
          <w:tcPr>
            <w:tcW w:w="732" w:type="pct"/>
            <w:noWrap/>
            <w:vAlign w:val="center"/>
            <w:hideMark/>
          </w:tcPr>
          <w:p w14:paraId="4B12176D" w14:textId="77777777" w:rsidR="00C422C0" w:rsidRPr="00CB3320" w:rsidRDefault="00C422C0" w:rsidP="00137CE2">
            <w:pPr>
              <w:pStyle w:val="table"/>
            </w:pPr>
            <w:r w:rsidRPr="00CB3320">
              <w:t>(2)</w:t>
            </w:r>
          </w:p>
        </w:tc>
        <w:tc>
          <w:tcPr>
            <w:tcW w:w="680" w:type="pct"/>
            <w:noWrap/>
            <w:vAlign w:val="center"/>
            <w:hideMark/>
          </w:tcPr>
          <w:p w14:paraId="10197AC8" w14:textId="77777777" w:rsidR="00C422C0" w:rsidRPr="00CB3320" w:rsidRDefault="00C422C0" w:rsidP="00137CE2">
            <w:pPr>
              <w:pStyle w:val="table"/>
            </w:pPr>
            <w:r w:rsidRPr="00CB3320">
              <w:t>(3)</w:t>
            </w:r>
          </w:p>
        </w:tc>
        <w:tc>
          <w:tcPr>
            <w:tcW w:w="732" w:type="pct"/>
            <w:noWrap/>
            <w:vAlign w:val="center"/>
            <w:hideMark/>
          </w:tcPr>
          <w:p w14:paraId="3C8802DA" w14:textId="77777777" w:rsidR="00C422C0" w:rsidRPr="00CB3320" w:rsidRDefault="00C422C0" w:rsidP="00137CE2">
            <w:pPr>
              <w:pStyle w:val="table"/>
            </w:pPr>
            <w:r w:rsidRPr="00CB3320">
              <w:t>(4)</w:t>
            </w:r>
          </w:p>
        </w:tc>
        <w:tc>
          <w:tcPr>
            <w:tcW w:w="732" w:type="pct"/>
            <w:noWrap/>
            <w:vAlign w:val="center"/>
            <w:hideMark/>
          </w:tcPr>
          <w:p w14:paraId="48E247E0" w14:textId="77777777" w:rsidR="00C422C0" w:rsidRPr="00CB3320" w:rsidRDefault="00C422C0" w:rsidP="00137CE2">
            <w:pPr>
              <w:pStyle w:val="table"/>
            </w:pPr>
            <w:r w:rsidRPr="00CB3320">
              <w:t>(5)</w:t>
            </w:r>
          </w:p>
        </w:tc>
        <w:tc>
          <w:tcPr>
            <w:tcW w:w="733" w:type="pct"/>
            <w:noWrap/>
            <w:vAlign w:val="center"/>
            <w:hideMark/>
          </w:tcPr>
          <w:p w14:paraId="2BEC3EAF" w14:textId="77777777" w:rsidR="00C422C0" w:rsidRPr="00CB3320" w:rsidRDefault="00C422C0" w:rsidP="00137CE2">
            <w:pPr>
              <w:pStyle w:val="table"/>
            </w:pPr>
            <w:r w:rsidRPr="00CB3320">
              <w:t>(6)</w:t>
            </w:r>
          </w:p>
        </w:tc>
      </w:tr>
      <w:tr w:rsidR="00C422C0" w:rsidRPr="00CB3320" w14:paraId="74940774" w14:textId="77777777" w:rsidTr="00D168B5">
        <w:trPr>
          <w:trHeight w:val="270"/>
        </w:trPr>
        <w:tc>
          <w:tcPr>
            <w:tcW w:w="714" w:type="pct"/>
            <w:noWrap/>
            <w:vAlign w:val="center"/>
          </w:tcPr>
          <w:p w14:paraId="696F76B3" w14:textId="77777777" w:rsidR="00C422C0" w:rsidRPr="00CB3320" w:rsidRDefault="00C422C0" w:rsidP="00137CE2">
            <w:pPr>
              <w:pStyle w:val="table"/>
              <w:rPr>
                <w:b/>
                <w:bCs/>
              </w:rPr>
            </w:pPr>
          </w:p>
        </w:tc>
        <w:tc>
          <w:tcPr>
            <w:tcW w:w="676" w:type="pct"/>
            <w:noWrap/>
            <w:vAlign w:val="center"/>
            <w:hideMark/>
          </w:tcPr>
          <w:p w14:paraId="7429A996" w14:textId="77777777" w:rsidR="00C422C0" w:rsidRPr="00CB3320" w:rsidRDefault="00C422C0" w:rsidP="00137CE2">
            <w:pPr>
              <w:pStyle w:val="table"/>
            </w:pPr>
            <w:r w:rsidRPr="00CB3320">
              <w:t>MPI-I-g</w:t>
            </w:r>
          </w:p>
        </w:tc>
        <w:tc>
          <w:tcPr>
            <w:tcW w:w="732" w:type="pct"/>
            <w:noWrap/>
            <w:vAlign w:val="center"/>
            <w:hideMark/>
          </w:tcPr>
          <w:p w14:paraId="7D5BC34B" w14:textId="77777777" w:rsidR="00C422C0" w:rsidRPr="00CB3320" w:rsidRDefault="00C422C0" w:rsidP="00137CE2">
            <w:pPr>
              <w:pStyle w:val="table"/>
            </w:pPr>
            <w:r w:rsidRPr="00CB3320">
              <w:t>MPI-I-g</w:t>
            </w:r>
          </w:p>
        </w:tc>
        <w:tc>
          <w:tcPr>
            <w:tcW w:w="680" w:type="pct"/>
            <w:noWrap/>
            <w:vAlign w:val="center"/>
            <w:hideMark/>
          </w:tcPr>
          <w:p w14:paraId="4460125A" w14:textId="77777777" w:rsidR="00C422C0" w:rsidRPr="00CB3320" w:rsidRDefault="00C422C0" w:rsidP="00137CE2">
            <w:pPr>
              <w:pStyle w:val="table"/>
            </w:pPr>
            <w:r w:rsidRPr="00CB3320">
              <w:t>MPI-O-seq</w:t>
            </w:r>
          </w:p>
        </w:tc>
        <w:tc>
          <w:tcPr>
            <w:tcW w:w="732" w:type="pct"/>
            <w:noWrap/>
            <w:vAlign w:val="center"/>
            <w:hideMark/>
          </w:tcPr>
          <w:p w14:paraId="34ACD525" w14:textId="77777777" w:rsidR="00C422C0" w:rsidRPr="00CB3320" w:rsidRDefault="00C422C0" w:rsidP="00137CE2">
            <w:pPr>
              <w:pStyle w:val="table"/>
            </w:pPr>
            <w:r w:rsidRPr="00CB3320">
              <w:t>MPI-O-seq</w:t>
            </w:r>
          </w:p>
        </w:tc>
        <w:tc>
          <w:tcPr>
            <w:tcW w:w="732" w:type="pct"/>
            <w:noWrap/>
            <w:vAlign w:val="center"/>
            <w:hideMark/>
          </w:tcPr>
          <w:p w14:paraId="6579CD19" w14:textId="77777777" w:rsidR="00C422C0" w:rsidRPr="00CB3320" w:rsidRDefault="00C422C0" w:rsidP="00137CE2">
            <w:pPr>
              <w:pStyle w:val="table"/>
            </w:pPr>
            <w:r w:rsidRPr="00CB3320">
              <w:t>SFTFE</w:t>
            </w:r>
          </w:p>
        </w:tc>
        <w:tc>
          <w:tcPr>
            <w:tcW w:w="733" w:type="pct"/>
            <w:noWrap/>
            <w:vAlign w:val="center"/>
            <w:hideMark/>
          </w:tcPr>
          <w:p w14:paraId="0CBE1E10" w14:textId="77777777" w:rsidR="00C422C0" w:rsidRPr="00CB3320" w:rsidRDefault="00C422C0" w:rsidP="00137CE2">
            <w:pPr>
              <w:pStyle w:val="table"/>
            </w:pPr>
            <w:r w:rsidRPr="00CB3320">
              <w:t>SFTFE</w:t>
            </w:r>
          </w:p>
        </w:tc>
      </w:tr>
      <w:tr w:rsidR="00C422C0" w:rsidRPr="00CB3320" w14:paraId="7EE8745A" w14:textId="77777777" w:rsidTr="00D168B5">
        <w:trPr>
          <w:trHeight w:val="270"/>
        </w:trPr>
        <w:tc>
          <w:tcPr>
            <w:tcW w:w="714" w:type="pct"/>
            <w:noWrap/>
            <w:vAlign w:val="center"/>
            <w:hideMark/>
          </w:tcPr>
          <w:p w14:paraId="6DEEDD75" w14:textId="77777777" w:rsidR="00C422C0" w:rsidRPr="00CB3320" w:rsidRDefault="00C422C0" w:rsidP="00D168B5">
            <w:pPr>
              <w:pStyle w:val="table"/>
            </w:pPr>
            <w:r w:rsidRPr="00CB3320">
              <w:t>D_ETS</w:t>
            </w:r>
          </w:p>
        </w:tc>
        <w:tc>
          <w:tcPr>
            <w:tcW w:w="676" w:type="pct"/>
            <w:noWrap/>
            <w:vAlign w:val="center"/>
            <w:hideMark/>
          </w:tcPr>
          <w:p w14:paraId="299ED85A" w14:textId="77777777" w:rsidR="00C422C0" w:rsidRPr="00CB3320" w:rsidRDefault="00C422C0" w:rsidP="00D168B5">
            <w:pPr>
              <w:pStyle w:val="table"/>
            </w:pPr>
            <w:r w:rsidRPr="00CB3320">
              <w:t>-0.0532***</w:t>
            </w:r>
          </w:p>
          <w:p w14:paraId="7FB2B621" w14:textId="4DDEAE17" w:rsidR="00D168B5" w:rsidRPr="00CB3320" w:rsidRDefault="00D168B5" w:rsidP="00D168B5">
            <w:pPr>
              <w:pStyle w:val="table"/>
            </w:pPr>
            <w:r w:rsidRPr="00CB3320">
              <w:t>(0.0116)</w:t>
            </w:r>
          </w:p>
        </w:tc>
        <w:tc>
          <w:tcPr>
            <w:tcW w:w="732" w:type="pct"/>
            <w:noWrap/>
            <w:vAlign w:val="center"/>
            <w:hideMark/>
          </w:tcPr>
          <w:p w14:paraId="49749B7F" w14:textId="77777777" w:rsidR="00C422C0" w:rsidRPr="00CB3320" w:rsidRDefault="00C422C0" w:rsidP="00D168B5">
            <w:pPr>
              <w:pStyle w:val="table"/>
            </w:pPr>
            <w:r w:rsidRPr="00CB3320">
              <w:t>-0.0606***</w:t>
            </w:r>
          </w:p>
          <w:p w14:paraId="06020E19" w14:textId="197E407D" w:rsidR="00D168B5" w:rsidRPr="00CB3320" w:rsidRDefault="00D168B5" w:rsidP="00D168B5">
            <w:pPr>
              <w:pStyle w:val="table"/>
            </w:pPr>
            <w:r w:rsidRPr="00CB3320">
              <w:t>(0.00765)</w:t>
            </w:r>
          </w:p>
        </w:tc>
        <w:tc>
          <w:tcPr>
            <w:tcW w:w="680" w:type="pct"/>
            <w:noWrap/>
            <w:vAlign w:val="center"/>
            <w:hideMark/>
          </w:tcPr>
          <w:p w14:paraId="71C2FE15" w14:textId="77777777" w:rsidR="00C422C0" w:rsidRPr="00CB3320" w:rsidRDefault="00C422C0" w:rsidP="00D168B5">
            <w:pPr>
              <w:pStyle w:val="table"/>
            </w:pPr>
            <w:r w:rsidRPr="00CB3320">
              <w:t>-0.0330***</w:t>
            </w:r>
          </w:p>
          <w:p w14:paraId="17E37D2C" w14:textId="426DDD9B" w:rsidR="00D168B5" w:rsidRPr="00CB3320" w:rsidRDefault="00D168B5" w:rsidP="00D168B5">
            <w:pPr>
              <w:pStyle w:val="table"/>
            </w:pPr>
            <w:r w:rsidRPr="00CB3320">
              <w:t>(0.0104)</w:t>
            </w:r>
          </w:p>
        </w:tc>
        <w:tc>
          <w:tcPr>
            <w:tcW w:w="732" w:type="pct"/>
            <w:noWrap/>
            <w:vAlign w:val="center"/>
            <w:hideMark/>
          </w:tcPr>
          <w:p w14:paraId="1D4DC8A8" w14:textId="77777777" w:rsidR="00C422C0" w:rsidRPr="00CB3320" w:rsidRDefault="00C422C0" w:rsidP="00D168B5">
            <w:pPr>
              <w:pStyle w:val="table"/>
            </w:pPr>
            <w:r w:rsidRPr="00CB3320">
              <w:t>-0.0412***</w:t>
            </w:r>
          </w:p>
          <w:p w14:paraId="0D45BB48" w14:textId="4C178F66" w:rsidR="00D168B5" w:rsidRPr="00CB3320" w:rsidRDefault="00D168B5" w:rsidP="00D168B5">
            <w:pPr>
              <w:pStyle w:val="table"/>
            </w:pPr>
            <w:r w:rsidRPr="00CB3320">
              <w:t>(0.00778)</w:t>
            </w:r>
          </w:p>
        </w:tc>
        <w:tc>
          <w:tcPr>
            <w:tcW w:w="732" w:type="pct"/>
            <w:noWrap/>
            <w:vAlign w:val="center"/>
            <w:hideMark/>
          </w:tcPr>
          <w:p w14:paraId="6680D8D2" w14:textId="77777777" w:rsidR="00C422C0" w:rsidRPr="00CB3320" w:rsidRDefault="00C422C0" w:rsidP="00D168B5">
            <w:pPr>
              <w:pStyle w:val="table"/>
            </w:pPr>
            <w:r w:rsidRPr="00CB3320">
              <w:t>-0.00734**</w:t>
            </w:r>
          </w:p>
          <w:p w14:paraId="472E78C5" w14:textId="780AEB05" w:rsidR="00D168B5" w:rsidRPr="00CB3320" w:rsidRDefault="00D168B5" w:rsidP="00D168B5">
            <w:pPr>
              <w:pStyle w:val="table"/>
            </w:pPr>
            <w:r w:rsidRPr="00CB3320">
              <w:t>(0.00349)</w:t>
            </w:r>
          </w:p>
        </w:tc>
        <w:tc>
          <w:tcPr>
            <w:tcW w:w="733" w:type="pct"/>
            <w:noWrap/>
            <w:vAlign w:val="center"/>
            <w:hideMark/>
          </w:tcPr>
          <w:p w14:paraId="59E05DAF" w14:textId="77777777" w:rsidR="00C422C0" w:rsidRPr="00CB3320" w:rsidRDefault="00C422C0" w:rsidP="00D168B5">
            <w:pPr>
              <w:pStyle w:val="table"/>
            </w:pPr>
            <w:r w:rsidRPr="00CB3320">
              <w:t>-0.0130***</w:t>
            </w:r>
          </w:p>
          <w:p w14:paraId="5CDBFF92" w14:textId="0F76F0A6" w:rsidR="00D168B5" w:rsidRPr="00CB3320" w:rsidRDefault="00D168B5" w:rsidP="00D168B5">
            <w:pPr>
              <w:pStyle w:val="table"/>
            </w:pPr>
            <w:r w:rsidRPr="00CB3320">
              <w:t>(0.00326)</w:t>
            </w:r>
          </w:p>
        </w:tc>
      </w:tr>
      <w:tr w:rsidR="00C422C0" w:rsidRPr="00CB3320" w14:paraId="47C72B93" w14:textId="77777777" w:rsidTr="00D168B5">
        <w:trPr>
          <w:trHeight w:val="270"/>
        </w:trPr>
        <w:tc>
          <w:tcPr>
            <w:tcW w:w="714" w:type="pct"/>
            <w:noWrap/>
            <w:vAlign w:val="center"/>
            <w:hideMark/>
          </w:tcPr>
          <w:p w14:paraId="436FBC15" w14:textId="77777777" w:rsidR="00C422C0" w:rsidRPr="00CB3320" w:rsidRDefault="00C422C0" w:rsidP="00137CE2">
            <w:pPr>
              <w:pStyle w:val="table"/>
            </w:pPr>
            <w:r w:rsidRPr="00CB3320">
              <w:rPr>
                <w:rFonts w:hint="eastAsia"/>
              </w:rPr>
              <w:t>控制变量</w:t>
            </w:r>
          </w:p>
        </w:tc>
        <w:tc>
          <w:tcPr>
            <w:tcW w:w="676" w:type="pct"/>
            <w:noWrap/>
            <w:vAlign w:val="center"/>
            <w:hideMark/>
          </w:tcPr>
          <w:p w14:paraId="308F586F" w14:textId="77777777" w:rsidR="00C422C0" w:rsidRPr="00CB3320" w:rsidRDefault="00C422C0" w:rsidP="00137CE2">
            <w:pPr>
              <w:pStyle w:val="table"/>
            </w:pPr>
          </w:p>
        </w:tc>
        <w:tc>
          <w:tcPr>
            <w:tcW w:w="732" w:type="pct"/>
            <w:noWrap/>
            <w:vAlign w:val="center"/>
            <w:hideMark/>
          </w:tcPr>
          <w:p w14:paraId="064055E5" w14:textId="1393E477" w:rsidR="00C422C0" w:rsidRPr="00CB3320" w:rsidRDefault="00B44A4B" w:rsidP="00137CE2">
            <w:pPr>
              <w:pStyle w:val="table"/>
            </w:pPr>
            <w:r w:rsidRPr="00CB3320">
              <w:t>√</w:t>
            </w:r>
          </w:p>
        </w:tc>
        <w:tc>
          <w:tcPr>
            <w:tcW w:w="680" w:type="pct"/>
            <w:noWrap/>
            <w:vAlign w:val="center"/>
            <w:hideMark/>
          </w:tcPr>
          <w:p w14:paraId="6D2BF52D" w14:textId="77777777" w:rsidR="00C422C0" w:rsidRPr="00CB3320" w:rsidRDefault="00C422C0" w:rsidP="00137CE2">
            <w:pPr>
              <w:pStyle w:val="table"/>
            </w:pPr>
          </w:p>
        </w:tc>
        <w:tc>
          <w:tcPr>
            <w:tcW w:w="732" w:type="pct"/>
            <w:noWrap/>
            <w:vAlign w:val="center"/>
            <w:hideMark/>
          </w:tcPr>
          <w:p w14:paraId="4A69A806" w14:textId="2B48563E" w:rsidR="00C422C0" w:rsidRPr="00CB3320" w:rsidRDefault="00B44A4B" w:rsidP="00137CE2">
            <w:pPr>
              <w:pStyle w:val="table"/>
            </w:pPr>
            <w:r w:rsidRPr="00CB3320">
              <w:t>√</w:t>
            </w:r>
          </w:p>
        </w:tc>
        <w:tc>
          <w:tcPr>
            <w:tcW w:w="732" w:type="pct"/>
            <w:noWrap/>
            <w:vAlign w:val="center"/>
            <w:hideMark/>
          </w:tcPr>
          <w:p w14:paraId="525FBE94" w14:textId="77777777" w:rsidR="00C422C0" w:rsidRPr="00CB3320" w:rsidRDefault="00C422C0" w:rsidP="00137CE2">
            <w:pPr>
              <w:pStyle w:val="table"/>
            </w:pPr>
          </w:p>
        </w:tc>
        <w:tc>
          <w:tcPr>
            <w:tcW w:w="733" w:type="pct"/>
            <w:noWrap/>
            <w:vAlign w:val="center"/>
            <w:hideMark/>
          </w:tcPr>
          <w:p w14:paraId="3E1F09C9" w14:textId="458E6093" w:rsidR="00C422C0" w:rsidRPr="00CB3320" w:rsidRDefault="00B44A4B" w:rsidP="00137CE2">
            <w:pPr>
              <w:pStyle w:val="table"/>
            </w:pPr>
            <w:r w:rsidRPr="00CB3320">
              <w:t>√</w:t>
            </w:r>
          </w:p>
        </w:tc>
      </w:tr>
      <w:tr w:rsidR="00C422C0" w:rsidRPr="00CB3320" w14:paraId="1B7B451E" w14:textId="77777777" w:rsidTr="00D168B5">
        <w:trPr>
          <w:trHeight w:val="270"/>
        </w:trPr>
        <w:tc>
          <w:tcPr>
            <w:tcW w:w="714" w:type="pct"/>
            <w:noWrap/>
            <w:hideMark/>
          </w:tcPr>
          <w:p w14:paraId="3EDF9226" w14:textId="77777777" w:rsidR="00C422C0" w:rsidRPr="00CB3320" w:rsidRDefault="00C422C0" w:rsidP="00137CE2">
            <w:pPr>
              <w:pStyle w:val="table"/>
              <w:rPr>
                <w:kern w:val="2"/>
              </w:rPr>
            </w:pPr>
            <w:r w:rsidRPr="00CB3320">
              <w:rPr>
                <w:rFonts w:hint="eastAsia"/>
              </w:rPr>
              <w:t>时间固定效应</w:t>
            </w:r>
          </w:p>
        </w:tc>
        <w:tc>
          <w:tcPr>
            <w:tcW w:w="676" w:type="pct"/>
            <w:noWrap/>
            <w:vAlign w:val="center"/>
            <w:hideMark/>
          </w:tcPr>
          <w:p w14:paraId="21F69D4A" w14:textId="7CC5E538" w:rsidR="00C422C0" w:rsidRPr="00CB3320" w:rsidRDefault="00B44A4B" w:rsidP="00137CE2">
            <w:pPr>
              <w:pStyle w:val="table"/>
            </w:pPr>
            <w:r w:rsidRPr="00CB3320">
              <w:t>√</w:t>
            </w:r>
          </w:p>
        </w:tc>
        <w:tc>
          <w:tcPr>
            <w:tcW w:w="732" w:type="pct"/>
            <w:noWrap/>
            <w:vAlign w:val="center"/>
            <w:hideMark/>
          </w:tcPr>
          <w:p w14:paraId="0CFCDF6D" w14:textId="0B116609" w:rsidR="00C422C0" w:rsidRPr="00CB3320" w:rsidRDefault="00B44A4B" w:rsidP="00137CE2">
            <w:pPr>
              <w:pStyle w:val="table"/>
            </w:pPr>
            <w:r w:rsidRPr="00CB3320">
              <w:t>√</w:t>
            </w:r>
          </w:p>
        </w:tc>
        <w:tc>
          <w:tcPr>
            <w:tcW w:w="680" w:type="pct"/>
            <w:noWrap/>
            <w:vAlign w:val="center"/>
            <w:hideMark/>
          </w:tcPr>
          <w:p w14:paraId="5C140D45" w14:textId="28AC7B6E" w:rsidR="00C422C0" w:rsidRPr="00CB3320" w:rsidRDefault="00B44A4B" w:rsidP="00137CE2">
            <w:pPr>
              <w:pStyle w:val="table"/>
            </w:pPr>
            <w:r w:rsidRPr="00CB3320">
              <w:t>√</w:t>
            </w:r>
          </w:p>
        </w:tc>
        <w:tc>
          <w:tcPr>
            <w:tcW w:w="732" w:type="pct"/>
            <w:noWrap/>
            <w:vAlign w:val="center"/>
            <w:hideMark/>
          </w:tcPr>
          <w:p w14:paraId="084E0482" w14:textId="58AA754B" w:rsidR="00C422C0" w:rsidRPr="00CB3320" w:rsidRDefault="00B44A4B" w:rsidP="00137CE2">
            <w:pPr>
              <w:pStyle w:val="table"/>
            </w:pPr>
            <w:r w:rsidRPr="00CB3320">
              <w:t>√</w:t>
            </w:r>
          </w:p>
        </w:tc>
        <w:tc>
          <w:tcPr>
            <w:tcW w:w="732" w:type="pct"/>
            <w:noWrap/>
            <w:vAlign w:val="center"/>
            <w:hideMark/>
          </w:tcPr>
          <w:p w14:paraId="340FAD0B" w14:textId="48B3472E" w:rsidR="00C422C0" w:rsidRPr="00CB3320" w:rsidRDefault="00B44A4B" w:rsidP="00137CE2">
            <w:pPr>
              <w:pStyle w:val="table"/>
            </w:pPr>
            <w:r w:rsidRPr="00CB3320">
              <w:t>√</w:t>
            </w:r>
          </w:p>
        </w:tc>
        <w:tc>
          <w:tcPr>
            <w:tcW w:w="733" w:type="pct"/>
            <w:noWrap/>
            <w:vAlign w:val="center"/>
            <w:hideMark/>
          </w:tcPr>
          <w:p w14:paraId="586E5337" w14:textId="48707ABD" w:rsidR="00C422C0" w:rsidRPr="00CB3320" w:rsidRDefault="00B44A4B" w:rsidP="00137CE2">
            <w:pPr>
              <w:pStyle w:val="table"/>
            </w:pPr>
            <w:r w:rsidRPr="00CB3320">
              <w:t>√</w:t>
            </w:r>
          </w:p>
        </w:tc>
      </w:tr>
      <w:tr w:rsidR="00C422C0" w:rsidRPr="00CB3320" w14:paraId="770BDD82" w14:textId="77777777" w:rsidTr="00D168B5">
        <w:trPr>
          <w:trHeight w:val="270"/>
        </w:trPr>
        <w:tc>
          <w:tcPr>
            <w:tcW w:w="714" w:type="pct"/>
            <w:noWrap/>
            <w:hideMark/>
          </w:tcPr>
          <w:p w14:paraId="63174519" w14:textId="77777777" w:rsidR="00C422C0" w:rsidRPr="00CB3320" w:rsidRDefault="00C422C0" w:rsidP="00137CE2">
            <w:pPr>
              <w:pStyle w:val="table"/>
              <w:rPr>
                <w:kern w:val="2"/>
              </w:rPr>
            </w:pPr>
            <w:r w:rsidRPr="00CB3320">
              <w:rPr>
                <w:rFonts w:hint="eastAsia"/>
              </w:rPr>
              <w:t>个体固定效应</w:t>
            </w:r>
          </w:p>
        </w:tc>
        <w:tc>
          <w:tcPr>
            <w:tcW w:w="676" w:type="pct"/>
            <w:noWrap/>
            <w:vAlign w:val="center"/>
            <w:hideMark/>
          </w:tcPr>
          <w:p w14:paraId="0EC2A893" w14:textId="08042EE6" w:rsidR="00C422C0" w:rsidRPr="00CB3320" w:rsidRDefault="00B44A4B" w:rsidP="00137CE2">
            <w:pPr>
              <w:pStyle w:val="table"/>
            </w:pPr>
            <w:r w:rsidRPr="00CB3320">
              <w:t>√</w:t>
            </w:r>
          </w:p>
        </w:tc>
        <w:tc>
          <w:tcPr>
            <w:tcW w:w="732" w:type="pct"/>
            <w:noWrap/>
            <w:vAlign w:val="center"/>
            <w:hideMark/>
          </w:tcPr>
          <w:p w14:paraId="5CC9D6BC" w14:textId="2CD11899" w:rsidR="00C422C0" w:rsidRPr="00CB3320" w:rsidRDefault="00B44A4B" w:rsidP="00137CE2">
            <w:pPr>
              <w:pStyle w:val="table"/>
            </w:pPr>
            <w:r w:rsidRPr="00CB3320">
              <w:t>√</w:t>
            </w:r>
          </w:p>
        </w:tc>
        <w:tc>
          <w:tcPr>
            <w:tcW w:w="680" w:type="pct"/>
            <w:noWrap/>
            <w:vAlign w:val="center"/>
            <w:hideMark/>
          </w:tcPr>
          <w:p w14:paraId="463FC124" w14:textId="3E2B1CAA" w:rsidR="00C422C0" w:rsidRPr="00CB3320" w:rsidRDefault="00B44A4B" w:rsidP="00137CE2">
            <w:pPr>
              <w:pStyle w:val="table"/>
            </w:pPr>
            <w:r w:rsidRPr="00CB3320">
              <w:t>√</w:t>
            </w:r>
          </w:p>
        </w:tc>
        <w:tc>
          <w:tcPr>
            <w:tcW w:w="732" w:type="pct"/>
            <w:noWrap/>
            <w:vAlign w:val="center"/>
            <w:hideMark/>
          </w:tcPr>
          <w:p w14:paraId="16E14990" w14:textId="2FC463CF" w:rsidR="00C422C0" w:rsidRPr="00CB3320" w:rsidRDefault="00B44A4B" w:rsidP="00137CE2">
            <w:pPr>
              <w:pStyle w:val="table"/>
            </w:pPr>
            <w:r w:rsidRPr="00CB3320">
              <w:t>√</w:t>
            </w:r>
          </w:p>
        </w:tc>
        <w:tc>
          <w:tcPr>
            <w:tcW w:w="732" w:type="pct"/>
            <w:noWrap/>
            <w:vAlign w:val="center"/>
            <w:hideMark/>
          </w:tcPr>
          <w:p w14:paraId="5BCFD7BA" w14:textId="54397F28" w:rsidR="00C422C0" w:rsidRPr="00CB3320" w:rsidRDefault="00B44A4B" w:rsidP="00137CE2">
            <w:pPr>
              <w:pStyle w:val="table"/>
            </w:pPr>
            <w:r w:rsidRPr="00CB3320">
              <w:t>√</w:t>
            </w:r>
          </w:p>
        </w:tc>
        <w:tc>
          <w:tcPr>
            <w:tcW w:w="733" w:type="pct"/>
            <w:noWrap/>
            <w:vAlign w:val="center"/>
            <w:hideMark/>
          </w:tcPr>
          <w:p w14:paraId="4F93E02C" w14:textId="10644EC6" w:rsidR="00C422C0" w:rsidRPr="00CB3320" w:rsidRDefault="00B44A4B" w:rsidP="00137CE2">
            <w:pPr>
              <w:pStyle w:val="table"/>
            </w:pPr>
            <w:r w:rsidRPr="00CB3320">
              <w:t>√</w:t>
            </w:r>
          </w:p>
        </w:tc>
      </w:tr>
      <w:tr w:rsidR="00C422C0" w:rsidRPr="00CB3320" w14:paraId="13A44AE6" w14:textId="77777777" w:rsidTr="00D168B5">
        <w:trPr>
          <w:trHeight w:val="270"/>
        </w:trPr>
        <w:tc>
          <w:tcPr>
            <w:tcW w:w="714" w:type="pct"/>
            <w:noWrap/>
            <w:vAlign w:val="center"/>
            <w:hideMark/>
          </w:tcPr>
          <w:p w14:paraId="1D3DC927" w14:textId="77777777" w:rsidR="00C422C0" w:rsidRPr="00CB3320" w:rsidRDefault="00C422C0" w:rsidP="00137CE2">
            <w:pPr>
              <w:pStyle w:val="table"/>
            </w:pPr>
            <w:r w:rsidRPr="00CB3320">
              <w:lastRenderedPageBreak/>
              <w:t>N</w:t>
            </w:r>
          </w:p>
        </w:tc>
        <w:tc>
          <w:tcPr>
            <w:tcW w:w="676" w:type="pct"/>
            <w:noWrap/>
            <w:vAlign w:val="center"/>
            <w:hideMark/>
          </w:tcPr>
          <w:p w14:paraId="665A99A2" w14:textId="77777777" w:rsidR="00C422C0" w:rsidRPr="00CB3320" w:rsidRDefault="00C422C0" w:rsidP="00137CE2">
            <w:pPr>
              <w:pStyle w:val="table"/>
            </w:pPr>
            <w:r w:rsidRPr="00CB3320">
              <w:t>2930</w:t>
            </w:r>
          </w:p>
        </w:tc>
        <w:tc>
          <w:tcPr>
            <w:tcW w:w="732" w:type="pct"/>
            <w:noWrap/>
            <w:vAlign w:val="center"/>
            <w:hideMark/>
          </w:tcPr>
          <w:p w14:paraId="3CC4CC18" w14:textId="77777777" w:rsidR="00C422C0" w:rsidRPr="00CB3320" w:rsidRDefault="00C422C0" w:rsidP="00137CE2">
            <w:pPr>
              <w:pStyle w:val="table"/>
            </w:pPr>
            <w:r w:rsidRPr="00CB3320">
              <w:t>2887</w:t>
            </w:r>
          </w:p>
        </w:tc>
        <w:tc>
          <w:tcPr>
            <w:tcW w:w="680" w:type="pct"/>
            <w:noWrap/>
            <w:vAlign w:val="center"/>
            <w:hideMark/>
          </w:tcPr>
          <w:p w14:paraId="64D6924D" w14:textId="77777777" w:rsidR="00C422C0" w:rsidRPr="00CB3320" w:rsidRDefault="00C422C0" w:rsidP="00137CE2">
            <w:pPr>
              <w:pStyle w:val="table"/>
            </w:pPr>
            <w:r w:rsidRPr="00CB3320">
              <w:t>2930</w:t>
            </w:r>
          </w:p>
        </w:tc>
        <w:tc>
          <w:tcPr>
            <w:tcW w:w="732" w:type="pct"/>
            <w:noWrap/>
            <w:vAlign w:val="center"/>
            <w:hideMark/>
          </w:tcPr>
          <w:p w14:paraId="16B78F28" w14:textId="77777777" w:rsidR="00C422C0" w:rsidRPr="00CB3320" w:rsidRDefault="00C422C0" w:rsidP="00137CE2">
            <w:pPr>
              <w:pStyle w:val="table"/>
            </w:pPr>
            <w:r w:rsidRPr="00CB3320">
              <w:t>2887</w:t>
            </w:r>
          </w:p>
        </w:tc>
        <w:tc>
          <w:tcPr>
            <w:tcW w:w="732" w:type="pct"/>
            <w:noWrap/>
            <w:vAlign w:val="center"/>
            <w:hideMark/>
          </w:tcPr>
          <w:p w14:paraId="1AFBBCB0" w14:textId="77777777" w:rsidR="00C422C0" w:rsidRPr="00CB3320" w:rsidRDefault="00C422C0" w:rsidP="00137CE2">
            <w:pPr>
              <w:pStyle w:val="table"/>
            </w:pPr>
            <w:r w:rsidRPr="00CB3320">
              <w:t>2930</w:t>
            </w:r>
          </w:p>
        </w:tc>
        <w:tc>
          <w:tcPr>
            <w:tcW w:w="733" w:type="pct"/>
            <w:noWrap/>
            <w:vAlign w:val="center"/>
            <w:hideMark/>
          </w:tcPr>
          <w:p w14:paraId="46826688" w14:textId="77777777" w:rsidR="00C422C0" w:rsidRPr="00CB3320" w:rsidRDefault="00C422C0" w:rsidP="00137CE2">
            <w:pPr>
              <w:pStyle w:val="table"/>
            </w:pPr>
            <w:r w:rsidRPr="00CB3320">
              <w:t>2887</w:t>
            </w:r>
          </w:p>
        </w:tc>
      </w:tr>
      <w:tr w:rsidR="00C422C0" w:rsidRPr="00CB3320" w14:paraId="160CBC9A" w14:textId="77777777" w:rsidTr="00D168B5">
        <w:trPr>
          <w:trHeight w:val="270"/>
        </w:trPr>
        <w:tc>
          <w:tcPr>
            <w:tcW w:w="714" w:type="pct"/>
            <w:noWrap/>
            <w:vAlign w:val="center"/>
            <w:hideMark/>
          </w:tcPr>
          <w:p w14:paraId="20DA04B7" w14:textId="334774C4" w:rsidR="00C422C0" w:rsidRPr="00CB3320" w:rsidRDefault="00B44A4B" w:rsidP="00137CE2">
            <w:pPr>
              <w:pStyle w:val="table"/>
            </w:pPr>
            <w:r w:rsidRPr="00CB3320">
              <w:t>R</w:t>
            </w:r>
            <w:r w:rsidRPr="00CB3320">
              <w:rPr>
                <w:vertAlign w:val="superscript"/>
              </w:rPr>
              <w:t>2</w:t>
            </w:r>
          </w:p>
        </w:tc>
        <w:tc>
          <w:tcPr>
            <w:tcW w:w="676" w:type="pct"/>
            <w:noWrap/>
            <w:vAlign w:val="center"/>
            <w:hideMark/>
          </w:tcPr>
          <w:p w14:paraId="66F3ABEE" w14:textId="77777777" w:rsidR="00C422C0" w:rsidRPr="00CB3320" w:rsidRDefault="00C422C0" w:rsidP="00137CE2">
            <w:pPr>
              <w:pStyle w:val="table"/>
            </w:pPr>
            <w:r w:rsidRPr="00CB3320">
              <w:t>0.411</w:t>
            </w:r>
          </w:p>
        </w:tc>
        <w:tc>
          <w:tcPr>
            <w:tcW w:w="732" w:type="pct"/>
            <w:noWrap/>
            <w:vAlign w:val="center"/>
            <w:hideMark/>
          </w:tcPr>
          <w:p w14:paraId="2D17C64B" w14:textId="77777777" w:rsidR="00C422C0" w:rsidRPr="00CB3320" w:rsidRDefault="00C422C0" w:rsidP="00137CE2">
            <w:pPr>
              <w:pStyle w:val="table"/>
            </w:pPr>
            <w:r w:rsidRPr="00CB3320">
              <w:t>0.459</w:t>
            </w:r>
          </w:p>
        </w:tc>
        <w:tc>
          <w:tcPr>
            <w:tcW w:w="680" w:type="pct"/>
            <w:noWrap/>
            <w:vAlign w:val="center"/>
            <w:hideMark/>
          </w:tcPr>
          <w:p w14:paraId="041EF641" w14:textId="77777777" w:rsidR="00C422C0" w:rsidRPr="00CB3320" w:rsidRDefault="00C422C0" w:rsidP="00137CE2">
            <w:pPr>
              <w:pStyle w:val="table"/>
            </w:pPr>
            <w:r w:rsidRPr="00CB3320">
              <w:t>0.388</w:t>
            </w:r>
          </w:p>
        </w:tc>
        <w:tc>
          <w:tcPr>
            <w:tcW w:w="732" w:type="pct"/>
            <w:noWrap/>
            <w:vAlign w:val="center"/>
            <w:hideMark/>
          </w:tcPr>
          <w:p w14:paraId="32D9C846" w14:textId="77777777" w:rsidR="00C422C0" w:rsidRPr="00CB3320" w:rsidRDefault="00C422C0" w:rsidP="00137CE2">
            <w:pPr>
              <w:pStyle w:val="table"/>
            </w:pPr>
            <w:r w:rsidRPr="00CB3320">
              <w:t>0.423</w:t>
            </w:r>
          </w:p>
        </w:tc>
        <w:tc>
          <w:tcPr>
            <w:tcW w:w="732" w:type="pct"/>
            <w:noWrap/>
            <w:vAlign w:val="center"/>
            <w:hideMark/>
          </w:tcPr>
          <w:p w14:paraId="67E4E2CB" w14:textId="77777777" w:rsidR="00C422C0" w:rsidRPr="00CB3320" w:rsidRDefault="00C422C0" w:rsidP="00137CE2">
            <w:pPr>
              <w:pStyle w:val="table"/>
            </w:pPr>
            <w:r w:rsidRPr="00CB3320">
              <w:t>0.552</w:t>
            </w:r>
          </w:p>
        </w:tc>
        <w:tc>
          <w:tcPr>
            <w:tcW w:w="733" w:type="pct"/>
            <w:noWrap/>
            <w:vAlign w:val="center"/>
            <w:hideMark/>
          </w:tcPr>
          <w:p w14:paraId="52DD7CE2" w14:textId="77777777" w:rsidR="00C422C0" w:rsidRPr="00CB3320" w:rsidRDefault="00C422C0" w:rsidP="00137CE2">
            <w:pPr>
              <w:pStyle w:val="table"/>
            </w:pPr>
            <w:r w:rsidRPr="00CB3320">
              <w:t>0.660</w:t>
            </w:r>
          </w:p>
        </w:tc>
      </w:tr>
    </w:tbl>
    <w:p w14:paraId="380B4057" w14:textId="14087BD7" w:rsidR="00D168B5" w:rsidRPr="00CB3320" w:rsidRDefault="00D168B5" w:rsidP="00D168B5">
      <w:pPr>
        <w:ind w:firstLine="300"/>
        <w:rPr>
          <w:rFonts w:eastAsia="楷体" w:cs="Times New Roman"/>
          <w:sz w:val="15"/>
          <w:szCs w:val="15"/>
        </w:rPr>
      </w:pPr>
      <w:bookmarkStart w:id="86" w:name="_Ref77243331"/>
      <w:bookmarkStart w:id="87" w:name="_Ref75510990"/>
      <w:r w:rsidRPr="00CB3320">
        <w:rPr>
          <w:rFonts w:eastAsia="楷体" w:cs="Times New Roman"/>
          <w:sz w:val="15"/>
          <w:szCs w:val="15"/>
        </w:rPr>
        <w:t>注：括号中为</w:t>
      </w:r>
      <w:r w:rsidRPr="00CB3320">
        <w:rPr>
          <w:rFonts w:eastAsia="楷体" w:cs="Times New Roman" w:hint="eastAsia"/>
          <w:sz w:val="15"/>
          <w:szCs w:val="15"/>
        </w:rPr>
        <w:t>稳健标准误；</w:t>
      </w:r>
      <w:r w:rsidRPr="00CB3320">
        <w:rPr>
          <w:rFonts w:eastAsia="楷体" w:cs="Times New Roman"/>
          <w:sz w:val="15"/>
          <w:szCs w:val="15"/>
        </w:rPr>
        <w:t>* p&lt;0.10, ** p&lt;0.05, *** p&lt;0.01</w:t>
      </w:r>
      <w:r w:rsidRPr="00CB3320">
        <w:rPr>
          <w:rFonts w:eastAsia="楷体" w:cs="Times New Roman" w:hint="eastAsia"/>
          <w:sz w:val="15"/>
          <w:szCs w:val="15"/>
        </w:rPr>
        <w:t>；控制变量都是一阶差分的控制变量。模型（</w:t>
      </w:r>
      <w:r w:rsidRPr="00CB3320">
        <w:rPr>
          <w:rFonts w:eastAsia="楷体" w:cs="Times New Roman" w:hint="eastAsia"/>
          <w:sz w:val="15"/>
          <w:szCs w:val="15"/>
        </w:rPr>
        <w:t>1</w:t>
      </w:r>
      <w:r w:rsidRPr="00CB3320">
        <w:rPr>
          <w:rFonts w:eastAsia="楷体" w:cs="Times New Roman" w:hint="eastAsia"/>
          <w:sz w:val="15"/>
          <w:szCs w:val="15"/>
        </w:rPr>
        <w:t>）和模型（</w:t>
      </w:r>
      <w:r w:rsidRPr="00CB3320">
        <w:rPr>
          <w:rFonts w:eastAsia="楷体" w:cs="Times New Roman" w:hint="eastAsia"/>
          <w:sz w:val="15"/>
          <w:szCs w:val="15"/>
        </w:rPr>
        <w:t>2</w:t>
      </w:r>
      <w:r w:rsidRPr="00CB3320">
        <w:rPr>
          <w:rFonts w:eastAsia="楷体" w:cs="Times New Roman" w:hint="eastAsia"/>
          <w:sz w:val="15"/>
          <w:szCs w:val="15"/>
        </w:rPr>
        <w:t>）中的</w:t>
      </w:r>
      <w:r w:rsidRPr="00CB3320">
        <w:rPr>
          <w:rFonts w:eastAsia="楷体" w:cs="Times New Roman" w:hint="eastAsia"/>
          <w:sz w:val="15"/>
          <w:szCs w:val="15"/>
        </w:rPr>
        <w:t>TFP</w:t>
      </w:r>
      <w:r w:rsidRPr="00CB3320">
        <w:rPr>
          <w:rFonts w:eastAsia="楷体" w:cs="Times New Roman" w:hint="eastAsia"/>
          <w:sz w:val="15"/>
          <w:szCs w:val="15"/>
        </w:rPr>
        <w:t>是利用基于投入的</w:t>
      </w:r>
      <w:r w:rsidRPr="00CB3320">
        <w:rPr>
          <w:rFonts w:eastAsia="楷体" w:cs="Times New Roman" w:hint="eastAsia"/>
          <w:sz w:val="15"/>
          <w:szCs w:val="15"/>
        </w:rPr>
        <w:t>Shepard</w:t>
      </w:r>
      <w:r w:rsidRPr="00CB3320">
        <w:rPr>
          <w:rFonts w:eastAsia="楷体" w:cs="Times New Roman" w:hint="eastAsia"/>
          <w:sz w:val="15"/>
          <w:szCs w:val="15"/>
        </w:rPr>
        <w:t>距离函数和全局前沿技术来衡量的。模型（</w:t>
      </w:r>
      <w:r w:rsidRPr="00CB3320">
        <w:rPr>
          <w:rFonts w:eastAsia="楷体" w:cs="Times New Roman" w:hint="eastAsia"/>
          <w:sz w:val="15"/>
          <w:szCs w:val="15"/>
        </w:rPr>
        <w:t>3</w:t>
      </w:r>
      <w:r w:rsidRPr="00CB3320">
        <w:rPr>
          <w:rFonts w:eastAsia="楷体" w:cs="Times New Roman" w:hint="eastAsia"/>
          <w:sz w:val="15"/>
          <w:szCs w:val="15"/>
        </w:rPr>
        <w:t>）和模型（</w:t>
      </w:r>
      <w:r w:rsidRPr="00CB3320">
        <w:rPr>
          <w:rFonts w:eastAsia="楷体" w:cs="Times New Roman" w:hint="eastAsia"/>
          <w:sz w:val="15"/>
          <w:szCs w:val="15"/>
        </w:rPr>
        <w:t>4</w:t>
      </w:r>
      <w:r w:rsidRPr="00CB3320">
        <w:rPr>
          <w:rFonts w:eastAsia="楷体" w:cs="Times New Roman" w:hint="eastAsia"/>
          <w:sz w:val="15"/>
          <w:szCs w:val="15"/>
        </w:rPr>
        <w:t>）中的</w:t>
      </w:r>
      <w:r w:rsidRPr="00CB3320">
        <w:rPr>
          <w:rFonts w:eastAsia="楷体" w:cs="Times New Roman" w:hint="eastAsia"/>
          <w:sz w:val="15"/>
          <w:szCs w:val="15"/>
        </w:rPr>
        <w:t>T</w:t>
      </w:r>
      <w:r w:rsidRPr="00CB3320">
        <w:rPr>
          <w:rFonts w:eastAsia="楷体" w:cs="Times New Roman"/>
          <w:sz w:val="15"/>
          <w:szCs w:val="15"/>
        </w:rPr>
        <w:t>FP</w:t>
      </w:r>
      <w:r w:rsidRPr="00CB3320">
        <w:rPr>
          <w:rFonts w:eastAsia="楷体" w:cs="Times New Roman" w:hint="eastAsia"/>
          <w:sz w:val="15"/>
          <w:szCs w:val="15"/>
        </w:rPr>
        <w:t>采用序列前沿技术和面向产出的</w:t>
      </w:r>
      <w:r w:rsidRPr="00CB3320">
        <w:rPr>
          <w:rFonts w:eastAsia="楷体" w:cs="Times New Roman" w:hint="eastAsia"/>
          <w:sz w:val="15"/>
          <w:szCs w:val="15"/>
        </w:rPr>
        <w:t>Shepard</w:t>
      </w:r>
      <w:r w:rsidRPr="00CB3320">
        <w:rPr>
          <w:rFonts w:eastAsia="楷体" w:cs="Times New Roman" w:hint="eastAsia"/>
          <w:sz w:val="15"/>
          <w:szCs w:val="15"/>
        </w:rPr>
        <w:t>函数进行测度。模型（</w:t>
      </w:r>
      <w:r w:rsidRPr="00CB3320">
        <w:rPr>
          <w:rFonts w:eastAsia="楷体" w:cs="Times New Roman" w:hint="eastAsia"/>
          <w:sz w:val="15"/>
          <w:szCs w:val="15"/>
        </w:rPr>
        <w:t>5</w:t>
      </w:r>
      <w:r w:rsidRPr="00CB3320">
        <w:rPr>
          <w:rFonts w:eastAsia="楷体" w:cs="Times New Roman" w:hint="eastAsia"/>
          <w:sz w:val="15"/>
          <w:szCs w:val="15"/>
        </w:rPr>
        <w:t>）和模型（</w:t>
      </w:r>
      <w:r w:rsidRPr="00CB3320">
        <w:rPr>
          <w:rFonts w:eastAsia="楷体" w:cs="Times New Roman" w:hint="eastAsia"/>
          <w:sz w:val="15"/>
          <w:szCs w:val="15"/>
        </w:rPr>
        <w:t>6</w:t>
      </w:r>
      <w:r w:rsidRPr="00CB3320">
        <w:rPr>
          <w:rFonts w:eastAsia="楷体" w:cs="Times New Roman" w:hint="eastAsia"/>
          <w:sz w:val="15"/>
          <w:szCs w:val="15"/>
        </w:rPr>
        <w:t>）中的全要素生产率用</w:t>
      </w:r>
      <w:r w:rsidRPr="00CB3320">
        <w:rPr>
          <w:rFonts w:eastAsia="楷体" w:cs="Times New Roman" w:hint="eastAsia"/>
          <w:sz w:val="15"/>
          <w:szCs w:val="15"/>
        </w:rPr>
        <w:t>SFTFE</w:t>
      </w:r>
      <w:r w:rsidRPr="00CB3320">
        <w:rPr>
          <w:rFonts w:eastAsia="楷体" w:cs="Times New Roman" w:hint="eastAsia"/>
          <w:sz w:val="15"/>
          <w:szCs w:val="15"/>
        </w:rPr>
        <w:t>法测定。</w:t>
      </w:r>
    </w:p>
    <w:p w14:paraId="24839A6F" w14:textId="77777777" w:rsidR="00D168B5" w:rsidRPr="00CB3320" w:rsidRDefault="00D168B5" w:rsidP="00D168B5">
      <w:pPr>
        <w:ind w:firstLine="300"/>
        <w:rPr>
          <w:rFonts w:eastAsia="楷体" w:cs="Times New Roman"/>
          <w:sz w:val="15"/>
          <w:szCs w:val="15"/>
        </w:rPr>
      </w:pPr>
    </w:p>
    <w:p w14:paraId="71C975A9" w14:textId="4451DFEE" w:rsidR="00C422C0" w:rsidRPr="00CB3320" w:rsidRDefault="00C422C0" w:rsidP="00A96520">
      <w:pPr>
        <w:pStyle w:val="TableX"/>
      </w:pPr>
      <w:r w:rsidRPr="00CB3320">
        <w:rPr>
          <w:rFonts w:hint="eastAsia"/>
        </w:rPr>
        <w:t>表</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A. \* ARABIC</w:instrText>
      </w:r>
      <w:r w:rsidRPr="00CB3320">
        <w:instrText xml:space="preserve"> </w:instrText>
      </w:r>
      <w:r w:rsidRPr="00CB3320">
        <w:fldChar w:fldCharType="separate"/>
      </w:r>
      <w:r w:rsidR="007A1FC2" w:rsidRPr="00CB3320">
        <w:rPr>
          <w:noProof/>
        </w:rPr>
        <w:t>3</w:t>
      </w:r>
      <w:r w:rsidRPr="00CB3320">
        <w:fldChar w:fldCharType="end"/>
      </w:r>
      <w:bookmarkEnd w:id="86"/>
      <w:r w:rsidR="00D168B5" w:rsidRPr="00CB3320">
        <w:t xml:space="preserve">  </w:t>
      </w:r>
      <w:proofErr w:type="gramStart"/>
      <w:r w:rsidR="00A96520" w:rsidRPr="00CB3320">
        <w:rPr>
          <w:rFonts w:hint="eastAsia"/>
        </w:rPr>
        <w:t>无协变量</w:t>
      </w:r>
      <w:proofErr w:type="gramEnd"/>
      <w:r w:rsidR="00A96520" w:rsidRPr="00CB3320">
        <w:rPr>
          <w:rFonts w:hint="eastAsia"/>
        </w:rPr>
        <w:t>或</w:t>
      </w:r>
      <w:r w:rsidR="00A96520" w:rsidRPr="00CB3320">
        <w:rPr>
          <w:rFonts w:hint="eastAsia"/>
        </w:rPr>
        <w:t>PSM</w:t>
      </w:r>
      <w:r w:rsidR="00A96520" w:rsidRPr="00CB3320">
        <w:rPr>
          <w:rFonts w:hint="eastAsia"/>
        </w:rPr>
        <w:t>的稳健性检验</w:t>
      </w:r>
    </w:p>
    <w:bookmarkEnd w:id="87"/>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02"/>
        <w:gridCol w:w="2304"/>
        <w:gridCol w:w="2362"/>
        <w:gridCol w:w="2302"/>
      </w:tblGrid>
      <w:tr w:rsidR="00C422C0" w:rsidRPr="00CB3320" w14:paraId="6081B61A" w14:textId="77777777" w:rsidTr="00D168B5">
        <w:trPr>
          <w:trHeight w:val="285"/>
        </w:trPr>
        <w:tc>
          <w:tcPr>
            <w:tcW w:w="1159" w:type="pct"/>
            <w:noWrap/>
            <w:vAlign w:val="center"/>
            <w:hideMark/>
          </w:tcPr>
          <w:p w14:paraId="508C7090" w14:textId="77777777" w:rsidR="00C422C0" w:rsidRPr="00CB3320" w:rsidRDefault="00C422C0" w:rsidP="00137CE2">
            <w:pPr>
              <w:pStyle w:val="table"/>
            </w:pPr>
          </w:p>
        </w:tc>
        <w:tc>
          <w:tcPr>
            <w:tcW w:w="1270" w:type="pct"/>
            <w:noWrap/>
            <w:vAlign w:val="center"/>
            <w:hideMark/>
          </w:tcPr>
          <w:p w14:paraId="36C71C94" w14:textId="77777777" w:rsidR="00C422C0" w:rsidRPr="00CB3320" w:rsidRDefault="00C422C0" w:rsidP="004120EE">
            <w:pPr>
              <w:pStyle w:val="table"/>
            </w:pPr>
            <w:r w:rsidRPr="00CB3320">
              <w:t>(1)</w:t>
            </w:r>
          </w:p>
        </w:tc>
        <w:tc>
          <w:tcPr>
            <w:tcW w:w="1302" w:type="pct"/>
            <w:noWrap/>
            <w:vAlign w:val="center"/>
            <w:hideMark/>
          </w:tcPr>
          <w:p w14:paraId="0FA0328F" w14:textId="77777777" w:rsidR="00C422C0" w:rsidRPr="00CB3320" w:rsidRDefault="00C422C0" w:rsidP="004120EE">
            <w:pPr>
              <w:pStyle w:val="table"/>
            </w:pPr>
            <w:r w:rsidRPr="00CB3320">
              <w:t>(2)</w:t>
            </w:r>
          </w:p>
        </w:tc>
        <w:tc>
          <w:tcPr>
            <w:tcW w:w="1269" w:type="pct"/>
            <w:noWrap/>
            <w:vAlign w:val="center"/>
            <w:hideMark/>
          </w:tcPr>
          <w:p w14:paraId="0FC054CB" w14:textId="77777777" w:rsidR="00C422C0" w:rsidRPr="00CB3320" w:rsidRDefault="00C422C0" w:rsidP="004120EE">
            <w:pPr>
              <w:pStyle w:val="table"/>
            </w:pPr>
            <w:r w:rsidRPr="00CB3320">
              <w:t>(3)</w:t>
            </w:r>
          </w:p>
        </w:tc>
      </w:tr>
      <w:tr w:rsidR="00C422C0" w:rsidRPr="00CB3320" w14:paraId="05EC3317" w14:textId="77777777" w:rsidTr="00D168B5">
        <w:trPr>
          <w:trHeight w:val="285"/>
        </w:trPr>
        <w:tc>
          <w:tcPr>
            <w:tcW w:w="1159" w:type="pct"/>
            <w:noWrap/>
            <w:vAlign w:val="center"/>
            <w:hideMark/>
          </w:tcPr>
          <w:p w14:paraId="6B33F2C9" w14:textId="77777777" w:rsidR="00C422C0" w:rsidRPr="00CB3320" w:rsidRDefault="00C422C0" w:rsidP="00137CE2">
            <w:pPr>
              <w:pStyle w:val="table"/>
              <w:rPr>
                <w:b/>
                <w:bCs/>
                <w:kern w:val="2"/>
              </w:rPr>
            </w:pPr>
          </w:p>
        </w:tc>
        <w:tc>
          <w:tcPr>
            <w:tcW w:w="1270" w:type="pct"/>
            <w:noWrap/>
            <w:hideMark/>
          </w:tcPr>
          <w:p w14:paraId="42F60613" w14:textId="77777777" w:rsidR="00C422C0" w:rsidRPr="00CB3320" w:rsidRDefault="00C422C0" w:rsidP="004120EE">
            <w:pPr>
              <w:pStyle w:val="table"/>
            </w:pPr>
            <w:r w:rsidRPr="00CB3320">
              <w:t>TFP-</w:t>
            </w:r>
            <w:r w:rsidRPr="00CB3320">
              <w:rPr>
                <w:rFonts w:hint="eastAsia"/>
              </w:rPr>
              <w:t>基准</w:t>
            </w:r>
          </w:p>
        </w:tc>
        <w:tc>
          <w:tcPr>
            <w:tcW w:w="1302" w:type="pct"/>
            <w:noWrap/>
            <w:hideMark/>
          </w:tcPr>
          <w:p w14:paraId="7353E6E2" w14:textId="77777777" w:rsidR="00C422C0" w:rsidRPr="00CB3320" w:rsidRDefault="00C422C0" w:rsidP="004120EE">
            <w:pPr>
              <w:pStyle w:val="table"/>
            </w:pPr>
            <w:r w:rsidRPr="00CB3320">
              <w:t>TFP-</w:t>
            </w:r>
            <w:proofErr w:type="gramStart"/>
            <w:r w:rsidRPr="00CB3320">
              <w:rPr>
                <w:rFonts w:hint="eastAsia"/>
              </w:rPr>
              <w:t>去协变量</w:t>
            </w:r>
            <w:proofErr w:type="gramEnd"/>
          </w:p>
        </w:tc>
        <w:tc>
          <w:tcPr>
            <w:tcW w:w="1269" w:type="pct"/>
            <w:noWrap/>
            <w:hideMark/>
          </w:tcPr>
          <w:p w14:paraId="74CD6016" w14:textId="77777777" w:rsidR="00C422C0" w:rsidRPr="00CB3320" w:rsidRDefault="00C422C0" w:rsidP="004120EE">
            <w:pPr>
              <w:pStyle w:val="table"/>
            </w:pPr>
            <w:r w:rsidRPr="00CB3320">
              <w:t>TFP-</w:t>
            </w:r>
            <w:r w:rsidRPr="00CB3320">
              <w:rPr>
                <w:rFonts w:hint="eastAsia"/>
              </w:rPr>
              <w:t>无</w:t>
            </w:r>
            <w:r w:rsidRPr="00CB3320">
              <w:rPr>
                <w:rFonts w:hint="eastAsia"/>
              </w:rPr>
              <w:t>P</w:t>
            </w:r>
            <w:r w:rsidRPr="00CB3320">
              <w:t>SM</w:t>
            </w:r>
          </w:p>
        </w:tc>
      </w:tr>
      <w:tr w:rsidR="004120EE" w:rsidRPr="00CB3320" w14:paraId="10D559EE" w14:textId="77777777" w:rsidTr="00D168B5">
        <w:trPr>
          <w:trHeight w:val="285"/>
        </w:trPr>
        <w:tc>
          <w:tcPr>
            <w:tcW w:w="1159" w:type="pct"/>
            <w:noWrap/>
            <w:vAlign w:val="center"/>
            <w:hideMark/>
          </w:tcPr>
          <w:p w14:paraId="5170C003" w14:textId="77777777" w:rsidR="004120EE" w:rsidRPr="00CB3320" w:rsidRDefault="004120EE" w:rsidP="00D168B5">
            <w:pPr>
              <w:pStyle w:val="table"/>
            </w:pPr>
            <w:r w:rsidRPr="00CB3320">
              <w:t>D_ETS</w:t>
            </w:r>
          </w:p>
        </w:tc>
        <w:tc>
          <w:tcPr>
            <w:tcW w:w="1270" w:type="pct"/>
            <w:noWrap/>
            <w:vAlign w:val="center"/>
            <w:hideMark/>
          </w:tcPr>
          <w:p w14:paraId="4C026C65" w14:textId="77777777" w:rsidR="004120EE" w:rsidRPr="00CB3320" w:rsidRDefault="004120EE" w:rsidP="00D168B5">
            <w:pPr>
              <w:pStyle w:val="table"/>
            </w:pPr>
            <w:r w:rsidRPr="00CB3320">
              <w:t>-0.0384***</w:t>
            </w:r>
          </w:p>
          <w:p w14:paraId="6D8317F1" w14:textId="14053A8E" w:rsidR="00D168B5" w:rsidRPr="00CB3320" w:rsidRDefault="00D168B5" w:rsidP="00D168B5">
            <w:pPr>
              <w:pStyle w:val="table"/>
            </w:pPr>
            <w:r w:rsidRPr="00CB3320">
              <w:t>(0.00570)</w:t>
            </w:r>
          </w:p>
        </w:tc>
        <w:tc>
          <w:tcPr>
            <w:tcW w:w="1302" w:type="pct"/>
            <w:noWrap/>
            <w:vAlign w:val="center"/>
            <w:hideMark/>
          </w:tcPr>
          <w:p w14:paraId="52EE3962" w14:textId="77777777" w:rsidR="004120EE" w:rsidRPr="00CB3320" w:rsidRDefault="004120EE" w:rsidP="00D168B5">
            <w:pPr>
              <w:pStyle w:val="table"/>
            </w:pPr>
            <w:r w:rsidRPr="00CB3320">
              <w:t>-0.0197**</w:t>
            </w:r>
          </w:p>
          <w:p w14:paraId="593A651F" w14:textId="181C51B3" w:rsidR="00D168B5" w:rsidRPr="00CB3320" w:rsidRDefault="00D168B5" w:rsidP="00D168B5">
            <w:pPr>
              <w:pStyle w:val="table"/>
            </w:pPr>
            <w:r w:rsidRPr="00CB3320">
              <w:t>(0.00751)</w:t>
            </w:r>
          </w:p>
        </w:tc>
        <w:tc>
          <w:tcPr>
            <w:tcW w:w="1269" w:type="pct"/>
            <w:noWrap/>
            <w:vAlign w:val="center"/>
            <w:hideMark/>
          </w:tcPr>
          <w:p w14:paraId="3DD3EA93" w14:textId="77777777" w:rsidR="004120EE" w:rsidRPr="00CB3320" w:rsidRDefault="004120EE" w:rsidP="00D168B5">
            <w:pPr>
              <w:pStyle w:val="table"/>
            </w:pPr>
            <w:r w:rsidRPr="00CB3320">
              <w:t>-0.0272***</w:t>
            </w:r>
          </w:p>
          <w:p w14:paraId="304637BF" w14:textId="05DAD90E" w:rsidR="00D168B5" w:rsidRPr="00CB3320" w:rsidRDefault="00D168B5" w:rsidP="00D168B5">
            <w:pPr>
              <w:pStyle w:val="table"/>
            </w:pPr>
            <w:r w:rsidRPr="00CB3320">
              <w:t>(0.00614)</w:t>
            </w:r>
          </w:p>
        </w:tc>
      </w:tr>
      <w:tr w:rsidR="00C422C0" w:rsidRPr="00CB3320" w14:paraId="1A8BFB79" w14:textId="77777777" w:rsidTr="00D168B5">
        <w:trPr>
          <w:trHeight w:val="285"/>
        </w:trPr>
        <w:tc>
          <w:tcPr>
            <w:tcW w:w="1159" w:type="pct"/>
            <w:noWrap/>
            <w:vAlign w:val="center"/>
            <w:hideMark/>
          </w:tcPr>
          <w:p w14:paraId="17C90BB3" w14:textId="77777777" w:rsidR="00C422C0" w:rsidRPr="00CB3320" w:rsidRDefault="00C422C0" w:rsidP="00137CE2">
            <w:pPr>
              <w:pStyle w:val="table"/>
            </w:pPr>
            <w:r w:rsidRPr="00CB3320">
              <w:rPr>
                <w:rFonts w:hint="eastAsia"/>
              </w:rPr>
              <w:t>控制变量</w:t>
            </w:r>
          </w:p>
        </w:tc>
        <w:tc>
          <w:tcPr>
            <w:tcW w:w="1270" w:type="pct"/>
            <w:noWrap/>
            <w:vAlign w:val="center"/>
            <w:hideMark/>
          </w:tcPr>
          <w:p w14:paraId="16D28428" w14:textId="78A3FAC0" w:rsidR="00C422C0" w:rsidRPr="00CB3320" w:rsidRDefault="00B44A4B" w:rsidP="004120EE">
            <w:pPr>
              <w:pStyle w:val="table"/>
            </w:pPr>
            <w:r w:rsidRPr="00CB3320">
              <w:t>√</w:t>
            </w:r>
          </w:p>
        </w:tc>
        <w:tc>
          <w:tcPr>
            <w:tcW w:w="1302" w:type="pct"/>
            <w:noWrap/>
            <w:vAlign w:val="center"/>
            <w:hideMark/>
          </w:tcPr>
          <w:p w14:paraId="2524B9DD" w14:textId="77777777" w:rsidR="00C422C0" w:rsidRPr="00CB3320" w:rsidRDefault="00C422C0" w:rsidP="004120EE">
            <w:pPr>
              <w:pStyle w:val="table"/>
            </w:pPr>
          </w:p>
        </w:tc>
        <w:tc>
          <w:tcPr>
            <w:tcW w:w="1269" w:type="pct"/>
            <w:noWrap/>
            <w:vAlign w:val="center"/>
            <w:hideMark/>
          </w:tcPr>
          <w:p w14:paraId="0CFB2A21" w14:textId="79608F3B" w:rsidR="00C422C0" w:rsidRPr="00CB3320" w:rsidRDefault="00B44A4B" w:rsidP="004120EE">
            <w:pPr>
              <w:pStyle w:val="table"/>
            </w:pPr>
            <w:r w:rsidRPr="00CB3320">
              <w:t>√</w:t>
            </w:r>
          </w:p>
        </w:tc>
      </w:tr>
      <w:tr w:rsidR="00C422C0" w:rsidRPr="00CB3320" w14:paraId="3B694A23" w14:textId="77777777" w:rsidTr="00D168B5">
        <w:trPr>
          <w:trHeight w:val="285"/>
        </w:trPr>
        <w:tc>
          <w:tcPr>
            <w:tcW w:w="1159" w:type="pct"/>
            <w:noWrap/>
            <w:hideMark/>
          </w:tcPr>
          <w:p w14:paraId="073B0F60" w14:textId="77777777" w:rsidR="00C422C0" w:rsidRPr="00CB3320" w:rsidRDefault="00C422C0" w:rsidP="00137CE2">
            <w:pPr>
              <w:pStyle w:val="table"/>
              <w:rPr>
                <w:kern w:val="2"/>
              </w:rPr>
            </w:pPr>
            <w:r w:rsidRPr="00CB3320">
              <w:rPr>
                <w:rFonts w:hint="eastAsia"/>
              </w:rPr>
              <w:t>时间固定效应</w:t>
            </w:r>
          </w:p>
        </w:tc>
        <w:tc>
          <w:tcPr>
            <w:tcW w:w="1270" w:type="pct"/>
            <w:noWrap/>
            <w:vAlign w:val="center"/>
            <w:hideMark/>
          </w:tcPr>
          <w:p w14:paraId="7FC9951C" w14:textId="77590146" w:rsidR="00C422C0" w:rsidRPr="00CB3320" w:rsidRDefault="00B44A4B" w:rsidP="004120EE">
            <w:pPr>
              <w:pStyle w:val="table"/>
            </w:pPr>
            <w:r w:rsidRPr="00CB3320">
              <w:t>√</w:t>
            </w:r>
          </w:p>
        </w:tc>
        <w:tc>
          <w:tcPr>
            <w:tcW w:w="1302" w:type="pct"/>
            <w:noWrap/>
            <w:vAlign w:val="center"/>
            <w:hideMark/>
          </w:tcPr>
          <w:p w14:paraId="736A5F0F" w14:textId="14E39854" w:rsidR="00C422C0" w:rsidRPr="00CB3320" w:rsidRDefault="00B44A4B" w:rsidP="004120EE">
            <w:pPr>
              <w:pStyle w:val="table"/>
            </w:pPr>
            <w:r w:rsidRPr="00CB3320">
              <w:t>√</w:t>
            </w:r>
          </w:p>
        </w:tc>
        <w:tc>
          <w:tcPr>
            <w:tcW w:w="1269" w:type="pct"/>
            <w:noWrap/>
            <w:vAlign w:val="center"/>
            <w:hideMark/>
          </w:tcPr>
          <w:p w14:paraId="52CDC772" w14:textId="0BB24CF9" w:rsidR="00C422C0" w:rsidRPr="00CB3320" w:rsidRDefault="00B44A4B" w:rsidP="004120EE">
            <w:pPr>
              <w:pStyle w:val="table"/>
            </w:pPr>
            <w:r w:rsidRPr="00CB3320">
              <w:t>√</w:t>
            </w:r>
          </w:p>
        </w:tc>
      </w:tr>
      <w:tr w:rsidR="00C422C0" w:rsidRPr="00CB3320" w14:paraId="326C076C" w14:textId="77777777" w:rsidTr="00D168B5">
        <w:trPr>
          <w:trHeight w:val="285"/>
        </w:trPr>
        <w:tc>
          <w:tcPr>
            <w:tcW w:w="1159" w:type="pct"/>
            <w:noWrap/>
            <w:hideMark/>
          </w:tcPr>
          <w:p w14:paraId="514E05DE" w14:textId="77777777" w:rsidR="00C422C0" w:rsidRPr="00CB3320" w:rsidRDefault="00C422C0" w:rsidP="00137CE2">
            <w:pPr>
              <w:pStyle w:val="table"/>
              <w:rPr>
                <w:kern w:val="2"/>
              </w:rPr>
            </w:pPr>
            <w:r w:rsidRPr="00CB3320">
              <w:rPr>
                <w:rFonts w:hint="eastAsia"/>
              </w:rPr>
              <w:t>个体固定效应</w:t>
            </w:r>
          </w:p>
        </w:tc>
        <w:tc>
          <w:tcPr>
            <w:tcW w:w="1270" w:type="pct"/>
            <w:noWrap/>
            <w:vAlign w:val="center"/>
            <w:hideMark/>
          </w:tcPr>
          <w:p w14:paraId="3943F7BB" w14:textId="6E3DA19D" w:rsidR="00C422C0" w:rsidRPr="00CB3320" w:rsidRDefault="00B44A4B" w:rsidP="004120EE">
            <w:pPr>
              <w:pStyle w:val="table"/>
            </w:pPr>
            <w:r w:rsidRPr="00CB3320">
              <w:t>√</w:t>
            </w:r>
          </w:p>
        </w:tc>
        <w:tc>
          <w:tcPr>
            <w:tcW w:w="1302" w:type="pct"/>
            <w:noWrap/>
            <w:vAlign w:val="center"/>
            <w:hideMark/>
          </w:tcPr>
          <w:p w14:paraId="7F8391DA" w14:textId="0F4C796E" w:rsidR="00C422C0" w:rsidRPr="00CB3320" w:rsidRDefault="00B44A4B" w:rsidP="004120EE">
            <w:pPr>
              <w:pStyle w:val="table"/>
            </w:pPr>
            <w:r w:rsidRPr="00CB3320">
              <w:t>√</w:t>
            </w:r>
          </w:p>
        </w:tc>
        <w:tc>
          <w:tcPr>
            <w:tcW w:w="1269" w:type="pct"/>
            <w:noWrap/>
            <w:vAlign w:val="center"/>
            <w:hideMark/>
          </w:tcPr>
          <w:p w14:paraId="757F5EFD" w14:textId="096ACA5B" w:rsidR="00C422C0" w:rsidRPr="00CB3320" w:rsidRDefault="00B44A4B" w:rsidP="004120EE">
            <w:pPr>
              <w:pStyle w:val="table"/>
            </w:pPr>
            <w:r w:rsidRPr="00CB3320">
              <w:t>√</w:t>
            </w:r>
          </w:p>
        </w:tc>
      </w:tr>
      <w:tr w:rsidR="004120EE" w:rsidRPr="00CB3320" w14:paraId="4CC985DB" w14:textId="77777777" w:rsidTr="00D168B5">
        <w:trPr>
          <w:trHeight w:val="285"/>
        </w:trPr>
        <w:tc>
          <w:tcPr>
            <w:tcW w:w="1159" w:type="pct"/>
            <w:noWrap/>
            <w:vAlign w:val="center"/>
            <w:hideMark/>
          </w:tcPr>
          <w:p w14:paraId="75658948" w14:textId="77777777" w:rsidR="004120EE" w:rsidRPr="00CB3320" w:rsidRDefault="004120EE" w:rsidP="004120EE">
            <w:pPr>
              <w:pStyle w:val="table"/>
            </w:pPr>
            <w:r w:rsidRPr="00CB3320">
              <w:t>N</w:t>
            </w:r>
          </w:p>
        </w:tc>
        <w:tc>
          <w:tcPr>
            <w:tcW w:w="1270" w:type="pct"/>
            <w:noWrap/>
            <w:vAlign w:val="center"/>
            <w:hideMark/>
          </w:tcPr>
          <w:p w14:paraId="53508132" w14:textId="2206116D" w:rsidR="004120EE" w:rsidRPr="00CB3320" w:rsidRDefault="004120EE" w:rsidP="004120EE">
            <w:pPr>
              <w:pStyle w:val="table"/>
            </w:pPr>
            <w:r w:rsidRPr="00CB3320">
              <w:t>3036</w:t>
            </w:r>
          </w:p>
        </w:tc>
        <w:tc>
          <w:tcPr>
            <w:tcW w:w="1302" w:type="pct"/>
            <w:noWrap/>
            <w:vAlign w:val="center"/>
            <w:hideMark/>
          </w:tcPr>
          <w:p w14:paraId="527946AF" w14:textId="2758C503" w:rsidR="004120EE" w:rsidRPr="00CB3320" w:rsidRDefault="004120EE" w:rsidP="004120EE">
            <w:pPr>
              <w:pStyle w:val="table"/>
            </w:pPr>
            <w:r w:rsidRPr="00CB3320">
              <w:t>3154</w:t>
            </w:r>
          </w:p>
        </w:tc>
        <w:tc>
          <w:tcPr>
            <w:tcW w:w="1269" w:type="pct"/>
            <w:noWrap/>
            <w:vAlign w:val="center"/>
            <w:hideMark/>
          </w:tcPr>
          <w:p w14:paraId="11999A84" w14:textId="4E4349BB" w:rsidR="004120EE" w:rsidRPr="00CB3320" w:rsidRDefault="004120EE" w:rsidP="004120EE">
            <w:pPr>
              <w:pStyle w:val="table"/>
            </w:pPr>
            <w:r w:rsidRPr="00CB3320">
              <w:t>3036</w:t>
            </w:r>
          </w:p>
        </w:tc>
      </w:tr>
      <w:tr w:rsidR="004120EE" w:rsidRPr="00CB3320" w14:paraId="61303F57" w14:textId="77777777" w:rsidTr="00D168B5">
        <w:trPr>
          <w:trHeight w:val="285"/>
        </w:trPr>
        <w:tc>
          <w:tcPr>
            <w:tcW w:w="1159" w:type="pct"/>
            <w:noWrap/>
            <w:vAlign w:val="center"/>
            <w:hideMark/>
          </w:tcPr>
          <w:p w14:paraId="6A20FC78" w14:textId="2F5586D0" w:rsidR="004120EE" w:rsidRPr="00CB3320" w:rsidRDefault="004120EE" w:rsidP="004120EE">
            <w:pPr>
              <w:pStyle w:val="table"/>
            </w:pPr>
            <w:r w:rsidRPr="00CB3320">
              <w:t>R</w:t>
            </w:r>
            <w:r w:rsidRPr="00CB3320">
              <w:rPr>
                <w:vertAlign w:val="superscript"/>
              </w:rPr>
              <w:t>2</w:t>
            </w:r>
          </w:p>
        </w:tc>
        <w:tc>
          <w:tcPr>
            <w:tcW w:w="1270" w:type="pct"/>
            <w:noWrap/>
            <w:vAlign w:val="center"/>
            <w:hideMark/>
          </w:tcPr>
          <w:p w14:paraId="0E82869A" w14:textId="2312D7DE" w:rsidR="004120EE" w:rsidRPr="00CB3320" w:rsidRDefault="004120EE" w:rsidP="004120EE">
            <w:pPr>
              <w:pStyle w:val="table"/>
            </w:pPr>
            <w:r w:rsidRPr="00CB3320">
              <w:t>0.479</w:t>
            </w:r>
          </w:p>
        </w:tc>
        <w:tc>
          <w:tcPr>
            <w:tcW w:w="1302" w:type="pct"/>
            <w:noWrap/>
            <w:vAlign w:val="center"/>
            <w:hideMark/>
          </w:tcPr>
          <w:p w14:paraId="407270DA" w14:textId="2C9E3BD2" w:rsidR="004120EE" w:rsidRPr="00CB3320" w:rsidRDefault="004120EE" w:rsidP="004120EE">
            <w:pPr>
              <w:pStyle w:val="table"/>
            </w:pPr>
            <w:r w:rsidRPr="00CB3320">
              <w:t>0.241</w:t>
            </w:r>
          </w:p>
        </w:tc>
        <w:tc>
          <w:tcPr>
            <w:tcW w:w="1269" w:type="pct"/>
            <w:noWrap/>
            <w:vAlign w:val="center"/>
            <w:hideMark/>
          </w:tcPr>
          <w:p w14:paraId="016029CD" w14:textId="697CAAB0" w:rsidR="004120EE" w:rsidRPr="00CB3320" w:rsidRDefault="004120EE" w:rsidP="004120EE">
            <w:pPr>
              <w:pStyle w:val="table"/>
            </w:pPr>
            <w:r w:rsidRPr="00CB3320">
              <w:t>0.517</w:t>
            </w:r>
          </w:p>
        </w:tc>
      </w:tr>
    </w:tbl>
    <w:p w14:paraId="0BE71916" w14:textId="17CDB462" w:rsidR="00D168B5" w:rsidRPr="00CB3320" w:rsidRDefault="00D168B5" w:rsidP="00D168B5">
      <w:pPr>
        <w:ind w:firstLine="300"/>
        <w:rPr>
          <w:rFonts w:eastAsia="楷体" w:cs="Times New Roman"/>
          <w:sz w:val="15"/>
          <w:szCs w:val="15"/>
        </w:rPr>
      </w:pPr>
      <w:bookmarkStart w:id="88" w:name="_Ref77243383"/>
      <w:bookmarkStart w:id="89" w:name="_Ref75529366"/>
      <w:r w:rsidRPr="00CB3320">
        <w:rPr>
          <w:rFonts w:eastAsia="楷体" w:cs="Times New Roman" w:hint="eastAsia"/>
          <w:sz w:val="15"/>
          <w:szCs w:val="15"/>
        </w:rPr>
        <w:t>注：括号中为聚类到省份的稳健标准误；</w:t>
      </w:r>
      <w:r w:rsidRPr="00CB3320">
        <w:rPr>
          <w:rFonts w:eastAsia="楷体" w:cs="Times New Roman"/>
          <w:sz w:val="15"/>
          <w:szCs w:val="15"/>
        </w:rPr>
        <w:t>* p&lt;0.10, ** p&lt;0.05, *** p&lt;0.01</w:t>
      </w:r>
    </w:p>
    <w:p w14:paraId="725B9305" w14:textId="67C8580F" w:rsidR="00C422C0" w:rsidRPr="00CB3320" w:rsidRDefault="00C422C0" w:rsidP="00A96520">
      <w:pPr>
        <w:pStyle w:val="TableX"/>
      </w:pPr>
      <w:r w:rsidRPr="00CB3320">
        <w:rPr>
          <w:rFonts w:hint="eastAsia"/>
        </w:rPr>
        <w:t>表</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A. \* ARABIC</w:instrText>
      </w:r>
      <w:r w:rsidRPr="00CB3320">
        <w:instrText xml:space="preserve"> </w:instrText>
      </w:r>
      <w:r w:rsidRPr="00CB3320">
        <w:fldChar w:fldCharType="separate"/>
      </w:r>
      <w:r w:rsidR="007A1FC2" w:rsidRPr="00CB3320">
        <w:rPr>
          <w:noProof/>
        </w:rPr>
        <w:t>4</w:t>
      </w:r>
      <w:r w:rsidRPr="00CB3320">
        <w:fldChar w:fldCharType="end"/>
      </w:r>
      <w:bookmarkEnd w:id="88"/>
      <w:r w:rsidR="00D168B5" w:rsidRPr="00CB3320">
        <w:t xml:space="preserve">  </w:t>
      </w:r>
      <w:r w:rsidR="00A96520" w:rsidRPr="00CB3320">
        <w:rPr>
          <w:rFonts w:hint="eastAsia"/>
        </w:rPr>
        <w:t>更改数据范围的稳健性检验</w:t>
      </w:r>
    </w:p>
    <w:tbl>
      <w:tblPr>
        <w:tblW w:w="5140" w:type="pct"/>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6"/>
        <w:gridCol w:w="1041"/>
        <w:gridCol w:w="1041"/>
        <w:gridCol w:w="921"/>
        <w:gridCol w:w="951"/>
        <w:gridCol w:w="951"/>
        <w:gridCol w:w="1041"/>
        <w:gridCol w:w="1041"/>
        <w:gridCol w:w="1041"/>
      </w:tblGrid>
      <w:tr w:rsidR="00D168B5" w:rsidRPr="00CB3320" w14:paraId="070E5AB9" w14:textId="77777777" w:rsidTr="00D168B5">
        <w:trPr>
          <w:trHeight w:val="195"/>
        </w:trPr>
        <w:tc>
          <w:tcPr>
            <w:tcW w:w="695" w:type="pct"/>
            <w:shd w:val="clear" w:color="auto" w:fill="auto"/>
            <w:noWrap/>
            <w:vAlign w:val="center"/>
            <w:hideMark/>
          </w:tcPr>
          <w:p w14:paraId="7EEAEDDA" w14:textId="77777777" w:rsidR="00D168B5" w:rsidRPr="00CB3320" w:rsidRDefault="00D168B5" w:rsidP="00D168B5">
            <w:pPr>
              <w:pStyle w:val="table"/>
            </w:pPr>
            <w:bookmarkStart w:id="90" w:name="_Ref77243401"/>
            <w:bookmarkStart w:id="91" w:name="_Ref75534511"/>
            <w:bookmarkEnd w:id="89"/>
          </w:p>
        </w:tc>
        <w:tc>
          <w:tcPr>
            <w:tcW w:w="1116" w:type="pct"/>
            <w:gridSpan w:val="2"/>
            <w:shd w:val="clear" w:color="auto" w:fill="auto"/>
            <w:noWrap/>
            <w:vAlign w:val="center"/>
            <w:hideMark/>
          </w:tcPr>
          <w:p w14:paraId="15B3C5F9" w14:textId="77777777" w:rsidR="00D168B5" w:rsidRPr="00CB3320" w:rsidRDefault="00D168B5" w:rsidP="00D168B5">
            <w:pPr>
              <w:pStyle w:val="table"/>
            </w:pPr>
            <w:r w:rsidRPr="00CB3320">
              <w:rPr>
                <w:rFonts w:hint="eastAsia"/>
              </w:rPr>
              <w:t>2007-2016</w:t>
            </w:r>
          </w:p>
        </w:tc>
        <w:tc>
          <w:tcPr>
            <w:tcW w:w="1004" w:type="pct"/>
            <w:gridSpan w:val="2"/>
            <w:shd w:val="clear" w:color="auto" w:fill="auto"/>
            <w:noWrap/>
            <w:vAlign w:val="center"/>
            <w:hideMark/>
          </w:tcPr>
          <w:p w14:paraId="2CBEAC03" w14:textId="77777777" w:rsidR="00D168B5" w:rsidRPr="00CB3320" w:rsidRDefault="00D168B5" w:rsidP="00D168B5">
            <w:pPr>
              <w:pStyle w:val="table"/>
            </w:pPr>
            <w:r w:rsidRPr="00CB3320">
              <w:rPr>
                <w:rFonts w:hint="eastAsia"/>
              </w:rPr>
              <w:t>2005-2014</w:t>
            </w:r>
          </w:p>
        </w:tc>
        <w:tc>
          <w:tcPr>
            <w:tcW w:w="1068" w:type="pct"/>
            <w:gridSpan w:val="2"/>
            <w:shd w:val="clear" w:color="auto" w:fill="auto"/>
            <w:noWrap/>
            <w:vAlign w:val="center"/>
            <w:hideMark/>
          </w:tcPr>
          <w:p w14:paraId="29D9BEAA" w14:textId="77777777" w:rsidR="00D168B5" w:rsidRPr="00CB3320" w:rsidRDefault="00D168B5" w:rsidP="00D168B5">
            <w:pPr>
              <w:pStyle w:val="table"/>
            </w:pPr>
            <w:r w:rsidRPr="00CB3320">
              <w:rPr>
                <w:rFonts w:hint="eastAsia"/>
              </w:rPr>
              <w:t>去一线城市</w:t>
            </w:r>
          </w:p>
        </w:tc>
        <w:tc>
          <w:tcPr>
            <w:tcW w:w="1116" w:type="pct"/>
            <w:gridSpan w:val="2"/>
            <w:shd w:val="clear" w:color="auto" w:fill="auto"/>
            <w:noWrap/>
            <w:vAlign w:val="center"/>
            <w:hideMark/>
          </w:tcPr>
          <w:p w14:paraId="217455DA" w14:textId="77777777" w:rsidR="00D168B5" w:rsidRPr="00CB3320" w:rsidRDefault="00D168B5" w:rsidP="00D168B5">
            <w:pPr>
              <w:pStyle w:val="table"/>
            </w:pPr>
            <w:r w:rsidRPr="00CB3320">
              <w:rPr>
                <w:rFonts w:hint="eastAsia"/>
              </w:rPr>
              <w:t>去直辖市</w:t>
            </w:r>
          </w:p>
        </w:tc>
      </w:tr>
      <w:tr w:rsidR="00D168B5" w:rsidRPr="00CB3320" w14:paraId="51742F9A" w14:textId="77777777" w:rsidTr="00D168B5">
        <w:trPr>
          <w:trHeight w:val="195"/>
        </w:trPr>
        <w:tc>
          <w:tcPr>
            <w:tcW w:w="695" w:type="pct"/>
            <w:shd w:val="clear" w:color="auto" w:fill="auto"/>
            <w:noWrap/>
            <w:vAlign w:val="center"/>
            <w:hideMark/>
          </w:tcPr>
          <w:p w14:paraId="4CBB2C78" w14:textId="77777777" w:rsidR="00D168B5" w:rsidRPr="00CB3320" w:rsidRDefault="00D168B5" w:rsidP="00D168B5">
            <w:pPr>
              <w:pStyle w:val="table"/>
            </w:pPr>
          </w:p>
        </w:tc>
        <w:tc>
          <w:tcPr>
            <w:tcW w:w="558" w:type="pct"/>
            <w:shd w:val="clear" w:color="auto" w:fill="auto"/>
            <w:noWrap/>
            <w:vAlign w:val="center"/>
            <w:hideMark/>
          </w:tcPr>
          <w:p w14:paraId="43A5D973" w14:textId="77777777" w:rsidR="00D168B5" w:rsidRPr="00CB3320" w:rsidRDefault="00D168B5" w:rsidP="00D168B5">
            <w:pPr>
              <w:pStyle w:val="table"/>
            </w:pPr>
            <w:r w:rsidRPr="00CB3320">
              <w:rPr>
                <w:rFonts w:hint="eastAsia"/>
              </w:rPr>
              <w:t>(1)</w:t>
            </w:r>
          </w:p>
        </w:tc>
        <w:tc>
          <w:tcPr>
            <w:tcW w:w="558" w:type="pct"/>
            <w:shd w:val="clear" w:color="auto" w:fill="auto"/>
            <w:noWrap/>
            <w:vAlign w:val="center"/>
            <w:hideMark/>
          </w:tcPr>
          <w:p w14:paraId="4C93F328" w14:textId="77777777" w:rsidR="00D168B5" w:rsidRPr="00CB3320" w:rsidRDefault="00D168B5" w:rsidP="00D168B5">
            <w:pPr>
              <w:pStyle w:val="table"/>
            </w:pPr>
            <w:r w:rsidRPr="00CB3320">
              <w:rPr>
                <w:rFonts w:hint="eastAsia"/>
              </w:rPr>
              <w:t>(2)</w:t>
            </w:r>
          </w:p>
        </w:tc>
        <w:tc>
          <w:tcPr>
            <w:tcW w:w="494" w:type="pct"/>
            <w:shd w:val="clear" w:color="auto" w:fill="auto"/>
            <w:noWrap/>
            <w:vAlign w:val="center"/>
            <w:hideMark/>
          </w:tcPr>
          <w:p w14:paraId="62E43253" w14:textId="77777777" w:rsidR="00D168B5" w:rsidRPr="00CB3320" w:rsidRDefault="00D168B5" w:rsidP="00D168B5">
            <w:pPr>
              <w:pStyle w:val="table"/>
            </w:pPr>
            <w:r w:rsidRPr="00CB3320">
              <w:rPr>
                <w:rFonts w:hint="eastAsia"/>
              </w:rPr>
              <w:t>(3)</w:t>
            </w:r>
          </w:p>
        </w:tc>
        <w:tc>
          <w:tcPr>
            <w:tcW w:w="510" w:type="pct"/>
            <w:shd w:val="clear" w:color="auto" w:fill="auto"/>
            <w:noWrap/>
            <w:vAlign w:val="center"/>
            <w:hideMark/>
          </w:tcPr>
          <w:p w14:paraId="676B9076" w14:textId="77777777" w:rsidR="00D168B5" w:rsidRPr="00CB3320" w:rsidRDefault="00D168B5" w:rsidP="00D168B5">
            <w:pPr>
              <w:pStyle w:val="table"/>
            </w:pPr>
            <w:r w:rsidRPr="00CB3320">
              <w:rPr>
                <w:rFonts w:hint="eastAsia"/>
              </w:rPr>
              <w:t>(4)</w:t>
            </w:r>
          </w:p>
        </w:tc>
        <w:tc>
          <w:tcPr>
            <w:tcW w:w="510" w:type="pct"/>
            <w:shd w:val="clear" w:color="auto" w:fill="auto"/>
            <w:noWrap/>
            <w:vAlign w:val="center"/>
            <w:hideMark/>
          </w:tcPr>
          <w:p w14:paraId="2491F7CE" w14:textId="77777777" w:rsidR="00D168B5" w:rsidRPr="00CB3320" w:rsidRDefault="00D168B5" w:rsidP="00D168B5">
            <w:pPr>
              <w:pStyle w:val="table"/>
            </w:pPr>
            <w:r w:rsidRPr="00CB3320">
              <w:rPr>
                <w:rFonts w:hint="eastAsia"/>
              </w:rPr>
              <w:t>(5)</w:t>
            </w:r>
          </w:p>
        </w:tc>
        <w:tc>
          <w:tcPr>
            <w:tcW w:w="558" w:type="pct"/>
            <w:shd w:val="clear" w:color="auto" w:fill="auto"/>
            <w:noWrap/>
            <w:vAlign w:val="center"/>
            <w:hideMark/>
          </w:tcPr>
          <w:p w14:paraId="0EDC53C2" w14:textId="77777777" w:rsidR="00D168B5" w:rsidRPr="00CB3320" w:rsidRDefault="00D168B5" w:rsidP="00D168B5">
            <w:pPr>
              <w:pStyle w:val="table"/>
            </w:pPr>
            <w:r w:rsidRPr="00CB3320">
              <w:rPr>
                <w:rFonts w:hint="eastAsia"/>
              </w:rPr>
              <w:t>(6)</w:t>
            </w:r>
          </w:p>
        </w:tc>
        <w:tc>
          <w:tcPr>
            <w:tcW w:w="558" w:type="pct"/>
            <w:shd w:val="clear" w:color="auto" w:fill="auto"/>
            <w:noWrap/>
            <w:vAlign w:val="center"/>
            <w:hideMark/>
          </w:tcPr>
          <w:p w14:paraId="3585FC9D" w14:textId="77777777" w:rsidR="00D168B5" w:rsidRPr="00CB3320" w:rsidRDefault="00D168B5" w:rsidP="00D168B5">
            <w:pPr>
              <w:pStyle w:val="table"/>
            </w:pPr>
            <w:r w:rsidRPr="00CB3320">
              <w:rPr>
                <w:rFonts w:hint="eastAsia"/>
              </w:rPr>
              <w:t>(7)</w:t>
            </w:r>
          </w:p>
        </w:tc>
        <w:tc>
          <w:tcPr>
            <w:tcW w:w="558" w:type="pct"/>
            <w:shd w:val="clear" w:color="auto" w:fill="auto"/>
            <w:noWrap/>
            <w:vAlign w:val="center"/>
            <w:hideMark/>
          </w:tcPr>
          <w:p w14:paraId="7038E348" w14:textId="77777777" w:rsidR="00D168B5" w:rsidRPr="00CB3320" w:rsidRDefault="00D168B5" w:rsidP="00D168B5">
            <w:pPr>
              <w:pStyle w:val="table"/>
            </w:pPr>
            <w:r w:rsidRPr="00CB3320">
              <w:rPr>
                <w:rFonts w:hint="eastAsia"/>
              </w:rPr>
              <w:t>(8)</w:t>
            </w:r>
          </w:p>
        </w:tc>
      </w:tr>
      <w:tr w:rsidR="00D168B5" w:rsidRPr="00CB3320" w14:paraId="339063CE" w14:textId="77777777" w:rsidTr="00D168B5">
        <w:trPr>
          <w:trHeight w:val="195"/>
        </w:trPr>
        <w:tc>
          <w:tcPr>
            <w:tcW w:w="695" w:type="pct"/>
            <w:shd w:val="clear" w:color="auto" w:fill="auto"/>
            <w:noWrap/>
            <w:vAlign w:val="center"/>
            <w:hideMark/>
          </w:tcPr>
          <w:p w14:paraId="7152F6E4" w14:textId="77777777" w:rsidR="00D168B5" w:rsidRPr="00CB3320" w:rsidRDefault="00D168B5" w:rsidP="00D168B5">
            <w:pPr>
              <w:pStyle w:val="table"/>
            </w:pPr>
          </w:p>
        </w:tc>
        <w:tc>
          <w:tcPr>
            <w:tcW w:w="558" w:type="pct"/>
            <w:shd w:val="clear" w:color="auto" w:fill="auto"/>
            <w:noWrap/>
            <w:vAlign w:val="center"/>
            <w:hideMark/>
          </w:tcPr>
          <w:p w14:paraId="16D681C4" w14:textId="77777777" w:rsidR="00D168B5" w:rsidRPr="00CB3320" w:rsidRDefault="00D168B5" w:rsidP="00D168B5">
            <w:pPr>
              <w:pStyle w:val="table"/>
            </w:pPr>
            <w:r w:rsidRPr="00CB3320">
              <w:rPr>
                <w:rFonts w:hint="eastAsia"/>
              </w:rPr>
              <w:t>TFP</w:t>
            </w:r>
          </w:p>
        </w:tc>
        <w:tc>
          <w:tcPr>
            <w:tcW w:w="558" w:type="pct"/>
            <w:shd w:val="clear" w:color="auto" w:fill="auto"/>
            <w:noWrap/>
            <w:vAlign w:val="center"/>
            <w:hideMark/>
          </w:tcPr>
          <w:p w14:paraId="3E3CF646" w14:textId="77777777" w:rsidR="00D168B5" w:rsidRPr="00CB3320" w:rsidRDefault="00D168B5" w:rsidP="00D168B5">
            <w:pPr>
              <w:pStyle w:val="table"/>
            </w:pPr>
            <w:r w:rsidRPr="00CB3320">
              <w:rPr>
                <w:rFonts w:hint="eastAsia"/>
              </w:rPr>
              <w:t>TFP</w:t>
            </w:r>
          </w:p>
        </w:tc>
        <w:tc>
          <w:tcPr>
            <w:tcW w:w="494" w:type="pct"/>
            <w:shd w:val="clear" w:color="auto" w:fill="auto"/>
            <w:noWrap/>
            <w:vAlign w:val="center"/>
            <w:hideMark/>
          </w:tcPr>
          <w:p w14:paraId="43C0AC81" w14:textId="77777777" w:rsidR="00D168B5" w:rsidRPr="00CB3320" w:rsidRDefault="00D168B5" w:rsidP="00D168B5">
            <w:pPr>
              <w:pStyle w:val="table"/>
            </w:pPr>
            <w:r w:rsidRPr="00CB3320">
              <w:rPr>
                <w:rFonts w:hint="eastAsia"/>
              </w:rPr>
              <w:t>TFP</w:t>
            </w:r>
          </w:p>
        </w:tc>
        <w:tc>
          <w:tcPr>
            <w:tcW w:w="510" w:type="pct"/>
            <w:shd w:val="clear" w:color="auto" w:fill="auto"/>
            <w:noWrap/>
            <w:vAlign w:val="center"/>
            <w:hideMark/>
          </w:tcPr>
          <w:p w14:paraId="51A698DE" w14:textId="77777777" w:rsidR="00D168B5" w:rsidRPr="00CB3320" w:rsidRDefault="00D168B5" w:rsidP="00D168B5">
            <w:pPr>
              <w:pStyle w:val="table"/>
            </w:pPr>
            <w:r w:rsidRPr="00CB3320">
              <w:rPr>
                <w:rFonts w:hint="eastAsia"/>
              </w:rPr>
              <w:t>TFP</w:t>
            </w:r>
          </w:p>
        </w:tc>
        <w:tc>
          <w:tcPr>
            <w:tcW w:w="510" w:type="pct"/>
            <w:shd w:val="clear" w:color="auto" w:fill="auto"/>
            <w:noWrap/>
            <w:vAlign w:val="center"/>
            <w:hideMark/>
          </w:tcPr>
          <w:p w14:paraId="7F436BD7" w14:textId="77777777" w:rsidR="00D168B5" w:rsidRPr="00CB3320" w:rsidRDefault="00D168B5" w:rsidP="00D168B5">
            <w:pPr>
              <w:pStyle w:val="table"/>
            </w:pPr>
            <w:r w:rsidRPr="00CB3320">
              <w:rPr>
                <w:rFonts w:hint="eastAsia"/>
              </w:rPr>
              <w:t>TFP</w:t>
            </w:r>
          </w:p>
        </w:tc>
        <w:tc>
          <w:tcPr>
            <w:tcW w:w="558" w:type="pct"/>
            <w:shd w:val="clear" w:color="auto" w:fill="auto"/>
            <w:noWrap/>
            <w:vAlign w:val="center"/>
            <w:hideMark/>
          </w:tcPr>
          <w:p w14:paraId="588D0639" w14:textId="77777777" w:rsidR="00D168B5" w:rsidRPr="00CB3320" w:rsidRDefault="00D168B5" w:rsidP="00D168B5">
            <w:pPr>
              <w:pStyle w:val="table"/>
            </w:pPr>
            <w:r w:rsidRPr="00CB3320">
              <w:rPr>
                <w:rFonts w:hint="eastAsia"/>
              </w:rPr>
              <w:t>TFP</w:t>
            </w:r>
          </w:p>
        </w:tc>
        <w:tc>
          <w:tcPr>
            <w:tcW w:w="558" w:type="pct"/>
            <w:shd w:val="clear" w:color="auto" w:fill="auto"/>
            <w:noWrap/>
            <w:vAlign w:val="center"/>
            <w:hideMark/>
          </w:tcPr>
          <w:p w14:paraId="3534A0EF" w14:textId="77777777" w:rsidR="00D168B5" w:rsidRPr="00CB3320" w:rsidRDefault="00D168B5" w:rsidP="00D168B5">
            <w:pPr>
              <w:pStyle w:val="table"/>
            </w:pPr>
            <w:r w:rsidRPr="00CB3320">
              <w:rPr>
                <w:rFonts w:hint="eastAsia"/>
              </w:rPr>
              <w:t>TFP</w:t>
            </w:r>
          </w:p>
        </w:tc>
        <w:tc>
          <w:tcPr>
            <w:tcW w:w="558" w:type="pct"/>
            <w:shd w:val="clear" w:color="auto" w:fill="auto"/>
            <w:noWrap/>
            <w:vAlign w:val="center"/>
            <w:hideMark/>
          </w:tcPr>
          <w:p w14:paraId="3F0EBDB3" w14:textId="77777777" w:rsidR="00D168B5" w:rsidRPr="00CB3320" w:rsidRDefault="00D168B5" w:rsidP="00D168B5">
            <w:pPr>
              <w:pStyle w:val="table"/>
            </w:pPr>
            <w:r w:rsidRPr="00CB3320">
              <w:rPr>
                <w:rFonts w:hint="eastAsia"/>
              </w:rPr>
              <w:t>TFP</w:t>
            </w:r>
          </w:p>
        </w:tc>
      </w:tr>
      <w:tr w:rsidR="00D168B5" w:rsidRPr="00CB3320" w14:paraId="1F09A221" w14:textId="77777777" w:rsidTr="00D168B5">
        <w:trPr>
          <w:trHeight w:val="195"/>
        </w:trPr>
        <w:tc>
          <w:tcPr>
            <w:tcW w:w="695" w:type="pct"/>
            <w:shd w:val="clear" w:color="auto" w:fill="auto"/>
            <w:noWrap/>
            <w:vAlign w:val="center"/>
            <w:hideMark/>
          </w:tcPr>
          <w:p w14:paraId="45519F44" w14:textId="77777777" w:rsidR="00D168B5" w:rsidRPr="00CB3320" w:rsidRDefault="00D168B5" w:rsidP="00D168B5">
            <w:pPr>
              <w:pStyle w:val="table"/>
            </w:pPr>
            <w:r w:rsidRPr="00CB3320">
              <w:rPr>
                <w:rFonts w:hint="eastAsia"/>
              </w:rPr>
              <w:t>D_ETS</w:t>
            </w:r>
          </w:p>
        </w:tc>
        <w:tc>
          <w:tcPr>
            <w:tcW w:w="558" w:type="pct"/>
            <w:shd w:val="clear" w:color="auto" w:fill="auto"/>
            <w:noWrap/>
            <w:vAlign w:val="center"/>
            <w:hideMark/>
          </w:tcPr>
          <w:p w14:paraId="69C03733" w14:textId="77777777" w:rsidR="00D168B5" w:rsidRPr="00CB3320" w:rsidRDefault="00D168B5" w:rsidP="00D168B5">
            <w:pPr>
              <w:pStyle w:val="table"/>
            </w:pPr>
            <w:r w:rsidRPr="00CB3320">
              <w:rPr>
                <w:rFonts w:hint="eastAsia"/>
              </w:rPr>
              <w:t>-0.0272***</w:t>
            </w:r>
          </w:p>
          <w:p w14:paraId="6757CDD7" w14:textId="0E128E20" w:rsidR="00D168B5" w:rsidRPr="00CB3320" w:rsidRDefault="00D168B5" w:rsidP="00D168B5">
            <w:pPr>
              <w:pStyle w:val="table"/>
            </w:pPr>
            <w:r w:rsidRPr="00CB3320">
              <w:rPr>
                <w:rFonts w:hint="eastAsia"/>
              </w:rPr>
              <w:t>(0.00647)</w:t>
            </w:r>
          </w:p>
        </w:tc>
        <w:tc>
          <w:tcPr>
            <w:tcW w:w="558" w:type="pct"/>
            <w:shd w:val="clear" w:color="auto" w:fill="auto"/>
            <w:noWrap/>
            <w:vAlign w:val="center"/>
            <w:hideMark/>
          </w:tcPr>
          <w:p w14:paraId="04AE91E6" w14:textId="77777777" w:rsidR="00D168B5" w:rsidRPr="00CB3320" w:rsidRDefault="00D168B5" w:rsidP="00D168B5">
            <w:pPr>
              <w:pStyle w:val="table"/>
            </w:pPr>
            <w:r w:rsidRPr="00CB3320">
              <w:rPr>
                <w:rFonts w:hint="eastAsia"/>
              </w:rPr>
              <w:t>-0.0386***</w:t>
            </w:r>
          </w:p>
          <w:p w14:paraId="2E809EA7" w14:textId="381FCD9E" w:rsidR="00D168B5" w:rsidRPr="00CB3320" w:rsidRDefault="00D168B5" w:rsidP="00D168B5">
            <w:pPr>
              <w:pStyle w:val="table"/>
            </w:pPr>
            <w:r w:rsidRPr="00CB3320">
              <w:rPr>
                <w:rFonts w:hint="eastAsia"/>
              </w:rPr>
              <w:t>(0.00551)</w:t>
            </w:r>
          </w:p>
        </w:tc>
        <w:tc>
          <w:tcPr>
            <w:tcW w:w="494" w:type="pct"/>
            <w:shd w:val="clear" w:color="auto" w:fill="auto"/>
            <w:noWrap/>
            <w:vAlign w:val="center"/>
            <w:hideMark/>
          </w:tcPr>
          <w:p w14:paraId="4366806A" w14:textId="77777777" w:rsidR="00D168B5" w:rsidRPr="00CB3320" w:rsidRDefault="00D168B5" w:rsidP="00D168B5">
            <w:pPr>
              <w:pStyle w:val="table"/>
            </w:pPr>
            <w:r w:rsidRPr="00CB3320">
              <w:rPr>
                <w:rFonts w:hint="eastAsia"/>
              </w:rPr>
              <w:t>-0.0102*</w:t>
            </w:r>
          </w:p>
          <w:p w14:paraId="17533593" w14:textId="4E594BA2" w:rsidR="00D168B5" w:rsidRPr="00CB3320" w:rsidRDefault="00D168B5" w:rsidP="00D168B5">
            <w:pPr>
              <w:pStyle w:val="table"/>
            </w:pPr>
            <w:r w:rsidRPr="00CB3320">
              <w:rPr>
                <w:rFonts w:hint="eastAsia"/>
              </w:rPr>
              <w:t>(0.00594)</w:t>
            </w:r>
          </w:p>
        </w:tc>
        <w:tc>
          <w:tcPr>
            <w:tcW w:w="510" w:type="pct"/>
            <w:shd w:val="clear" w:color="auto" w:fill="auto"/>
            <w:noWrap/>
            <w:vAlign w:val="center"/>
            <w:hideMark/>
          </w:tcPr>
          <w:p w14:paraId="3D458050" w14:textId="77777777" w:rsidR="00D168B5" w:rsidRPr="00CB3320" w:rsidRDefault="00D168B5" w:rsidP="00D168B5">
            <w:pPr>
              <w:pStyle w:val="table"/>
            </w:pPr>
            <w:r w:rsidRPr="00CB3320">
              <w:rPr>
                <w:rFonts w:hint="eastAsia"/>
              </w:rPr>
              <w:t>-0.0289**</w:t>
            </w:r>
          </w:p>
          <w:p w14:paraId="6E3B1820" w14:textId="2E585C73" w:rsidR="00D168B5" w:rsidRPr="00CB3320" w:rsidRDefault="00D168B5" w:rsidP="00D168B5">
            <w:pPr>
              <w:pStyle w:val="table"/>
            </w:pPr>
            <w:r w:rsidRPr="00CB3320">
              <w:rPr>
                <w:rFonts w:hint="eastAsia"/>
              </w:rPr>
              <w:t>(0.0106)</w:t>
            </w:r>
          </w:p>
        </w:tc>
        <w:tc>
          <w:tcPr>
            <w:tcW w:w="510" w:type="pct"/>
            <w:shd w:val="clear" w:color="auto" w:fill="auto"/>
            <w:noWrap/>
            <w:vAlign w:val="center"/>
            <w:hideMark/>
          </w:tcPr>
          <w:p w14:paraId="4A8763F0" w14:textId="77777777" w:rsidR="00D168B5" w:rsidRPr="00CB3320" w:rsidRDefault="00D168B5" w:rsidP="00D168B5">
            <w:pPr>
              <w:pStyle w:val="table"/>
            </w:pPr>
            <w:r w:rsidRPr="00CB3320">
              <w:rPr>
                <w:rFonts w:hint="eastAsia"/>
              </w:rPr>
              <w:t>-0.0203**</w:t>
            </w:r>
          </w:p>
          <w:p w14:paraId="6C1967A7" w14:textId="4711C03C" w:rsidR="00D168B5" w:rsidRPr="00CB3320" w:rsidRDefault="00D168B5" w:rsidP="00D168B5">
            <w:pPr>
              <w:pStyle w:val="table"/>
            </w:pPr>
            <w:r w:rsidRPr="00CB3320">
              <w:rPr>
                <w:rFonts w:hint="eastAsia"/>
              </w:rPr>
              <w:t>(0.00761)</w:t>
            </w:r>
          </w:p>
        </w:tc>
        <w:tc>
          <w:tcPr>
            <w:tcW w:w="558" w:type="pct"/>
            <w:shd w:val="clear" w:color="auto" w:fill="auto"/>
            <w:noWrap/>
            <w:vAlign w:val="center"/>
            <w:hideMark/>
          </w:tcPr>
          <w:p w14:paraId="09EE194B" w14:textId="77777777" w:rsidR="00D168B5" w:rsidRPr="00CB3320" w:rsidRDefault="00D168B5" w:rsidP="00D168B5">
            <w:pPr>
              <w:pStyle w:val="table"/>
            </w:pPr>
            <w:r w:rsidRPr="00CB3320">
              <w:rPr>
                <w:rFonts w:hint="eastAsia"/>
              </w:rPr>
              <w:t>-0.0391***</w:t>
            </w:r>
          </w:p>
          <w:p w14:paraId="25AA5E64" w14:textId="0E4D10BD" w:rsidR="00D168B5" w:rsidRPr="00CB3320" w:rsidRDefault="00D168B5" w:rsidP="00D168B5">
            <w:pPr>
              <w:pStyle w:val="table"/>
            </w:pPr>
            <w:r w:rsidRPr="00CB3320">
              <w:rPr>
                <w:rFonts w:hint="eastAsia"/>
              </w:rPr>
              <w:t>(0.00570)</w:t>
            </w:r>
          </w:p>
        </w:tc>
        <w:tc>
          <w:tcPr>
            <w:tcW w:w="558" w:type="pct"/>
            <w:shd w:val="clear" w:color="auto" w:fill="auto"/>
            <w:noWrap/>
            <w:vAlign w:val="center"/>
            <w:hideMark/>
          </w:tcPr>
          <w:p w14:paraId="1A548886" w14:textId="77777777" w:rsidR="00D168B5" w:rsidRPr="00CB3320" w:rsidRDefault="00D168B5" w:rsidP="00D168B5">
            <w:pPr>
              <w:pStyle w:val="table"/>
            </w:pPr>
            <w:r w:rsidRPr="00CB3320">
              <w:rPr>
                <w:rFonts w:hint="eastAsia"/>
              </w:rPr>
              <w:t>-0.0214***</w:t>
            </w:r>
          </w:p>
          <w:p w14:paraId="13F3EB63" w14:textId="38063E05" w:rsidR="00D168B5" w:rsidRPr="00CB3320" w:rsidRDefault="00D168B5" w:rsidP="00D168B5">
            <w:pPr>
              <w:pStyle w:val="table"/>
            </w:pPr>
            <w:r w:rsidRPr="00CB3320">
              <w:rPr>
                <w:rFonts w:hint="eastAsia"/>
              </w:rPr>
              <w:t>(0.00738)</w:t>
            </w:r>
          </w:p>
        </w:tc>
        <w:tc>
          <w:tcPr>
            <w:tcW w:w="558" w:type="pct"/>
            <w:shd w:val="clear" w:color="auto" w:fill="auto"/>
            <w:noWrap/>
            <w:vAlign w:val="center"/>
            <w:hideMark/>
          </w:tcPr>
          <w:p w14:paraId="7B8A43B9" w14:textId="77777777" w:rsidR="00D168B5" w:rsidRPr="00CB3320" w:rsidRDefault="00D168B5" w:rsidP="00D168B5">
            <w:pPr>
              <w:pStyle w:val="table"/>
            </w:pPr>
            <w:r w:rsidRPr="00CB3320">
              <w:rPr>
                <w:rFonts w:hint="eastAsia"/>
              </w:rPr>
              <w:t>-0.0401***</w:t>
            </w:r>
          </w:p>
          <w:p w14:paraId="0F99EC44" w14:textId="025518CE" w:rsidR="00D168B5" w:rsidRPr="00CB3320" w:rsidRDefault="00D168B5" w:rsidP="00D168B5">
            <w:pPr>
              <w:pStyle w:val="table"/>
            </w:pPr>
            <w:r w:rsidRPr="00CB3320">
              <w:rPr>
                <w:rFonts w:hint="eastAsia"/>
              </w:rPr>
              <w:t>(0.00571)</w:t>
            </w:r>
          </w:p>
        </w:tc>
      </w:tr>
      <w:tr w:rsidR="00D168B5" w:rsidRPr="00CB3320" w14:paraId="02B782AB" w14:textId="77777777" w:rsidTr="00D168B5">
        <w:trPr>
          <w:trHeight w:val="195"/>
        </w:trPr>
        <w:tc>
          <w:tcPr>
            <w:tcW w:w="695" w:type="pct"/>
            <w:shd w:val="clear" w:color="auto" w:fill="auto"/>
            <w:noWrap/>
            <w:vAlign w:val="center"/>
            <w:hideMark/>
          </w:tcPr>
          <w:p w14:paraId="14D6A328" w14:textId="77777777" w:rsidR="00D168B5" w:rsidRPr="00CB3320" w:rsidRDefault="00D168B5" w:rsidP="00D168B5">
            <w:pPr>
              <w:pStyle w:val="table"/>
            </w:pPr>
            <w:r w:rsidRPr="00CB3320">
              <w:rPr>
                <w:rFonts w:hint="eastAsia"/>
              </w:rPr>
              <w:t>控制变量</w:t>
            </w:r>
          </w:p>
        </w:tc>
        <w:tc>
          <w:tcPr>
            <w:tcW w:w="558" w:type="pct"/>
            <w:shd w:val="clear" w:color="auto" w:fill="auto"/>
            <w:noWrap/>
            <w:vAlign w:val="center"/>
            <w:hideMark/>
          </w:tcPr>
          <w:p w14:paraId="093E052F" w14:textId="77777777" w:rsidR="00D168B5" w:rsidRPr="00CB3320" w:rsidRDefault="00D168B5" w:rsidP="00D168B5">
            <w:pPr>
              <w:pStyle w:val="table"/>
            </w:pPr>
          </w:p>
        </w:tc>
        <w:tc>
          <w:tcPr>
            <w:tcW w:w="558" w:type="pct"/>
            <w:shd w:val="clear" w:color="auto" w:fill="auto"/>
            <w:noWrap/>
            <w:vAlign w:val="center"/>
            <w:hideMark/>
          </w:tcPr>
          <w:p w14:paraId="2B5992C6" w14:textId="77777777" w:rsidR="00D168B5" w:rsidRPr="00CB3320" w:rsidRDefault="00D168B5" w:rsidP="00D168B5">
            <w:pPr>
              <w:pStyle w:val="table"/>
            </w:pPr>
            <w:r w:rsidRPr="00CB3320">
              <w:rPr>
                <w:rFonts w:hint="eastAsia"/>
              </w:rPr>
              <w:t>√</w:t>
            </w:r>
          </w:p>
        </w:tc>
        <w:tc>
          <w:tcPr>
            <w:tcW w:w="494" w:type="pct"/>
            <w:shd w:val="clear" w:color="auto" w:fill="auto"/>
            <w:noWrap/>
            <w:vAlign w:val="center"/>
            <w:hideMark/>
          </w:tcPr>
          <w:p w14:paraId="26608056" w14:textId="77777777" w:rsidR="00D168B5" w:rsidRPr="00CB3320" w:rsidRDefault="00D168B5" w:rsidP="00D168B5">
            <w:pPr>
              <w:pStyle w:val="table"/>
            </w:pPr>
          </w:p>
        </w:tc>
        <w:tc>
          <w:tcPr>
            <w:tcW w:w="510" w:type="pct"/>
            <w:shd w:val="clear" w:color="auto" w:fill="auto"/>
            <w:noWrap/>
            <w:vAlign w:val="center"/>
            <w:hideMark/>
          </w:tcPr>
          <w:p w14:paraId="5F2824E1" w14:textId="77777777" w:rsidR="00D168B5" w:rsidRPr="00CB3320" w:rsidRDefault="00D168B5" w:rsidP="00D168B5">
            <w:pPr>
              <w:pStyle w:val="table"/>
            </w:pPr>
            <w:r w:rsidRPr="00CB3320">
              <w:rPr>
                <w:rFonts w:hint="eastAsia"/>
              </w:rPr>
              <w:t>√</w:t>
            </w:r>
          </w:p>
        </w:tc>
        <w:tc>
          <w:tcPr>
            <w:tcW w:w="510" w:type="pct"/>
            <w:shd w:val="clear" w:color="auto" w:fill="auto"/>
            <w:noWrap/>
            <w:vAlign w:val="center"/>
            <w:hideMark/>
          </w:tcPr>
          <w:p w14:paraId="221BAA13" w14:textId="77777777" w:rsidR="00D168B5" w:rsidRPr="00CB3320" w:rsidRDefault="00D168B5" w:rsidP="00D168B5">
            <w:pPr>
              <w:pStyle w:val="table"/>
            </w:pPr>
          </w:p>
        </w:tc>
        <w:tc>
          <w:tcPr>
            <w:tcW w:w="558" w:type="pct"/>
            <w:shd w:val="clear" w:color="auto" w:fill="auto"/>
            <w:noWrap/>
            <w:vAlign w:val="center"/>
            <w:hideMark/>
          </w:tcPr>
          <w:p w14:paraId="1A5868AE"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4CB4A384" w14:textId="77777777" w:rsidR="00D168B5" w:rsidRPr="00CB3320" w:rsidRDefault="00D168B5" w:rsidP="00D168B5">
            <w:pPr>
              <w:pStyle w:val="table"/>
            </w:pPr>
          </w:p>
        </w:tc>
        <w:tc>
          <w:tcPr>
            <w:tcW w:w="558" w:type="pct"/>
            <w:shd w:val="clear" w:color="auto" w:fill="auto"/>
            <w:noWrap/>
            <w:vAlign w:val="center"/>
            <w:hideMark/>
          </w:tcPr>
          <w:p w14:paraId="48F1E3A8" w14:textId="77777777" w:rsidR="00D168B5" w:rsidRPr="00CB3320" w:rsidRDefault="00D168B5" w:rsidP="00D168B5">
            <w:pPr>
              <w:pStyle w:val="table"/>
            </w:pPr>
            <w:r w:rsidRPr="00CB3320">
              <w:rPr>
                <w:rFonts w:hint="eastAsia"/>
              </w:rPr>
              <w:t>√</w:t>
            </w:r>
          </w:p>
        </w:tc>
      </w:tr>
      <w:tr w:rsidR="00D168B5" w:rsidRPr="00CB3320" w14:paraId="230C0F75" w14:textId="77777777" w:rsidTr="00D168B5">
        <w:trPr>
          <w:trHeight w:val="195"/>
        </w:trPr>
        <w:tc>
          <w:tcPr>
            <w:tcW w:w="695" w:type="pct"/>
            <w:shd w:val="clear" w:color="auto" w:fill="auto"/>
            <w:noWrap/>
            <w:vAlign w:val="center"/>
            <w:hideMark/>
          </w:tcPr>
          <w:p w14:paraId="551C9D68" w14:textId="77777777" w:rsidR="00D168B5" w:rsidRPr="00CB3320" w:rsidRDefault="00D168B5" w:rsidP="00D168B5">
            <w:pPr>
              <w:pStyle w:val="table"/>
            </w:pPr>
            <w:r w:rsidRPr="00CB3320">
              <w:rPr>
                <w:rFonts w:hint="eastAsia"/>
              </w:rPr>
              <w:t>时间固定效应</w:t>
            </w:r>
          </w:p>
        </w:tc>
        <w:tc>
          <w:tcPr>
            <w:tcW w:w="558" w:type="pct"/>
            <w:shd w:val="clear" w:color="auto" w:fill="auto"/>
            <w:noWrap/>
            <w:vAlign w:val="center"/>
            <w:hideMark/>
          </w:tcPr>
          <w:p w14:paraId="45CF7CF8"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43FA0CF0" w14:textId="77777777" w:rsidR="00D168B5" w:rsidRPr="00CB3320" w:rsidRDefault="00D168B5" w:rsidP="00D168B5">
            <w:pPr>
              <w:pStyle w:val="table"/>
            </w:pPr>
            <w:r w:rsidRPr="00CB3320">
              <w:rPr>
                <w:rFonts w:hint="eastAsia"/>
              </w:rPr>
              <w:t>√</w:t>
            </w:r>
          </w:p>
        </w:tc>
        <w:tc>
          <w:tcPr>
            <w:tcW w:w="494" w:type="pct"/>
            <w:shd w:val="clear" w:color="auto" w:fill="auto"/>
            <w:noWrap/>
            <w:vAlign w:val="center"/>
            <w:hideMark/>
          </w:tcPr>
          <w:p w14:paraId="6ACF1AAB" w14:textId="77777777" w:rsidR="00D168B5" w:rsidRPr="00CB3320" w:rsidRDefault="00D168B5" w:rsidP="00D168B5">
            <w:pPr>
              <w:pStyle w:val="table"/>
            </w:pPr>
            <w:r w:rsidRPr="00CB3320">
              <w:rPr>
                <w:rFonts w:hint="eastAsia"/>
              </w:rPr>
              <w:t>√</w:t>
            </w:r>
          </w:p>
        </w:tc>
        <w:tc>
          <w:tcPr>
            <w:tcW w:w="510" w:type="pct"/>
            <w:shd w:val="clear" w:color="auto" w:fill="auto"/>
            <w:noWrap/>
            <w:vAlign w:val="center"/>
            <w:hideMark/>
          </w:tcPr>
          <w:p w14:paraId="263EF6E7" w14:textId="77777777" w:rsidR="00D168B5" w:rsidRPr="00CB3320" w:rsidRDefault="00D168B5" w:rsidP="00D168B5">
            <w:pPr>
              <w:pStyle w:val="table"/>
            </w:pPr>
            <w:r w:rsidRPr="00CB3320">
              <w:rPr>
                <w:rFonts w:hint="eastAsia"/>
              </w:rPr>
              <w:t>√</w:t>
            </w:r>
          </w:p>
        </w:tc>
        <w:tc>
          <w:tcPr>
            <w:tcW w:w="510" w:type="pct"/>
            <w:shd w:val="clear" w:color="auto" w:fill="auto"/>
            <w:noWrap/>
            <w:vAlign w:val="center"/>
            <w:hideMark/>
          </w:tcPr>
          <w:p w14:paraId="5892BB3B"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1025B2EF"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114E2EE7"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7F6A109B" w14:textId="77777777" w:rsidR="00D168B5" w:rsidRPr="00CB3320" w:rsidRDefault="00D168B5" w:rsidP="00D168B5">
            <w:pPr>
              <w:pStyle w:val="table"/>
            </w:pPr>
            <w:r w:rsidRPr="00CB3320">
              <w:rPr>
                <w:rFonts w:hint="eastAsia"/>
              </w:rPr>
              <w:t>√</w:t>
            </w:r>
          </w:p>
        </w:tc>
      </w:tr>
      <w:tr w:rsidR="00D168B5" w:rsidRPr="00CB3320" w14:paraId="4C6EC973" w14:textId="77777777" w:rsidTr="00D168B5">
        <w:trPr>
          <w:trHeight w:val="195"/>
        </w:trPr>
        <w:tc>
          <w:tcPr>
            <w:tcW w:w="695" w:type="pct"/>
            <w:shd w:val="clear" w:color="auto" w:fill="auto"/>
            <w:noWrap/>
            <w:vAlign w:val="center"/>
            <w:hideMark/>
          </w:tcPr>
          <w:p w14:paraId="20B9CCCE" w14:textId="77777777" w:rsidR="00D168B5" w:rsidRPr="00CB3320" w:rsidRDefault="00D168B5" w:rsidP="00D168B5">
            <w:pPr>
              <w:pStyle w:val="table"/>
            </w:pPr>
            <w:r w:rsidRPr="00CB3320">
              <w:rPr>
                <w:rFonts w:hint="eastAsia"/>
              </w:rPr>
              <w:t>个体固定效应</w:t>
            </w:r>
          </w:p>
        </w:tc>
        <w:tc>
          <w:tcPr>
            <w:tcW w:w="558" w:type="pct"/>
            <w:shd w:val="clear" w:color="auto" w:fill="auto"/>
            <w:noWrap/>
            <w:vAlign w:val="center"/>
            <w:hideMark/>
          </w:tcPr>
          <w:p w14:paraId="12F2B163"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038BDF70" w14:textId="77777777" w:rsidR="00D168B5" w:rsidRPr="00CB3320" w:rsidRDefault="00D168B5" w:rsidP="00D168B5">
            <w:pPr>
              <w:pStyle w:val="table"/>
            </w:pPr>
            <w:r w:rsidRPr="00CB3320">
              <w:rPr>
                <w:rFonts w:hint="eastAsia"/>
              </w:rPr>
              <w:t>√</w:t>
            </w:r>
          </w:p>
        </w:tc>
        <w:tc>
          <w:tcPr>
            <w:tcW w:w="494" w:type="pct"/>
            <w:shd w:val="clear" w:color="auto" w:fill="auto"/>
            <w:noWrap/>
            <w:vAlign w:val="center"/>
            <w:hideMark/>
          </w:tcPr>
          <w:p w14:paraId="28076F35" w14:textId="77777777" w:rsidR="00D168B5" w:rsidRPr="00CB3320" w:rsidRDefault="00D168B5" w:rsidP="00D168B5">
            <w:pPr>
              <w:pStyle w:val="table"/>
            </w:pPr>
            <w:r w:rsidRPr="00CB3320">
              <w:rPr>
                <w:rFonts w:hint="eastAsia"/>
              </w:rPr>
              <w:t>√</w:t>
            </w:r>
          </w:p>
        </w:tc>
        <w:tc>
          <w:tcPr>
            <w:tcW w:w="510" w:type="pct"/>
            <w:shd w:val="clear" w:color="auto" w:fill="auto"/>
            <w:noWrap/>
            <w:vAlign w:val="center"/>
            <w:hideMark/>
          </w:tcPr>
          <w:p w14:paraId="4041FB7A" w14:textId="77777777" w:rsidR="00D168B5" w:rsidRPr="00CB3320" w:rsidRDefault="00D168B5" w:rsidP="00D168B5">
            <w:pPr>
              <w:pStyle w:val="table"/>
            </w:pPr>
            <w:r w:rsidRPr="00CB3320">
              <w:rPr>
                <w:rFonts w:hint="eastAsia"/>
              </w:rPr>
              <w:t>√</w:t>
            </w:r>
          </w:p>
        </w:tc>
        <w:tc>
          <w:tcPr>
            <w:tcW w:w="510" w:type="pct"/>
            <w:shd w:val="clear" w:color="auto" w:fill="auto"/>
            <w:noWrap/>
            <w:vAlign w:val="center"/>
            <w:hideMark/>
          </w:tcPr>
          <w:p w14:paraId="3E594C24"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02CACC3C"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3909D464" w14:textId="77777777" w:rsidR="00D168B5" w:rsidRPr="00CB3320" w:rsidRDefault="00D168B5" w:rsidP="00D168B5">
            <w:pPr>
              <w:pStyle w:val="table"/>
            </w:pPr>
            <w:r w:rsidRPr="00CB3320">
              <w:rPr>
                <w:rFonts w:hint="eastAsia"/>
              </w:rPr>
              <w:t>√</w:t>
            </w:r>
          </w:p>
        </w:tc>
        <w:tc>
          <w:tcPr>
            <w:tcW w:w="558" w:type="pct"/>
            <w:shd w:val="clear" w:color="auto" w:fill="auto"/>
            <w:noWrap/>
            <w:vAlign w:val="center"/>
            <w:hideMark/>
          </w:tcPr>
          <w:p w14:paraId="4925DBD1" w14:textId="77777777" w:rsidR="00D168B5" w:rsidRPr="00CB3320" w:rsidRDefault="00D168B5" w:rsidP="00D168B5">
            <w:pPr>
              <w:pStyle w:val="table"/>
            </w:pPr>
            <w:r w:rsidRPr="00CB3320">
              <w:rPr>
                <w:rFonts w:hint="eastAsia"/>
              </w:rPr>
              <w:t>√</w:t>
            </w:r>
          </w:p>
        </w:tc>
      </w:tr>
      <w:tr w:rsidR="00D168B5" w:rsidRPr="00CB3320" w14:paraId="1D6C5957" w14:textId="77777777" w:rsidTr="00D168B5">
        <w:trPr>
          <w:trHeight w:val="195"/>
        </w:trPr>
        <w:tc>
          <w:tcPr>
            <w:tcW w:w="695" w:type="pct"/>
            <w:shd w:val="clear" w:color="auto" w:fill="auto"/>
            <w:noWrap/>
            <w:vAlign w:val="center"/>
            <w:hideMark/>
          </w:tcPr>
          <w:p w14:paraId="51332987" w14:textId="77777777" w:rsidR="00D168B5" w:rsidRPr="00CB3320" w:rsidRDefault="00D168B5" w:rsidP="00D168B5">
            <w:pPr>
              <w:pStyle w:val="table"/>
            </w:pPr>
            <w:r w:rsidRPr="00CB3320">
              <w:rPr>
                <w:rFonts w:hint="eastAsia"/>
              </w:rPr>
              <w:t>N</w:t>
            </w:r>
          </w:p>
        </w:tc>
        <w:tc>
          <w:tcPr>
            <w:tcW w:w="558" w:type="pct"/>
            <w:shd w:val="clear" w:color="auto" w:fill="auto"/>
            <w:noWrap/>
            <w:vAlign w:val="center"/>
            <w:hideMark/>
          </w:tcPr>
          <w:p w14:paraId="32CCF756" w14:textId="77777777" w:rsidR="00D168B5" w:rsidRPr="00CB3320" w:rsidRDefault="00D168B5" w:rsidP="00D168B5">
            <w:pPr>
              <w:pStyle w:val="table"/>
            </w:pPr>
            <w:r w:rsidRPr="00CB3320">
              <w:rPr>
                <w:rFonts w:hint="eastAsia"/>
              </w:rPr>
              <w:t>2626</w:t>
            </w:r>
          </w:p>
        </w:tc>
        <w:tc>
          <w:tcPr>
            <w:tcW w:w="558" w:type="pct"/>
            <w:shd w:val="clear" w:color="auto" w:fill="auto"/>
            <w:noWrap/>
            <w:vAlign w:val="center"/>
            <w:hideMark/>
          </w:tcPr>
          <w:p w14:paraId="7C39692B" w14:textId="77777777" w:rsidR="00D168B5" w:rsidRPr="00CB3320" w:rsidRDefault="00D168B5" w:rsidP="00D168B5">
            <w:pPr>
              <w:pStyle w:val="table"/>
            </w:pPr>
            <w:r w:rsidRPr="00CB3320">
              <w:rPr>
                <w:rFonts w:hint="eastAsia"/>
              </w:rPr>
              <w:t>2535</w:t>
            </w:r>
          </w:p>
        </w:tc>
        <w:tc>
          <w:tcPr>
            <w:tcW w:w="494" w:type="pct"/>
            <w:shd w:val="clear" w:color="auto" w:fill="auto"/>
            <w:noWrap/>
            <w:vAlign w:val="center"/>
            <w:hideMark/>
          </w:tcPr>
          <w:p w14:paraId="41848909" w14:textId="77777777" w:rsidR="00D168B5" w:rsidRPr="00CB3320" w:rsidRDefault="00D168B5" w:rsidP="00D168B5">
            <w:pPr>
              <w:pStyle w:val="table"/>
            </w:pPr>
            <w:r w:rsidRPr="00CB3320">
              <w:rPr>
                <w:rFonts w:hint="eastAsia"/>
              </w:rPr>
              <w:t>2630</w:t>
            </w:r>
          </w:p>
        </w:tc>
        <w:tc>
          <w:tcPr>
            <w:tcW w:w="510" w:type="pct"/>
            <w:shd w:val="clear" w:color="auto" w:fill="auto"/>
            <w:noWrap/>
            <w:vAlign w:val="center"/>
            <w:hideMark/>
          </w:tcPr>
          <w:p w14:paraId="148A0633" w14:textId="77777777" w:rsidR="00D168B5" w:rsidRPr="00CB3320" w:rsidRDefault="00D168B5" w:rsidP="00D168B5">
            <w:pPr>
              <w:pStyle w:val="table"/>
            </w:pPr>
            <w:r w:rsidRPr="00CB3320">
              <w:rPr>
                <w:rFonts w:hint="eastAsia"/>
              </w:rPr>
              <w:t>2527</w:t>
            </w:r>
          </w:p>
        </w:tc>
        <w:tc>
          <w:tcPr>
            <w:tcW w:w="510" w:type="pct"/>
            <w:shd w:val="clear" w:color="auto" w:fill="auto"/>
            <w:noWrap/>
            <w:vAlign w:val="center"/>
            <w:hideMark/>
          </w:tcPr>
          <w:p w14:paraId="0E1C8389" w14:textId="77777777" w:rsidR="00D168B5" w:rsidRPr="00CB3320" w:rsidRDefault="00D168B5" w:rsidP="00D168B5">
            <w:pPr>
              <w:pStyle w:val="table"/>
            </w:pPr>
            <w:r w:rsidRPr="00CB3320">
              <w:rPr>
                <w:rFonts w:hint="eastAsia"/>
              </w:rPr>
              <w:t>3106</w:t>
            </w:r>
          </w:p>
        </w:tc>
        <w:tc>
          <w:tcPr>
            <w:tcW w:w="558" w:type="pct"/>
            <w:shd w:val="clear" w:color="auto" w:fill="auto"/>
            <w:noWrap/>
            <w:vAlign w:val="center"/>
            <w:hideMark/>
          </w:tcPr>
          <w:p w14:paraId="76EECA4D" w14:textId="77777777" w:rsidR="00D168B5" w:rsidRPr="00CB3320" w:rsidRDefault="00D168B5" w:rsidP="00D168B5">
            <w:pPr>
              <w:pStyle w:val="table"/>
            </w:pPr>
            <w:r w:rsidRPr="00CB3320">
              <w:rPr>
                <w:rFonts w:hint="eastAsia"/>
              </w:rPr>
              <w:t>2988</w:t>
            </w:r>
          </w:p>
        </w:tc>
        <w:tc>
          <w:tcPr>
            <w:tcW w:w="558" w:type="pct"/>
            <w:shd w:val="clear" w:color="auto" w:fill="auto"/>
            <w:noWrap/>
            <w:vAlign w:val="center"/>
            <w:hideMark/>
          </w:tcPr>
          <w:p w14:paraId="41D3DA44" w14:textId="77777777" w:rsidR="00D168B5" w:rsidRPr="00CB3320" w:rsidRDefault="00D168B5" w:rsidP="00D168B5">
            <w:pPr>
              <w:pStyle w:val="table"/>
            </w:pPr>
            <w:r w:rsidRPr="00CB3320">
              <w:rPr>
                <w:rFonts w:hint="eastAsia"/>
              </w:rPr>
              <w:t>3106</w:t>
            </w:r>
          </w:p>
        </w:tc>
        <w:tc>
          <w:tcPr>
            <w:tcW w:w="558" w:type="pct"/>
            <w:shd w:val="clear" w:color="auto" w:fill="auto"/>
            <w:noWrap/>
            <w:vAlign w:val="center"/>
            <w:hideMark/>
          </w:tcPr>
          <w:p w14:paraId="77694AED" w14:textId="77777777" w:rsidR="00D168B5" w:rsidRPr="00CB3320" w:rsidRDefault="00D168B5" w:rsidP="00D168B5">
            <w:pPr>
              <w:pStyle w:val="table"/>
            </w:pPr>
            <w:r w:rsidRPr="00CB3320">
              <w:rPr>
                <w:rFonts w:hint="eastAsia"/>
              </w:rPr>
              <w:t>2988</w:t>
            </w:r>
          </w:p>
        </w:tc>
      </w:tr>
      <w:tr w:rsidR="00D168B5" w:rsidRPr="00CB3320" w14:paraId="6FE3B19E" w14:textId="77777777" w:rsidTr="00D168B5">
        <w:trPr>
          <w:trHeight w:val="195"/>
        </w:trPr>
        <w:tc>
          <w:tcPr>
            <w:tcW w:w="695" w:type="pct"/>
            <w:shd w:val="clear" w:color="auto" w:fill="auto"/>
            <w:noWrap/>
            <w:vAlign w:val="center"/>
            <w:hideMark/>
          </w:tcPr>
          <w:p w14:paraId="60AC202B" w14:textId="77777777" w:rsidR="00D168B5" w:rsidRPr="00CB3320" w:rsidRDefault="00D168B5" w:rsidP="00D168B5">
            <w:pPr>
              <w:pStyle w:val="table"/>
            </w:pPr>
            <w:r w:rsidRPr="00CB3320">
              <w:rPr>
                <w:rFonts w:hint="eastAsia"/>
              </w:rPr>
              <w:t>R</w:t>
            </w:r>
            <w:r w:rsidRPr="00CB3320">
              <w:rPr>
                <w:rFonts w:hint="eastAsia"/>
                <w:vertAlign w:val="superscript"/>
              </w:rPr>
              <w:t>2</w:t>
            </w:r>
          </w:p>
        </w:tc>
        <w:tc>
          <w:tcPr>
            <w:tcW w:w="558" w:type="pct"/>
            <w:shd w:val="clear" w:color="auto" w:fill="auto"/>
            <w:noWrap/>
            <w:vAlign w:val="center"/>
            <w:hideMark/>
          </w:tcPr>
          <w:p w14:paraId="465AE8FD" w14:textId="77777777" w:rsidR="00D168B5" w:rsidRPr="00CB3320" w:rsidRDefault="00D168B5" w:rsidP="00D168B5">
            <w:pPr>
              <w:pStyle w:val="table"/>
            </w:pPr>
            <w:r w:rsidRPr="00CB3320">
              <w:rPr>
                <w:rFonts w:hint="eastAsia"/>
              </w:rPr>
              <w:t>0.277</w:t>
            </w:r>
          </w:p>
        </w:tc>
        <w:tc>
          <w:tcPr>
            <w:tcW w:w="558" w:type="pct"/>
            <w:shd w:val="clear" w:color="auto" w:fill="auto"/>
            <w:noWrap/>
            <w:vAlign w:val="center"/>
            <w:hideMark/>
          </w:tcPr>
          <w:p w14:paraId="28A903CF" w14:textId="77777777" w:rsidR="00D168B5" w:rsidRPr="00CB3320" w:rsidRDefault="00D168B5" w:rsidP="00D168B5">
            <w:pPr>
              <w:pStyle w:val="table"/>
            </w:pPr>
            <w:r w:rsidRPr="00CB3320">
              <w:rPr>
                <w:rFonts w:hint="eastAsia"/>
              </w:rPr>
              <w:t>0.468</w:t>
            </w:r>
          </w:p>
        </w:tc>
        <w:tc>
          <w:tcPr>
            <w:tcW w:w="494" w:type="pct"/>
            <w:shd w:val="clear" w:color="auto" w:fill="auto"/>
            <w:noWrap/>
            <w:vAlign w:val="center"/>
            <w:hideMark/>
          </w:tcPr>
          <w:p w14:paraId="7703E421" w14:textId="77777777" w:rsidR="00D168B5" w:rsidRPr="00CB3320" w:rsidRDefault="00D168B5" w:rsidP="00D168B5">
            <w:pPr>
              <w:pStyle w:val="table"/>
            </w:pPr>
            <w:r w:rsidRPr="00CB3320">
              <w:rPr>
                <w:rFonts w:hint="eastAsia"/>
              </w:rPr>
              <w:t>0.263</w:t>
            </w:r>
          </w:p>
        </w:tc>
        <w:tc>
          <w:tcPr>
            <w:tcW w:w="510" w:type="pct"/>
            <w:shd w:val="clear" w:color="auto" w:fill="auto"/>
            <w:noWrap/>
            <w:vAlign w:val="center"/>
            <w:hideMark/>
          </w:tcPr>
          <w:p w14:paraId="6B53AE36" w14:textId="77777777" w:rsidR="00D168B5" w:rsidRPr="00CB3320" w:rsidRDefault="00D168B5" w:rsidP="00D168B5">
            <w:pPr>
              <w:pStyle w:val="table"/>
            </w:pPr>
            <w:r w:rsidRPr="00CB3320">
              <w:rPr>
                <w:rFonts w:hint="eastAsia"/>
              </w:rPr>
              <w:t>0.482</w:t>
            </w:r>
          </w:p>
        </w:tc>
        <w:tc>
          <w:tcPr>
            <w:tcW w:w="510" w:type="pct"/>
            <w:shd w:val="clear" w:color="auto" w:fill="auto"/>
            <w:noWrap/>
            <w:vAlign w:val="center"/>
            <w:hideMark/>
          </w:tcPr>
          <w:p w14:paraId="044F40F0" w14:textId="77777777" w:rsidR="00D168B5" w:rsidRPr="00CB3320" w:rsidRDefault="00D168B5" w:rsidP="00D168B5">
            <w:pPr>
              <w:pStyle w:val="table"/>
            </w:pPr>
            <w:r w:rsidRPr="00CB3320">
              <w:rPr>
                <w:rFonts w:hint="eastAsia"/>
              </w:rPr>
              <w:t>0.241</w:t>
            </w:r>
          </w:p>
        </w:tc>
        <w:tc>
          <w:tcPr>
            <w:tcW w:w="558" w:type="pct"/>
            <w:shd w:val="clear" w:color="auto" w:fill="auto"/>
            <w:noWrap/>
            <w:vAlign w:val="center"/>
            <w:hideMark/>
          </w:tcPr>
          <w:p w14:paraId="6F7AD947" w14:textId="77777777" w:rsidR="00D168B5" w:rsidRPr="00CB3320" w:rsidRDefault="00D168B5" w:rsidP="00D168B5">
            <w:pPr>
              <w:pStyle w:val="table"/>
            </w:pPr>
            <w:r w:rsidRPr="00CB3320">
              <w:rPr>
                <w:rFonts w:hint="eastAsia"/>
              </w:rPr>
              <w:t>0.480</w:t>
            </w:r>
          </w:p>
        </w:tc>
        <w:tc>
          <w:tcPr>
            <w:tcW w:w="558" w:type="pct"/>
            <w:shd w:val="clear" w:color="auto" w:fill="auto"/>
            <w:noWrap/>
            <w:vAlign w:val="center"/>
            <w:hideMark/>
          </w:tcPr>
          <w:p w14:paraId="56EE6B6F" w14:textId="77777777" w:rsidR="00D168B5" w:rsidRPr="00CB3320" w:rsidRDefault="00D168B5" w:rsidP="00D168B5">
            <w:pPr>
              <w:pStyle w:val="table"/>
            </w:pPr>
            <w:r w:rsidRPr="00CB3320">
              <w:rPr>
                <w:rFonts w:hint="eastAsia"/>
              </w:rPr>
              <w:t>0.242</w:t>
            </w:r>
          </w:p>
        </w:tc>
        <w:tc>
          <w:tcPr>
            <w:tcW w:w="558" w:type="pct"/>
            <w:shd w:val="clear" w:color="auto" w:fill="auto"/>
            <w:noWrap/>
            <w:vAlign w:val="center"/>
            <w:hideMark/>
          </w:tcPr>
          <w:p w14:paraId="139C57DF" w14:textId="77777777" w:rsidR="00D168B5" w:rsidRPr="00CB3320" w:rsidRDefault="00D168B5" w:rsidP="00D168B5">
            <w:pPr>
              <w:pStyle w:val="table"/>
            </w:pPr>
            <w:r w:rsidRPr="00CB3320">
              <w:rPr>
                <w:rFonts w:hint="eastAsia"/>
              </w:rPr>
              <w:t>0.481</w:t>
            </w:r>
          </w:p>
        </w:tc>
      </w:tr>
    </w:tbl>
    <w:p w14:paraId="351FB037" w14:textId="2C01AD40" w:rsidR="00D168B5" w:rsidRPr="00CB3320" w:rsidRDefault="00D168B5" w:rsidP="00D168B5">
      <w:pPr>
        <w:ind w:firstLine="300"/>
        <w:rPr>
          <w:rFonts w:eastAsia="楷体" w:cs="Times New Roman"/>
          <w:sz w:val="15"/>
          <w:szCs w:val="15"/>
        </w:rPr>
      </w:pPr>
      <w:r w:rsidRPr="00CB3320">
        <w:rPr>
          <w:rFonts w:eastAsia="楷体" w:cs="Times New Roman" w:hint="eastAsia"/>
          <w:sz w:val="15"/>
          <w:szCs w:val="15"/>
        </w:rPr>
        <w:t>注：括号中为聚类到省份的稳健标准误；</w:t>
      </w:r>
      <w:r w:rsidRPr="00CB3320">
        <w:rPr>
          <w:rFonts w:eastAsia="楷体" w:cs="Times New Roman" w:hint="eastAsia"/>
          <w:sz w:val="15"/>
          <w:szCs w:val="15"/>
        </w:rPr>
        <w:t>* p&lt;0.10, ** p&lt;0.05, *** p&lt;0.01</w:t>
      </w:r>
      <w:r w:rsidRPr="00CB3320">
        <w:rPr>
          <w:rFonts w:eastAsia="楷体" w:cs="Times New Roman" w:hint="eastAsia"/>
          <w:sz w:val="15"/>
          <w:szCs w:val="15"/>
        </w:rPr>
        <w:t>；模型（</w:t>
      </w:r>
      <w:r w:rsidRPr="00CB3320">
        <w:rPr>
          <w:rFonts w:eastAsia="楷体" w:cs="Times New Roman" w:hint="eastAsia"/>
          <w:sz w:val="15"/>
          <w:szCs w:val="15"/>
        </w:rPr>
        <w:t>1</w:t>
      </w:r>
      <w:r w:rsidRPr="00CB3320">
        <w:rPr>
          <w:rFonts w:eastAsia="楷体" w:cs="Times New Roman" w:hint="eastAsia"/>
          <w:sz w:val="15"/>
          <w:szCs w:val="15"/>
        </w:rPr>
        <w:t>）到（</w:t>
      </w:r>
      <w:r w:rsidRPr="00CB3320">
        <w:rPr>
          <w:rFonts w:eastAsia="楷体" w:cs="Times New Roman" w:hint="eastAsia"/>
          <w:sz w:val="15"/>
          <w:szCs w:val="15"/>
        </w:rPr>
        <w:t>4</w:t>
      </w:r>
      <w:r w:rsidRPr="00CB3320">
        <w:rPr>
          <w:rFonts w:eastAsia="楷体" w:cs="Times New Roman" w:hint="eastAsia"/>
          <w:sz w:val="15"/>
          <w:szCs w:val="15"/>
        </w:rPr>
        <w:t>）更改了数据的年份范围。模型（</w:t>
      </w:r>
      <w:r w:rsidRPr="00CB3320">
        <w:rPr>
          <w:rFonts w:eastAsia="楷体" w:cs="Times New Roman" w:hint="eastAsia"/>
          <w:sz w:val="15"/>
          <w:szCs w:val="15"/>
        </w:rPr>
        <w:t>5</w:t>
      </w:r>
      <w:r w:rsidRPr="00CB3320">
        <w:rPr>
          <w:rFonts w:eastAsia="楷体" w:cs="Times New Roman" w:hint="eastAsia"/>
          <w:sz w:val="15"/>
          <w:szCs w:val="15"/>
        </w:rPr>
        <w:t>）和模型（</w:t>
      </w:r>
      <w:r w:rsidRPr="00CB3320">
        <w:rPr>
          <w:rFonts w:eastAsia="楷体" w:cs="Times New Roman" w:hint="eastAsia"/>
          <w:sz w:val="15"/>
          <w:szCs w:val="15"/>
        </w:rPr>
        <w:t>6</w:t>
      </w:r>
      <w:r w:rsidRPr="00CB3320">
        <w:rPr>
          <w:rFonts w:eastAsia="楷体" w:cs="Times New Roman" w:hint="eastAsia"/>
          <w:sz w:val="15"/>
          <w:szCs w:val="15"/>
        </w:rPr>
        <w:t>）不包括规模和经济发展水平明显高于其他城市的一线城市（北京、上海、广州、深圳）。模式（</w:t>
      </w:r>
      <w:r w:rsidRPr="00CB3320">
        <w:rPr>
          <w:rFonts w:eastAsia="楷体" w:cs="Times New Roman" w:hint="eastAsia"/>
          <w:sz w:val="15"/>
          <w:szCs w:val="15"/>
        </w:rPr>
        <w:t>7</w:t>
      </w:r>
      <w:r w:rsidRPr="00CB3320">
        <w:rPr>
          <w:rFonts w:eastAsia="楷体" w:cs="Times New Roman" w:hint="eastAsia"/>
          <w:sz w:val="15"/>
          <w:szCs w:val="15"/>
        </w:rPr>
        <w:t>）和模式（</w:t>
      </w:r>
      <w:r w:rsidRPr="00CB3320">
        <w:rPr>
          <w:rFonts w:eastAsia="楷体" w:cs="Times New Roman" w:hint="eastAsia"/>
          <w:sz w:val="15"/>
          <w:szCs w:val="15"/>
        </w:rPr>
        <w:t>8</w:t>
      </w:r>
      <w:r w:rsidRPr="00CB3320">
        <w:rPr>
          <w:rFonts w:eastAsia="楷体" w:cs="Times New Roman" w:hint="eastAsia"/>
          <w:sz w:val="15"/>
          <w:szCs w:val="15"/>
        </w:rPr>
        <w:t>）不包括直辖市，与其他城市相比，这些城市有特殊的经济待遇。</w:t>
      </w:r>
    </w:p>
    <w:p w14:paraId="5A7BA4D4" w14:textId="77777777" w:rsidR="00D168B5" w:rsidRPr="00CB3320" w:rsidRDefault="00D168B5" w:rsidP="00A96520">
      <w:pPr>
        <w:pStyle w:val="TableX"/>
      </w:pPr>
    </w:p>
    <w:p w14:paraId="4C8085FD" w14:textId="12C96E0F" w:rsidR="00A96520" w:rsidRPr="00CB3320" w:rsidRDefault="00C422C0" w:rsidP="00A96520">
      <w:pPr>
        <w:pStyle w:val="TableX"/>
      </w:pPr>
      <w:r w:rsidRPr="00CB3320">
        <w:rPr>
          <w:rFonts w:hint="eastAsia"/>
        </w:rPr>
        <w:t>表</w:t>
      </w:r>
      <w:r w:rsidRPr="00CB3320">
        <w:rPr>
          <w:rFonts w:hint="eastAsia"/>
        </w:rPr>
        <w:t>A.</w:t>
      </w:r>
      <w:r w:rsidRPr="00CB3320">
        <w:fldChar w:fldCharType="begin"/>
      </w:r>
      <w:r w:rsidRPr="00CB3320">
        <w:instrText xml:space="preserve"> </w:instrText>
      </w:r>
      <w:r w:rsidRPr="00CB3320">
        <w:rPr>
          <w:rFonts w:hint="eastAsia"/>
        </w:rPr>
        <w:instrText xml:space="preserve">SEQ </w:instrText>
      </w:r>
      <w:r w:rsidRPr="00CB3320">
        <w:rPr>
          <w:rFonts w:hint="eastAsia"/>
        </w:rPr>
        <w:instrText>表</w:instrText>
      </w:r>
      <w:r w:rsidRPr="00CB3320">
        <w:rPr>
          <w:rFonts w:hint="eastAsia"/>
        </w:rPr>
        <w:instrText>A. \* ARABIC</w:instrText>
      </w:r>
      <w:r w:rsidRPr="00CB3320">
        <w:instrText xml:space="preserve"> </w:instrText>
      </w:r>
      <w:r w:rsidRPr="00CB3320">
        <w:fldChar w:fldCharType="separate"/>
      </w:r>
      <w:r w:rsidR="007A1FC2" w:rsidRPr="00CB3320">
        <w:rPr>
          <w:noProof/>
        </w:rPr>
        <w:t>5</w:t>
      </w:r>
      <w:r w:rsidRPr="00CB3320">
        <w:fldChar w:fldCharType="end"/>
      </w:r>
      <w:bookmarkEnd w:id="90"/>
      <w:r w:rsidR="00D168B5" w:rsidRPr="00CB3320">
        <w:t xml:space="preserve">  </w:t>
      </w:r>
      <w:r w:rsidR="00A96520" w:rsidRPr="00CB3320">
        <w:rPr>
          <w:rFonts w:hint="eastAsia"/>
        </w:rPr>
        <w:t>变更估计方案</w:t>
      </w:r>
    </w:p>
    <w:bookmarkEnd w:id="91"/>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76"/>
        <w:gridCol w:w="2697"/>
        <w:gridCol w:w="2697"/>
      </w:tblGrid>
      <w:tr w:rsidR="00C422C0" w:rsidRPr="00CB3320" w14:paraId="1EC0F615" w14:textId="77777777" w:rsidTr="00D168B5">
        <w:trPr>
          <w:trHeight w:val="285"/>
        </w:trPr>
        <w:tc>
          <w:tcPr>
            <w:tcW w:w="2026" w:type="pct"/>
            <w:noWrap/>
            <w:vAlign w:val="center"/>
            <w:hideMark/>
          </w:tcPr>
          <w:p w14:paraId="3C9C3741" w14:textId="77777777" w:rsidR="00C422C0" w:rsidRPr="00CB3320" w:rsidRDefault="00C422C0" w:rsidP="00137CE2">
            <w:pPr>
              <w:pStyle w:val="table"/>
              <w:rPr>
                <w:b/>
                <w:bCs/>
              </w:rPr>
            </w:pPr>
          </w:p>
        </w:tc>
        <w:tc>
          <w:tcPr>
            <w:tcW w:w="1487" w:type="pct"/>
            <w:noWrap/>
            <w:vAlign w:val="center"/>
            <w:hideMark/>
          </w:tcPr>
          <w:p w14:paraId="500097D9" w14:textId="77777777" w:rsidR="00C422C0" w:rsidRPr="00CB3320" w:rsidRDefault="00C422C0" w:rsidP="005817E7">
            <w:pPr>
              <w:pStyle w:val="table"/>
            </w:pPr>
            <w:r w:rsidRPr="00CB3320">
              <w:t>(1)</w:t>
            </w:r>
          </w:p>
        </w:tc>
        <w:tc>
          <w:tcPr>
            <w:tcW w:w="1487" w:type="pct"/>
            <w:noWrap/>
            <w:vAlign w:val="center"/>
            <w:hideMark/>
          </w:tcPr>
          <w:p w14:paraId="41CE3480" w14:textId="77777777" w:rsidR="00C422C0" w:rsidRPr="00CB3320" w:rsidRDefault="00C422C0" w:rsidP="005817E7">
            <w:pPr>
              <w:pStyle w:val="table"/>
            </w:pPr>
            <w:r w:rsidRPr="00CB3320">
              <w:t>(2)</w:t>
            </w:r>
          </w:p>
        </w:tc>
      </w:tr>
      <w:tr w:rsidR="00C422C0" w:rsidRPr="00CB3320" w14:paraId="16FC80A5" w14:textId="77777777" w:rsidTr="00D168B5">
        <w:trPr>
          <w:trHeight w:val="285"/>
        </w:trPr>
        <w:tc>
          <w:tcPr>
            <w:tcW w:w="2026" w:type="pct"/>
            <w:noWrap/>
            <w:vAlign w:val="center"/>
            <w:hideMark/>
          </w:tcPr>
          <w:p w14:paraId="6BAD4676" w14:textId="77777777" w:rsidR="00C422C0" w:rsidRPr="00CB3320" w:rsidRDefault="00C422C0" w:rsidP="00137CE2">
            <w:pPr>
              <w:pStyle w:val="table"/>
              <w:rPr>
                <w:b/>
                <w:bCs/>
              </w:rPr>
            </w:pPr>
          </w:p>
        </w:tc>
        <w:tc>
          <w:tcPr>
            <w:tcW w:w="1487" w:type="pct"/>
            <w:noWrap/>
            <w:hideMark/>
          </w:tcPr>
          <w:p w14:paraId="71751DF7" w14:textId="77777777" w:rsidR="00C422C0" w:rsidRPr="00CB3320" w:rsidRDefault="00C422C0" w:rsidP="005817E7">
            <w:pPr>
              <w:pStyle w:val="table"/>
            </w:pPr>
            <w:r w:rsidRPr="00CB3320">
              <w:t>TFP</w:t>
            </w:r>
          </w:p>
        </w:tc>
        <w:tc>
          <w:tcPr>
            <w:tcW w:w="1487" w:type="pct"/>
            <w:noWrap/>
            <w:hideMark/>
          </w:tcPr>
          <w:p w14:paraId="350B8BBC" w14:textId="77777777" w:rsidR="00C422C0" w:rsidRPr="00CB3320" w:rsidRDefault="00C422C0" w:rsidP="005817E7">
            <w:pPr>
              <w:pStyle w:val="table"/>
            </w:pPr>
            <w:r w:rsidRPr="00CB3320">
              <w:t>TFP</w:t>
            </w:r>
          </w:p>
        </w:tc>
      </w:tr>
      <w:tr w:rsidR="005817E7" w:rsidRPr="00CB3320" w14:paraId="6E3E7B13" w14:textId="77777777" w:rsidTr="00D168B5">
        <w:trPr>
          <w:trHeight w:val="285"/>
        </w:trPr>
        <w:tc>
          <w:tcPr>
            <w:tcW w:w="2026" w:type="pct"/>
            <w:noWrap/>
            <w:vAlign w:val="center"/>
            <w:hideMark/>
          </w:tcPr>
          <w:p w14:paraId="6FDFE925" w14:textId="77777777" w:rsidR="005817E7" w:rsidRPr="00CB3320" w:rsidRDefault="005817E7" w:rsidP="005817E7">
            <w:pPr>
              <w:pStyle w:val="table"/>
            </w:pPr>
            <w:r w:rsidRPr="00CB3320">
              <w:t>D_ETS</w:t>
            </w:r>
          </w:p>
        </w:tc>
        <w:tc>
          <w:tcPr>
            <w:tcW w:w="1487" w:type="pct"/>
            <w:noWrap/>
            <w:vAlign w:val="center"/>
            <w:hideMark/>
          </w:tcPr>
          <w:p w14:paraId="408A4099" w14:textId="77777777" w:rsidR="005817E7" w:rsidRPr="00CB3320" w:rsidRDefault="005817E7" w:rsidP="00D168B5">
            <w:pPr>
              <w:pStyle w:val="table"/>
            </w:pPr>
            <w:r w:rsidRPr="00CB3320">
              <w:t>-0.0197**</w:t>
            </w:r>
          </w:p>
          <w:p w14:paraId="7C001AE9" w14:textId="12DD034E" w:rsidR="00D168B5" w:rsidRPr="00CB3320" w:rsidRDefault="00D168B5" w:rsidP="00D168B5">
            <w:pPr>
              <w:pStyle w:val="table"/>
            </w:pPr>
            <w:r w:rsidRPr="00CB3320">
              <w:t>(0.00751)</w:t>
            </w:r>
          </w:p>
        </w:tc>
        <w:tc>
          <w:tcPr>
            <w:tcW w:w="1487" w:type="pct"/>
            <w:noWrap/>
            <w:vAlign w:val="center"/>
            <w:hideMark/>
          </w:tcPr>
          <w:p w14:paraId="0EDEC423" w14:textId="77777777" w:rsidR="005817E7" w:rsidRPr="00CB3320" w:rsidRDefault="005817E7" w:rsidP="00D168B5">
            <w:pPr>
              <w:pStyle w:val="table"/>
            </w:pPr>
            <w:r w:rsidRPr="00CB3320">
              <w:t>-0.0226**</w:t>
            </w:r>
          </w:p>
          <w:p w14:paraId="2B156132" w14:textId="1317394D" w:rsidR="00D168B5" w:rsidRPr="00CB3320" w:rsidRDefault="00D168B5" w:rsidP="00D168B5">
            <w:pPr>
              <w:pStyle w:val="table"/>
            </w:pPr>
            <w:r w:rsidRPr="00CB3320">
              <w:t>(0.00840)</w:t>
            </w:r>
          </w:p>
        </w:tc>
      </w:tr>
      <w:tr w:rsidR="005817E7" w:rsidRPr="00CB3320" w14:paraId="584FFEE9" w14:textId="77777777" w:rsidTr="00D168B5">
        <w:trPr>
          <w:trHeight w:val="285"/>
        </w:trPr>
        <w:tc>
          <w:tcPr>
            <w:tcW w:w="2026" w:type="pct"/>
            <w:noWrap/>
            <w:vAlign w:val="center"/>
            <w:hideMark/>
          </w:tcPr>
          <w:p w14:paraId="7E769F30" w14:textId="2AB106FD" w:rsidR="005817E7" w:rsidRPr="00CB3320" w:rsidRDefault="005817E7" w:rsidP="005817E7">
            <w:pPr>
              <w:pStyle w:val="table"/>
            </w:pPr>
            <w:r w:rsidRPr="00CB3320">
              <w:rPr>
                <w:rFonts w:hint="eastAsia"/>
              </w:rPr>
              <w:t>控制变量</w:t>
            </w:r>
          </w:p>
        </w:tc>
        <w:tc>
          <w:tcPr>
            <w:tcW w:w="1487" w:type="pct"/>
            <w:noWrap/>
            <w:vAlign w:val="center"/>
            <w:hideMark/>
          </w:tcPr>
          <w:p w14:paraId="27C6001B" w14:textId="77777777" w:rsidR="005817E7" w:rsidRPr="00CB3320" w:rsidRDefault="005817E7" w:rsidP="005817E7">
            <w:pPr>
              <w:pStyle w:val="table"/>
            </w:pPr>
          </w:p>
        </w:tc>
        <w:tc>
          <w:tcPr>
            <w:tcW w:w="1487" w:type="pct"/>
            <w:noWrap/>
            <w:vAlign w:val="center"/>
            <w:hideMark/>
          </w:tcPr>
          <w:p w14:paraId="71FED576" w14:textId="3968EE0D" w:rsidR="005817E7" w:rsidRPr="00CB3320" w:rsidRDefault="005817E7" w:rsidP="005817E7">
            <w:pPr>
              <w:pStyle w:val="table"/>
            </w:pPr>
            <w:r w:rsidRPr="00CB3320">
              <w:t>√</w:t>
            </w:r>
          </w:p>
        </w:tc>
      </w:tr>
      <w:tr w:rsidR="005817E7" w:rsidRPr="00CB3320" w14:paraId="4420A460" w14:textId="77777777" w:rsidTr="00D168B5">
        <w:trPr>
          <w:trHeight w:val="285"/>
        </w:trPr>
        <w:tc>
          <w:tcPr>
            <w:tcW w:w="2026" w:type="pct"/>
            <w:noWrap/>
            <w:hideMark/>
          </w:tcPr>
          <w:p w14:paraId="0FF311FB" w14:textId="342C391D" w:rsidR="005817E7" w:rsidRPr="00CB3320" w:rsidRDefault="005817E7" w:rsidP="005817E7">
            <w:pPr>
              <w:pStyle w:val="table"/>
            </w:pPr>
            <w:r w:rsidRPr="00CB3320">
              <w:rPr>
                <w:rFonts w:hint="eastAsia"/>
              </w:rPr>
              <w:t>时间固定效应</w:t>
            </w:r>
          </w:p>
        </w:tc>
        <w:tc>
          <w:tcPr>
            <w:tcW w:w="1487" w:type="pct"/>
            <w:noWrap/>
            <w:vAlign w:val="center"/>
            <w:hideMark/>
          </w:tcPr>
          <w:p w14:paraId="7B057BC8" w14:textId="3D5C7193" w:rsidR="005817E7" w:rsidRPr="00CB3320" w:rsidRDefault="005817E7" w:rsidP="005817E7">
            <w:pPr>
              <w:pStyle w:val="table"/>
            </w:pPr>
            <w:r w:rsidRPr="00CB3320">
              <w:t>√</w:t>
            </w:r>
          </w:p>
        </w:tc>
        <w:tc>
          <w:tcPr>
            <w:tcW w:w="1487" w:type="pct"/>
            <w:noWrap/>
            <w:vAlign w:val="center"/>
            <w:hideMark/>
          </w:tcPr>
          <w:p w14:paraId="1C6AB14D" w14:textId="5DD96CD6" w:rsidR="005817E7" w:rsidRPr="00CB3320" w:rsidRDefault="005817E7" w:rsidP="005817E7">
            <w:pPr>
              <w:pStyle w:val="table"/>
            </w:pPr>
            <w:r w:rsidRPr="00CB3320">
              <w:t>√</w:t>
            </w:r>
          </w:p>
        </w:tc>
      </w:tr>
      <w:tr w:rsidR="005817E7" w:rsidRPr="00CB3320" w14:paraId="1BDCB169" w14:textId="77777777" w:rsidTr="00D168B5">
        <w:trPr>
          <w:trHeight w:val="285"/>
        </w:trPr>
        <w:tc>
          <w:tcPr>
            <w:tcW w:w="2026" w:type="pct"/>
            <w:noWrap/>
            <w:hideMark/>
          </w:tcPr>
          <w:p w14:paraId="334EC2B4" w14:textId="2296D3E9" w:rsidR="005817E7" w:rsidRPr="00CB3320" w:rsidRDefault="005817E7" w:rsidP="005817E7">
            <w:pPr>
              <w:pStyle w:val="table"/>
            </w:pPr>
            <w:r w:rsidRPr="00CB3320">
              <w:rPr>
                <w:rFonts w:hint="eastAsia"/>
              </w:rPr>
              <w:t>个体固定效应</w:t>
            </w:r>
          </w:p>
        </w:tc>
        <w:tc>
          <w:tcPr>
            <w:tcW w:w="1487" w:type="pct"/>
            <w:noWrap/>
            <w:vAlign w:val="center"/>
            <w:hideMark/>
          </w:tcPr>
          <w:p w14:paraId="6F904655" w14:textId="6E74C90A" w:rsidR="005817E7" w:rsidRPr="00CB3320" w:rsidRDefault="005817E7" w:rsidP="005817E7">
            <w:pPr>
              <w:pStyle w:val="table"/>
            </w:pPr>
            <w:r w:rsidRPr="00CB3320">
              <w:t>√</w:t>
            </w:r>
          </w:p>
        </w:tc>
        <w:tc>
          <w:tcPr>
            <w:tcW w:w="1487" w:type="pct"/>
            <w:noWrap/>
            <w:vAlign w:val="center"/>
            <w:hideMark/>
          </w:tcPr>
          <w:p w14:paraId="0CE72E02" w14:textId="7CC6F57D" w:rsidR="005817E7" w:rsidRPr="00CB3320" w:rsidRDefault="005817E7" w:rsidP="005817E7">
            <w:pPr>
              <w:pStyle w:val="table"/>
            </w:pPr>
            <w:r w:rsidRPr="00CB3320">
              <w:t>√</w:t>
            </w:r>
          </w:p>
        </w:tc>
      </w:tr>
      <w:tr w:rsidR="005817E7" w:rsidRPr="00CB3320" w14:paraId="45210368" w14:textId="77777777" w:rsidTr="00D168B5">
        <w:trPr>
          <w:trHeight w:val="285"/>
        </w:trPr>
        <w:tc>
          <w:tcPr>
            <w:tcW w:w="2026" w:type="pct"/>
            <w:noWrap/>
            <w:vAlign w:val="center"/>
            <w:hideMark/>
          </w:tcPr>
          <w:p w14:paraId="7C8EC2D6" w14:textId="77777777" w:rsidR="005817E7" w:rsidRPr="00CB3320" w:rsidRDefault="005817E7" w:rsidP="005817E7">
            <w:pPr>
              <w:pStyle w:val="table"/>
            </w:pPr>
            <w:r w:rsidRPr="00CB3320">
              <w:lastRenderedPageBreak/>
              <w:t>N</w:t>
            </w:r>
          </w:p>
        </w:tc>
        <w:tc>
          <w:tcPr>
            <w:tcW w:w="1487" w:type="pct"/>
            <w:noWrap/>
            <w:vAlign w:val="center"/>
            <w:hideMark/>
          </w:tcPr>
          <w:p w14:paraId="0BD586B4" w14:textId="3B183EA7" w:rsidR="005817E7" w:rsidRPr="00CB3320" w:rsidRDefault="005817E7" w:rsidP="005817E7">
            <w:pPr>
              <w:pStyle w:val="table"/>
            </w:pPr>
            <w:r w:rsidRPr="00CB3320">
              <w:t>3154</w:t>
            </w:r>
          </w:p>
        </w:tc>
        <w:tc>
          <w:tcPr>
            <w:tcW w:w="1487" w:type="pct"/>
            <w:noWrap/>
            <w:vAlign w:val="center"/>
            <w:hideMark/>
          </w:tcPr>
          <w:p w14:paraId="199D5DB7" w14:textId="24D1D353" w:rsidR="005817E7" w:rsidRPr="00CB3320" w:rsidRDefault="005817E7" w:rsidP="005817E7">
            <w:pPr>
              <w:pStyle w:val="table"/>
            </w:pPr>
            <w:r w:rsidRPr="00CB3320">
              <w:t>3054</w:t>
            </w:r>
          </w:p>
        </w:tc>
      </w:tr>
      <w:tr w:rsidR="005817E7" w:rsidRPr="00CB3320" w14:paraId="02D60AFA" w14:textId="77777777" w:rsidTr="00D168B5">
        <w:trPr>
          <w:trHeight w:val="285"/>
        </w:trPr>
        <w:tc>
          <w:tcPr>
            <w:tcW w:w="2026" w:type="pct"/>
            <w:noWrap/>
            <w:vAlign w:val="center"/>
            <w:hideMark/>
          </w:tcPr>
          <w:p w14:paraId="1E8C8307" w14:textId="0CADF79A" w:rsidR="005817E7" w:rsidRPr="00CB3320" w:rsidRDefault="005817E7" w:rsidP="005817E7">
            <w:pPr>
              <w:pStyle w:val="table"/>
            </w:pPr>
            <w:r w:rsidRPr="00CB3320">
              <w:t>R</w:t>
            </w:r>
            <w:r w:rsidRPr="00CB3320">
              <w:rPr>
                <w:vertAlign w:val="superscript"/>
              </w:rPr>
              <w:t>2</w:t>
            </w:r>
          </w:p>
        </w:tc>
        <w:tc>
          <w:tcPr>
            <w:tcW w:w="1487" w:type="pct"/>
            <w:noWrap/>
            <w:vAlign w:val="center"/>
            <w:hideMark/>
          </w:tcPr>
          <w:p w14:paraId="0F8B59A5" w14:textId="725C5657" w:rsidR="005817E7" w:rsidRPr="00CB3320" w:rsidRDefault="005817E7" w:rsidP="005817E7">
            <w:pPr>
              <w:pStyle w:val="table"/>
            </w:pPr>
            <w:r w:rsidRPr="00CB3320">
              <w:t>0.241</w:t>
            </w:r>
          </w:p>
        </w:tc>
        <w:tc>
          <w:tcPr>
            <w:tcW w:w="1487" w:type="pct"/>
            <w:noWrap/>
            <w:vAlign w:val="center"/>
            <w:hideMark/>
          </w:tcPr>
          <w:p w14:paraId="6FFAC7F6" w14:textId="6EE3B9BD" w:rsidR="005817E7" w:rsidRPr="00CB3320" w:rsidRDefault="005817E7" w:rsidP="005817E7">
            <w:pPr>
              <w:pStyle w:val="table"/>
            </w:pPr>
            <w:r w:rsidRPr="00CB3320">
              <w:t>0.268</w:t>
            </w:r>
          </w:p>
        </w:tc>
      </w:tr>
    </w:tbl>
    <w:p w14:paraId="0A633A0C" w14:textId="37468182" w:rsidR="00DD48BE" w:rsidRPr="00CB3320" w:rsidRDefault="00D168B5" w:rsidP="00D168B5">
      <w:pPr>
        <w:ind w:firstLine="300"/>
        <w:rPr>
          <w:rFonts w:eastAsia="楷体" w:cs="Times New Roman"/>
          <w:sz w:val="15"/>
          <w:szCs w:val="15"/>
        </w:rPr>
      </w:pPr>
      <w:r w:rsidRPr="00CB3320">
        <w:rPr>
          <w:rFonts w:eastAsia="楷体" w:cs="Times New Roman" w:hint="eastAsia"/>
          <w:sz w:val="15"/>
          <w:szCs w:val="15"/>
        </w:rPr>
        <w:t>注：括号中为聚类到省份的稳健标准误；</w:t>
      </w:r>
      <w:r w:rsidRPr="00CB3320">
        <w:rPr>
          <w:rFonts w:eastAsia="楷体" w:cs="Times New Roman"/>
          <w:sz w:val="15"/>
          <w:szCs w:val="15"/>
        </w:rPr>
        <w:t>* p&lt;0.10, ** p&lt;0.05, *** p&lt;0.01</w:t>
      </w:r>
      <w:r w:rsidRPr="00CB3320">
        <w:rPr>
          <w:rFonts w:eastAsia="楷体" w:cs="Times New Roman"/>
          <w:sz w:val="15"/>
          <w:szCs w:val="15"/>
        </w:rPr>
        <w:t>；</w:t>
      </w:r>
    </w:p>
    <w:p w14:paraId="2361949F" w14:textId="77777777" w:rsidR="00CF3161" w:rsidRPr="00CB3320" w:rsidRDefault="00CF3161">
      <w:pPr>
        <w:ind w:firstLine="300"/>
        <w:rPr>
          <w:rFonts w:eastAsia="楷体" w:cs="Times New Roman"/>
          <w:sz w:val="15"/>
          <w:szCs w:val="15"/>
        </w:rPr>
      </w:pPr>
    </w:p>
    <w:sectPr w:rsidR="00CF3161" w:rsidRPr="00CB3320" w:rsidSect="007978ED">
      <w:footnotePr>
        <w:numFmt w:val="decimalEnclosedCircleChinese"/>
        <w:numRestart w:val="eachPage"/>
      </w:footnotePr>
      <w:endnotePr>
        <w:numFmt w:val="decimal"/>
      </w:endnotePr>
      <w:pgSz w:w="11906" w:h="16838"/>
      <w:pgMar w:top="1418" w:right="1418" w:bottom="1418" w:left="1418"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215B" w14:textId="77777777" w:rsidR="008E69BC" w:rsidRDefault="008E69BC" w:rsidP="00CA0D27">
      <w:pPr>
        <w:ind w:firstLine="420"/>
      </w:pPr>
    </w:p>
  </w:endnote>
  <w:endnote w:type="continuationSeparator" w:id="0">
    <w:p w14:paraId="37905A55" w14:textId="77777777" w:rsidR="008E69BC" w:rsidRDefault="008E69BC" w:rsidP="00CA0D27">
      <w:pPr>
        <w:ind w:firstLine="420"/>
      </w:pPr>
    </w:p>
  </w:endnote>
  <w:endnote w:type="continuationNotice" w:id="1">
    <w:p w14:paraId="1627C78C" w14:textId="77777777" w:rsidR="008E69BC" w:rsidRDefault="008E69B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9224" w14:textId="77777777" w:rsidR="00C61396" w:rsidRDefault="00C61396">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8093"/>
      <w:docPartObj>
        <w:docPartGallery w:val="Page Numbers (Bottom of Page)"/>
        <w:docPartUnique/>
      </w:docPartObj>
    </w:sdtPr>
    <w:sdtEndPr/>
    <w:sdtContent>
      <w:p w14:paraId="4424350D" w14:textId="68EBB863" w:rsidR="00C61396" w:rsidRDefault="00C61396" w:rsidP="008414DF">
        <w:pPr>
          <w:pStyle w:val="ac"/>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94DB" w14:textId="77777777" w:rsidR="00C61396" w:rsidRDefault="00C61396" w:rsidP="007978ED">
    <w:pPr>
      <w:pStyle w:val="ac"/>
      <w:ind w:firstLineChars="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60A4" w14:textId="77777777" w:rsidR="008E69BC" w:rsidRDefault="008E69BC" w:rsidP="000B130B">
      <w:pPr>
        <w:ind w:firstLineChars="0" w:firstLine="0"/>
      </w:pPr>
      <w:r>
        <w:separator/>
      </w:r>
    </w:p>
  </w:footnote>
  <w:footnote w:type="continuationSeparator" w:id="0">
    <w:p w14:paraId="799813BE" w14:textId="77777777" w:rsidR="008E69BC" w:rsidRDefault="008E69BC" w:rsidP="000B130B">
      <w:pPr>
        <w:ind w:firstLineChars="0" w:firstLine="0"/>
      </w:pPr>
      <w:r>
        <w:continuationSeparator/>
      </w:r>
    </w:p>
  </w:footnote>
  <w:footnote w:type="continuationNotice" w:id="1">
    <w:p w14:paraId="0B065434" w14:textId="77777777" w:rsidR="008E69BC" w:rsidRDefault="008E69BC" w:rsidP="000B130B">
      <w:pPr>
        <w:ind w:firstLineChars="0" w:firstLine="0"/>
      </w:pPr>
    </w:p>
  </w:footnote>
  <w:footnote w:id="2">
    <w:p w14:paraId="580374CB" w14:textId="1720889C" w:rsidR="00C61396" w:rsidRPr="00DE73E2" w:rsidRDefault="00C61396" w:rsidP="009B1C1F">
      <w:pPr>
        <w:pStyle w:val="a6"/>
        <w:ind w:firstLineChars="0" w:firstLine="0"/>
        <w:jc w:val="both"/>
      </w:pPr>
      <w:r>
        <w:rPr>
          <w:rStyle w:val="a8"/>
        </w:rPr>
        <w:footnoteRef/>
      </w:r>
      <w:r>
        <w:t xml:space="preserve"> </w:t>
      </w:r>
      <w:proofErr w:type="gramStart"/>
      <w:r>
        <w:rPr>
          <w:rFonts w:hint="eastAsia"/>
        </w:rPr>
        <w:t>贾智杰</w:t>
      </w:r>
      <w:proofErr w:type="gramEnd"/>
      <w:r>
        <w:rPr>
          <w:rFonts w:hint="eastAsia"/>
        </w:rPr>
        <w:t>，西安交通大学，邮政编码：</w:t>
      </w:r>
      <w:r w:rsidRPr="00C55B41">
        <w:t>710049</w:t>
      </w:r>
      <w:r>
        <w:rPr>
          <w:rFonts w:hint="eastAsia"/>
        </w:rPr>
        <w:t>，电子邮箱：</w:t>
      </w:r>
      <w:hyperlink r:id="rId1" w:history="1">
        <w:r w:rsidRPr="009B1C1F">
          <w:rPr>
            <w:rFonts w:hint="eastAsia"/>
          </w:rPr>
          <w:t>zjjia</w:t>
        </w:r>
        <w:r w:rsidRPr="009B1C1F">
          <w:t>_cn@163.com</w:t>
        </w:r>
      </w:hyperlink>
      <w:r w:rsidRPr="009B1C1F">
        <w:rPr>
          <w:rFonts w:hint="eastAsia"/>
        </w:rPr>
        <w:t>；林伯强（通讯作者），厦门大学，邮政编码：</w:t>
      </w:r>
      <w:r w:rsidRPr="009B1C1F">
        <w:t>361005</w:t>
      </w:r>
      <w:r w:rsidRPr="009B1C1F">
        <w:rPr>
          <w:rFonts w:hint="eastAsia"/>
        </w:rPr>
        <w:t>，电子邮箱：</w:t>
      </w:r>
      <w:hyperlink r:id="rId2" w:history="1">
        <w:r w:rsidRPr="009B1C1F">
          <w:rPr>
            <w:rFonts w:hint="eastAsia"/>
          </w:rPr>
          <w:t>bq</w:t>
        </w:r>
        <w:r w:rsidRPr="009B1C1F">
          <w:t>lin@xmu.edu.cn</w:t>
        </w:r>
      </w:hyperlink>
      <w:r w:rsidRPr="009B1C1F">
        <w:rPr>
          <w:rFonts w:hint="eastAsia"/>
        </w:rPr>
        <w:t>；温师燕，西安财经大学，邮政编码：</w:t>
      </w:r>
      <w:r w:rsidRPr="009B1C1F">
        <w:t>710100</w:t>
      </w:r>
      <w:r w:rsidRPr="009B1C1F">
        <w:rPr>
          <w:rFonts w:hint="eastAsia"/>
        </w:rPr>
        <w:t>，电子邮箱：</w:t>
      </w:r>
      <w:hyperlink r:id="rId3" w:history="1">
        <w:r w:rsidRPr="009B1C1F">
          <w:t>sywen_cn@163.com</w:t>
        </w:r>
      </w:hyperlink>
      <w:r w:rsidRPr="009B1C1F">
        <w:rPr>
          <w:rFonts w:hint="eastAsia"/>
        </w:rPr>
        <w:t>。国家自然科学基金重点项目“碳中和框架下的能源产业升级、环境污染治理与经济高质量发展”（编号</w:t>
      </w:r>
      <w:r w:rsidRPr="009B1C1F">
        <w:t>72133003</w:t>
      </w:r>
      <w:r w:rsidRPr="009B1C1F">
        <w:rPr>
          <w:rFonts w:hint="eastAsia"/>
        </w:rPr>
        <w:t>）；教育部青年项目“</w:t>
      </w:r>
      <w:r w:rsidRPr="00C55B41">
        <w:rPr>
          <w:rFonts w:cs="Times New Roman" w:hint="eastAsia"/>
        </w:rPr>
        <w:t>碳中和框架下碳定价公平性研究——基于隐含碳排放和社会福利的视角</w:t>
      </w:r>
      <w:r>
        <w:rPr>
          <w:rFonts w:cs="Times New Roman" w:hint="eastAsia"/>
        </w:rPr>
        <w:t>”（编号：</w:t>
      </w:r>
      <w:r w:rsidRPr="005B1161">
        <w:rPr>
          <w:rFonts w:cs="Times New Roman"/>
        </w:rPr>
        <w:t>22YJC790047</w:t>
      </w:r>
      <w:r>
        <w:rPr>
          <w:rFonts w:cs="Times New Roman" w:hint="eastAsia"/>
        </w:rPr>
        <w:t>）。</w:t>
      </w:r>
      <w:r w:rsidRPr="00C55B41">
        <w:rPr>
          <w:rFonts w:cs="Times New Roman" w:hint="eastAsia"/>
        </w:rPr>
        <w:t>感谢匿名评审专家的宝贵意见，文责自负。</w:t>
      </w:r>
    </w:p>
  </w:footnote>
  <w:footnote w:id="3">
    <w:p w14:paraId="323478A8" w14:textId="297762BB" w:rsidR="00C61396" w:rsidRPr="002F265F" w:rsidRDefault="00C61396" w:rsidP="008A580C">
      <w:pPr>
        <w:pStyle w:val="Note"/>
        <w:spacing w:after="163"/>
      </w:pPr>
      <w:r w:rsidRPr="00853A21">
        <w:rPr>
          <w:rStyle w:val="a8"/>
        </w:rPr>
        <w:footnoteRef/>
      </w:r>
      <w:r>
        <w:t xml:space="preserve"> </w:t>
      </w:r>
      <w:r w:rsidRPr="002F265F">
        <w:rPr>
          <w:rFonts w:hint="eastAsia"/>
        </w:rPr>
        <w:t>统计平均陷阱是一种经典的统计现象，是</w:t>
      </w:r>
      <w:proofErr w:type="gramStart"/>
      <w:r w:rsidRPr="002F265F">
        <w:rPr>
          <w:rFonts w:hint="eastAsia"/>
        </w:rPr>
        <w:t>指统计</w:t>
      </w:r>
      <w:proofErr w:type="gramEnd"/>
      <w:r w:rsidRPr="002F265F">
        <w:rPr>
          <w:rFonts w:hint="eastAsia"/>
        </w:rPr>
        <w:t>过程中</w:t>
      </w:r>
      <w:r>
        <w:rPr>
          <w:rFonts w:hint="eastAsia"/>
        </w:rPr>
        <w:t>存在</w:t>
      </w:r>
      <w:r w:rsidRPr="002F265F">
        <w:rPr>
          <w:rFonts w:hint="eastAsia"/>
        </w:rPr>
        <w:t>其他相关因素</w:t>
      </w:r>
      <w:r>
        <w:rPr>
          <w:rFonts w:hint="eastAsia"/>
        </w:rPr>
        <w:t>的干扰</w:t>
      </w:r>
      <w:r w:rsidRPr="002F265F">
        <w:rPr>
          <w:rFonts w:hint="eastAsia"/>
        </w:rPr>
        <w:t>，导致平均值</w:t>
      </w:r>
      <w:r>
        <w:rPr>
          <w:rFonts w:hint="eastAsia"/>
        </w:rPr>
        <w:t>和结论</w:t>
      </w:r>
      <w:r w:rsidRPr="002F265F">
        <w:rPr>
          <w:rFonts w:hint="eastAsia"/>
        </w:rPr>
        <w:t>偏离</w:t>
      </w:r>
      <w:r>
        <w:rPr>
          <w:rFonts w:hint="eastAsia"/>
        </w:rPr>
        <w:t>实际</w:t>
      </w:r>
      <w:r w:rsidRPr="002F265F">
        <w:rPr>
          <w:rFonts w:hint="eastAsia"/>
        </w:rPr>
        <w:t>。辛普森悖论就是一个著名的例子。</w:t>
      </w:r>
    </w:p>
  </w:footnote>
  <w:footnote w:id="4">
    <w:p w14:paraId="13B02152" w14:textId="016816B9" w:rsidR="00C61396" w:rsidRDefault="00C61396" w:rsidP="008A580C">
      <w:pPr>
        <w:pStyle w:val="Note"/>
        <w:spacing w:after="163"/>
      </w:pPr>
      <w:r w:rsidRPr="00853A21">
        <w:rPr>
          <w:rStyle w:val="a8"/>
        </w:rPr>
        <w:footnoteRef/>
      </w:r>
      <w:r>
        <w:t xml:space="preserve"> </w:t>
      </w:r>
      <w:r>
        <w:rPr>
          <w:rFonts w:hint="eastAsia"/>
        </w:rPr>
        <w:t>这些企业往往还可能是同一家公司。中国现在存在大量的跨国企业，而跨省或者</w:t>
      </w:r>
      <w:proofErr w:type="gramStart"/>
      <w:r>
        <w:rPr>
          <w:rFonts w:hint="eastAsia"/>
        </w:rPr>
        <w:t>跨城市</w:t>
      </w:r>
      <w:proofErr w:type="gramEnd"/>
      <w:r>
        <w:rPr>
          <w:rFonts w:hint="eastAsia"/>
        </w:rPr>
        <w:t>的企业数量更多。这些企业之间的反应和信息传递速度随着信息时代的到来而加快。这也是为什么本文最终放松了实验组和对照组之间严格外生假定的原因。</w:t>
      </w:r>
    </w:p>
  </w:footnote>
  <w:footnote w:id="5">
    <w:p w14:paraId="54C836DF" w14:textId="77777777" w:rsidR="00C61396" w:rsidRPr="00C647D9" w:rsidRDefault="00C61396" w:rsidP="008A580C">
      <w:pPr>
        <w:pStyle w:val="Note"/>
        <w:spacing w:after="163"/>
      </w:pPr>
      <w:r w:rsidRPr="00853A21">
        <w:rPr>
          <w:rStyle w:val="a8"/>
        </w:rPr>
        <w:footnoteRef/>
      </w:r>
      <w:r>
        <w:rPr>
          <w:rFonts w:hint="eastAsia"/>
        </w:rPr>
        <w:t xml:space="preserve"> </w:t>
      </w:r>
      <w:r w:rsidRPr="00C647D9">
        <w:rPr>
          <w:rFonts w:hint="eastAsia"/>
        </w:rPr>
        <w:t>我们也可以像</w:t>
      </w:r>
      <w:r w:rsidRPr="00C647D9">
        <w:rPr>
          <w:rFonts w:hint="eastAsia"/>
        </w:rPr>
        <w:t>DEA</w:t>
      </w:r>
      <w:r w:rsidRPr="00C647D9">
        <w:rPr>
          <w:rFonts w:hint="eastAsia"/>
        </w:rPr>
        <w:t>模型一样，</w:t>
      </w:r>
      <w:proofErr w:type="gramStart"/>
      <w:r w:rsidRPr="00C647D9">
        <w:rPr>
          <w:rFonts w:hint="eastAsia"/>
        </w:rPr>
        <w:t>将碳排放</w:t>
      </w:r>
      <w:proofErr w:type="gramEnd"/>
      <w:r w:rsidRPr="00C647D9">
        <w:rPr>
          <w:rFonts w:hint="eastAsia"/>
        </w:rPr>
        <w:t>设定为不良产出。然而，由于表达的简单性</w:t>
      </w:r>
      <w:r>
        <w:rPr>
          <w:rFonts w:hint="eastAsia"/>
        </w:rPr>
        <w:t>，</w:t>
      </w:r>
      <w:r w:rsidRPr="00C647D9">
        <w:rPr>
          <w:rFonts w:hint="eastAsia"/>
        </w:rPr>
        <w:t>在碳定价市场存在的情况下，我们</w:t>
      </w:r>
      <w:proofErr w:type="gramStart"/>
      <w:r>
        <w:rPr>
          <w:rFonts w:hint="eastAsia"/>
        </w:rPr>
        <w:t>可以</w:t>
      </w:r>
      <w:r w:rsidRPr="00C647D9">
        <w:rPr>
          <w:rFonts w:hint="eastAsia"/>
        </w:rPr>
        <w:t>将碳排放</w:t>
      </w:r>
      <w:proofErr w:type="gramEnd"/>
      <w:r w:rsidRPr="00C647D9">
        <w:rPr>
          <w:rFonts w:hint="eastAsia"/>
        </w:rPr>
        <w:t>作为一种投入。</w:t>
      </w:r>
    </w:p>
  </w:footnote>
  <w:footnote w:id="6">
    <w:p w14:paraId="1FEDF5BC" w14:textId="77777777" w:rsidR="00C61396" w:rsidRPr="00BB168F" w:rsidRDefault="00C61396" w:rsidP="008A580C">
      <w:pPr>
        <w:pStyle w:val="Note"/>
        <w:spacing w:after="163"/>
      </w:pPr>
      <w:r w:rsidRPr="00853A21">
        <w:rPr>
          <w:rStyle w:val="a8"/>
        </w:rPr>
        <w:footnoteRef/>
      </w:r>
      <w:r>
        <w:t xml:space="preserve"> </w:t>
      </w:r>
      <w:r>
        <w:rPr>
          <w:rFonts w:hint="eastAsia"/>
        </w:rPr>
        <w:t>公式</w:t>
      </w:r>
      <w:r>
        <w:rPr>
          <w:rFonts w:hint="eastAsia"/>
        </w:rPr>
        <w:t>4</w:t>
      </w:r>
      <w:r>
        <w:rPr>
          <w:rFonts w:hint="eastAsia"/>
        </w:rPr>
        <w:t>中</w:t>
      </w:r>
      <w:r>
        <w:rPr>
          <w:rFonts w:hint="eastAsia"/>
          <w:kern w:val="0"/>
        </w:rPr>
        <w:t>的全要素生产率应区别</w:t>
      </w:r>
      <w:proofErr w:type="gramStart"/>
      <w:r>
        <w:rPr>
          <w:rFonts w:hint="eastAsia"/>
          <w:kern w:val="0"/>
        </w:rPr>
        <w:t>于碳全</w:t>
      </w:r>
      <w:proofErr w:type="gramEnd"/>
      <w:r>
        <w:rPr>
          <w:rFonts w:hint="eastAsia"/>
          <w:kern w:val="0"/>
        </w:rPr>
        <w:t>要素生产率和绿色全要素生产率。</w:t>
      </w:r>
      <w:proofErr w:type="gramStart"/>
      <w:r>
        <w:rPr>
          <w:rFonts w:hint="eastAsia"/>
          <w:kern w:val="0"/>
        </w:rPr>
        <w:t>碳全要素</w:t>
      </w:r>
      <w:proofErr w:type="gramEnd"/>
      <w:r>
        <w:rPr>
          <w:rFonts w:hint="eastAsia"/>
          <w:kern w:val="0"/>
        </w:rPr>
        <w:t>生产率通常额外考虑碳排放作为非合意产出；绿色全要素生产率通常还要考虑能源投入，以及各类污染物作为非合意产出。</w:t>
      </w:r>
    </w:p>
  </w:footnote>
  <w:footnote w:id="7">
    <w:p w14:paraId="3FE8B001" w14:textId="77777777" w:rsidR="001508E0" w:rsidRDefault="001508E0" w:rsidP="008A580C">
      <w:pPr>
        <w:pStyle w:val="Note"/>
        <w:spacing w:after="163"/>
      </w:pPr>
      <w:r w:rsidRPr="00853A21">
        <w:rPr>
          <w:rStyle w:val="a8"/>
        </w:rPr>
        <w:footnoteRef/>
      </w:r>
      <w:r>
        <w:t xml:space="preserve"> </w:t>
      </w:r>
      <w:r w:rsidRPr="000C6299">
        <w:rPr>
          <w:rFonts w:hint="eastAsia"/>
        </w:rPr>
        <w:t>这也是城市全要素生产率计算中的一个常见问题</w:t>
      </w:r>
      <w:r>
        <w:rPr>
          <w:rFonts w:hint="eastAsia"/>
        </w:rPr>
        <w:t>：</w:t>
      </w:r>
      <w:r w:rsidRPr="000C6299">
        <w:rPr>
          <w:rFonts w:hint="eastAsia"/>
        </w:rPr>
        <w:t>产业结构会显著影响全要素生产率的变化。这也是为什么</w:t>
      </w:r>
      <w:r>
        <w:rPr>
          <w:rFonts w:hint="eastAsia"/>
        </w:rPr>
        <w:t>文章</w:t>
      </w:r>
      <w:r w:rsidRPr="000C6299">
        <w:rPr>
          <w:rFonts w:hint="eastAsia"/>
        </w:rPr>
        <w:t>把第二产业的比重作为协变量加</w:t>
      </w:r>
      <w:r>
        <w:rPr>
          <w:rFonts w:hint="eastAsia"/>
        </w:rPr>
        <w:t>进模型中，且结论显示，二产占比越高，</w:t>
      </w:r>
      <w:r>
        <w:rPr>
          <w:rFonts w:hint="eastAsia"/>
        </w:rPr>
        <w:t>T</w:t>
      </w:r>
      <w:r>
        <w:t>FP</w:t>
      </w:r>
      <w:r>
        <w:rPr>
          <w:rFonts w:hint="eastAsia"/>
        </w:rPr>
        <w:t>越低。</w:t>
      </w:r>
    </w:p>
  </w:footnote>
  <w:footnote w:id="8">
    <w:p w14:paraId="5CB4ED0E" w14:textId="77777777" w:rsidR="001508E0" w:rsidRDefault="001508E0" w:rsidP="008A580C">
      <w:pPr>
        <w:pStyle w:val="Note"/>
        <w:spacing w:after="163"/>
      </w:pPr>
      <w:r w:rsidRPr="00853A21">
        <w:rPr>
          <w:rStyle w:val="a8"/>
        </w:rPr>
        <w:footnoteRef/>
      </w:r>
      <w:r>
        <w:t xml:space="preserve"> </w:t>
      </w:r>
      <w:r>
        <w:rPr>
          <w:rFonts w:hint="eastAsia"/>
        </w:rPr>
        <w:t>当然，也有可能是“强波特假说”和“污染天堂”假说对</w:t>
      </w:r>
      <w:r>
        <w:rPr>
          <w:rFonts w:hint="eastAsia"/>
        </w:rPr>
        <w:t>T</w:t>
      </w:r>
      <w:r>
        <w:t>FP</w:t>
      </w:r>
      <w:r>
        <w:rPr>
          <w:rFonts w:hint="eastAsia"/>
        </w:rPr>
        <w:t>的影响大小相近，方向相反，最终也可能会得到</w:t>
      </w:r>
      <w:r>
        <w:rPr>
          <w:rFonts w:hint="eastAsia"/>
        </w:rPr>
        <w:t>E</w:t>
      </w:r>
      <w:r>
        <w:t>TS</w:t>
      </w:r>
      <w:r>
        <w:rPr>
          <w:rFonts w:hint="eastAsia"/>
        </w:rPr>
        <w:t>不会影响非试点地区的</w:t>
      </w:r>
      <w:r>
        <w:rPr>
          <w:rFonts w:hint="eastAsia"/>
        </w:rPr>
        <w:t>T</w:t>
      </w:r>
      <w:r>
        <w:t>FP</w:t>
      </w:r>
      <w:r>
        <w:rPr>
          <w:rFonts w:hint="eastAsia"/>
        </w:rPr>
        <w:t>的结论。</w:t>
      </w:r>
    </w:p>
  </w:footnote>
  <w:footnote w:id="9">
    <w:p w14:paraId="28113C44" w14:textId="77777777" w:rsidR="00C61396" w:rsidRPr="00321A6A" w:rsidRDefault="00C61396" w:rsidP="008A580C">
      <w:pPr>
        <w:pStyle w:val="Note"/>
        <w:spacing w:after="163"/>
      </w:pPr>
      <w:r w:rsidRPr="00853A21">
        <w:rPr>
          <w:rStyle w:val="a8"/>
        </w:rPr>
        <w:footnoteRef/>
      </w:r>
      <w:r>
        <w:t xml:space="preserve"> </w:t>
      </w:r>
      <w:r>
        <w:rPr>
          <w:rFonts w:hint="eastAsia"/>
        </w:rPr>
        <w:t>实验组的权重是实验组得到来自控制组样本匹配的频率；控制组的权重是控制组得到来自实验组样本匹配的频率。</w:t>
      </w:r>
    </w:p>
  </w:footnote>
  <w:footnote w:id="10">
    <w:p w14:paraId="767ECC09" w14:textId="41A3C776" w:rsidR="00C61396" w:rsidRDefault="00C61396" w:rsidP="008A580C">
      <w:pPr>
        <w:pStyle w:val="Note"/>
        <w:spacing w:after="163"/>
      </w:pPr>
      <w:r w:rsidRPr="00853A21">
        <w:rPr>
          <w:rStyle w:val="a8"/>
        </w:rPr>
        <w:footnoteRef/>
      </w:r>
      <w:r>
        <w:t xml:space="preserve"> </w:t>
      </w:r>
      <w:r>
        <w:rPr>
          <w:rFonts w:hint="eastAsia"/>
        </w:rPr>
        <w:t>虽然试点地区有</w:t>
      </w:r>
      <w:r>
        <w:rPr>
          <w:rFonts w:hint="eastAsia"/>
        </w:rPr>
        <w:t>7</w:t>
      </w:r>
      <w:r>
        <w:rPr>
          <w:rFonts w:hint="eastAsia"/>
        </w:rPr>
        <w:t>个，但是深圳试点和广东试点都在广东省内。因此，在省级数据中，实验组只有</w:t>
      </w:r>
      <w:r>
        <w:rPr>
          <w:rFonts w:hint="eastAsia"/>
        </w:rPr>
        <w:t>6</w:t>
      </w:r>
      <w:r>
        <w:rPr>
          <w:rFonts w:hint="eastAsia"/>
        </w:rPr>
        <w:t>个个体，而非</w:t>
      </w:r>
      <w:r>
        <w:rPr>
          <w:rFonts w:hint="eastAsia"/>
        </w:rPr>
        <w:t>7</w:t>
      </w:r>
      <w:r>
        <w:rPr>
          <w:rFonts w:hint="eastAsia"/>
        </w:rPr>
        <w:t>个。另外，</w:t>
      </w:r>
      <w:r w:rsidRPr="00A05658">
        <w:rPr>
          <w:rFonts w:hint="eastAsia"/>
        </w:rPr>
        <w:t>由于样本量小，</w:t>
      </w:r>
      <w:r>
        <w:rPr>
          <w:rFonts w:hint="eastAsia"/>
        </w:rPr>
        <w:t>匹配结果很差，无法进行稳定的匹配。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75C" w14:textId="77777777" w:rsidR="00C61396" w:rsidRDefault="00C6139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4ED5" w14:textId="77777777" w:rsidR="00C61396" w:rsidRDefault="00C61396" w:rsidP="008414DF">
    <w:pPr>
      <w:pStyle w:val="aa"/>
      <w:pBdr>
        <w:bottom w:val="none" w:sz="0" w:space="0" w:color="auto"/>
      </w:pBd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185B" w14:textId="77777777" w:rsidR="00C61396" w:rsidRDefault="00C61396">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E2"/>
    <w:multiLevelType w:val="hybridMultilevel"/>
    <w:tmpl w:val="BFFA8FAE"/>
    <w:lvl w:ilvl="0" w:tplc="EEE2DB90">
      <w:start w:val="1"/>
      <w:numFmt w:val="decimal"/>
      <w:lvlText w:val="%1)"/>
      <w:lvlJc w:val="left"/>
      <w:pPr>
        <w:ind w:left="898" w:hanging="42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 w15:restartNumberingAfterBreak="0">
    <w:nsid w:val="079F20BD"/>
    <w:multiLevelType w:val="hybridMultilevel"/>
    <w:tmpl w:val="3122597A"/>
    <w:lvl w:ilvl="0" w:tplc="272E6D2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A86BD6"/>
    <w:multiLevelType w:val="hybridMultilevel"/>
    <w:tmpl w:val="9B4E7494"/>
    <w:lvl w:ilvl="0" w:tplc="88A6D6C6">
      <w:start w:val="1"/>
      <w:numFmt w:val="decimal"/>
      <w:lvlText w:val="Eq.(%1)"/>
      <w:lvlJc w:val="right"/>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D7780"/>
    <w:multiLevelType w:val="hybridMultilevel"/>
    <w:tmpl w:val="D2F00136"/>
    <w:lvl w:ilvl="0" w:tplc="D6A06E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E0D2FCB"/>
    <w:multiLevelType w:val="hybridMultilevel"/>
    <w:tmpl w:val="6B94A02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2B552DC"/>
    <w:multiLevelType w:val="hybridMultilevel"/>
    <w:tmpl w:val="0A5A753C"/>
    <w:lvl w:ilvl="0" w:tplc="DBEA3CF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90B60E2"/>
    <w:multiLevelType w:val="hybridMultilevel"/>
    <w:tmpl w:val="F0D827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145F71"/>
    <w:multiLevelType w:val="multilevel"/>
    <w:tmpl w:val="652A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F4EC8"/>
    <w:multiLevelType w:val="hybridMultilevel"/>
    <w:tmpl w:val="4D3206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39F52C8"/>
    <w:multiLevelType w:val="hybridMultilevel"/>
    <w:tmpl w:val="6FFA6CB2"/>
    <w:lvl w:ilvl="0" w:tplc="FEFCC0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44B7DF1"/>
    <w:multiLevelType w:val="multilevel"/>
    <w:tmpl w:val="D90E7580"/>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9F68CB"/>
    <w:multiLevelType w:val="hybridMultilevel"/>
    <w:tmpl w:val="0302B2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BDA76C0"/>
    <w:multiLevelType w:val="hybridMultilevel"/>
    <w:tmpl w:val="D2F00136"/>
    <w:lvl w:ilvl="0" w:tplc="D6A06E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C6C70E2"/>
    <w:multiLevelType w:val="hybridMultilevel"/>
    <w:tmpl w:val="D5B05B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C7D4EA4"/>
    <w:multiLevelType w:val="hybridMultilevel"/>
    <w:tmpl w:val="80E6570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DC023DD"/>
    <w:multiLevelType w:val="multilevel"/>
    <w:tmpl w:val="4B849266"/>
    <w:lvl w:ilvl="0">
      <w:start w:val="1"/>
      <w:numFmt w:val="upperLetter"/>
      <w:pStyle w:val="AppendixA"/>
      <w:suff w:val="space"/>
      <w:lvlText w:val="附录 %1."/>
      <w:lvlJc w:val="left"/>
      <w:pPr>
        <w:ind w:left="425" w:hanging="425"/>
      </w:pPr>
      <w:rPr>
        <w:rFonts w:hint="eastAsia"/>
      </w:rPr>
    </w:lvl>
    <w:lvl w:ilvl="1">
      <w:start w:val="1"/>
      <w:numFmt w:val="decimal"/>
      <w:pStyle w:val="AppendixA2"/>
      <w:suff w:val="space"/>
      <w:lvlText w:val="%1.%2"/>
      <w:lvlJc w:val="left"/>
      <w:pPr>
        <w:ind w:left="992" w:hanging="567"/>
      </w:pPr>
      <w:rPr>
        <w:rFonts w:hint="eastAsia"/>
      </w:rPr>
    </w:lvl>
    <w:lvl w:ilvl="2">
      <w:start w:val="1"/>
      <w:numFmt w:val="decimal"/>
      <w:suff w:val="space"/>
      <w:lvlText w:val="%1.%2.%3"/>
      <w:lvlJc w:val="left"/>
      <w:pPr>
        <w:ind w:left="1418" w:hanging="567"/>
      </w:pPr>
      <w:rPr>
        <w:rFonts w:hint="eastAsia"/>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49F4942"/>
    <w:multiLevelType w:val="hybridMultilevel"/>
    <w:tmpl w:val="4BA66FFA"/>
    <w:lvl w:ilvl="0" w:tplc="9912AE06">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99710E"/>
    <w:multiLevelType w:val="hybridMultilevel"/>
    <w:tmpl w:val="F454E0A0"/>
    <w:lvl w:ilvl="0" w:tplc="0409000F">
      <w:start w:val="1"/>
      <w:numFmt w:val="decimal"/>
      <w:lvlText w:val="%1."/>
      <w:lvlJc w:val="left"/>
      <w:pPr>
        <w:ind w:left="898" w:hanging="420"/>
      </w:p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8" w15:restartNumberingAfterBreak="0">
    <w:nsid w:val="50994DA9"/>
    <w:multiLevelType w:val="hybridMultilevel"/>
    <w:tmpl w:val="6FFA6CB2"/>
    <w:lvl w:ilvl="0" w:tplc="FEFCC0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198797A"/>
    <w:multiLevelType w:val="multilevel"/>
    <w:tmpl w:val="AEB4E49C"/>
    <w:lvl w:ilvl="0">
      <w:start w:val="1"/>
      <w:numFmt w:val="decimal"/>
      <w:lvlText w:val="%1."/>
      <w:lvlJc w:val="left"/>
      <w:pPr>
        <w:ind w:left="900" w:hanging="420"/>
      </w:pPr>
    </w:lvl>
    <w:lvl w:ilvl="1">
      <w:start w:val="4"/>
      <w:numFmt w:val="decimal"/>
      <w:isLgl/>
      <w:lvlText w:val="%1.%2"/>
      <w:lvlJc w:val="left"/>
      <w:pPr>
        <w:ind w:left="108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598749E8"/>
    <w:multiLevelType w:val="multilevel"/>
    <w:tmpl w:val="CB868E2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7810FD4"/>
    <w:multiLevelType w:val="hybridMultilevel"/>
    <w:tmpl w:val="BD4E0334"/>
    <w:lvl w:ilvl="0" w:tplc="04090011">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95D65DD"/>
    <w:multiLevelType w:val="hybridMultilevel"/>
    <w:tmpl w:val="0302B2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E545160"/>
    <w:multiLevelType w:val="hybridMultilevel"/>
    <w:tmpl w:val="FD7C06AC"/>
    <w:lvl w:ilvl="0" w:tplc="85B0249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CB5A10"/>
    <w:multiLevelType w:val="hybridMultilevel"/>
    <w:tmpl w:val="3288076A"/>
    <w:lvl w:ilvl="0" w:tplc="88A6D6C6">
      <w:start w:val="1"/>
      <w:numFmt w:val="decimal"/>
      <w:lvlText w:val="Eq.(%1)"/>
      <w:lvlJc w:val="right"/>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705BE3"/>
    <w:multiLevelType w:val="hybridMultilevel"/>
    <w:tmpl w:val="FBCEBAEC"/>
    <w:lvl w:ilvl="0" w:tplc="92E6E872">
      <w:start w:val="1"/>
      <w:numFmt w:val="japaneseCounting"/>
      <w:lvlText w:val="第%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5"/>
  </w:num>
  <w:num w:numId="2">
    <w:abstractNumId w:val="2"/>
  </w:num>
  <w:num w:numId="3">
    <w:abstractNumId w:val="16"/>
  </w:num>
  <w:num w:numId="4">
    <w:abstractNumId w:val="9"/>
  </w:num>
  <w:num w:numId="5">
    <w:abstractNumId w:val="3"/>
  </w:num>
  <w:num w:numId="6">
    <w:abstractNumId w:val="18"/>
  </w:num>
  <w:num w:numId="7">
    <w:abstractNumId w:val="17"/>
  </w:num>
  <w:num w:numId="8">
    <w:abstractNumId w:val="0"/>
  </w:num>
  <w:num w:numId="9">
    <w:abstractNumId w:val="1"/>
  </w:num>
  <w:num w:numId="10">
    <w:abstractNumId w:val="12"/>
  </w:num>
  <w:num w:numId="11">
    <w:abstractNumId w:val="13"/>
  </w:num>
  <w:num w:numId="12">
    <w:abstractNumId w:val="22"/>
  </w:num>
  <w:num w:numId="13">
    <w:abstractNumId w:val="26"/>
  </w:num>
  <w:num w:numId="14">
    <w:abstractNumId w:val="8"/>
  </w:num>
  <w:num w:numId="15">
    <w:abstractNumId w:val="11"/>
  </w:num>
  <w:num w:numId="16">
    <w:abstractNumId w:val="6"/>
  </w:num>
  <w:num w:numId="17">
    <w:abstractNumId w:val="4"/>
  </w:num>
  <w:num w:numId="18">
    <w:abstractNumId w:val="19"/>
  </w:num>
  <w:num w:numId="19">
    <w:abstractNumId w:val="20"/>
  </w:num>
  <w:num w:numId="20">
    <w:abstractNumId w:val="10"/>
  </w:num>
  <w:num w:numId="21">
    <w:abstractNumId w:val="15"/>
  </w:num>
  <w:num w:numId="22">
    <w:abstractNumId w:val="14"/>
  </w:num>
  <w:num w:numId="23">
    <w:abstractNumId w:val="23"/>
  </w:num>
  <w:num w:numId="24">
    <w:abstractNumId w:val="21"/>
  </w:num>
  <w:num w:numId="25">
    <w:abstractNumId w:val="5"/>
  </w:num>
  <w:num w:numId="26">
    <w:abstractNumId w:val="15"/>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1"/>
  <w:activeWritingStyle w:appName="MSWord" w:lang="en-US" w:vendorID="64" w:dllVersion="0" w:nlCheck="1" w:checkStyle="0"/>
  <w:proofState w:spelling="clean" w:grammar="clean"/>
  <w:documentProtection w:edit="trackedChanges" w:enforcement="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sjQyNTA1NbI0sTRR0lEKTi0uzszPAykwt6wFADTVUdw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c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25f99afspswp3ee09rpvz0520d0sfrwstdz&quot;&gt;SOE&lt;record-ids&gt;&lt;item&gt;139&lt;/item&gt;&lt;item&gt;140&lt;/item&gt;&lt;item&gt;158&lt;/item&gt;&lt;item&gt;611&lt;/item&gt;&lt;item&gt;612&lt;/item&gt;&lt;item&gt;614&lt;/item&gt;&lt;item&gt;615&lt;/item&gt;&lt;item&gt;616&lt;/item&gt;&lt;item&gt;617&lt;/item&gt;&lt;item&gt;618&lt;/item&gt;&lt;item&gt;619&lt;/item&gt;&lt;item&gt;620&lt;/item&gt;&lt;item&gt;622&lt;/item&gt;&lt;item&gt;623&lt;/item&gt;&lt;item&gt;627&lt;/item&gt;&lt;item&gt;628&lt;/item&gt;&lt;item&gt;630&lt;/item&gt;&lt;/record-ids&gt;&lt;/item&gt;&lt;/Libraries&gt;"/>
  </w:docVars>
  <w:rsids>
    <w:rsidRoot w:val="00EC38DA"/>
    <w:rsid w:val="00000870"/>
    <w:rsid w:val="00000AF9"/>
    <w:rsid w:val="00000C24"/>
    <w:rsid w:val="00000EFA"/>
    <w:rsid w:val="00002428"/>
    <w:rsid w:val="000027B5"/>
    <w:rsid w:val="00003962"/>
    <w:rsid w:val="00003AE5"/>
    <w:rsid w:val="0000418C"/>
    <w:rsid w:val="000041B9"/>
    <w:rsid w:val="00004919"/>
    <w:rsid w:val="00004FD2"/>
    <w:rsid w:val="000059E1"/>
    <w:rsid w:val="00005CB5"/>
    <w:rsid w:val="00006F9A"/>
    <w:rsid w:val="000070A8"/>
    <w:rsid w:val="000074FF"/>
    <w:rsid w:val="0000757F"/>
    <w:rsid w:val="000078AC"/>
    <w:rsid w:val="00007AFC"/>
    <w:rsid w:val="00011E47"/>
    <w:rsid w:val="00012949"/>
    <w:rsid w:val="00012FAF"/>
    <w:rsid w:val="00012FC4"/>
    <w:rsid w:val="00013CF5"/>
    <w:rsid w:val="00013D82"/>
    <w:rsid w:val="00014876"/>
    <w:rsid w:val="000149AA"/>
    <w:rsid w:val="00014CE8"/>
    <w:rsid w:val="00015185"/>
    <w:rsid w:val="00015CEF"/>
    <w:rsid w:val="00016B49"/>
    <w:rsid w:val="00017743"/>
    <w:rsid w:val="00020472"/>
    <w:rsid w:val="00020479"/>
    <w:rsid w:val="0002109E"/>
    <w:rsid w:val="00021297"/>
    <w:rsid w:val="00021D2E"/>
    <w:rsid w:val="000226DA"/>
    <w:rsid w:val="0002314A"/>
    <w:rsid w:val="000233F9"/>
    <w:rsid w:val="000234DA"/>
    <w:rsid w:val="0002363E"/>
    <w:rsid w:val="00024980"/>
    <w:rsid w:val="00024B0A"/>
    <w:rsid w:val="00025003"/>
    <w:rsid w:val="00025111"/>
    <w:rsid w:val="000266B5"/>
    <w:rsid w:val="0002782A"/>
    <w:rsid w:val="00027881"/>
    <w:rsid w:val="00030163"/>
    <w:rsid w:val="0003047A"/>
    <w:rsid w:val="0003143B"/>
    <w:rsid w:val="000316CA"/>
    <w:rsid w:val="00032D5D"/>
    <w:rsid w:val="000332C1"/>
    <w:rsid w:val="00033BE7"/>
    <w:rsid w:val="000342EB"/>
    <w:rsid w:val="000344D5"/>
    <w:rsid w:val="000351C8"/>
    <w:rsid w:val="00035EEB"/>
    <w:rsid w:val="00036A90"/>
    <w:rsid w:val="00036DD6"/>
    <w:rsid w:val="00037149"/>
    <w:rsid w:val="00037BC3"/>
    <w:rsid w:val="00037C29"/>
    <w:rsid w:val="0004053F"/>
    <w:rsid w:val="0004113B"/>
    <w:rsid w:val="00041DB1"/>
    <w:rsid w:val="00041F37"/>
    <w:rsid w:val="00042985"/>
    <w:rsid w:val="00042B27"/>
    <w:rsid w:val="0004324A"/>
    <w:rsid w:val="0004324B"/>
    <w:rsid w:val="0004397A"/>
    <w:rsid w:val="00043D83"/>
    <w:rsid w:val="00044259"/>
    <w:rsid w:val="000444DE"/>
    <w:rsid w:val="00044720"/>
    <w:rsid w:val="00044C26"/>
    <w:rsid w:val="0004551F"/>
    <w:rsid w:val="00045991"/>
    <w:rsid w:val="0004614F"/>
    <w:rsid w:val="000463EE"/>
    <w:rsid w:val="0004683D"/>
    <w:rsid w:val="00046DC4"/>
    <w:rsid w:val="00046E87"/>
    <w:rsid w:val="00047113"/>
    <w:rsid w:val="00047413"/>
    <w:rsid w:val="00047824"/>
    <w:rsid w:val="0004788B"/>
    <w:rsid w:val="00050048"/>
    <w:rsid w:val="00050058"/>
    <w:rsid w:val="00050199"/>
    <w:rsid w:val="000502CA"/>
    <w:rsid w:val="0005111B"/>
    <w:rsid w:val="000511F8"/>
    <w:rsid w:val="00051E33"/>
    <w:rsid w:val="00052539"/>
    <w:rsid w:val="0005269B"/>
    <w:rsid w:val="00052B74"/>
    <w:rsid w:val="00052E8F"/>
    <w:rsid w:val="00052EF1"/>
    <w:rsid w:val="00053BD2"/>
    <w:rsid w:val="000543B1"/>
    <w:rsid w:val="00054B3A"/>
    <w:rsid w:val="00055186"/>
    <w:rsid w:val="00055360"/>
    <w:rsid w:val="000558F5"/>
    <w:rsid w:val="00055D7E"/>
    <w:rsid w:val="0005677C"/>
    <w:rsid w:val="00056CE8"/>
    <w:rsid w:val="00057A86"/>
    <w:rsid w:val="00060635"/>
    <w:rsid w:val="00060BCC"/>
    <w:rsid w:val="000615D4"/>
    <w:rsid w:val="00061B16"/>
    <w:rsid w:val="00062781"/>
    <w:rsid w:val="00062A97"/>
    <w:rsid w:val="00062E3A"/>
    <w:rsid w:val="0006323C"/>
    <w:rsid w:val="000634A7"/>
    <w:rsid w:val="00063772"/>
    <w:rsid w:val="00064C50"/>
    <w:rsid w:val="00065038"/>
    <w:rsid w:val="00065121"/>
    <w:rsid w:val="000651E4"/>
    <w:rsid w:val="00065249"/>
    <w:rsid w:val="000658C2"/>
    <w:rsid w:val="00066380"/>
    <w:rsid w:val="000663E6"/>
    <w:rsid w:val="000668B1"/>
    <w:rsid w:val="00066DC0"/>
    <w:rsid w:val="00067AFD"/>
    <w:rsid w:val="0007080D"/>
    <w:rsid w:val="0007175A"/>
    <w:rsid w:val="00071BCE"/>
    <w:rsid w:val="000723D0"/>
    <w:rsid w:val="00072BB9"/>
    <w:rsid w:val="00072CD8"/>
    <w:rsid w:val="00073334"/>
    <w:rsid w:val="000736CD"/>
    <w:rsid w:val="00073ED7"/>
    <w:rsid w:val="00074029"/>
    <w:rsid w:val="00076DDD"/>
    <w:rsid w:val="0007710F"/>
    <w:rsid w:val="00077170"/>
    <w:rsid w:val="00077526"/>
    <w:rsid w:val="00077CAA"/>
    <w:rsid w:val="00080A26"/>
    <w:rsid w:val="00080D7A"/>
    <w:rsid w:val="00081C98"/>
    <w:rsid w:val="00082473"/>
    <w:rsid w:val="00082703"/>
    <w:rsid w:val="00082FFC"/>
    <w:rsid w:val="00083441"/>
    <w:rsid w:val="00083493"/>
    <w:rsid w:val="000838B1"/>
    <w:rsid w:val="00083BE6"/>
    <w:rsid w:val="000841E8"/>
    <w:rsid w:val="00084458"/>
    <w:rsid w:val="00084ADF"/>
    <w:rsid w:val="00084D53"/>
    <w:rsid w:val="000852B6"/>
    <w:rsid w:val="000859BE"/>
    <w:rsid w:val="00085E1D"/>
    <w:rsid w:val="00086283"/>
    <w:rsid w:val="000868FA"/>
    <w:rsid w:val="00086CE5"/>
    <w:rsid w:val="00086F41"/>
    <w:rsid w:val="000908C9"/>
    <w:rsid w:val="00090DEF"/>
    <w:rsid w:val="00090E83"/>
    <w:rsid w:val="00091638"/>
    <w:rsid w:val="000919C0"/>
    <w:rsid w:val="00091E87"/>
    <w:rsid w:val="00092774"/>
    <w:rsid w:val="00092ED8"/>
    <w:rsid w:val="00093BD6"/>
    <w:rsid w:val="00094B74"/>
    <w:rsid w:val="00094E4E"/>
    <w:rsid w:val="00096041"/>
    <w:rsid w:val="0009656C"/>
    <w:rsid w:val="00096CFD"/>
    <w:rsid w:val="00097589"/>
    <w:rsid w:val="00097C09"/>
    <w:rsid w:val="00097F4F"/>
    <w:rsid w:val="000A0E32"/>
    <w:rsid w:val="000A1967"/>
    <w:rsid w:val="000A243B"/>
    <w:rsid w:val="000A287F"/>
    <w:rsid w:val="000A28D3"/>
    <w:rsid w:val="000A2920"/>
    <w:rsid w:val="000A2AC5"/>
    <w:rsid w:val="000A2E49"/>
    <w:rsid w:val="000A3410"/>
    <w:rsid w:val="000A35DA"/>
    <w:rsid w:val="000A3856"/>
    <w:rsid w:val="000A3DF0"/>
    <w:rsid w:val="000A3EB1"/>
    <w:rsid w:val="000A4455"/>
    <w:rsid w:val="000A4472"/>
    <w:rsid w:val="000A4E78"/>
    <w:rsid w:val="000A4FA3"/>
    <w:rsid w:val="000A505F"/>
    <w:rsid w:val="000A5FAD"/>
    <w:rsid w:val="000A6928"/>
    <w:rsid w:val="000A724B"/>
    <w:rsid w:val="000A7384"/>
    <w:rsid w:val="000A7FC3"/>
    <w:rsid w:val="000B0C11"/>
    <w:rsid w:val="000B130B"/>
    <w:rsid w:val="000B16BC"/>
    <w:rsid w:val="000B17E1"/>
    <w:rsid w:val="000B18FB"/>
    <w:rsid w:val="000B2D2D"/>
    <w:rsid w:val="000B315F"/>
    <w:rsid w:val="000B318C"/>
    <w:rsid w:val="000B3A77"/>
    <w:rsid w:val="000B3FB0"/>
    <w:rsid w:val="000B4CF9"/>
    <w:rsid w:val="000B4E20"/>
    <w:rsid w:val="000B4FCC"/>
    <w:rsid w:val="000B5017"/>
    <w:rsid w:val="000B54F4"/>
    <w:rsid w:val="000B671C"/>
    <w:rsid w:val="000B6C60"/>
    <w:rsid w:val="000B6FEA"/>
    <w:rsid w:val="000B7538"/>
    <w:rsid w:val="000B7F2D"/>
    <w:rsid w:val="000C0063"/>
    <w:rsid w:val="000C0915"/>
    <w:rsid w:val="000C113C"/>
    <w:rsid w:val="000C183B"/>
    <w:rsid w:val="000C22EA"/>
    <w:rsid w:val="000C35FE"/>
    <w:rsid w:val="000C3EEB"/>
    <w:rsid w:val="000C3FE4"/>
    <w:rsid w:val="000C4799"/>
    <w:rsid w:val="000C4862"/>
    <w:rsid w:val="000C4ED8"/>
    <w:rsid w:val="000C5A11"/>
    <w:rsid w:val="000C5FDD"/>
    <w:rsid w:val="000C60AB"/>
    <w:rsid w:val="000C6299"/>
    <w:rsid w:val="000C63DA"/>
    <w:rsid w:val="000C6600"/>
    <w:rsid w:val="000C66E8"/>
    <w:rsid w:val="000C67A8"/>
    <w:rsid w:val="000C6B53"/>
    <w:rsid w:val="000C6DEE"/>
    <w:rsid w:val="000C6EF6"/>
    <w:rsid w:val="000C7618"/>
    <w:rsid w:val="000C7F92"/>
    <w:rsid w:val="000D0805"/>
    <w:rsid w:val="000D0E4F"/>
    <w:rsid w:val="000D12B2"/>
    <w:rsid w:val="000D17F4"/>
    <w:rsid w:val="000D1903"/>
    <w:rsid w:val="000D1E8B"/>
    <w:rsid w:val="000D22FD"/>
    <w:rsid w:val="000D2919"/>
    <w:rsid w:val="000D300C"/>
    <w:rsid w:val="000D3F0A"/>
    <w:rsid w:val="000D414A"/>
    <w:rsid w:val="000D44C8"/>
    <w:rsid w:val="000D5019"/>
    <w:rsid w:val="000D52B2"/>
    <w:rsid w:val="000D53DA"/>
    <w:rsid w:val="000D54DD"/>
    <w:rsid w:val="000D59F9"/>
    <w:rsid w:val="000D5DA1"/>
    <w:rsid w:val="000D6191"/>
    <w:rsid w:val="000D62B1"/>
    <w:rsid w:val="000D65E9"/>
    <w:rsid w:val="000D69A9"/>
    <w:rsid w:val="000D71FA"/>
    <w:rsid w:val="000D7893"/>
    <w:rsid w:val="000E10AB"/>
    <w:rsid w:val="000E10C7"/>
    <w:rsid w:val="000E2F4C"/>
    <w:rsid w:val="000E3145"/>
    <w:rsid w:val="000E32C3"/>
    <w:rsid w:val="000E3846"/>
    <w:rsid w:val="000E45DC"/>
    <w:rsid w:val="000E4FCC"/>
    <w:rsid w:val="000E5163"/>
    <w:rsid w:val="000E5FBC"/>
    <w:rsid w:val="000E64BF"/>
    <w:rsid w:val="000E7705"/>
    <w:rsid w:val="000E78B4"/>
    <w:rsid w:val="000E7CC0"/>
    <w:rsid w:val="000E7E63"/>
    <w:rsid w:val="000E7F1F"/>
    <w:rsid w:val="000F1BF6"/>
    <w:rsid w:val="000F22AC"/>
    <w:rsid w:val="000F2C29"/>
    <w:rsid w:val="000F2C4B"/>
    <w:rsid w:val="000F2F04"/>
    <w:rsid w:val="000F325E"/>
    <w:rsid w:val="000F33BD"/>
    <w:rsid w:val="000F3981"/>
    <w:rsid w:val="000F4AAF"/>
    <w:rsid w:val="000F5216"/>
    <w:rsid w:val="000F5767"/>
    <w:rsid w:val="000F6387"/>
    <w:rsid w:val="000F75B6"/>
    <w:rsid w:val="000F77E4"/>
    <w:rsid w:val="00100493"/>
    <w:rsid w:val="001012FE"/>
    <w:rsid w:val="00101459"/>
    <w:rsid w:val="00101C56"/>
    <w:rsid w:val="00101F75"/>
    <w:rsid w:val="001022C4"/>
    <w:rsid w:val="0010258A"/>
    <w:rsid w:val="00102E5B"/>
    <w:rsid w:val="00103B4B"/>
    <w:rsid w:val="001041E5"/>
    <w:rsid w:val="0010478F"/>
    <w:rsid w:val="001051F4"/>
    <w:rsid w:val="00105336"/>
    <w:rsid w:val="001056AA"/>
    <w:rsid w:val="00105CCF"/>
    <w:rsid w:val="00106309"/>
    <w:rsid w:val="001066DF"/>
    <w:rsid w:val="001070A1"/>
    <w:rsid w:val="00107DBB"/>
    <w:rsid w:val="0011007B"/>
    <w:rsid w:val="00110ECF"/>
    <w:rsid w:val="00110FA6"/>
    <w:rsid w:val="0011119D"/>
    <w:rsid w:val="0011131A"/>
    <w:rsid w:val="00111734"/>
    <w:rsid w:val="00111F00"/>
    <w:rsid w:val="001127BA"/>
    <w:rsid w:val="00112C8A"/>
    <w:rsid w:val="00112CFE"/>
    <w:rsid w:val="00112DCF"/>
    <w:rsid w:val="00113C0A"/>
    <w:rsid w:val="00113DF7"/>
    <w:rsid w:val="001144B8"/>
    <w:rsid w:val="00114818"/>
    <w:rsid w:val="00114B73"/>
    <w:rsid w:val="001154BD"/>
    <w:rsid w:val="001155D6"/>
    <w:rsid w:val="0011601D"/>
    <w:rsid w:val="00116F42"/>
    <w:rsid w:val="001179F4"/>
    <w:rsid w:val="00117F3E"/>
    <w:rsid w:val="00120E08"/>
    <w:rsid w:val="001216A2"/>
    <w:rsid w:val="00121FEE"/>
    <w:rsid w:val="00122482"/>
    <w:rsid w:val="00122940"/>
    <w:rsid w:val="00122B57"/>
    <w:rsid w:val="00124002"/>
    <w:rsid w:val="00124149"/>
    <w:rsid w:val="001241DA"/>
    <w:rsid w:val="00124C34"/>
    <w:rsid w:val="00125371"/>
    <w:rsid w:val="00125C0D"/>
    <w:rsid w:val="00125FE4"/>
    <w:rsid w:val="001260CB"/>
    <w:rsid w:val="0012611E"/>
    <w:rsid w:val="0012675D"/>
    <w:rsid w:val="00127130"/>
    <w:rsid w:val="00127265"/>
    <w:rsid w:val="0012792C"/>
    <w:rsid w:val="00127B83"/>
    <w:rsid w:val="00127E33"/>
    <w:rsid w:val="00127E6F"/>
    <w:rsid w:val="00130263"/>
    <w:rsid w:val="00130CF8"/>
    <w:rsid w:val="00132097"/>
    <w:rsid w:val="00132271"/>
    <w:rsid w:val="001323BD"/>
    <w:rsid w:val="001325F4"/>
    <w:rsid w:val="00133A35"/>
    <w:rsid w:val="00133EAC"/>
    <w:rsid w:val="00133F1F"/>
    <w:rsid w:val="001344A4"/>
    <w:rsid w:val="0013455C"/>
    <w:rsid w:val="00134A6A"/>
    <w:rsid w:val="0013536E"/>
    <w:rsid w:val="001353F8"/>
    <w:rsid w:val="0013553E"/>
    <w:rsid w:val="001357D4"/>
    <w:rsid w:val="00135D4D"/>
    <w:rsid w:val="00136271"/>
    <w:rsid w:val="00136B0A"/>
    <w:rsid w:val="00137551"/>
    <w:rsid w:val="0013785F"/>
    <w:rsid w:val="00137CE2"/>
    <w:rsid w:val="00140587"/>
    <w:rsid w:val="00141A04"/>
    <w:rsid w:val="00141F81"/>
    <w:rsid w:val="00142078"/>
    <w:rsid w:val="00142381"/>
    <w:rsid w:val="001424D0"/>
    <w:rsid w:val="00142CC7"/>
    <w:rsid w:val="00143E31"/>
    <w:rsid w:val="001448B1"/>
    <w:rsid w:val="001449D5"/>
    <w:rsid w:val="00145242"/>
    <w:rsid w:val="00145EAF"/>
    <w:rsid w:val="0014637C"/>
    <w:rsid w:val="001467F1"/>
    <w:rsid w:val="0014692F"/>
    <w:rsid w:val="001470AB"/>
    <w:rsid w:val="00147A23"/>
    <w:rsid w:val="0015020D"/>
    <w:rsid w:val="00150665"/>
    <w:rsid w:val="00150734"/>
    <w:rsid w:val="001508E0"/>
    <w:rsid w:val="00150A37"/>
    <w:rsid w:val="00150F77"/>
    <w:rsid w:val="00151A04"/>
    <w:rsid w:val="00151F49"/>
    <w:rsid w:val="00152098"/>
    <w:rsid w:val="001520D0"/>
    <w:rsid w:val="0015281C"/>
    <w:rsid w:val="00153125"/>
    <w:rsid w:val="00153552"/>
    <w:rsid w:val="00153DE4"/>
    <w:rsid w:val="0015451D"/>
    <w:rsid w:val="00154B9E"/>
    <w:rsid w:val="0015514A"/>
    <w:rsid w:val="001553A0"/>
    <w:rsid w:val="00155580"/>
    <w:rsid w:val="001558A9"/>
    <w:rsid w:val="00155A21"/>
    <w:rsid w:val="00155BA4"/>
    <w:rsid w:val="001562AF"/>
    <w:rsid w:val="001562CD"/>
    <w:rsid w:val="0015631E"/>
    <w:rsid w:val="00156D5F"/>
    <w:rsid w:val="001572EB"/>
    <w:rsid w:val="001575C1"/>
    <w:rsid w:val="00157C52"/>
    <w:rsid w:val="00157E5F"/>
    <w:rsid w:val="0016022A"/>
    <w:rsid w:val="0016072D"/>
    <w:rsid w:val="00160A67"/>
    <w:rsid w:val="00160C39"/>
    <w:rsid w:val="001615D2"/>
    <w:rsid w:val="00161781"/>
    <w:rsid w:val="001617DF"/>
    <w:rsid w:val="00161B02"/>
    <w:rsid w:val="001623A1"/>
    <w:rsid w:val="00162B0B"/>
    <w:rsid w:val="00162FCC"/>
    <w:rsid w:val="00163572"/>
    <w:rsid w:val="00163DE3"/>
    <w:rsid w:val="0016414B"/>
    <w:rsid w:val="001641CD"/>
    <w:rsid w:val="0016489E"/>
    <w:rsid w:val="00164CD8"/>
    <w:rsid w:val="00165C7D"/>
    <w:rsid w:val="00165D49"/>
    <w:rsid w:val="0016664F"/>
    <w:rsid w:val="00166692"/>
    <w:rsid w:val="00166C4C"/>
    <w:rsid w:val="00166C71"/>
    <w:rsid w:val="0016721A"/>
    <w:rsid w:val="0016778C"/>
    <w:rsid w:val="00167A74"/>
    <w:rsid w:val="00167CDF"/>
    <w:rsid w:val="00170A3E"/>
    <w:rsid w:val="00170A67"/>
    <w:rsid w:val="00170A83"/>
    <w:rsid w:val="00170DC3"/>
    <w:rsid w:val="00170E20"/>
    <w:rsid w:val="00170FD7"/>
    <w:rsid w:val="0017164D"/>
    <w:rsid w:val="001716FD"/>
    <w:rsid w:val="00171B24"/>
    <w:rsid w:val="00171B82"/>
    <w:rsid w:val="00171E0A"/>
    <w:rsid w:val="001728C2"/>
    <w:rsid w:val="00172A65"/>
    <w:rsid w:val="00172C2B"/>
    <w:rsid w:val="00173F7F"/>
    <w:rsid w:val="001742B1"/>
    <w:rsid w:val="00174327"/>
    <w:rsid w:val="0017497E"/>
    <w:rsid w:val="00174C69"/>
    <w:rsid w:val="00174F20"/>
    <w:rsid w:val="0017580F"/>
    <w:rsid w:val="0017616B"/>
    <w:rsid w:val="0017687D"/>
    <w:rsid w:val="00177895"/>
    <w:rsid w:val="00180919"/>
    <w:rsid w:val="00180DB3"/>
    <w:rsid w:val="00180F42"/>
    <w:rsid w:val="001811B4"/>
    <w:rsid w:val="00181B03"/>
    <w:rsid w:val="00181DE1"/>
    <w:rsid w:val="00181F86"/>
    <w:rsid w:val="001822E4"/>
    <w:rsid w:val="00182386"/>
    <w:rsid w:val="00182586"/>
    <w:rsid w:val="00182CAD"/>
    <w:rsid w:val="001834C0"/>
    <w:rsid w:val="00183943"/>
    <w:rsid w:val="00183B74"/>
    <w:rsid w:val="00183D03"/>
    <w:rsid w:val="00183E23"/>
    <w:rsid w:val="00184F82"/>
    <w:rsid w:val="00185549"/>
    <w:rsid w:val="00185C82"/>
    <w:rsid w:val="00186B03"/>
    <w:rsid w:val="00186E4B"/>
    <w:rsid w:val="001877B7"/>
    <w:rsid w:val="00187AAD"/>
    <w:rsid w:val="00187C20"/>
    <w:rsid w:val="00187C7A"/>
    <w:rsid w:val="001905CB"/>
    <w:rsid w:val="00190AAA"/>
    <w:rsid w:val="00190DE0"/>
    <w:rsid w:val="00191246"/>
    <w:rsid w:val="00191549"/>
    <w:rsid w:val="0019166C"/>
    <w:rsid w:val="00191F9E"/>
    <w:rsid w:val="00192ED0"/>
    <w:rsid w:val="00192FE8"/>
    <w:rsid w:val="0019307F"/>
    <w:rsid w:val="001933A4"/>
    <w:rsid w:val="00193C6F"/>
    <w:rsid w:val="00193E8E"/>
    <w:rsid w:val="00194099"/>
    <w:rsid w:val="001940BC"/>
    <w:rsid w:val="0019415A"/>
    <w:rsid w:val="00195720"/>
    <w:rsid w:val="00195A5F"/>
    <w:rsid w:val="0019605B"/>
    <w:rsid w:val="0019754D"/>
    <w:rsid w:val="00197B1D"/>
    <w:rsid w:val="00197C5B"/>
    <w:rsid w:val="001A088E"/>
    <w:rsid w:val="001A0FD6"/>
    <w:rsid w:val="001A14D0"/>
    <w:rsid w:val="001A14D9"/>
    <w:rsid w:val="001A19DE"/>
    <w:rsid w:val="001A2F4A"/>
    <w:rsid w:val="001A30F6"/>
    <w:rsid w:val="001A3C81"/>
    <w:rsid w:val="001A3F83"/>
    <w:rsid w:val="001A4C27"/>
    <w:rsid w:val="001A530C"/>
    <w:rsid w:val="001A540F"/>
    <w:rsid w:val="001A5D5A"/>
    <w:rsid w:val="001A5DE1"/>
    <w:rsid w:val="001A647F"/>
    <w:rsid w:val="001A65CB"/>
    <w:rsid w:val="001A6EC6"/>
    <w:rsid w:val="001A7C18"/>
    <w:rsid w:val="001B1B5C"/>
    <w:rsid w:val="001B1E9E"/>
    <w:rsid w:val="001B23E7"/>
    <w:rsid w:val="001B271C"/>
    <w:rsid w:val="001B2C18"/>
    <w:rsid w:val="001B2FF9"/>
    <w:rsid w:val="001B309D"/>
    <w:rsid w:val="001B36F1"/>
    <w:rsid w:val="001B399E"/>
    <w:rsid w:val="001B4C36"/>
    <w:rsid w:val="001B4FFB"/>
    <w:rsid w:val="001B56E0"/>
    <w:rsid w:val="001B5BD3"/>
    <w:rsid w:val="001B64BB"/>
    <w:rsid w:val="001B6738"/>
    <w:rsid w:val="001B6A95"/>
    <w:rsid w:val="001B6E1D"/>
    <w:rsid w:val="001B6F51"/>
    <w:rsid w:val="001B7442"/>
    <w:rsid w:val="001B766F"/>
    <w:rsid w:val="001B7861"/>
    <w:rsid w:val="001C00DE"/>
    <w:rsid w:val="001C09B5"/>
    <w:rsid w:val="001C0D62"/>
    <w:rsid w:val="001C0ECC"/>
    <w:rsid w:val="001C0FCB"/>
    <w:rsid w:val="001C11EC"/>
    <w:rsid w:val="001C1D20"/>
    <w:rsid w:val="001C2C04"/>
    <w:rsid w:val="001C41B0"/>
    <w:rsid w:val="001C46C6"/>
    <w:rsid w:val="001C46EB"/>
    <w:rsid w:val="001C4E09"/>
    <w:rsid w:val="001C5005"/>
    <w:rsid w:val="001C519E"/>
    <w:rsid w:val="001C598F"/>
    <w:rsid w:val="001C62B1"/>
    <w:rsid w:val="001C684C"/>
    <w:rsid w:val="001C6D89"/>
    <w:rsid w:val="001C6F84"/>
    <w:rsid w:val="001C70EC"/>
    <w:rsid w:val="001D02EC"/>
    <w:rsid w:val="001D07A2"/>
    <w:rsid w:val="001D091E"/>
    <w:rsid w:val="001D14AA"/>
    <w:rsid w:val="001D1716"/>
    <w:rsid w:val="001D1811"/>
    <w:rsid w:val="001D1A63"/>
    <w:rsid w:val="001D1D7F"/>
    <w:rsid w:val="001D20D7"/>
    <w:rsid w:val="001D2D52"/>
    <w:rsid w:val="001D3049"/>
    <w:rsid w:val="001D33BF"/>
    <w:rsid w:val="001D37CC"/>
    <w:rsid w:val="001D3AE9"/>
    <w:rsid w:val="001D4E7D"/>
    <w:rsid w:val="001D599C"/>
    <w:rsid w:val="001D5A20"/>
    <w:rsid w:val="001D5B6A"/>
    <w:rsid w:val="001D5B78"/>
    <w:rsid w:val="001D6640"/>
    <w:rsid w:val="001D691C"/>
    <w:rsid w:val="001D7435"/>
    <w:rsid w:val="001D7B01"/>
    <w:rsid w:val="001E0C1A"/>
    <w:rsid w:val="001E0C73"/>
    <w:rsid w:val="001E198B"/>
    <w:rsid w:val="001E1B31"/>
    <w:rsid w:val="001E2230"/>
    <w:rsid w:val="001E238F"/>
    <w:rsid w:val="001E280E"/>
    <w:rsid w:val="001E2D52"/>
    <w:rsid w:val="001E2F6C"/>
    <w:rsid w:val="001E3D14"/>
    <w:rsid w:val="001E3DBF"/>
    <w:rsid w:val="001E4647"/>
    <w:rsid w:val="001E4681"/>
    <w:rsid w:val="001E57A0"/>
    <w:rsid w:val="001E588A"/>
    <w:rsid w:val="001E6188"/>
    <w:rsid w:val="001E6C1C"/>
    <w:rsid w:val="001E79F7"/>
    <w:rsid w:val="001E7BD8"/>
    <w:rsid w:val="001F0532"/>
    <w:rsid w:val="001F05E3"/>
    <w:rsid w:val="001F0911"/>
    <w:rsid w:val="001F09E5"/>
    <w:rsid w:val="001F0B42"/>
    <w:rsid w:val="001F167F"/>
    <w:rsid w:val="001F16BB"/>
    <w:rsid w:val="001F1B29"/>
    <w:rsid w:val="001F221D"/>
    <w:rsid w:val="001F23E2"/>
    <w:rsid w:val="001F2D3F"/>
    <w:rsid w:val="001F2F9C"/>
    <w:rsid w:val="001F37EC"/>
    <w:rsid w:val="001F3BA8"/>
    <w:rsid w:val="001F3C3A"/>
    <w:rsid w:val="001F492B"/>
    <w:rsid w:val="001F5534"/>
    <w:rsid w:val="001F5A1A"/>
    <w:rsid w:val="001F5EA5"/>
    <w:rsid w:val="001F66DA"/>
    <w:rsid w:val="001F6728"/>
    <w:rsid w:val="001F673F"/>
    <w:rsid w:val="002008D7"/>
    <w:rsid w:val="00200C84"/>
    <w:rsid w:val="00200D5D"/>
    <w:rsid w:val="0020184E"/>
    <w:rsid w:val="00202518"/>
    <w:rsid w:val="00202C38"/>
    <w:rsid w:val="00202E05"/>
    <w:rsid w:val="00203678"/>
    <w:rsid w:val="00203D46"/>
    <w:rsid w:val="00204133"/>
    <w:rsid w:val="002044C7"/>
    <w:rsid w:val="00205A2B"/>
    <w:rsid w:val="00205FB1"/>
    <w:rsid w:val="00206534"/>
    <w:rsid w:val="00207EE7"/>
    <w:rsid w:val="002105DE"/>
    <w:rsid w:val="002111FF"/>
    <w:rsid w:val="0021124F"/>
    <w:rsid w:val="0021146C"/>
    <w:rsid w:val="002123DC"/>
    <w:rsid w:val="0021249A"/>
    <w:rsid w:val="002130E7"/>
    <w:rsid w:val="00213369"/>
    <w:rsid w:val="00214EDA"/>
    <w:rsid w:val="002161DE"/>
    <w:rsid w:val="002165B9"/>
    <w:rsid w:val="00216A49"/>
    <w:rsid w:val="0021716C"/>
    <w:rsid w:val="00217872"/>
    <w:rsid w:val="00217936"/>
    <w:rsid w:val="002208EB"/>
    <w:rsid w:val="00220B99"/>
    <w:rsid w:val="00220C02"/>
    <w:rsid w:val="00220C9F"/>
    <w:rsid w:val="00221862"/>
    <w:rsid w:val="00221994"/>
    <w:rsid w:val="00222128"/>
    <w:rsid w:val="002227E1"/>
    <w:rsid w:val="002229AA"/>
    <w:rsid w:val="00222D71"/>
    <w:rsid w:val="00223689"/>
    <w:rsid w:val="0022375A"/>
    <w:rsid w:val="00223C12"/>
    <w:rsid w:val="00224033"/>
    <w:rsid w:val="00224B74"/>
    <w:rsid w:val="00224D6F"/>
    <w:rsid w:val="00225906"/>
    <w:rsid w:val="00225C14"/>
    <w:rsid w:val="00225E19"/>
    <w:rsid w:val="0022614A"/>
    <w:rsid w:val="002261E4"/>
    <w:rsid w:val="00226BE6"/>
    <w:rsid w:val="002272D9"/>
    <w:rsid w:val="00227398"/>
    <w:rsid w:val="002277FA"/>
    <w:rsid w:val="002301FB"/>
    <w:rsid w:val="00230423"/>
    <w:rsid w:val="00230513"/>
    <w:rsid w:val="00230881"/>
    <w:rsid w:val="00231097"/>
    <w:rsid w:val="00231178"/>
    <w:rsid w:val="00231C6B"/>
    <w:rsid w:val="00231D33"/>
    <w:rsid w:val="00231E9B"/>
    <w:rsid w:val="0023280C"/>
    <w:rsid w:val="00232E71"/>
    <w:rsid w:val="002335A2"/>
    <w:rsid w:val="002339F1"/>
    <w:rsid w:val="00233B91"/>
    <w:rsid w:val="00233D02"/>
    <w:rsid w:val="00234341"/>
    <w:rsid w:val="002344F8"/>
    <w:rsid w:val="00236BAA"/>
    <w:rsid w:val="0023734A"/>
    <w:rsid w:val="002400B8"/>
    <w:rsid w:val="00240127"/>
    <w:rsid w:val="0024022E"/>
    <w:rsid w:val="0024078E"/>
    <w:rsid w:val="00240803"/>
    <w:rsid w:val="00241072"/>
    <w:rsid w:val="0024173D"/>
    <w:rsid w:val="002418E6"/>
    <w:rsid w:val="002419D3"/>
    <w:rsid w:val="00242359"/>
    <w:rsid w:val="0024297F"/>
    <w:rsid w:val="00242F77"/>
    <w:rsid w:val="002436BF"/>
    <w:rsid w:val="002438DB"/>
    <w:rsid w:val="00244D0C"/>
    <w:rsid w:val="0024519B"/>
    <w:rsid w:val="00246C4D"/>
    <w:rsid w:val="002471DC"/>
    <w:rsid w:val="0024734D"/>
    <w:rsid w:val="002473BD"/>
    <w:rsid w:val="00250386"/>
    <w:rsid w:val="0025051C"/>
    <w:rsid w:val="002508EB"/>
    <w:rsid w:val="00250A87"/>
    <w:rsid w:val="00250ABF"/>
    <w:rsid w:val="0025143E"/>
    <w:rsid w:val="002519F3"/>
    <w:rsid w:val="002538E1"/>
    <w:rsid w:val="00254CB1"/>
    <w:rsid w:val="002553A5"/>
    <w:rsid w:val="00255544"/>
    <w:rsid w:val="00256363"/>
    <w:rsid w:val="00256489"/>
    <w:rsid w:val="002568BD"/>
    <w:rsid w:val="002570BC"/>
    <w:rsid w:val="0025760C"/>
    <w:rsid w:val="00260CB7"/>
    <w:rsid w:val="002618F7"/>
    <w:rsid w:val="002623E6"/>
    <w:rsid w:val="00262675"/>
    <w:rsid w:val="00262719"/>
    <w:rsid w:val="00262A7C"/>
    <w:rsid w:val="00262CA5"/>
    <w:rsid w:val="00263080"/>
    <w:rsid w:val="0026360F"/>
    <w:rsid w:val="00263649"/>
    <w:rsid w:val="00264A4E"/>
    <w:rsid w:val="00264AEC"/>
    <w:rsid w:val="00264D04"/>
    <w:rsid w:val="0026527F"/>
    <w:rsid w:val="00265292"/>
    <w:rsid w:val="00265503"/>
    <w:rsid w:val="002659F1"/>
    <w:rsid w:val="00265CF2"/>
    <w:rsid w:val="00266970"/>
    <w:rsid w:val="00266A2E"/>
    <w:rsid w:val="00266FAA"/>
    <w:rsid w:val="0026713C"/>
    <w:rsid w:val="002674E1"/>
    <w:rsid w:val="002676AC"/>
    <w:rsid w:val="00267859"/>
    <w:rsid w:val="00267A3C"/>
    <w:rsid w:val="002711BA"/>
    <w:rsid w:val="00271ACB"/>
    <w:rsid w:val="00271B72"/>
    <w:rsid w:val="00271FEA"/>
    <w:rsid w:val="002720C5"/>
    <w:rsid w:val="00272D9D"/>
    <w:rsid w:val="00272F84"/>
    <w:rsid w:val="0027306A"/>
    <w:rsid w:val="002732B8"/>
    <w:rsid w:val="00273B5D"/>
    <w:rsid w:val="00274AA4"/>
    <w:rsid w:val="0027503E"/>
    <w:rsid w:val="002750A6"/>
    <w:rsid w:val="002756A9"/>
    <w:rsid w:val="00275918"/>
    <w:rsid w:val="00275DCC"/>
    <w:rsid w:val="00276B53"/>
    <w:rsid w:val="00276FF3"/>
    <w:rsid w:val="0027751D"/>
    <w:rsid w:val="00277BE6"/>
    <w:rsid w:val="0028065F"/>
    <w:rsid w:val="00280727"/>
    <w:rsid w:val="002811F0"/>
    <w:rsid w:val="00281C4D"/>
    <w:rsid w:val="00282961"/>
    <w:rsid w:val="00283AF5"/>
    <w:rsid w:val="00283BE1"/>
    <w:rsid w:val="002844A8"/>
    <w:rsid w:val="002848F6"/>
    <w:rsid w:val="00284BB9"/>
    <w:rsid w:val="00284DE3"/>
    <w:rsid w:val="00284FFF"/>
    <w:rsid w:val="00285619"/>
    <w:rsid w:val="00285746"/>
    <w:rsid w:val="00285E9D"/>
    <w:rsid w:val="0028600F"/>
    <w:rsid w:val="002866B8"/>
    <w:rsid w:val="00286827"/>
    <w:rsid w:val="00286E2C"/>
    <w:rsid w:val="0028729D"/>
    <w:rsid w:val="00287932"/>
    <w:rsid w:val="00287FE0"/>
    <w:rsid w:val="00290713"/>
    <w:rsid w:val="00290F66"/>
    <w:rsid w:val="00291254"/>
    <w:rsid w:val="00291280"/>
    <w:rsid w:val="0029132D"/>
    <w:rsid w:val="00291BDD"/>
    <w:rsid w:val="0029230C"/>
    <w:rsid w:val="002924E6"/>
    <w:rsid w:val="00293B8B"/>
    <w:rsid w:val="00294791"/>
    <w:rsid w:val="00294926"/>
    <w:rsid w:val="00294E6C"/>
    <w:rsid w:val="00295FD6"/>
    <w:rsid w:val="00296A19"/>
    <w:rsid w:val="00296B10"/>
    <w:rsid w:val="00297378"/>
    <w:rsid w:val="0029779E"/>
    <w:rsid w:val="002977FC"/>
    <w:rsid w:val="00297C79"/>
    <w:rsid w:val="00297C9F"/>
    <w:rsid w:val="00297CC8"/>
    <w:rsid w:val="00297F8E"/>
    <w:rsid w:val="002A127E"/>
    <w:rsid w:val="002A1294"/>
    <w:rsid w:val="002A1710"/>
    <w:rsid w:val="002A1A1D"/>
    <w:rsid w:val="002A1B34"/>
    <w:rsid w:val="002A292C"/>
    <w:rsid w:val="002A29A2"/>
    <w:rsid w:val="002A3FDD"/>
    <w:rsid w:val="002A41FA"/>
    <w:rsid w:val="002A4C6B"/>
    <w:rsid w:val="002A4C74"/>
    <w:rsid w:val="002A4F76"/>
    <w:rsid w:val="002A4FD7"/>
    <w:rsid w:val="002A5933"/>
    <w:rsid w:val="002A5B97"/>
    <w:rsid w:val="002A5FAC"/>
    <w:rsid w:val="002A786A"/>
    <w:rsid w:val="002A7E2F"/>
    <w:rsid w:val="002B0505"/>
    <w:rsid w:val="002B0769"/>
    <w:rsid w:val="002B1D8C"/>
    <w:rsid w:val="002B203B"/>
    <w:rsid w:val="002B27EB"/>
    <w:rsid w:val="002B2978"/>
    <w:rsid w:val="002B2CD7"/>
    <w:rsid w:val="002B3597"/>
    <w:rsid w:val="002B3710"/>
    <w:rsid w:val="002B399A"/>
    <w:rsid w:val="002B3E96"/>
    <w:rsid w:val="002B413C"/>
    <w:rsid w:val="002B44AE"/>
    <w:rsid w:val="002B452B"/>
    <w:rsid w:val="002B5B64"/>
    <w:rsid w:val="002B6038"/>
    <w:rsid w:val="002B6812"/>
    <w:rsid w:val="002B7068"/>
    <w:rsid w:val="002B71F7"/>
    <w:rsid w:val="002B7292"/>
    <w:rsid w:val="002B7C66"/>
    <w:rsid w:val="002B7CB6"/>
    <w:rsid w:val="002C0564"/>
    <w:rsid w:val="002C0735"/>
    <w:rsid w:val="002C0DD5"/>
    <w:rsid w:val="002C100D"/>
    <w:rsid w:val="002C216F"/>
    <w:rsid w:val="002C219F"/>
    <w:rsid w:val="002C30B8"/>
    <w:rsid w:val="002C3508"/>
    <w:rsid w:val="002C386A"/>
    <w:rsid w:val="002C3D8E"/>
    <w:rsid w:val="002C46A2"/>
    <w:rsid w:val="002C700C"/>
    <w:rsid w:val="002C72E7"/>
    <w:rsid w:val="002C7501"/>
    <w:rsid w:val="002C75BE"/>
    <w:rsid w:val="002C7B3B"/>
    <w:rsid w:val="002D03E7"/>
    <w:rsid w:val="002D0830"/>
    <w:rsid w:val="002D1DC8"/>
    <w:rsid w:val="002D2469"/>
    <w:rsid w:val="002D3177"/>
    <w:rsid w:val="002D3301"/>
    <w:rsid w:val="002D3F35"/>
    <w:rsid w:val="002D3F6D"/>
    <w:rsid w:val="002D44BC"/>
    <w:rsid w:val="002D488E"/>
    <w:rsid w:val="002D5C3B"/>
    <w:rsid w:val="002D637C"/>
    <w:rsid w:val="002D6B14"/>
    <w:rsid w:val="002D70DA"/>
    <w:rsid w:val="002D7DFB"/>
    <w:rsid w:val="002E04AE"/>
    <w:rsid w:val="002E0522"/>
    <w:rsid w:val="002E0A3F"/>
    <w:rsid w:val="002E1169"/>
    <w:rsid w:val="002E12A3"/>
    <w:rsid w:val="002E1AF7"/>
    <w:rsid w:val="002E1C43"/>
    <w:rsid w:val="002E21D5"/>
    <w:rsid w:val="002E257E"/>
    <w:rsid w:val="002E2C39"/>
    <w:rsid w:val="002E3207"/>
    <w:rsid w:val="002E3422"/>
    <w:rsid w:val="002E3547"/>
    <w:rsid w:val="002E386F"/>
    <w:rsid w:val="002E4421"/>
    <w:rsid w:val="002E5342"/>
    <w:rsid w:val="002E5A55"/>
    <w:rsid w:val="002E5D83"/>
    <w:rsid w:val="002E5ED8"/>
    <w:rsid w:val="002E610B"/>
    <w:rsid w:val="002E68D1"/>
    <w:rsid w:val="002E6B41"/>
    <w:rsid w:val="002E6CE9"/>
    <w:rsid w:val="002E6CF9"/>
    <w:rsid w:val="002E6FEE"/>
    <w:rsid w:val="002E721C"/>
    <w:rsid w:val="002E7337"/>
    <w:rsid w:val="002E7368"/>
    <w:rsid w:val="002E7913"/>
    <w:rsid w:val="002E7D02"/>
    <w:rsid w:val="002E7D8A"/>
    <w:rsid w:val="002F01CD"/>
    <w:rsid w:val="002F0286"/>
    <w:rsid w:val="002F03D8"/>
    <w:rsid w:val="002F05ED"/>
    <w:rsid w:val="002F0B32"/>
    <w:rsid w:val="002F13E5"/>
    <w:rsid w:val="002F1A1C"/>
    <w:rsid w:val="002F1C50"/>
    <w:rsid w:val="002F1D80"/>
    <w:rsid w:val="002F24A0"/>
    <w:rsid w:val="002F2553"/>
    <w:rsid w:val="002F265F"/>
    <w:rsid w:val="002F2871"/>
    <w:rsid w:val="002F2AA7"/>
    <w:rsid w:val="002F46D7"/>
    <w:rsid w:val="002F4828"/>
    <w:rsid w:val="002F4995"/>
    <w:rsid w:val="002F4B29"/>
    <w:rsid w:val="002F538B"/>
    <w:rsid w:val="002F5DD8"/>
    <w:rsid w:val="002F6303"/>
    <w:rsid w:val="002F6695"/>
    <w:rsid w:val="002F6ED1"/>
    <w:rsid w:val="0030037A"/>
    <w:rsid w:val="00300656"/>
    <w:rsid w:val="003015DB"/>
    <w:rsid w:val="003015FE"/>
    <w:rsid w:val="00301A0D"/>
    <w:rsid w:val="00302197"/>
    <w:rsid w:val="00302BC4"/>
    <w:rsid w:val="00302C40"/>
    <w:rsid w:val="00302E01"/>
    <w:rsid w:val="0030386E"/>
    <w:rsid w:val="00303BBD"/>
    <w:rsid w:val="00304382"/>
    <w:rsid w:val="00304762"/>
    <w:rsid w:val="0030497C"/>
    <w:rsid w:val="003053A5"/>
    <w:rsid w:val="00305665"/>
    <w:rsid w:val="003058B1"/>
    <w:rsid w:val="003064E7"/>
    <w:rsid w:val="0030652F"/>
    <w:rsid w:val="00307619"/>
    <w:rsid w:val="00310C02"/>
    <w:rsid w:val="00311183"/>
    <w:rsid w:val="0031126B"/>
    <w:rsid w:val="00311D10"/>
    <w:rsid w:val="00312641"/>
    <w:rsid w:val="003131DD"/>
    <w:rsid w:val="00313499"/>
    <w:rsid w:val="00313679"/>
    <w:rsid w:val="00313977"/>
    <w:rsid w:val="00313A0D"/>
    <w:rsid w:val="00313C2E"/>
    <w:rsid w:val="00313C3E"/>
    <w:rsid w:val="00314C07"/>
    <w:rsid w:val="00315081"/>
    <w:rsid w:val="003152AC"/>
    <w:rsid w:val="00315DA4"/>
    <w:rsid w:val="003160A4"/>
    <w:rsid w:val="00316319"/>
    <w:rsid w:val="00316F5B"/>
    <w:rsid w:val="003179A2"/>
    <w:rsid w:val="00317E70"/>
    <w:rsid w:val="00320806"/>
    <w:rsid w:val="00321A6A"/>
    <w:rsid w:val="00321E2D"/>
    <w:rsid w:val="00322429"/>
    <w:rsid w:val="00322E39"/>
    <w:rsid w:val="0032386A"/>
    <w:rsid w:val="00323E34"/>
    <w:rsid w:val="003243AF"/>
    <w:rsid w:val="00324F80"/>
    <w:rsid w:val="003254B3"/>
    <w:rsid w:val="003261FC"/>
    <w:rsid w:val="00326CCD"/>
    <w:rsid w:val="00327006"/>
    <w:rsid w:val="00327501"/>
    <w:rsid w:val="00327B37"/>
    <w:rsid w:val="00327B95"/>
    <w:rsid w:val="00330C60"/>
    <w:rsid w:val="003310C5"/>
    <w:rsid w:val="0033147E"/>
    <w:rsid w:val="00331E6F"/>
    <w:rsid w:val="00332396"/>
    <w:rsid w:val="0033265A"/>
    <w:rsid w:val="0033278A"/>
    <w:rsid w:val="00332E18"/>
    <w:rsid w:val="003336E9"/>
    <w:rsid w:val="0033394D"/>
    <w:rsid w:val="00333EBC"/>
    <w:rsid w:val="00333ED6"/>
    <w:rsid w:val="00333F04"/>
    <w:rsid w:val="0033434E"/>
    <w:rsid w:val="00334629"/>
    <w:rsid w:val="0033482B"/>
    <w:rsid w:val="00334C07"/>
    <w:rsid w:val="003353D4"/>
    <w:rsid w:val="00335740"/>
    <w:rsid w:val="003359E5"/>
    <w:rsid w:val="00335B47"/>
    <w:rsid w:val="0033640E"/>
    <w:rsid w:val="003366F5"/>
    <w:rsid w:val="00337A29"/>
    <w:rsid w:val="003403E9"/>
    <w:rsid w:val="003408B7"/>
    <w:rsid w:val="0034096F"/>
    <w:rsid w:val="00340CE9"/>
    <w:rsid w:val="00340E6F"/>
    <w:rsid w:val="00340FB0"/>
    <w:rsid w:val="00341C9D"/>
    <w:rsid w:val="00342AE5"/>
    <w:rsid w:val="00342D96"/>
    <w:rsid w:val="00343162"/>
    <w:rsid w:val="003431CB"/>
    <w:rsid w:val="00343703"/>
    <w:rsid w:val="0034417F"/>
    <w:rsid w:val="00344582"/>
    <w:rsid w:val="003446EA"/>
    <w:rsid w:val="00344A55"/>
    <w:rsid w:val="00344D5D"/>
    <w:rsid w:val="00345260"/>
    <w:rsid w:val="003456E0"/>
    <w:rsid w:val="00345DBF"/>
    <w:rsid w:val="0034638E"/>
    <w:rsid w:val="00346D84"/>
    <w:rsid w:val="00346D9F"/>
    <w:rsid w:val="00347124"/>
    <w:rsid w:val="00347A96"/>
    <w:rsid w:val="00347AE2"/>
    <w:rsid w:val="00347D9E"/>
    <w:rsid w:val="00347F3F"/>
    <w:rsid w:val="00350627"/>
    <w:rsid w:val="0035064E"/>
    <w:rsid w:val="003507F8"/>
    <w:rsid w:val="00350B7F"/>
    <w:rsid w:val="00350C47"/>
    <w:rsid w:val="00350EBD"/>
    <w:rsid w:val="00351775"/>
    <w:rsid w:val="003517AA"/>
    <w:rsid w:val="00351904"/>
    <w:rsid w:val="00351A9A"/>
    <w:rsid w:val="003520BF"/>
    <w:rsid w:val="0035236C"/>
    <w:rsid w:val="0035297C"/>
    <w:rsid w:val="00352A66"/>
    <w:rsid w:val="003531C4"/>
    <w:rsid w:val="003533DB"/>
    <w:rsid w:val="00353D67"/>
    <w:rsid w:val="00353EBE"/>
    <w:rsid w:val="0035414D"/>
    <w:rsid w:val="00354BC9"/>
    <w:rsid w:val="00354E39"/>
    <w:rsid w:val="003552B7"/>
    <w:rsid w:val="00356C8B"/>
    <w:rsid w:val="00357012"/>
    <w:rsid w:val="00357482"/>
    <w:rsid w:val="0035763C"/>
    <w:rsid w:val="0036073B"/>
    <w:rsid w:val="003615B8"/>
    <w:rsid w:val="00361D7F"/>
    <w:rsid w:val="00362A4F"/>
    <w:rsid w:val="00363365"/>
    <w:rsid w:val="003636C4"/>
    <w:rsid w:val="00363B77"/>
    <w:rsid w:val="00364104"/>
    <w:rsid w:val="00364702"/>
    <w:rsid w:val="0036520E"/>
    <w:rsid w:val="0036574C"/>
    <w:rsid w:val="00365D3C"/>
    <w:rsid w:val="003666E6"/>
    <w:rsid w:val="00367221"/>
    <w:rsid w:val="003677E6"/>
    <w:rsid w:val="00367867"/>
    <w:rsid w:val="00367B14"/>
    <w:rsid w:val="00367BDE"/>
    <w:rsid w:val="00367DF7"/>
    <w:rsid w:val="00370059"/>
    <w:rsid w:val="00370366"/>
    <w:rsid w:val="003715DB"/>
    <w:rsid w:val="003717B7"/>
    <w:rsid w:val="003718E8"/>
    <w:rsid w:val="003728A0"/>
    <w:rsid w:val="00372E1C"/>
    <w:rsid w:val="00373E45"/>
    <w:rsid w:val="003740ED"/>
    <w:rsid w:val="00374640"/>
    <w:rsid w:val="0037509E"/>
    <w:rsid w:val="0037531D"/>
    <w:rsid w:val="00375BAC"/>
    <w:rsid w:val="00376089"/>
    <w:rsid w:val="00377299"/>
    <w:rsid w:val="0037738A"/>
    <w:rsid w:val="003778F0"/>
    <w:rsid w:val="00377AAD"/>
    <w:rsid w:val="00377DB0"/>
    <w:rsid w:val="00377EEE"/>
    <w:rsid w:val="0038056A"/>
    <w:rsid w:val="003809FB"/>
    <w:rsid w:val="00380D0A"/>
    <w:rsid w:val="003811AC"/>
    <w:rsid w:val="00381931"/>
    <w:rsid w:val="00381BBA"/>
    <w:rsid w:val="00381F6A"/>
    <w:rsid w:val="00382252"/>
    <w:rsid w:val="00382304"/>
    <w:rsid w:val="00382E37"/>
    <w:rsid w:val="003830F5"/>
    <w:rsid w:val="003837AA"/>
    <w:rsid w:val="00383B93"/>
    <w:rsid w:val="003842B9"/>
    <w:rsid w:val="00384679"/>
    <w:rsid w:val="003849E5"/>
    <w:rsid w:val="00385480"/>
    <w:rsid w:val="0038565E"/>
    <w:rsid w:val="00385B3C"/>
    <w:rsid w:val="003860F5"/>
    <w:rsid w:val="003860F6"/>
    <w:rsid w:val="00386F27"/>
    <w:rsid w:val="003876CF"/>
    <w:rsid w:val="003877B8"/>
    <w:rsid w:val="0039024D"/>
    <w:rsid w:val="00391D57"/>
    <w:rsid w:val="00391E31"/>
    <w:rsid w:val="00392420"/>
    <w:rsid w:val="0039243B"/>
    <w:rsid w:val="00392553"/>
    <w:rsid w:val="00392F87"/>
    <w:rsid w:val="003930A8"/>
    <w:rsid w:val="0039344A"/>
    <w:rsid w:val="00394CB9"/>
    <w:rsid w:val="00394D38"/>
    <w:rsid w:val="0039557B"/>
    <w:rsid w:val="00395768"/>
    <w:rsid w:val="00395F11"/>
    <w:rsid w:val="0039705D"/>
    <w:rsid w:val="00397BA8"/>
    <w:rsid w:val="00397EE5"/>
    <w:rsid w:val="003A00F4"/>
    <w:rsid w:val="003A022E"/>
    <w:rsid w:val="003A079F"/>
    <w:rsid w:val="003A0B96"/>
    <w:rsid w:val="003A13AB"/>
    <w:rsid w:val="003A1C09"/>
    <w:rsid w:val="003A263D"/>
    <w:rsid w:val="003A28C7"/>
    <w:rsid w:val="003A2B5F"/>
    <w:rsid w:val="003A2EF2"/>
    <w:rsid w:val="003A31C9"/>
    <w:rsid w:val="003A384B"/>
    <w:rsid w:val="003A3E5B"/>
    <w:rsid w:val="003A4748"/>
    <w:rsid w:val="003A5438"/>
    <w:rsid w:val="003A54E6"/>
    <w:rsid w:val="003A566D"/>
    <w:rsid w:val="003A5968"/>
    <w:rsid w:val="003A6FC0"/>
    <w:rsid w:val="003A7161"/>
    <w:rsid w:val="003A731F"/>
    <w:rsid w:val="003A7363"/>
    <w:rsid w:val="003A75FA"/>
    <w:rsid w:val="003A7AAA"/>
    <w:rsid w:val="003A7E89"/>
    <w:rsid w:val="003B0171"/>
    <w:rsid w:val="003B0B02"/>
    <w:rsid w:val="003B0D9F"/>
    <w:rsid w:val="003B1883"/>
    <w:rsid w:val="003B1F8B"/>
    <w:rsid w:val="003B200E"/>
    <w:rsid w:val="003B24D8"/>
    <w:rsid w:val="003B2C65"/>
    <w:rsid w:val="003B3505"/>
    <w:rsid w:val="003B3588"/>
    <w:rsid w:val="003B35C4"/>
    <w:rsid w:val="003B3723"/>
    <w:rsid w:val="003B37D0"/>
    <w:rsid w:val="003B397C"/>
    <w:rsid w:val="003B3CA3"/>
    <w:rsid w:val="003B4A60"/>
    <w:rsid w:val="003B4B26"/>
    <w:rsid w:val="003B4BAE"/>
    <w:rsid w:val="003B4CA6"/>
    <w:rsid w:val="003B4FAC"/>
    <w:rsid w:val="003B530D"/>
    <w:rsid w:val="003B56AC"/>
    <w:rsid w:val="003B5CCF"/>
    <w:rsid w:val="003B5F46"/>
    <w:rsid w:val="003B70FF"/>
    <w:rsid w:val="003B7CFC"/>
    <w:rsid w:val="003C08A9"/>
    <w:rsid w:val="003C0AD2"/>
    <w:rsid w:val="003C0B0D"/>
    <w:rsid w:val="003C10B2"/>
    <w:rsid w:val="003C17E9"/>
    <w:rsid w:val="003C1A95"/>
    <w:rsid w:val="003C21CD"/>
    <w:rsid w:val="003C26D4"/>
    <w:rsid w:val="003C3873"/>
    <w:rsid w:val="003C41F7"/>
    <w:rsid w:val="003C45FF"/>
    <w:rsid w:val="003C57EA"/>
    <w:rsid w:val="003C5A2A"/>
    <w:rsid w:val="003C5F58"/>
    <w:rsid w:val="003C62A6"/>
    <w:rsid w:val="003C63E4"/>
    <w:rsid w:val="003C6949"/>
    <w:rsid w:val="003C6D5A"/>
    <w:rsid w:val="003C7167"/>
    <w:rsid w:val="003C74E9"/>
    <w:rsid w:val="003D054A"/>
    <w:rsid w:val="003D0DEA"/>
    <w:rsid w:val="003D142B"/>
    <w:rsid w:val="003D167E"/>
    <w:rsid w:val="003D1CF9"/>
    <w:rsid w:val="003D1DC6"/>
    <w:rsid w:val="003D237E"/>
    <w:rsid w:val="003D2E06"/>
    <w:rsid w:val="003D2ED6"/>
    <w:rsid w:val="003D3849"/>
    <w:rsid w:val="003D3895"/>
    <w:rsid w:val="003D399C"/>
    <w:rsid w:val="003D3B21"/>
    <w:rsid w:val="003D3BB2"/>
    <w:rsid w:val="003D3CF1"/>
    <w:rsid w:val="003D4A55"/>
    <w:rsid w:val="003D4C12"/>
    <w:rsid w:val="003D4EEF"/>
    <w:rsid w:val="003D5387"/>
    <w:rsid w:val="003D5D26"/>
    <w:rsid w:val="003D6484"/>
    <w:rsid w:val="003D742B"/>
    <w:rsid w:val="003D7E1E"/>
    <w:rsid w:val="003E20CC"/>
    <w:rsid w:val="003E212A"/>
    <w:rsid w:val="003E3260"/>
    <w:rsid w:val="003E4DD8"/>
    <w:rsid w:val="003E4E9C"/>
    <w:rsid w:val="003E5E9C"/>
    <w:rsid w:val="003E6835"/>
    <w:rsid w:val="003E6897"/>
    <w:rsid w:val="003E69C1"/>
    <w:rsid w:val="003E6A17"/>
    <w:rsid w:val="003E6BB0"/>
    <w:rsid w:val="003E73D0"/>
    <w:rsid w:val="003E74FB"/>
    <w:rsid w:val="003E7552"/>
    <w:rsid w:val="003E75D5"/>
    <w:rsid w:val="003F005E"/>
    <w:rsid w:val="003F104E"/>
    <w:rsid w:val="003F10E2"/>
    <w:rsid w:val="003F15C5"/>
    <w:rsid w:val="003F1783"/>
    <w:rsid w:val="003F2604"/>
    <w:rsid w:val="003F2C49"/>
    <w:rsid w:val="003F3129"/>
    <w:rsid w:val="003F3349"/>
    <w:rsid w:val="003F3EE7"/>
    <w:rsid w:val="003F4274"/>
    <w:rsid w:val="003F42D7"/>
    <w:rsid w:val="003F4472"/>
    <w:rsid w:val="003F4555"/>
    <w:rsid w:val="003F45C3"/>
    <w:rsid w:val="003F4AFD"/>
    <w:rsid w:val="003F4E3C"/>
    <w:rsid w:val="003F4F35"/>
    <w:rsid w:val="003F6142"/>
    <w:rsid w:val="003F669C"/>
    <w:rsid w:val="003F67EC"/>
    <w:rsid w:val="003F75FE"/>
    <w:rsid w:val="00400119"/>
    <w:rsid w:val="00400199"/>
    <w:rsid w:val="004001EE"/>
    <w:rsid w:val="00400568"/>
    <w:rsid w:val="00400C6A"/>
    <w:rsid w:val="00400F88"/>
    <w:rsid w:val="004014DA"/>
    <w:rsid w:val="00401C41"/>
    <w:rsid w:val="00401E07"/>
    <w:rsid w:val="00402C23"/>
    <w:rsid w:val="00403173"/>
    <w:rsid w:val="004037FB"/>
    <w:rsid w:val="00403C4F"/>
    <w:rsid w:val="00403E34"/>
    <w:rsid w:val="0040428C"/>
    <w:rsid w:val="00404EEC"/>
    <w:rsid w:val="00405A8C"/>
    <w:rsid w:val="00406814"/>
    <w:rsid w:val="0040693F"/>
    <w:rsid w:val="00407105"/>
    <w:rsid w:val="004075D2"/>
    <w:rsid w:val="00407854"/>
    <w:rsid w:val="00407D64"/>
    <w:rsid w:val="00410881"/>
    <w:rsid w:val="00410C40"/>
    <w:rsid w:val="0041124B"/>
    <w:rsid w:val="004119B6"/>
    <w:rsid w:val="00411DF6"/>
    <w:rsid w:val="004120EE"/>
    <w:rsid w:val="004125DB"/>
    <w:rsid w:val="00412E1C"/>
    <w:rsid w:val="004136C4"/>
    <w:rsid w:val="00413AD1"/>
    <w:rsid w:val="00414228"/>
    <w:rsid w:val="004143C0"/>
    <w:rsid w:val="004145FE"/>
    <w:rsid w:val="00414A3F"/>
    <w:rsid w:val="0041519C"/>
    <w:rsid w:val="0041561D"/>
    <w:rsid w:val="00416122"/>
    <w:rsid w:val="0041664B"/>
    <w:rsid w:val="004167D7"/>
    <w:rsid w:val="0041696C"/>
    <w:rsid w:val="00416F35"/>
    <w:rsid w:val="004172C3"/>
    <w:rsid w:val="0041778F"/>
    <w:rsid w:val="00417C94"/>
    <w:rsid w:val="004213BE"/>
    <w:rsid w:val="00421412"/>
    <w:rsid w:val="00421E69"/>
    <w:rsid w:val="004226BB"/>
    <w:rsid w:val="004226DF"/>
    <w:rsid w:val="00422A38"/>
    <w:rsid w:val="00423206"/>
    <w:rsid w:val="004232C7"/>
    <w:rsid w:val="004232D6"/>
    <w:rsid w:val="0042341B"/>
    <w:rsid w:val="0042551A"/>
    <w:rsid w:val="00425A2B"/>
    <w:rsid w:val="00426304"/>
    <w:rsid w:val="00426517"/>
    <w:rsid w:val="00426BF6"/>
    <w:rsid w:val="00426DA2"/>
    <w:rsid w:val="00427355"/>
    <w:rsid w:val="004279A3"/>
    <w:rsid w:val="00427D59"/>
    <w:rsid w:val="00427EA0"/>
    <w:rsid w:val="004300FB"/>
    <w:rsid w:val="00431075"/>
    <w:rsid w:val="00431BB1"/>
    <w:rsid w:val="00431E8F"/>
    <w:rsid w:val="0043239B"/>
    <w:rsid w:val="004327B4"/>
    <w:rsid w:val="004331BA"/>
    <w:rsid w:val="00433271"/>
    <w:rsid w:val="00433536"/>
    <w:rsid w:val="00433E2A"/>
    <w:rsid w:val="00434A88"/>
    <w:rsid w:val="00434C1B"/>
    <w:rsid w:val="004360A0"/>
    <w:rsid w:val="004364DC"/>
    <w:rsid w:val="004365FE"/>
    <w:rsid w:val="0044020A"/>
    <w:rsid w:val="004403D1"/>
    <w:rsid w:val="00441258"/>
    <w:rsid w:val="00442955"/>
    <w:rsid w:val="00442A07"/>
    <w:rsid w:val="00443020"/>
    <w:rsid w:val="004438D2"/>
    <w:rsid w:val="0044426A"/>
    <w:rsid w:val="004444B1"/>
    <w:rsid w:val="00444D75"/>
    <w:rsid w:val="00444D7E"/>
    <w:rsid w:val="004456D1"/>
    <w:rsid w:val="0044573E"/>
    <w:rsid w:val="004457FB"/>
    <w:rsid w:val="004458CE"/>
    <w:rsid w:val="004459B4"/>
    <w:rsid w:val="00445F28"/>
    <w:rsid w:val="00445F76"/>
    <w:rsid w:val="00445FEC"/>
    <w:rsid w:val="0044650A"/>
    <w:rsid w:val="00446545"/>
    <w:rsid w:val="00446893"/>
    <w:rsid w:val="00446CCA"/>
    <w:rsid w:val="00446CD5"/>
    <w:rsid w:val="00447331"/>
    <w:rsid w:val="004474D0"/>
    <w:rsid w:val="0044784D"/>
    <w:rsid w:val="00447B2F"/>
    <w:rsid w:val="00450C26"/>
    <w:rsid w:val="00451A57"/>
    <w:rsid w:val="00451C02"/>
    <w:rsid w:val="004524B1"/>
    <w:rsid w:val="004528F0"/>
    <w:rsid w:val="00452FE0"/>
    <w:rsid w:val="00453E91"/>
    <w:rsid w:val="00453F0F"/>
    <w:rsid w:val="004562A5"/>
    <w:rsid w:val="00456306"/>
    <w:rsid w:val="00456C3B"/>
    <w:rsid w:val="00457524"/>
    <w:rsid w:val="004602F7"/>
    <w:rsid w:val="004603CF"/>
    <w:rsid w:val="00460595"/>
    <w:rsid w:val="004607BA"/>
    <w:rsid w:val="00460960"/>
    <w:rsid w:val="00461189"/>
    <w:rsid w:val="0046184C"/>
    <w:rsid w:val="00461BB8"/>
    <w:rsid w:val="004627ED"/>
    <w:rsid w:val="00462BD4"/>
    <w:rsid w:val="00462F1E"/>
    <w:rsid w:val="0046327E"/>
    <w:rsid w:val="00463EB7"/>
    <w:rsid w:val="00464241"/>
    <w:rsid w:val="004646C3"/>
    <w:rsid w:val="004647A2"/>
    <w:rsid w:val="00464DC5"/>
    <w:rsid w:val="004656F1"/>
    <w:rsid w:val="00466806"/>
    <w:rsid w:val="00466A32"/>
    <w:rsid w:val="00466CC6"/>
    <w:rsid w:val="00466E44"/>
    <w:rsid w:val="004675DE"/>
    <w:rsid w:val="0046762E"/>
    <w:rsid w:val="004706FD"/>
    <w:rsid w:val="00471176"/>
    <w:rsid w:val="00471370"/>
    <w:rsid w:val="00471511"/>
    <w:rsid w:val="00471FDD"/>
    <w:rsid w:val="004720FB"/>
    <w:rsid w:val="0047272B"/>
    <w:rsid w:val="00472C52"/>
    <w:rsid w:val="00473CDD"/>
    <w:rsid w:val="00473E0E"/>
    <w:rsid w:val="004749FA"/>
    <w:rsid w:val="00476B49"/>
    <w:rsid w:val="00477D8D"/>
    <w:rsid w:val="00477E7F"/>
    <w:rsid w:val="00480214"/>
    <w:rsid w:val="00480874"/>
    <w:rsid w:val="004823DE"/>
    <w:rsid w:val="00482A57"/>
    <w:rsid w:val="004830DE"/>
    <w:rsid w:val="0048361B"/>
    <w:rsid w:val="00483A0C"/>
    <w:rsid w:val="00483AE5"/>
    <w:rsid w:val="0048430B"/>
    <w:rsid w:val="00484FE7"/>
    <w:rsid w:val="0048526E"/>
    <w:rsid w:val="00485E96"/>
    <w:rsid w:val="00486549"/>
    <w:rsid w:val="004865B6"/>
    <w:rsid w:val="0048679A"/>
    <w:rsid w:val="00486EBE"/>
    <w:rsid w:val="00487469"/>
    <w:rsid w:val="0048757E"/>
    <w:rsid w:val="0048774F"/>
    <w:rsid w:val="0049028E"/>
    <w:rsid w:val="004902F6"/>
    <w:rsid w:val="00490945"/>
    <w:rsid w:val="00490986"/>
    <w:rsid w:val="00490A5A"/>
    <w:rsid w:val="00490B2C"/>
    <w:rsid w:val="00492649"/>
    <w:rsid w:val="00493253"/>
    <w:rsid w:val="00493446"/>
    <w:rsid w:val="004937F5"/>
    <w:rsid w:val="00494771"/>
    <w:rsid w:val="00494916"/>
    <w:rsid w:val="00494B65"/>
    <w:rsid w:val="00494D81"/>
    <w:rsid w:val="00496E87"/>
    <w:rsid w:val="00496EF3"/>
    <w:rsid w:val="00497E16"/>
    <w:rsid w:val="00497F5A"/>
    <w:rsid w:val="004A011F"/>
    <w:rsid w:val="004A0402"/>
    <w:rsid w:val="004A0AB1"/>
    <w:rsid w:val="004A0B2E"/>
    <w:rsid w:val="004A1319"/>
    <w:rsid w:val="004A173F"/>
    <w:rsid w:val="004A1B59"/>
    <w:rsid w:val="004A24F0"/>
    <w:rsid w:val="004A262B"/>
    <w:rsid w:val="004A2800"/>
    <w:rsid w:val="004A2AD2"/>
    <w:rsid w:val="004A2F9F"/>
    <w:rsid w:val="004A31DD"/>
    <w:rsid w:val="004A3390"/>
    <w:rsid w:val="004A3453"/>
    <w:rsid w:val="004A3A6A"/>
    <w:rsid w:val="004A42A2"/>
    <w:rsid w:val="004A4615"/>
    <w:rsid w:val="004A5574"/>
    <w:rsid w:val="004A63D8"/>
    <w:rsid w:val="004A6864"/>
    <w:rsid w:val="004A6E22"/>
    <w:rsid w:val="004A6FE1"/>
    <w:rsid w:val="004A7394"/>
    <w:rsid w:val="004A76A7"/>
    <w:rsid w:val="004A77F7"/>
    <w:rsid w:val="004A79A0"/>
    <w:rsid w:val="004A7C7C"/>
    <w:rsid w:val="004A7CB7"/>
    <w:rsid w:val="004B0632"/>
    <w:rsid w:val="004B07B4"/>
    <w:rsid w:val="004B0CE9"/>
    <w:rsid w:val="004B106A"/>
    <w:rsid w:val="004B145F"/>
    <w:rsid w:val="004B2BD3"/>
    <w:rsid w:val="004B3123"/>
    <w:rsid w:val="004B3497"/>
    <w:rsid w:val="004B4B4F"/>
    <w:rsid w:val="004B5C82"/>
    <w:rsid w:val="004B66C3"/>
    <w:rsid w:val="004B6F4C"/>
    <w:rsid w:val="004B7569"/>
    <w:rsid w:val="004C0210"/>
    <w:rsid w:val="004C083E"/>
    <w:rsid w:val="004C0975"/>
    <w:rsid w:val="004C0F67"/>
    <w:rsid w:val="004C10F9"/>
    <w:rsid w:val="004C1285"/>
    <w:rsid w:val="004C1B62"/>
    <w:rsid w:val="004C1CD7"/>
    <w:rsid w:val="004C1EF6"/>
    <w:rsid w:val="004C242B"/>
    <w:rsid w:val="004C2608"/>
    <w:rsid w:val="004C2CE9"/>
    <w:rsid w:val="004C33A6"/>
    <w:rsid w:val="004C39AC"/>
    <w:rsid w:val="004C433A"/>
    <w:rsid w:val="004C46B8"/>
    <w:rsid w:val="004C4C9D"/>
    <w:rsid w:val="004C4E43"/>
    <w:rsid w:val="004C508B"/>
    <w:rsid w:val="004C5213"/>
    <w:rsid w:val="004C5615"/>
    <w:rsid w:val="004C580D"/>
    <w:rsid w:val="004C6502"/>
    <w:rsid w:val="004C65A3"/>
    <w:rsid w:val="004C6990"/>
    <w:rsid w:val="004C79B6"/>
    <w:rsid w:val="004C7D3C"/>
    <w:rsid w:val="004D01D7"/>
    <w:rsid w:val="004D0689"/>
    <w:rsid w:val="004D0B27"/>
    <w:rsid w:val="004D0C57"/>
    <w:rsid w:val="004D1223"/>
    <w:rsid w:val="004D1850"/>
    <w:rsid w:val="004D206A"/>
    <w:rsid w:val="004D261C"/>
    <w:rsid w:val="004D3404"/>
    <w:rsid w:val="004D3465"/>
    <w:rsid w:val="004D3553"/>
    <w:rsid w:val="004D380E"/>
    <w:rsid w:val="004D3AB2"/>
    <w:rsid w:val="004D3D28"/>
    <w:rsid w:val="004D401C"/>
    <w:rsid w:val="004D4225"/>
    <w:rsid w:val="004D48FC"/>
    <w:rsid w:val="004D5085"/>
    <w:rsid w:val="004D5550"/>
    <w:rsid w:val="004D56F1"/>
    <w:rsid w:val="004D6481"/>
    <w:rsid w:val="004D6769"/>
    <w:rsid w:val="004D7394"/>
    <w:rsid w:val="004D7972"/>
    <w:rsid w:val="004D7F2B"/>
    <w:rsid w:val="004E0995"/>
    <w:rsid w:val="004E0E55"/>
    <w:rsid w:val="004E0EDD"/>
    <w:rsid w:val="004E138D"/>
    <w:rsid w:val="004E1F35"/>
    <w:rsid w:val="004E214F"/>
    <w:rsid w:val="004E27B5"/>
    <w:rsid w:val="004E3763"/>
    <w:rsid w:val="004E3FF1"/>
    <w:rsid w:val="004E452D"/>
    <w:rsid w:val="004E4DCD"/>
    <w:rsid w:val="004E52B4"/>
    <w:rsid w:val="004E5435"/>
    <w:rsid w:val="004E5BB4"/>
    <w:rsid w:val="004E5D28"/>
    <w:rsid w:val="004E652D"/>
    <w:rsid w:val="004E6796"/>
    <w:rsid w:val="004E6CCB"/>
    <w:rsid w:val="004F10F8"/>
    <w:rsid w:val="004F1AED"/>
    <w:rsid w:val="004F1E41"/>
    <w:rsid w:val="004F2162"/>
    <w:rsid w:val="004F25D1"/>
    <w:rsid w:val="004F2AF4"/>
    <w:rsid w:val="004F33D9"/>
    <w:rsid w:val="004F4309"/>
    <w:rsid w:val="004F436F"/>
    <w:rsid w:val="004F4D61"/>
    <w:rsid w:val="004F5C4F"/>
    <w:rsid w:val="004F605E"/>
    <w:rsid w:val="004F60F2"/>
    <w:rsid w:val="004F6C2F"/>
    <w:rsid w:val="004F6E4F"/>
    <w:rsid w:val="00500523"/>
    <w:rsid w:val="005017D1"/>
    <w:rsid w:val="0050235E"/>
    <w:rsid w:val="0050249A"/>
    <w:rsid w:val="00502614"/>
    <w:rsid w:val="00502664"/>
    <w:rsid w:val="005032ED"/>
    <w:rsid w:val="00503A6F"/>
    <w:rsid w:val="005042FB"/>
    <w:rsid w:val="00504BD2"/>
    <w:rsid w:val="00504CDD"/>
    <w:rsid w:val="00505643"/>
    <w:rsid w:val="005066CA"/>
    <w:rsid w:val="00506830"/>
    <w:rsid w:val="00506986"/>
    <w:rsid w:val="00506A7C"/>
    <w:rsid w:val="00506B20"/>
    <w:rsid w:val="00507056"/>
    <w:rsid w:val="0050713E"/>
    <w:rsid w:val="005072CB"/>
    <w:rsid w:val="00507358"/>
    <w:rsid w:val="00507826"/>
    <w:rsid w:val="00507D15"/>
    <w:rsid w:val="00507E17"/>
    <w:rsid w:val="005101E1"/>
    <w:rsid w:val="00510545"/>
    <w:rsid w:val="00510A90"/>
    <w:rsid w:val="00511755"/>
    <w:rsid w:val="005123A8"/>
    <w:rsid w:val="00512500"/>
    <w:rsid w:val="00512597"/>
    <w:rsid w:val="00512C80"/>
    <w:rsid w:val="00514017"/>
    <w:rsid w:val="0051415D"/>
    <w:rsid w:val="00514178"/>
    <w:rsid w:val="005146F8"/>
    <w:rsid w:val="00514B85"/>
    <w:rsid w:val="00514F6E"/>
    <w:rsid w:val="00515002"/>
    <w:rsid w:val="005151AC"/>
    <w:rsid w:val="005152AE"/>
    <w:rsid w:val="005156CA"/>
    <w:rsid w:val="00515BD3"/>
    <w:rsid w:val="00516CA6"/>
    <w:rsid w:val="00516F36"/>
    <w:rsid w:val="00517498"/>
    <w:rsid w:val="00517776"/>
    <w:rsid w:val="00517C5D"/>
    <w:rsid w:val="00517CF1"/>
    <w:rsid w:val="00520D66"/>
    <w:rsid w:val="005215C5"/>
    <w:rsid w:val="0052228B"/>
    <w:rsid w:val="00522306"/>
    <w:rsid w:val="00522A5C"/>
    <w:rsid w:val="00523180"/>
    <w:rsid w:val="005231AF"/>
    <w:rsid w:val="00523560"/>
    <w:rsid w:val="005238CF"/>
    <w:rsid w:val="00523EF5"/>
    <w:rsid w:val="00524114"/>
    <w:rsid w:val="00524354"/>
    <w:rsid w:val="0052491C"/>
    <w:rsid w:val="00524D18"/>
    <w:rsid w:val="00524D59"/>
    <w:rsid w:val="00524EE8"/>
    <w:rsid w:val="0052591C"/>
    <w:rsid w:val="00525E33"/>
    <w:rsid w:val="00526310"/>
    <w:rsid w:val="005265DB"/>
    <w:rsid w:val="00526859"/>
    <w:rsid w:val="00527630"/>
    <w:rsid w:val="00527DD0"/>
    <w:rsid w:val="005303D4"/>
    <w:rsid w:val="005306BE"/>
    <w:rsid w:val="00530D70"/>
    <w:rsid w:val="0053150A"/>
    <w:rsid w:val="005315A1"/>
    <w:rsid w:val="00531B7F"/>
    <w:rsid w:val="00532529"/>
    <w:rsid w:val="0053276D"/>
    <w:rsid w:val="00532A20"/>
    <w:rsid w:val="00533168"/>
    <w:rsid w:val="00533F30"/>
    <w:rsid w:val="00533F39"/>
    <w:rsid w:val="0053564D"/>
    <w:rsid w:val="00535968"/>
    <w:rsid w:val="00536155"/>
    <w:rsid w:val="005362B2"/>
    <w:rsid w:val="00536757"/>
    <w:rsid w:val="00536A6F"/>
    <w:rsid w:val="00537570"/>
    <w:rsid w:val="00537CB0"/>
    <w:rsid w:val="005403FB"/>
    <w:rsid w:val="00540758"/>
    <w:rsid w:val="00540F7C"/>
    <w:rsid w:val="005428C2"/>
    <w:rsid w:val="00542927"/>
    <w:rsid w:val="0054292C"/>
    <w:rsid w:val="00542973"/>
    <w:rsid w:val="00542CF6"/>
    <w:rsid w:val="00543685"/>
    <w:rsid w:val="005438A8"/>
    <w:rsid w:val="0054399B"/>
    <w:rsid w:val="00543A60"/>
    <w:rsid w:val="0054406E"/>
    <w:rsid w:val="00544B23"/>
    <w:rsid w:val="00544F3C"/>
    <w:rsid w:val="0054542E"/>
    <w:rsid w:val="0054548F"/>
    <w:rsid w:val="005456B3"/>
    <w:rsid w:val="0054639B"/>
    <w:rsid w:val="005471DE"/>
    <w:rsid w:val="00547753"/>
    <w:rsid w:val="00551097"/>
    <w:rsid w:val="00551155"/>
    <w:rsid w:val="00551839"/>
    <w:rsid w:val="00552049"/>
    <w:rsid w:val="00553243"/>
    <w:rsid w:val="00553B1E"/>
    <w:rsid w:val="00553B70"/>
    <w:rsid w:val="00554E1E"/>
    <w:rsid w:val="00554EDD"/>
    <w:rsid w:val="00554FCE"/>
    <w:rsid w:val="00555CD7"/>
    <w:rsid w:val="00555E14"/>
    <w:rsid w:val="00556EAA"/>
    <w:rsid w:val="00557242"/>
    <w:rsid w:val="00557307"/>
    <w:rsid w:val="0055761A"/>
    <w:rsid w:val="005577A0"/>
    <w:rsid w:val="005579F0"/>
    <w:rsid w:val="00557D68"/>
    <w:rsid w:val="00557E6A"/>
    <w:rsid w:val="00560593"/>
    <w:rsid w:val="00560E34"/>
    <w:rsid w:val="005616E1"/>
    <w:rsid w:val="00561761"/>
    <w:rsid w:val="005634F7"/>
    <w:rsid w:val="005642EE"/>
    <w:rsid w:val="0056468E"/>
    <w:rsid w:val="005648E4"/>
    <w:rsid w:val="005650EE"/>
    <w:rsid w:val="005653FE"/>
    <w:rsid w:val="00565A99"/>
    <w:rsid w:val="00565C7B"/>
    <w:rsid w:val="00565D95"/>
    <w:rsid w:val="0056640B"/>
    <w:rsid w:val="00566B90"/>
    <w:rsid w:val="00566C52"/>
    <w:rsid w:val="00566C65"/>
    <w:rsid w:val="00567692"/>
    <w:rsid w:val="00567759"/>
    <w:rsid w:val="005702EF"/>
    <w:rsid w:val="005705B6"/>
    <w:rsid w:val="00570D13"/>
    <w:rsid w:val="0057185D"/>
    <w:rsid w:val="005718B5"/>
    <w:rsid w:val="005718E9"/>
    <w:rsid w:val="005719C8"/>
    <w:rsid w:val="0057226E"/>
    <w:rsid w:val="00573756"/>
    <w:rsid w:val="005747A3"/>
    <w:rsid w:val="005748F6"/>
    <w:rsid w:val="0057579F"/>
    <w:rsid w:val="00575CA4"/>
    <w:rsid w:val="00575CC6"/>
    <w:rsid w:val="00577125"/>
    <w:rsid w:val="00580036"/>
    <w:rsid w:val="00580A0A"/>
    <w:rsid w:val="00580D3B"/>
    <w:rsid w:val="0058179A"/>
    <w:rsid w:val="005817E7"/>
    <w:rsid w:val="0058214A"/>
    <w:rsid w:val="005821A6"/>
    <w:rsid w:val="00582BCC"/>
    <w:rsid w:val="0058351D"/>
    <w:rsid w:val="0058373C"/>
    <w:rsid w:val="0058393E"/>
    <w:rsid w:val="0058418F"/>
    <w:rsid w:val="005847D5"/>
    <w:rsid w:val="00584958"/>
    <w:rsid w:val="00584B3A"/>
    <w:rsid w:val="00584C72"/>
    <w:rsid w:val="00584E0B"/>
    <w:rsid w:val="0058585D"/>
    <w:rsid w:val="005863DC"/>
    <w:rsid w:val="005864CD"/>
    <w:rsid w:val="005869A0"/>
    <w:rsid w:val="005871F0"/>
    <w:rsid w:val="00590428"/>
    <w:rsid w:val="0059067E"/>
    <w:rsid w:val="0059098B"/>
    <w:rsid w:val="00590A96"/>
    <w:rsid w:val="00590B65"/>
    <w:rsid w:val="00590C7B"/>
    <w:rsid w:val="00591FF6"/>
    <w:rsid w:val="005921E6"/>
    <w:rsid w:val="00592441"/>
    <w:rsid w:val="005926E2"/>
    <w:rsid w:val="00592B33"/>
    <w:rsid w:val="00592DAD"/>
    <w:rsid w:val="00593143"/>
    <w:rsid w:val="00593209"/>
    <w:rsid w:val="00593C02"/>
    <w:rsid w:val="00593C57"/>
    <w:rsid w:val="0059418F"/>
    <w:rsid w:val="00594B82"/>
    <w:rsid w:val="00595361"/>
    <w:rsid w:val="00595362"/>
    <w:rsid w:val="00595923"/>
    <w:rsid w:val="00595C73"/>
    <w:rsid w:val="005976F5"/>
    <w:rsid w:val="005A07A6"/>
    <w:rsid w:val="005A07D7"/>
    <w:rsid w:val="005A0F14"/>
    <w:rsid w:val="005A1659"/>
    <w:rsid w:val="005A1FDF"/>
    <w:rsid w:val="005A2419"/>
    <w:rsid w:val="005A24D2"/>
    <w:rsid w:val="005A2A4B"/>
    <w:rsid w:val="005A2CBB"/>
    <w:rsid w:val="005A2F04"/>
    <w:rsid w:val="005A30F1"/>
    <w:rsid w:val="005A31EA"/>
    <w:rsid w:val="005A33A2"/>
    <w:rsid w:val="005A42B5"/>
    <w:rsid w:val="005A430F"/>
    <w:rsid w:val="005A4508"/>
    <w:rsid w:val="005A5518"/>
    <w:rsid w:val="005A578F"/>
    <w:rsid w:val="005A6746"/>
    <w:rsid w:val="005A68E8"/>
    <w:rsid w:val="005A6F36"/>
    <w:rsid w:val="005A6F96"/>
    <w:rsid w:val="005A742F"/>
    <w:rsid w:val="005A76CA"/>
    <w:rsid w:val="005A7852"/>
    <w:rsid w:val="005A7A51"/>
    <w:rsid w:val="005A7C36"/>
    <w:rsid w:val="005B0125"/>
    <w:rsid w:val="005B064A"/>
    <w:rsid w:val="005B10DC"/>
    <w:rsid w:val="005B1161"/>
    <w:rsid w:val="005B11E4"/>
    <w:rsid w:val="005B150A"/>
    <w:rsid w:val="005B18FF"/>
    <w:rsid w:val="005B1A7B"/>
    <w:rsid w:val="005B1A9B"/>
    <w:rsid w:val="005B25C5"/>
    <w:rsid w:val="005B2A72"/>
    <w:rsid w:val="005B2F2E"/>
    <w:rsid w:val="005B36C2"/>
    <w:rsid w:val="005B39DE"/>
    <w:rsid w:val="005B591E"/>
    <w:rsid w:val="005B6523"/>
    <w:rsid w:val="005B66BD"/>
    <w:rsid w:val="005B6891"/>
    <w:rsid w:val="005B69ED"/>
    <w:rsid w:val="005B70B2"/>
    <w:rsid w:val="005B76A9"/>
    <w:rsid w:val="005B7AC1"/>
    <w:rsid w:val="005C1B68"/>
    <w:rsid w:val="005C1CCA"/>
    <w:rsid w:val="005C2325"/>
    <w:rsid w:val="005C26F9"/>
    <w:rsid w:val="005C28ED"/>
    <w:rsid w:val="005C2EF9"/>
    <w:rsid w:val="005C327D"/>
    <w:rsid w:val="005C3C62"/>
    <w:rsid w:val="005C4335"/>
    <w:rsid w:val="005C46F6"/>
    <w:rsid w:val="005C498E"/>
    <w:rsid w:val="005C4B07"/>
    <w:rsid w:val="005C4F96"/>
    <w:rsid w:val="005C4FB0"/>
    <w:rsid w:val="005C5104"/>
    <w:rsid w:val="005C563E"/>
    <w:rsid w:val="005C6823"/>
    <w:rsid w:val="005C71BA"/>
    <w:rsid w:val="005C7583"/>
    <w:rsid w:val="005C789B"/>
    <w:rsid w:val="005D0061"/>
    <w:rsid w:val="005D0241"/>
    <w:rsid w:val="005D08FD"/>
    <w:rsid w:val="005D1022"/>
    <w:rsid w:val="005D1249"/>
    <w:rsid w:val="005D1360"/>
    <w:rsid w:val="005D202C"/>
    <w:rsid w:val="005D2622"/>
    <w:rsid w:val="005D2947"/>
    <w:rsid w:val="005D4574"/>
    <w:rsid w:val="005D4B31"/>
    <w:rsid w:val="005D4E47"/>
    <w:rsid w:val="005D4F04"/>
    <w:rsid w:val="005D4FE6"/>
    <w:rsid w:val="005D5A1D"/>
    <w:rsid w:val="005D5B88"/>
    <w:rsid w:val="005D5C3D"/>
    <w:rsid w:val="005D5EF9"/>
    <w:rsid w:val="005D5F61"/>
    <w:rsid w:val="005D68E1"/>
    <w:rsid w:val="005D7852"/>
    <w:rsid w:val="005E057E"/>
    <w:rsid w:val="005E0684"/>
    <w:rsid w:val="005E0B62"/>
    <w:rsid w:val="005E1E08"/>
    <w:rsid w:val="005E2016"/>
    <w:rsid w:val="005E228D"/>
    <w:rsid w:val="005E2967"/>
    <w:rsid w:val="005E32AF"/>
    <w:rsid w:val="005E35CB"/>
    <w:rsid w:val="005E35E0"/>
    <w:rsid w:val="005E39BD"/>
    <w:rsid w:val="005E39C1"/>
    <w:rsid w:val="005E3FE7"/>
    <w:rsid w:val="005E46CD"/>
    <w:rsid w:val="005E4A57"/>
    <w:rsid w:val="005E51DB"/>
    <w:rsid w:val="005E5A8F"/>
    <w:rsid w:val="005E5BA1"/>
    <w:rsid w:val="005E5C0D"/>
    <w:rsid w:val="005E6012"/>
    <w:rsid w:val="005E64A4"/>
    <w:rsid w:val="005E69A8"/>
    <w:rsid w:val="005E717C"/>
    <w:rsid w:val="005F089D"/>
    <w:rsid w:val="005F0C5E"/>
    <w:rsid w:val="005F10BE"/>
    <w:rsid w:val="005F1500"/>
    <w:rsid w:val="005F1802"/>
    <w:rsid w:val="005F1807"/>
    <w:rsid w:val="005F1A42"/>
    <w:rsid w:val="005F1AD4"/>
    <w:rsid w:val="005F1CDA"/>
    <w:rsid w:val="005F2B2D"/>
    <w:rsid w:val="005F3491"/>
    <w:rsid w:val="005F351C"/>
    <w:rsid w:val="005F38FC"/>
    <w:rsid w:val="005F3B1D"/>
    <w:rsid w:val="005F4265"/>
    <w:rsid w:val="005F4A8D"/>
    <w:rsid w:val="005F506E"/>
    <w:rsid w:val="005F5301"/>
    <w:rsid w:val="005F53D2"/>
    <w:rsid w:val="005F54CA"/>
    <w:rsid w:val="005F573F"/>
    <w:rsid w:val="005F6BC0"/>
    <w:rsid w:val="005F747C"/>
    <w:rsid w:val="005F77C5"/>
    <w:rsid w:val="005F7A18"/>
    <w:rsid w:val="00600B34"/>
    <w:rsid w:val="00600C94"/>
    <w:rsid w:val="00601D93"/>
    <w:rsid w:val="00601EEC"/>
    <w:rsid w:val="006024FE"/>
    <w:rsid w:val="00602A62"/>
    <w:rsid w:val="00602EDF"/>
    <w:rsid w:val="0060453C"/>
    <w:rsid w:val="00604843"/>
    <w:rsid w:val="0060505C"/>
    <w:rsid w:val="00605F83"/>
    <w:rsid w:val="00606018"/>
    <w:rsid w:val="00606449"/>
    <w:rsid w:val="006066E7"/>
    <w:rsid w:val="006073A1"/>
    <w:rsid w:val="00610ED6"/>
    <w:rsid w:val="00611B89"/>
    <w:rsid w:val="00611EDD"/>
    <w:rsid w:val="0061255A"/>
    <w:rsid w:val="006127C2"/>
    <w:rsid w:val="00612BE9"/>
    <w:rsid w:val="00612CD2"/>
    <w:rsid w:val="00612E60"/>
    <w:rsid w:val="00613583"/>
    <w:rsid w:val="00613E31"/>
    <w:rsid w:val="0061433E"/>
    <w:rsid w:val="006145BD"/>
    <w:rsid w:val="00615009"/>
    <w:rsid w:val="00615197"/>
    <w:rsid w:val="0061554A"/>
    <w:rsid w:val="006155C9"/>
    <w:rsid w:val="00615A6D"/>
    <w:rsid w:val="00615F88"/>
    <w:rsid w:val="00615F94"/>
    <w:rsid w:val="006160AF"/>
    <w:rsid w:val="00616138"/>
    <w:rsid w:val="006166D5"/>
    <w:rsid w:val="00617107"/>
    <w:rsid w:val="00617256"/>
    <w:rsid w:val="006174AF"/>
    <w:rsid w:val="0061784F"/>
    <w:rsid w:val="0062050D"/>
    <w:rsid w:val="006205F1"/>
    <w:rsid w:val="00620627"/>
    <w:rsid w:val="0062070C"/>
    <w:rsid w:val="00620B9C"/>
    <w:rsid w:val="00621CA5"/>
    <w:rsid w:val="00621CD3"/>
    <w:rsid w:val="00621E6E"/>
    <w:rsid w:val="00623922"/>
    <w:rsid w:val="00623D5F"/>
    <w:rsid w:val="00623E62"/>
    <w:rsid w:val="006240E1"/>
    <w:rsid w:val="00624738"/>
    <w:rsid w:val="00624A8B"/>
    <w:rsid w:val="00624E20"/>
    <w:rsid w:val="006253D8"/>
    <w:rsid w:val="006255AB"/>
    <w:rsid w:val="006257AA"/>
    <w:rsid w:val="00626298"/>
    <w:rsid w:val="00626570"/>
    <w:rsid w:val="00626690"/>
    <w:rsid w:val="00627607"/>
    <w:rsid w:val="006278B6"/>
    <w:rsid w:val="00627A87"/>
    <w:rsid w:val="00630DAB"/>
    <w:rsid w:val="00630DCF"/>
    <w:rsid w:val="00631FB0"/>
    <w:rsid w:val="006325B8"/>
    <w:rsid w:val="00632C82"/>
    <w:rsid w:val="00632D12"/>
    <w:rsid w:val="00634FD6"/>
    <w:rsid w:val="006356EB"/>
    <w:rsid w:val="00635F40"/>
    <w:rsid w:val="006363F5"/>
    <w:rsid w:val="00636613"/>
    <w:rsid w:val="00637335"/>
    <w:rsid w:val="00637A3B"/>
    <w:rsid w:val="0064034C"/>
    <w:rsid w:val="006404FF"/>
    <w:rsid w:val="00640721"/>
    <w:rsid w:val="00640FAB"/>
    <w:rsid w:val="006410DE"/>
    <w:rsid w:val="00641EE3"/>
    <w:rsid w:val="00642121"/>
    <w:rsid w:val="00642183"/>
    <w:rsid w:val="00642390"/>
    <w:rsid w:val="006425C5"/>
    <w:rsid w:val="00642D14"/>
    <w:rsid w:val="006438E8"/>
    <w:rsid w:val="00643D2D"/>
    <w:rsid w:val="00645B68"/>
    <w:rsid w:val="00645EDE"/>
    <w:rsid w:val="00647031"/>
    <w:rsid w:val="006474C2"/>
    <w:rsid w:val="00647BA8"/>
    <w:rsid w:val="00647BED"/>
    <w:rsid w:val="00650039"/>
    <w:rsid w:val="006500BE"/>
    <w:rsid w:val="00650828"/>
    <w:rsid w:val="006508AE"/>
    <w:rsid w:val="00650BB4"/>
    <w:rsid w:val="00650CAD"/>
    <w:rsid w:val="00650E5D"/>
    <w:rsid w:val="00651183"/>
    <w:rsid w:val="00651786"/>
    <w:rsid w:val="0065210A"/>
    <w:rsid w:val="00652B30"/>
    <w:rsid w:val="00653C32"/>
    <w:rsid w:val="00654894"/>
    <w:rsid w:val="006559D6"/>
    <w:rsid w:val="006576CF"/>
    <w:rsid w:val="00661957"/>
    <w:rsid w:val="00661AE0"/>
    <w:rsid w:val="00662064"/>
    <w:rsid w:val="00662726"/>
    <w:rsid w:val="00662872"/>
    <w:rsid w:val="00662918"/>
    <w:rsid w:val="00662D42"/>
    <w:rsid w:val="0066388E"/>
    <w:rsid w:val="00665065"/>
    <w:rsid w:val="0066515C"/>
    <w:rsid w:val="006653F5"/>
    <w:rsid w:val="006657D5"/>
    <w:rsid w:val="00666342"/>
    <w:rsid w:val="006666AE"/>
    <w:rsid w:val="006667AC"/>
    <w:rsid w:val="00667257"/>
    <w:rsid w:val="006677E3"/>
    <w:rsid w:val="00667815"/>
    <w:rsid w:val="00667D71"/>
    <w:rsid w:val="006707B7"/>
    <w:rsid w:val="00670C59"/>
    <w:rsid w:val="006712A2"/>
    <w:rsid w:val="00671924"/>
    <w:rsid w:val="00671B9B"/>
    <w:rsid w:val="00671EF8"/>
    <w:rsid w:val="00672DB3"/>
    <w:rsid w:val="00673557"/>
    <w:rsid w:val="00673790"/>
    <w:rsid w:val="00674A5C"/>
    <w:rsid w:val="00674CE7"/>
    <w:rsid w:val="006761D3"/>
    <w:rsid w:val="00676707"/>
    <w:rsid w:val="00676E7E"/>
    <w:rsid w:val="00677F1F"/>
    <w:rsid w:val="0068042E"/>
    <w:rsid w:val="00680B8A"/>
    <w:rsid w:val="00681127"/>
    <w:rsid w:val="00681288"/>
    <w:rsid w:val="00681DAF"/>
    <w:rsid w:val="006820DC"/>
    <w:rsid w:val="006829E2"/>
    <w:rsid w:val="00682F84"/>
    <w:rsid w:val="0068336E"/>
    <w:rsid w:val="0068362E"/>
    <w:rsid w:val="0068390F"/>
    <w:rsid w:val="00683F22"/>
    <w:rsid w:val="00685627"/>
    <w:rsid w:val="00685956"/>
    <w:rsid w:val="00686444"/>
    <w:rsid w:val="00687805"/>
    <w:rsid w:val="00687AA2"/>
    <w:rsid w:val="00687B28"/>
    <w:rsid w:val="0069047D"/>
    <w:rsid w:val="00690C58"/>
    <w:rsid w:val="00691264"/>
    <w:rsid w:val="006919E2"/>
    <w:rsid w:val="00693B81"/>
    <w:rsid w:val="00693EE4"/>
    <w:rsid w:val="00694022"/>
    <w:rsid w:val="006940AB"/>
    <w:rsid w:val="00694D86"/>
    <w:rsid w:val="00694E52"/>
    <w:rsid w:val="00694E6A"/>
    <w:rsid w:val="00696501"/>
    <w:rsid w:val="006967A8"/>
    <w:rsid w:val="00696B75"/>
    <w:rsid w:val="0069739B"/>
    <w:rsid w:val="00697B7A"/>
    <w:rsid w:val="006A00C4"/>
    <w:rsid w:val="006A020F"/>
    <w:rsid w:val="006A0C43"/>
    <w:rsid w:val="006A0F80"/>
    <w:rsid w:val="006A10C6"/>
    <w:rsid w:val="006A14C8"/>
    <w:rsid w:val="006A17DE"/>
    <w:rsid w:val="006A193E"/>
    <w:rsid w:val="006A1999"/>
    <w:rsid w:val="006A1E44"/>
    <w:rsid w:val="006A2605"/>
    <w:rsid w:val="006A297E"/>
    <w:rsid w:val="006A2B69"/>
    <w:rsid w:val="006A2CE4"/>
    <w:rsid w:val="006A3302"/>
    <w:rsid w:val="006A3A5B"/>
    <w:rsid w:val="006A3B71"/>
    <w:rsid w:val="006A40B5"/>
    <w:rsid w:val="006A48D3"/>
    <w:rsid w:val="006A501E"/>
    <w:rsid w:val="006A5119"/>
    <w:rsid w:val="006A54CE"/>
    <w:rsid w:val="006A623B"/>
    <w:rsid w:val="006A642C"/>
    <w:rsid w:val="006A6998"/>
    <w:rsid w:val="006A6C96"/>
    <w:rsid w:val="006A6EC4"/>
    <w:rsid w:val="006A72C3"/>
    <w:rsid w:val="006A76C3"/>
    <w:rsid w:val="006A7AA9"/>
    <w:rsid w:val="006A7DCB"/>
    <w:rsid w:val="006A7E22"/>
    <w:rsid w:val="006B0747"/>
    <w:rsid w:val="006B07A5"/>
    <w:rsid w:val="006B07E1"/>
    <w:rsid w:val="006B087B"/>
    <w:rsid w:val="006B0C42"/>
    <w:rsid w:val="006B17DF"/>
    <w:rsid w:val="006B2464"/>
    <w:rsid w:val="006B2EE7"/>
    <w:rsid w:val="006B40D8"/>
    <w:rsid w:val="006B43C2"/>
    <w:rsid w:val="006B4412"/>
    <w:rsid w:val="006B4D71"/>
    <w:rsid w:val="006B5581"/>
    <w:rsid w:val="006B56B5"/>
    <w:rsid w:val="006B641F"/>
    <w:rsid w:val="006B6803"/>
    <w:rsid w:val="006C021A"/>
    <w:rsid w:val="006C046A"/>
    <w:rsid w:val="006C13C2"/>
    <w:rsid w:val="006C1A48"/>
    <w:rsid w:val="006C1EF6"/>
    <w:rsid w:val="006C1F9D"/>
    <w:rsid w:val="006C25A9"/>
    <w:rsid w:val="006C2ECF"/>
    <w:rsid w:val="006C2F55"/>
    <w:rsid w:val="006C30E3"/>
    <w:rsid w:val="006C40B1"/>
    <w:rsid w:val="006C44F1"/>
    <w:rsid w:val="006C4AE5"/>
    <w:rsid w:val="006C4AEB"/>
    <w:rsid w:val="006C4AFC"/>
    <w:rsid w:val="006C5B97"/>
    <w:rsid w:val="006C5C7B"/>
    <w:rsid w:val="006C61BA"/>
    <w:rsid w:val="006C6F03"/>
    <w:rsid w:val="006C6FE4"/>
    <w:rsid w:val="006C7CA8"/>
    <w:rsid w:val="006C7D8E"/>
    <w:rsid w:val="006D061C"/>
    <w:rsid w:val="006D0920"/>
    <w:rsid w:val="006D0D0B"/>
    <w:rsid w:val="006D13E1"/>
    <w:rsid w:val="006D1D41"/>
    <w:rsid w:val="006D2294"/>
    <w:rsid w:val="006D23B1"/>
    <w:rsid w:val="006D2D2F"/>
    <w:rsid w:val="006D2DF1"/>
    <w:rsid w:val="006D3507"/>
    <w:rsid w:val="006D3991"/>
    <w:rsid w:val="006D3A68"/>
    <w:rsid w:val="006D3BF0"/>
    <w:rsid w:val="006D3E61"/>
    <w:rsid w:val="006D44C4"/>
    <w:rsid w:val="006D4951"/>
    <w:rsid w:val="006D4CBB"/>
    <w:rsid w:val="006D5233"/>
    <w:rsid w:val="006D58F9"/>
    <w:rsid w:val="006D5AB5"/>
    <w:rsid w:val="006D6504"/>
    <w:rsid w:val="006D6505"/>
    <w:rsid w:val="006D68BA"/>
    <w:rsid w:val="006D6F32"/>
    <w:rsid w:val="006D7182"/>
    <w:rsid w:val="006D79E3"/>
    <w:rsid w:val="006D7CDC"/>
    <w:rsid w:val="006E0607"/>
    <w:rsid w:val="006E0656"/>
    <w:rsid w:val="006E087C"/>
    <w:rsid w:val="006E0A34"/>
    <w:rsid w:val="006E0D22"/>
    <w:rsid w:val="006E0D28"/>
    <w:rsid w:val="006E12AF"/>
    <w:rsid w:val="006E133A"/>
    <w:rsid w:val="006E17F2"/>
    <w:rsid w:val="006E184B"/>
    <w:rsid w:val="006E184C"/>
    <w:rsid w:val="006E18DA"/>
    <w:rsid w:val="006E1DAF"/>
    <w:rsid w:val="006E1EE5"/>
    <w:rsid w:val="006E2752"/>
    <w:rsid w:val="006E3716"/>
    <w:rsid w:val="006E3EE1"/>
    <w:rsid w:val="006E4752"/>
    <w:rsid w:val="006E5942"/>
    <w:rsid w:val="006E5D62"/>
    <w:rsid w:val="006E67AF"/>
    <w:rsid w:val="006E6A51"/>
    <w:rsid w:val="006E6AA5"/>
    <w:rsid w:val="006E6FF3"/>
    <w:rsid w:val="006E7797"/>
    <w:rsid w:val="006E7BA1"/>
    <w:rsid w:val="006F0326"/>
    <w:rsid w:val="006F10F3"/>
    <w:rsid w:val="006F11D6"/>
    <w:rsid w:val="006F2C41"/>
    <w:rsid w:val="006F2D98"/>
    <w:rsid w:val="006F31A8"/>
    <w:rsid w:val="006F3916"/>
    <w:rsid w:val="006F392D"/>
    <w:rsid w:val="006F39E5"/>
    <w:rsid w:val="006F3C97"/>
    <w:rsid w:val="006F4F29"/>
    <w:rsid w:val="006F59EA"/>
    <w:rsid w:val="006F5A34"/>
    <w:rsid w:val="006F6AE3"/>
    <w:rsid w:val="006F7854"/>
    <w:rsid w:val="006F7E6B"/>
    <w:rsid w:val="00700075"/>
    <w:rsid w:val="007004FC"/>
    <w:rsid w:val="0070051C"/>
    <w:rsid w:val="00701541"/>
    <w:rsid w:val="0070185C"/>
    <w:rsid w:val="0070187B"/>
    <w:rsid w:val="007018FA"/>
    <w:rsid w:val="007025D0"/>
    <w:rsid w:val="00702A54"/>
    <w:rsid w:val="00702E22"/>
    <w:rsid w:val="00703D01"/>
    <w:rsid w:val="0070433E"/>
    <w:rsid w:val="00704E3A"/>
    <w:rsid w:val="007051B9"/>
    <w:rsid w:val="00705336"/>
    <w:rsid w:val="00705930"/>
    <w:rsid w:val="007063B1"/>
    <w:rsid w:val="00707295"/>
    <w:rsid w:val="0070789D"/>
    <w:rsid w:val="00710C62"/>
    <w:rsid w:val="00711149"/>
    <w:rsid w:val="00711213"/>
    <w:rsid w:val="007121D0"/>
    <w:rsid w:val="007127A6"/>
    <w:rsid w:val="00712C0D"/>
    <w:rsid w:val="00712E15"/>
    <w:rsid w:val="007134B6"/>
    <w:rsid w:val="0071389D"/>
    <w:rsid w:val="00714096"/>
    <w:rsid w:val="007146EE"/>
    <w:rsid w:val="00714C5D"/>
    <w:rsid w:val="0071535D"/>
    <w:rsid w:val="00715AA0"/>
    <w:rsid w:val="007166D3"/>
    <w:rsid w:val="007167E1"/>
    <w:rsid w:val="00716AFF"/>
    <w:rsid w:val="00716B0C"/>
    <w:rsid w:val="00716EE7"/>
    <w:rsid w:val="007171D8"/>
    <w:rsid w:val="00717310"/>
    <w:rsid w:val="007178F3"/>
    <w:rsid w:val="0071794B"/>
    <w:rsid w:val="00721164"/>
    <w:rsid w:val="0072278C"/>
    <w:rsid w:val="00722DA7"/>
    <w:rsid w:val="00723102"/>
    <w:rsid w:val="00723C69"/>
    <w:rsid w:val="00724148"/>
    <w:rsid w:val="00724296"/>
    <w:rsid w:val="00724BE5"/>
    <w:rsid w:val="00725169"/>
    <w:rsid w:val="0072516E"/>
    <w:rsid w:val="00726CF0"/>
    <w:rsid w:val="00726FA3"/>
    <w:rsid w:val="00727096"/>
    <w:rsid w:val="007270CF"/>
    <w:rsid w:val="00730074"/>
    <w:rsid w:val="0073049F"/>
    <w:rsid w:val="00731D1F"/>
    <w:rsid w:val="00731F9C"/>
    <w:rsid w:val="00731FE3"/>
    <w:rsid w:val="007324B3"/>
    <w:rsid w:val="00732C56"/>
    <w:rsid w:val="00733145"/>
    <w:rsid w:val="00733232"/>
    <w:rsid w:val="00733E45"/>
    <w:rsid w:val="007342AF"/>
    <w:rsid w:val="00734423"/>
    <w:rsid w:val="00734597"/>
    <w:rsid w:val="00734664"/>
    <w:rsid w:val="0073477C"/>
    <w:rsid w:val="00734DB5"/>
    <w:rsid w:val="00734DC7"/>
    <w:rsid w:val="00734E3D"/>
    <w:rsid w:val="0073538A"/>
    <w:rsid w:val="0073587A"/>
    <w:rsid w:val="00735BBA"/>
    <w:rsid w:val="00736A17"/>
    <w:rsid w:val="00737475"/>
    <w:rsid w:val="00737657"/>
    <w:rsid w:val="00737B3C"/>
    <w:rsid w:val="00740071"/>
    <w:rsid w:val="0074051D"/>
    <w:rsid w:val="007406B4"/>
    <w:rsid w:val="007408F8"/>
    <w:rsid w:val="007413C7"/>
    <w:rsid w:val="007416C2"/>
    <w:rsid w:val="00741909"/>
    <w:rsid w:val="0074271D"/>
    <w:rsid w:val="00742979"/>
    <w:rsid w:val="00742C6B"/>
    <w:rsid w:val="0074323E"/>
    <w:rsid w:val="00743415"/>
    <w:rsid w:val="00743D0B"/>
    <w:rsid w:val="00743EE8"/>
    <w:rsid w:val="00743F55"/>
    <w:rsid w:val="0074403B"/>
    <w:rsid w:val="007447CC"/>
    <w:rsid w:val="007449BF"/>
    <w:rsid w:val="00744BFA"/>
    <w:rsid w:val="00745266"/>
    <w:rsid w:val="00745A47"/>
    <w:rsid w:val="0074647B"/>
    <w:rsid w:val="007468AF"/>
    <w:rsid w:val="00746B6F"/>
    <w:rsid w:val="007475ED"/>
    <w:rsid w:val="007500F2"/>
    <w:rsid w:val="0075068E"/>
    <w:rsid w:val="00751CA9"/>
    <w:rsid w:val="0075271F"/>
    <w:rsid w:val="00752753"/>
    <w:rsid w:val="007537FD"/>
    <w:rsid w:val="007539CB"/>
    <w:rsid w:val="00753CB6"/>
    <w:rsid w:val="00754302"/>
    <w:rsid w:val="007543DA"/>
    <w:rsid w:val="00754F55"/>
    <w:rsid w:val="007563C4"/>
    <w:rsid w:val="00756511"/>
    <w:rsid w:val="0075677C"/>
    <w:rsid w:val="00756D62"/>
    <w:rsid w:val="007571B1"/>
    <w:rsid w:val="007605CB"/>
    <w:rsid w:val="00760C0F"/>
    <w:rsid w:val="00761BF4"/>
    <w:rsid w:val="00761C38"/>
    <w:rsid w:val="00761F9C"/>
    <w:rsid w:val="0076266C"/>
    <w:rsid w:val="00762B56"/>
    <w:rsid w:val="0076381F"/>
    <w:rsid w:val="00763949"/>
    <w:rsid w:val="00763A57"/>
    <w:rsid w:val="007640EB"/>
    <w:rsid w:val="00764107"/>
    <w:rsid w:val="007641BD"/>
    <w:rsid w:val="007642F6"/>
    <w:rsid w:val="0076458F"/>
    <w:rsid w:val="007646AA"/>
    <w:rsid w:val="007646C0"/>
    <w:rsid w:val="0076543A"/>
    <w:rsid w:val="00765490"/>
    <w:rsid w:val="00766028"/>
    <w:rsid w:val="0076698D"/>
    <w:rsid w:val="00766A57"/>
    <w:rsid w:val="00766C1B"/>
    <w:rsid w:val="00766F5D"/>
    <w:rsid w:val="00767001"/>
    <w:rsid w:val="00767B12"/>
    <w:rsid w:val="00767CAC"/>
    <w:rsid w:val="00767CBF"/>
    <w:rsid w:val="00770402"/>
    <w:rsid w:val="00771736"/>
    <w:rsid w:val="007718D3"/>
    <w:rsid w:val="00772560"/>
    <w:rsid w:val="0077291C"/>
    <w:rsid w:val="007730C5"/>
    <w:rsid w:val="00774610"/>
    <w:rsid w:val="007746F2"/>
    <w:rsid w:val="007749C0"/>
    <w:rsid w:val="00774A3C"/>
    <w:rsid w:val="00774CF9"/>
    <w:rsid w:val="00776857"/>
    <w:rsid w:val="0077751E"/>
    <w:rsid w:val="00780587"/>
    <w:rsid w:val="00780604"/>
    <w:rsid w:val="00780A2E"/>
    <w:rsid w:val="00780D92"/>
    <w:rsid w:val="007810F3"/>
    <w:rsid w:val="00781172"/>
    <w:rsid w:val="00781225"/>
    <w:rsid w:val="007813AB"/>
    <w:rsid w:val="00782357"/>
    <w:rsid w:val="007823BA"/>
    <w:rsid w:val="00782583"/>
    <w:rsid w:val="0078267E"/>
    <w:rsid w:val="007830E1"/>
    <w:rsid w:val="00783740"/>
    <w:rsid w:val="00783AC1"/>
    <w:rsid w:val="007842B0"/>
    <w:rsid w:val="00784A22"/>
    <w:rsid w:val="00784EA7"/>
    <w:rsid w:val="00784F4D"/>
    <w:rsid w:val="0078535C"/>
    <w:rsid w:val="007857E9"/>
    <w:rsid w:val="00785AD7"/>
    <w:rsid w:val="00785D70"/>
    <w:rsid w:val="00785F06"/>
    <w:rsid w:val="00786F24"/>
    <w:rsid w:val="0078727D"/>
    <w:rsid w:val="0078734C"/>
    <w:rsid w:val="00787748"/>
    <w:rsid w:val="00787922"/>
    <w:rsid w:val="00787AFE"/>
    <w:rsid w:val="007903F0"/>
    <w:rsid w:val="007906EF"/>
    <w:rsid w:val="00790E87"/>
    <w:rsid w:val="00790F22"/>
    <w:rsid w:val="00791945"/>
    <w:rsid w:val="007930BB"/>
    <w:rsid w:val="007930D7"/>
    <w:rsid w:val="00793650"/>
    <w:rsid w:val="00793B71"/>
    <w:rsid w:val="007940F2"/>
    <w:rsid w:val="00794400"/>
    <w:rsid w:val="00794F3D"/>
    <w:rsid w:val="00794F51"/>
    <w:rsid w:val="007955AA"/>
    <w:rsid w:val="00795D4C"/>
    <w:rsid w:val="00795F0E"/>
    <w:rsid w:val="00796159"/>
    <w:rsid w:val="0079628B"/>
    <w:rsid w:val="0079652F"/>
    <w:rsid w:val="007972BD"/>
    <w:rsid w:val="00797682"/>
    <w:rsid w:val="007978ED"/>
    <w:rsid w:val="007A0791"/>
    <w:rsid w:val="007A0D38"/>
    <w:rsid w:val="007A157A"/>
    <w:rsid w:val="007A16F6"/>
    <w:rsid w:val="007A1A66"/>
    <w:rsid w:val="007A1FC2"/>
    <w:rsid w:val="007A2DAE"/>
    <w:rsid w:val="007A32E3"/>
    <w:rsid w:val="007A3781"/>
    <w:rsid w:val="007A40C4"/>
    <w:rsid w:val="007A470D"/>
    <w:rsid w:val="007A50EF"/>
    <w:rsid w:val="007A5A35"/>
    <w:rsid w:val="007A5D7D"/>
    <w:rsid w:val="007A636B"/>
    <w:rsid w:val="007A65BB"/>
    <w:rsid w:val="007A77AB"/>
    <w:rsid w:val="007A792E"/>
    <w:rsid w:val="007A7EB0"/>
    <w:rsid w:val="007B009E"/>
    <w:rsid w:val="007B0234"/>
    <w:rsid w:val="007B07FA"/>
    <w:rsid w:val="007B0A19"/>
    <w:rsid w:val="007B0EF0"/>
    <w:rsid w:val="007B140C"/>
    <w:rsid w:val="007B19CC"/>
    <w:rsid w:val="007B19E8"/>
    <w:rsid w:val="007B1B2F"/>
    <w:rsid w:val="007B1C1B"/>
    <w:rsid w:val="007B2B78"/>
    <w:rsid w:val="007B2BAF"/>
    <w:rsid w:val="007B2D89"/>
    <w:rsid w:val="007B368C"/>
    <w:rsid w:val="007B3A51"/>
    <w:rsid w:val="007B3EFE"/>
    <w:rsid w:val="007B418C"/>
    <w:rsid w:val="007B46EC"/>
    <w:rsid w:val="007B4DB8"/>
    <w:rsid w:val="007B5322"/>
    <w:rsid w:val="007B7B56"/>
    <w:rsid w:val="007C039C"/>
    <w:rsid w:val="007C07C4"/>
    <w:rsid w:val="007C0A9A"/>
    <w:rsid w:val="007C0AE5"/>
    <w:rsid w:val="007C11F2"/>
    <w:rsid w:val="007C16B4"/>
    <w:rsid w:val="007C1B74"/>
    <w:rsid w:val="007C1C64"/>
    <w:rsid w:val="007C238E"/>
    <w:rsid w:val="007C350D"/>
    <w:rsid w:val="007C3A4D"/>
    <w:rsid w:val="007C3F6E"/>
    <w:rsid w:val="007C480F"/>
    <w:rsid w:val="007C48F5"/>
    <w:rsid w:val="007C4B43"/>
    <w:rsid w:val="007C4BED"/>
    <w:rsid w:val="007C4C44"/>
    <w:rsid w:val="007C5D03"/>
    <w:rsid w:val="007C5F71"/>
    <w:rsid w:val="007C5FE9"/>
    <w:rsid w:val="007C6505"/>
    <w:rsid w:val="007C6B1F"/>
    <w:rsid w:val="007C7280"/>
    <w:rsid w:val="007C76A0"/>
    <w:rsid w:val="007C7B77"/>
    <w:rsid w:val="007D0863"/>
    <w:rsid w:val="007D0920"/>
    <w:rsid w:val="007D0B68"/>
    <w:rsid w:val="007D0C3F"/>
    <w:rsid w:val="007D0D37"/>
    <w:rsid w:val="007D0F68"/>
    <w:rsid w:val="007D1A3E"/>
    <w:rsid w:val="007D1C0B"/>
    <w:rsid w:val="007D1FEE"/>
    <w:rsid w:val="007D21B2"/>
    <w:rsid w:val="007D21CF"/>
    <w:rsid w:val="007D2644"/>
    <w:rsid w:val="007D38A4"/>
    <w:rsid w:val="007D46E1"/>
    <w:rsid w:val="007D5182"/>
    <w:rsid w:val="007D60AE"/>
    <w:rsid w:val="007D63CB"/>
    <w:rsid w:val="007D6D55"/>
    <w:rsid w:val="007D6F3A"/>
    <w:rsid w:val="007D715E"/>
    <w:rsid w:val="007E044B"/>
    <w:rsid w:val="007E05A4"/>
    <w:rsid w:val="007E0790"/>
    <w:rsid w:val="007E0855"/>
    <w:rsid w:val="007E0DA0"/>
    <w:rsid w:val="007E1003"/>
    <w:rsid w:val="007E17C0"/>
    <w:rsid w:val="007E1B53"/>
    <w:rsid w:val="007E2B02"/>
    <w:rsid w:val="007E2DBC"/>
    <w:rsid w:val="007E3340"/>
    <w:rsid w:val="007E3556"/>
    <w:rsid w:val="007E3650"/>
    <w:rsid w:val="007E3708"/>
    <w:rsid w:val="007E3B0D"/>
    <w:rsid w:val="007E3BDB"/>
    <w:rsid w:val="007E40C4"/>
    <w:rsid w:val="007E532D"/>
    <w:rsid w:val="007E5404"/>
    <w:rsid w:val="007E5C7D"/>
    <w:rsid w:val="007E5F9B"/>
    <w:rsid w:val="007E66BD"/>
    <w:rsid w:val="007E6B6E"/>
    <w:rsid w:val="007E6D69"/>
    <w:rsid w:val="007E7CC2"/>
    <w:rsid w:val="007E7E8A"/>
    <w:rsid w:val="007F012A"/>
    <w:rsid w:val="007F0BD8"/>
    <w:rsid w:val="007F1005"/>
    <w:rsid w:val="007F14AC"/>
    <w:rsid w:val="007F157E"/>
    <w:rsid w:val="007F1E58"/>
    <w:rsid w:val="007F2272"/>
    <w:rsid w:val="007F2439"/>
    <w:rsid w:val="007F2892"/>
    <w:rsid w:val="007F2A93"/>
    <w:rsid w:val="007F2DE9"/>
    <w:rsid w:val="007F34E1"/>
    <w:rsid w:val="007F3608"/>
    <w:rsid w:val="007F3670"/>
    <w:rsid w:val="007F373A"/>
    <w:rsid w:val="007F4B35"/>
    <w:rsid w:val="007F4C1B"/>
    <w:rsid w:val="007F606D"/>
    <w:rsid w:val="007F64E2"/>
    <w:rsid w:val="007F657C"/>
    <w:rsid w:val="007F6B65"/>
    <w:rsid w:val="007F75EA"/>
    <w:rsid w:val="007F7BF1"/>
    <w:rsid w:val="00800CC5"/>
    <w:rsid w:val="00801BD0"/>
    <w:rsid w:val="008023AA"/>
    <w:rsid w:val="0080271E"/>
    <w:rsid w:val="008027ED"/>
    <w:rsid w:val="00803472"/>
    <w:rsid w:val="00803474"/>
    <w:rsid w:val="008042FE"/>
    <w:rsid w:val="008045DA"/>
    <w:rsid w:val="00805951"/>
    <w:rsid w:val="00805A4A"/>
    <w:rsid w:val="00805C45"/>
    <w:rsid w:val="00805F6E"/>
    <w:rsid w:val="008071F3"/>
    <w:rsid w:val="00807685"/>
    <w:rsid w:val="00807F89"/>
    <w:rsid w:val="008100D7"/>
    <w:rsid w:val="008105F6"/>
    <w:rsid w:val="008109C1"/>
    <w:rsid w:val="00810A52"/>
    <w:rsid w:val="00810B99"/>
    <w:rsid w:val="008115A6"/>
    <w:rsid w:val="00811968"/>
    <w:rsid w:val="00812270"/>
    <w:rsid w:val="00812375"/>
    <w:rsid w:val="00812A9F"/>
    <w:rsid w:val="00812B58"/>
    <w:rsid w:val="00812CE3"/>
    <w:rsid w:val="00812D11"/>
    <w:rsid w:val="00812F45"/>
    <w:rsid w:val="00813220"/>
    <w:rsid w:val="008134F1"/>
    <w:rsid w:val="0081380D"/>
    <w:rsid w:val="008145A9"/>
    <w:rsid w:val="0081483C"/>
    <w:rsid w:val="00814E56"/>
    <w:rsid w:val="00814E5F"/>
    <w:rsid w:val="00815A2A"/>
    <w:rsid w:val="00815D99"/>
    <w:rsid w:val="00816CD7"/>
    <w:rsid w:val="00817316"/>
    <w:rsid w:val="0081777F"/>
    <w:rsid w:val="0082007C"/>
    <w:rsid w:val="008201DC"/>
    <w:rsid w:val="008208A7"/>
    <w:rsid w:val="00820B55"/>
    <w:rsid w:val="008210A5"/>
    <w:rsid w:val="00821B0E"/>
    <w:rsid w:val="00821D4C"/>
    <w:rsid w:val="00822287"/>
    <w:rsid w:val="00822709"/>
    <w:rsid w:val="00822A46"/>
    <w:rsid w:val="00822A98"/>
    <w:rsid w:val="008232F4"/>
    <w:rsid w:val="008236B0"/>
    <w:rsid w:val="008236C0"/>
    <w:rsid w:val="00823B38"/>
    <w:rsid w:val="00824109"/>
    <w:rsid w:val="00824AB5"/>
    <w:rsid w:val="00824F86"/>
    <w:rsid w:val="0082567F"/>
    <w:rsid w:val="00825903"/>
    <w:rsid w:val="00826599"/>
    <w:rsid w:val="00826638"/>
    <w:rsid w:val="008266CB"/>
    <w:rsid w:val="00826EF6"/>
    <w:rsid w:val="00827516"/>
    <w:rsid w:val="00827877"/>
    <w:rsid w:val="00827946"/>
    <w:rsid w:val="008279A6"/>
    <w:rsid w:val="008300F4"/>
    <w:rsid w:val="0083014F"/>
    <w:rsid w:val="00830A4A"/>
    <w:rsid w:val="00830D75"/>
    <w:rsid w:val="008315A1"/>
    <w:rsid w:val="00831776"/>
    <w:rsid w:val="00831844"/>
    <w:rsid w:val="00831E95"/>
    <w:rsid w:val="0083208D"/>
    <w:rsid w:val="008330D4"/>
    <w:rsid w:val="0083324F"/>
    <w:rsid w:val="0083348E"/>
    <w:rsid w:val="00834057"/>
    <w:rsid w:val="0083430F"/>
    <w:rsid w:val="0083465C"/>
    <w:rsid w:val="00834850"/>
    <w:rsid w:val="00834A1C"/>
    <w:rsid w:val="00834B5A"/>
    <w:rsid w:val="00834CF6"/>
    <w:rsid w:val="00834D12"/>
    <w:rsid w:val="00834D13"/>
    <w:rsid w:val="00834F08"/>
    <w:rsid w:val="008350EB"/>
    <w:rsid w:val="0083511B"/>
    <w:rsid w:val="008352FD"/>
    <w:rsid w:val="00835B5F"/>
    <w:rsid w:val="008374D1"/>
    <w:rsid w:val="0084038D"/>
    <w:rsid w:val="00840B0A"/>
    <w:rsid w:val="00840B95"/>
    <w:rsid w:val="00840BF7"/>
    <w:rsid w:val="008414DF"/>
    <w:rsid w:val="00841CE6"/>
    <w:rsid w:val="0084212B"/>
    <w:rsid w:val="00842DF5"/>
    <w:rsid w:val="00842ED4"/>
    <w:rsid w:val="0084319F"/>
    <w:rsid w:val="0084320E"/>
    <w:rsid w:val="008433C3"/>
    <w:rsid w:val="008438A8"/>
    <w:rsid w:val="00843F84"/>
    <w:rsid w:val="008452C1"/>
    <w:rsid w:val="00845BDE"/>
    <w:rsid w:val="0084674B"/>
    <w:rsid w:val="00846906"/>
    <w:rsid w:val="008473A7"/>
    <w:rsid w:val="00847408"/>
    <w:rsid w:val="008474F8"/>
    <w:rsid w:val="00847AF1"/>
    <w:rsid w:val="00850536"/>
    <w:rsid w:val="008507DB"/>
    <w:rsid w:val="00850BA5"/>
    <w:rsid w:val="00851258"/>
    <w:rsid w:val="008516DA"/>
    <w:rsid w:val="008519A2"/>
    <w:rsid w:val="00851BC3"/>
    <w:rsid w:val="0085232F"/>
    <w:rsid w:val="00852943"/>
    <w:rsid w:val="00853514"/>
    <w:rsid w:val="00853754"/>
    <w:rsid w:val="00853A21"/>
    <w:rsid w:val="008543E1"/>
    <w:rsid w:val="0085591A"/>
    <w:rsid w:val="00855DF4"/>
    <w:rsid w:val="0085602C"/>
    <w:rsid w:val="00856265"/>
    <w:rsid w:val="008563F3"/>
    <w:rsid w:val="00856793"/>
    <w:rsid w:val="00856A01"/>
    <w:rsid w:val="00856AD3"/>
    <w:rsid w:val="0085777A"/>
    <w:rsid w:val="008577E4"/>
    <w:rsid w:val="0086017A"/>
    <w:rsid w:val="00860427"/>
    <w:rsid w:val="00860EF6"/>
    <w:rsid w:val="0086161E"/>
    <w:rsid w:val="00861F14"/>
    <w:rsid w:val="008620A0"/>
    <w:rsid w:val="00862968"/>
    <w:rsid w:val="00862C4A"/>
    <w:rsid w:val="00863E70"/>
    <w:rsid w:val="00865BBA"/>
    <w:rsid w:val="008660DD"/>
    <w:rsid w:val="00866CC0"/>
    <w:rsid w:val="00866F7B"/>
    <w:rsid w:val="00867123"/>
    <w:rsid w:val="0087070D"/>
    <w:rsid w:val="00870858"/>
    <w:rsid w:val="008708C5"/>
    <w:rsid w:val="00870A27"/>
    <w:rsid w:val="008713AC"/>
    <w:rsid w:val="00871583"/>
    <w:rsid w:val="008721F9"/>
    <w:rsid w:val="00872A05"/>
    <w:rsid w:val="00872AFD"/>
    <w:rsid w:val="00872EE0"/>
    <w:rsid w:val="00872FB1"/>
    <w:rsid w:val="00873487"/>
    <w:rsid w:val="00873F31"/>
    <w:rsid w:val="0087513F"/>
    <w:rsid w:val="0087523F"/>
    <w:rsid w:val="008752B1"/>
    <w:rsid w:val="00875AD4"/>
    <w:rsid w:val="00875F66"/>
    <w:rsid w:val="00876055"/>
    <w:rsid w:val="0087612E"/>
    <w:rsid w:val="008761C6"/>
    <w:rsid w:val="00876684"/>
    <w:rsid w:val="008768CE"/>
    <w:rsid w:val="00876D7A"/>
    <w:rsid w:val="00877015"/>
    <w:rsid w:val="008779EF"/>
    <w:rsid w:val="00877CA1"/>
    <w:rsid w:val="0088067E"/>
    <w:rsid w:val="00880701"/>
    <w:rsid w:val="00881017"/>
    <w:rsid w:val="008814C1"/>
    <w:rsid w:val="00882356"/>
    <w:rsid w:val="0088248A"/>
    <w:rsid w:val="00882656"/>
    <w:rsid w:val="008826E7"/>
    <w:rsid w:val="008827E2"/>
    <w:rsid w:val="00882A0D"/>
    <w:rsid w:val="0088346C"/>
    <w:rsid w:val="00883B2C"/>
    <w:rsid w:val="00883F6E"/>
    <w:rsid w:val="008844A3"/>
    <w:rsid w:val="008854D3"/>
    <w:rsid w:val="00885BD2"/>
    <w:rsid w:val="00886A28"/>
    <w:rsid w:val="008874EB"/>
    <w:rsid w:val="0089104A"/>
    <w:rsid w:val="00891493"/>
    <w:rsid w:val="00892300"/>
    <w:rsid w:val="00892B40"/>
    <w:rsid w:val="0089300F"/>
    <w:rsid w:val="00893071"/>
    <w:rsid w:val="008930DA"/>
    <w:rsid w:val="00893189"/>
    <w:rsid w:val="00893A91"/>
    <w:rsid w:val="00893D8F"/>
    <w:rsid w:val="00893FBD"/>
    <w:rsid w:val="00894016"/>
    <w:rsid w:val="008943DD"/>
    <w:rsid w:val="00894A10"/>
    <w:rsid w:val="00894C8B"/>
    <w:rsid w:val="0089653A"/>
    <w:rsid w:val="00897334"/>
    <w:rsid w:val="008A0988"/>
    <w:rsid w:val="008A1611"/>
    <w:rsid w:val="008A162D"/>
    <w:rsid w:val="008A1719"/>
    <w:rsid w:val="008A194E"/>
    <w:rsid w:val="008A1D56"/>
    <w:rsid w:val="008A2237"/>
    <w:rsid w:val="008A2524"/>
    <w:rsid w:val="008A255B"/>
    <w:rsid w:val="008A2675"/>
    <w:rsid w:val="008A278C"/>
    <w:rsid w:val="008A2C29"/>
    <w:rsid w:val="008A32DC"/>
    <w:rsid w:val="008A3B97"/>
    <w:rsid w:val="008A3CA8"/>
    <w:rsid w:val="008A43FB"/>
    <w:rsid w:val="008A4619"/>
    <w:rsid w:val="008A518A"/>
    <w:rsid w:val="008A5289"/>
    <w:rsid w:val="008A580C"/>
    <w:rsid w:val="008A5E26"/>
    <w:rsid w:val="008A6358"/>
    <w:rsid w:val="008A701C"/>
    <w:rsid w:val="008A70B6"/>
    <w:rsid w:val="008A7927"/>
    <w:rsid w:val="008B04DD"/>
    <w:rsid w:val="008B0616"/>
    <w:rsid w:val="008B0941"/>
    <w:rsid w:val="008B0A55"/>
    <w:rsid w:val="008B0ACC"/>
    <w:rsid w:val="008B18EB"/>
    <w:rsid w:val="008B308E"/>
    <w:rsid w:val="008B3588"/>
    <w:rsid w:val="008B36F4"/>
    <w:rsid w:val="008B37B8"/>
    <w:rsid w:val="008B457C"/>
    <w:rsid w:val="008B4C2A"/>
    <w:rsid w:val="008B4F98"/>
    <w:rsid w:val="008B5C6C"/>
    <w:rsid w:val="008B6014"/>
    <w:rsid w:val="008B6366"/>
    <w:rsid w:val="008B64FC"/>
    <w:rsid w:val="008B6A88"/>
    <w:rsid w:val="008B70EC"/>
    <w:rsid w:val="008B77B6"/>
    <w:rsid w:val="008B7962"/>
    <w:rsid w:val="008B7FC3"/>
    <w:rsid w:val="008C0233"/>
    <w:rsid w:val="008C0280"/>
    <w:rsid w:val="008C0468"/>
    <w:rsid w:val="008C04FB"/>
    <w:rsid w:val="008C19ED"/>
    <w:rsid w:val="008C1BBA"/>
    <w:rsid w:val="008C20D8"/>
    <w:rsid w:val="008C219C"/>
    <w:rsid w:val="008C2B05"/>
    <w:rsid w:val="008C33AF"/>
    <w:rsid w:val="008C35BE"/>
    <w:rsid w:val="008C3874"/>
    <w:rsid w:val="008C3914"/>
    <w:rsid w:val="008C3B69"/>
    <w:rsid w:val="008C3D22"/>
    <w:rsid w:val="008C47D6"/>
    <w:rsid w:val="008C4E35"/>
    <w:rsid w:val="008C5622"/>
    <w:rsid w:val="008C58B8"/>
    <w:rsid w:val="008C6A79"/>
    <w:rsid w:val="008C6F7C"/>
    <w:rsid w:val="008C74E8"/>
    <w:rsid w:val="008C76D9"/>
    <w:rsid w:val="008C7CD5"/>
    <w:rsid w:val="008C7D8E"/>
    <w:rsid w:val="008C7E48"/>
    <w:rsid w:val="008D011F"/>
    <w:rsid w:val="008D0815"/>
    <w:rsid w:val="008D0BB5"/>
    <w:rsid w:val="008D2151"/>
    <w:rsid w:val="008D2897"/>
    <w:rsid w:val="008D2D9F"/>
    <w:rsid w:val="008D2E97"/>
    <w:rsid w:val="008D33D4"/>
    <w:rsid w:val="008D3494"/>
    <w:rsid w:val="008D352B"/>
    <w:rsid w:val="008D3CB4"/>
    <w:rsid w:val="008D4020"/>
    <w:rsid w:val="008D4CE7"/>
    <w:rsid w:val="008D5B37"/>
    <w:rsid w:val="008D673B"/>
    <w:rsid w:val="008D77E4"/>
    <w:rsid w:val="008E1760"/>
    <w:rsid w:val="008E1894"/>
    <w:rsid w:val="008E2273"/>
    <w:rsid w:val="008E27A6"/>
    <w:rsid w:val="008E352D"/>
    <w:rsid w:val="008E358D"/>
    <w:rsid w:val="008E3C08"/>
    <w:rsid w:val="008E4341"/>
    <w:rsid w:val="008E4C79"/>
    <w:rsid w:val="008E4D8F"/>
    <w:rsid w:val="008E5439"/>
    <w:rsid w:val="008E56D3"/>
    <w:rsid w:val="008E5982"/>
    <w:rsid w:val="008E59AF"/>
    <w:rsid w:val="008E5A3C"/>
    <w:rsid w:val="008E6180"/>
    <w:rsid w:val="008E6424"/>
    <w:rsid w:val="008E68FA"/>
    <w:rsid w:val="008E69BC"/>
    <w:rsid w:val="008E6F0F"/>
    <w:rsid w:val="008E7147"/>
    <w:rsid w:val="008F0246"/>
    <w:rsid w:val="008F0B5A"/>
    <w:rsid w:val="008F0D71"/>
    <w:rsid w:val="008F1494"/>
    <w:rsid w:val="008F1EE9"/>
    <w:rsid w:val="008F2D0D"/>
    <w:rsid w:val="008F2D8B"/>
    <w:rsid w:val="008F37C3"/>
    <w:rsid w:val="008F4172"/>
    <w:rsid w:val="008F4AC4"/>
    <w:rsid w:val="008F4CCA"/>
    <w:rsid w:val="008F54FA"/>
    <w:rsid w:val="008F56BB"/>
    <w:rsid w:val="008F5B42"/>
    <w:rsid w:val="008F5E7D"/>
    <w:rsid w:val="008F632F"/>
    <w:rsid w:val="008F691D"/>
    <w:rsid w:val="008F6942"/>
    <w:rsid w:val="008F6D9A"/>
    <w:rsid w:val="008F6F0F"/>
    <w:rsid w:val="00900482"/>
    <w:rsid w:val="0090088C"/>
    <w:rsid w:val="00900D3E"/>
    <w:rsid w:val="00901E5A"/>
    <w:rsid w:val="00901F17"/>
    <w:rsid w:val="00901FD2"/>
    <w:rsid w:val="00902D9E"/>
    <w:rsid w:val="00903BFA"/>
    <w:rsid w:val="00903C8A"/>
    <w:rsid w:val="00903D24"/>
    <w:rsid w:val="00903EC1"/>
    <w:rsid w:val="009040F1"/>
    <w:rsid w:val="00904747"/>
    <w:rsid w:val="00904A21"/>
    <w:rsid w:val="009059CF"/>
    <w:rsid w:val="00906275"/>
    <w:rsid w:val="009068B1"/>
    <w:rsid w:val="00907848"/>
    <w:rsid w:val="00910599"/>
    <w:rsid w:val="00910730"/>
    <w:rsid w:val="00910E38"/>
    <w:rsid w:val="0091147D"/>
    <w:rsid w:val="009116B4"/>
    <w:rsid w:val="00911D9A"/>
    <w:rsid w:val="00911E3D"/>
    <w:rsid w:val="00911ECE"/>
    <w:rsid w:val="009126F2"/>
    <w:rsid w:val="00912F20"/>
    <w:rsid w:val="00912F2C"/>
    <w:rsid w:val="00913CB2"/>
    <w:rsid w:val="00914F27"/>
    <w:rsid w:val="00915240"/>
    <w:rsid w:val="00915AE9"/>
    <w:rsid w:val="00915ECB"/>
    <w:rsid w:val="00916832"/>
    <w:rsid w:val="00916A9B"/>
    <w:rsid w:val="00916B92"/>
    <w:rsid w:val="00916EB6"/>
    <w:rsid w:val="00916F3B"/>
    <w:rsid w:val="00917405"/>
    <w:rsid w:val="00917524"/>
    <w:rsid w:val="00917653"/>
    <w:rsid w:val="009176B5"/>
    <w:rsid w:val="00917700"/>
    <w:rsid w:val="00917B68"/>
    <w:rsid w:val="00917F5B"/>
    <w:rsid w:val="00920F6A"/>
    <w:rsid w:val="0092133E"/>
    <w:rsid w:val="00921FEB"/>
    <w:rsid w:val="009223CD"/>
    <w:rsid w:val="00922810"/>
    <w:rsid w:val="00922CD8"/>
    <w:rsid w:val="009239B1"/>
    <w:rsid w:val="00923D78"/>
    <w:rsid w:val="00923FAB"/>
    <w:rsid w:val="00924108"/>
    <w:rsid w:val="0092410D"/>
    <w:rsid w:val="00924932"/>
    <w:rsid w:val="00924AEE"/>
    <w:rsid w:val="00924B92"/>
    <w:rsid w:val="00925007"/>
    <w:rsid w:val="009250B1"/>
    <w:rsid w:val="00925124"/>
    <w:rsid w:val="009252B3"/>
    <w:rsid w:val="00925439"/>
    <w:rsid w:val="00925463"/>
    <w:rsid w:val="00925685"/>
    <w:rsid w:val="009261F2"/>
    <w:rsid w:val="0092628E"/>
    <w:rsid w:val="009264E5"/>
    <w:rsid w:val="0092663A"/>
    <w:rsid w:val="009267D1"/>
    <w:rsid w:val="00926B40"/>
    <w:rsid w:val="00926C38"/>
    <w:rsid w:val="0092712F"/>
    <w:rsid w:val="00927666"/>
    <w:rsid w:val="00927A60"/>
    <w:rsid w:val="009303AE"/>
    <w:rsid w:val="00930E7B"/>
    <w:rsid w:val="009310E7"/>
    <w:rsid w:val="00932389"/>
    <w:rsid w:val="009324BC"/>
    <w:rsid w:val="00932775"/>
    <w:rsid w:val="00932E36"/>
    <w:rsid w:val="00932EF0"/>
    <w:rsid w:val="0093335A"/>
    <w:rsid w:val="009334FC"/>
    <w:rsid w:val="00933C43"/>
    <w:rsid w:val="00933EA8"/>
    <w:rsid w:val="00933ED0"/>
    <w:rsid w:val="00934034"/>
    <w:rsid w:val="00934484"/>
    <w:rsid w:val="009344E5"/>
    <w:rsid w:val="00934802"/>
    <w:rsid w:val="00934F83"/>
    <w:rsid w:val="00935862"/>
    <w:rsid w:val="009369AA"/>
    <w:rsid w:val="00936F40"/>
    <w:rsid w:val="009371FB"/>
    <w:rsid w:val="00937917"/>
    <w:rsid w:val="00937C0E"/>
    <w:rsid w:val="00940880"/>
    <w:rsid w:val="00940B30"/>
    <w:rsid w:val="00940B72"/>
    <w:rsid w:val="00940CDA"/>
    <w:rsid w:val="00941201"/>
    <w:rsid w:val="00941D15"/>
    <w:rsid w:val="00941D8D"/>
    <w:rsid w:val="009434FD"/>
    <w:rsid w:val="0094393E"/>
    <w:rsid w:val="009439CB"/>
    <w:rsid w:val="00943E5B"/>
    <w:rsid w:val="00944024"/>
    <w:rsid w:val="009441FB"/>
    <w:rsid w:val="009442D1"/>
    <w:rsid w:val="00944601"/>
    <w:rsid w:val="00944E82"/>
    <w:rsid w:val="009453A5"/>
    <w:rsid w:val="00946490"/>
    <w:rsid w:val="009467CC"/>
    <w:rsid w:val="00946A2C"/>
    <w:rsid w:val="00947C2A"/>
    <w:rsid w:val="009505F3"/>
    <w:rsid w:val="009527A5"/>
    <w:rsid w:val="009535B9"/>
    <w:rsid w:val="009536B3"/>
    <w:rsid w:val="00953957"/>
    <w:rsid w:val="00953DAF"/>
    <w:rsid w:val="00954201"/>
    <w:rsid w:val="0095451B"/>
    <w:rsid w:val="00954567"/>
    <w:rsid w:val="00954EB0"/>
    <w:rsid w:val="00955159"/>
    <w:rsid w:val="0095687E"/>
    <w:rsid w:val="009568F2"/>
    <w:rsid w:val="00956931"/>
    <w:rsid w:val="00956A42"/>
    <w:rsid w:val="00956C95"/>
    <w:rsid w:val="0095716F"/>
    <w:rsid w:val="00957827"/>
    <w:rsid w:val="009578B6"/>
    <w:rsid w:val="0095793E"/>
    <w:rsid w:val="00957C46"/>
    <w:rsid w:val="00957D5B"/>
    <w:rsid w:val="009600B5"/>
    <w:rsid w:val="00960373"/>
    <w:rsid w:val="00960438"/>
    <w:rsid w:val="009608AF"/>
    <w:rsid w:val="009609A3"/>
    <w:rsid w:val="00961663"/>
    <w:rsid w:val="00962523"/>
    <w:rsid w:val="0096299B"/>
    <w:rsid w:val="00962CDE"/>
    <w:rsid w:val="00963162"/>
    <w:rsid w:val="00964D4C"/>
    <w:rsid w:val="00965F8A"/>
    <w:rsid w:val="00966203"/>
    <w:rsid w:val="0096646F"/>
    <w:rsid w:val="00966605"/>
    <w:rsid w:val="009666C4"/>
    <w:rsid w:val="009666D1"/>
    <w:rsid w:val="00967583"/>
    <w:rsid w:val="00967B64"/>
    <w:rsid w:val="00967B69"/>
    <w:rsid w:val="00970195"/>
    <w:rsid w:val="0097102C"/>
    <w:rsid w:val="009712D0"/>
    <w:rsid w:val="00971463"/>
    <w:rsid w:val="00971B4B"/>
    <w:rsid w:val="00971CAD"/>
    <w:rsid w:val="009720FD"/>
    <w:rsid w:val="0097251F"/>
    <w:rsid w:val="0097255B"/>
    <w:rsid w:val="00972FF5"/>
    <w:rsid w:val="00973087"/>
    <w:rsid w:val="00973089"/>
    <w:rsid w:val="00973769"/>
    <w:rsid w:val="00973772"/>
    <w:rsid w:val="00973D13"/>
    <w:rsid w:val="00973F7D"/>
    <w:rsid w:val="00974B71"/>
    <w:rsid w:val="00977289"/>
    <w:rsid w:val="009772A0"/>
    <w:rsid w:val="0097731B"/>
    <w:rsid w:val="009773A2"/>
    <w:rsid w:val="009817F3"/>
    <w:rsid w:val="00981AF1"/>
    <w:rsid w:val="009820E5"/>
    <w:rsid w:val="00982787"/>
    <w:rsid w:val="0098358F"/>
    <w:rsid w:val="00983DAA"/>
    <w:rsid w:val="0098467D"/>
    <w:rsid w:val="00984C01"/>
    <w:rsid w:val="00985048"/>
    <w:rsid w:val="00985119"/>
    <w:rsid w:val="00985BC6"/>
    <w:rsid w:val="00985F7B"/>
    <w:rsid w:val="00986952"/>
    <w:rsid w:val="009872BF"/>
    <w:rsid w:val="009874D2"/>
    <w:rsid w:val="00990845"/>
    <w:rsid w:val="00990B3A"/>
    <w:rsid w:val="009911DF"/>
    <w:rsid w:val="00991964"/>
    <w:rsid w:val="00991E70"/>
    <w:rsid w:val="00992C71"/>
    <w:rsid w:val="00992E2B"/>
    <w:rsid w:val="00993571"/>
    <w:rsid w:val="009938AE"/>
    <w:rsid w:val="00993FE0"/>
    <w:rsid w:val="0099400D"/>
    <w:rsid w:val="0099409E"/>
    <w:rsid w:val="009950D0"/>
    <w:rsid w:val="009954B4"/>
    <w:rsid w:val="00995D9D"/>
    <w:rsid w:val="00995DC8"/>
    <w:rsid w:val="00995F99"/>
    <w:rsid w:val="0099600F"/>
    <w:rsid w:val="00996271"/>
    <w:rsid w:val="00996344"/>
    <w:rsid w:val="0099696B"/>
    <w:rsid w:val="009975F2"/>
    <w:rsid w:val="00997994"/>
    <w:rsid w:val="009A010F"/>
    <w:rsid w:val="009A08F5"/>
    <w:rsid w:val="009A1343"/>
    <w:rsid w:val="009A19D7"/>
    <w:rsid w:val="009A1F5F"/>
    <w:rsid w:val="009A2552"/>
    <w:rsid w:val="009A26F6"/>
    <w:rsid w:val="009A2859"/>
    <w:rsid w:val="009A2B42"/>
    <w:rsid w:val="009A306E"/>
    <w:rsid w:val="009A3A0F"/>
    <w:rsid w:val="009A3F6E"/>
    <w:rsid w:val="009A46F0"/>
    <w:rsid w:val="009A49C6"/>
    <w:rsid w:val="009A4F5D"/>
    <w:rsid w:val="009A561F"/>
    <w:rsid w:val="009A5D44"/>
    <w:rsid w:val="009A6110"/>
    <w:rsid w:val="009A61B5"/>
    <w:rsid w:val="009A6274"/>
    <w:rsid w:val="009A65F7"/>
    <w:rsid w:val="009A66BD"/>
    <w:rsid w:val="009A678D"/>
    <w:rsid w:val="009A6C36"/>
    <w:rsid w:val="009A78CB"/>
    <w:rsid w:val="009B027A"/>
    <w:rsid w:val="009B0488"/>
    <w:rsid w:val="009B0697"/>
    <w:rsid w:val="009B0DE5"/>
    <w:rsid w:val="009B10E9"/>
    <w:rsid w:val="009B125A"/>
    <w:rsid w:val="009B13B7"/>
    <w:rsid w:val="009B171C"/>
    <w:rsid w:val="009B1893"/>
    <w:rsid w:val="009B1926"/>
    <w:rsid w:val="009B1958"/>
    <w:rsid w:val="009B1C1F"/>
    <w:rsid w:val="009B1E31"/>
    <w:rsid w:val="009B2E13"/>
    <w:rsid w:val="009B33D3"/>
    <w:rsid w:val="009B4193"/>
    <w:rsid w:val="009B42B9"/>
    <w:rsid w:val="009B4568"/>
    <w:rsid w:val="009B497F"/>
    <w:rsid w:val="009B4D2D"/>
    <w:rsid w:val="009B50AA"/>
    <w:rsid w:val="009B59D2"/>
    <w:rsid w:val="009B61BD"/>
    <w:rsid w:val="009B66E2"/>
    <w:rsid w:val="009B6996"/>
    <w:rsid w:val="009B6D12"/>
    <w:rsid w:val="009B7815"/>
    <w:rsid w:val="009B79F4"/>
    <w:rsid w:val="009B7C88"/>
    <w:rsid w:val="009C026B"/>
    <w:rsid w:val="009C059A"/>
    <w:rsid w:val="009C07B6"/>
    <w:rsid w:val="009C08C4"/>
    <w:rsid w:val="009C0A08"/>
    <w:rsid w:val="009C0E63"/>
    <w:rsid w:val="009C18A9"/>
    <w:rsid w:val="009C193C"/>
    <w:rsid w:val="009C2220"/>
    <w:rsid w:val="009C28F8"/>
    <w:rsid w:val="009C2F65"/>
    <w:rsid w:val="009C3212"/>
    <w:rsid w:val="009C3267"/>
    <w:rsid w:val="009C34FD"/>
    <w:rsid w:val="009C42AC"/>
    <w:rsid w:val="009C44D8"/>
    <w:rsid w:val="009C44E5"/>
    <w:rsid w:val="009C46CD"/>
    <w:rsid w:val="009C4881"/>
    <w:rsid w:val="009C4EA3"/>
    <w:rsid w:val="009C5DDC"/>
    <w:rsid w:val="009C60EB"/>
    <w:rsid w:val="009C67EB"/>
    <w:rsid w:val="009C6A04"/>
    <w:rsid w:val="009C6B1A"/>
    <w:rsid w:val="009C774E"/>
    <w:rsid w:val="009D0049"/>
    <w:rsid w:val="009D04D4"/>
    <w:rsid w:val="009D1C40"/>
    <w:rsid w:val="009D1CB9"/>
    <w:rsid w:val="009D1F07"/>
    <w:rsid w:val="009D242B"/>
    <w:rsid w:val="009D308C"/>
    <w:rsid w:val="009D386D"/>
    <w:rsid w:val="009D3C7F"/>
    <w:rsid w:val="009D3DCF"/>
    <w:rsid w:val="009D5071"/>
    <w:rsid w:val="009D587A"/>
    <w:rsid w:val="009D5C99"/>
    <w:rsid w:val="009D6837"/>
    <w:rsid w:val="009D69F6"/>
    <w:rsid w:val="009D720F"/>
    <w:rsid w:val="009D7367"/>
    <w:rsid w:val="009D7E89"/>
    <w:rsid w:val="009E01BA"/>
    <w:rsid w:val="009E0AED"/>
    <w:rsid w:val="009E0E22"/>
    <w:rsid w:val="009E10E7"/>
    <w:rsid w:val="009E1356"/>
    <w:rsid w:val="009E148C"/>
    <w:rsid w:val="009E17FE"/>
    <w:rsid w:val="009E197D"/>
    <w:rsid w:val="009E2606"/>
    <w:rsid w:val="009E2790"/>
    <w:rsid w:val="009E2B7B"/>
    <w:rsid w:val="009E3C3A"/>
    <w:rsid w:val="009E3D21"/>
    <w:rsid w:val="009E42F1"/>
    <w:rsid w:val="009E436D"/>
    <w:rsid w:val="009E471E"/>
    <w:rsid w:val="009E4C82"/>
    <w:rsid w:val="009E4FDF"/>
    <w:rsid w:val="009E5190"/>
    <w:rsid w:val="009E58EE"/>
    <w:rsid w:val="009E5C39"/>
    <w:rsid w:val="009E6054"/>
    <w:rsid w:val="009E6F3B"/>
    <w:rsid w:val="009F0114"/>
    <w:rsid w:val="009F0BFA"/>
    <w:rsid w:val="009F0FAB"/>
    <w:rsid w:val="009F131A"/>
    <w:rsid w:val="009F13D1"/>
    <w:rsid w:val="009F179C"/>
    <w:rsid w:val="009F19FB"/>
    <w:rsid w:val="009F1CB2"/>
    <w:rsid w:val="009F23DA"/>
    <w:rsid w:val="009F2D32"/>
    <w:rsid w:val="009F2FB1"/>
    <w:rsid w:val="009F4086"/>
    <w:rsid w:val="009F4C46"/>
    <w:rsid w:val="009F66BC"/>
    <w:rsid w:val="009F6F7F"/>
    <w:rsid w:val="009F79E5"/>
    <w:rsid w:val="009F7C2A"/>
    <w:rsid w:val="00A00591"/>
    <w:rsid w:val="00A006A2"/>
    <w:rsid w:val="00A0081F"/>
    <w:rsid w:val="00A00837"/>
    <w:rsid w:val="00A00C3D"/>
    <w:rsid w:val="00A00E9C"/>
    <w:rsid w:val="00A0129C"/>
    <w:rsid w:val="00A017C0"/>
    <w:rsid w:val="00A01E98"/>
    <w:rsid w:val="00A02353"/>
    <w:rsid w:val="00A03A59"/>
    <w:rsid w:val="00A0502E"/>
    <w:rsid w:val="00A05285"/>
    <w:rsid w:val="00A053AD"/>
    <w:rsid w:val="00A05557"/>
    <w:rsid w:val="00A05658"/>
    <w:rsid w:val="00A05A6C"/>
    <w:rsid w:val="00A05DEE"/>
    <w:rsid w:val="00A0624F"/>
    <w:rsid w:val="00A06FD4"/>
    <w:rsid w:val="00A07798"/>
    <w:rsid w:val="00A07A09"/>
    <w:rsid w:val="00A07A3C"/>
    <w:rsid w:val="00A11522"/>
    <w:rsid w:val="00A1157C"/>
    <w:rsid w:val="00A11F7D"/>
    <w:rsid w:val="00A12653"/>
    <w:rsid w:val="00A1271F"/>
    <w:rsid w:val="00A12E80"/>
    <w:rsid w:val="00A13100"/>
    <w:rsid w:val="00A132A5"/>
    <w:rsid w:val="00A132F6"/>
    <w:rsid w:val="00A15AF8"/>
    <w:rsid w:val="00A15E70"/>
    <w:rsid w:val="00A166E0"/>
    <w:rsid w:val="00A16ABF"/>
    <w:rsid w:val="00A16D5C"/>
    <w:rsid w:val="00A1729D"/>
    <w:rsid w:val="00A177E1"/>
    <w:rsid w:val="00A17BC2"/>
    <w:rsid w:val="00A20620"/>
    <w:rsid w:val="00A20A66"/>
    <w:rsid w:val="00A20D13"/>
    <w:rsid w:val="00A21775"/>
    <w:rsid w:val="00A21B9E"/>
    <w:rsid w:val="00A22032"/>
    <w:rsid w:val="00A22807"/>
    <w:rsid w:val="00A22BBF"/>
    <w:rsid w:val="00A2336A"/>
    <w:rsid w:val="00A23EB4"/>
    <w:rsid w:val="00A24628"/>
    <w:rsid w:val="00A24B29"/>
    <w:rsid w:val="00A24FB3"/>
    <w:rsid w:val="00A25173"/>
    <w:rsid w:val="00A2624E"/>
    <w:rsid w:val="00A26368"/>
    <w:rsid w:val="00A26DDC"/>
    <w:rsid w:val="00A27FD7"/>
    <w:rsid w:val="00A30A11"/>
    <w:rsid w:val="00A30FB0"/>
    <w:rsid w:val="00A3252B"/>
    <w:rsid w:val="00A32A3B"/>
    <w:rsid w:val="00A330F7"/>
    <w:rsid w:val="00A332AD"/>
    <w:rsid w:val="00A333E4"/>
    <w:rsid w:val="00A33ADF"/>
    <w:rsid w:val="00A342B7"/>
    <w:rsid w:val="00A34871"/>
    <w:rsid w:val="00A358CD"/>
    <w:rsid w:val="00A3616C"/>
    <w:rsid w:val="00A3688F"/>
    <w:rsid w:val="00A36D65"/>
    <w:rsid w:val="00A3724B"/>
    <w:rsid w:val="00A372D3"/>
    <w:rsid w:val="00A37614"/>
    <w:rsid w:val="00A37E82"/>
    <w:rsid w:val="00A4036A"/>
    <w:rsid w:val="00A40AEC"/>
    <w:rsid w:val="00A40AFD"/>
    <w:rsid w:val="00A41027"/>
    <w:rsid w:val="00A4141F"/>
    <w:rsid w:val="00A41AC9"/>
    <w:rsid w:val="00A4256C"/>
    <w:rsid w:val="00A42C14"/>
    <w:rsid w:val="00A432E3"/>
    <w:rsid w:val="00A43AAD"/>
    <w:rsid w:val="00A43DD4"/>
    <w:rsid w:val="00A440BE"/>
    <w:rsid w:val="00A440E3"/>
    <w:rsid w:val="00A44619"/>
    <w:rsid w:val="00A447CE"/>
    <w:rsid w:val="00A44954"/>
    <w:rsid w:val="00A4496A"/>
    <w:rsid w:val="00A44C75"/>
    <w:rsid w:val="00A459E5"/>
    <w:rsid w:val="00A466C2"/>
    <w:rsid w:val="00A46D0B"/>
    <w:rsid w:val="00A47C64"/>
    <w:rsid w:val="00A50131"/>
    <w:rsid w:val="00A5178F"/>
    <w:rsid w:val="00A51DA0"/>
    <w:rsid w:val="00A51FEC"/>
    <w:rsid w:val="00A5269F"/>
    <w:rsid w:val="00A52BAB"/>
    <w:rsid w:val="00A532B1"/>
    <w:rsid w:val="00A53F12"/>
    <w:rsid w:val="00A53F9E"/>
    <w:rsid w:val="00A547DB"/>
    <w:rsid w:val="00A55260"/>
    <w:rsid w:val="00A558B3"/>
    <w:rsid w:val="00A55E73"/>
    <w:rsid w:val="00A56212"/>
    <w:rsid w:val="00A56A07"/>
    <w:rsid w:val="00A56AB8"/>
    <w:rsid w:val="00A573E7"/>
    <w:rsid w:val="00A6038B"/>
    <w:rsid w:val="00A604A4"/>
    <w:rsid w:val="00A60967"/>
    <w:rsid w:val="00A61A68"/>
    <w:rsid w:val="00A61FDE"/>
    <w:rsid w:val="00A6216E"/>
    <w:rsid w:val="00A622EC"/>
    <w:rsid w:val="00A6232B"/>
    <w:rsid w:val="00A627CB"/>
    <w:rsid w:val="00A62A47"/>
    <w:rsid w:val="00A62FB1"/>
    <w:rsid w:val="00A62FF3"/>
    <w:rsid w:val="00A6329B"/>
    <w:rsid w:val="00A633AF"/>
    <w:rsid w:val="00A63618"/>
    <w:rsid w:val="00A645B8"/>
    <w:rsid w:val="00A64C3F"/>
    <w:rsid w:val="00A650F9"/>
    <w:rsid w:val="00A6548C"/>
    <w:rsid w:val="00A6602B"/>
    <w:rsid w:val="00A660C8"/>
    <w:rsid w:val="00A66BC8"/>
    <w:rsid w:val="00A67295"/>
    <w:rsid w:val="00A6780B"/>
    <w:rsid w:val="00A67817"/>
    <w:rsid w:val="00A6784C"/>
    <w:rsid w:val="00A67D18"/>
    <w:rsid w:val="00A67E74"/>
    <w:rsid w:val="00A70331"/>
    <w:rsid w:val="00A70AD3"/>
    <w:rsid w:val="00A70B1E"/>
    <w:rsid w:val="00A70B82"/>
    <w:rsid w:val="00A70DD6"/>
    <w:rsid w:val="00A71028"/>
    <w:rsid w:val="00A71262"/>
    <w:rsid w:val="00A7163E"/>
    <w:rsid w:val="00A717B7"/>
    <w:rsid w:val="00A71BFE"/>
    <w:rsid w:val="00A71DDF"/>
    <w:rsid w:val="00A72249"/>
    <w:rsid w:val="00A723D7"/>
    <w:rsid w:val="00A72BD4"/>
    <w:rsid w:val="00A72EFC"/>
    <w:rsid w:val="00A73494"/>
    <w:rsid w:val="00A73D87"/>
    <w:rsid w:val="00A74214"/>
    <w:rsid w:val="00A74A61"/>
    <w:rsid w:val="00A74C33"/>
    <w:rsid w:val="00A764C6"/>
    <w:rsid w:val="00A76A33"/>
    <w:rsid w:val="00A77EEF"/>
    <w:rsid w:val="00A80503"/>
    <w:rsid w:val="00A80DF2"/>
    <w:rsid w:val="00A81317"/>
    <w:rsid w:val="00A81401"/>
    <w:rsid w:val="00A81F66"/>
    <w:rsid w:val="00A827C3"/>
    <w:rsid w:val="00A82803"/>
    <w:rsid w:val="00A829FC"/>
    <w:rsid w:val="00A82B9F"/>
    <w:rsid w:val="00A82DC5"/>
    <w:rsid w:val="00A82F95"/>
    <w:rsid w:val="00A835F7"/>
    <w:rsid w:val="00A836E8"/>
    <w:rsid w:val="00A8385C"/>
    <w:rsid w:val="00A83C74"/>
    <w:rsid w:val="00A84772"/>
    <w:rsid w:val="00A85006"/>
    <w:rsid w:val="00A855B3"/>
    <w:rsid w:val="00A8578C"/>
    <w:rsid w:val="00A85ACC"/>
    <w:rsid w:val="00A86356"/>
    <w:rsid w:val="00A86722"/>
    <w:rsid w:val="00A87CB5"/>
    <w:rsid w:val="00A903C9"/>
    <w:rsid w:val="00A90739"/>
    <w:rsid w:val="00A9082E"/>
    <w:rsid w:val="00A90A17"/>
    <w:rsid w:val="00A90C21"/>
    <w:rsid w:val="00A913FE"/>
    <w:rsid w:val="00A914CE"/>
    <w:rsid w:val="00A9192F"/>
    <w:rsid w:val="00A91936"/>
    <w:rsid w:val="00A91CA0"/>
    <w:rsid w:val="00A91D77"/>
    <w:rsid w:val="00A92282"/>
    <w:rsid w:val="00A92FD6"/>
    <w:rsid w:val="00A93700"/>
    <w:rsid w:val="00A93C8B"/>
    <w:rsid w:val="00A94145"/>
    <w:rsid w:val="00A9583D"/>
    <w:rsid w:val="00A95B9C"/>
    <w:rsid w:val="00A963F3"/>
    <w:rsid w:val="00A96520"/>
    <w:rsid w:val="00A96770"/>
    <w:rsid w:val="00A97CBA"/>
    <w:rsid w:val="00A97D02"/>
    <w:rsid w:val="00AA01D8"/>
    <w:rsid w:val="00AA035C"/>
    <w:rsid w:val="00AA104B"/>
    <w:rsid w:val="00AA1406"/>
    <w:rsid w:val="00AA1540"/>
    <w:rsid w:val="00AA1628"/>
    <w:rsid w:val="00AA1E0B"/>
    <w:rsid w:val="00AA2260"/>
    <w:rsid w:val="00AA26B1"/>
    <w:rsid w:val="00AA2F95"/>
    <w:rsid w:val="00AA3462"/>
    <w:rsid w:val="00AA3893"/>
    <w:rsid w:val="00AA3BB7"/>
    <w:rsid w:val="00AA3EB0"/>
    <w:rsid w:val="00AA4E36"/>
    <w:rsid w:val="00AA5609"/>
    <w:rsid w:val="00AA57E2"/>
    <w:rsid w:val="00AA5EEE"/>
    <w:rsid w:val="00AA64A9"/>
    <w:rsid w:val="00AA6ADA"/>
    <w:rsid w:val="00AB0234"/>
    <w:rsid w:val="00AB0D84"/>
    <w:rsid w:val="00AB10FD"/>
    <w:rsid w:val="00AB1217"/>
    <w:rsid w:val="00AB12A4"/>
    <w:rsid w:val="00AB1B8F"/>
    <w:rsid w:val="00AB1D9C"/>
    <w:rsid w:val="00AB2230"/>
    <w:rsid w:val="00AB2477"/>
    <w:rsid w:val="00AB317F"/>
    <w:rsid w:val="00AB3B31"/>
    <w:rsid w:val="00AB3C74"/>
    <w:rsid w:val="00AB411B"/>
    <w:rsid w:val="00AB41FB"/>
    <w:rsid w:val="00AB4F56"/>
    <w:rsid w:val="00AB50A0"/>
    <w:rsid w:val="00AB50CD"/>
    <w:rsid w:val="00AB514E"/>
    <w:rsid w:val="00AB5D5F"/>
    <w:rsid w:val="00AB668E"/>
    <w:rsid w:val="00AB6B1A"/>
    <w:rsid w:val="00AB6DF6"/>
    <w:rsid w:val="00AB760C"/>
    <w:rsid w:val="00AB7685"/>
    <w:rsid w:val="00AB7864"/>
    <w:rsid w:val="00AC0764"/>
    <w:rsid w:val="00AC0A95"/>
    <w:rsid w:val="00AC0BA1"/>
    <w:rsid w:val="00AC0F34"/>
    <w:rsid w:val="00AC1000"/>
    <w:rsid w:val="00AC11DA"/>
    <w:rsid w:val="00AC1807"/>
    <w:rsid w:val="00AC1A50"/>
    <w:rsid w:val="00AC1D0B"/>
    <w:rsid w:val="00AC240A"/>
    <w:rsid w:val="00AC276F"/>
    <w:rsid w:val="00AC2E28"/>
    <w:rsid w:val="00AC3357"/>
    <w:rsid w:val="00AC3473"/>
    <w:rsid w:val="00AC36C8"/>
    <w:rsid w:val="00AC3CE7"/>
    <w:rsid w:val="00AC3DD8"/>
    <w:rsid w:val="00AC40B5"/>
    <w:rsid w:val="00AC4464"/>
    <w:rsid w:val="00AC4552"/>
    <w:rsid w:val="00AC48DF"/>
    <w:rsid w:val="00AC4B89"/>
    <w:rsid w:val="00AC5480"/>
    <w:rsid w:val="00AC56DF"/>
    <w:rsid w:val="00AC59C3"/>
    <w:rsid w:val="00AC612B"/>
    <w:rsid w:val="00AC6AAD"/>
    <w:rsid w:val="00AC7032"/>
    <w:rsid w:val="00AC75A7"/>
    <w:rsid w:val="00AC763C"/>
    <w:rsid w:val="00AC79E0"/>
    <w:rsid w:val="00AC7B92"/>
    <w:rsid w:val="00AD0562"/>
    <w:rsid w:val="00AD0A8D"/>
    <w:rsid w:val="00AD1179"/>
    <w:rsid w:val="00AD1409"/>
    <w:rsid w:val="00AD1A25"/>
    <w:rsid w:val="00AD2067"/>
    <w:rsid w:val="00AD271E"/>
    <w:rsid w:val="00AD2FD0"/>
    <w:rsid w:val="00AD32B0"/>
    <w:rsid w:val="00AD32F0"/>
    <w:rsid w:val="00AD38E5"/>
    <w:rsid w:val="00AD3A40"/>
    <w:rsid w:val="00AD4AA8"/>
    <w:rsid w:val="00AD4F39"/>
    <w:rsid w:val="00AD584F"/>
    <w:rsid w:val="00AD5F61"/>
    <w:rsid w:val="00AD6128"/>
    <w:rsid w:val="00AD6332"/>
    <w:rsid w:val="00AD6B1A"/>
    <w:rsid w:val="00AD7DD5"/>
    <w:rsid w:val="00AD7E2F"/>
    <w:rsid w:val="00AD7E55"/>
    <w:rsid w:val="00AE02BF"/>
    <w:rsid w:val="00AE0CC8"/>
    <w:rsid w:val="00AE0DED"/>
    <w:rsid w:val="00AE0FAB"/>
    <w:rsid w:val="00AE15AB"/>
    <w:rsid w:val="00AE192F"/>
    <w:rsid w:val="00AE1B75"/>
    <w:rsid w:val="00AE1C8B"/>
    <w:rsid w:val="00AE2739"/>
    <w:rsid w:val="00AE2A99"/>
    <w:rsid w:val="00AE2FA5"/>
    <w:rsid w:val="00AE32F4"/>
    <w:rsid w:val="00AE3CD1"/>
    <w:rsid w:val="00AE47C2"/>
    <w:rsid w:val="00AE4DD6"/>
    <w:rsid w:val="00AE522E"/>
    <w:rsid w:val="00AE5470"/>
    <w:rsid w:val="00AE613E"/>
    <w:rsid w:val="00AE63D7"/>
    <w:rsid w:val="00AE640F"/>
    <w:rsid w:val="00AE7350"/>
    <w:rsid w:val="00AE7CCE"/>
    <w:rsid w:val="00AF00C4"/>
    <w:rsid w:val="00AF09DF"/>
    <w:rsid w:val="00AF0F53"/>
    <w:rsid w:val="00AF1674"/>
    <w:rsid w:val="00AF2409"/>
    <w:rsid w:val="00AF246B"/>
    <w:rsid w:val="00AF26EC"/>
    <w:rsid w:val="00AF2A88"/>
    <w:rsid w:val="00AF2E21"/>
    <w:rsid w:val="00AF2E71"/>
    <w:rsid w:val="00AF2F87"/>
    <w:rsid w:val="00AF304C"/>
    <w:rsid w:val="00AF32A7"/>
    <w:rsid w:val="00AF397F"/>
    <w:rsid w:val="00AF3BB2"/>
    <w:rsid w:val="00AF4E3F"/>
    <w:rsid w:val="00AF5033"/>
    <w:rsid w:val="00AF5499"/>
    <w:rsid w:val="00AF5A85"/>
    <w:rsid w:val="00AF5C58"/>
    <w:rsid w:val="00AF642E"/>
    <w:rsid w:val="00AF65B9"/>
    <w:rsid w:val="00AF6630"/>
    <w:rsid w:val="00AF6EE7"/>
    <w:rsid w:val="00AF704F"/>
    <w:rsid w:val="00AF7114"/>
    <w:rsid w:val="00AF784A"/>
    <w:rsid w:val="00AF7857"/>
    <w:rsid w:val="00AF78F1"/>
    <w:rsid w:val="00AF7929"/>
    <w:rsid w:val="00B0028A"/>
    <w:rsid w:val="00B007D9"/>
    <w:rsid w:val="00B00CAF"/>
    <w:rsid w:val="00B00DC1"/>
    <w:rsid w:val="00B011BF"/>
    <w:rsid w:val="00B0135F"/>
    <w:rsid w:val="00B013F7"/>
    <w:rsid w:val="00B01D9E"/>
    <w:rsid w:val="00B02294"/>
    <w:rsid w:val="00B026BF"/>
    <w:rsid w:val="00B02E81"/>
    <w:rsid w:val="00B044CD"/>
    <w:rsid w:val="00B057AC"/>
    <w:rsid w:val="00B0586C"/>
    <w:rsid w:val="00B05A01"/>
    <w:rsid w:val="00B05C3A"/>
    <w:rsid w:val="00B05CC0"/>
    <w:rsid w:val="00B06255"/>
    <w:rsid w:val="00B065E5"/>
    <w:rsid w:val="00B06BE1"/>
    <w:rsid w:val="00B073E3"/>
    <w:rsid w:val="00B07FF6"/>
    <w:rsid w:val="00B1079C"/>
    <w:rsid w:val="00B115BD"/>
    <w:rsid w:val="00B11897"/>
    <w:rsid w:val="00B11A3C"/>
    <w:rsid w:val="00B122E5"/>
    <w:rsid w:val="00B12862"/>
    <w:rsid w:val="00B12AB8"/>
    <w:rsid w:val="00B1311A"/>
    <w:rsid w:val="00B13262"/>
    <w:rsid w:val="00B13372"/>
    <w:rsid w:val="00B134D9"/>
    <w:rsid w:val="00B1389F"/>
    <w:rsid w:val="00B14A4A"/>
    <w:rsid w:val="00B153D0"/>
    <w:rsid w:val="00B15586"/>
    <w:rsid w:val="00B1559C"/>
    <w:rsid w:val="00B158C5"/>
    <w:rsid w:val="00B15CCB"/>
    <w:rsid w:val="00B15F73"/>
    <w:rsid w:val="00B17512"/>
    <w:rsid w:val="00B20021"/>
    <w:rsid w:val="00B20420"/>
    <w:rsid w:val="00B2061F"/>
    <w:rsid w:val="00B206A0"/>
    <w:rsid w:val="00B206C9"/>
    <w:rsid w:val="00B20740"/>
    <w:rsid w:val="00B208D9"/>
    <w:rsid w:val="00B209BB"/>
    <w:rsid w:val="00B20AFD"/>
    <w:rsid w:val="00B20D2F"/>
    <w:rsid w:val="00B20F2A"/>
    <w:rsid w:val="00B2118F"/>
    <w:rsid w:val="00B2133B"/>
    <w:rsid w:val="00B21483"/>
    <w:rsid w:val="00B21533"/>
    <w:rsid w:val="00B222A9"/>
    <w:rsid w:val="00B2232D"/>
    <w:rsid w:val="00B239E7"/>
    <w:rsid w:val="00B23B9D"/>
    <w:rsid w:val="00B23E8B"/>
    <w:rsid w:val="00B23EF6"/>
    <w:rsid w:val="00B2420E"/>
    <w:rsid w:val="00B249E2"/>
    <w:rsid w:val="00B2515C"/>
    <w:rsid w:val="00B2552D"/>
    <w:rsid w:val="00B255E5"/>
    <w:rsid w:val="00B25D5C"/>
    <w:rsid w:val="00B26645"/>
    <w:rsid w:val="00B2680D"/>
    <w:rsid w:val="00B2740E"/>
    <w:rsid w:val="00B276C2"/>
    <w:rsid w:val="00B27AFB"/>
    <w:rsid w:val="00B303AE"/>
    <w:rsid w:val="00B303D0"/>
    <w:rsid w:val="00B307BB"/>
    <w:rsid w:val="00B30FFA"/>
    <w:rsid w:val="00B313F0"/>
    <w:rsid w:val="00B3143C"/>
    <w:rsid w:val="00B31829"/>
    <w:rsid w:val="00B31EF5"/>
    <w:rsid w:val="00B3215D"/>
    <w:rsid w:val="00B32321"/>
    <w:rsid w:val="00B3232C"/>
    <w:rsid w:val="00B32BB7"/>
    <w:rsid w:val="00B32CBC"/>
    <w:rsid w:val="00B32E03"/>
    <w:rsid w:val="00B33D9B"/>
    <w:rsid w:val="00B3438D"/>
    <w:rsid w:val="00B35341"/>
    <w:rsid w:val="00B35A55"/>
    <w:rsid w:val="00B35BF7"/>
    <w:rsid w:val="00B360AE"/>
    <w:rsid w:val="00B361B9"/>
    <w:rsid w:val="00B36355"/>
    <w:rsid w:val="00B3688C"/>
    <w:rsid w:val="00B36B48"/>
    <w:rsid w:val="00B37EB3"/>
    <w:rsid w:val="00B37F97"/>
    <w:rsid w:val="00B406F4"/>
    <w:rsid w:val="00B40AAA"/>
    <w:rsid w:val="00B419FA"/>
    <w:rsid w:val="00B41B21"/>
    <w:rsid w:val="00B41BEF"/>
    <w:rsid w:val="00B41E01"/>
    <w:rsid w:val="00B421F4"/>
    <w:rsid w:val="00B4251B"/>
    <w:rsid w:val="00B42742"/>
    <w:rsid w:val="00B42926"/>
    <w:rsid w:val="00B43A81"/>
    <w:rsid w:val="00B43E2A"/>
    <w:rsid w:val="00B4439D"/>
    <w:rsid w:val="00B443F6"/>
    <w:rsid w:val="00B4463E"/>
    <w:rsid w:val="00B44A4B"/>
    <w:rsid w:val="00B46F16"/>
    <w:rsid w:val="00B501B1"/>
    <w:rsid w:val="00B50D18"/>
    <w:rsid w:val="00B51B84"/>
    <w:rsid w:val="00B51C5C"/>
    <w:rsid w:val="00B520BD"/>
    <w:rsid w:val="00B53706"/>
    <w:rsid w:val="00B53843"/>
    <w:rsid w:val="00B53869"/>
    <w:rsid w:val="00B53E21"/>
    <w:rsid w:val="00B54DC4"/>
    <w:rsid w:val="00B5670E"/>
    <w:rsid w:val="00B5716A"/>
    <w:rsid w:val="00B573D3"/>
    <w:rsid w:val="00B60831"/>
    <w:rsid w:val="00B60FD1"/>
    <w:rsid w:val="00B61281"/>
    <w:rsid w:val="00B613F2"/>
    <w:rsid w:val="00B6144A"/>
    <w:rsid w:val="00B6177D"/>
    <w:rsid w:val="00B61DB2"/>
    <w:rsid w:val="00B62975"/>
    <w:rsid w:val="00B637C1"/>
    <w:rsid w:val="00B63917"/>
    <w:rsid w:val="00B6419B"/>
    <w:rsid w:val="00B644CD"/>
    <w:rsid w:val="00B65292"/>
    <w:rsid w:val="00B67362"/>
    <w:rsid w:val="00B675BC"/>
    <w:rsid w:val="00B677E7"/>
    <w:rsid w:val="00B67A20"/>
    <w:rsid w:val="00B67A61"/>
    <w:rsid w:val="00B70181"/>
    <w:rsid w:val="00B70F21"/>
    <w:rsid w:val="00B71001"/>
    <w:rsid w:val="00B710EB"/>
    <w:rsid w:val="00B7248A"/>
    <w:rsid w:val="00B72A4D"/>
    <w:rsid w:val="00B72AFA"/>
    <w:rsid w:val="00B73937"/>
    <w:rsid w:val="00B73973"/>
    <w:rsid w:val="00B744CB"/>
    <w:rsid w:val="00B7500E"/>
    <w:rsid w:val="00B753CA"/>
    <w:rsid w:val="00B76240"/>
    <w:rsid w:val="00B7659D"/>
    <w:rsid w:val="00B76A65"/>
    <w:rsid w:val="00B778FB"/>
    <w:rsid w:val="00B77B0F"/>
    <w:rsid w:val="00B77EF4"/>
    <w:rsid w:val="00B77F8E"/>
    <w:rsid w:val="00B80131"/>
    <w:rsid w:val="00B805BD"/>
    <w:rsid w:val="00B80875"/>
    <w:rsid w:val="00B80944"/>
    <w:rsid w:val="00B80BC8"/>
    <w:rsid w:val="00B80CFE"/>
    <w:rsid w:val="00B81B0E"/>
    <w:rsid w:val="00B81CAF"/>
    <w:rsid w:val="00B81FDB"/>
    <w:rsid w:val="00B82182"/>
    <w:rsid w:val="00B82602"/>
    <w:rsid w:val="00B826FA"/>
    <w:rsid w:val="00B83A2C"/>
    <w:rsid w:val="00B841DF"/>
    <w:rsid w:val="00B8445D"/>
    <w:rsid w:val="00B84517"/>
    <w:rsid w:val="00B84619"/>
    <w:rsid w:val="00B84677"/>
    <w:rsid w:val="00B852BB"/>
    <w:rsid w:val="00B85401"/>
    <w:rsid w:val="00B85DD2"/>
    <w:rsid w:val="00B85EC9"/>
    <w:rsid w:val="00B860C7"/>
    <w:rsid w:val="00B86832"/>
    <w:rsid w:val="00B868F5"/>
    <w:rsid w:val="00B86AE1"/>
    <w:rsid w:val="00B86CCC"/>
    <w:rsid w:val="00B8716B"/>
    <w:rsid w:val="00B879FF"/>
    <w:rsid w:val="00B87D21"/>
    <w:rsid w:val="00B90396"/>
    <w:rsid w:val="00B90939"/>
    <w:rsid w:val="00B90DFF"/>
    <w:rsid w:val="00B90E8F"/>
    <w:rsid w:val="00B90FEC"/>
    <w:rsid w:val="00B91427"/>
    <w:rsid w:val="00B91577"/>
    <w:rsid w:val="00B91644"/>
    <w:rsid w:val="00B91E49"/>
    <w:rsid w:val="00B9296E"/>
    <w:rsid w:val="00B9296F"/>
    <w:rsid w:val="00B92C72"/>
    <w:rsid w:val="00B9328D"/>
    <w:rsid w:val="00B93752"/>
    <w:rsid w:val="00B93888"/>
    <w:rsid w:val="00B942FE"/>
    <w:rsid w:val="00B94BCA"/>
    <w:rsid w:val="00B94C39"/>
    <w:rsid w:val="00B94EAB"/>
    <w:rsid w:val="00B95270"/>
    <w:rsid w:val="00B9548E"/>
    <w:rsid w:val="00B95520"/>
    <w:rsid w:val="00B95668"/>
    <w:rsid w:val="00B959CE"/>
    <w:rsid w:val="00B96238"/>
    <w:rsid w:val="00B965A1"/>
    <w:rsid w:val="00B969D6"/>
    <w:rsid w:val="00B97177"/>
    <w:rsid w:val="00B97342"/>
    <w:rsid w:val="00B976A2"/>
    <w:rsid w:val="00B976A8"/>
    <w:rsid w:val="00B97BA8"/>
    <w:rsid w:val="00BA0BD7"/>
    <w:rsid w:val="00BA0C3B"/>
    <w:rsid w:val="00BA0FD1"/>
    <w:rsid w:val="00BA1878"/>
    <w:rsid w:val="00BA1CF1"/>
    <w:rsid w:val="00BA253A"/>
    <w:rsid w:val="00BA2776"/>
    <w:rsid w:val="00BA2EF8"/>
    <w:rsid w:val="00BA33B7"/>
    <w:rsid w:val="00BA35CB"/>
    <w:rsid w:val="00BA3BA4"/>
    <w:rsid w:val="00BA458C"/>
    <w:rsid w:val="00BA4AA8"/>
    <w:rsid w:val="00BA569F"/>
    <w:rsid w:val="00BA6481"/>
    <w:rsid w:val="00BA689A"/>
    <w:rsid w:val="00BA7D8D"/>
    <w:rsid w:val="00BB015F"/>
    <w:rsid w:val="00BB0643"/>
    <w:rsid w:val="00BB0E5B"/>
    <w:rsid w:val="00BB1158"/>
    <w:rsid w:val="00BB168F"/>
    <w:rsid w:val="00BB190C"/>
    <w:rsid w:val="00BB1E9E"/>
    <w:rsid w:val="00BB20A4"/>
    <w:rsid w:val="00BB230D"/>
    <w:rsid w:val="00BB2B36"/>
    <w:rsid w:val="00BB3631"/>
    <w:rsid w:val="00BB3752"/>
    <w:rsid w:val="00BB3C90"/>
    <w:rsid w:val="00BB531A"/>
    <w:rsid w:val="00BB553C"/>
    <w:rsid w:val="00BB58C8"/>
    <w:rsid w:val="00BB6121"/>
    <w:rsid w:val="00BB6B06"/>
    <w:rsid w:val="00BB6D6C"/>
    <w:rsid w:val="00BB6EA7"/>
    <w:rsid w:val="00BB7457"/>
    <w:rsid w:val="00BB7FB2"/>
    <w:rsid w:val="00BC0155"/>
    <w:rsid w:val="00BC04A0"/>
    <w:rsid w:val="00BC04F9"/>
    <w:rsid w:val="00BC0F6E"/>
    <w:rsid w:val="00BC164F"/>
    <w:rsid w:val="00BC1B2B"/>
    <w:rsid w:val="00BC1B90"/>
    <w:rsid w:val="00BC255E"/>
    <w:rsid w:val="00BC2919"/>
    <w:rsid w:val="00BC30D0"/>
    <w:rsid w:val="00BC3227"/>
    <w:rsid w:val="00BC327D"/>
    <w:rsid w:val="00BC368C"/>
    <w:rsid w:val="00BC37AF"/>
    <w:rsid w:val="00BC413F"/>
    <w:rsid w:val="00BC44AC"/>
    <w:rsid w:val="00BC4B24"/>
    <w:rsid w:val="00BC52CF"/>
    <w:rsid w:val="00BC63B4"/>
    <w:rsid w:val="00BC6A26"/>
    <w:rsid w:val="00BC6C96"/>
    <w:rsid w:val="00BC6EF0"/>
    <w:rsid w:val="00BC7989"/>
    <w:rsid w:val="00BC7E1E"/>
    <w:rsid w:val="00BD063F"/>
    <w:rsid w:val="00BD069C"/>
    <w:rsid w:val="00BD0902"/>
    <w:rsid w:val="00BD108C"/>
    <w:rsid w:val="00BD15DE"/>
    <w:rsid w:val="00BD1E69"/>
    <w:rsid w:val="00BD2406"/>
    <w:rsid w:val="00BD261D"/>
    <w:rsid w:val="00BD390B"/>
    <w:rsid w:val="00BD3E39"/>
    <w:rsid w:val="00BD4284"/>
    <w:rsid w:val="00BD4429"/>
    <w:rsid w:val="00BD4709"/>
    <w:rsid w:val="00BD487E"/>
    <w:rsid w:val="00BD4C2E"/>
    <w:rsid w:val="00BD4CCB"/>
    <w:rsid w:val="00BD4FB2"/>
    <w:rsid w:val="00BD62CB"/>
    <w:rsid w:val="00BD63D1"/>
    <w:rsid w:val="00BD6862"/>
    <w:rsid w:val="00BD799E"/>
    <w:rsid w:val="00BE0001"/>
    <w:rsid w:val="00BE017F"/>
    <w:rsid w:val="00BE04BB"/>
    <w:rsid w:val="00BE0572"/>
    <w:rsid w:val="00BE0821"/>
    <w:rsid w:val="00BE1489"/>
    <w:rsid w:val="00BE19E1"/>
    <w:rsid w:val="00BE2F75"/>
    <w:rsid w:val="00BE336A"/>
    <w:rsid w:val="00BE382F"/>
    <w:rsid w:val="00BE40A4"/>
    <w:rsid w:val="00BE483C"/>
    <w:rsid w:val="00BE5392"/>
    <w:rsid w:val="00BE5609"/>
    <w:rsid w:val="00BE5820"/>
    <w:rsid w:val="00BE607C"/>
    <w:rsid w:val="00BE677F"/>
    <w:rsid w:val="00BE6B58"/>
    <w:rsid w:val="00BF1092"/>
    <w:rsid w:val="00BF151A"/>
    <w:rsid w:val="00BF2258"/>
    <w:rsid w:val="00BF258D"/>
    <w:rsid w:val="00BF2701"/>
    <w:rsid w:val="00BF2922"/>
    <w:rsid w:val="00BF2A87"/>
    <w:rsid w:val="00BF3DA0"/>
    <w:rsid w:val="00BF4002"/>
    <w:rsid w:val="00BF405E"/>
    <w:rsid w:val="00BF410D"/>
    <w:rsid w:val="00BF42B8"/>
    <w:rsid w:val="00BF4385"/>
    <w:rsid w:val="00BF4C9C"/>
    <w:rsid w:val="00BF56FE"/>
    <w:rsid w:val="00BF61FC"/>
    <w:rsid w:val="00BF7A6B"/>
    <w:rsid w:val="00BF7CCE"/>
    <w:rsid w:val="00BF7E2F"/>
    <w:rsid w:val="00C005CC"/>
    <w:rsid w:val="00C00AB0"/>
    <w:rsid w:val="00C02553"/>
    <w:rsid w:val="00C031B0"/>
    <w:rsid w:val="00C04132"/>
    <w:rsid w:val="00C04337"/>
    <w:rsid w:val="00C0442E"/>
    <w:rsid w:val="00C044BA"/>
    <w:rsid w:val="00C0454E"/>
    <w:rsid w:val="00C05871"/>
    <w:rsid w:val="00C06267"/>
    <w:rsid w:val="00C06875"/>
    <w:rsid w:val="00C068A9"/>
    <w:rsid w:val="00C10413"/>
    <w:rsid w:val="00C10FD0"/>
    <w:rsid w:val="00C118D4"/>
    <w:rsid w:val="00C11E56"/>
    <w:rsid w:val="00C1244F"/>
    <w:rsid w:val="00C12670"/>
    <w:rsid w:val="00C12AE7"/>
    <w:rsid w:val="00C12FDB"/>
    <w:rsid w:val="00C131F9"/>
    <w:rsid w:val="00C13958"/>
    <w:rsid w:val="00C13F03"/>
    <w:rsid w:val="00C13F69"/>
    <w:rsid w:val="00C14354"/>
    <w:rsid w:val="00C1572F"/>
    <w:rsid w:val="00C158F4"/>
    <w:rsid w:val="00C15E13"/>
    <w:rsid w:val="00C15FBB"/>
    <w:rsid w:val="00C16778"/>
    <w:rsid w:val="00C1753C"/>
    <w:rsid w:val="00C20377"/>
    <w:rsid w:val="00C2045F"/>
    <w:rsid w:val="00C21ACA"/>
    <w:rsid w:val="00C21BC3"/>
    <w:rsid w:val="00C21DF9"/>
    <w:rsid w:val="00C2204F"/>
    <w:rsid w:val="00C222AE"/>
    <w:rsid w:val="00C22742"/>
    <w:rsid w:val="00C22805"/>
    <w:rsid w:val="00C23E61"/>
    <w:rsid w:val="00C24330"/>
    <w:rsid w:val="00C243EE"/>
    <w:rsid w:val="00C251C2"/>
    <w:rsid w:val="00C25494"/>
    <w:rsid w:val="00C25709"/>
    <w:rsid w:val="00C2576B"/>
    <w:rsid w:val="00C25B49"/>
    <w:rsid w:val="00C25C94"/>
    <w:rsid w:val="00C26599"/>
    <w:rsid w:val="00C26ACB"/>
    <w:rsid w:val="00C301CA"/>
    <w:rsid w:val="00C309AD"/>
    <w:rsid w:val="00C30E21"/>
    <w:rsid w:val="00C3167A"/>
    <w:rsid w:val="00C319CC"/>
    <w:rsid w:val="00C31DDE"/>
    <w:rsid w:val="00C320E0"/>
    <w:rsid w:val="00C3217C"/>
    <w:rsid w:val="00C322FD"/>
    <w:rsid w:val="00C32909"/>
    <w:rsid w:val="00C32EEB"/>
    <w:rsid w:val="00C3377C"/>
    <w:rsid w:val="00C34462"/>
    <w:rsid w:val="00C34A1C"/>
    <w:rsid w:val="00C34D7E"/>
    <w:rsid w:val="00C35C26"/>
    <w:rsid w:val="00C35D2D"/>
    <w:rsid w:val="00C36978"/>
    <w:rsid w:val="00C372BC"/>
    <w:rsid w:val="00C37A71"/>
    <w:rsid w:val="00C37AA9"/>
    <w:rsid w:val="00C406E3"/>
    <w:rsid w:val="00C409A6"/>
    <w:rsid w:val="00C40E81"/>
    <w:rsid w:val="00C41074"/>
    <w:rsid w:val="00C41DEB"/>
    <w:rsid w:val="00C422C0"/>
    <w:rsid w:val="00C423A7"/>
    <w:rsid w:val="00C42609"/>
    <w:rsid w:val="00C4272D"/>
    <w:rsid w:val="00C42A15"/>
    <w:rsid w:val="00C42B95"/>
    <w:rsid w:val="00C43EEA"/>
    <w:rsid w:val="00C443B5"/>
    <w:rsid w:val="00C44DA1"/>
    <w:rsid w:val="00C453D2"/>
    <w:rsid w:val="00C464E0"/>
    <w:rsid w:val="00C4662C"/>
    <w:rsid w:val="00C4730E"/>
    <w:rsid w:val="00C478B3"/>
    <w:rsid w:val="00C47A6E"/>
    <w:rsid w:val="00C51155"/>
    <w:rsid w:val="00C511A3"/>
    <w:rsid w:val="00C51684"/>
    <w:rsid w:val="00C523BB"/>
    <w:rsid w:val="00C52712"/>
    <w:rsid w:val="00C527B3"/>
    <w:rsid w:val="00C5297F"/>
    <w:rsid w:val="00C529E5"/>
    <w:rsid w:val="00C52D6C"/>
    <w:rsid w:val="00C55069"/>
    <w:rsid w:val="00C556E6"/>
    <w:rsid w:val="00C557AE"/>
    <w:rsid w:val="00C559DD"/>
    <w:rsid w:val="00C55B41"/>
    <w:rsid w:val="00C56209"/>
    <w:rsid w:val="00C56C68"/>
    <w:rsid w:val="00C56ECE"/>
    <w:rsid w:val="00C5791E"/>
    <w:rsid w:val="00C57982"/>
    <w:rsid w:val="00C57C77"/>
    <w:rsid w:val="00C6016E"/>
    <w:rsid w:val="00C60243"/>
    <w:rsid w:val="00C60311"/>
    <w:rsid w:val="00C60497"/>
    <w:rsid w:val="00C60A58"/>
    <w:rsid w:val="00C610A9"/>
    <w:rsid w:val="00C61155"/>
    <w:rsid w:val="00C61396"/>
    <w:rsid w:val="00C61BE2"/>
    <w:rsid w:val="00C61DAF"/>
    <w:rsid w:val="00C6226B"/>
    <w:rsid w:val="00C625C8"/>
    <w:rsid w:val="00C625F9"/>
    <w:rsid w:val="00C62C8A"/>
    <w:rsid w:val="00C63173"/>
    <w:rsid w:val="00C6324A"/>
    <w:rsid w:val="00C63652"/>
    <w:rsid w:val="00C641D7"/>
    <w:rsid w:val="00C644B9"/>
    <w:rsid w:val="00C647D9"/>
    <w:rsid w:val="00C64CE2"/>
    <w:rsid w:val="00C64F4A"/>
    <w:rsid w:val="00C65527"/>
    <w:rsid w:val="00C65775"/>
    <w:rsid w:val="00C65831"/>
    <w:rsid w:val="00C66422"/>
    <w:rsid w:val="00C67086"/>
    <w:rsid w:val="00C6711F"/>
    <w:rsid w:val="00C672E0"/>
    <w:rsid w:val="00C67E07"/>
    <w:rsid w:val="00C700FF"/>
    <w:rsid w:val="00C703F4"/>
    <w:rsid w:val="00C70639"/>
    <w:rsid w:val="00C71C5B"/>
    <w:rsid w:val="00C71D8B"/>
    <w:rsid w:val="00C72968"/>
    <w:rsid w:val="00C7424A"/>
    <w:rsid w:val="00C742F1"/>
    <w:rsid w:val="00C7440F"/>
    <w:rsid w:val="00C744AA"/>
    <w:rsid w:val="00C75727"/>
    <w:rsid w:val="00C75C44"/>
    <w:rsid w:val="00C76059"/>
    <w:rsid w:val="00C760ED"/>
    <w:rsid w:val="00C76101"/>
    <w:rsid w:val="00C774A3"/>
    <w:rsid w:val="00C775D1"/>
    <w:rsid w:val="00C77D3B"/>
    <w:rsid w:val="00C77FB2"/>
    <w:rsid w:val="00C8077F"/>
    <w:rsid w:val="00C809D9"/>
    <w:rsid w:val="00C80B57"/>
    <w:rsid w:val="00C80CB9"/>
    <w:rsid w:val="00C80E52"/>
    <w:rsid w:val="00C80FDE"/>
    <w:rsid w:val="00C815C0"/>
    <w:rsid w:val="00C8165B"/>
    <w:rsid w:val="00C8179F"/>
    <w:rsid w:val="00C82A93"/>
    <w:rsid w:val="00C82B48"/>
    <w:rsid w:val="00C82DF8"/>
    <w:rsid w:val="00C83717"/>
    <w:rsid w:val="00C83BD0"/>
    <w:rsid w:val="00C83D42"/>
    <w:rsid w:val="00C84425"/>
    <w:rsid w:val="00C844C7"/>
    <w:rsid w:val="00C84971"/>
    <w:rsid w:val="00C85142"/>
    <w:rsid w:val="00C8581C"/>
    <w:rsid w:val="00C8626E"/>
    <w:rsid w:val="00C8697F"/>
    <w:rsid w:val="00C86B1C"/>
    <w:rsid w:val="00C87E1F"/>
    <w:rsid w:val="00C90483"/>
    <w:rsid w:val="00C905BE"/>
    <w:rsid w:val="00C90692"/>
    <w:rsid w:val="00C9097D"/>
    <w:rsid w:val="00C90BD3"/>
    <w:rsid w:val="00C91AEB"/>
    <w:rsid w:val="00C92045"/>
    <w:rsid w:val="00C92106"/>
    <w:rsid w:val="00C9239A"/>
    <w:rsid w:val="00C9257F"/>
    <w:rsid w:val="00C940AF"/>
    <w:rsid w:val="00C94273"/>
    <w:rsid w:val="00C95303"/>
    <w:rsid w:val="00C9569A"/>
    <w:rsid w:val="00C9572D"/>
    <w:rsid w:val="00C958A8"/>
    <w:rsid w:val="00C95A62"/>
    <w:rsid w:val="00C95B92"/>
    <w:rsid w:val="00C965F3"/>
    <w:rsid w:val="00C966EC"/>
    <w:rsid w:val="00C96BEA"/>
    <w:rsid w:val="00C96E74"/>
    <w:rsid w:val="00C970B6"/>
    <w:rsid w:val="00C9770A"/>
    <w:rsid w:val="00C97731"/>
    <w:rsid w:val="00C97DA4"/>
    <w:rsid w:val="00C97E53"/>
    <w:rsid w:val="00C97E74"/>
    <w:rsid w:val="00C97EF2"/>
    <w:rsid w:val="00C97F7A"/>
    <w:rsid w:val="00CA04B1"/>
    <w:rsid w:val="00CA08B2"/>
    <w:rsid w:val="00CA0D27"/>
    <w:rsid w:val="00CA0E4B"/>
    <w:rsid w:val="00CA147F"/>
    <w:rsid w:val="00CA18F8"/>
    <w:rsid w:val="00CA25A0"/>
    <w:rsid w:val="00CA3269"/>
    <w:rsid w:val="00CA3935"/>
    <w:rsid w:val="00CA3992"/>
    <w:rsid w:val="00CA4452"/>
    <w:rsid w:val="00CA4469"/>
    <w:rsid w:val="00CA459D"/>
    <w:rsid w:val="00CA55A9"/>
    <w:rsid w:val="00CA5682"/>
    <w:rsid w:val="00CA5AF1"/>
    <w:rsid w:val="00CA5D71"/>
    <w:rsid w:val="00CA6727"/>
    <w:rsid w:val="00CA6A77"/>
    <w:rsid w:val="00CA744D"/>
    <w:rsid w:val="00CA75AA"/>
    <w:rsid w:val="00CB0324"/>
    <w:rsid w:val="00CB047C"/>
    <w:rsid w:val="00CB0923"/>
    <w:rsid w:val="00CB0AAB"/>
    <w:rsid w:val="00CB1B01"/>
    <w:rsid w:val="00CB1EAE"/>
    <w:rsid w:val="00CB1F47"/>
    <w:rsid w:val="00CB1FF1"/>
    <w:rsid w:val="00CB2219"/>
    <w:rsid w:val="00CB2BC1"/>
    <w:rsid w:val="00CB3098"/>
    <w:rsid w:val="00CB3320"/>
    <w:rsid w:val="00CB3C88"/>
    <w:rsid w:val="00CB483B"/>
    <w:rsid w:val="00CB495F"/>
    <w:rsid w:val="00CB4D97"/>
    <w:rsid w:val="00CB5439"/>
    <w:rsid w:val="00CB626E"/>
    <w:rsid w:val="00CB63A4"/>
    <w:rsid w:val="00CB6D24"/>
    <w:rsid w:val="00CC0326"/>
    <w:rsid w:val="00CC080A"/>
    <w:rsid w:val="00CC08A3"/>
    <w:rsid w:val="00CC0941"/>
    <w:rsid w:val="00CC190D"/>
    <w:rsid w:val="00CC1A47"/>
    <w:rsid w:val="00CC216A"/>
    <w:rsid w:val="00CC224C"/>
    <w:rsid w:val="00CC2A9F"/>
    <w:rsid w:val="00CC2F1F"/>
    <w:rsid w:val="00CC357B"/>
    <w:rsid w:val="00CC3B40"/>
    <w:rsid w:val="00CC3DAA"/>
    <w:rsid w:val="00CC4375"/>
    <w:rsid w:val="00CC43E6"/>
    <w:rsid w:val="00CC44BB"/>
    <w:rsid w:val="00CC4533"/>
    <w:rsid w:val="00CC4BDE"/>
    <w:rsid w:val="00CC4BE7"/>
    <w:rsid w:val="00CC5A32"/>
    <w:rsid w:val="00CC6038"/>
    <w:rsid w:val="00CC62ED"/>
    <w:rsid w:val="00CC6467"/>
    <w:rsid w:val="00CC6AA6"/>
    <w:rsid w:val="00CC6F88"/>
    <w:rsid w:val="00CC74D1"/>
    <w:rsid w:val="00CC7511"/>
    <w:rsid w:val="00CC7D3C"/>
    <w:rsid w:val="00CC7D61"/>
    <w:rsid w:val="00CD1158"/>
    <w:rsid w:val="00CD155F"/>
    <w:rsid w:val="00CD1DDB"/>
    <w:rsid w:val="00CD3D42"/>
    <w:rsid w:val="00CD3FE2"/>
    <w:rsid w:val="00CD3FF5"/>
    <w:rsid w:val="00CD40AA"/>
    <w:rsid w:val="00CD40B7"/>
    <w:rsid w:val="00CD411C"/>
    <w:rsid w:val="00CD44B9"/>
    <w:rsid w:val="00CD4DE8"/>
    <w:rsid w:val="00CD55BC"/>
    <w:rsid w:val="00CD56F6"/>
    <w:rsid w:val="00CD5774"/>
    <w:rsid w:val="00CD5F2B"/>
    <w:rsid w:val="00CD649E"/>
    <w:rsid w:val="00CD7225"/>
    <w:rsid w:val="00CD7418"/>
    <w:rsid w:val="00CD74F3"/>
    <w:rsid w:val="00CD7552"/>
    <w:rsid w:val="00CD7797"/>
    <w:rsid w:val="00CD7B73"/>
    <w:rsid w:val="00CE0AD2"/>
    <w:rsid w:val="00CE119D"/>
    <w:rsid w:val="00CE225E"/>
    <w:rsid w:val="00CE2EE6"/>
    <w:rsid w:val="00CE2F74"/>
    <w:rsid w:val="00CE3C32"/>
    <w:rsid w:val="00CE46C0"/>
    <w:rsid w:val="00CE5D28"/>
    <w:rsid w:val="00CE5E3B"/>
    <w:rsid w:val="00CE6146"/>
    <w:rsid w:val="00CE6197"/>
    <w:rsid w:val="00CE69DC"/>
    <w:rsid w:val="00CE6BA4"/>
    <w:rsid w:val="00CE70C3"/>
    <w:rsid w:val="00CE7118"/>
    <w:rsid w:val="00CE752D"/>
    <w:rsid w:val="00CE7805"/>
    <w:rsid w:val="00CE7E31"/>
    <w:rsid w:val="00CF0D19"/>
    <w:rsid w:val="00CF1A13"/>
    <w:rsid w:val="00CF1B6A"/>
    <w:rsid w:val="00CF1BAD"/>
    <w:rsid w:val="00CF1CE9"/>
    <w:rsid w:val="00CF2193"/>
    <w:rsid w:val="00CF29A6"/>
    <w:rsid w:val="00CF2D63"/>
    <w:rsid w:val="00CF314C"/>
    <w:rsid w:val="00CF3161"/>
    <w:rsid w:val="00CF32D2"/>
    <w:rsid w:val="00CF393C"/>
    <w:rsid w:val="00CF3A56"/>
    <w:rsid w:val="00CF4236"/>
    <w:rsid w:val="00CF4EE7"/>
    <w:rsid w:val="00CF557B"/>
    <w:rsid w:val="00CF56D3"/>
    <w:rsid w:val="00CF63F7"/>
    <w:rsid w:val="00CF662C"/>
    <w:rsid w:val="00CF6885"/>
    <w:rsid w:val="00CF6999"/>
    <w:rsid w:val="00CF6C3E"/>
    <w:rsid w:val="00CF6D7B"/>
    <w:rsid w:val="00CF7371"/>
    <w:rsid w:val="00CF77E4"/>
    <w:rsid w:val="00CF7819"/>
    <w:rsid w:val="00CF7830"/>
    <w:rsid w:val="00CF787C"/>
    <w:rsid w:val="00CF7989"/>
    <w:rsid w:val="00CF7E33"/>
    <w:rsid w:val="00D0086A"/>
    <w:rsid w:val="00D00958"/>
    <w:rsid w:val="00D00DB4"/>
    <w:rsid w:val="00D00DDA"/>
    <w:rsid w:val="00D014A5"/>
    <w:rsid w:val="00D01EE7"/>
    <w:rsid w:val="00D025CE"/>
    <w:rsid w:val="00D02C35"/>
    <w:rsid w:val="00D0344A"/>
    <w:rsid w:val="00D0369B"/>
    <w:rsid w:val="00D03AAA"/>
    <w:rsid w:val="00D03C45"/>
    <w:rsid w:val="00D03C7F"/>
    <w:rsid w:val="00D040B8"/>
    <w:rsid w:val="00D0467D"/>
    <w:rsid w:val="00D04AA3"/>
    <w:rsid w:val="00D04C54"/>
    <w:rsid w:val="00D0504A"/>
    <w:rsid w:val="00D050F7"/>
    <w:rsid w:val="00D061B8"/>
    <w:rsid w:val="00D068FC"/>
    <w:rsid w:val="00D069B8"/>
    <w:rsid w:val="00D07282"/>
    <w:rsid w:val="00D07336"/>
    <w:rsid w:val="00D075A9"/>
    <w:rsid w:val="00D075F0"/>
    <w:rsid w:val="00D103BD"/>
    <w:rsid w:val="00D107E2"/>
    <w:rsid w:val="00D119E2"/>
    <w:rsid w:val="00D11DAD"/>
    <w:rsid w:val="00D11DB7"/>
    <w:rsid w:val="00D11F12"/>
    <w:rsid w:val="00D125F7"/>
    <w:rsid w:val="00D12BD2"/>
    <w:rsid w:val="00D13E53"/>
    <w:rsid w:val="00D13FED"/>
    <w:rsid w:val="00D146C3"/>
    <w:rsid w:val="00D146DF"/>
    <w:rsid w:val="00D14C12"/>
    <w:rsid w:val="00D1545A"/>
    <w:rsid w:val="00D15539"/>
    <w:rsid w:val="00D15759"/>
    <w:rsid w:val="00D15A58"/>
    <w:rsid w:val="00D15E1A"/>
    <w:rsid w:val="00D15EDE"/>
    <w:rsid w:val="00D15FC9"/>
    <w:rsid w:val="00D168B5"/>
    <w:rsid w:val="00D17496"/>
    <w:rsid w:val="00D1749F"/>
    <w:rsid w:val="00D201AB"/>
    <w:rsid w:val="00D20376"/>
    <w:rsid w:val="00D20932"/>
    <w:rsid w:val="00D209D1"/>
    <w:rsid w:val="00D2104E"/>
    <w:rsid w:val="00D2124D"/>
    <w:rsid w:val="00D21600"/>
    <w:rsid w:val="00D21788"/>
    <w:rsid w:val="00D217D8"/>
    <w:rsid w:val="00D2227A"/>
    <w:rsid w:val="00D22682"/>
    <w:rsid w:val="00D229F8"/>
    <w:rsid w:val="00D239C3"/>
    <w:rsid w:val="00D23C23"/>
    <w:rsid w:val="00D23CEA"/>
    <w:rsid w:val="00D2402D"/>
    <w:rsid w:val="00D24568"/>
    <w:rsid w:val="00D246FE"/>
    <w:rsid w:val="00D247FA"/>
    <w:rsid w:val="00D2618E"/>
    <w:rsid w:val="00D2658F"/>
    <w:rsid w:val="00D267A5"/>
    <w:rsid w:val="00D2691A"/>
    <w:rsid w:val="00D2758B"/>
    <w:rsid w:val="00D27D4E"/>
    <w:rsid w:val="00D27DE4"/>
    <w:rsid w:val="00D27E9D"/>
    <w:rsid w:val="00D27F51"/>
    <w:rsid w:val="00D30554"/>
    <w:rsid w:val="00D30D5D"/>
    <w:rsid w:val="00D3119A"/>
    <w:rsid w:val="00D311B8"/>
    <w:rsid w:val="00D311E2"/>
    <w:rsid w:val="00D32351"/>
    <w:rsid w:val="00D32818"/>
    <w:rsid w:val="00D3303F"/>
    <w:rsid w:val="00D34E53"/>
    <w:rsid w:val="00D34FC6"/>
    <w:rsid w:val="00D355E6"/>
    <w:rsid w:val="00D359D7"/>
    <w:rsid w:val="00D35AE1"/>
    <w:rsid w:val="00D35D15"/>
    <w:rsid w:val="00D36133"/>
    <w:rsid w:val="00D367F0"/>
    <w:rsid w:val="00D3682E"/>
    <w:rsid w:val="00D369E0"/>
    <w:rsid w:val="00D36C0F"/>
    <w:rsid w:val="00D370A1"/>
    <w:rsid w:val="00D37A08"/>
    <w:rsid w:val="00D37CB6"/>
    <w:rsid w:val="00D37F39"/>
    <w:rsid w:val="00D40B02"/>
    <w:rsid w:val="00D41753"/>
    <w:rsid w:val="00D41766"/>
    <w:rsid w:val="00D420F4"/>
    <w:rsid w:val="00D42539"/>
    <w:rsid w:val="00D426D5"/>
    <w:rsid w:val="00D427FA"/>
    <w:rsid w:val="00D42AD4"/>
    <w:rsid w:val="00D438E2"/>
    <w:rsid w:val="00D43CB3"/>
    <w:rsid w:val="00D43CD4"/>
    <w:rsid w:val="00D43DE6"/>
    <w:rsid w:val="00D441CA"/>
    <w:rsid w:val="00D44264"/>
    <w:rsid w:val="00D44AB7"/>
    <w:rsid w:val="00D45BE3"/>
    <w:rsid w:val="00D46D29"/>
    <w:rsid w:val="00D474A1"/>
    <w:rsid w:val="00D479C3"/>
    <w:rsid w:val="00D50ADA"/>
    <w:rsid w:val="00D50C94"/>
    <w:rsid w:val="00D50F48"/>
    <w:rsid w:val="00D51308"/>
    <w:rsid w:val="00D51762"/>
    <w:rsid w:val="00D51A7D"/>
    <w:rsid w:val="00D5206A"/>
    <w:rsid w:val="00D52C03"/>
    <w:rsid w:val="00D53077"/>
    <w:rsid w:val="00D5340E"/>
    <w:rsid w:val="00D534C2"/>
    <w:rsid w:val="00D53A6B"/>
    <w:rsid w:val="00D5431B"/>
    <w:rsid w:val="00D54AEE"/>
    <w:rsid w:val="00D5510C"/>
    <w:rsid w:val="00D5542E"/>
    <w:rsid w:val="00D55829"/>
    <w:rsid w:val="00D55892"/>
    <w:rsid w:val="00D55978"/>
    <w:rsid w:val="00D55F83"/>
    <w:rsid w:val="00D560FE"/>
    <w:rsid w:val="00D56704"/>
    <w:rsid w:val="00D568D1"/>
    <w:rsid w:val="00D56F18"/>
    <w:rsid w:val="00D5750F"/>
    <w:rsid w:val="00D57CEB"/>
    <w:rsid w:val="00D57D69"/>
    <w:rsid w:val="00D6031A"/>
    <w:rsid w:val="00D6036B"/>
    <w:rsid w:val="00D608BA"/>
    <w:rsid w:val="00D608EF"/>
    <w:rsid w:val="00D612E2"/>
    <w:rsid w:val="00D620C2"/>
    <w:rsid w:val="00D62208"/>
    <w:rsid w:val="00D62A97"/>
    <w:rsid w:val="00D62F0D"/>
    <w:rsid w:val="00D63503"/>
    <w:rsid w:val="00D63C0C"/>
    <w:rsid w:val="00D641C3"/>
    <w:rsid w:val="00D64A28"/>
    <w:rsid w:val="00D64D25"/>
    <w:rsid w:val="00D64EAA"/>
    <w:rsid w:val="00D65094"/>
    <w:rsid w:val="00D65443"/>
    <w:rsid w:val="00D65636"/>
    <w:rsid w:val="00D65770"/>
    <w:rsid w:val="00D65778"/>
    <w:rsid w:val="00D6614F"/>
    <w:rsid w:val="00D66636"/>
    <w:rsid w:val="00D66C0E"/>
    <w:rsid w:val="00D66DED"/>
    <w:rsid w:val="00D66F66"/>
    <w:rsid w:val="00D679F8"/>
    <w:rsid w:val="00D67DFF"/>
    <w:rsid w:val="00D7034B"/>
    <w:rsid w:val="00D706DB"/>
    <w:rsid w:val="00D70B34"/>
    <w:rsid w:val="00D70F6D"/>
    <w:rsid w:val="00D710AC"/>
    <w:rsid w:val="00D71320"/>
    <w:rsid w:val="00D71D30"/>
    <w:rsid w:val="00D7238A"/>
    <w:rsid w:val="00D724E7"/>
    <w:rsid w:val="00D726D8"/>
    <w:rsid w:val="00D72942"/>
    <w:rsid w:val="00D729AD"/>
    <w:rsid w:val="00D72D31"/>
    <w:rsid w:val="00D73178"/>
    <w:rsid w:val="00D732AD"/>
    <w:rsid w:val="00D73705"/>
    <w:rsid w:val="00D73C6B"/>
    <w:rsid w:val="00D740C8"/>
    <w:rsid w:val="00D74611"/>
    <w:rsid w:val="00D754F4"/>
    <w:rsid w:val="00D7594C"/>
    <w:rsid w:val="00D75963"/>
    <w:rsid w:val="00D76406"/>
    <w:rsid w:val="00D768A3"/>
    <w:rsid w:val="00D76958"/>
    <w:rsid w:val="00D772D1"/>
    <w:rsid w:val="00D80447"/>
    <w:rsid w:val="00D812ED"/>
    <w:rsid w:val="00D828D1"/>
    <w:rsid w:val="00D82AD4"/>
    <w:rsid w:val="00D82C4D"/>
    <w:rsid w:val="00D8354F"/>
    <w:rsid w:val="00D8384C"/>
    <w:rsid w:val="00D83C5E"/>
    <w:rsid w:val="00D83CCA"/>
    <w:rsid w:val="00D841FA"/>
    <w:rsid w:val="00D84448"/>
    <w:rsid w:val="00D850F0"/>
    <w:rsid w:val="00D85C77"/>
    <w:rsid w:val="00D85D40"/>
    <w:rsid w:val="00D85DBF"/>
    <w:rsid w:val="00D85F5A"/>
    <w:rsid w:val="00D8628A"/>
    <w:rsid w:val="00D901E1"/>
    <w:rsid w:val="00D906DA"/>
    <w:rsid w:val="00D908BE"/>
    <w:rsid w:val="00D90B75"/>
    <w:rsid w:val="00D90EBA"/>
    <w:rsid w:val="00D910E3"/>
    <w:rsid w:val="00D91733"/>
    <w:rsid w:val="00D9184C"/>
    <w:rsid w:val="00D91C6D"/>
    <w:rsid w:val="00D91F5A"/>
    <w:rsid w:val="00D91F9E"/>
    <w:rsid w:val="00D926FD"/>
    <w:rsid w:val="00D928E9"/>
    <w:rsid w:val="00D92B05"/>
    <w:rsid w:val="00D92F16"/>
    <w:rsid w:val="00D9313F"/>
    <w:rsid w:val="00D932D1"/>
    <w:rsid w:val="00D935DF"/>
    <w:rsid w:val="00D93E52"/>
    <w:rsid w:val="00D94EF8"/>
    <w:rsid w:val="00D95488"/>
    <w:rsid w:val="00D9687C"/>
    <w:rsid w:val="00D974E2"/>
    <w:rsid w:val="00DA08F1"/>
    <w:rsid w:val="00DA0AB0"/>
    <w:rsid w:val="00DA0AC5"/>
    <w:rsid w:val="00DA0E34"/>
    <w:rsid w:val="00DA1EAE"/>
    <w:rsid w:val="00DA3068"/>
    <w:rsid w:val="00DA31A1"/>
    <w:rsid w:val="00DA337E"/>
    <w:rsid w:val="00DA347B"/>
    <w:rsid w:val="00DA438A"/>
    <w:rsid w:val="00DA5099"/>
    <w:rsid w:val="00DA5DAE"/>
    <w:rsid w:val="00DA61B7"/>
    <w:rsid w:val="00DA61F8"/>
    <w:rsid w:val="00DA661C"/>
    <w:rsid w:val="00DA68C9"/>
    <w:rsid w:val="00DA71F0"/>
    <w:rsid w:val="00DA71F5"/>
    <w:rsid w:val="00DA77CB"/>
    <w:rsid w:val="00DA7A9E"/>
    <w:rsid w:val="00DA7D50"/>
    <w:rsid w:val="00DB01F2"/>
    <w:rsid w:val="00DB08F1"/>
    <w:rsid w:val="00DB10E5"/>
    <w:rsid w:val="00DB19EF"/>
    <w:rsid w:val="00DB1FE3"/>
    <w:rsid w:val="00DB250D"/>
    <w:rsid w:val="00DB3AF8"/>
    <w:rsid w:val="00DB58D7"/>
    <w:rsid w:val="00DB5EA8"/>
    <w:rsid w:val="00DB68B8"/>
    <w:rsid w:val="00DB6928"/>
    <w:rsid w:val="00DB6BB3"/>
    <w:rsid w:val="00DB7A38"/>
    <w:rsid w:val="00DB7B78"/>
    <w:rsid w:val="00DC01D0"/>
    <w:rsid w:val="00DC0898"/>
    <w:rsid w:val="00DC08C2"/>
    <w:rsid w:val="00DC0AAC"/>
    <w:rsid w:val="00DC100F"/>
    <w:rsid w:val="00DC1144"/>
    <w:rsid w:val="00DC19AA"/>
    <w:rsid w:val="00DC1C3A"/>
    <w:rsid w:val="00DC2044"/>
    <w:rsid w:val="00DC20E9"/>
    <w:rsid w:val="00DC254F"/>
    <w:rsid w:val="00DC2A02"/>
    <w:rsid w:val="00DC3162"/>
    <w:rsid w:val="00DC3F13"/>
    <w:rsid w:val="00DC41E0"/>
    <w:rsid w:val="00DC42BE"/>
    <w:rsid w:val="00DC49AF"/>
    <w:rsid w:val="00DC59E7"/>
    <w:rsid w:val="00DC6DAC"/>
    <w:rsid w:val="00DC6F35"/>
    <w:rsid w:val="00DC74A6"/>
    <w:rsid w:val="00DC75AF"/>
    <w:rsid w:val="00DC792E"/>
    <w:rsid w:val="00DD02A9"/>
    <w:rsid w:val="00DD12E2"/>
    <w:rsid w:val="00DD1793"/>
    <w:rsid w:val="00DD1D2B"/>
    <w:rsid w:val="00DD1DE3"/>
    <w:rsid w:val="00DD257E"/>
    <w:rsid w:val="00DD2F7B"/>
    <w:rsid w:val="00DD3369"/>
    <w:rsid w:val="00DD3B15"/>
    <w:rsid w:val="00DD3BEC"/>
    <w:rsid w:val="00DD3E0B"/>
    <w:rsid w:val="00DD45D8"/>
    <w:rsid w:val="00DD47CB"/>
    <w:rsid w:val="00DD48AC"/>
    <w:rsid w:val="00DD48BE"/>
    <w:rsid w:val="00DD4D37"/>
    <w:rsid w:val="00DD5014"/>
    <w:rsid w:val="00DD5D16"/>
    <w:rsid w:val="00DD63E0"/>
    <w:rsid w:val="00DD6838"/>
    <w:rsid w:val="00DD7B83"/>
    <w:rsid w:val="00DD7F8C"/>
    <w:rsid w:val="00DE013C"/>
    <w:rsid w:val="00DE08B8"/>
    <w:rsid w:val="00DE11E8"/>
    <w:rsid w:val="00DE1350"/>
    <w:rsid w:val="00DE140A"/>
    <w:rsid w:val="00DE1572"/>
    <w:rsid w:val="00DE15C3"/>
    <w:rsid w:val="00DE1745"/>
    <w:rsid w:val="00DE1ACD"/>
    <w:rsid w:val="00DE2812"/>
    <w:rsid w:val="00DE29B8"/>
    <w:rsid w:val="00DE33A7"/>
    <w:rsid w:val="00DE3EB8"/>
    <w:rsid w:val="00DE47CE"/>
    <w:rsid w:val="00DE4854"/>
    <w:rsid w:val="00DE5064"/>
    <w:rsid w:val="00DE53B6"/>
    <w:rsid w:val="00DE5BA3"/>
    <w:rsid w:val="00DE5E1E"/>
    <w:rsid w:val="00DE6E72"/>
    <w:rsid w:val="00DE6F2C"/>
    <w:rsid w:val="00DE711E"/>
    <w:rsid w:val="00DE73E2"/>
    <w:rsid w:val="00DE7789"/>
    <w:rsid w:val="00DE7D08"/>
    <w:rsid w:val="00DE7D5C"/>
    <w:rsid w:val="00DE7E12"/>
    <w:rsid w:val="00DF064D"/>
    <w:rsid w:val="00DF08C6"/>
    <w:rsid w:val="00DF12D9"/>
    <w:rsid w:val="00DF1C1F"/>
    <w:rsid w:val="00DF2091"/>
    <w:rsid w:val="00DF23F8"/>
    <w:rsid w:val="00DF2868"/>
    <w:rsid w:val="00DF2DC9"/>
    <w:rsid w:val="00DF361C"/>
    <w:rsid w:val="00DF39AF"/>
    <w:rsid w:val="00DF3C7F"/>
    <w:rsid w:val="00DF44AD"/>
    <w:rsid w:val="00DF4626"/>
    <w:rsid w:val="00DF4731"/>
    <w:rsid w:val="00DF48B6"/>
    <w:rsid w:val="00DF4EE7"/>
    <w:rsid w:val="00DF5073"/>
    <w:rsid w:val="00DF5951"/>
    <w:rsid w:val="00DF6093"/>
    <w:rsid w:val="00DF641D"/>
    <w:rsid w:val="00DF6763"/>
    <w:rsid w:val="00DF6AEC"/>
    <w:rsid w:val="00DF7352"/>
    <w:rsid w:val="00DF73C5"/>
    <w:rsid w:val="00DF77B9"/>
    <w:rsid w:val="00DF7C04"/>
    <w:rsid w:val="00E00849"/>
    <w:rsid w:val="00E00BC8"/>
    <w:rsid w:val="00E01023"/>
    <w:rsid w:val="00E01BBB"/>
    <w:rsid w:val="00E03682"/>
    <w:rsid w:val="00E039B4"/>
    <w:rsid w:val="00E03EA0"/>
    <w:rsid w:val="00E0482B"/>
    <w:rsid w:val="00E04BEB"/>
    <w:rsid w:val="00E064A4"/>
    <w:rsid w:val="00E065A6"/>
    <w:rsid w:val="00E067A0"/>
    <w:rsid w:val="00E068D4"/>
    <w:rsid w:val="00E0696C"/>
    <w:rsid w:val="00E06AD0"/>
    <w:rsid w:val="00E06C4B"/>
    <w:rsid w:val="00E06FBA"/>
    <w:rsid w:val="00E0761C"/>
    <w:rsid w:val="00E0792D"/>
    <w:rsid w:val="00E07B20"/>
    <w:rsid w:val="00E07C35"/>
    <w:rsid w:val="00E07ECF"/>
    <w:rsid w:val="00E100F3"/>
    <w:rsid w:val="00E101EC"/>
    <w:rsid w:val="00E10767"/>
    <w:rsid w:val="00E112B5"/>
    <w:rsid w:val="00E1205C"/>
    <w:rsid w:val="00E1210E"/>
    <w:rsid w:val="00E1218F"/>
    <w:rsid w:val="00E123F7"/>
    <w:rsid w:val="00E1338A"/>
    <w:rsid w:val="00E13471"/>
    <w:rsid w:val="00E1386B"/>
    <w:rsid w:val="00E138AC"/>
    <w:rsid w:val="00E13E39"/>
    <w:rsid w:val="00E13F46"/>
    <w:rsid w:val="00E14168"/>
    <w:rsid w:val="00E1418E"/>
    <w:rsid w:val="00E14F22"/>
    <w:rsid w:val="00E1560E"/>
    <w:rsid w:val="00E15852"/>
    <w:rsid w:val="00E15F1D"/>
    <w:rsid w:val="00E166DA"/>
    <w:rsid w:val="00E167C1"/>
    <w:rsid w:val="00E16D79"/>
    <w:rsid w:val="00E17134"/>
    <w:rsid w:val="00E171BB"/>
    <w:rsid w:val="00E17BD9"/>
    <w:rsid w:val="00E2101F"/>
    <w:rsid w:val="00E21259"/>
    <w:rsid w:val="00E21F9F"/>
    <w:rsid w:val="00E223FD"/>
    <w:rsid w:val="00E22980"/>
    <w:rsid w:val="00E23226"/>
    <w:rsid w:val="00E23620"/>
    <w:rsid w:val="00E24063"/>
    <w:rsid w:val="00E24385"/>
    <w:rsid w:val="00E243F4"/>
    <w:rsid w:val="00E248A2"/>
    <w:rsid w:val="00E24BE0"/>
    <w:rsid w:val="00E24CC6"/>
    <w:rsid w:val="00E256B1"/>
    <w:rsid w:val="00E257A6"/>
    <w:rsid w:val="00E26094"/>
    <w:rsid w:val="00E2680F"/>
    <w:rsid w:val="00E26982"/>
    <w:rsid w:val="00E26EE4"/>
    <w:rsid w:val="00E26F19"/>
    <w:rsid w:val="00E27307"/>
    <w:rsid w:val="00E27AD4"/>
    <w:rsid w:val="00E30D43"/>
    <w:rsid w:val="00E30D7C"/>
    <w:rsid w:val="00E31016"/>
    <w:rsid w:val="00E310C3"/>
    <w:rsid w:val="00E31997"/>
    <w:rsid w:val="00E3262F"/>
    <w:rsid w:val="00E32F8C"/>
    <w:rsid w:val="00E335AD"/>
    <w:rsid w:val="00E33A55"/>
    <w:rsid w:val="00E33F0D"/>
    <w:rsid w:val="00E3593C"/>
    <w:rsid w:val="00E35C2F"/>
    <w:rsid w:val="00E36177"/>
    <w:rsid w:val="00E3694B"/>
    <w:rsid w:val="00E36EB4"/>
    <w:rsid w:val="00E37D2B"/>
    <w:rsid w:val="00E37D8B"/>
    <w:rsid w:val="00E401C0"/>
    <w:rsid w:val="00E40C15"/>
    <w:rsid w:val="00E41827"/>
    <w:rsid w:val="00E429C7"/>
    <w:rsid w:val="00E42A88"/>
    <w:rsid w:val="00E43024"/>
    <w:rsid w:val="00E4302D"/>
    <w:rsid w:val="00E430ED"/>
    <w:rsid w:val="00E43B17"/>
    <w:rsid w:val="00E4429B"/>
    <w:rsid w:val="00E442CD"/>
    <w:rsid w:val="00E444C9"/>
    <w:rsid w:val="00E44CF4"/>
    <w:rsid w:val="00E452F0"/>
    <w:rsid w:val="00E46267"/>
    <w:rsid w:val="00E4691B"/>
    <w:rsid w:val="00E4705E"/>
    <w:rsid w:val="00E47121"/>
    <w:rsid w:val="00E47D09"/>
    <w:rsid w:val="00E47D6A"/>
    <w:rsid w:val="00E5037D"/>
    <w:rsid w:val="00E5100A"/>
    <w:rsid w:val="00E515EC"/>
    <w:rsid w:val="00E517A0"/>
    <w:rsid w:val="00E51A34"/>
    <w:rsid w:val="00E51C7B"/>
    <w:rsid w:val="00E53379"/>
    <w:rsid w:val="00E53A39"/>
    <w:rsid w:val="00E5499E"/>
    <w:rsid w:val="00E55857"/>
    <w:rsid w:val="00E55BB4"/>
    <w:rsid w:val="00E5628C"/>
    <w:rsid w:val="00E5629E"/>
    <w:rsid w:val="00E56595"/>
    <w:rsid w:val="00E56EF5"/>
    <w:rsid w:val="00E570C3"/>
    <w:rsid w:val="00E571C8"/>
    <w:rsid w:val="00E57958"/>
    <w:rsid w:val="00E57CB5"/>
    <w:rsid w:val="00E612F6"/>
    <w:rsid w:val="00E62166"/>
    <w:rsid w:val="00E6220A"/>
    <w:rsid w:val="00E62AE6"/>
    <w:rsid w:val="00E62CC6"/>
    <w:rsid w:val="00E62CF3"/>
    <w:rsid w:val="00E62DE6"/>
    <w:rsid w:val="00E63280"/>
    <w:rsid w:val="00E63580"/>
    <w:rsid w:val="00E635BE"/>
    <w:rsid w:val="00E648DD"/>
    <w:rsid w:val="00E65912"/>
    <w:rsid w:val="00E65CC6"/>
    <w:rsid w:val="00E66086"/>
    <w:rsid w:val="00E66745"/>
    <w:rsid w:val="00E667B2"/>
    <w:rsid w:val="00E66C9F"/>
    <w:rsid w:val="00E7051E"/>
    <w:rsid w:val="00E70588"/>
    <w:rsid w:val="00E70FC2"/>
    <w:rsid w:val="00E71095"/>
    <w:rsid w:val="00E71484"/>
    <w:rsid w:val="00E719D2"/>
    <w:rsid w:val="00E71B45"/>
    <w:rsid w:val="00E71FAD"/>
    <w:rsid w:val="00E72783"/>
    <w:rsid w:val="00E72F73"/>
    <w:rsid w:val="00E73102"/>
    <w:rsid w:val="00E7380A"/>
    <w:rsid w:val="00E73BED"/>
    <w:rsid w:val="00E747C8"/>
    <w:rsid w:val="00E74B84"/>
    <w:rsid w:val="00E74EF3"/>
    <w:rsid w:val="00E74F67"/>
    <w:rsid w:val="00E74FFF"/>
    <w:rsid w:val="00E756D6"/>
    <w:rsid w:val="00E759A7"/>
    <w:rsid w:val="00E763F1"/>
    <w:rsid w:val="00E765AC"/>
    <w:rsid w:val="00E7695E"/>
    <w:rsid w:val="00E76CF0"/>
    <w:rsid w:val="00E771CD"/>
    <w:rsid w:val="00E77782"/>
    <w:rsid w:val="00E77FB5"/>
    <w:rsid w:val="00E77FB7"/>
    <w:rsid w:val="00E805D5"/>
    <w:rsid w:val="00E80CB9"/>
    <w:rsid w:val="00E80E65"/>
    <w:rsid w:val="00E81C84"/>
    <w:rsid w:val="00E823E6"/>
    <w:rsid w:val="00E827C4"/>
    <w:rsid w:val="00E82E4D"/>
    <w:rsid w:val="00E832EC"/>
    <w:rsid w:val="00E83307"/>
    <w:rsid w:val="00E83C7F"/>
    <w:rsid w:val="00E83D52"/>
    <w:rsid w:val="00E840A3"/>
    <w:rsid w:val="00E840C6"/>
    <w:rsid w:val="00E84B33"/>
    <w:rsid w:val="00E84F97"/>
    <w:rsid w:val="00E84FA1"/>
    <w:rsid w:val="00E8548D"/>
    <w:rsid w:val="00E85841"/>
    <w:rsid w:val="00E85945"/>
    <w:rsid w:val="00E85C9F"/>
    <w:rsid w:val="00E85FF7"/>
    <w:rsid w:val="00E86081"/>
    <w:rsid w:val="00E86D32"/>
    <w:rsid w:val="00E8730A"/>
    <w:rsid w:val="00E874BB"/>
    <w:rsid w:val="00E87584"/>
    <w:rsid w:val="00E8791F"/>
    <w:rsid w:val="00E9008F"/>
    <w:rsid w:val="00E9051B"/>
    <w:rsid w:val="00E90C3E"/>
    <w:rsid w:val="00E90CAB"/>
    <w:rsid w:val="00E90F85"/>
    <w:rsid w:val="00E911E9"/>
    <w:rsid w:val="00E91399"/>
    <w:rsid w:val="00E918FA"/>
    <w:rsid w:val="00E91A2D"/>
    <w:rsid w:val="00E93082"/>
    <w:rsid w:val="00E938A0"/>
    <w:rsid w:val="00E9395A"/>
    <w:rsid w:val="00E93A65"/>
    <w:rsid w:val="00E93AA7"/>
    <w:rsid w:val="00E93E6D"/>
    <w:rsid w:val="00E941FE"/>
    <w:rsid w:val="00E9466E"/>
    <w:rsid w:val="00E954C1"/>
    <w:rsid w:val="00E95B40"/>
    <w:rsid w:val="00E95F60"/>
    <w:rsid w:val="00E96640"/>
    <w:rsid w:val="00E97BF9"/>
    <w:rsid w:val="00E97CEB"/>
    <w:rsid w:val="00EA01B2"/>
    <w:rsid w:val="00EA0E74"/>
    <w:rsid w:val="00EA1C98"/>
    <w:rsid w:val="00EA2130"/>
    <w:rsid w:val="00EA2800"/>
    <w:rsid w:val="00EA2E38"/>
    <w:rsid w:val="00EA35DB"/>
    <w:rsid w:val="00EA3615"/>
    <w:rsid w:val="00EA37AB"/>
    <w:rsid w:val="00EA3FCA"/>
    <w:rsid w:val="00EA44A9"/>
    <w:rsid w:val="00EA4B5F"/>
    <w:rsid w:val="00EA56D1"/>
    <w:rsid w:val="00EA583F"/>
    <w:rsid w:val="00EA5891"/>
    <w:rsid w:val="00EA5AD6"/>
    <w:rsid w:val="00EA6769"/>
    <w:rsid w:val="00EB014C"/>
    <w:rsid w:val="00EB072F"/>
    <w:rsid w:val="00EB0A1E"/>
    <w:rsid w:val="00EB0AAE"/>
    <w:rsid w:val="00EB0C07"/>
    <w:rsid w:val="00EB0F21"/>
    <w:rsid w:val="00EB13D5"/>
    <w:rsid w:val="00EB1431"/>
    <w:rsid w:val="00EB144B"/>
    <w:rsid w:val="00EB1A83"/>
    <w:rsid w:val="00EB20C9"/>
    <w:rsid w:val="00EB24B6"/>
    <w:rsid w:val="00EB2765"/>
    <w:rsid w:val="00EB2B09"/>
    <w:rsid w:val="00EB35D3"/>
    <w:rsid w:val="00EB3A2E"/>
    <w:rsid w:val="00EB3A41"/>
    <w:rsid w:val="00EB486E"/>
    <w:rsid w:val="00EB56E1"/>
    <w:rsid w:val="00EB73C2"/>
    <w:rsid w:val="00EB7949"/>
    <w:rsid w:val="00EB7EC9"/>
    <w:rsid w:val="00EC025A"/>
    <w:rsid w:val="00EC0AA9"/>
    <w:rsid w:val="00EC0FCB"/>
    <w:rsid w:val="00EC119F"/>
    <w:rsid w:val="00EC170E"/>
    <w:rsid w:val="00EC1782"/>
    <w:rsid w:val="00EC17E8"/>
    <w:rsid w:val="00EC18FE"/>
    <w:rsid w:val="00EC193F"/>
    <w:rsid w:val="00EC1BF4"/>
    <w:rsid w:val="00EC325E"/>
    <w:rsid w:val="00EC331A"/>
    <w:rsid w:val="00EC38DA"/>
    <w:rsid w:val="00EC3914"/>
    <w:rsid w:val="00EC3B37"/>
    <w:rsid w:val="00EC3CBE"/>
    <w:rsid w:val="00EC4900"/>
    <w:rsid w:val="00EC494C"/>
    <w:rsid w:val="00EC4D0E"/>
    <w:rsid w:val="00EC4FEF"/>
    <w:rsid w:val="00EC604A"/>
    <w:rsid w:val="00EC6D8B"/>
    <w:rsid w:val="00EC7197"/>
    <w:rsid w:val="00EC7EFB"/>
    <w:rsid w:val="00EC7FAA"/>
    <w:rsid w:val="00ED05F3"/>
    <w:rsid w:val="00ED0A2D"/>
    <w:rsid w:val="00ED1847"/>
    <w:rsid w:val="00ED2606"/>
    <w:rsid w:val="00ED27CF"/>
    <w:rsid w:val="00ED3918"/>
    <w:rsid w:val="00ED396D"/>
    <w:rsid w:val="00ED3C6A"/>
    <w:rsid w:val="00ED3E0E"/>
    <w:rsid w:val="00ED4508"/>
    <w:rsid w:val="00ED49B7"/>
    <w:rsid w:val="00ED5890"/>
    <w:rsid w:val="00ED6565"/>
    <w:rsid w:val="00ED6960"/>
    <w:rsid w:val="00ED6CDA"/>
    <w:rsid w:val="00ED7974"/>
    <w:rsid w:val="00EE01AC"/>
    <w:rsid w:val="00EE083A"/>
    <w:rsid w:val="00EE0D20"/>
    <w:rsid w:val="00EE169C"/>
    <w:rsid w:val="00EE1A53"/>
    <w:rsid w:val="00EE1E6B"/>
    <w:rsid w:val="00EE29B0"/>
    <w:rsid w:val="00EE2A76"/>
    <w:rsid w:val="00EE2AF0"/>
    <w:rsid w:val="00EE373C"/>
    <w:rsid w:val="00EE4159"/>
    <w:rsid w:val="00EE46C2"/>
    <w:rsid w:val="00EE471D"/>
    <w:rsid w:val="00EE490E"/>
    <w:rsid w:val="00EE4A57"/>
    <w:rsid w:val="00EE4BBE"/>
    <w:rsid w:val="00EE6737"/>
    <w:rsid w:val="00EE6A20"/>
    <w:rsid w:val="00EE6FED"/>
    <w:rsid w:val="00EE7D26"/>
    <w:rsid w:val="00EE7D31"/>
    <w:rsid w:val="00EE7D74"/>
    <w:rsid w:val="00EF03F6"/>
    <w:rsid w:val="00EF0670"/>
    <w:rsid w:val="00EF070E"/>
    <w:rsid w:val="00EF0EDE"/>
    <w:rsid w:val="00EF11CC"/>
    <w:rsid w:val="00EF24FC"/>
    <w:rsid w:val="00EF251D"/>
    <w:rsid w:val="00EF2876"/>
    <w:rsid w:val="00EF2E6B"/>
    <w:rsid w:val="00EF3719"/>
    <w:rsid w:val="00EF405D"/>
    <w:rsid w:val="00EF4736"/>
    <w:rsid w:val="00EF49AA"/>
    <w:rsid w:val="00EF4A1B"/>
    <w:rsid w:val="00EF5093"/>
    <w:rsid w:val="00EF512F"/>
    <w:rsid w:val="00EF5350"/>
    <w:rsid w:val="00EF54DD"/>
    <w:rsid w:val="00EF5815"/>
    <w:rsid w:val="00EF68D4"/>
    <w:rsid w:val="00EF6AD1"/>
    <w:rsid w:val="00EF6DC0"/>
    <w:rsid w:val="00EF7441"/>
    <w:rsid w:val="00EF75F7"/>
    <w:rsid w:val="00F00E64"/>
    <w:rsid w:val="00F01075"/>
    <w:rsid w:val="00F02267"/>
    <w:rsid w:val="00F0322F"/>
    <w:rsid w:val="00F03E18"/>
    <w:rsid w:val="00F0466B"/>
    <w:rsid w:val="00F04914"/>
    <w:rsid w:val="00F04E6C"/>
    <w:rsid w:val="00F05041"/>
    <w:rsid w:val="00F05622"/>
    <w:rsid w:val="00F0618D"/>
    <w:rsid w:val="00F0650F"/>
    <w:rsid w:val="00F0657C"/>
    <w:rsid w:val="00F06D07"/>
    <w:rsid w:val="00F0711A"/>
    <w:rsid w:val="00F077C1"/>
    <w:rsid w:val="00F07D02"/>
    <w:rsid w:val="00F1045B"/>
    <w:rsid w:val="00F10E4E"/>
    <w:rsid w:val="00F10F19"/>
    <w:rsid w:val="00F118FE"/>
    <w:rsid w:val="00F11BA1"/>
    <w:rsid w:val="00F11ED9"/>
    <w:rsid w:val="00F12CDA"/>
    <w:rsid w:val="00F12DF9"/>
    <w:rsid w:val="00F138AF"/>
    <w:rsid w:val="00F13D75"/>
    <w:rsid w:val="00F13EAB"/>
    <w:rsid w:val="00F14233"/>
    <w:rsid w:val="00F1475E"/>
    <w:rsid w:val="00F14952"/>
    <w:rsid w:val="00F14C2A"/>
    <w:rsid w:val="00F14E50"/>
    <w:rsid w:val="00F15240"/>
    <w:rsid w:val="00F15605"/>
    <w:rsid w:val="00F15750"/>
    <w:rsid w:val="00F16047"/>
    <w:rsid w:val="00F1613C"/>
    <w:rsid w:val="00F16608"/>
    <w:rsid w:val="00F1741F"/>
    <w:rsid w:val="00F203FC"/>
    <w:rsid w:val="00F20C35"/>
    <w:rsid w:val="00F20DA8"/>
    <w:rsid w:val="00F20DF2"/>
    <w:rsid w:val="00F20EBF"/>
    <w:rsid w:val="00F213E9"/>
    <w:rsid w:val="00F21C5A"/>
    <w:rsid w:val="00F21D24"/>
    <w:rsid w:val="00F21E86"/>
    <w:rsid w:val="00F227B2"/>
    <w:rsid w:val="00F2337D"/>
    <w:rsid w:val="00F23422"/>
    <w:rsid w:val="00F23464"/>
    <w:rsid w:val="00F235E7"/>
    <w:rsid w:val="00F23677"/>
    <w:rsid w:val="00F24081"/>
    <w:rsid w:val="00F2459D"/>
    <w:rsid w:val="00F25992"/>
    <w:rsid w:val="00F27FA4"/>
    <w:rsid w:val="00F302A4"/>
    <w:rsid w:val="00F303FF"/>
    <w:rsid w:val="00F30C49"/>
    <w:rsid w:val="00F30F32"/>
    <w:rsid w:val="00F31A44"/>
    <w:rsid w:val="00F31CFE"/>
    <w:rsid w:val="00F31E1B"/>
    <w:rsid w:val="00F3262C"/>
    <w:rsid w:val="00F327C5"/>
    <w:rsid w:val="00F32946"/>
    <w:rsid w:val="00F32AC0"/>
    <w:rsid w:val="00F32B46"/>
    <w:rsid w:val="00F3305C"/>
    <w:rsid w:val="00F3374E"/>
    <w:rsid w:val="00F33751"/>
    <w:rsid w:val="00F34681"/>
    <w:rsid w:val="00F34E63"/>
    <w:rsid w:val="00F3509B"/>
    <w:rsid w:val="00F3692D"/>
    <w:rsid w:val="00F36DF0"/>
    <w:rsid w:val="00F371BA"/>
    <w:rsid w:val="00F37819"/>
    <w:rsid w:val="00F37908"/>
    <w:rsid w:val="00F40141"/>
    <w:rsid w:val="00F40173"/>
    <w:rsid w:val="00F4196C"/>
    <w:rsid w:val="00F4298C"/>
    <w:rsid w:val="00F42D0A"/>
    <w:rsid w:val="00F437C2"/>
    <w:rsid w:val="00F43B3A"/>
    <w:rsid w:val="00F43C7E"/>
    <w:rsid w:val="00F43E42"/>
    <w:rsid w:val="00F43EDC"/>
    <w:rsid w:val="00F43F91"/>
    <w:rsid w:val="00F44069"/>
    <w:rsid w:val="00F442D4"/>
    <w:rsid w:val="00F447DC"/>
    <w:rsid w:val="00F45335"/>
    <w:rsid w:val="00F45562"/>
    <w:rsid w:val="00F45846"/>
    <w:rsid w:val="00F45F67"/>
    <w:rsid w:val="00F465D9"/>
    <w:rsid w:val="00F46B9C"/>
    <w:rsid w:val="00F46E8C"/>
    <w:rsid w:val="00F475A2"/>
    <w:rsid w:val="00F47A43"/>
    <w:rsid w:val="00F50039"/>
    <w:rsid w:val="00F5042F"/>
    <w:rsid w:val="00F50809"/>
    <w:rsid w:val="00F50940"/>
    <w:rsid w:val="00F509C7"/>
    <w:rsid w:val="00F50A1D"/>
    <w:rsid w:val="00F50AAF"/>
    <w:rsid w:val="00F52CF3"/>
    <w:rsid w:val="00F533F8"/>
    <w:rsid w:val="00F53485"/>
    <w:rsid w:val="00F53499"/>
    <w:rsid w:val="00F537AB"/>
    <w:rsid w:val="00F547C5"/>
    <w:rsid w:val="00F54DC3"/>
    <w:rsid w:val="00F54F9B"/>
    <w:rsid w:val="00F54FB2"/>
    <w:rsid w:val="00F55286"/>
    <w:rsid w:val="00F55895"/>
    <w:rsid w:val="00F55997"/>
    <w:rsid w:val="00F559CD"/>
    <w:rsid w:val="00F55AFE"/>
    <w:rsid w:val="00F55B73"/>
    <w:rsid w:val="00F55E94"/>
    <w:rsid w:val="00F562C2"/>
    <w:rsid w:val="00F5653B"/>
    <w:rsid w:val="00F5690E"/>
    <w:rsid w:val="00F56B5E"/>
    <w:rsid w:val="00F57C5E"/>
    <w:rsid w:val="00F61306"/>
    <w:rsid w:val="00F6161E"/>
    <w:rsid w:val="00F61698"/>
    <w:rsid w:val="00F6184A"/>
    <w:rsid w:val="00F61A66"/>
    <w:rsid w:val="00F62FC3"/>
    <w:rsid w:val="00F6352B"/>
    <w:rsid w:val="00F63536"/>
    <w:rsid w:val="00F645FC"/>
    <w:rsid w:val="00F64883"/>
    <w:rsid w:val="00F65388"/>
    <w:rsid w:val="00F65A3A"/>
    <w:rsid w:val="00F65BAC"/>
    <w:rsid w:val="00F65C85"/>
    <w:rsid w:val="00F671FD"/>
    <w:rsid w:val="00F677C5"/>
    <w:rsid w:val="00F67874"/>
    <w:rsid w:val="00F67D7C"/>
    <w:rsid w:val="00F67D91"/>
    <w:rsid w:val="00F67EE0"/>
    <w:rsid w:val="00F703E4"/>
    <w:rsid w:val="00F707C8"/>
    <w:rsid w:val="00F70DA9"/>
    <w:rsid w:val="00F72D69"/>
    <w:rsid w:val="00F738C1"/>
    <w:rsid w:val="00F743FB"/>
    <w:rsid w:val="00F74652"/>
    <w:rsid w:val="00F748DE"/>
    <w:rsid w:val="00F7538C"/>
    <w:rsid w:val="00F75A18"/>
    <w:rsid w:val="00F75FED"/>
    <w:rsid w:val="00F761A5"/>
    <w:rsid w:val="00F76319"/>
    <w:rsid w:val="00F7665C"/>
    <w:rsid w:val="00F76A0A"/>
    <w:rsid w:val="00F7712E"/>
    <w:rsid w:val="00F772C7"/>
    <w:rsid w:val="00F77378"/>
    <w:rsid w:val="00F776C5"/>
    <w:rsid w:val="00F7790B"/>
    <w:rsid w:val="00F802A5"/>
    <w:rsid w:val="00F8043A"/>
    <w:rsid w:val="00F804FA"/>
    <w:rsid w:val="00F810DB"/>
    <w:rsid w:val="00F81100"/>
    <w:rsid w:val="00F81705"/>
    <w:rsid w:val="00F818C2"/>
    <w:rsid w:val="00F81ED5"/>
    <w:rsid w:val="00F8228D"/>
    <w:rsid w:val="00F8235F"/>
    <w:rsid w:val="00F8239D"/>
    <w:rsid w:val="00F824BF"/>
    <w:rsid w:val="00F8278E"/>
    <w:rsid w:val="00F82BC6"/>
    <w:rsid w:val="00F82DDD"/>
    <w:rsid w:val="00F82EC7"/>
    <w:rsid w:val="00F83272"/>
    <w:rsid w:val="00F83515"/>
    <w:rsid w:val="00F836A2"/>
    <w:rsid w:val="00F83ECF"/>
    <w:rsid w:val="00F83F16"/>
    <w:rsid w:val="00F8404A"/>
    <w:rsid w:val="00F842DC"/>
    <w:rsid w:val="00F854FC"/>
    <w:rsid w:val="00F85C2D"/>
    <w:rsid w:val="00F86B39"/>
    <w:rsid w:val="00F86BEC"/>
    <w:rsid w:val="00F871A9"/>
    <w:rsid w:val="00F87A12"/>
    <w:rsid w:val="00F87C0F"/>
    <w:rsid w:val="00F90303"/>
    <w:rsid w:val="00F90433"/>
    <w:rsid w:val="00F90A22"/>
    <w:rsid w:val="00F91302"/>
    <w:rsid w:val="00F913C0"/>
    <w:rsid w:val="00F91773"/>
    <w:rsid w:val="00F91D75"/>
    <w:rsid w:val="00F92126"/>
    <w:rsid w:val="00F92A97"/>
    <w:rsid w:val="00F935E9"/>
    <w:rsid w:val="00F936D4"/>
    <w:rsid w:val="00F9377C"/>
    <w:rsid w:val="00F93C6D"/>
    <w:rsid w:val="00F948BA"/>
    <w:rsid w:val="00F95C65"/>
    <w:rsid w:val="00F964BA"/>
    <w:rsid w:val="00F96534"/>
    <w:rsid w:val="00F96708"/>
    <w:rsid w:val="00F969E3"/>
    <w:rsid w:val="00F97DD8"/>
    <w:rsid w:val="00F97E16"/>
    <w:rsid w:val="00FA080E"/>
    <w:rsid w:val="00FA1711"/>
    <w:rsid w:val="00FA1B25"/>
    <w:rsid w:val="00FA22E1"/>
    <w:rsid w:val="00FA2B01"/>
    <w:rsid w:val="00FA2B5F"/>
    <w:rsid w:val="00FA4A27"/>
    <w:rsid w:val="00FA4B77"/>
    <w:rsid w:val="00FA5155"/>
    <w:rsid w:val="00FA537D"/>
    <w:rsid w:val="00FA56AA"/>
    <w:rsid w:val="00FA59A4"/>
    <w:rsid w:val="00FA59A7"/>
    <w:rsid w:val="00FA5DE5"/>
    <w:rsid w:val="00FA5F9F"/>
    <w:rsid w:val="00FA6335"/>
    <w:rsid w:val="00FA656A"/>
    <w:rsid w:val="00FA6A44"/>
    <w:rsid w:val="00FA73A1"/>
    <w:rsid w:val="00FA7761"/>
    <w:rsid w:val="00FA7AD1"/>
    <w:rsid w:val="00FB030E"/>
    <w:rsid w:val="00FB152A"/>
    <w:rsid w:val="00FB18CB"/>
    <w:rsid w:val="00FB1A82"/>
    <w:rsid w:val="00FB1A88"/>
    <w:rsid w:val="00FB2F66"/>
    <w:rsid w:val="00FB343E"/>
    <w:rsid w:val="00FB3505"/>
    <w:rsid w:val="00FB4366"/>
    <w:rsid w:val="00FB499E"/>
    <w:rsid w:val="00FB4A13"/>
    <w:rsid w:val="00FB4FE8"/>
    <w:rsid w:val="00FB576A"/>
    <w:rsid w:val="00FB5EE6"/>
    <w:rsid w:val="00FB5F04"/>
    <w:rsid w:val="00FB6985"/>
    <w:rsid w:val="00FB6F8F"/>
    <w:rsid w:val="00FB72C7"/>
    <w:rsid w:val="00FB72F5"/>
    <w:rsid w:val="00FB79A3"/>
    <w:rsid w:val="00FC1A2B"/>
    <w:rsid w:val="00FC1BA8"/>
    <w:rsid w:val="00FC28F4"/>
    <w:rsid w:val="00FC2AFC"/>
    <w:rsid w:val="00FC3218"/>
    <w:rsid w:val="00FC3964"/>
    <w:rsid w:val="00FC3D3E"/>
    <w:rsid w:val="00FC3E02"/>
    <w:rsid w:val="00FC4989"/>
    <w:rsid w:val="00FC4E0F"/>
    <w:rsid w:val="00FC536F"/>
    <w:rsid w:val="00FC54D0"/>
    <w:rsid w:val="00FC608C"/>
    <w:rsid w:val="00FC69D7"/>
    <w:rsid w:val="00FC6E9F"/>
    <w:rsid w:val="00FC74A8"/>
    <w:rsid w:val="00FC790B"/>
    <w:rsid w:val="00FC7B7A"/>
    <w:rsid w:val="00FC7D80"/>
    <w:rsid w:val="00FD003C"/>
    <w:rsid w:val="00FD0231"/>
    <w:rsid w:val="00FD07B8"/>
    <w:rsid w:val="00FD1769"/>
    <w:rsid w:val="00FD19E2"/>
    <w:rsid w:val="00FD1BD8"/>
    <w:rsid w:val="00FD1E20"/>
    <w:rsid w:val="00FD22A7"/>
    <w:rsid w:val="00FD2726"/>
    <w:rsid w:val="00FD2907"/>
    <w:rsid w:val="00FD3C05"/>
    <w:rsid w:val="00FD40B5"/>
    <w:rsid w:val="00FD415E"/>
    <w:rsid w:val="00FD468B"/>
    <w:rsid w:val="00FD47DB"/>
    <w:rsid w:val="00FD4CD6"/>
    <w:rsid w:val="00FD4DC4"/>
    <w:rsid w:val="00FD5012"/>
    <w:rsid w:val="00FD5672"/>
    <w:rsid w:val="00FD6740"/>
    <w:rsid w:val="00FD6FC1"/>
    <w:rsid w:val="00FD721A"/>
    <w:rsid w:val="00FD7A99"/>
    <w:rsid w:val="00FD7BF6"/>
    <w:rsid w:val="00FD7DD1"/>
    <w:rsid w:val="00FD7F84"/>
    <w:rsid w:val="00FE019E"/>
    <w:rsid w:val="00FE046D"/>
    <w:rsid w:val="00FE0C74"/>
    <w:rsid w:val="00FE0E38"/>
    <w:rsid w:val="00FE2DDF"/>
    <w:rsid w:val="00FE3D14"/>
    <w:rsid w:val="00FE4E3E"/>
    <w:rsid w:val="00FE664F"/>
    <w:rsid w:val="00FE66BE"/>
    <w:rsid w:val="00FE6FB5"/>
    <w:rsid w:val="00FE7286"/>
    <w:rsid w:val="00FE74CD"/>
    <w:rsid w:val="00FE7BC6"/>
    <w:rsid w:val="00FF0282"/>
    <w:rsid w:val="00FF0394"/>
    <w:rsid w:val="00FF08D7"/>
    <w:rsid w:val="00FF094A"/>
    <w:rsid w:val="00FF0B9B"/>
    <w:rsid w:val="00FF0C91"/>
    <w:rsid w:val="00FF0E99"/>
    <w:rsid w:val="00FF11AB"/>
    <w:rsid w:val="00FF129D"/>
    <w:rsid w:val="00FF12E5"/>
    <w:rsid w:val="00FF1454"/>
    <w:rsid w:val="00FF147F"/>
    <w:rsid w:val="00FF1C01"/>
    <w:rsid w:val="00FF1FF4"/>
    <w:rsid w:val="00FF2065"/>
    <w:rsid w:val="00FF254F"/>
    <w:rsid w:val="00FF2BA8"/>
    <w:rsid w:val="00FF2BC4"/>
    <w:rsid w:val="00FF32EC"/>
    <w:rsid w:val="00FF3803"/>
    <w:rsid w:val="00FF3C76"/>
    <w:rsid w:val="00FF3E8E"/>
    <w:rsid w:val="00FF49AC"/>
    <w:rsid w:val="00FF4AE6"/>
    <w:rsid w:val="00FF4F2F"/>
    <w:rsid w:val="00FF51B7"/>
    <w:rsid w:val="00FF51E2"/>
    <w:rsid w:val="00FF554C"/>
    <w:rsid w:val="00FF59C4"/>
    <w:rsid w:val="00FF6A59"/>
    <w:rsid w:val="00FF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C2F9"/>
  <w15:chartTrackingRefBased/>
  <w15:docId w15:val="{6A65DE80-BDD7-4559-8380-5402E6D6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DB7"/>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5B1161"/>
    <w:pPr>
      <w:ind w:firstLineChars="0" w:firstLine="0"/>
      <w:jc w:val="center"/>
      <w:outlineLvl w:val="0"/>
    </w:pPr>
    <w:rPr>
      <w:rFonts w:ascii="黑体" w:eastAsia="黑体" w:hAnsi="黑体" w:cs="Times New Roman"/>
      <w:sz w:val="28"/>
      <w:szCs w:val="28"/>
    </w:rPr>
  </w:style>
  <w:style w:type="paragraph" w:styleId="2">
    <w:name w:val="heading 2"/>
    <w:basedOn w:val="a"/>
    <w:next w:val="a"/>
    <w:link w:val="20"/>
    <w:uiPriority w:val="9"/>
    <w:unhideWhenUsed/>
    <w:qFormat/>
    <w:rsid w:val="00A723D7"/>
    <w:pPr>
      <w:numPr>
        <w:ilvl w:val="1"/>
        <w:numId w:val="20"/>
      </w:numPr>
      <w:spacing w:beforeLines="50" w:before="50" w:afterLines="25" w:after="25"/>
      <w:ind w:left="0" w:firstLineChars="0" w:firstLine="0"/>
      <w:outlineLvl w:val="1"/>
    </w:pPr>
    <w:rPr>
      <w:b/>
    </w:rPr>
  </w:style>
  <w:style w:type="paragraph" w:styleId="3">
    <w:name w:val="heading 3"/>
    <w:basedOn w:val="2"/>
    <w:next w:val="a"/>
    <w:link w:val="30"/>
    <w:uiPriority w:val="9"/>
    <w:unhideWhenUsed/>
    <w:qFormat/>
    <w:rsid w:val="00BE607C"/>
    <w:pPr>
      <w:numPr>
        <w:ilvl w:val="2"/>
      </w:numPr>
      <w:outlineLvl w:val="2"/>
    </w:pPr>
    <w:rPr>
      <w:b w:val="0"/>
    </w:rPr>
  </w:style>
  <w:style w:type="paragraph" w:styleId="4">
    <w:name w:val="heading 4"/>
    <w:basedOn w:val="a"/>
    <w:next w:val="a"/>
    <w:link w:val="40"/>
    <w:uiPriority w:val="9"/>
    <w:semiHidden/>
    <w:unhideWhenUsed/>
    <w:qFormat/>
    <w:rsid w:val="00EA35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g">
    <w:name w:val="Fig"/>
    <w:basedOn w:val="a"/>
    <w:next w:val="a"/>
    <w:link w:val="Fig0"/>
    <w:qFormat/>
    <w:rsid w:val="008563F3"/>
    <w:pPr>
      <w:spacing w:beforeLines="50" w:before="163"/>
      <w:ind w:firstLineChars="0" w:firstLine="0"/>
      <w:jc w:val="center"/>
    </w:pPr>
    <w:rPr>
      <w:rFonts w:cs="Times New Roman"/>
      <w:kern w:val="0"/>
      <w:sz w:val="18"/>
      <w:szCs w:val="24"/>
    </w:rPr>
  </w:style>
  <w:style w:type="character" w:customStyle="1" w:styleId="Fig0">
    <w:name w:val="Fig 字符"/>
    <w:basedOn w:val="a0"/>
    <w:link w:val="Fig"/>
    <w:rsid w:val="008563F3"/>
    <w:rPr>
      <w:rFonts w:ascii="Times New Roman" w:hAnsi="Times New Roman" w:cs="Times New Roman"/>
      <w:kern w:val="0"/>
      <w:sz w:val="18"/>
      <w:szCs w:val="24"/>
    </w:rPr>
  </w:style>
  <w:style w:type="paragraph" w:customStyle="1" w:styleId="FigX">
    <w:name w:val="FigX"/>
    <w:basedOn w:val="Fig"/>
    <w:next w:val="a"/>
    <w:link w:val="FigXChar"/>
    <w:qFormat/>
    <w:rsid w:val="00A82DC5"/>
    <w:pPr>
      <w:spacing w:beforeLines="0" w:before="0" w:afterLines="50" w:after="50"/>
      <w:outlineLvl w:val="3"/>
    </w:pPr>
    <w:rPr>
      <w:rFonts w:eastAsia="楷体"/>
      <w:sz w:val="21"/>
    </w:rPr>
  </w:style>
  <w:style w:type="character" w:customStyle="1" w:styleId="FigXChar">
    <w:name w:val="FigX Char"/>
    <w:basedOn w:val="Fig0"/>
    <w:link w:val="FigX"/>
    <w:rsid w:val="00A82DC5"/>
    <w:rPr>
      <w:rFonts w:ascii="Times New Roman" w:eastAsia="楷体" w:hAnsi="Times New Roman" w:cs="Times New Roman"/>
      <w:kern w:val="0"/>
      <w:sz w:val="18"/>
      <w:szCs w:val="24"/>
    </w:rPr>
  </w:style>
  <w:style w:type="paragraph" w:customStyle="1" w:styleId="table">
    <w:name w:val="table"/>
    <w:basedOn w:val="a"/>
    <w:next w:val="a"/>
    <w:link w:val="table0"/>
    <w:qFormat/>
    <w:rsid w:val="00873487"/>
    <w:pPr>
      <w:ind w:firstLineChars="0" w:firstLine="0"/>
      <w:jc w:val="center"/>
    </w:pPr>
    <w:rPr>
      <w:rFonts w:cs="Times New Roman"/>
      <w:snapToGrid w:val="0"/>
      <w:kern w:val="0"/>
      <w:sz w:val="18"/>
      <w:lang w:val="de-DE" w:bidi="en-US"/>
    </w:rPr>
  </w:style>
  <w:style w:type="paragraph" w:customStyle="1" w:styleId="TableX">
    <w:name w:val="TableX"/>
    <w:basedOn w:val="a"/>
    <w:next w:val="a"/>
    <w:link w:val="TableX0"/>
    <w:qFormat/>
    <w:rsid w:val="00344D5D"/>
    <w:pPr>
      <w:spacing w:beforeLines="50" w:before="163"/>
      <w:ind w:firstLineChars="0" w:firstLine="0"/>
      <w:jc w:val="center"/>
      <w:outlineLvl w:val="3"/>
    </w:pPr>
    <w:rPr>
      <w:rFonts w:eastAsia="楷体" w:cs="Times New Roman"/>
      <w:kern w:val="0"/>
      <w:szCs w:val="24"/>
    </w:rPr>
  </w:style>
  <w:style w:type="character" w:customStyle="1" w:styleId="TableX0">
    <w:name w:val="TableX 字符"/>
    <w:basedOn w:val="a0"/>
    <w:link w:val="TableX"/>
    <w:qFormat/>
    <w:rsid w:val="00344D5D"/>
    <w:rPr>
      <w:rFonts w:ascii="Times New Roman" w:eastAsia="楷体" w:hAnsi="Times New Roman" w:cs="Times New Roman"/>
      <w:kern w:val="0"/>
      <w:szCs w:val="24"/>
    </w:rPr>
  </w:style>
  <w:style w:type="character" w:customStyle="1" w:styleId="10">
    <w:name w:val="标题 1 字符"/>
    <w:basedOn w:val="a0"/>
    <w:link w:val="1"/>
    <w:uiPriority w:val="9"/>
    <w:rsid w:val="005B1161"/>
    <w:rPr>
      <w:rFonts w:ascii="黑体" w:eastAsia="黑体" w:hAnsi="黑体" w:cs="Times New Roman"/>
      <w:sz w:val="28"/>
      <w:szCs w:val="28"/>
    </w:rPr>
  </w:style>
  <w:style w:type="character" w:customStyle="1" w:styleId="20">
    <w:name w:val="标题 2 字符"/>
    <w:basedOn w:val="a0"/>
    <w:link w:val="2"/>
    <w:uiPriority w:val="9"/>
    <w:rsid w:val="00A723D7"/>
    <w:rPr>
      <w:rFonts w:ascii="Times New Roman" w:eastAsia="宋体" w:hAnsi="Times New Roman"/>
      <w:b/>
    </w:rPr>
  </w:style>
  <w:style w:type="character" w:customStyle="1" w:styleId="30">
    <w:name w:val="标题 3 字符"/>
    <w:basedOn w:val="a0"/>
    <w:link w:val="3"/>
    <w:uiPriority w:val="9"/>
    <w:rsid w:val="00BE607C"/>
  </w:style>
  <w:style w:type="paragraph" w:customStyle="1" w:styleId="a3">
    <w:name w:val="公式"/>
    <w:basedOn w:val="a"/>
    <w:next w:val="a"/>
    <w:qFormat/>
    <w:rsid w:val="00C422C0"/>
    <w:pPr>
      <w:tabs>
        <w:tab w:val="center" w:pos="4395"/>
        <w:tab w:val="right" w:pos="9638"/>
      </w:tabs>
      <w:spacing w:beforeLines="50" w:before="163" w:afterLines="50" w:after="163"/>
      <w:ind w:firstLineChars="0" w:firstLine="0"/>
      <w:jc w:val="center"/>
    </w:pPr>
    <w:rPr>
      <w:rFonts w:cs="Times New Roman"/>
      <w:kern w:val="0"/>
      <w:szCs w:val="28"/>
    </w:rPr>
  </w:style>
  <w:style w:type="paragraph" w:styleId="a4">
    <w:name w:val="Title"/>
    <w:basedOn w:val="a"/>
    <w:next w:val="a"/>
    <w:link w:val="a5"/>
    <w:uiPriority w:val="10"/>
    <w:qFormat/>
    <w:rsid w:val="00135D4D"/>
    <w:pPr>
      <w:ind w:firstLineChars="0" w:firstLine="0"/>
      <w:jc w:val="center"/>
    </w:pPr>
    <w:rPr>
      <w:rFonts w:cs="Times New Roman"/>
      <w:b/>
      <w:bCs/>
      <w:kern w:val="0"/>
      <w:sz w:val="32"/>
      <w:szCs w:val="32"/>
    </w:rPr>
  </w:style>
  <w:style w:type="character" w:customStyle="1" w:styleId="a5">
    <w:name w:val="标题 字符"/>
    <w:basedOn w:val="a0"/>
    <w:link w:val="a4"/>
    <w:uiPriority w:val="10"/>
    <w:rsid w:val="00135D4D"/>
    <w:rPr>
      <w:rFonts w:ascii="Times New Roman" w:eastAsia="宋体" w:hAnsi="Times New Roman" w:cs="Times New Roman"/>
      <w:b/>
      <w:bCs/>
      <w:kern w:val="0"/>
      <w:sz w:val="32"/>
      <w:szCs w:val="32"/>
    </w:rPr>
  </w:style>
  <w:style w:type="paragraph" w:styleId="a6">
    <w:name w:val="footnote text"/>
    <w:basedOn w:val="a"/>
    <w:link w:val="a7"/>
    <w:uiPriority w:val="99"/>
    <w:unhideWhenUsed/>
    <w:qFormat/>
    <w:rsid w:val="00CA0D27"/>
    <w:pPr>
      <w:snapToGrid w:val="0"/>
      <w:jc w:val="left"/>
    </w:pPr>
    <w:rPr>
      <w:sz w:val="18"/>
      <w:szCs w:val="18"/>
    </w:rPr>
  </w:style>
  <w:style w:type="character" w:customStyle="1" w:styleId="a7">
    <w:name w:val="脚注文本 字符"/>
    <w:basedOn w:val="a0"/>
    <w:link w:val="a6"/>
    <w:uiPriority w:val="99"/>
    <w:qFormat/>
    <w:rsid w:val="00CA0D27"/>
    <w:rPr>
      <w:rFonts w:ascii="Times New Romance" w:eastAsia="黑体" w:hAnsi="Times New Romance"/>
      <w:sz w:val="18"/>
      <w:szCs w:val="18"/>
    </w:rPr>
  </w:style>
  <w:style w:type="character" w:styleId="a8">
    <w:name w:val="footnote reference"/>
    <w:basedOn w:val="a0"/>
    <w:uiPriority w:val="99"/>
    <w:unhideWhenUsed/>
    <w:qFormat/>
    <w:rsid w:val="00CA0D27"/>
    <w:rPr>
      <w:vertAlign w:val="superscript"/>
    </w:rPr>
  </w:style>
  <w:style w:type="paragraph" w:customStyle="1" w:styleId="EndNoteBibliographyTitle">
    <w:name w:val="EndNote Bibliography Title"/>
    <w:basedOn w:val="a"/>
    <w:link w:val="EndNoteBibliographyTitleChar"/>
    <w:rsid w:val="00E223FD"/>
    <w:pPr>
      <w:jc w:val="center"/>
    </w:pPr>
    <w:rPr>
      <w:rFonts w:ascii="Times New Romance" w:hAnsi="Times New Romance"/>
      <w:noProof/>
      <w:sz w:val="24"/>
    </w:rPr>
  </w:style>
  <w:style w:type="character" w:customStyle="1" w:styleId="EndNoteBibliographyTitleChar">
    <w:name w:val="EndNote Bibliography Title Char"/>
    <w:basedOn w:val="a0"/>
    <w:link w:val="EndNoteBibliographyTitle"/>
    <w:rsid w:val="00E223FD"/>
    <w:rPr>
      <w:rFonts w:ascii="Times New Romance" w:hAnsi="Times New Romance"/>
      <w:noProof/>
      <w:sz w:val="24"/>
    </w:rPr>
  </w:style>
  <w:style w:type="paragraph" w:customStyle="1" w:styleId="EndNoteBibliography">
    <w:name w:val="EndNote Bibliography"/>
    <w:basedOn w:val="a"/>
    <w:link w:val="EndNoteBibliographyChar"/>
    <w:rsid w:val="00E223FD"/>
    <w:rPr>
      <w:rFonts w:ascii="Times New Romance" w:hAnsi="Times New Romance"/>
      <w:noProof/>
      <w:sz w:val="24"/>
    </w:rPr>
  </w:style>
  <w:style w:type="character" w:customStyle="1" w:styleId="EndNoteBibliographyChar">
    <w:name w:val="EndNote Bibliography Char"/>
    <w:basedOn w:val="a0"/>
    <w:link w:val="EndNoteBibliography"/>
    <w:rsid w:val="00E223FD"/>
    <w:rPr>
      <w:rFonts w:ascii="Times New Romance" w:hAnsi="Times New Romance"/>
      <w:noProof/>
      <w:sz w:val="24"/>
    </w:rPr>
  </w:style>
  <w:style w:type="character" w:styleId="a9">
    <w:name w:val="Hyperlink"/>
    <w:basedOn w:val="a0"/>
    <w:uiPriority w:val="99"/>
    <w:unhideWhenUsed/>
    <w:rsid w:val="00E223FD"/>
    <w:rPr>
      <w:color w:val="0563C1" w:themeColor="hyperlink"/>
      <w:u w:val="single"/>
    </w:rPr>
  </w:style>
  <w:style w:type="paragraph" w:styleId="aa">
    <w:name w:val="header"/>
    <w:basedOn w:val="a"/>
    <w:link w:val="ab"/>
    <w:uiPriority w:val="99"/>
    <w:unhideWhenUsed/>
    <w:rsid w:val="00220B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20B99"/>
    <w:rPr>
      <w:rFonts w:ascii="Times New Romance" w:eastAsia="黑体" w:hAnsi="Times New Romance"/>
      <w:sz w:val="18"/>
      <w:szCs w:val="18"/>
    </w:rPr>
  </w:style>
  <w:style w:type="paragraph" w:styleId="ac">
    <w:name w:val="footer"/>
    <w:basedOn w:val="a"/>
    <w:link w:val="ad"/>
    <w:uiPriority w:val="99"/>
    <w:unhideWhenUsed/>
    <w:rsid w:val="00220B99"/>
    <w:pPr>
      <w:tabs>
        <w:tab w:val="center" w:pos="4153"/>
        <w:tab w:val="right" w:pos="8306"/>
      </w:tabs>
      <w:snapToGrid w:val="0"/>
      <w:jc w:val="left"/>
    </w:pPr>
    <w:rPr>
      <w:sz w:val="18"/>
      <w:szCs w:val="18"/>
    </w:rPr>
  </w:style>
  <w:style w:type="character" w:customStyle="1" w:styleId="ad">
    <w:name w:val="页脚 字符"/>
    <w:basedOn w:val="a0"/>
    <w:link w:val="ac"/>
    <w:uiPriority w:val="99"/>
    <w:rsid w:val="00220B99"/>
    <w:rPr>
      <w:rFonts w:ascii="Times New Romance" w:eastAsia="黑体" w:hAnsi="Times New Romance"/>
      <w:sz w:val="18"/>
      <w:szCs w:val="18"/>
    </w:rPr>
  </w:style>
  <w:style w:type="paragraph" w:styleId="ae">
    <w:name w:val="endnote text"/>
    <w:basedOn w:val="a"/>
    <w:link w:val="af"/>
    <w:uiPriority w:val="99"/>
    <w:unhideWhenUsed/>
    <w:rsid w:val="00573756"/>
    <w:pPr>
      <w:snapToGrid w:val="0"/>
      <w:jc w:val="left"/>
    </w:pPr>
  </w:style>
  <w:style w:type="character" w:customStyle="1" w:styleId="af">
    <w:name w:val="尾注文本 字符"/>
    <w:basedOn w:val="a0"/>
    <w:link w:val="ae"/>
    <w:uiPriority w:val="99"/>
    <w:rsid w:val="00573756"/>
    <w:rPr>
      <w:rFonts w:ascii="Times New Romance" w:eastAsia="黑体" w:hAnsi="Times New Romance"/>
      <w:sz w:val="24"/>
    </w:rPr>
  </w:style>
  <w:style w:type="character" w:styleId="af0">
    <w:name w:val="endnote reference"/>
    <w:basedOn w:val="a0"/>
    <w:uiPriority w:val="99"/>
    <w:semiHidden/>
    <w:unhideWhenUsed/>
    <w:rsid w:val="00573756"/>
    <w:rPr>
      <w:vertAlign w:val="superscript"/>
    </w:rPr>
  </w:style>
  <w:style w:type="paragraph" w:styleId="af1">
    <w:name w:val="Normal (Web)"/>
    <w:basedOn w:val="a"/>
    <w:uiPriority w:val="99"/>
    <w:unhideWhenUsed/>
    <w:rsid w:val="007F012A"/>
    <w:pPr>
      <w:widowControl/>
      <w:spacing w:before="100" w:beforeAutospacing="1" w:after="100" w:afterAutospacing="1"/>
      <w:ind w:firstLineChars="0" w:firstLine="0"/>
      <w:jc w:val="left"/>
    </w:pPr>
    <w:rPr>
      <w:rFonts w:ascii="宋体" w:hAnsi="宋体" w:cs="宋体"/>
      <w:kern w:val="0"/>
      <w:szCs w:val="24"/>
    </w:rPr>
  </w:style>
  <w:style w:type="table" w:customStyle="1" w:styleId="31">
    <w:name w:val="网格型3"/>
    <w:basedOn w:val="a1"/>
    <w:next w:val="af2"/>
    <w:uiPriority w:val="99"/>
    <w:unhideWhenUsed/>
    <w:rsid w:val="00277BE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rsid w:val="0027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FD2907"/>
    <w:pPr>
      <w:ind w:leftChars="2500" w:left="100"/>
    </w:pPr>
  </w:style>
  <w:style w:type="character" w:customStyle="1" w:styleId="af4">
    <w:name w:val="日期 字符"/>
    <w:basedOn w:val="a0"/>
    <w:link w:val="af3"/>
    <w:uiPriority w:val="99"/>
    <w:semiHidden/>
    <w:rsid w:val="00FD2907"/>
    <w:rPr>
      <w:rFonts w:ascii="Times New Romance" w:eastAsia="黑体" w:hAnsi="Times New Romance"/>
      <w:sz w:val="24"/>
    </w:rPr>
  </w:style>
  <w:style w:type="character" w:styleId="af5">
    <w:name w:val="Placeholder Text"/>
    <w:basedOn w:val="a0"/>
    <w:uiPriority w:val="99"/>
    <w:semiHidden/>
    <w:rsid w:val="00216A49"/>
    <w:rPr>
      <w:color w:val="808080"/>
    </w:rPr>
  </w:style>
  <w:style w:type="paragraph" w:styleId="af6">
    <w:name w:val="List Paragraph"/>
    <w:basedOn w:val="a"/>
    <w:uiPriority w:val="34"/>
    <w:qFormat/>
    <w:rsid w:val="00CA25A0"/>
    <w:pPr>
      <w:ind w:firstLine="420"/>
    </w:pPr>
  </w:style>
  <w:style w:type="character" w:customStyle="1" w:styleId="11">
    <w:name w:val="未处理的提及1"/>
    <w:basedOn w:val="a0"/>
    <w:uiPriority w:val="99"/>
    <w:semiHidden/>
    <w:unhideWhenUsed/>
    <w:rsid w:val="004603CF"/>
    <w:rPr>
      <w:color w:val="808080"/>
      <w:shd w:val="clear" w:color="auto" w:fill="E6E6E6"/>
    </w:rPr>
  </w:style>
  <w:style w:type="paragraph" w:styleId="af7">
    <w:name w:val="Revision"/>
    <w:hidden/>
    <w:uiPriority w:val="99"/>
    <w:semiHidden/>
    <w:rsid w:val="00A13100"/>
    <w:rPr>
      <w:rFonts w:ascii="Times New Romance" w:eastAsia="黑体" w:hAnsi="Times New Romance"/>
      <w:sz w:val="24"/>
    </w:rPr>
  </w:style>
  <w:style w:type="paragraph" w:styleId="af8">
    <w:name w:val="Balloon Text"/>
    <w:basedOn w:val="a"/>
    <w:link w:val="af9"/>
    <w:uiPriority w:val="99"/>
    <w:semiHidden/>
    <w:unhideWhenUsed/>
    <w:rsid w:val="00A13100"/>
    <w:rPr>
      <w:sz w:val="18"/>
      <w:szCs w:val="18"/>
    </w:rPr>
  </w:style>
  <w:style w:type="character" w:customStyle="1" w:styleId="af9">
    <w:name w:val="批注框文本 字符"/>
    <w:basedOn w:val="a0"/>
    <w:link w:val="af8"/>
    <w:uiPriority w:val="99"/>
    <w:semiHidden/>
    <w:rsid w:val="00A13100"/>
    <w:rPr>
      <w:rFonts w:ascii="Times New Romance" w:eastAsia="黑体" w:hAnsi="Times New Romance"/>
      <w:sz w:val="18"/>
      <w:szCs w:val="18"/>
    </w:rPr>
  </w:style>
  <w:style w:type="paragraph" w:styleId="afa">
    <w:name w:val="caption"/>
    <w:basedOn w:val="a"/>
    <w:next w:val="a"/>
    <w:uiPriority w:val="35"/>
    <w:unhideWhenUsed/>
    <w:qFormat/>
    <w:rsid w:val="00EE2A76"/>
    <w:rPr>
      <w:rFonts w:asciiTheme="majorHAnsi" w:hAnsiTheme="majorHAnsi" w:cstheme="majorBidi"/>
      <w:sz w:val="20"/>
      <w:szCs w:val="20"/>
    </w:rPr>
  </w:style>
  <w:style w:type="paragraph" w:customStyle="1" w:styleId="Ref">
    <w:name w:val="Ref"/>
    <w:basedOn w:val="a"/>
    <w:link w:val="Ref0"/>
    <w:uiPriority w:val="1"/>
    <w:qFormat/>
    <w:rsid w:val="006A17DE"/>
    <w:pPr>
      <w:autoSpaceDE w:val="0"/>
      <w:autoSpaceDN w:val="0"/>
      <w:adjustRightInd w:val="0"/>
      <w:ind w:left="200" w:hangingChars="200" w:hanging="200"/>
    </w:pPr>
    <w:rPr>
      <w:rFonts w:cs="Times New Roman"/>
      <w:noProof/>
      <w:kern w:val="0"/>
      <w:szCs w:val="24"/>
    </w:rPr>
  </w:style>
  <w:style w:type="character" w:customStyle="1" w:styleId="Ref0">
    <w:name w:val="Ref 字符"/>
    <w:basedOn w:val="a0"/>
    <w:link w:val="Ref"/>
    <w:uiPriority w:val="1"/>
    <w:rsid w:val="006A17DE"/>
    <w:rPr>
      <w:rFonts w:ascii="Times New Roman" w:hAnsi="Times New Roman" w:cs="Times New Roman"/>
      <w:noProof/>
      <w:kern w:val="0"/>
      <w:szCs w:val="24"/>
    </w:rPr>
  </w:style>
  <w:style w:type="character" w:styleId="afb">
    <w:name w:val="annotation reference"/>
    <w:basedOn w:val="a0"/>
    <w:uiPriority w:val="99"/>
    <w:semiHidden/>
    <w:unhideWhenUsed/>
    <w:rsid w:val="00A6602B"/>
    <w:rPr>
      <w:sz w:val="21"/>
      <w:szCs w:val="21"/>
    </w:rPr>
  </w:style>
  <w:style w:type="paragraph" w:styleId="afc">
    <w:name w:val="annotation text"/>
    <w:basedOn w:val="a"/>
    <w:link w:val="afd"/>
    <w:uiPriority w:val="99"/>
    <w:unhideWhenUsed/>
    <w:rsid w:val="00A6602B"/>
    <w:pPr>
      <w:jc w:val="left"/>
    </w:pPr>
  </w:style>
  <w:style w:type="character" w:customStyle="1" w:styleId="afd">
    <w:name w:val="批注文字 字符"/>
    <w:basedOn w:val="a0"/>
    <w:link w:val="afc"/>
    <w:uiPriority w:val="99"/>
    <w:rsid w:val="00A6602B"/>
    <w:rPr>
      <w:sz w:val="24"/>
    </w:rPr>
  </w:style>
  <w:style w:type="paragraph" w:styleId="afe">
    <w:name w:val="annotation subject"/>
    <w:basedOn w:val="afc"/>
    <w:next w:val="afc"/>
    <w:link w:val="aff"/>
    <w:uiPriority w:val="99"/>
    <w:semiHidden/>
    <w:unhideWhenUsed/>
    <w:rsid w:val="00A6602B"/>
    <w:rPr>
      <w:b/>
      <w:bCs/>
    </w:rPr>
  </w:style>
  <w:style w:type="character" w:customStyle="1" w:styleId="aff">
    <w:name w:val="批注主题 字符"/>
    <w:basedOn w:val="afd"/>
    <w:link w:val="afe"/>
    <w:uiPriority w:val="99"/>
    <w:semiHidden/>
    <w:rsid w:val="00A6602B"/>
    <w:rPr>
      <w:b/>
      <w:bCs/>
      <w:sz w:val="24"/>
    </w:rPr>
  </w:style>
  <w:style w:type="character" w:styleId="aff0">
    <w:name w:val="Unresolved Mention"/>
    <w:basedOn w:val="a0"/>
    <w:uiPriority w:val="99"/>
    <w:semiHidden/>
    <w:unhideWhenUsed/>
    <w:rsid w:val="00021D2E"/>
    <w:rPr>
      <w:color w:val="605E5C"/>
      <w:shd w:val="clear" w:color="auto" w:fill="E1DFDD"/>
    </w:rPr>
  </w:style>
  <w:style w:type="paragraph" w:customStyle="1" w:styleId="Note">
    <w:name w:val="Note"/>
    <w:basedOn w:val="a"/>
    <w:uiPriority w:val="1"/>
    <w:qFormat/>
    <w:rsid w:val="00CF7371"/>
    <w:pPr>
      <w:spacing w:afterLines="50" w:after="50"/>
      <w:ind w:firstLineChars="0" w:firstLine="0"/>
    </w:pPr>
    <w:rPr>
      <w:sz w:val="18"/>
      <w:szCs w:val="18"/>
    </w:rPr>
  </w:style>
  <w:style w:type="character" w:styleId="aff1">
    <w:name w:val="Strong"/>
    <w:basedOn w:val="a0"/>
    <w:uiPriority w:val="22"/>
    <w:qFormat/>
    <w:rsid w:val="00934034"/>
    <w:rPr>
      <w:b/>
      <w:bCs/>
    </w:rPr>
  </w:style>
  <w:style w:type="character" w:customStyle="1" w:styleId="apple-converted-space">
    <w:name w:val="apple-converted-space"/>
    <w:basedOn w:val="a0"/>
    <w:rsid w:val="00523180"/>
  </w:style>
  <w:style w:type="character" w:customStyle="1" w:styleId="ref1">
    <w:name w:val="ref"/>
    <w:basedOn w:val="a0"/>
    <w:uiPriority w:val="1"/>
    <w:rsid w:val="008433C3"/>
  </w:style>
  <w:style w:type="character" w:styleId="aff2">
    <w:name w:val="Emphasis"/>
    <w:basedOn w:val="a0"/>
    <w:uiPriority w:val="20"/>
    <w:qFormat/>
    <w:rsid w:val="00D67DFF"/>
    <w:rPr>
      <w:i/>
      <w:iCs/>
    </w:rPr>
  </w:style>
  <w:style w:type="character" w:customStyle="1" w:styleId="fontstyle01">
    <w:name w:val="fontstyle01"/>
    <w:basedOn w:val="a0"/>
    <w:rsid w:val="00967B69"/>
    <w:rPr>
      <w:rFonts w:ascii="Times New Roman" w:hAnsi="Times New Roman" w:cs="Times New Roman" w:hint="default"/>
      <w:b w:val="0"/>
      <w:bCs w:val="0"/>
      <w:i w:val="0"/>
      <w:iCs w:val="0"/>
      <w:color w:val="000000"/>
      <w:sz w:val="24"/>
      <w:szCs w:val="24"/>
    </w:rPr>
  </w:style>
  <w:style w:type="character" w:customStyle="1" w:styleId="table0">
    <w:name w:val="table 字符"/>
    <w:link w:val="table"/>
    <w:qFormat/>
    <w:rsid w:val="00873487"/>
    <w:rPr>
      <w:rFonts w:ascii="Times New Roman" w:eastAsia="宋体" w:hAnsi="Times New Roman" w:cs="Times New Roman"/>
      <w:snapToGrid w:val="0"/>
      <w:kern w:val="0"/>
      <w:sz w:val="18"/>
      <w:lang w:val="de-DE" w:bidi="en-US"/>
    </w:rPr>
  </w:style>
  <w:style w:type="character" w:customStyle="1" w:styleId="aff3">
    <w:name w:val="副标题 字符"/>
    <w:link w:val="aff4"/>
    <w:uiPriority w:val="11"/>
    <w:rsid w:val="00A43AAD"/>
    <w:rPr>
      <w:rFonts w:eastAsia="Times New Roman"/>
      <w:b/>
      <w:snapToGrid w:val="0"/>
      <w:color w:val="000000"/>
      <w:kern w:val="0"/>
      <w:szCs w:val="20"/>
      <w:lang w:val="it-IT" w:eastAsia="de-DE"/>
    </w:rPr>
  </w:style>
  <w:style w:type="paragraph" w:styleId="aff4">
    <w:name w:val="Subtitle"/>
    <w:basedOn w:val="a"/>
    <w:next w:val="a"/>
    <w:link w:val="aff3"/>
    <w:uiPriority w:val="11"/>
    <w:qFormat/>
    <w:rsid w:val="00A43AAD"/>
    <w:pPr>
      <w:widowControl/>
      <w:spacing w:before="240" w:after="240" w:line="340" w:lineRule="atLeast"/>
      <w:ind w:firstLineChars="0" w:firstLine="0"/>
      <w:jc w:val="center"/>
    </w:pPr>
    <w:rPr>
      <w:rFonts w:eastAsia="Times New Roman"/>
      <w:b/>
      <w:snapToGrid w:val="0"/>
      <w:color w:val="000000"/>
      <w:kern w:val="0"/>
      <w:szCs w:val="20"/>
      <w:lang w:val="it-IT" w:eastAsia="de-DE"/>
    </w:rPr>
  </w:style>
  <w:style w:type="character" w:customStyle="1" w:styleId="12">
    <w:name w:val="副标题 字符1"/>
    <w:basedOn w:val="a0"/>
    <w:uiPriority w:val="11"/>
    <w:rsid w:val="00A43AAD"/>
    <w:rPr>
      <w:b/>
      <w:bCs/>
      <w:kern w:val="28"/>
      <w:sz w:val="32"/>
      <w:szCs w:val="32"/>
    </w:rPr>
  </w:style>
  <w:style w:type="paragraph" w:customStyle="1" w:styleId="AppendixA">
    <w:name w:val="AppendixA"/>
    <w:basedOn w:val="1"/>
    <w:link w:val="AppendixA0"/>
    <w:uiPriority w:val="1"/>
    <w:qFormat/>
    <w:rsid w:val="00E759A7"/>
    <w:pPr>
      <w:numPr>
        <w:numId w:val="26"/>
      </w:numPr>
      <w:spacing w:beforeLines="50" w:before="163" w:after="163" w:line="300" w:lineRule="auto"/>
    </w:pPr>
    <w:rPr>
      <w:bCs/>
    </w:rPr>
  </w:style>
  <w:style w:type="character" w:customStyle="1" w:styleId="AppendixA0">
    <w:name w:val="AppendixA 字符"/>
    <w:basedOn w:val="10"/>
    <w:link w:val="AppendixA"/>
    <w:uiPriority w:val="1"/>
    <w:rsid w:val="00E759A7"/>
    <w:rPr>
      <w:rFonts w:ascii="Times New Roman" w:eastAsia="黑体" w:hAnsi="Times New Roman" w:cs="Times New Roman"/>
      <w:b w:val="0"/>
      <w:bCs/>
      <w:kern w:val="0"/>
      <w:sz w:val="24"/>
      <w:szCs w:val="24"/>
    </w:rPr>
  </w:style>
  <w:style w:type="paragraph" w:customStyle="1" w:styleId="AppendixA2">
    <w:name w:val="AppendixA2"/>
    <w:basedOn w:val="2"/>
    <w:next w:val="a"/>
    <w:link w:val="AppendixA20"/>
    <w:uiPriority w:val="1"/>
    <w:qFormat/>
    <w:rsid w:val="00E759A7"/>
    <w:pPr>
      <w:numPr>
        <w:numId w:val="26"/>
      </w:numPr>
      <w:spacing w:before="326" w:after="163"/>
      <w:ind w:left="567"/>
    </w:pPr>
  </w:style>
  <w:style w:type="character" w:customStyle="1" w:styleId="AppendixA20">
    <w:name w:val="AppendixA2 字符"/>
    <w:basedOn w:val="20"/>
    <w:link w:val="AppendixA2"/>
    <w:uiPriority w:val="1"/>
    <w:rsid w:val="00E759A7"/>
    <w:rPr>
      <w:rFonts w:ascii="Times New Roman" w:eastAsia="宋体" w:hAnsi="Times New Roman"/>
      <w:b/>
      <w:sz w:val="24"/>
    </w:rPr>
  </w:style>
  <w:style w:type="paragraph" w:styleId="TOC">
    <w:name w:val="TOC Heading"/>
    <w:basedOn w:val="1"/>
    <w:next w:val="a"/>
    <w:uiPriority w:val="39"/>
    <w:unhideWhenUsed/>
    <w:qFormat/>
    <w:rsid w:val="00D710AC"/>
    <w:pPr>
      <w:keepNext/>
      <w:keepLines/>
      <w:widowControl/>
      <w:spacing w:before="240" w:line="259" w:lineRule="auto"/>
      <w:outlineLvl w:val="9"/>
    </w:pPr>
    <w:rPr>
      <w:rFonts w:asciiTheme="majorHAnsi" w:eastAsiaTheme="majorEastAsia" w:hAnsiTheme="majorHAnsi" w:cstheme="majorBidi"/>
      <w:b/>
      <w:color w:val="2E74B5" w:themeColor="accent1" w:themeShade="BF"/>
      <w:sz w:val="32"/>
      <w:szCs w:val="32"/>
    </w:rPr>
  </w:style>
  <w:style w:type="paragraph" w:styleId="TOC1">
    <w:name w:val="toc 1"/>
    <w:basedOn w:val="a"/>
    <w:next w:val="a"/>
    <w:autoRedefine/>
    <w:uiPriority w:val="39"/>
    <w:unhideWhenUsed/>
    <w:rsid w:val="00D710AC"/>
  </w:style>
  <w:style w:type="paragraph" w:styleId="TOC2">
    <w:name w:val="toc 2"/>
    <w:basedOn w:val="a"/>
    <w:next w:val="a"/>
    <w:autoRedefine/>
    <w:uiPriority w:val="39"/>
    <w:unhideWhenUsed/>
    <w:rsid w:val="00D710AC"/>
    <w:pPr>
      <w:ind w:leftChars="200" w:left="420"/>
    </w:pPr>
  </w:style>
  <w:style w:type="paragraph" w:styleId="TOC3">
    <w:name w:val="toc 3"/>
    <w:basedOn w:val="a"/>
    <w:next w:val="a"/>
    <w:autoRedefine/>
    <w:uiPriority w:val="39"/>
    <w:unhideWhenUsed/>
    <w:rsid w:val="00D710AC"/>
    <w:pPr>
      <w:ind w:leftChars="400" w:left="840"/>
    </w:pPr>
  </w:style>
  <w:style w:type="character" w:customStyle="1" w:styleId="40">
    <w:name w:val="标题 4 字符"/>
    <w:basedOn w:val="a0"/>
    <w:link w:val="4"/>
    <w:uiPriority w:val="9"/>
    <w:semiHidden/>
    <w:rsid w:val="00EA35DB"/>
    <w:rPr>
      <w:rFonts w:asciiTheme="majorHAnsi" w:eastAsiaTheme="majorEastAsia" w:hAnsiTheme="majorHAnsi" w:cstheme="majorBidi"/>
      <w:b/>
      <w:bCs/>
      <w:sz w:val="28"/>
      <w:szCs w:val="28"/>
    </w:rPr>
  </w:style>
  <w:style w:type="numbering" w:customStyle="1" w:styleId="13">
    <w:name w:val="无列表1"/>
    <w:next w:val="a2"/>
    <w:uiPriority w:val="99"/>
    <w:semiHidden/>
    <w:unhideWhenUsed/>
    <w:rsid w:val="00EA35DB"/>
  </w:style>
  <w:style w:type="table" w:customStyle="1" w:styleId="310">
    <w:name w:val="网格型31"/>
    <w:basedOn w:val="a1"/>
    <w:next w:val="af2"/>
    <w:uiPriority w:val="99"/>
    <w:unhideWhenUsed/>
    <w:rsid w:val="00EA35D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1"/>
    <w:next w:val="af2"/>
    <w:uiPriority w:val="39"/>
    <w:rsid w:val="00EA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a0"/>
    <w:rsid w:val="00AB2230"/>
  </w:style>
  <w:style w:type="character" w:customStyle="1" w:styleId="margin-right-3--reversible">
    <w:name w:val="margin-right-3--reversible"/>
    <w:basedOn w:val="a0"/>
    <w:rsid w:val="00AB2230"/>
  </w:style>
  <w:style w:type="character" w:customStyle="1" w:styleId="value">
    <w:name w:val="value"/>
    <w:basedOn w:val="a0"/>
    <w:rsid w:val="00AB2230"/>
  </w:style>
  <w:style w:type="character" w:customStyle="1" w:styleId="font-size-14">
    <w:name w:val="font-size-14"/>
    <w:basedOn w:val="a0"/>
    <w:rsid w:val="00AB2230"/>
  </w:style>
  <w:style w:type="character" w:customStyle="1" w:styleId="year">
    <w:name w:val="year"/>
    <w:basedOn w:val="a0"/>
    <w:rsid w:val="000059E1"/>
  </w:style>
  <w:style w:type="character" w:customStyle="1" w:styleId="15">
    <w:name w:val="标题1"/>
    <w:basedOn w:val="a0"/>
    <w:rsid w:val="000059E1"/>
  </w:style>
  <w:style w:type="character" w:customStyle="1" w:styleId="journal">
    <w:name w:val="journal"/>
    <w:basedOn w:val="a0"/>
    <w:rsid w:val="000059E1"/>
  </w:style>
  <w:style w:type="character" w:customStyle="1" w:styleId="vol">
    <w:name w:val="vol"/>
    <w:basedOn w:val="a0"/>
    <w:rsid w:val="000059E1"/>
  </w:style>
  <w:style w:type="character" w:customStyle="1" w:styleId="pages">
    <w:name w:val="pages"/>
    <w:basedOn w:val="a0"/>
    <w:rsid w:val="000059E1"/>
  </w:style>
  <w:style w:type="character" w:customStyle="1" w:styleId="doi">
    <w:name w:val="doi"/>
    <w:basedOn w:val="a0"/>
    <w:rsid w:val="000059E1"/>
  </w:style>
  <w:style w:type="character" w:styleId="HTML">
    <w:name w:val="HTML Cite"/>
    <w:basedOn w:val="a0"/>
    <w:uiPriority w:val="99"/>
    <w:semiHidden/>
    <w:unhideWhenUsed/>
    <w:rsid w:val="00900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688">
      <w:bodyDiv w:val="1"/>
      <w:marLeft w:val="0"/>
      <w:marRight w:val="0"/>
      <w:marTop w:val="0"/>
      <w:marBottom w:val="0"/>
      <w:divBdr>
        <w:top w:val="none" w:sz="0" w:space="0" w:color="auto"/>
        <w:left w:val="none" w:sz="0" w:space="0" w:color="auto"/>
        <w:bottom w:val="none" w:sz="0" w:space="0" w:color="auto"/>
        <w:right w:val="none" w:sz="0" w:space="0" w:color="auto"/>
      </w:divBdr>
      <w:divsChild>
        <w:div w:id="1209415561">
          <w:marLeft w:val="0"/>
          <w:marRight w:val="0"/>
          <w:marTop w:val="0"/>
          <w:marBottom w:val="0"/>
          <w:divBdr>
            <w:top w:val="none" w:sz="0" w:space="0" w:color="auto"/>
            <w:left w:val="none" w:sz="0" w:space="0" w:color="auto"/>
            <w:bottom w:val="none" w:sz="0" w:space="0" w:color="auto"/>
            <w:right w:val="none" w:sz="0" w:space="0" w:color="auto"/>
          </w:divBdr>
          <w:divsChild>
            <w:div w:id="136922546">
              <w:marLeft w:val="0"/>
              <w:marRight w:val="0"/>
              <w:marTop w:val="0"/>
              <w:marBottom w:val="0"/>
              <w:divBdr>
                <w:top w:val="none" w:sz="0" w:space="0" w:color="auto"/>
                <w:left w:val="none" w:sz="0" w:space="0" w:color="auto"/>
                <w:bottom w:val="none" w:sz="0" w:space="0" w:color="auto"/>
                <w:right w:val="none" w:sz="0" w:space="0" w:color="auto"/>
              </w:divBdr>
              <w:divsChild>
                <w:div w:id="351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5069">
          <w:marLeft w:val="0"/>
          <w:marRight w:val="0"/>
          <w:marTop w:val="0"/>
          <w:marBottom w:val="0"/>
          <w:divBdr>
            <w:top w:val="none" w:sz="0" w:space="0" w:color="auto"/>
            <w:left w:val="none" w:sz="0" w:space="0" w:color="auto"/>
            <w:bottom w:val="none" w:sz="0" w:space="0" w:color="auto"/>
            <w:right w:val="none" w:sz="0" w:space="0" w:color="auto"/>
          </w:divBdr>
          <w:divsChild>
            <w:div w:id="1097483464">
              <w:marLeft w:val="0"/>
              <w:marRight w:val="0"/>
              <w:marTop w:val="0"/>
              <w:marBottom w:val="0"/>
              <w:divBdr>
                <w:top w:val="none" w:sz="0" w:space="0" w:color="auto"/>
                <w:left w:val="none" w:sz="0" w:space="0" w:color="auto"/>
                <w:bottom w:val="none" w:sz="0" w:space="0" w:color="auto"/>
                <w:right w:val="none" w:sz="0" w:space="0" w:color="auto"/>
              </w:divBdr>
              <w:divsChild>
                <w:div w:id="727535284">
                  <w:marLeft w:val="0"/>
                  <w:marRight w:val="0"/>
                  <w:marTop w:val="0"/>
                  <w:marBottom w:val="0"/>
                  <w:divBdr>
                    <w:top w:val="none" w:sz="0" w:space="0" w:color="auto"/>
                    <w:left w:val="none" w:sz="0" w:space="0" w:color="auto"/>
                    <w:bottom w:val="none" w:sz="0" w:space="0" w:color="auto"/>
                    <w:right w:val="none" w:sz="0" w:space="0" w:color="auto"/>
                  </w:divBdr>
                </w:div>
                <w:div w:id="1578787798">
                  <w:marLeft w:val="0"/>
                  <w:marRight w:val="0"/>
                  <w:marTop w:val="0"/>
                  <w:marBottom w:val="0"/>
                  <w:divBdr>
                    <w:top w:val="none" w:sz="0" w:space="0" w:color="auto"/>
                    <w:left w:val="none" w:sz="0" w:space="0" w:color="auto"/>
                    <w:bottom w:val="none" w:sz="0" w:space="0" w:color="auto"/>
                    <w:right w:val="none" w:sz="0" w:space="0" w:color="auto"/>
                  </w:divBdr>
                </w:div>
              </w:divsChild>
            </w:div>
            <w:div w:id="1036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11">
      <w:bodyDiv w:val="1"/>
      <w:marLeft w:val="0"/>
      <w:marRight w:val="0"/>
      <w:marTop w:val="0"/>
      <w:marBottom w:val="0"/>
      <w:divBdr>
        <w:top w:val="none" w:sz="0" w:space="0" w:color="auto"/>
        <w:left w:val="none" w:sz="0" w:space="0" w:color="auto"/>
        <w:bottom w:val="none" w:sz="0" w:space="0" w:color="auto"/>
        <w:right w:val="none" w:sz="0" w:space="0" w:color="auto"/>
      </w:divBdr>
    </w:div>
    <w:div w:id="21249688">
      <w:bodyDiv w:val="1"/>
      <w:marLeft w:val="0"/>
      <w:marRight w:val="0"/>
      <w:marTop w:val="0"/>
      <w:marBottom w:val="0"/>
      <w:divBdr>
        <w:top w:val="none" w:sz="0" w:space="0" w:color="auto"/>
        <w:left w:val="none" w:sz="0" w:space="0" w:color="auto"/>
        <w:bottom w:val="none" w:sz="0" w:space="0" w:color="auto"/>
        <w:right w:val="none" w:sz="0" w:space="0" w:color="auto"/>
      </w:divBdr>
    </w:div>
    <w:div w:id="27416507">
      <w:bodyDiv w:val="1"/>
      <w:marLeft w:val="0"/>
      <w:marRight w:val="0"/>
      <w:marTop w:val="0"/>
      <w:marBottom w:val="0"/>
      <w:divBdr>
        <w:top w:val="none" w:sz="0" w:space="0" w:color="auto"/>
        <w:left w:val="none" w:sz="0" w:space="0" w:color="auto"/>
        <w:bottom w:val="none" w:sz="0" w:space="0" w:color="auto"/>
        <w:right w:val="none" w:sz="0" w:space="0" w:color="auto"/>
      </w:divBdr>
    </w:div>
    <w:div w:id="65736076">
      <w:bodyDiv w:val="1"/>
      <w:marLeft w:val="0"/>
      <w:marRight w:val="0"/>
      <w:marTop w:val="0"/>
      <w:marBottom w:val="0"/>
      <w:divBdr>
        <w:top w:val="none" w:sz="0" w:space="0" w:color="auto"/>
        <w:left w:val="none" w:sz="0" w:space="0" w:color="auto"/>
        <w:bottom w:val="none" w:sz="0" w:space="0" w:color="auto"/>
        <w:right w:val="none" w:sz="0" w:space="0" w:color="auto"/>
      </w:divBdr>
    </w:div>
    <w:div w:id="66148421">
      <w:bodyDiv w:val="1"/>
      <w:marLeft w:val="0"/>
      <w:marRight w:val="0"/>
      <w:marTop w:val="0"/>
      <w:marBottom w:val="0"/>
      <w:divBdr>
        <w:top w:val="none" w:sz="0" w:space="0" w:color="auto"/>
        <w:left w:val="none" w:sz="0" w:space="0" w:color="auto"/>
        <w:bottom w:val="none" w:sz="0" w:space="0" w:color="auto"/>
        <w:right w:val="none" w:sz="0" w:space="0" w:color="auto"/>
      </w:divBdr>
    </w:div>
    <w:div w:id="67534487">
      <w:bodyDiv w:val="1"/>
      <w:marLeft w:val="0"/>
      <w:marRight w:val="0"/>
      <w:marTop w:val="0"/>
      <w:marBottom w:val="0"/>
      <w:divBdr>
        <w:top w:val="none" w:sz="0" w:space="0" w:color="auto"/>
        <w:left w:val="none" w:sz="0" w:space="0" w:color="auto"/>
        <w:bottom w:val="none" w:sz="0" w:space="0" w:color="auto"/>
        <w:right w:val="none" w:sz="0" w:space="0" w:color="auto"/>
      </w:divBdr>
    </w:div>
    <w:div w:id="71707890">
      <w:bodyDiv w:val="1"/>
      <w:marLeft w:val="0"/>
      <w:marRight w:val="0"/>
      <w:marTop w:val="0"/>
      <w:marBottom w:val="0"/>
      <w:divBdr>
        <w:top w:val="none" w:sz="0" w:space="0" w:color="auto"/>
        <w:left w:val="none" w:sz="0" w:space="0" w:color="auto"/>
        <w:bottom w:val="none" w:sz="0" w:space="0" w:color="auto"/>
        <w:right w:val="none" w:sz="0" w:space="0" w:color="auto"/>
      </w:divBdr>
    </w:div>
    <w:div w:id="83304281">
      <w:bodyDiv w:val="1"/>
      <w:marLeft w:val="0"/>
      <w:marRight w:val="0"/>
      <w:marTop w:val="0"/>
      <w:marBottom w:val="0"/>
      <w:divBdr>
        <w:top w:val="none" w:sz="0" w:space="0" w:color="auto"/>
        <w:left w:val="none" w:sz="0" w:space="0" w:color="auto"/>
        <w:bottom w:val="none" w:sz="0" w:space="0" w:color="auto"/>
        <w:right w:val="none" w:sz="0" w:space="0" w:color="auto"/>
      </w:divBdr>
    </w:div>
    <w:div w:id="98381831">
      <w:bodyDiv w:val="1"/>
      <w:marLeft w:val="0"/>
      <w:marRight w:val="0"/>
      <w:marTop w:val="0"/>
      <w:marBottom w:val="0"/>
      <w:divBdr>
        <w:top w:val="none" w:sz="0" w:space="0" w:color="auto"/>
        <w:left w:val="none" w:sz="0" w:space="0" w:color="auto"/>
        <w:bottom w:val="none" w:sz="0" w:space="0" w:color="auto"/>
        <w:right w:val="none" w:sz="0" w:space="0" w:color="auto"/>
      </w:divBdr>
    </w:div>
    <w:div w:id="101264334">
      <w:bodyDiv w:val="1"/>
      <w:marLeft w:val="0"/>
      <w:marRight w:val="0"/>
      <w:marTop w:val="0"/>
      <w:marBottom w:val="0"/>
      <w:divBdr>
        <w:top w:val="none" w:sz="0" w:space="0" w:color="auto"/>
        <w:left w:val="none" w:sz="0" w:space="0" w:color="auto"/>
        <w:bottom w:val="none" w:sz="0" w:space="0" w:color="auto"/>
        <w:right w:val="none" w:sz="0" w:space="0" w:color="auto"/>
      </w:divBdr>
    </w:div>
    <w:div w:id="107822223">
      <w:bodyDiv w:val="1"/>
      <w:marLeft w:val="0"/>
      <w:marRight w:val="0"/>
      <w:marTop w:val="0"/>
      <w:marBottom w:val="0"/>
      <w:divBdr>
        <w:top w:val="none" w:sz="0" w:space="0" w:color="auto"/>
        <w:left w:val="none" w:sz="0" w:space="0" w:color="auto"/>
        <w:bottom w:val="none" w:sz="0" w:space="0" w:color="auto"/>
        <w:right w:val="none" w:sz="0" w:space="0" w:color="auto"/>
      </w:divBdr>
      <w:divsChild>
        <w:div w:id="691226239">
          <w:marLeft w:val="0"/>
          <w:marRight w:val="0"/>
          <w:marTop w:val="0"/>
          <w:marBottom w:val="0"/>
          <w:divBdr>
            <w:top w:val="none" w:sz="0" w:space="0" w:color="auto"/>
            <w:left w:val="none" w:sz="0" w:space="0" w:color="auto"/>
            <w:bottom w:val="none" w:sz="0" w:space="0" w:color="auto"/>
            <w:right w:val="none" w:sz="0" w:space="0" w:color="auto"/>
          </w:divBdr>
        </w:div>
      </w:divsChild>
    </w:div>
    <w:div w:id="129444669">
      <w:bodyDiv w:val="1"/>
      <w:marLeft w:val="0"/>
      <w:marRight w:val="0"/>
      <w:marTop w:val="0"/>
      <w:marBottom w:val="0"/>
      <w:divBdr>
        <w:top w:val="none" w:sz="0" w:space="0" w:color="auto"/>
        <w:left w:val="none" w:sz="0" w:space="0" w:color="auto"/>
        <w:bottom w:val="none" w:sz="0" w:space="0" w:color="auto"/>
        <w:right w:val="none" w:sz="0" w:space="0" w:color="auto"/>
      </w:divBdr>
    </w:div>
    <w:div w:id="137302257">
      <w:bodyDiv w:val="1"/>
      <w:marLeft w:val="0"/>
      <w:marRight w:val="0"/>
      <w:marTop w:val="0"/>
      <w:marBottom w:val="0"/>
      <w:divBdr>
        <w:top w:val="none" w:sz="0" w:space="0" w:color="auto"/>
        <w:left w:val="none" w:sz="0" w:space="0" w:color="auto"/>
        <w:bottom w:val="none" w:sz="0" w:space="0" w:color="auto"/>
        <w:right w:val="none" w:sz="0" w:space="0" w:color="auto"/>
      </w:divBdr>
    </w:div>
    <w:div w:id="158161215">
      <w:bodyDiv w:val="1"/>
      <w:marLeft w:val="0"/>
      <w:marRight w:val="0"/>
      <w:marTop w:val="0"/>
      <w:marBottom w:val="0"/>
      <w:divBdr>
        <w:top w:val="none" w:sz="0" w:space="0" w:color="auto"/>
        <w:left w:val="none" w:sz="0" w:space="0" w:color="auto"/>
        <w:bottom w:val="none" w:sz="0" w:space="0" w:color="auto"/>
        <w:right w:val="none" w:sz="0" w:space="0" w:color="auto"/>
      </w:divBdr>
    </w:div>
    <w:div w:id="163126438">
      <w:bodyDiv w:val="1"/>
      <w:marLeft w:val="0"/>
      <w:marRight w:val="0"/>
      <w:marTop w:val="0"/>
      <w:marBottom w:val="0"/>
      <w:divBdr>
        <w:top w:val="none" w:sz="0" w:space="0" w:color="auto"/>
        <w:left w:val="none" w:sz="0" w:space="0" w:color="auto"/>
        <w:bottom w:val="none" w:sz="0" w:space="0" w:color="auto"/>
        <w:right w:val="none" w:sz="0" w:space="0" w:color="auto"/>
      </w:divBdr>
    </w:div>
    <w:div w:id="165562033">
      <w:bodyDiv w:val="1"/>
      <w:marLeft w:val="0"/>
      <w:marRight w:val="0"/>
      <w:marTop w:val="0"/>
      <w:marBottom w:val="0"/>
      <w:divBdr>
        <w:top w:val="none" w:sz="0" w:space="0" w:color="auto"/>
        <w:left w:val="none" w:sz="0" w:space="0" w:color="auto"/>
        <w:bottom w:val="none" w:sz="0" w:space="0" w:color="auto"/>
        <w:right w:val="none" w:sz="0" w:space="0" w:color="auto"/>
      </w:divBdr>
    </w:div>
    <w:div w:id="175730855">
      <w:bodyDiv w:val="1"/>
      <w:marLeft w:val="0"/>
      <w:marRight w:val="0"/>
      <w:marTop w:val="0"/>
      <w:marBottom w:val="0"/>
      <w:divBdr>
        <w:top w:val="none" w:sz="0" w:space="0" w:color="auto"/>
        <w:left w:val="none" w:sz="0" w:space="0" w:color="auto"/>
        <w:bottom w:val="none" w:sz="0" w:space="0" w:color="auto"/>
        <w:right w:val="none" w:sz="0" w:space="0" w:color="auto"/>
      </w:divBdr>
    </w:div>
    <w:div w:id="179585845">
      <w:bodyDiv w:val="1"/>
      <w:marLeft w:val="0"/>
      <w:marRight w:val="0"/>
      <w:marTop w:val="0"/>
      <w:marBottom w:val="0"/>
      <w:divBdr>
        <w:top w:val="none" w:sz="0" w:space="0" w:color="auto"/>
        <w:left w:val="none" w:sz="0" w:space="0" w:color="auto"/>
        <w:bottom w:val="none" w:sz="0" w:space="0" w:color="auto"/>
        <w:right w:val="none" w:sz="0" w:space="0" w:color="auto"/>
      </w:divBdr>
    </w:div>
    <w:div w:id="190267254">
      <w:bodyDiv w:val="1"/>
      <w:marLeft w:val="0"/>
      <w:marRight w:val="0"/>
      <w:marTop w:val="0"/>
      <w:marBottom w:val="0"/>
      <w:divBdr>
        <w:top w:val="none" w:sz="0" w:space="0" w:color="auto"/>
        <w:left w:val="none" w:sz="0" w:space="0" w:color="auto"/>
        <w:bottom w:val="none" w:sz="0" w:space="0" w:color="auto"/>
        <w:right w:val="none" w:sz="0" w:space="0" w:color="auto"/>
      </w:divBdr>
      <w:divsChild>
        <w:div w:id="2088767723">
          <w:marLeft w:val="0"/>
          <w:marRight w:val="0"/>
          <w:marTop w:val="0"/>
          <w:marBottom w:val="0"/>
          <w:divBdr>
            <w:top w:val="none" w:sz="0" w:space="0" w:color="auto"/>
            <w:left w:val="none" w:sz="0" w:space="0" w:color="auto"/>
            <w:bottom w:val="none" w:sz="0" w:space="0" w:color="auto"/>
            <w:right w:val="none" w:sz="0" w:space="0" w:color="auto"/>
          </w:divBdr>
        </w:div>
      </w:divsChild>
    </w:div>
    <w:div w:id="206990038">
      <w:bodyDiv w:val="1"/>
      <w:marLeft w:val="0"/>
      <w:marRight w:val="0"/>
      <w:marTop w:val="0"/>
      <w:marBottom w:val="0"/>
      <w:divBdr>
        <w:top w:val="none" w:sz="0" w:space="0" w:color="auto"/>
        <w:left w:val="none" w:sz="0" w:space="0" w:color="auto"/>
        <w:bottom w:val="none" w:sz="0" w:space="0" w:color="auto"/>
        <w:right w:val="none" w:sz="0" w:space="0" w:color="auto"/>
      </w:divBdr>
    </w:div>
    <w:div w:id="216286698">
      <w:bodyDiv w:val="1"/>
      <w:marLeft w:val="0"/>
      <w:marRight w:val="0"/>
      <w:marTop w:val="0"/>
      <w:marBottom w:val="0"/>
      <w:divBdr>
        <w:top w:val="none" w:sz="0" w:space="0" w:color="auto"/>
        <w:left w:val="none" w:sz="0" w:space="0" w:color="auto"/>
        <w:bottom w:val="none" w:sz="0" w:space="0" w:color="auto"/>
        <w:right w:val="none" w:sz="0" w:space="0" w:color="auto"/>
      </w:divBdr>
    </w:div>
    <w:div w:id="224075289">
      <w:bodyDiv w:val="1"/>
      <w:marLeft w:val="0"/>
      <w:marRight w:val="0"/>
      <w:marTop w:val="0"/>
      <w:marBottom w:val="0"/>
      <w:divBdr>
        <w:top w:val="none" w:sz="0" w:space="0" w:color="auto"/>
        <w:left w:val="none" w:sz="0" w:space="0" w:color="auto"/>
        <w:bottom w:val="none" w:sz="0" w:space="0" w:color="auto"/>
        <w:right w:val="none" w:sz="0" w:space="0" w:color="auto"/>
      </w:divBdr>
    </w:div>
    <w:div w:id="260645626">
      <w:bodyDiv w:val="1"/>
      <w:marLeft w:val="0"/>
      <w:marRight w:val="0"/>
      <w:marTop w:val="0"/>
      <w:marBottom w:val="0"/>
      <w:divBdr>
        <w:top w:val="none" w:sz="0" w:space="0" w:color="auto"/>
        <w:left w:val="none" w:sz="0" w:space="0" w:color="auto"/>
        <w:bottom w:val="none" w:sz="0" w:space="0" w:color="auto"/>
        <w:right w:val="none" w:sz="0" w:space="0" w:color="auto"/>
      </w:divBdr>
    </w:div>
    <w:div w:id="267203553">
      <w:bodyDiv w:val="1"/>
      <w:marLeft w:val="0"/>
      <w:marRight w:val="0"/>
      <w:marTop w:val="0"/>
      <w:marBottom w:val="0"/>
      <w:divBdr>
        <w:top w:val="none" w:sz="0" w:space="0" w:color="auto"/>
        <w:left w:val="none" w:sz="0" w:space="0" w:color="auto"/>
        <w:bottom w:val="none" w:sz="0" w:space="0" w:color="auto"/>
        <w:right w:val="none" w:sz="0" w:space="0" w:color="auto"/>
      </w:divBdr>
    </w:div>
    <w:div w:id="305667172">
      <w:bodyDiv w:val="1"/>
      <w:marLeft w:val="0"/>
      <w:marRight w:val="0"/>
      <w:marTop w:val="0"/>
      <w:marBottom w:val="0"/>
      <w:divBdr>
        <w:top w:val="none" w:sz="0" w:space="0" w:color="auto"/>
        <w:left w:val="none" w:sz="0" w:space="0" w:color="auto"/>
        <w:bottom w:val="none" w:sz="0" w:space="0" w:color="auto"/>
        <w:right w:val="none" w:sz="0" w:space="0" w:color="auto"/>
      </w:divBdr>
    </w:div>
    <w:div w:id="306711056">
      <w:bodyDiv w:val="1"/>
      <w:marLeft w:val="0"/>
      <w:marRight w:val="0"/>
      <w:marTop w:val="0"/>
      <w:marBottom w:val="0"/>
      <w:divBdr>
        <w:top w:val="none" w:sz="0" w:space="0" w:color="auto"/>
        <w:left w:val="none" w:sz="0" w:space="0" w:color="auto"/>
        <w:bottom w:val="none" w:sz="0" w:space="0" w:color="auto"/>
        <w:right w:val="none" w:sz="0" w:space="0" w:color="auto"/>
      </w:divBdr>
    </w:div>
    <w:div w:id="307057949">
      <w:bodyDiv w:val="1"/>
      <w:marLeft w:val="0"/>
      <w:marRight w:val="0"/>
      <w:marTop w:val="0"/>
      <w:marBottom w:val="0"/>
      <w:divBdr>
        <w:top w:val="none" w:sz="0" w:space="0" w:color="auto"/>
        <w:left w:val="none" w:sz="0" w:space="0" w:color="auto"/>
        <w:bottom w:val="none" w:sz="0" w:space="0" w:color="auto"/>
        <w:right w:val="none" w:sz="0" w:space="0" w:color="auto"/>
      </w:divBdr>
      <w:divsChild>
        <w:div w:id="32703165">
          <w:marLeft w:val="0"/>
          <w:marRight w:val="0"/>
          <w:marTop w:val="0"/>
          <w:marBottom w:val="0"/>
          <w:divBdr>
            <w:top w:val="none" w:sz="0" w:space="0" w:color="auto"/>
            <w:left w:val="none" w:sz="0" w:space="0" w:color="auto"/>
            <w:bottom w:val="none" w:sz="0" w:space="0" w:color="auto"/>
            <w:right w:val="none" w:sz="0" w:space="0" w:color="auto"/>
          </w:divBdr>
        </w:div>
      </w:divsChild>
    </w:div>
    <w:div w:id="307134057">
      <w:bodyDiv w:val="1"/>
      <w:marLeft w:val="0"/>
      <w:marRight w:val="0"/>
      <w:marTop w:val="0"/>
      <w:marBottom w:val="0"/>
      <w:divBdr>
        <w:top w:val="none" w:sz="0" w:space="0" w:color="auto"/>
        <w:left w:val="none" w:sz="0" w:space="0" w:color="auto"/>
        <w:bottom w:val="none" w:sz="0" w:space="0" w:color="auto"/>
        <w:right w:val="none" w:sz="0" w:space="0" w:color="auto"/>
      </w:divBdr>
      <w:divsChild>
        <w:div w:id="1263149569">
          <w:marLeft w:val="0"/>
          <w:marRight w:val="0"/>
          <w:marTop w:val="0"/>
          <w:marBottom w:val="0"/>
          <w:divBdr>
            <w:top w:val="none" w:sz="0" w:space="0" w:color="auto"/>
            <w:left w:val="none" w:sz="0" w:space="0" w:color="auto"/>
            <w:bottom w:val="none" w:sz="0" w:space="0" w:color="auto"/>
            <w:right w:val="none" w:sz="0" w:space="0" w:color="auto"/>
          </w:divBdr>
        </w:div>
      </w:divsChild>
    </w:div>
    <w:div w:id="312683363">
      <w:bodyDiv w:val="1"/>
      <w:marLeft w:val="0"/>
      <w:marRight w:val="0"/>
      <w:marTop w:val="0"/>
      <w:marBottom w:val="0"/>
      <w:divBdr>
        <w:top w:val="none" w:sz="0" w:space="0" w:color="auto"/>
        <w:left w:val="none" w:sz="0" w:space="0" w:color="auto"/>
        <w:bottom w:val="none" w:sz="0" w:space="0" w:color="auto"/>
        <w:right w:val="none" w:sz="0" w:space="0" w:color="auto"/>
      </w:divBdr>
      <w:divsChild>
        <w:div w:id="1260677538">
          <w:marLeft w:val="0"/>
          <w:marRight w:val="0"/>
          <w:marTop w:val="0"/>
          <w:marBottom w:val="0"/>
          <w:divBdr>
            <w:top w:val="none" w:sz="0" w:space="0" w:color="auto"/>
            <w:left w:val="none" w:sz="0" w:space="0" w:color="auto"/>
            <w:bottom w:val="none" w:sz="0" w:space="0" w:color="auto"/>
            <w:right w:val="none" w:sz="0" w:space="0" w:color="auto"/>
          </w:divBdr>
        </w:div>
      </w:divsChild>
    </w:div>
    <w:div w:id="314144591">
      <w:bodyDiv w:val="1"/>
      <w:marLeft w:val="0"/>
      <w:marRight w:val="0"/>
      <w:marTop w:val="0"/>
      <w:marBottom w:val="0"/>
      <w:divBdr>
        <w:top w:val="none" w:sz="0" w:space="0" w:color="auto"/>
        <w:left w:val="none" w:sz="0" w:space="0" w:color="auto"/>
        <w:bottom w:val="none" w:sz="0" w:space="0" w:color="auto"/>
        <w:right w:val="none" w:sz="0" w:space="0" w:color="auto"/>
      </w:divBdr>
    </w:div>
    <w:div w:id="315187486">
      <w:bodyDiv w:val="1"/>
      <w:marLeft w:val="0"/>
      <w:marRight w:val="0"/>
      <w:marTop w:val="0"/>
      <w:marBottom w:val="0"/>
      <w:divBdr>
        <w:top w:val="none" w:sz="0" w:space="0" w:color="auto"/>
        <w:left w:val="none" w:sz="0" w:space="0" w:color="auto"/>
        <w:bottom w:val="none" w:sz="0" w:space="0" w:color="auto"/>
        <w:right w:val="none" w:sz="0" w:space="0" w:color="auto"/>
      </w:divBdr>
    </w:div>
    <w:div w:id="324167043">
      <w:bodyDiv w:val="1"/>
      <w:marLeft w:val="0"/>
      <w:marRight w:val="0"/>
      <w:marTop w:val="0"/>
      <w:marBottom w:val="0"/>
      <w:divBdr>
        <w:top w:val="none" w:sz="0" w:space="0" w:color="auto"/>
        <w:left w:val="none" w:sz="0" w:space="0" w:color="auto"/>
        <w:bottom w:val="none" w:sz="0" w:space="0" w:color="auto"/>
        <w:right w:val="none" w:sz="0" w:space="0" w:color="auto"/>
      </w:divBdr>
    </w:div>
    <w:div w:id="332999013">
      <w:bodyDiv w:val="1"/>
      <w:marLeft w:val="0"/>
      <w:marRight w:val="0"/>
      <w:marTop w:val="0"/>
      <w:marBottom w:val="0"/>
      <w:divBdr>
        <w:top w:val="none" w:sz="0" w:space="0" w:color="auto"/>
        <w:left w:val="none" w:sz="0" w:space="0" w:color="auto"/>
        <w:bottom w:val="none" w:sz="0" w:space="0" w:color="auto"/>
        <w:right w:val="none" w:sz="0" w:space="0" w:color="auto"/>
      </w:divBdr>
    </w:div>
    <w:div w:id="341512271">
      <w:bodyDiv w:val="1"/>
      <w:marLeft w:val="0"/>
      <w:marRight w:val="0"/>
      <w:marTop w:val="0"/>
      <w:marBottom w:val="0"/>
      <w:divBdr>
        <w:top w:val="none" w:sz="0" w:space="0" w:color="auto"/>
        <w:left w:val="none" w:sz="0" w:space="0" w:color="auto"/>
        <w:bottom w:val="none" w:sz="0" w:space="0" w:color="auto"/>
        <w:right w:val="none" w:sz="0" w:space="0" w:color="auto"/>
      </w:divBdr>
    </w:div>
    <w:div w:id="347760898">
      <w:bodyDiv w:val="1"/>
      <w:marLeft w:val="0"/>
      <w:marRight w:val="0"/>
      <w:marTop w:val="0"/>
      <w:marBottom w:val="0"/>
      <w:divBdr>
        <w:top w:val="none" w:sz="0" w:space="0" w:color="auto"/>
        <w:left w:val="none" w:sz="0" w:space="0" w:color="auto"/>
        <w:bottom w:val="none" w:sz="0" w:space="0" w:color="auto"/>
        <w:right w:val="none" w:sz="0" w:space="0" w:color="auto"/>
      </w:divBdr>
    </w:div>
    <w:div w:id="351803747">
      <w:bodyDiv w:val="1"/>
      <w:marLeft w:val="0"/>
      <w:marRight w:val="0"/>
      <w:marTop w:val="0"/>
      <w:marBottom w:val="0"/>
      <w:divBdr>
        <w:top w:val="none" w:sz="0" w:space="0" w:color="auto"/>
        <w:left w:val="none" w:sz="0" w:space="0" w:color="auto"/>
        <w:bottom w:val="none" w:sz="0" w:space="0" w:color="auto"/>
        <w:right w:val="none" w:sz="0" w:space="0" w:color="auto"/>
      </w:divBdr>
    </w:div>
    <w:div w:id="353269258">
      <w:bodyDiv w:val="1"/>
      <w:marLeft w:val="0"/>
      <w:marRight w:val="0"/>
      <w:marTop w:val="0"/>
      <w:marBottom w:val="0"/>
      <w:divBdr>
        <w:top w:val="none" w:sz="0" w:space="0" w:color="auto"/>
        <w:left w:val="none" w:sz="0" w:space="0" w:color="auto"/>
        <w:bottom w:val="none" w:sz="0" w:space="0" w:color="auto"/>
        <w:right w:val="none" w:sz="0" w:space="0" w:color="auto"/>
      </w:divBdr>
      <w:divsChild>
        <w:div w:id="1566648717">
          <w:marLeft w:val="0"/>
          <w:marRight w:val="0"/>
          <w:marTop w:val="0"/>
          <w:marBottom w:val="0"/>
          <w:divBdr>
            <w:top w:val="none" w:sz="0" w:space="0" w:color="auto"/>
            <w:left w:val="none" w:sz="0" w:space="0" w:color="auto"/>
            <w:bottom w:val="none" w:sz="0" w:space="0" w:color="auto"/>
            <w:right w:val="none" w:sz="0" w:space="0" w:color="auto"/>
          </w:divBdr>
        </w:div>
      </w:divsChild>
    </w:div>
    <w:div w:id="366755379">
      <w:bodyDiv w:val="1"/>
      <w:marLeft w:val="0"/>
      <w:marRight w:val="0"/>
      <w:marTop w:val="0"/>
      <w:marBottom w:val="0"/>
      <w:divBdr>
        <w:top w:val="none" w:sz="0" w:space="0" w:color="auto"/>
        <w:left w:val="none" w:sz="0" w:space="0" w:color="auto"/>
        <w:bottom w:val="none" w:sz="0" w:space="0" w:color="auto"/>
        <w:right w:val="none" w:sz="0" w:space="0" w:color="auto"/>
      </w:divBdr>
      <w:divsChild>
        <w:div w:id="499007046">
          <w:marLeft w:val="0"/>
          <w:marRight w:val="0"/>
          <w:marTop w:val="0"/>
          <w:marBottom w:val="0"/>
          <w:divBdr>
            <w:top w:val="none" w:sz="0" w:space="0" w:color="auto"/>
            <w:left w:val="none" w:sz="0" w:space="0" w:color="auto"/>
            <w:bottom w:val="none" w:sz="0" w:space="0" w:color="auto"/>
            <w:right w:val="none" w:sz="0" w:space="0" w:color="auto"/>
          </w:divBdr>
        </w:div>
      </w:divsChild>
    </w:div>
    <w:div w:id="383871994">
      <w:bodyDiv w:val="1"/>
      <w:marLeft w:val="0"/>
      <w:marRight w:val="0"/>
      <w:marTop w:val="0"/>
      <w:marBottom w:val="0"/>
      <w:divBdr>
        <w:top w:val="none" w:sz="0" w:space="0" w:color="auto"/>
        <w:left w:val="none" w:sz="0" w:space="0" w:color="auto"/>
        <w:bottom w:val="none" w:sz="0" w:space="0" w:color="auto"/>
        <w:right w:val="none" w:sz="0" w:space="0" w:color="auto"/>
      </w:divBdr>
    </w:div>
    <w:div w:id="390232005">
      <w:bodyDiv w:val="1"/>
      <w:marLeft w:val="0"/>
      <w:marRight w:val="0"/>
      <w:marTop w:val="0"/>
      <w:marBottom w:val="0"/>
      <w:divBdr>
        <w:top w:val="none" w:sz="0" w:space="0" w:color="auto"/>
        <w:left w:val="none" w:sz="0" w:space="0" w:color="auto"/>
        <w:bottom w:val="none" w:sz="0" w:space="0" w:color="auto"/>
        <w:right w:val="none" w:sz="0" w:space="0" w:color="auto"/>
      </w:divBdr>
    </w:div>
    <w:div w:id="391272080">
      <w:bodyDiv w:val="1"/>
      <w:marLeft w:val="0"/>
      <w:marRight w:val="0"/>
      <w:marTop w:val="0"/>
      <w:marBottom w:val="0"/>
      <w:divBdr>
        <w:top w:val="none" w:sz="0" w:space="0" w:color="auto"/>
        <w:left w:val="none" w:sz="0" w:space="0" w:color="auto"/>
        <w:bottom w:val="none" w:sz="0" w:space="0" w:color="auto"/>
        <w:right w:val="none" w:sz="0" w:space="0" w:color="auto"/>
      </w:divBdr>
    </w:div>
    <w:div w:id="393354139">
      <w:bodyDiv w:val="1"/>
      <w:marLeft w:val="0"/>
      <w:marRight w:val="0"/>
      <w:marTop w:val="0"/>
      <w:marBottom w:val="0"/>
      <w:divBdr>
        <w:top w:val="none" w:sz="0" w:space="0" w:color="auto"/>
        <w:left w:val="none" w:sz="0" w:space="0" w:color="auto"/>
        <w:bottom w:val="none" w:sz="0" w:space="0" w:color="auto"/>
        <w:right w:val="none" w:sz="0" w:space="0" w:color="auto"/>
      </w:divBdr>
    </w:div>
    <w:div w:id="413477582">
      <w:bodyDiv w:val="1"/>
      <w:marLeft w:val="0"/>
      <w:marRight w:val="0"/>
      <w:marTop w:val="0"/>
      <w:marBottom w:val="0"/>
      <w:divBdr>
        <w:top w:val="none" w:sz="0" w:space="0" w:color="auto"/>
        <w:left w:val="none" w:sz="0" w:space="0" w:color="auto"/>
        <w:bottom w:val="none" w:sz="0" w:space="0" w:color="auto"/>
        <w:right w:val="none" w:sz="0" w:space="0" w:color="auto"/>
      </w:divBdr>
    </w:div>
    <w:div w:id="417096922">
      <w:bodyDiv w:val="1"/>
      <w:marLeft w:val="0"/>
      <w:marRight w:val="0"/>
      <w:marTop w:val="0"/>
      <w:marBottom w:val="0"/>
      <w:divBdr>
        <w:top w:val="none" w:sz="0" w:space="0" w:color="auto"/>
        <w:left w:val="none" w:sz="0" w:space="0" w:color="auto"/>
        <w:bottom w:val="none" w:sz="0" w:space="0" w:color="auto"/>
        <w:right w:val="none" w:sz="0" w:space="0" w:color="auto"/>
      </w:divBdr>
    </w:div>
    <w:div w:id="418217223">
      <w:bodyDiv w:val="1"/>
      <w:marLeft w:val="0"/>
      <w:marRight w:val="0"/>
      <w:marTop w:val="0"/>
      <w:marBottom w:val="0"/>
      <w:divBdr>
        <w:top w:val="none" w:sz="0" w:space="0" w:color="auto"/>
        <w:left w:val="none" w:sz="0" w:space="0" w:color="auto"/>
        <w:bottom w:val="none" w:sz="0" w:space="0" w:color="auto"/>
        <w:right w:val="none" w:sz="0" w:space="0" w:color="auto"/>
      </w:divBdr>
    </w:div>
    <w:div w:id="424033894">
      <w:bodyDiv w:val="1"/>
      <w:marLeft w:val="0"/>
      <w:marRight w:val="0"/>
      <w:marTop w:val="0"/>
      <w:marBottom w:val="0"/>
      <w:divBdr>
        <w:top w:val="none" w:sz="0" w:space="0" w:color="auto"/>
        <w:left w:val="none" w:sz="0" w:space="0" w:color="auto"/>
        <w:bottom w:val="none" w:sz="0" w:space="0" w:color="auto"/>
        <w:right w:val="none" w:sz="0" w:space="0" w:color="auto"/>
      </w:divBdr>
    </w:div>
    <w:div w:id="424813661">
      <w:bodyDiv w:val="1"/>
      <w:marLeft w:val="0"/>
      <w:marRight w:val="0"/>
      <w:marTop w:val="0"/>
      <w:marBottom w:val="0"/>
      <w:divBdr>
        <w:top w:val="none" w:sz="0" w:space="0" w:color="auto"/>
        <w:left w:val="none" w:sz="0" w:space="0" w:color="auto"/>
        <w:bottom w:val="none" w:sz="0" w:space="0" w:color="auto"/>
        <w:right w:val="none" w:sz="0" w:space="0" w:color="auto"/>
      </w:divBdr>
    </w:div>
    <w:div w:id="425853454">
      <w:bodyDiv w:val="1"/>
      <w:marLeft w:val="0"/>
      <w:marRight w:val="0"/>
      <w:marTop w:val="0"/>
      <w:marBottom w:val="0"/>
      <w:divBdr>
        <w:top w:val="none" w:sz="0" w:space="0" w:color="auto"/>
        <w:left w:val="none" w:sz="0" w:space="0" w:color="auto"/>
        <w:bottom w:val="none" w:sz="0" w:space="0" w:color="auto"/>
        <w:right w:val="none" w:sz="0" w:space="0" w:color="auto"/>
      </w:divBdr>
    </w:div>
    <w:div w:id="432743614">
      <w:bodyDiv w:val="1"/>
      <w:marLeft w:val="0"/>
      <w:marRight w:val="0"/>
      <w:marTop w:val="0"/>
      <w:marBottom w:val="0"/>
      <w:divBdr>
        <w:top w:val="none" w:sz="0" w:space="0" w:color="auto"/>
        <w:left w:val="none" w:sz="0" w:space="0" w:color="auto"/>
        <w:bottom w:val="none" w:sz="0" w:space="0" w:color="auto"/>
        <w:right w:val="none" w:sz="0" w:space="0" w:color="auto"/>
      </w:divBdr>
    </w:div>
    <w:div w:id="434405284">
      <w:bodyDiv w:val="1"/>
      <w:marLeft w:val="0"/>
      <w:marRight w:val="0"/>
      <w:marTop w:val="0"/>
      <w:marBottom w:val="0"/>
      <w:divBdr>
        <w:top w:val="none" w:sz="0" w:space="0" w:color="auto"/>
        <w:left w:val="none" w:sz="0" w:space="0" w:color="auto"/>
        <w:bottom w:val="none" w:sz="0" w:space="0" w:color="auto"/>
        <w:right w:val="none" w:sz="0" w:space="0" w:color="auto"/>
      </w:divBdr>
    </w:div>
    <w:div w:id="457143295">
      <w:bodyDiv w:val="1"/>
      <w:marLeft w:val="0"/>
      <w:marRight w:val="0"/>
      <w:marTop w:val="0"/>
      <w:marBottom w:val="0"/>
      <w:divBdr>
        <w:top w:val="none" w:sz="0" w:space="0" w:color="auto"/>
        <w:left w:val="none" w:sz="0" w:space="0" w:color="auto"/>
        <w:bottom w:val="none" w:sz="0" w:space="0" w:color="auto"/>
        <w:right w:val="none" w:sz="0" w:space="0" w:color="auto"/>
      </w:divBdr>
    </w:div>
    <w:div w:id="468330668">
      <w:bodyDiv w:val="1"/>
      <w:marLeft w:val="0"/>
      <w:marRight w:val="0"/>
      <w:marTop w:val="0"/>
      <w:marBottom w:val="0"/>
      <w:divBdr>
        <w:top w:val="none" w:sz="0" w:space="0" w:color="auto"/>
        <w:left w:val="none" w:sz="0" w:space="0" w:color="auto"/>
        <w:bottom w:val="none" w:sz="0" w:space="0" w:color="auto"/>
        <w:right w:val="none" w:sz="0" w:space="0" w:color="auto"/>
      </w:divBdr>
      <w:divsChild>
        <w:div w:id="1224293284">
          <w:marLeft w:val="0"/>
          <w:marRight w:val="0"/>
          <w:marTop w:val="0"/>
          <w:marBottom w:val="0"/>
          <w:divBdr>
            <w:top w:val="none" w:sz="0" w:space="0" w:color="auto"/>
            <w:left w:val="none" w:sz="0" w:space="0" w:color="auto"/>
            <w:bottom w:val="none" w:sz="0" w:space="0" w:color="auto"/>
            <w:right w:val="none" w:sz="0" w:space="0" w:color="auto"/>
          </w:divBdr>
        </w:div>
      </w:divsChild>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476800042">
      <w:bodyDiv w:val="1"/>
      <w:marLeft w:val="0"/>
      <w:marRight w:val="0"/>
      <w:marTop w:val="0"/>
      <w:marBottom w:val="0"/>
      <w:divBdr>
        <w:top w:val="none" w:sz="0" w:space="0" w:color="auto"/>
        <w:left w:val="none" w:sz="0" w:space="0" w:color="auto"/>
        <w:bottom w:val="none" w:sz="0" w:space="0" w:color="auto"/>
        <w:right w:val="none" w:sz="0" w:space="0" w:color="auto"/>
      </w:divBdr>
    </w:div>
    <w:div w:id="479812358">
      <w:bodyDiv w:val="1"/>
      <w:marLeft w:val="0"/>
      <w:marRight w:val="0"/>
      <w:marTop w:val="0"/>
      <w:marBottom w:val="0"/>
      <w:divBdr>
        <w:top w:val="none" w:sz="0" w:space="0" w:color="auto"/>
        <w:left w:val="none" w:sz="0" w:space="0" w:color="auto"/>
        <w:bottom w:val="none" w:sz="0" w:space="0" w:color="auto"/>
        <w:right w:val="none" w:sz="0" w:space="0" w:color="auto"/>
      </w:divBdr>
    </w:div>
    <w:div w:id="484319448">
      <w:bodyDiv w:val="1"/>
      <w:marLeft w:val="0"/>
      <w:marRight w:val="0"/>
      <w:marTop w:val="0"/>
      <w:marBottom w:val="0"/>
      <w:divBdr>
        <w:top w:val="none" w:sz="0" w:space="0" w:color="auto"/>
        <w:left w:val="none" w:sz="0" w:space="0" w:color="auto"/>
        <w:bottom w:val="none" w:sz="0" w:space="0" w:color="auto"/>
        <w:right w:val="none" w:sz="0" w:space="0" w:color="auto"/>
      </w:divBdr>
    </w:div>
    <w:div w:id="506679018">
      <w:bodyDiv w:val="1"/>
      <w:marLeft w:val="0"/>
      <w:marRight w:val="0"/>
      <w:marTop w:val="0"/>
      <w:marBottom w:val="0"/>
      <w:divBdr>
        <w:top w:val="none" w:sz="0" w:space="0" w:color="auto"/>
        <w:left w:val="none" w:sz="0" w:space="0" w:color="auto"/>
        <w:bottom w:val="none" w:sz="0" w:space="0" w:color="auto"/>
        <w:right w:val="none" w:sz="0" w:space="0" w:color="auto"/>
      </w:divBdr>
    </w:div>
    <w:div w:id="509368768">
      <w:bodyDiv w:val="1"/>
      <w:marLeft w:val="0"/>
      <w:marRight w:val="0"/>
      <w:marTop w:val="0"/>
      <w:marBottom w:val="0"/>
      <w:divBdr>
        <w:top w:val="none" w:sz="0" w:space="0" w:color="auto"/>
        <w:left w:val="none" w:sz="0" w:space="0" w:color="auto"/>
        <w:bottom w:val="none" w:sz="0" w:space="0" w:color="auto"/>
        <w:right w:val="none" w:sz="0" w:space="0" w:color="auto"/>
      </w:divBdr>
    </w:div>
    <w:div w:id="546647523">
      <w:bodyDiv w:val="1"/>
      <w:marLeft w:val="0"/>
      <w:marRight w:val="0"/>
      <w:marTop w:val="0"/>
      <w:marBottom w:val="0"/>
      <w:divBdr>
        <w:top w:val="none" w:sz="0" w:space="0" w:color="auto"/>
        <w:left w:val="none" w:sz="0" w:space="0" w:color="auto"/>
        <w:bottom w:val="none" w:sz="0" w:space="0" w:color="auto"/>
        <w:right w:val="none" w:sz="0" w:space="0" w:color="auto"/>
      </w:divBdr>
    </w:div>
    <w:div w:id="547105674">
      <w:bodyDiv w:val="1"/>
      <w:marLeft w:val="0"/>
      <w:marRight w:val="0"/>
      <w:marTop w:val="0"/>
      <w:marBottom w:val="0"/>
      <w:divBdr>
        <w:top w:val="none" w:sz="0" w:space="0" w:color="auto"/>
        <w:left w:val="none" w:sz="0" w:space="0" w:color="auto"/>
        <w:bottom w:val="none" w:sz="0" w:space="0" w:color="auto"/>
        <w:right w:val="none" w:sz="0" w:space="0" w:color="auto"/>
      </w:divBdr>
    </w:div>
    <w:div w:id="548884933">
      <w:bodyDiv w:val="1"/>
      <w:marLeft w:val="0"/>
      <w:marRight w:val="0"/>
      <w:marTop w:val="0"/>
      <w:marBottom w:val="0"/>
      <w:divBdr>
        <w:top w:val="none" w:sz="0" w:space="0" w:color="auto"/>
        <w:left w:val="none" w:sz="0" w:space="0" w:color="auto"/>
        <w:bottom w:val="none" w:sz="0" w:space="0" w:color="auto"/>
        <w:right w:val="none" w:sz="0" w:space="0" w:color="auto"/>
      </w:divBdr>
      <w:divsChild>
        <w:div w:id="1258101683">
          <w:marLeft w:val="0"/>
          <w:marRight w:val="0"/>
          <w:marTop w:val="0"/>
          <w:marBottom w:val="0"/>
          <w:divBdr>
            <w:top w:val="none" w:sz="0" w:space="0" w:color="auto"/>
            <w:left w:val="none" w:sz="0" w:space="0" w:color="auto"/>
            <w:bottom w:val="none" w:sz="0" w:space="0" w:color="auto"/>
            <w:right w:val="none" w:sz="0" w:space="0" w:color="auto"/>
          </w:divBdr>
        </w:div>
      </w:divsChild>
    </w:div>
    <w:div w:id="552935105">
      <w:bodyDiv w:val="1"/>
      <w:marLeft w:val="0"/>
      <w:marRight w:val="0"/>
      <w:marTop w:val="0"/>
      <w:marBottom w:val="0"/>
      <w:divBdr>
        <w:top w:val="none" w:sz="0" w:space="0" w:color="auto"/>
        <w:left w:val="none" w:sz="0" w:space="0" w:color="auto"/>
        <w:bottom w:val="none" w:sz="0" w:space="0" w:color="auto"/>
        <w:right w:val="none" w:sz="0" w:space="0" w:color="auto"/>
      </w:divBdr>
    </w:div>
    <w:div w:id="565919203">
      <w:bodyDiv w:val="1"/>
      <w:marLeft w:val="0"/>
      <w:marRight w:val="0"/>
      <w:marTop w:val="0"/>
      <w:marBottom w:val="0"/>
      <w:divBdr>
        <w:top w:val="none" w:sz="0" w:space="0" w:color="auto"/>
        <w:left w:val="none" w:sz="0" w:space="0" w:color="auto"/>
        <w:bottom w:val="none" w:sz="0" w:space="0" w:color="auto"/>
        <w:right w:val="none" w:sz="0" w:space="0" w:color="auto"/>
      </w:divBdr>
    </w:div>
    <w:div w:id="567036221">
      <w:bodyDiv w:val="1"/>
      <w:marLeft w:val="0"/>
      <w:marRight w:val="0"/>
      <w:marTop w:val="0"/>
      <w:marBottom w:val="0"/>
      <w:divBdr>
        <w:top w:val="none" w:sz="0" w:space="0" w:color="auto"/>
        <w:left w:val="none" w:sz="0" w:space="0" w:color="auto"/>
        <w:bottom w:val="none" w:sz="0" w:space="0" w:color="auto"/>
        <w:right w:val="none" w:sz="0" w:space="0" w:color="auto"/>
      </w:divBdr>
    </w:div>
    <w:div w:id="570391315">
      <w:bodyDiv w:val="1"/>
      <w:marLeft w:val="0"/>
      <w:marRight w:val="0"/>
      <w:marTop w:val="0"/>
      <w:marBottom w:val="0"/>
      <w:divBdr>
        <w:top w:val="none" w:sz="0" w:space="0" w:color="auto"/>
        <w:left w:val="none" w:sz="0" w:space="0" w:color="auto"/>
        <w:bottom w:val="none" w:sz="0" w:space="0" w:color="auto"/>
        <w:right w:val="none" w:sz="0" w:space="0" w:color="auto"/>
      </w:divBdr>
    </w:div>
    <w:div w:id="571542448">
      <w:bodyDiv w:val="1"/>
      <w:marLeft w:val="0"/>
      <w:marRight w:val="0"/>
      <w:marTop w:val="0"/>
      <w:marBottom w:val="0"/>
      <w:divBdr>
        <w:top w:val="none" w:sz="0" w:space="0" w:color="auto"/>
        <w:left w:val="none" w:sz="0" w:space="0" w:color="auto"/>
        <w:bottom w:val="none" w:sz="0" w:space="0" w:color="auto"/>
        <w:right w:val="none" w:sz="0" w:space="0" w:color="auto"/>
      </w:divBdr>
    </w:div>
    <w:div w:id="572735457">
      <w:bodyDiv w:val="1"/>
      <w:marLeft w:val="0"/>
      <w:marRight w:val="0"/>
      <w:marTop w:val="0"/>
      <w:marBottom w:val="0"/>
      <w:divBdr>
        <w:top w:val="none" w:sz="0" w:space="0" w:color="auto"/>
        <w:left w:val="none" w:sz="0" w:space="0" w:color="auto"/>
        <w:bottom w:val="none" w:sz="0" w:space="0" w:color="auto"/>
        <w:right w:val="none" w:sz="0" w:space="0" w:color="auto"/>
      </w:divBdr>
    </w:div>
    <w:div w:id="580725058">
      <w:bodyDiv w:val="1"/>
      <w:marLeft w:val="0"/>
      <w:marRight w:val="0"/>
      <w:marTop w:val="0"/>
      <w:marBottom w:val="0"/>
      <w:divBdr>
        <w:top w:val="none" w:sz="0" w:space="0" w:color="auto"/>
        <w:left w:val="none" w:sz="0" w:space="0" w:color="auto"/>
        <w:bottom w:val="none" w:sz="0" w:space="0" w:color="auto"/>
        <w:right w:val="none" w:sz="0" w:space="0" w:color="auto"/>
      </w:divBdr>
    </w:div>
    <w:div w:id="596449009">
      <w:bodyDiv w:val="1"/>
      <w:marLeft w:val="0"/>
      <w:marRight w:val="0"/>
      <w:marTop w:val="0"/>
      <w:marBottom w:val="0"/>
      <w:divBdr>
        <w:top w:val="none" w:sz="0" w:space="0" w:color="auto"/>
        <w:left w:val="none" w:sz="0" w:space="0" w:color="auto"/>
        <w:bottom w:val="none" w:sz="0" w:space="0" w:color="auto"/>
        <w:right w:val="none" w:sz="0" w:space="0" w:color="auto"/>
      </w:divBdr>
    </w:div>
    <w:div w:id="599145043">
      <w:bodyDiv w:val="1"/>
      <w:marLeft w:val="0"/>
      <w:marRight w:val="0"/>
      <w:marTop w:val="0"/>
      <w:marBottom w:val="0"/>
      <w:divBdr>
        <w:top w:val="none" w:sz="0" w:space="0" w:color="auto"/>
        <w:left w:val="none" w:sz="0" w:space="0" w:color="auto"/>
        <w:bottom w:val="none" w:sz="0" w:space="0" w:color="auto"/>
        <w:right w:val="none" w:sz="0" w:space="0" w:color="auto"/>
      </w:divBdr>
      <w:divsChild>
        <w:div w:id="31465328">
          <w:marLeft w:val="0"/>
          <w:marRight w:val="0"/>
          <w:marTop w:val="0"/>
          <w:marBottom w:val="0"/>
          <w:divBdr>
            <w:top w:val="none" w:sz="0" w:space="0" w:color="auto"/>
            <w:left w:val="none" w:sz="0" w:space="0" w:color="auto"/>
            <w:bottom w:val="none" w:sz="0" w:space="0" w:color="auto"/>
            <w:right w:val="none" w:sz="0" w:space="0" w:color="auto"/>
          </w:divBdr>
        </w:div>
      </w:divsChild>
    </w:div>
    <w:div w:id="602300479">
      <w:bodyDiv w:val="1"/>
      <w:marLeft w:val="0"/>
      <w:marRight w:val="0"/>
      <w:marTop w:val="0"/>
      <w:marBottom w:val="0"/>
      <w:divBdr>
        <w:top w:val="none" w:sz="0" w:space="0" w:color="auto"/>
        <w:left w:val="none" w:sz="0" w:space="0" w:color="auto"/>
        <w:bottom w:val="none" w:sz="0" w:space="0" w:color="auto"/>
        <w:right w:val="none" w:sz="0" w:space="0" w:color="auto"/>
      </w:divBdr>
    </w:div>
    <w:div w:id="609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2142651261">
          <w:marLeft w:val="0"/>
          <w:marRight w:val="0"/>
          <w:marTop w:val="100"/>
          <w:marBottom w:val="100"/>
          <w:divBdr>
            <w:top w:val="none" w:sz="0" w:space="0" w:color="auto"/>
            <w:left w:val="none" w:sz="0" w:space="0" w:color="auto"/>
            <w:bottom w:val="none" w:sz="0" w:space="0" w:color="auto"/>
            <w:right w:val="none" w:sz="0" w:space="0" w:color="auto"/>
          </w:divBdr>
          <w:divsChild>
            <w:div w:id="1878815975">
              <w:marLeft w:val="0"/>
              <w:marRight w:val="0"/>
              <w:marTop w:val="0"/>
              <w:marBottom w:val="0"/>
              <w:divBdr>
                <w:top w:val="none" w:sz="0" w:space="0" w:color="auto"/>
                <w:left w:val="none" w:sz="0" w:space="0" w:color="auto"/>
                <w:bottom w:val="none" w:sz="0" w:space="0" w:color="auto"/>
                <w:right w:val="none" w:sz="0" w:space="0" w:color="auto"/>
              </w:divBdr>
              <w:divsChild>
                <w:div w:id="1061294798">
                  <w:marLeft w:val="0"/>
                  <w:marRight w:val="0"/>
                  <w:marTop w:val="0"/>
                  <w:marBottom w:val="300"/>
                  <w:divBdr>
                    <w:top w:val="none" w:sz="0" w:space="0" w:color="auto"/>
                    <w:left w:val="none" w:sz="0" w:space="0" w:color="auto"/>
                    <w:bottom w:val="none" w:sz="0" w:space="0" w:color="auto"/>
                    <w:right w:val="none" w:sz="0" w:space="0" w:color="auto"/>
                  </w:divBdr>
                  <w:divsChild>
                    <w:div w:id="1199977147">
                      <w:marLeft w:val="0"/>
                      <w:marRight w:val="-4350"/>
                      <w:marTop w:val="0"/>
                      <w:marBottom w:val="0"/>
                      <w:divBdr>
                        <w:top w:val="none" w:sz="0" w:space="0" w:color="auto"/>
                        <w:left w:val="none" w:sz="0" w:space="0" w:color="auto"/>
                        <w:bottom w:val="none" w:sz="0" w:space="0" w:color="auto"/>
                        <w:right w:val="none" w:sz="0" w:space="0" w:color="auto"/>
                      </w:divBdr>
                      <w:divsChild>
                        <w:div w:id="639923577">
                          <w:marLeft w:val="0"/>
                          <w:marRight w:val="4800"/>
                          <w:marTop w:val="0"/>
                          <w:marBottom w:val="0"/>
                          <w:divBdr>
                            <w:top w:val="none" w:sz="0" w:space="0" w:color="auto"/>
                            <w:left w:val="none" w:sz="0" w:space="0" w:color="auto"/>
                            <w:bottom w:val="none" w:sz="0" w:space="0" w:color="auto"/>
                            <w:right w:val="none" w:sz="0" w:space="0" w:color="auto"/>
                          </w:divBdr>
                          <w:divsChild>
                            <w:div w:id="1438021811">
                              <w:marLeft w:val="0"/>
                              <w:marRight w:val="0"/>
                              <w:marTop w:val="225"/>
                              <w:marBottom w:val="375"/>
                              <w:divBdr>
                                <w:top w:val="none" w:sz="0" w:space="0" w:color="auto"/>
                                <w:left w:val="none" w:sz="0" w:space="0" w:color="auto"/>
                                <w:bottom w:val="none" w:sz="0" w:space="0" w:color="auto"/>
                                <w:right w:val="none" w:sz="0" w:space="0" w:color="auto"/>
                              </w:divBdr>
                              <w:divsChild>
                                <w:div w:id="9417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55408">
      <w:bodyDiv w:val="1"/>
      <w:marLeft w:val="0"/>
      <w:marRight w:val="0"/>
      <w:marTop w:val="0"/>
      <w:marBottom w:val="0"/>
      <w:divBdr>
        <w:top w:val="none" w:sz="0" w:space="0" w:color="auto"/>
        <w:left w:val="none" w:sz="0" w:space="0" w:color="auto"/>
        <w:bottom w:val="none" w:sz="0" w:space="0" w:color="auto"/>
        <w:right w:val="none" w:sz="0" w:space="0" w:color="auto"/>
      </w:divBdr>
    </w:div>
    <w:div w:id="635064065">
      <w:bodyDiv w:val="1"/>
      <w:marLeft w:val="0"/>
      <w:marRight w:val="0"/>
      <w:marTop w:val="0"/>
      <w:marBottom w:val="0"/>
      <w:divBdr>
        <w:top w:val="none" w:sz="0" w:space="0" w:color="auto"/>
        <w:left w:val="none" w:sz="0" w:space="0" w:color="auto"/>
        <w:bottom w:val="none" w:sz="0" w:space="0" w:color="auto"/>
        <w:right w:val="none" w:sz="0" w:space="0" w:color="auto"/>
      </w:divBdr>
    </w:div>
    <w:div w:id="641272733">
      <w:bodyDiv w:val="1"/>
      <w:marLeft w:val="0"/>
      <w:marRight w:val="0"/>
      <w:marTop w:val="0"/>
      <w:marBottom w:val="0"/>
      <w:divBdr>
        <w:top w:val="none" w:sz="0" w:space="0" w:color="auto"/>
        <w:left w:val="none" w:sz="0" w:space="0" w:color="auto"/>
        <w:bottom w:val="none" w:sz="0" w:space="0" w:color="auto"/>
        <w:right w:val="none" w:sz="0" w:space="0" w:color="auto"/>
      </w:divBdr>
    </w:div>
    <w:div w:id="643437473">
      <w:bodyDiv w:val="1"/>
      <w:marLeft w:val="0"/>
      <w:marRight w:val="0"/>
      <w:marTop w:val="0"/>
      <w:marBottom w:val="0"/>
      <w:divBdr>
        <w:top w:val="none" w:sz="0" w:space="0" w:color="auto"/>
        <w:left w:val="none" w:sz="0" w:space="0" w:color="auto"/>
        <w:bottom w:val="none" w:sz="0" w:space="0" w:color="auto"/>
        <w:right w:val="none" w:sz="0" w:space="0" w:color="auto"/>
      </w:divBdr>
    </w:div>
    <w:div w:id="653215490">
      <w:bodyDiv w:val="1"/>
      <w:marLeft w:val="0"/>
      <w:marRight w:val="0"/>
      <w:marTop w:val="0"/>
      <w:marBottom w:val="0"/>
      <w:divBdr>
        <w:top w:val="none" w:sz="0" w:space="0" w:color="auto"/>
        <w:left w:val="none" w:sz="0" w:space="0" w:color="auto"/>
        <w:bottom w:val="none" w:sz="0" w:space="0" w:color="auto"/>
        <w:right w:val="none" w:sz="0" w:space="0" w:color="auto"/>
      </w:divBdr>
    </w:div>
    <w:div w:id="655690891">
      <w:bodyDiv w:val="1"/>
      <w:marLeft w:val="0"/>
      <w:marRight w:val="0"/>
      <w:marTop w:val="0"/>
      <w:marBottom w:val="0"/>
      <w:divBdr>
        <w:top w:val="none" w:sz="0" w:space="0" w:color="auto"/>
        <w:left w:val="none" w:sz="0" w:space="0" w:color="auto"/>
        <w:bottom w:val="none" w:sz="0" w:space="0" w:color="auto"/>
        <w:right w:val="none" w:sz="0" w:space="0" w:color="auto"/>
      </w:divBdr>
    </w:div>
    <w:div w:id="660084955">
      <w:bodyDiv w:val="1"/>
      <w:marLeft w:val="0"/>
      <w:marRight w:val="0"/>
      <w:marTop w:val="0"/>
      <w:marBottom w:val="0"/>
      <w:divBdr>
        <w:top w:val="none" w:sz="0" w:space="0" w:color="auto"/>
        <w:left w:val="none" w:sz="0" w:space="0" w:color="auto"/>
        <w:bottom w:val="none" w:sz="0" w:space="0" w:color="auto"/>
        <w:right w:val="none" w:sz="0" w:space="0" w:color="auto"/>
      </w:divBdr>
    </w:div>
    <w:div w:id="663171249">
      <w:bodyDiv w:val="1"/>
      <w:marLeft w:val="0"/>
      <w:marRight w:val="0"/>
      <w:marTop w:val="0"/>
      <w:marBottom w:val="0"/>
      <w:divBdr>
        <w:top w:val="none" w:sz="0" w:space="0" w:color="auto"/>
        <w:left w:val="none" w:sz="0" w:space="0" w:color="auto"/>
        <w:bottom w:val="none" w:sz="0" w:space="0" w:color="auto"/>
        <w:right w:val="none" w:sz="0" w:space="0" w:color="auto"/>
      </w:divBdr>
    </w:div>
    <w:div w:id="663975807">
      <w:bodyDiv w:val="1"/>
      <w:marLeft w:val="0"/>
      <w:marRight w:val="0"/>
      <w:marTop w:val="0"/>
      <w:marBottom w:val="0"/>
      <w:divBdr>
        <w:top w:val="none" w:sz="0" w:space="0" w:color="auto"/>
        <w:left w:val="none" w:sz="0" w:space="0" w:color="auto"/>
        <w:bottom w:val="none" w:sz="0" w:space="0" w:color="auto"/>
        <w:right w:val="none" w:sz="0" w:space="0" w:color="auto"/>
      </w:divBdr>
    </w:div>
    <w:div w:id="678241423">
      <w:bodyDiv w:val="1"/>
      <w:marLeft w:val="0"/>
      <w:marRight w:val="0"/>
      <w:marTop w:val="0"/>
      <w:marBottom w:val="0"/>
      <w:divBdr>
        <w:top w:val="none" w:sz="0" w:space="0" w:color="auto"/>
        <w:left w:val="none" w:sz="0" w:space="0" w:color="auto"/>
        <w:bottom w:val="none" w:sz="0" w:space="0" w:color="auto"/>
        <w:right w:val="none" w:sz="0" w:space="0" w:color="auto"/>
      </w:divBdr>
    </w:div>
    <w:div w:id="682169362">
      <w:bodyDiv w:val="1"/>
      <w:marLeft w:val="0"/>
      <w:marRight w:val="0"/>
      <w:marTop w:val="0"/>
      <w:marBottom w:val="0"/>
      <w:divBdr>
        <w:top w:val="none" w:sz="0" w:space="0" w:color="auto"/>
        <w:left w:val="none" w:sz="0" w:space="0" w:color="auto"/>
        <w:bottom w:val="none" w:sz="0" w:space="0" w:color="auto"/>
        <w:right w:val="none" w:sz="0" w:space="0" w:color="auto"/>
      </w:divBdr>
    </w:div>
    <w:div w:id="684982977">
      <w:bodyDiv w:val="1"/>
      <w:marLeft w:val="0"/>
      <w:marRight w:val="0"/>
      <w:marTop w:val="0"/>
      <w:marBottom w:val="0"/>
      <w:divBdr>
        <w:top w:val="none" w:sz="0" w:space="0" w:color="auto"/>
        <w:left w:val="none" w:sz="0" w:space="0" w:color="auto"/>
        <w:bottom w:val="none" w:sz="0" w:space="0" w:color="auto"/>
        <w:right w:val="none" w:sz="0" w:space="0" w:color="auto"/>
      </w:divBdr>
    </w:div>
    <w:div w:id="695276420">
      <w:bodyDiv w:val="1"/>
      <w:marLeft w:val="0"/>
      <w:marRight w:val="0"/>
      <w:marTop w:val="0"/>
      <w:marBottom w:val="0"/>
      <w:divBdr>
        <w:top w:val="none" w:sz="0" w:space="0" w:color="auto"/>
        <w:left w:val="none" w:sz="0" w:space="0" w:color="auto"/>
        <w:bottom w:val="none" w:sz="0" w:space="0" w:color="auto"/>
        <w:right w:val="none" w:sz="0" w:space="0" w:color="auto"/>
      </w:divBdr>
    </w:div>
    <w:div w:id="695472563">
      <w:bodyDiv w:val="1"/>
      <w:marLeft w:val="0"/>
      <w:marRight w:val="0"/>
      <w:marTop w:val="0"/>
      <w:marBottom w:val="0"/>
      <w:divBdr>
        <w:top w:val="none" w:sz="0" w:space="0" w:color="auto"/>
        <w:left w:val="none" w:sz="0" w:space="0" w:color="auto"/>
        <w:bottom w:val="none" w:sz="0" w:space="0" w:color="auto"/>
        <w:right w:val="none" w:sz="0" w:space="0" w:color="auto"/>
      </w:divBdr>
      <w:divsChild>
        <w:div w:id="1743016635">
          <w:marLeft w:val="330"/>
          <w:marRight w:val="330"/>
          <w:marTop w:val="30"/>
          <w:marBottom w:val="180"/>
          <w:divBdr>
            <w:top w:val="none" w:sz="0" w:space="0" w:color="auto"/>
            <w:left w:val="none" w:sz="0" w:space="0" w:color="auto"/>
            <w:bottom w:val="none" w:sz="0" w:space="0" w:color="auto"/>
            <w:right w:val="none" w:sz="0" w:space="0" w:color="auto"/>
          </w:divBdr>
        </w:div>
      </w:divsChild>
    </w:div>
    <w:div w:id="702053925">
      <w:bodyDiv w:val="1"/>
      <w:marLeft w:val="0"/>
      <w:marRight w:val="0"/>
      <w:marTop w:val="0"/>
      <w:marBottom w:val="0"/>
      <w:divBdr>
        <w:top w:val="none" w:sz="0" w:space="0" w:color="auto"/>
        <w:left w:val="none" w:sz="0" w:space="0" w:color="auto"/>
        <w:bottom w:val="none" w:sz="0" w:space="0" w:color="auto"/>
        <w:right w:val="none" w:sz="0" w:space="0" w:color="auto"/>
      </w:divBdr>
      <w:divsChild>
        <w:div w:id="1062798507">
          <w:marLeft w:val="0"/>
          <w:marRight w:val="0"/>
          <w:marTop w:val="0"/>
          <w:marBottom w:val="0"/>
          <w:divBdr>
            <w:top w:val="none" w:sz="0" w:space="0" w:color="auto"/>
            <w:left w:val="none" w:sz="0" w:space="0" w:color="auto"/>
            <w:bottom w:val="none" w:sz="0" w:space="0" w:color="auto"/>
            <w:right w:val="none" w:sz="0" w:space="0" w:color="auto"/>
          </w:divBdr>
          <w:divsChild>
            <w:div w:id="513350086">
              <w:marLeft w:val="0"/>
              <w:marRight w:val="0"/>
              <w:marTop w:val="0"/>
              <w:marBottom w:val="0"/>
              <w:divBdr>
                <w:top w:val="none" w:sz="0" w:space="0" w:color="auto"/>
                <w:left w:val="none" w:sz="0" w:space="0" w:color="auto"/>
                <w:bottom w:val="none" w:sz="0" w:space="0" w:color="auto"/>
                <w:right w:val="none" w:sz="0" w:space="0" w:color="auto"/>
              </w:divBdr>
              <w:divsChild>
                <w:div w:id="1412434065">
                  <w:marLeft w:val="0"/>
                  <w:marRight w:val="0"/>
                  <w:marTop w:val="0"/>
                  <w:marBottom w:val="0"/>
                  <w:divBdr>
                    <w:top w:val="single" w:sz="6" w:space="0" w:color="D3D3D3"/>
                    <w:left w:val="none" w:sz="0" w:space="0" w:color="auto"/>
                    <w:bottom w:val="none" w:sz="0" w:space="0" w:color="auto"/>
                    <w:right w:val="none" w:sz="0" w:space="0" w:color="auto"/>
                  </w:divBdr>
                  <w:divsChild>
                    <w:div w:id="658995731">
                      <w:marLeft w:val="0"/>
                      <w:marRight w:val="0"/>
                      <w:marTop w:val="0"/>
                      <w:marBottom w:val="0"/>
                      <w:divBdr>
                        <w:top w:val="none" w:sz="0" w:space="0" w:color="auto"/>
                        <w:left w:val="none" w:sz="0" w:space="0" w:color="auto"/>
                        <w:bottom w:val="none" w:sz="0" w:space="0" w:color="auto"/>
                        <w:right w:val="none" w:sz="0" w:space="0" w:color="auto"/>
                      </w:divBdr>
                      <w:divsChild>
                        <w:div w:id="88046805">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18166650">
      <w:bodyDiv w:val="1"/>
      <w:marLeft w:val="0"/>
      <w:marRight w:val="0"/>
      <w:marTop w:val="0"/>
      <w:marBottom w:val="0"/>
      <w:divBdr>
        <w:top w:val="none" w:sz="0" w:space="0" w:color="auto"/>
        <w:left w:val="none" w:sz="0" w:space="0" w:color="auto"/>
        <w:bottom w:val="none" w:sz="0" w:space="0" w:color="auto"/>
        <w:right w:val="none" w:sz="0" w:space="0" w:color="auto"/>
      </w:divBdr>
    </w:div>
    <w:div w:id="724528881">
      <w:bodyDiv w:val="1"/>
      <w:marLeft w:val="0"/>
      <w:marRight w:val="0"/>
      <w:marTop w:val="0"/>
      <w:marBottom w:val="0"/>
      <w:divBdr>
        <w:top w:val="none" w:sz="0" w:space="0" w:color="auto"/>
        <w:left w:val="none" w:sz="0" w:space="0" w:color="auto"/>
        <w:bottom w:val="none" w:sz="0" w:space="0" w:color="auto"/>
        <w:right w:val="none" w:sz="0" w:space="0" w:color="auto"/>
      </w:divBdr>
    </w:div>
    <w:div w:id="732048230">
      <w:bodyDiv w:val="1"/>
      <w:marLeft w:val="0"/>
      <w:marRight w:val="0"/>
      <w:marTop w:val="0"/>
      <w:marBottom w:val="0"/>
      <w:divBdr>
        <w:top w:val="none" w:sz="0" w:space="0" w:color="auto"/>
        <w:left w:val="none" w:sz="0" w:space="0" w:color="auto"/>
        <w:bottom w:val="none" w:sz="0" w:space="0" w:color="auto"/>
        <w:right w:val="none" w:sz="0" w:space="0" w:color="auto"/>
      </w:divBdr>
    </w:div>
    <w:div w:id="733696962">
      <w:bodyDiv w:val="1"/>
      <w:marLeft w:val="0"/>
      <w:marRight w:val="0"/>
      <w:marTop w:val="0"/>
      <w:marBottom w:val="0"/>
      <w:divBdr>
        <w:top w:val="none" w:sz="0" w:space="0" w:color="auto"/>
        <w:left w:val="none" w:sz="0" w:space="0" w:color="auto"/>
        <w:bottom w:val="none" w:sz="0" w:space="0" w:color="auto"/>
        <w:right w:val="none" w:sz="0" w:space="0" w:color="auto"/>
      </w:divBdr>
    </w:div>
    <w:div w:id="737283214">
      <w:bodyDiv w:val="1"/>
      <w:marLeft w:val="0"/>
      <w:marRight w:val="0"/>
      <w:marTop w:val="0"/>
      <w:marBottom w:val="0"/>
      <w:divBdr>
        <w:top w:val="none" w:sz="0" w:space="0" w:color="auto"/>
        <w:left w:val="none" w:sz="0" w:space="0" w:color="auto"/>
        <w:bottom w:val="none" w:sz="0" w:space="0" w:color="auto"/>
        <w:right w:val="none" w:sz="0" w:space="0" w:color="auto"/>
      </w:divBdr>
    </w:div>
    <w:div w:id="745686594">
      <w:bodyDiv w:val="1"/>
      <w:marLeft w:val="0"/>
      <w:marRight w:val="0"/>
      <w:marTop w:val="0"/>
      <w:marBottom w:val="0"/>
      <w:divBdr>
        <w:top w:val="none" w:sz="0" w:space="0" w:color="auto"/>
        <w:left w:val="none" w:sz="0" w:space="0" w:color="auto"/>
        <w:bottom w:val="none" w:sz="0" w:space="0" w:color="auto"/>
        <w:right w:val="none" w:sz="0" w:space="0" w:color="auto"/>
      </w:divBdr>
    </w:div>
    <w:div w:id="757290410">
      <w:bodyDiv w:val="1"/>
      <w:marLeft w:val="0"/>
      <w:marRight w:val="0"/>
      <w:marTop w:val="0"/>
      <w:marBottom w:val="0"/>
      <w:divBdr>
        <w:top w:val="none" w:sz="0" w:space="0" w:color="auto"/>
        <w:left w:val="none" w:sz="0" w:space="0" w:color="auto"/>
        <w:bottom w:val="none" w:sz="0" w:space="0" w:color="auto"/>
        <w:right w:val="none" w:sz="0" w:space="0" w:color="auto"/>
      </w:divBdr>
    </w:div>
    <w:div w:id="757754161">
      <w:bodyDiv w:val="1"/>
      <w:marLeft w:val="0"/>
      <w:marRight w:val="0"/>
      <w:marTop w:val="0"/>
      <w:marBottom w:val="0"/>
      <w:divBdr>
        <w:top w:val="none" w:sz="0" w:space="0" w:color="auto"/>
        <w:left w:val="none" w:sz="0" w:space="0" w:color="auto"/>
        <w:bottom w:val="none" w:sz="0" w:space="0" w:color="auto"/>
        <w:right w:val="none" w:sz="0" w:space="0" w:color="auto"/>
      </w:divBdr>
      <w:divsChild>
        <w:div w:id="1999069180">
          <w:marLeft w:val="330"/>
          <w:marRight w:val="330"/>
          <w:marTop w:val="30"/>
          <w:marBottom w:val="180"/>
          <w:divBdr>
            <w:top w:val="none" w:sz="0" w:space="0" w:color="auto"/>
            <w:left w:val="none" w:sz="0" w:space="0" w:color="auto"/>
            <w:bottom w:val="none" w:sz="0" w:space="0" w:color="auto"/>
            <w:right w:val="none" w:sz="0" w:space="0" w:color="auto"/>
          </w:divBdr>
        </w:div>
      </w:divsChild>
    </w:div>
    <w:div w:id="767307431">
      <w:bodyDiv w:val="1"/>
      <w:marLeft w:val="0"/>
      <w:marRight w:val="0"/>
      <w:marTop w:val="0"/>
      <w:marBottom w:val="0"/>
      <w:divBdr>
        <w:top w:val="none" w:sz="0" w:space="0" w:color="auto"/>
        <w:left w:val="none" w:sz="0" w:space="0" w:color="auto"/>
        <w:bottom w:val="none" w:sz="0" w:space="0" w:color="auto"/>
        <w:right w:val="none" w:sz="0" w:space="0" w:color="auto"/>
      </w:divBdr>
    </w:div>
    <w:div w:id="777992495">
      <w:bodyDiv w:val="1"/>
      <w:marLeft w:val="0"/>
      <w:marRight w:val="0"/>
      <w:marTop w:val="0"/>
      <w:marBottom w:val="0"/>
      <w:divBdr>
        <w:top w:val="none" w:sz="0" w:space="0" w:color="auto"/>
        <w:left w:val="none" w:sz="0" w:space="0" w:color="auto"/>
        <w:bottom w:val="none" w:sz="0" w:space="0" w:color="auto"/>
        <w:right w:val="none" w:sz="0" w:space="0" w:color="auto"/>
      </w:divBdr>
    </w:div>
    <w:div w:id="779950874">
      <w:bodyDiv w:val="1"/>
      <w:marLeft w:val="0"/>
      <w:marRight w:val="0"/>
      <w:marTop w:val="0"/>
      <w:marBottom w:val="0"/>
      <w:divBdr>
        <w:top w:val="none" w:sz="0" w:space="0" w:color="auto"/>
        <w:left w:val="none" w:sz="0" w:space="0" w:color="auto"/>
        <w:bottom w:val="none" w:sz="0" w:space="0" w:color="auto"/>
        <w:right w:val="none" w:sz="0" w:space="0" w:color="auto"/>
      </w:divBdr>
    </w:div>
    <w:div w:id="785277576">
      <w:bodyDiv w:val="1"/>
      <w:marLeft w:val="0"/>
      <w:marRight w:val="0"/>
      <w:marTop w:val="0"/>
      <w:marBottom w:val="0"/>
      <w:divBdr>
        <w:top w:val="none" w:sz="0" w:space="0" w:color="auto"/>
        <w:left w:val="none" w:sz="0" w:space="0" w:color="auto"/>
        <w:bottom w:val="none" w:sz="0" w:space="0" w:color="auto"/>
        <w:right w:val="none" w:sz="0" w:space="0" w:color="auto"/>
      </w:divBdr>
    </w:div>
    <w:div w:id="813915249">
      <w:bodyDiv w:val="1"/>
      <w:marLeft w:val="0"/>
      <w:marRight w:val="0"/>
      <w:marTop w:val="0"/>
      <w:marBottom w:val="0"/>
      <w:divBdr>
        <w:top w:val="none" w:sz="0" w:space="0" w:color="auto"/>
        <w:left w:val="none" w:sz="0" w:space="0" w:color="auto"/>
        <w:bottom w:val="none" w:sz="0" w:space="0" w:color="auto"/>
        <w:right w:val="none" w:sz="0" w:space="0" w:color="auto"/>
      </w:divBdr>
    </w:div>
    <w:div w:id="824590176">
      <w:bodyDiv w:val="1"/>
      <w:marLeft w:val="0"/>
      <w:marRight w:val="0"/>
      <w:marTop w:val="0"/>
      <w:marBottom w:val="0"/>
      <w:divBdr>
        <w:top w:val="none" w:sz="0" w:space="0" w:color="auto"/>
        <w:left w:val="none" w:sz="0" w:space="0" w:color="auto"/>
        <w:bottom w:val="none" w:sz="0" w:space="0" w:color="auto"/>
        <w:right w:val="none" w:sz="0" w:space="0" w:color="auto"/>
      </w:divBdr>
    </w:div>
    <w:div w:id="831069577">
      <w:bodyDiv w:val="1"/>
      <w:marLeft w:val="0"/>
      <w:marRight w:val="0"/>
      <w:marTop w:val="0"/>
      <w:marBottom w:val="0"/>
      <w:divBdr>
        <w:top w:val="none" w:sz="0" w:space="0" w:color="auto"/>
        <w:left w:val="none" w:sz="0" w:space="0" w:color="auto"/>
        <w:bottom w:val="none" w:sz="0" w:space="0" w:color="auto"/>
        <w:right w:val="none" w:sz="0" w:space="0" w:color="auto"/>
      </w:divBdr>
    </w:div>
    <w:div w:id="833185038">
      <w:bodyDiv w:val="1"/>
      <w:marLeft w:val="0"/>
      <w:marRight w:val="0"/>
      <w:marTop w:val="0"/>
      <w:marBottom w:val="0"/>
      <w:divBdr>
        <w:top w:val="none" w:sz="0" w:space="0" w:color="auto"/>
        <w:left w:val="none" w:sz="0" w:space="0" w:color="auto"/>
        <w:bottom w:val="none" w:sz="0" w:space="0" w:color="auto"/>
        <w:right w:val="none" w:sz="0" w:space="0" w:color="auto"/>
      </w:divBdr>
    </w:div>
    <w:div w:id="836968624">
      <w:bodyDiv w:val="1"/>
      <w:marLeft w:val="0"/>
      <w:marRight w:val="0"/>
      <w:marTop w:val="0"/>
      <w:marBottom w:val="0"/>
      <w:divBdr>
        <w:top w:val="none" w:sz="0" w:space="0" w:color="auto"/>
        <w:left w:val="none" w:sz="0" w:space="0" w:color="auto"/>
        <w:bottom w:val="none" w:sz="0" w:space="0" w:color="auto"/>
        <w:right w:val="none" w:sz="0" w:space="0" w:color="auto"/>
      </w:divBdr>
    </w:div>
    <w:div w:id="859009121">
      <w:bodyDiv w:val="1"/>
      <w:marLeft w:val="0"/>
      <w:marRight w:val="0"/>
      <w:marTop w:val="0"/>
      <w:marBottom w:val="0"/>
      <w:divBdr>
        <w:top w:val="none" w:sz="0" w:space="0" w:color="auto"/>
        <w:left w:val="none" w:sz="0" w:space="0" w:color="auto"/>
        <w:bottom w:val="none" w:sz="0" w:space="0" w:color="auto"/>
        <w:right w:val="none" w:sz="0" w:space="0" w:color="auto"/>
      </w:divBdr>
    </w:div>
    <w:div w:id="866992064">
      <w:bodyDiv w:val="1"/>
      <w:marLeft w:val="0"/>
      <w:marRight w:val="0"/>
      <w:marTop w:val="0"/>
      <w:marBottom w:val="0"/>
      <w:divBdr>
        <w:top w:val="none" w:sz="0" w:space="0" w:color="auto"/>
        <w:left w:val="none" w:sz="0" w:space="0" w:color="auto"/>
        <w:bottom w:val="none" w:sz="0" w:space="0" w:color="auto"/>
        <w:right w:val="none" w:sz="0" w:space="0" w:color="auto"/>
      </w:divBdr>
    </w:div>
    <w:div w:id="870454907">
      <w:bodyDiv w:val="1"/>
      <w:marLeft w:val="0"/>
      <w:marRight w:val="0"/>
      <w:marTop w:val="0"/>
      <w:marBottom w:val="0"/>
      <w:divBdr>
        <w:top w:val="none" w:sz="0" w:space="0" w:color="auto"/>
        <w:left w:val="none" w:sz="0" w:space="0" w:color="auto"/>
        <w:bottom w:val="none" w:sz="0" w:space="0" w:color="auto"/>
        <w:right w:val="none" w:sz="0" w:space="0" w:color="auto"/>
      </w:divBdr>
    </w:div>
    <w:div w:id="885526871">
      <w:bodyDiv w:val="1"/>
      <w:marLeft w:val="0"/>
      <w:marRight w:val="0"/>
      <w:marTop w:val="0"/>
      <w:marBottom w:val="0"/>
      <w:divBdr>
        <w:top w:val="none" w:sz="0" w:space="0" w:color="auto"/>
        <w:left w:val="none" w:sz="0" w:space="0" w:color="auto"/>
        <w:bottom w:val="none" w:sz="0" w:space="0" w:color="auto"/>
        <w:right w:val="none" w:sz="0" w:space="0" w:color="auto"/>
      </w:divBdr>
    </w:div>
    <w:div w:id="892665908">
      <w:bodyDiv w:val="1"/>
      <w:marLeft w:val="0"/>
      <w:marRight w:val="0"/>
      <w:marTop w:val="0"/>
      <w:marBottom w:val="0"/>
      <w:divBdr>
        <w:top w:val="none" w:sz="0" w:space="0" w:color="auto"/>
        <w:left w:val="none" w:sz="0" w:space="0" w:color="auto"/>
        <w:bottom w:val="none" w:sz="0" w:space="0" w:color="auto"/>
        <w:right w:val="none" w:sz="0" w:space="0" w:color="auto"/>
      </w:divBdr>
    </w:div>
    <w:div w:id="899023743">
      <w:bodyDiv w:val="1"/>
      <w:marLeft w:val="0"/>
      <w:marRight w:val="0"/>
      <w:marTop w:val="0"/>
      <w:marBottom w:val="0"/>
      <w:divBdr>
        <w:top w:val="none" w:sz="0" w:space="0" w:color="auto"/>
        <w:left w:val="none" w:sz="0" w:space="0" w:color="auto"/>
        <w:bottom w:val="none" w:sz="0" w:space="0" w:color="auto"/>
        <w:right w:val="none" w:sz="0" w:space="0" w:color="auto"/>
      </w:divBdr>
    </w:div>
    <w:div w:id="902057451">
      <w:bodyDiv w:val="1"/>
      <w:marLeft w:val="0"/>
      <w:marRight w:val="0"/>
      <w:marTop w:val="0"/>
      <w:marBottom w:val="0"/>
      <w:divBdr>
        <w:top w:val="none" w:sz="0" w:space="0" w:color="auto"/>
        <w:left w:val="none" w:sz="0" w:space="0" w:color="auto"/>
        <w:bottom w:val="none" w:sz="0" w:space="0" w:color="auto"/>
        <w:right w:val="none" w:sz="0" w:space="0" w:color="auto"/>
      </w:divBdr>
    </w:div>
    <w:div w:id="904146903">
      <w:bodyDiv w:val="1"/>
      <w:marLeft w:val="0"/>
      <w:marRight w:val="0"/>
      <w:marTop w:val="0"/>
      <w:marBottom w:val="0"/>
      <w:divBdr>
        <w:top w:val="none" w:sz="0" w:space="0" w:color="auto"/>
        <w:left w:val="none" w:sz="0" w:space="0" w:color="auto"/>
        <w:bottom w:val="none" w:sz="0" w:space="0" w:color="auto"/>
        <w:right w:val="none" w:sz="0" w:space="0" w:color="auto"/>
      </w:divBdr>
    </w:div>
    <w:div w:id="914778166">
      <w:bodyDiv w:val="1"/>
      <w:marLeft w:val="0"/>
      <w:marRight w:val="0"/>
      <w:marTop w:val="0"/>
      <w:marBottom w:val="0"/>
      <w:divBdr>
        <w:top w:val="none" w:sz="0" w:space="0" w:color="auto"/>
        <w:left w:val="none" w:sz="0" w:space="0" w:color="auto"/>
        <w:bottom w:val="none" w:sz="0" w:space="0" w:color="auto"/>
        <w:right w:val="none" w:sz="0" w:space="0" w:color="auto"/>
      </w:divBdr>
    </w:div>
    <w:div w:id="918708870">
      <w:bodyDiv w:val="1"/>
      <w:marLeft w:val="0"/>
      <w:marRight w:val="0"/>
      <w:marTop w:val="0"/>
      <w:marBottom w:val="0"/>
      <w:divBdr>
        <w:top w:val="none" w:sz="0" w:space="0" w:color="auto"/>
        <w:left w:val="none" w:sz="0" w:space="0" w:color="auto"/>
        <w:bottom w:val="none" w:sz="0" w:space="0" w:color="auto"/>
        <w:right w:val="none" w:sz="0" w:space="0" w:color="auto"/>
      </w:divBdr>
      <w:divsChild>
        <w:div w:id="770395240">
          <w:marLeft w:val="0"/>
          <w:marRight w:val="0"/>
          <w:marTop w:val="0"/>
          <w:marBottom w:val="0"/>
          <w:divBdr>
            <w:top w:val="none" w:sz="0" w:space="0" w:color="auto"/>
            <w:left w:val="none" w:sz="0" w:space="0" w:color="auto"/>
            <w:bottom w:val="none" w:sz="0" w:space="0" w:color="auto"/>
            <w:right w:val="none" w:sz="0" w:space="0" w:color="auto"/>
          </w:divBdr>
          <w:divsChild>
            <w:div w:id="1491601797">
              <w:marLeft w:val="0"/>
              <w:marRight w:val="0"/>
              <w:marTop w:val="0"/>
              <w:marBottom w:val="0"/>
              <w:divBdr>
                <w:top w:val="none" w:sz="0" w:space="0" w:color="auto"/>
                <w:left w:val="none" w:sz="0" w:space="0" w:color="auto"/>
                <w:bottom w:val="none" w:sz="0" w:space="0" w:color="auto"/>
                <w:right w:val="none" w:sz="0" w:space="0" w:color="auto"/>
              </w:divBdr>
              <w:divsChild>
                <w:div w:id="20062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8939">
      <w:bodyDiv w:val="1"/>
      <w:marLeft w:val="0"/>
      <w:marRight w:val="0"/>
      <w:marTop w:val="0"/>
      <w:marBottom w:val="0"/>
      <w:divBdr>
        <w:top w:val="none" w:sz="0" w:space="0" w:color="auto"/>
        <w:left w:val="none" w:sz="0" w:space="0" w:color="auto"/>
        <w:bottom w:val="none" w:sz="0" w:space="0" w:color="auto"/>
        <w:right w:val="none" w:sz="0" w:space="0" w:color="auto"/>
      </w:divBdr>
    </w:div>
    <w:div w:id="920025409">
      <w:bodyDiv w:val="1"/>
      <w:marLeft w:val="0"/>
      <w:marRight w:val="0"/>
      <w:marTop w:val="0"/>
      <w:marBottom w:val="0"/>
      <w:divBdr>
        <w:top w:val="none" w:sz="0" w:space="0" w:color="auto"/>
        <w:left w:val="none" w:sz="0" w:space="0" w:color="auto"/>
        <w:bottom w:val="none" w:sz="0" w:space="0" w:color="auto"/>
        <w:right w:val="none" w:sz="0" w:space="0" w:color="auto"/>
      </w:divBdr>
    </w:div>
    <w:div w:id="938100296">
      <w:bodyDiv w:val="1"/>
      <w:marLeft w:val="0"/>
      <w:marRight w:val="0"/>
      <w:marTop w:val="0"/>
      <w:marBottom w:val="0"/>
      <w:divBdr>
        <w:top w:val="none" w:sz="0" w:space="0" w:color="auto"/>
        <w:left w:val="none" w:sz="0" w:space="0" w:color="auto"/>
        <w:bottom w:val="none" w:sz="0" w:space="0" w:color="auto"/>
        <w:right w:val="none" w:sz="0" w:space="0" w:color="auto"/>
      </w:divBdr>
    </w:div>
    <w:div w:id="942150345">
      <w:bodyDiv w:val="1"/>
      <w:marLeft w:val="0"/>
      <w:marRight w:val="0"/>
      <w:marTop w:val="0"/>
      <w:marBottom w:val="0"/>
      <w:divBdr>
        <w:top w:val="none" w:sz="0" w:space="0" w:color="auto"/>
        <w:left w:val="none" w:sz="0" w:space="0" w:color="auto"/>
        <w:bottom w:val="none" w:sz="0" w:space="0" w:color="auto"/>
        <w:right w:val="none" w:sz="0" w:space="0" w:color="auto"/>
      </w:divBdr>
    </w:div>
    <w:div w:id="942227088">
      <w:bodyDiv w:val="1"/>
      <w:marLeft w:val="0"/>
      <w:marRight w:val="0"/>
      <w:marTop w:val="0"/>
      <w:marBottom w:val="0"/>
      <w:divBdr>
        <w:top w:val="none" w:sz="0" w:space="0" w:color="auto"/>
        <w:left w:val="none" w:sz="0" w:space="0" w:color="auto"/>
        <w:bottom w:val="none" w:sz="0" w:space="0" w:color="auto"/>
        <w:right w:val="none" w:sz="0" w:space="0" w:color="auto"/>
      </w:divBdr>
    </w:div>
    <w:div w:id="942685978">
      <w:bodyDiv w:val="1"/>
      <w:marLeft w:val="0"/>
      <w:marRight w:val="0"/>
      <w:marTop w:val="0"/>
      <w:marBottom w:val="0"/>
      <w:divBdr>
        <w:top w:val="none" w:sz="0" w:space="0" w:color="auto"/>
        <w:left w:val="none" w:sz="0" w:space="0" w:color="auto"/>
        <w:bottom w:val="none" w:sz="0" w:space="0" w:color="auto"/>
        <w:right w:val="none" w:sz="0" w:space="0" w:color="auto"/>
      </w:divBdr>
    </w:div>
    <w:div w:id="957905816">
      <w:bodyDiv w:val="1"/>
      <w:marLeft w:val="0"/>
      <w:marRight w:val="0"/>
      <w:marTop w:val="0"/>
      <w:marBottom w:val="0"/>
      <w:divBdr>
        <w:top w:val="none" w:sz="0" w:space="0" w:color="auto"/>
        <w:left w:val="none" w:sz="0" w:space="0" w:color="auto"/>
        <w:bottom w:val="none" w:sz="0" w:space="0" w:color="auto"/>
        <w:right w:val="none" w:sz="0" w:space="0" w:color="auto"/>
      </w:divBdr>
    </w:div>
    <w:div w:id="959801984">
      <w:bodyDiv w:val="1"/>
      <w:marLeft w:val="0"/>
      <w:marRight w:val="0"/>
      <w:marTop w:val="0"/>
      <w:marBottom w:val="0"/>
      <w:divBdr>
        <w:top w:val="none" w:sz="0" w:space="0" w:color="auto"/>
        <w:left w:val="none" w:sz="0" w:space="0" w:color="auto"/>
        <w:bottom w:val="none" w:sz="0" w:space="0" w:color="auto"/>
        <w:right w:val="none" w:sz="0" w:space="0" w:color="auto"/>
      </w:divBdr>
    </w:div>
    <w:div w:id="960259490">
      <w:bodyDiv w:val="1"/>
      <w:marLeft w:val="0"/>
      <w:marRight w:val="0"/>
      <w:marTop w:val="0"/>
      <w:marBottom w:val="0"/>
      <w:divBdr>
        <w:top w:val="none" w:sz="0" w:space="0" w:color="auto"/>
        <w:left w:val="none" w:sz="0" w:space="0" w:color="auto"/>
        <w:bottom w:val="none" w:sz="0" w:space="0" w:color="auto"/>
        <w:right w:val="none" w:sz="0" w:space="0" w:color="auto"/>
      </w:divBdr>
    </w:div>
    <w:div w:id="965937835">
      <w:bodyDiv w:val="1"/>
      <w:marLeft w:val="0"/>
      <w:marRight w:val="0"/>
      <w:marTop w:val="0"/>
      <w:marBottom w:val="0"/>
      <w:divBdr>
        <w:top w:val="none" w:sz="0" w:space="0" w:color="auto"/>
        <w:left w:val="none" w:sz="0" w:space="0" w:color="auto"/>
        <w:bottom w:val="none" w:sz="0" w:space="0" w:color="auto"/>
        <w:right w:val="none" w:sz="0" w:space="0" w:color="auto"/>
      </w:divBdr>
    </w:div>
    <w:div w:id="970405786">
      <w:bodyDiv w:val="1"/>
      <w:marLeft w:val="0"/>
      <w:marRight w:val="0"/>
      <w:marTop w:val="0"/>
      <w:marBottom w:val="0"/>
      <w:divBdr>
        <w:top w:val="none" w:sz="0" w:space="0" w:color="auto"/>
        <w:left w:val="none" w:sz="0" w:space="0" w:color="auto"/>
        <w:bottom w:val="none" w:sz="0" w:space="0" w:color="auto"/>
        <w:right w:val="none" w:sz="0" w:space="0" w:color="auto"/>
      </w:divBdr>
    </w:div>
    <w:div w:id="975571302">
      <w:bodyDiv w:val="1"/>
      <w:marLeft w:val="0"/>
      <w:marRight w:val="0"/>
      <w:marTop w:val="0"/>
      <w:marBottom w:val="0"/>
      <w:divBdr>
        <w:top w:val="none" w:sz="0" w:space="0" w:color="auto"/>
        <w:left w:val="none" w:sz="0" w:space="0" w:color="auto"/>
        <w:bottom w:val="none" w:sz="0" w:space="0" w:color="auto"/>
        <w:right w:val="none" w:sz="0" w:space="0" w:color="auto"/>
      </w:divBdr>
    </w:div>
    <w:div w:id="979770895">
      <w:bodyDiv w:val="1"/>
      <w:marLeft w:val="0"/>
      <w:marRight w:val="0"/>
      <w:marTop w:val="0"/>
      <w:marBottom w:val="0"/>
      <w:divBdr>
        <w:top w:val="none" w:sz="0" w:space="0" w:color="auto"/>
        <w:left w:val="none" w:sz="0" w:space="0" w:color="auto"/>
        <w:bottom w:val="none" w:sz="0" w:space="0" w:color="auto"/>
        <w:right w:val="none" w:sz="0" w:space="0" w:color="auto"/>
      </w:divBdr>
    </w:div>
    <w:div w:id="990059523">
      <w:bodyDiv w:val="1"/>
      <w:marLeft w:val="0"/>
      <w:marRight w:val="0"/>
      <w:marTop w:val="0"/>
      <w:marBottom w:val="0"/>
      <w:divBdr>
        <w:top w:val="none" w:sz="0" w:space="0" w:color="auto"/>
        <w:left w:val="none" w:sz="0" w:space="0" w:color="auto"/>
        <w:bottom w:val="none" w:sz="0" w:space="0" w:color="auto"/>
        <w:right w:val="none" w:sz="0" w:space="0" w:color="auto"/>
      </w:divBdr>
    </w:div>
    <w:div w:id="994913575">
      <w:bodyDiv w:val="1"/>
      <w:marLeft w:val="0"/>
      <w:marRight w:val="0"/>
      <w:marTop w:val="0"/>
      <w:marBottom w:val="0"/>
      <w:divBdr>
        <w:top w:val="none" w:sz="0" w:space="0" w:color="auto"/>
        <w:left w:val="none" w:sz="0" w:space="0" w:color="auto"/>
        <w:bottom w:val="none" w:sz="0" w:space="0" w:color="auto"/>
        <w:right w:val="none" w:sz="0" w:space="0" w:color="auto"/>
      </w:divBdr>
    </w:div>
    <w:div w:id="995646447">
      <w:bodyDiv w:val="1"/>
      <w:marLeft w:val="0"/>
      <w:marRight w:val="0"/>
      <w:marTop w:val="0"/>
      <w:marBottom w:val="0"/>
      <w:divBdr>
        <w:top w:val="none" w:sz="0" w:space="0" w:color="auto"/>
        <w:left w:val="none" w:sz="0" w:space="0" w:color="auto"/>
        <w:bottom w:val="none" w:sz="0" w:space="0" w:color="auto"/>
        <w:right w:val="none" w:sz="0" w:space="0" w:color="auto"/>
      </w:divBdr>
    </w:div>
    <w:div w:id="1003164794">
      <w:bodyDiv w:val="1"/>
      <w:marLeft w:val="0"/>
      <w:marRight w:val="0"/>
      <w:marTop w:val="0"/>
      <w:marBottom w:val="0"/>
      <w:divBdr>
        <w:top w:val="none" w:sz="0" w:space="0" w:color="auto"/>
        <w:left w:val="none" w:sz="0" w:space="0" w:color="auto"/>
        <w:bottom w:val="none" w:sz="0" w:space="0" w:color="auto"/>
        <w:right w:val="none" w:sz="0" w:space="0" w:color="auto"/>
      </w:divBdr>
    </w:div>
    <w:div w:id="1016688318">
      <w:bodyDiv w:val="1"/>
      <w:marLeft w:val="0"/>
      <w:marRight w:val="0"/>
      <w:marTop w:val="0"/>
      <w:marBottom w:val="0"/>
      <w:divBdr>
        <w:top w:val="none" w:sz="0" w:space="0" w:color="auto"/>
        <w:left w:val="none" w:sz="0" w:space="0" w:color="auto"/>
        <w:bottom w:val="none" w:sz="0" w:space="0" w:color="auto"/>
        <w:right w:val="none" w:sz="0" w:space="0" w:color="auto"/>
      </w:divBdr>
    </w:div>
    <w:div w:id="1041982668">
      <w:bodyDiv w:val="1"/>
      <w:marLeft w:val="0"/>
      <w:marRight w:val="0"/>
      <w:marTop w:val="0"/>
      <w:marBottom w:val="0"/>
      <w:divBdr>
        <w:top w:val="none" w:sz="0" w:space="0" w:color="auto"/>
        <w:left w:val="none" w:sz="0" w:space="0" w:color="auto"/>
        <w:bottom w:val="none" w:sz="0" w:space="0" w:color="auto"/>
        <w:right w:val="none" w:sz="0" w:space="0" w:color="auto"/>
      </w:divBdr>
    </w:div>
    <w:div w:id="1043600027">
      <w:bodyDiv w:val="1"/>
      <w:marLeft w:val="0"/>
      <w:marRight w:val="0"/>
      <w:marTop w:val="0"/>
      <w:marBottom w:val="0"/>
      <w:divBdr>
        <w:top w:val="none" w:sz="0" w:space="0" w:color="auto"/>
        <w:left w:val="none" w:sz="0" w:space="0" w:color="auto"/>
        <w:bottom w:val="none" w:sz="0" w:space="0" w:color="auto"/>
        <w:right w:val="none" w:sz="0" w:space="0" w:color="auto"/>
      </w:divBdr>
    </w:div>
    <w:div w:id="1050573222">
      <w:bodyDiv w:val="1"/>
      <w:marLeft w:val="0"/>
      <w:marRight w:val="0"/>
      <w:marTop w:val="0"/>
      <w:marBottom w:val="0"/>
      <w:divBdr>
        <w:top w:val="none" w:sz="0" w:space="0" w:color="auto"/>
        <w:left w:val="none" w:sz="0" w:space="0" w:color="auto"/>
        <w:bottom w:val="none" w:sz="0" w:space="0" w:color="auto"/>
        <w:right w:val="none" w:sz="0" w:space="0" w:color="auto"/>
      </w:divBdr>
    </w:div>
    <w:div w:id="1059404011">
      <w:bodyDiv w:val="1"/>
      <w:marLeft w:val="0"/>
      <w:marRight w:val="0"/>
      <w:marTop w:val="0"/>
      <w:marBottom w:val="0"/>
      <w:divBdr>
        <w:top w:val="none" w:sz="0" w:space="0" w:color="auto"/>
        <w:left w:val="none" w:sz="0" w:space="0" w:color="auto"/>
        <w:bottom w:val="none" w:sz="0" w:space="0" w:color="auto"/>
        <w:right w:val="none" w:sz="0" w:space="0" w:color="auto"/>
      </w:divBdr>
    </w:div>
    <w:div w:id="1068646544">
      <w:bodyDiv w:val="1"/>
      <w:marLeft w:val="0"/>
      <w:marRight w:val="0"/>
      <w:marTop w:val="0"/>
      <w:marBottom w:val="0"/>
      <w:divBdr>
        <w:top w:val="none" w:sz="0" w:space="0" w:color="auto"/>
        <w:left w:val="none" w:sz="0" w:space="0" w:color="auto"/>
        <w:bottom w:val="none" w:sz="0" w:space="0" w:color="auto"/>
        <w:right w:val="none" w:sz="0" w:space="0" w:color="auto"/>
      </w:divBdr>
    </w:div>
    <w:div w:id="1079256193">
      <w:bodyDiv w:val="1"/>
      <w:marLeft w:val="0"/>
      <w:marRight w:val="0"/>
      <w:marTop w:val="0"/>
      <w:marBottom w:val="0"/>
      <w:divBdr>
        <w:top w:val="none" w:sz="0" w:space="0" w:color="auto"/>
        <w:left w:val="none" w:sz="0" w:space="0" w:color="auto"/>
        <w:bottom w:val="none" w:sz="0" w:space="0" w:color="auto"/>
        <w:right w:val="none" w:sz="0" w:space="0" w:color="auto"/>
      </w:divBdr>
    </w:div>
    <w:div w:id="1079863963">
      <w:bodyDiv w:val="1"/>
      <w:marLeft w:val="0"/>
      <w:marRight w:val="0"/>
      <w:marTop w:val="0"/>
      <w:marBottom w:val="0"/>
      <w:divBdr>
        <w:top w:val="none" w:sz="0" w:space="0" w:color="auto"/>
        <w:left w:val="none" w:sz="0" w:space="0" w:color="auto"/>
        <w:bottom w:val="none" w:sz="0" w:space="0" w:color="auto"/>
        <w:right w:val="none" w:sz="0" w:space="0" w:color="auto"/>
      </w:divBdr>
    </w:div>
    <w:div w:id="1079866451">
      <w:bodyDiv w:val="1"/>
      <w:marLeft w:val="0"/>
      <w:marRight w:val="0"/>
      <w:marTop w:val="0"/>
      <w:marBottom w:val="0"/>
      <w:divBdr>
        <w:top w:val="none" w:sz="0" w:space="0" w:color="auto"/>
        <w:left w:val="none" w:sz="0" w:space="0" w:color="auto"/>
        <w:bottom w:val="none" w:sz="0" w:space="0" w:color="auto"/>
        <w:right w:val="none" w:sz="0" w:space="0" w:color="auto"/>
      </w:divBdr>
    </w:div>
    <w:div w:id="1083841437">
      <w:bodyDiv w:val="1"/>
      <w:marLeft w:val="0"/>
      <w:marRight w:val="0"/>
      <w:marTop w:val="0"/>
      <w:marBottom w:val="0"/>
      <w:divBdr>
        <w:top w:val="none" w:sz="0" w:space="0" w:color="auto"/>
        <w:left w:val="none" w:sz="0" w:space="0" w:color="auto"/>
        <w:bottom w:val="none" w:sz="0" w:space="0" w:color="auto"/>
        <w:right w:val="none" w:sz="0" w:space="0" w:color="auto"/>
      </w:divBdr>
    </w:div>
    <w:div w:id="1093235706">
      <w:bodyDiv w:val="1"/>
      <w:marLeft w:val="0"/>
      <w:marRight w:val="0"/>
      <w:marTop w:val="0"/>
      <w:marBottom w:val="0"/>
      <w:divBdr>
        <w:top w:val="none" w:sz="0" w:space="0" w:color="auto"/>
        <w:left w:val="none" w:sz="0" w:space="0" w:color="auto"/>
        <w:bottom w:val="none" w:sz="0" w:space="0" w:color="auto"/>
        <w:right w:val="none" w:sz="0" w:space="0" w:color="auto"/>
      </w:divBdr>
    </w:div>
    <w:div w:id="1093431047">
      <w:bodyDiv w:val="1"/>
      <w:marLeft w:val="0"/>
      <w:marRight w:val="0"/>
      <w:marTop w:val="0"/>
      <w:marBottom w:val="0"/>
      <w:divBdr>
        <w:top w:val="none" w:sz="0" w:space="0" w:color="auto"/>
        <w:left w:val="none" w:sz="0" w:space="0" w:color="auto"/>
        <w:bottom w:val="none" w:sz="0" w:space="0" w:color="auto"/>
        <w:right w:val="none" w:sz="0" w:space="0" w:color="auto"/>
      </w:divBdr>
    </w:div>
    <w:div w:id="1103191559">
      <w:bodyDiv w:val="1"/>
      <w:marLeft w:val="0"/>
      <w:marRight w:val="0"/>
      <w:marTop w:val="0"/>
      <w:marBottom w:val="0"/>
      <w:divBdr>
        <w:top w:val="none" w:sz="0" w:space="0" w:color="auto"/>
        <w:left w:val="none" w:sz="0" w:space="0" w:color="auto"/>
        <w:bottom w:val="none" w:sz="0" w:space="0" w:color="auto"/>
        <w:right w:val="none" w:sz="0" w:space="0" w:color="auto"/>
      </w:divBdr>
    </w:div>
    <w:div w:id="1111392021">
      <w:bodyDiv w:val="1"/>
      <w:marLeft w:val="0"/>
      <w:marRight w:val="0"/>
      <w:marTop w:val="0"/>
      <w:marBottom w:val="0"/>
      <w:divBdr>
        <w:top w:val="none" w:sz="0" w:space="0" w:color="auto"/>
        <w:left w:val="none" w:sz="0" w:space="0" w:color="auto"/>
        <w:bottom w:val="none" w:sz="0" w:space="0" w:color="auto"/>
        <w:right w:val="none" w:sz="0" w:space="0" w:color="auto"/>
      </w:divBdr>
    </w:div>
    <w:div w:id="1117482136">
      <w:bodyDiv w:val="1"/>
      <w:marLeft w:val="0"/>
      <w:marRight w:val="0"/>
      <w:marTop w:val="0"/>
      <w:marBottom w:val="0"/>
      <w:divBdr>
        <w:top w:val="none" w:sz="0" w:space="0" w:color="auto"/>
        <w:left w:val="none" w:sz="0" w:space="0" w:color="auto"/>
        <w:bottom w:val="none" w:sz="0" w:space="0" w:color="auto"/>
        <w:right w:val="none" w:sz="0" w:space="0" w:color="auto"/>
      </w:divBdr>
      <w:divsChild>
        <w:div w:id="110708536">
          <w:marLeft w:val="0"/>
          <w:marRight w:val="0"/>
          <w:marTop w:val="0"/>
          <w:marBottom w:val="0"/>
          <w:divBdr>
            <w:top w:val="none" w:sz="0" w:space="0" w:color="auto"/>
            <w:left w:val="none" w:sz="0" w:space="0" w:color="auto"/>
            <w:bottom w:val="none" w:sz="0" w:space="0" w:color="auto"/>
            <w:right w:val="none" w:sz="0" w:space="0" w:color="auto"/>
          </w:divBdr>
          <w:divsChild>
            <w:div w:id="587734415">
              <w:marLeft w:val="0"/>
              <w:marRight w:val="0"/>
              <w:marTop w:val="0"/>
              <w:marBottom w:val="0"/>
              <w:divBdr>
                <w:top w:val="none" w:sz="0" w:space="0" w:color="auto"/>
                <w:left w:val="none" w:sz="0" w:space="0" w:color="auto"/>
                <w:bottom w:val="none" w:sz="0" w:space="0" w:color="auto"/>
                <w:right w:val="none" w:sz="0" w:space="0" w:color="auto"/>
              </w:divBdr>
              <w:divsChild>
                <w:div w:id="403455011">
                  <w:marLeft w:val="0"/>
                  <w:marRight w:val="0"/>
                  <w:marTop w:val="0"/>
                  <w:marBottom w:val="0"/>
                  <w:divBdr>
                    <w:top w:val="single" w:sz="6" w:space="0" w:color="D3D3D3"/>
                    <w:left w:val="none" w:sz="0" w:space="0" w:color="auto"/>
                    <w:bottom w:val="none" w:sz="0" w:space="0" w:color="auto"/>
                    <w:right w:val="none" w:sz="0" w:space="0" w:color="auto"/>
                  </w:divBdr>
                  <w:divsChild>
                    <w:div w:id="892231170">
                      <w:marLeft w:val="0"/>
                      <w:marRight w:val="0"/>
                      <w:marTop w:val="0"/>
                      <w:marBottom w:val="0"/>
                      <w:divBdr>
                        <w:top w:val="none" w:sz="0" w:space="0" w:color="auto"/>
                        <w:left w:val="none" w:sz="0" w:space="0" w:color="auto"/>
                        <w:bottom w:val="none" w:sz="0" w:space="0" w:color="auto"/>
                        <w:right w:val="none" w:sz="0" w:space="0" w:color="auto"/>
                      </w:divBdr>
                      <w:divsChild>
                        <w:div w:id="696586269">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22264292">
      <w:bodyDiv w:val="1"/>
      <w:marLeft w:val="0"/>
      <w:marRight w:val="0"/>
      <w:marTop w:val="0"/>
      <w:marBottom w:val="0"/>
      <w:divBdr>
        <w:top w:val="none" w:sz="0" w:space="0" w:color="auto"/>
        <w:left w:val="none" w:sz="0" w:space="0" w:color="auto"/>
        <w:bottom w:val="none" w:sz="0" w:space="0" w:color="auto"/>
        <w:right w:val="none" w:sz="0" w:space="0" w:color="auto"/>
      </w:divBdr>
    </w:div>
    <w:div w:id="1124231012">
      <w:bodyDiv w:val="1"/>
      <w:marLeft w:val="0"/>
      <w:marRight w:val="0"/>
      <w:marTop w:val="0"/>
      <w:marBottom w:val="0"/>
      <w:divBdr>
        <w:top w:val="none" w:sz="0" w:space="0" w:color="auto"/>
        <w:left w:val="none" w:sz="0" w:space="0" w:color="auto"/>
        <w:bottom w:val="none" w:sz="0" w:space="0" w:color="auto"/>
        <w:right w:val="none" w:sz="0" w:space="0" w:color="auto"/>
      </w:divBdr>
    </w:div>
    <w:div w:id="1131903493">
      <w:bodyDiv w:val="1"/>
      <w:marLeft w:val="0"/>
      <w:marRight w:val="0"/>
      <w:marTop w:val="0"/>
      <w:marBottom w:val="0"/>
      <w:divBdr>
        <w:top w:val="none" w:sz="0" w:space="0" w:color="auto"/>
        <w:left w:val="none" w:sz="0" w:space="0" w:color="auto"/>
        <w:bottom w:val="none" w:sz="0" w:space="0" w:color="auto"/>
        <w:right w:val="none" w:sz="0" w:space="0" w:color="auto"/>
      </w:divBdr>
    </w:div>
    <w:div w:id="1144545170">
      <w:bodyDiv w:val="1"/>
      <w:marLeft w:val="0"/>
      <w:marRight w:val="0"/>
      <w:marTop w:val="0"/>
      <w:marBottom w:val="0"/>
      <w:divBdr>
        <w:top w:val="none" w:sz="0" w:space="0" w:color="auto"/>
        <w:left w:val="none" w:sz="0" w:space="0" w:color="auto"/>
        <w:bottom w:val="none" w:sz="0" w:space="0" w:color="auto"/>
        <w:right w:val="none" w:sz="0" w:space="0" w:color="auto"/>
      </w:divBdr>
    </w:div>
    <w:div w:id="1159080534">
      <w:bodyDiv w:val="1"/>
      <w:marLeft w:val="0"/>
      <w:marRight w:val="0"/>
      <w:marTop w:val="0"/>
      <w:marBottom w:val="0"/>
      <w:divBdr>
        <w:top w:val="none" w:sz="0" w:space="0" w:color="auto"/>
        <w:left w:val="none" w:sz="0" w:space="0" w:color="auto"/>
        <w:bottom w:val="none" w:sz="0" w:space="0" w:color="auto"/>
        <w:right w:val="none" w:sz="0" w:space="0" w:color="auto"/>
      </w:divBdr>
    </w:div>
    <w:div w:id="1175998450">
      <w:bodyDiv w:val="1"/>
      <w:marLeft w:val="0"/>
      <w:marRight w:val="0"/>
      <w:marTop w:val="0"/>
      <w:marBottom w:val="0"/>
      <w:divBdr>
        <w:top w:val="none" w:sz="0" w:space="0" w:color="auto"/>
        <w:left w:val="none" w:sz="0" w:space="0" w:color="auto"/>
        <w:bottom w:val="none" w:sz="0" w:space="0" w:color="auto"/>
        <w:right w:val="none" w:sz="0" w:space="0" w:color="auto"/>
      </w:divBdr>
    </w:div>
    <w:div w:id="1183713152">
      <w:bodyDiv w:val="1"/>
      <w:marLeft w:val="0"/>
      <w:marRight w:val="0"/>
      <w:marTop w:val="0"/>
      <w:marBottom w:val="0"/>
      <w:divBdr>
        <w:top w:val="none" w:sz="0" w:space="0" w:color="auto"/>
        <w:left w:val="none" w:sz="0" w:space="0" w:color="auto"/>
        <w:bottom w:val="none" w:sz="0" w:space="0" w:color="auto"/>
        <w:right w:val="none" w:sz="0" w:space="0" w:color="auto"/>
      </w:divBdr>
    </w:div>
    <w:div w:id="1192304136">
      <w:bodyDiv w:val="1"/>
      <w:marLeft w:val="0"/>
      <w:marRight w:val="0"/>
      <w:marTop w:val="0"/>
      <w:marBottom w:val="0"/>
      <w:divBdr>
        <w:top w:val="none" w:sz="0" w:space="0" w:color="auto"/>
        <w:left w:val="none" w:sz="0" w:space="0" w:color="auto"/>
        <w:bottom w:val="none" w:sz="0" w:space="0" w:color="auto"/>
        <w:right w:val="none" w:sz="0" w:space="0" w:color="auto"/>
      </w:divBdr>
    </w:div>
    <w:div w:id="1193811493">
      <w:bodyDiv w:val="1"/>
      <w:marLeft w:val="0"/>
      <w:marRight w:val="0"/>
      <w:marTop w:val="0"/>
      <w:marBottom w:val="0"/>
      <w:divBdr>
        <w:top w:val="none" w:sz="0" w:space="0" w:color="auto"/>
        <w:left w:val="none" w:sz="0" w:space="0" w:color="auto"/>
        <w:bottom w:val="none" w:sz="0" w:space="0" w:color="auto"/>
        <w:right w:val="none" w:sz="0" w:space="0" w:color="auto"/>
      </w:divBdr>
    </w:div>
    <w:div w:id="1196234282">
      <w:bodyDiv w:val="1"/>
      <w:marLeft w:val="0"/>
      <w:marRight w:val="0"/>
      <w:marTop w:val="0"/>
      <w:marBottom w:val="0"/>
      <w:divBdr>
        <w:top w:val="none" w:sz="0" w:space="0" w:color="auto"/>
        <w:left w:val="none" w:sz="0" w:space="0" w:color="auto"/>
        <w:bottom w:val="none" w:sz="0" w:space="0" w:color="auto"/>
        <w:right w:val="none" w:sz="0" w:space="0" w:color="auto"/>
      </w:divBdr>
    </w:div>
    <w:div w:id="1201019888">
      <w:bodyDiv w:val="1"/>
      <w:marLeft w:val="0"/>
      <w:marRight w:val="0"/>
      <w:marTop w:val="0"/>
      <w:marBottom w:val="0"/>
      <w:divBdr>
        <w:top w:val="none" w:sz="0" w:space="0" w:color="auto"/>
        <w:left w:val="none" w:sz="0" w:space="0" w:color="auto"/>
        <w:bottom w:val="none" w:sz="0" w:space="0" w:color="auto"/>
        <w:right w:val="none" w:sz="0" w:space="0" w:color="auto"/>
      </w:divBdr>
    </w:div>
    <w:div w:id="1208299561">
      <w:bodyDiv w:val="1"/>
      <w:marLeft w:val="0"/>
      <w:marRight w:val="0"/>
      <w:marTop w:val="0"/>
      <w:marBottom w:val="0"/>
      <w:divBdr>
        <w:top w:val="none" w:sz="0" w:space="0" w:color="auto"/>
        <w:left w:val="none" w:sz="0" w:space="0" w:color="auto"/>
        <w:bottom w:val="none" w:sz="0" w:space="0" w:color="auto"/>
        <w:right w:val="none" w:sz="0" w:space="0" w:color="auto"/>
      </w:divBdr>
    </w:div>
    <w:div w:id="1231188257">
      <w:bodyDiv w:val="1"/>
      <w:marLeft w:val="0"/>
      <w:marRight w:val="0"/>
      <w:marTop w:val="0"/>
      <w:marBottom w:val="0"/>
      <w:divBdr>
        <w:top w:val="none" w:sz="0" w:space="0" w:color="auto"/>
        <w:left w:val="none" w:sz="0" w:space="0" w:color="auto"/>
        <w:bottom w:val="none" w:sz="0" w:space="0" w:color="auto"/>
        <w:right w:val="none" w:sz="0" w:space="0" w:color="auto"/>
      </w:divBdr>
    </w:div>
    <w:div w:id="1233470464">
      <w:bodyDiv w:val="1"/>
      <w:marLeft w:val="0"/>
      <w:marRight w:val="0"/>
      <w:marTop w:val="0"/>
      <w:marBottom w:val="0"/>
      <w:divBdr>
        <w:top w:val="none" w:sz="0" w:space="0" w:color="auto"/>
        <w:left w:val="none" w:sz="0" w:space="0" w:color="auto"/>
        <w:bottom w:val="none" w:sz="0" w:space="0" w:color="auto"/>
        <w:right w:val="none" w:sz="0" w:space="0" w:color="auto"/>
      </w:divBdr>
      <w:divsChild>
        <w:div w:id="30763791">
          <w:marLeft w:val="0"/>
          <w:marRight w:val="0"/>
          <w:marTop w:val="0"/>
          <w:marBottom w:val="0"/>
          <w:divBdr>
            <w:top w:val="none" w:sz="0" w:space="0" w:color="auto"/>
            <w:left w:val="none" w:sz="0" w:space="0" w:color="auto"/>
            <w:bottom w:val="none" w:sz="0" w:space="0" w:color="auto"/>
            <w:right w:val="none" w:sz="0" w:space="0" w:color="auto"/>
          </w:divBdr>
        </w:div>
      </w:divsChild>
    </w:div>
    <w:div w:id="1234005188">
      <w:bodyDiv w:val="1"/>
      <w:marLeft w:val="0"/>
      <w:marRight w:val="0"/>
      <w:marTop w:val="0"/>
      <w:marBottom w:val="0"/>
      <w:divBdr>
        <w:top w:val="none" w:sz="0" w:space="0" w:color="auto"/>
        <w:left w:val="none" w:sz="0" w:space="0" w:color="auto"/>
        <w:bottom w:val="none" w:sz="0" w:space="0" w:color="auto"/>
        <w:right w:val="none" w:sz="0" w:space="0" w:color="auto"/>
      </w:divBdr>
    </w:div>
    <w:div w:id="1234468554">
      <w:bodyDiv w:val="1"/>
      <w:marLeft w:val="0"/>
      <w:marRight w:val="0"/>
      <w:marTop w:val="0"/>
      <w:marBottom w:val="0"/>
      <w:divBdr>
        <w:top w:val="none" w:sz="0" w:space="0" w:color="auto"/>
        <w:left w:val="none" w:sz="0" w:space="0" w:color="auto"/>
        <w:bottom w:val="none" w:sz="0" w:space="0" w:color="auto"/>
        <w:right w:val="none" w:sz="0" w:space="0" w:color="auto"/>
      </w:divBdr>
    </w:div>
    <w:div w:id="1236626675">
      <w:bodyDiv w:val="1"/>
      <w:marLeft w:val="0"/>
      <w:marRight w:val="0"/>
      <w:marTop w:val="0"/>
      <w:marBottom w:val="0"/>
      <w:divBdr>
        <w:top w:val="none" w:sz="0" w:space="0" w:color="auto"/>
        <w:left w:val="none" w:sz="0" w:space="0" w:color="auto"/>
        <w:bottom w:val="none" w:sz="0" w:space="0" w:color="auto"/>
        <w:right w:val="none" w:sz="0" w:space="0" w:color="auto"/>
      </w:divBdr>
    </w:div>
    <w:div w:id="1239099130">
      <w:bodyDiv w:val="1"/>
      <w:marLeft w:val="0"/>
      <w:marRight w:val="0"/>
      <w:marTop w:val="0"/>
      <w:marBottom w:val="0"/>
      <w:divBdr>
        <w:top w:val="none" w:sz="0" w:space="0" w:color="auto"/>
        <w:left w:val="none" w:sz="0" w:space="0" w:color="auto"/>
        <w:bottom w:val="none" w:sz="0" w:space="0" w:color="auto"/>
        <w:right w:val="none" w:sz="0" w:space="0" w:color="auto"/>
      </w:divBdr>
    </w:div>
    <w:div w:id="1239366600">
      <w:bodyDiv w:val="1"/>
      <w:marLeft w:val="0"/>
      <w:marRight w:val="0"/>
      <w:marTop w:val="0"/>
      <w:marBottom w:val="0"/>
      <w:divBdr>
        <w:top w:val="none" w:sz="0" w:space="0" w:color="auto"/>
        <w:left w:val="none" w:sz="0" w:space="0" w:color="auto"/>
        <w:bottom w:val="none" w:sz="0" w:space="0" w:color="auto"/>
        <w:right w:val="none" w:sz="0" w:space="0" w:color="auto"/>
      </w:divBdr>
    </w:div>
    <w:div w:id="1254582249">
      <w:bodyDiv w:val="1"/>
      <w:marLeft w:val="0"/>
      <w:marRight w:val="0"/>
      <w:marTop w:val="0"/>
      <w:marBottom w:val="0"/>
      <w:divBdr>
        <w:top w:val="none" w:sz="0" w:space="0" w:color="auto"/>
        <w:left w:val="none" w:sz="0" w:space="0" w:color="auto"/>
        <w:bottom w:val="none" w:sz="0" w:space="0" w:color="auto"/>
        <w:right w:val="none" w:sz="0" w:space="0" w:color="auto"/>
      </w:divBdr>
    </w:div>
    <w:div w:id="1256866064">
      <w:bodyDiv w:val="1"/>
      <w:marLeft w:val="0"/>
      <w:marRight w:val="0"/>
      <w:marTop w:val="0"/>
      <w:marBottom w:val="0"/>
      <w:divBdr>
        <w:top w:val="none" w:sz="0" w:space="0" w:color="auto"/>
        <w:left w:val="none" w:sz="0" w:space="0" w:color="auto"/>
        <w:bottom w:val="none" w:sz="0" w:space="0" w:color="auto"/>
        <w:right w:val="none" w:sz="0" w:space="0" w:color="auto"/>
      </w:divBdr>
    </w:div>
    <w:div w:id="1268198789">
      <w:bodyDiv w:val="1"/>
      <w:marLeft w:val="0"/>
      <w:marRight w:val="0"/>
      <w:marTop w:val="0"/>
      <w:marBottom w:val="0"/>
      <w:divBdr>
        <w:top w:val="none" w:sz="0" w:space="0" w:color="auto"/>
        <w:left w:val="none" w:sz="0" w:space="0" w:color="auto"/>
        <w:bottom w:val="none" w:sz="0" w:space="0" w:color="auto"/>
        <w:right w:val="none" w:sz="0" w:space="0" w:color="auto"/>
      </w:divBdr>
    </w:div>
    <w:div w:id="1281952324">
      <w:bodyDiv w:val="1"/>
      <w:marLeft w:val="0"/>
      <w:marRight w:val="0"/>
      <w:marTop w:val="0"/>
      <w:marBottom w:val="0"/>
      <w:divBdr>
        <w:top w:val="none" w:sz="0" w:space="0" w:color="auto"/>
        <w:left w:val="none" w:sz="0" w:space="0" w:color="auto"/>
        <w:bottom w:val="none" w:sz="0" w:space="0" w:color="auto"/>
        <w:right w:val="none" w:sz="0" w:space="0" w:color="auto"/>
      </w:divBdr>
      <w:divsChild>
        <w:div w:id="2010020651">
          <w:marLeft w:val="0"/>
          <w:marRight w:val="0"/>
          <w:marTop w:val="0"/>
          <w:marBottom w:val="0"/>
          <w:divBdr>
            <w:top w:val="none" w:sz="0" w:space="0" w:color="auto"/>
            <w:left w:val="none" w:sz="0" w:space="0" w:color="auto"/>
            <w:bottom w:val="none" w:sz="0" w:space="0" w:color="auto"/>
            <w:right w:val="none" w:sz="0" w:space="0" w:color="auto"/>
          </w:divBdr>
          <w:divsChild>
            <w:div w:id="1125931835">
              <w:marLeft w:val="0"/>
              <w:marRight w:val="0"/>
              <w:marTop w:val="0"/>
              <w:marBottom w:val="0"/>
              <w:divBdr>
                <w:top w:val="none" w:sz="0" w:space="0" w:color="auto"/>
                <w:left w:val="none" w:sz="0" w:space="0" w:color="auto"/>
                <w:bottom w:val="none" w:sz="0" w:space="0" w:color="auto"/>
                <w:right w:val="none" w:sz="0" w:space="0" w:color="auto"/>
              </w:divBdr>
              <w:divsChild>
                <w:div w:id="15713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749">
          <w:marLeft w:val="0"/>
          <w:marRight w:val="0"/>
          <w:marTop w:val="0"/>
          <w:marBottom w:val="0"/>
          <w:divBdr>
            <w:top w:val="none" w:sz="0" w:space="0" w:color="auto"/>
            <w:left w:val="none" w:sz="0" w:space="0" w:color="auto"/>
            <w:bottom w:val="none" w:sz="0" w:space="0" w:color="auto"/>
            <w:right w:val="none" w:sz="0" w:space="0" w:color="auto"/>
          </w:divBdr>
          <w:divsChild>
            <w:div w:id="2012439681">
              <w:marLeft w:val="0"/>
              <w:marRight w:val="0"/>
              <w:marTop w:val="0"/>
              <w:marBottom w:val="0"/>
              <w:divBdr>
                <w:top w:val="none" w:sz="0" w:space="0" w:color="auto"/>
                <w:left w:val="none" w:sz="0" w:space="0" w:color="auto"/>
                <w:bottom w:val="none" w:sz="0" w:space="0" w:color="auto"/>
                <w:right w:val="none" w:sz="0" w:space="0" w:color="auto"/>
              </w:divBdr>
              <w:divsChild>
                <w:div w:id="1221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3129">
          <w:marLeft w:val="0"/>
          <w:marRight w:val="0"/>
          <w:marTop w:val="0"/>
          <w:marBottom w:val="0"/>
          <w:divBdr>
            <w:top w:val="none" w:sz="0" w:space="0" w:color="auto"/>
            <w:left w:val="none" w:sz="0" w:space="0" w:color="auto"/>
            <w:bottom w:val="none" w:sz="0" w:space="0" w:color="auto"/>
            <w:right w:val="none" w:sz="0" w:space="0" w:color="auto"/>
          </w:divBdr>
          <w:divsChild>
            <w:div w:id="926764122">
              <w:marLeft w:val="0"/>
              <w:marRight w:val="0"/>
              <w:marTop w:val="0"/>
              <w:marBottom w:val="0"/>
              <w:divBdr>
                <w:top w:val="none" w:sz="0" w:space="0" w:color="auto"/>
                <w:left w:val="none" w:sz="0" w:space="0" w:color="auto"/>
                <w:bottom w:val="none" w:sz="0" w:space="0" w:color="auto"/>
                <w:right w:val="none" w:sz="0" w:space="0" w:color="auto"/>
              </w:divBdr>
              <w:divsChild>
                <w:div w:id="1979727274">
                  <w:marLeft w:val="0"/>
                  <w:marRight w:val="0"/>
                  <w:marTop w:val="0"/>
                  <w:marBottom w:val="0"/>
                  <w:divBdr>
                    <w:top w:val="none" w:sz="0" w:space="0" w:color="auto"/>
                    <w:left w:val="none" w:sz="0" w:space="0" w:color="auto"/>
                    <w:bottom w:val="none" w:sz="0" w:space="0" w:color="auto"/>
                    <w:right w:val="none" w:sz="0" w:space="0" w:color="auto"/>
                  </w:divBdr>
                </w:div>
                <w:div w:id="1228035620">
                  <w:marLeft w:val="0"/>
                  <w:marRight w:val="0"/>
                  <w:marTop w:val="0"/>
                  <w:marBottom w:val="0"/>
                  <w:divBdr>
                    <w:top w:val="none" w:sz="0" w:space="0" w:color="auto"/>
                    <w:left w:val="none" w:sz="0" w:space="0" w:color="auto"/>
                    <w:bottom w:val="none" w:sz="0" w:space="0" w:color="auto"/>
                    <w:right w:val="none" w:sz="0" w:space="0" w:color="auto"/>
                  </w:divBdr>
                </w:div>
              </w:divsChild>
            </w:div>
            <w:div w:id="998387738">
              <w:marLeft w:val="0"/>
              <w:marRight w:val="0"/>
              <w:marTop w:val="0"/>
              <w:marBottom w:val="0"/>
              <w:divBdr>
                <w:top w:val="none" w:sz="0" w:space="0" w:color="auto"/>
                <w:left w:val="none" w:sz="0" w:space="0" w:color="auto"/>
                <w:bottom w:val="none" w:sz="0" w:space="0" w:color="auto"/>
                <w:right w:val="none" w:sz="0" w:space="0" w:color="auto"/>
              </w:divBdr>
            </w:div>
            <w:div w:id="1651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5104">
      <w:bodyDiv w:val="1"/>
      <w:marLeft w:val="0"/>
      <w:marRight w:val="0"/>
      <w:marTop w:val="0"/>
      <w:marBottom w:val="0"/>
      <w:divBdr>
        <w:top w:val="none" w:sz="0" w:space="0" w:color="auto"/>
        <w:left w:val="none" w:sz="0" w:space="0" w:color="auto"/>
        <w:bottom w:val="none" w:sz="0" w:space="0" w:color="auto"/>
        <w:right w:val="none" w:sz="0" w:space="0" w:color="auto"/>
      </w:divBdr>
    </w:div>
    <w:div w:id="1288048937">
      <w:bodyDiv w:val="1"/>
      <w:marLeft w:val="0"/>
      <w:marRight w:val="0"/>
      <w:marTop w:val="0"/>
      <w:marBottom w:val="0"/>
      <w:divBdr>
        <w:top w:val="none" w:sz="0" w:space="0" w:color="auto"/>
        <w:left w:val="none" w:sz="0" w:space="0" w:color="auto"/>
        <w:bottom w:val="none" w:sz="0" w:space="0" w:color="auto"/>
        <w:right w:val="none" w:sz="0" w:space="0" w:color="auto"/>
      </w:divBdr>
    </w:div>
    <w:div w:id="1293093981">
      <w:bodyDiv w:val="1"/>
      <w:marLeft w:val="0"/>
      <w:marRight w:val="0"/>
      <w:marTop w:val="0"/>
      <w:marBottom w:val="0"/>
      <w:divBdr>
        <w:top w:val="none" w:sz="0" w:space="0" w:color="auto"/>
        <w:left w:val="none" w:sz="0" w:space="0" w:color="auto"/>
        <w:bottom w:val="none" w:sz="0" w:space="0" w:color="auto"/>
        <w:right w:val="none" w:sz="0" w:space="0" w:color="auto"/>
      </w:divBdr>
    </w:div>
    <w:div w:id="1296370177">
      <w:bodyDiv w:val="1"/>
      <w:marLeft w:val="0"/>
      <w:marRight w:val="0"/>
      <w:marTop w:val="0"/>
      <w:marBottom w:val="0"/>
      <w:divBdr>
        <w:top w:val="none" w:sz="0" w:space="0" w:color="auto"/>
        <w:left w:val="none" w:sz="0" w:space="0" w:color="auto"/>
        <w:bottom w:val="none" w:sz="0" w:space="0" w:color="auto"/>
        <w:right w:val="none" w:sz="0" w:space="0" w:color="auto"/>
      </w:divBdr>
    </w:div>
    <w:div w:id="1298530893">
      <w:bodyDiv w:val="1"/>
      <w:marLeft w:val="0"/>
      <w:marRight w:val="0"/>
      <w:marTop w:val="0"/>
      <w:marBottom w:val="0"/>
      <w:divBdr>
        <w:top w:val="none" w:sz="0" w:space="0" w:color="auto"/>
        <w:left w:val="none" w:sz="0" w:space="0" w:color="auto"/>
        <w:bottom w:val="none" w:sz="0" w:space="0" w:color="auto"/>
        <w:right w:val="none" w:sz="0" w:space="0" w:color="auto"/>
      </w:divBdr>
    </w:div>
    <w:div w:id="1307666654">
      <w:bodyDiv w:val="1"/>
      <w:marLeft w:val="0"/>
      <w:marRight w:val="0"/>
      <w:marTop w:val="0"/>
      <w:marBottom w:val="0"/>
      <w:divBdr>
        <w:top w:val="none" w:sz="0" w:space="0" w:color="auto"/>
        <w:left w:val="none" w:sz="0" w:space="0" w:color="auto"/>
        <w:bottom w:val="none" w:sz="0" w:space="0" w:color="auto"/>
        <w:right w:val="none" w:sz="0" w:space="0" w:color="auto"/>
      </w:divBdr>
    </w:div>
    <w:div w:id="1329747054">
      <w:bodyDiv w:val="1"/>
      <w:marLeft w:val="0"/>
      <w:marRight w:val="0"/>
      <w:marTop w:val="0"/>
      <w:marBottom w:val="0"/>
      <w:divBdr>
        <w:top w:val="none" w:sz="0" w:space="0" w:color="auto"/>
        <w:left w:val="none" w:sz="0" w:space="0" w:color="auto"/>
        <w:bottom w:val="none" w:sz="0" w:space="0" w:color="auto"/>
        <w:right w:val="none" w:sz="0" w:space="0" w:color="auto"/>
      </w:divBdr>
    </w:div>
    <w:div w:id="1360281494">
      <w:bodyDiv w:val="1"/>
      <w:marLeft w:val="0"/>
      <w:marRight w:val="0"/>
      <w:marTop w:val="0"/>
      <w:marBottom w:val="0"/>
      <w:divBdr>
        <w:top w:val="none" w:sz="0" w:space="0" w:color="auto"/>
        <w:left w:val="none" w:sz="0" w:space="0" w:color="auto"/>
        <w:bottom w:val="none" w:sz="0" w:space="0" w:color="auto"/>
        <w:right w:val="none" w:sz="0" w:space="0" w:color="auto"/>
      </w:divBdr>
    </w:div>
    <w:div w:id="1397122996">
      <w:bodyDiv w:val="1"/>
      <w:marLeft w:val="0"/>
      <w:marRight w:val="0"/>
      <w:marTop w:val="0"/>
      <w:marBottom w:val="0"/>
      <w:divBdr>
        <w:top w:val="none" w:sz="0" w:space="0" w:color="auto"/>
        <w:left w:val="none" w:sz="0" w:space="0" w:color="auto"/>
        <w:bottom w:val="none" w:sz="0" w:space="0" w:color="auto"/>
        <w:right w:val="none" w:sz="0" w:space="0" w:color="auto"/>
      </w:divBdr>
    </w:div>
    <w:div w:id="1401293260">
      <w:bodyDiv w:val="1"/>
      <w:marLeft w:val="0"/>
      <w:marRight w:val="0"/>
      <w:marTop w:val="0"/>
      <w:marBottom w:val="0"/>
      <w:divBdr>
        <w:top w:val="none" w:sz="0" w:space="0" w:color="auto"/>
        <w:left w:val="none" w:sz="0" w:space="0" w:color="auto"/>
        <w:bottom w:val="none" w:sz="0" w:space="0" w:color="auto"/>
        <w:right w:val="none" w:sz="0" w:space="0" w:color="auto"/>
      </w:divBdr>
    </w:div>
    <w:div w:id="1424909432">
      <w:bodyDiv w:val="1"/>
      <w:marLeft w:val="0"/>
      <w:marRight w:val="0"/>
      <w:marTop w:val="0"/>
      <w:marBottom w:val="0"/>
      <w:divBdr>
        <w:top w:val="none" w:sz="0" w:space="0" w:color="auto"/>
        <w:left w:val="none" w:sz="0" w:space="0" w:color="auto"/>
        <w:bottom w:val="none" w:sz="0" w:space="0" w:color="auto"/>
        <w:right w:val="none" w:sz="0" w:space="0" w:color="auto"/>
      </w:divBdr>
      <w:divsChild>
        <w:div w:id="1534923202">
          <w:marLeft w:val="0"/>
          <w:marRight w:val="0"/>
          <w:marTop w:val="0"/>
          <w:marBottom w:val="0"/>
          <w:divBdr>
            <w:top w:val="none" w:sz="0" w:space="0" w:color="auto"/>
            <w:left w:val="none" w:sz="0" w:space="0" w:color="auto"/>
            <w:bottom w:val="none" w:sz="0" w:space="0" w:color="auto"/>
            <w:right w:val="none" w:sz="0" w:space="0" w:color="auto"/>
          </w:divBdr>
        </w:div>
      </w:divsChild>
    </w:div>
    <w:div w:id="1434978135">
      <w:bodyDiv w:val="1"/>
      <w:marLeft w:val="0"/>
      <w:marRight w:val="0"/>
      <w:marTop w:val="0"/>
      <w:marBottom w:val="0"/>
      <w:divBdr>
        <w:top w:val="none" w:sz="0" w:space="0" w:color="auto"/>
        <w:left w:val="none" w:sz="0" w:space="0" w:color="auto"/>
        <w:bottom w:val="none" w:sz="0" w:space="0" w:color="auto"/>
        <w:right w:val="none" w:sz="0" w:space="0" w:color="auto"/>
      </w:divBdr>
    </w:div>
    <w:div w:id="1436905119">
      <w:bodyDiv w:val="1"/>
      <w:marLeft w:val="0"/>
      <w:marRight w:val="0"/>
      <w:marTop w:val="0"/>
      <w:marBottom w:val="0"/>
      <w:divBdr>
        <w:top w:val="none" w:sz="0" w:space="0" w:color="auto"/>
        <w:left w:val="none" w:sz="0" w:space="0" w:color="auto"/>
        <w:bottom w:val="none" w:sz="0" w:space="0" w:color="auto"/>
        <w:right w:val="none" w:sz="0" w:space="0" w:color="auto"/>
      </w:divBdr>
    </w:div>
    <w:div w:id="1448937272">
      <w:bodyDiv w:val="1"/>
      <w:marLeft w:val="0"/>
      <w:marRight w:val="0"/>
      <w:marTop w:val="0"/>
      <w:marBottom w:val="0"/>
      <w:divBdr>
        <w:top w:val="none" w:sz="0" w:space="0" w:color="auto"/>
        <w:left w:val="none" w:sz="0" w:space="0" w:color="auto"/>
        <w:bottom w:val="none" w:sz="0" w:space="0" w:color="auto"/>
        <w:right w:val="none" w:sz="0" w:space="0" w:color="auto"/>
      </w:divBdr>
    </w:div>
    <w:div w:id="1449205474">
      <w:bodyDiv w:val="1"/>
      <w:marLeft w:val="0"/>
      <w:marRight w:val="0"/>
      <w:marTop w:val="0"/>
      <w:marBottom w:val="0"/>
      <w:divBdr>
        <w:top w:val="none" w:sz="0" w:space="0" w:color="auto"/>
        <w:left w:val="none" w:sz="0" w:space="0" w:color="auto"/>
        <w:bottom w:val="none" w:sz="0" w:space="0" w:color="auto"/>
        <w:right w:val="none" w:sz="0" w:space="0" w:color="auto"/>
      </w:divBdr>
    </w:div>
    <w:div w:id="1449550107">
      <w:bodyDiv w:val="1"/>
      <w:marLeft w:val="0"/>
      <w:marRight w:val="0"/>
      <w:marTop w:val="0"/>
      <w:marBottom w:val="0"/>
      <w:divBdr>
        <w:top w:val="none" w:sz="0" w:space="0" w:color="auto"/>
        <w:left w:val="none" w:sz="0" w:space="0" w:color="auto"/>
        <w:bottom w:val="none" w:sz="0" w:space="0" w:color="auto"/>
        <w:right w:val="none" w:sz="0" w:space="0" w:color="auto"/>
      </w:divBdr>
    </w:div>
    <w:div w:id="1450779961">
      <w:bodyDiv w:val="1"/>
      <w:marLeft w:val="0"/>
      <w:marRight w:val="0"/>
      <w:marTop w:val="100"/>
      <w:marBottom w:val="100"/>
      <w:divBdr>
        <w:top w:val="none" w:sz="0" w:space="0" w:color="auto"/>
        <w:left w:val="none" w:sz="0" w:space="0" w:color="auto"/>
        <w:bottom w:val="none" w:sz="0" w:space="0" w:color="auto"/>
        <w:right w:val="none" w:sz="0" w:space="0" w:color="auto"/>
      </w:divBdr>
      <w:divsChild>
        <w:div w:id="1275166391">
          <w:marLeft w:val="0"/>
          <w:marRight w:val="0"/>
          <w:marTop w:val="100"/>
          <w:marBottom w:val="100"/>
          <w:divBdr>
            <w:top w:val="none" w:sz="0" w:space="0" w:color="auto"/>
            <w:left w:val="none" w:sz="0" w:space="0" w:color="auto"/>
            <w:bottom w:val="none" w:sz="0" w:space="0" w:color="auto"/>
            <w:right w:val="none" w:sz="0" w:space="0" w:color="auto"/>
          </w:divBdr>
          <w:divsChild>
            <w:div w:id="1963683986">
              <w:marLeft w:val="0"/>
              <w:marRight w:val="0"/>
              <w:marTop w:val="0"/>
              <w:marBottom w:val="0"/>
              <w:divBdr>
                <w:top w:val="none" w:sz="0" w:space="0" w:color="auto"/>
                <w:left w:val="none" w:sz="0" w:space="0" w:color="auto"/>
                <w:bottom w:val="none" w:sz="0" w:space="0" w:color="auto"/>
                <w:right w:val="none" w:sz="0" w:space="0" w:color="auto"/>
              </w:divBdr>
              <w:divsChild>
                <w:div w:id="1101922567">
                  <w:marLeft w:val="0"/>
                  <w:marRight w:val="0"/>
                  <w:marTop w:val="0"/>
                  <w:marBottom w:val="300"/>
                  <w:divBdr>
                    <w:top w:val="none" w:sz="0" w:space="0" w:color="auto"/>
                    <w:left w:val="none" w:sz="0" w:space="0" w:color="auto"/>
                    <w:bottom w:val="none" w:sz="0" w:space="0" w:color="auto"/>
                    <w:right w:val="none" w:sz="0" w:space="0" w:color="auto"/>
                  </w:divBdr>
                  <w:divsChild>
                    <w:div w:id="575168250">
                      <w:marLeft w:val="0"/>
                      <w:marRight w:val="-4350"/>
                      <w:marTop w:val="0"/>
                      <w:marBottom w:val="0"/>
                      <w:divBdr>
                        <w:top w:val="none" w:sz="0" w:space="0" w:color="auto"/>
                        <w:left w:val="none" w:sz="0" w:space="0" w:color="auto"/>
                        <w:bottom w:val="none" w:sz="0" w:space="0" w:color="auto"/>
                        <w:right w:val="none" w:sz="0" w:space="0" w:color="auto"/>
                      </w:divBdr>
                      <w:divsChild>
                        <w:div w:id="1732314407">
                          <w:marLeft w:val="0"/>
                          <w:marRight w:val="4800"/>
                          <w:marTop w:val="0"/>
                          <w:marBottom w:val="0"/>
                          <w:divBdr>
                            <w:top w:val="none" w:sz="0" w:space="0" w:color="auto"/>
                            <w:left w:val="none" w:sz="0" w:space="0" w:color="auto"/>
                            <w:bottom w:val="none" w:sz="0" w:space="0" w:color="auto"/>
                            <w:right w:val="none" w:sz="0" w:space="0" w:color="auto"/>
                          </w:divBdr>
                          <w:divsChild>
                            <w:div w:id="9290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80062">
      <w:bodyDiv w:val="1"/>
      <w:marLeft w:val="0"/>
      <w:marRight w:val="0"/>
      <w:marTop w:val="0"/>
      <w:marBottom w:val="0"/>
      <w:divBdr>
        <w:top w:val="none" w:sz="0" w:space="0" w:color="auto"/>
        <w:left w:val="none" w:sz="0" w:space="0" w:color="auto"/>
        <w:bottom w:val="none" w:sz="0" w:space="0" w:color="auto"/>
        <w:right w:val="none" w:sz="0" w:space="0" w:color="auto"/>
      </w:divBdr>
    </w:div>
    <w:div w:id="1457794004">
      <w:bodyDiv w:val="1"/>
      <w:marLeft w:val="0"/>
      <w:marRight w:val="0"/>
      <w:marTop w:val="0"/>
      <w:marBottom w:val="0"/>
      <w:divBdr>
        <w:top w:val="none" w:sz="0" w:space="0" w:color="auto"/>
        <w:left w:val="none" w:sz="0" w:space="0" w:color="auto"/>
        <w:bottom w:val="none" w:sz="0" w:space="0" w:color="auto"/>
        <w:right w:val="none" w:sz="0" w:space="0" w:color="auto"/>
      </w:divBdr>
      <w:divsChild>
        <w:div w:id="2043288992">
          <w:marLeft w:val="330"/>
          <w:marRight w:val="330"/>
          <w:marTop w:val="30"/>
          <w:marBottom w:val="180"/>
          <w:divBdr>
            <w:top w:val="none" w:sz="0" w:space="0" w:color="auto"/>
            <w:left w:val="none" w:sz="0" w:space="0" w:color="auto"/>
            <w:bottom w:val="none" w:sz="0" w:space="0" w:color="auto"/>
            <w:right w:val="none" w:sz="0" w:space="0" w:color="auto"/>
          </w:divBdr>
        </w:div>
      </w:divsChild>
    </w:div>
    <w:div w:id="1464887544">
      <w:bodyDiv w:val="1"/>
      <w:marLeft w:val="0"/>
      <w:marRight w:val="0"/>
      <w:marTop w:val="0"/>
      <w:marBottom w:val="0"/>
      <w:divBdr>
        <w:top w:val="none" w:sz="0" w:space="0" w:color="auto"/>
        <w:left w:val="none" w:sz="0" w:space="0" w:color="auto"/>
        <w:bottom w:val="none" w:sz="0" w:space="0" w:color="auto"/>
        <w:right w:val="none" w:sz="0" w:space="0" w:color="auto"/>
      </w:divBdr>
    </w:div>
    <w:div w:id="1468546407">
      <w:bodyDiv w:val="1"/>
      <w:marLeft w:val="0"/>
      <w:marRight w:val="0"/>
      <w:marTop w:val="0"/>
      <w:marBottom w:val="0"/>
      <w:divBdr>
        <w:top w:val="none" w:sz="0" w:space="0" w:color="auto"/>
        <w:left w:val="none" w:sz="0" w:space="0" w:color="auto"/>
        <w:bottom w:val="none" w:sz="0" w:space="0" w:color="auto"/>
        <w:right w:val="none" w:sz="0" w:space="0" w:color="auto"/>
      </w:divBdr>
    </w:div>
    <w:div w:id="1469132505">
      <w:bodyDiv w:val="1"/>
      <w:marLeft w:val="0"/>
      <w:marRight w:val="0"/>
      <w:marTop w:val="0"/>
      <w:marBottom w:val="0"/>
      <w:divBdr>
        <w:top w:val="none" w:sz="0" w:space="0" w:color="auto"/>
        <w:left w:val="none" w:sz="0" w:space="0" w:color="auto"/>
        <w:bottom w:val="none" w:sz="0" w:space="0" w:color="auto"/>
        <w:right w:val="none" w:sz="0" w:space="0" w:color="auto"/>
      </w:divBdr>
      <w:divsChild>
        <w:div w:id="388726084">
          <w:marLeft w:val="0"/>
          <w:marRight w:val="0"/>
          <w:marTop w:val="0"/>
          <w:marBottom w:val="0"/>
          <w:divBdr>
            <w:top w:val="none" w:sz="0" w:space="0" w:color="auto"/>
            <w:left w:val="none" w:sz="0" w:space="0" w:color="auto"/>
            <w:bottom w:val="none" w:sz="0" w:space="0" w:color="auto"/>
            <w:right w:val="none" w:sz="0" w:space="0" w:color="auto"/>
          </w:divBdr>
        </w:div>
      </w:divsChild>
    </w:div>
    <w:div w:id="1475028299">
      <w:bodyDiv w:val="1"/>
      <w:marLeft w:val="0"/>
      <w:marRight w:val="0"/>
      <w:marTop w:val="0"/>
      <w:marBottom w:val="0"/>
      <w:divBdr>
        <w:top w:val="none" w:sz="0" w:space="0" w:color="auto"/>
        <w:left w:val="none" w:sz="0" w:space="0" w:color="auto"/>
        <w:bottom w:val="none" w:sz="0" w:space="0" w:color="auto"/>
        <w:right w:val="none" w:sz="0" w:space="0" w:color="auto"/>
      </w:divBdr>
    </w:div>
    <w:div w:id="1492453525">
      <w:bodyDiv w:val="1"/>
      <w:marLeft w:val="0"/>
      <w:marRight w:val="0"/>
      <w:marTop w:val="0"/>
      <w:marBottom w:val="0"/>
      <w:divBdr>
        <w:top w:val="none" w:sz="0" w:space="0" w:color="auto"/>
        <w:left w:val="none" w:sz="0" w:space="0" w:color="auto"/>
        <w:bottom w:val="none" w:sz="0" w:space="0" w:color="auto"/>
        <w:right w:val="none" w:sz="0" w:space="0" w:color="auto"/>
      </w:divBdr>
    </w:div>
    <w:div w:id="1508134747">
      <w:bodyDiv w:val="1"/>
      <w:marLeft w:val="0"/>
      <w:marRight w:val="0"/>
      <w:marTop w:val="0"/>
      <w:marBottom w:val="0"/>
      <w:divBdr>
        <w:top w:val="none" w:sz="0" w:space="0" w:color="auto"/>
        <w:left w:val="none" w:sz="0" w:space="0" w:color="auto"/>
        <w:bottom w:val="none" w:sz="0" w:space="0" w:color="auto"/>
        <w:right w:val="none" w:sz="0" w:space="0" w:color="auto"/>
      </w:divBdr>
    </w:div>
    <w:div w:id="1512530095">
      <w:bodyDiv w:val="1"/>
      <w:marLeft w:val="0"/>
      <w:marRight w:val="0"/>
      <w:marTop w:val="0"/>
      <w:marBottom w:val="0"/>
      <w:divBdr>
        <w:top w:val="none" w:sz="0" w:space="0" w:color="auto"/>
        <w:left w:val="none" w:sz="0" w:space="0" w:color="auto"/>
        <w:bottom w:val="none" w:sz="0" w:space="0" w:color="auto"/>
        <w:right w:val="none" w:sz="0" w:space="0" w:color="auto"/>
      </w:divBdr>
    </w:div>
    <w:div w:id="1525631642">
      <w:bodyDiv w:val="1"/>
      <w:marLeft w:val="0"/>
      <w:marRight w:val="0"/>
      <w:marTop w:val="0"/>
      <w:marBottom w:val="0"/>
      <w:divBdr>
        <w:top w:val="none" w:sz="0" w:space="0" w:color="auto"/>
        <w:left w:val="none" w:sz="0" w:space="0" w:color="auto"/>
        <w:bottom w:val="none" w:sz="0" w:space="0" w:color="auto"/>
        <w:right w:val="none" w:sz="0" w:space="0" w:color="auto"/>
      </w:divBdr>
    </w:div>
    <w:div w:id="1530532397">
      <w:bodyDiv w:val="1"/>
      <w:marLeft w:val="0"/>
      <w:marRight w:val="0"/>
      <w:marTop w:val="0"/>
      <w:marBottom w:val="0"/>
      <w:divBdr>
        <w:top w:val="none" w:sz="0" w:space="0" w:color="auto"/>
        <w:left w:val="none" w:sz="0" w:space="0" w:color="auto"/>
        <w:bottom w:val="none" w:sz="0" w:space="0" w:color="auto"/>
        <w:right w:val="none" w:sz="0" w:space="0" w:color="auto"/>
      </w:divBdr>
    </w:div>
    <w:div w:id="1542012560">
      <w:bodyDiv w:val="1"/>
      <w:marLeft w:val="0"/>
      <w:marRight w:val="0"/>
      <w:marTop w:val="0"/>
      <w:marBottom w:val="0"/>
      <w:divBdr>
        <w:top w:val="none" w:sz="0" w:space="0" w:color="auto"/>
        <w:left w:val="none" w:sz="0" w:space="0" w:color="auto"/>
        <w:bottom w:val="none" w:sz="0" w:space="0" w:color="auto"/>
        <w:right w:val="none" w:sz="0" w:space="0" w:color="auto"/>
      </w:divBdr>
    </w:div>
    <w:div w:id="1548565446">
      <w:bodyDiv w:val="1"/>
      <w:marLeft w:val="0"/>
      <w:marRight w:val="0"/>
      <w:marTop w:val="0"/>
      <w:marBottom w:val="0"/>
      <w:divBdr>
        <w:top w:val="none" w:sz="0" w:space="0" w:color="auto"/>
        <w:left w:val="none" w:sz="0" w:space="0" w:color="auto"/>
        <w:bottom w:val="none" w:sz="0" w:space="0" w:color="auto"/>
        <w:right w:val="none" w:sz="0" w:space="0" w:color="auto"/>
      </w:divBdr>
    </w:div>
    <w:div w:id="1550149355">
      <w:bodyDiv w:val="1"/>
      <w:marLeft w:val="0"/>
      <w:marRight w:val="0"/>
      <w:marTop w:val="0"/>
      <w:marBottom w:val="0"/>
      <w:divBdr>
        <w:top w:val="none" w:sz="0" w:space="0" w:color="auto"/>
        <w:left w:val="none" w:sz="0" w:space="0" w:color="auto"/>
        <w:bottom w:val="none" w:sz="0" w:space="0" w:color="auto"/>
        <w:right w:val="none" w:sz="0" w:space="0" w:color="auto"/>
      </w:divBdr>
    </w:div>
    <w:div w:id="1552577866">
      <w:bodyDiv w:val="1"/>
      <w:marLeft w:val="0"/>
      <w:marRight w:val="0"/>
      <w:marTop w:val="0"/>
      <w:marBottom w:val="0"/>
      <w:divBdr>
        <w:top w:val="none" w:sz="0" w:space="0" w:color="auto"/>
        <w:left w:val="none" w:sz="0" w:space="0" w:color="auto"/>
        <w:bottom w:val="none" w:sz="0" w:space="0" w:color="auto"/>
        <w:right w:val="none" w:sz="0" w:space="0" w:color="auto"/>
      </w:divBdr>
    </w:div>
    <w:div w:id="1577982458">
      <w:bodyDiv w:val="1"/>
      <w:marLeft w:val="0"/>
      <w:marRight w:val="0"/>
      <w:marTop w:val="0"/>
      <w:marBottom w:val="0"/>
      <w:divBdr>
        <w:top w:val="none" w:sz="0" w:space="0" w:color="auto"/>
        <w:left w:val="none" w:sz="0" w:space="0" w:color="auto"/>
        <w:bottom w:val="none" w:sz="0" w:space="0" w:color="auto"/>
        <w:right w:val="none" w:sz="0" w:space="0" w:color="auto"/>
      </w:divBdr>
    </w:div>
    <w:div w:id="1583487643">
      <w:bodyDiv w:val="1"/>
      <w:marLeft w:val="0"/>
      <w:marRight w:val="0"/>
      <w:marTop w:val="0"/>
      <w:marBottom w:val="0"/>
      <w:divBdr>
        <w:top w:val="none" w:sz="0" w:space="0" w:color="auto"/>
        <w:left w:val="none" w:sz="0" w:space="0" w:color="auto"/>
        <w:bottom w:val="none" w:sz="0" w:space="0" w:color="auto"/>
        <w:right w:val="none" w:sz="0" w:space="0" w:color="auto"/>
      </w:divBdr>
    </w:div>
    <w:div w:id="1590693120">
      <w:bodyDiv w:val="1"/>
      <w:marLeft w:val="0"/>
      <w:marRight w:val="0"/>
      <w:marTop w:val="0"/>
      <w:marBottom w:val="0"/>
      <w:divBdr>
        <w:top w:val="none" w:sz="0" w:space="0" w:color="auto"/>
        <w:left w:val="none" w:sz="0" w:space="0" w:color="auto"/>
        <w:bottom w:val="none" w:sz="0" w:space="0" w:color="auto"/>
        <w:right w:val="none" w:sz="0" w:space="0" w:color="auto"/>
      </w:divBdr>
    </w:div>
    <w:div w:id="1596398840">
      <w:bodyDiv w:val="1"/>
      <w:marLeft w:val="0"/>
      <w:marRight w:val="0"/>
      <w:marTop w:val="0"/>
      <w:marBottom w:val="0"/>
      <w:divBdr>
        <w:top w:val="none" w:sz="0" w:space="0" w:color="auto"/>
        <w:left w:val="none" w:sz="0" w:space="0" w:color="auto"/>
        <w:bottom w:val="none" w:sz="0" w:space="0" w:color="auto"/>
        <w:right w:val="none" w:sz="0" w:space="0" w:color="auto"/>
      </w:divBdr>
    </w:div>
    <w:div w:id="1598099977">
      <w:bodyDiv w:val="1"/>
      <w:marLeft w:val="0"/>
      <w:marRight w:val="0"/>
      <w:marTop w:val="0"/>
      <w:marBottom w:val="0"/>
      <w:divBdr>
        <w:top w:val="none" w:sz="0" w:space="0" w:color="auto"/>
        <w:left w:val="none" w:sz="0" w:space="0" w:color="auto"/>
        <w:bottom w:val="none" w:sz="0" w:space="0" w:color="auto"/>
        <w:right w:val="none" w:sz="0" w:space="0" w:color="auto"/>
      </w:divBdr>
    </w:div>
    <w:div w:id="1605501807">
      <w:bodyDiv w:val="1"/>
      <w:marLeft w:val="0"/>
      <w:marRight w:val="0"/>
      <w:marTop w:val="0"/>
      <w:marBottom w:val="0"/>
      <w:divBdr>
        <w:top w:val="none" w:sz="0" w:space="0" w:color="auto"/>
        <w:left w:val="none" w:sz="0" w:space="0" w:color="auto"/>
        <w:bottom w:val="none" w:sz="0" w:space="0" w:color="auto"/>
        <w:right w:val="none" w:sz="0" w:space="0" w:color="auto"/>
      </w:divBdr>
    </w:div>
    <w:div w:id="1620406215">
      <w:bodyDiv w:val="1"/>
      <w:marLeft w:val="0"/>
      <w:marRight w:val="0"/>
      <w:marTop w:val="0"/>
      <w:marBottom w:val="0"/>
      <w:divBdr>
        <w:top w:val="none" w:sz="0" w:space="0" w:color="auto"/>
        <w:left w:val="none" w:sz="0" w:space="0" w:color="auto"/>
        <w:bottom w:val="none" w:sz="0" w:space="0" w:color="auto"/>
        <w:right w:val="none" w:sz="0" w:space="0" w:color="auto"/>
      </w:divBdr>
    </w:div>
    <w:div w:id="1626305074">
      <w:bodyDiv w:val="1"/>
      <w:marLeft w:val="0"/>
      <w:marRight w:val="0"/>
      <w:marTop w:val="0"/>
      <w:marBottom w:val="0"/>
      <w:divBdr>
        <w:top w:val="none" w:sz="0" w:space="0" w:color="auto"/>
        <w:left w:val="none" w:sz="0" w:space="0" w:color="auto"/>
        <w:bottom w:val="none" w:sz="0" w:space="0" w:color="auto"/>
        <w:right w:val="none" w:sz="0" w:space="0" w:color="auto"/>
      </w:divBdr>
    </w:div>
    <w:div w:id="1632200324">
      <w:bodyDiv w:val="1"/>
      <w:marLeft w:val="0"/>
      <w:marRight w:val="0"/>
      <w:marTop w:val="0"/>
      <w:marBottom w:val="0"/>
      <w:divBdr>
        <w:top w:val="none" w:sz="0" w:space="0" w:color="auto"/>
        <w:left w:val="none" w:sz="0" w:space="0" w:color="auto"/>
        <w:bottom w:val="none" w:sz="0" w:space="0" w:color="auto"/>
        <w:right w:val="none" w:sz="0" w:space="0" w:color="auto"/>
      </w:divBdr>
    </w:div>
    <w:div w:id="1634364009">
      <w:bodyDiv w:val="1"/>
      <w:marLeft w:val="0"/>
      <w:marRight w:val="0"/>
      <w:marTop w:val="0"/>
      <w:marBottom w:val="0"/>
      <w:divBdr>
        <w:top w:val="none" w:sz="0" w:space="0" w:color="auto"/>
        <w:left w:val="none" w:sz="0" w:space="0" w:color="auto"/>
        <w:bottom w:val="none" w:sz="0" w:space="0" w:color="auto"/>
        <w:right w:val="none" w:sz="0" w:space="0" w:color="auto"/>
      </w:divBdr>
    </w:div>
    <w:div w:id="1662349465">
      <w:bodyDiv w:val="1"/>
      <w:marLeft w:val="0"/>
      <w:marRight w:val="0"/>
      <w:marTop w:val="0"/>
      <w:marBottom w:val="0"/>
      <w:divBdr>
        <w:top w:val="none" w:sz="0" w:space="0" w:color="auto"/>
        <w:left w:val="none" w:sz="0" w:space="0" w:color="auto"/>
        <w:bottom w:val="none" w:sz="0" w:space="0" w:color="auto"/>
        <w:right w:val="none" w:sz="0" w:space="0" w:color="auto"/>
      </w:divBdr>
      <w:divsChild>
        <w:div w:id="1124735424">
          <w:marLeft w:val="0"/>
          <w:marRight w:val="0"/>
          <w:marTop w:val="600"/>
          <w:marBottom w:val="450"/>
          <w:divBdr>
            <w:top w:val="none" w:sz="0" w:space="0" w:color="auto"/>
            <w:left w:val="none" w:sz="0" w:space="0" w:color="auto"/>
            <w:bottom w:val="none" w:sz="0" w:space="0" w:color="auto"/>
            <w:right w:val="none" w:sz="0" w:space="0" w:color="auto"/>
          </w:divBdr>
        </w:div>
        <w:div w:id="1871530045">
          <w:marLeft w:val="0"/>
          <w:marRight w:val="0"/>
          <w:marTop w:val="480"/>
          <w:marBottom w:val="0"/>
          <w:divBdr>
            <w:top w:val="single" w:sz="6" w:space="0" w:color="CCCCCC"/>
            <w:left w:val="single" w:sz="6" w:space="0" w:color="CCCCCC"/>
            <w:bottom w:val="single" w:sz="6" w:space="0" w:color="CCCCCC"/>
            <w:right w:val="single" w:sz="6" w:space="0" w:color="CCCCCC"/>
          </w:divBdr>
        </w:div>
      </w:divsChild>
    </w:div>
    <w:div w:id="1666282120">
      <w:bodyDiv w:val="1"/>
      <w:marLeft w:val="0"/>
      <w:marRight w:val="0"/>
      <w:marTop w:val="0"/>
      <w:marBottom w:val="0"/>
      <w:divBdr>
        <w:top w:val="none" w:sz="0" w:space="0" w:color="auto"/>
        <w:left w:val="none" w:sz="0" w:space="0" w:color="auto"/>
        <w:bottom w:val="none" w:sz="0" w:space="0" w:color="auto"/>
        <w:right w:val="none" w:sz="0" w:space="0" w:color="auto"/>
      </w:divBdr>
    </w:div>
    <w:div w:id="1679190054">
      <w:bodyDiv w:val="1"/>
      <w:marLeft w:val="0"/>
      <w:marRight w:val="0"/>
      <w:marTop w:val="0"/>
      <w:marBottom w:val="0"/>
      <w:divBdr>
        <w:top w:val="none" w:sz="0" w:space="0" w:color="auto"/>
        <w:left w:val="none" w:sz="0" w:space="0" w:color="auto"/>
        <w:bottom w:val="none" w:sz="0" w:space="0" w:color="auto"/>
        <w:right w:val="none" w:sz="0" w:space="0" w:color="auto"/>
      </w:divBdr>
    </w:div>
    <w:div w:id="1679770095">
      <w:bodyDiv w:val="1"/>
      <w:marLeft w:val="0"/>
      <w:marRight w:val="0"/>
      <w:marTop w:val="0"/>
      <w:marBottom w:val="0"/>
      <w:divBdr>
        <w:top w:val="none" w:sz="0" w:space="0" w:color="auto"/>
        <w:left w:val="none" w:sz="0" w:space="0" w:color="auto"/>
        <w:bottom w:val="none" w:sz="0" w:space="0" w:color="auto"/>
        <w:right w:val="none" w:sz="0" w:space="0" w:color="auto"/>
      </w:divBdr>
      <w:divsChild>
        <w:div w:id="1424254029">
          <w:marLeft w:val="0"/>
          <w:marRight w:val="0"/>
          <w:marTop w:val="0"/>
          <w:marBottom w:val="0"/>
          <w:divBdr>
            <w:top w:val="none" w:sz="0" w:space="0" w:color="auto"/>
            <w:left w:val="none" w:sz="0" w:space="0" w:color="auto"/>
            <w:bottom w:val="none" w:sz="0" w:space="0" w:color="auto"/>
            <w:right w:val="none" w:sz="0" w:space="0" w:color="auto"/>
          </w:divBdr>
          <w:divsChild>
            <w:div w:id="1594123467">
              <w:marLeft w:val="0"/>
              <w:marRight w:val="0"/>
              <w:marTop w:val="0"/>
              <w:marBottom w:val="0"/>
              <w:divBdr>
                <w:top w:val="single" w:sz="6" w:space="0" w:color="DEDEDE"/>
                <w:left w:val="single" w:sz="6" w:space="0" w:color="DEDEDE"/>
                <w:bottom w:val="single" w:sz="6" w:space="0" w:color="DEDEDE"/>
                <w:right w:val="single" w:sz="6" w:space="0" w:color="DEDEDE"/>
              </w:divBdr>
              <w:divsChild>
                <w:div w:id="752121426">
                  <w:marLeft w:val="0"/>
                  <w:marRight w:val="0"/>
                  <w:marTop w:val="0"/>
                  <w:marBottom w:val="0"/>
                  <w:divBdr>
                    <w:top w:val="none" w:sz="0" w:space="0" w:color="auto"/>
                    <w:left w:val="none" w:sz="0" w:space="0" w:color="auto"/>
                    <w:bottom w:val="none" w:sz="0" w:space="0" w:color="auto"/>
                    <w:right w:val="none" w:sz="0" w:space="0" w:color="auto"/>
                  </w:divBdr>
                  <w:divsChild>
                    <w:div w:id="17237641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21062085">
          <w:marLeft w:val="0"/>
          <w:marRight w:val="0"/>
          <w:marTop w:val="0"/>
          <w:marBottom w:val="0"/>
          <w:divBdr>
            <w:top w:val="none" w:sz="0" w:space="0" w:color="auto"/>
            <w:left w:val="none" w:sz="0" w:space="0" w:color="auto"/>
            <w:bottom w:val="none" w:sz="0" w:space="0" w:color="auto"/>
            <w:right w:val="none" w:sz="0" w:space="0" w:color="auto"/>
          </w:divBdr>
          <w:divsChild>
            <w:div w:id="2011635587">
              <w:marLeft w:val="0"/>
              <w:marRight w:val="0"/>
              <w:marTop w:val="0"/>
              <w:marBottom w:val="0"/>
              <w:divBdr>
                <w:top w:val="none" w:sz="0" w:space="0" w:color="auto"/>
                <w:left w:val="none" w:sz="0" w:space="0" w:color="auto"/>
                <w:bottom w:val="none" w:sz="0" w:space="0" w:color="auto"/>
                <w:right w:val="none" w:sz="0" w:space="0" w:color="auto"/>
              </w:divBdr>
              <w:divsChild>
                <w:div w:id="209996962">
                  <w:marLeft w:val="0"/>
                  <w:marRight w:val="0"/>
                  <w:marTop w:val="0"/>
                  <w:marBottom w:val="0"/>
                  <w:divBdr>
                    <w:top w:val="single" w:sz="6" w:space="8" w:color="EEEEEE"/>
                    <w:left w:val="none" w:sz="0" w:space="8" w:color="auto"/>
                    <w:bottom w:val="single" w:sz="6" w:space="8" w:color="EEEEEE"/>
                    <w:right w:val="single" w:sz="6" w:space="8" w:color="EEEEEE"/>
                  </w:divBdr>
                  <w:divsChild>
                    <w:div w:id="3681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8005">
      <w:bodyDiv w:val="1"/>
      <w:marLeft w:val="0"/>
      <w:marRight w:val="0"/>
      <w:marTop w:val="0"/>
      <w:marBottom w:val="0"/>
      <w:divBdr>
        <w:top w:val="none" w:sz="0" w:space="0" w:color="auto"/>
        <w:left w:val="none" w:sz="0" w:space="0" w:color="auto"/>
        <w:bottom w:val="none" w:sz="0" w:space="0" w:color="auto"/>
        <w:right w:val="none" w:sz="0" w:space="0" w:color="auto"/>
      </w:divBdr>
    </w:div>
    <w:div w:id="1687055224">
      <w:bodyDiv w:val="1"/>
      <w:marLeft w:val="0"/>
      <w:marRight w:val="0"/>
      <w:marTop w:val="0"/>
      <w:marBottom w:val="0"/>
      <w:divBdr>
        <w:top w:val="none" w:sz="0" w:space="0" w:color="auto"/>
        <w:left w:val="none" w:sz="0" w:space="0" w:color="auto"/>
        <w:bottom w:val="none" w:sz="0" w:space="0" w:color="auto"/>
        <w:right w:val="none" w:sz="0" w:space="0" w:color="auto"/>
      </w:divBdr>
      <w:divsChild>
        <w:div w:id="1054548296">
          <w:marLeft w:val="0"/>
          <w:marRight w:val="0"/>
          <w:marTop w:val="0"/>
          <w:marBottom w:val="0"/>
          <w:divBdr>
            <w:top w:val="none" w:sz="0" w:space="0" w:color="auto"/>
            <w:left w:val="none" w:sz="0" w:space="0" w:color="auto"/>
            <w:bottom w:val="none" w:sz="0" w:space="0" w:color="auto"/>
            <w:right w:val="none" w:sz="0" w:space="0" w:color="auto"/>
          </w:divBdr>
          <w:divsChild>
            <w:div w:id="4552474">
              <w:marLeft w:val="0"/>
              <w:marRight w:val="0"/>
              <w:marTop w:val="0"/>
              <w:marBottom w:val="0"/>
              <w:divBdr>
                <w:top w:val="single" w:sz="6" w:space="0" w:color="DEDEDE"/>
                <w:left w:val="single" w:sz="6" w:space="0" w:color="DEDEDE"/>
                <w:bottom w:val="single" w:sz="6" w:space="0" w:color="DEDEDE"/>
                <w:right w:val="single" w:sz="6" w:space="0" w:color="DEDEDE"/>
              </w:divBdr>
              <w:divsChild>
                <w:div w:id="1607688392">
                  <w:marLeft w:val="0"/>
                  <w:marRight w:val="0"/>
                  <w:marTop w:val="0"/>
                  <w:marBottom w:val="0"/>
                  <w:divBdr>
                    <w:top w:val="none" w:sz="0" w:space="0" w:color="auto"/>
                    <w:left w:val="none" w:sz="0" w:space="0" w:color="auto"/>
                    <w:bottom w:val="none" w:sz="0" w:space="0" w:color="auto"/>
                    <w:right w:val="none" w:sz="0" w:space="0" w:color="auto"/>
                  </w:divBdr>
                  <w:divsChild>
                    <w:div w:id="149607427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94607681">
          <w:marLeft w:val="0"/>
          <w:marRight w:val="0"/>
          <w:marTop w:val="0"/>
          <w:marBottom w:val="0"/>
          <w:divBdr>
            <w:top w:val="none" w:sz="0" w:space="0" w:color="auto"/>
            <w:left w:val="none" w:sz="0" w:space="0" w:color="auto"/>
            <w:bottom w:val="none" w:sz="0" w:space="0" w:color="auto"/>
            <w:right w:val="none" w:sz="0" w:space="0" w:color="auto"/>
          </w:divBdr>
          <w:divsChild>
            <w:div w:id="506362616">
              <w:marLeft w:val="0"/>
              <w:marRight w:val="0"/>
              <w:marTop w:val="0"/>
              <w:marBottom w:val="0"/>
              <w:divBdr>
                <w:top w:val="none" w:sz="0" w:space="0" w:color="auto"/>
                <w:left w:val="none" w:sz="0" w:space="0" w:color="auto"/>
                <w:bottom w:val="none" w:sz="0" w:space="0" w:color="auto"/>
                <w:right w:val="none" w:sz="0" w:space="0" w:color="auto"/>
              </w:divBdr>
              <w:divsChild>
                <w:div w:id="1836994329">
                  <w:marLeft w:val="0"/>
                  <w:marRight w:val="0"/>
                  <w:marTop w:val="0"/>
                  <w:marBottom w:val="0"/>
                  <w:divBdr>
                    <w:top w:val="single" w:sz="6" w:space="8" w:color="EEEEEE"/>
                    <w:left w:val="none" w:sz="0" w:space="8" w:color="auto"/>
                    <w:bottom w:val="single" w:sz="6" w:space="8" w:color="EEEEEE"/>
                    <w:right w:val="single" w:sz="6" w:space="8" w:color="EEEEEE"/>
                  </w:divBdr>
                  <w:divsChild>
                    <w:div w:id="13024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9410">
      <w:bodyDiv w:val="1"/>
      <w:marLeft w:val="0"/>
      <w:marRight w:val="0"/>
      <w:marTop w:val="0"/>
      <w:marBottom w:val="0"/>
      <w:divBdr>
        <w:top w:val="none" w:sz="0" w:space="0" w:color="auto"/>
        <w:left w:val="none" w:sz="0" w:space="0" w:color="auto"/>
        <w:bottom w:val="none" w:sz="0" w:space="0" w:color="auto"/>
        <w:right w:val="none" w:sz="0" w:space="0" w:color="auto"/>
      </w:divBdr>
    </w:div>
    <w:div w:id="1718123405">
      <w:bodyDiv w:val="1"/>
      <w:marLeft w:val="0"/>
      <w:marRight w:val="0"/>
      <w:marTop w:val="0"/>
      <w:marBottom w:val="0"/>
      <w:divBdr>
        <w:top w:val="none" w:sz="0" w:space="0" w:color="auto"/>
        <w:left w:val="none" w:sz="0" w:space="0" w:color="auto"/>
        <w:bottom w:val="none" w:sz="0" w:space="0" w:color="auto"/>
        <w:right w:val="none" w:sz="0" w:space="0" w:color="auto"/>
      </w:divBdr>
      <w:divsChild>
        <w:div w:id="1434323321">
          <w:marLeft w:val="0"/>
          <w:marRight w:val="0"/>
          <w:marTop w:val="0"/>
          <w:marBottom w:val="0"/>
          <w:divBdr>
            <w:top w:val="none" w:sz="0" w:space="0" w:color="auto"/>
            <w:left w:val="none" w:sz="0" w:space="0" w:color="auto"/>
            <w:bottom w:val="none" w:sz="0" w:space="0" w:color="auto"/>
            <w:right w:val="none" w:sz="0" w:space="0" w:color="auto"/>
          </w:divBdr>
        </w:div>
      </w:divsChild>
    </w:div>
    <w:div w:id="1742556060">
      <w:bodyDiv w:val="1"/>
      <w:marLeft w:val="0"/>
      <w:marRight w:val="0"/>
      <w:marTop w:val="0"/>
      <w:marBottom w:val="0"/>
      <w:divBdr>
        <w:top w:val="none" w:sz="0" w:space="0" w:color="auto"/>
        <w:left w:val="none" w:sz="0" w:space="0" w:color="auto"/>
        <w:bottom w:val="none" w:sz="0" w:space="0" w:color="auto"/>
        <w:right w:val="none" w:sz="0" w:space="0" w:color="auto"/>
      </w:divBdr>
    </w:div>
    <w:div w:id="1750081782">
      <w:bodyDiv w:val="1"/>
      <w:marLeft w:val="0"/>
      <w:marRight w:val="0"/>
      <w:marTop w:val="0"/>
      <w:marBottom w:val="0"/>
      <w:divBdr>
        <w:top w:val="none" w:sz="0" w:space="0" w:color="auto"/>
        <w:left w:val="none" w:sz="0" w:space="0" w:color="auto"/>
        <w:bottom w:val="none" w:sz="0" w:space="0" w:color="auto"/>
        <w:right w:val="none" w:sz="0" w:space="0" w:color="auto"/>
      </w:divBdr>
    </w:div>
    <w:div w:id="1760179302">
      <w:bodyDiv w:val="1"/>
      <w:marLeft w:val="0"/>
      <w:marRight w:val="0"/>
      <w:marTop w:val="0"/>
      <w:marBottom w:val="0"/>
      <w:divBdr>
        <w:top w:val="none" w:sz="0" w:space="0" w:color="auto"/>
        <w:left w:val="none" w:sz="0" w:space="0" w:color="auto"/>
        <w:bottom w:val="none" w:sz="0" w:space="0" w:color="auto"/>
        <w:right w:val="none" w:sz="0" w:space="0" w:color="auto"/>
      </w:divBdr>
    </w:div>
    <w:div w:id="1766726605">
      <w:bodyDiv w:val="1"/>
      <w:marLeft w:val="0"/>
      <w:marRight w:val="0"/>
      <w:marTop w:val="0"/>
      <w:marBottom w:val="0"/>
      <w:divBdr>
        <w:top w:val="none" w:sz="0" w:space="0" w:color="auto"/>
        <w:left w:val="none" w:sz="0" w:space="0" w:color="auto"/>
        <w:bottom w:val="none" w:sz="0" w:space="0" w:color="auto"/>
        <w:right w:val="none" w:sz="0" w:space="0" w:color="auto"/>
      </w:divBdr>
    </w:div>
    <w:div w:id="1767992090">
      <w:bodyDiv w:val="1"/>
      <w:marLeft w:val="0"/>
      <w:marRight w:val="0"/>
      <w:marTop w:val="0"/>
      <w:marBottom w:val="0"/>
      <w:divBdr>
        <w:top w:val="none" w:sz="0" w:space="0" w:color="auto"/>
        <w:left w:val="none" w:sz="0" w:space="0" w:color="auto"/>
        <w:bottom w:val="none" w:sz="0" w:space="0" w:color="auto"/>
        <w:right w:val="none" w:sz="0" w:space="0" w:color="auto"/>
      </w:divBdr>
    </w:div>
    <w:div w:id="1768111436">
      <w:bodyDiv w:val="1"/>
      <w:marLeft w:val="0"/>
      <w:marRight w:val="0"/>
      <w:marTop w:val="0"/>
      <w:marBottom w:val="0"/>
      <w:divBdr>
        <w:top w:val="none" w:sz="0" w:space="0" w:color="auto"/>
        <w:left w:val="none" w:sz="0" w:space="0" w:color="auto"/>
        <w:bottom w:val="none" w:sz="0" w:space="0" w:color="auto"/>
        <w:right w:val="none" w:sz="0" w:space="0" w:color="auto"/>
      </w:divBdr>
    </w:div>
    <w:div w:id="1771701279">
      <w:bodyDiv w:val="1"/>
      <w:marLeft w:val="0"/>
      <w:marRight w:val="0"/>
      <w:marTop w:val="0"/>
      <w:marBottom w:val="0"/>
      <w:divBdr>
        <w:top w:val="none" w:sz="0" w:space="0" w:color="auto"/>
        <w:left w:val="none" w:sz="0" w:space="0" w:color="auto"/>
        <w:bottom w:val="none" w:sz="0" w:space="0" w:color="auto"/>
        <w:right w:val="none" w:sz="0" w:space="0" w:color="auto"/>
      </w:divBdr>
    </w:div>
    <w:div w:id="1779644437">
      <w:bodyDiv w:val="1"/>
      <w:marLeft w:val="0"/>
      <w:marRight w:val="0"/>
      <w:marTop w:val="0"/>
      <w:marBottom w:val="0"/>
      <w:divBdr>
        <w:top w:val="none" w:sz="0" w:space="0" w:color="auto"/>
        <w:left w:val="none" w:sz="0" w:space="0" w:color="auto"/>
        <w:bottom w:val="none" w:sz="0" w:space="0" w:color="auto"/>
        <w:right w:val="none" w:sz="0" w:space="0" w:color="auto"/>
      </w:divBdr>
    </w:div>
    <w:div w:id="1780448247">
      <w:bodyDiv w:val="1"/>
      <w:marLeft w:val="0"/>
      <w:marRight w:val="0"/>
      <w:marTop w:val="0"/>
      <w:marBottom w:val="0"/>
      <w:divBdr>
        <w:top w:val="none" w:sz="0" w:space="0" w:color="auto"/>
        <w:left w:val="none" w:sz="0" w:space="0" w:color="auto"/>
        <w:bottom w:val="none" w:sz="0" w:space="0" w:color="auto"/>
        <w:right w:val="none" w:sz="0" w:space="0" w:color="auto"/>
      </w:divBdr>
    </w:div>
    <w:div w:id="1786191537">
      <w:bodyDiv w:val="1"/>
      <w:marLeft w:val="0"/>
      <w:marRight w:val="0"/>
      <w:marTop w:val="0"/>
      <w:marBottom w:val="0"/>
      <w:divBdr>
        <w:top w:val="none" w:sz="0" w:space="0" w:color="auto"/>
        <w:left w:val="none" w:sz="0" w:space="0" w:color="auto"/>
        <w:bottom w:val="none" w:sz="0" w:space="0" w:color="auto"/>
        <w:right w:val="none" w:sz="0" w:space="0" w:color="auto"/>
      </w:divBdr>
    </w:div>
    <w:div w:id="1788546003">
      <w:bodyDiv w:val="1"/>
      <w:marLeft w:val="0"/>
      <w:marRight w:val="0"/>
      <w:marTop w:val="0"/>
      <w:marBottom w:val="0"/>
      <w:divBdr>
        <w:top w:val="none" w:sz="0" w:space="0" w:color="auto"/>
        <w:left w:val="none" w:sz="0" w:space="0" w:color="auto"/>
        <w:bottom w:val="none" w:sz="0" w:space="0" w:color="auto"/>
        <w:right w:val="none" w:sz="0" w:space="0" w:color="auto"/>
      </w:divBdr>
    </w:div>
    <w:div w:id="1810903697">
      <w:bodyDiv w:val="1"/>
      <w:marLeft w:val="0"/>
      <w:marRight w:val="0"/>
      <w:marTop w:val="0"/>
      <w:marBottom w:val="0"/>
      <w:divBdr>
        <w:top w:val="none" w:sz="0" w:space="0" w:color="auto"/>
        <w:left w:val="none" w:sz="0" w:space="0" w:color="auto"/>
        <w:bottom w:val="none" w:sz="0" w:space="0" w:color="auto"/>
        <w:right w:val="none" w:sz="0" w:space="0" w:color="auto"/>
      </w:divBdr>
    </w:div>
    <w:div w:id="1817527264">
      <w:bodyDiv w:val="1"/>
      <w:marLeft w:val="0"/>
      <w:marRight w:val="0"/>
      <w:marTop w:val="0"/>
      <w:marBottom w:val="0"/>
      <w:divBdr>
        <w:top w:val="none" w:sz="0" w:space="0" w:color="auto"/>
        <w:left w:val="none" w:sz="0" w:space="0" w:color="auto"/>
        <w:bottom w:val="none" w:sz="0" w:space="0" w:color="auto"/>
        <w:right w:val="none" w:sz="0" w:space="0" w:color="auto"/>
      </w:divBdr>
    </w:div>
    <w:div w:id="1820728244">
      <w:bodyDiv w:val="1"/>
      <w:marLeft w:val="0"/>
      <w:marRight w:val="0"/>
      <w:marTop w:val="0"/>
      <w:marBottom w:val="0"/>
      <w:divBdr>
        <w:top w:val="none" w:sz="0" w:space="0" w:color="auto"/>
        <w:left w:val="none" w:sz="0" w:space="0" w:color="auto"/>
        <w:bottom w:val="none" w:sz="0" w:space="0" w:color="auto"/>
        <w:right w:val="none" w:sz="0" w:space="0" w:color="auto"/>
      </w:divBdr>
      <w:divsChild>
        <w:div w:id="1182629517">
          <w:marLeft w:val="446"/>
          <w:marRight w:val="0"/>
          <w:marTop w:val="360"/>
          <w:marBottom w:val="0"/>
          <w:divBdr>
            <w:top w:val="none" w:sz="0" w:space="0" w:color="auto"/>
            <w:left w:val="none" w:sz="0" w:space="0" w:color="auto"/>
            <w:bottom w:val="none" w:sz="0" w:space="0" w:color="auto"/>
            <w:right w:val="none" w:sz="0" w:space="0" w:color="auto"/>
          </w:divBdr>
        </w:div>
        <w:div w:id="1349721676">
          <w:marLeft w:val="446"/>
          <w:marRight w:val="0"/>
          <w:marTop w:val="360"/>
          <w:marBottom w:val="0"/>
          <w:divBdr>
            <w:top w:val="none" w:sz="0" w:space="0" w:color="auto"/>
            <w:left w:val="none" w:sz="0" w:space="0" w:color="auto"/>
            <w:bottom w:val="none" w:sz="0" w:space="0" w:color="auto"/>
            <w:right w:val="none" w:sz="0" w:space="0" w:color="auto"/>
          </w:divBdr>
        </w:div>
        <w:div w:id="1869876202">
          <w:marLeft w:val="446"/>
          <w:marRight w:val="0"/>
          <w:marTop w:val="360"/>
          <w:marBottom w:val="0"/>
          <w:divBdr>
            <w:top w:val="none" w:sz="0" w:space="0" w:color="auto"/>
            <w:left w:val="none" w:sz="0" w:space="0" w:color="auto"/>
            <w:bottom w:val="none" w:sz="0" w:space="0" w:color="auto"/>
            <w:right w:val="none" w:sz="0" w:space="0" w:color="auto"/>
          </w:divBdr>
        </w:div>
      </w:divsChild>
    </w:div>
    <w:div w:id="1845582027">
      <w:bodyDiv w:val="1"/>
      <w:marLeft w:val="0"/>
      <w:marRight w:val="0"/>
      <w:marTop w:val="0"/>
      <w:marBottom w:val="0"/>
      <w:divBdr>
        <w:top w:val="none" w:sz="0" w:space="0" w:color="auto"/>
        <w:left w:val="none" w:sz="0" w:space="0" w:color="auto"/>
        <w:bottom w:val="none" w:sz="0" w:space="0" w:color="auto"/>
        <w:right w:val="none" w:sz="0" w:space="0" w:color="auto"/>
      </w:divBdr>
    </w:div>
    <w:div w:id="1879582843">
      <w:bodyDiv w:val="1"/>
      <w:marLeft w:val="0"/>
      <w:marRight w:val="0"/>
      <w:marTop w:val="0"/>
      <w:marBottom w:val="0"/>
      <w:divBdr>
        <w:top w:val="none" w:sz="0" w:space="0" w:color="auto"/>
        <w:left w:val="none" w:sz="0" w:space="0" w:color="auto"/>
        <w:bottom w:val="none" w:sz="0" w:space="0" w:color="auto"/>
        <w:right w:val="none" w:sz="0" w:space="0" w:color="auto"/>
      </w:divBdr>
      <w:divsChild>
        <w:div w:id="1876042134">
          <w:marLeft w:val="0"/>
          <w:marRight w:val="0"/>
          <w:marTop w:val="0"/>
          <w:marBottom w:val="0"/>
          <w:divBdr>
            <w:top w:val="none" w:sz="0" w:space="0" w:color="auto"/>
            <w:left w:val="none" w:sz="0" w:space="0" w:color="auto"/>
            <w:bottom w:val="none" w:sz="0" w:space="0" w:color="auto"/>
            <w:right w:val="none" w:sz="0" w:space="0" w:color="auto"/>
          </w:divBdr>
          <w:divsChild>
            <w:div w:id="1081214716">
              <w:marLeft w:val="0"/>
              <w:marRight w:val="0"/>
              <w:marTop w:val="0"/>
              <w:marBottom w:val="0"/>
              <w:divBdr>
                <w:top w:val="none" w:sz="0" w:space="0" w:color="auto"/>
                <w:left w:val="none" w:sz="0" w:space="0" w:color="auto"/>
                <w:bottom w:val="none" w:sz="0" w:space="0" w:color="auto"/>
                <w:right w:val="none" w:sz="0" w:space="0" w:color="auto"/>
              </w:divBdr>
              <w:divsChild>
                <w:div w:id="13647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982">
          <w:marLeft w:val="0"/>
          <w:marRight w:val="0"/>
          <w:marTop w:val="0"/>
          <w:marBottom w:val="0"/>
          <w:divBdr>
            <w:top w:val="none" w:sz="0" w:space="0" w:color="auto"/>
            <w:left w:val="none" w:sz="0" w:space="0" w:color="auto"/>
            <w:bottom w:val="none" w:sz="0" w:space="0" w:color="auto"/>
            <w:right w:val="none" w:sz="0" w:space="0" w:color="auto"/>
          </w:divBdr>
          <w:divsChild>
            <w:div w:id="1368525409">
              <w:marLeft w:val="0"/>
              <w:marRight w:val="0"/>
              <w:marTop w:val="0"/>
              <w:marBottom w:val="0"/>
              <w:divBdr>
                <w:top w:val="none" w:sz="0" w:space="0" w:color="auto"/>
                <w:left w:val="none" w:sz="0" w:space="0" w:color="auto"/>
                <w:bottom w:val="none" w:sz="0" w:space="0" w:color="auto"/>
                <w:right w:val="none" w:sz="0" w:space="0" w:color="auto"/>
              </w:divBdr>
              <w:divsChild>
                <w:div w:id="298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2456">
          <w:marLeft w:val="0"/>
          <w:marRight w:val="0"/>
          <w:marTop w:val="0"/>
          <w:marBottom w:val="0"/>
          <w:divBdr>
            <w:top w:val="none" w:sz="0" w:space="0" w:color="auto"/>
            <w:left w:val="none" w:sz="0" w:space="0" w:color="auto"/>
            <w:bottom w:val="none" w:sz="0" w:space="0" w:color="auto"/>
            <w:right w:val="none" w:sz="0" w:space="0" w:color="auto"/>
          </w:divBdr>
          <w:divsChild>
            <w:div w:id="2032100217">
              <w:marLeft w:val="0"/>
              <w:marRight w:val="0"/>
              <w:marTop w:val="0"/>
              <w:marBottom w:val="0"/>
              <w:divBdr>
                <w:top w:val="none" w:sz="0" w:space="0" w:color="auto"/>
                <w:left w:val="none" w:sz="0" w:space="0" w:color="auto"/>
                <w:bottom w:val="none" w:sz="0" w:space="0" w:color="auto"/>
                <w:right w:val="none" w:sz="0" w:space="0" w:color="auto"/>
              </w:divBdr>
              <w:divsChild>
                <w:div w:id="221478105">
                  <w:marLeft w:val="0"/>
                  <w:marRight w:val="0"/>
                  <w:marTop w:val="0"/>
                  <w:marBottom w:val="0"/>
                  <w:divBdr>
                    <w:top w:val="none" w:sz="0" w:space="0" w:color="auto"/>
                    <w:left w:val="none" w:sz="0" w:space="0" w:color="auto"/>
                    <w:bottom w:val="none" w:sz="0" w:space="0" w:color="auto"/>
                    <w:right w:val="none" w:sz="0" w:space="0" w:color="auto"/>
                  </w:divBdr>
                </w:div>
                <w:div w:id="967080671">
                  <w:marLeft w:val="0"/>
                  <w:marRight w:val="0"/>
                  <w:marTop w:val="0"/>
                  <w:marBottom w:val="0"/>
                  <w:divBdr>
                    <w:top w:val="none" w:sz="0" w:space="0" w:color="auto"/>
                    <w:left w:val="none" w:sz="0" w:space="0" w:color="auto"/>
                    <w:bottom w:val="none" w:sz="0" w:space="0" w:color="auto"/>
                    <w:right w:val="none" w:sz="0" w:space="0" w:color="auto"/>
                  </w:divBdr>
                </w:div>
              </w:divsChild>
            </w:div>
            <w:div w:id="751977246">
              <w:marLeft w:val="0"/>
              <w:marRight w:val="0"/>
              <w:marTop w:val="0"/>
              <w:marBottom w:val="0"/>
              <w:divBdr>
                <w:top w:val="none" w:sz="0" w:space="0" w:color="auto"/>
                <w:left w:val="none" w:sz="0" w:space="0" w:color="auto"/>
                <w:bottom w:val="none" w:sz="0" w:space="0" w:color="auto"/>
                <w:right w:val="none" w:sz="0" w:space="0" w:color="auto"/>
              </w:divBdr>
            </w:div>
            <w:div w:id="19687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1907">
      <w:bodyDiv w:val="1"/>
      <w:marLeft w:val="0"/>
      <w:marRight w:val="0"/>
      <w:marTop w:val="0"/>
      <w:marBottom w:val="0"/>
      <w:divBdr>
        <w:top w:val="none" w:sz="0" w:space="0" w:color="auto"/>
        <w:left w:val="none" w:sz="0" w:space="0" w:color="auto"/>
        <w:bottom w:val="none" w:sz="0" w:space="0" w:color="auto"/>
        <w:right w:val="none" w:sz="0" w:space="0" w:color="auto"/>
      </w:divBdr>
    </w:div>
    <w:div w:id="1885093257">
      <w:bodyDiv w:val="1"/>
      <w:marLeft w:val="0"/>
      <w:marRight w:val="0"/>
      <w:marTop w:val="0"/>
      <w:marBottom w:val="0"/>
      <w:divBdr>
        <w:top w:val="none" w:sz="0" w:space="0" w:color="auto"/>
        <w:left w:val="none" w:sz="0" w:space="0" w:color="auto"/>
        <w:bottom w:val="none" w:sz="0" w:space="0" w:color="auto"/>
        <w:right w:val="none" w:sz="0" w:space="0" w:color="auto"/>
      </w:divBdr>
    </w:div>
    <w:div w:id="1897888552">
      <w:bodyDiv w:val="1"/>
      <w:marLeft w:val="0"/>
      <w:marRight w:val="0"/>
      <w:marTop w:val="0"/>
      <w:marBottom w:val="0"/>
      <w:divBdr>
        <w:top w:val="none" w:sz="0" w:space="0" w:color="auto"/>
        <w:left w:val="none" w:sz="0" w:space="0" w:color="auto"/>
        <w:bottom w:val="none" w:sz="0" w:space="0" w:color="auto"/>
        <w:right w:val="none" w:sz="0" w:space="0" w:color="auto"/>
      </w:divBdr>
    </w:div>
    <w:div w:id="1912302392">
      <w:bodyDiv w:val="1"/>
      <w:marLeft w:val="0"/>
      <w:marRight w:val="0"/>
      <w:marTop w:val="0"/>
      <w:marBottom w:val="0"/>
      <w:divBdr>
        <w:top w:val="none" w:sz="0" w:space="0" w:color="auto"/>
        <w:left w:val="none" w:sz="0" w:space="0" w:color="auto"/>
        <w:bottom w:val="none" w:sz="0" w:space="0" w:color="auto"/>
        <w:right w:val="none" w:sz="0" w:space="0" w:color="auto"/>
      </w:divBdr>
    </w:div>
    <w:div w:id="1912961580">
      <w:bodyDiv w:val="1"/>
      <w:marLeft w:val="0"/>
      <w:marRight w:val="0"/>
      <w:marTop w:val="0"/>
      <w:marBottom w:val="0"/>
      <w:divBdr>
        <w:top w:val="none" w:sz="0" w:space="0" w:color="auto"/>
        <w:left w:val="none" w:sz="0" w:space="0" w:color="auto"/>
        <w:bottom w:val="none" w:sz="0" w:space="0" w:color="auto"/>
        <w:right w:val="none" w:sz="0" w:space="0" w:color="auto"/>
      </w:divBdr>
    </w:div>
    <w:div w:id="1920093350">
      <w:bodyDiv w:val="1"/>
      <w:marLeft w:val="0"/>
      <w:marRight w:val="0"/>
      <w:marTop w:val="0"/>
      <w:marBottom w:val="0"/>
      <w:divBdr>
        <w:top w:val="none" w:sz="0" w:space="0" w:color="auto"/>
        <w:left w:val="none" w:sz="0" w:space="0" w:color="auto"/>
        <w:bottom w:val="none" w:sz="0" w:space="0" w:color="auto"/>
        <w:right w:val="none" w:sz="0" w:space="0" w:color="auto"/>
      </w:divBdr>
      <w:divsChild>
        <w:div w:id="39979622">
          <w:marLeft w:val="0"/>
          <w:marRight w:val="0"/>
          <w:marTop w:val="0"/>
          <w:marBottom w:val="0"/>
          <w:divBdr>
            <w:top w:val="none" w:sz="0" w:space="0" w:color="auto"/>
            <w:left w:val="none" w:sz="0" w:space="0" w:color="auto"/>
            <w:bottom w:val="none" w:sz="0" w:space="0" w:color="auto"/>
            <w:right w:val="none" w:sz="0" w:space="0" w:color="auto"/>
          </w:divBdr>
        </w:div>
      </w:divsChild>
    </w:div>
    <w:div w:id="1928659517">
      <w:bodyDiv w:val="1"/>
      <w:marLeft w:val="0"/>
      <w:marRight w:val="0"/>
      <w:marTop w:val="0"/>
      <w:marBottom w:val="0"/>
      <w:divBdr>
        <w:top w:val="none" w:sz="0" w:space="0" w:color="auto"/>
        <w:left w:val="none" w:sz="0" w:space="0" w:color="auto"/>
        <w:bottom w:val="none" w:sz="0" w:space="0" w:color="auto"/>
        <w:right w:val="none" w:sz="0" w:space="0" w:color="auto"/>
      </w:divBdr>
    </w:div>
    <w:div w:id="1930842612">
      <w:bodyDiv w:val="1"/>
      <w:marLeft w:val="0"/>
      <w:marRight w:val="0"/>
      <w:marTop w:val="0"/>
      <w:marBottom w:val="0"/>
      <w:divBdr>
        <w:top w:val="none" w:sz="0" w:space="0" w:color="auto"/>
        <w:left w:val="none" w:sz="0" w:space="0" w:color="auto"/>
        <w:bottom w:val="none" w:sz="0" w:space="0" w:color="auto"/>
        <w:right w:val="none" w:sz="0" w:space="0" w:color="auto"/>
      </w:divBdr>
    </w:div>
    <w:div w:id="1947734211">
      <w:bodyDiv w:val="1"/>
      <w:marLeft w:val="0"/>
      <w:marRight w:val="0"/>
      <w:marTop w:val="0"/>
      <w:marBottom w:val="0"/>
      <w:divBdr>
        <w:top w:val="none" w:sz="0" w:space="0" w:color="auto"/>
        <w:left w:val="none" w:sz="0" w:space="0" w:color="auto"/>
        <w:bottom w:val="none" w:sz="0" w:space="0" w:color="auto"/>
        <w:right w:val="none" w:sz="0" w:space="0" w:color="auto"/>
      </w:divBdr>
      <w:divsChild>
        <w:div w:id="2041391096">
          <w:marLeft w:val="0"/>
          <w:marRight w:val="0"/>
          <w:marTop w:val="0"/>
          <w:marBottom w:val="0"/>
          <w:divBdr>
            <w:top w:val="none" w:sz="0" w:space="0" w:color="auto"/>
            <w:left w:val="none" w:sz="0" w:space="0" w:color="auto"/>
            <w:bottom w:val="none" w:sz="0" w:space="0" w:color="auto"/>
            <w:right w:val="none" w:sz="0" w:space="0" w:color="auto"/>
          </w:divBdr>
          <w:divsChild>
            <w:div w:id="1436100507">
              <w:marLeft w:val="0"/>
              <w:marRight w:val="0"/>
              <w:marTop w:val="0"/>
              <w:marBottom w:val="0"/>
              <w:divBdr>
                <w:top w:val="none" w:sz="0" w:space="0" w:color="auto"/>
                <w:left w:val="none" w:sz="0" w:space="0" w:color="auto"/>
                <w:bottom w:val="none" w:sz="0" w:space="0" w:color="auto"/>
                <w:right w:val="none" w:sz="0" w:space="0" w:color="auto"/>
              </w:divBdr>
              <w:divsChild>
                <w:div w:id="1967735838">
                  <w:marLeft w:val="0"/>
                  <w:marRight w:val="0"/>
                  <w:marTop w:val="0"/>
                  <w:marBottom w:val="0"/>
                  <w:divBdr>
                    <w:top w:val="single" w:sz="6" w:space="0" w:color="D3D3D3"/>
                    <w:left w:val="none" w:sz="0" w:space="0" w:color="auto"/>
                    <w:bottom w:val="none" w:sz="0" w:space="0" w:color="auto"/>
                    <w:right w:val="none" w:sz="0" w:space="0" w:color="auto"/>
                  </w:divBdr>
                  <w:divsChild>
                    <w:div w:id="2025356009">
                      <w:marLeft w:val="0"/>
                      <w:marRight w:val="0"/>
                      <w:marTop w:val="0"/>
                      <w:marBottom w:val="0"/>
                      <w:divBdr>
                        <w:top w:val="none" w:sz="0" w:space="0" w:color="auto"/>
                        <w:left w:val="none" w:sz="0" w:space="0" w:color="auto"/>
                        <w:bottom w:val="none" w:sz="0" w:space="0" w:color="auto"/>
                        <w:right w:val="none" w:sz="0" w:space="0" w:color="auto"/>
                      </w:divBdr>
                      <w:divsChild>
                        <w:div w:id="383406873">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66613553">
      <w:bodyDiv w:val="1"/>
      <w:marLeft w:val="0"/>
      <w:marRight w:val="0"/>
      <w:marTop w:val="0"/>
      <w:marBottom w:val="0"/>
      <w:divBdr>
        <w:top w:val="none" w:sz="0" w:space="0" w:color="auto"/>
        <w:left w:val="none" w:sz="0" w:space="0" w:color="auto"/>
        <w:bottom w:val="none" w:sz="0" w:space="0" w:color="auto"/>
        <w:right w:val="none" w:sz="0" w:space="0" w:color="auto"/>
      </w:divBdr>
    </w:div>
    <w:div w:id="1971284001">
      <w:bodyDiv w:val="1"/>
      <w:marLeft w:val="0"/>
      <w:marRight w:val="0"/>
      <w:marTop w:val="0"/>
      <w:marBottom w:val="0"/>
      <w:divBdr>
        <w:top w:val="none" w:sz="0" w:space="0" w:color="auto"/>
        <w:left w:val="none" w:sz="0" w:space="0" w:color="auto"/>
        <w:bottom w:val="none" w:sz="0" w:space="0" w:color="auto"/>
        <w:right w:val="none" w:sz="0" w:space="0" w:color="auto"/>
      </w:divBdr>
    </w:div>
    <w:div w:id="1990131713">
      <w:bodyDiv w:val="1"/>
      <w:marLeft w:val="0"/>
      <w:marRight w:val="0"/>
      <w:marTop w:val="0"/>
      <w:marBottom w:val="0"/>
      <w:divBdr>
        <w:top w:val="none" w:sz="0" w:space="0" w:color="auto"/>
        <w:left w:val="none" w:sz="0" w:space="0" w:color="auto"/>
        <w:bottom w:val="none" w:sz="0" w:space="0" w:color="auto"/>
        <w:right w:val="none" w:sz="0" w:space="0" w:color="auto"/>
      </w:divBdr>
      <w:divsChild>
        <w:div w:id="287665469">
          <w:marLeft w:val="0"/>
          <w:marRight w:val="0"/>
          <w:marTop w:val="0"/>
          <w:marBottom w:val="0"/>
          <w:divBdr>
            <w:top w:val="none" w:sz="0" w:space="0" w:color="auto"/>
            <w:left w:val="none" w:sz="0" w:space="0" w:color="auto"/>
            <w:bottom w:val="none" w:sz="0" w:space="0" w:color="auto"/>
            <w:right w:val="none" w:sz="0" w:space="0" w:color="auto"/>
          </w:divBdr>
        </w:div>
      </w:divsChild>
    </w:div>
    <w:div w:id="1993564370">
      <w:bodyDiv w:val="1"/>
      <w:marLeft w:val="0"/>
      <w:marRight w:val="0"/>
      <w:marTop w:val="0"/>
      <w:marBottom w:val="0"/>
      <w:divBdr>
        <w:top w:val="none" w:sz="0" w:space="0" w:color="auto"/>
        <w:left w:val="none" w:sz="0" w:space="0" w:color="auto"/>
        <w:bottom w:val="none" w:sz="0" w:space="0" w:color="auto"/>
        <w:right w:val="none" w:sz="0" w:space="0" w:color="auto"/>
      </w:divBdr>
    </w:div>
    <w:div w:id="2030714596">
      <w:bodyDiv w:val="1"/>
      <w:marLeft w:val="0"/>
      <w:marRight w:val="0"/>
      <w:marTop w:val="0"/>
      <w:marBottom w:val="0"/>
      <w:divBdr>
        <w:top w:val="none" w:sz="0" w:space="0" w:color="auto"/>
        <w:left w:val="none" w:sz="0" w:space="0" w:color="auto"/>
        <w:bottom w:val="none" w:sz="0" w:space="0" w:color="auto"/>
        <w:right w:val="none" w:sz="0" w:space="0" w:color="auto"/>
      </w:divBdr>
    </w:div>
    <w:div w:id="2037655863">
      <w:bodyDiv w:val="1"/>
      <w:marLeft w:val="0"/>
      <w:marRight w:val="0"/>
      <w:marTop w:val="0"/>
      <w:marBottom w:val="0"/>
      <w:divBdr>
        <w:top w:val="none" w:sz="0" w:space="0" w:color="auto"/>
        <w:left w:val="none" w:sz="0" w:space="0" w:color="auto"/>
        <w:bottom w:val="none" w:sz="0" w:space="0" w:color="auto"/>
        <w:right w:val="none" w:sz="0" w:space="0" w:color="auto"/>
      </w:divBdr>
    </w:div>
    <w:div w:id="2053185617">
      <w:bodyDiv w:val="1"/>
      <w:marLeft w:val="0"/>
      <w:marRight w:val="0"/>
      <w:marTop w:val="0"/>
      <w:marBottom w:val="0"/>
      <w:divBdr>
        <w:top w:val="none" w:sz="0" w:space="0" w:color="auto"/>
        <w:left w:val="none" w:sz="0" w:space="0" w:color="auto"/>
        <w:bottom w:val="none" w:sz="0" w:space="0" w:color="auto"/>
        <w:right w:val="none" w:sz="0" w:space="0" w:color="auto"/>
      </w:divBdr>
    </w:div>
    <w:div w:id="2062943301">
      <w:bodyDiv w:val="1"/>
      <w:marLeft w:val="0"/>
      <w:marRight w:val="0"/>
      <w:marTop w:val="0"/>
      <w:marBottom w:val="0"/>
      <w:divBdr>
        <w:top w:val="none" w:sz="0" w:space="0" w:color="auto"/>
        <w:left w:val="none" w:sz="0" w:space="0" w:color="auto"/>
        <w:bottom w:val="none" w:sz="0" w:space="0" w:color="auto"/>
        <w:right w:val="none" w:sz="0" w:space="0" w:color="auto"/>
      </w:divBdr>
    </w:div>
    <w:div w:id="2065568019">
      <w:bodyDiv w:val="1"/>
      <w:marLeft w:val="0"/>
      <w:marRight w:val="0"/>
      <w:marTop w:val="0"/>
      <w:marBottom w:val="0"/>
      <w:divBdr>
        <w:top w:val="none" w:sz="0" w:space="0" w:color="auto"/>
        <w:left w:val="none" w:sz="0" w:space="0" w:color="auto"/>
        <w:bottom w:val="none" w:sz="0" w:space="0" w:color="auto"/>
        <w:right w:val="none" w:sz="0" w:space="0" w:color="auto"/>
      </w:divBdr>
      <w:divsChild>
        <w:div w:id="1308633447">
          <w:marLeft w:val="0"/>
          <w:marRight w:val="0"/>
          <w:marTop w:val="0"/>
          <w:marBottom w:val="0"/>
          <w:divBdr>
            <w:top w:val="none" w:sz="0" w:space="0" w:color="auto"/>
            <w:left w:val="none" w:sz="0" w:space="0" w:color="auto"/>
            <w:bottom w:val="none" w:sz="0" w:space="0" w:color="auto"/>
            <w:right w:val="none" w:sz="0" w:space="0" w:color="auto"/>
          </w:divBdr>
          <w:divsChild>
            <w:div w:id="1638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143">
      <w:bodyDiv w:val="1"/>
      <w:marLeft w:val="0"/>
      <w:marRight w:val="0"/>
      <w:marTop w:val="0"/>
      <w:marBottom w:val="0"/>
      <w:divBdr>
        <w:top w:val="none" w:sz="0" w:space="0" w:color="auto"/>
        <w:left w:val="none" w:sz="0" w:space="0" w:color="auto"/>
        <w:bottom w:val="none" w:sz="0" w:space="0" w:color="auto"/>
        <w:right w:val="none" w:sz="0" w:space="0" w:color="auto"/>
      </w:divBdr>
      <w:divsChild>
        <w:div w:id="1631548444">
          <w:marLeft w:val="0"/>
          <w:marRight w:val="0"/>
          <w:marTop w:val="0"/>
          <w:marBottom w:val="0"/>
          <w:divBdr>
            <w:top w:val="none" w:sz="0" w:space="0" w:color="auto"/>
            <w:left w:val="none" w:sz="0" w:space="0" w:color="auto"/>
            <w:bottom w:val="none" w:sz="0" w:space="0" w:color="auto"/>
            <w:right w:val="none" w:sz="0" w:space="0" w:color="auto"/>
          </w:divBdr>
          <w:divsChild>
            <w:div w:id="328405005">
              <w:marLeft w:val="0"/>
              <w:marRight w:val="0"/>
              <w:marTop w:val="0"/>
              <w:marBottom w:val="0"/>
              <w:divBdr>
                <w:top w:val="none" w:sz="0" w:space="0" w:color="auto"/>
                <w:left w:val="none" w:sz="0" w:space="0" w:color="auto"/>
                <w:bottom w:val="none" w:sz="0" w:space="0" w:color="auto"/>
                <w:right w:val="none" w:sz="0" w:space="0" w:color="auto"/>
              </w:divBdr>
              <w:divsChild>
                <w:div w:id="1396009228">
                  <w:marLeft w:val="0"/>
                  <w:marRight w:val="0"/>
                  <w:marTop w:val="0"/>
                  <w:marBottom w:val="0"/>
                  <w:divBdr>
                    <w:top w:val="single" w:sz="6" w:space="0" w:color="D3D3D3"/>
                    <w:left w:val="none" w:sz="0" w:space="0" w:color="auto"/>
                    <w:bottom w:val="none" w:sz="0" w:space="0" w:color="auto"/>
                    <w:right w:val="none" w:sz="0" w:space="0" w:color="auto"/>
                  </w:divBdr>
                  <w:divsChild>
                    <w:div w:id="1923298827">
                      <w:marLeft w:val="0"/>
                      <w:marRight w:val="0"/>
                      <w:marTop w:val="0"/>
                      <w:marBottom w:val="0"/>
                      <w:divBdr>
                        <w:top w:val="none" w:sz="0" w:space="0" w:color="auto"/>
                        <w:left w:val="none" w:sz="0" w:space="0" w:color="auto"/>
                        <w:bottom w:val="none" w:sz="0" w:space="0" w:color="auto"/>
                        <w:right w:val="none" w:sz="0" w:space="0" w:color="auto"/>
                      </w:divBdr>
                      <w:divsChild>
                        <w:div w:id="324431726">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79741911">
      <w:bodyDiv w:val="1"/>
      <w:marLeft w:val="0"/>
      <w:marRight w:val="0"/>
      <w:marTop w:val="0"/>
      <w:marBottom w:val="0"/>
      <w:divBdr>
        <w:top w:val="none" w:sz="0" w:space="0" w:color="auto"/>
        <w:left w:val="none" w:sz="0" w:space="0" w:color="auto"/>
        <w:bottom w:val="none" w:sz="0" w:space="0" w:color="auto"/>
        <w:right w:val="none" w:sz="0" w:space="0" w:color="auto"/>
      </w:divBdr>
      <w:divsChild>
        <w:div w:id="1803183649">
          <w:marLeft w:val="330"/>
          <w:marRight w:val="330"/>
          <w:marTop w:val="30"/>
          <w:marBottom w:val="180"/>
          <w:divBdr>
            <w:top w:val="none" w:sz="0" w:space="0" w:color="auto"/>
            <w:left w:val="none" w:sz="0" w:space="0" w:color="auto"/>
            <w:bottom w:val="none" w:sz="0" w:space="0" w:color="auto"/>
            <w:right w:val="none" w:sz="0" w:space="0" w:color="auto"/>
          </w:divBdr>
        </w:div>
      </w:divsChild>
    </w:div>
    <w:div w:id="2081322044">
      <w:bodyDiv w:val="1"/>
      <w:marLeft w:val="0"/>
      <w:marRight w:val="0"/>
      <w:marTop w:val="0"/>
      <w:marBottom w:val="0"/>
      <w:divBdr>
        <w:top w:val="none" w:sz="0" w:space="0" w:color="auto"/>
        <w:left w:val="none" w:sz="0" w:space="0" w:color="auto"/>
        <w:bottom w:val="none" w:sz="0" w:space="0" w:color="auto"/>
        <w:right w:val="none" w:sz="0" w:space="0" w:color="auto"/>
      </w:divBdr>
    </w:div>
    <w:div w:id="2098558172">
      <w:bodyDiv w:val="1"/>
      <w:marLeft w:val="0"/>
      <w:marRight w:val="0"/>
      <w:marTop w:val="0"/>
      <w:marBottom w:val="0"/>
      <w:divBdr>
        <w:top w:val="none" w:sz="0" w:space="0" w:color="auto"/>
        <w:left w:val="none" w:sz="0" w:space="0" w:color="auto"/>
        <w:bottom w:val="none" w:sz="0" w:space="0" w:color="auto"/>
        <w:right w:val="none" w:sz="0" w:space="0" w:color="auto"/>
      </w:divBdr>
    </w:div>
    <w:div w:id="2098598918">
      <w:bodyDiv w:val="1"/>
      <w:marLeft w:val="0"/>
      <w:marRight w:val="0"/>
      <w:marTop w:val="0"/>
      <w:marBottom w:val="0"/>
      <w:divBdr>
        <w:top w:val="none" w:sz="0" w:space="0" w:color="auto"/>
        <w:left w:val="none" w:sz="0" w:space="0" w:color="auto"/>
        <w:bottom w:val="none" w:sz="0" w:space="0" w:color="auto"/>
        <w:right w:val="none" w:sz="0" w:space="0" w:color="auto"/>
      </w:divBdr>
    </w:div>
    <w:div w:id="2105834204">
      <w:bodyDiv w:val="1"/>
      <w:marLeft w:val="0"/>
      <w:marRight w:val="0"/>
      <w:marTop w:val="0"/>
      <w:marBottom w:val="0"/>
      <w:divBdr>
        <w:top w:val="none" w:sz="0" w:space="0" w:color="auto"/>
        <w:left w:val="none" w:sz="0" w:space="0" w:color="auto"/>
        <w:bottom w:val="none" w:sz="0" w:space="0" w:color="auto"/>
        <w:right w:val="none" w:sz="0" w:space="0" w:color="auto"/>
      </w:divBdr>
    </w:div>
    <w:div w:id="2108190838">
      <w:bodyDiv w:val="1"/>
      <w:marLeft w:val="0"/>
      <w:marRight w:val="0"/>
      <w:marTop w:val="0"/>
      <w:marBottom w:val="0"/>
      <w:divBdr>
        <w:top w:val="none" w:sz="0" w:space="0" w:color="auto"/>
        <w:left w:val="none" w:sz="0" w:space="0" w:color="auto"/>
        <w:bottom w:val="none" w:sz="0" w:space="0" w:color="auto"/>
        <w:right w:val="none" w:sz="0" w:space="0" w:color="auto"/>
      </w:divBdr>
    </w:div>
    <w:div w:id="2114013494">
      <w:bodyDiv w:val="1"/>
      <w:marLeft w:val="0"/>
      <w:marRight w:val="0"/>
      <w:marTop w:val="0"/>
      <w:marBottom w:val="0"/>
      <w:divBdr>
        <w:top w:val="none" w:sz="0" w:space="0" w:color="auto"/>
        <w:left w:val="none" w:sz="0" w:space="0" w:color="auto"/>
        <w:bottom w:val="none" w:sz="0" w:space="0" w:color="auto"/>
        <w:right w:val="none" w:sz="0" w:space="0" w:color="auto"/>
      </w:divBdr>
    </w:div>
    <w:div w:id="2115664509">
      <w:bodyDiv w:val="1"/>
      <w:marLeft w:val="0"/>
      <w:marRight w:val="0"/>
      <w:marTop w:val="0"/>
      <w:marBottom w:val="0"/>
      <w:divBdr>
        <w:top w:val="none" w:sz="0" w:space="0" w:color="auto"/>
        <w:left w:val="none" w:sz="0" w:space="0" w:color="auto"/>
        <w:bottom w:val="none" w:sz="0" w:space="0" w:color="auto"/>
        <w:right w:val="none" w:sz="0" w:space="0" w:color="auto"/>
      </w:divBdr>
    </w:div>
    <w:div w:id="2120102392">
      <w:bodyDiv w:val="1"/>
      <w:marLeft w:val="0"/>
      <w:marRight w:val="0"/>
      <w:marTop w:val="0"/>
      <w:marBottom w:val="0"/>
      <w:divBdr>
        <w:top w:val="none" w:sz="0" w:space="0" w:color="auto"/>
        <w:left w:val="none" w:sz="0" w:space="0" w:color="auto"/>
        <w:bottom w:val="none" w:sz="0" w:space="0" w:color="auto"/>
        <w:right w:val="none" w:sz="0" w:space="0" w:color="auto"/>
      </w:divBdr>
    </w:div>
    <w:div w:id="21211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ywen_cn@163.com" TargetMode="External"/><Relationship Id="rId2" Type="http://schemas.openxmlformats.org/officeDocument/2006/relationships/hyperlink" Target="mailto:bqlin@xmu.edu.cn" TargetMode="External"/><Relationship Id="rId1" Type="http://schemas.openxmlformats.org/officeDocument/2006/relationships/hyperlink" Target="mailto:zjjia_cn@163.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d.docs.live.net/f9fd4a0f22e5be87/&#25991;&#26723;/the%20professor's%20papers/P4.%20Emission%20trading%20and%20TFP/PSM&#26435;&#37325;&#32467;&#26524;&#22270;&#65288;&#20013;&#25991;&#6528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f9fd4a0f22e5be87/&#25991;&#26723;/the%20professor's%20papers/P4.%20Emission%20trading%20and%20TFP/PSM&#26435;&#37325;&#32467;&#26524;&#22270;&#65288;&#20013;&#25991;&#652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f9fd4a0f22e5be87/&#25991;&#26723;/the%20professor's%20papers/P4.%20Emission%20trading%20and%20TFP/PSM&#26435;&#37325;&#32467;&#26524;&#22270;&#65288;&#20013;&#2599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26194381952256"/>
          <c:y val="4.6121593291404611E-2"/>
          <c:w val="0.81091504186976615"/>
          <c:h val="0.74008128718496868"/>
        </c:manualLayout>
      </c:layout>
      <c:barChart>
        <c:barDir val="col"/>
        <c:grouping val="clustered"/>
        <c:varyColors val="0"/>
        <c:ser>
          <c:idx val="0"/>
          <c:order val="0"/>
          <c:tx>
            <c:strRef>
              <c:f>'[PSM权重结果图（中文）.xlsx]Sheet1'!$C$3</c:f>
              <c:strCache>
                <c:ptCount val="1"/>
                <c:pt idx="0">
                  <c:v>权重</c:v>
                </c:pt>
              </c:strCache>
            </c:strRef>
          </c:tx>
          <c:spPr>
            <a:solidFill>
              <a:schemeClr val="bg1">
                <a:lumMod val="50000"/>
              </a:schemeClr>
            </a:solidFill>
            <a:ln>
              <a:noFill/>
            </a:ln>
            <a:effectLst/>
          </c:spPr>
          <c:invertIfNegative val="0"/>
          <c:cat>
            <c:strRef>
              <c:f>'[PSM权重结果图（中文）.xlsx]Sheet1'!$A$4:$A$33</c:f>
              <c:strCache>
                <c:ptCount val="30"/>
                <c:pt idx="0">
                  <c:v>广东</c:v>
                </c:pt>
                <c:pt idx="1">
                  <c:v>湖北</c:v>
                </c:pt>
                <c:pt idx="2">
                  <c:v>重庆</c:v>
                </c:pt>
                <c:pt idx="3">
                  <c:v>天津</c:v>
                </c:pt>
                <c:pt idx="4">
                  <c:v>上海</c:v>
                </c:pt>
                <c:pt idx="5">
                  <c:v>北京</c:v>
                </c:pt>
                <c:pt idx="6">
                  <c:v>辽宁</c:v>
                </c:pt>
                <c:pt idx="7">
                  <c:v>江苏</c:v>
                </c:pt>
                <c:pt idx="8">
                  <c:v>安徽</c:v>
                </c:pt>
                <c:pt idx="9">
                  <c:v>湖南</c:v>
                </c:pt>
                <c:pt idx="10">
                  <c:v>黑龙江</c:v>
                </c:pt>
                <c:pt idx="11">
                  <c:v>山东</c:v>
                </c:pt>
                <c:pt idx="12">
                  <c:v>福建</c:v>
                </c:pt>
                <c:pt idx="13">
                  <c:v>江西</c:v>
                </c:pt>
                <c:pt idx="14">
                  <c:v>浙江</c:v>
                </c:pt>
                <c:pt idx="15">
                  <c:v>吉林</c:v>
                </c:pt>
                <c:pt idx="16">
                  <c:v>河北</c:v>
                </c:pt>
                <c:pt idx="17">
                  <c:v>广西</c:v>
                </c:pt>
                <c:pt idx="18">
                  <c:v>河南</c:v>
                </c:pt>
                <c:pt idx="19">
                  <c:v>四川</c:v>
                </c:pt>
                <c:pt idx="20">
                  <c:v>山西</c:v>
                </c:pt>
                <c:pt idx="21">
                  <c:v>内蒙古</c:v>
                </c:pt>
                <c:pt idx="22">
                  <c:v>陕西</c:v>
                </c:pt>
                <c:pt idx="23">
                  <c:v>云南</c:v>
                </c:pt>
                <c:pt idx="24">
                  <c:v>海南</c:v>
                </c:pt>
                <c:pt idx="25">
                  <c:v>贵州</c:v>
                </c:pt>
                <c:pt idx="26">
                  <c:v>新疆</c:v>
                </c:pt>
                <c:pt idx="27">
                  <c:v>宁夏</c:v>
                </c:pt>
                <c:pt idx="28">
                  <c:v>甘肃</c:v>
                </c:pt>
                <c:pt idx="29">
                  <c:v>青海</c:v>
                </c:pt>
              </c:strCache>
            </c:strRef>
          </c:cat>
          <c:val>
            <c:numRef>
              <c:f>'[PSM权重结果图（中文）.xlsx]Sheet1'!$C$4:$C$33</c:f>
              <c:numCache>
                <c:formatCode>0.00%</c:formatCode>
                <c:ptCount val="30"/>
                <c:pt idx="0">
                  <c:v>0.59761582877539454</c:v>
                </c:pt>
                <c:pt idx="1">
                  <c:v>0.35340791526170862</c:v>
                </c:pt>
                <c:pt idx="2">
                  <c:v>2.3395706589196808E-2</c:v>
                </c:pt>
                <c:pt idx="3">
                  <c:v>1.5866263907463735E-2</c:v>
                </c:pt>
                <c:pt idx="4">
                  <c:v>8.7204822488212777E-3</c:v>
                </c:pt>
                <c:pt idx="5">
                  <c:v>9.9380321741492908E-4</c:v>
                </c:pt>
                <c:pt idx="6">
                  <c:v>9.8320929525559708E-2</c:v>
                </c:pt>
                <c:pt idx="7">
                  <c:v>9.2035079381374452E-2</c:v>
                </c:pt>
                <c:pt idx="8">
                  <c:v>8.7052677768320319E-2</c:v>
                </c:pt>
                <c:pt idx="9">
                  <c:v>8.1498070577202014E-2</c:v>
                </c:pt>
                <c:pt idx="10">
                  <c:v>6.9819127252287866E-2</c:v>
                </c:pt>
                <c:pt idx="11">
                  <c:v>6.6879071328645887E-2</c:v>
                </c:pt>
                <c:pt idx="12">
                  <c:v>6.1306146381459786E-2</c:v>
                </c:pt>
                <c:pt idx="13">
                  <c:v>6.0272155780403222E-2</c:v>
                </c:pt>
                <c:pt idx="14">
                  <c:v>5.7448380224615979E-2</c:v>
                </c:pt>
                <c:pt idx="15">
                  <c:v>5.080860486497827E-2</c:v>
                </c:pt>
                <c:pt idx="16">
                  <c:v>4.8818240481305404E-2</c:v>
                </c:pt>
                <c:pt idx="17">
                  <c:v>4.708865178516277E-2</c:v>
                </c:pt>
                <c:pt idx="18">
                  <c:v>4.2436577257932956E-2</c:v>
                </c:pt>
                <c:pt idx="19">
                  <c:v>3.3557951546086616E-2</c:v>
                </c:pt>
                <c:pt idx="20">
                  <c:v>2.4095381939022432E-2</c:v>
                </c:pt>
                <c:pt idx="21">
                  <c:v>2.2272681098133219E-2</c:v>
                </c:pt>
                <c:pt idx="22">
                  <c:v>2.0519671842446779E-2</c:v>
                </c:pt>
                <c:pt idx="23">
                  <c:v>1.220402741007336E-2</c:v>
                </c:pt>
                <c:pt idx="24">
                  <c:v>7.7849397867554336E-3</c:v>
                </c:pt>
                <c:pt idx="25">
                  <c:v>5.9366856761516726E-3</c:v>
                </c:pt>
                <c:pt idx="26">
                  <c:v>5.8111249349421775E-3</c:v>
                </c:pt>
                <c:pt idx="27">
                  <c:v>3.4462773929483594E-3</c:v>
                </c:pt>
                <c:pt idx="28">
                  <c:v>5.8754576419157306E-4</c:v>
                </c:pt>
                <c:pt idx="29">
                  <c:v>0</c:v>
                </c:pt>
              </c:numCache>
            </c:numRef>
          </c:val>
          <c:extLst>
            <c:ext xmlns:c16="http://schemas.microsoft.com/office/drawing/2014/chart" uri="{C3380CC4-5D6E-409C-BE32-E72D297353CC}">
              <c16:uniqueId val="{00000000-A918-4623-939C-2113E9D374FD}"/>
            </c:ext>
          </c:extLst>
        </c:ser>
        <c:dLbls>
          <c:showLegendKey val="0"/>
          <c:showVal val="0"/>
          <c:showCatName val="0"/>
          <c:showSerName val="0"/>
          <c:showPercent val="0"/>
          <c:showBubbleSize val="0"/>
        </c:dLbls>
        <c:gapWidth val="219"/>
        <c:axId val="862840648"/>
        <c:axId val="862843600"/>
      </c:barChart>
      <c:lineChart>
        <c:grouping val="standard"/>
        <c:varyColors val="0"/>
        <c:ser>
          <c:idx val="1"/>
          <c:order val="1"/>
          <c:tx>
            <c:strRef>
              <c:f>'[PSM权重结果图（中文）.xlsx]Sheet1'!$E$3</c:f>
              <c:strCache>
                <c:ptCount val="1"/>
                <c:pt idx="0">
                  <c:v>人均实际GDP</c:v>
                </c:pt>
              </c:strCache>
            </c:strRef>
          </c:tx>
          <c:spPr>
            <a:ln w="12700" cap="rnd">
              <a:solidFill>
                <a:sysClr val="windowText" lastClr="000000">
                  <a:lumMod val="95000"/>
                  <a:lumOff val="5000"/>
                </a:sysClr>
              </a:solidFill>
              <a:round/>
            </a:ln>
            <a:effectLst/>
          </c:spPr>
          <c:marker>
            <c:symbol val="none"/>
          </c:marker>
          <c:cat>
            <c:strRef>
              <c:f>'[PSM权重结果图（中文）.xlsx]Sheet1'!$B$4:$B$33</c:f>
              <c:strCache>
                <c:ptCount val="30"/>
                <c:pt idx="0">
                  <c:v>Guangdong</c:v>
                </c:pt>
                <c:pt idx="1">
                  <c:v>Hubei</c:v>
                </c:pt>
                <c:pt idx="2">
                  <c:v>Chongqing</c:v>
                </c:pt>
                <c:pt idx="3">
                  <c:v>Tianjin</c:v>
                </c:pt>
                <c:pt idx="4">
                  <c:v>Shanghai</c:v>
                </c:pt>
                <c:pt idx="5">
                  <c:v>Beijing</c:v>
                </c:pt>
                <c:pt idx="6">
                  <c:v>Liaoning</c:v>
                </c:pt>
                <c:pt idx="7">
                  <c:v>Jiangsu</c:v>
                </c:pt>
                <c:pt idx="8">
                  <c:v>Anhui</c:v>
                </c:pt>
                <c:pt idx="9">
                  <c:v>Hunan</c:v>
                </c:pt>
                <c:pt idx="10">
                  <c:v>Heilongjiang</c:v>
                </c:pt>
                <c:pt idx="11">
                  <c:v>Shandong</c:v>
                </c:pt>
                <c:pt idx="12">
                  <c:v>Fujian</c:v>
                </c:pt>
                <c:pt idx="13">
                  <c:v>Jiangxi</c:v>
                </c:pt>
                <c:pt idx="14">
                  <c:v>Zhejiang</c:v>
                </c:pt>
                <c:pt idx="15">
                  <c:v>Jilin</c:v>
                </c:pt>
                <c:pt idx="16">
                  <c:v>Hebei</c:v>
                </c:pt>
                <c:pt idx="17">
                  <c:v>Guangxi</c:v>
                </c:pt>
                <c:pt idx="18">
                  <c:v>Henan</c:v>
                </c:pt>
                <c:pt idx="19">
                  <c:v>Sichuan</c:v>
                </c:pt>
                <c:pt idx="20">
                  <c:v>Shanxi</c:v>
                </c:pt>
                <c:pt idx="21">
                  <c:v>Inner</c:v>
                </c:pt>
                <c:pt idx="22">
                  <c:v>Shaanxi</c:v>
                </c:pt>
                <c:pt idx="23">
                  <c:v>Yunnan</c:v>
                </c:pt>
                <c:pt idx="24">
                  <c:v>Hainan</c:v>
                </c:pt>
                <c:pt idx="25">
                  <c:v>Guizhou</c:v>
                </c:pt>
                <c:pt idx="26">
                  <c:v>Xinjiang</c:v>
                </c:pt>
                <c:pt idx="27">
                  <c:v>Ningxia</c:v>
                </c:pt>
                <c:pt idx="28">
                  <c:v>Gansu</c:v>
                </c:pt>
                <c:pt idx="29">
                  <c:v>Qinghai</c:v>
                </c:pt>
              </c:strCache>
            </c:strRef>
          </c:cat>
          <c:val>
            <c:numRef>
              <c:f>'[PSM权重结果图（中文）.xlsx]Sheet1'!$E$4:$E$33</c:f>
              <c:numCache>
                <c:formatCode>General</c:formatCode>
                <c:ptCount val="30"/>
                <c:pt idx="0">
                  <c:v>1.0338099999999999E-2</c:v>
                </c:pt>
                <c:pt idx="1">
                  <c:v>5.0861999999999999E-3</c:v>
                </c:pt>
                <c:pt idx="2">
                  <c:v>4.5179E-3</c:v>
                </c:pt>
                <c:pt idx="3">
                  <c:v>1.75564E-2</c:v>
                </c:pt>
                <c:pt idx="4">
                  <c:v>2.3473500000000001E-2</c:v>
                </c:pt>
                <c:pt idx="5">
                  <c:v>2.2015099999999999E-2</c:v>
                </c:pt>
                <c:pt idx="6">
                  <c:v>8.9963000000000005E-3</c:v>
                </c:pt>
                <c:pt idx="7">
                  <c:v>1.0431299999999999E-2</c:v>
                </c:pt>
                <c:pt idx="8">
                  <c:v>3.6773000000000001E-3</c:v>
                </c:pt>
                <c:pt idx="9">
                  <c:v>4.3807999999999998E-3</c:v>
                </c:pt>
                <c:pt idx="10">
                  <c:v>5.5093E-3</c:v>
                </c:pt>
                <c:pt idx="11">
                  <c:v>7.1005E-3</c:v>
                </c:pt>
                <c:pt idx="12">
                  <c:v>3.7166E-3</c:v>
                </c:pt>
                <c:pt idx="13">
                  <c:v>7.6242999999999997E-3</c:v>
                </c:pt>
                <c:pt idx="14">
                  <c:v>1.05725E-2</c:v>
                </c:pt>
                <c:pt idx="15">
                  <c:v>6.5957000000000003E-3</c:v>
                </c:pt>
                <c:pt idx="16">
                  <c:v>5.352E-3</c:v>
                </c:pt>
                <c:pt idx="17">
                  <c:v>3.3966999999999999E-3</c:v>
                </c:pt>
                <c:pt idx="18">
                  <c:v>3.9636000000000003E-3</c:v>
                </c:pt>
                <c:pt idx="19">
                  <c:v>3.5991999999999999E-3</c:v>
                </c:pt>
                <c:pt idx="20">
                  <c:v>4.8945999999999998E-3</c:v>
                </c:pt>
                <c:pt idx="21">
                  <c:v>1.0097200000000001E-2</c:v>
                </c:pt>
                <c:pt idx="22">
                  <c:v>4.8003000000000004E-3</c:v>
                </c:pt>
                <c:pt idx="23">
                  <c:v>7.4042999999999999E-3</c:v>
                </c:pt>
                <c:pt idx="24">
                  <c:v>4.6898E-3</c:v>
                </c:pt>
                <c:pt idx="25">
                  <c:v>1.37614E-2</c:v>
                </c:pt>
                <c:pt idx="26">
                  <c:v>2.9458000000000002E-3</c:v>
                </c:pt>
                <c:pt idx="27">
                  <c:v>6.3912999999999999E-3</c:v>
                </c:pt>
                <c:pt idx="28">
                  <c:v>3.9315000000000001E-3</c:v>
                </c:pt>
                <c:pt idx="29">
                  <c:v>5.9316999999999998E-3</c:v>
                </c:pt>
              </c:numCache>
            </c:numRef>
          </c:val>
          <c:smooth val="0"/>
          <c:extLst>
            <c:ext xmlns:c16="http://schemas.microsoft.com/office/drawing/2014/chart" uri="{C3380CC4-5D6E-409C-BE32-E72D297353CC}">
              <c16:uniqueId val="{00000001-A918-4623-939C-2113E9D374FD}"/>
            </c:ext>
          </c:extLst>
        </c:ser>
        <c:dLbls>
          <c:showLegendKey val="0"/>
          <c:showVal val="0"/>
          <c:showCatName val="0"/>
          <c:showSerName val="0"/>
          <c:showPercent val="0"/>
          <c:showBubbleSize val="0"/>
        </c:dLbls>
        <c:marker val="1"/>
        <c:smooth val="0"/>
        <c:axId val="874385032"/>
        <c:axId val="874392576"/>
      </c:lineChart>
      <c:catAx>
        <c:axId val="862840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3600"/>
        <c:crosses val="autoZero"/>
        <c:auto val="1"/>
        <c:lblAlgn val="ctr"/>
        <c:lblOffset val="100"/>
        <c:noMultiLvlLbl val="0"/>
      </c:catAx>
      <c:valAx>
        <c:axId val="86284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0648"/>
        <c:crosses val="autoZero"/>
        <c:crossBetween val="between"/>
        <c:dispUnits>
          <c:custUnit val="1"/>
          <c:dispUnitsLbl>
            <c:tx>
              <c:rich>
                <a:bodyPr rot="0" spcFirstLastPara="1" vertOverflow="ellipsis" vert="eaVert"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ltLang="en-US"/>
                    <a:t>权重</a:t>
                  </a:r>
                  <a:endParaRPr lang="en-US" altLang="zh-CN"/>
                </a:p>
              </c:rich>
            </c:tx>
            <c:spPr>
              <a:noFill/>
              <a:ln>
                <a:noFill/>
              </a:ln>
              <a:effectLst/>
            </c:spPr>
            <c:txPr>
              <a:bodyPr rot="0" spcFirstLastPara="1" vertOverflow="ellipsis" vert="eaVert"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ispUnitsLbl>
        </c:dispUnits>
      </c:valAx>
      <c:valAx>
        <c:axId val="8743925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74385032"/>
        <c:crosses val="max"/>
        <c:crossBetween val="between"/>
        <c:dispUnits>
          <c:custUnit val="1.0000000000000002E-2"/>
          <c:dispUnitsLbl>
            <c:tx>
              <c:rich>
                <a:bodyPr rot="0" spcFirstLastPara="1" vertOverflow="ellipsis" vert="eaVert"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t>万元</a:t>
                  </a:r>
                  <a:r>
                    <a:rPr lang="en-US"/>
                    <a:t>/</a:t>
                  </a:r>
                  <a:r>
                    <a:rPr lang="zh-CN"/>
                    <a:t>人</a:t>
                  </a:r>
                  <a:endParaRPr lang="en-US"/>
                </a:p>
              </c:rich>
            </c:tx>
            <c:spPr>
              <a:noFill/>
              <a:ln>
                <a:noFill/>
              </a:ln>
              <a:effectLst/>
            </c:spPr>
            <c:txPr>
              <a:bodyPr rot="0" spcFirstLastPara="1" vertOverflow="ellipsis" vert="eaVert"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ispUnitsLbl>
        </c:dispUnits>
      </c:valAx>
      <c:catAx>
        <c:axId val="874385032"/>
        <c:scaling>
          <c:orientation val="minMax"/>
        </c:scaling>
        <c:delete val="1"/>
        <c:axPos val="b"/>
        <c:numFmt formatCode="General" sourceLinked="1"/>
        <c:majorTickMark val="out"/>
        <c:minorTickMark val="none"/>
        <c:tickLblPos val="nextTo"/>
        <c:crossAx val="874392576"/>
        <c:crosses val="autoZero"/>
        <c:auto val="1"/>
        <c:lblAlgn val="ctr"/>
        <c:lblOffset val="100"/>
        <c:noMultiLvlLbl val="0"/>
      </c:catAx>
      <c:spPr>
        <a:noFill/>
        <a:ln>
          <a:noFill/>
        </a:ln>
        <a:effectLst/>
      </c:spPr>
    </c:plotArea>
    <c:legend>
      <c:legendPos val="b"/>
      <c:layout>
        <c:manualLayout>
          <c:xMode val="edge"/>
          <c:yMode val="edge"/>
          <c:x val="0.52286327845382963"/>
          <c:y val="6.9746942009607321E-2"/>
          <c:w val="0.32934473242302686"/>
          <c:h val="6.652140180590633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66337059853078"/>
          <c:y val="5.7291666666666664E-2"/>
          <c:w val="0.77449432088136994"/>
          <c:h val="0.69060326443569553"/>
        </c:manualLayout>
      </c:layout>
      <c:barChart>
        <c:barDir val="col"/>
        <c:grouping val="clustered"/>
        <c:varyColors val="0"/>
        <c:ser>
          <c:idx val="0"/>
          <c:order val="0"/>
          <c:tx>
            <c:strRef>
              <c:f>'[PSM权重结果图（中文）.xlsx]Sheet1'!$C$3</c:f>
              <c:strCache>
                <c:ptCount val="1"/>
                <c:pt idx="0">
                  <c:v>权重</c:v>
                </c:pt>
              </c:strCache>
            </c:strRef>
          </c:tx>
          <c:spPr>
            <a:solidFill>
              <a:schemeClr val="bg1">
                <a:lumMod val="50000"/>
              </a:schemeClr>
            </a:solidFill>
            <a:ln>
              <a:noFill/>
            </a:ln>
            <a:effectLst/>
          </c:spPr>
          <c:invertIfNegative val="0"/>
          <c:cat>
            <c:strRef>
              <c:f>'[PSM权重结果图（中文）.xlsx]Sheet1'!$A$39:$A$59</c:f>
              <c:strCache>
                <c:ptCount val="21"/>
                <c:pt idx="0">
                  <c:v>茂名市</c:v>
                </c:pt>
                <c:pt idx="1">
                  <c:v>潮州市</c:v>
                </c:pt>
                <c:pt idx="2">
                  <c:v>汕头市</c:v>
                </c:pt>
                <c:pt idx="3">
                  <c:v>揭阳市</c:v>
                </c:pt>
                <c:pt idx="4">
                  <c:v>云浮市</c:v>
                </c:pt>
                <c:pt idx="5">
                  <c:v>湛江市</c:v>
                </c:pt>
                <c:pt idx="6">
                  <c:v>梅州市</c:v>
                </c:pt>
                <c:pt idx="7">
                  <c:v>河源市</c:v>
                </c:pt>
                <c:pt idx="8">
                  <c:v>佛山市</c:v>
                </c:pt>
                <c:pt idx="9">
                  <c:v>中山市</c:v>
                </c:pt>
                <c:pt idx="10">
                  <c:v>珠海市</c:v>
                </c:pt>
                <c:pt idx="11">
                  <c:v>惠州市</c:v>
                </c:pt>
                <c:pt idx="12">
                  <c:v>阳江市</c:v>
                </c:pt>
                <c:pt idx="13">
                  <c:v>清远市</c:v>
                </c:pt>
                <c:pt idx="14">
                  <c:v>汕尾市</c:v>
                </c:pt>
                <c:pt idx="15">
                  <c:v>韶关市</c:v>
                </c:pt>
                <c:pt idx="16">
                  <c:v>东莞市</c:v>
                </c:pt>
                <c:pt idx="17">
                  <c:v>江门市</c:v>
                </c:pt>
                <c:pt idx="18">
                  <c:v>深圳市</c:v>
                </c:pt>
                <c:pt idx="19">
                  <c:v>肇庆市</c:v>
                </c:pt>
                <c:pt idx="20">
                  <c:v>广州市</c:v>
                </c:pt>
              </c:strCache>
            </c:strRef>
          </c:cat>
          <c:val>
            <c:numRef>
              <c:f>'[PSM权重结果图（中文）.xlsx]Sheet1'!$C$39:$C$59</c:f>
              <c:numCache>
                <c:formatCode>0.00%</c:formatCode>
                <c:ptCount val="21"/>
                <c:pt idx="0">
                  <c:v>0.12740847343692735</c:v>
                </c:pt>
                <c:pt idx="1">
                  <c:v>8.9098206799122795E-2</c:v>
                </c:pt>
                <c:pt idx="2">
                  <c:v>7.9566356955968892E-2</c:v>
                </c:pt>
                <c:pt idx="3">
                  <c:v>7.937498130518611E-2</c:v>
                </c:pt>
                <c:pt idx="4">
                  <c:v>5.5289632441397812E-2</c:v>
                </c:pt>
                <c:pt idx="5">
                  <c:v>5.4710463482771643E-2</c:v>
                </c:pt>
                <c:pt idx="6">
                  <c:v>5.3858553497054255E-2</c:v>
                </c:pt>
                <c:pt idx="7">
                  <c:v>5.1748379332165861E-2</c:v>
                </c:pt>
                <c:pt idx="8">
                  <c:v>4.5620356414633877E-2</c:v>
                </c:pt>
                <c:pt idx="9">
                  <c:v>4.1878778093476003E-2</c:v>
                </c:pt>
                <c:pt idx="10">
                  <c:v>4.1766530428715878E-2</c:v>
                </c:pt>
                <c:pt idx="11">
                  <c:v>3.8844372665322632E-2</c:v>
                </c:pt>
                <c:pt idx="12">
                  <c:v>3.8694278440939561E-2</c:v>
                </c:pt>
                <c:pt idx="13">
                  <c:v>3.7295594386931058E-2</c:v>
                </c:pt>
                <c:pt idx="14">
                  <c:v>3.6965752638743445E-2</c:v>
                </c:pt>
                <c:pt idx="15">
                  <c:v>2.6764765537443398E-2</c:v>
                </c:pt>
                <c:pt idx="16">
                  <c:v>2.6502181001748081E-2</c:v>
                </c:pt>
                <c:pt idx="17">
                  <c:v>2.6138923356954172E-2</c:v>
                </c:pt>
                <c:pt idx="18">
                  <c:v>2.167676985985454E-2</c:v>
                </c:pt>
                <c:pt idx="19">
                  <c:v>1.7056609339769574E-2</c:v>
                </c:pt>
                <c:pt idx="20">
                  <c:v>9.7400405848732333E-3</c:v>
                </c:pt>
              </c:numCache>
            </c:numRef>
          </c:val>
          <c:extLst>
            <c:ext xmlns:c16="http://schemas.microsoft.com/office/drawing/2014/chart" uri="{C3380CC4-5D6E-409C-BE32-E72D297353CC}">
              <c16:uniqueId val="{00000000-B534-4564-B6E6-95DF5BA3F64F}"/>
            </c:ext>
          </c:extLst>
        </c:ser>
        <c:dLbls>
          <c:showLegendKey val="0"/>
          <c:showVal val="0"/>
          <c:showCatName val="0"/>
          <c:showSerName val="0"/>
          <c:showPercent val="0"/>
          <c:showBubbleSize val="0"/>
        </c:dLbls>
        <c:gapWidth val="219"/>
        <c:axId val="862840648"/>
        <c:axId val="862843600"/>
      </c:barChart>
      <c:lineChart>
        <c:grouping val="standard"/>
        <c:varyColors val="0"/>
        <c:ser>
          <c:idx val="1"/>
          <c:order val="1"/>
          <c:tx>
            <c:strRef>
              <c:f>'[PSM权重结果图（中文）.xlsx]Sheet1'!$E$3</c:f>
              <c:strCache>
                <c:ptCount val="1"/>
                <c:pt idx="0">
                  <c:v>人均实际GDP</c:v>
                </c:pt>
              </c:strCache>
            </c:strRef>
          </c:tx>
          <c:spPr>
            <a:ln w="12700" cap="rnd">
              <a:solidFill>
                <a:sysClr val="windowText" lastClr="000000"/>
              </a:solidFill>
              <a:round/>
            </a:ln>
            <a:effectLst/>
          </c:spPr>
          <c:marker>
            <c:symbol val="none"/>
          </c:marker>
          <c:cat>
            <c:strRef>
              <c:f>'[PSM权重结果图（中文）.xlsx]Sheet1'!$B$39:$B$59</c:f>
              <c:strCache>
                <c:ptCount val="21"/>
                <c:pt idx="0">
                  <c:v>Maoming</c:v>
                </c:pt>
                <c:pt idx="1">
                  <c:v>Chaozhou</c:v>
                </c:pt>
                <c:pt idx="2">
                  <c:v>Shantou</c:v>
                </c:pt>
                <c:pt idx="3">
                  <c:v>Jieyang</c:v>
                </c:pt>
                <c:pt idx="4">
                  <c:v>Yunfu</c:v>
                </c:pt>
                <c:pt idx="5">
                  <c:v>Zhanjiang</c:v>
                </c:pt>
                <c:pt idx="6">
                  <c:v>Meizhou</c:v>
                </c:pt>
                <c:pt idx="7">
                  <c:v>Heyuan</c:v>
                </c:pt>
                <c:pt idx="8">
                  <c:v>Foshan</c:v>
                </c:pt>
                <c:pt idx="9">
                  <c:v>Zhongshan</c:v>
                </c:pt>
                <c:pt idx="10">
                  <c:v>Zhuhai</c:v>
                </c:pt>
                <c:pt idx="11">
                  <c:v>Huizhou</c:v>
                </c:pt>
                <c:pt idx="12">
                  <c:v>Yangjiang</c:v>
                </c:pt>
                <c:pt idx="13">
                  <c:v>Qingyuan</c:v>
                </c:pt>
                <c:pt idx="14">
                  <c:v>Shanwei</c:v>
                </c:pt>
                <c:pt idx="15">
                  <c:v>Shaoguan</c:v>
                </c:pt>
                <c:pt idx="16">
                  <c:v>Dongguan</c:v>
                </c:pt>
                <c:pt idx="17">
                  <c:v>Jiangmen</c:v>
                </c:pt>
                <c:pt idx="18">
                  <c:v>Shenzhen</c:v>
                </c:pt>
                <c:pt idx="19">
                  <c:v>Zhaoqing</c:v>
                </c:pt>
                <c:pt idx="20">
                  <c:v>Guangzhou</c:v>
                </c:pt>
              </c:strCache>
            </c:strRef>
          </c:cat>
          <c:val>
            <c:numRef>
              <c:f>'[PSM权重结果图（中文）.xlsx]Sheet1'!$E$39:$E$59</c:f>
              <c:numCache>
                <c:formatCode>General</c:formatCode>
                <c:ptCount val="21"/>
                <c:pt idx="0">
                  <c:v>3.6711000000000001E-3</c:v>
                </c:pt>
                <c:pt idx="1">
                  <c:v>3.9472999999999999E-3</c:v>
                </c:pt>
                <c:pt idx="2">
                  <c:v>3.9747000000000003E-3</c:v>
                </c:pt>
                <c:pt idx="3">
                  <c:v>2.7117999999999999E-3</c:v>
                </c:pt>
                <c:pt idx="4">
                  <c:v>2.5929999999999998E-3</c:v>
                </c:pt>
                <c:pt idx="5">
                  <c:v>3.3070999999999999E-3</c:v>
                </c:pt>
                <c:pt idx="6">
                  <c:v>2.1670000000000001E-3</c:v>
                </c:pt>
                <c:pt idx="7">
                  <c:v>2.2926999999999999E-3</c:v>
                </c:pt>
                <c:pt idx="8">
                  <c:v>2.82665E-2</c:v>
                </c:pt>
                <c:pt idx="9">
                  <c:v>2.2432299999999999E-2</c:v>
                </c:pt>
                <c:pt idx="10">
                  <c:v>2.1937499999999999E-2</c:v>
                </c:pt>
                <c:pt idx="11">
                  <c:v>9.4563000000000008E-3</c:v>
                </c:pt>
                <c:pt idx="12">
                  <c:v>4.0239999999999998E-3</c:v>
                </c:pt>
                <c:pt idx="13">
                  <c:v>3.8807999999999998E-3</c:v>
                </c:pt>
                <c:pt idx="14">
                  <c:v>2.4407999999999999E-3</c:v>
                </c:pt>
                <c:pt idx="15">
                  <c:v>3.5236999999999998E-3</c:v>
                </c:pt>
                <c:pt idx="16">
                  <c:v>4.4181100000000001E-2</c:v>
                </c:pt>
                <c:pt idx="17">
                  <c:v>7.4283999999999999E-3</c:v>
                </c:pt>
                <c:pt idx="18">
                  <c:v>7.4224499999999999E-2</c:v>
                </c:pt>
                <c:pt idx="19">
                  <c:v>4.2278999999999997E-3</c:v>
                </c:pt>
                <c:pt idx="20">
                  <c:v>2.4425599999999999E-2</c:v>
                </c:pt>
              </c:numCache>
            </c:numRef>
          </c:val>
          <c:smooth val="0"/>
          <c:extLst>
            <c:ext xmlns:c16="http://schemas.microsoft.com/office/drawing/2014/chart" uri="{C3380CC4-5D6E-409C-BE32-E72D297353CC}">
              <c16:uniqueId val="{00000001-B534-4564-B6E6-95DF5BA3F64F}"/>
            </c:ext>
          </c:extLst>
        </c:ser>
        <c:dLbls>
          <c:showLegendKey val="0"/>
          <c:showVal val="0"/>
          <c:showCatName val="0"/>
          <c:showSerName val="0"/>
          <c:showPercent val="0"/>
          <c:showBubbleSize val="0"/>
        </c:dLbls>
        <c:marker val="1"/>
        <c:smooth val="0"/>
        <c:axId val="874385032"/>
        <c:axId val="874392576"/>
      </c:lineChart>
      <c:catAx>
        <c:axId val="862840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3600"/>
        <c:crosses val="autoZero"/>
        <c:auto val="1"/>
        <c:lblAlgn val="ctr"/>
        <c:lblOffset val="100"/>
        <c:noMultiLvlLbl val="0"/>
      </c:catAx>
      <c:valAx>
        <c:axId val="86284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0648"/>
        <c:crosses val="autoZero"/>
        <c:crossBetween val="between"/>
        <c:dispUnits>
          <c:custUnit val="1"/>
          <c:dispUnitsLbl>
            <c:tx>
              <c:rich>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ltLang="en-US"/>
                    <a:t>权重</a:t>
                  </a:r>
                  <a:endParaRPr lang="en-US" altLang="zh-CN"/>
                </a:p>
              </c:rich>
            </c:tx>
            <c:spPr>
              <a:noFill/>
              <a:ln>
                <a:noFill/>
              </a:ln>
              <a:effectLst/>
            </c:spPr>
            <c:txPr>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ispUnitsLbl>
        </c:dispUnits>
      </c:valAx>
      <c:valAx>
        <c:axId val="8743925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74385032"/>
        <c:crosses val="max"/>
        <c:crossBetween val="between"/>
        <c:dispUnits>
          <c:custUnit val="1.0000000000000002E-2"/>
          <c:dispUnitsLbl>
            <c:tx>
              <c:rich>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t>万元</a:t>
                  </a:r>
                  <a:r>
                    <a:rPr lang="en-US"/>
                    <a:t>/</a:t>
                  </a:r>
                  <a:r>
                    <a:rPr lang="zh-CN"/>
                    <a:t>人</a:t>
                  </a:r>
                  <a:endParaRPr lang="en-US"/>
                </a:p>
              </c:rich>
            </c:tx>
            <c:spPr>
              <a:noFill/>
              <a:ln>
                <a:noFill/>
              </a:ln>
              <a:effectLst/>
            </c:spPr>
            <c:txPr>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ispUnitsLbl>
        </c:dispUnits>
      </c:valAx>
      <c:catAx>
        <c:axId val="874385032"/>
        <c:scaling>
          <c:orientation val="minMax"/>
        </c:scaling>
        <c:delete val="1"/>
        <c:axPos val="b"/>
        <c:numFmt formatCode="General" sourceLinked="1"/>
        <c:majorTickMark val="out"/>
        <c:minorTickMark val="none"/>
        <c:tickLblPos val="nextTo"/>
        <c:crossAx val="874392576"/>
        <c:crosses val="autoZero"/>
        <c:auto val="1"/>
        <c:lblAlgn val="ctr"/>
        <c:lblOffset val="100"/>
        <c:noMultiLvlLbl val="0"/>
      </c:catAx>
      <c:spPr>
        <a:noFill/>
        <a:ln>
          <a:noFill/>
        </a:ln>
        <a:effectLst/>
      </c:spPr>
    </c:plotArea>
    <c:legend>
      <c:legendPos val="b"/>
      <c:layout>
        <c:manualLayout>
          <c:xMode val="edge"/>
          <c:yMode val="edge"/>
          <c:x val="0.19365652398143371"/>
          <c:y val="7.8311597769028893E-2"/>
          <c:w val="0.39608045384218671"/>
          <c:h val="8.835506889763779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3674494744914E-2"/>
          <c:y val="6.497341996455995E-2"/>
          <c:w val="0.80345870005404219"/>
          <c:h val="0.73092399923724838"/>
        </c:manualLayout>
      </c:layout>
      <c:barChart>
        <c:barDir val="col"/>
        <c:grouping val="clustered"/>
        <c:varyColors val="0"/>
        <c:ser>
          <c:idx val="0"/>
          <c:order val="0"/>
          <c:tx>
            <c:strRef>
              <c:f>'[PSM权重结果图（中文）.xlsx]Sheet1'!$C$3</c:f>
              <c:strCache>
                <c:ptCount val="1"/>
                <c:pt idx="0">
                  <c:v>权重</c:v>
                </c:pt>
              </c:strCache>
            </c:strRef>
          </c:tx>
          <c:spPr>
            <a:solidFill>
              <a:schemeClr val="bg1">
                <a:lumMod val="50000"/>
              </a:schemeClr>
            </a:solidFill>
            <a:ln>
              <a:noFill/>
            </a:ln>
            <a:effectLst/>
          </c:spPr>
          <c:invertIfNegative val="0"/>
          <c:cat>
            <c:strRef>
              <c:f>'[PSM权重结果图（中文）.xlsx]Sheet1'!$A$63:$A$74</c:f>
              <c:strCache>
                <c:ptCount val="12"/>
                <c:pt idx="0">
                  <c:v>十堰市</c:v>
                </c:pt>
                <c:pt idx="1">
                  <c:v>宜昌市</c:v>
                </c:pt>
                <c:pt idx="2">
                  <c:v>随州市</c:v>
                </c:pt>
                <c:pt idx="3">
                  <c:v>襄阳市</c:v>
                </c:pt>
                <c:pt idx="4">
                  <c:v>孝感市</c:v>
                </c:pt>
                <c:pt idx="5">
                  <c:v>鄂州市</c:v>
                </c:pt>
                <c:pt idx="6">
                  <c:v>咸宁市</c:v>
                </c:pt>
                <c:pt idx="7">
                  <c:v>黄冈市</c:v>
                </c:pt>
                <c:pt idx="8">
                  <c:v>荆州市</c:v>
                </c:pt>
                <c:pt idx="9">
                  <c:v>荆门市</c:v>
                </c:pt>
                <c:pt idx="10">
                  <c:v>黄石市</c:v>
                </c:pt>
                <c:pt idx="11">
                  <c:v>武汉市</c:v>
                </c:pt>
              </c:strCache>
            </c:strRef>
          </c:cat>
          <c:val>
            <c:numRef>
              <c:f>'[PSM权重结果图（中文）.xlsx]Sheet1'!$C$63:$C$74</c:f>
              <c:numCache>
                <c:formatCode>0.00%</c:formatCode>
                <c:ptCount val="12"/>
                <c:pt idx="0">
                  <c:v>0.13079661955991695</c:v>
                </c:pt>
                <c:pt idx="1">
                  <c:v>0.12935917636823141</c:v>
                </c:pt>
                <c:pt idx="2">
                  <c:v>0.12689460741121728</c:v>
                </c:pt>
                <c:pt idx="3">
                  <c:v>8.2534817431925533E-2</c:v>
                </c:pt>
                <c:pt idx="4">
                  <c:v>7.8154439109666587E-2</c:v>
                </c:pt>
                <c:pt idx="5">
                  <c:v>7.711500382154729E-2</c:v>
                </c:pt>
                <c:pt idx="6">
                  <c:v>7.4908242099431199E-2</c:v>
                </c:pt>
                <c:pt idx="7">
                  <c:v>7.3885059644433829E-2</c:v>
                </c:pt>
                <c:pt idx="8">
                  <c:v>6.5659207717548559E-2</c:v>
                </c:pt>
                <c:pt idx="9">
                  <c:v>6.5231891426385399E-2</c:v>
                </c:pt>
                <c:pt idx="10">
                  <c:v>5.3406383334845819E-2</c:v>
                </c:pt>
                <c:pt idx="11">
                  <c:v>4.2054552074849989E-2</c:v>
                </c:pt>
              </c:numCache>
            </c:numRef>
          </c:val>
          <c:extLst>
            <c:ext xmlns:c16="http://schemas.microsoft.com/office/drawing/2014/chart" uri="{C3380CC4-5D6E-409C-BE32-E72D297353CC}">
              <c16:uniqueId val="{00000000-ADCA-46F2-8F56-872A666CA78E}"/>
            </c:ext>
          </c:extLst>
        </c:ser>
        <c:dLbls>
          <c:showLegendKey val="0"/>
          <c:showVal val="0"/>
          <c:showCatName val="0"/>
          <c:showSerName val="0"/>
          <c:showPercent val="0"/>
          <c:showBubbleSize val="0"/>
        </c:dLbls>
        <c:gapWidth val="219"/>
        <c:axId val="862840648"/>
        <c:axId val="862843600"/>
      </c:barChart>
      <c:lineChart>
        <c:grouping val="standard"/>
        <c:varyColors val="0"/>
        <c:ser>
          <c:idx val="1"/>
          <c:order val="1"/>
          <c:tx>
            <c:strRef>
              <c:f>'[PSM权重结果图（中文）.xlsx]Sheet1'!$E$3</c:f>
              <c:strCache>
                <c:ptCount val="1"/>
                <c:pt idx="0">
                  <c:v>人均实际GDP</c:v>
                </c:pt>
              </c:strCache>
            </c:strRef>
          </c:tx>
          <c:spPr>
            <a:ln w="12700" cap="rnd">
              <a:solidFill>
                <a:sysClr val="windowText" lastClr="000000"/>
              </a:solidFill>
              <a:round/>
            </a:ln>
            <a:effectLst/>
          </c:spPr>
          <c:marker>
            <c:symbol val="none"/>
          </c:marker>
          <c:cat>
            <c:strRef>
              <c:f>'[PSM权重结果图（中文）.xlsx]Sheet1'!$B$63:$B$74</c:f>
              <c:strCache>
                <c:ptCount val="12"/>
                <c:pt idx="0">
                  <c:v>Shiyan</c:v>
                </c:pt>
                <c:pt idx="1">
                  <c:v>Yichang</c:v>
                </c:pt>
                <c:pt idx="2">
                  <c:v>Suizhou</c:v>
                </c:pt>
                <c:pt idx="3">
                  <c:v>Xiangyang</c:v>
                </c:pt>
                <c:pt idx="4">
                  <c:v>Xiaogan</c:v>
                </c:pt>
                <c:pt idx="5">
                  <c:v>E'zhou</c:v>
                </c:pt>
                <c:pt idx="6">
                  <c:v>Xianning</c:v>
                </c:pt>
                <c:pt idx="7">
                  <c:v>Huanggang</c:v>
                </c:pt>
                <c:pt idx="8">
                  <c:v>Jingzhou</c:v>
                </c:pt>
                <c:pt idx="9">
                  <c:v>Jingmen</c:v>
                </c:pt>
                <c:pt idx="10">
                  <c:v>Huangshi</c:v>
                </c:pt>
                <c:pt idx="11">
                  <c:v>Wuhan</c:v>
                </c:pt>
              </c:strCache>
            </c:strRef>
          </c:cat>
          <c:val>
            <c:numRef>
              <c:f>'[PSM权重结果图（中文）.xlsx]Sheet1'!$E$63:$E$74</c:f>
              <c:numCache>
                <c:formatCode>General</c:formatCode>
                <c:ptCount val="12"/>
                <c:pt idx="0">
                  <c:v>3.9353000000000001E-3</c:v>
                </c:pt>
                <c:pt idx="1">
                  <c:v>7.1843000000000002E-3</c:v>
                </c:pt>
                <c:pt idx="2">
                  <c:v>2.8907E-3</c:v>
                </c:pt>
                <c:pt idx="3">
                  <c:v>4.8158999999999997E-3</c:v>
                </c:pt>
                <c:pt idx="4">
                  <c:v>2.7916E-3</c:v>
                </c:pt>
                <c:pt idx="5">
                  <c:v>6.7441999999999997E-3</c:v>
                </c:pt>
                <c:pt idx="6">
                  <c:v>3.3092999999999998E-3</c:v>
                </c:pt>
                <c:pt idx="7">
                  <c:v>2.1492999999999998E-3</c:v>
                </c:pt>
                <c:pt idx="8">
                  <c:v>2.3535000000000001E-3</c:v>
                </c:pt>
                <c:pt idx="9">
                  <c:v>4.4973000000000001E-3</c:v>
                </c:pt>
                <c:pt idx="10">
                  <c:v>4.9090999999999996E-3</c:v>
                </c:pt>
                <c:pt idx="11">
                  <c:v>1.23094E-2</c:v>
                </c:pt>
              </c:numCache>
            </c:numRef>
          </c:val>
          <c:smooth val="0"/>
          <c:extLst>
            <c:ext xmlns:c16="http://schemas.microsoft.com/office/drawing/2014/chart" uri="{C3380CC4-5D6E-409C-BE32-E72D297353CC}">
              <c16:uniqueId val="{00000001-ADCA-46F2-8F56-872A666CA78E}"/>
            </c:ext>
          </c:extLst>
        </c:ser>
        <c:dLbls>
          <c:showLegendKey val="0"/>
          <c:showVal val="0"/>
          <c:showCatName val="0"/>
          <c:showSerName val="0"/>
          <c:showPercent val="0"/>
          <c:showBubbleSize val="0"/>
        </c:dLbls>
        <c:marker val="1"/>
        <c:smooth val="0"/>
        <c:axId val="874385032"/>
        <c:axId val="874392576"/>
      </c:lineChart>
      <c:catAx>
        <c:axId val="862840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3600"/>
        <c:crosses val="autoZero"/>
        <c:auto val="1"/>
        <c:lblAlgn val="ctr"/>
        <c:lblOffset val="100"/>
        <c:noMultiLvlLbl val="0"/>
      </c:catAx>
      <c:valAx>
        <c:axId val="86284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62840648"/>
        <c:crosses val="autoZero"/>
        <c:crossBetween val="between"/>
      </c:valAx>
      <c:valAx>
        <c:axId val="8743925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74385032"/>
        <c:crosses val="max"/>
        <c:crossBetween val="between"/>
        <c:dispUnits>
          <c:custUnit val="1.0000000000000002E-2"/>
          <c:dispUnitsLbl>
            <c:tx>
              <c:rich>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t>万元</a:t>
                  </a:r>
                  <a:r>
                    <a:rPr lang="en-US"/>
                    <a:t>/</a:t>
                  </a:r>
                  <a:r>
                    <a:rPr lang="zh-CN"/>
                    <a:t>人</a:t>
                  </a:r>
                  <a:endParaRPr lang="en-US"/>
                </a:p>
              </c:rich>
            </c:tx>
            <c:spPr>
              <a:noFill/>
              <a:ln>
                <a:noFill/>
              </a:ln>
              <a:effectLst/>
            </c:spPr>
            <c:txPr>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ispUnitsLbl>
        </c:dispUnits>
      </c:valAx>
      <c:catAx>
        <c:axId val="874385032"/>
        <c:scaling>
          <c:orientation val="minMax"/>
        </c:scaling>
        <c:delete val="1"/>
        <c:axPos val="b"/>
        <c:numFmt formatCode="General" sourceLinked="1"/>
        <c:majorTickMark val="out"/>
        <c:minorTickMark val="none"/>
        <c:tickLblPos val="nextTo"/>
        <c:crossAx val="874392576"/>
        <c:crosses val="autoZero"/>
        <c:auto val="1"/>
        <c:lblAlgn val="ctr"/>
        <c:lblOffset val="100"/>
        <c:noMultiLvlLbl val="0"/>
      </c:catAx>
      <c:spPr>
        <a:noFill/>
        <a:ln>
          <a:noFill/>
        </a:ln>
        <a:effectLst/>
      </c:spPr>
    </c:plotArea>
    <c:legend>
      <c:legendPos val="b"/>
      <c:layout>
        <c:manualLayout>
          <c:xMode val="edge"/>
          <c:yMode val="edge"/>
          <c:x val="0.45248648207010128"/>
          <c:y val="7.9354079558720245E-2"/>
          <c:w val="0.36005996812593699"/>
          <c:h val="9.371148452869852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0.27601</cdr:x>
      <cdr:y>0.0434</cdr:y>
    </cdr:from>
    <cdr:to>
      <cdr:x>0.27601</cdr:x>
      <cdr:y>0.77395</cdr:y>
    </cdr:to>
    <cdr:cxnSp macro="">
      <cdr:nvCxnSpPr>
        <cdr:cNvPr id="3" name="直接连接符 2">
          <a:extLst xmlns:a="http://schemas.openxmlformats.org/drawingml/2006/main">
            <a:ext uri="{FF2B5EF4-FFF2-40B4-BE49-F238E27FC236}">
              <a16:creationId xmlns:a16="http://schemas.microsoft.com/office/drawing/2014/main" id="{C2E612F3-4577-4D98-BE88-146B4F1957B8}"/>
            </a:ext>
          </a:extLst>
        </cdr:cNvPr>
        <cdr:cNvCxnSpPr/>
      </cdr:nvCxnSpPr>
      <cdr:spPr>
        <a:xfrm xmlns:a="http://schemas.openxmlformats.org/drawingml/2006/main" flipV="1">
          <a:off x="1413357" y="99682"/>
          <a:ext cx="0" cy="1677912"/>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0.12065</cdr:x>
      <cdr:y>0.05215</cdr:y>
    </cdr:from>
    <cdr:to>
      <cdr:x>0.29078</cdr:x>
      <cdr:y>0.15031</cdr:y>
    </cdr:to>
    <cdr:sp macro="" textlink="">
      <cdr:nvSpPr>
        <cdr:cNvPr id="4" name="文本框 3">
          <a:extLst xmlns:a="http://schemas.openxmlformats.org/drawingml/2006/main">
            <a:ext uri="{FF2B5EF4-FFF2-40B4-BE49-F238E27FC236}">
              <a16:creationId xmlns:a16="http://schemas.microsoft.com/office/drawing/2014/main" id="{24CEF607-D0B7-4560-9B56-03F564B28529}"/>
            </a:ext>
          </a:extLst>
        </cdr:cNvPr>
        <cdr:cNvSpPr txBox="1"/>
      </cdr:nvSpPr>
      <cdr:spPr>
        <a:xfrm xmlns:a="http://schemas.openxmlformats.org/drawingml/2006/main">
          <a:off x="617798" y="119778"/>
          <a:ext cx="871175" cy="22545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zh-CN" altLang="en-US" sz="1050">
              <a:latin typeface="Times New Roman" panose="02020603050405020304" pitchFamily="18" charset="0"/>
              <a:cs typeface="Times New Roman" panose="02020603050405020304" pitchFamily="18" charset="0"/>
            </a:rPr>
            <a:t>实验组</a:t>
          </a:r>
        </a:p>
      </cdr:txBody>
    </cdr:sp>
  </cdr:relSizeAnchor>
  <cdr:relSizeAnchor xmlns:cdr="http://schemas.openxmlformats.org/drawingml/2006/chartDrawing">
    <cdr:from>
      <cdr:x>0.28839</cdr:x>
      <cdr:y>0.05215</cdr:y>
    </cdr:from>
    <cdr:to>
      <cdr:x>0.45852</cdr:x>
      <cdr:y>0.15031</cdr:y>
    </cdr:to>
    <cdr:sp macro="" textlink="">
      <cdr:nvSpPr>
        <cdr:cNvPr id="5" name="文本框 4">
          <a:extLst xmlns:a="http://schemas.openxmlformats.org/drawingml/2006/main">
            <a:ext uri="{FF2B5EF4-FFF2-40B4-BE49-F238E27FC236}">
              <a16:creationId xmlns:a16="http://schemas.microsoft.com/office/drawing/2014/main" id="{5B2766EF-F183-4039-AA7F-D8EAE90DC8A0}"/>
            </a:ext>
          </a:extLst>
        </cdr:cNvPr>
        <cdr:cNvSpPr txBox="1"/>
      </cdr:nvSpPr>
      <cdr:spPr>
        <a:xfrm xmlns:a="http://schemas.openxmlformats.org/drawingml/2006/main">
          <a:off x="1476750" y="119778"/>
          <a:ext cx="871175" cy="22545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zh-CN" altLang="en-US" sz="1050">
              <a:latin typeface="Times New Roman" panose="02020603050405020304" pitchFamily="18" charset="0"/>
              <a:cs typeface="Times New Roman" panose="02020603050405020304" pitchFamily="18" charset="0"/>
            </a:rPr>
            <a:t>控制组</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2">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4F4E-A53E-4885-8630-DCDD8E0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21124</Words>
  <Characters>120409</Characters>
  <Application>Microsoft Office Word</Application>
  <DocSecurity>0</DocSecurity>
  <Lines>1003</Lines>
  <Paragraphs>282</Paragraphs>
  <ScaleCrop>false</ScaleCrop>
  <Company/>
  <LinksUpToDate>false</LinksUpToDate>
  <CharactersWithSpaces>141251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JasperJia</dc:creator>
  <cp:keywords/>
  <dc:description/>
  <cp:lastModifiedBy>Jia ZJ</cp:lastModifiedBy>
  <cp:revision>12</cp:revision>
  <cp:lastPrinted>2021-12-10T02:17:00Z</cp:lastPrinted>
  <dcterms:created xsi:type="dcterms:W3CDTF">2023-02-16T13:58:00Z</dcterms:created>
  <dcterms:modified xsi:type="dcterms:W3CDTF">2023-02-16T14:29:00Z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7f54bbf8-72ac-3ad9-ba76-ba54967dbf63</vt:lpwstr>
  </property>
  <property fmtid="{D5CDD505-2E9C-101B-9397-08002B2CF9AE}" pid="4" name="Mendeley Citation Style_1">
    <vt:lpwstr>http://csl.mendeley.com/styles/493851601/china-national-standard-gb-t-7714-2015-author-date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http://csl.mendeley.com/styles/493851601/china-national-standard-gb-t-7714-2015-author-date</vt:lpwstr>
  </property>
  <property fmtid="{D5CDD505-2E9C-101B-9397-08002B2CF9AE}" pid="14" name="Mendeley Recent Style Name 4_1">
    <vt:lpwstr>China National Standard GB/T 7714-2015 (author-date, 中文) - Zhijie Jia</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