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sz w:val="44"/>
          <w:szCs w:val="44"/>
        </w:rPr>
      </w:pPr>
      <w:bookmarkStart w:id="2" w:name="_GoBack"/>
      <w:r>
        <w:rPr>
          <w:bCs/>
          <w:sz w:val="44"/>
          <w:szCs w:val="44"/>
        </w:rPr>
        <w:t>地方政府税收竞争助推了经济发展不平衡吗？</w:t>
      </w:r>
    </w:p>
    <w:bookmarkEnd w:id="2"/>
    <w:p>
      <w:pPr>
        <w:spacing w:after="178" w:afterLines="50"/>
        <w:jc w:val="center"/>
        <w:rPr>
          <w:bCs/>
          <w:sz w:val="44"/>
          <w:szCs w:val="44"/>
        </w:rPr>
      </w:pPr>
      <w:r>
        <w:rPr>
          <w:bCs/>
          <w:sz w:val="44"/>
          <w:szCs w:val="44"/>
        </w:rPr>
        <w:t>——基于劳动力流动的视角</w:t>
      </w:r>
      <w:r>
        <w:rPr>
          <w:bCs/>
          <w:sz w:val="44"/>
          <w:szCs w:val="44"/>
          <w:vertAlign w:val="superscript"/>
        </w:rPr>
        <w:t>*</w:t>
      </w:r>
      <w:r>
        <w:rPr>
          <w:rStyle w:val="20"/>
          <w:bCs/>
          <w:color w:val="FFFFFF" w:themeColor="background1"/>
          <w:sz w:val="44"/>
          <w:szCs w:val="44"/>
          <w14:textFill>
            <w14:solidFill>
              <w14:schemeClr w14:val="bg1"/>
            </w14:solidFill>
          </w14:textFill>
        </w:rPr>
        <w:footnoteReference w:id="0"/>
      </w:r>
    </w:p>
    <w:p>
      <w:pPr>
        <w:jc w:val="center"/>
        <w:rPr>
          <w:bCs/>
          <w:szCs w:val="21"/>
        </w:rPr>
      </w:pPr>
    </w:p>
    <w:p>
      <w:pPr>
        <w:jc w:val="center"/>
        <w:rPr>
          <w:bCs/>
          <w:szCs w:val="21"/>
        </w:rPr>
      </w:pPr>
      <w:r>
        <w:rPr>
          <w:bCs/>
          <w:szCs w:val="21"/>
        </w:rPr>
        <w:t>储德银 迟淑娴 刘俸奇</w:t>
      </w:r>
    </w:p>
    <w:p>
      <w:pPr>
        <w:jc w:val="center"/>
        <w:rPr>
          <w:bCs/>
          <w:szCs w:val="21"/>
        </w:rPr>
      </w:pPr>
    </w:p>
    <w:p>
      <w:pPr>
        <w:ind w:firstLine="420" w:firstLineChars="200"/>
      </w:pPr>
      <w:r>
        <w:rPr>
          <w:rFonts w:eastAsia="黑体"/>
          <w:lang w:eastAsia="zh-Hans"/>
        </w:rPr>
        <w:t>摘要</w:t>
      </w:r>
      <w:r>
        <w:rPr>
          <w:rFonts w:eastAsia="黑体"/>
        </w:rPr>
        <w:t>：</w:t>
      </w:r>
      <w:r>
        <w:rPr>
          <w:rFonts w:eastAsia="楷体"/>
        </w:rPr>
        <w:t>立足新时代中国社会主要矛盾的根本转变和经济转向高质量发展这一新目标，科学厘清地方政府税收竞争与地区经济发展不平衡之间关系，不仅有利于通过规范地方政府间税收竞争加快推进现代财政制度基本框架的确立，还可以促使地方政府以新发展理念为指引切实推动经济高质量发展。</w:t>
      </w:r>
      <w:r>
        <w:rPr>
          <w:rFonts w:eastAsia="楷体"/>
          <w:szCs w:val="21"/>
        </w:rPr>
        <w:t>本文首先从理论层面系统诠释地方政府税收竞争与经济发展不平衡之间关系及其影响机制，</w:t>
      </w:r>
      <w:r>
        <w:rPr>
          <w:rFonts w:eastAsia="楷体"/>
          <w:szCs w:val="21"/>
          <w:lang w:eastAsia="zh-Hans"/>
        </w:rPr>
        <w:t>然后</w:t>
      </w:r>
      <w:r>
        <w:rPr>
          <w:rFonts w:eastAsia="楷体"/>
        </w:rPr>
        <w:t>构建包含</w:t>
      </w:r>
      <w:r>
        <w:rPr>
          <w:rFonts w:eastAsia="楷体"/>
          <w:szCs w:val="21"/>
        </w:rPr>
        <w:t>双重固定效应的空间</w:t>
      </w:r>
      <w:r>
        <w:rPr>
          <w:rFonts w:eastAsia="楷体"/>
        </w:rPr>
        <w:t>杜宾模型实证考察地方政府税收竞争</w:t>
      </w:r>
      <w:r>
        <w:rPr>
          <w:rFonts w:eastAsia="楷体"/>
          <w:szCs w:val="21"/>
        </w:rPr>
        <w:t>对经济发展不平衡的影响效应，结果发现</w:t>
      </w:r>
      <w:r>
        <w:rPr>
          <w:rFonts w:eastAsia="楷体"/>
        </w:rPr>
        <w:t>：（1）地方政府之间不仅存在策略互动的税收竞争行为，而且对于地区经济发展不均衡具有正向影响，即地区间税收竞争越激烈，经济发展不平衡程度越高；（2）异质性检验显示，地方政府税收竞争的核心主要源于对营业税和所得税税基的争夺，而且在人口规模较大的城市中效应更为明显；（3）机制分析表明，</w:t>
      </w:r>
      <w:r>
        <w:rPr>
          <w:rFonts w:eastAsia="楷体"/>
          <w:szCs w:val="21"/>
        </w:rPr>
        <w:t>地方政府税收竞争</w:t>
      </w:r>
      <w:r>
        <w:rPr>
          <w:rFonts w:eastAsia="楷体"/>
          <w:szCs w:val="21"/>
          <w:lang w:eastAsia="zh-Hans"/>
        </w:rPr>
        <w:t>主要</w:t>
      </w:r>
      <w:r>
        <w:rPr>
          <w:rFonts w:eastAsia="楷体"/>
          <w:szCs w:val="21"/>
        </w:rPr>
        <w:t>通过</w:t>
      </w:r>
      <w:r>
        <w:rPr>
          <w:rFonts w:eastAsia="楷体"/>
          <w:szCs w:val="21"/>
          <w:lang w:eastAsia="zh-Hans"/>
        </w:rPr>
        <w:t>改变劳动要素的数量和质量</w:t>
      </w:r>
      <w:r>
        <w:rPr>
          <w:rFonts w:eastAsia="楷体"/>
          <w:szCs w:val="21"/>
        </w:rPr>
        <w:t>对地区经济发展不平衡产生</w:t>
      </w:r>
      <w:r>
        <w:rPr>
          <w:rFonts w:eastAsia="楷体"/>
          <w:szCs w:val="21"/>
          <w:lang w:eastAsia="zh-Hans"/>
        </w:rPr>
        <w:t>影响</w:t>
      </w:r>
      <w:r>
        <w:rPr>
          <w:rFonts w:eastAsia="楷体"/>
          <w:szCs w:val="21"/>
        </w:rPr>
        <w:t>。以上研究结论，本文通过改变空间权重矩阵与核心变量的测度方法等进行稳健性检验发现依然成立。</w:t>
      </w:r>
    </w:p>
    <w:p>
      <w:pPr>
        <w:ind w:firstLine="420" w:firstLineChars="200"/>
      </w:pPr>
      <w:r>
        <w:rPr>
          <w:rFonts w:eastAsia="黑体"/>
        </w:rPr>
        <w:t>关键词：</w:t>
      </w:r>
      <w:r>
        <w:rPr>
          <w:rFonts w:eastAsia="楷体"/>
        </w:rPr>
        <w:t>地方政府税收竞争 经济发展不平衡 劳动力流动 空间杜宾模型</w:t>
      </w:r>
    </w:p>
    <w:p>
      <w:pPr>
        <w:ind w:firstLine="420" w:firstLineChars="200"/>
        <w:rPr>
          <w:rFonts w:eastAsia="黑体"/>
          <w:bCs/>
          <w:lang w:eastAsia="zh-Hans"/>
        </w:rPr>
      </w:pPr>
      <w:r>
        <w:rPr>
          <w:rFonts w:eastAsia="黑体"/>
          <w:bCs/>
          <w:lang w:eastAsia="zh-Hans"/>
        </w:rPr>
        <w:t xml:space="preserve">中图分类号F812.2 </w:t>
      </w:r>
    </w:p>
    <w:p>
      <w:pPr>
        <w:topLinePunct/>
        <w:ind w:firstLine="422" w:firstLineChars="200"/>
        <w:jc w:val="center"/>
        <w:rPr>
          <w:b/>
          <w:szCs w:val="21"/>
        </w:rPr>
      </w:pPr>
      <w:r>
        <w:rPr>
          <w:b/>
          <w:szCs w:val="21"/>
        </w:rPr>
        <w:t xml:space="preserve">Does Local Government Tax Competition exacerbate Imbalance </w:t>
      </w:r>
    </w:p>
    <w:p>
      <w:pPr>
        <w:topLinePunct/>
        <w:ind w:firstLine="422" w:firstLineChars="200"/>
        <w:jc w:val="center"/>
        <w:rPr>
          <w:b/>
          <w:szCs w:val="21"/>
        </w:rPr>
      </w:pPr>
      <w:r>
        <w:rPr>
          <w:b/>
          <w:szCs w:val="21"/>
        </w:rPr>
        <w:t>of Economic Development？</w:t>
      </w:r>
    </w:p>
    <w:p>
      <w:pPr>
        <w:topLinePunct/>
        <w:ind w:firstLine="422" w:firstLineChars="200"/>
        <w:jc w:val="center"/>
        <w:rPr>
          <w:b/>
          <w:szCs w:val="21"/>
        </w:rPr>
      </w:pPr>
      <w:r>
        <w:rPr>
          <w:b/>
          <w:szCs w:val="21"/>
        </w:rPr>
        <w:t>——A Perspective Based on Labour Mobility</w:t>
      </w:r>
    </w:p>
    <w:p>
      <w:pPr>
        <w:topLinePunct/>
        <w:ind w:firstLine="420" w:firstLineChars="200"/>
        <w:jc w:val="center"/>
        <w:rPr>
          <w:bCs/>
          <w:szCs w:val="21"/>
        </w:rPr>
      </w:pPr>
      <w:r>
        <w:rPr>
          <w:bCs/>
          <w:szCs w:val="21"/>
        </w:rPr>
        <w:t>CHU deyin</w:t>
      </w:r>
      <w:r>
        <w:rPr>
          <w:bCs/>
          <w:szCs w:val="21"/>
          <w:vertAlign w:val="superscript"/>
        </w:rPr>
        <w:t>1</w:t>
      </w:r>
      <w:r>
        <w:rPr>
          <w:bCs/>
          <w:szCs w:val="21"/>
        </w:rPr>
        <w:t xml:space="preserve">  CHI shuxian</w:t>
      </w:r>
      <w:r>
        <w:rPr>
          <w:bCs/>
          <w:szCs w:val="21"/>
          <w:vertAlign w:val="superscript"/>
        </w:rPr>
        <w:t>2</w:t>
      </w:r>
      <w:r>
        <w:rPr>
          <w:bCs/>
          <w:szCs w:val="21"/>
        </w:rPr>
        <w:t xml:space="preserve">  LIU fengqi</w:t>
      </w:r>
      <w:r>
        <w:rPr>
          <w:bCs/>
          <w:szCs w:val="21"/>
          <w:vertAlign w:val="superscript"/>
        </w:rPr>
        <w:t>3</w:t>
      </w:r>
    </w:p>
    <w:p>
      <w:pPr>
        <w:topLinePunct/>
        <w:ind w:firstLine="420" w:firstLineChars="200"/>
        <w:jc w:val="center"/>
        <w:rPr>
          <w:bCs/>
          <w:szCs w:val="21"/>
        </w:rPr>
      </w:pPr>
      <w:r>
        <w:rPr>
          <w:bCs/>
          <w:szCs w:val="21"/>
        </w:rPr>
        <w:t>（1.</w:t>
      </w:r>
      <w:r>
        <w:t xml:space="preserve"> </w:t>
      </w:r>
      <w:r>
        <w:rPr>
          <w:bCs/>
          <w:szCs w:val="21"/>
        </w:rPr>
        <w:t>Anhui University of Finance and Economics, Bengbu, China; 2.</w:t>
      </w:r>
      <w:r>
        <w:t xml:space="preserve"> S</w:t>
      </w:r>
      <w:r>
        <w:rPr>
          <w:bCs/>
          <w:szCs w:val="21"/>
        </w:rPr>
        <w:t>hanghai University of Finance and Economics, Shanghai, China; 3.</w:t>
      </w:r>
      <w:r>
        <w:t xml:space="preserve"> </w:t>
      </w:r>
      <w:r>
        <w:rPr>
          <w:bCs/>
          <w:szCs w:val="21"/>
        </w:rPr>
        <w:t>Nankai University, Tianjin, China）</w:t>
      </w:r>
    </w:p>
    <w:p>
      <w:pPr>
        <w:ind w:firstLine="422" w:firstLineChars="200"/>
      </w:pPr>
      <w:r>
        <w:rPr>
          <w:b/>
          <w:szCs w:val="21"/>
        </w:rPr>
        <w:t>Abstract:</w:t>
      </w:r>
      <w:r>
        <w:t xml:space="preserve"> Based on the fundamental change of the main contradiction of Chinese society in the new era and the new goal of shifting the economy to high-quality development, a scientific clarification of the relationship between local government tax competition and regional economic development imbalance is not only conducive to accelerating the establishment of the basic framework of a modern fiscal system, but also can prompt local governments to promote high-quality economic development with the new development concept as the guide. This paper firstly systematically interprets the relationship between local government tax competition and economic development imbalance and its influence mechanism from the theoretical level. Then it constructs a spatial Durbin model containing double fixed effects to empirically examine the effect of local government tax competition on economic development imbalance, and finds that: (1) there is not only strategic interaction between local governments in tax competition behavior, but also has a positive effect on regional economic development imbalance, i.e., the more intense the inter-regional tax competition is, the higher the degree of economic development imbalance is; (2) the test of heterogeneity shows that core of local governments' tax competition mainly stems from the competition for business tax and income tax base, and the effect is more obvious in cities with larger population sizes; (3) Mechanism analysis shows that local governments' tax competition mainly affects the imbalance of regional economic development by changing the quantity and quality of labor factors. The above findings are still found to be valid by changing the spatial weight matrix and the core variables' measures.</w:t>
      </w:r>
    </w:p>
    <w:p>
      <w:pPr>
        <w:ind w:firstLine="422" w:firstLineChars="200"/>
        <w:rPr>
          <w:szCs w:val="21"/>
          <w:shd w:val="clear" w:color="auto" w:fill="FFFFFF"/>
          <w:lang w:eastAsia="zh-Hans"/>
        </w:rPr>
      </w:pPr>
      <w:r>
        <w:rPr>
          <w:b/>
          <w:szCs w:val="21"/>
          <w:shd w:val="clear" w:color="auto" w:fill="FFFFFF"/>
        </w:rPr>
        <w:t>Keywords</w:t>
      </w:r>
      <w:r>
        <w:rPr>
          <w:szCs w:val="21"/>
          <w:shd w:val="clear" w:color="auto" w:fill="FFFFFF"/>
        </w:rPr>
        <w:t>: Local Government Tax Competition; Economic Development Imbalance;</w:t>
      </w:r>
      <w:r>
        <w:rPr>
          <w:szCs w:val="21"/>
        </w:rPr>
        <w:t xml:space="preserve"> </w:t>
      </w:r>
      <w:r>
        <w:rPr>
          <w:szCs w:val="21"/>
          <w:shd w:val="clear" w:color="auto" w:fill="FFFFFF"/>
        </w:rPr>
        <w:t xml:space="preserve">Labor Mobility; </w:t>
      </w:r>
      <w:r>
        <w:rPr>
          <w:szCs w:val="21"/>
        </w:rPr>
        <w:t>Spatial Durbin Model</w:t>
      </w:r>
    </w:p>
    <w:p>
      <w:pPr>
        <w:pStyle w:val="2"/>
        <w:tabs>
          <w:tab w:val="center" w:pos="4513"/>
          <w:tab w:val="left" w:pos="5543"/>
        </w:tabs>
        <w:spacing w:before="178" w:beforeLines="50" w:after="178" w:afterLines="50"/>
        <w:rPr>
          <w:rFonts w:eastAsia="黑体"/>
          <w:b w:val="0"/>
          <w:bCs w:val="0"/>
          <w:sz w:val="28"/>
          <w:szCs w:val="28"/>
        </w:rPr>
      </w:pPr>
      <w:r>
        <w:rPr>
          <w:rFonts w:eastAsia="黑体"/>
          <w:b w:val="0"/>
          <w:bCs w:val="0"/>
          <w:sz w:val="28"/>
          <w:szCs w:val="28"/>
        </w:rPr>
        <w:t>一、引言</w:t>
      </w:r>
    </w:p>
    <w:p>
      <w:pPr>
        <w:ind w:firstLine="420" w:firstLineChars="200"/>
        <w:rPr>
          <w:spacing w:val="-6"/>
          <w:szCs w:val="21"/>
        </w:rPr>
      </w:pPr>
      <w:r>
        <w:t>伴随中国经济社会发展进入民生新时代，一方面，社会主要矛盾业已转变为人民日益增长的美好生活需要和不平衡不充分的发展之间的矛盾；另一方面，高质量发展成为各级政府致力追求的新目标和未来中国经济运行的新特征。党的十九届五中全会立足新发展阶段，从战略高度提出新时代必须贯彻新发展理念和构建新发展格局，各级政府要将发展质量问题摆在更为突出的位置。科学的财税体制不仅是国家治理的基础和重要支柱，而且在多级政府治理框架下更是促使地方政府高效运行与推动经济高质量发展的制度激励基石（吕炜等，2019）。中国式财政分权体制通过“经济锦标赛”和“晋升锦标赛”双重激励机制，促使中国地方政府热衷于以税收优惠、租费减免和先征后返等多种形式开展税收竞争以及进而形成殊途同归的“税收洼地”。虽然地方政府税收竞争自1994年分税制改革以来在推动地方经济快速增长中发挥着至关重要的作用，但也在一定程度影响了税收公平与市场统一。因而立足新时代中国社会主要矛盾的根本转变和经济转向高质量发展这一新目标，本文尝试从理论与实证两个维度科学厘清与系统诠释地方政府税收竞争对地区经济发展不平衡的影响及其作用机制，这不仅有利于通过规范地方政府间税收竞争加快推动现代财政制</w:t>
      </w:r>
      <w:r>
        <w:rPr>
          <w:spacing w:val="-6"/>
          <w:szCs w:val="21"/>
        </w:rPr>
        <w:t>度基本框架的基本确立，还可以引导地方政府以新发展理念为指引促进区域经济协调与高质量发展。</w:t>
      </w:r>
    </w:p>
    <w:p>
      <w:pPr>
        <w:ind w:firstLine="420" w:firstLineChars="200"/>
      </w:pPr>
      <w:r>
        <w:t>从以美国为代表的西方财政联邦主义到中国式财政分权，如何激励地方政府更加高效地履职尽责始终是财税体制改革的核心问题之一。尤其是在国家治理体系现代化进程不断纵深推进中，多级政府治理架构不仅能充分调动地方政府的积极性和主动性，还能从整体上提升</w:t>
      </w:r>
      <w:r>
        <w:rPr>
          <w:rStyle w:val="30"/>
          <w:rFonts w:hint="default" w:ascii="Times New Roman" w:hAnsi="Times New Roman"/>
          <w:color w:val="auto"/>
        </w:rPr>
        <w:t>政府部门运行效率，</w:t>
      </w:r>
      <w:r>
        <w:t>从而为地方政府间税收竞争提供可能。虽然从表面来看，财政分权理论下的地方政府为争夺稀缺的流动性资源而采取竞争机制是不可避免的，但实际中，政府税收竞争的有效性是依政府结构层级、中央财政补助以及税率变动等对要素流动的影响程度作为前提。传统税收竞争理论基于理性经济人“用脚投票”这一自由流动机制，认为降低税率抑或提高补贴均会吸引流动性较强的要素流入，政府间税收竞争和激励机制有利于提升政府行政效率、避免机构繁冗、增进人民福祉、提高辖区内公共服务规模和数量，从而增强各地区的竞争优势（Buchanan,1980）。然而针对转型时期的中国经济而言，政府间良性竞争机制很好地调动了地方政府积极性，无论是带有市场契约特征的承包制，还是实现中央地方激励一致性的分税制改革，政府间横向与纵向税收竞争都为中国经济持续高速增长发挥着不可替代的积极作用（沈坤荣、付文林，2006；吕冰洋、郭庆旺，2011）。</w:t>
      </w:r>
    </w:p>
    <w:p>
      <w:pPr>
        <w:ind w:firstLine="420" w:firstLineChars="200"/>
      </w:pPr>
      <w:r>
        <w:t>然而大量经验研究表明，缺乏较强政治约束的税收竞争未必能带来效率的改进，即“无效竞争”不仅意味着财政自由度的松弛，还预示着地方政府行为的扭曲或异化（Oates,1972; Boadway,2001; Sennoga et al,2007)。因为当地方政府获得不同程度的自由裁量权时，无论是为谋取发展而竞争，抑或为获得中央政府补助而竞争，地方政府税收竞争在强烈的利益机制驱动下也给经济高质量发展带来巨大成本。一方面，政府税收竞争产生的“逐底竞次”侵蚀了中央与地方政府的税收收入；另一方面，税基重叠导致的“公地悲剧”给下级政府带来了治理困境（谢贞发、范子英，2015）。地方政府源于竞争的短视行为会放松征管约束，向资本让渡居民利益。特别是在官员晋升激励机制的作用下，竞争机制最终可能带来地方政府公共职能的异化、粗放式的经济增长以及不平衡不充分的经济发展后果（傅勇、张晏，2007；尹恒、朱虹，2011）。除此之外，地方政府税收竞争导致的重复建设、市场分割以及投资过热不但能通过改变地区间的生产要素配置而导致宏观经济波动加剧，还强化了地区间经济发展的不平衡（赵文哲等，2010；陈晓光，2016）。尤其是在集聚效应与贸易成本的条件下，无论是策略替代性抑或策略互补性的政府间税收竞争，均会促使地区经济发展差距进一步扩大（汪冲，2011；Parchet,2019）。根据国家统计局公布的官方数据显示，中国省际人均GDP差距（最高与最低省份人均GDP之比）自1998年之后呈现出先升后降再反弹这一发展态势。其中，这一比值在2004年达到峰值13.12:1，且在1996-2006年间连续10年都大于10。虽然这一比值随后持续下降至2014年的3.98:1，即意味着“先富带动后富”的涓滴效应显现，地区经济发展不平衡程度逐渐缩小，但中国地区经济发展差距又从2015年再次缓慢攀升至2019年的4.98。与之相伴，这一时期的全国居民收入基尼系数从整体上也同样呈现倒“U”型变化趋势，且始终高于国际警戒线0.4水平，地区间收入差距过大与经济发展不平衡的严峻性不言自明（贾俊雪、梁煊，2020）。对此，党的十九大报告不仅强调要“实施区域协调发展战略”，还明确提出新时代中国社会主要矛盾业已转变为“人民日益增长的美好生活需要和不平衡不充分的发展之间的矛盾”。《中共中央关于制定国民经济和社会发展第十四个五年规划和二〇三五年远景目标的建议》（简称《建议》）指出在“十四五”期间，要进一步改善和提高人民生活水平，不断缩小城乡、区域和居民收入差距，推动区域经济均衡发展。由此可见，本文立足新时代中国社会主要矛盾业已转变这一新特征，从地方政府税收竞争视域深入探究其对地区经济发展不平衡的影响效应及其作用机制，进而为致力解决地区经济发展不平衡这一问题提供决策参考与思路借鉴，这不仅是系统诠释中国地方政府实现经济高质量发展的应有之义，也对深入贯彻新发展理论与构建新发展格局具有非常重要的现实意义。</w:t>
      </w:r>
    </w:p>
    <w:p>
      <w:pPr>
        <w:pStyle w:val="2"/>
        <w:tabs>
          <w:tab w:val="center" w:pos="4513"/>
          <w:tab w:val="left" w:pos="5543"/>
        </w:tabs>
        <w:spacing w:before="178" w:beforeLines="50" w:after="178" w:afterLines="50"/>
        <w:rPr>
          <w:rFonts w:eastAsia="黑体"/>
          <w:b w:val="0"/>
          <w:bCs w:val="0"/>
          <w:sz w:val="28"/>
          <w:szCs w:val="28"/>
        </w:rPr>
      </w:pPr>
      <w:r>
        <w:rPr>
          <w:rFonts w:eastAsia="黑体"/>
          <w:b w:val="0"/>
          <w:bCs w:val="0"/>
          <w:sz w:val="28"/>
          <w:szCs w:val="28"/>
        </w:rPr>
        <w:t>二、文献综述</w:t>
      </w:r>
    </w:p>
    <w:p>
      <w:pPr>
        <w:ind w:firstLine="420" w:firstLineChars="200"/>
      </w:pPr>
      <w:r>
        <w:t>在传统财政分权理论中，Zodrow &amp; Mieszkowski(1986)认为广义的税收竞争是指不同地区政府通过降低税率或优化公共服务等为争夺经济性资源或经济活动而展开的一切减少企业实际税负的竞争行为。在非对称辖区规模和要素不完全流动的条件下，基于相对独立的利益需求和执政能力，地方政府为了增进本辖区的经济实力与提高居民社会福利，通过非合作的税收优惠和支出政策，调整与其他地区的相对税率，在利于或损害相邻地区的情况下改变税基规模，从而吸引资本、人口与技术等要素流入（Tiebout,1956）。然而无论是横向或纵向税收外部性的互动影响，抑或直接与间接的税收竞争手段，税收政策的变化在多大程度上影响流动性税基和政府收入分配职能的发挥是判断税收竞争有效性的关键（Wilson,1986；汪冲，2011）。</w:t>
      </w:r>
      <w:r>
        <w:rPr>
          <w:lang w:eastAsia="zh-Hans"/>
        </w:rPr>
        <w:t>现有文献中，</w:t>
      </w:r>
      <w:r>
        <w:t>政府间税收竞争对地方经济发展的影响及其机制的研究主要从以下三个方面展开。</w:t>
      </w:r>
    </w:p>
    <w:p>
      <w:pPr>
        <w:ind w:firstLine="420" w:firstLineChars="200"/>
      </w:pPr>
      <w:r>
        <w:t>地方政府税收竞争可以通过调整资本税率改变资本的流动性和回报率对其经济发展产生影响。基于仁慈型政府这一假设前提，实施税收竞争策略的地方政府通过竞相降低有效税率来提高资本边际收益率，实现对本辖区内资本要素的固化作用和对辖区外要素的吸引，从而改变地区间生产要素配置、企业区位选择与产业结构调整，最终对地方经济均衡发展产生影响（Zodrow &amp; Mieszkowski, 1986; Hoyt,1991）。即在地方政府税收博弈过程中，“逐底竞争”对流动性要素产生的强大吸引作用会使得“税收低洼”地区获得竞争优势（李涛等，2011）。辅以优惠的税收政策和放松的税收监管，在资本完全自由流动条件下，劣势地区的资本接连向优势地区输出，一方面提高博弈占优地区的税收竞争能力以及获得超额利润，从而为本地区基础建设投资提供资金支持、加快产业转型升级与增进社会福利；另一方面，横向税收竞争产生的外部性致使税收价格与社会边际成本背离，基于投资渴望、发展冲动以及突破经济增长“瓶颈”需求，地方政府“无效竞争”不仅会恶化劣势地区的投资环境，降低辖区内的公共服务供给和社会福利水平，而且由此产生的“跷跷板”效应也会对区域间均衡发展带来不利影响（Cai &amp; Treisman,2005; Hindriks et al,2008; Chirinko &amp; Wilson,2017）。</w:t>
      </w:r>
    </w:p>
    <w:p>
      <w:pPr>
        <w:ind w:firstLine="420" w:firstLineChars="200"/>
      </w:pPr>
      <w:r>
        <w:t>地方政府税收竞争可以通过改变公共品支出水平和效率对其经济发展产生影响。基于“利维坦”政府这一假设前提，税收竞争对政府浪费性开支的约束作用可以有效地规避权力的滥用，居民“用脚投票”机制促使地方政府在较低的税率下提供较好的公共品，从而在既定预算约束条件下实现帕累托改进（Wildasin,1989; Keen &amp; Marchand,1997）。而这一观点也得到</w:t>
      </w:r>
      <w:r>
        <w:fldChar w:fldCharType="begin"/>
      </w:r>
      <w:r>
        <w:instrText xml:space="preserve"> HYPERLINK "https://xueshu.baidu.com/s?wd=author%3A%28M%20Rauscher%29%20&amp;tn=SE_baiduxueshu_c1gjeupa&amp;ie=utf-8&amp;sc_f_para=sc_hilight%3Dperson" \t "_blank" </w:instrText>
      </w:r>
      <w:r>
        <w:fldChar w:fldCharType="separate"/>
      </w:r>
      <w:r>
        <w:t>Rauscher</w:t>
      </w:r>
      <w:r>
        <w:fldChar w:fldCharType="end"/>
      </w:r>
      <w:r>
        <w:t>(1998)研究的经验支持，即伴随公共品支出水平的提高，公共品的正外部性可以有效地激励企业生产积极性和创造性发挥，提高经济效益以及由此实现规模经济。然而上述有效论是基于完全竞争市场以及政府能够充分履行再分配职能的预设前提下，但实际上由于区域的非同质性和不完全竞争市场，税收竞争产生的负外部性不仅降低均衡税率，导致税收收入锐减，而且盲目的税收竞争反而会加剧政府寻租行为，此时效率的损失使得公共品供给不足，造成整个经济体的福利水平下降（Janeba,1998; Wilson, 1999）。</w:t>
      </w:r>
    </w:p>
    <w:p>
      <w:pPr>
        <w:ind w:firstLine="420" w:firstLineChars="200"/>
      </w:pPr>
      <w:r>
        <w:t>地方政府税收竞争依据“用脚投票”理论促进人口流动和劳动力资源优化配置，进而对地方经济发展产生影响。人口迁移作为工业化和城市化进程的特征之一，是实现个体福利最大化和资源优化配置的重要手段。人口的流动与聚集不仅影响地区公共品的提供与消费，而且还作用于税基对地方税收收入产生影响（Wilson,1986; Keen &amp; Marchand,1997）。为吸引并留住优质的税基，地方政府通过降低税率的方式吸引具有高禀赋的人口迁移是地区间税收竞争的重要形式，并且通过设置流动成本阻止人口的跨区套利，以实现区域利益最大化。然而已有研究多以假设要素完全流动，相对忽略了现实中要素流动的成本约束以及存量调节的成本，即短期内税收竞争对固化劳动力要素有利，但在长期中却未必如此（Wildasin,2003），因为流动要素的需求弹性越高，税率就会越低。此外，在采取降低税率等税收竞争方式吸引劳动力要素流入的过程中，不仅会产生税收歧视，而且地方政府的高福利政策通常伴随高税负，而低税负则意味着低保障。因而实际中，政府为了兼顾税负公平和福利水平，往往以牺牲财政赤字为代价来换取要素的流入，这不仅会让地方政府陷入财政危机的窘境，而且还会导致公共服务的供给难以为继。长此以往，公共服务的短缺就会逐渐成为劳动力流入的制度障碍，无法形成有效的劳动力共同市场，从而导致资源错配，社会福利水平和经济运行效率下降，进而不利于激发经济发展潜力。</w:t>
      </w:r>
    </w:p>
    <w:p>
      <w:pPr>
        <w:ind w:firstLine="420" w:firstLineChars="200"/>
      </w:pPr>
      <w:r>
        <w:rPr>
          <w:lang w:eastAsia="zh-Hans"/>
        </w:rPr>
        <w:t>然而，</w:t>
      </w:r>
      <w:r>
        <w:t>以政治单一制为前提的中国式财政分权体制有别于西方国家的财政联邦主义，地方政府税收竞争对地区均衡发展的影响机制显然不能直接套用国外研究结论。中国式分权体制之下的地方政府缺乏独立的税收立法权和司法权，无法通过调整法定税率和税种进行税收竞争（朱军、许志伟，2018）。尽管如此，中国式财政分权体制赋予了地方政府税收竞争的特殊性</w:t>
      </w:r>
      <w:r>
        <w:rPr>
          <w:lang w:eastAsia="zh-Hans"/>
        </w:rPr>
        <w:t>，一是</w:t>
      </w:r>
      <w:r>
        <w:t>游离于制度外的收入为地区间税收竞争提供了可能。譬如为了招商引资，地方政府利用优惠的土地价格来吸引外来资金而进行土地收入的竞争（付敏杰等，2017）。此外，不同类型的税收优惠政策和财政补贴政策通过不同程度地改变本辖区的税负水平，由此而进行税收竞争的现象屡见不鲜。</w:t>
      </w:r>
      <w:r>
        <w:rPr>
          <w:lang w:eastAsia="zh-Hans"/>
        </w:rPr>
        <w:t>二是</w:t>
      </w:r>
      <w:r>
        <w:t>伴随大城市和大都市圈的兴起，人力资本和人口的空间布局发生了巨大变化，不同地区因资源禀赋差异可分成劳动力流入或流出地。相对劳动力流入地而言，其发展制造业和服务业通常具有一定比较优势，地区间的税收博弈形成差别化的优惠政策，使得人口、资本和经济活动的快速集聚，经形成的规模经济不仅能提高劳动生产效率，还能实现居民可支配收入的增长。而相对劳动力流出地而言，虽然通常以农林牧渔业为主，但伴随人口流出，人均资源占有量却有所提升，此时如若配合中央政府转移支付等协调政策实施，引导地方政府进行良性税收竞争可以充分发挥地区比较优势，带动人口流出地经济总量的提升，从而实现有效率的经济增长和均衡的发展路径。由此可见，在集聚均衡状态下，地区间税收协调机制可以有效改善恶性税收竞争带来的“囚徒困境”。此外，大规模劳动力迁移已成为地区人力资本积累的支撑力量，辅之以交通运输成本和部分地方落户政策门槛的降低，人口流动在市场机制作用下有利于实现资源的有效配置。譬如，高技能劳动者流入带来的人力资本外部性在强化空间集聚趋势的过程中，也给低技能劳动者提供了工作机遇，从而达到人均意义上的“平衡”（夏怡然、陆铭，2019）。</w:t>
      </w:r>
    </w:p>
    <w:p>
      <w:pPr>
        <w:ind w:firstLine="420" w:firstLineChars="200"/>
      </w:pPr>
      <w:r>
        <w:t>尽管国内学者关于政府间税收竞争及其经济效应展开了深入探讨，但针对地方政府税收竞争与经济发展不平衡之间关系并未进行深入研究，仅有少数学者基于征税体制、劳动力流动与投资环境等视角对二者之间关系予以探讨。譬如，刘雅南、邵宜航（2009）在中央政府协调机制框架下探讨税收竞争对区域经济差异的影响，研究认为上级政府可以通过各种行政、法律和政策手段协调和约束下级政府行为，从而减少税收竞争带来的效率损失，因而适当的财税政策设计能够兼顾效率与公平，有效缓解税收竞争对区域经济发展带来的不利影响。陆军、杨志勇（2010）基于异质性偏好劳动力的空间流动决策，深入分析劳动力流动性对税收竞争的一般均衡影响，结果发现在“罗尔斯主义”地方政府的对称均衡下，税收竞争导致的低税负和高支出将激励技术型劳动力流入，使得社会再分配水平下降。刘穷志（2017）认为投资环境的改善可以在较高的税负水平下吸引资本的流入，劳动力依附资本而获得的报酬可以有效缓解收入不平等，但投资环境的恶化会导致资本外逃严重，进而促使地区间经济发展差异进一步扩大。</w:t>
      </w:r>
    </w:p>
    <w:p>
      <w:pPr>
        <w:ind w:firstLine="420" w:firstLineChars="200"/>
      </w:pPr>
      <w:r>
        <w:t>与已有研究相比，本文可能存在的创新之处主要在于以下两个方面：一是基于空间视角系统考察了地方政府横向税收竞争对于地区经济发展不平衡的影响机制和溢出效应，为研究税收竞争的效率损失提供了新的视角和经验证据。二是聚焦于劳动力流动视角，探究税收竞争对地区经济发展不平衡的作用机制，为研究中国地区经济高质量均衡发展提供了新的思路。现有文献对于税收竞争的分析研究主要集中在资本要素的流动，而忽视劳动力要素流动及其空间配置对于地区经济发展不均衡的影响，本文不仅通过理论分析阐述了劳动力流动在税收竞争与地区经济发展不均衡过程中的作用机制，而且在实证估计中从直接机制和微观机制两个方面税收竞争对劳动力流动的影响效应。本文为规范地方政府税收竞争行为，促进劳动力合理流动，实现区域均衡发展提供了有益思路。</w:t>
      </w:r>
    </w:p>
    <w:p>
      <w:pPr>
        <w:ind w:firstLine="480"/>
      </w:pPr>
      <w:r>
        <w:t>本文随后部分的结构安排如下：第三部分为理论模型；第四部分为变量定义、数据来源与统计特征；第五部分为实证估计；第六部分为稳健性检验；第七部分为进一步分析；最后是本文的研究结论与政策建议。</w:t>
      </w:r>
    </w:p>
    <w:p>
      <w:pPr>
        <w:pStyle w:val="2"/>
        <w:tabs>
          <w:tab w:val="center" w:pos="4513"/>
          <w:tab w:val="left" w:pos="5543"/>
        </w:tabs>
        <w:spacing w:before="178" w:beforeLines="50" w:after="178" w:afterLines="50"/>
        <w:rPr>
          <w:rFonts w:eastAsia="黑体"/>
          <w:b w:val="0"/>
          <w:bCs w:val="0"/>
          <w:sz w:val="28"/>
          <w:szCs w:val="28"/>
        </w:rPr>
      </w:pPr>
      <w:r>
        <w:rPr>
          <w:rFonts w:eastAsia="黑体"/>
          <w:b w:val="0"/>
          <w:bCs w:val="0"/>
          <w:sz w:val="28"/>
          <w:szCs w:val="28"/>
        </w:rPr>
        <w:t>三、理论模型</w:t>
      </w:r>
    </w:p>
    <w:p>
      <w:pPr>
        <w:adjustRightInd w:val="0"/>
        <w:snapToGrid w:val="0"/>
        <w:spacing w:line="360" w:lineRule="exact"/>
        <w:ind w:firstLine="420" w:firstLineChars="200"/>
      </w:pPr>
      <w:r>
        <w:rPr>
          <w:szCs w:val="21"/>
        </w:rPr>
        <w:t>本文构建了包含代表性地区和代表性企业、居民和地方政府的一般均衡模型，深入研究地方政府税收竞争对地区经济发展不平衡的影响效应和作用机制。具体而言：本文假设存在一个包含多个地区的封闭经济体，为了引入地区异质性，本文假定存在两个禀赋条件不同的代表性地区，分别为发达地区和欠发达地区，每个地区的代表性企业通过雇佣劳动实现利润最大化。同时，经济中存在一定数量的居民，通过劳动收入实现效用最大化，其可以自由选择在发达地区或欠发达地区工作。地方政府的效用来自政府支出和本地区相对于其他地区的产出规模。每个地方政府对地区内代表性企业进行征税以满足日常支出，同时在中国特有的“晋升锦标赛”制度下地方政府也关注本地相对于其他地区的经济产出（周黎安，2007）。地方政府征税一方面能够增加支出规模，另一方面也会降低居民工资水平，导致劳动外流和产出降低。因此，每个地区的地方政府通过选择最优税率实现效用最大化。同时，本文在地方政府部门设定了体现地方政府税收竞争的参数，以分析税收竞争对经济发展不平衡的作用机制</w:t>
      </w:r>
      <w:r>
        <w:rPr>
          <w:szCs w:val="21"/>
          <w:lang w:eastAsia="zh-Hans"/>
        </w:rPr>
        <w:t>和影响效应</w:t>
      </w:r>
      <w:r>
        <w:rPr>
          <w:szCs w:val="21"/>
        </w:rPr>
        <w:t>，具体模型设定如下所示：</w:t>
      </w:r>
    </w:p>
    <w:p>
      <w:pPr>
        <w:adjustRightInd w:val="0"/>
        <w:snapToGrid w:val="0"/>
        <w:spacing w:line="360" w:lineRule="exact"/>
        <w:ind w:firstLine="420" w:firstLineChars="200"/>
        <w:rPr>
          <w:rFonts w:eastAsia="黑体"/>
          <w:bCs/>
          <w:szCs w:val="21"/>
        </w:rPr>
      </w:pPr>
      <w:r>
        <w:rPr>
          <w:rFonts w:eastAsia="黑体"/>
          <w:bCs/>
          <w:szCs w:val="21"/>
        </w:rPr>
        <w:t>（一）理论模型设定</w:t>
      </w:r>
    </w:p>
    <w:p>
      <w:pPr>
        <w:adjustRightInd w:val="0"/>
        <w:snapToGrid w:val="0"/>
        <w:spacing w:line="360" w:lineRule="exact"/>
        <w:ind w:firstLine="420" w:firstLineChars="200"/>
        <w:rPr>
          <w:bCs/>
          <w:szCs w:val="21"/>
        </w:rPr>
      </w:pPr>
      <w:r>
        <w:rPr>
          <w:rFonts w:eastAsia="楷体"/>
          <w:bCs/>
          <w:szCs w:val="21"/>
        </w:rPr>
        <w:t>1.代表性地区和代表性企业。</w:t>
      </w:r>
      <w:r>
        <w:rPr>
          <w:szCs w:val="21"/>
        </w:rPr>
        <w:t>为了体现地区经济发展不平衡，本文引入地区异质性，即假定经济中存在两个代表性地区</w:t>
      </w:r>
      <w:r>
        <w:rPr>
          <w:i/>
          <w:iCs/>
          <w:szCs w:val="21"/>
        </w:rPr>
        <w:t>i</w:t>
      </w:r>
      <w:r>
        <w:rPr>
          <w:szCs w:val="21"/>
        </w:rPr>
        <w:t>（</w:t>
      </w:r>
      <w:r>
        <w:rPr>
          <w:position w:val="-10"/>
          <w:szCs w:val="21"/>
        </w:rPr>
        <w:object>
          <v:shape id="_x0000_i1025" o:spt="75" type="#_x0000_t75" style="height:14.75pt;width:36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szCs w:val="21"/>
        </w:rPr>
        <w:t>），分别为代表性欠发达地区和代表性发达地区。其中，每个地区存在代表性企业，欠发达地区和发达地区代表性企业分别用下标1和2表示，两地区企业的生产函数如式（1）所示。</w:t>
      </w:r>
    </w:p>
    <w:p>
      <w:pPr>
        <w:pStyle w:val="42"/>
        <w:adjustRightInd/>
        <w:snapToGrid/>
        <w:spacing w:before="178" w:after="178"/>
        <w:jc w:val="right"/>
        <w:rPr>
          <w:rFonts w:ascii="Times New Roman" w:hAnsi="Times New Roman"/>
          <w:color w:val="auto"/>
          <w:position w:val="-14"/>
          <w:sz w:val="21"/>
          <w:szCs w:val="21"/>
          <w:lang w:eastAsia="zh-CN"/>
        </w:rPr>
      </w:pPr>
      <w:r>
        <w:rPr>
          <w:rFonts w:ascii="Times New Roman" w:hAnsi="Times New Roman"/>
          <w:color w:val="auto"/>
          <w:position w:val="-14"/>
          <w:sz w:val="21"/>
          <w:szCs w:val="21"/>
          <w:lang w:eastAsia="zh-CN"/>
        </w:rPr>
        <w:tab/>
      </w:r>
      <w:r>
        <w:rPr>
          <w:rFonts w:ascii="Times New Roman" w:hAnsi="Times New Roman"/>
          <w:color w:val="auto"/>
          <w:position w:val="-10"/>
          <w:sz w:val="21"/>
          <w:szCs w:val="21"/>
        </w:rPr>
        <w:object>
          <v:shape id="_x0000_i1026" o:spt="75" type="#_x0000_t75" style="height:17.55pt;width:48.9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Times New Roman" w:hAnsi="Times New Roman"/>
          <w:color w:val="auto"/>
          <w:position w:val="-14"/>
          <w:sz w:val="21"/>
          <w:szCs w:val="21"/>
          <w:lang w:eastAsia="zh-CN"/>
        </w:rPr>
        <w:t xml:space="preserve">                                 </w:t>
      </w:r>
      <w:r>
        <w:rPr>
          <w:rFonts w:ascii="Times New Roman" w:hAnsi="Times New Roman" w:eastAsia="宋体"/>
          <w:color w:val="auto"/>
          <w:sz w:val="21"/>
          <w:szCs w:val="21"/>
          <w:lang w:eastAsia="zh-CN"/>
        </w:rPr>
        <w:t>（</w:t>
      </w:r>
      <w:r>
        <w:rPr>
          <w:rFonts w:ascii="Times New Roman" w:hAnsi="Times New Roman"/>
          <w:color w:val="auto"/>
          <w:sz w:val="21"/>
          <w:szCs w:val="21"/>
          <w:lang w:eastAsia="zh-CN"/>
        </w:rPr>
        <w:t>1</w:t>
      </w:r>
      <w:r>
        <w:rPr>
          <w:rFonts w:ascii="Times New Roman" w:hAnsi="Times New Roman" w:eastAsia="宋体"/>
          <w:color w:val="auto"/>
          <w:sz w:val="21"/>
          <w:szCs w:val="21"/>
          <w:lang w:eastAsia="zh-CN"/>
        </w:rPr>
        <w:t>）</w:t>
      </w:r>
    </w:p>
    <w:p>
      <w:pPr>
        <w:pStyle w:val="42"/>
        <w:adjustRightInd/>
        <w:snapToGrid/>
        <w:spacing w:before="0" w:beforeLines="0" w:after="0" w:afterLines="0"/>
        <w:ind w:firstLine="420" w:firstLineChars="200"/>
        <w:jc w:val="left"/>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其中，</w:t>
      </w:r>
      <w:r>
        <w:rPr>
          <w:rFonts w:ascii="Times New Roman" w:hAnsi="Times New Roman"/>
          <w:color w:val="auto"/>
          <w:position w:val="-10"/>
          <w:sz w:val="21"/>
          <w:szCs w:val="21"/>
        </w:rPr>
        <w:object>
          <v:shape id="_x0000_i1027" o:spt="75" type="#_x0000_t75" style="height:14.75pt;width:12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Times New Roman" w:hAnsi="Times New Roman" w:eastAsia="宋体"/>
          <w:color w:val="auto"/>
          <w:sz w:val="21"/>
          <w:szCs w:val="21"/>
          <w:lang w:eastAsia="zh-CN"/>
        </w:rPr>
        <w:t>为欠发达地区和发达地区的产出水平；</w:t>
      </w:r>
      <w:r>
        <w:rPr>
          <w:rFonts w:ascii="Times New Roman" w:hAnsi="Times New Roman"/>
          <w:color w:val="auto"/>
          <w:position w:val="-10"/>
          <w:sz w:val="21"/>
          <w:szCs w:val="21"/>
        </w:rPr>
        <w:object>
          <v:shape id="_x0000_i1028" o:spt="75" type="#_x0000_t75" style="height:14.75pt;width:14.7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Times New Roman" w:hAnsi="Times New Roman" w:eastAsia="宋体"/>
          <w:color w:val="auto"/>
          <w:sz w:val="21"/>
          <w:szCs w:val="21"/>
          <w:lang w:eastAsia="zh-CN"/>
        </w:rPr>
        <w:t>为两地区的劳动水平；</w:t>
      </w:r>
      <w:r>
        <w:rPr>
          <w:rFonts w:ascii="Times New Roman" w:hAnsi="Times New Roman"/>
          <w:color w:val="auto"/>
          <w:position w:val="-10"/>
          <w:sz w:val="21"/>
          <w:szCs w:val="21"/>
        </w:rPr>
        <w:object>
          <v:shape id="_x0000_i1029" o:spt="75" type="#_x0000_t75" style="height:14.75pt;width:12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Times New Roman" w:hAnsi="Times New Roman" w:eastAsia="宋体"/>
          <w:color w:val="auto"/>
          <w:sz w:val="21"/>
          <w:szCs w:val="21"/>
          <w:lang w:eastAsia="zh-CN"/>
        </w:rPr>
        <w:t>代表两地区全要素生产率，本文假定发达地区全要素生产率大于欠发达地区</w:t>
      </w:r>
      <w:r>
        <w:rPr>
          <w:rFonts w:ascii="Times New Roman" w:hAnsi="Times New Roman"/>
          <w:color w:val="auto"/>
          <w:position w:val="-10"/>
          <w:sz w:val="21"/>
          <w:szCs w:val="21"/>
        </w:rPr>
        <w:object>
          <v:shape id="_x0000_i1030" o:spt="75" type="#_x0000_t75" style="height:14.75pt;width:36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ascii="Times New Roman" w:hAnsi="Times New Roman" w:eastAsia="宋体"/>
          <w:color w:val="auto"/>
          <w:sz w:val="21"/>
          <w:szCs w:val="21"/>
          <w:lang w:eastAsia="zh-CN"/>
        </w:rPr>
        <w:t>；此外，</w:t>
      </w:r>
      <w:r>
        <w:rPr>
          <w:rFonts w:ascii="Times New Roman" w:hAnsi="Times New Roman"/>
          <w:color w:val="auto"/>
          <w:position w:val="-10"/>
          <w:sz w:val="21"/>
          <w:szCs w:val="21"/>
        </w:rPr>
        <w:object>
          <v:shape id="_x0000_i1031" o:spt="75" type="#_x0000_t75" style="height:14.75pt;width:12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ascii="Times New Roman" w:hAnsi="Times New Roman" w:eastAsia="宋体"/>
          <w:color w:val="auto"/>
          <w:sz w:val="21"/>
          <w:szCs w:val="21"/>
          <w:lang w:eastAsia="zh-CN"/>
        </w:rPr>
        <w:t>代表劳动的产出弹性。由于生产函数中没有体现资本和土地等其它生产要素，本文假定</w:t>
      </w:r>
      <w:r>
        <w:rPr>
          <w:rFonts w:ascii="Times New Roman" w:hAnsi="Times New Roman"/>
          <w:color w:val="auto"/>
          <w:position w:val="-10"/>
          <w:sz w:val="21"/>
          <w:szCs w:val="21"/>
        </w:rPr>
        <w:object>
          <v:shape id="_x0000_i1032" o:spt="75" type="#_x0000_t75" style="height:14.75pt;width:45.2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eastAsia="宋体"/>
          <w:color w:val="auto"/>
          <w:sz w:val="21"/>
          <w:szCs w:val="21"/>
          <w:lang w:eastAsia="zh-CN"/>
        </w:rPr>
        <w:t>。</w:t>
      </w:r>
    </w:p>
    <w:p>
      <w:pPr>
        <w:spacing w:line="360" w:lineRule="exact"/>
        <w:ind w:firstLine="420" w:firstLineChars="200"/>
        <w:rPr>
          <w:szCs w:val="21"/>
        </w:rPr>
      </w:pPr>
      <w:r>
        <w:rPr>
          <w:szCs w:val="21"/>
        </w:rPr>
        <w:t>代表性企业通过选择劳动需求，实现利润</w:t>
      </w:r>
      <w:r>
        <w:rPr>
          <w:position w:val="-10"/>
          <w:szCs w:val="21"/>
        </w:rPr>
        <w:object>
          <v:shape id="_x0000_i1033" o:spt="75" type="#_x0000_t75" style="height:14.75pt;width:12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szCs w:val="21"/>
        </w:rPr>
        <w:t>最大化，如式（2）所示。</w:t>
      </w:r>
    </w:p>
    <w:p>
      <w:pPr>
        <w:pStyle w:val="42"/>
        <w:spacing w:before="178" w:after="178"/>
        <w:jc w:val="right"/>
        <w:rPr>
          <w:rFonts w:ascii="Times New Roman" w:hAnsi="Times New Roman" w:eastAsia="宋体"/>
          <w:color w:val="auto"/>
          <w:sz w:val="21"/>
          <w:szCs w:val="21"/>
          <w:lang w:eastAsia="zh-CN"/>
        </w:rPr>
      </w:pPr>
      <w:r>
        <w:rPr>
          <w:rFonts w:ascii="Times New Roman" w:hAnsi="Times New Roman"/>
          <w:color w:val="auto"/>
          <w:position w:val="-10"/>
          <w:sz w:val="21"/>
          <w:szCs w:val="21"/>
        </w:rPr>
        <w:object>
          <v:shape id="_x0000_i1034" o:spt="75" type="#_x0000_t75" style="height:14.75pt;width:86.75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ascii="Times New Roman" w:hAnsi="Times New Roman" w:eastAsia="宋体"/>
          <w:color w:val="auto"/>
          <w:position w:val="-14"/>
          <w:sz w:val="21"/>
          <w:szCs w:val="21"/>
          <w:lang w:eastAsia="zh-CN"/>
        </w:rPr>
        <w:t xml:space="preserve">               </w:t>
      </w:r>
      <w:r>
        <w:rPr>
          <w:rFonts w:ascii="Times New Roman" w:hAnsi="Times New Roman"/>
          <w:color w:val="auto"/>
          <w:sz w:val="21"/>
          <w:szCs w:val="21"/>
          <w:lang w:eastAsia="zh-CN"/>
        </w:rPr>
        <w:tab/>
      </w:r>
      <w:r>
        <w:rPr>
          <w:rFonts w:ascii="Times New Roman" w:hAnsi="Times New Roman"/>
          <w:color w:val="auto"/>
          <w:sz w:val="21"/>
          <w:szCs w:val="21"/>
          <w:lang w:eastAsia="zh-CN"/>
        </w:rPr>
        <w:t xml:space="preserve">            </w:t>
      </w:r>
      <w:r>
        <w:rPr>
          <w:rFonts w:ascii="Times New Roman" w:hAnsi="Times New Roman" w:eastAsia="宋体"/>
          <w:color w:val="auto"/>
          <w:sz w:val="21"/>
          <w:szCs w:val="21"/>
          <w:lang w:eastAsia="zh-CN"/>
        </w:rPr>
        <w:t>（</w:t>
      </w:r>
      <w:r>
        <w:rPr>
          <w:rFonts w:ascii="Times New Roman" w:hAnsi="Times New Roman"/>
          <w:color w:val="auto"/>
          <w:sz w:val="21"/>
          <w:szCs w:val="21"/>
          <w:lang w:eastAsia="zh-CN"/>
        </w:rPr>
        <w:t>2</w:t>
      </w:r>
      <w:r>
        <w:rPr>
          <w:rFonts w:ascii="Times New Roman" w:hAnsi="Times New Roman" w:eastAsia="宋体"/>
          <w:color w:val="auto"/>
          <w:sz w:val="21"/>
          <w:szCs w:val="21"/>
          <w:lang w:eastAsia="zh-CN"/>
        </w:rPr>
        <w:t>）</w:t>
      </w:r>
    </w:p>
    <w:p>
      <w:pPr>
        <w:spacing w:line="360" w:lineRule="exact"/>
        <w:ind w:firstLine="420" w:firstLineChars="200"/>
        <w:rPr>
          <w:szCs w:val="21"/>
        </w:rPr>
      </w:pPr>
      <w:r>
        <w:rPr>
          <w:szCs w:val="21"/>
        </w:rPr>
        <w:t>其中，</w:t>
      </w:r>
      <w:r>
        <w:rPr>
          <w:position w:val="-10"/>
          <w:szCs w:val="21"/>
        </w:rPr>
        <w:object>
          <v:shape id="_x0000_i1035" o:spt="75" type="#_x0000_t75" style="height:14.75pt;width:12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szCs w:val="21"/>
        </w:rPr>
        <w:t>为不同地区地方政府对当地代表性企业生产活动征税税率；</w:t>
      </w:r>
      <w:r>
        <w:rPr>
          <w:position w:val="-6"/>
          <w:szCs w:val="21"/>
        </w:rPr>
        <w:object>
          <v:shape id="_x0000_i1036" o:spt="75" type="#_x0000_t75" style="height:12pt;width:12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szCs w:val="21"/>
        </w:rPr>
        <w:t>代表每单位劳动的工资水平。本文假设劳动能够在不同地区自由流动，因此每个地区的要素价格相同。本文得到企业利润最大化条件下劳动的需求函数，如式（3）所示。</w:t>
      </w:r>
    </w:p>
    <w:p>
      <w:pPr>
        <w:jc w:val="right"/>
        <w:rPr>
          <w:szCs w:val="21"/>
        </w:rPr>
      </w:pPr>
      <w:r>
        <w:rPr>
          <w:position w:val="-26"/>
          <w:szCs w:val="21"/>
        </w:rPr>
        <w:object>
          <v:shape id="_x0000_i1037" o:spt="75" type="#_x0000_t75" style="height:29.55pt;width:73.8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r>
        <w:rPr>
          <w:position w:val="-28"/>
          <w:szCs w:val="21"/>
        </w:rPr>
        <w:t xml:space="preserve">                                </w:t>
      </w:r>
      <w:r>
        <w:rPr>
          <w:szCs w:val="21"/>
        </w:rPr>
        <w:t>（3）</w:t>
      </w:r>
    </w:p>
    <w:p>
      <w:pPr>
        <w:spacing w:line="360" w:lineRule="exact"/>
        <w:ind w:firstLine="420" w:firstLineChars="200"/>
        <w:rPr>
          <w:szCs w:val="21"/>
        </w:rPr>
      </w:pPr>
      <w:r>
        <w:rPr>
          <w:szCs w:val="21"/>
        </w:rPr>
        <w:t>将式（3）代入到生产函数式（1）可以得到代表性企业的最优产出：</w:t>
      </w:r>
    </w:p>
    <w:p>
      <w:pPr>
        <w:jc w:val="right"/>
        <w:rPr>
          <w:szCs w:val="21"/>
        </w:rPr>
      </w:pPr>
      <w:r>
        <w:rPr>
          <w:position w:val="-26"/>
          <w:szCs w:val="21"/>
        </w:rPr>
        <w:object>
          <v:shape id="_x0000_i1038" o:spt="75" type="#_x0000_t75" style="height:36.9pt;width:133.85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r>
        <w:rPr>
          <w:position w:val="-28"/>
          <w:szCs w:val="21"/>
        </w:rPr>
        <w:t xml:space="preserve">                       </w:t>
      </w:r>
      <w:r>
        <w:rPr>
          <w:szCs w:val="21"/>
        </w:rPr>
        <w:t>（4）</w:t>
      </w:r>
    </w:p>
    <w:p>
      <w:pPr>
        <w:spacing w:line="360" w:lineRule="exact"/>
        <w:ind w:firstLine="420" w:firstLineChars="200"/>
        <w:rPr>
          <w:b/>
          <w:szCs w:val="21"/>
        </w:rPr>
      </w:pPr>
      <w:r>
        <w:rPr>
          <w:szCs w:val="21"/>
        </w:rPr>
        <w:t>由于经济中存在多个地区和地方政府，单个地方政府行为不能影响劳动要素价格。因此根据式（4），地方政府的征收税率决定了本地企业的最优产出，即地方政府征税税率越高，地区</w:t>
      </w:r>
      <w:r>
        <w:rPr>
          <w:position w:val="-6"/>
          <w:szCs w:val="21"/>
        </w:rPr>
        <w:object>
          <v:shape id="_x0000_i1039" o:spt="75" type="#_x0000_t75" style="height:12pt;width:5.55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szCs w:val="21"/>
        </w:rPr>
        <w:t>的产出就越低，即</w:t>
      </w:r>
      <w:r>
        <w:rPr>
          <w:position w:val="-10"/>
          <w:szCs w:val="21"/>
        </w:rPr>
        <w:object>
          <v:shape id="_x0000_i1040" o:spt="75" type="#_x0000_t75" style="height:14.75pt;width:52.6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szCs w:val="21"/>
        </w:rPr>
        <w:t>。</w:t>
      </w:r>
    </w:p>
    <w:p>
      <w:pPr>
        <w:spacing w:line="360" w:lineRule="exact"/>
        <w:ind w:firstLine="420" w:firstLineChars="200"/>
        <w:rPr>
          <w:szCs w:val="21"/>
        </w:rPr>
      </w:pPr>
      <w:r>
        <w:rPr>
          <w:rFonts w:eastAsia="楷体"/>
          <w:bCs/>
          <w:szCs w:val="21"/>
        </w:rPr>
        <w:t>2.居民。</w:t>
      </w:r>
      <w:r>
        <w:rPr>
          <w:szCs w:val="21"/>
        </w:rPr>
        <w:t>本文假定经济中存在数量为</w:t>
      </w:r>
      <w:r>
        <w:rPr>
          <w:position w:val="-6"/>
          <w:szCs w:val="21"/>
        </w:rPr>
        <w:object>
          <v:shape id="_x0000_i1041" o:spt="75" type="#_x0000_t75" style="height:14.75pt;width:12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szCs w:val="21"/>
        </w:rPr>
        <w:t>的同质性个体，每个个体自由选择在欠发达地区或发达地区工作，当个体在地区</w:t>
      </w:r>
      <w:r>
        <w:rPr>
          <w:i/>
          <w:iCs/>
          <w:szCs w:val="21"/>
        </w:rPr>
        <w:t>i</w:t>
      </w:r>
      <w:r>
        <w:rPr>
          <w:szCs w:val="21"/>
        </w:rPr>
        <w:t>工作，其为地区</w:t>
      </w:r>
      <w:r>
        <w:rPr>
          <w:i/>
          <w:iCs/>
          <w:szCs w:val="21"/>
        </w:rPr>
        <w:t>i</w:t>
      </w:r>
      <w:r>
        <w:rPr>
          <w:szCs w:val="21"/>
        </w:rPr>
        <w:t>的居民。具体而言，每个居民的效用</w:t>
      </w:r>
      <w:r>
        <w:rPr>
          <w:position w:val="-10"/>
          <w:szCs w:val="21"/>
        </w:rPr>
        <w:object>
          <v:shape id="_x0000_i1042" o:spt="75" type="#_x0000_t75" style="height:14.75pt;width:12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r>
        <w:rPr>
          <w:szCs w:val="21"/>
        </w:rPr>
        <w:t>为</w:t>
      </w:r>
    </w:p>
    <w:p>
      <w:pPr>
        <w:pStyle w:val="42"/>
        <w:adjustRightInd/>
        <w:snapToGrid/>
        <w:spacing w:before="0" w:beforeLines="0" w:after="0" w:afterLines="0" w:line="240" w:lineRule="auto"/>
        <w:jc w:val="right"/>
        <w:rPr>
          <w:rFonts w:ascii="Times New Roman" w:hAnsi="Times New Roman" w:eastAsia="宋体"/>
          <w:color w:val="auto"/>
          <w:sz w:val="21"/>
          <w:szCs w:val="21"/>
          <w:lang w:eastAsia="zh-CN"/>
        </w:rPr>
      </w:pPr>
      <w:r>
        <w:rPr>
          <w:rFonts w:ascii="Times New Roman" w:hAnsi="Times New Roman"/>
          <w:color w:val="auto"/>
          <w:sz w:val="21"/>
          <w:szCs w:val="21"/>
          <w:lang w:eastAsia="zh-CN"/>
        </w:rPr>
        <w:tab/>
      </w:r>
      <w:r>
        <w:rPr>
          <w:rFonts w:ascii="Times New Roman" w:hAnsi="Times New Roman"/>
          <w:color w:val="auto"/>
          <w:position w:val="-10"/>
          <w:sz w:val="21"/>
          <w:szCs w:val="21"/>
        </w:rPr>
        <w:object>
          <v:shape id="_x0000_i1043" o:spt="75" type="#_x0000_t75" style="height:14.75pt;width:36.9pt;" o:ole="t" filled="f" o:preferrelative="t" stroked="f" coordsize="21600,21600">
            <v:path/>
            <v:fill on="f" focussize="0,0"/>
            <v:stroke on="f" joinstyle="miter"/>
            <v:imagedata r:id="rId43" o:title=""/>
            <o:lock v:ext="edit" aspectratio="t"/>
            <w10:wrap type="none"/>
            <w10:anchorlock/>
          </v:shape>
          <o:OLEObject Type="Embed" ProgID="Equation.3" ShapeID="_x0000_i1043" DrawAspect="Content" ObjectID="_1468075743" r:id="rId42">
            <o:LockedField>false</o:LockedField>
          </o:OLEObject>
        </w:object>
      </w:r>
      <w:r>
        <w:rPr>
          <w:rFonts w:ascii="Times New Roman" w:hAnsi="Times New Roman"/>
          <w:color w:val="auto"/>
          <w:sz w:val="21"/>
          <w:szCs w:val="21"/>
          <w:lang w:eastAsia="zh-CN"/>
        </w:rPr>
        <w:t xml:space="preserve">                                 </w:t>
      </w:r>
      <w:r>
        <w:rPr>
          <w:rFonts w:ascii="Times New Roman" w:hAnsi="Times New Roman" w:eastAsia="宋体"/>
          <w:color w:val="auto"/>
          <w:sz w:val="21"/>
          <w:szCs w:val="21"/>
          <w:lang w:eastAsia="zh-CN"/>
        </w:rPr>
        <w:t>（5）</w:t>
      </w:r>
    </w:p>
    <w:p>
      <w:pPr>
        <w:pStyle w:val="42"/>
        <w:adjustRightInd/>
        <w:snapToGrid/>
        <w:spacing w:before="0" w:beforeLines="0" w:after="0" w:afterLines="0"/>
        <w:ind w:firstLine="420" w:firstLineChars="200"/>
        <w:jc w:val="left"/>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其中，</w:t>
      </w:r>
      <w:r>
        <w:rPr>
          <w:rFonts w:ascii="Times New Roman" w:hAnsi="Times New Roman"/>
          <w:color w:val="auto"/>
          <w:position w:val="-10"/>
          <w:sz w:val="21"/>
          <w:szCs w:val="21"/>
        </w:rPr>
        <w:object>
          <v:shape id="_x0000_i1044" o:spt="75" type="#_x0000_t75" style="height:14.75pt;width:12pt;" o:ole="t" filled="f" o:preferrelative="t" stroked="f" coordsize="21600,21600">
            <v:path/>
            <v:fill on="f" focussize="0,0"/>
            <v:stroke on="f" joinstyle="miter"/>
            <v:imagedata r:id="rId45" o:title=""/>
            <o:lock v:ext="edit" aspectratio="t"/>
            <w10:wrap type="none"/>
            <w10:anchorlock/>
          </v:shape>
          <o:OLEObject Type="Embed" ProgID="Equation.3" ShapeID="_x0000_i1044" DrawAspect="Content" ObjectID="_1468075744" r:id="rId44">
            <o:LockedField>false</o:LockedField>
          </o:OLEObject>
        </w:object>
      </w:r>
      <w:r>
        <w:rPr>
          <w:rFonts w:ascii="Times New Roman" w:hAnsi="Times New Roman" w:eastAsia="宋体"/>
          <w:color w:val="auto"/>
          <w:sz w:val="21"/>
          <w:szCs w:val="21"/>
          <w:lang w:eastAsia="zh-CN"/>
        </w:rPr>
        <w:t>为每个居民的消费水平。居民的预算约束方程式为</w:t>
      </w:r>
    </w:p>
    <w:p>
      <w:pPr>
        <w:ind w:firstLine="420" w:firstLineChars="200"/>
        <w:jc w:val="right"/>
        <w:rPr>
          <w:position w:val="-28"/>
          <w:szCs w:val="21"/>
        </w:rPr>
      </w:pPr>
      <w:r>
        <w:rPr>
          <w:position w:val="-10"/>
          <w:szCs w:val="21"/>
        </w:rPr>
        <w:object>
          <v:shape id="_x0000_i1045" o:spt="75" type="#_x0000_t75" style="height:14.75pt;width:28.6pt;" o:ole="t" filled="f" o:preferrelative="t" stroked="f" coordsize="21600,21600">
            <v:path/>
            <v:fill on="f" focussize="0,0"/>
            <v:stroke on="f" joinstyle="miter"/>
            <v:imagedata r:id="rId47" o:title=""/>
            <o:lock v:ext="edit" aspectratio="t"/>
            <w10:wrap type="none"/>
            <w10:anchorlock/>
          </v:shape>
          <o:OLEObject Type="Embed" ProgID="Equation.3" ShapeID="_x0000_i1045" DrawAspect="Content" ObjectID="_1468075745" r:id="rId46">
            <o:LockedField>false</o:LockedField>
          </o:OLEObject>
        </w:object>
      </w:r>
      <w:r>
        <w:rPr>
          <w:szCs w:val="21"/>
        </w:rPr>
        <w:tab/>
      </w:r>
      <w:r>
        <w:rPr>
          <w:szCs w:val="21"/>
        </w:rPr>
        <w:t xml:space="preserve">                                （6）</w:t>
      </w:r>
    </w:p>
    <w:p>
      <w:pPr>
        <w:pStyle w:val="42"/>
        <w:adjustRightInd/>
        <w:snapToGrid/>
        <w:spacing w:before="0" w:beforeLines="0" w:after="0" w:afterLines="0"/>
        <w:ind w:firstLine="420" w:firstLineChars="200"/>
        <w:jc w:val="left"/>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在均衡状态下，欠发达地区和发达地区的居民不发生人口流动，即居民选择在发达地区和欠发达地区生活的效用相同（</w:t>
      </w:r>
      <w:r>
        <w:rPr>
          <w:rFonts w:ascii="Times New Roman" w:hAnsi="Times New Roman"/>
          <w:color w:val="auto"/>
          <w:position w:val="-10"/>
          <w:sz w:val="21"/>
          <w:szCs w:val="21"/>
        </w:rPr>
        <w:object>
          <v:shape id="_x0000_i1046" o:spt="75" type="#_x0000_t75" style="height:14.75pt;width:35.1pt;" o:ole="t" filled="f" o:preferrelative="t" stroked="f" coordsize="21600,21600">
            <v:path/>
            <v:fill on="f" focussize="0,0"/>
            <v:stroke on="f" joinstyle="miter"/>
            <v:imagedata r:id="rId49" o:title=""/>
            <o:lock v:ext="edit" aspectratio="t"/>
            <w10:wrap type="none"/>
            <w10:anchorlock/>
          </v:shape>
          <o:OLEObject Type="Embed" ProgID="Equation.3" ShapeID="_x0000_i1046" DrawAspect="Content" ObjectID="_1468075746" r:id="rId48">
            <o:LockedField>false</o:LockedField>
          </o:OLEObject>
        </w:object>
      </w:r>
      <w:r>
        <w:rPr>
          <w:rFonts w:ascii="Times New Roman" w:hAnsi="Times New Roman" w:eastAsia="宋体"/>
          <w:color w:val="auto"/>
          <w:sz w:val="21"/>
          <w:szCs w:val="21"/>
          <w:lang w:eastAsia="zh-CN"/>
        </w:rPr>
        <w:t>）。虽然发达地区技术水平更高，但是受要素边际报酬递减规律制约，人口不会全部流向发达地区。</w:t>
      </w:r>
    </w:p>
    <w:p>
      <w:pPr>
        <w:widowControl/>
        <w:tabs>
          <w:tab w:val="left" w:pos="411"/>
        </w:tabs>
        <w:spacing w:line="360" w:lineRule="exact"/>
        <w:ind w:firstLine="420" w:firstLineChars="200"/>
        <w:rPr>
          <w:szCs w:val="21"/>
        </w:rPr>
      </w:pPr>
      <w:r>
        <w:rPr>
          <w:rFonts w:eastAsia="楷体"/>
          <w:bCs/>
          <w:szCs w:val="21"/>
        </w:rPr>
        <w:t>3.地方政府和税收竞争</w:t>
      </w:r>
      <w:r>
        <w:rPr>
          <w:szCs w:val="21"/>
        </w:rPr>
        <w:t>。</w:t>
      </w:r>
      <w:r>
        <w:rPr>
          <w:bCs/>
          <w:szCs w:val="21"/>
        </w:rPr>
        <w:t>地方政府的效用来源于地方政府支出水平和本地区相对其它地区的产出，本文参考Cai &amp; Treisman（2005）的设定，将地方政府效用函数</w:t>
      </w:r>
      <w:r>
        <w:rPr>
          <w:bCs/>
          <w:i/>
          <w:iCs/>
          <w:szCs w:val="21"/>
        </w:rPr>
        <w:t>u</w:t>
      </w:r>
      <w:r>
        <w:rPr>
          <w:bCs/>
          <w:i/>
          <w:iCs/>
          <w:szCs w:val="21"/>
          <w:vertAlign w:val="subscript"/>
        </w:rPr>
        <w:t>g</w:t>
      </w:r>
      <w:r>
        <w:rPr>
          <w:bCs/>
          <w:szCs w:val="21"/>
          <w:vertAlign w:val="subscript"/>
        </w:rPr>
        <w:t>,</w:t>
      </w:r>
      <w:r>
        <w:rPr>
          <w:bCs/>
          <w:i/>
          <w:iCs/>
          <w:szCs w:val="21"/>
          <w:vertAlign w:val="subscript"/>
        </w:rPr>
        <w:t>i</w:t>
      </w:r>
      <w:r>
        <w:rPr>
          <w:bCs/>
          <w:szCs w:val="21"/>
        </w:rPr>
        <w:t>设置为线性形式，如式（7）所示。</w:t>
      </w:r>
    </w:p>
    <w:p>
      <w:pPr>
        <w:jc w:val="right"/>
        <w:rPr>
          <w:szCs w:val="21"/>
        </w:rPr>
      </w:pPr>
      <w:r>
        <w:rPr>
          <w:position w:val="-26"/>
          <w:szCs w:val="21"/>
        </w:rPr>
        <w:object>
          <v:shape id="_x0000_i1047" o:spt="75" type="#_x0000_t75" style="height:29.55pt;width:73.85pt;" o:ole="t" filled="f" o:preferrelative="t" stroked="f" coordsize="21600,21600">
            <v:path/>
            <v:fill on="f" focussize="0,0"/>
            <v:stroke on="f" joinstyle="miter"/>
            <v:imagedata r:id="rId51" o:title=""/>
            <o:lock v:ext="edit" aspectratio="t"/>
            <w10:wrap type="none"/>
            <w10:anchorlock/>
          </v:shape>
          <o:OLEObject Type="Embed" ProgID="Equation.3" ShapeID="_x0000_i1047" DrawAspect="Content" ObjectID="_1468075747" r:id="rId50">
            <o:LockedField>false</o:LockedField>
          </o:OLEObject>
        </w:object>
      </w:r>
      <w:r>
        <w:rPr>
          <w:szCs w:val="21"/>
        </w:rPr>
        <w:tab/>
      </w:r>
      <w:r>
        <w:rPr>
          <w:szCs w:val="21"/>
        </w:rPr>
        <w:t xml:space="preserve">                            （7）</w:t>
      </w:r>
    </w:p>
    <w:p>
      <w:pPr>
        <w:spacing w:line="360" w:lineRule="exact"/>
        <w:ind w:firstLine="420" w:firstLineChars="200"/>
        <w:rPr>
          <w:szCs w:val="21"/>
        </w:rPr>
      </w:pPr>
      <w:r>
        <w:rPr>
          <w:szCs w:val="21"/>
        </w:rPr>
        <w:t>其中，</w:t>
      </w:r>
      <w:r>
        <w:rPr>
          <w:position w:val="-6"/>
          <w:szCs w:val="21"/>
        </w:rPr>
        <w:object>
          <v:shape id="_x0000_i1048" o:spt="75" type="#_x0000_t75" style="height:14.75pt;width:14.75pt;" o:ole="t" filled="f" o:preferrelative="t" stroked="f" coordsize="21600,21600">
            <v:path/>
            <v:fill on="f" focussize="0,0"/>
            <v:stroke on="f" joinstyle="miter"/>
            <v:imagedata r:id="rId53" o:title=""/>
            <o:lock v:ext="edit" aspectratio="t"/>
            <w10:wrap type="none"/>
            <w10:anchorlock/>
          </v:shape>
          <o:OLEObject Type="Embed" ProgID="Equation.3" ShapeID="_x0000_i1048" DrawAspect="Content" ObjectID="_1468075748" r:id="rId52">
            <o:LockedField>false</o:LockedField>
          </o:OLEObject>
        </w:object>
      </w:r>
      <w:r>
        <w:rPr>
          <w:szCs w:val="21"/>
        </w:rPr>
        <w:t>为除了地区</w:t>
      </w:r>
      <w:r>
        <w:rPr>
          <w:position w:val="-6"/>
          <w:szCs w:val="21"/>
        </w:rPr>
        <w:object>
          <v:shape id="_x0000_i1049" o:spt="75" type="#_x0000_t75" style="height:12pt;width:5.55pt;" o:ole="t" filled="f" o:preferrelative="t" stroked="f" coordsize="21600,21600">
            <v:path/>
            <v:fill on="f" focussize="0,0"/>
            <v:stroke on="f" joinstyle="miter"/>
            <v:imagedata r:id="rId55" o:title=""/>
            <o:lock v:ext="edit" aspectratio="t"/>
            <w10:wrap type="none"/>
            <w10:anchorlock/>
          </v:shape>
          <o:OLEObject Type="Embed" ProgID="Equation.3" ShapeID="_x0000_i1049" DrawAspect="Content" ObjectID="_1468075749" r:id="rId54">
            <o:LockedField>false</o:LockedField>
          </o:OLEObject>
        </w:object>
      </w:r>
      <w:r>
        <w:rPr>
          <w:bCs/>
          <w:szCs w:val="21"/>
        </w:rPr>
        <w:t>之外其它地区的平均产出，</w:t>
      </w:r>
      <w:r>
        <w:rPr>
          <w:position w:val="-10"/>
          <w:szCs w:val="21"/>
        </w:rPr>
        <w:object>
          <v:shape id="_x0000_i1050" o:spt="75" type="#_x0000_t75" style="height:17.55pt;width:29.55pt;" o:ole="t" filled="f" o:preferrelative="t" stroked="f" coordsize="21600,21600">
            <v:path/>
            <v:fill on="f" focussize="0,0"/>
            <v:stroke on="f" joinstyle="miter"/>
            <v:imagedata r:id="rId57" o:title=""/>
            <o:lock v:ext="edit" aspectratio="t"/>
            <w10:wrap type="none"/>
            <w10:anchorlock/>
          </v:shape>
          <o:OLEObject Type="Embed" ProgID="Equation.3" ShapeID="_x0000_i1050" DrawAspect="Content" ObjectID="_1468075750" r:id="rId56">
            <o:LockedField>false</o:LockedField>
          </o:OLEObject>
        </w:object>
      </w:r>
      <w:r>
        <w:rPr>
          <w:szCs w:val="21"/>
        </w:rPr>
        <w:t>刻画了</w:t>
      </w:r>
      <w:r>
        <w:rPr>
          <w:bCs/>
          <w:szCs w:val="21"/>
        </w:rPr>
        <w:t>本地区相对其它地区的产出水平；</w:t>
      </w:r>
      <w:r>
        <w:rPr>
          <w:position w:val="-10"/>
          <w:szCs w:val="21"/>
        </w:rPr>
        <w:object>
          <v:shape id="_x0000_i1051" o:spt="75" type="#_x0000_t75" style="height:14.75pt;width:45.25pt;" o:ole="t" filled="f" o:preferrelative="t" stroked="f" coordsize="21600,21600">
            <v:path/>
            <v:fill on="f" focussize="0,0"/>
            <v:stroke on="f" joinstyle="miter"/>
            <v:imagedata r:id="rId59" o:title=""/>
            <o:lock v:ext="edit" aspectratio="t"/>
            <w10:wrap type="none"/>
            <w10:anchorlock/>
          </v:shape>
          <o:OLEObject Type="Embed" ProgID="Equation.3" ShapeID="_x0000_i1051" DrawAspect="Content" ObjectID="_1468075751" r:id="rId58">
            <o:LockedField>false</o:LockedField>
          </o:OLEObject>
        </w:object>
      </w:r>
      <w:r>
        <w:rPr>
          <w:szCs w:val="21"/>
        </w:rPr>
        <w:t>反映了地方政府对相对产出的偏好</w:t>
      </w:r>
      <w:r>
        <w:rPr>
          <w:bCs/>
          <w:szCs w:val="21"/>
        </w:rPr>
        <w:t>；</w:t>
      </w:r>
      <w:r>
        <w:rPr>
          <w:position w:val="-10"/>
          <w:szCs w:val="21"/>
        </w:rPr>
        <w:object>
          <v:shape id="_x0000_i1052" o:spt="75" type="#_x0000_t75" style="height:14.75pt;width:12pt;" o:ole="t" filled="f" o:preferrelative="t" stroked="f" coordsize="21600,21600">
            <v:path/>
            <v:fill on="f" focussize="0,0"/>
            <v:stroke on="f" joinstyle="miter"/>
            <v:imagedata r:id="rId61" o:title=""/>
            <o:lock v:ext="edit" aspectratio="t"/>
            <w10:wrap type="none"/>
            <w10:anchorlock/>
          </v:shape>
          <o:OLEObject Type="Embed" ProgID="Equation.3" ShapeID="_x0000_i1052" DrawAspect="Content" ObjectID="_1468075752" r:id="rId60">
            <o:LockedField>false</o:LockedField>
          </o:OLEObject>
        </w:object>
      </w:r>
      <w:r>
        <w:rPr>
          <w:szCs w:val="21"/>
        </w:rPr>
        <w:t>表示地区</w:t>
      </w:r>
      <w:r>
        <w:rPr>
          <w:position w:val="-6"/>
          <w:szCs w:val="21"/>
        </w:rPr>
        <w:object>
          <v:shape id="_x0000_i1053" o:spt="75" type="#_x0000_t75" style="height:12pt;width:5.55pt;" o:ole="t" filled="f" o:preferrelative="t" stroked="f" coordsize="21600,21600">
            <v:path/>
            <v:fill on="f" focussize="0,0"/>
            <v:stroke on="f" joinstyle="miter"/>
            <v:imagedata r:id="rId55" o:title=""/>
            <o:lock v:ext="edit" aspectratio="t"/>
            <w10:wrap type="none"/>
            <w10:anchorlock/>
          </v:shape>
          <o:OLEObject Type="Embed" ProgID="Equation.3" ShapeID="_x0000_i1053" DrawAspect="Content" ObjectID="_1468075753" r:id="rId62">
            <o:LockedField>false</o:LockedField>
          </o:OLEObject>
        </w:object>
      </w:r>
      <w:r>
        <w:rPr>
          <w:szCs w:val="21"/>
        </w:rPr>
        <w:t>地方政府的支出水平，其收入来源为地方政府对本地代表性企业的税收，因此地方政府的预算约束为</w:t>
      </w:r>
    </w:p>
    <w:p>
      <w:pPr>
        <w:jc w:val="right"/>
        <w:rPr>
          <w:szCs w:val="21"/>
        </w:rPr>
      </w:pPr>
      <w:r>
        <w:rPr>
          <w:position w:val="-10"/>
          <w:szCs w:val="21"/>
        </w:rPr>
        <w:object>
          <v:shape id="_x0000_i1054" o:spt="75" type="#_x0000_t75" style="height:14.75pt;width:36.9pt;" o:ole="t" filled="f" o:preferrelative="t" stroked="f" coordsize="21600,21600">
            <v:path/>
            <v:fill on="f" focussize="0,0"/>
            <v:stroke on="f" joinstyle="miter"/>
            <v:imagedata r:id="rId64" o:title=""/>
            <o:lock v:ext="edit" aspectratio="t"/>
            <w10:wrap type="none"/>
            <w10:anchorlock/>
          </v:shape>
          <o:OLEObject Type="Embed" ProgID="Equation.3" ShapeID="_x0000_i1054" DrawAspect="Content" ObjectID="_1468075754" r:id="rId63">
            <o:LockedField>false</o:LockedField>
          </o:OLEObject>
        </w:object>
      </w:r>
      <w:r>
        <w:rPr>
          <w:position w:val="-28"/>
          <w:szCs w:val="21"/>
        </w:rPr>
        <w:t xml:space="preserve">                                    </w:t>
      </w:r>
      <w:r>
        <w:rPr>
          <w:szCs w:val="21"/>
        </w:rPr>
        <w:t>（8）</w:t>
      </w:r>
    </w:p>
    <w:p>
      <w:pPr>
        <w:spacing w:line="360" w:lineRule="exact"/>
        <w:ind w:firstLine="420" w:firstLineChars="200"/>
        <w:rPr>
          <w:szCs w:val="21"/>
        </w:rPr>
      </w:pPr>
      <w:r>
        <w:rPr>
          <w:szCs w:val="21"/>
        </w:rPr>
        <w:t>基于上述地方政府的相关设定，地区</w:t>
      </w:r>
      <w:r>
        <w:rPr>
          <w:position w:val="-6"/>
          <w:szCs w:val="21"/>
        </w:rPr>
        <w:object>
          <v:shape id="_x0000_i1055" o:spt="75" type="#_x0000_t75" style="height:12pt;width:5.55pt;" o:ole="t" filled="f" o:preferrelative="t" stroked="f" coordsize="21600,21600">
            <v:path/>
            <v:fill on="f" focussize="0,0"/>
            <v:stroke on="f" joinstyle="miter"/>
            <v:imagedata r:id="rId55" o:title=""/>
            <o:lock v:ext="edit" aspectratio="t"/>
            <w10:wrap type="none"/>
            <w10:anchorlock/>
          </v:shape>
          <o:OLEObject Type="Embed" ProgID="Equation.3" ShapeID="_x0000_i1055" DrawAspect="Content" ObjectID="_1468075755" r:id="rId65">
            <o:LockedField>false</o:LockedField>
          </o:OLEObject>
        </w:object>
      </w:r>
      <w:r>
        <w:rPr>
          <w:szCs w:val="21"/>
        </w:rPr>
        <w:t>地方政府通过选择最优税率</w:t>
      </w:r>
      <w:r>
        <w:rPr>
          <w:position w:val="-10"/>
          <w:szCs w:val="21"/>
        </w:rPr>
        <w:object>
          <v:shape id="_x0000_i1056" o:spt="75" type="#_x0000_t75" style="height:14.75pt;width:12pt;" o:ole="t" filled="f" o:preferrelative="t" stroked="f" coordsize="21600,21600">
            <v:path/>
            <v:fill on="f" focussize="0,0"/>
            <v:stroke on="f" joinstyle="miter"/>
            <v:imagedata r:id="rId67" o:title=""/>
            <o:lock v:ext="edit" aspectratio="t"/>
            <w10:wrap type="none"/>
            <w10:anchorlock/>
          </v:shape>
          <o:OLEObject Type="Embed" ProgID="Equation.3" ShapeID="_x0000_i1056" DrawAspect="Content" ObjectID="_1468075756" r:id="rId66">
            <o:LockedField>false</o:LockedField>
          </o:OLEObject>
        </w:object>
      </w:r>
      <w:r>
        <w:rPr>
          <w:szCs w:val="21"/>
        </w:rPr>
        <w:t>实现效用最大化，约束条件为地区内企业最优产出（4）和地方政府预算约束（8）。最终，本文得到地方政府效用最大化一阶条件，如式（9）所示。</w:t>
      </w:r>
    </w:p>
    <w:p>
      <w:pPr>
        <w:jc w:val="right"/>
        <w:rPr>
          <w:szCs w:val="21"/>
        </w:rPr>
      </w:pPr>
      <w:r>
        <w:rPr>
          <w:position w:val="-26"/>
          <w:szCs w:val="21"/>
        </w:rPr>
        <w:object>
          <v:shape id="_x0000_i1057" o:spt="75" type="#_x0000_t75" style="height:35.1pt;width:86.75pt;" o:ole="t" filled="f" o:preferrelative="t" stroked="f" coordsize="21600,21600">
            <v:path/>
            <v:fill on="f" focussize="0,0"/>
            <v:stroke on="f" joinstyle="miter"/>
            <v:imagedata r:id="rId69" o:title=""/>
            <o:lock v:ext="edit" aspectratio="t"/>
            <w10:wrap type="none"/>
            <w10:anchorlock/>
          </v:shape>
          <o:OLEObject Type="Embed" ProgID="Equation.3" ShapeID="_x0000_i1057" DrawAspect="Content" ObjectID="_1468075757" r:id="rId68">
            <o:LockedField>false</o:LockedField>
          </o:OLEObject>
        </w:object>
      </w:r>
      <w:r>
        <w:rPr>
          <w:position w:val="-28"/>
          <w:szCs w:val="21"/>
        </w:rPr>
        <w:t xml:space="preserve">                               </w:t>
      </w:r>
      <w:r>
        <w:rPr>
          <w:szCs w:val="21"/>
        </w:rPr>
        <w:t>（9）</w:t>
      </w:r>
    </w:p>
    <w:p>
      <w:pPr>
        <w:spacing w:line="360" w:lineRule="exact"/>
        <w:ind w:firstLine="420" w:firstLineChars="200"/>
        <w:rPr>
          <w:szCs w:val="21"/>
        </w:rPr>
      </w:pPr>
      <w:r>
        <w:rPr>
          <w:szCs w:val="21"/>
        </w:rPr>
        <w:t>根据式（9），本文定义了地方政府税收竞争强度：地区</w:t>
      </w:r>
      <w:r>
        <w:rPr>
          <w:position w:val="-6"/>
          <w:szCs w:val="21"/>
        </w:rPr>
        <w:object>
          <v:shape id="_x0000_i1058" o:spt="75" type="#_x0000_t75" style="height:12pt;width:5.55pt;" o:ole="t" filled="f" o:preferrelative="t" stroked="f" coordsize="21600,21600">
            <v:path/>
            <v:fill on="f" focussize="0,0"/>
            <v:stroke on="f" joinstyle="miter"/>
            <v:imagedata r:id="rId71" o:title=""/>
            <o:lock v:ext="edit" aspectratio="t"/>
            <w10:wrap type="none"/>
            <w10:anchorlock/>
          </v:shape>
          <o:OLEObject Type="Embed" ProgID="Equation.3" ShapeID="_x0000_i1058" DrawAspect="Content" ObjectID="_1468075758" r:id="rId70">
            <o:LockedField>false</o:LockedField>
          </o:OLEObject>
        </w:object>
      </w:r>
      <w:r>
        <w:rPr>
          <w:szCs w:val="21"/>
        </w:rPr>
        <w:t>地方政府对相对产出的偏好</w:t>
      </w:r>
      <w:r>
        <w:rPr>
          <w:position w:val="-10"/>
          <w:szCs w:val="21"/>
        </w:rPr>
        <w:object>
          <v:shape id="_x0000_i1059" o:spt="75" type="#_x0000_t75" style="height:14.75pt;width:12pt;" o:ole="t" filled="f" o:preferrelative="t" stroked="f" coordsize="21600,21600">
            <v:path/>
            <v:fill on="f" focussize="0,0"/>
            <v:stroke on="f" joinstyle="miter"/>
            <v:imagedata r:id="rId73" o:title=""/>
            <o:lock v:ext="edit" aspectratio="t"/>
            <w10:wrap type="none"/>
            <w10:anchorlock/>
          </v:shape>
          <o:OLEObject Type="Embed" ProgID="Equation.3" ShapeID="_x0000_i1059" DrawAspect="Content" ObjectID="_1468075759" r:id="rId72">
            <o:LockedField>false</o:LockedField>
          </o:OLEObject>
        </w:object>
      </w:r>
      <w:r>
        <w:rPr>
          <w:szCs w:val="21"/>
        </w:rPr>
        <w:t>可以反映税收竞争强度。由于单个地方政府行为不能够影响社会平均产出，根据上式可以求得</w:t>
      </w:r>
      <w:r>
        <w:rPr>
          <w:position w:val="-10"/>
          <w:szCs w:val="21"/>
        </w:rPr>
        <w:object>
          <v:shape id="_x0000_i1060" o:spt="75" type="#_x0000_t75" style="height:14.75pt;width:54.45pt;" o:ole="t" filled="f" o:preferrelative="t" stroked="f" coordsize="21600,21600">
            <v:path/>
            <v:fill on="f" focussize="0,0"/>
            <v:stroke on="f" joinstyle="miter"/>
            <v:imagedata r:id="rId75" o:title=""/>
            <o:lock v:ext="edit" aspectratio="t"/>
            <w10:wrap type="none"/>
            <w10:anchorlock/>
          </v:shape>
          <o:OLEObject Type="Embed" ProgID="Equation.3" ShapeID="_x0000_i1060" DrawAspect="Content" ObjectID="_1468075760" r:id="rId74">
            <o:LockedField>false</o:LockedField>
          </o:OLEObject>
        </w:object>
      </w:r>
      <w:r>
        <w:rPr>
          <w:szCs w:val="21"/>
        </w:rPr>
        <w:t>，即</w:t>
      </w:r>
      <w:r>
        <w:rPr>
          <w:position w:val="-10"/>
          <w:szCs w:val="21"/>
        </w:rPr>
        <w:object>
          <v:shape id="_x0000_i1061" o:spt="75" type="#_x0000_t75" style="height:14.75pt;width:12pt;" o:ole="t" filled="f" o:preferrelative="t" stroked="f" coordsize="21600,21600">
            <v:path/>
            <v:fill on="f" focussize="0,0"/>
            <v:stroke on="f" joinstyle="miter"/>
            <v:imagedata r:id="rId77" o:title=""/>
            <o:lock v:ext="edit" aspectratio="t"/>
            <w10:wrap type="none"/>
            <w10:anchorlock/>
          </v:shape>
          <o:OLEObject Type="Embed" ProgID="Equation.3" ShapeID="_x0000_i1061" DrawAspect="Content" ObjectID="_1468075761" r:id="rId76">
            <o:LockedField>false</o:LockedField>
          </o:OLEObject>
        </w:object>
      </w:r>
      <w:r>
        <w:rPr>
          <w:szCs w:val="21"/>
        </w:rPr>
        <w:t>取值越大，地方政府越有动力降低税率。这是因为，</w:t>
      </w:r>
      <w:r>
        <w:rPr>
          <w:position w:val="-10"/>
          <w:szCs w:val="21"/>
        </w:rPr>
        <w:object>
          <v:shape id="_x0000_i1062" o:spt="75" type="#_x0000_t75" style="height:14.75pt;width:12pt;" o:ole="t" filled="f" o:preferrelative="t" stroked="f" coordsize="21600,21600">
            <v:path/>
            <v:fill on="f" focussize="0,0"/>
            <v:stroke on="f" joinstyle="miter"/>
            <v:imagedata r:id="rId77" o:title=""/>
            <o:lock v:ext="edit" aspectratio="t"/>
            <w10:wrap type="none"/>
            <w10:anchorlock/>
          </v:shape>
          <o:OLEObject Type="Embed" ProgID="Equation.3" ShapeID="_x0000_i1062" DrawAspect="Content" ObjectID="_1468075762" r:id="rId78">
            <o:LockedField>false</o:LockedField>
          </o:OLEObject>
        </w:object>
      </w:r>
      <w:r>
        <w:rPr>
          <w:szCs w:val="21"/>
        </w:rPr>
        <w:t>越大代表地方政府更加偏好当地经济发展水平，其会通过降低税率的方式实现劳动力流入，促进当地产出。因此，本文假设所有地区具有相同的产出偏好参数（</w:t>
      </w:r>
      <w:r>
        <w:rPr>
          <w:position w:val="-10"/>
          <w:szCs w:val="21"/>
        </w:rPr>
        <w:object>
          <v:shape id="_x0000_i1063" o:spt="75" type="#_x0000_t75" style="height:14.75pt;width:26.75pt;" o:ole="t" filled="f" o:preferrelative="t" stroked="f" coordsize="21600,21600">
            <v:path/>
            <v:fill on="f" focussize="0,0"/>
            <v:stroke on="f" joinstyle="miter"/>
            <v:imagedata r:id="rId80" o:title=""/>
            <o:lock v:ext="edit" aspectratio="t"/>
            <w10:wrap type="none"/>
            <w10:anchorlock/>
          </v:shape>
          <o:OLEObject Type="Embed" ProgID="Equation.3" ShapeID="_x0000_i1063" DrawAspect="Content" ObjectID="_1468075763" r:id="rId79">
            <o:LockedField>false</o:LockedField>
          </o:OLEObject>
        </w:object>
      </w:r>
      <w:r>
        <w:rPr>
          <w:szCs w:val="21"/>
        </w:rPr>
        <w:t>），将</w:t>
      </w:r>
      <w:r>
        <w:rPr>
          <w:position w:val="-6"/>
          <w:szCs w:val="21"/>
        </w:rPr>
        <w:object>
          <v:shape id="_x0000_i1064" o:spt="75" type="#_x0000_t75" style="height:12pt;width:10.15pt;" o:ole="t" filled="f" o:preferrelative="t" stroked="f" coordsize="21600,21600">
            <v:path/>
            <v:fill on="f" focussize="0,0"/>
            <v:stroke on="f" joinstyle="miter"/>
            <v:imagedata r:id="rId82" o:title=""/>
            <o:lock v:ext="edit" aspectratio="t"/>
            <w10:wrap type="none"/>
            <w10:anchorlock/>
          </v:shape>
          <o:OLEObject Type="Embed" ProgID="Equation.3" ShapeID="_x0000_i1064" DrawAspect="Content" ObjectID="_1468075764" r:id="rId81">
            <o:LockedField>false</o:LockedField>
          </o:OLEObject>
        </w:object>
      </w:r>
      <w:r>
        <w:rPr>
          <w:szCs w:val="21"/>
        </w:rPr>
        <w:t>作为地方政府税收竞争强度。</w:t>
      </w:r>
    </w:p>
    <w:p>
      <w:pPr>
        <w:spacing w:line="360" w:lineRule="exact"/>
        <w:ind w:firstLine="420" w:firstLineChars="200"/>
        <w:rPr>
          <w:szCs w:val="21"/>
        </w:rPr>
      </w:pPr>
      <w:r>
        <w:rPr>
          <w:rFonts w:eastAsia="楷体"/>
          <w:szCs w:val="21"/>
        </w:rPr>
        <w:t>4.市场出清条件。</w:t>
      </w:r>
      <w:r>
        <w:rPr>
          <w:szCs w:val="21"/>
        </w:rPr>
        <w:t>由于代表性发达地区和欠发达地区分别存在</w:t>
      </w:r>
      <w:r>
        <w:rPr>
          <w:position w:val="-10"/>
          <w:szCs w:val="21"/>
        </w:rPr>
        <w:object>
          <v:shape id="_x0000_i1065" o:spt="75" type="#_x0000_t75" style="height:14.75pt;width:14.75pt;" o:ole="t" filled="f" o:preferrelative="t" stroked="f" coordsize="21600,21600">
            <v:path/>
            <v:fill on="f" focussize="0,0"/>
            <v:stroke on="f" joinstyle="miter"/>
            <v:imagedata r:id="rId84" o:title=""/>
            <o:lock v:ext="edit" aspectratio="t"/>
            <w10:wrap type="none"/>
            <w10:anchorlock/>
          </v:shape>
          <o:OLEObject Type="Embed" ProgID="Equation.3" ShapeID="_x0000_i1065" DrawAspect="Content" ObjectID="_1468075765" r:id="rId83">
            <o:LockedField>false</o:LockedField>
          </o:OLEObject>
        </w:object>
      </w:r>
      <w:r>
        <w:rPr>
          <w:szCs w:val="21"/>
        </w:rPr>
        <w:t>和</w:t>
      </w:r>
      <w:r>
        <w:rPr>
          <w:position w:val="-10"/>
          <w:szCs w:val="21"/>
        </w:rPr>
        <w:object>
          <v:shape id="_x0000_i1066" o:spt="75" type="#_x0000_t75" style="height:14.75pt;width:19.4pt;" o:ole="t" filled="f" o:preferrelative="t" stroked="f" coordsize="21600,21600">
            <v:path/>
            <v:fill on="f" focussize="0,0"/>
            <v:stroke on="f" joinstyle="miter"/>
            <v:imagedata r:id="rId86" o:title=""/>
            <o:lock v:ext="edit" aspectratio="t"/>
            <w10:wrap type="none"/>
            <w10:anchorlock/>
          </v:shape>
          <o:OLEObject Type="Embed" ProgID="Equation.3" ShapeID="_x0000_i1066" DrawAspect="Content" ObjectID="_1468075766" r:id="rId85">
            <o:LockedField>false</o:LockedField>
          </o:OLEObject>
        </w:object>
      </w:r>
      <w:r>
        <w:rPr>
          <w:szCs w:val="21"/>
        </w:rPr>
        <w:t>个居民，</w:t>
      </w:r>
      <w:r>
        <w:rPr>
          <w:bCs/>
          <w:szCs w:val="21"/>
        </w:rPr>
        <w:t>经济中劳动力市场出清条件为</w:t>
      </w:r>
    </w:p>
    <w:p>
      <w:pPr>
        <w:jc w:val="right"/>
        <w:rPr>
          <w:szCs w:val="21"/>
        </w:rPr>
      </w:pPr>
      <w:r>
        <w:rPr>
          <w:szCs w:val="21"/>
        </w:rPr>
        <w:tab/>
      </w:r>
      <w:r>
        <w:rPr>
          <w:position w:val="-28"/>
          <w:szCs w:val="21"/>
        </w:rPr>
        <w:object>
          <v:shape id="_x0000_i1067" o:spt="75" type="#_x0000_t75" style="height:36pt;width:48.9pt;" o:ole="t" filled="f" o:preferrelative="t" stroked="f" coordsize="21600,21600">
            <v:path/>
            <v:fill on="f" focussize="0,0"/>
            <v:stroke on="f" joinstyle="miter"/>
            <v:imagedata r:id="rId88" o:title=""/>
            <o:lock v:ext="edit" aspectratio="t"/>
            <w10:wrap type="none"/>
            <w10:anchorlock/>
          </v:shape>
          <o:OLEObject Type="Embed" ProgID="Equation.3" ShapeID="_x0000_i1067" DrawAspect="Content" ObjectID="_1468075767" r:id="rId87">
            <o:LockedField>false</o:LockedField>
          </o:OLEObject>
        </w:object>
      </w:r>
      <w:r>
        <w:rPr>
          <w:position w:val="-12"/>
          <w:szCs w:val="21"/>
        </w:rPr>
        <w:t xml:space="preserve">                                </w:t>
      </w:r>
      <w:r>
        <w:rPr>
          <w:szCs w:val="21"/>
        </w:rPr>
        <w:t>（10）</w:t>
      </w:r>
    </w:p>
    <w:p>
      <w:pPr>
        <w:pStyle w:val="42"/>
        <w:adjustRightInd/>
        <w:snapToGrid/>
        <w:spacing w:before="0" w:beforeLines="0" w:after="0" w:afterLines="0"/>
        <w:ind w:firstLine="420" w:firstLineChars="200"/>
        <w:jc w:val="left"/>
        <w:rPr>
          <w:rFonts w:ascii="Times New Roman" w:hAnsi="Times New Roman" w:eastAsia="宋体"/>
          <w:color w:val="auto"/>
          <w:kern w:val="2"/>
          <w:sz w:val="21"/>
          <w:szCs w:val="21"/>
          <w:lang w:eastAsia="zh-CN"/>
        </w:rPr>
      </w:pPr>
      <w:r>
        <w:rPr>
          <w:rFonts w:ascii="Times New Roman" w:hAnsi="Times New Roman" w:eastAsia="宋体"/>
          <w:color w:val="auto"/>
          <w:kern w:val="2"/>
          <w:sz w:val="21"/>
          <w:szCs w:val="21"/>
          <w:lang w:eastAsia="zh-CN"/>
        </w:rPr>
        <w:t>经济中产品市场出清条件为</w:t>
      </w:r>
    </w:p>
    <w:p>
      <w:pPr>
        <w:jc w:val="right"/>
        <w:rPr>
          <w:position w:val="-12"/>
          <w:szCs w:val="21"/>
        </w:rPr>
      </w:pPr>
      <w:r>
        <w:rPr>
          <w:position w:val="-12"/>
          <w:szCs w:val="21"/>
        </w:rPr>
        <w:t xml:space="preserve">           </w:t>
      </w:r>
      <w:r>
        <w:rPr>
          <w:position w:val="-28"/>
          <w:szCs w:val="21"/>
        </w:rPr>
        <w:object>
          <v:shape id="_x0000_i1068" o:spt="75" type="#_x0000_t75" style="height:36pt;width:107.1pt;" o:ole="t" filled="f" o:preferrelative="t" stroked="f" coordsize="21600,21600">
            <v:path/>
            <v:fill on="f" focussize="0,0"/>
            <v:stroke on="f" joinstyle="miter"/>
            <v:imagedata r:id="rId90" o:title=""/>
            <o:lock v:ext="edit" aspectratio="t"/>
            <w10:wrap type="none"/>
            <w10:anchorlock/>
          </v:shape>
          <o:OLEObject Type="Embed" ProgID="Equation.3" ShapeID="_x0000_i1068" DrawAspect="Content" ObjectID="_1468075768" r:id="rId89">
            <o:LockedField>false</o:LockedField>
          </o:OLEObject>
        </w:object>
      </w:r>
      <w:r>
        <w:rPr>
          <w:position w:val="-12"/>
          <w:szCs w:val="21"/>
        </w:rPr>
        <w:t xml:space="preserve">                         </w:t>
      </w:r>
      <w:r>
        <w:rPr>
          <w:szCs w:val="21"/>
        </w:rPr>
        <w:t>（11）</w:t>
      </w:r>
      <w:r>
        <w:rPr>
          <w:position w:val="-12"/>
          <w:szCs w:val="21"/>
        </w:rPr>
        <w:t xml:space="preserve">    </w:t>
      </w:r>
    </w:p>
    <w:p>
      <w:pPr>
        <w:adjustRightInd w:val="0"/>
        <w:snapToGrid w:val="0"/>
        <w:spacing w:line="360" w:lineRule="exact"/>
        <w:ind w:firstLine="420" w:firstLineChars="200"/>
        <w:rPr>
          <w:rFonts w:eastAsia="黑体"/>
          <w:bCs/>
          <w:szCs w:val="21"/>
        </w:rPr>
      </w:pPr>
      <w:r>
        <w:rPr>
          <w:rFonts w:eastAsia="黑体"/>
          <w:bCs/>
          <w:szCs w:val="21"/>
        </w:rPr>
        <w:t>（二）地方政府税收竞争对经济发展不平衡的定性分析</w:t>
      </w:r>
    </w:p>
    <w:p>
      <w:pPr>
        <w:spacing w:line="360" w:lineRule="exact"/>
        <w:ind w:firstLine="420" w:firstLineChars="200"/>
        <w:rPr>
          <w:bCs/>
          <w:szCs w:val="21"/>
        </w:rPr>
      </w:pPr>
      <w:r>
        <w:rPr>
          <w:bCs/>
          <w:szCs w:val="21"/>
        </w:rPr>
        <w:t>基于理论模型设定，本文研究地方政府税收竞争对经济发展不平衡的影响效果和作用机制。为了便于表述，本文定义税率不平等指数</w:t>
      </w:r>
      <w:r>
        <w:rPr>
          <w:position w:val="-10"/>
          <w:szCs w:val="21"/>
        </w:rPr>
        <w:object>
          <v:shape id="_x0000_i1069" o:spt="75" type="#_x0000_t75" style="height:14.75pt;width:80.3pt;" o:ole="t" filled="f" o:preferrelative="t" stroked="f" coordsize="21600,21600">
            <v:path/>
            <v:fill on="f" focussize="0,0"/>
            <v:stroke on="f" joinstyle="miter"/>
            <v:imagedata r:id="rId92" o:title=""/>
            <o:lock v:ext="edit" aspectratio="t"/>
            <w10:wrap type="none"/>
            <w10:anchorlock/>
          </v:shape>
          <o:OLEObject Type="Embed" ProgID="Equation.3" ShapeID="_x0000_i1069" DrawAspect="Content" ObjectID="_1468075769" r:id="rId91">
            <o:LockedField>false</o:LockedField>
          </o:OLEObject>
        </w:object>
      </w:r>
      <w:r>
        <w:rPr>
          <w:bCs/>
          <w:szCs w:val="21"/>
        </w:rPr>
        <w:t>，即发达地区相对于欠发达地区税率越低，地区间税率不平等程度越大；定义劳动力不平等指数</w:t>
      </w:r>
      <w:r>
        <w:rPr>
          <w:position w:val="-10"/>
          <w:szCs w:val="21"/>
        </w:rPr>
        <w:object>
          <v:shape id="_x0000_i1070" o:spt="75" type="#_x0000_t75" style="height:14.75pt;width:52.6pt;" o:ole="t" filled="f" o:preferrelative="t" stroked="f" coordsize="21600,21600">
            <v:path/>
            <v:fill on="f" focussize="0,0"/>
            <v:stroke on="f" joinstyle="miter"/>
            <v:imagedata r:id="rId94" o:title=""/>
            <o:lock v:ext="edit" aspectratio="t"/>
            <w10:wrap type="none"/>
            <w10:anchorlock/>
          </v:shape>
          <o:OLEObject Type="Embed" ProgID="Equation.3" ShapeID="_x0000_i1070" DrawAspect="Content" ObjectID="_1468075770" r:id="rId93">
            <o:LockedField>false</o:LockedField>
          </o:OLEObject>
        </w:object>
      </w:r>
      <w:r>
        <w:rPr>
          <w:bCs/>
          <w:szCs w:val="21"/>
        </w:rPr>
        <w:t>，即发达地区相对于欠发达地区劳动力数量越多，劳动力不平等程度越大；定义经济发展不平衡指数</w:t>
      </w:r>
      <w:r>
        <w:rPr>
          <w:position w:val="-10"/>
          <w:szCs w:val="21"/>
        </w:rPr>
        <w:object>
          <v:shape id="_x0000_i1071" o:spt="75" type="#_x0000_t75" style="height:14.75pt;width:45.25pt;" o:ole="t" filled="f" o:preferrelative="t" stroked="f" coordsize="21600,21600">
            <v:path/>
            <v:fill on="f" focussize="0,0"/>
            <v:stroke on="f" joinstyle="miter"/>
            <v:imagedata r:id="rId96" o:title=""/>
            <o:lock v:ext="edit" aspectratio="t"/>
            <w10:wrap type="none"/>
            <w10:anchorlock/>
          </v:shape>
          <o:OLEObject Type="Embed" ProgID="Equation.3" ShapeID="_x0000_i1071" DrawAspect="Content" ObjectID="_1468075771" r:id="rId95">
            <o:LockedField>false</o:LockedField>
          </o:OLEObject>
        </w:object>
      </w:r>
      <w:r>
        <w:rPr>
          <w:bCs/>
          <w:szCs w:val="21"/>
        </w:rPr>
        <w:t>，即发达地区产出越多，经济发展不平衡程度增大。为了证明地方政府税收竞争对经济发展不平等的扩大效应，本文首先引入引理1和引理2。具体而言：</w:t>
      </w:r>
    </w:p>
    <w:p>
      <w:pPr>
        <w:spacing w:line="360" w:lineRule="exact"/>
        <w:ind w:firstLine="420" w:firstLineChars="200"/>
        <w:rPr>
          <w:bCs/>
          <w:szCs w:val="21"/>
        </w:rPr>
      </w:pPr>
      <w:r>
        <w:rPr>
          <w:bCs/>
          <w:szCs w:val="21"/>
        </w:rPr>
        <w:t>引理1：地方政府税收竞争导致地区税率不平等，即</w:t>
      </w:r>
      <w:r>
        <w:rPr>
          <w:position w:val="-6"/>
          <w:szCs w:val="21"/>
        </w:rPr>
        <w:object>
          <v:shape id="_x0000_i1072" o:spt="75" type="#_x0000_t75" style="height:12pt;width:48.9pt;" o:ole="t" filled="f" o:preferrelative="t" stroked="f" coordsize="21600,21600">
            <v:path/>
            <v:fill on="f" focussize="0,0"/>
            <v:stroke on="f" joinstyle="miter"/>
            <v:imagedata r:id="rId98" o:title=""/>
            <o:lock v:ext="edit" aspectratio="t"/>
            <w10:wrap type="none"/>
            <w10:anchorlock/>
          </v:shape>
          <o:OLEObject Type="Embed" ProgID="Equation.3" ShapeID="_x0000_i1072" DrawAspect="Content" ObjectID="_1468075772" r:id="rId97">
            <o:LockedField>false</o:LockedField>
          </o:OLEObject>
        </w:object>
      </w:r>
      <w:r>
        <w:rPr>
          <w:bCs/>
          <w:szCs w:val="21"/>
        </w:rPr>
        <w:t>。</w:t>
      </w:r>
    </w:p>
    <w:p>
      <w:pPr>
        <w:spacing w:line="360" w:lineRule="exact"/>
        <w:ind w:firstLine="420" w:firstLineChars="200"/>
        <w:rPr>
          <w:bCs/>
          <w:szCs w:val="21"/>
        </w:rPr>
      </w:pPr>
      <w:r>
        <w:rPr>
          <w:bCs/>
          <w:szCs w:val="21"/>
        </w:rPr>
        <w:t>证明：根据</w:t>
      </w:r>
      <w:r>
        <w:rPr>
          <w:szCs w:val="21"/>
        </w:rPr>
        <w:t>地方政府最优税率决定方程式（9）</w:t>
      </w:r>
      <w:r>
        <w:rPr>
          <w:bCs/>
          <w:szCs w:val="21"/>
        </w:rPr>
        <w:t>，本文得到</w:t>
      </w:r>
      <w:r>
        <w:rPr>
          <w:position w:val="-10"/>
          <w:szCs w:val="21"/>
        </w:rPr>
        <w:object>
          <v:shape id="_x0000_i1073" o:spt="75" type="#_x0000_t75" style="height:17.55pt;width:84.9pt;" o:ole="t" filled="f" o:preferrelative="t" stroked="f" coordsize="21600,21600">
            <v:path/>
            <v:fill on="f" focussize="0,0"/>
            <v:stroke on="f" joinstyle="miter"/>
            <v:imagedata r:id="rId100" o:title=""/>
            <o:lock v:ext="edit" aspectratio="t"/>
            <w10:wrap type="none"/>
            <w10:anchorlock/>
          </v:shape>
          <o:OLEObject Type="Embed" ProgID="Equation.3" ShapeID="_x0000_i1073" DrawAspect="Content" ObjectID="_1468075773" r:id="rId99">
            <o:LockedField>false</o:LockedField>
          </o:OLEObject>
        </w:object>
      </w:r>
      <w:r>
        <w:rPr>
          <w:bCs/>
          <w:szCs w:val="21"/>
        </w:rPr>
        <w:t>。因为发达地区的产出水平大于欠发达地区（</w:t>
      </w:r>
      <w:r>
        <w:rPr>
          <w:position w:val="-10"/>
          <w:szCs w:val="21"/>
        </w:rPr>
        <w:object>
          <v:shape id="_x0000_i1074" o:spt="75" type="#_x0000_t75" style="height:14.75pt;width:29.55pt;" o:ole="t" filled="f" o:preferrelative="t" stroked="f" coordsize="21600,21600">
            <v:path/>
            <v:fill on="f" focussize="0,0"/>
            <v:stroke on="f" joinstyle="miter"/>
            <v:imagedata r:id="rId102" o:title=""/>
            <o:lock v:ext="edit" aspectratio="t"/>
            <w10:wrap type="none"/>
            <w10:anchorlock/>
          </v:shape>
          <o:OLEObject Type="Embed" ProgID="Equation.3" ShapeID="_x0000_i1074" DrawAspect="Content" ObjectID="_1468075774" r:id="rId101">
            <o:LockedField>false</o:LockedField>
          </o:OLEObject>
        </w:object>
      </w:r>
      <w:r>
        <w:rPr>
          <w:bCs/>
          <w:szCs w:val="21"/>
        </w:rPr>
        <w:t>），所以两个地区地方政府税收竞争程度增加相同单位，发达地区税率降低的幅度相对较大（</w:t>
      </w:r>
      <w:r>
        <w:rPr>
          <w:position w:val="-10"/>
          <w:szCs w:val="21"/>
        </w:rPr>
        <w:object>
          <v:shape id="_x0000_i1075" o:spt="75" type="#_x0000_t75" style="height:14.75pt;width:96.9pt;" o:ole="t" filled="f" o:preferrelative="t" stroked="f" coordsize="21600,21600">
            <v:path/>
            <v:fill on="f" focussize="0,0"/>
            <v:stroke on="f" joinstyle="miter"/>
            <v:imagedata r:id="rId104" o:title=""/>
            <o:lock v:ext="edit" aspectratio="t"/>
            <w10:wrap type="none"/>
            <w10:anchorlock/>
          </v:shape>
          <o:OLEObject Type="Embed" ProgID="Equation.3" ShapeID="_x0000_i1075" DrawAspect="Content" ObjectID="_1468075775" r:id="rId103">
            <o:LockedField>false</o:LockedField>
          </o:OLEObject>
        </w:object>
      </w:r>
      <w:r>
        <w:rPr>
          <w:bCs/>
          <w:szCs w:val="21"/>
        </w:rPr>
        <w:t>），最终导致税率不平等。</w:t>
      </w:r>
    </w:p>
    <w:p>
      <w:pPr>
        <w:spacing w:line="360" w:lineRule="exact"/>
        <w:ind w:firstLine="420" w:firstLineChars="200"/>
        <w:rPr>
          <w:bCs/>
          <w:szCs w:val="21"/>
        </w:rPr>
      </w:pPr>
      <w:r>
        <w:rPr>
          <w:bCs/>
          <w:szCs w:val="21"/>
        </w:rPr>
        <w:t>产生上述现象的原因是，发达地区具备禀赋优势，当地企业生产能力突出，导致发达地区税基较大。发达地区地方政府能够在较低的税率水平下就能满足公共支出需要，因此在地方政府税收竞争过程中，虽然不同地区的地方政府都进行了减税，但是发达地区的减税幅度更大，最终导致了税率不平等。</w:t>
      </w:r>
    </w:p>
    <w:p>
      <w:pPr>
        <w:spacing w:line="360" w:lineRule="exact"/>
        <w:ind w:firstLine="420" w:firstLineChars="200"/>
        <w:rPr>
          <w:bCs/>
          <w:szCs w:val="21"/>
        </w:rPr>
      </w:pPr>
      <w:r>
        <w:rPr>
          <w:bCs/>
          <w:szCs w:val="21"/>
        </w:rPr>
        <w:t>引理2：税率不平等能够引起劳动不平等，即</w:t>
      </w:r>
      <w:r>
        <w:rPr>
          <w:position w:val="-10"/>
          <w:szCs w:val="21"/>
        </w:rPr>
        <w:object>
          <v:shape id="_x0000_i1076" o:spt="75" type="#_x0000_t75" style="height:14.75pt;width:52.6pt;" o:ole="t" filled="f" o:preferrelative="t" stroked="f" coordsize="21600,21600">
            <v:path/>
            <v:fill on="f" focussize="0,0"/>
            <v:stroke on="f" joinstyle="miter"/>
            <v:imagedata r:id="rId106" o:title=""/>
            <o:lock v:ext="edit" aspectratio="t"/>
            <w10:wrap type="none"/>
            <w10:anchorlock/>
          </v:shape>
          <o:OLEObject Type="Embed" ProgID="Equation.3" ShapeID="_x0000_i1076" DrawAspect="Content" ObjectID="_1468075776" r:id="rId105">
            <o:LockedField>false</o:LockedField>
          </o:OLEObject>
        </w:object>
      </w:r>
      <w:r>
        <w:rPr>
          <w:bCs/>
          <w:szCs w:val="21"/>
        </w:rPr>
        <w:t>。</w:t>
      </w:r>
    </w:p>
    <w:p>
      <w:pPr>
        <w:spacing w:line="360" w:lineRule="exact"/>
        <w:ind w:firstLine="420" w:firstLineChars="200"/>
        <w:rPr>
          <w:bCs/>
          <w:szCs w:val="21"/>
        </w:rPr>
      </w:pPr>
      <w:r>
        <w:rPr>
          <w:bCs/>
          <w:szCs w:val="21"/>
        </w:rPr>
        <w:t>证明：根据式（1）和式（3）可以得到</w:t>
      </w:r>
    </w:p>
    <w:p>
      <w:pPr>
        <w:jc w:val="right"/>
        <w:rPr>
          <w:bCs/>
          <w:szCs w:val="21"/>
        </w:rPr>
      </w:pPr>
      <w:r>
        <w:rPr>
          <w:position w:val="-28"/>
          <w:szCs w:val="21"/>
        </w:rPr>
        <w:object>
          <v:shape id="_x0000_i1077" o:spt="75" type="#_x0000_t75" style="height:43.4pt;width:108.9pt;" o:ole="t" filled="f" o:preferrelative="t" stroked="f" coordsize="21600,21600">
            <v:path/>
            <v:fill on="f" focussize="0,0"/>
            <v:stroke on="f" joinstyle="miter"/>
            <v:imagedata r:id="rId108" o:title=""/>
            <o:lock v:ext="edit" aspectratio="t"/>
            <w10:wrap type="none"/>
            <w10:anchorlock/>
          </v:shape>
          <o:OLEObject Type="Embed" ProgID="Equation.3" ShapeID="_x0000_i1077" DrawAspect="Content" ObjectID="_1468075777" r:id="rId107">
            <o:LockedField>false</o:LockedField>
          </o:OLEObject>
        </w:object>
      </w:r>
      <w:r>
        <w:rPr>
          <w:position w:val="-28"/>
          <w:szCs w:val="21"/>
        </w:rPr>
        <w:t xml:space="preserve">                            </w:t>
      </w:r>
      <w:r>
        <w:rPr>
          <w:szCs w:val="21"/>
        </w:rPr>
        <w:t>（12）</w:t>
      </w:r>
    </w:p>
    <w:p>
      <w:pPr>
        <w:spacing w:line="360" w:lineRule="exact"/>
        <w:ind w:firstLine="420" w:firstLineChars="200"/>
        <w:rPr>
          <w:bCs/>
          <w:szCs w:val="21"/>
        </w:rPr>
      </w:pPr>
      <w:r>
        <w:rPr>
          <w:bCs/>
          <w:szCs w:val="21"/>
        </w:rPr>
        <w:t>因此，根据上式求导可得</w:t>
      </w:r>
      <w:r>
        <w:rPr>
          <w:position w:val="-10"/>
          <w:szCs w:val="21"/>
        </w:rPr>
        <w:object>
          <v:shape id="_x0000_i1078" o:spt="75" type="#_x0000_t75" style="height:14.75pt;width:52.6pt;" o:ole="t" filled="f" o:preferrelative="t" stroked="f" coordsize="21600,21600">
            <v:path/>
            <v:fill on="f" focussize="0,0"/>
            <v:stroke on="f" joinstyle="miter"/>
            <v:imagedata r:id="rId110" o:title=""/>
            <o:lock v:ext="edit" aspectratio="t"/>
            <w10:wrap type="none"/>
            <w10:anchorlock/>
          </v:shape>
          <o:OLEObject Type="Embed" ProgID="Equation.3" ShapeID="_x0000_i1078" DrawAspect="Content" ObjectID="_1468075778" r:id="rId109">
            <o:LockedField>false</o:LockedField>
          </o:OLEObject>
        </w:object>
      </w:r>
      <w:r>
        <w:rPr>
          <w:bCs/>
          <w:szCs w:val="21"/>
        </w:rPr>
        <w:t>。</w:t>
      </w:r>
    </w:p>
    <w:p>
      <w:pPr>
        <w:spacing w:line="360" w:lineRule="exact"/>
        <w:ind w:firstLine="420" w:firstLineChars="200"/>
        <w:rPr>
          <w:szCs w:val="21"/>
        </w:rPr>
      </w:pPr>
      <w:r>
        <w:rPr>
          <w:szCs w:val="21"/>
        </w:rPr>
        <w:t>地方政府税收竞争导致发达地区具有更低的税率，相对于欠发达地区，用脚投票的劳动要素会流向发达地区。根据式（1）本文能够得到</w:t>
      </w:r>
      <w:r>
        <w:rPr>
          <w:bCs/>
          <w:szCs w:val="21"/>
        </w:rPr>
        <w:t>经济发展不平衡指数</w:t>
      </w:r>
      <w:r>
        <w:rPr>
          <w:position w:val="-10"/>
          <w:szCs w:val="21"/>
        </w:rPr>
        <w:object>
          <v:shape id="_x0000_i1079" o:spt="75" type="#_x0000_t75" style="height:17.55pt;width:70.15pt;" o:ole="t" filled="f" o:preferrelative="t" stroked="f" coordsize="21600,21600">
            <v:path/>
            <v:fill on="f" focussize="0,0"/>
            <v:stroke on="f" joinstyle="miter"/>
            <v:imagedata r:id="rId112" o:title=""/>
            <o:lock v:ext="edit" aspectratio="t"/>
            <w10:wrap type="none"/>
            <w10:anchorlock/>
          </v:shape>
          <o:OLEObject Type="Embed" ProgID="Equation.3" ShapeID="_x0000_i1079" DrawAspect="Content" ObjectID="_1468075779" r:id="rId111">
            <o:LockedField>false</o:LockedField>
          </o:OLEObject>
        </w:object>
      </w:r>
      <w:r>
        <w:rPr>
          <w:bCs/>
          <w:szCs w:val="21"/>
        </w:rPr>
        <w:t>和</w:t>
      </w:r>
      <w:r>
        <w:rPr>
          <w:position w:val="-10"/>
          <w:szCs w:val="21"/>
        </w:rPr>
        <w:object>
          <v:shape id="_x0000_i1080" o:spt="75" type="#_x0000_t75" style="height:14.75pt;width:52.6pt;" o:ole="t" filled="f" o:preferrelative="t" stroked="f" coordsize="21600,21600">
            <v:path/>
            <v:fill on="f" focussize="0,0"/>
            <v:stroke on="f" joinstyle="miter"/>
            <v:imagedata r:id="rId114" o:title=""/>
            <o:lock v:ext="edit" aspectratio="t"/>
            <w10:wrap type="none"/>
            <w10:anchorlock/>
          </v:shape>
          <o:OLEObject Type="Embed" ProgID="Equation.3" ShapeID="_x0000_i1080" DrawAspect="Content" ObjectID="_1468075780" r:id="rId113">
            <o:LockedField>false</o:LockedField>
          </o:OLEObject>
        </w:object>
      </w:r>
      <w:r>
        <w:rPr>
          <w:bCs/>
          <w:szCs w:val="21"/>
        </w:rPr>
        <w:t>，结合引理1和引理2可以得到以下命题：</w:t>
      </w:r>
    </w:p>
    <w:p>
      <w:pPr>
        <w:spacing w:line="360" w:lineRule="exact"/>
        <w:ind w:firstLine="420" w:firstLineChars="200"/>
        <w:rPr>
          <w:bCs/>
          <w:szCs w:val="21"/>
        </w:rPr>
      </w:pPr>
      <w:r>
        <w:rPr>
          <w:bCs/>
          <w:szCs w:val="21"/>
        </w:rPr>
        <w:t>命题：地方政府税收竞争能够通过引起劳动力流动导致地区间经济发展不平衡。</w:t>
      </w:r>
    </w:p>
    <w:p>
      <w:pPr>
        <w:spacing w:line="360" w:lineRule="exact"/>
        <w:ind w:firstLine="420" w:firstLineChars="200"/>
        <w:rPr>
          <w:szCs w:val="21"/>
        </w:rPr>
      </w:pPr>
      <w:r>
        <w:rPr>
          <w:szCs w:val="21"/>
        </w:rPr>
        <w:t>相对于欠发达地区，地方政府税收竞争导致发达地区具有更低的税率，用脚投票的劳动要素会流向发达地区，从而导致经济发展不平衡。上述命题是本文实证检验的主要内容，本文首先验证税收竞争能够导致经济发展不平衡，然后检验劳动力流动传导机制是否成立。</w:t>
      </w:r>
    </w:p>
    <w:p>
      <w:pPr>
        <w:pStyle w:val="2"/>
        <w:tabs>
          <w:tab w:val="center" w:pos="4513"/>
          <w:tab w:val="left" w:pos="5543"/>
        </w:tabs>
        <w:spacing w:before="178" w:beforeLines="50" w:after="178" w:afterLines="50"/>
        <w:rPr>
          <w:rFonts w:eastAsia="黑体"/>
          <w:b w:val="0"/>
          <w:bCs w:val="0"/>
          <w:sz w:val="28"/>
          <w:szCs w:val="28"/>
        </w:rPr>
      </w:pPr>
      <w:r>
        <w:rPr>
          <w:rFonts w:eastAsia="黑体"/>
          <w:b w:val="0"/>
          <w:bCs w:val="0"/>
          <w:sz w:val="28"/>
          <w:szCs w:val="28"/>
        </w:rPr>
        <w:t>四、变量定义、数据来源与统计特征</w:t>
      </w:r>
    </w:p>
    <w:p>
      <w:pPr>
        <w:ind w:firstLine="420" w:firstLineChars="200"/>
        <w:rPr>
          <w:rFonts w:eastAsia="黑体"/>
        </w:rPr>
      </w:pPr>
      <w:r>
        <w:rPr>
          <w:rFonts w:eastAsia="黑体"/>
        </w:rPr>
        <w:t>（一）变量定义</w:t>
      </w:r>
    </w:p>
    <w:p>
      <w:pPr>
        <w:ind w:firstLine="420" w:firstLineChars="200"/>
        <w:rPr>
          <w:bCs/>
        </w:rPr>
      </w:pPr>
      <w:r>
        <w:rPr>
          <w:rFonts w:eastAsia="楷体"/>
        </w:rPr>
        <w:t>1.被解释变量：地区经济发展不平衡（</w:t>
      </w:r>
      <w:r>
        <w:rPr>
          <w:rFonts w:eastAsia="楷体"/>
          <w:i/>
        </w:rPr>
        <w:t>Imbalance</w:t>
      </w:r>
      <w:r>
        <w:rPr>
          <w:rFonts w:eastAsia="楷体"/>
        </w:rPr>
        <w:t>）。</w:t>
      </w:r>
      <w:r>
        <w:t>如何测算地区间经济发展水平差异是认识不平衡现状的关键，为此国内外学者依据不同理论和采取不同方法对地区经济发展差异进行具体测度，迄今衡量地区经济发展不平衡的主流方法有绝对差异、相对差异以及指数测度等方法。不同测度方法在衡量区域整体差异变化时有不同的侧重点，比如相对差异法可以较好捕捉个体之间的绝对差异程度，基尼系数法和泰尔系数法适用于机制分析时的因子剖析和不同空间尺度的分析（刘晓明等，2020）。根据以往文献，诸多研究大多采取国际上通用指标基尼系数（Gini）进行实证分析，主要做法是基于GDP、人均收入和消费能力等关键经济指标，以省份为单位计算地区间经济发展不平衡程度（白雪梅，2004）。然而这些数据大多基于传统的统计手段获得，测算的结果一方面存在较强的滞后性，另一方面囿于省级面板的样本量较少，在此基数上进行实证分析结果的往往波动性较大且可靠性不强。其次，即便采用城市层面数据进行测度，基于人均GDP衡量地区间经济发展不平衡也存在一定问题。原因在于GDP总量指标会受到地区人口和经济规模影响较大，难以准确衡量地区真实的经济发展水平。另外，不同地区的GDP指标在统计过程中会存在口径上的误差，或者人为地瞒报或者误报等问题。</w:t>
      </w:r>
    </w:p>
    <w:p>
      <w:pPr>
        <w:ind w:firstLine="420" w:firstLineChars="200"/>
      </w:pPr>
      <w:r>
        <w:t>有鉴于此，有学者提出使用夜间灯光遥感数据替代收入数据来计算基尼系数（Elvidge et al, 2012）。由于夜间灯光与地区的经济活动密切相关，且不受地区行政边界限制以及人为因素干扰，能够较好的成为地区经济水平和公共服务的代理变量（Chen &amp; Nordhaus，2011；王贤彬等，2017；刘泠岑等，2023）。因此，为了能够更为准确、客观地反映中国地区之间经济发展不平衡程度，本文借鉴Chen et al（2021）的经验研究，采用校准的NPP-VIIRS-like夜间灯光数据计算2003—2019年273个地级市夜间灯光基尼系数。如果地区的夜间灯光基尼系数越大，则意味着地区的经济发展不平衡程度越高。</w:t>
      </w:r>
    </w:p>
    <w:p>
      <w:pPr>
        <w:ind w:firstLine="420" w:firstLineChars="200"/>
        <w:rPr>
          <w:b/>
        </w:rPr>
      </w:pPr>
      <w:r>
        <w:rPr>
          <w:rFonts w:eastAsia="楷体"/>
          <w:bCs/>
        </w:rPr>
        <w:t>2.核心解释变量：地方政府税收竞争（</w:t>
      </w:r>
      <w:r>
        <w:rPr>
          <w:rFonts w:eastAsia="楷体"/>
          <w:bCs/>
          <w:i/>
        </w:rPr>
        <w:t>Taxcom</w:t>
      </w:r>
      <w:r>
        <w:rPr>
          <w:rFonts w:eastAsia="楷体"/>
          <w:bCs/>
        </w:rPr>
        <w:t>）。</w:t>
      </w:r>
      <w:r>
        <w:t>中国地方政府税收竞争主要集中于第二、第三产业，相对较少涉及零税负或低税负的第一产业。因此，本文主要借鉴唐飞鹏（2017）的经验研究，选取与地区要素流动密切相关的增值税、营业税、企业所得税和个人所得税的税收收入之和占第二、三产业增加值的比重来衡量地区间税收竞争的程度，具体计算过程如公式（13）所示：</w:t>
      </w:r>
    </w:p>
    <w:p>
      <w:pPr>
        <w:jc w:val="right"/>
      </w:pPr>
      <w:r>
        <w:rPr>
          <w:position w:val="-30"/>
        </w:rPr>
        <w:object>
          <v:shape id="_x0000_i1081" o:spt="75" type="#_x0000_t75" style="height:35.1pt;width:191.1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81" r:id="rId115">
            <o:LockedField>false</o:LockedField>
          </o:OLEObject>
        </w:object>
      </w:r>
      <w:r>
        <w:t xml:space="preserve">                   （13）</w:t>
      </w:r>
    </w:p>
    <w:p>
      <w:pPr>
        <w:ind w:firstLine="420" w:firstLineChars="200"/>
      </w:pPr>
      <w:r>
        <w:t>其中，</w:t>
      </w:r>
      <w:r>
        <w:rPr>
          <w:i/>
          <w:iCs/>
        </w:rPr>
        <w:t>VAT</w:t>
      </w:r>
      <w:r>
        <w:rPr>
          <w:i/>
          <w:iCs/>
          <w:vertAlign w:val="subscript"/>
        </w:rPr>
        <w:t>it</w:t>
      </w:r>
      <w:r>
        <w:t>、</w:t>
      </w:r>
      <w:r>
        <w:rPr>
          <w:i/>
          <w:iCs/>
        </w:rPr>
        <w:t>BT</w:t>
      </w:r>
      <w:r>
        <w:rPr>
          <w:i/>
          <w:iCs/>
          <w:vertAlign w:val="subscript"/>
        </w:rPr>
        <w:t>it</w:t>
      </w:r>
      <w:r>
        <w:t>、</w:t>
      </w:r>
      <w:r>
        <w:rPr>
          <w:i/>
          <w:iCs/>
        </w:rPr>
        <w:t>CIT</w:t>
      </w:r>
      <w:r>
        <w:rPr>
          <w:i/>
          <w:iCs/>
          <w:vertAlign w:val="subscript"/>
        </w:rPr>
        <w:t>it</w:t>
      </w:r>
      <w:r>
        <w:t>、</w:t>
      </w:r>
      <w:r>
        <w:rPr>
          <w:i/>
          <w:iCs/>
        </w:rPr>
        <w:t>PIT</w:t>
      </w:r>
      <w:r>
        <w:rPr>
          <w:i/>
          <w:iCs/>
          <w:vertAlign w:val="subscript"/>
        </w:rPr>
        <w:t>it</w:t>
      </w:r>
      <w:r>
        <w:t>分别表示第</w:t>
      </w:r>
      <w:r>
        <w:rPr>
          <w:i/>
          <w:iCs/>
        </w:rPr>
        <w:t>i</w:t>
      </w:r>
      <w:r>
        <w:t>个城市</w:t>
      </w:r>
      <w:r>
        <w:rPr>
          <w:i/>
          <w:iCs/>
        </w:rPr>
        <w:t>t</w:t>
      </w:r>
      <w:r>
        <w:t>年增值税收入、营业税收入、企业所得税收入和个人所得税收入，</w:t>
      </w:r>
      <w:r>
        <w:rPr>
          <w:i/>
          <w:iCs/>
        </w:rPr>
        <w:t>Y</w:t>
      </w:r>
      <w:r>
        <w:rPr>
          <w:i/>
          <w:iCs/>
          <w:vertAlign w:val="subscript"/>
        </w:rPr>
        <w:t>2it</w:t>
      </w:r>
      <w:r>
        <w:t>表示第</w:t>
      </w:r>
      <w:r>
        <w:rPr>
          <w:i/>
          <w:iCs/>
        </w:rPr>
        <w:t>i</w:t>
      </w:r>
      <w:r>
        <w:t>个城市</w:t>
      </w:r>
      <w:r>
        <w:rPr>
          <w:i/>
          <w:iCs/>
        </w:rPr>
        <w:t>t</w:t>
      </w:r>
      <w:r>
        <w:t>年第二产业增加值，</w:t>
      </w:r>
      <w:r>
        <w:rPr>
          <w:i/>
          <w:iCs/>
        </w:rPr>
        <w:t>Y</w:t>
      </w:r>
      <w:r>
        <w:rPr>
          <w:i/>
          <w:iCs/>
          <w:vertAlign w:val="subscript"/>
        </w:rPr>
        <w:t>3it</w:t>
      </w:r>
      <w:r>
        <w:t>表示第</w:t>
      </w:r>
      <w:r>
        <w:rPr>
          <w:i/>
          <w:iCs/>
        </w:rPr>
        <w:t>i</w:t>
      </w:r>
      <w:r>
        <w:t>个城市</w:t>
      </w:r>
      <w:r>
        <w:rPr>
          <w:i/>
          <w:iCs/>
        </w:rPr>
        <w:t>t</w:t>
      </w:r>
      <w:r>
        <w:t>年第三产业增加值。</w:t>
      </w:r>
      <w:r>
        <w:rPr>
          <w:i/>
          <w:iCs/>
        </w:rPr>
        <w:t>Taxcom</w:t>
      </w:r>
      <w:r>
        <w:t>数值越大，意味着地方税收竞争程度越激烈。</w:t>
      </w:r>
    </w:p>
    <w:p>
      <w:pPr>
        <w:ind w:firstLine="420" w:firstLineChars="200"/>
        <w:rPr>
          <w:b/>
          <w:bCs/>
        </w:rPr>
      </w:pPr>
      <w:r>
        <w:rPr>
          <w:rFonts w:eastAsia="楷体"/>
        </w:rPr>
        <w:t>3.其他控制变量。</w:t>
      </w:r>
      <w:r>
        <w:t>为了避免遗漏变量导致模型估计结果存在偏误，本文在模型中进一步控制了反映地区经济社会特征的变量。地区经济发展方式、产业结构以及规模是影响地区经济发展水平的关键因素，也是造成地区之间经济发展不平衡的重要原因，如果遗漏相关变量将会导致估计结果不可靠。因此，模型中控制与地区经济发展水平相关变量包括经济发展水平（</w:t>
      </w:r>
      <w:r>
        <w:rPr>
          <w:i/>
          <w:iCs/>
        </w:rPr>
        <w:t>GDP</w:t>
      </w:r>
      <w:r>
        <w:t>）、产业结构（</w:t>
      </w:r>
      <w:r>
        <w:rPr>
          <w:i/>
          <w:iCs/>
        </w:rPr>
        <w:t>industry</w:t>
      </w:r>
      <w:r>
        <w:t>）、市场化水平（</w:t>
      </w:r>
      <w:r>
        <w:rPr>
          <w:i/>
          <w:iCs/>
        </w:rPr>
        <w:t>market</w:t>
      </w:r>
      <w:r>
        <w:t>）、金融发展水平（</w:t>
      </w:r>
      <w:r>
        <w:rPr>
          <w:i/>
          <w:iCs/>
        </w:rPr>
        <w:t>finance</w:t>
      </w:r>
      <w:r>
        <w:t>）、政府规模（</w:t>
      </w:r>
      <w:r>
        <w:rPr>
          <w:i/>
          <w:iCs/>
        </w:rPr>
        <w:t>gov</w:t>
      </w:r>
      <w:r>
        <w:t>）、人力资本水平（</w:t>
      </w:r>
      <w:r>
        <w:rPr>
          <w:i/>
          <w:iCs/>
        </w:rPr>
        <w:t>edu</w:t>
      </w:r>
      <w:r>
        <w:t>）、对外开放程度（</w:t>
      </w:r>
      <w:r>
        <w:rPr>
          <w:i/>
          <w:iCs/>
        </w:rPr>
        <w:t>open</w:t>
      </w:r>
      <w:r>
        <w:t>）、固定资产投资强度（</w:t>
      </w:r>
      <w:r>
        <w:rPr>
          <w:i/>
          <w:iCs/>
        </w:rPr>
        <w:t>asset</w:t>
      </w:r>
      <w:r>
        <w:t>）。此外，模型还控制了城市层面的相关变量包括地区的人口密度（</w:t>
      </w:r>
      <w:r>
        <w:rPr>
          <w:i/>
          <w:iCs/>
        </w:rPr>
        <w:t>density</w:t>
      </w:r>
      <w:r>
        <w:t>）、医疗水平（</w:t>
      </w:r>
      <w:r>
        <w:rPr>
          <w:i/>
          <w:iCs/>
        </w:rPr>
        <w:t>Med</w:t>
      </w:r>
      <w:r>
        <w:t>）、信息化水平（</w:t>
      </w:r>
      <w:r>
        <w:rPr>
          <w:i/>
          <w:iCs/>
        </w:rPr>
        <w:t>NET</w:t>
      </w:r>
      <w:r>
        <w:t>）以及基础交通（</w:t>
      </w:r>
      <w:r>
        <w:rPr>
          <w:i/>
          <w:iCs/>
        </w:rPr>
        <w:t>traffic</w:t>
      </w:r>
      <w:r>
        <w:t>）。相关变量的具体说明参看表1。</w:t>
      </w:r>
    </w:p>
    <w:p>
      <w:pPr>
        <w:spacing w:before="178" w:beforeLines="50"/>
        <w:jc w:val="center"/>
        <w:rPr>
          <w:rFonts w:eastAsia="楷体"/>
          <w:szCs w:val="21"/>
        </w:rPr>
      </w:pPr>
      <w:r>
        <w:rPr>
          <w:rFonts w:eastAsia="楷体"/>
          <w:szCs w:val="21"/>
        </w:rPr>
        <w:t>表1  控制变量指标说明</w:t>
      </w:r>
    </w:p>
    <w:tbl>
      <w:tblPr>
        <w:tblStyle w:val="1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968"/>
        <w:gridCol w:w="57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pPr>
            <w:r>
              <w:t>变量符号</w:t>
            </w:r>
          </w:p>
        </w:tc>
        <w:tc>
          <w:tcPr>
            <w:tcW w:w="1968" w:type="dxa"/>
            <w:vAlign w:val="center"/>
          </w:tcPr>
          <w:p>
            <w:pPr>
              <w:jc w:val="center"/>
            </w:pPr>
            <w:r>
              <w:t>变量名称</w:t>
            </w:r>
          </w:p>
        </w:tc>
        <w:tc>
          <w:tcPr>
            <w:tcW w:w="5736" w:type="dxa"/>
            <w:vAlign w:val="center"/>
          </w:tcPr>
          <w:p>
            <w:pPr>
              <w:jc w:val="center"/>
            </w:pPr>
            <w:r>
              <w:t>变量含义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88" w:type="dxa"/>
            <w:vAlign w:val="center"/>
          </w:tcPr>
          <w:p>
            <w:pPr>
              <w:jc w:val="center"/>
              <w:rPr>
                <w:i/>
                <w:iCs/>
              </w:rPr>
            </w:pPr>
            <w:r>
              <w:rPr>
                <w:i/>
                <w:iCs/>
              </w:rPr>
              <w:t>GDP</w:t>
            </w:r>
          </w:p>
        </w:tc>
        <w:tc>
          <w:tcPr>
            <w:tcW w:w="1968" w:type="dxa"/>
            <w:vAlign w:val="center"/>
          </w:tcPr>
          <w:p>
            <w:pPr>
              <w:jc w:val="center"/>
            </w:pPr>
            <w:r>
              <w:t>经济发展水平</w:t>
            </w:r>
          </w:p>
        </w:tc>
        <w:tc>
          <w:tcPr>
            <w:tcW w:w="5736" w:type="dxa"/>
          </w:tcPr>
          <w:p>
            <w:r>
              <w:t>地区生产总值增长率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rPr>
                <w:i/>
                <w:iCs/>
              </w:rPr>
            </w:pPr>
            <w:r>
              <w:rPr>
                <w:i/>
                <w:iCs/>
              </w:rPr>
              <w:t>industry</w:t>
            </w:r>
          </w:p>
        </w:tc>
        <w:tc>
          <w:tcPr>
            <w:tcW w:w="1968" w:type="dxa"/>
            <w:vAlign w:val="center"/>
          </w:tcPr>
          <w:p>
            <w:pPr>
              <w:jc w:val="center"/>
            </w:pPr>
            <w:r>
              <w:t>产业结构</w:t>
            </w:r>
          </w:p>
        </w:tc>
        <w:tc>
          <w:tcPr>
            <w:tcW w:w="5736" w:type="dxa"/>
          </w:tcPr>
          <w:p>
            <w:r>
              <w:t>第二产业和第三产业占地区GDP的比重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rPr>
                <w:i/>
                <w:iCs/>
              </w:rPr>
            </w:pPr>
            <w:r>
              <w:rPr>
                <w:i/>
                <w:iCs/>
              </w:rPr>
              <w:t>market</w:t>
            </w:r>
          </w:p>
        </w:tc>
        <w:tc>
          <w:tcPr>
            <w:tcW w:w="1968" w:type="dxa"/>
            <w:vAlign w:val="center"/>
          </w:tcPr>
          <w:p>
            <w:pPr>
              <w:jc w:val="center"/>
            </w:pPr>
            <w:r>
              <w:t>市场化水平</w:t>
            </w:r>
          </w:p>
        </w:tc>
        <w:tc>
          <w:tcPr>
            <w:tcW w:w="5736" w:type="dxa"/>
          </w:tcPr>
          <w:p>
            <w:r>
              <w:t>城镇私营和个体从业人员人数占年末单位从业人员人数比重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88" w:type="dxa"/>
            <w:vAlign w:val="center"/>
          </w:tcPr>
          <w:p>
            <w:pPr>
              <w:jc w:val="center"/>
              <w:rPr>
                <w:i/>
                <w:iCs/>
              </w:rPr>
            </w:pPr>
            <w:r>
              <w:rPr>
                <w:i/>
                <w:iCs/>
              </w:rPr>
              <w:t>finance</w:t>
            </w:r>
          </w:p>
        </w:tc>
        <w:tc>
          <w:tcPr>
            <w:tcW w:w="1968" w:type="dxa"/>
            <w:vAlign w:val="center"/>
          </w:tcPr>
          <w:p>
            <w:pPr>
              <w:jc w:val="center"/>
            </w:pPr>
            <w:r>
              <w:t>金融发展水平</w:t>
            </w:r>
          </w:p>
        </w:tc>
        <w:tc>
          <w:tcPr>
            <w:tcW w:w="5736" w:type="dxa"/>
          </w:tcPr>
          <w:p>
            <w:r>
              <w:t>年末金融机构各项贷款和存款余额占地区GDP的比重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rPr>
                <w:i/>
                <w:iCs/>
              </w:rPr>
            </w:pPr>
            <w:r>
              <w:rPr>
                <w:i/>
                <w:iCs/>
              </w:rPr>
              <w:t>gov</w:t>
            </w:r>
          </w:p>
        </w:tc>
        <w:tc>
          <w:tcPr>
            <w:tcW w:w="1968" w:type="dxa"/>
            <w:vAlign w:val="center"/>
          </w:tcPr>
          <w:p>
            <w:pPr>
              <w:jc w:val="center"/>
            </w:pPr>
            <w:r>
              <w:t>政府规模</w:t>
            </w:r>
          </w:p>
        </w:tc>
        <w:tc>
          <w:tcPr>
            <w:tcW w:w="5736" w:type="dxa"/>
          </w:tcPr>
          <w:p>
            <w:r>
              <w:t>地方财政一般预算内支出占地区GDP的比重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rPr>
                <w:i/>
                <w:iCs/>
              </w:rPr>
            </w:pPr>
            <w:r>
              <w:rPr>
                <w:i/>
                <w:iCs/>
              </w:rPr>
              <w:t>edu</w:t>
            </w:r>
          </w:p>
        </w:tc>
        <w:tc>
          <w:tcPr>
            <w:tcW w:w="1968" w:type="dxa"/>
            <w:vAlign w:val="center"/>
          </w:tcPr>
          <w:p>
            <w:pPr>
              <w:jc w:val="center"/>
            </w:pPr>
            <w:r>
              <w:t>人力资本水平</w:t>
            </w:r>
          </w:p>
        </w:tc>
        <w:tc>
          <w:tcPr>
            <w:tcW w:w="5736" w:type="dxa"/>
          </w:tcPr>
          <w:p>
            <w:r>
              <w:t>地区高等教育在校生数占总人口比重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88" w:type="dxa"/>
            <w:vAlign w:val="center"/>
          </w:tcPr>
          <w:p>
            <w:pPr>
              <w:jc w:val="center"/>
              <w:rPr>
                <w:i/>
                <w:iCs/>
              </w:rPr>
            </w:pPr>
            <w:r>
              <w:rPr>
                <w:i/>
                <w:iCs/>
              </w:rPr>
              <w:t>open</w:t>
            </w:r>
          </w:p>
        </w:tc>
        <w:tc>
          <w:tcPr>
            <w:tcW w:w="1968" w:type="dxa"/>
            <w:vAlign w:val="center"/>
          </w:tcPr>
          <w:p>
            <w:pPr>
              <w:jc w:val="center"/>
            </w:pPr>
            <w:r>
              <w:t>对外开放程度</w:t>
            </w:r>
          </w:p>
        </w:tc>
        <w:tc>
          <w:tcPr>
            <w:tcW w:w="5736" w:type="dxa"/>
          </w:tcPr>
          <w:p>
            <w:r>
              <w:t>当年实际使用外资金额占地区GDP的比重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rPr>
                <w:i/>
                <w:iCs/>
              </w:rPr>
            </w:pPr>
            <w:r>
              <w:rPr>
                <w:i/>
                <w:iCs/>
              </w:rPr>
              <w:t>asset</w:t>
            </w:r>
          </w:p>
        </w:tc>
        <w:tc>
          <w:tcPr>
            <w:tcW w:w="1968" w:type="dxa"/>
            <w:vAlign w:val="center"/>
          </w:tcPr>
          <w:p>
            <w:pPr>
              <w:jc w:val="center"/>
            </w:pPr>
            <w:r>
              <w:t>固定资产投资水平</w:t>
            </w:r>
          </w:p>
        </w:tc>
        <w:tc>
          <w:tcPr>
            <w:tcW w:w="5736" w:type="dxa"/>
          </w:tcPr>
          <w:p>
            <w:r>
              <w:t xml:space="preserve">地区社会固定资产投资总额占GDP的比重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rPr>
                <w:i/>
                <w:iCs/>
              </w:rPr>
            </w:pPr>
            <w:r>
              <w:rPr>
                <w:i/>
                <w:iCs/>
              </w:rPr>
              <w:t>density</w:t>
            </w:r>
          </w:p>
        </w:tc>
        <w:tc>
          <w:tcPr>
            <w:tcW w:w="1968" w:type="dxa"/>
            <w:vAlign w:val="center"/>
          </w:tcPr>
          <w:p>
            <w:pPr>
              <w:jc w:val="center"/>
            </w:pPr>
            <w:r>
              <w:t>人口密度</w:t>
            </w:r>
          </w:p>
        </w:tc>
        <w:tc>
          <w:tcPr>
            <w:tcW w:w="5736" w:type="dxa"/>
          </w:tcPr>
          <w:p>
            <w:r>
              <w:t>辖区总人口除以城市总面积来衡量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88" w:type="dxa"/>
            <w:vAlign w:val="center"/>
          </w:tcPr>
          <w:p>
            <w:pPr>
              <w:jc w:val="center"/>
              <w:rPr>
                <w:i/>
                <w:iCs/>
              </w:rPr>
            </w:pPr>
            <w:r>
              <w:rPr>
                <w:i/>
                <w:iCs/>
              </w:rPr>
              <w:t>Med</w:t>
            </w:r>
          </w:p>
        </w:tc>
        <w:tc>
          <w:tcPr>
            <w:tcW w:w="1968" w:type="dxa"/>
            <w:vAlign w:val="center"/>
          </w:tcPr>
          <w:p>
            <w:pPr>
              <w:jc w:val="center"/>
            </w:pPr>
            <w:r>
              <w:t>医疗水平</w:t>
            </w:r>
          </w:p>
        </w:tc>
        <w:tc>
          <w:tcPr>
            <w:tcW w:w="5736" w:type="dxa"/>
          </w:tcPr>
          <w:p>
            <w:r>
              <w:t>每万人拥有医院卫生院床位数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rPr>
                <w:i/>
                <w:iCs/>
              </w:rPr>
            </w:pPr>
            <w:r>
              <w:rPr>
                <w:i/>
                <w:iCs/>
              </w:rPr>
              <w:t>NET</w:t>
            </w:r>
          </w:p>
        </w:tc>
        <w:tc>
          <w:tcPr>
            <w:tcW w:w="1968" w:type="dxa"/>
            <w:vAlign w:val="center"/>
          </w:tcPr>
          <w:p>
            <w:pPr>
              <w:jc w:val="center"/>
            </w:pPr>
            <w:r>
              <w:t>信息化水平</w:t>
            </w:r>
          </w:p>
        </w:tc>
        <w:tc>
          <w:tcPr>
            <w:tcW w:w="5736" w:type="dxa"/>
          </w:tcPr>
          <w:p>
            <w:r>
              <w:t>城市互联网用户数占总人口数的比重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88" w:type="dxa"/>
            <w:vAlign w:val="center"/>
          </w:tcPr>
          <w:p>
            <w:pPr>
              <w:jc w:val="center"/>
              <w:rPr>
                <w:i/>
                <w:iCs/>
              </w:rPr>
            </w:pPr>
            <w:r>
              <w:rPr>
                <w:i/>
                <w:iCs/>
              </w:rPr>
              <w:t>traffic</w:t>
            </w:r>
          </w:p>
        </w:tc>
        <w:tc>
          <w:tcPr>
            <w:tcW w:w="1968" w:type="dxa"/>
            <w:vAlign w:val="center"/>
          </w:tcPr>
          <w:p>
            <w:pPr>
              <w:jc w:val="center"/>
            </w:pPr>
            <w:r>
              <w:t>交通水平</w:t>
            </w:r>
          </w:p>
        </w:tc>
        <w:tc>
          <w:tcPr>
            <w:tcW w:w="5736" w:type="dxa"/>
          </w:tcPr>
          <w:p>
            <w:r>
              <w:t>城区内客运总量取对数</w:t>
            </w:r>
          </w:p>
        </w:tc>
      </w:tr>
    </w:tbl>
    <w:p>
      <w:pPr>
        <w:spacing w:before="178" w:beforeLines="50"/>
        <w:ind w:firstLine="420" w:firstLineChars="200"/>
        <w:rPr>
          <w:rFonts w:eastAsia="黑体"/>
        </w:rPr>
      </w:pPr>
      <w:r>
        <w:rPr>
          <w:rFonts w:eastAsia="黑体"/>
        </w:rPr>
        <w:t>（二）数据来源与统计特征</w:t>
      </w:r>
    </w:p>
    <w:p>
      <w:pPr>
        <w:spacing w:after="178" w:afterLines="50"/>
        <w:ind w:firstLine="420" w:firstLineChars="200"/>
      </w:pPr>
      <w:r>
        <w:t>本文以上所有变量计算涉及的原始数据主要来自历年《中国城市统计年鉴》、《中国税务年鉴》、《中国人口与就业统计年鉴》、EPS数据库、CEIC数据库、国泰安数据和各地区统计年鉴等。考虑到数据的可得性和连续性，本文剔除了数据严重缺失以及在样本期存在行政区划变更调整的城市。对于个别年份相关指标存在缺失的情况，通过手工收集和查询各地区统计公报数据或者进行插值法进行补齐，最终保留了2003—2019年273个地级市的数据。考虑到价格波动带来影响，文中涉及价格的绝对数指标以2003年为基期进行价格平减，涉及实际利用外资额以当年汇率由美元换算为人民币数额。为了消除可能存在异方差问题，文中涉及数量和规模的绝对数指标进行对数化处理。此外，为了避免插值法和统计偏误产生的极端值，本文对所有连续变量进行了1%双边缩尾处理。各变量的具体统计特征如表2所示。</w:t>
      </w:r>
    </w:p>
    <w:p>
      <w:pPr>
        <w:spacing w:before="178" w:beforeLines="50"/>
        <w:jc w:val="center"/>
        <w:rPr>
          <w:rFonts w:eastAsia="楷体"/>
          <w:szCs w:val="21"/>
        </w:rPr>
      </w:pPr>
      <w:r>
        <w:rPr>
          <w:rFonts w:eastAsia="楷体"/>
          <w:szCs w:val="21"/>
        </w:rPr>
        <w:t>表2  各变量的数值统计特征</w:t>
      </w:r>
    </w:p>
    <w:tbl>
      <w:tblPr>
        <w:tblStyle w:val="1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793"/>
        <w:gridCol w:w="1793"/>
        <w:gridCol w:w="1793"/>
        <w:gridCol w:w="17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92" w:type="dxa"/>
            <w:vAlign w:val="center"/>
          </w:tcPr>
          <w:p>
            <w:pPr>
              <w:jc w:val="center"/>
              <w:rPr>
                <w:szCs w:val="21"/>
              </w:rPr>
            </w:pPr>
            <w:r>
              <w:rPr>
                <w:szCs w:val="21"/>
              </w:rPr>
              <w:t>变量符号</w:t>
            </w:r>
          </w:p>
        </w:tc>
        <w:tc>
          <w:tcPr>
            <w:tcW w:w="1793" w:type="dxa"/>
            <w:vAlign w:val="center"/>
          </w:tcPr>
          <w:p>
            <w:pPr>
              <w:jc w:val="center"/>
              <w:rPr>
                <w:szCs w:val="21"/>
              </w:rPr>
            </w:pPr>
            <w:r>
              <w:rPr>
                <w:szCs w:val="21"/>
              </w:rPr>
              <w:t>均值</w:t>
            </w:r>
          </w:p>
        </w:tc>
        <w:tc>
          <w:tcPr>
            <w:tcW w:w="1793" w:type="dxa"/>
            <w:vAlign w:val="center"/>
          </w:tcPr>
          <w:p>
            <w:pPr>
              <w:jc w:val="center"/>
              <w:rPr>
                <w:szCs w:val="21"/>
              </w:rPr>
            </w:pPr>
            <w:r>
              <w:rPr>
                <w:szCs w:val="21"/>
              </w:rPr>
              <w:t>标准差</w:t>
            </w:r>
          </w:p>
        </w:tc>
        <w:tc>
          <w:tcPr>
            <w:tcW w:w="1793" w:type="dxa"/>
            <w:vAlign w:val="center"/>
          </w:tcPr>
          <w:p>
            <w:pPr>
              <w:jc w:val="center"/>
              <w:rPr>
                <w:szCs w:val="21"/>
              </w:rPr>
            </w:pPr>
            <w:r>
              <w:rPr>
                <w:szCs w:val="21"/>
              </w:rPr>
              <w:t>最小值</w:t>
            </w:r>
          </w:p>
        </w:tc>
        <w:tc>
          <w:tcPr>
            <w:tcW w:w="1738" w:type="dxa"/>
            <w:vAlign w:val="center"/>
          </w:tcPr>
          <w:p>
            <w:pPr>
              <w:jc w:val="center"/>
              <w:rPr>
                <w:szCs w:val="21"/>
              </w:rPr>
            </w:pPr>
            <w:r>
              <w:rPr>
                <w:szCs w:val="21"/>
              </w:rPr>
              <w:t>最大值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vAlign w:val="center"/>
          </w:tcPr>
          <w:p>
            <w:pPr>
              <w:jc w:val="center"/>
              <w:rPr>
                <w:i/>
                <w:iCs/>
                <w:szCs w:val="21"/>
              </w:rPr>
            </w:pPr>
            <w:r>
              <w:rPr>
                <w:i/>
                <w:iCs/>
                <w:szCs w:val="21"/>
              </w:rPr>
              <w:t>Imbalance</w:t>
            </w:r>
          </w:p>
        </w:tc>
        <w:tc>
          <w:tcPr>
            <w:tcW w:w="1793" w:type="dxa"/>
            <w:vAlign w:val="center"/>
          </w:tcPr>
          <w:p>
            <w:pPr>
              <w:jc w:val="center"/>
              <w:rPr>
                <w:szCs w:val="21"/>
              </w:rPr>
            </w:pPr>
            <w:r>
              <w:rPr>
                <w:szCs w:val="21"/>
              </w:rPr>
              <w:t>0.5842</w:t>
            </w:r>
          </w:p>
        </w:tc>
        <w:tc>
          <w:tcPr>
            <w:tcW w:w="1793" w:type="dxa"/>
            <w:vAlign w:val="center"/>
          </w:tcPr>
          <w:p>
            <w:pPr>
              <w:jc w:val="center"/>
              <w:rPr>
                <w:szCs w:val="21"/>
              </w:rPr>
            </w:pPr>
            <w:r>
              <w:rPr>
                <w:szCs w:val="21"/>
              </w:rPr>
              <w:t>0.207</w:t>
            </w:r>
          </w:p>
        </w:tc>
        <w:tc>
          <w:tcPr>
            <w:tcW w:w="1793" w:type="dxa"/>
            <w:vAlign w:val="center"/>
          </w:tcPr>
          <w:p>
            <w:pPr>
              <w:jc w:val="center"/>
              <w:rPr>
                <w:szCs w:val="21"/>
              </w:rPr>
            </w:pPr>
            <w:r>
              <w:rPr>
                <w:szCs w:val="21"/>
              </w:rPr>
              <w:t>0.0840</w:t>
            </w:r>
          </w:p>
        </w:tc>
        <w:tc>
          <w:tcPr>
            <w:tcW w:w="1738" w:type="dxa"/>
            <w:vAlign w:val="center"/>
          </w:tcPr>
          <w:p>
            <w:pPr>
              <w:jc w:val="center"/>
              <w:rPr>
                <w:szCs w:val="21"/>
              </w:rPr>
            </w:pPr>
            <w:r>
              <w:rPr>
                <w:szCs w:val="21"/>
              </w:rPr>
              <w:t>0.9114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92" w:type="dxa"/>
            <w:vAlign w:val="center"/>
          </w:tcPr>
          <w:p>
            <w:pPr>
              <w:jc w:val="center"/>
              <w:rPr>
                <w:i/>
                <w:iCs/>
                <w:szCs w:val="21"/>
              </w:rPr>
            </w:pPr>
            <w:r>
              <w:rPr>
                <w:i/>
                <w:iCs/>
                <w:szCs w:val="21"/>
              </w:rPr>
              <w:t>Taxcom</w:t>
            </w:r>
          </w:p>
        </w:tc>
        <w:tc>
          <w:tcPr>
            <w:tcW w:w="1793" w:type="dxa"/>
            <w:vAlign w:val="center"/>
          </w:tcPr>
          <w:p>
            <w:pPr>
              <w:jc w:val="center"/>
              <w:rPr>
                <w:szCs w:val="21"/>
              </w:rPr>
            </w:pPr>
            <w:r>
              <w:rPr>
                <w:szCs w:val="21"/>
              </w:rPr>
              <w:t>0.7649</w:t>
            </w:r>
          </w:p>
        </w:tc>
        <w:tc>
          <w:tcPr>
            <w:tcW w:w="1793" w:type="dxa"/>
            <w:vAlign w:val="center"/>
          </w:tcPr>
          <w:p>
            <w:pPr>
              <w:jc w:val="center"/>
              <w:rPr>
                <w:szCs w:val="21"/>
              </w:rPr>
            </w:pPr>
            <w:r>
              <w:rPr>
                <w:szCs w:val="21"/>
              </w:rPr>
              <w:t>0.114</w:t>
            </w:r>
          </w:p>
        </w:tc>
        <w:tc>
          <w:tcPr>
            <w:tcW w:w="1793" w:type="dxa"/>
            <w:vAlign w:val="center"/>
          </w:tcPr>
          <w:p>
            <w:pPr>
              <w:jc w:val="center"/>
              <w:rPr>
                <w:szCs w:val="21"/>
              </w:rPr>
            </w:pPr>
            <w:r>
              <w:rPr>
                <w:szCs w:val="21"/>
              </w:rPr>
              <w:t>0.2701</w:t>
            </w:r>
          </w:p>
        </w:tc>
        <w:tc>
          <w:tcPr>
            <w:tcW w:w="1738" w:type="dxa"/>
            <w:vAlign w:val="center"/>
          </w:tcPr>
          <w:p>
            <w:pPr>
              <w:jc w:val="center"/>
              <w:rPr>
                <w:szCs w:val="21"/>
              </w:rPr>
            </w:pPr>
            <w:r>
              <w:rPr>
                <w:szCs w:val="21"/>
              </w:rPr>
              <w:t>0.9346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vAlign w:val="center"/>
          </w:tcPr>
          <w:p>
            <w:pPr>
              <w:jc w:val="center"/>
              <w:rPr>
                <w:i/>
                <w:iCs/>
                <w:szCs w:val="21"/>
              </w:rPr>
            </w:pPr>
            <w:r>
              <w:rPr>
                <w:rFonts w:eastAsia="仿宋"/>
                <w:i/>
                <w:iCs/>
                <w:szCs w:val="21"/>
              </w:rPr>
              <w:t>GDP</w:t>
            </w:r>
          </w:p>
        </w:tc>
        <w:tc>
          <w:tcPr>
            <w:tcW w:w="1793" w:type="dxa"/>
            <w:vAlign w:val="center"/>
          </w:tcPr>
          <w:p>
            <w:pPr>
              <w:jc w:val="center"/>
              <w:rPr>
                <w:szCs w:val="21"/>
              </w:rPr>
            </w:pPr>
            <w:r>
              <w:rPr>
                <w:szCs w:val="21"/>
              </w:rPr>
              <w:t>11.1319</w:t>
            </w:r>
          </w:p>
        </w:tc>
        <w:tc>
          <w:tcPr>
            <w:tcW w:w="1793" w:type="dxa"/>
            <w:vAlign w:val="center"/>
          </w:tcPr>
          <w:p>
            <w:pPr>
              <w:jc w:val="center"/>
              <w:rPr>
                <w:szCs w:val="21"/>
              </w:rPr>
            </w:pPr>
            <w:r>
              <w:rPr>
                <w:szCs w:val="21"/>
              </w:rPr>
              <w:t>4.121</w:t>
            </w:r>
          </w:p>
        </w:tc>
        <w:tc>
          <w:tcPr>
            <w:tcW w:w="1793" w:type="dxa"/>
            <w:vAlign w:val="center"/>
          </w:tcPr>
          <w:p>
            <w:pPr>
              <w:jc w:val="center"/>
              <w:rPr>
                <w:szCs w:val="21"/>
              </w:rPr>
            </w:pPr>
            <w:r>
              <w:rPr>
                <w:szCs w:val="21"/>
              </w:rPr>
              <w:t>-0.0900</w:t>
            </w:r>
          </w:p>
        </w:tc>
        <w:tc>
          <w:tcPr>
            <w:tcW w:w="1738" w:type="dxa"/>
            <w:vAlign w:val="center"/>
          </w:tcPr>
          <w:p>
            <w:pPr>
              <w:jc w:val="center"/>
              <w:rPr>
                <w:szCs w:val="21"/>
              </w:rPr>
            </w:pPr>
            <w:r>
              <w:rPr>
                <w:szCs w:val="21"/>
              </w:rPr>
              <w:t>22.1000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92" w:type="dxa"/>
            <w:vAlign w:val="center"/>
          </w:tcPr>
          <w:p>
            <w:pPr>
              <w:jc w:val="center"/>
              <w:rPr>
                <w:i/>
                <w:iCs/>
                <w:szCs w:val="21"/>
              </w:rPr>
            </w:pPr>
            <w:r>
              <w:rPr>
                <w:rFonts w:eastAsia="仿宋"/>
                <w:i/>
                <w:iCs/>
                <w:szCs w:val="21"/>
              </w:rPr>
              <w:t>industry</w:t>
            </w:r>
          </w:p>
        </w:tc>
        <w:tc>
          <w:tcPr>
            <w:tcW w:w="1793" w:type="dxa"/>
            <w:vAlign w:val="center"/>
          </w:tcPr>
          <w:p>
            <w:pPr>
              <w:jc w:val="center"/>
              <w:rPr>
                <w:szCs w:val="21"/>
              </w:rPr>
            </w:pPr>
            <w:r>
              <w:rPr>
                <w:szCs w:val="21"/>
              </w:rPr>
              <w:t>0.8646</w:t>
            </w:r>
          </w:p>
        </w:tc>
        <w:tc>
          <w:tcPr>
            <w:tcW w:w="1793" w:type="dxa"/>
            <w:vAlign w:val="center"/>
          </w:tcPr>
          <w:p>
            <w:pPr>
              <w:jc w:val="center"/>
              <w:rPr>
                <w:szCs w:val="21"/>
              </w:rPr>
            </w:pPr>
            <w:r>
              <w:rPr>
                <w:szCs w:val="21"/>
              </w:rPr>
              <w:t>0.086</w:t>
            </w:r>
          </w:p>
        </w:tc>
        <w:tc>
          <w:tcPr>
            <w:tcW w:w="1793" w:type="dxa"/>
            <w:vAlign w:val="center"/>
          </w:tcPr>
          <w:p>
            <w:pPr>
              <w:jc w:val="center"/>
              <w:rPr>
                <w:szCs w:val="21"/>
              </w:rPr>
            </w:pPr>
            <w:r>
              <w:rPr>
                <w:szCs w:val="21"/>
              </w:rPr>
              <w:t>0.6105</w:t>
            </w:r>
          </w:p>
        </w:tc>
        <w:tc>
          <w:tcPr>
            <w:tcW w:w="1738" w:type="dxa"/>
            <w:vAlign w:val="center"/>
          </w:tcPr>
          <w:p>
            <w:pPr>
              <w:jc w:val="center"/>
              <w:rPr>
                <w:szCs w:val="21"/>
              </w:rPr>
            </w:pPr>
            <w:r>
              <w:rPr>
                <w:szCs w:val="21"/>
              </w:rPr>
              <w:t>0.9948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vAlign w:val="center"/>
          </w:tcPr>
          <w:p>
            <w:pPr>
              <w:jc w:val="center"/>
              <w:rPr>
                <w:i/>
                <w:iCs/>
                <w:szCs w:val="21"/>
              </w:rPr>
            </w:pPr>
            <w:r>
              <w:rPr>
                <w:rFonts w:eastAsia="仿宋"/>
                <w:i/>
                <w:iCs/>
                <w:szCs w:val="21"/>
              </w:rPr>
              <w:t>market</w:t>
            </w:r>
          </w:p>
        </w:tc>
        <w:tc>
          <w:tcPr>
            <w:tcW w:w="1793" w:type="dxa"/>
            <w:vAlign w:val="center"/>
          </w:tcPr>
          <w:p>
            <w:pPr>
              <w:jc w:val="center"/>
              <w:rPr>
                <w:szCs w:val="21"/>
              </w:rPr>
            </w:pPr>
            <w:r>
              <w:rPr>
                <w:szCs w:val="21"/>
              </w:rPr>
              <w:t>1.0037</w:t>
            </w:r>
          </w:p>
        </w:tc>
        <w:tc>
          <w:tcPr>
            <w:tcW w:w="1793" w:type="dxa"/>
            <w:vAlign w:val="center"/>
          </w:tcPr>
          <w:p>
            <w:pPr>
              <w:jc w:val="center"/>
              <w:rPr>
                <w:szCs w:val="21"/>
              </w:rPr>
            </w:pPr>
            <w:r>
              <w:rPr>
                <w:szCs w:val="21"/>
              </w:rPr>
              <w:t>0.627</w:t>
            </w:r>
          </w:p>
        </w:tc>
        <w:tc>
          <w:tcPr>
            <w:tcW w:w="1793" w:type="dxa"/>
            <w:vAlign w:val="center"/>
          </w:tcPr>
          <w:p>
            <w:pPr>
              <w:jc w:val="center"/>
              <w:rPr>
                <w:szCs w:val="21"/>
              </w:rPr>
            </w:pPr>
            <w:r>
              <w:rPr>
                <w:szCs w:val="21"/>
              </w:rPr>
              <w:t>0.1904</w:t>
            </w:r>
          </w:p>
        </w:tc>
        <w:tc>
          <w:tcPr>
            <w:tcW w:w="1738" w:type="dxa"/>
            <w:vAlign w:val="center"/>
          </w:tcPr>
          <w:p>
            <w:pPr>
              <w:jc w:val="center"/>
              <w:rPr>
                <w:szCs w:val="21"/>
              </w:rPr>
            </w:pPr>
            <w:r>
              <w:rPr>
                <w:szCs w:val="21"/>
              </w:rPr>
              <w:t>3.3802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92" w:type="dxa"/>
            <w:vAlign w:val="center"/>
          </w:tcPr>
          <w:p>
            <w:pPr>
              <w:jc w:val="center"/>
              <w:rPr>
                <w:i/>
                <w:iCs/>
                <w:szCs w:val="21"/>
              </w:rPr>
            </w:pPr>
            <w:r>
              <w:rPr>
                <w:rFonts w:eastAsia="仿宋"/>
                <w:i/>
                <w:iCs/>
                <w:szCs w:val="21"/>
              </w:rPr>
              <w:t>finance</w:t>
            </w:r>
          </w:p>
        </w:tc>
        <w:tc>
          <w:tcPr>
            <w:tcW w:w="1793" w:type="dxa"/>
            <w:vAlign w:val="center"/>
          </w:tcPr>
          <w:p>
            <w:pPr>
              <w:jc w:val="center"/>
              <w:rPr>
                <w:szCs w:val="21"/>
              </w:rPr>
            </w:pPr>
            <w:r>
              <w:rPr>
                <w:szCs w:val="21"/>
              </w:rPr>
              <w:t>2.1768</w:t>
            </w:r>
          </w:p>
        </w:tc>
        <w:tc>
          <w:tcPr>
            <w:tcW w:w="1793" w:type="dxa"/>
            <w:vAlign w:val="center"/>
          </w:tcPr>
          <w:p>
            <w:pPr>
              <w:jc w:val="center"/>
              <w:rPr>
                <w:szCs w:val="21"/>
              </w:rPr>
            </w:pPr>
            <w:r>
              <w:rPr>
                <w:szCs w:val="21"/>
              </w:rPr>
              <w:t>1.033</w:t>
            </w:r>
          </w:p>
        </w:tc>
        <w:tc>
          <w:tcPr>
            <w:tcW w:w="1793" w:type="dxa"/>
            <w:vAlign w:val="center"/>
          </w:tcPr>
          <w:p>
            <w:pPr>
              <w:jc w:val="center"/>
              <w:rPr>
                <w:szCs w:val="21"/>
              </w:rPr>
            </w:pPr>
            <w:r>
              <w:rPr>
                <w:szCs w:val="21"/>
              </w:rPr>
              <w:t>0.8629</w:t>
            </w:r>
          </w:p>
        </w:tc>
        <w:tc>
          <w:tcPr>
            <w:tcW w:w="1738" w:type="dxa"/>
            <w:vAlign w:val="center"/>
          </w:tcPr>
          <w:p>
            <w:pPr>
              <w:jc w:val="center"/>
              <w:rPr>
                <w:szCs w:val="21"/>
              </w:rPr>
            </w:pPr>
            <w:r>
              <w:rPr>
                <w:szCs w:val="21"/>
              </w:rPr>
              <w:t>6.2579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vAlign w:val="center"/>
          </w:tcPr>
          <w:p>
            <w:pPr>
              <w:jc w:val="center"/>
              <w:rPr>
                <w:i/>
                <w:iCs/>
                <w:szCs w:val="21"/>
              </w:rPr>
            </w:pPr>
            <w:r>
              <w:rPr>
                <w:rFonts w:eastAsia="仿宋"/>
                <w:i/>
                <w:iCs/>
                <w:szCs w:val="21"/>
              </w:rPr>
              <w:t>gov</w:t>
            </w:r>
          </w:p>
        </w:tc>
        <w:tc>
          <w:tcPr>
            <w:tcW w:w="1793" w:type="dxa"/>
            <w:vAlign w:val="center"/>
          </w:tcPr>
          <w:p>
            <w:pPr>
              <w:jc w:val="center"/>
              <w:rPr>
                <w:szCs w:val="21"/>
              </w:rPr>
            </w:pPr>
            <w:r>
              <w:rPr>
                <w:szCs w:val="21"/>
              </w:rPr>
              <w:t>0.1607</w:t>
            </w:r>
          </w:p>
        </w:tc>
        <w:tc>
          <w:tcPr>
            <w:tcW w:w="1793" w:type="dxa"/>
            <w:vAlign w:val="center"/>
          </w:tcPr>
          <w:p>
            <w:pPr>
              <w:jc w:val="center"/>
              <w:rPr>
                <w:szCs w:val="21"/>
              </w:rPr>
            </w:pPr>
            <w:r>
              <w:rPr>
                <w:szCs w:val="21"/>
              </w:rPr>
              <w:t>0.080</w:t>
            </w:r>
          </w:p>
        </w:tc>
        <w:tc>
          <w:tcPr>
            <w:tcW w:w="1793" w:type="dxa"/>
            <w:vAlign w:val="center"/>
          </w:tcPr>
          <w:p>
            <w:pPr>
              <w:jc w:val="center"/>
              <w:rPr>
                <w:szCs w:val="21"/>
              </w:rPr>
            </w:pPr>
            <w:r>
              <w:rPr>
                <w:szCs w:val="21"/>
              </w:rPr>
              <w:t>0.0559</w:t>
            </w:r>
          </w:p>
        </w:tc>
        <w:tc>
          <w:tcPr>
            <w:tcW w:w="1738" w:type="dxa"/>
            <w:vAlign w:val="center"/>
          </w:tcPr>
          <w:p>
            <w:pPr>
              <w:jc w:val="center"/>
              <w:rPr>
                <w:szCs w:val="21"/>
              </w:rPr>
            </w:pPr>
            <w:r>
              <w:rPr>
                <w:szCs w:val="21"/>
              </w:rPr>
              <w:t>0.4680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92" w:type="dxa"/>
            <w:vAlign w:val="center"/>
          </w:tcPr>
          <w:p>
            <w:pPr>
              <w:jc w:val="center"/>
              <w:rPr>
                <w:i/>
                <w:iCs/>
                <w:szCs w:val="21"/>
              </w:rPr>
            </w:pPr>
            <w:r>
              <w:rPr>
                <w:rFonts w:eastAsia="仿宋"/>
                <w:i/>
                <w:iCs/>
                <w:szCs w:val="21"/>
              </w:rPr>
              <w:t>edu</w:t>
            </w:r>
          </w:p>
        </w:tc>
        <w:tc>
          <w:tcPr>
            <w:tcW w:w="1793" w:type="dxa"/>
            <w:vAlign w:val="center"/>
          </w:tcPr>
          <w:p>
            <w:pPr>
              <w:jc w:val="center"/>
              <w:rPr>
                <w:szCs w:val="21"/>
              </w:rPr>
            </w:pPr>
            <w:r>
              <w:rPr>
                <w:szCs w:val="21"/>
              </w:rPr>
              <w:t>0.0166</w:t>
            </w:r>
          </w:p>
        </w:tc>
        <w:tc>
          <w:tcPr>
            <w:tcW w:w="1793" w:type="dxa"/>
            <w:vAlign w:val="center"/>
          </w:tcPr>
          <w:p>
            <w:pPr>
              <w:jc w:val="center"/>
              <w:rPr>
                <w:szCs w:val="21"/>
              </w:rPr>
            </w:pPr>
            <w:r>
              <w:rPr>
                <w:szCs w:val="21"/>
              </w:rPr>
              <w:t>0.022</w:t>
            </w:r>
          </w:p>
        </w:tc>
        <w:tc>
          <w:tcPr>
            <w:tcW w:w="1793" w:type="dxa"/>
            <w:vAlign w:val="center"/>
          </w:tcPr>
          <w:p>
            <w:pPr>
              <w:jc w:val="center"/>
              <w:rPr>
                <w:szCs w:val="21"/>
              </w:rPr>
            </w:pPr>
            <w:r>
              <w:rPr>
                <w:szCs w:val="21"/>
              </w:rPr>
              <w:t>0.0001</w:t>
            </w:r>
          </w:p>
        </w:tc>
        <w:tc>
          <w:tcPr>
            <w:tcW w:w="1738" w:type="dxa"/>
            <w:vAlign w:val="center"/>
          </w:tcPr>
          <w:p>
            <w:pPr>
              <w:jc w:val="center"/>
              <w:rPr>
                <w:szCs w:val="21"/>
              </w:rPr>
            </w:pPr>
            <w:r>
              <w:rPr>
                <w:szCs w:val="21"/>
              </w:rPr>
              <w:t>0.1155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vAlign w:val="center"/>
          </w:tcPr>
          <w:p>
            <w:pPr>
              <w:jc w:val="center"/>
              <w:rPr>
                <w:i/>
                <w:iCs/>
                <w:szCs w:val="21"/>
              </w:rPr>
            </w:pPr>
            <w:r>
              <w:rPr>
                <w:rFonts w:eastAsia="仿宋"/>
                <w:i/>
                <w:iCs/>
                <w:szCs w:val="21"/>
              </w:rPr>
              <w:t>open</w:t>
            </w:r>
          </w:p>
        </w:tc>
        <w:tc>
          <w:tcPr>
            <w:tcW w:w="1793" w:type="dxa"/>
            <w:vAlign w:val="center"/>
          </w:tcPr>
          <w:p>
            <w:pPr>
              <w:jc w:val="center"/>
              <w:rPr>
                <w:szCs w:val="21"/>
              </w:rPr>
            </w:pPr>
            <w:r>
              <w:rPr>
                <w:szCs w:val="21"/>
              </w:rPr>
              <w:t>0.0028</w:t>
            </w:r>
          </w:p>
        </w:tc>
        <w:tc>
          <w:tcPr>
            <w:tcW w:w="1793" w:type="dxa"/>
            <w:vAlign w:val="center"/>
          </w:tcPr>
          <w:p>
            <w:pPr>
              <w:jc w:val="center"/>
              <w:rPr>
                <w:szCs w:val="21"/>
              </w:rPr>
            </w:pPr>
            <w:r>
              <w:rPr>
                <w:szCs w:val="21"/>
              </w:rPr>
              <w:t>0.003</w:t>
            </w:r>
          </w:p>
        </w:tc>
        <w:tc>
          <w:tcPr>
            <w:tcW w:w="1793" w:type="dxa"/>
            <w:vAlign w:val="center"/>
          </w:tcPr>
          <w:p>
            <w:pPr>
              <w:jc w:val="center"/>
              <w:rPr>
                <w:szCs w:val="21"/>
              </w:rPr>
            </w:pPr>
            <w:r>
              <w:rPr>
                <w:szCs w:val="21"/>
              </w:rPr>
              <w:t>0.0000</w:t>
            </w:r>
          </w:p>
        </w:tc>
        <w:tc>
          <w:tcPr>
            <w:tcW w:w="1738" w:type="dxa"/>
            <w:vAlign w:val="center"/>
          </w:tcPr>
          <w:p>
            <w:pPr>
              <w:jc w:val="center"/>
              <w:rPr>
                <w:szCs w:val="21"/>
              </w:rPr>
            </w:pPr>
            <w:r>
              <w:rPr>
                <w:szCs w:val="21"/>
              </w:rPr>
              <w:t>0.0133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92" w:type="dxa"/>
            <w:vAlign w:val="center"/>
          </w:tcPr>
          <w:p>
            <w:pPr>
              <w:jc w:val="center"/>
              <w:rPr>
                <w:i/>
                <w:iCs/>
                <w:szCs w:val="21"/>
              </w:rPr>
            </w:pPr>
            <w:r>
              <w:rPr>
                <w:rFonts w:eastAsia="仿宋"/>
                <w:i/>
                <w:iCs/>
                <w:szCs w:val="21"/>
              </w:rPr>
              <w:t>asset</w:t>
            </w:r>
          </w:p>
        </w:tc>
        <w:tc>
          <w:tcPr>
            <w:tcW w:w="1793" w:type="dxa"/>
            <w:vAlign w:val="center"/>
          </w:tcPr>
          <w:p>
            <w:pPr>
              <w:jc w:val="center"/>
              <w:rPr>
                <w:szCs w:val="21"/>
              </w:rPr>
            </w:pPr>
            <w:r>
              <w:rPr>
                <w:szCs w:val="21"/>
              </w:rPr>
              <w:t>0.6751</w:t>
            </w:r>
          </w:p>
        </w:tc>
        <w:tc>
          <w:tcPr>
            <w:tcW w:w="1793" w:type="dxa"/>
            <w:vAlign w:val="center"/>
          </w:tcPr>
          <w:p>
            <w:pPr>
              <w:jc w:val="center"/>
              <w:rPr>
                <w:szCs w:val="21"/>
              </w:rPr>
            </w:pPr>
            <w:r>
              <w:rPr>
                <w:szCs w:val="21"/>
              </w:rPr>
              <w:t>0.310</w:t>
            </w:r>
          </w:p>
        </w:tc>
        <w:tc>
          <w:tcPr>
            <w:tcW w:w="1793" w:type="dxa"/>
            <w:vAlign w:val="center"/>
          </w:tcPr>
          <w:p>
            <w:pPr>
              <w:jc w:val="center"/>
              <w:rPr>
                <w:szCs w:val="21"/>
              </w:rPr>
            </w:pPr>
            <w:r>
              <w:rPr>
                <w:szCs w:val="21"/>
              </w:rPr>
              <w:t>0.0073</w:t>
            </w:r>
          </w:p>
        </w:tc>
        <w:tc>
          <w:tcPr>
            <w:tcW w:w="1738" w:type="dxa"/>
            <w:vAlign w:val="center"/>
          </w:tcPr>
          <w:p>
            <w:pPr>
              <w:jc w:val="center"/>
              <w:rPr>
                <w:szCs w:val="21"/>
              </w:rPr>
            </w:pPr>
            <w:r>
              <w:rPr>
                <w:szCs w:val="21"/>
              </w:rPr>
              <w:t>1.7570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vAlign w:val="center"/>
          </w:tcPr>
          <w:p>
            <w:pPr>
              <w:jc w:val="center"/>
              <w:rPr>
                <w:i/>
                <w:iCs/>
                <w:szCs w:val="21"/>
              </w:rPr>
            </w:pPr>
            <w:r>
              <w:rPr>
                <w:rFonts w:eastAsia="仿宋"/>
                <w:i/>
                <w:iCs/>
                <w:szCs w:val="21"/>
              </w:rPr>
              <w:t>density</w:t>
            </w:r>
          </w:p>
        </w:tc>
        <w:tc>
          <w:tcPr>
            <w:tcW w:w="1793" w:type="dxa"/>
            <w:vAlign w:val="center"/>
          </w:tcPr>
          <w:p>
            <w:pPr>
              <w:jc w:val="center"/>
              <w:rPr>
                <w:szCs w:val="21"/>
              </w:rPr>
            </w:pPr>
            <w:r>
              <w:rPr>
                <w:szCs w:val="21"/>
              </w:rPr>
              <w:t>0.0429</w:t>
            </w:r>
          </w:p>
        </w:tc>
        <w:tc>
          <w:tcPr>
            <w:tcW w:w="1793" w:type="dxa"/>
            <w:vAlign w:val="center"/>
          </w:tcPr>
          <w:p>
            <w:pPr>
              <w:jc w:val="center"/>
              <w:rPr>
                <w:szCs w:val="21"/>
              </w:rPr>
            </w:pPr>
            <w:r>
              <w:rPr>
                <w:szCs w:val="21"/>
              </w:rPr>
              <w:t>0.029</w:t>
            </w:r>
          </w:p>
        </w:tc>
        <w:tc>
          <w:tcPr>
            <w:tcW w:w="1793" w:type="dxa"/>
            <w:vAlign w:val="center"/>
          </w:tcPr>
          <w:p>
            <w:pPr>
              <w:jc w:val="center"/>
              <w:rPr>
                <w:szCs w:val="21"/>
              </w:rPr>
            </w:pPr>
            <w:r>
              <w:rPr>
                <w:szCs w:val="21"/>
              </w:rPr>
              <w:t>0.0025</w:t>
            </w:r>
          </w:p>
        </w:tc>
        <w:tc>
          <w:tcPr>
            <w:tcW w:w="1738" w:type="dxa"/>
            <w:vAlign w:val="center"/>
          </w:tcPr>
          <w:p>
            <w:pPr>
              <w:jc w:val="center"/>
              <w:rPr>
                <w:szCs w:val="21"/>
              </w:rPr>
            </w:pPr>
            <w:r>
              <w:rPr>
                <w:szCs w:val="21"/>
              </w:rPr>
              <w:t>0.1355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92" w:type="dxa"/>
            <w:vAlign w:val="center"/>
          </w:tcPr>
          <w:p>
            <w:pPr>
              <w:jc w:val="center"/>
              <w:rPr>
                <w:i/>
                <w:iCs/>
                <w:szCs w:val="21"/>
              </w:rPr>
            </w:pPr>
            <w:r>
              <w:rPr>
                <w:rFonts w:eastAsia="仿宋"/>
                <w:i/>
                <w:iCs/>
                <w:szCs w:val="21"/>
              </w:rPr>
              <w:t>Med</w:t>
            </w:r>
          </w:p>
        </w:tc>
        <w:tc>
          <w:tcPr>
            <w:tcW w:w="1793" w:type="dxa"/>
            <w:vAlign w:val="center"/>
          </w:tcPr>
          <w:p>
            <w:pPr>
              <w:jc w:val="center"/>
              <w:rPr>
                <w:szCs w:val="21"/>
              </w:rPr>
            </w:pPr>
            <w:r>
              <w:rPr>
                <w:szCs w:val="21"/>
              </w:rPr>
              <w:t>0.0317</w:t>
            </w:r>
          </w:p>
        </w:tc>
        <w:tc>
          <w:tcPr>
            <w:tcW w:w="1793" w:type="dxa"/>
            <w:vAlign w:val="center"/>
          </w:tcPr>
          <w:p>
            <w:pPr>
              <w:jc w:val="center"/>
              <w:rPr>
                <w:szCs w:val="21"/>
              </w:rPr>
            </w:pPr>
            <w:r>
              <w:rPr>
                <w:szCs w:val="21"/>
              </w:rPr>
              <w:t>0.015</w:t>
            </w:r>
          </w:p>
        </w:tc>
        <w:tc>
          <w:tcPr>
            <w:tcW w:w="1793" w:type="dxa"/>
            <w:vAlign w:val="center"/>
          </w:tcPr>
          <w:p>
            <w:pPr>
              <w:jc w:val="center"/>
              <w:rPr>
                <w:szCs w:val="21"/>
              </w:rPr>
            </w:pPr>
            <w:r>
              <w:rPr>
                <w:szCs w:val="21"/>
              </w:rPr>
              <w:t>0.0106</w:t>
            </w:r>
          </w:p>
        </w:tc>
        <w:tc>
          <w:tcPr>
            <w:tcW w:w="1738" w:type="dxa"/>
            <w:vAlign w:val="center"/>
          </w:tcPr>
          <w:p>
            <w:pPr>
              <w:jc w:val="center"/>
              <w:rPr>
                <w:szCs w:val="21"/>
              </w:rPr>
            </w:pPr>
            <w:r>
              <w:rPr>
                <w:szCs w:val="21"/>
              </w:rPr>
              <w:t>0.0880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vAlign w:val="center"/>
          </w:tcPr>
          <w:p>
            <w:pPr>
              <w:jc w:val="center"/>
              <w:rPr>
                <w:i/>
                <w:iCs/>
                <w:szCs w:val="21"/>
              </w:rPr>
            </w:pPr>
            <w:r>
              <w:rPr>
                <w:rFonts w:eastAsia="仿宋"/>
                <w:i/>
                <w:iCs/>
                <w:szCs w:val="21"/>
              </w:rPr>
              <w:t>NET</w:t>
            </w:r>
          </w:p>
        </w:tc>
        <w:tc>
          <w:tcPr>
            <w:tcW w:w="1793" w:type="dxa"/>
            <w:vAlign w:val="center"/>
          </w:tcPr>
          <w:p>
            <w:pPr>
              <w:jc w:val="center"/>
              <w:rPr>
                <w:szCs w:val="21"/>
              </w:rPr>
            </w:pPr>
            <w:r>
              <w:rPr>
                <w:szCs w:val="21"/>
              </w:rPr>
              <w:t>0.1544</w:t>
            </w:r>
          </w:p>
        </w:tc>
        <w:tc>
          <w:tcPr>
            <w:tcW w:w="1793" w:type="dxa"/>
            <w:vAlign w:val="center"/>
          </w:tcPr>
          <w:p>
            <w:pPr>
              <w:jc w:val="center"/>
              <w:rPr>
                <w:szCs w:val="21"/>
              </w:rPr>
            </w:pPr>
            <w:r>
              <w:rPr>
                <w:szCs w:val="21"/>
              </w:rPr>
              <w:t>0.160</w:t>
            </w:r>
          </w:p>
        </w:tc>
        <w:tc>
          <w:tcPr>
            <w:tcW w:w="1793" w:type="dxa"/>
            <w:vAlign w:val="center"/>
          </w:tcPr>
          <w:p>
            <w:pPr>
              <w:jc w:val="center"/>
              <w:rPr>
                <w:szCs w:val="21"/>
              </w:rPr>
            </w:pPr>
            <w:r>
              <w:rPr>
                <w:szCs w:val="21"/>
              </w:rPr>
              <w:t>0.0057</w:t>
            </w:r>
          </w:p>
        </w:tc>
        <w:tc>
          <w:tcPr>
            <w:tcW w:w="1738" w:type="dxa"/>
            <w:vAlign w:val="center"/>
          </w:tcPr>
          <w:p>
            <w:pPr>
              <w:jc w:val="center"/>
              <w:rPr>
                <w:szCs w:val="21"/>
              </w:rPr>
            </w:pPr>
            <w:r>
              <w:rPr>
                <w:szCs w:val="21"/>
              </w:rPr>
              <w:t>0.8593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92" w:type="dxa"/>
            <w:vAlign w:val="center"/>
          </w:tcPr>
          <w:p>
            <w:pPr>
              <w:jc w:val="center"/>
              <w:rPr>
                <w:i/>
                <w:iCs/>
                <w:szCs w:val="21"/>
              </w:rPr>
            </w:pPr>
            <w:r>
              <w:rPr>
                <w:rFonts w:eastAsia="仿宋"/>
                <w:i/>
                <w:iCs/>
                <w:szCs w:val="21"/>
              </w:rPr>
              <w:t>traffic</w:t>
            </w:r>
          </w:p>
        </w:tc>
        <w:tc>
          <w:tcPr>
            <w:tcW w:w="1793" w:type="dxa"/>
            <w:vAlign w:val="center"/>
          </w:tcPr>
          <w:p>
            <w:pPr>
              <w:jc w:val="center"/>
              <w:rPr>
                <w:szCs w:val="21"/>
              </w:rPr>
            </w:pPr>
            <w:r>
              <w:rPr>
                <w:szCs w:val="21"/>
              </w:rPr>
              <w:t>8.6384</w:t>
            </w:r>
          </w:p>
        </w:tc>
        <w:tc>
          <w:tcPr>
            <w:tcW w:w="1793" w:type="dxa"/>
            <w:vAlign w:val="center"/>
          </w:tcPr>
          <w:p>
            <w:pPr>
              <w:jc w:val="center"/>
              <w:rPr>
                <w:szCs w:val="21"/>
              </w:rPr>
            </w:pPr>
            <w:r>
              <w:rPr>
                <w:szCs w:val="21"/>
              </w:rPr>
              <w:t>0.903</w:t>
            </w:r>
          </w:p>
        </w:tc>
        <w:tc>
          <w:tcPr>
            <w:tcW w:w="1793" w:type="dxa"/>
            <w:vAlign w:val="center"/>
          </w:tcPr>
          <w:p>
            <w:pPr>
              <w:jc w:val="center"/>
              <w:rPr>
                <w:szCs w:val="21"/>
              </w:rPr>
            </w:pPr>
            <w:r>
              <w:rPr>
                <w:szCs w:val="21"/>
              </w:rPr>
              <w:t>6.1399</w:t>
            </w:r>
          </w:p>
        </w:tc>
        <w:tc>
          <w:tcPr>
            <w:tcW w:w="1738" w:type="dxa"/>
            <w:vAlign w:val="center"/>
          </w:tcPr>
          <w:p>
            <w:pPr>
              <w:jc w:val="center"/>
              <w:rPr>
                <w:szCs w:val="21"/>
              </w:rPr>
            </w:pPr>
            <w:r>
              <w:rPr>
                <w:szCs w:val="21"/>
              </w:rPr>
              <w:t>11.1571</w:t>
            </w:r>
          </w:p>
        </w:tc>
      </w:tr>
    </w:tbl>
    <w:p>
      <w:pPr>
        <w:pStyle w:val="2"/>
        <w:tabs>
          <w:tab w:val="center" w:pos="4513"/>
          <w:tab w:val="left" w:pos="5543"/>
        </w:tabs>
        <w:spacing w:before="178" w:beforeLines="50" w:after="178" w:afterLines="50"/>
        <w:rPr>
          <w:rFonts w:eastAsia="黑体"/>
          <w:b w:val="0"/>
          <w:bCs w:val="0"/>
          <w:sz w:val="28"/>
          <w:szCs w:val="28"/>
        </w:rPr>
      </w:pPr>
      <w:r>
        <w:rPr>
          <w:rFonts w:eastAsia="黑体"/>
          <w:b w:val="0"/>
          <w:bCs w:val="0"/>
          <w:sz w:val="28"/>
          <w:szCs w:val="28"/>
        </w:rPr>
        <w:t>五、实证估计</w:t>
      </w:r>
    </w:p>
    <w:p>
      <w:pPr>
        <w:ind w:firstLine="420" w:firstLineChars="200"/>
        <w:rPr>
          <w:rFonts w:eastAsia="黑体"/>
        </w:rPr>
      </w:pPr>
      <w:r>
        <w:rPr>
          <w:rFonts w:eastAsia="黑体"/>
        </w:rPr>
        <w:t>（一）空间计量模型设定</w:t>
      </w:r>
    </w:p>
    <w:p>
      <w:pPr>
        <w:ind w:firstLine="420" w:firstLineChars="200"/>
      </w:pPr>
      <w:r>
        <w:t>为实证检验地方政府税收竞争对地区经济发展不平衡的具体影响，本文拟构建如下公式（14）的经济计量模型：</w:t>
      </w:r>
    </w:p>
    <w:p>
      <w:pPr>
        <w:wordWrap w:val="0"/>
        <w:jc w:val="right"/>
      </w:pPr>
      <w:r>
        <w:rPr>
          <w:position w:val="-14"/>
        </w:rPr>
        <w:object>
          <v:shape id="_x0000_i1082" o:spt="75" type="#_x0000_t75" style="height:19.4pt;width:288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t xml:space="preserve">              （14）</w:t>
      </w:r>
    </w:p>
    <w:p>
      <w:pPr>
        <w:spacing w:line="320" w:lineRule="exact"/>
        <w:ind w:firstLine="420" w:firstLineChars="200"/>
      </w:pPr>
      <w:r>
        <w:t>其中，被解释变量</w:t>
      </w:r>
      <w:r>
        <w:rPr>
          <w:i/>
          <w:iCs/>
        </w:rPr>
        <w:t>Imbalance</w:t>
      </w:r>
      <w:r>
        <w:rPr>
          <w:i/>
          <w:iCs/>
          <w:vertAlign w:val="subscript"/>
        </w:rPr>
        <w:t>i,t</w:t>
      </w:r>
      <w:r>
        <w:t>表示地区</w:t>
      </w:r>
      <w:r>
        <w:rPr>
          <w:i/>
        </w:rPr>
        <w:t>i</w:t>
      </w:r>
      <w:r>
        <w:t>在</w:t>
      </w:r>
      <w:r>
        <w:rPr>
          <w:i/>
        </w:rPr>
        <w:t>t</w:t>
      </w:r>
      <w:r>
        <w:t>年的经济发展不平衡指数，如若</w:t>
      </w:r>
      <w:r>
        <w:rPr>
          <w:i/>
          <w:iCs/>
        </w:rPr>
        <w:t>Imbalance</w:t>
      </w:r>
      <w:r>
        <w:rPr>
          <w:i/>
          <w:iCs/>
          <w:vertAlign w:val="subscript"/>
        </w:rPr>
        <w:t>i,t</w:t>
      </w:r>
      <w:r>
        <w:t>取值越大则意味着地区间经济发展的不平衡程度越高。核心解释变量</w:t>
      </w:r>
      <w:r>
        <w:rPr>
          <w:i/>
          <w:iCs/>
        </w:rPr>
        <w:t>Taxcom</w:t>
      </w:r>
      <w:r>
        <w:rPr>
          <w:i/>
          <w:iCs/>
          <w:vertAlign w:val="subscript"/>
        </w:rPr>
        <w:t>i,t</w:t>
      </w:r>
      <w:r>
        <w:t>表示地区</w:t>
      </w:r>
      <w:r>
        <w:rPr>
          <w:i/>
        </w:rPr>
        <w:t>i</w:t>
      </w:r>
      <w:r>
        <w:t>在</w:t>
      </w:r>
      <w:r>
        <w:rPr>
          <w:i/>
        </w:rPr>
        <w:t>t</w:t>
      </w:r>
      <w:r>
        <w:t>年的税收竞争程度，</w:t>
      </w:r>
      <w:r>
        <w:rPr>
          <w:i/>
          <w:iCs/>
        </w:rPr>
        <w:t>Controls</w:t>
      </w:r>
      <w:r>
        <w:rPr>
          <w:i/>
          <w:iCs/>
          <w:vertAlign w:val="subscript"/>
        </w:rPr>
        <w:t>i,t</w:t>
      </w:r>
      <w:r>
        <w:t>表示控制变量，</w:t>
      </w:r>
      <w:r>
        <w:rPr>
          <w:i/>
          <w:iCs/>
        </w:rPr>
        <w:t>λ</w:t>
      </w:r>
      <w:r>
        <w:rPr>
          <w:i/>
          <w:iCs/>
          <w:vertAlign w:val="subscript"/>
        </w:rPr>
        <w:t>i</w:t>
      </w:r>
      <w:r>
        <w:t>为地区固定效应，</w:t>
      </w:r>
      <w:r>
        <w:rPr>
          <w:i/>
          <w:iCs/>
        </w:rPr>
        <w:t>η</w:t>
      </w:r>
      <w:r>
        <w:rPr>
          <w:i/>
          <w:iCs/>
          <w:vertAlign w:val="subscript"/>
        </w:rPr>
        <w:t>t</w:t>
      </w:r>
      <w:r>
        <w:t>为时间固定效应，以捕捉地区个体不随时间变化的固定特征和不同年份里的宏观因素对于回归结果带来的影响偏误，</w:t>
      </w:r>
      <w:r>
        <w:rPr>
          <w:i/>
          <w:iCs/>
        </w:rPr>
        <w:t>ε</w:t>
      </w:r>
      <w:r>
        <w:rPr>
          <w:i/>
          <w:iCs/>
          <w:vertAlign w:val="subscript"/>
        </w:rPr>
        <w:t>i,t</w:t>
      </w:r>
      <w:r>
        <w:t>为随机误差项。</w:t>
      </w:r>
    </w:p>
    <w:p>
      <w:pPr>
        <w:ind w:firstLine="420" w:firstLineChars="200"/>
      </w:pPr>
      <w:r>
        <w:t>鉴于地方政府间的策略互动使得本地区与邻近地区之间的税收竞争存在“你追我赶”的态势，即存在空间依赖和空间交互效应，因而地方政府税收竞争导致地区经济发展不平衡的作用机制可以通过地区间空间关联对邻近地区产生影响。正因如此，本文通过在公式（14）中引入包含被解释变量和解释变量的空间交互项，并将其扩展为以下空间计量模型公式（15）。其中，公式（15）中</w:t>
      </w:r>
      <w:r>
        <w:rPr>
          <w:i/>
        </w:rPr>
        <w:t>ρ</w:t>
      </w:r>
      <w:r>
        <w:t>为空间自回归系数，</w:t>
      </w:r>
      <w:r>
        <w:rPr>
          <w:i/>
        </w:rPr>
        <w:t>ω</w:t>
      </w:r>
      <w:r>
        <w:rPr>
          <w:i/>
          <w:vertAlign w:val="subscript"/>
        </w:rPr>
        <w:t>ij</w:t>
      </w:r>
      <w:r>
        <w:t>表示空间权重矩阵，</w:t>
      </w:r>
      <w:r>
        <w:rPr>
          <w:i/>
        </w:rPr>
        <w:t>θ</w:t>
      </w:r>
      <w:r>
        <w:rPr>
          <w:i/>
          <w:vertAlign w:val="subscript"/>
        </w:rPr>
        <w:t>1</w:t>
      </w:r>
      <w:r>
        <w:rPr>
          <w:i/>
        </w:rPr>
        <w:t>-θ</w:t>
      </w:r>
      <w:r>
        <w:rPr>
          <w:i/>
          <w:vertAlign w:val="subscript"/>
        </w:rPr>
        <w:t>12</w:t>
      </w:r>
      <w:r>
        <w:t>表示所有解释变量空间交互项的弹性系数，</w:t>
      </w:r>
      <w:r>
        <w:rPr>
          <w:i/>
        </w:rPr>
        <w:t>μ</w:t>
      </w:r>
      <w:r>
        <w:rPr>
          <w:i/>
          <w:vertAlign w:val="subscript"/>
        </w:rPr>
        <w:t>i</w:t>
      </w:r>
      <w:r>
        <w:t>、</w:t>
      </w:r>
      <w:r>
        <w:rPr>
          <w:i/>
        </w:rPr>
        <w:t>ν</w:t>
      </w:r>
      <w:r>
        <w:rPr>
          <w:i/>
          <w:vertAlign w:val="subscript"/>
        </w:rPr>
        <w:t>t</w:t>
      </w:r>
      <w:r>
        <w:t>、</w:t>
      </w:r>
      <w:r>
        <w:rPr>
          <w:i/>
        </w:rPr>
        <w:t>ε</w:t>
      </w:r>
      <w:r>
        <w:rPr>
          <w:i/>
          <w:vertAlign w:val="subscript"/>
        </w:rPr>
        <w:t>i,t</w:t>
      </w:r>
      <w:r>
        <w:t>分别表示地区效应、时间效应和随机扰动项。</w:t>
      </w:r>
    </w:p>
    <w:p>
      <w:r>
        <w:rPr>
          <w:position w:val="-86"/>
        </w:rPr>
        <w:object>
          <v:shape id="_x0000_i1083" o:spt="75" type="#_x0000_t75" style="height:84pt;width:409.85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83" r:id="rId119">
            <o:LockedField>false</o:LockedField>
          </o:OLEObject>
        </w:object>
      </w:r>
      <w:r>
        <w:t>（15）</w:t>
      </w:r>
    </w:p>
    <w:p>
      <w:pPr>
        <w:ind w:firstLine="420" w:firstLineChars="200"/>
        <w:rPr>
          <w:rFonts w:eastAsia="黑体"/>
        </w:rPr>
      </w:pPr>
      <w:r>
        <w:rPr>
          <w:rFonts w:eastAsia="黑体"/>
        </w:rPr>
        <w:t>（二）空间计量模型估计</w:t>
      </w:r>
    </w:p>
    <w:p>
      <w:pPr>
        <w:ind w:firstLine="420" w:firstLineChars="200"/>
      </w:pPr>
      <w:r>
        <w:t>空间权重矩阵的构建是进行空间计量分析的前提条件，空间单元之间的关联强弱与其距离紧密相关。即空间距离越近，地区间的空间影响则越强。因此，构建合适的空间权重矩阵不仅能够反映地区间的邻接关系，而且还能充分刻画空间单元之间的邻近程度，所以本文选取城市间地理距离矩阵作为空间权重矩阵，具体定义如公式（16）。其中，</w:t>
      </w:r>
      <w:r>
        <w:rPr>
          <w:i/>
        </w:rPr>
        <w:t>d</w:t>
      </w:r>
      <w:r>
        <w:rPr>
          <w:i/>
          <w:vertAlign w:val="subscript"/>
        </w:rPr>
        <w:t>ij</w:t>
      </w:r>
      <w:r>
        <w:t>是利用地级市之间经纬度数据计算的直线空间距离，空间距离的倒数则能反映出地区间经济关联随着地理距离的增加而减弱的空间影响。</w:t>
      </w:r>
    </w:p>
    <w:p>
      <w:pPr>
        <w:tabs>
          <w:tab w:val="left" w:pos="428"/>
        </w:tabs>
        <w:wordWrap w:val="0"/>
        <w:jc w:val="right"/>
      </w:pPr>
      <w:r>
        <w:rPr>
          <w:position w:val="-32"/>
        </w:rPr>
        <w:object>
          <v:shape id="_x0000_i1084" o:spt="75" type="#_x0000_t75" style="height:38.75pt;width:84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1">
            <o:LockedField>false</o:LockedField>
          </o:OLEObject>
        </w:object>
      </w:r>
      <w:r>
        <w:t xml:space="preserve">                                （16）</w:t>
      </w:r>
    </w:p>
    <w:p>
      <w:pPr>
        <w:ind w:firstLine="420" w:firstLineChars="200"/>
        <w:jc w:val="left"/>
      </w:pPr>
      <w:r>
        <w:t>在这之后，本文进一步采用</w:t>
      </w:r>
      <w:r>
        <w:rPr>
          <w:i/>
        </w:rPr>
        <w:t>Moran</w:t>
      </w:r>
      <w:r>
        <w:t>指数检验样本数据在统计上是否存在空间集聚现象，即考察地区间经济发展不平衡和税收竞争在整体分布上的空间相关性。</w:t>
      </w:r>
      <w:r>
        <w:rPr>
          <w:i/>
        </w:rPr>
        <w:t>Moran’s I</w:t>
      </w:r>
      <w:r>
        <w:t>指数的计算以及相关检验方法如下公式（17）：</w:t>
      </w:r>
    </w:p>
    <w:p>
      <w:pPr>
        <w:wordWrap w:val="0"/>
        <w:jc w:val="right"/>
        <w:rPr>
          <w:b/>
          <w:bCs/>
          <w:sz w:val="24"/>
        </w:rPr>
      </w:pPr>
      <w:r>
        <w:rPr>
          <w:b/>
          <w:bCs/>
          <w:position w:val="-64"/>
          <w:sz w:val="24"/>
        </w:rPr>
        <w:object>
          <v:shape id="_x0000_i1085" o:spt="75" type="#_x0000_t75" style="height:70.15pt;width:208.6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r>
        <w:rPr>
          <w:b/>
          <w:bCs/>
          <w:sz w:val="24"/>
        </w:rPr>
        <w:t xml:space="preserve">             </w:t>
      </w:r>
      <w:r>
        <w:rPr>
          <w:bCs/>
          <w:szCs w:val="21"/>
        </w:rPr>
        <w:t xml:space="preserve">   （17）</w:t>
      </w:r>
    </w:p>
    <w:p>
      <w:pPr>
        <w:ind w:firstLine="420" w:firstLineChars="200"/>
        <w:jc w:val="left"/>
      </w:pPr>
      <w:r>
        <w:t>其中，公式（17）中</w:t>
      </w:r>
      <w:r>
        <w:rPr>
          <w:i/>
        </w:rPr>
        <w:t>n</w:t>
      </w:r>
      <w:r>
        <w:t>为观察值总数；</w:t>
      </w:r>
      <w:r>
        <w:rPr>
          <w:i/>
        </w:rPr>
        <w:t>X</w:t>
      </w:r>
      <w:r>
        <w:rPr>
          <w:i/>
          <w:vertAlign w:val="subscript"/>
        </w:rPr>
        <w:t>i</w:t>
      </w:r>
      <w:r>
        <w:t>为位置</w:t>
      </w:r>
      <w:r>
        <w:rPr>
          <w:i/>
        </w:rPr>
        <w:t>i</w:t>
      </w:r>
      <w:r>
        <w:t>的观察值；</w:t>
      </w:r>
      <w:r>
        <w:rPr>
          <w:i/>
        </w:rPr>
        <w:t>W</w:t>
      </w:r>
      <w:r>
        <w:rPr>
          <w:i/>
          <w:vertAlign w:val="subscript"/>
        </w:rPr>
        <w:t>ij</w:t>
      </w:r>
      <w:r>
        <w:t>为空间权重矩阵。</w:t>
      </w:r>
      <w:r>
        <w:rPr>
          <w:i/>
        </w:rPr>
        <w:t>Moran’s I</w:t>
      </w:r>
      <w:r>
        <w:t>指数取值范围为[-1,1]，若</w:t>
      </w:r>
      <w:r>
        <w:rPr>
          <w:i/>
        </w:rPr>
        <w:t>Moran’s I</w:t>
      </w:r>
      <w:r>
        <w:t>指数为正，表示观测变量在空间上显著集聚；若</w:t>
      </w:r>
      <w:r>
        <w:rPr>
          <w:i/>
        </w:rPr>
        <w:t>Moran’s I</w:t>
      </w:r>
      <w:r>
        <w:t>指数为负，则表明邻近地区经济发展和税收竞争程度存在差异，即相近地区在空间上呈分散分布。通常对</w:t>
      </w:r>
      <w:r>
        <w:rPr>
          <w:i/>
        </w:rPr>
        <w:t>Moran’s I</w:t>
      </w:r>
      <w:r>
        <w:t>指数进行</w:t>
      </w:r>
      <w:r>
        <w:rPr>
          <w:i/>
        </w:rPr>
        <w:t>Z</w:t>
      </w:r>
      <w:r>
        <w:t>检验，如果其</w:t>
      </w:r>
      <w:r>
        <w:rPr>
          <w:szCs w:val="21"/>
        </w:rPr>
        <w:t>伴随概率</w:t>
      </w:r>
      <w:r>
        <w:rPr>
          <w:i/>
        </w:rPr>
        <w:t>p</w:t>
      </w:r>
      <w:r>
        <w:t>值显著为正时，表明存在正的空间自相关，</w:t>
      </w:r>
      <w:r>
        <w:rPr>
          <w:szCs w:val="21"/>
        </w:rPr>
        <w:t>伴随概率</w:t>
      </w:r>
      <w:r>
        <w:rPr>
          <w:i/>
        </w:rPr>
        <w:t>p</w:t>
      </w:r>
      <w:r>
        <w:t>值显著为负时，表明存在负的空间自相关，具体检验结果见以下表3。</w:t>
      </w:r>
    </w:p>
    <w:p>
      <w:pPr>
        <w:ind w:firstLine="420" w:firstLineChars="200"/>
        <w:jc w:val="left"/>
      </w:pPr>
      <w:r>
        <w:t>由表3的检验结果可知，各地区经济发展不平衡（</w:t>
      </w:r>
      <w:r>
        <w:rPr>
          <w:i/>
          <w:szCs w:val="21"/>
        </w:rPr>
        <w:t>Imbalance</w:t>
      </w:r>
      <w:r>
        <w:t>）和税收竞争（</w:t>
      </w:r>
      <w:r>
        <w:rPr>
          <w:i/>
          <w:szCs w:val="21"/>
        </w:rPr>
        <w:t>Taxcom</w:t>
      </w:r>
      <w:r>
        <w:t>）的</w:t>
      </w:r>
      <w:r>
        <w:rPr>
          <w:i/>
        </w:rPr>
        <w:t xml:space="preserve">Moran’s I </w:t>
      </w:r>
      <w:r>
        <w:t>值分别为0.054、0.018，并且在1%的显著性水平下通过检验，即表示地区间经济发展不平衡和税收竞争存在显著的正向空间相关性。因而如果在实证模型中忽视这种空间关联性，可能会导致回归估计结果有偏且不一致，从而对研究结论的可靠性造成影响。为此，依据以上空间相关性的检验结果，考虑到各个地区经济社会活动普遍存在空间关联性，本文随后将建立空间计量模型从空间关联视角实证考察地方政府税收竞争对地区经济发展不平衡的影响效应。</w:t>
      </w:r>
    </w:p>
    <w:p>
      <w:pPr>
        <w:spacing w:before="178" w:beforeLines="50"/>
        <w:jc w:val="center"/>
        <w:rPr>
          <w:rFonts w:eastAsia="楷体"/>
          <w:szCs w:val="21"/>
        </w:rPr>
      </w:pPr>
      <w:r>
        <w:rPr>
          <w:rFonts w:eastAsia="楷体"/>
          <w:szCs w:val="21"/>
        </w:rPr>
        <w:t>表3  空间计量检验</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185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3"/>
            <w:vMerge w:val="restart"/>
            <w:tcBorders>
              <w:left w:val="nil"/>
            </w:tcBorders>
            <w:vAlign w:val="center"/>
          </w:tcPr>
          <w:p>
            <w:pPr>
              <w:jc w:val="center"/>
              <w:rPr>
                <w:bCs/>
                <w:szCs w:val="21"/>
              </w:rPr>
            </w:pPr>
            <w:r>
              <w:rPr>
                <w:bCs/>
                <w:szCs w:val="21"/>
              </w:rPr>
              <w:t>检验内容</w:t>
            </w:r>
          </w:p>
        </w:tc>
        <w:tc>
          <w:tcPr>
            <w:tcW w:w="4262" w:type="dxa"/>
            <w:gridSpan w:val="2"/>
            <w:tcBorders>
              <w:right w:val="nil"/>
            </w:tcBorders>
          </w:tcPr>
          <w:p>
            <w:pPr>
              <w:jc w:val="center"/>
              <w:rPr>
                <w:bCs/>
                <w:szCs w:val="21"/>
              </w:rPr>
            </w:pPr>
            <w:r>
              <w:rPr>
                <w:bCs/>
                <w:szCs w:val="21"/>
              </w:rPr>
              <w:t>空间地理矩阵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3"/>
            <w:vMerge w:val="continue"/>
            <w:tcBorders>
              <w:left w:val="nil"/>
            </w:tcBorders>
            <w:vAlign w:val="center"/>
          </w:tcPr>
          <w:p>
            <w:pPr>
              <w:jc w:val="center"/>
              <w:rPr>
                <w:bCs/>
                <w:szCs w:val="21"/>
              </w:rPr>
            </w:pPr>
          </w:p>
        </w:tc>
        <w:tc>
          <w:tcPr>
            <w:tcW w:w="2131" w:type="dxa"/>
            <w:vAlign w:val="center"/>
          </w:tcPr>
          <w:p>
            <w:pPr>
              <w:jc w:val="center"/>
              <w:rPr>
                <w:bCs/>
                <w:szCs w:val="21"/>
              </w:rPr>
            </w:pPr>
            <w:r>
              <w:rPr>
                <w:bCs/>
                <w:szCs w:val="21"/>
              </w:rPr>
              <w:t>统计值</w:t>
            </w:r>
          </w:p>
        </w:tc>
        <w:tc>
          <w:tcPr>
            <w:tcW w:w="2131" w:type="dxa"/>
            <w:tcBorders>
              <w:right w:val="nil"/>
            </w:tcBorders>
            <w:vAlign w:val="center"/>
          </w:tcPr>
          <w:p>
            <w:pPr>
              <w:jc w:val="center"/>
              <w:rPr>
                <w:bCs/>
                <w:szCs w:val="21"/>
              </w:rPr>
            </w:pPr>
            <w:r>
              <w:rPr>
                <w:bCs/>
                <w:szCs w:val="21"/>
              </w:rPr>
              <w:t>伴随概率(</w:t>
            </w:r>
            <w:r>
              <w:rPr>
                <w:bCs/>
                <w:i/>
                <w:szCs w:val="21"/>
              </w:rPr>
              <w:t>p</w:t>
            </w:r>
            <w:r>
              <w:rPr>
                <w:bCs/>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Borders>
              <w:left w:val="nil"/>
            </w:tcBorders>
            <w:vAlign w:val="center"/>
          </w:tcPr>
          <w:p>
            <w:pPr>
              <w:jc w:val="center"/>
              <w:rPr>
                <w:bCs/>
                <w:szCs w:val="21"/>
              </w:rPr>
            </w:pPr>
            <w:r>
              <w:rPr>
                <w:bCs/>
                <w:i/>
                <w:szCs w:val="21"/>
              </w:rPr>
              <w:t>Moran</w:t>
            </w:r>
            <w:r>
              <w:rPr>
                <w:bCs/>
                <w:szCs w:val="21"/>
              </w:rPr>
              <w:t>检验</w:t>
            </w:r>
          </w:p>
        </w:tc>
        <w:tc>
          <w:tcPr>
            <w:tcW w:w="2700" w:type="dxa"/>
            <w:gridSpan w:val="2"/>
            <w:tcBorders>
              <w:left w:val="nil"/>
            </w:tcBorders>
            <w:vAlign w:val="center"/>
          </w:tcPr>
          <w:p>
            <w:pPr>
              <w:jc w:val="center"/>
              <w:rPr>
                <w:bCs/>
                <w:i/>
                <w:szCs w:val="21"/>
              </w:rPr>
            </w:pPr>
            <w:r>
              <w:rPr>
                <w:bCs/>
                <w:i/>
                <w:szCs w:val="21"/>
              </w:rPr>
              <w:t>Imbalance</w:t>
            </w:r>
          </w:p>
        </w:tc>
        <w:tc>
          <w:tcPr>
            <w:tcW w:w="2131" w:type="dxa"/>
            <w:vAlign w:val="center"/>
          </w:tcPr>
          <w:p>
            <w:pPr>
              <w:jc w:val="center"/>
              <w:rPr>
                <w:bCs/>
                <w:szCs w:val="21"/>
              </w:rPr>
            </w:pPr>
            <w:r>
              <w:rPr>
                <w:bCs/>
                <w:szCs w:val="21"/>
              </w:rPr>
              <w:t>0.054</w:t>
            </w:r>
          </w:p>
        </w:tc>
        <w:tc>
          <w:tcPr>
            <w:tcW w:w="2131" w:type="dxa"/>
            <w:tcBorders>
              <w:right w:val="nil"/>
            </w:tcBorders>
            <w:vAlign w:val="center"/>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left w:val="nil"/>
            </w:tcBorders>
            <w:vAlign w:val="center"/>
          </w:tcPr>
          <w:p>
            <w:pPr>
              <w:jc w:val="center"/>
              <w:rPr>
                <w:bCs/>
                <w:szCs w:val="21"/>
              </w:rPr>
            </w:pPr>
          </w:p>
        </w:tc>
        <w:tc>
          <w:tcPr>
            <w:tcW w:w="2700" w:type="dxa"/>
            <w:gridSpan w:val="2"/>
            <w:tcBorders>
              <w:left w:val="nil"/>
            </w:tcBorders>
            <w:vAlign w:val="center"/>
          </w:tcPr>
          <w:p>
            <w:pPr>
              <w:jc w:val="center"/>
              <w:rPr>
                <w:bCs/>
                <w:i/>
                <w:szCs w:val="21"/>
              </w:rPr>
            </w:pPr>
            <w:r>
              <w:rPr>
                <w:bCs/>
                <w:i/>
                <w:szCs w:val="21"/>
              </w:rPr>
              <w:t>Taxcom</w:t>
            </w:r>
          </w:p>
        </w:tc>
        <w:tc>
          <w:tcPr>
            <w:tcW w:w="2131" w:type="dxa"/>
            <w:vAlign w:val="center"/>
          </w:tcPr>
          <w:p>
            <w:pPr>
              <w:jc w:val="center"/>
              <w:rPr>
                <w:bCs/>
                <w:szCs w:val="21"/>
              </w:rPr>
            </w:pPr>
            <w:r>
              <w:rPr>
                <w:bCs/>
                <w:szCs w:val="21"/>
              </w:rPr>
              <w:t>0.018</w:t>
            </w:r>
          </w:p>
        </w:tc>
        <w:tc>
          <w:tcPr>
            <w:tcW w:w="2131" w:type="dxa"/>
            <w:tcBorders>
              <w:right w:val="nil"/>
            </w:tcBorders>
            <w:vAlign w:val="center"/>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Borders>
              <w:left w:val="nil"/>
            </w:tcBorders>
            <w:vAlign w:val="center"/>
          </w:tcPr>
          <w:p>
            <w:pPr>
              <w:spacing w:before="357" w:beforeLines="100"/>
              <w:jc w:val="center"/>
              <w:rPr>
                <w:bCs/>
                <w:szCs w:val="21"/>
              </w:rPr>
            </w:pPr>
            <w:r>
              <w:rPr>
                <w:bCs/>
                <w:szCs w:val="21"/>
              </w:rPr>
              <w:t>空间效应</w:t>
            </w:r>
          </w:p>
          <w:p>
            <w:pPr>
              <w:jc w:val="center"/>
              <w:rPr>
                <w:bCs/>
                <w:szCs w:val="21"/>
              </w:rPr>
            </w:pPr>
            <w:r>
              <w:rPr>
                <w:bCs/>
                <w:szCs w:val="21"/>
              </w:rPr>
              <w:t>检验</w:t>
            </w:r>
          </w:p>
        </w:tc>
        <w:tc>
          <w:tcPr>
            <w:tcW w:w="2700" w:type="dxa"/>
            <w:gridSpan w:val="2"/>
            <w:vAlign w:val="center"/>
          </w:tcPr>
          <w:p>
            <w:pPr>
              <w:jc w:val="center"/>
              <w:rPr>
                <w:bCs/>
                <w:i/>
                <w:szCs w:val="21"/>
              </w:rPr>
            </w:pPr>
            <w:r>
              <w:rPr>
                <w:bCs/>
                <w:i/>
                <w:szCs w:val="21"/>
              </w:rPr>
              <w:t>LM-lag</w:t>
            </w:r>
          </w:p>
        </w:tc>
        <w:tc>
          <w:tcPr>
            <w:tcW w:w="2131" w:type="dxa"/>
            <w:vAlign w:val="center"/>
          </w:tcPr>
          <w:p>
            <w:pPr>
              <w:jc w:val="center"/>
              <w:rPr>
                <w:bCs/>
                <w:szCs w:val="21"/>
              </w:rPr>
            </w:pPr>
            <w:r>
              <w:rPr>
                <w:bCs/>
                <w:szCs w:val="21"/>
              </w:rPr>
              <w:t>109.633</w:t>
            </w:r>
          </w:p>
        </w:tc>
        <w:tc>
          <w:tcPr>
            <w:tcW w:w="2131" w:type="dxa"/>
            <w:tcBorders>
              <w:right w:val="nil"/>
            </w:tcBorders>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left w:val="nil"/>
            </w:tcBorders>
            <w:vAlign w:val="center"/>
          </w:tcPr>
          <w:p>
            <w:pPr>
              <w:jc w:val="center"/>
              <w:rPr>
                <w:bCs/>
                <w:szCs w:val="21"/>
              </w:rPr>
            </w:pPr>
          </w:p>
        </w:tc>
        <w:tc>
          <w:tcPr>
            <w:tcW w:w="2700" w:type="dxa"/>
            <w:gridSpan w:val="2"/>
            <w:vAlign w:val="center"/>
          </w:tcPr>
          <w:p>
            <w:pPr>
              <w:jc w:val="center"/>
              <w:rPr>
                <w:bCs/>
                <w:i/>
                <w:szCs w:val="21"/>
              </w:rPr>
            </w:pPr>
            <w:r>
              <w:rPr>
                <w:bCs/>
                <w:i/>
                <w:szCs w:val="21"/>
              </w:rPr>
              <w:t>R-LM-lag</w:t>
            </w:r>
          </w:p>
        </w:tc>
        <w:tc>
          <w:tcPr>
            <w:tcW w:w="2131" w:type="dxa"/>
            <w:vAlign w:val="center"/>
          </w:tcPr>
          <w:p>
            <w:pPr>
              <w:jc w:val="center"/>
              <w:rPr>
                <w:bCs/>
                <w:szCs w:val="21"/>
              </w:rPr>
            </w:pPr>
            <w:r>
              <w:rPr>
                <w:bCs/>
                <w:szCs w:val="21"/>
              </w:rPr>
              <w:t>21.169</w:t>
            </w:r>
          </w:p>
        </w:tc>
        <w:tc>
          <w:tcPr>
            <w:tcW w:w="2131" w:type="dxa"/>
            <w:tcBorders>
              <w:right w:val="nil"/>
            </w:tcBorders>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left w:val="nil"/>
            </w:tcBorders>
            <w:vAlign w:val="center"/>
          </w:tcPr>
          <w:p>
            <w:pPr>
              <w:jc w:val="center"/>
              <w:rPr>
                <w:bCs/>
                <w:szCs w:val="21"/>
              </w:rPr>
            </w:pPr>
          </w:p>
        </w:tc>
        <w:tc>
          <w:tcPr>
            <w:tcW w:w="2700" w:type="dxa"/>
            <w:gridSpan w:val="2"/>
            <w:vAlign w:val="center"/>
          </w:tcPr>
          <w:p>
            <w:pPr>
              <w:jc w:val="center"/>
              <w:rPr>
                <w:bCs/>
                <w:i/>
                <w:szCs w:val="21"/>
              </w:rPr>
            </w:pPr>
            <w:r>
              <w:rPr>
                <w:bCs/>
                <w:i/>
                <w:szCs w:val="21"/>
              </w:rPr>
              <w:t>LM-err</w:t>
            </w:r>
          </w:p>
        </w:tc>
        <w:tc>
          <w:tcPr>
            <w:tcW w:w="2131" w:type="dxa"/>
            <w:vAlign w:val="center"/>
          </w:tcPr>
          <w:p>
            <w:pPr>
              <w:jc w:val="center"/>
              <w:rPr>
                <w:bCs/>
                <w:szCs w:val="21"/>
              </w:rPr>
            </w:pPr>
            <w:r>
              <w:rPr>
                <w:bCs/>
                <w:szCs w:val="21"/>
              </w:rPr>
              <w:t>5686.495</w:t>
            </w:r>
          </w:p>
        </w:tc>
        <w:tc>
          <w:tcPr>
            <w:tcW w:w="2131" w:type="dxa"/>
            <w:tcBorders>
              <w:right w:val="nil"/>
            </w:tcBorders>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left w:val="nil"/>
            </w:tcBorders>
            <w:vAlign w:val="center"/>
          </w:tcPr>
          <w:p>
            <w:pPr>
              <w:jc w:val="center"/>
              <w:rPr>
                <w:bCs/>
                <w:szCs w:val="21"/>
              </w:rPr>
            </w:pPr>
          </w:p>
        </w:tc>
        <w:tc>
          <w:tcPr>
            <w:tcW w:w="2700" w:type="dxa"/>
            <w:gridSpan w:val="2"/>
            <w:vAlign w:val="center"/>
          </w:tcPr>
          <w:p>
            <w:pPr>
              <w:jc w:val="center"/>
              <w:rPr>
                <w:bCs/>
                <w:i/>
                <w:szCs w:val="21"/>
              </w:rPr>
            </w:pPr>
            <w:r>
              <w:rPr>
                <w:bCs/>
                <w:i/>
                <w:szCs w:val="21"/>
              </w:rPr>
              <w:t>R-LM-err</w:t>
            </w:r>
          </w:p>
        </w:tc>
        <w:tc>
          <w:tcPr>
            <w:tcW w:w="2131" w:type="dxa"/>
            <w:vAlign w:val="center"/>
          </w:tcPr>
          <w:p>
            <w:pPr>
              <w:jc w:val="center"/>
              <w:rPr>
                <w:bCs/>
                <w:szCs w:val="21"/>
              </w:rPr>
            </w:pPr>
            <w:r>
              <w:rPr>
                <w:bCs/>
                <w:szCs w:val="21"/>
              </w:rPr>
              <w:t>5598.031</w:t>
            </w:r>
          </w:p>
        </w:tc>
        <w:tc>
          <w:tcPr>
            <w:tcW w:w="2131" w:type="dxa"/>
            <w:tcBorders>
              <w:right w:val="nil"/>
            </w:tcBorders>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nil"/>
            </w:tcBorders>
            <w:vAlign w:val="center"/>
          </w:tcPr>
          <w:p>
            <w:pPr>
              <w:jc w:val="center"/>
              <w:rPr>
                <w:bCs/>
                <w:szCs w:val="21"/>
              </w:rPr>
            </w:pPr>
            <w:r>
              <w:rPr>
                <w:bCs/>
                <w:i/>
                <w:szCs w:val="21"/>
              </w:rPr>
              <w:t>Hausman</w:t>
            </w:r>
            <w:r>
              <w:rPr>
                <w:bCs/>
                <w:szCs w:val="21"/>
              </w:rPr>
              <w:t>检验</w:t>
            </w:r>
          </w:p>
        </w:tc>
        <w:tc>
          <w:tcPr>
            <w:tcW w:w="2700" w:type="dxa"/>
            <w:gridSpan w:val="2"/>
            <w:vAlign w:val="center"/>
          </w:tcPr>
          <w:p>
            <w:pPr>
              <w:jc w:val="center"/>
              <w:rPr>
                <w:bCs/>
                <w:i/>
                <w:szCs w:val="21"/>
              </w:rPr>
            </w:pPr>
            <w:r>
              <w:rPr>
                <w:bCs/>
                <w:i/>
                <w:szCs w:val="21"/>
              </w:rPr>
              <w:t>SDM</w:t>
            </w:r>
          </w:p>
        </w:tc>
        <w:tc>
          <w:tcPr>
            <w:tcW w:w="2131" w:type="dxa"/>
            <w:vAlign w:val="center"/>
          </w:tcPr>
          <w:p>
            <w:pPr>
              <w:jc w:val="center"/>
              <w:rPr>
                <w:bCs/>
                <w:szCs w:val="21"/>
              </w:rPr>
            </w:pPr>
            <w:r>
              <w:rPr>
                <w:bCs/>
                <w:szCs w:val="21"/>
              </w:rPr>
              <w:t>153.29</w:t>
            </w:r>
          </w:p>
        </w:tc>
        <w:tc>
          <w:tcPr>
            <w:tcW w:w="2131" w:type="dxa"/>
            <w:tcBorders>
              <w:right w:val="nil"/>
            </w:tcBorders>
            <w:vAlign w:val="center"/>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Borders>
              <w:left w:val="nil"/>
            </w:tcBorders>
            <w:vAlign w:val="center"/>
          </w:tcPr>
          <w:p>
            <w:pPr>
              <w:jc w:val="center"/>
              <w:rPr>
                <w:bCs/>
                <w:szCs w:val="21"/>
              </w:rPr>
            </w:pPr>
            <w:r>
              <w:rPr>
                <w:bCs/>
                <w:i/>
                <w:szCs w:val="21"/>
              </w:rPr>
              <w:t>SDM</w:t>
            </w:r>
            <w:r>
              <w:rPr>
                <w:bCs/>
                <w:szCs w:val="21"/>
              </w:rPr>
              <w:t>模型的</w:t>
            </w:r>
          </w:p>
          <w:p>
            <w:pPr>
              <w:jc w:val="center"/>
              <w:rPr>
                <w:bCs/>
                <w:szCs w:val="21"/>
              </w:rPr>
            </w:pPr>
            <w:r>
              <w:rPr>
                <w:bCs/>
                <w:szCs w:val="21"/>
              </w:rPr>
              <w:t>弱化检验</w:t>
            </w:r>
          </w:p>
        </w:tc>
        <w:tc>
          <w:tcPr>
            <w:tcW w:w="850" w:type="dxa"/>
            <w:vMerge w:val="restart"/>
            <w:vAlign w:val="center"/>
          </w:tcPr>
          <w:p>
            <w:pPr>
              <w:jc w:val="center"/>
              <w:rPr>
                <w:bCs/>
                <w:i/>
                <w:szCs w:val="21"/>
              </w:rPr>
            </w:pPr>
            <w:r>
              <w:rPr>
                <w:bCs/>
                <w:i/>
                <w:szCs w:val="21"/>
              </w:rPr>
              <w:t>Wald</w:t>
            </w:r>
          </w:p>
        </w:tc>
        <w:tc>
          <w:tcPr>
            <w:tcW w:w="1850" w:type="dxa"/>
            <w:vAlign w:val="center"/>
          </w:tcPr>
          <w:p>
            <w:pPr>
              <w:jc w:val="center"/>
              <w:rPr>
                <w:bCs/>
                <w:i/>
                <w:szCs w:val="21"/>
              </w:rPr>
            </w:pPr>
            <w:r>
              <w:rPr>
                <w:bCs/>
                <w:i/>
                <w:szCs w:val="21"/>
              </w:rPr>
              <w:t>sar nested in sdm</w:t>
            </w:r>
          </w:p>
        </w:tc>
        <w:tc>
          <w:tcPr>
            <w:tcW w:w="2131" w:type="dxa"/>
            <w:vAlign w:val="center"/>
          </w:tcPr>
          <w:p>
            <w:pPr>
              <w:jc w:val="center"/>
              <w:rPr>
                <w:bCs/>
                <w:szCs w:val="21"/>
              </w:rPr>
            </w:pPr>
            <w:r>
              <w:rPr>
                <w:bCs/>
                <w:szCs w:val="21"/>
              </w:rPr>
              <w:t>88.21</w:t>
            </w:r>
          </w:p>
        </w:tc>
        <w:tc>
          <w:tcPr>
            <w:tcW w:w="2131" w:type="dxa"/>
            <w:tcBorders>
              <w:right w:val="nil"/>
            </w:tcBorders>
            <w:vAlign w:val="center"/>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left w:val="nil"/>
            </w:tcBorders>
            <w:vAlign w:val="center"/>
          </w:tcPr>
          <w:p>
            <w:pPr>
              <w:jc w:val="center"/>
              <w:rPr>
                <w:bCs/>
                <w:i/>
                <w:szCs w:val="21"/>
              </w:rPr>
            </w:pPr>
          </w:p>
        </w:tc>
        <w:tc>
          <w:tcPr>
            <w:tcW w:w="850" w:type="dxa"/>
            <w:vMerge w:val="continue"/>
            <w:vAlign w:val="center"/>
          </w:tcPr>
          <w:p>
            <w:pPr>
              <w:jc w:val="center"/>
              <w:rPr>
                <w:bCs/>
                <w:i/>
                <w:szCs w:val="21"/>
              </w:rPr>
            </w:pPr>
          </w:p>
        </w:tc>
        <w:tc>
          <w:tcPr>
            <w:tcW w:w="1850" w:type="dxa"/>
            <w:vAlign w:val="center"/>
          </w:tcPr>
          <w:p>
            <w:pPr>
              <w:jc w:val="center"/>
              <w:rPr>
                <w:bCs/>
                <w:i/>
                <w:szCs w:val="21"/>
              </w:rPr>
            </w:pPr>
            <w:r>
              <w:rPr>
                <w:bCs/>
                <w:i/>
                <w:szCs w:val="21"/>
              </w:rPr>
              <w:t>sem nested in sdm</w:t>
            </w:r>
          </w:p>
        </w:tc>
        <w:tc>
          <w:tcPr>
            <w:tcW w:w="2131" w:type="dxa"/>
            <w:vAlign w:val="center"/>
          </w:tcPr>
          <w:p>
            <w:pPr>
              <w:jc w:val="center"/>
              <w:rPr>
                <w:bCs/>
                <w:szCs w:val="21"/>
              </w:rPr>
            </w:pPr>
            <w:r>
              <w:rPr>
                <w:bCs/>
                <w:szCs w:val="21"/>
              </w:rPr>
              <w:t>110.96</w:t>
            </w:r>
          </w:p>
        </w:tc>
        <w:tc>
          <w:tcPr>
            <w:tcW w:w="2131" w:type="dxa"/>
            <w:tcBorders>
              <w:right w:val="nil"/>
            </w:tcBorders>
            <w:vAlign w:val="center"/>
          </w:tcPr>
          <w:p>
            <w:pPr>
              <w:jc w:val="center"/>
              <w:rPr>
                <w:bCs/>
                <w:szCs w:val="21"/>
              </w:rPr>
            </w:pPr>
            <w:r>
              <w:rPr>
                <w:bCs/>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left w:val="nil"/>
            </w:tcBorders>
            <w:vAlign w:val="center"/>
          </w:tcPr>
          <w:p>
            <w:pPr>
              <w:jc w:val="center"/>
              <w:rPr>
                <w:bCs/>
                <w:szCs w:val="21"/>
              </w:rPr>
            </w:pPr>
          </w:p>
        </w:tc>
        <w:tc>
          <w:tcPr>
            <w:tcW w:w="2700" w:type="dxa"/>
            <w:gridSpan w:val="2"/>
            <w:vAlign w:val="center"/>
          </w:tcPr>
          <w:p>
            <w:pPr>
              <w:jc w:val="center"/>
              <w:rPr>
                <w:bCs/>
                <w:i/>
                <w:szCs w:val="21"/>
              </w:rPr>
            </w:pPr>
            <w:r>
              <w:rPr>
                <w:bCs/>
                <w:i/>
                <w:szCs w:val="21"/>
              </w:rPr>
              <w:t>LR</w:t>
            </w:r>
          </w:p>
        </w:tc>
        <w:tc>
          <w:tcPr>
            <w:tcW w:w="2131" w:type="dxa"/>
            <w:vAlign w:val="center"/>
          </w:tcPr>
          <w:p>
            <w:pPr>
              <w:jc w:val="center"/>
              <w:rPr>
                <w:bCs/>
                <w:szCs w:val="21"/>
              </w:rPr>
            </w:pPr>
            <w:r>
              <w:rPr>
                <w:bCs/>
                <w:szCs w:val="21"/>
              </w:rPr>
              <w:t>111.49</w:t>
            </w:r>
          </w:p>
        </w:tc>
        <w:tc>
          <w:tcPr>
            <w:tcW w:w="2131" w:type="dxa"/>
            <w:tcBorders>
              <w:right w:val="nil"/>
            </w:tcBorders>
            <w:vAlign w:val="center"/>
          </w:tcPr>
          <w:p>
            <w:pPr>
              <w:jc w:val="center"/>
              <w:rPr>
                <w:bCs/>
                <w:szCs w:val="21"/>
              </w:rPr>
            </w:pPr>
            <w:r>
              <w:rPr>
                <w:bCs/>
                <w:szCs w:val="21"/>
              </w:rPr>
              <w:t>0.0000</w:t>
            </w:r>
          </w:p>
        </w:tc>
      </w:tr>
    </w:tbl>
    <w:p>
      <w:pPr>
        <w:spacing w:before="178" w:beforeLines="50"/>
        <w:ind w:firstLine="420" w:firstLineChars="200"/>
        <w:jc w:val="left"/>
      </w:pPr>
      <w:r>
        <w:t>鉴于在空间计量模型的实际应用中，正确设定空间计量模型形式是实证结果真实可靠的前提，因而本文需要先测算没有考虑空间相关性因素的</w:t>
      </w:r>
      <w:r>
        <w:rPr>
          <w:i/>
        </w:rPr>
        <w:t>OLS</w:t>
      </w:r>
      <w:r>
        <w:t>模型，然后根据</w:t>
      </w:r>
      <w:r>
        <w:rPr>
          <w:i/>
        </w:rPr>
        <w:t>LM</w:t>
      </w:r>
      <w:r>
        <w:t>检验来判断模型的空间相关性以及采取何种形式的空间面板计量模型。依据现代经济计量理论，对于空间自回归模型（</w:t>
      </w:r>
      <w:r>
        <w:rPr>
          <w:i/>
        </w:rPr>
        <w:t>SAR</w:t>
      </w:r>
      <w:r>
        <w:t>）和空间误差模型（</w:t>
      </w:r>
      <w:r>
        <w:rPr>
          <w:i/>
        </w:rPr>
        <w:t>SEM</w:t>
      </w:r>
      <w:r>
        <w:t>）的选择主要取决于是否存在滞后效应抑或误差效应。从表3可知，本文关于空间效应检验的估计结果表明：</w:t>
      </w:r>
      <w:r>
        <w:rPr>
          <w:lang w:eastAsia="zh-Hans"/>
        </w:rPr>
        <w:t>（1）</w:t>
      </w:r>
      <w:r>
        <w:rPr>
          <w:i/>
        </w:rPr>
        <w:t>LM-lag</w:t>
      </w:r>
      <w:r>
        <w:t>、</w:t>
      </w:r>
      <w:r>
        <w:rPr>
          <w:i/>
        </w:rPr>
        <w:t>R-LM-lag</w:t>
      </w:r>
      <w:r>
        <w:t>、</w:t>
      </w:r>
      <w:r>
        <w:rPr>
          <w:i/>
        </w:rPr>
        <w:t>LM-err</w:t>
      </w:r>
      <w:r>
        <w:t>、</w:t>
      </w:r>
      <w:r>
        <w:rPr>
          <w:i/>
        </w:rPr>
        <w:t>R-LM-err</w:t>
      </w:r>
      <w:r>
        <w:t>值均在1%的置信水平下通过了检验，即模型的选择既不能忽视滞后效应也不能忽视误差效应，因此选择可以同时度量这两种效应的空间杜宾模型（</w:t>
      </w:r>
      <w:r>
        <w:rPr>
          <w:i/>
        </w:rPr>
        <w:t>SDM</w:t>
      </w:r>
      <w:r>
        <w:t>）；</w:t>
      </w:r>
      <w:r>
        <w:rPr>
          <w:lang w:eastAsia="zh-Hans"/>
        </w:rPr>
        <w:t>（2）</w:t>
      </w:r>
      <w:r>
        <w:t>进行</w:t>
      </w:r>
      <w:r>
        <w:rPr>
          <w:i/>
        </w:rPr>
        <w:t>Hausman</w:t>
      </w:r>
      <w:r>
        <w:t>检验对</w:t>
      </w:r>
      <w:r>
        <w:rPr>
          <w:i/>
        </w:rPr>
        <w:t>SDM</w:t>
      </w:r>
      <w:r>
        <w:t>模型的固定效应和随机效应进行选择，结果显示拒绝使用随机效应的原假设，故选择时空双重固定效应模型；</w:t>
      </w:r>
      <w:r>
        <w:rPr>
          <w:lang w:eastAsia="zh-Hans"/>
        </w:rPr>
        <w:t>（3）</w:t>
      </w:r>
      <w:r>
        <w:t>为保证选择的模型为最优，本文通过</w:t>
      </w:r>
      <w:r>
        <w:rPr>
          <w:i/>
        </w:rPr>
        <w:t>Wald</w:t>
      </w:r>
      <w:r>
        <w:t>检验与</w:t>
      </w:r>
      <w:r>
        <w:rPr>
          <w:i/>
        </w:rPr>
        <w:t>LR</w:t>
      </w:r>
      <w:r>
        <w:t>检验判断空间杜宾模型（</w:t>
      </w:r>
      <w:r>
        <w:rPr>
          <w:i/>
        </w:rPr>
        <w:t>SDM</w:t>
      </w:r>
      <w:r>
        <w:t>）是否可以简化成</w:t>
      </w:r>
      <w:r>
        <w:rPr>
          <w:i/>
        </w:rPr>
        <w:t>SAR</w:t>
      </w:r>
      <w:r>
        <w:t>模型和</w:t>
      </w:r>
      <w:r>
        <w:rPr>
          <w:i/>
        </w:rPr>
        <w:t>SEM</w:t>
      </w:r>
      <w:r>
        <w:t>模型，检验结果表明拒绝原假设，即空间杜宾模型（</w:t>
      </w:r>
      <w:r>
        <w:rPr>
          <w:i/>
        </w:rPr>
        <w:t>SDM</w:t>
      </w:r>
      <w:r>
        <w:t>）不可简化。因此，本文最终选择包含时空双重固定效应的空间杜宾模型（</w:t>
      </w:r>
      <w:r>
        <w:rPr>
          <w:i/>
        </w:rPr>
        <w:t>SDM</w:t>
      </w:r>
      <w:r>
        <w:t>）进行实证估计，同时为比较和保证各参数估计结果的稳健性，本文还分别汇报了包含时空双重固定效应的OLS、SYS-GMM、SAR、SEM的估计结果，具体估计结果如表4所示。</w:t>
      </w:r>
    </w:p>
    <w:p>
      <w:pPr>
        <w:spacing w:before="178" w:beforeLines="50"/>
        <w:jc w:val="center"/>
        <w:rPr>
          <w:rFonts w:eastAsia="楷体"/>
          <w:szCs w:val="21"/>
        </w:rPr>
      </w:pPr>
      <w:r>
        <w:rPr>
          <w:rFonts w:eastAsia="楷体"/>
          <w:szCs w:val="21"/>
        </w:rPr>
        <w:t>表4  地方政府税收竞争对经济发展不平衡影响的基准回归结果</w:t>
      </w:r>
    </w:p>
    <w:tbl>
      <w:tblPr>
        <w:tblStyle w:val="14"/>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1536"/>
        <w:gridCol w:w="1538"/>
        <w:gridCol w:w="1425"/>
        <w:gridCol w:w="1425"/>
        <w:gridCol w:w="14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029" w:type="pct"/>
            <w:vMerge w:val="restart"/>
            <w:vAlign w:val="center"/>
          </w:tcPr>
          <w:p>
            <w:pPr>
              <w:jc w:val="center"/>
              <w:rPr>
                <w:szCs w:val="21"/>
              </w:rPr>
            </w:pPr>
            <w:r>
              <w:rPr>
                <w:szCs w:val="21"/>
              </w:rPr>
              <w:t>变量</w:t>
            </w:r>
          </w:p>
        </w:tc>
        <w:tc>
          <w:tcPr>
            <w:tcW w:w="831" w:type="pct"/>
            <w:vAlign w:val="center"/>
          </w:tcPr>
          <w:p>
            <w:pPr>
              <w:jc w:val="center"/>
              <w:rPr>
                <w:kern w:val="0"/>
                <w:szCs w:val="21"/>
              </w:rPr>
            </w:pPr>
            <w:r>
              <w:rPr>
                <w:kern w:val="0"/>
                <w:szCs w:val="21"/>
              </w:rPr>
              <w:t>(1)</w:t>
            </w:r>
          </w:p>
        </w:tc>
        <w:tc>
          <w:tcPr>
            <w:tcW w:w="832" w:type="pct"/>
            <w:vAlign w:val="center"/>
          </w:tcPr>
          <w:p>
            <w:pPr>
              <w:jc w:val="center"/>
              <w:rPr>
                <w:kern w:val="0"/>
                <w:szCs w:val="21"/>
              </w:rPr>
            </w:pPr>
            <w:r>
              <w:rPr>
                <w:kern w:val="0"/>
                <w:szCs w:val="21"/>
              </w:rPr>
              <w:t>(2)</w:t>
            </w:r>
          </w:p>
        </w:tc>
        <w:tc>
          <w:tcPr>
            <w:tcW w:w="771" w:type="pct"/>
            <w:vAlign w:val="center"/>
          </w:tcPr>
          <w:p>
            <w:pPr>
              <w:jc w:val="center"/>
              <w:rPr>
                <w:kern w:val="0"/>
                <w:szCs w:val="21"/>
              </w:rPr>
            </w:pPr>
            <w:r>
              <w:rPr>
                <w:kern w:val="0"/>
                <w:szCs w:val="21"/>
              </w:rPr>
              <w:t>(3)</w:t>
            </w:r>
          </w:p>
        </w:tc>
        <w:tc>
          <w:tcPr>
            <w:tcW w:w="771" w:type="pct"/>
            <w:vAlign w:val="center"/>
          </w:tcPr>
          <w:p>
            <w:pPr>
              <w:jc w:val="center"/>
              <w:rPr>
                <w:kern w:val="0"/>
                <w:szCs w:val="21"/>
              </w:rPr>
            </w:pPr>
            <w:r>
              <w:rPr>
                <w:kern w:val="0"/>
                <w:szCs w:val="21"/>
              </w:rPr>
              <w:t>(4)</w:t>
            </w:r>
          </w:p>
        </w:tc>
        <w:tc>
          <w:tcPr>
            <w:tcW w:w="766" w:type="pct"/>
            <w:vAlign w:val="center"/>
          </w:tcPr>
          <w:p>
            <w:pPr>
              <w:jc w:val="center"/>
              <w:rPr>
                <w:kern w:val="0"/>
                <w:szCs w:val="21"/>
              </w:rPr>
            </w:pPr>
            <w:r>
              <w:rPr>
                <w:kern w:val="0"/>
                <w:szCs w:val="21"/>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029" w:type="pct"/>
            <w:vMerge w:val="continue"/>
            <w:vAlign w:val="center"/>
          </w:tcPr>
          <w:p>
            <w:pPr>
              <w:jc w:val="center"/>
              <w:rPr>
                <w:i/>
                <w:iCs/>
                <w:szCs w:val="21"/>
              </w:rPr>
            </w:pPr>
          </w:p>
        </w:tc>
        <w:tc>
          <w:tcPr>
            <w:tcW w:w="831" w:type="pct"/>
            <w:vAlign w:val="center"/>
          </w:tcPr>
          <w:p>
            <w:pPr>
              <w:jc w:val="center"/>
              <w:rPr>
                <w:kern w:val="0"/>
                <w:szCs w:val="21"/>
              </w:rPr>
            </w:pPr>
            <w:r>
              <w:rPr>
                <w:kern w:val="0"/>
                <w:szCs w:val="21"/>
              </w:rPr>
              <w:t>OLS</w:t>
            </w:r>
          </w:p>
        </w:tc>
        <w:tc>
          <w:tcPr>
            <w:tcW w:w="832" w:type="pct"/>
            <w:vAlign w:val="center"/>
          </w:tcPr>
          <w:p>
            <w:pPr>
              <w:jc w:val="center"/>
              <w:rPr>
                <w:kern w:val="0"/>
                <w:szCs w:val="21"/>
              </w:rPr>
            </w:pPr>
            <w:r>
              <w:rPr>
                <w:kern w:val="0"/>
                <w:szCs w:val="21"/>
              </w:rPr>
              <w:t>SYS-GMM</w:t>
            </w:r>
          </w:p>
        </w:tc>
        <w:tc>
          <w:tcPr>
            <w:tcW w:w="771" w:type="pct"/>
            <w:vAlign w:val="center"/>
          </w:tcPr>
          <w:p>
            <w:pPr>
              <w:jc w:val="center"/>
              <w:rPr>
                <w:kern w:val="0"/>
                <w:szCs w:val="21"/>
              </w:rPr>
            </w:pPr>
            <w:r>
              <w:rPr>
                <w:kern w:val="0"/>
                <w:szCs w:val="21"/>
              </w:rPr>
              <w:t>SAR</w:t>
            </w:r>
          </w:p>
        </w:tc>
        <w:tc>
          <w:tcPr>
            <w:tcW w:w="771" w:type="pct"/>
            <w:vAlign w:val="center"/>
          </w:tcPr>
          <w:p>
            <w:pPr>
              <w:jc w:val="center"/>
              <w:rPr>
                <w:kern w:val="0"/>
                <w:szCs w:val="21"/>
              </w:rPr>
            </w:pPr>
            <w:r>
              <w:rPr>
                <w:kern w:val="0"/>
                <w:szCs w:val="21"/>
              </w:rPr>
              <w:t>SEM</w:t>
            </w:r>
          </w:p>
        </w:tc>
        <w:tc>
          <w:tcPr>
            <w:tcW w:w="766" w:type="pct"/>
            <w:vAlign w:val="center"/>
          </w:tcPr>
          <w:p>
            <w:pPr>
              <w:jc w:val="center"/>
              <w:rPr>
                <w:kern w:val="0"/>
                <w:szCs w:val="21"/>
              </w:rPr>
            </w:pPr>
            <w:r>
              <w:rPr>
                <w:kern w:val="0"/>
                <w:szCs w:val="21"/>
              </w:rPr>
              <w:t>SDM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L.gini</w:t>
            </w:r>
          </w:p>
        </w:tc>
        <w:tc>
          <w:tcPr>
            <w:tcW w:w="831" w:type="pct"/>
            <w:vAlign w:val="center"/>
          </w:tcPr>
          <w:p>
            <w:pPr>
              <w:jc w:val="center"/>
              <w:rPr>
                <w:kern w:val="0"/>
                <w:szCs w:val="21"/>
              </w:rPr>
            </w:pPr>
          </w:p>
        </w:tc>
        <w:tc>
          <w:tcPr>
            <w:tcW w:w="832" w:type="pct"/>
            <w:vAlign w:val="center"/>
          </w:tcPr>
          <w:p>
            <w:pPr>
              <w:jc w:val="center"/>
              <w:rPr>
                <w:kern w:val="0"/>
                <w:szCs w:val="21"/>
              </w:rPr>
            </w:pPr>
            <w:r>
              <w:rPr>
                <w:kern w:val="0"/>
                <w:szCs w:val="21"/>
              </w:rPr>
              <w:t>0.4731</w:t>
            </w:r>
            <w:r>
              <w:rPr>
                <w:kern w:val="0"/>
                <w:szCs w:val="21"/>
                <w:vertAlign w:val="superscript"/>
              </w:rPr>
              <w:t>***</w:t>
            </w:r>
          </w:p>
          <w:p>
            <w:pPr>
              <w:jc w:val="center"/>
              <w:rPr>
                <w:kern w:val="0"/>
                <w:szCs w:val="21"/>
              </w:rPr>
            </w:pPr>
            <w:r>
              <w:rPr>
                <w:kern w:val="0"/>
                <w:szCs w:val="21"/>
              </w:rPr>
              <w:t>(0.0127)</w:t>
            </w:r>
          </w:p>
        </w:tc>
        <w:tc>
          <w:tcPr>
            <w:tcW w:w="771" w:type="pct"/>
            <w:vAlign w:val="center"/>
          </w:tcPr>
          <w:p>
            <w:pPr>
              <w:jc w:val="center"/>
              <w:rPr>
                <w:szCs w:val="21"/>
              </w:rPr>
            </w:pPr>
          </w:p>
        </w:tc>
        <w:tc>
          <w:tcPr>
            <w:tcW w:w="771" w:type="pct"/>
            <w:vAlign w:val="center"/>
          </w:tcPr>
          <w:p>
            <w:pPr>
              <w:jc w:val="center"/>
              <w:rPr>
                <w:szCs w:val="21"/>
              </w:rPr>
            </w:pPr>
          </w:p>
        </w:tc>
        <w:tc>
          <w:tcPr>
            <w:tcW w:w="766" w:type="pct"/>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Taxcom</w:t>
            </w:r>
          </w:p>
        </w:tc>
        <w:tc>
          <w:tcPr>
            <w:tcW w:w="831" w:type="pct"/>
            <w:vAlign w:val="center"/>
          </w:tcPr>
          <w:p>
            <w:pPr>
              <w:jc w:val="center"/>
              <w:rPr>
                <w:kern w:val="0"/>
                <w:szCs w:val="21"/>
              </w:rPr>
            </w:pPr>
            <w:r>
              <w:rPr>
                <w:kern w:val="0"/>
                <w:szCs w:val="21"/>
              </w:rPr>
              <w:t>0.3612</w:t>
            </w:r>
            <w:r>
              <w:rPr>
                <w:kern w:val="0"/>
                <w:szCs w:val="21"/>
                <w:vertAlign w:val="superscript"/>
              </w:rPr>
              <w:t>**</w:t>
            </w:r>
          </w:p>
          <w:p>
            <w:pPr>
              <w:jc w:val="center"/>
              <w:rPr>
                <w:kern w:val="0"/>
                <w:szCs w:val="21"/>
              </w:rPr>
            </w:pPr>
            <w:r>
              <w:rPr>
                <w:kern w:val="0"/>
                <w:szCs w:val="21"/>
              </w:rPr>
              <w:t>(0.1465)</w:t>
            </w:r>
          </w:p>
        </w:tc>
        <w:tc>
          <w:tcPr>
            <w:tcW w:w="832" w:type="pct"/>
            <w:vAlign w:val="center"/>
          </w:tcPr>
          <w:p>
            <w:pPr>
              <w:jc w:val="center"/>
              <w:rPr>
                <w:kern w:val="0"/>
                <w:szCs w:val="21"/>
              </w:rPr>
            </w:pPr>
            <w:r>
              <w:rPr>
                <w:kern w:val="0"/>
                <w:szCs w:val="21"/>
              </w:rPr>
              <w:t>2.5676</w:t>
            </w:r>
            <w:r>
              <w:rPr>
                <w:kern w:val="0"/>
                <w:szCs w:val="21"/>
                <w:vertAlign w:val="superscript"/>
              </w:rPr>
              <w:t>***</w:t>
            </w:r>
          </w:p>
          <w:p>
            <w:pPr>
              <w:jc w:val="center"/>
              <w:rPr>
                <w:kern w:val="0"/>
                <w:szCs w:val="21"/>
              </w:rPr>
            </w:pPr>
            <w:r>
              <w:rPr>
                <w:kern w:val="0"/>
                <w:szCs w:val="21"/>
              </w:rPr>
              <w:t>(0.3469)</w:t>
            </w:r>
          </w:p>
        </w:tc>
        <w:tc>
          <w:tcPr>
            <w:tcW w:w="771" w:type="pct"/>
            <w:vAlign w:val="center"/>
          </w:tcPr>
          <w:p>
            <w:pPr>
              <w:jc w:val="center"/>
              <w:rPr>
                <w:szCs w:val="21"/>
              </w:rPr>
            </w:pPr>
            <w:r>
              <w:rPr>
                <w:kern w:val="0"/>
                <w:szCs w:val="21"/>
              </w:rPr>
              <w:t>0.3008</w:t>
            </w:r>
            <w:r>
              <w:rPr>
                <w:kern w:val="0"/>
                <w:szCs w:val="21"/>
                <w:vertAlign w:val="superscript"/>
              </w:rPr>
              <w:t>***</w:t>
            </w:r>
          </w:p>
          <w:p>
            <w:pPr>
              <w:jc w:val="center"/>
              <w:rPr>
                <w:szCs w:val="21"/>
              </w:rPr>
            </w:pPr>
            <w:r>
              <w:rPr>
                <w:kern w:val="0"/>
                <w:szCs w:val="21"/>
              </w:rPr>
              <w:t>(0.0866)</w:t>
            </w:r>
          </w:p>
        </w:tc>
        <w:tc>
          <w:tcPr>
            <w:tcW w:w="771" w:type="pct"/>
            <w:vAlign w:val="center"/>
          </w:tcPr>
          <w:p>
            <w:pPr>
              <w:jc w:val="center"/>
              <w:rPr>
                <w:szCs w:val="21"/>
              </w:rPr>
            </w:pPr>
            <w:r>
              <w:rPr>
                <w:kern w:val="0"/>
                <w:szCs w:val="21"/>
              </w:rPr>
              <w:t>0.2923</w:t>
            </w:r>
            <w:r>
              <w:rPr>
                <w:kern w:val="0"/>
                <w:szCs w:val="21"/>
                <w:vertAlign w:val="superscript"/>
              </w:rPr>
              <w:t>***</w:t>
            </w:r>
          </w:p>
          <w:p>
            <w:pPr>
              <w:jc w:val="center"/>
              <w:rPr>
                <w:szCs w:val="21"/>
              </w:rPr>
            </w:pPr>
            <w:r>
              <w:rPr>
                <w:kern w:val="0"/>
                <w:szCs w:val="21"/>
              </w:rPr>
              <w:t>(0.0884)</w:t>
            </w:r>
          </w:p>
        </w:tc>
        <w:tc>
          <w:tcPr>
            <w:tcW w:w="766" w:type="pct"/>
            <w:vAlign w:val="center"/>
          </w:tcPr>
          <w:p>
            <w:pPr>
              <w:jc w:val="center"/>
              <w:rPr>
                <w:szCs w:val="21"/>
              </w:rPr>
            </w:pPr>
            <w:r>
              <w:rPr>
                <w:kern w:val="0"/>
                <w:szCs w:val="21"/>
              </w:rPr>
              <w:t>0.2339</w:t>
            </w:r>
            <w:r>
              <w:rPr>
                <w:kern w:val="0"/>
                <w:szCs w:val="21"/>
                <w:vertAlign w:val="superscript"/>
              </w:rPr>
              <w:t>***</w:t>
            </w:r>
          </w:p>
          <w:p>
            <w:pPr>
              <w:jc w:val="center"/>
              <w:rPr>
                <w:szCs w:val="21"/>
              </w:rPr>
            </w:pPr>
            <w:r>
              <w:rPr>
                <w:kern w:val="0"/>
                <w:szCs w:val="21"/>
              </w:rPr>
              <w:t>(0.0886)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GDP</w:t>
            </w:r>
          </w:p>
        </w:tc>
        <w:tc>
          <w:tcPr>
            <w:tcW w:w="831" w:type="pct"/>
            <w:vAlign w:val="center"/>
          </w:tcPr>
          <w:p>
            <w:pPr>
              <w:jc w:val="center"/>
              <w:rPr>
                <w:kern w:val="0"/>
                <w:szCs w:val="21"/>
              </w:rPr>
            </w:pPr>
            <w:r>
              <w:rPr>
                <w:kern w:val="0"/>
                <w:szCs w:val="21"/>
              </w:rPr>
              <w:t>-0.0012</w:t>
            </w:r>
            <w:r>
              <w:rPr>
                <w:kern w:val="0"/>
                <w:szCs w:val="21"/>
                <w:vertAlign w:val="superscript"/>
              </w:rPr>
              <w:t>*</w:t>
            </w:r>
          </w:p>
          <w:p>
            <w:pPr>
              <w:jc w:val="center"/>
              <w:rPr>
                <w:kern w:val="0"/>
                <w:szCs w:val="21"/>
              </w:rPr>
            </w:pPr>
            <w:r>
              <w:rPr>
                <w:kern w:val="0"/>
                <w:szCs w:val="21"/>
              </w:rPr>
              <w:t>(0.0006)</w:t>
            </w:r>
          </w:p>
        </w:tc>
        <w:tc>
          <w:tcPr>
            <w:tcW w:w="832" w:type="pct"/>
            <w:vAlign w:val="center"/>
          </w:tcPr>
          <w:p>
            <w:pPr>
              <w:jc w:val="center"/>
              <w:rPr>
                <w:kern w:val="0"/>
                <w:szCs w:val="21"/>
              </w:rPr>
            </w:pPr>
            <w:r>
              <w:rPr>
                <w:kern w:val="0"/>
                <w:szCs w:val="21"/>
              </w:rPr>
              <w:t>0.0036</w:t>
            </w:r>
            <w:r>
              <w:rPr>
                <w:kern w:val="0"/>
                <w:szCs w:val="21"/>
                <w:vertAlign w:val="superscript"/>
              </w:rPr>
              <w:t>***</w:t>
            </w:r>
          </w:p>
          <w:p>
            <w:pPr>
              <w:jc w:val="center"/>
              <w:rPr>
                <w:kern w:val="0"/>
                <w:szCs w:val="21"/>
              </w:rPr>
            </w:pPr>
            <w:r>
              <w:rPr>
                <w:kern w:val="0"/>
                <w:szCs w:val="21"/>
              </w:rPr>
              <w:t>(0.0005)</w:t>
            </w:r>
          </w:p>
        </w:tc>
        <w:tc>
          <w:tcPr>
            <w:tcW w:w="771" w:type="pct"/>
            <w:vAlign w:val="center"/>
          </w:tcPr>
          <w:p>
            <w:pPr>
              <w:jc w:val="center"/>
              <w:rPr>
                <w:szCs w:val="21"/>
              </w:rPr>
            </w:pPr>
            <w:r>
              <w:rPr>
                <w:kern w:val="0"/>
                <w:szCs w:val="21"/>
              </w:rPr>
              <w:t>-0.0010</w:t>
            </w:r>
            <w:r>
              <w:rPr>
                <w:kern w:val="0"/>
                <w:szCs w:val="21"/>
                <w:vertAlign w:val="superscript"/>
              </w:rPr>
              <w:t>***</w:t>
            </w:r>
          </w:p>
          <w:p>
            <w:pPr>
              <w:jc w:val="center"/>
              <w:rPr>
                <w:szCs w:val="21"/>
              </w:rPr>
            </w:pPr>
            <w:r>
              <w:rPr>
                <w:kern w:val="0"/>
                <w:szCs w:val="21"/>
              </w:rPr>
              <w:t>(0.0004)</w:t>
            </w:r>
          </w:p>
        </w:tc>
        <w:tc>
          <w:tcPr>
            <w:tcW w:w="771" w:type="pct"/>
            <w:vAlign w:val="center"/>
          </w:tcPr>
          <w:p>
            <w:pPr>
              <w:jc w:val="center"/>
              <w:rPr>
                <w:szCs w:val="21"/>
              </w:rPr>
            </w:pPr>
            <w:r>
              <w:rPr>
                <w:kern w:val="0"/>
                <w:szCs w:val="21"/>
              </w:rPr>
              <w:t>-0.0010</w:t>
            </w:r>
            <w:r>
              <w:rPr>
                <w:kern w:val="0"/>
                <w:szCs w:val="21"/>
                <w:vertAlign w:val="superscript"/>
              </w:rPr>
              <w:t>**</w:t>
            </w:r>
          </w:p>
          <w:p>
            <w:pPr>
              <w:jc w:val="center"/>
              <w:rPr>
                <w:szCs w:val="21"/>
              </w:rPr>
            </w:pPr>
            <w:r>
              <w:rPr>
                <w:kern w:val="0"/>
                <w:szCs w:val="21"/>
              </w:rPr>
              <w:t>(0.0004)</w:t>
            </w:r>
          </w:p>
        </w:tc>
        <w:tc>
          <w:tcPr>
            <w:tcW w:w="766" w:type="pct"/>
            <w:vAlign w:val="center"/>
          </w:tcPr>
          <w:p>
            <w:pPr>
              <w:jc w:val="center"/>
              <w:rPr>
                <w:szCs w:val="21"/>
              </w:rPr>
            </w:pPr>
            <w:r>
              <w:rPr>
                <w:kern w:val="0"/>
                <w:szCs w:val="21"/>
              </w:rPr>
              <w:t>-0.0008</w:t>
            </w:r>
            <w:r>
              <w:rPr>
                <w:kern w:val="0"/>
                <w:szCs w:val="21"/>
                <w:vertAlign w:val="superscript"/>
              </w:rPr>
              <w:t>**</w:t>
            </w:r>
          </w:p>
          <w:p>
            <w:pPr>
              <w:jc w:val="center"/>
              <w:rPr>
                <w:szCs w:val="21"/>
              </w:rPr>
            </w:pPr>
            <w:r>
              <w:rPr>
                <w:kern w:val="0"/>
                <w:szCs w:val="21"/>
              </w:rPr>
              <w:t>(0.0004)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industry</w:t>
            </w:r>
          </w:p>
        </w:tc>
        <w:tc>
          <w:tcPr>
            <w:tcW w:w="831" w:type="pct"/>
            <w:vAlign w:val="center"/>
          </w:tcPr>
          <w:p>
            <w:pPr>
              <w:jc w:val="center"/>
              <w:rPr>
                <w:kern w:val="0"/>
                <w:szCs w:val="21"/>
              </w:rPr>
            </w:pPr>
            <w:r>
              <w:rPr>
                <w:kern w:val="0"/>
                <w:szCs w:val="21"/>
              </w:rPr>
              <w:t>-0.3783</w:t>
            </w:r>
            <w:r>
              <w:rPr>
                <w:kern w:val="0"/>
                <w:szCs w:val="21"/>
                <w:vertAlign w:val="superscript"/>
              </w:rPr>
              <w:t>***</w:t>
            </w:r>
          </w:p>
          <w:p>
            <w:pPr>
              <w:jc w:val="center"/>
              <w:rPr>
                <w:kern w:val="0"/>
                <w:szCs w:val="21"/>
              </w:rPr>
            </w:pPr>
            <w:r>
              <w:rPr>
                <w:kern w:val="0"/>
                <w:szCs w:val="21"/>
              </w:rPr>
              <w:t>(0.0856)</w:t>
            </w:r>
          </w:p>
        </w:tc>
        <w:tc>
          <w:tcPr>
            <w:tcW w:w="832" w:type="pct"/>
            <w:vAlign w:val="center"/>
          </w:tcPr>
          <w:p>
            <w:pPr>
              <w:jc w:val="center"/>
              <w:rPr>
                <w:kern w:val="0"/>
                <w:szCs w:val="21"/>
              </w:rPr>
            </w:pPr>
            <w:r>
              <w:rPr>
                <w:kern w:val="0"/>
                <w:szCs w:val="21"/>
              </w:rPr>
              <w:t>-1.2075</w:t>
            </w:r>
            <w:r>
              <w:rPr>
                <w:kern w:val="0"/>
                <w:szCs w:val="21"/>
                <w:vertAlign w:val="superscript"/>
              </w:rPr>
              <w:t>***</w:t>
            </w:r>
          </w:p>
          <w:p>
            <w:pPr>
              <w:jc w:val="center"/>
              <w:rPr>
                <w:kern w:val="0"/>
                <w:szCs w:val="21"/>
              </w:rPr>
            </w:pPr>
            <w:r>
              <w:rPr>
                <w:kern w:val="0"/>
                <w:szCs w:val="21"/>
              </w:rPr>
              <w:t>(0.1077)</w:t>
            </w:r>
          </w:p>
        </w:tc>
        <w:tc>
          <w:tcPr>
            <w:tcW w:w="771" w:type="pct"/>
            <w:vAlign w:val="center"/>
          </w:tcPr>
          <w:p>
            <w:pPr>
              <w:jc w:val="center"/>
              <w:rPr>
                <w:szCs w:val="21"/>
              </w:rPr>
            </w:pPr>
            <w:r>
              <w:rPr>
                <w:kern w:val="0"/>
                <w:szCs w:val="21"/>
              </w:rPr>
              <w:t>-0.3401</w:t>
            </w:r>
            <w:r>
              <w:rPr>
                <w:kern w:val="0"/>
                <w:szCs w:val="21"/>
                <w:vertAlign w:val="superscript"/>
              </w:rPr>
              <w:t>***</w:t>
            </w:r>
          </w:p>
          <w:p>
            <w:pPr>
              <w:jc w:val="center"/>
              <w:rPr>
                <w:szCs w:val="21"/>
              </w:rPr>
            </w:pPr>
            <w:r>
              <w:rPr>
                <w:kern w:val="0"/>
                <w:szCs w:val="21"/>
              </w:rPr>
              <w:t>(0.0438)</w:t>
            </w:r>
          </w:p>
        </w:tc>
        <w:tc>
          <w:tcPr>
            <w:tcW w:w="771" w:type="pct"/>
            <w:vAlign w:val="center"/>
          </w:tcPr>
          <w:p>
            <w:pPr>
              <w:jc w:val="center"/>
              <w:rPr>
                <w:szCs w:val="21"/>
              </w:rPr>
            </w:pPr>
            <w:r>
              <w:rPr>
                <w:kern w:val="0"/>
                <w:szCs w:val="21"/>
              </w:rPr>
              <w:t>-0.3467</w:t>
            </w:r>
            <w:r>
              <w:rPr>
                <w:kern w:val="0"/>
                <w:szCs w:val="21"/>
                <w:vertAlign w:val="superscript"/>
              </w:rPr>
              <w:t>***</w:t>
            </w:r>
          </w:p>
          <w:p>
            <w:pPr>
              <w:jc w:val="center"/>
              <w:rPr>
                <w:szCs w:val="21"/>
              </w:rPr>
            </w:pPr>
            <w:r>
              <w:rPr>
                <w:kern w:val="0"/>
                <w:szCs w:val="21"/>
              </w:rPr>
              <w:t>(0.0445)</w:t>
            </w:r>
          </w:p>
        </w:tc>
        <w:tc>
          <w:tcPr>
            <w:tcW w:w="766" w:type="pct"/>
            <w:vAlign w:val="center"/>
          </w:tcPr>
          <w:p>
            <w:pPr>
              <w:jc w:val="center"/>
              <w:rPr>
                <w:szCs w:val="21"/>
              </w:rPr>
            </w:pPr>
            <w:r>
              <w:rPr>
                <w:kern w:val="0"/>
                <w:szCs w:val="21"/>
              </w:rPr>
              <w:t>-0.3375</w:t>
            </w:r>
            <w:r>
              <w:rPr>
                <w:kern w:val="0"/>
                <w:szCs w:val="21"/>
                <w:vertAlign w:val="superscript"/>
              </w:rPr>
              <w:t>***</w:t>
            </w:r>
          </w:p>
          <w:p>
            <w:pPr>
              <w:jc w:val="center"/>
              <w:rPr>
                <w:szCs w:val="21"/>
              </w:rPr>
            </w:pPr>
            <w:r>
              <w:rPr>
                <w:kern w:val="0"/>
                <w:szCs w:val="21"/>
              </w:rPr>
              <w:t>(0.0450)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market</w:t>
            </w:r>
          </w:p>
        </w:tc>
        <w:tc>
          <w:tcPr>
            <w:tcW w:w="831" w:type="pct"/>
            <w:vAlign w:val="center"/>
          </w:tcPr>
          <w:p>
            <w:pPr>
              <w:jc w:val="center"/>
              <w:rPr>
                <w:kern w:val="0"/>
                <w:szCs w:val="21"/>
              </w:rPr>
            </w:pPr>
            <w:r>
              <w:rPr>
                <w:kern w:val="0"/>
                <w:szCs w:val="21"/>
              </w:rPr>
              <w:t>-0.0003</w:t>
            </w:r>
          </w:p>
          <w:p>
            <w:pPr>
              <w:jc w:val="center"/>
              <w:rPr>
                <w:kern w:val="0"/>
                <w:szCs w:val="21"/>
              </w:rPr>
            </w:pPr>
            <w:r>
              <w:rPr>
                <w:kern w:val="0"/>
                <w:szCs w:val="21"/>
              </w:rPr>
              <w:t>(0.0041)</w:t>
            </w:r>
          </w:p>
        </w:tc>
        <w:tc>
          <w:tcPr>
            <w:tcW w:w="832" w:type="pct"/>
            <w:vAlign w:val="center"/>
          </w:tcPr>
          <w:p>
            <w:pPr>
              <w:jc w:val="center"/>
              <w:rPr>
                <w:kern w:val="0"/>
                <w:szCs w:val="21"/>
              </w:rPr>
            </w:pPr>
            <w:r>
              <w:rPr>
                <w:kern w:val="0"/>
                <w:szCs w:val="21"/>
              </w:rPr>
              <w:t>-0.0296</w:t>
            </w:r>
            <w:r>
              <w:rPr>
                <w:kern w:val="0"/>
                <w:szCs w:val="21"/>
                <w:vertAlign w:val="superscript"/>
              </w:rPr>
              <w:t>***</w:t>
            </w:r>
          </w:p>
          <w:p>
            <w:pPr>
              <w:jc w:val="center"/>
              <w:rPr>
                <w:kern w:val="0"/>
                <w:szCs w:val="21"/>
              </w:rPr>
            </w:pPr>
            <w:r>
              <w:rPr>
                <w:kern w:val="0"/>
                <w:szCs w:val="21"/>
              </w:rPr>
              <w:t>(0.0054)</w:t>
            </w:r>
          </w:p>
        </w:tc>
        <w:tc>
          <w:tcPr>
            <w:tcW w:w="771" w:type="pct"/>
            <w:vAlign w:val="center"/>
          </w:tcPr>
          <w:p>
            <w:pPr>
              <w:jc w:val="center"/>
              <w:rPr>
                <w:szCs w:val="21"/>
              </w:rPr>
            </w:pPr>
            <w:r>
              <w:rPr>
                <w:kern w:val="0"/>
                <w:szCs w:val="21"/>
              </w:rPr>
              <w:t>-0.0011</w:t>
            </w:r>
          </w:p>
          <w:p>
            <w:pPr>
              <w:jc w:val="center"/>
              <w:rPr>
                <w:szCs w:val="21"/>
              </w:rPr>
            </w:pPr>
            <w:r>
              <w:rPr>
                <w:kern w:val="0"/>
                <w:szCs w:val="21"/>
              </w:rPr>
              <w:t>(0.0023)</w:t>
            </w:r>
          </w:p>
        </w:tc>
        <w:tc>
          <w:tcPr>
            <w:tcW w:w="771" w:type="pct"/>
            <w:vAlign w:val="center"/>
          </w:tcPr>
          <w:p>
            <w:pPr>
              <w:jc w:val="center"/>
              <w:rPr>
                <w:szCs w:val="21"/>
              </w:rPr>
            </w:pPr>
            <w:r>
              <w:rPr>
                <w:kern w:val="0"/>
                <w:szCs w:val="21"/>
              </w:rPr>
              <w:t>-0.0015</w:t>
            </w:r>
          </w:p>
          <w:p>
            <w:pPr>
              <w:jc w:val="center"/>
              <w:rPr>
                <w:szCs w:val="21"/>
              </w:rPr>
            </w:pPr>
            <w:r>
              <w:rPr>
                <w:kern w:val="0"/>
                <w:szCs w:val="21"/>
              </w:rPr>
              <w:t>(0.0023)</w:t>
            </w:r>
          </w:p>
        </w:tc>
        <w:tc>
          <w:tcPr>
            <w:tcW w:w="766" w:type="pct"/>
            <w:vAlign w:val="center"/>
          </w:tcPr>
          <w:p>
            <w:pPr>
              <w:jc w:val="center"/>
              <w:rPr>
                <w:szCs w:val="21"/>
              </w:rPr>
            </w:pPr>
            <w:r>
              <w:rPr>
                <w:kern w:val="0"/>
                <w:szCs w:val="21"/>
              </w:rPr>
              <w:t>-0.0015</w:t>
            </w:r>
          </w:p>
          <w:p>
            <w:pPr>
              <w:jc w:val="center"/>
              <w:rPr>
                <w:szCs w:val="21"/>
              </w:rPr>
            </w:pPr>
            <w:r>
              <w:rPr>
                <w:kern w:val="0"/>
                <w:szCs w:val="21"/>
              </w:rPr>
              <w:t>(0.0023)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finance</w:t>
            </w:r>
          </w:p>
        </w:tc>
        <w:tc>
          <w:tcPr>
            <w:tcW w:w="831" w:type="pct"/>
            <w:vAlign w:val="center"/>
          </w:tcPr>
          <w:p>
            <w:pPr>
              <w:jc w:val="center"/>
              <w:rPr>
                <w:kern w:val="0"/>
                <w:szCs w:val="21"/>
              </w:rPr>
            </w:pPr>
            <w:r>
              <w:rPr>
                <w:kern w:val="0"/>
                <w:szCs w:val="21"/>
              </w:rPr>
              <w:t>-0.0015</w:t>
            </w:r>
          </w:p>
          <w:p>
            <w:pPr>
              <w:jc w:val="center"/>
              <w:rPr>
                <w:kern w:val="0"/>
                <w:szCs w:val="21"/>
              </w:rPr>
            </w:pPr>
            <w:r>
              <w:rPr>
                <w:kern w:val="0"/>
                <w:szCs w:val="21"/>
              </w:rPr>
              <w:t>(0.0062)</w:t>
            </w:r>
          </w:p>
        </w:tc>
        <w:tc>
          <w:tcPr>
            <w:tcW w:w="832" w:type="pct"/>
            <w:vAlign w:val="center"/>
          </w:tcPr>
          <w:p>
            <w:pPr>
              <w:jc w:val="center"/>
              <w:rPr>
                <w:kern w:val="0"/>
                <w:szCs w:val="21"/>
              </w:rPr>
            </w:pPr>
            <w:r>
              <w:rPr>
                <w:kern w:val="0"/>
                <w:szCs w:val="21"/>
              </w:rPr>
              <w:t>-0.0509</w:t>
            </w:r>
            <w:r>
              <w:rPr>
                <w:kern w:val="0"/>
                <w:szCs w:val="21"/>
                <w:vertAlign w:val="superscript"/>
              </w:rPr>
              <w:t>***</w:t>
            </w:r>
          </w:p>
          <w:p>
            <w:pPr>
              <w:jc w:val="center"/>
              <w:rPr>
                <w:kern w:val="0"/>
                <w:szCs w:val="21"/>
              </w:rPr>
            </w:pPr>
            <w:r>
              <w:rPr>
                <w:kern w:val="0"/>
                <w:szCs w:val="21"/>
              </w:rPr>
              <w:t>(0.0074)</w:t>
            </w:r>
          </w:p>
        </w:tc>
        <w:tc>
          <w:tcPr>
            <w:tcW w:w="771" w:type="pct"/>
            <w:vAlign w:val="center"/>
          </w:tcPr>
          <w:p>
            <w:pPr>
              <w:jc w:val="center"/>
              <w:rPr>
                <w:szCs w:val="21"/>
              </w:rPr>
            </w:pPr>
            <w:r>
              <w:rPr>
                <w:kern w:val="0"/>
                <w:szCs w:val="21"/>
              </w:rPr>
              <w:t>-0.0022</w:t>
            </w:r>
          </w:p>
          <w:p>
            <w:pPr>
              <w:jc w:val="center"/>
              <w:rPr>
                <w:szCs w:val="21"/>
              </w:rPr>
            </w:pPr>
            <w:r>
              <w:rPr>
                <w:kern w:val="0"/>
                <w:szCs w:val="21"/>
              </w:rPr>
              <w:t>(0.0030)</w:t>
            </w:r>
          </w:p>
        </w:tc>
        <w:tc>
          <w:tcPr>
            <w:tcW w:w="771" w:type="pct"/>
            <w:vAlign w:val="center"/>
          </w:tcPr>
          <w:p>
            <w:pPr>
              <w:jc w:val="center"/>
              <w:rPr>
                <w:szCs w:val="21"/>
              </w:rPr>
            </w:pPr>
            <w:r>
              <w:rPr>
                <w:kern w:val="0"/>
                <w:szCs w:val="21"/>
              </w:rPr>
              <w:t>-0.0019</w:t>
            </w:r>
          </w:p>
          <w:p>
            <w:pPr>
              <w:jc w:val="center"/>
              <w:rPr>
                <w:szCs w:val="21"/>
              </w:rPr>
            </w:pPr>
            <w:r>
              <w:rPr>
                <w:kern w:val="0"/>
                <w:szCs w:val="21"/>
              </w:rPr>
              <w:t>(0.0030)</w:t>
            </w:r>
          </w:p>
        </w:tc>
        <w:tc>
          <w:tcPr>
            <w:tcW w:w="766" w:type="pct"/>
            <w:vAlign w:val="center"/>
          </w:tcPr>
          <w:p>
            <w:pPr>
              <w:jc w:val="center"/>
              <w:rPr>
                <w:szCs w:val="21"/>
              </w:rPr>
            </w:pPr>
            <w:r>
              <w:rPr>
                <w:kern w:val="0"/>
                <w:szCs w:val="21"/>
              </w:rPr>
              <w:t>-0.0026</w:t>
            </w:r>
          </w:p>
          <w:p>
            <w:pPr>
              <w:jc w:val="center"/>
              <w:rPr>
                <w:szCs w:val="21"/>
              </w:rPr>
            </w:pPr>
            <w:r>
              <w:rPr>
                <w:kern w:val="0"/>
                <w:szCs w:val="21"/>
              </w:rPr>
              <w:t>(0.0030)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gov</w:t>
            </w:r>
          </w:p>
        </w:tc>
        <w:tc>
          <w:tcPr>
            <w:tcW w:w="831" w:type="pct"/>
            <w:vAlign w:val="center"/>
          </w:tcPr>
          <w:p>
            <w:pPr>
              <w:jc w:val="center"/>
              <w:rPr>
                <w:kern w:val="0"/>
                <w:szCs w:val="21"/>
              </w:rPr>
            </w:pPr>
            <w:r>
              <w:rPr>
                <w:kern w:val="0"/>
                <w:szCs w:val="21"/>
              </w:rPr>
              <w:t>-0.2048</w:t>
            </w:r>
            <w:r>
              <w:rPr>
                <w:kern w:val="0"/>
                <w:szCs w:val="21"/>
                <w:vertAlign w:val="superscript"/>
              </w:rPr>
              <w:t>***</w:t>
            </w:r>
          </w:p>
          <w:p>
            <w:pPr>
              <w:jc w:val="center"/>
              <w:rPr>
                <w:kern w:val="0"/>
                <w:szCs w:val="21"/>
              </w:rPr>
            </w:pPr>
            <w:r>
              <w:rPr>
                <w:kern w:val="0"/>
                <w:szCs w:val="21"/>
              </w:rPr>
              <w:t>(0.0724)</w:t>
            </w:r>
          </w:p>
        </w:tc>
        <w:tc>
          <w:tcPr>
            <w:tcW w:w="832" w:type="pct"/>
            <w:vAlign w:val="center"/>
          </w:tcPr>
          <w:p>
            <w:pPr>
              <w:jc w:val="center"/>
              <w:rPr>
                <w:kern w:val="0"/>
                <w:szCs w:val="21"/>
              </w:rPr>
            </w:pPr>
            <w:r>
              <w:rPr>
                <w:kern w:val="0"/>
                <w:szCs w:val="21"/>
              </w:rPr>
              <w:t>-0.5399</w:t>
            </w:r>
            <w:r>
              <w:rPr>
                <w:kern w:val="0"/>
                <w:szCs w:val="21"/>
                <w:vertAlign w:val="superscript"/>
              </w:rPr>
              <w:t>***</w:t>
            </w:r>
          </w:p>
          <w:p>
            <w:pPr>
              <w:jc w:val="center"/>
              <w:rPr>
                <w:kern w:val="0"/>
                <w:szCs w:val="21"/>
              </w:rPr>
            </w:pPr>
            <w:r>
              <w:rPr>
                <w:kern w:val="0"/>
                <w:szCs w:val="21"/>
              </w:rPr>
              <w:t>(0.0882)</w:t>
            </w:r>
          </w:p>
        </w:tc>
        <w:tc>
          <w:tcPr>
            <w:tcW w:w="771" w:type="pct"/>
            <w:vAlign w:val="center"/>
          </w:tcPr>
          <w:p>
            <w:pPr>
              <w:jc w:val="center"/>
              <w:rPr>
                <w:szCs w:val="21"/>
              </w:rPr>
            </w:pPr>
            <w:r>
              <w:rPr>
                <w:kern w:val="0"/>
                <w:szCs w:val="21"/>
              </w:rPr>
              <w:t>-0.1576</w:t>
            </w:r>
            <w:r>
              <w:rPr>
                <w:kern w:val="0"/>
                <w:szCs w:val="21"/>
                <w:vertAlign w:val="superscript"/>
              </w:rPr>
              <w:t>***</w:t>
            </w:r>
          </w:p>
          <w:p>
            <w:pPr>
              <w:jc w:val="center"/>
              <w:rPr>
                <w:szCs w:val="21"/>
              </w:rPr>
            </w:pPr>
            <w:r>
              <w:rPr>
                <w:kern w:val="0"/>
                <w:szCs w:val="21"/>
              </w:rPr>
              <w:t>(0.0361)</w:t>
            </w:r>
          </w:p>
        </w:tc>
        <w:tc>
          <w:tcPr>
            <w:tcW w:w="771" w:type="pct"/>
            <w:vAlign w:val="center"/>
          </w:tcPr>
          <w:p>
            <w:pPr>
              <w:jc w:val="center"/>
              <w:rPr>
                <w:szCs w:val="21"/>
              </w:rPr>
            </w:pPr>
            <w:r>
              <w:rPr>
                <w:kern w:val="0"/>
                <w:szCs w:val="21"/>
              </w:rPr>
              <w:t>-0.1748</w:t>
            </w:r>
            <w:r>
              <w:rPr>
                <w:kern w:val="0"/>
                <w:szCs w:val="21"/>
                <w:vertAlign w:val="superscript"/>
              </w:rPr>
              <w:t>***</w:t>
            </w:r>
          </w:p>
          <w:p>
            <w:pPr>
              <w:jc w:val="center"/>
              <w:rPr>
                <w:szCs w:val="21"/>
              </w:rPr>
            </w:pPr>
            <w:r>
              <w:rPr>
                <w:kern w:val="0"/>
                <w:szCs w:val="21"/>
              </w:rPr>
              <w:t>(0.0380)</w:t>
            </w:r>
          </w:p>
        </w:tc>
        <w:tc>
          <w:tcPr>
            <w:tcW w:w="766" w:type="pct"/>
            <w:vAlign w:val="center"/>
          </w:tcPr>
          <w:p>
            <w:pPr>
              <w:jc w:val="center"/>
              <w:rPr>
                <w:szCs w:val="21"/>
              </w:rPr>
            </w:pPr>
            <w:r>
              <w:rPr>
                <w:kern w:val="0"/>
                <w:szCs w:val="21"/>
              </w:rPr>
              <w:t>-0.1037</w:t>
            </w:r>
            <w:r>
              <w:rPr>
                <w:kern w:val="0"/>
                <w:szCs w:val="21"/>
                <w:vertAlign w:val="superscript"/>
              </w:rPr>
              <w:t>**</w:t>
            </w:r>
          </w:p>
          <w:p>
            <w:pPr>
              <w:jc w:val="center"/>
              <w:rPr>
                <w:szCs w:val="21"/>
              </w:rPr>
            </w:pPr>
            <w:r>
              <w:rPr>
                <w:kern w:val="0"/>
                <w:szCs w:val="21"/>
              </w:rPr>
              <w:t>(0.0416)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edu</w:t>
            </w:r>
          </w:p>
        </w:tc>
        <w:tc>
          <w:tcPr>
            <w:tcW w:w="831" w:type="pct"/>
            <w:vAlign w:val="center"/>
          </w:tcPr>
          <w:p>
            <w:pPr>
              <w:jc w:val="center"/>
              <w:rPr>
                <w:kern w:val="0"/>
                <w:szCs w:val="21"/>
              </w:rPr>
            </w:pPr>
            <w:r>
              <w:rPr>
                <w:kern w:val="0"/>
                <w:szCs w:val="21"/>
              </w:rPr>
              <w:t>0.0466</w:t>
            </w:r>
          </w:p>
          <w:p>
            <w:pPr>
              <w:jc w:val="center"/>
              <w:rPr>
                <w:kern w:val="0"/>
                <w:szCs w:val="21"/>
              </w:rPr>
            </w:pPr>
            <w:r>
              <w:rPr>
                <w:kern w:val="0"/>
                <w:szCs w:val="21"/>
              </w:rPr>
              <w:t>(0.2528)</w:t>
            </w:r>
          </w:p>
        </w:tc>
        <w:tc>
          <w:tcPr>
            <w:tcW w:w="832" w:type="pct"/>
            <w:vAlign w:val="center"/>
          </w:tcPr>
          <w:p>
            <w:pPr>
              <w:jc w:val="center"/>
              <w:rPr>
                <w:kern w:val="0"/>
                <w:szCs w:val="21"/>
              </w:rPr>
            </w:pPr>
            <w:r>
              <w:rPr>
                <w:kern w:val="0"/>
                <w:szCs w:val="21"/>
              </w:rPr>
              <w:t>0.7449</w:t>
            </w:r>
            <w:r>
              <w:rPr>
                <w:kern w:val="0"/>
                <w:szCs w:val="21"/>
                <w:vertAlign w:val="superscript"/>
              </w:rPr>
              <w:t>*</w:t>
            </w:r>
          </w:p>
          <w:p>
            <w:pPr>
              <w:jc w:val="center"/>
              <w:rPr>
                <w:kern w:val="0"/>
                <w:szCs w:val="21"/>
              </w:rPr>
            </w:pPr>
            <w:r>
              <w:rPr>
                <w:kern w:val="0"/>
                <w:szCs w:val="21"/>
              </w:rPr>
              <w:t>(0.4094)</w:t>
            </w:r>
          </w:p>
        </w:tc>
        <w:tc>
          <w:tcPr>
            <w:tcW w:w="771" w:type="pct"/>
            <w:vAlign w:val="center"/>
          </w:tcPr>
          <w:p>
            <w:pPr>
              <w:jc w:val="center"/>
              <w:rPr>
                <w:szCs w:val="21"/>
              </w:rPr>
            </w:pPr>
            <w:r>
              <w:rPr>
                <w:kern w:val="0"/>
                <w:szCs w:val="21"/>
              </w:rPr>
              <w:t>-0.0121</w:t>
            </w:r>
          </w:p>
          <w:p>
            <w:pPr>
              <w:jc w:val="center"/>
              <w:rPr>
                <w:szCs w:val="21"/>
              </w:rPr>
            </w:pPr>
            <w:r>
              <w:rPr>
                <w:kern w:val="0"/>
                <w:szCs w:val="21"/>
              </w:rPr>
              <w:t>(0.1647)</w:t>
            </w:r>
          </w:p>
        </w:tc>
        <w:tc>
          <w:tcPr>
            <w:tcW w:w="771" w:type="pct"/>
            <w:vAlign w:val="center"/>
          </w:tcPr>
          <w:p>
            <w:pPr>
              <w:jc w:val="center"/>
              <w:rPr>
                <w:szCs w:val="21"/>
              </w:rPr>
            </w:pPr>
            <w:r>
              <w:rPr>
                <w:kern w:val="0"/>
                <w:szCs w:val="21"/>
              </w:rPr>
              <w:t>-0.0021</w:t>
            </w:r>
          </w:p>
          <w:p>
            <w:pPr>
              <w:jc w:val="center"/>
              <w:rPr>
                <w:szCs w:val="21"/>
              </w:rPr>
            </w:pPr>
            <w:r>
              <w:rPr>
                <w:kern w:val="0"/>
                <w:szCs w:val="21"/>
              </w:rPr>
              <w:t>(0.1663)</w:t>
            </w:r>
          </w:p>
        </w:tc>
        <w:tc>
          <w:tcPr>
            <w:tcW w:w="766" w:type="pct"/>
            <w:vAlign w:val="center"/>
          </w:tcPr>
          <w:p>
            <w:pPr>
              <w:jc w:val="center"/>
              <w:rPr>
                <w:szCs w:val="21"/>
              </w:rPr>
            </w:pPr>
            <w:r>
              <w:rPr>
                <w:kern w:val="0"/>
                <w:szCs w:val="21"/>
              </w:rPr>
              <w:t>-0.0625</w:t>
            </w:r>
          </w:p>
          <w:p>
            <w:pPr>
              <w:jc w:val="center"/>
              <w:rPr>
                <w:szCs w:val="21"/>
              </w:rPr>
            </w:pPr>
            <w:r>
              <w:rPr>
                <w:kern w:val="0"/>
                <w:szCs w:val="21"/>
              </w:rPr>
              <w:t>(0.1660)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open</w:t>
            </w:r>
          </w:p>
        </w:tc>
        <w:tc>
          <w:tcPr>
            <w:tcW w:w="831" w:type="pct"/>
            <w:vAlign w:val="center"/>
          </w:tcPr>
          <w:p>
            <w:pPr>
              <w:jc w:val="center"/>
              <w:rPr>
                <w:kern w:val="0"/>
                <w:szCs w:val="21"/>
              </w:rPr>
            </w:pPr>
            <w:r>
              <w:rPr>
                <w:kern w:val="0"/>
                <w:szCs w:val="21"/>
              </w:rPr>
              <w:t>-0.2366</w:t>
            </w:r>
          </w:p>
          <w:p>
            <w:pPr>
              <w:jc w:val="center"/>
              <w:rPr>
                <w:kern w:val="0"/>
                <w:szCs w:val="21"/>
              </w:rPr>
            </w:pPr>
            <w:r>
              <w:rPr>
                <w:kern w:val="0"/>
                <w:szCs w:val="21"/>
              </w:rPr>
              <w:t>(0.9395)</w:t>
            </w:r>
          </w:p>
        </w:tc>
        <w:tc>
          <w:tcPr>
            <w:tcW w:w="832" w:type="pct"/>
            <w:vAlign w:val="center"/>
          </w:tcPr>
          <w:p>
            <w:pPr>
              <w:jc w:val="center"/>
              <w:rPr>
                <w:kern w:val="0"/>
                <w:szCs w:val="21"/>
              </w:rPr>
            </w:pPr>
            <w:r>
              <w:rPr>
                <w:kern w:val="0"/>
                <w:szCs w:val="21"/>
              </w:rPr>
              <w:t>1.0681</w:t>
            </w:r>
          </w:p>
          <w:p>
            <w:pPr>
              <w:jc w:val="center"/>
              <w:rPr>
                <w:kern w:val="0"/>
                <w:szCs w:val="21"/>
              </w:rPr>
            </w:pPr>
            <w:r>
              <w:rPr>
                <w:kern w:val="0"/>
                <w:szCs w:val="21"/>
              </w:rPr>
              <w:t>(1.2489)</w:t>
            </w:r>
          </w:p>
        </w:tc>
        <w:tc>
          <w:tcPr>
            <w:tcW w:w="771" w:type="pct"/>
            <w:vAlign w:val="center"/>
          </w:tcPr>
          <w:p>
            <w:pPr>
              <w:jc w:val="center"/>
              <w:rPr>
                <w:szCs w:val="21"/>
              </w:rPr>
            </w:pPr>
            <w:r>
              <w:rPr>
                <w:kern w:val="0"/>
                <w:szCs w:val="21"/>
              </w:rPr>
              <w:t>-0.2217</w:t>
            </w:r>
          </w:p>
          <w:p>
            <w:pPr>
              <w:jc w:val="center"/>
              <w:rPr>
                <w:szCs w:val="21"/>
              </w:rPr>
            </w:pPr>
            <w:r>
              <w:rPr>
                <w:kern w:val="0"/>
                <w:szCs w:val="21"/>
              </w:rPr>
              <w:t>(0.5672)</w:t>
            </w:r>
          </w:p>
        </w:tc>
        <w:tc>
          <w:tcPr>
            <w:tcW w:w="771" w:type="pct"/>
            <w:vAlign w:val="center"/>
          </w:tcPr>
          <w:p>
            <w:pPr>
              <w:jc w:val="center"/>
              <w:rPr>
                <w:szCs w:val="21"/>
              </w:rPr>
            </w:pPr>
            <w:r>
              <w:rPr>
                <w:kern w:val="0"/>
                <w:szCs w:val="21"/>
              </w:rPr>
              <w:t>-0.3033</w:t>
            </w:r>
          </w:p>
          <w:p>
            <w:pPr>
              <w:jc w:val="center"/>
              <w:rPr>
                <w:szCs w:val="21"/>
              </w:rPr>
            </w:pPr>
            <w:r>
              <w:rPr>
                <w:kern w:val="0"/>
                <w:szCs w:val="21"/>
              </w:rPr>
              <w:t>(0.5747)</w:t>
            </w:r>
          </w:p>
        </w:tc>
        <w:tc>
          <w:tcPr>
            <w:tcW w:w="766" w:type="pct"/>
            <w:vAlign w:val="center"/>
          </w:tcPr>
          <w:p>
            <w:pPr>
              <w:jc w:val="center"/>
              <w:rPr>
                <w:szCs w:val="21"/>
              </w:rPr>
            </w:pPr>
            <w:r>
              <w:rPr>
                <w:kern w:val="0"/>
                <w:szCs w:val="21"/>
              </w:rPr>
              <w:t>-0.1921</w:t>
            </w:r>
          </w:p>
          <w:p>
            <w:pPr>
              <w:jc w:val="center"/>
              <w:rPr>
                <w:szCs w:val="21"/>
              </w:rPr>
            </w:pPr>
            <w:r>
              <w:rPr>
                <w:kern w:val="0"/>
                <w:szCs w:val="21"/>
              </w:rPr>
              <w:t>(0.5724)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asset</w:t>
            </w:r>
          </w:p>
        </w:tc>
        <w:tc>
          <w:tcPr>
            <w:tcW w:w="831" w:type="pct"/>
            <w:vAlign w:val="center"/>
          </w:tcPr>
          <w:p>
            <w:pPr>
              <w:jc w:val="center"/>
              <w:rPr>
                <w:kern w:val="0"/>
                <w:szCs w:val="21"/>
              </w:rPr>
            </w:pPr>
            <w:r>
              <w:rPr>
                <w:kern w:val="0"/>
                <w:szCs w:val="21"/>
              </w:rPr>
              <w:t>-0.0169</w:t>
            </w:r>
          </w:p>
          <w:p>
            <w:pPr>
              <w:jc w:val="center"/>
              <w:rPr>
                <w:kern w:val="0"/>
                <w:szCs w:val="21"/>
              </w:rPr>
            </w:pPr>
            <w:r>
              <w:rPr>
                <w:kern w:val="0"/>
                <w:szCs w:val="21"/>
              </w:rPr>
              <w:t>(0.0131)</w:t>
            </w:r>
          </w:p>
        </w:tc>
        <w:tc>
          <w:tcPr>
            <w:tcW w:w="832" w:type="pct"/>
            <w:vAlign w:val="center"/>
          </w:tcPr>
          <w:p>
            <w:pPr>
              <w:jc w:val="center"/>
              <w:rPr>
                <w:kern w:val="0"/>
                <w:szCs w:val="21"/>
              </w:rPr>
            </w:pPr>
            <w:r>
              <w:rPr>
                <w:kern w:val="0"/>
                <w:szCs w:val="21"/>
              </w:rPr>
              <w:t>0.0008</w:t>
            </w:r>
          </w:p>
          <w:p>
            <w:pPr>
              <w:jc w:val="center"/>
              <w:rPr>
                <w:kern w:val="0"/>
                <w:szCs w:val="21"/>
              </w:rPr>
            </w:pPr>
            <w:r>
              <w:rPr>
                <w:kern w:val="0"/>
                <w:szCs w:val="21"/>
              </w:rPr>
              <w:t>(0.0128)</w:t>
            </w:r>
          </w:p>
        </w:tc>
        <w:tc>
          <w:tcPr>
            <w:tcW w:w="771" w:type="pct"/>
            <w:vAlign w:val="center"/>
          </w:tcPr>
          <w:p>
            <w:pPr>
              <w:jc w:val="center"/>
              <w:rPr>
                <w:szCs w:val="21"/>
              </w:rPr>
            </w:pPr>
            <w:r>
              <w:rPr>
                <w:kern w:val="0"/>
                <w:szCs w:val="21"/>
              </w:rPr>
              <w:t>-0.0152</w:t>
            </w:r>
            <w:r>
              <w:rPr>
                <w:kern w:val="0"/>
                <w:szCs w:val="21"/>
                <w:vertAlign w:val="superscript"/>
              </w:rPr>
              <w:t>***</w:t>
            </w:r>
          </w:p>
          <w:p>
            <w:pPr>
              <w:jc w:val="center"/>
              <w:rPr>
                <w:szCs w:val="21"/>
              </w:rPr>
            </w:pPr>
            <w:r>
              <w:rPr>
                <w:kern w:val="0"/>
                <w:szCs w:val="21"/>
              </w:rPr>
              <w:t>(0.0055)</w:t>
            </w:r>
          </w:p>
        </w:tc>
        <w:tc>
          <w:tcPr>
            <w:tcW w:w="771" w:type="pct"/>
            <w:vAlign w:val="center"/>
          </w:tcPr>
          <w:p>
            <w:pPr>
              <w:jc w:val="center"/>
              <w:rPr>
                <w:szCs w:val="21"/>
              </w:rPr>
            </w:pPr>
            <w:r>
              <w:rPr>
                <w:kern w:val="0"/>
                <w:szCs w:val="21"/>
              </w:rPr>
              <w:t>-0.0177</w:t>
            </w:r>
            <w:r>
              <w:rPr>
                <w:kern w:val="0"/>
                <w:szCs w:val="21"/>
                <w:vertAlign w:val="superscript"/>
              </w:rPr>
              <w:t>***</w:t>
            </w:r>
          </w:p>
          <w:p>
            <w:pPr>
              <w:jc w:val="center"/>
              <w:rPr>
                <w:szCs w:val="21"/>
              </w:rPr>
            </w:pPr>
            <w:r>
              <w:rPr>
                <w:kern w:val="0"/>
                <w:szCs w:val="21"/>
              </w:rPr>
              <w:t>(0.0055)</w:t>
            </w:r>
          </w:p>
        </w:tc>
        <w:tc>
          <w:tcPr>
            <w:tcW w:w="766" w:type="pct"/>
            <w:vAlign w:val="center"/>
          </w:tcPr>
          <w:p>
            <w:pPr>
              <w:jc w:val="center"/>
              <w:rPr>
                <w:szCs w:val="21"/>
              </w:rPr>
            </w:pPr>
            <w:r>
              <w:rPr>
                <w:kern w:val="0"/>
                <w:szCs w:val="21"/>
              </w:rPr>
              <w:t>-0.0145</w:t>
            </w:r>
            <w:r>
              <w:rPr>
                <w:kern w:val="0"/>
                <w:szCs w:val="21"/>
                <w:vertAlign w:val="superscript"/>
              </w:rPr>
              <w:t>***</w:t>
            </w:r>
          </w:p>
          <w:p>
            <w:pPr>
              <w:jc w:val="center"/>
              <w:rPr>
                <w:szCs w:val="21"/>
              </w:rPr>
            </w:pPr>
            <w:r>
              <w:rPr>
                <w:kern w:val="0"/>
                <w:szCs w:val="21"/>
              </w:rPr>
              <w:t>(0.0056)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density</w:t>
            </w:r>
          </w:p>
        </w:tc>
        <w:tc>
          <w:tcPr>
            <w:tcW w:w="831" w:type="pct"/>
            <w:vAlign w:val="center"/>
          </w:tcPr>
          <w:p>
            <w:pPr>
              <w:jc w:val="center"/>
              <w:rPr>
                <w:kern w:val="0"/>
                <w:szCs w:val="21"/>
              </w:rPr>
            </w:pPr>
            <w:r>
              <w:rPr>
                <w:kern w:val="0"/>
                <w:szCs w:val="21"/>
              </w:rPr>
              <w:t>1.9654</w:t>
            </w:r>
            <w:r>
              <w:rPr>
                <w:kern w:val="0"/>
                <w:szCs w:val="21"/>
                <w:vertAlign w:val="superscript"/>
              </w:rPr>
              <w:t>***</w:t>
            </w:r>
          </w:p>
          <w:p>
            <w:pPr>
              <w:jc w:val="center"/>
              <w:rPr>
                <w:kern w:val="0"/>
                <w:szCs w:val="21"/>
              </w:rPr>
            </w:pPr>
            <w:r>
              <w:rPr>
                <w:kern w:val="0"/>
                <w:szCs w:val="21"/>
              </w:rPr>
              <w:t>(0.7368)</w:t>
            </w:r>
          </w:p>
        </w:tc>
        <w:tc>
          <w:tcPr>
            <w:tcW w:w="832" w:type="pct"/>
            <w:vAlign w:val="center"/>
          </w:tcPr>
          <w:p>
            <w:pPr>
              <w:jc w:val="center"/>
              <w:rPr>
                <w:kern w:val="0"/>
                <w:szCs w:val="21"/>
              </w:rPr>
            </w:pPr>
            <w:r>
              <w:rPr>
                <w:kern w:val="0"/>
                <w:szCs w:val="21"/>
              </w:rPr>
              <w:t>-4.3718</w:t>
            </w:r>
            <w:r>
              <w:rPr>
                <w:kern w:val="0"/>
                <w:szCs w:val="21"/>
                <w:vertAlign w:val="superscript"/>
              </w:rPr>
              <w:t>***</w:t>
            </w:r>
          </w:p>
          <w:p>
            <w:pPr>
              <w:jc w:val="center"/>
              <w:rPr>
                <w:kern w:val="0"/>
                <w:szCs w:val="21"/>
              </w:rPr>
            </w:pPr>
            <w:r>
              <w:rPr>
                <w:kern w:val="0"/>
                <w:szCs w:val="21"/>
              </w:rPr>
              <w:t>(0.5698)</w:t>
            </w:r>
          </w:p>
        </w:tc>
        <w:tc>
          <w:tcPr>
            <w:tcW w:w="771" w:type="pct"/>
            <w:vAlign w:val="center"/>
          </w:tcPr>
          <w:p>
            <w:pPr>
              <w:jc w:val="center"/>
              <w:rPr>
                <w:szCs w:val="21"/>
              </w:rPr>
            </w:pPr>
            <w:r>
              <w:rPr>
                <w:kern w:val="0"/>
                <w:szCs w:val="21"/>
              </w:rPr>
              <w:t>1.8102</w:t>
            </w:r>
            <w:r>
              <w:rPr>
                <w:kern w:val="0"/>
                <w:szCs w:val="21"/>
                <w:vertAlign w:val="superscript"/>
              </w:rPr>
              <w:t>***</w:t>
            </w:r>
          </w:p>
          <w:p>
            <w:pPr>
              <w:jc w:val="center"/>
              <w:rPr>
                <w:szCs w:val="21"/>
              </w:rPr>
            </w:pPr>
            <w:r>
              <w:rPr>
                <w:kern w:val="0"/>
                <w:szCs w:val="21"/>
              </w:rPr>
              <w:t>(0.3636)</w:t>
            </w:r>
          </w:p>
        </w:tc>
        <w:tc>
          <w:tcPr>
            <w:tcW w:w="771" w:type="pct"/>
            <w:vAlign w:val="center"/>
          </w:tcPr>
          <w:p>
            <w:pPr>
              <w:jc w:val="center"/>
              <w:rPr>
                <w:szCs w:val="21"/>
              </w:rPr>
            </w:pPr>
            <w:r>
              <w:rPr>
                <w:kern w:val="0"/>
                <w:szCs w:val="21"/>
              </w:rPr>
              <w:t>1.7317</w:t>
            </w:r>
            <w:r>
              <w:rPr>
                <w:kern w:val="0"/>
                <w:szCs w:val="21"/>
                <w:vertAlign w:val="superscript"/>
              </w:rPr>
              <w:t>***</w:t>
            </w:r>
          </w:p>
          <w:p>
            <w:pPr>
              <w:jc w:val="center"/>
              <w:rPr>
                <w:szCs w:val="21"/>
              </w:rPr>
            </w:pPr>
            <w:r>
              <w:rPr>
                <w:kern w:val="0"/>
                <w:szCs w:val="21"/>
              </w:rPr>
              <w:t>(0.3695)</w:t>
            </w:r>
          </w:p>
        </w:tc>
        <w:tc>
          <w:tcPr>
            <w:tcW w:w="766" w:type="pct"/>
            <w:vAlign w:val="center"/>
          </w:tcPr>
          <w:p>
            <w:pPr>
              <w:jc w:val="center"/>
              <w:rPr>
                <w:szCs w:val="21"/>
              </w:rPr>
            </w:pPr>
            <w:r>
              <w:rPr>
                <w:kern w:val="0"/>
                <w:szCs w:val="21"/>
              </w:rPr>
              <w:t>1.6063</w:t>
            </w:r>
            <w:r>
              <w:rPr>
                <w:kern w:val="0"/>
                <w:szCs w:val="21"/>
                <w:vertAlign w:val="superscript"/>
              </w:rPr>
              <w:t>***</w:t>
            </w:r>
          </w:p>
          <w:p>
            <w:pPr>
              <w:jc w:val="center"/>
              <w:rPr>
                <w:szCs w:val="21"/>
              </w:rPr>
            </w:pPr>
            <w:r>
              <w:rPr>
                <w:kern w:val="0"/>
                <w:szCs w:val="21"/>
              </w:rPr>
              <w:t>(0.3682)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Med</w:t>
            </w:r>
          </w:p>
        </w:tc>
        <w:tc>
          <w:tcPr>
            <w:tcW w:w="831" w:type="pct"/>
            <w:vAlign w:val="center"/>
          </w:tcPr>
          <w:p>
            <w:pPr>
              <w:jc w:val="center"/>
              <w:rPr>
                <w:kern w:val="0"/>
                <w:szCs w:val="21"/>
              </w:rPr>
            </w:pPr>
            <w:r>
              <w:rPr>
                <w:kern w:val="0"/>
                <w:szCs w:val="21"/>
              </w:rPr>
              <w:t>0.2224</w:t>
            </w:r>
          </w:p>
          <w:p>
            <w:pPr>
              <w:jc w:val="center"/>
              <w:rPr>
                <w:kern w:val="0"/>
                <w:szCs w:val="21"/>
              </w:rPr>
            </w:pPr>
            <w:r>
              <w:rPr>
                <w:kern w:val="0"/>
                <w:szCs w:val="21"/>
              </w:rPr>
              <w:t>(0.3431)</w:t>
            </w:r>
          </w:p>
        </w:tc>
        <w:tc>
          <w:tcPr>
            <w:tcW w:w="832" w:type="pct"/>
            <w:vAlign w:val="center"/>
          </w:tcPr>
          <w:p>
            <w:pPr>
              <w:jc w:val="center"/>
              <w:rPr>
                <w:kern w:val="0"/>
                <w:szCs w:val="21"/>
              </w:rPr>
            </w:pPr>
            <w:r>
              <w:rPr>
                <w:kern w:val="0"/>
                <w:szCs w:val="21"/>
              </w:rPr>
              <w:t>-6.8789</w:t>
            </w:r>
            <w:r>
              <w:rPr>
                <w:kern w:val="0"/>
                <w:szCs w:val="21"/>
                <w:vertAlign w:val="superscript"/>
              </w:rPr>
              <w:t>***</w:t>
            </w:r>
          </w:p>
          <w:p>
            <w:pPr>
              <w:jc w:val="center"/>
              <w:rPr>
                <w:kern w:val="0"/>
                <w:szCs w:val="21"/>
              </w:rPr>
            </w:pPr>
            <w:r>
              <w:rPr>
                <w:kern w:val="0"/>
                <w:szCs w:val="21"/>
              </w:rPr>
              <w:t>(0.4420)</w:t>
            </w:r>
          </w:p>
        </w:tc>
        <w:tc>
          <w:tcPr>
            <w:tcW w:w="771" w:type="pct"/>
            <w:vAlign w:val="center"/>
          </w:tcPr>
          <w:p>
            <w:pPr>
              <w:jc w:val="center"/>
              <w:rPr>
                <w:szCs w:val="21"/>
              </w:rPr>
            </w:pPr>
            <w:r>
              <w:rPr>
                <w:kern w:val="0"/>
                <w:szCs w:val="21"/>
              </w:rPr>
              <w:t>0.1884</w:t>
            </w:r>
          </w:p>
          <w:p>
            <w:pPr>
              <w:jc w:val="center"/>
              <w:rPr>
                <w:szCs w:val="21"/>
              </w:rPr>
            </w:pPr>
            <w:r>
              <w:rPr>
                <w:kern w:val="0"/>
                <w:szCs w:val="21"/>
              </w:rPr>
              <w:t>(0.1887)</w:t>
            </w:r>
          </w:p>
        </w:tc>
        <w:tc>
          <w:tcPr>
            <w:tcW w:w="771" w:type="pct"/>
            <w:vAlign w:val="center"/>
          </w:tcPr>
          <w:p>
            <w:pPr>
              <w:jc w:val="center"/>
              <w:rPr>
                <w:szCs w:val="21"/>
              </w:rPr>
            </w:pPr>
            <w:r>
              <w:rPr>
                <w:kern w:val="0"/>
                <w:szCs w:val="21"/>
              </w:rPr>
              <w:t>0.3055</w:t>
            </w:r>
          </w:p>
          <w:p>
            <w:pPr>
              <w:jc w:val="center"/>
              <w:rPr>
                <w:szCs w:val="21"/>
              </w:rPr>
            </w:pPr>
            <w:r>
              <w:rPr>
                <w:kern w:val="0"/>
                <w:szCs w:val="21"/>
              </w:rPr>
              <w:t>(0.1913)</w:t>
            </w:r>
          </w:p>
        </w:tc>
        <w:tc>
          <w:tcPr>
            <w:tcW w:w="766" w:type="pct"/>
            <w:vAlign w:val="center"/>
          </w:tcPr>
          <w:p>
            <w:pPr>
              <w:jc w:val="center"/>
              <w:rPr>
                <w:szCs w:val="21"/>
              </w:rPr>
            </w:pPr>
            <w:r>
              <w:rPr>
                <w:kern w:val="0"/>
                <w:szCs w:val="21"/>
              </w:rPr>
              <w:t>0.1276</w:t>
            </w:r>
          </w:p>
          <w:p>
            <w:pPr>
              <w:jc w:val="center"/>
              <w:rPr>
                <w:szCs w:val="21"/>
              </w:rPr>
            </w:pPr>
            <w:r>
              <w:rPr>
                <w:kern w:val="0"/>
                <w:szCs w:val="21"/>
              </w:rPr>
              <w:t>(0.1934)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NET</w:t>
            </w:r>
          </w:p>
        </w:tc>
        <w:tc>
          <w:tcPr>
            <w:tcW w:w="831" w:type="pct"/>
            <w:vAlign w:val="center"/>
          </w:tcPr>
          <w:p>
            <w:pPr>
              <w:jc w:val="center"/>
              <w:rPr>
                <w:kern w:val="0"/>
                <w:szCs w:val="21"/>
              </w:rPr>
            </w:pPr>
            <w:r>
              <w:rPr>
                <w:kern w:val="0"/>
                <w:szCs w:val="21"/>
              </w:rPr>
              <w:t>-0.0136</w:t>
            </w:r>
          </w:p>
          <w:p>
            <w:pPr>
              <w:jc w:val="center"/>
              <w:rPr>
                <w:kern w:val="0"/>
                <w:szCs w:val="21"/>
              </w:rPr>
            </w:pPr>
            <w:r>
              <w:rPr>
                <w:kern w:val="0"/>
                <w:szCs w:val="21"/>
              </w:rPr>
              <w:t>(0.0243)</w:t>
            </w:r>
          </w:p>
        </w:tc>
        <w:tc>
          <w:tcPr>
            <w:tcW w:w="832" w:type="pct"/>
            <w:vAlign w:val="center"/>
          </w:tcPr>
          <w:p>
            <w:pPr>
              <w:jc w:val="center"/>
              <w:rPr>
                <w:kern w:val="0"/>
                <w:szCs w:val="21"/>
              </w:rPr>
            </w:pPr>
            <w:r>
              <w:rPr>
                <w:kern w:val="0"/>
                <w:szCs w:val="21"/>
              </w:rPr>
              <w:t>-0.2843</w:t>
            </w:r>
            <w:r>
              <w:rPr>
                <w:kern w:val="0"/>
                <w:szCs w:val="21"/>
                <w:vertAlign w:val="superscript"/>
              </w:rPr>
              <w:t>***</w:t>
            </w:r>
          </w:p>
          <w:p>
            <w:pPr>
              <w:jc w:val="center"/>
              <w:rPr>
                <w:kern w:val="0"/>
                <w:szCs w:val="21"/>
              </w:rPr>
            </w:pPr>
            <w:r>
              <w:rPr>
                <w:kern w:val="0"/>
                <w:szCs w:val="21"/>
              </w:rPr>
              <w:t>(0.0365)</w:t>
            </w:r>
          </w:p>
        </w:tc>
        <w:tc>
          <w:tcPr>
            <w:tcW w:w="771" w:type="pct"/>
            <w:vAlign w:val="center"/>
          </w:tcPr>
          <w:p>
            <w:pPr>
              <w:jc w:val="center"/>
              <w:rPr>
                <w:szCs w:val="21"/>
              </w:rPr>
            </w:pPr>
            <w:r>
              <w:rPr>
                <w:kern w:val="0"/>
                <w:szCs w:val="21"/>
              </w:rPr>
              <w:t>-0.0137</w:t>
            </w:r>
          </w:p>
          <w:p>
            <w:pPr>
              <w:jc w:val="center"/>
              <w:rPr>
                <w:szCs w:val="21"/>
              </w:rPr>
            </w:pPr>
            <w:r>
              <w:rPr>
                <w:kern w:val="0"/>
                <w:szCs w:val="21"/>
              </w:rPr>
              <w:t>(0.0128)</w:t>
            </w:r>
          </w:p>
        </w:tc>
        <w:tc>
          <w:tcPr>
            <w:tcW w:w="771" w:type="pct"/>
            <w:vAlign w:val="center"/>
          </w:tcPr>
          <w:p>
            <w:pPr>
              <w:jc w:val="center"/>
              <w:rPr>
                <w:szCs w:val="21"/>
              </w:rPr>
            </w:pPr>
            <w:r>
              <w:rPr>
                <w:kern w:val="0"/>
                <w:szCs w:val="21"/>
              </w:rPr>
              <w:t>-0.0082</w:t>
            </w:r>
          </w:p>
          <w:p>
            <w:pPr>
              <w:jc w:val="center"/>
              <w:rPr>
                <w:szCs w:val="21"/>
              </w:rPr>
            </w:pPr>
            <w:r>
              <w:rPr>
                <w:kern w:val="0"/>
                <w:szCs w:val="21"/>
              </w:rPr>
              <w:t>(0.0129)</w:t>
            </w:r>
          </w:p>
        </w:tc>
        <w:tc>
          <w:tcPr>
            <w:tcW w:w="766" w:type="pct"/>
            <w:vAlign w:val="center"/>
          </w:tcPr>
          <w:p>
            <w:pPr>
              <w:jc w:val="center"/>
              <w:rPr>
                <w:szCs w:val="21"/>
              </w:rPr>
            </w:pPr>
            <w:r>
              <w:rPr>
                <w:kern w:val="0"/>
                <w:szCs w:val="21"/>
              </w:rPr>
              <w:t>-0.0142</w:t>
            </w:r>
          </w:p>
          <w:p>
            <w:pPr>
              <w:jc w:val="center"/>
              <w:rPr>
                <w:szCs w:val="21"/>
              </w:rPr>
            </w:pPr>
            <w:r>
              <w:rPr>
                <w:kern w:val="0"/>
                <w:szCs w:val="21"/>
              </w:rPr>
              <w:t>(0.0129)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traffic</w:t>
            </w:r>
          </w:p>
        </w:tc>
        <w:tc>
          <w:tcPr>
            <w:tcW w:w="831" w:type="pct"/>
            <w:vAlign w:val="center"/>
          </w:tcPr>
          <w:p>
            <w:pPr>
              <w:jc w:val="center"/>
              <w:rPr>
                <w:kern w:val="0"/>
                <w:szCs w:val="21"/>
              </w:rPr>
            </w:pPr>
            <w:r>
              <w:rPr>
                <w:kern w:val="0"/>
                <w:szCs w:val="21"/>
              </w:rPr>
              <w:t>-0.0155</w:t>
            </w:r>
            <w:r>
              <w:rPr>
                <w:kern w:val="0"/>
                <w:szCs w:val="21"/>
                <w:vertAlign w:val="superscript"/>
              </w:rPr>
              <w:t>***</w:t>
            </w:r>
          </w:p>
          <w:p>
            <w:pPr>
              <w:jc w:val="center"/>
              <w:rPr>
                <w:kern w:val="0"/>
                <w:szCs w:val="21"/>
              </w:rPr>
            </w:pPr>
            <w:r>
              <w:rPr>
                <w:kern w:val="0"/>
                <w:szCs w:val="21"/>
              </w:rPr>
              <w:t>(0.0043)</w:t>
            </w:r>
          </w:p>
        </w:tc>
        <w:tc>
          <w:tcPr>
            <w:tcW w:w="832" w:type="pct"/>
            <w:vAlign w:val="center"/>
          </w:tcPr>
          <w:p>
            <w:pPr>
              <w:jc w:val="center"/>
              <w:rPr>
                <w:kern w:val="0"/>
                <w:szCs w:val="21"/>
              </w:rPr>
            </w:pPr>
            <w:r>
              <w:rPr>
                <w:kern w:val="0"/>
                <w:szCs w:val="21"/>
              </w:rPr>
              <w:t>0.0121</w:t>
            </w:r>
            <w:r>
              <w:rPr>
                <w:kern w:val="0"/>
                <w:szCs w:val="21"/>
                <w:vertAlign w:val="superscript"/>
              </w:rPr>
              <w:t>***</w:t>
            </w:r>
          </w:p>
          <w:p>
            <w:pPr>
              <w:jc w:val="center"/>
              <w:rPr>
                <w:kern w:val="0"/>
                <w:szCs w:val="21"/>
              </w:rPr>
            </w:pPr>
            <w:r>
              <w:rPr>
                <w:kern w:val="0"/>
                <w:szCs w:val="21"/>
              </w:rPr>
              <w:t>(0.0039)</w:t>
            </w:r>
          </w:p>
        </w:tc>
        <w:tc>
          <w:tcPr>
            <w:tcW w:w="771" w:type="pct"/>
            <w:vAlign w:val="center"/>
          </w:tcPr>
          <w:p>
            <w:pPr>
              <w:jc w:val="center"/>
              <w:rPr>
                <w:szCs w:val="21"/>
              </w:rPr>
            </w:pPr>
            <w:r>
              <w:rPr>
                <w:kern w:val="0"/>
                <w:szCs w:val="21"/>
              </w:rPr>
              <w:t>-0.0128</w:t>
            </w:r>
            <w:r>
              <w:rPr>
                <w:kern w:val="0"/>
                <w:szCs w:val="21"/>
                <w:vertAlign w:val="superscript"/>
              </w:rPr>
              <w:t>***</w:t>
            </w:r>
          </w:p>
          <w:p>
            <w:pPr>
              <w:jc w:val="center"/>
              <w:rPr>
                <w:szCs w:val="21"/>
              </w:rPr>
            </w:pPr>
            <w:r>
              <w:rPr>
                <w:kern w:val="0"/>
                <w:szCs w:val="21"/>
              </w:rPr>
              <w:t>(0.0023)</w:t>
            </w:r>
          </w:p>
        </w:tc>
        <w:tc>
          <w:tcPr>
            <w:tcW w:w="771" w:type="pct"/>
            <w:vAlign w:val="center"/>
          </w:tcPr>
          <w:p>
            <w:pPr>
              <w:jc w:val="center"/>
              <w:rPr>
                <w:szCs w:val="21"/>
              </w:rPr>
            </w:pPr>
            <w:r>
              <w:rPr>
                <w:kern w:val="0"/>
                <w:szCs w:val="21"/>
              </w:rPr>
              <w:t>-0.0115</w:t>
            </w:r>
            <w:r>
              <w:rPr>
                <w:kern w:val="0"/>
                <w:szCs w:val="21"/>
                <w:vertAlign w:val="superscript"/>
              </w:rPr>
              <w:t>***</w:t>
            </w:r>
          </w:p>
          <w:p>
            <w:pPr>
              <w:jc w:val="center"/>
              <w:rPr>
                <w:szCs w:val="21"/>
              </w:rPr>
            </w:pPr>
            <w:r>
              <w:rPr>
                <w:kern w:val="0"/>
                <w:szCs w:val="21"/>
              </w:rPr>
              <w:t>(0.0023)</w:t>
            </w:r>
          </w:p>
        </w:tc>
        <w:tc>
          <w:tcPr>
            <w:tcW w:w="766" w:type="pct"/>
            <w:vAlign w:val="center"/>
          </w:tcPr>
          <w:p>
            <w:pPr>
              <w:jc w:val="center"/>
              <w:rPr>
                <w:szCs w:val="21"/>
              </w:rPr>
            </w:pPr>
            <w:r>
              <w:rPr>
                <w:kern w:val="0"/>
                <w:szCs w:val="21"/>
              </w:rPr>
              <w:t>-0.0100</w:t>
            </w:r>
            <w:r>
              <w:rPr>
                <w:kern w:val="0"/>
                <w:szCs w:val="21"/>
                <w:vertAlign w:val="superscript"/>
              </w:rPr>
              <w:t>***</w:t>
            </w:r>
          </w:p>
          <w:p>
            <w:pPr>
              <w:jc w:val="center"/>
              <w:rPr>
                <w:szCs w:val="21"/>
              </w:rPr>
            </w:pPr>
            <w:r>
              <w:rPr>
                <w:kern w:val="0"/>
                <w:szCs w:val="21"/>
              </w:rPr>
              <w:t>(0.0023)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szCs w:val="21"/>
              </w:rPr>
            </w:pPr>
            <w:r>
              <w:rPr>
                <w:i/>
                <w:iCs/>
                <w:kern w:val="0"/>
                <w:szCs w:val="21"/>
              </w:rPr>
              <w:t>ρ</w:t>
            </w:r>
          </w:p>
        </w:tc>
        <w:tc>
          <w:tcPr>
            <w:tcW w:w="831" w:type="pct"/>
            <w:vAlign w:val="center"/>
          </w:tcPr>
          <w:p>
            <w:pPr>
              <w:jc w:val="center"/>
              <w:rPr>
                <w:kern w:val="0"/>
                <w:szCs w:val="21"/>
              </w:rPr>
            </w:pPr>
          </w:p>
        </w:tc>
        <w:tc>
          <w:tcPr>
            <w:tcW w:w="832" w:type="pct"/>
            <w:vAlign w:val="center"/>
          </w:tcPr>
          <w:p>
            <w:pPr>
              <w:jc w:val="center"/>
              <w:rPr>
                <w:kern w:val="0"/>
                <w:szCs w:val="21"/>
              </w:rPr>
            </w:pPr>
          </w:p>
        </w:tc>
        <w:tc>
          <w:tcPr>
            <w:tcW w:w="771" w:type="pct"/>
            <w:vAlign w:val="center"/>
          </w:tcPr>
          <w:p>
            <w:pPr>
              <w:jc w:val="center"/>
              <w:rPr>
                <w:kern w:val="0"/>
                <w:szCs w:val="21"/>
              </w:rPr>
            </w:pPr>
            <w:r>
              <w:rPr>
                <w:kern w:val="0"/>
                <w:szCs w:val="21"/>
              </w:rPr>
              <w:t>0.2993</w:t>
            </w:r>
            <w:r>
              <w:rPr>
                <w:kern w:val="0"/>
                <w:szCs w:val="21"/>
                <w:vertAlign w:val="superscript"/>
              </w:rPr>
              <w:t>***</w:t>
            </w:r>
          </w:p>
          <w:p>
            <w:pPr>
              <w:jc w:val="center"/>
              <w:rPr>
                <w:kern w:val="0"/>
                <w:szCs w:val="21"/>
              </w:rPr>
            </w:pPr>
            <w:r>
              <w:rPr>
                <w:kern w:val="0"/>
                <w:szCs w:val="21"/>
              </w:rPr>
              <w:t>(0.0222)</w:t>
            </w:r>
          </w:p>
        </w:tc>
        <w:tc>
          <w:tcPr>
            <w:tcW w:w="771" w:type="pct"/>
            <w:vAlign w:val="center"/>
          </w:tcPr>
          <w:p>
            <w:pPr>
              <w:jc w:val="center"/>
              <w:rPr>
                <w:kern w:val="0"/>
                <w:szCs w:val="21"/>
              </w:rPr>
            </w:pPr>
          </w:p>
        </w:tc>
        <w:tc>
          <w:tcPr>
            <w:tcW w:w="766" w:type="pct"/>
            <w:vAlign w:val="center"/>
          </w:tcPr>
          <w:p>
            <w:pPr>
              <w:jc w:val="center"/>
              <w:rPr>
                <w:kern w:val="0"/>
                <w:szCs w:val="21"/>
              </w:rPr>
            </w:pPr>
            <w:r>
              <w:rPr>
                <w:kern w:val="0"/>
                <w:szCs w:val="21"/>
              </w:rPr>
              <w:t>0.2688</w:t>
            </w:r>
            <w:r>
              <w:rPr>
                <w:kern w:val="0"/>
                <w:szCs w:val="21"/>
                <w:vertAlign w:val="superscript"/>
              </w:rPr>
              <w:t>***</w:t>
            </w:r>
          </w:p>
          <w:p>
            <w:pPr>
              <w:jc w:val="center"/>
              <w:rPr>
                <w:kern w:val="0"/>
                <w:szCs w:val="21"/>
              </w:rPr>
            </w:pPr>
            <w:r>
              <w:rPr>
                <w:kern w:val="0"/>
                <w:szCs w:val="21"/>
              </w:rPr>
              <w:t>(0.0231)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 w:type="pct"/>
            <w:vAlign w:val="center"/>
          </w:tcPr>
          <w:p>
            <w:pPr>
              <w:jc w:val="center"/>
              <w:rPr>
                <w:i/>
                <w:iCs/>
                <w:szCs w:val="21"/>
              </w:rPr>
            </w:pPr>
            <w:r>
              <w:rPr>
                <w:i/>
                <w:iCs/>
                <w:kern w:val="0"/>
                <w:szCs w:val="21"/>
              </w:rPr>
              <w:t>W×Control</w:t>
            </w:r>
          </w:p>
        </w:tc>
        <w:tc>
          <w:tcPr>
            <w:tcW w:w="831" w:type="pct"/>
            <w:vAlign w:val="center"/>
          </w:tcPr>
          <w:p>
            <w:pPr>
              <w:jc w:val="center"/>
              <w:rPr>
                <w:szCs w:val="21"/>
              </w:rPr>
            </w:pPr>
          </w:p>
        </w:tc>
        <w:tc>
          <w:tcPr>
            <w:tcW w:w="832" w:type="pct"/>
            <w:vAlign w:val="center"/>
          </w:tcPr>
          <w:p>
            <w:pPr>
              <w:jc w:val="center"/>
              <w:rPr>
                <w:szCs w:val="21"/>
              </w:rPr>
            </w:pPr>
          </w:p>
        </w:tc>
        <w:tc>
          <w:tcPr>
            <w:tcW w:w="771" w:type="pct"/>
            <w:vAlign w:val="center"/>
          </w:tcPr>
          <w:p>
            <w:pPr>
              <w:jc w:val="center"/>
              <w:rPr>
                <w:szCs w:val="21"/>
              </w:rPr>
            </w:pPr>
            <w:r>
              <w:rPr>
                <w:kern w:val="0"/>
                <w:szCs w:val="21"/>
              </w:rPr>
              <w:t>Yes</w:t>
            </w:r>
          </w:p>
        </w:tc>
        <w:tc>
          <w:tcPr>
            <w:tcW w:w="771" w:type="pct"/>
            <w:vAlign w:val="center"/>
          </w:tcPr>
          <w:p>
            <w:pPr>
              <w:jc w:val="center"/>
              <w:rPr>
                <w:szCs w:val="21"/>
              </w:rPr>
            </w:pPr>
            <w:r>
              <w:rPr>
                <w:kern w:val="0"/>
                <w:szCs w:val="21"/>
              </w:rPr>
              <w:t>Yes</w:t>
            </w:r>
          </w:p>
        </w:tc>
        <w:tc>
          <w:tcPr>
            <w:tcW w:w="766" w:type="pct"/>
            <w:vAlign w:val="center"/>
          </w:tcPr>
          <w:p>
            <w:pPr>
              <w:jc w:val="center"/>
              <w:rPr>
                <w:szCs w:val="21"/>
              </w:rPr>
            </w:pPr>
            <w:r>
              <w:rPr>
                <w:kern w:val="0"/>
                <w:szCs w:val="21"/>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kern w:val="0"/>
                <w:szCs w:val="21"/>
              </w:rPr>
            </w:pPr>
            <w:r>
              <w:rPr>
                <w:i/>
                <w:kern w:val="0"/>
                <w:szCs w:val="21"/>
              </w:rPr>
              <w:t>Sargan test</w:t>
            </w:r>
          </w:p>
        </w:tc>
        <w:tc>
          <w:tcPr>
            <w:tcW w:w="831" w:type="pct"/>
            <w:vAlign w:val="center"/>
          </w:tcPr>
          <w:p>
            <w:pPr>
              <w:jc w:val="center"/>
              <w:rPr>
                <w:szCs w:val="21"/>
              </w:rPr>
            </w:pPr>
          </w:p>
        </w:tc>
        <w:tc>
          <w:tcPr>
            <w:tcW w:w="832" w:type="pct"/>
            <w:vAlign w:val="center"/>
          </w:tcPr>
          <w:p>
            <w:pPr>
              <w:jc w:val="center"/>
              <w:rPr>
                <w:szCs w:val="21"/>
              </w:rPr>
            </w:pPr>
            <w:r>
              <w:rPr>
                <w:szCs w:val="21"/>
              </w:rPr>
              <w:t>26.0727</w:t>
            </w:r>
          </w:p>
          <w:p>
            <w:pPr>
              <w:jc w:val="center"/>
              <w:rPr>
                <w:szCs w:val="21"/>
              </w:rPr>
            </w:pPr>
            <w:r>
              <w:rPr>
                <w:szCs w:val="21"/>
              </w:rPr>
              <w:t>(0.8945)</w:t>
            </w:r>
          </w:p>
        </w:tc>
        <w:tc>
          <w:tcPr>
            <w:tcW w:w="771" w:type="pct"/>
            <w:vAlign w:val="center"/>
          </w:tcPr>
          <w:p>
            <w:pPr>
              <w:jc w:val="center"/>
              <w:rPr>
                <w:szCs w:val="21"/>
              </w:rPr>
            </w:pPr>
          </w:p>
        </w:tc>
        <w:tc>
          <w:tcPr>
            <w:tcW w:w="771" w:type="pct"/>
            <w:vAlign w:val="center"/>
          </w:tcPr>
          <w:p>
            <w:pPr>
              <w:jc w:val="center"/>
              <w:rPr>
                <w:szCs w:val="21"/>
              </w:rPr>
            </w:pPr>
          </w:p>
        </w:tc>
        <w:tc>
          <w:tcPr>
            <w:tcW w:w="766" w:type="pct"/>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29" w:type="pct"/>
            <w:vAlign w:val="center"/>
          </w:tcPr>
          <w:p>
            <w:pPr>
              <w:jc w:val="center"/>
              <w:rPr>
                <w:i/>
                <w:iCs/>
                <w:kern w:val="0"/>
                <w:szCs w:val="21"/>
              </w:rPr>
            </w:pPr>
            <w:r>
              <w:rPr>
                <w:i/>
                <w:iCs/>
                <w:kern w:val="0"/>
                <w:szCs w:val="21"/>
              </w:rPr>
              <w:t>AR（2）</w:t>
            </w:r>
          </w:p>
        </w:tc>
        <w:tc>
          <w:tcPr>
            <w:tcW w:w="831" w:type="pct"/>
            <w:vAlign w:val="center"/>
          </w:tcPr>
          <w:p>
            <w:pPr>
              <w:jc w:val="center"/>
              <w:rPr>
                <w:szCs w:val="21"/>
              </w:rPr>
            </w:pPr>
          </w:p>
        </w:tc>
        <w:tc>
          <w:tcPr>
            <w:tcW w:w="832" w:type="pct"/>
            <w:vAlign w:val="center"/>
          </w:tcPr>
          <w:p>
            <w:pPr>
              <w:jc w:val="center"/>
              <w:rPr>
                <w:szCs w:val="21"/>
              </w:rPr>
            </w:pPr>
            <w:r>
              <w:rPr>
                <w:szCs w:val="21"/>
              </w:rPr>
              <w:t>1.2756</w:t>
            </w:r>
          </w:p>
          <w:p>
            <w:pPr>
              <w:jc w:val="center"/>
              <w:rPr>
                <w:szCs w:val="21"/>
              </w:rPr>
            </w:pPr>
            <w:r>
              <w:rPr>
                <w:szCs w:val="21"/>
              </w:rPr>
              <w:t>(0.4938)</w:t>
            </w:r>
          </w:p>
        </w:tc>
        <w:tc>
          <w:tcPr>
            <w:tcW w:w="771" w:type="pct"/>
            <w:vAlign w:val="center"/>
          </w:tcPr>
          <w:p>
            <w:pPr>
              <w:jc w:val="center"/>
              <w:rPr>
                <w:szCs w:val="21"/>
              </w:rPr>
            </w:pPr>
          </w:p>
        </w:tc>
        <w:tc>
          <w:tcPr>
            <w:tcW w:w="771" w:type="pct"/>
            <w:vAlign w:val="center"/>
          </w:tcPr>
          <w:p>
            <w:pPr>
              <w:jc w:val="center"/>
              <w:rPr>
                <w:szCs w:val="21"/>
              </w:rPr>
            </w:pPr>
          </w:p>
        </w:tc>
        <w:tc>
          <w:tcPr>
            <w:tcW w:w="766" w:type="pct"/>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29" w:type="pct"/>
            <w:vAlign w:val="center"/>
          </w:tcPr>
          <w:p>
            <w:pPr>
              <w:jc w:val="center"/>
              <w:rPr>
                <w:i/>
                <w:iCs/>
                <w:kern w:val="0"/>
                <w:szCs w:val="21"/>
              </w:rPr>
            </w:pPr>
            <w:r>
              <w:rPr>
                <w:i/>
                <w:iCs/>
                <w:kern w:val="0"/>
                <w:szCs w:val="21"/>
              </w:rPr>
              <w:t>R</w:t>
            </w:r>
            <w:r>
              <w:rPr>
                <w:i/>
                <w:iCs/>
                <w:kern w:val="0"/>
                <w:szCs w:val="21"/>
                <w:vertAlign w:val="superscript"/>
              </w:rPr>
              <w:t>2</w:t>
            </w:r>
          </w:p>
        </w:tc>
        <w:tc>
          <w:tcPr>
            <w:tcW w:w="831" w:type="pct"/>
            <w:vAlign w:val="center"/>
          </w:tcPr>
          <w:p>
            <w:pPr>
              <w:jc w:val="center"/>
              <w:rPr>
                <w:szCs w:val="21"/>
              </w:rPr>
            </w:pPr>
            <w:r>
              <w:rPr>
                <w:kern w:val="0"/>
                <w:szCs w:val="21"/>
              </w:rPr>
              <w:t>0.9014</w:t>
            </w:r>
          </w:p>
        </w:tc>
        <w:tc>
          <w:tcPr>
            <w:tcW w:w="832" w:type="pct"/>
            <w:vAlign w:val="center"/>
          </w:tcPr>
          <w:p>
            <w:pPr>
              <w:jc w:val="center"/>
              <w:rPr>
                <w:szCs w:val="21"/>
              </w:rPr>
            </w:pPr>
          </w:p>
        </w:tc>
        <w:tc>
          <w:tcPr>
            <w:tcW w:w="771" w:type="pct"/>
            <w:vAlign w:val="center"/>
          </w:tcPr>
          <w:p>
            <w:pPr>
              <w:jc w:val="center"/>
              <w:rPr>
                <w:szCs w:val="21"/>
              </w:rPr>
            </w:pPr>
            <w:r>
              <w:rPr>
                <w:szCs w:val="21"/>
              </w:rPr>
              <w:t>0.3220</w:t>
            </w:r>
          </w:p>
        </w:tc>
        <w:tc>
          <w:tcPr>
            <w:tcW w:w="771" w:type="pct"/>
            <w:vAlign w:val="center"/>
          </w:tcPr>
          <w:p>
            <w:pPr>
              <w:jc w:val="center"/>
              <w:rPr>
                <w:szCs w:val="21"/>
              </w:rPr>
            </w:pPr>
            <w:r>
              <w:rPr>
                <w:szCs w:val="21"/>
              </w:rPr>
              <w:t>0.3051</w:t>
            </w:r>
          </w:p>
        </w:tc>
        <w:tc>
          <w:tcPr>
            <w:tcW w:w="766" w:type="pct"/>
            <w:vAlign w:val="center"/>
          </w:tcPr>
          <w:p>
            <w:pPr>
              <w:jc w:val="center"/>
              <w:rPr>
                <w:kern w:val="0"/>
                <w:szCs w:val="21"/>
              </w:rPr>
            </w:pPr>
            <w:r>
              <w:rPr>
                <w:kern w:val="0"/>
                <w:szCs w:val="21"/>
              </w:rPr>
              <w:t>0.4934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9" w:type="pct"/>
            <w:vAlign w:val="center"/>
          </w:tcPr>
          <w:p>
            <w:pPr>
              <w:jc w:val="center"/>
              <w:rPr>
                <w:kern w:val="0"/>
                <w:szCs w:val="21"/>
              </w:rPr>
            </w:pPr>
            <w:r>
              <w:rPr>
                <w:kern w:val="0"/>
                <w:szCs w:val="21"/>
              </w:rPr>
              <w:t>城市固定效应</w:t>
            </w:r>
          </w:p>
        </w:tc>
        <w:tc>
          <w:tcPr>
            <w:tcW w:w="831" w:type="pct"/>
            <w:vAlign w:val="center"/>
          </w:tcPr>
          <w:p>
            <w:pPr>
              <w:jc w:val="center"/>
              <w:rPr>
                <w:kern w:val="0"/>
                <w:szCs w:val="21"/>
              </w:rPr>
            </w:pPr>
            <w:r>
              <w:rPr>
                <w:kern w:val="0"/>
                <w:szCs w:val="21"/>
              </w:rPr>
              <w:t>Yes</w:t>
            </w:r>
          </w:p>
        </w:tc>
        <w:tc>
          <w:tcPr>
            <w:tcW w:w="832" w:type="pct"/>
            <w:vAlign w:val="center"/>
          </w:tcPr>
          <w:p>
            <w:pPr>
              <w:jc w:val="center"/>
              <w:rPr>
                <w:kern w:val="0"/>
                <w:szCs w:val="21"/>
              </w:rPr>
            </w:pPr>
            <w:r>
              <w:rPr>
                <w:kern w:val="0"/>
                <w:szCs w:val="21"/>
              </w:rPr>
              <w:t>Yes</w:t>
            </w:r>
          </w:p>
        </w:tc>
        <w:tc>
          <w:tcPr>
            <w:tcW w:w="771" w:type="pct"/>
            <w:vAlign w:val="center"/>
          </w:tcPr>
          <w:p>
            <w:pPr>
              <w:jc w:val="center"/>
              <w:rPr>
                <w:szCs w:val="21"/>
              </w:rPr>
            </w:pPr>
            <w:r>
              <w:rPr>
                <w:kern w:val="0"/>
                <w:szCs w:val="21"/>
              </w:rPr>
              <w:t>Yes</w:t>
            </w:r>
          </w:p>
        </w:tc>
        <w:tc>
          <w:tcPr>
            <w:tcW w:w="771" w:type="pct"/>
            <w:vAlign w:val="center"/>
          </w:tcPr>
          <w:p>
            <w:pPr>
              <w:jc w:val="center"/>
              <w:rPr>
                <w:szCs w:val="21"/>
              </w:rPr>
            </w:pPr>
            <w:r>
              <w:rPr>
                <w:kern w:val="0"/>
                <w:szCs w:val="21"/>
              </w:rPr>
              <w:t>Yes</w:t>
            </w:r>
          </w:p>
        </w:tc>
        <w:tc>
          <w:tcPr>
            <w:tcW w:w="766" w:type="pct"/>
            <w:vAlign w:val="center"/>
          </w:tcPr>
          <w:p>
            <w:pPr>
              <w:jc w:val="center"/>
              <w:rPr>
                <w:kern w:val="0"/>
                <w:szCs w:val="21"/>
              </w:rPr>
            </w:pPr>
            <w:r>
              <w:rPr>
                <w:kern w:val="0"/>
                <w:szCs w:val="21"/>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29" w:type="pct"/>
            <w:vAlign w:val="center"/>
          </w:tcPr>
          <w:p>
            <w:pPr>
              <w:jc w:val="center"/>
              <w:rPr>
                <w:kern w:val="0"/>
                <w:szCs w:val="21"/>
              </w:rPr>
            </w:pPr>
            <w:r>
              <w:rPr>
                <w:kern w:val="0"/>
                <w:szCs w:val="21"/>
              </w:rPr>
              <w:t>时间固定效应</w:t>
            </w:r>
          </w:p>
        </w:tc>
        <w:tc>
          <w:tcPr>
            <w:tcW w:w="831" w:type="pct"/>
            <w:vAlign w:val="center"/>
          </w:tcPr>
          <w:p>
            <w:pPr>
              <w:jc w:val="center"/>
              <w:rPr>
                <w:kern w:val="0"/>
                <w:szCs w:val="21"/>
              </w:rPr>
            </w:pPr>
            <w:r>
              <w:rPr>
                <w:kern w:val="0"/>
                <w:szCs w:val="21"/>
              </w:rPr>
              <w:t>Yes</w:t>
            </w:r>
          </w:p>
        </w:tc>
        <w:tc>
          <w:tcPr>
            <w:tcW w:w="832" w:type="pct"/>
            <w:vAlign w:val="center"/>
          </w:tcPr>
          <w:p>
            <w:pPr>
              <w:jc w:val="center"/>
              <w:rPr>
                <w:kern w:val="0"/>
                <w:szCs w:val="21"/>
              </w:rPr>
            </w:pPr>
            <w:r>
              <w:rPr>
                <w:kern w:val="0"/>
                <w:szCs w:val="21"/>
              </w:rPr>
              <w:t>Yes</w:t>
            </w:r>
          </w:p>
        </w:tc>
        <w:tc>
          <w:tcPr>
            <w:tcW w:w="771" w:type="pct"/>
            <w:vAlign w:val="center"/>
          </w:tcPr>
          <w:p>
            <w:pPr>
              <w:jc w:val="center"/>
              <w:rPr>
                <w:szCs w:val="21"/>
              </w:rPr>
            </w:pPr>
            <w:r>
              <w:rPr>
                <w:kern w:val="0"/>
                <w:szCs w:val="21"/>
              </w:rPr>
              <w:t>Yes</w:t>
            </w:r>
          </w:p>
        </w:tc>
        <w:tc>
          <w:tcPr>
            <w:tcW w:w="771" w:type="pct"/>
            <w:vAlign w:val="center"/>
          </w:tcPr>
          <w:p>
            <w:pPr>
              <w:jc w:val="center"/>
              <w:rPr>
                <w:szCs w:val="21"/>
              </w:rPr>
            </w:pPr>
            <w:r>
              <w:rPr>
                <w:kern w:val="0"/>
                <w:szCs w:val="21"/>
              </w:rPr>
              <w:t>Yes</w:t>
            </w:r>
          </w:p>
        </w:tc>
        <w:tc>
          <w:tcPr>
            <w:tcW w:w="766" w:type="pct"/>
            <w:vAlign w:val="center"/>
          </w:tcPr>
          <w:p>
            <w:pPr>
              <w:jc w:val="center"/>
              <w:rPr>
                <w:kern w:val="0"/>
                <w:szCs w:val="21"/>
              </w:rPr>
            </w:pPr>
            <w:r>
              <w:rPr>
                <w:kern w:val="0"/>
                <w:szCs w:val="21"/>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29" w:type="pct"/>
            <w:vAlign w:val="center"/>
          </w:tcPr>
          <w:p>
            <w:pPr>
              <w:jc w:val="center"/>
              <w:rPr>
                <w:kern w:val="0"/>
                <w:szCs w:val="21"/>
              </w:rPr>
            </w:pPr>
            <w:r>
              <w:rPr>
                <w:kern w:val="0"/>
                <w:szCs w:val="21"/>
              </w:rPr>
              <w:t>样本量</w:t>
            </w:r>
          </w:p>
        </w:tc>
        <w:tc>
          <w:tcPr>
            <w:tcW w:w="831" w:type="pct"/>
            <w:vAlign w:val="center"/>
          </w:tcPr>
          <w:p>
            <w:pPr>
              <w:jc w:val="center"/>
              <w:rPr>
                <w:iCs/>
                <w:kern w:val="0"/>
                <w:szCs w:val="21"/>
              </w:rPr>
            </w:pPr>
            <w:r>
              <w:rPr>
                <w:iCs/>
                <w:kern w:val="0"/>
                <w:szCs w:val="21"/>
              </w:rPr>
              <w:t>4641</w:t>
            </w:r>
          </w:p>
        </w:tc>
        <w:tc>
          <w:tcPr>
            <w:tcW w:w="832" w:type="pct"/>
            <w:vAlign w:val="center"/>
          </w:tcPr>
          <w:p>
            <w:pPr>
              <w:jc w:val="center"/>
              <w:rPr>
                <w:iCs/>
                <w:kern w:val="0"/>
                <w:szCs w:val="21"/>
              </w:rPr>
            </w:pPr>
            <w:r>
              <w:rPr>
                <w:iCs/>
                <w:kern w:val="0"/>
                <w:szCs w:val="21"/>
              </w:rPr>
              <w:t>4368</w:t>
            </w:r>
          </w:p>
        </w:tc>
        <w:tc>
          <w:tcPr>
            <w:tcW w:w="771" w:type="pct"/>
            <w:vAlign w:val="center"/>
          </w:tcPr>
          <w:p>
            <w:pPr>
              <w:jc w:val="center"/>
              <w:rPr>
                <w:szCs w:val="21"/>
              </w:rPr>
            </w:pPr>
            <w:r>
              <w:rPr>
                <w:iCs/>
                <w:kern w:val="0"/>
                <w:szCs w:val="21"/>
              </w:rPr>
              <w:t>4641</w:t>
            </w:r>
          </w:p>
        </w:tc>
        <w:tc>
          <w:tcPr>
            <w:tcW w:w="771" w:type="pct"/>
            <w:vAlign w:val="center"/>
          </w:tcPr>
          <w:p>
            <w:pPr>
              <w:jc w:val="center"/>
              <w:rPr>
                <w:szCs w:val="21"/>
              </w:rPr>
            </w:pPr>
            <w:r>
              <w:rPr>
                <w:iCs/>
                <w:kern w:val="0"/>
                <w:szCs w:val="21"/>
              </w:rPr>
              <w:t>4641</w:t>
            </w:r>
          </w:p>
        </w:tc>
        <w:tc>
          <w:tcPr>
            <w:tcW w:w="766" w:type="pct"/>
            <w:vAlign w:val="center"/>
          </w:tcPr>
          <w:p>
            <w:pPr>
              <w:jc w:val="center"/>
              <w:rPr>
                <w:kern w:val="0"/>
                <w:szCs w:val="21"/>
              </w:rPr>
            </w:pPr>
            <w:r>
              <w:rPr>
                <w:iCs/>
                <w:kern w:val="0"/>
                <w:szCs w:val="21"/>
              </w:rPr>
              <w:t>4641</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注：各变量括号内采用城市层面聚类稳健标准误；*、**和***分别表示在10%、5%和1%的置信水平下显著。</w:t>
      </w:r>
    </w:p>
    <w:p>
      <w:pPr>
        <w:spacing w:after="178" w:afterLines="50"/>
        <w:ind w:firstLine="420" w:firstLineChars="200"/>
      </w:pPr>
      <w:r>
        <w:t>由以上表4可知，尽管空间计量模型和最小二乘估计在部分解释变量的估计结果中存在细微差别，但从总体来看，地方政府进行税收竞争在很大程度上不利于地区间经济均衡发展已是不争事实。具体而言，第（1）列为考察地方政府税收竞争对经济发展不平衡的OLS估计结果，在控制个体和时间双重固定效应后可以看出，地方政府税收竞争加剧会导致地区经济发展不平衡程度加深，而且这一效果在5%的置信水平下成立。然而尽管固定效应能够吸收不可观测性遗漏变量可能对回归结果造成的实质性影响，</w:t>
      </w:r>
      <w:r>
        <w:rPr>
          <w:szCs w:val="21"/>
        </w:rPr>
        <w:t>但如果解释变量和误差项的严格外生假定得不到满足，固定效应方法估计值将是有偏的。因此，</w:t>
      </w:r>
      <w:r>
        <w:t>为消除模型可能存在的内生性问题，第（2）列本文采用系统GMM对模型进行估计，选择解释变量的滞后项作为工具变量，结果表明地方政府税收竞争与地区经济发展不平衡之间依旧呈现显著的正相关关系；随后，第（3）－（5）列为基于式（15）进行空间计量估计，结果表明空间自回归系数</w:t>
      </w:r>
      <w:r>
        <w:rPr>
          <w:i/>
        </w:rPr>
        <w:t>ρ</w:t>
      </w:r>
      <w:r>
        <w:t>均在1%置信水平上显著，这意味着模型中不仅存在解释变量的外生交互效应，而且存在被解释变量的内生交互效应。在三种模型设定下，地区之间税收竞争程度每提高1%，会引致经济发展不平衡程度提高0.30%、0.29%、0.23%，且上述回归结果均在1%的统计水平上显著。回归结果表明，地方政府之间不仅存在策略互动的税收竞争行为，而且对于地区经济发展不均衡具有正向影响。</w:t>
      </w:r>
    </w:p>
    <w:p>
      <w:pPr>
        <w:ind w:firstLine="420" w:firstLineChars="200"/>
        <w:rPr>
          <w:rFonts w:eastAsia="黑体"/>
        </w:rPr>
      </w:pPr>
      <w:r>
        <w:rPr>
          <w:rFonts w:eastAsia="黑体"/>
        </w:rPr>
        <w:t>（三）空间计量模型结果分析</w:t>
      </w:r>
    </w:p>
    <w:p>
      <w:pPr>
        <w:spacing w:line="360" w:lineRule="exact"/>
        <w:ind w:firstLine="420" w:firstLineChars="200"/>
      </w:pPr>
      <w:r>
        <w:t>由于利用简单的点估计结果无法有效分析地区间的空间溢出效应和各变量的边际影响，因此，本文借鉴Lesage &amp; Pace（2008）的方法，对解释变量进行偏微分处理将其对地区经济发展不平衡的影响分解为直接效应和间接效应，即通过直接效应来解释本地自变量对该地区因变量的影响效果，通过间接效应来解释本地自变量对于相邻地区因变量的空间溢出效应，具体分解后的回归结果见表5所示。</w:t>
      </w:r>
    </w:p>
    <w:p>
      <w:pPr>
        <w:spacing w:before="178" w:beforeLines="50"/>
        <w:jc w:val="center"/>
        <w:rPr>
          <w:rFonts w:eastAsia="楷体"/>
          <w:szCs w:val="21"/>
        </w:rPr>
      </w:pPr>
      <w:r>
        <w:rPr>
          <w:rFonts w:eastAsia="楷体"/>
          <w:szCs w:val="21"/>
        </w:rPr>
        <w:t>表5  地方政府税收竞争对地区经济发展不平衡的直接效应和间接效应</w:t>
      </w:r>
    </w:p>
    <w:tbl>
      <w:tblPr>
        <w:tblStyle w:val="14"/>
        <w:tblW w:w="0" w:type="auto"/>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803"/>
        <w:gridCol w:w="1803"/>
        <w:gridCol w:w="1803"/>
        <w:gridCol w:w="1803"/>
        <w:gridCol w:w="1804"/>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Merge w:val="restart"/>
            <w:vAlign w:val="center"/>
          </w:tcPr>
          <w:p>
            <w:pPr>
              <w:spacing w:line="360" w:lineRule="exact"/>
              <w:jc w:val="center"/>
              <w:rPr>
                <w:szCs w:val="21"/>
              </w:rPr>
            </w:pPr>
            <w:r>
              <w:rPr>
                <w:szCs w:val="21"/>
              </w:rPr>
              <w:t>变量</w:t>
            </w:r>
          </w:p>
        </w:tc>
        <w:tc>
          <w:tcPr>
            <w:tcW w:w="3606" w:type="dxa"/>
            <w:gridSpan w:val="2"/>
            <w:vAlign w:val="center"/>
          </w:tcPr>
          <w:p>
            <w:pPr>
              <w:spacing w:line="360" w:lineRule="exact"/>
              <w:jc w:val="center"/>
              <w:rPr>
                <w:szCs w:val="21"/>
              </w:rPr>
            </w:pPr>
            <w:r>
              <w:rPr>
                <w:szCs w:val="21"/>
              </w:rPr>
              <w:t>直接效应</w:t>
            </w:r>
          </w:p>
        </w:tc>
        <w:tc>
          <w:tcPr>
            <w:tcW w:w="3607" w:type="dxa"/>
            <w:gridSpan w:val="2"/>
            <w:vAlign w:val="center"/>
          </w:tcPr>
          <w:p>
            <w:pPr>
              <w:spacing w:line="360" w:lineRule="exact"/>
              <w:jc w:val="center"/>
              <w:rPr>
                <w:szCs w:val="21"/>
              </w:rPr>
            </w:pPr>
            <w:r>
              <w:rPr>
                <w:szCs w:val="21"/>
              </w:rPr>
              <w:t>间接效应</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Merge w:val="continue"/>
            <w:vAlign w:val="center"/>
          </w:tcPr>
          <w:p>
            <w:pPr>
              <w:spacing w:line="360" w:lineRule="exact"/>
              <w:jc w:val="center"/>
              <w:rPr>
                <w:szCs w:val="21"/>
              </w:rPr>
            </w:pPr>
          </w:p>
        </w:tc>
        <w:tc>
          <w:tcPr>
            <w:tcW w:w="1803" w:type="dxa"/>
            <w:vAlign w:val="center"/>
          </w:tcPr>
          <w:p>
            <w:pPr>
              <w:spacing w:line="360" w:lineRule="exact"/>
              <w:jc w:val="center"/>
              <w:rPr>
                <w:szCs w:val="21"/>
              </w:rPr>
            </w:pPr>
            <w:r>
              <w:rPr>
                <w:szCs w:val="21"/>
              </w:rPr>
              <w:t>系数</w:t>
            </w:r>
          </w:p>
        </w:tc>
        <w:tc>
          <w:tcPr>
            <w:tcW w:w="1803" w:type="dxa"/>
            <w:vAlign w:val="center"/>
          </w:tcPr>
          <w:p>
            <w:pPr>
              <w:spacing w:line="360" w:lineRule="exact"/>
              <w:jc w:val="center"/>
              <w:rPr>
                <w:szCs w:val="21"/>
              </w:rPr>
            </w:pPr>
            <w:r>
              <w:rPr>
                <w:szCs w:val="21"/>
              </w:rPr>
              <w:t>标准误</w:t>
            </w:r>
          </w:p>
        </w:tc>
        <w:tc>
          <w:tcPr>
            <w:tcW w:w="1803" w:type="dxa"/>
            <w:vAlign w:val="center"/>
          </w:tcPr>
          <w:p>
            <w:pPr>
              <w:spacing w:line="360" w:lineRule="exact"/>
              <w:jc w:val="center"/>
              <w:rPr>
                <w:szCs w:val="21"/>
              </w:rPr>
            </w:pPr>
            <w:r>
              <w:rPr>
                <w:szCs w:val="21"/>
              </w:rPr>
              <w:t>系数</w:t>
            </w:r>
          </w:p>
        </w:tc>
        <w:tc>
          <w:tcPr>
            <w:tcW w:w="1804" w:type="dxa"/>
            <w:vAlign w:val="center"/>
          </w:tcPr>
          <w:p>
            <w:pPr>
              <w:spacing w:line="360" w:lineRule="exact"/>
              <w:jc w:val="center"/>
              <w:rPr>
                <w:szCs w:val="21"/>
              </w:rPr>
            </w:pPr>
            <w:r>
              <w:rPr>
                <w:szCs w:val="21"/>
              </w:rPr>
              <w:t>标准误</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i/>
                <w:iCs/>
                <w:szCs w:val="21"/>
              </w:rPr>
              <w:t>Taxcom</w:t>
            </w:r>
          </w:p>
        </w:tc>
        <w:tc>
          <w:tcPr>
            <w:tcW w:w="1803" w:type="dxa"/>
            <w:vAlign w:val="center"/>
          </w:tcPr>
          <w:p>
            <w:pPr>
              <w:spacing w:line="360" w:lineRule="exact"/>
              <w:jc w:val="center"/>
              <w:rPr>
                <w:szCs w:val="21"/>
              </w:rPr>
            </w:pPr>
            <w:r>
              <w:rPr>
                <w:szCs w:val="21"/>
              </w:rPr>
              <w:t>0.2641***</w:t>
            </w:r>
          </w:p>
        </w:tc>
        <w:tc>
          <w:tcPr>
            <w:tcW w:w="1803" w:type="dxa"/>
            <w:vAlign w:val="center"/>
          </w:tcPr>
          <w:p>
            <w:pPr>
              <w:spacing w:line="360" w:lineRule="exact"/>
              <w:jc w:val="center"/>
              <w:rPr>
                <w:szCs w:val="21"/>
              </w:rPr>
            </w:pPr>
            <w:r>
              <w:rPr>
                <w:szCs w:val="21"/>
              </w:rPr>
              <w:t>0.0913</w:t>
            </w:r>
          </w:p>
        </w:tc>
        <w:tc>
          <w:tcPr>
            <w:tcW w:w="1803" w:type="dxa"/>
            <w:vAlign w:val="center"/>
          </w:tcPr>
          <w:p>
            <w:pPr>
              <w:spacing w:line="360" w:lineRule="exact"/>
              <w:jc w:val="center"/>
              <w:rPr>
                <w:szCs w:val="21"/>
              </w:rPr>
            </w:pPr>
            <w:r>
              <w:rPr>
                <w:szCs w:val="21"/>
              </w:rPr>
              <w:t>0.8465***</w:t>
            </w:r>
          </w:p>
        </w:tc>
        <w:tc>
          <w:tcPr>
            <w:tcW w:w="1804" w:type="dxa"/>
            <w:vAlign w:val="center"/>
          </w:tcPr>
          <w:p>
            <w:pPr>
              <w:spacing w:line="360" w:lineRule="exact"/>
              <w:jc w:val="center"/>
              <w:rPr>
                <w:szCs w:val="21"/>
              </w:rPr>
            </w:pPr>
            <w:r>
              <w:rPr>
                <w:szCs w:val="21"/>
              </w:rPr>
              <w:t>0.3165</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GDP</w:t>
            </w:r>
          </w:p>
        </w:tc>
        <w:tc>
          <w:tcPr>
            <w:tcW w:w="1803" w:type="dxa"/>
            <w:vAlign w:val="center"/>
          </w:tcPr>
          <w:p>
            <w:pPr>
              <w:jc w:val="center"/>
              <w:rPr>
                <w:szCs w:val="21"/>
              </w:rPr>
            </w:pPr>
            <w:r>
              <w:rPr>
                <w:szCs w:val="21"/>
              </w:rPr>
              <w:t>-0.0010**</w:t>
            </w:r>
          </w:p>
        </w:tc>
        <w:tc>
          <w:tcPr>
            <w:tcW w:w="1803" w:type="dxa"/>
            <w:vAlign w:val="center"/>
          </w:tcPr>
          <w:p>
            <w:pPr>
              <w:spacing w:line="360" w:lineRule="exact"/>
              <w:jc w:val="center"/>
              <w:rPr>
                <w:szCs w:val="21"/>
              </w:rPr>
            </w:pPr>
            <w:r>
              <w:rPr>
                <w:szCs w:val="21"/>
              </w:rPr>
              <w:t>0.0004</w:t>
            </w:r>
          </w:p>
        </w:tc>
        <w:tc>
          <w:tcPr>
            <w:tcW w:w="1803" w:type="dxa"/>
            <w:vAlign w:val="center"/>
          </w:tcPr>
          <w:p>
            <w:pPr>
              <w:spacing w:line="360" w:lineRule="exact"/>
              <w:jc w:val="center"/>
              <w:rPr>
                <w:szCs w:val="21"/>
              </w:rPr>
            </w:pPr>
            <w:r>
              <w:rPr>
                <w:szCs w:val="21"/>
              </w:rPr>
              <w:t>-0.0044***</w:t>
            </w:r>
          </w:p>
        </w:tc>
        <w:tc>
          <w:tcPr>
            <w:tcW w:w="1804" w:type="dxa"/>
            <w:vAlign w:val="center"/>
          </w:tcPr>
          <w:p>
            <w:pPr>
              <w:spacing w:line="360" w:lineRule="exact"/>
              <w:jc w:val="center"/>
              <w:rPr>
                <w:szCs w:val="21"/>
              </w:rPr>
            </w:pPr>
            <w:r>
              <w:rPr>
                <w:szCs w:val="21"/>
              </w:rPr>
              <w:t>0.0013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industry</w:t>
            </w:r>
          </w:p>
        </w:tc>
        <w:tc>
          <w:tcPr>
            <w:tcW w:w="1803" w:type="dxa"/>
            <w:vAlign w:val="center"/>
          </w:tcPr>
          <w:p>
            <w:pPr>
              <w:spacing w:line="360" w:lineRule="exact"/>
              <w:jc w:val="center"/>
              <w:rPr>
                <w:szCs w:val="21"/>
              </w:rPr>
            </w:pPr>
            <w:r>
              <w:rPr>
                <w:szCs w:val="21"/>
              </w:rPr>
              <w:t>-0.3430***</w:t>
            </w:r>
          </w:p>
        </w:tc>
        <w:tc>
          <w:tcPr>
            <w:tcW w:w="1803" w:type="dxa"/>
            <w:vAlign w:val="center"/>
          </w:tcPr>
          <w:p>
            <w:pPr>
              <w:spacing w:line="360" w:lineRule="exact"/>
              <w:jc w:val="center"/>
              <w:rPr>
                <w:szCs w:val="21"/>
              </w:rPr>
            </w:pPr>
            <w:r>
              <w:rPr>
                <w:szCs w:val="21"/>
              </w:rPr>
              <w:t>0.0432</w:t>
            </w:r>
          </w:p>
        </w:tc>
        <w:tc>
          <w:tcPr>
            <w:tcW w:w="1803" w:type="dxa"/>
            <w:vAlign w:val="center"/>
          </w:tcPr>
          <w:p>
            <w:pPr>
              <w:spacing w:line="360" w:lineRule="exact"/>
              <w:jc w:val="center"/>
              <w:rPr>
                <w:szCs w:val="21"/>
              </w:rPr>
            </w:pPr>
            <w:r>
              <w:rPr>
                <w:szCs w:val="21"/>
              </w:rPr>
              <w:t>-0.3137**</w:t>
            </w:r>
          </w:p>
        </w:tc>
        <w:tc>
          <w:tcPr>
            <w:tcW w:w="1804" w:type="dxa"/>
            <w:vAlign w:val="center"/>
          </w:tcPr>
          <w:p>
            <w:pPr>
              <w:spacing w:line="360" w:lineRule="exact"/>
              <w:jc w:val="center"/>
              <w:rPr>
                <w:szCs w:val="21"/>
              </w:rPr>
            </w:pPr>
            <w:r>
              <w:rPr>
                <w:szCs w:val="21"/>
              </w:rPr>
              <w:t>0.1453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market</w:t>
            </w:r>
          </w:p>
        </w:tc>
        <w:tc>
          <w:tcPr>
            <w:tcW w:w="1803" w:type="dxa"/>
            <w:vAlign w:val="center"/>
          </w:tcPr>
          <w:p>
            <w:pPr>
              <w:spacing w:line="360" w:lineRule="exact"/>
              <w:jc w:val="center"/>
              <w:rPr>
                <w:szCs w:val="21"/>
              </w:rPr>
            </w:pPr>
            <w:r>
              <w:rPr>
                <w:szCs w:val="21"/>
              </w:rPr>
              <w:t>-0.0009</w:t>
            </w:r>
          </w:p>
        </w:tc>
        <w:tc>
          <w:tcPr>
            <w:tcW w:w="1803" w:type="dxa"/>
            <w:vAlign w:val="center"/>
          </w:tcPr>
          <w:p>
            <w:pPr>
              <w:spacing w:line="360" w:lineRule="exact"/>
              <w:jc w:val="center"/>
              <w:rPr>
                <w:szCs w:val="21"/>
              </w:rPr>
            </w:pPr>
            <w:r>
              <w:rPr>
                <w:szCs w:val="21"/>
              </w:rPr>
              <w:t>0.0022</w:t>
            </w:r>
          </w:p>
        </w:tc>
        <w:tc>
          <w:tcPr>
            <w:tcW w:w="1803" w:type="dxa"/>
            <w:vAlign w:val="center"/>
          </w:tcPr>
          <w:p>
            <w:pPr>
              <w:spacing w:line="360" w:lineRule="exact"/>
              <w:jc w:val="center"/>
              <w:rPr>
                <w:szCs w:val="21"/>
              </w:rPr>
            </w:pPr>
            <w:r>
              <w:rPr>
                <w:szCs w:val="21"/>
              </w:rPr>
              <w:t>0.0191**</w:t>
            </w:r>
          </w:p>
        </w:tc>
        <w:tc>
          <w:tcPr>
            <w:tcW w:w="1804" w:type="dxa"/>
            <w:vAlign w:val="center"/>
          </w:tcPr>
          <w:p>
            <w:pPr>
              <w:spacing w:line="360" w:lineRule="exact"/>
              <w:jc w:val="center"/>
              <w:rPr>
                <w:szCs w:val="21"/>
              </w:rPr>
            </w:pPr>
            <w:r>
              <w:rPr>
                <w:szCs w:val="21"/>
              </w:rPr>
              <w:t>0.0083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finance</w:t>
            </w:r>
          </w:p>
        </w:tc>
        <w:tc>
          <w:tcPr>
            <w:tcW w:w="1803" w:type="dxa"/>
            <w:vAlign w:val="center"/>
          </w:tcPr>
          <w:p>
            <w:pPr>
              <w:spacing w:line="360" w:lineRule="exact"/>
              <w:jc w:val="center"/>
              <w:rPr>
                <w:szCs w:val="21"/>
              </w:rPr>
            </w:pPr>
            <w:r>
              <w:rPr>
                <w:szCs w:val="21"/>
              </w:rPr>
              <w:t>-0.0026</w:t>
            </w:r>
          </w:p>
        </w:tc>
        <w:tc>
          <w:tcPr>
            <w:tcW w:w="1803" w:type="dxa"/>
            <w:vAlign w:val="center"/>
          </w:tcPr>
          <w:p>
            <w:pPr>
              <w:spacing w:line="360" w:lineRule="exact"/>
              <w:jc w:val="center"/>
              <w:rPr>
                <w:szCs w:val="21"/>
              </w:rPr>
            </w:pPr>
            <w:r>
              <w:rPr>
                <w:szCs w:val="21"/>
              </w:rPr>
              <w:t>0.0029</w:t>
            </w:r>
          </w:p>
        </w:tc>
        <w:tc>
          <w:tcPr>
            <w:tcW w:w="1803" w:type="dxa"/>
            <w:vAlign w:val="center"/>
          </w:tcPr>
          <w:p>
            <w:pPr>
              <w:spacing w:line="360" w:lineRule="exact"/>
              <w:jc w:val="center"/>
              <w:rPr>
                <w:szCs w:val="21"/>
              </w:rPr>
            </w:pPr>
            <w:r>
              <w:rPr>
                <w:szCs w:val="21"/>
              </w:rPr>
              <w:t>0.0004</w:t>
            </w:r>
          </w:p>
        </w:tc>
        <w:tc>
          <w:tcPr>
            <w:tcW w:w="1804" w:type="dxa"/>
            <w:vAlign w:val="center"/>
          </w:tcPr>
          <w:p>
            <w:pPr>
              <w:spacing w:line="360" w:lineRule="exact"/>
              <w:jc w:val="center"/>
              <w:rPr>
                <w:szCs w:val="21"/>
              </w:rPr>
            </w:pPr>
            <w:r>
              <w:rPr>
                <w:szCs w:val="21"/>
              </w:rPr>
              <w:t>0.0108</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gov</w:t>
            </w:r>
          </w:p>
        </w:tc>
        <w:tc>
          <w:tcPr>
            <w:tcW w:w="1803" w:type="dxa"/>
            <w:vAlign w:val="center"/>
          </w:tcPr>
          <w:p>
            <w:pPr>
              <w:spacing w:line="360" w:lineRule="exact"/>
              <w:jc w:val="center"/>
              <w:rPr>
                <w:szCs w:val="21"/>
              </w:rPr>
            </w:pPr>
            <w:r>
              <w:rPr>
                <w:szCs w:val="21"/>
              </w:rPr>
              <w:t>-0.1116***</w:t>
            </w:r>
          </w:p>
        </w:tc>
        <w:tc>
          <w:tcPr>
            <w:tcW w:w="1803" w:type="dxa"/>
            <w:vAlign w:val="center"/>
          </w:tcPr>
          <w:p>
            <w:pPr>
              <w:spacing w:line="360" w:lineRule="exact"/>
              <w:jc w:val="center"/>
              <w:rPr>
                <w:szCs w:val="21"/>
              </w:rPr>
            </w:pPr>
            <w:r>
              <w:rPr>
                <w:szCs w:val="21"/>
              </w:rPr>
              <w:t>0.0406</w:t>
            </w:r>
          </w:p>
        </w:tc>
        <w:tc>
          <w:tcPr>
            <w:tcW w:w="1803" w:type="dxa"/>
            <w:vAlign w:val="center"/>
          </w:tcPr>
          <w:p>
            <w:pPr>
              <w:spacing w:line="360" w:lineRule="exact"/>
              <w:jc w:val="center"/>
              <w:rPr>
                <w:szCs w:val="21"/>
              </w:rPr>
            </w:pPr>
            <w:r>
              <w:rPr>
                <w:szCs w:val="21"/>
              </w:rPr>
              <w:t>-0.3201***</w:t>
            </w:r>
          </w:p>
        </w:tc>
        <w:tc>
          <w:tcPr>
            <w:tcW w:w="1804" w:type="dxa"/>
            <w:vAlign w:val="center"/>
          </w:tcPr>
          <w:p>
            <w:pPr>
              <w:spacing w:line="360" w:lineRule="exact"/>
              <w:jc w:val="center"/>
              <w:rPr>
                <w:szCs w:val="21"/>
              </w:rPr>
            </w:pPr>
            <w:r>
              <w:rPr>
                <w:szCs w:val="21"/>
              </w:rPr>
              <w:t>0.1217</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edu</w:t>
            </w:r>
          </w:p>
        </w:tc>
        <w:tc>
          <w:tcPr>
            <w:tcW w:w="1803" w:type="dxa"/>
            <w:vAlign w:val="center"/>
          </w:tcPr>
          <w:p>
            <w:pPr>
              <w:spacing w:line="360" w:lineRule="exact"/>
              <w:jc w:val="center"/>
              <w:rPr>
                <w:szCs w:val="21"/>
              </w:rPr>
            </w:pPr>
            <w:r>
              <w:rPr>
                <w:szCs w:val="21"/>
              </w:rPr>
              <w:t>-0.0374</w:t>
            </w:r>
          </w:p>
        </w:tc>
        <w:tc>
          <w:tcPr>
            <w:tcW w:w="1803" w:type="dxa"/>
            <w:vAlign w:val="center"/>
          </w:tcPr>
          <w:p>
            <w:pPr>
              <w:spacing w:line="360" w:lineRule="exact"/>
              <w:jc w:val="center"/>
              <w:rPr>
                <w:szCs w:val="21"/>
              </w:rPr>
            </w:pPr>
            <w:r>
              <w:rPr>
                <w:szCs w:val="21"/>
              </w:rPr>
              <w:t>0.1708</w:t>
            </w:r>
          </w:p>
        </w:tc>
        <w:tc>
          <w:tcPr>
            <w:tcW w:w="1803" w:type="dxa"/>
            <w:vAlign w:val="center"/>
          </w:tcPr>
          <w:p>
            <w:pPr>
              <w:spacing w:line="360" w:lineRule="exact"/>
              <w:jc w:val="center"/>
              <w:rPr>
                <w:szCs w:val="21"/>
              </w:rPr>
            </w:pPr>
            <w:r>
              <w:rPr>
                <w:szCs w:val="21"/>
              </w:rPr>
              <w:t>0.8111</w:t>
            </w:r>
          </w:p>
        </w:tc>
        <w:tc>
          <w:tcPr>
            <w:tcW w:w="1804" w:type="dxa"/>
            <w:vAlign w:val="center"/>
          </w:tcPr>
          <w:p>
            <w:pPr>
              <w:spacing w:line="360" w:lineRule="exact"/>
              <w:jc w:val="center"/>
              <w:rPr>
                <w:szCs w:val="21"/>
              </w:rPr>
            </w:pPr>
            <w:r>
              <w:rPr>
                <w:szCs w:val="21"/>
              </w:rPr>
              <w:t>0.61</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open</w:t>
            </w:r>
          </w:p>
        </w:tc>
        <w:tc>
          <w:tcPr>
            <w:tcW w:w="1803" w:type="dxa"/>
            <w:vAlign w:val="center"/>
          </w:tcPr>
          <w:p>
            <w:pPr>
              <w:spacing w:line="360" w:lineRule="exact"/>
              <w:jc w:val="center"/>
              <w:rPr>
                <w:szCs w:val="21"/>
              </w:rPr>
            </w:pPr>
            <w:r>
              <w:rPr>
                <w:szCs w:val="21"/>
              </w:rPr>
              <w:t>-0.1904</w:t>
            </w:r>
          </w:p>
        </w:tc>
        <w:tc>
          <w:tcPr>
            <w:tcW w:w="1803" w:type="dxa"/>
            <w:vAlign w:val="center"/>
          </w:tcPr>
          <w:p>
            <w:pPr>
              <w:spacing w:line="360" w:lineRule="exact"/>
              <w:jc w:val="center"/>
              <w:rPr>
                <w:szCs w:val="21"/>
              </w:rPr>
            </w:pPr>
            <w:r>
              <w:rPr>
                <w:szCs w:val="21"/>
              </w:rPr>
              <w:t>0.5559</w:t>
            </w:r>
          </w:p>
        </w:tc>
        <w:tc>
          <w:tcPr>
            <w:tcW w:w="1803" w:type="dxa"/>
            <w:vAlign w:val="center"/>
          </w:tcPr>
          <w:p>
            <w:pPr>
              <w:spacing w:line="360" w:lineRule="exact"/>
              <w:jc w:val="center"/>
              <w:rPr>
                <w:szCs w:val="21"/>
              </w:rPr>
            </w:pPr>
            <w:r>
              <w:rPr>
                <w:szCs w:val="21"/>
              </w:rPr>
              <w:t>0.7014</w:t>
            </w:r>
          </w:p>
        </w:tc>
        <w:tc>
          <w:tcPr>
            <w:tcW w:w="1804" w:type="dxa"/>
            <w:vAlign w:val="center"/>
          </w:tcPr>
          <w:p>
            <w:pPr>
              <w:spacing w:line="360" w:lineRule="exact"/>
              <w:jc w:val="center"/>
              <w:rPr>
                <w:szCs w:val="21"/>
              </w:rPr>
            </w:pPr>
            <w:r>
              <w:rPr>
                <w:szCs w:val="21"/>
              </w:rPr>
              <w:t>1.8106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asset</w:t>
            </w:r>
          </w:p>
        </w:tc>
        <w:tc>
          <w:tcPr>
            <w:tcW w:w="1803" w:type="dxa"/>
            <w:vAlign w:val="center"/>
          </w:tcPr>
          <w:p>
            <w:pPr>
              <w:spacing w:line="360" w:lineRule="exact"/>
              <w:jc w:val="center"/>
              <w:rPr>
                <w:szCs w:val="21"/>
              </w:rPr>
            </w:pPr>
            <w:r>
              <w:rPr>
                <w:szCs w:val="21"/>
              </w:rPr>
              <w:t>-0.0130**</w:t>
            </w:r>
          </w:p>
        </w:tc>
        <w:tc>
          <w:tcPr>
            <w:tcW w:w="1803" w:type="dxa"/>
            <w:vAlign w:val="center"/>
          </w:tcPr>
          <w:p>
            <w:pPr>
              <w:spacing w:line="360" w:lineRule="exact"/>
              <w:jc w:val="center"/>
              <w:rPr>
                <w:szCs w:val="21"/>
              </w:rPr>
            </w:pPr>
            <w:r>
              <w:rPr>
                <w:szCs w:val="21"/>
              </w:rPr>
              <w:t>0.0055</w:t>
            </w:r>
          </w:p>
        </w:tc>
        <w:tc>
          <w:tcPr>
            <w:tcW w:w="1803" w:type="dxa"/>
            <w:vAlign w:val="center"/>
          </w:tcPr>
          <w:p>
            <w:pPr>
              <w:spacing w:line="360" w:lineRule="exact"/>
              <w:jc w:val="center"/>
              <w:rPr>
                <w:szCs w:val="21"/>
              </w:rPr>
            </w:pPr>
            <w:r>
              <w:rPr>
                <w:szCs w:val="21"/>
              </w:rPr>
              <w:t>0.0334*</w:t>
            </w:r>
          </w:p>
        </w:tc>
        <w:tc>
          <w:tcPr>
            <w:tcW w:w="1804" w:type="dxa"/>
            <w:vAlign w:val="center"/>
          </w:tcPr>
          <w:p>
            <w:pPr>
              <w:spacing w:line="360" w:lineRule="exact"/>
              <w:jc w:val="center"/>
              <w:rPr>
                <w:szCs w:val="21"/>
              </w:rPr>
            </w:pPr>
            <w:r>
              <w:rPr>
                <w:szCs w:val="21"/>
              </w:rPr>
              <w:t>0.0183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density</w:t>
            </w:r>
          </w:p>
        </w:tc>
        <w:tc>
          <w:tcPr>
            <w:tcW w:w="1803" w:type="dxa"/>
            <w:vAlign w:val="center"/>
          </w:tcPr>
          <w:p>
            <w:pPr>
              <w:spacing w:line="360" w:lineRule="exact"/>
              <w:jc w:val="center"/>
              <w:rPr>
                <w:szCs w:val="21"/>
              </w:rPr>
            </w:pPr>
            <w:r>
              <w:rPr>
                <w:szCs w:val="21"/>
              </w:rPr>
              <w:t>1.7276***</w:t>
            </w:r>
          </w:p>
        </w:tc>
        <w:tc>
          <w:tcPr>
            <w:tcW w:w="1803" w:type="dxa"/>
            <w:vAlign w:val="center"/>
          </w:tcPr>
          <w:p>
            <w:pPr>
              <w:spacing w:line="360" w:lineRule="exact"/>
              <w:jc w:val="center"/>
              <w:rPr>
                <w:szCs w:val="21"/>
              </w:rPr>
            </w:pPr>
            <w:r>
              <w:rPr>
                <w:szCs w:val="21"/>
              </w:rPr>
              <w:t>0.3716</w:t>
            </w:r>
          </w:p>
        </w:tc>
        <w:tc>
          <w:tcPr>
            <w:tcW w:w="1803" w:type="dxa"/>
            <w:vAlign w:val="center"/>
          </w:tcPr>
          <w:p>
            <w:pPr>
              <w:spacing w:line="360" w:lineRule="exact"/>
              <w:jc w:val="center"/>
              <w:rPr>
                <w:szCs w:val="21"/>
              </w:rPr>
            </w:pPr>
            <w:r>
              <w:rPr>
                <w:szCs w:val="21"/>
              </w:rPr>
              <w:t>3.3230***</w:t>
            </w:r>
          </w:p>
        </w:tc>
        <w:tc>
          <w:tcPr>
            <w:tcW w:w="1804" w:type="dxa"/>
            <w:vAlign w:val="center"/>
          </w:tcPr>
          <w:p>
            <w:pPr>
              <w:spacing w:line="360" w:lineRule="exact"/>
              <w:jc w:val="center"/>
              <w:rPr>
                <w:szCs w:val="21"/>
              </w:rPr>
            </w:pPr>
            <w:r>
              <w:rPr>
                <w:szCs w:val="21"/>
              </w:rPr>
              <w:t>1.2561</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Med</w:t>
            </w:r>
          </w:p>
        </w:tc>
        <w:tc>
          <w:tcPr>
            <w:tcW w:w="1803" w:type="dxa"/>
            <w:vAlign w:val="center"/>
          </w:tcPr>
          <w:p>
            <w:pPr>
              <w:spacing w:line="360" w:lineRule="exact"/>
              <w:jc w:val="center"/>
              <w:rPr>
                <w:szCs w:val="21"/>
              </w:rPr>
            </w:pPr>
            <w:r>
              <w:rPr>
                <w:szCs w:val="21"/>
              </w:rPr>
              <w:t>0.0748</w:t>
            </w:r>
          </w:p>
        </w:tc>
        <w:tc>
          <w:tcPr>
            <w:tcW w:w="1803" w:type="dxa"/>
            <w:vAlign w:val="center"/>
          </w:tcPr>
          <w:p>
            <w:pPr>
              <w:spacing w:line="360" w:lineRule="exact"/>
              <w:jc w:val="center"/>
              <w:rPr>
                <w:szCs w:val="21"/>
              </w:rPr>
            </w:pPr>
            <w:r>
              <w:rPr>
                <w:szCs w:val="21"/>
              </w:rPr>
              <w:t>0.1917</w:t>
            </w:r>
          </w:p>
        </w:tc>
        <w:tc>
          <w:tcPr>
            <w:tcW w:w="1803" w:type="dxa"/>
            <w:vAlign w:val="center"/>
          </w:tcPr>
          <w:p>
            <w:pPr>
              <w:spacing w:line="360" w:lineRule="exact"/>
              <w:jc w:val="center"/>
              <w:rPr>
                <w:szCs w:val="21"/>
              </w:rPr>
            </w:pPr>
            <w:r>
              <w:rPr>
                <w:szCs w:val="21"/>
              </w:rPr>
              <w:t>-1.7277***</w:t>
            </w:r>
          </w:p>
        </w:tc>
        <w:tc>
          <w:tcPr>
            <w:tcW w:w="1804" w:type="dxa"/>
            <w:vAlign w:val="center"/>
          </w:tcPr>
          <w:p>
            <w:pPr>
              <w:spacing w:line="360" w:lineRule="exact"/>
              <w:jc w:val="center"/>
              <w:rPr>
                <w:szCs w:val="21"/>
              </w:rPr>
            </w:pPr>
            <w:r>
              <w:rPr>
                <w:szCs w:val="21"/>
              </w:rPr>
              <w:t>0.6043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szCs w:val="21"/>
              </w:rPr>
            </w:pPr>
            <w:r>
              <w:rPr>
                <w:rFonts w:eastAsia="仿宋"/>
                <w:i/>
                <w:iCs/>
                <w:szCs w:val="21"/>
              </w:rPr>
              <w:t>NET</w:t>
            </w:r>
          </w:p>
        </w:tc>
        <w:tc>
          <w:tcPr>
            <w:tcW w:w="1803" w:type="dxa"/>
            <w:vAlign w:val="center"/>
          </w:tcPr>
          <w:p>
            <w:pPr>
              <w:spacing w:line="360" w:lineRule="exact"/>
              <w:jc w:val="center"/>
              <w:rPr>
                <w:szCs w:val="21"/>
              </w:rPr>
            </w:pPr>
            <w:r>
              <w:rPr>
                <w:szCs w:val="21"/>
              </w:rPr>
              <w:t>-0.0159</w:t>
            </w:r>
          </w:p>
        </w:tc>
        <w:tc>
          <w:tcPr>
            <w:tcW w:w="1803" w:type="dxa"/>
            <w:vAlign w:val="center"/>
          </w:tcPr>
          <w:p>
            <w:pPr>
              <w:spacing w:line="360" w:lineRule="exact"/>
              <w:jc w:val="center"/>
              <w:rPr>
                <w:szCs w:val="21"/>
              </w:rPr>
            </w:pPr>
            <w:r>
              <w:rPr>
                <w:szCs w:val="21"/>
              </w:rPr>
              <w:t>0.0136</w:t>
            </w:r>
          </w:p>
        </w:tc>
        <w:tc>
          <w:tcPr>
            <w:tcW w:w="1803" w:type="dxa"/>
            <w:vAlign w:val="center"/>
          </w:tcPr>
          <w:p>
            <w:pPr>
              <w:spacing w:line="360" w:lineRule="exact"/>
              <w:jc w:val="center"/>
              <w:rPr>
                <w:szCs w:val="21"/>
              </w:rPr>
            </w:pPr>
            <w:r>
              <w:rPr>
                <w:szCs w:val="21"/>
              </w:rPr>
              <w:t>-0.0816*</w:t>
            </w:r>
          </w:p>
        </w:tc>
        <w:tc>
          <w:tcPr>
            <w:tcW w:w="1804" w:type="dxa"/>
            <w:vAlign w:val="center"/>
          </w:tcPr>
          <w:p>
            <w:pPr>
              <w:spacing w:line="360" w:lineRule="exact"/>
              <w:jc w:val="center"/>
              <w:rPr>
                <w:szCs w:val="21"/>
              </w:rPr>
            </w:pPr>
            <w:r>
              <w:rPr>
                <w:szCs w:val="21"/>
              </w:rPr>
              <w:t>0.0492</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03" w:type="dxa"/>
            <w:vAlign w:val="center"/>
          </w:tcPr>
          <w:p>
            <w:pPr>
              <w:spacing w:line="360" w:lineRule="exact"/>
              <w:jc w:val="center"/>
              <w:rPr>
                <w:rFonts w:eastAsia="仿宋"/>
                <w:i/>
                <w:iCs/>
                <w:szCs w:val="21"/>
              </w:rPr>
            </w:pPr>
            <w:r>
              <w:rPr>
                <w:rFonts w:eastAsia="仿宋"/>
                <w:i/>
                <w:iCs/>
                <w:szCs w:val="21"/>
              </w:rPr>
              <w:t>traffic</w:t>
            </w:r>
          </w:p>
        </w:tc>
        <w:tc>
          <w:tcPr>
            <w:tcW w:w="1803" w:type="dxa"/>
            <w:vAlign w:val="center"/>
          </w:tcPr>
          <w:p>
            <w:pPr>
              <w:spacing w:line="360" w:lineRule="exact"/>
              <w:jc w:val="center"/>
              <w:rPr>
                <w:szCs w:val="21"/>
              </w:rPr>
            </w:pPr>
            <w:r>
              <w:rPr>
                <w:szCs w:val="21"/>
              </w:rPr>
              <w:t>-0.0118***</w:t>
            </w:r>
          </w:p>
        </w:tc>
        <w:tc>
          <w:tcPr>
            <w:tcW w:w="1803" w:type="dxa"/>
            <w:vAlign w:val="center"/>
          </w:tcPr>
          <w:p>
            <w:pPr>
              <w:spacing w:line="360" w:lineRule="exact"/>
              <w:jc w:val="center"/>
              <w:rPr>
                <w:szCs w:val="21"/>
              </w:rPr>
            </w:pPr>
            <w:r>
              <w:rPr>
                <w:szCs w:val="21"/>
              </w:rPr>
              <w:t>0.0022</w:t>
            </w:r>
          </w:p>
        </w:tc>
        <w:tc>
          <w:tcPr>
            <w:tcW w:w="1803" w:type="dxa"/>
            <w:vAlign w:val="center"/>
          </w:tcPr>
          <w:p>
            <w:pPr>
              <w:spacing w:line="360" w:lineRule="exact"/>
              <w:jc w:val="center"/>
              <w:rPr>
                <w:szCs w:val="21"/>
              </w:rPr>
            </w:pPr>
            <w:r>
              <w:rPr>
                <w:szCs w:val="21"/>
              </w:rPr>
              <w:t>-0.0541***</w:t>
            </w:r>
          </w:p>
        </w:tc>
        <w:tc>
          <w:tcPr>
            <w:tcW w:w="1804" w:type="dxa"/>
            <w:vAlign w:val="center"/>
          </w:tcPr>
          <w:p>
            <w:pPr>
              <w:spacing w:line="360" w:lineRule="exact"/>
              <w:jc w:val="center"/>
              <w:rPr>
                <w:szCs w:val="21"/>
              </w:rPr>
            </w:pPr>
            <w:r>
              <w:rPr>
                <w:szCs w:val="21"/>
              </w:rPr>
              <w:t>0.0075</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注：各变量括号内采用城市层面聚类稳健标准误；*、**和***分别表示在10%、5%和1%的置信水平下显著。</w:t>
      </w:r>
    </w:p>
    <w:p>
      <w:pPr>
        <w:ind w:firstLine="420" w:firstLineChars="200"/>
      </w:pPr>
      <w:r>
        <w:t>地方政府税收竞争（</w:t>
      </w:r>
      <w:r>
        <w:rPr>
          <w:i/>
          <w:kern w:val="0"/>
          <w:szCs w:val="21"/>
        </w:rPr>
        <w:t>taxcom</w:t>
      </w:r>
      <w:r>
        <w:t>）对地区经济发展不平衡（</w:t>
      </w:r>
      <w:r>
        <w:rPr>
          <w:rFonts w:eastAsia="仿宋"/>
          <w:i/>
        </w:rPr>
        <w:t>Imbalance</w:t>
      </w:r>
      <w:r>
        <w:t>）的直接效应显著为正，即地方政府开展的税收竞争越激烈，地区经济发展不平衡程度越高。这意味着地区间税收竞争通过降低本地区的相对税率水平吸引要素流入，进而改变地区间要素配置效率和企业的区位选择，使得低税率地区获得竞争优势，从而在“经济锦标赛”中脱颖而出。然而相对税率较高的地区因税基和要素的流失导致其产出水平下降，且随地区间产出差异的不断扩大，逐渐加剧地区经济发展的不平衡。</w:t>
      </w:r>
      <w:r>
        <w:rPr>
          <w:szCs w:val="21"/>
        </w:rPr>
        <w:t>地方政府</w:t>
      </w:r>
      <w:r>
        <w:t>税收竞争对地区经济发展不平衡的空间溢出效应为正，且在1%的置信水平下成立，说明本地区税收竞争在一定程度上能够加剧与邻近地区间经济发展差异。究其原因，随着地区经济联系日益紧密，处于竞争优势的地区对地区经济发展具有锚点作用，相关税收政策安排的溢出效应也会更加明显，税收竞争的发展经验容易通过学习效应进行空间传导。但如果这些学习和模仿机制仅仅是被动的重复和照搬，不仅会进一步加剧了锚点地区与政策溢出对象之间税收竞争程度，而且将会拉大地区之间经济发展差距。</w:t>
      </w:r>
    </w:p>
    <w:p>
      <w:pPr>
        <w:ind w:firstLine="420" w:firstLineChars="200"/>
      </w:pPr>
      <w:r>
        <w:t>其余控制变量的实证结果基本符合预期。经济发展水平的提高、产业结构的优化、政府支出水平的提高以及交通运输的便利化无论在直接效应，还是间接效应方面都能有效地缩小地区之间的发展差距，实现经济均衡发展。固定资产投资水平的直接效应在5%的置信水平下显著为负，表明固定资产投资水平的提升有利于缩小本地区与其他地区之间经济发展差距，其可能的原因在于固定资产投资作为国民经济发展的重要手段，对经济增长具有促进作用。而其间接效应在10%的置信水平下显著为正，表明固定资产投资存在正向空间溢出效应，加剧了邻近地区的经济发展不平衡程度。人口密度无论在直接效应还是间接效应方面，都存在显著的正向影响，人口密度的提高不仅意味着劳动力不断集聚，而且为地区的经济发展带来了人口红利，在成为地区经济持续增长有效推动力的同时，也拉大了与其他地区的经济发展差距，导致经济发展不平衡程度加深。</w:t>
      </w:r>
    </w:p>
    <w:p>
      <w:pPr>
        <w:pStyle w:val="2"/>
        <w:tabs>
          <w:tab w:val="center" w:pos="4513"/>
          <w:tab w:val="left" w:pos="5543"/>
        </w:tabs>
        <w:spacing w:before="178" w:beforeLines="50" w:after="178" w:afterLines="50"/>
        <w:rPr>
          <w:rFonts w:eastAsia="黑体"/>
          <w:b w:val="0"/>
          <w:bCs w:val="0"/>
          <w:sz w:val="28"/>
          <w:szCs w:val="28"/>
        </w:rPr>
      </w:pPr>
      <w:r>
        <w:rPr>
          <w:rFonts w:eastAsia="黑体"/>
          <w:b w:val="0"/>
          <w:bCs w:val="0"/>
          <w:sz w:val="28"/>
          <w:szCs w:val="28"/>
        </w:rPr>
        <w:t>六、稳健性检验</w:t>
      </w:r>
    </w:p>
    <w:p>
      <w:pPr>
        <w:ind w:firstLine="420" w:firstLineChars="200"/>
        <w:rPr>
          <w:szCs w:val="21"/>
        </w:rPr>
      </w:pPr>
      <w:r>
        <w:rPr>
          <w:szCs w:val="21"/>
        </w:rPr>
        <w:t>虽然以上实证结果充分表明地方政府税收竞争对地区经济发展不平衡存在显著影响，但为了进一步验证本文实证结果是否具有可信性，本文将通过改变空间权重和替换核心变量等方式对基准回归进行稳健性检验。</w:t>
      </w:r>
    </w:p>
    <w:p>
      <w:pPr>
        <w:ind w:firstLine="420" w:firstLineChars="200"/>
        <w:rPr>
          <w:rFonts w:eastAsia="黑体"/>
        </w:rPr>
      </w:pPr>
      <w:r>
        <w:rPr>
          <w:rFonts w:eastAsia="黑体"/>
        </w:rPr>
        <w:t>（一）基于不同空间权重矩阵的稳健性估计</w:t>
      </w:r>
    </w:p>
    <w:p>
      <w:pPr>
        <w:ind w:firstLine="420" w:firstLineChars="200"/>
        <w:rPr>
          <w:szCs w:val="21"/>
        </w:rPr>
      </w:pPr>
      <w:r>
        <w:rPr>
          <w:szCs w:val="21"/>
        </w:rPr>
        <w:t>为进一步检验本文所构建的</w:t>
      </w:r>
      <w:r>
        <w:t>空间杜宾模型（</w:t>
      </w:r>
      <w:r>
        <w:rPr>
          <w:i/>
        </w:rPr>
        <w:t>SDM</w:t>
      </w:r>
      <w:r>
        <w:t>）的</w:t>
      </w:r>
      <w:r>
        <w:rPr>
          <w:szCs w:val="21"/>
        </w:rPr>
        <w:t>计量估计结果是否具有稳健性，分别采用地理邻接矩阵</w:t>
      </w:r>
      <w:r>
        <w:rPr>
          <w:i/>
          <w:szCs w:val="21"/>
        </w:rPr>
        <w:t>W</w:t>
      </w:r>
      <w:r>
        <w:rPr>
          <w:i/>
          <w:szCs w:val="21"/>
          <w:vertAlign w:val="subscript"/>
        </w:rPr>
        <w:t>1</w:t>
      </w:r>
      <w:r>
        <w:rPr>
          <w:szCs w:val="21"/>
        </w:rPr>
        <w:t>、经济地理矩阵</w:t>
      </w:r>
      <w:r>
        <w:rPr>
          <w:i/>
          <w:szCs w:val="21"/>
        </w:rPr>
        <w:t>W</w:t>
      </w:r>
      <w:r>
        <w:rPr>
          <w:i/>
          <w:szCs w:val="21"/>
          <w:vertAlign w:val="subscript"/>
        </w:rPr>
        <w:t>2</w:t>
      </w:r>
      <w:r>
        <w:rPr>
          <w:iCs/>
          <w:szCs w:val="21"/>
        </w:rPr>
        <w:t>和经济地理嵌套矩阵</w:t>
      </w:r>
      <w:r>
        <w:rPr>
          <w:i/>
          <w:szCs w:val="21"/>
        </w:rPr>
        <w:t>W</w:t>
      </w:r>
      <w:r>
        <w:rPr>
          <w:i/>
          <w:szCs w:val="21"/>
          <w:vertAlign w:val="subscript"/>
        </w:rPr>
        <w:t>3</w:t>
      </w:r>
      <w:r>
        <w:rPr>
          <w:szCs w:val="21"/>
        </w:rPr>
        <w:t>作为新的空间权重矩阵对其重新进行实证估计。其中，空间权重矩阵</w:t>
      </w:r>
      <w:r>
        <w:rPr>
          <w:i/>
          <w:szCs w:val="21"/>
        </w:rPr>
        <w:t>W</w:t>
      </w:r>
      <w:r>
        <w:rPr>
          <w:i/>
          <w:szCs w:val="21"/>
          <w:vertAlign w:val="subscript"/>
        </w:rPr>
        <w:t>1</w:t>
      </w:r>
      <w:r>
        <w:rPr>
          <w:szCs w:val="21"/>
        </w:rPr>
        <w:t>、</w:t>
      </w:r>
      <w:r>
        <w:rPr>
          <w:i/>
          <w:szCs w:val="21"/>
        </w:rPr>
        <w:t>W</w:t>
      </w:r>
      <w:r>
        <w:rPr>
          <w:i/>
          <w:szCs w:val="21"/>
          <w:vertAlign w:val="subscript"/>
        </w:rPr>
        <w:t>2</w:t>
      </w:r>
      <w:r>
        <w:rPr>
          <w:iCs/>
          <w:szCs w:val="21"/>
        </w:rPr>
        <w:t>和</w:t>
      </w:r>
      <w:r>
        <w:rPr>
          <w:i/>
          <w:szCs w:val="21"/>
        </w:rPr>
        <w:t xml:space="preserve"> W</w:t>
      </w:r>
      <w:r>
        <w:rPr>
          <w:i/>
          <w:szCs w:val="21"/>
          <w:vertAlign w:val="subscript"/>
        </w:rPr>
        <w:t>3</w:t>
      </w:r>
      <w:r>
        <w:rPr>
          <w:szCs w:val="21"/>
        </w:rPr>
        <w:t>的构建方法具体如下：</w:t>
      </w:r>
    </w:p>
    <w:p>
      <w:pPr>
        <w:ind w:firstLine="420" w:firstLineChars="200"/>
        <w:rPr>
          <w:szCs w:val="21"/>
        </w:rPr>
      </w:pPr>
      <w:r>
        <w:rPr>
          <w:szCs w:val="21"/>
          <w:lang w:eastAsia="zh-Hans"/>
        </w:rPr>
        <w:t>一是</w:t>
      </w:r>
      <w:r>
        <w:rPr>
          <w:szCs w:val="21"/>
        </w:rPr>
        <w:t>地理邻接矩阵</w:t>
      </w:r>
      <w:r>
        <w:rPr>
          <w:i/>
          <w:szCs w:val="21"/>
        </w:rPr>
        <w:t>W</w:t>
      </w:r>
      <w:r>
        <w:rPr>
          <w:i/>
          <w:szCs w:val="21"/>
          <w:vertAlign w:val="subscript"/>
        </w:rPr>
        <w:t>1</w:t>
      </w:r>
      <w:r>
        <w:rPr>
          <w:szCs w:val="21"/>
        </w:rPr>
        <w:t>，具体根据地理区域之间是否相邻设定。</w:t>
      </w:r>
    </w:p>
    <w:p>
      <w:pPr>
        <w:jc w:val="right"/>
        <w:rPr>
          <w:szCs w:val="21"/>
        </w:rPr>
      </w:pPr>
      <w:r>
        <w:rPr>
          <w:position w:val="-32"/>
        </w:rPr>
        <w:object>
          <v:shape id="_x0000_i1086" o:spt="75" type="#_x0000_t75" style="height:34.15pt;width:127.4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t xml:space="preserve">                          （18）</w:t>
      </w:r>
    </w:p>
    <w:p>
      <w:pPr>
        <w:spacing w:line="360" w:lineRule="exact"/>
        <w:ind w:firstLine="420" w:firstLineChars="200"/>
        <w:rPr>
          <w:szCs w:val="21"/>
        </w:rPr>
      </w:pPr>
      <w:r>
        <w:rPr>
          <w:szCs w:val="21"/>
          <w:lang w:eastAsia="zh-Hans"/>
        </w:rPr>
        <w:t>二是</w:t>
      </w:r>
      <w:r>
        <w:rPr>
          <w:szCs w:val="21"/>
        </w:rPr>
        <w:t>经济地理矩阵</w:t>
      </w:r>
      <w:r>
        <w:rPr>
          <w:i/>
          <w:szCs w:val="21"/>
        </w:rPr>
        <w:t>W</w:t>
      </w:r>
      <w:r>
        <w:rPr>
          <w:i/>
          <w:szCs w:val="21"/>
          <w:vertAlign w:val="subscript"/>
        </w:rPr>
        <w:t>2</w:t>
      </w:r>
      <w:r>
        <w:rPr>
          <w:szCs w:val="21"/>
        </w:rPr>
        <w:t>，具体根据区域间经济发展水平设定。通过梳理已有文献发现，国内学者一般采取各地区人均GDP水平差距的倒数衡量经济空间权重矩阵。其中，公式（19）中的</w:t>
      </w:r>
      <w:r>
        <w:rPr>
          <w:position w:val="-12"/>
          <w:szCs w:val="21"/>
        </w:rPr>
        <w:object>
          <v:shape id="_x0000_i1087" o:spt="75" type="#_x0000_t75" style="height:19.4pt;width:14.75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szCs w:val="21"/>
        </w:rPr>
        <w:t>表示</w:t>
      </w:r>
      <w:r>
        <w:rPr>
          <w:i/>
          <w:szCs w:val="21"/>
        </w:rPr>
        <w:t>i</w:t>
      </w:r>
      <w:r>
        <w:rPr>
          <w:szCs w:val="21"/>
        </w:rPr>
        <w:t>地区2003-2019年人均GDP。如若地区间发展水平差距越小，则对应的权重就越大，反之则相反（林光平等，2006；张学良，2012）。</w:t>
      </w:r>
    </w:p>
    <w:p>
      <w:pPr>
        <w:wordWrap w:val="0"/>
        <w:jc w:val="right"/>
      </w:pPr>
      <w:r>
        <w:rPr>
          <w:position w:val="-36"/>
        </w:rPr>
        <w:object>
          <v:shape id="_x0000_i1088" o:spt="75" type="#_x0000_t75" style="height:38.75pt;width:107.1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t xml:space="preserve">                                 （19）</w:t>
      </w:r>
    </w:p>
    <w:p>
      <w:pPr>
        <w:spacing w:line="360" w:lineRule="exact"/>
        <w:ind w:firstLine="420" w:firstLineChars="200"/>
        <w:rPr>
          <w:szCs w:val="21"/>
        </w:rPr>
      </w:pPr>
      <w:r>
        <w:rPr>
          <w:szCs w:val="21"/>
        </w:rPr>
        <w:t>三是经济地理嵌套矩阵</w:t>
      </w:r>
      <w:r>
        <w:rPr>
          <w:i/>
          <w:szCs w:val="21"/>
        </w:rPr>
        <w:t>W</w:t>
      </w:r>
      <w:r>
        <w:rPr>
          <w:i/>
          <w:szCs w:val="21"/>
          <w:vertAlign w:val="subscript"/>
        </w:rPr>
        <w:t>3</w:t>
      </w:r>
      <w:r>
        <w:rPr>
          <w:szCs w:val="21"/>
        </w:rPr>
        <w:t>，由于地区的经济属性不仅与地区之间的地理距离相关，而且也会受到地区之间的经济活动影响，城市之间的要素流动和贸易往来越频繁，其溢出效应越大（邵帅等，2022）。因此，为了捕捉地理位置和经济发展产生的综合性空间影响效应，本文将经济距离矩阵和地理距离矩阵相结合，构建两者嵌套矩阵如下：</w:t>
      </w:r>
    </w:p>
    <w:p>
      <w:pPr>
        <w:jc w:val="right"/>
        <w:rPr>
          <w:szCs w:val="21"/>
        </w:rPr>
      </w:pPr>
      <w:r>
        <w:rPr>
          <w:position w:val="-30"/>
          <w:szCs w:val="21"/>
        </w:rPr>
        <w:object>
          <v:shape id="_x0000_i1089" o:spt="75" type="#_x0000_t75" style="height:36pt;width:151.4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szCs w:val="21"/>
        </w:rPr>
        <w:t xml:space="preserve">                       （20）</w:t>
      </w:r>
    </w:p>
    <w:p>
      <w:pPr>
        <w:jc w:val="right"/>
        <w:rPr>
          <w:szCs w:val="21"/>
        </w:rPr>
      </w:pPr>
      <w:r>
        <w:rPr>
          <w:position w:val="-32"/>
          <w:szCs w:val="21"/>
        </w:rPr>
        <w:object>
          <v:shape id="_x0000_i1090" o:spt="75" type="#_x0000_t75" style="height:36.9pt;width:86.7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szCs w:val="21"/>
        </w:rPr>
        <w:t xml:space="preserve">                              （21）</w:t>
      </w:r>
    </w:p>
    <w:p>
      <w:pPr>
        <w:jc w:val="right"/>
        <w:rPr>
          <w:szCs w:val="21"/>
        </w:rPr>
      </w:pPr>
      <w:r>
        <w:rPr>
          <w:position w:val="-32"/>
          <w:szCs w:val="21"/>
        </w:rPr>
        <w:object>
          <v:shape id="_x0000_i1091" o:spt="75" type="#_x0000_t75" style="height:36.9pt;width:108.9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szCs w:val="21"/>
        </w:rPr>
        <w:t xml:space="preserve">                          （22）</w:t>
      </w:r>
    </w:p>
    <w:p>
      <w:pPr>
        <w:spacing w:line="360" w:lineRule="exact"/>
        <w:ind w:firstLine="420" w:firstLineChars="200"/>
        <w:rPr>
          <w:szCs w:val="21"/>
        </w:rPr>
      </w:pPr>
      <w:r>
        <w:rPr>
          <w:szCs w:val="21"/>
        </w:rPr>
        <w:t>其中，</w:t>
      </w:r>
      <w:r>
        <w:rPr>
          <w:i/>
          <w:szCs w:val="21"/>
        </w:rPr>
        <w:t>ω</w:t>
      </w:r>
      <w:r>
        <w:rPr>
          <w:i/>
          <w:szCs w:val="21"/>
          <w:vertAlign w:val="subscript"/>
        </w:rPr>
        <w:t>d</w:t>
      </w:r>
      <w:r>
        <w:rPr>
          <w:szCs w:val="21"/>
        </w:rPr>
        <w:t>为地理距离矩阵，</w:t>
      </w:r>
      <w:r>
        <w:rPr>
          <w:i/>
          <w:szCs w:val="21"/>
        </w:rPr>
        <w:t>diag</w:t>
      </w:r>
      <w:r>
        <w:rPr>
          <w:szCs w:val="21"/>
        </w:rPr>
        <w:t>(…)为对角矩阵，</w:t>
      </w:r>
      <w:r>
        <w:rPr>
          <w:i/>
          <w:szCs w:val="21"/>
        </w:rPr>
        <w:t>Y</w:t>
      </w:r>
      <w:r>
        <w:rPr>
          <w:i/>
          <w:szCs w:val="21"/>
          <w:vertAlign w:val="subscript"/>
        </w:rPr>
        <w:t>i</w:t>
      </w:r>
      <w:r>
        <w:rPr>
          <w:szCs w:val="21"/>
        </w:rPr>
        <w:t>为样本期内</w:t>
      </w:r>
      <w:r>
        <w:rPr>
          <w:i/>
          <w:szCs w:val="21"/>
        </w:rPr>
        <w:t>i</w:t>
      </w:r>
      <w:r>
        <w:rPr>
          <w:szCs w:val="21"/>
        </w:rPr>
        <w:t>地区实际人均GDP，</w:t>
      </w:r>
      <w:r>
        <w:rPr>
          <w:position w:val="-4"/>
          <w:szCs w:val="21"/>
        </w:rPr>
        <w:object>
          <v:shape id="_x0000_i1092" o:spt="75" type="#_x0000_t75" style="height:14.75pt;width:12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szCs w:val="21"/>
        </w:rPr>
        <w:t>表示样本期所有城市实际人均GDP的均值。另外，采取上述空间权重矩阵</w:t>
      </w:r>
      <w:r>
        <w:rPr>
          <w:i/>
          <w:szCs w:val="21"/>
        </w:rPr>
        <w:t>W</w:t>
      </w:r>
      <w:r>
        <w:rPr>
          <w:i/>
          <w:szCs w:val="21"/>
          <w:vertAlign w:val="subscript"/>
        </w:rPr>
        <w:t>1</w:t>
      </w:r>
      <w:r>
        <w:rPr>
          <w:szCs w:val="21"/>
        </w:rPr>
        <w:t>、</w:t>
      </w:r>
      <w:r>
        <w:rPr>
          <w:i/>
          <w:szCs w:val="21"/>
        </w:rPr>
        <w:t>W</w:t>
      </w:r>
      <w:r>
        <w:rPr>
          <w:i/>
          <w:szCs w:val="21"/>
          <w:vertAlign w:val="subscript"/>
        </w:rPr>
        <w:t>2</w:t>
      </w:r>
      <w:r>
        <w:rPr>
          <w:i/>
          <w:szCs w:val="21"/>
        </w:rPr>
        <w:t xml:space="preserve"> </w:t>
      </w:r>
      <w:r>
        <w:rPr>
          <w:iCs/>
          <w:szCs w:val="21"/>
        </w:rPr>
        <w:t>和</w:t>
      </w:r>
      <w:r>
        <w:rPr>
          <w:i/>
          <w:szCs w:val="21"/>
        </w:rPr>
        <w:t>W</w:t>
      </w:r>
      <w:r>
        <w:rPr>
          <w:i/>
          <w:szCs w:val="21"/>
          <w:vertAlign w:val="subscript"/>
        </w:rPr>
        <w:t>3</w:t>
      </w:r>
      <w:r>
        <w:rPr>
          <w:szCs w:val="21"/>
        </w:rPr>
        <w:t>的</w:t>
      </w:r>
      <w:r>
        <w:t>空间杜宾模型（</w:t>
      </w:r>
      <w:r>
        <w:rPr>
          <w:i/>
        </w:rPr>
        <w:t>SDM</w:t>
      </w:r>
      <w:r>
        <w:t>）的</w:t>
      </w:r>
      <w:r>
        <w:rPr>
          <w:szCs w:val="21"/>
        </w:rPr>
        <w:t>回归估计结果如表6所示。</w:t>
      </w:r>
    </w:p>
    <w:p>
      <w:pPr>
        <w:spacing w:before="178" w:beforeLines="50"/>
        <w:jc w:val="center"/>
        <w:rPr>
          <w:rFonts w:eastAsia="楷体"/>
          <w:szCs w:val="21"/>
        </w:rPr>
      </w:pPr>
      <w:r>
        <w:rPr>
          <w:rFonts w:eastAsia="楷体"/>
          <w:szCs w:val="21"/>
        </w:rPr>
        <w:t>表6  不同空间权重矩阵下地方政府税收竞争对经济发展不平衡的影响效应</w:t>
      </w:r>
    </w:p>
    <w:tbl>
      <w:tblPr>
        <w:tblStyle w:val="13"/>
        <w:tblW w:w="8347" w:type="dxa"/>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694"/>
        <w:gridCol w:w="2275"/>
        <w:gridCol w:w="2127"/>
        <w:gridCol w:w="2251"/>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0" w:type="auto"/>
            <w:vMerge w:val="restart"/>
            <w:vAlign w:val="center"/>
          </w:tcPr>
          <w:p>
            <w:pPr>
              <w:jc w:val="center"/>
              <w:rPr>
                <w:szCs w:val="21"/>
              </w:rPr>
            </w:pPr>
            <w:r>
              <w:rPr>
                <w:szCs w:val="21"/>
              </w:rPr>
              <w:t>变量</w:t>
            </w:r>
          </w:p>
        </w:tc>
        <w:tc>
          <w:tcPr>
            <w:tcW w:w="2275" w:type="dxa"/>
            <w:vAlign w:val="center"/>
          </w:tcPr>
          <w:p>
            <w:pPr>
              <w:jc w:val="center"/>
              <w:rPr>
                <w:iCs/>
                <w:szCs w:val="21"/>
              </w:rPr>
            </w:pPr>
            <w:r>
              <w:rPr>
                <w:iCs/>
                <w:szCs w:val="21"/>
              </w:rPr>
              <w:t>地理邻接矩阵</w:t>
            </w:r>
            <w:r>
              <w:rPr>
                <w:i/>
                <w:szCs w:val="21"/>
              </w:rPr>
              <w:t>W</w:t>
            </w:r>
            <w:r>
              <w:rPr>
                <w:i/>
                <w:szCs w:val="21"/>
                <w:vertAlign w:val="subscript"/>
              </w:rPr>
              <w:t>1</w:t>
            </w:r>
          </w:p>
        </w:tc>
        <w:tc>
          <w:tcPr>
            <w:tcW w:w="2127" w:type="dxa"/>
            <w:vAlign w:val="center"/>
          </w:tcPr>
          <w:p>
            <w:pPr>
              <w:jc w:val="center"/>
              <w:rPr>
                <w:iCs/>
                <w:szCs w:val="21"/>
              </w:rPr>
            </w:pPr>
            <w:r>
              <w:rPr>
                <w:szCs w:val="21"/>
              </w:rPr>
              <w:t>经济地理矩阵</w:t>
            </w:r>
            <w:r>
              <w:rPr>
                <w:i/>
                <w:szCs w:val="21"/>
              </w:rPr>
              <w:t>W</w:t>
            </w:r>
            <w:r>
              <w:rPr>
                <w:i/>
                <w:szCs w:val="21"/>
                <w:vertAlign w:val="subscript"/>
              </w:rPr>
              <w:t>2</w:t>
            </w:r>
          </w:p>
        </w:tc>
        <w:tc>
          <w:tcPr>
            <w:tcW w:w="2251" w:type="dxa"/>
            <w:vAlign w:val="center"/>
          </w:tcPr>
          <w:p>
            <w:pPr>
              <w:jc w:val="center"/>
              <w:rPr>
                <w:szCs w:val="21"/>
              </w:rPr>
            </w:pPr>
            <w:r>
              <w:rPr>
                <w:szCs w:val="21"/>
              </w:rPr>
              <w:t>经济地理嵌套矩阵</w:t>
            </w:r>
            <w:r>
              <w:rPr>
                <w:i/>
                <w:szCs w:val="21"/>
              </w:rPr>
              <w:t xml:space="preserve"> W</w:t>
            </w:r>
            <w:r>
              <w:rPr>
                <w:i/>
                <w:szCs w:val="21"/>
                <w:vertAlign w:val="subscript"/>
              </w:rPr>
              <w:t>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0" w:type="auto"/>
            <w:vMerge w:val="continue"/>
            <w:vAlign w:val="center"/>
          </w:tcPr>
          <w:p>
            <w:pPr>
              <w:jc w:val="center"/>
              <w:rPr>
                <w:szCs w:val="21"/>
              </w:rPr>
            </w:pPr>
          </w:p>
        </w:tc>
        <w:tc>
          <w:tcPr>
            <w:tcW w:w="2275" w:type="dxa"/>
            <w:vAlign w:val="center"/>
          </w:tcPr>
          <w:p>
            <w:pPr>
              <w:jc w:val="center"/>
              <w:rPr>
                <w:szCs w:val="21"/>
              </w:rPr>
            </w:pPr>
            <w:r>
              <w:rPr>
                <w:iCs/>
                <w:szCs w:val="21"/>
              </w:rPr>
              <w:t>（1）</w:t>
            </w:r>
          </w:p>
        </w:tc>
        <w:tc>
          <w:tcPr>
            <w:tcW w:w="2127" w:type="dxa"/>
            <w:vAlign w:val="center"/>
          </w:tcPr>
          <w:p>
            <w:pPr>
              <w:jc w:val="center"/>
              <w:rPr>
                <w:szCs w:val="21"/>
              </w:rPr>
            </w:pPr>
            <w:r>
              <w:rPr>
                <w:szCs w:val="21"/>
              </w:rPr>
              <w:t>（2）</w:t>
            </w:r>
          </w:p>
        </w:tc>
        <w:tc>
          <w:tcPr>
            <w:tcW w:w="2251" w:type="dxa"/>
            <w:vAlign w:val="center"/>
          </w:tcPr>
          <w:p>
            <w:pPr>
              <w:jc w:val="center"/>
              <w:rPr>
                <w:szCs w:val="21"/>
              </w:rPr>
            </w:pPr>
            <w:r>
              <w:rPr>
                <w:szCs w:val="21"/>
              </w:rPr>
              <w:t>（3）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0" w:type="auto"/>
            <w:vAlign w:val="center"/>
          </w:tcPr>
          <w:p>
            <w:pPr>
              <w:jc w:val="center"/>
              <w:rPr>
                <w:i/>
                <w:szCs w:val="21"/>
              </w:rPr>
            </w:pPr>
            <w:r>
              <w:rPr>
                <w:i/>
                <w:szCs w:val="21"/>
              </w:rPr>
              <w:t>Taxcom</w:t>
            </w:r>
          </w:p>
        </w:tc>
        <w:tc>
          <w:tcPr>
            <w:tcW w:w="2275" w:type="dxa"/>
            <w:vAlign w:val="center"/>
          </w:tcPr>
          <w:p>
            <w:pPr>
              <w:autoSpaceDE w:val="0"/>
              <w:autoSpaceDN w:val="0"/>
              <w:adjustRightInd w:val="0"/>
              <w:jc w:val="center"/>
              <w:rPr>
                <w:kern w:val="0"/>
                <w:szCs w:val="21"/>
              </w:rPr>
            </w:pPr>
            <w:r>
              <w:rPr>
                <w:kern w:val="0"/>
                <w:szCs w:val="21"/>
              </w:rPr>
              <w:t>0.1577</w:t>
            </w:r>
            <w:r>
              <w:rPr>
                <w:kern w:val="0"/>
                <w:szCs w:val="21"/>
                <w:vertAlign w:val="superscript"/>
              </w:rPr>
              <w:t>*</w:t>
            </w:r>
          </w:p>
          <w:p>
            <w:pPr>
              <w:autoSpaceDE w:val="0"/>
              <w:autoSpaceDN w:val="0"/>
              <w:adjustRightInd w:val="0"/>
              <w:jc w:val="center"/>
              <w:rPr>
                <w:kern w:val="0"/>
                <w:szCs w:val="21"/>
              </w:rPr>
            </w:pPr>
            <w:r>
              <w:rPr>
                <w:kern w:val="0"/>
                <w:szCs w:val="21"/>
              </w:rPr>
              <w:t>(0.0882)</w:t>
            </w:r>
          </w:p>
        </w:tc>
        <w:tc>
          <w:tcPr>
            <w:tcW w:w="2127" w:type="dxa"/>
            <w:vAlign w:val="center"/>
          </w:tcPr>
          <w:p>
            <w:pPr>
              <w:autoSpaceDE w:val="0"/>
              <w:autoSpaceDN w:val="0"/>
              <w:adjustRightInd w:val="0"/>
              <w:jc w:val="center"/>
              <w:rPr>
                <w:kern w:val="0"/>
                <w:szCs w:val="21"/>
              </w:rPr>
            </w:pPr>
            <w:r>
              <w:rPr>
                <w:kern w:val="0"/>
                <w:szCs w:val="21"/>
              </w:rPr>
              <w:t>0.2339</w:t>
            </w:r>
            <w:r>
              <w:rPr>
                <w:kern w:val="0"/>
                <w:szCs w:val="21"/>
                <w:vertAlign w:val="superscript"/>
              </w:rPr>
              <w:t>***</w:t>
            </w:r>
          </w:p>
          <w:p>
            <w:pPr>
              <w:autoSpaceDE w:val="0"/>
              <w:autoSpaceDN w:val="0"/>
              <w:adjustRightInd w:val="0"/>
              <w:jc w:val="center"/>
              <w:rPr>
                <w:kern w:val="0"/>
                <w:szCs w:val="21"/>
              </w:rPr>
            </w:pPr>
            <w:r>
              <w:rPr>
                <w:kern w:val="0"/>
                <w:szCs w:val="21"/>
              </w:rPr>
              <w:t>(0.0886)</w:t>
            </w:r>
          </w:p>
        </w:tc>
        <w:tc>
          <w:tcPr>
            <w:tcW w:w="2251" w:type="dxa"/>
            <w:vAlign w:val="center"/>
          </w:tcPr>
          <w:p>
            <w:pPr>
              <w:autoSpaceDE w:val="0"/>
              <w:autoSpaceDN w:val="0"/>
              <w:adjustRightInd w:val="0"/>
              <w:jc w:val="center"/>
              <w:rPr>
                <w:kern w:val="0"/>
                <w:szCs w:val="21"/>
              </w:rPr>
            </w:pPr>
            <w:r>
              <w:rPr>
                <w:kern w:val="0"/>
                <w:szCs w:val="21"/>
              </w:rPr>
              <w:t>0.2794</w:t>
            </w:r>
            <w:r>
              <w:rPr>
                <w:kern w:val="0"/>
                <w:szCs w:val="21"/>
                <w:vertAlign w:val="superscript"/>
              </w:rPr>
              <w:t>***</w:t>
            </w:r>
          </w:p>
          <w:p>
            <w:pPr>
              <w:autoSpaceDE w:val="0"/>
              <w:autoSpaceDN w:val="0"/>
              <w:adjustRightInd w:val="0"/>
              <w:jc w:val="center"/>
              <w:rPr>
                <w:kern w:val="0"/>
                <w:szCs w:val="21"/>
              </w:rPr>
            </w:pPr>
            <w:r>
              <w:rPr>
                <w:kern w:val="0"/>
                <w:szCs w:val="21"/>
              </w:rPr>
              <w:t>(0.0883)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0" w:type="auto"/>
            <w:vAlign w:val="center"/>
          </w:tcPr>
          <w:p>
            <w:pPr>
              <w:jc w:val="center"/>
              <w:rPr>
                <w:i/>
                <w:szCs w:val="21"/>
              </w:rPr>
            </w:pPr>
            <w:r>
              <w:rPr>
                <w:i/>
                <w:szCs w:val="21"/>
              </w:rPr>
              <w:t>ρ</w:t>
            </w:r>
          </w:p>
        </w:tc>
        <w:tc>
          <w:tcPr>
            <w:tcW w:w="2275" w:type="dxa"/>
            <w:vAlign w:val="center"/>
          </w:tcPr>
          <w:p>
            <w:pPr>
              <w:autoSpaceDE w:val="0"/>
              <w:autoSpaceDN w:val="0"/>
              <w:adjustRightInd w:val="0"/>
              <w:jc w:val="center"/>
              <w:rPr>
                <w:kern w:val="0"/>
                <w:szCs w:val="21"/>
              </w:rPr>
            </w:pPr>
            <w:r>
              <w:rPr>
                <w:kern w:val="0"/>
                <w:szCs w:val="21"/>
              </w:rPr>
              <w:t>0.4100</w:t>
            </w:r>
            <w:r>
              <w:rPr>
                <w:kern w:val="0"/>
                <w:szCs w:val="21"/>
                <w:vertAlign w:val="superscript"/>
              </w:rPr>
              <w:t>***</w:t>
            </w:r>
          </w:p>
          <w:p>
            <w:pPr>
              <w:autoSpaceDE w:val="0"/>
              <w:autoSpaceDN w:val="0"/>
              <w:adjustRightInd w:val="0"/>
              <w:jc w:val="center"/>
              <w:rPr>
                <w:kern w:val="0"/>
                <w:szCs w:val="21"/>
              </w:rPr>
            </w:pPr>
            <w:r>
              <w:rPr>
                <w:kern w:val="0"/>
                <w:szCs w:val="21"/>
              </w:rPr>
              <w:t>(0.0175)</w:t>
            </w:r>
          </w:p>
        </w:tc>
        <w:tc>
          <w:tcPr>
            <w:tcW w:w="2127" w:type="dxa"/>
            <w:vAlign w:val="center"/>
          </w:tcPr>
          <w:p>
            <w:pPr>
              <w:autoSpaceDE w:val="0"/>
              <w:autoSpaceDN w:val="0"/>
              <w:adjustRightInd w:val="0"/>
              <w:jc w:val="center"/>
              <w:rPr>
                <w:kern w:val="0"/>
                <w:szCs w:val="21"/>
              </w:rPr>
            </w:pPr>
            <w:r>
              <w:rPr>
                <w:kern w:val="0"/>
                <w:szCs w:val="21"/>
              </w:rPr>
              <w:t>0.2688</w:t>
            </w:r>
            <w:r>
              <w:rPr>
                <w:kern w:val="0"/>
                <w:szCs w:val="21"/>
                <w:vertAlign w:val="superscript"/>
              </w:rPr>
              <w:t>***</w:t>
            </w:r>
          </w:p>
          <w:p>
            <w:pPr>
              <w:autoSpaceDE w:val="0"/>
              <w:autoSpaceDN w:val="0"/>
              <w:adjustRightInd w:val="0"/>
              <w:jc w:val="center"/>
              <w:rPr>
                <w:kern w:val="0"/>
                <w:szCs w:val="21"/>
              </w:rPr>
            </w:pPr>
            <w:r>
              <w:rPr>
                <w:kern w:val="0"/>
                <w:szCs w:val="21"/>
              </w:rPr>
              <w:t>(0.0231)</w:t>
            </w:r>
          </w:p>
        </w:tc>
        <w:tc>
          <w:tcPr>
            <w:tcW w:w="2251" w:type="dxa"/>
            <w:vAlign w:val="center"/>
          </w:tcPr>
          <w:p>
            <w:pPr>
              <w:autoSpaceDE w:val="0"/>
              <w:autoSpaceDN w:val="0"/>
              <w:adjustRightInd w:val="0"/>
              <w:jc w:val="center"/>
              <w:rPr>
                <w:kern w:val="0"/>
                <w:szCs w:val="21"/>
              </w:rPr>
            </w:pPr>
            <w:r>
              <w:rPr>
                <w:kern w:val="0"/>
                <w:szCs w:val="21"/>
              </w:rPr>
              <w:t>0.1317</w:t>
            </w:r>
            <w:r>
              <w:rPr>
                <w:kern w:val="0"/>
                <w:szCs w:val="21"/>
                <w:vertAlign w:val="superscript"/>
              </w:rPr>
              <w:t>***</w:t>
            </w:r>
          </w:p>
          <w:p>
            <w:pPr>
              <w:autoSpaceDE w:val="0"/>
              <w:autoSpaceDN w:val="0"/>
              <w:adjustRightInd w:val="0"/>
              <w:jc w:val="center"/>
              <w:rPr>
                <w:kern w:val="0"/>
                <w:szCs w:val="21"/>
              </w:rPr>
            </w:pPr>
            <w:r>
              <w:rPr>
                <w:kern w:val="0"/>
                <w:szCs w:val="21"/>
              </w:rPr>
              <w:t>(0.0241)</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0" w:type="auto"/>
            <w:vAlign w:val="center"/>
          </w:tcPr>
          <w:p>
            <w:pPr>
              <w:jc w:val="center"/>
              <w:rPr>
                <w:iCs/>
                <w:szCs w:val="21"/>
              </w:rPr>
            </w:pPr>
            <w:r>
              <w:rPr>
                <w:iCs/>
                <w:szCs w:val="21"/>
              </w:rPr>
              <w:t>直接效应</w:t>
            </w:r>
          </w:p>
          <w:p>
            <w:pPr>
              <w:jc w:val="center"/>
              <w:rPr>
                <w:iCs/>
                <w:szCs w:val="21"/>
              </w:rPr>
            </w:pPr>
            <w:r>
              <w:rPr>
                <w:i/>
                <w:szCs w:val="21"/>
              </w:rPr>
              <w:t>Taxcom</w:t>
            </w:r>
          </w:p>
        </w:tc>
        <w:tc>
          <w:tcPr>
            <w:tcW w:w="2275" w:type="dxa"/>
            <w:vAlign w:val="center"/>
          </w:tcPr>
          <w:p>
            <w:pPr>
              <w:autoSpaceDE w:val="0"/>
              <w:autoSpaceDN w:val="0"/>
              <w:adjustRightInd w:val="0"/>
              <w:jc w:val="center"/>
              <w:rPr>
                <w:kern w:val="0"/>
                <w:szCs w:val="21"/>
              </w:rPr>
            </w:pPr>
            <w:r>
              <w:rPr>
                <w:kern w:val="0"/>
                <w:szCs w:val="21"/>
              </w:rPr>
              <w:t>0.2086</w:t>
            </w:r>
            <w:r>
              <w:rPr>
                <w:kern w:val="0"/>
                <w:szCs w:val="21"/>
                <w:vertAlign w:val="superscript"/>
              </w:rPr>
              <w:t>**</w:t>
            </w:r>
          </w:p>
          <w:p>
            <w:pPr>
              <w:autoSpaceDE w:val="0"/>
              <w:autoSpaceDN w:val="0"/>
              <w:adjustRightInd w:val="0"/>
              <w:jc w:val="center"/>
              <w:rPr>
                <w:kern w:val="0"/>
                <w:szCs w:val="21"/>
              </w:rPr>
            </w:pPr>
            <w:r>
              <w:rPr>
                <w:kern w:val="0"/>
                <w:szCs w:val="21"/>
              </w:rPr>
              <w:t>(0.0914)</w:t>
            </w:r>
          </w:p>
        </w:tc>
        <w:tc>
          <w:tcPr>
            <w:tcW w:w="2127" w:type="dxa"/>
            <w:vAlign w:val="center"/>
          </w:tcPr>
          <w:p>
            <w:pPr>
              <w:autoSpaceDE w:val="0"/>
              <w:autoSpaceDN w:val="0"/>
              <w:adjustRightInd w:val="0"/>
              <w:jc w:val="center"/>
              <w:rPr>
                <w:kern w:val="0"/>
                <w:szCs w:val="21"/>
              </w:rPr>
            </w:pPr>
            <w:r>
              <w:rPr>
                <w:kern w:val="0"/>
                <w:szCs w:val="21"/>
              </w:rPr>
              <w:t>0.2641</w:t>
            </w:r>
            <w:r>
              <w:rPr>
                <w:kern w:val="0"/>
                <w:szCs w:val="21"/>
                <w:vertAlign w:val="superscript"/>
              </w:rPr>
              <w:t>***</w:t>
            </w:r>
          </w:p>
          <w:p>
            <w:pPr>
              <w:autoSpaceDE w:val="0"/>
              <w:autoSpaceDN w:val="0"/>
              <w:adjustRightInd w:val="0"/>
              <w:jc w:val="center"/>
              <w:rPr>
                <w:kern w:val="0"/>
                <w:szCs w:val="21"/>
              </w:rPr>
            </w:pPr>
            <w:r>
              <w:rPr>
                <w:kern w:val="0"/>
                <w:szCs w:val="21"/>
              </w:rPr>
              <w:t>(0.0913)</w:t>
            </w:r>
          </w:p>
        </w:tc>
        <w:tc>
          <w:tcPr>
            <w:tcW w:w="2251" w:type="dxa"/>
            <w:vAlign w:val="center"/>
          </w:tcPr>
          <w:p>
            <w:pPr>
              <w:autoSpaceDE w:val="0"/>
              <w:autoSpaceDN w:val="0"/>
              <w:adjustRightInd w:val="0"/>
              <w:jc w:val="center"/>
              <w:rPr>
                <w:kern w:val="0"/>
                <w:szCs w:val="21"/>
              </w:rPr>
            </w:pPr>
            <w:r>
              <w:rPr>
                <w:kern w:val="0"/>
                <w:szCs w:val="21"/>
              </w:rPr>
              <w:t>0.2932</w:t>
            </w:r>
            <w:r>
              <w:rPr>
                <w:kern w:val="0"/>
                <w:szCs w:val="21"/>
                <w:vertAlign w:val="superscript"/>
              </w:rPr>
              <w:t>***</w:t>
            </w:r>
          </w:p>
          <w:p>
            <w:pPr>
              <w:autoSpaceDE w:val="0"/>
              <w:autoSpaceDN w:val="0"/>
              <w:adjustRightInd w:val="0"/>
              <w:jc w:val="center"/>
              <w:rPr>
                <w:kern w:val="0"/>
                <w:szCs w:val="21"/>
              </w:rPr>
            </w:pPr>
            <w:r>
              <w:rPr>
                <w:kern w:val="0"/>
                <w:szCs w:val="21"/>
              </w:rPr>
              <w:t>(0.0912)</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0" w:type="auto"/>
            <w:vAlign w:val="center"/>
          </w:tcPr>
          <w:p>
            <w:pPr>
              <w:jc w:val="center"/>
              <w:rPr>
                <w:iCs/>
                <w:szCs w:val="21"/>
              </w:rPr>
            </w:pPr>
            <w:r>
              <w:rPr>
                <w:iCs/>
                <w:szCs w:val="21"/>
              </w:rPr>
              <w:t>间接效应</w:t>
            </w:r>
          </w:p>
          <w:p>
            <w:pPr>
              <w:jc w:val="center"/>
              <w:rPr>
                <w:iCs/>
                <w:szCs w:val="21"/>
              </w:rPr>
            </w:pPr>
            <w:r>
              <w:rPr>
                <w:i/>
                <w:szCs w:val="21"/>
              </w:rPr>
              <w:t>Taxcom</w:t>
            </w:r>
          </w:p>
        </w:tc>
        <w:tc>
          <w:tcPr>
            <w:tcW w:w="2275" w:type="dxa"/>
            <w:vAlign w:val="center"/>
          </w:tcPr>
          <w:p>
            <w:pPr>
              <w:autoSpaceDE w:val="0"/>
              <w:autoSpaceDN w:val="0"/>
              <w:adjustRightInd w:val="0"/>
              <w:jc w:val="center"/>
              <w:rPr>
                <w:kern w:val="0"/>
                <w:szCs w:val="21"/>
              </w:rPr>
            </w:pPr>
            <w:r>
              <w:rPr>
                <w:kern w:val="0"/>
                <w:szCs w:val="21"/>
              </w:rPr>
              <w:t>0.7012</w:t>
            </w:r>
            <w:r>
              <w:rPr>
                <w:kern w:val="0"/>
                <w:szCs w:val="21"/>
                <w:vertAlign w:val="superscript"/>
              </w:rPr>
              <w:t>***</w:t>
            </w:r>
          </w:p>
          <w:p>
            <w:pPr>
              <w:autoSpaceDE w:val="0"/>
              <w:autoSpaceDN w:val="0"/>
              <w:adjustRightInd w:val="0"/>
              <w:jc w:val="center"/>
              <w:rPr>
                <w:kern w:val="0"/>
                <w:szCs w:val="21"/>
              </w:rPr>
            </w:pPr>
            <w:r>
              <w:rPr>
                <w:kern w:val="0"/>
                <w:szCs w:val="21"/>
              </w:rPr>
              <w:t>(0.1998)</w:t>
            </w:r>
          </w:p>
        </w:tc>
        <w:tc>
          <w:tcPr>
            <w:tcW w:w="2127" w:type="dxa"/>
            <w:vAlign w:val="center"/>
          </w:tcPr>
          <w:p>
            <w:pPr>
              <w:autoSpaceDE w:val="0"/>
              <w:autoSpaceDN w:val="0"/>
              <w:adjustRightInd w:val="0"/>
              <w:jc w:val="center"/>
              <w:rPr>
                <w:kern w:val="0"/>
                <w:szCs w:val="21"/>
              </w:rPr>
            </w:pPr>
            <w:r>
              <w:rPr>
                <w:kern w:val="0"/>
                <w:szCs w:val="21"/>
              </w:rPr>
              <w:t>0.8465</w:t>
            </w:r>
            <w:r>
              <w:rPr>
                <w:kern w:val="0"/>
                <w:szCs w:val="21"/>
                <w:vertAlign w:val="superscript"/>
              </w:rPr>
              <w:t>***</w:t>
            </w:r>
          </w:p>
          <w:p>
            <w:pPr>
              <w:autoSpaceDE w:val="0"/>
              <w:autoSpaceDN w:val="0"/>
              <w:adjustRightInd w:val="0"/>
              <w:jc w:val="center"/>
              <w:rPr>
                <w:kern w:val="0"/>
                <w:szCs w:val="21"/>
              </w:rPr>
            </w:pPr>
            <w:r>
              <w:rPr>
                <w:kern w:val="0"/>
                <w:szCs w:val="21"/>
              </w:rPr>
              <w:t>(0.3165)</w:t>
            </w:r>
          </w:p>
        </w:tc>
        <w:tc>
          <w:tcPr>
            <w:tcW w:w="2251" w:type="dxa"/>
            <w:vAlign w:val="center"/>
          </w:tcPr>
          <w:p>
            <w:pPr>
              <w:autoSpaceDE w:val="0"/>
              <w:autoSpaceDN w:val="0"/>
              <w:adjustRightInd w:val="0"/>
              <w:jc w:val="center"/>
              <w:rPr>
                <w:kern w:val="0"/>
                <w:szCs w:val="21"/>
              </w:rPr>
            </w:pPr>
            <w:r>
              <w:rPr>
                <w:kern w:val="0"/>
                <w:szCs w:val="21"/>
              </w:rPr>
              <w:t>0.6021</w:t>
            </w:r>
            <w:r>
              <w:rPr>
                <w:kern w:val="0"/>
                <w:szCs w:val="21"/>
                <w:vertAlign w:val="superscript"/>
              </w:rPr>
              <w:t>**</w:t>
            </w:r>
          </w:p>
          <w:p>
            <w:pPr>
              <w:autoSpaceDE w:val="0"/>
              <w:autoSpaceDN w:val="0"/>
              <w:adjustRightInd w:val="0"/>
              <w:jc w:val="center"/>
              <w:rPr>
                <w:kern w:val="0"/>
                <w:szCs w:val="21"/>
              </w:rPr>
            </w:pPr>
            <w:r>
              <w:rPr>
                <w:kern w:val="0"/>
                <w:szCs w:val="21"/>
              </w:rPr>
              <w:t>(0.2789)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0" w:type="auto"/>
            <w:vAlign w:val="center"/>
          </w:tcPr>
          <w:p>
            <w:pPr>
              <w:jc w:val="center"/>
              <w:rPr>
                <w:i/>
                <w:iCs/>
                <w:szCs w:val="21"/>
              </w:rPr>
            </w:pPr>
            <w:r>
              <w:rPr>
                <w:i/>
                <w:iCs/>
                <w:szCs w:val="21"/>
              </w:rPr>
              <w:t>Control</w:t>
            </w:r>
          </w:p>
        </w:tc>
        <w:tc>
          <w:tcPr>
            <w:tcW w:w="2275" w:type="dxa"/>
            <w:vAlign w:val="center"/>
          </w:tcPr>
          <w:p>
            <w:pPr>
              <w:jc w:val="center"/>
              <w:rPr>
                <w:szCs w:val="21"/>
              </w:rPr>
            </w:pPr>
            <w:r>
              <w:rPr>
                <w:szCs w:val="21"/>
              </w:rPr>
              <w:t>Yes</w:t>
            </w:r>
          </w:p>
        </w:tc>
        <w:tc>
          <w:tcPr>
            <w:tcW w:w="2127" w:type="dxa"/>
            <w:vAlign w:val="center"/>
          </w:tcPr>
          <w:p>
            <w:pPr>
              <w:jc w:val="center"/>
              <w:rPr>
                <w:szCs w:val="21"/>
              </w:rPr>
            </w:pPr>
            <w:r>
              <w:rPr>
                <w:szCs w:val="21"/>
              </w:rPr>
              <w:t>Yes</w:t>
            </w:r>
          </w:p>
        </w:tc>
        <w:tc>
          <w:tcPr>
            <w:tcW w:w="2251" w:type="dxa"/>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0" w:type="auto"/>
            <w:vAlign w:val="center"/>
          </w:tcPr>
          <w:p>
            <w:pPr>
              <w:jc w:val="center"/>
              <w:rPr>
                <w:i/>
                <w:iCs/>
                <w:szCs w:val="21"/>
              </w:rPr>
            </w:pPr>
            <w:r>
              <w:rPr>
                <w:i/>
                <w:iCs/>
                <w:szCs w:val="21"/>
              </w:rPr>
              <w:t>W×Control</w:t>
            </w:r>
          </w:p>
        </w:tc>
        <w:tc>
          <w:tcPr>
            <w:tcW w:w="2275" w:type="dxa"/>
            <w:vAlign w:val="center"/>
          </w:tcPr>
          <w:p>
            <w:pPr>
              <w:jc w:val="center"/>
              <w:rPr>
                <w:szCs w:val="21"/>
              </w:rPr>
            </w:pPr>
            <w:r>
              <w:rPr>
                <w:szCs w:val="21"/>
              </w:rPr>
              <w:t>Yes</w:t>
            </w:r>
          </w:p>
        </w:tc>
        <w:tc>
          <w:tcPr>
            <w:tcW w:w="2127" w:type="dxa"/>
            <w:vAlign w:val="center"/>
          </w:tcPr>
          <w:p>
            <w:pPr>
              <w:jc w:val="center"/>
              <w:rPr>
                <w:szCs w:val="21"/>
              </w:rPr>
            </w:pPr>
            <w:r>
              <w:rPr>
                <w:szCs w:val="21"/>
              </w:rPr>
              <w:t>Yes</w:t>
            </w:r>
          </w:p>
        </w:tc>
        <w:tc>
          <w:tcPr>
            <w:tcW w:w="2251" w:type="dxa"/>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0" w:type="auto"/>
            <w:vAlign w:val="center"/>
          </w:tcPr>
          <w:p>
            <w:pPr>
              <w:jc w:val="center"/>
              <w:rPr>
                <w:szCs w:val="21"/>
              </w:rPr>
            </w:pPr>
            <w:r>
              <w:rPr>
                <w:szCs w:val="21"/>
              </w:rPr>
              <w:t>城市固定效应</w:t>
            </w:r>
          </w:p>
        </w:tc>
        <w:tc>
          <w:tcPr>
            <w:tcW w:w="2275" w:type="dxa"/>
            <w:vAlign w:val="center"/>
          </w:tcPr>
          <w:p>
            <w:pPr>
              <w:jc w:val="center"/>
              <w:rPr>
                <w:szCs w:val="21"/>
              </w:rPr>
            </w:pPr>
            <w:r>
              <w:rPr>
                <w:szCs w:val="21"/>
              </w:rPr>
              <w:t>Yes</w:t>
            </w:r>
          </w:p>
        </w:tc>
        <w:tc>
          <w:tcPr>
            <w:tcW w:w="2127" w:type="dxa"/>
            <w:vAlign w:val="center"/>
          </w:tcPr>
          <w:p>
            <w:pPr>
              <w:jc w:val="center"/>
              <w:rPr>
                <w:szCs w:val="21"/>
              </w:rPr>
            </w:pPr>
            <w:r>
              <w:rPr>
                <w:szCs w:val="21"/>
              </w:rPr>
              <w:t>Yes</w:t>
            </w:r>
          </w:p>
        </w:tc>
        <w:tc>
          <w:tcPr>
            <w:tcW w:w="2251" w:type="dxa"/>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0" w:type="auto"/>
            <w:vAlign w:val="center"/>
          </w:tcPr>
          <w:p>
            <w:pPr>
              <w:jc w:val="center"/>
              <w:rPr>
                <w:szCs w:val="21"/>
              </w:rPr>
            </w:pPr>
            <w:r>
              <w:rPr>
                <w:szCs w:val="21"/>
              </w:rPr>
              <w:t>时间固定效应</w:t>
            </w:r>
          </w:p>
        </w:tc>
        <w:tc>
          <w:tcPr>
            <w:tcW w:w="2275" w:type="dxa"/>
            <w:vAlign w:val="center"/>
          </w:tcPr>
          <w:p>
            <w:pPr>
              <w:jc w:val="center"/>
              <w:rPr>
                <w:szCs w:val="21"/>
              </w:rPr>
            </w:pPr>
            <w:r>
              <w:rPr>
                <w:szCs w:val="21"/>
              </w:rPr>
              <w:t>Yes</w:t>
            </w:r>
          </w:p>
        </w:tc>
        <w:tc>
          <w:tcPr>
            <w:tcW w:w="2127" w:type="dxa"/>
            <w:vAlign w:val="center"/>
          </w:tcPr>
          <w:p>
            <w:pPr>
              <w:jc w:val="center"/>
              <w:rPr>
                <w:szCs w:val="21"/>
              </w:rPr>
            </w:pPr>
            <w:r>
              <w:rPr>
                <w:szCs w:val="21"/>
              </w:rPr>
              <w:t>Yes</w:t>
            </w:r>
          </w:p>
        </w:tc>
        <w:tc>
          <w:tcPr>
            <w:tcW w:w="2251" w:type="dxa"/>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0" w:type="auto"/>
            <w:vAlign w:val="center"/>
          </w:tcPr>
          <w:p>
            <w:pPr>
              <w:jc w:val="center"/>
              <w:rPr>
                <w:szCs w:val="21"/>
              </w:rPr>
            </w:pPr>
            <w:r>
              <w:rPr>
                <w:szCs w:val="21"/>
              </w:rPr>
              <w:t>N</w:t>
            </w:r>
          </w:p>
        </w:tc>
        <w:tc>
          <w:tcPr>
            <w:tcW w:w="2275" w:type="dxa"/>
          </w:tcPr>
          <w:p>
            <w:pPr>
              <w:jc w:val="center"/>
              <w:rPr>
                <w:szCs w:val="21"/>
              </w:rPr>
            </w:pPr>
            <w:r>
              <w:rPr>
                <w:kern w:val="0"/>
                <w:szCs w:val="21"/>
              </w:rPr>
              <w:t>4641</w:t>
            </w:r>
          </w:p>
        </w:tc>
        <w:tc>
          <w:tcPr>
            <w:tcW w:w="2127" w:type="dxa"/>
          </w:tcPr>
          <w:p>
            <w:pPr>
              <w:jc w:val="center"/>
              <w:rPr>
                <w:szCs w:val="21"/>
              </w:rPr>
            </w:pPr>
            <w:r>
              <w:rPr>
                <w:kern w:val="0"/>
                <w:szCs w:val="21"/>
              </w:rPr>
              <w:t>4641</w:t>
            </w:r>
          </w:p>
        </w:tc>
        <w:tc>
          <w:tcPr>
            <w:tcW w:w="2251" w:type="dxa"/>
          </w:tcPr>
          <w:p>
            <w:pPr>
              <w:jc w:val="center"/>
              <w:rPr>
                <w:szCs w:val="21"/>
              </w:rPr>
            </w:pPr>
            <w:r>
              <w:rPr>
                <w:kern w:val="0"/>
                <w:szCs w:val="21"/>
              </w:rPr>
              <w:t>4641</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w:t>
      </w:r>
    </w:p>
    <w:p>
      <w:pPr>
        <w:ind w:firstLine="420" w:firstLineChars="200"/>
        <w:rPr>
          <w:szCs w:val="21"/>
        </w:rPr>
      </w:pPr>
      <w:r>
        <w:rPr>
          <w:szCs w:val="21"/>
        </w:rPr>
        <w:t>由表6可知，无论是采取地理邻接矩阵</w:t>
      </w:r>
      <w:r>
        <w:rPr>
          <w:i/>
          <w:szCs w:val="21"/>
        </w:rPr>
        <w:t>W</w:t>
      </w:r>
      <w:r>
        <w:rPr>
          <w:i/>
          <w:szCs w:val="21"/>
          <w:vertAlign w:val="subscript"/>
        </w:rPr>
        <w:t>1</w:t>
      </w:r>
      <w:r>
        <w:rPr>
          <w:szCs w:val="21"/>
        </w:rPr>
        <w:t>、经济地理矩阵</w:t>
      </w:r>
      <w:r>
        <w:rPr>
          <w:i/>
          <w:szCs w:val="21"/>
        </w:rPr>
        <w:t>W</w:t>
      </w:r>
      <w:r>
        <w:rPr>
          <w:i/>
          <w:szCs w:val="21"/>
          <w:vertAlign w:val="subscript"/>
        </w:rPr>
        <w:t>2</w:t>
      </w:r>
      <w:r>
        <w:rPr>
          <w:iCs/>
          <w:szCs w:val="21"/>
        </w:rPr>
        <w:t>抑或经济地理嵌套矩阵</w:t>
      </w:r>
      <w:r>
        <w:rPr>
          <w:i/>
          <w:szCs w:val="21"/>
        </w:rPr>
        <w:t>W</w:t>
      </w:r>
      <w:r>
        <w:rPr>
          <w:i/>
          <w:szCs w:val="21"/>
          <w:vertAlign w:val="subscript"/>
        </w:rPr>
        <w:t>3</w:t>
      </w:r>
      <w:r>
        <w:rPr>
          <w:szCs w:val="21"/>
        </w:rPr>
        <w:t>进行空间计量分析，地方政府税收竞争对经济发展不平衡的影响效应依然显著为正，即使采取不同方法度量个体之间的空间关联度对本文的实证回归结果并无影响，这充分说明本文实证模型设定和回归估计结果具有较好的稳健性和可信性。其次，控制变量的估计结果与本文之前表5中的基准回归结果基本保持一致，在此因受篇幅限制不做展示与赘述。</w:t>
      </w:r>
    </w:p>
    <w:p>
      <w:pPr>
        <w:ind w:firstLine="420" w:firstLineChars="200"/>
        <w:rPr>
          <w:rFonts w:eastAsia="黑体"/>
        </w:rPr>
      </w:pPr>
      <w:r>
        <w:rPr>
          <w:rFonts w:eastAsia="黑体"/>
        </w:rPr>
        <w:t>（二）替换核心变量的稳健性估计</w:t>
      </w:r>
    </w:p>
    <w:p>
      <w:pPr>
        <w:ind w:firstLine="420" w:firstLineChars="200"/>
        <w:rPr>
          <w:szCs w:val="21"/>
        </w:rPr>
      </w:pPr>
      <w:r>
        <w:rPr>
          <w:szCs w:val="21"/>
        </w:rPr>
        <w:t>为进一步检验本文所构建的</w:t>
      </w:r>
      <w:r>
        <w:t>空间杜宾模型（</w:t>
      </w:r>
      <w:r>
        <w:rPr>
          <w:i/>
        </w:rPr>
        <w:t>SDM</w:t>
      </w:r>
      <w:r>
        <w:t>）的</w:t>
      </w:r>
      <w:r>
        <w:rPr>
          <w:szCs w:val="21"/>
        </w:rPr>
        <w:t>计量估计结果是否具有稳健性，本文通过对核心变量经济发展不平等和税收竞争采取不同指标进行测度和替代。</w:t>
      </w:r>
    </w:p>
    <w:p>
      <w:pPr>
        <w:ind w:firstLine="420" w:firstLineChars="200"/>
        <w:rPr>
          <w:szCs w:val="21"/>
        </w:rPr>
      </w:pPr>
      <w:r>
        <w:rPr>
          <w:szCs w:val="21"/>
        </w:rPr>
        <w:t>一是替换地区经济发展不平衡指标，在稳健性检验中，本文采用泰尔指数分析地区经济发展不平衡程度，具体公式如（23）式。</w:t>
      </w:r>
    </w:p>
    <w:p>
      <w:pPr>
        <w:jc w:val="right"/>
        <w:rPr>
          <w:iCs/>
          <w:szCs w:val="21"/>
        </w:rPr>
      </w:pPr>
      <w:r>
        <w:rPr>
          <w:position w:val="-32"/>
          <w:szCs w:val="21"/>
        </w:rPr>
        <w:object>
          <v:shape id="_x0000_i1093" o:spt="75" type="#_x0000_t75" style="height:36pt;width:108.9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szCs w:val="21"/>
        </w:rPr>
        <w:t xml:space="preserve">                          （23）</w:t>
      </w:r>
    </w:p>
    <w:p>
      <w:pPr>
        <w:ind w:firstLine="420" w:firstLineChars="200"/>
        <w:rPr>
          <w:szCs w:val="21"/>
        </w:rPr>
      </w:pPr>
      <w:r>
        <w:rPr>
          <w:szCs w:val="21"/>
        </w:rPr>
        <w:t>式（23）中</w:t>
      </w:r>
      <w:r>
        <w:rPr>
          <w:i/>
          <w:iCs/>
          <w:szCs w:val="21"/>
        </w:rPr>
        <w:t>Y</w:t>
      </w:r>
      <w:r>
        <w:rPr>
          <w:i/>
          <w:iCs/>
          <w:szCs w:val="21"/>
          <w:vertAlign w:val="subscript"/>
        </w:rPr>
        <w:t>i</w:t>
      </w:r>
      <w:r>
        <w:rPr>
          <w:szCs w:val="21"/>
        </w:rPr>
        <w:t>和</w:t>
      </w:r>
      <w:r>
        <w:rPr>
          <w:i/>
          <w:iCs/>
          <w:szCs w:val="21"/>
        </w:rPr>
        <w:t>N</w:t>
      </w:r>
      <w:r>
        <w:rPr>
          <w:i/>
          <w:iCs/>
          <w:szCs w:val="21"/>
          <w:vertAlign w:val="subscript"/>
        </w:rPr>
        <w:t>i</w:t>
      </w:r>
      <w:r>
        <w:rPr>
          <w:szCs w:val="21"/>
        </w:rPr>
        <w:t>分别代表</w:t>
      </w:r>
      <w:r>
        <w:rPr>
          <w:i/>
          <w:iCs/>
          <w:szCs w:val="21"/>
        </w:rPr>
        <w:t>i</w:t>
      </w:r>
      <w:r>
        <w:rPr>
          <w:szCs w:val="21"/>
        </w:rPr>
        <w:t>地区的人均GDP和人口数，</w:t>
      </w:r>
      <w:r>
        <w:rPr>
          <w:i/>
          <w:iCs/>
          <w:szCs w:val="21"/>
        </w:rPr>
        <w:t>Y</w:t>
      </w:r>
      <w:r>
        <w:rPr>
          <w:szCs w:val="21"/>
        </w:rPr>
        <w:t>和</w:t>
      </w:r>
      <w:r>
        <w:rPr>
          <w:i/>
          <w:iCs/>
          <w:szCs w:val="21"/>
        </w:rPr>
        <w:t>N</w:t>
      </w:r>
      <w:r>
        <w:rPr>
          <w:szCs w:val="21"/>
        </w:rPr>
        <w:t>分别代表全国人均GDP和全国总人口数，</w:t>
      </w:r>
      <w:r>
        <w:rPr>
          <w:i/>
          <w:iCs/>
          <w:szCs w:val="21"/>
        </w:rPr>
        <w:t>n</w:t>
      </w:r>
      <w:r>
        <w:rPr>
          <w:szCs w:val="21"/>
        </w:rPr>
        <w:t>表示城市总个数，这里</w:t>
      </w:r>
      <w:r>
        <w:rPr>
          <w:i/>
          <w:iCs/>
          <w:szCs w:val="21"/>
        </w:rPr>
        <w:t>n</w:t>
      </w:r>
      <w:r>
        <w:rPr>
          <w:szCs w:val="21"/>
        </w:rPr>
        <w:t>=273。泰尔指数值越小，意味着各区域间经济发展差异越小，均衡状况越好。</w:t>
      </w:r>
    </w:p>
    <w:p>
      <w:pPr>
        <w:ind w:firstLine="420" w:firstLineChars="200"/>
        <w:rPr>
          <w:szCs w:val="21"/>
        </w:rPr>
      </w:pPr>
      <w:r>
        <w:rPr>
          <w:szCs w:val="21"/>
        </w:rPr>
        <w:t>二是替换税收竞争指标，目前学术界关于税收竞争的指标大多采用税收负担进行衡量，主要分为广义税收负担和狭义税收负担：其中广义税收负担（</w:t>
      </w:r>
      <w:r>
        <w:rPr>
          <w:i/>
          <w:iCs/>
          <w:szCs w:val="21"/>
        </w:rPr>
        <w:t>Taxcom1</w:t>
      </w:r>
      <w:r>
        <w:rPr>
          <w:szCs w:val="21"/>
        </w:rPr>
        <w:t>）采用财政收入占GDP的比重进行测度（沈坤荣、付文林，2006；龚锋等，2021），这里需说明的是，</w:t>
      </w:r>
      <w:r>
        <w:rPr>
          <w:i/>
          <w:iCs/>
          <w:szCs w:val="21"/>
        </w:rPr>
        <w:t>Taxcom1</w:t>
      </w:r>
      <w:r>
        <w:rPr>
          <w:szCs w:val="21"/>
        </w:rPr>
        <w:t>为逆向指标，即地区税收竞争程度越高，</w:t>
      </w:r>
      <w:r>
        <w:rPr>
          <w:i/>
          <w:iCs/>
          <w:szCs w:val="21"/>
        </w:rPr>
        <w:t>Taxcom1</w:t>
      </w:r>
      <w:r>
        <w:rPr>
          <w:szCs w:val="21"/>
        </w:rPr>
        <w:t>值越低；狭义税收负担（</w:t>
      </w:r>
      <w:r>
        <w:rPr>
          <w:i/>
          <w:iCs/>
          <w:szCs w:val="21"/>
        </w:rPr>
        <w:t>Taxcom2</w:t>
      </w:r>
      <w:r>
        <w:rPr>
          <w:szCs w:val="21"/>
        </w:rPr>
        <w:t>）采用地区实际税率与全国平均税率之比进行测度（傅勇、张晏，2007；郭杰、李涛，2009）。在稳健性检验中，本文分别采用两种测度方法衡量税收竞争程度，回归结果见表7。</w:t>
      </w:r>
    </w:p>
    <w:p>
      <w:pPr>
        <w:spacing w:before="178" w:beforeLines="50"/>
        <w:jc w:val="center"/>
        <w:rPr>
          <w:rFonts w:eastAsia="楷体"/>
          <w:szCs w:val="21"/>
        </w:rPr>
      </w:pPr>
      <w:r>
        <w:rPr>
          <w:rFonts w:eastAsia="楷体"/>
          <w:szCs w:val="21"/>
        </w:rPr>
        <w:t>表7  基于不同测算指标的稳健性检验结果</w:t>
      </w:r>
    </w:p>
    <w:tbl>
      <w:tblPr>
        <w:tblStyle w:val="14"/>
        <w:tblW w:w="8016" w:type="dxa"/>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295"/>
        <w:gridCol w:w="2241"/>
        <w:gridCol w:w="1701"/>
        <w:gridCol w:w="1779"/>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2295" w:type="dxa"/>
            <w:vMerge w:val="restart"/>
            <w:vAlign w:val="center"/>
          </w:tcPr>
          <w:p>
            <w:pPr>
              <w:jc w:val="center"/>
              <w:rPr>
                <w:szCs w:val="21"/>
              </w:rPr>
            </w:pPr>
            <w:r>
              <w:rPr>
                <w:szCs w:val="21"/>
              </w:rPr>
              <w:t>变量</w:t>
            </w:r>
          </w:p>
        </w:tc>
        <w:tc>
          <w:tcPr>
            <w:tcW w:w="2241" w:type="dxa"/>
            <w:vAlign w:val="center"/>
          </w:tcPr>
          <w:p>
            <w:pPr>
              <w:jc w:val="center"/>
              <w:rPr>
                <w:szCs w:val="21"/>
              </w:rPr>
            </w:pPr>
            <w:r>
              <w:rPr>
                <w:szCs w:val="21"/>
              </w:rPr>
              <w:t>Theil</w:t>
            </w:r>
          </w:p>
        </w:tc>
        <w:tc>
          <w:tcPr>
            <w:tcW w:w="3480" w:type="dxa"/>
            <w:gridSpan w:val="2"/>
            <w:vAlign w:val="center"/>
          </w:tcPr>
          <w:p>
            <w:pPr>
              <w:jc w:val="center"/>
              <w:rPr>
                <w:szCs w:val="21"/>
              </w:rPr>
            </w:pPr>
            <w:r>
              <w:rPr>
                <w:szCs w:val="21"/>
              </w:rPr>
              <w:t>Gini</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295" w:type="dxa"/>
            <w:vMerge w:val="continue"/>
            <w:vAlign w:val="center"/>
          </w:tcPr>
          <w:p>
            <w:pPr>
              <w:jc w:val="center"/>
              <w:rPr>
                <w:szCs w:val="21"/>
              </w:rPr>
            </w:pPr>
          </w:p>
        </w:tc>
        <w:tc>
          <w:tcPr>
            <w:tcW w:w="2241" w:type="dxa"/>
            <w:vAlign w:val="center"/>
          </w:tcPr>
          <w:p>
            <w:pPr>
              <w:jc w:val="center"/>
              <w:rPr>
                <w:szCs w:val="21"/>
              </w:rPr>
            </w:pPr>
            <w:r>
              <w:rPr>
                <w:szCs w:val="21"/>
              </w:rPr>
              <w:t>（1）</w:t>
            </w:r>
          </w:p>
        </w:tc>
        <w:tc>
          <w:tcPr>
            <w:tcW w:w="1701" w:type="dxa"/>
            <w:vAlign w:val="center"/>
          </w:tcPr>
          <w:p>
            <w:pPr>
              <w:jc w:val="center"/>
              <w:rPr>
                <w:szCs w:val="21"/>
              </w:rPr>
            </w:pPr>
            <w:r>
              <w:rPr>
                <w:szCs w:val="21"/>
              </w:rPr>
              <w:t>（2）</w:t>
            </w:r>
          </w:p>
        </w:tc>
        <w:tc>
          <w:tcPr>
            <w:tcW w:w="1779" w:type="dxa"/>
            <w:vAlign w:val="center"/>
          </w:tcPr>
          <w:p>
            <w:pPr>
              <w:jc w:val="center"/>
              <w:rPr>
                <w:szCs w:val="21"/>
              </w:rPr>
            </w:pPr>
            <w:r>
              <w:rPr>
                <w:szCs w:val="21"/>
              </w:rPr>
              <w:t>（3）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8016" w:type="dxa"/>
            <w:gridSpan w:val="4"/>
            <w:vAlign w:val="center"/>
          </w:tcPr>
          <w:p>
            <w:pPr>
              <w:jc w:val="center"/>
              <w:rPr>
                <w:szCs w:val="21"/>
              </w:rPr>
            </w:pPr>
            <w:r>
              <w:rPr>
                <w:szCs w:val="21"/>
              </w:rPr>
              <w:t>直接效应</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295" w:type="dxa"/>
            <w:vAlign w:val="center"/>
          </w:tcPr>
          <w:p>
            <w:pPr>
              <w:jc w:val="center"/>
              <w:rPr>
                <w:i/>
                <w:iCs/>
                <w:szCs w:val="21"/>
              </w:rPr>
            </w:pPr>
            <w:r>
              <w:rPr>
                <w:i/>
                <w:iCs/>
                <w:szCs w:val="21"/>
              </w:rPr>
              <w:t>Taxcom</w:t>
            </w:r>
          </w:p>
        </w:tc>
        <w:tc>
          <w:tcPr>
            <w:tcW w:w="2241" w:type="dxa"/>
            <w:vAlign w:val="center"/>
          </w:tcPr>
          <w:p>
            <w:pPr>
              <w:jc w:val="center"/>
              <w:rPr>
                <w:szCs w:val="21"/>
              </w:rPr>
            </w:pPr>
            <w:r>
              <w:rPr>
                <w:kern w:val="0"/>
                <w:szCs w:val="21"/>
              </w:rPr>
              <w:t>0.2521</w:t>
            </w:r>
            <w:r>
              <w:rPr>
                <w:kern w:val="0"/>
                <w:szCs w:val="21"/>
                <w:vertAlign w:val="superscript"/>
              </w:rPr>
              <w:t>***</w:t>
            </w:r>
          </w:p>
          <w:p>
            <w:pPr>
              <w:jc w:val="center"/>
              <w:rPr>
                <w:szCs w:val="21"/>
              </w:rPr>
            </w:pPr>
            <w:r>
              <w:rPr>
                <w:kern w:val="0"/>
                <w:szCs w:val="21"/>
              </w:rPr>
              <w:t>(0.0179)</w:t>
            </w:r>
          </w:p>
        </w:tc>
        <w:tc>
          <w:tcPr>
            <w:tcW w:w="1701" w:type="dxa"/>
            <w:vAlign w:val="center"/>
          </w:tcPr>
          <w:p>
            <w:pPr>
              <w:jc w:val="center"/>
              <w:rPr>
                <w:szCs w:val="21"/>
              </w:rPr>
            </w:pPr>
          </w:p>
        </w:tc>
        <w:tc>
          <w:tcPr>
            <w:tcW w:w="1779" w:type="dxa"/>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295" w:type="dxa"/>
            <w:vAlign w:val="center"/>
          </w:tcPr>
          <w:p>
            <w:pPr>
              <w:jc w:val="center"/>
              <w:rPr>
                <w:i/>
                <w:iCs/>
                <w:szCs w:val="21"/>
              </w:rPr>
            </w:pPr>
            <w:r>
              <w:rPr>
                <w:i/>
                <w:iCs/>
                <w:szCs w:val="21"/>
              </w:rPr>
              <w:t>Taxcom1</w:t>
            </w:r>
          </w:p>
        </w:tc>
        <w:tc>
          <w:tcPr>
            <w:tcW w:w="2241" w:type="dxa"/>
            <w:vAlign w:val="center"/>
          </w:tcPr>
          <w:p>
            <w:pPr>
              <w:jc w:val="center"/>
              <w:rPr>
                <w:szCs w:val="21"/>
              </w:rPr>
            </w:pPr>
          </w:p>
        </w:tc>
        <w:tc>
          <w:tcPr>
            <w:tcW w:w="1701" w:type="dxa"/>
            <w:vAlign w:val="center"/>
          </w:tcPr>
          <w:p>
            <w:pPr>
              <w:jc w:val="center"/>
              <w:rPr>
                <w:szCs w:val="21"/>
              </w:rPr>
            </w:pPr>
            <w:r>
              <w:rPr>
                <w:kern w:val="0"/>
                <w:szCs w:val="21"/>
              </w:rPr>
              <w:t>-0.2123</w:t>
            </w:r>
            <w:r>
              <w:rPr>
                <w:kern w:val="0"/>
                <w:szCs w:val="21"/>
                <w:vertAlign w:val="superscript"/>
              </w:rPr>
              <w:t>**</w:t>
            </w:r>
          </w:p>
          <w:p>
            <w:pPr>
              <w:jc w:val="center"/>
              <w:rPr>
                <w:szCs w:val="21"/>
              </w:rPr>
            </w:pPr>
            <w:r>
              <w:rPr>
                <w:kern w:val="0"/>
                <w:szCs w:val="21"/>
              </w:rPr>
              <w:t>(0.0909)</w:t>
            </w:r>
          </w:p>
        </w:tc>
        <w:tc>
          <w:tcPr>
            <w:tcW w:w="1779" w:type="dxa"/>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295" w:type="dxa"/>
            <w:vAlign w:val="center"/>
          </w:tcPr>
          <w:p>
            <w:pPr>
              <w:jc w:val="center"/>
              <w:rPr>
                <w:i/>
                <w:iCs/>
                <w:szCs w:val="21"/>
              </w:rPr>
            </w:pPr>
            <w:r>
              <w:rPr>
                <w:i/>
                <w:iCs/>
                <w:szCs w:val="21"/>
              </w:rPr>
              <w:t>Taxcom2</w:t>
            </w:r>
          </w:p>
        </w:tc>
        <w:tc>
          <w:tcPr>
            <w:tcW w:w="2241" w:type="dxa"/>
            <w:vAlign w:val="center"/>
          </w:tcPr>
          <w:p>
            <w:pPr>
              <w:jc w:val="center"/>
              <w:rPr>
                <w:szCs w:val="21"/>
              </w:rPr>
            </w:pPr>
          </w:p>
        </w:tc>
        <w:tc>
          <w:tcPr>
            <w:tcW w:w="1701" w:type="dxa"/>
            <w:vAlign w:val="center"/>
          </w:tcPr>
          <w:p>
            <w:pPr>
              <w:jc w:val="center"/>
              <w:rPr>
                <w:szCs w:val="21"/>
              </w:rPr>
            </w:pPr>
          </w:p>
        </w:tc>
        <w:tc>
          <w:tcPr>
            <w:tcW w:w="1779" w:type="dxa"/>
            <w:vAlign w:val="center"/>
          </w:tcPr>
          <w:p>
            <w:pPr>
              <w:jc w:val="center"/>
              <w:rPr>
                <w:szCs w:val="21"/>
              </w:rPr>
            </w:pPr>
            <w:r>
              <w:rPr>
                <w:kern w:val="0"/>
                <w:szCs w:val="21"/>
              </w:rPr>
              <w:t>0.0762</w:t>
            </w:r>
            <w:r>
              <w:rPr>
                <w:kern w:val="0"/>
                <w:szCs w:val="21"/>
                <w:vertAlign w:val="superscript"/>
              </w:rPr>
              <w:t>***</w:t>
            </w:r>
          </w:p>
          <w:p>
            <w:pPr>
              <w:jc w:val="center"/>
              <w:rPr>
                <w:szCs w:val="21"/>
              </w:rPr>
            </w:pPr>
            <w:r>
              <w:rPr>
                <w:kern w:val="0"/>
                <w:szCs w:val="21"/>
              </w:rPr>
              <w:t>(0.0199)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4"/>
            <w:vAlign w:val="center"/>
          </w:tcPr>
          <w:p>
            <w:pPr>
              <w:jc w:val="center"/>
              <w:rPr>
                <w:szCs w:val="21"/>
              </w:rPr>
            </w:pPr>
            <w:r>
              <w:rPr>
                <w:szCs w:val="21"/>
              </w:rPr>
              <w:t>间接效应</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295" w:type="dxa"/>
            <w:vAlign w:val="center"/>
          </w:tcPr>
          <w:p>
            <w:pPr>
              <w:jc w:val="center"/>
              <w:rPr>
                <w:i/>
                <w:iCs/>
                <w:szCs w:val="21"/>
              </w:rPr>
            </w:pPr>
            <w:r>
              <w:rPr>
                <w:i/>
                <w:iCs/>
                <w:szCs w:val="21"/>
              </w:rPr>
              <w:t>Taxcom</w:t>
            </w:r>
          </w:p>
        </w:tc>
        <w:tc>
          <w:tcPr>
            <w:tcW w:w="2241" w:type="dxa"/>
            <w:vAlign w:val="center"/>
          </w:tcPr>
          <w:p>
            <w:pPr>
              <w:jc w:val="center"/>
              <w:rPr>
                <w:szCs w:val="21"/>
              </w:rPr>
            </w:pPr>
            <w:r>
              <w:rPr>
                <w:kern w:val="0"/>
                <w:szCs w:val="21"/>
              </w:rPr>
              <w:t>0.1035</w:t>
            </w:r>
          </w:p>
          <w:p>
            <w:pPr>
              <w:jc w:val="center"/>
              <w:rPr>
                <w:szCs w:val="21"/>
              </w:rPr>
            </w:pPr>
            <w:r>
              <w:rPr>
                <w:kern w:val="0"/>
                <w:szCs w:val="21"/>
              </w:rPr>
              <w:t>(0.2431)</w:t>
            </w:r>
          </w:p>
        </w:tc>
        <w:tc>
          <w:tcPr>
            <w:tcW w:w="1701" w:type="dxa"/>
            <w:vAlign w:val="center"/>
          </w:tcPr>
          <w:p>
            <w:pPr>
              <w:jc w:val="center"/>
              <w:rPr>
                <w:szCs w:val="21"/>
              </w:rPr>
            </w:pPr>
          </w:p>
        </w:tc>
        <w:tc>
          <w:tcPr>
            <w:tcW w:w="1779" w:type="dxa"/>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295" w:type="dxa"/>
            <w:vAlign w:val="center"/>
          </w:tcPr>
          <w:p>
            <w:pPr>
              <w:jc w:val="center"/>
              <w:rPr>
                <w:i/>
                <w:iCs/>
                <w:szCs w:val="21"/>
              </w:rPr>
            </w:pPr>
            <w:r>
              <w:rPr>
                <w:i/>
                <w:iCs/>
                <w:szCs w:val="21"/>
              </w:rPr>
              <w:t>Taxcom1</w:t>
            </w:r>
          </w:p>
        </w:tc>
        <w:tc>
          <w:tcPr>
            <w:tcW w:w="2241" w:type="dxa"/>
            <w:vAlign w:val="center"/>
          </w:tcPr>
          <w:p>
            <w:pPr>
              <w:jc w:val="center"/>
              <w:rPr>
                <w:szCs w:val="21"/>
              </w:rPr>
            </w:pPr>
          </w:p>
        </w:tc>
        <w:tc>
          <w:tcPr>
            <w:tcW w:w="1701" w:type="dxa"/>
            <w:vAlign w:val="center"/>
          </w:tcPr>
          <w:p>
            <w:pPr>
              <w:jc w:val="center"/>
              <w:rPr>
                <w:szCs w:val="21"/>
              </w:rPr>
            </w:pPr>
            <w:r>
              <w:rPr>
                <w:kern w:val="0"/>
                <w:szCs w:val="21"/>
              </w:rPr>
              <w:t>-1.4711</w:t>
            </w:r>
            <w:r>
              <w:rPr>
                <w:kern w:val="0"/>
                <w:szCs w:val="21"/>
                <w:vertAlign w:val="superscript"/>
              </w:rPr>
              <w:t>**</w:t>
            </w:r>
          </w:p>
          <w:p>
            <w:pPr>
              <w:jc w:val="center"/>
              <w:rPr>
                <w:szCs w:val="21"/>
              </w:rPr>
            </w:pPr>
            <w:r>
              <w:rPr>
                <w:kern w:val="0"/>
                <w:szCs w:val="21"/>
              </w:rPr>
              <w:t>(0.6746)</w:t>
            </w:r>
          </w:p>
        </w:tc>
        <w:tc>
          <w:tcPr>
            <w:tcW w:w="1779" w:type="dxa"/>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295" w:type="dxa"/>
            <w:vAlign w:val="center"/>
          </w:tcPr>
          <w:p>
            <w:pPr>
              <w:jc w:val="center"/>
              <w:rPr>
                <w:i/>
                <w:iCs/>
                <w:szCs w:val="21"/>
              </w:rPr>
            </w:pPr>
            <w:r>
              <w:rPr>
                <w:i/>
                <w:iCs/>
                <w:szCs w:val="21"/>
              </w:rPr>
              <w:t>Taxcom2</w:t>
            </w:r>
          </w:p>
        </w:tc>
        <w:tc>
          <w:tcPr>
            <w:tcW w:w="2241" w:type="dxa"/>
            <w:vAlign w:val="center"/>
          </w:tcPr>
          <w:p>
            <w:pPr>
              <w:jc w:val="center"/>
              <w:rPr>
                <w:szCs w:val="21"/>
              </w:rPr>
            </w:pPr>
          </w:p>
        </w:tc>
        <w:tc>
          <w:tcPr>
            <w:tcW w:w="1701" w:type="dxa"/>
            <w:vAlign w:val="center"/>
          </w:tcPr>
          <w:p>
            <w:pPr>
              <w:jc w:val="center"/>
              <w:rPr>
                <w:kern w:val="0"/>
                <w:szCs w:val="21"/>
              </w:rPr>
            </w:pPr>
          </w:p>
        </w:tc>
        <w:tc>
          <w:tcPr>
            <w:tcW w:w="1779" w:type="dxa"/>
            <w:vAlign w:val="center"/>
          </w:tcPr>
          <w:p>
            <w:pPr>
              <w:jc w:val="center"/>
              <w:rPr>
                <w:szCs w:val="21"/>
              </w:rPr>
            </w:pPr>
            <w:r>
              <w:rPr>
                <w:kern w:val="0"/>
                <w:szCs w:val="21"/>
              </w:rPr>
              <w:t>0.0924*</w:t>
            </w:r>
          </w:p>
          <w:p>
            <w:pPr>
              <w:jc w:val="center"/>
              <w:rPr>
                <w:szCs w:val="21"/>
              </w:rPr>
            </w:pPr>
            <w:r>
              <w:rPr>
                <w:kern w:val="0"/>
                <w:szCs w:val="21"/>
              </w:rPr>
              <w:t>(0.0512)</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2295" w:type="dxa"/>
            <w:vAlign w:val="center"/>
          </w:tcPr>
          <w:p>
            <w:pPr>
              <w:jc w:val="center"/>
              <w:rPr>
                <w:szCs w:val="21"/>
              </w:rPr>
            </w:pPr>
            <w:r>
              <w:rPr>
                <w:i/>
                <w:iCs/>
                <w:szCs w:val="21"/>
              </w:rPr>
              <w:t>Control</w:t>
            </w:r>
          </w:p>
        </w:tc>
        <w:tc>
          <w:tcPr>
            <w:tcW w:w="2241" w:type="dxa"/>
            <w:vAlign w:val="center"/>
          </w:tcPr>
          <w:p>
            <w:pPr>
              <w:jc w:val="center"/>
              <w:rPr>
                <w:szCs w:val="21"/>
              </w:rPr>
            </w:pPr>
            <w:r>
              <w:rPr>
                <w:szCs w:val="21"/>
              </w:rPr>
              <w:t>Yes</w:t>
            </w:r>
          </w:p>
        </w:tc>
        <w:tc>
          <w:tcPr>
            <w:tcW w:w="1701" w:type="dxa"/>
            <w:vAlign w:val="center"/>
          </w:tcPr>
          <w:p>
            <w:pPr>
              <w:jc w:val="center"/>
              <w:rPr>
                <w:kern w:val="0"/>
                <w:szCs w:val="21"/>
              </w:rPr>
            </w:pPr>
            <w:r>
              <w:rPr>
                <w:szCs w:val="21"/>
              </w:rPr>
              <w:t>Yes</w:t>
            </w:r>
          </w:p>
        </w:tc>
        <w:tc>
          <w:tcPr>
            <w:tcW w:w="1779" w:type="dxa"/>
            <w:vAlign w:val="center"/>
          </w:tcPr>
          <w:p>
            <w:pPr>
              <w:jc w:val="center"/>
              <w:rPr>
                <w:kern w:val="0"/>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2295" w:type="dxa"/>
            <w:vAlign w:val="center"/>
          </w:tcPr>
          <w:p>
            <w:pPr>
              <w:jc w:val="center"/>
              <w:rPr>
                <w:szCs w:val="21"/>
              </w:rPr>
            </w:pPr>
            <w:r>
              <w:rPr>
                <w:i/>
                <w:iCs/>
                <w:szCs w:val="21"/>
              </w:rPr>
              <w:t>W×Control</w:t>
            </w:r>
          </w:p>
        </w:tc>
        <w:tc>
          <w:tcPr>
            <w:tcW w:w="2241" w:type="dxa"/>
            <w:vAlign w:val="center"/>
          </w:tcPr>
          <w:p>
            <w:pPr>
              <w:jc w:val="center"/>
              <w:rPr>
                <w:szCs w:val="21"/>
              </w:rPr>
            </w:pPr>
            <w:r>
              <w:rPr>
                <w:szCs w:val="21"/>
              </w:rPr>
              <w:t>Yes</w:t>
            </w:r>
          </w:p>
        </w:tc>
        <w:tc>
          <w:tcPr>
            <w:tcW w:w="1701" w:type="dxa"/>
            <w:vAlign w:val="center"/>
          </w:tcPr>
          <w:p>
            <w:pPr>
              <w:jc w:val="center"/>
              <w:rPr>
                <w:kern w:val="0"/>
                <w:szCs w:val="21"/>
              </w:rPr>
            </w:pPr>
            <w:r>
              <w:rPr>
                <w:szCs w:val="21"/>
              </w:rPr>
              <w:t>Yes</w:t>
            </w:r>
          </w:p>
        </w:tc>
        <w:tc>
          <w:tcPr>
            <w:tcW w:w="1779" w:type="dxa"/>
            <w:vAlign w:val="center"/>
          </w:tcPr>
          <w:p>
            <w:pPr>
              <w:jc w:val="center"/>
              <w:rPr>
                <w:kern w:val="0"/>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2295" w:type="dxa"/>
            <w:vAlign w:val="center"/>
          </w:tcPr>
          <w:p>
            <w:pPr>
              <w:jc w:val="center"/>
              <w:rPr>
                <w:szCs w:val="21"/>
              </w:rPr>
            </w:pPr>
            <w:r>
              <w:rPr>
                <w:szCs w:val="21"/>
              </w:rPr>
              <w:t>城市固定效应</w:t>
            </w:r>
          </w:p>
        </w:tc>
        <w:tc>
          <w:tcPr>
            <w:tcW w:w="2241" w:type="dxa"/>
            <w:vAlign w:val="center"/>
          </w:tcPr>
          <w:p>
            <w:pPr>
              <w:jc w:val="center"/>
              <w:rPr>
                <w:szCs w:val="21"/>
              </w:rPr>
            </w:pPr>
            <w:r>
              <w:rPr>
                <w:szCs w:val="21"/>
              </w:rPr>
              <w:t>Yes</w:t>
            </w:r>
          </w:p>
        </w:tc>
        <w:tc>
          <w:tcPr>
            <w:tcW w:w="1701" w:type="dxa"/>
            <w:vAlign w:val="center"/>
          </w:tcPr>
          <w:p>
            <w:pPr>
              <w:jc w:val="center"/>
              <w:rPr>
                <w:kern w:val="0"/>
                <w:szCs w:val="21"/>
              </w:rPr>
            </w:pPr>
            <w:r>
              <w:rPr>
                <w:szCs w:val="21"/>
              </w:rPr>
              <w:t>Yes</w:t>
            </w:r>
          </w:p>
        </w:tc>
        <w:tc>
          <w:tcPr>
            <w:tcW w:w="1779" w:type="dxa"/>
            <w:vAlign w:val="center"/>
          </w:tcPr>
          <w:p>
            <w:pPr>
              <w:jc w:val="center"/>
              <w:rPr>
                <w:kern w:val="0"/>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295" w:type="dxa"/>
            <w:vAlign w:val="center"/>
          </w:tcPr>
          <w:p>
            <w:pPr>
              <w:jc w:val="center"/>
              <w:rPr>
                <w:szCs w:val="21"/>
              </w:rPr>
            </w:pPr>
            <w:r>
              <w:rPr>
                <w:szCs w:val="21"/>
              </w:rPr>
              <w:t>时间固定效应</w:t>
            </w:r>
          </w:p>
        </w:tc>
        <w:tc>
          <w:tcPr>
            <w:tcW w:w="2241" w:type="dxa"/>
            <w:vAlign w:val="center"/>
          </w:tcPr>
          <w:p>
            <w:pPr>
              <w:jc w:val="center"/>
              <w:rPr>
                <w:szCs w:val="21"/>
              </w:rPr>
            </w:pPr>
            <w:r>
              <w:rPr>
                <w:szCs w:val="21"/>
              </w:rPr>
              <w:t>Yes</w:t>
            </w:r>
          </w:p>
        </w:tc>
        <w:tc>
          <w:tcPr>
            <w:tcW w:w="1701" w:type="dxa"/>
            <w:vAlign w:val="center"/>
          </w:tcPr>
          <w:p>
            <w:pPr>
              <w:jc w:val="center"/>
              <w:rPr>
                <w:kern w:val="0"/>
                <w:szCs w:val="21"/>
              </w:rPr>
            </w:pPr>
            <w:r>
              <w:rPr>
                <w:szCs w:val="21"/>
              </w:rPr>
              <w:t>Yes</w:t>
            </w:r>
          </w:p>
        </w:tc>
        <w:tc>
          <w:tcPr>
            <w:tcW w:w="1779" w:type="dxa"/>
            <w:vAlign w:val="center"/>
          </w:tcPr>
          <w:p>
            <w:pPr>
              <w:jc w:val="center"/>
              <w:rPr>
                <w:kern w:val="0"/>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2295" w:type="dxa"/>
            <w:vAlign w:val="center"/>
          </w:tcPr>
          <w:p>
            <w:pPr>
              <w:jc w:val="center"/>
              <w:rPr>
                <w:szCs w:val="21"/>
              </w:rPr>
            </w:pPr>
            <w:r>
              <w:rPr>
                <w:szCs w:val="21"/>
              </w:rPr>
              <w:t>N</w:t>
            </w:r>
          </w:p>
        </w:tc>
        <w:tc>
          <w:tcPr>
            <w:tcW w:w="2241" w:type="dxa"/>
            <w:vAlign w:val="center"/>
          </w:tcPr>
          <w:p>
            <w:pPr>
              <w:jc w:val="center"/>
              <w:rPr>
                <w:szCs w:val="21"/>
              </w:rPr>
            </w:pPr>
            <w:r>
              <w:rPr>
                <w:kern w:val="0"/>
                <w:szCs w:val="21"/>
              </w:rPr>
              <w:t>4641</w:t>
            </w:r>
          </w:p>
        </w:tc>
        <w:tc>
          <w:tcPr>
            <w:tcW w:w="1701" w:type="dxa"/>
            <w:vAlign w:val="center"/>
          </w:tcPr>
          <w:p>
            <w:pPr>
              <w:jc w:val="center"/>
              <w:rPr>
                <w:kern w:val="0"/>
                <w:szCs w:val="21"/>
              </w:rPr>
            </w:pPr>
            <w:r>
              <w:rPr>
                <w:kern w:val="0"/>
                <w:szCs w:val="21"/>
              </w:rPr>
              <w:t>4641</w:t>
            </w:r>
          </w:p>
        </w:tc>
        <w:tc>
          <w:tcPr>
            <w:tcW w:w="1779" w:type="dxa"/>
            <w:vAlign w:val="center"/>
          </w:tcPr>
          <w:p>
            <w:pPr>
              <w:jc w:val="center"/>
              <w:rPr>
                <w:kern w:val="0"/>
                <w:szCs w:val="21"/>
              </w:rPr>
            </w:pPr>
            <w:r>
              <w:rPr>
                <w:kern w:val="0"/>
                <w:szCs w:val="21"/>
              </w:rPr>
              <w:t>4641</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w:t>
      </w:r>
    </w:p>
    <w:p>
      <w:pPr>
        <w:ind w:firstLine="420" w:firstLineChars="200"/>
      </w:pPr>
      <w:r>
        <w:t>表7第（1）列是替换核心被解释变量经济发展不平等的实证结果，税收竞争与经济发展不平衡的直接效应为正，说明税收竞争加剧了地区之间经济发展不平衡程度，这一结论与前文高度一致。间接效应虽然不具有统计显著性，但是系数符号基本符合预期。第（2）、（3）列为替换核心解释变量税收竞争的回归结果，所得结论与之前结论基本一致。</w:t>
      </w:r>
    </w:p>
    <w:p>
      <w:pPr>
        <w:ind w:firstLine="420" w:firstLineChars="200"/>
        <w:rPr>
          <w:rFonts w:eastAsia="黑体"/>
        </w:rPr>
      </w:pPr>
      <w:r>
        <w:rPr>
          <w:rFonts w:eastAsia="黑体"/>
        </w:rPr>
        <w:t>（三）基于空间自变量滞后模型（SLX）的内生性检验</w:t>
      </w:r>
    </w:p>
    <w:p>
      <w:pPr>
        <w:ind w:firstLine="420" w:firstLineChars="200"/>
      </w:pPr>
      <w:r>
        <w:t>尽管，本文根据相关理论控制了有关变量并采取多种方法衡量税收竞争和经济发展不平衡程度，希望尽可能地排除因遗漏变量和测量误差导致的内生性问题，但仍无法有效地规避残差项含有难以抽离的影响因素，另外，地区之间经济发展不平衡本身就是导致地区间为了争取税源和稀缺要素而展开税收竞争的重要原因之一，两者之间潜在的双向因果关系值得重视。因此，为了解决由于解释变量与随机误差项相关导致的内生性问题以及解释变量与被解释变量之间可能存在的互为因果问题，本文借鉴Vega &amp; Elhorst（2015）的SLX模型，将税收竞争（</w:t>
      </w:r>
      <w:r>
        <w:rPr>
          <w:i/>
          <w:szCs w:val="21"/>
        </w:rPr>
        <w:t>Taxcom（-1）</w:t>
      </w:r>
      <w:r>
        <w:t>）及其空间滞后项的滞后一期（</w:t>
      </w:r>
      <w:r>
        <w:rPr>
          <w:i/>
          <w:szCs w:val="21"/>
        </w:rPr>
        <w:t>W×Taxcom（-1）</w:t>
      </w:r>
      <w:r>
        <w:t>）作为工具变量采用两阶段最小二乘估计方法（2SLS）进行稳健性检验。</w:t>
      </w:r>
    </w:p>
    <w:p>
      <w:pPr>
        <w:ind w:firstLine="420" w:firstLineChars="200"/>
        <w:rPr>
          <w:szCs w:val="21"/>
        </w:rPr>
      </w:pPr>
      <w:r>
        <w:t>估计结果如表8所示，在工具变量的检验方面，F检验结果表明所选的工具变量与内生解释变量高度相关，</w:t>
      </w:r>
      <w:r>
        <w:rPr>
          <w:i/>
          <w:szCs w:val="21"/>
        </w:rPr>
        <w:t>Cragg-Donald Wald F</w:t>
      </w:r>
      <w:r>
        <w:rPr>
          <w:szCs w:val="21"/>
        </w:rPr>
        <w:t>值严格大于10，证明所选工具变量合理且不存在弱工具变量问题。基于2SLS的SLX模型估计结果表明，地区税收竞争</w:t>
      </w:r>
      <w:r>
        <w:rPr>
          <w:rFonts w:hint="eastAsia"/>
          <w:szCs w:val="21"/>
        </w:rPr>
        <w:t>不仅加剧了</w:t>
      </w:r>
      <w:r>
        <w:rPr>
          <w:szCs w:val="21"/>
        </w:rPr>
        <w:t>地区经济</w:t>
      </w:r>
      <w:r>
        <w:rPr>
          <w:rFonts w:hint="eastAsia"/>
          <w:szCs w:val="21"/>
        </w:rPr>
        <w:t>发展不平衡程度</w:t>
      </w:r>
      <w:r>
        <w:rPr>
          <w:szCs w:val="21"/>
        </w:rPr>
        <w:t>，</w:t>
      </w:r>
      <w:r>
        <w:rPr>
          <w:rFonts w:hint="eastAsia"/>
          <w:szCs w:val="21"/>
        </w:rPr>
        <w:t>而且</w:t>
      </w:r>
      <w:r>
        <w:rPr>
          <w:szCs w:val="21"/>
        </w:rPr>
        <w:t>对邻近地区具有正向的空间溢出效应，与表5的参数估计结果基本保持一致，进一步验证了本文回归结果的稳健性。</w:t>
      </w:r>
    </w:p>
    <w:p>
      <w:pPr>
        <w:spacing w:before="178" w:beforeLines="50"/>
        <w:jc w:val="center"/>
        <w:rPr>
          <w:rFonts w:eastAsia="楷体"/>
          <w:szCs w:val="21"/>
        </w:rPr>
      </w:pPr>
      <w:r>
        <w:rPr>
          <w:rFonts w:eastAsia="楷体"/>
          <w:szCs w:val="21"/>
        </w:rPr>
        <w:t>表8  地方政府税收竞争对经济发展不平衡的SLX实证结果</w:t>
      </w:r>
    </w:p>
    <w:tbl>
      <w:tblPr>
        <w:tblStyle w:val="13"/>
        <w:tblW w:w="0" w:type="auto"/>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514"/>
        <w:gridCol w:w="451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4514" w:type="dxa"/>
            <w:vAlign w:val="center"/>
          </w:tcPr>
          <w:p>
            <w:pPr>
              <w:jc w:val="center"/>
              <w:rPr>
                <w:szCs w:val="21"/>
              </w:rPr>
            </w:pPr>
            <w:r>
              <w:rPr>
                <w:szCs w:val="21"/>
              </w:rPr>
              <w:t>变量</w:t>
            </w:r>
          </w:p>
        </w:tc>
        <w:tc>
          <w:tcPr>
            <w:tcW w:w="4512" w:type="dxa"/>
            <w:vAlign w:val="center"/>
          </w:tcPr>
          <w:p>
            <w:pPr>
              <w:jc w:val="center"/>
              <w:rPr>
                <w:szCs w:val="21"/>
              </w:rPr>
            </w:pPr>
            <w:r>
              <w:rPr>
                <w:szCs w:val="21"/>
              </w:rPr>
              <w:t>Imbalance</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4514" w:type="dxa"/>
            <w:vAlign w:val="center"/>
          </w:tcPr>
          <w:p>
            <w:pPr>
              <w:jc w:val="center"/>
              <w:rPr>
                <w:i/>
                <w:szCs w:val="21"/>
              </w:rPr>
            </w:pPr>
            <w:r>
              <w:rPr>
                <w:i/>
                <w:szCs w:val="21"/>
              </w:rPr>
              <w:t>Taxcom</w:t>
            </w:r>
          </w:p>
        </w:tc>
        <w:tc>
          <w:tcPr>
            <w:tcW w:w="4512" w:type="dxa"/>
            <w:vAlign w:val="center"/>
          </w:tcPr>
          <w:p>
            <w:pPr>
              <w:autoSpaceDE w:val="0"/>
              <w:autoSpaceDN w:val="0"/>
              <w:adjustRightInd w:val="0"/>
              <w:snapToGrid w:val="0"/>
              <w:jc w:val="center"/>
              <w:rPr>
                <w:kern w:val="0"/>
                <w:szCs w:val="21"/>
              </w:rPr>
            </w:pPr>
            <w:r>
              <w:rPr>
                <w:kern w:val="0"/>
                <w:szCs w:val="21"/>
              </w:rPr>
              <w:t>1.0661</w:t>
            </w:r>
            <w:r>
              <w:rPr>
                <w:kern w:val="0"/>
                <w:szCs w:val="21"/>
                <w:vertAlign w:val="superscript"/>
              </w:rPr>
              <w:t>***</w:t>
            </w:r>
          </w:p>
          <w:p>
            <w:pPr>
              <w:autoSpaceDE w:val="0"/>
              <w:autoSpaceDN w:val="0"/>
              <w:adjustRightInd w:val="0"/>
              <w:snapToGrid w:val="0"/>
              <w:jc w:val="center"/>
              <w:rPr>
                <w:kern w:val="0"/>
                <w:szCs w:val="21"/>
              </w:rPr>
            </w:pPr>
            <w:r>
              <w:rPr>
                <w:kern w:val="0"/>
                <w:szCs w:val="21"/>
              </w:rPr>
              <w:t>(0.2102)</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4514" w:type="dxa"/>
            <w:vAlign w:val="center"/>
          </w:tcPr>
          <w:p>
            <w:pPr>
              <w:jc w:val="center"/>
              <w:rPr>
                <w:i/>
                <w:szCs w:val="21"/>
              </w:rPr>
            </w:pPr>
            <w:r>
              <w:rPr>
                <w:i/>
                <w:szCs w:val="21"/>
              </w:rPr>
              <w:t>W×taxcom</w:t>
            </w:r>
          </w:p>
        </w:tc>
        <w:tc>
          <w:tcPr>
            <w:tcW w:w="4512" w:type="dxa"/>
            <w:vAlign w:val="center"/>
          </w:tcPr>
          <w:p>
            <w:pPr>
              <w:autoSpaceDE w:val="0"/>
              <w:autoSpaceDN w:val="0"/>
              <w:adjustRightInd w:val="0"/>
              <w:snapToGrid w:val="0"/>
              <w:jc w:val="center"/>
              <w:rPr>
                <w:kern w:val="0"/>
                <w:szCs w:val="21"/>
              </w:rPr>
            </w:pPr>
            <w:r>
              <w:rPr>
                <w:kern w:val="0"/>
                <w:szCs w:val="21"/>
              </w:rPr>
              <w:t>0.1038</w:t>
            </w:r>
            <w:r>
              <w:rPr>
                <w:kern w:val="0"/>
                <w:szCs w:val="21"/>
                <w:vertAlign w:val="superscript"/>
              </w:rPr>
              <w:t>*</w:t>
            </w:r>
          </w:p>
          <w:p>
            <w:pPr>
              <w:autoSpaceDE w:val="0"/>
              <w:autoSpaceDN w:val="0"/>
              <w:adjustRightInd w:val="0"/>
              <w:snapToGrid w:val="0"/>
              <w:jc w:val="center"/>
              <w:rPr>
                <w:kern w:val="0"/>
                <w:szCs w:val="21"/>
              </w:rPr>
            </w:pPr>
            <w:r>
              <w:rPr>
                <w:kern w:val="0"/>
                <w:szCs w:val="21"/>
              </w:rPr>
              <w:t>(0.0578)</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4514" w:type="dxa"/>
            <w:vAlign w:val="center"/>
          </w:tcPr>
          <w:p>
            <w:pPr>
              <w:jc w:val="center"/>
              <w:rPr>
                <w:szCs w:val="21"/>
              </w:rPr>
            </w:pPr>
            <w:r>
              <w:rPr>
                <w:szCs w:val="21"/>
              </w:rPr>
              <w:t>其他控制变量</w:t>
            </w:r>
          </w:p>
        </w:tc>
        <w:tc>
          <w:tcPr>
            <w:tcW w:w="4512" w:type="dxa"/>
            <w:vAlign w:val="center"/>
          </w:tcPr>
          <w:p>
            <w:pPr>
              <w:adjustRightInd w:val="0"/>
              <w:snapToGrid w:val="0"/>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4514" w:type="dxa"/>
            <w:vAlign w:val="center"/>
          </w:tcPr>
          <w:p>
            <w:pPr>
              <w:jc w:val="center"/>
              <w:rPr>
                <w:szCs w:val="21"/>
              </w:rPr>
            </w:pPr>
            <w:r>
              <w:rPr>
                <w:szCs w:val="21"/>
              </w:rPr>
              <w:t>F检验：工具变量</w:t>
            </w:r>
            <w:r>
              <w:rPr>
                <w:i/>
                <w:szCs w:val="21"/>
              </w:rPr>
              <w:t>Taxcom（-1）</w:t>
            </w:r>
          </w:p>
        </w:tc>
        <w:tc>
          <w:tcPr>
            <w:tcW w:w="4512" w:type="dxa"/>
            <w:vAlign w:val="center"/>
          </w:tcPr>
          <w:p>
            <w:pPr>
              <w:adjustRightInd w:val="0"/>
              <w:snapToGrid w:val="0"/>
              <w:jc w:val="center"/>
              <w:rPr>
                <w:szCs w:val="21"/>
              </w:rPr>
            </w:pPr>
            <w:r>
              <w:rPr>
                <w:szCs w:val="21"/>
              </w:rPr>
              <w:t>2021.86</w:t>
            </w:r>
          </w:p>
          <w:p>
            <w:pPr>
              <w:adjustRightInd w:val="0"/>
              <w:snapToGrid w:val="0"/>
              <w:jc w:val="center"/>
              <w:rPr>
                <w:szCs w:val="21"/>
              </w:rPr>
            </w:pPr>
            <w:r>
              <w:rPr>
                <w:szCs w:val="21"/>
              </w:rPr>
              <w:t>0.0000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4514" w:type="dxa"/>
            <w:vAlign w:val="center"/>
          </w:tcPr>
          <w:p>
            <w:pPr>
              <w:jc w:val="center"/>
              <w:rPr>
                <w:szCs w:val="21"/>
              </w:rPr>
            </w:pPr>
            <w:r>
              <w:rPr>
                <w:szCs w:val="21"/>
              </w:rPr>
              <w:t>F检验：工具变量</w:t>
            </w:r>
            <w:r>
              <w:rPr>
                <w:i/>
                <w:szCs w:val="21"/>
              </w:rPr>
              <w:t>W×Taxcom（-1）</w:t>
            </w:r>
          </w:p>
        </w:tc>
        <w:tc>
          <w:tcPr>
            <w:tcW w:w="4512" w:type="dxa"/>
            <w:vAlign w:val="center"/>
          </w:tcPr>
          <w:p>
            <w:pPr>
              <w:adjustRightInd w:val="0"/>
              <w:snapToGrid w:val="0"/>
              <w:jc w:val="center"/>
              <w:rPr>
                <w:szCs w:val="21"/>
              </w:rPr>
            </w:pPr>
            <w:r>
              <w:rPr>
                <w:szCs w:val="21"/>
              </w:rPr>
              <w:t>2036.62</w:t>
            </w:r>
          </w:p>
          <w:p>
            <w:pPr>
              <w:adjustRightInd w:val="0"/>
              <w:snapToGrid w:val="0"/>
              <w:jc w:val="center"/>
              <w:rPr>
                <w:szCs w:val="21"/>
              </w:rPr>
            </w:pPr>
            <w:r>
              <w:rPr>
                <w:szCs w:val="21"/>
              </w:rPr>
              <w:t>0.0000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4514" w:type="dxa"/>
            <w:vAlign w:val="center"/>
          </w:tcPr>
          <w:p>
            <w:pPr>
              <w:jc w:val="center"/>
              <w:rPr>
                <w:i/>
                <w:szCs w:val="21"/>
              </w:rPr>
            </w:pPr>
            <w:r>
              <w:rPr>
                <w:i/>
                <w:szCs w:val="21"/>
              </w:rPr>
              <w:t>R</w:t>
            </w:r>
            <w:r>
              <w:rPr>
                <w:i/>
                <w:szCs w:val="21"/>
                <w:vertAlign w:val="superscript"/>
              </w:rPr>
              <w:t>2</w:t>
            </w:r>
          </w:p>
        </w:tc>
        <w:tc>
          <w:tcPr>
            <w:tcW w:w="4512" w:type="dxa"/>
            <w:vAlign w:val="center"/>
          </w:tcPr>
          <w:p>
            <w:pPr>
              <w:adjustRightInd w:val="0"/>
              <w:snapToGrid w:val="0"/>
              <w:jc w:val="center"/>
              <w:rPr>
                <w:szCs w:val="21"/>
              </w:rPr>
            </w:pPr>
            <w:r>
              <w:rPr>
                <w:kern w:val="0"/>
                <w:szCs w:val="21"/>
              </w:rPr>
              <w:t>0.9079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4514" w:type="dxa"/>
            <w:vAlign w:val="center"/>
          </w:tcPr>
          <w:p>
            <w:pPr>
              <w:jc w:val="center"/>
              <w:rPr>
                <w:i/>
                <w:szCs w:val="21"/>
              </w:rPr>
            </w:pPr>
            <w:r>
              <w:rPr>
                <w:i/>
                <w:szCs w:val="21"/>
              </w:rPr>
              <w:t>Cragg-Donald Wald F</w:t>
            </w:r>
          </w:p>
        </w:tc>
        <w:tc>
          <w:tcPr>
            <w:tcW w:w="4512" w:type="dxa"/>
            <w:vAlign w:val="center"/>
          </w:tcPr>
          <w:p>
            <w:pPr>
              <w:adjustRightInd w:val="0"/>
              <w:snapToGrid w:val="0"/>
              <w:jc w:val="center"/>
              <w:rPr>
                <w:kern w:val="0"/>
                <w:szCs w:val="21"/>
              </w:rPr>
            </w:pPr>
            <w:r>
              <w:rPr>
                <w:kern w:val="0"/>
                <w:szCs w:val="21"/>
              </w:rPr>
              <w:t>2108.651</w:t>
            </w:r>
          </w:p>
          <w:p>
            <w:pPr>
              <w:adjustRightInd w:val="0"/>
              <w:snapToGrid w:val="0"/>
              <w:jc w:val="center"/>
              <w:rPr>
                <w:kern w:val="0"/>
                <w:szCs w:val="21"/>
              </w:rPr>
            </w:pPr>
            <w:r>
              <w:rPr>
                <w:kern w:val="0"/>
                <w:szCs w:val="21"/>
              </w:rPr>
              <w:t>(0.0000)</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注：各变量括号内采用城市层面聚类稳健标准误；*、**和***分别表示在10%、5%和1%的置信水平下显著。</w:t>
      </w:r>
    </w:p>
    <w:p>
      <w:pPr>
        <w:pStyle w:val="2"/>
        <w:tabs>
          <w:tab w:val="center" w:pos="4513"/>
          <w:tab w:val="left" w:pos="5543"/>
        </w:tabs>
        <w:spacing w:before="178" w:beforeLines="50" w:after="178" w:afterLines="50"/>
        <w:rPr>
          <w:rFonts w:eastAsia="黑体"/>
          <w:b w:val="0"/>
          <w:bCs w:val="0"/>
          <w:sz w:val="28"/>
          <w:szCs w:val="28"/>
        </w:rPr>
      </w:pPr>
      <w:r>
        <w:rPr>
          <w:rFonts w:eastAsia="黑体"/>
          <w:b w:val="0"/>
          <w:bCs w:val="0"/>
          <w:sz w:val="28"/>
          <w:szCs w:val="28"/>
        </w:rPr>
        <w:t>七、进一步分析</w:t>
      </w:r>
    </w:p>
    <w:p>
      <w:pPr>
        <w:ind w:firstLine="420" w:firstLineChars="200"/>
        <w:rPr>
          <w:rFonts w:eastAsia="黑体"/>
        </w:rPr>
      </w:pPr>
      <w:r>
        <w:rPr>
          <w:rFonts w:eastAsia="黑体"/>
        </w:rPr>
        <w:t>（一）异质性分析</w:t>
      </w:r>
    </w:p>
    <w:p>
      <w:pPr>
        <w:ind w:firstLine="420" w:firstLineChars="200"/>
        <w:rPr>
          <w:rFonts w:eastAsia="黑体"/>
          <w:b/>
          <w:bCs/>
        </w:rPr>
      </w:pPr>
      <w:r>
        <w:rPr>
          <w:rFonts w:eastAsia="楷体"/>
        </w:rPr>
        <w:t>1.分税种考察。</w:t>
      </w:r>
      <w:r>
        <w:t>鉴于地方政府行为偏好、地区间税基的流动性以及实际税率之间的异质性，地方政府为获得税收竞争优势，通常会在不同税种采用差异化的竞争策略与博弈行为。因而为进一步考察地方政府针对不同税种进行的税收竞争对地区经济发展不平衡是否存在显著的结构效应，本文分别用增值税竞争（</w:t>
      </w:r>
      <w:r>
        <w:rPr>
          <w:i/>
        </w:rPr>
        <w:t>Taxcom_VAT</w:t>
      </w:r>
      <w:r>
        <w:t>）、营业税竞争（</w:t>
      </w:r>
      <w:r>
        <w:rPr>
          <w:i/>
        </w:rPr>
        <w:t>Taxcom_BT</w:t>
      </w:r>
      <w:r>
        <w:t>）、企业所得税竞争（</w:t>
      </w:r>
      <w:r>
        <w:rPr>
          <w:i/>
        </w:rPr>
        <w:t>Taxcom_CIT</w:t>
      </w:r>
      <w:r>
        <w:t>）和个人所得税竞争（</w:t>
      </w:r>
      <w:r>
        <w:rPr>
          <w:i/>
        </w:rPr>
        <w:t>Taxcom_PIT</w:t>
      </w:r>
      <w:r>
        <w:t>）替代地方政府税收竞争（</w:t>
      </w:r>
      <w:r>
        <w:rPr>
          <w:i/>
        </w:rPr>
        <w:t>Taxcom</w:t>
      </w:r>
      <w:r>
        <w:t>），对</w:t>
      </w:r>
      <w:r>
        <w:rPr>
          <w:i/>
        </w:rPr>
        <w:t>SDM</w:t>
      </w:r>
      <w:r>
        <w:t>模型进行回归估计，并基于回归结果对解释变量进行偏微分处理将各税种竞争对地区经济发展不平衡的影响分解为直接效应和间接效应，具体分解后的回归结果如表9所示。</w:t>
      </w:r>
    </w:p>
    <w:p>
      <w:pPr>
        <w:spacing w:before="178" w:beforeLines="50"/>
        <w:jc w:val="center"/>
        <w:rPr>
          <w:rFonts w:eastAsia="楷体"/>
          <w:szCs w:val="21"/>
        </w:rPr>
      </w:pPr>
      <w:r>
        <w:rPr>
          <w:rFonts w:eastAsia="楷体"/>
          <w:szCs w:val="21"/>
        </w:rPr>
        <w:t>表9  分税种考察地方政府税收竞争对经济发展不平衡的直接和间接效应</w:t>
      </w:r>
    </w:p>
    <w:tbl>
      <w:tblPr>
        <w:tblStyle w:val="14"/>
        <w:tblW w:w="5000" w:type="pct"/>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884"/>
        <w:gridCol w:w="1745"/>
        <w:gridCol w:w="1889"/>
        <w:gridCol w:w="1889"/>
        <w:gridCol w:w="1835"/>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PrEx>
        <w:tc>
          <w:tcPr>
            <w:tcW w:w="1019" w:type="pct"/>
            <w:vMerge w:val="restart"/>
            <w:vAlign w:val="center"/>
          </w:tcPr>
          <w:p>
            <w:pPr>
              <w:jc w:val="center"/>
              <w:rPr>
                <w:szCs w:val="21"/>
              </w:rPr>
            </w:pPr>
            <w:r>
              <w:rPr>
                <w:szCs w:val="21"/>
              </w:rPr>
              <w:t>核心解释变量</w:t>
            </w:r>
          </w:p>
          <w:p>
            <w:pPr>
              <w:jc w:val="center"/>
              <w:rPr>
                <w:i/>
                <w:iCs/>
                <w:szCs w:val="21"/>
              </w:rPr>
            </w:pPr>
            <w:r>
              <w:rPr>
                <w:i/>
                <w:iCs/>
                <w:szCs w:val="21"/>
              </w:rPr>
              <w:t>Taxcom</w:t>
            </w:r>
          </w:p>
        </w:tc>
        <w:tc>
          <w:tcPr>
            <w:tcW w:w="944" w:type="pct"/>
            <w:vAlign w:val="center"/>
          </w:tcPr>
          <w:p>
            <w:pPr>
              <w:jc w:val="center"/>
              <w:rPr>
                <w:szCs w:val="21"/>
              </w:rPr>
            </w:pPr>
            <w:r>
              <w:rPr>
                <w:szCs w:val="21"/>
              </w:rPr>
              <w:t>增值税</w:t>
            </w:r>
          </w:p>
        </w:tc>
        <w:tc>
          <w:tcPr>
            <w:tcW w:w="1022" w:type="pct"/>
            <w:vAlign w:val="center"/>
          </w:tcPr>
          <w:p>
            <w:pPr>
              <w:jc w:val="center"/>
              <w:rPr>
                <w:szCs w:val="21"/>
              </w:rPr>
            </w:pPr>
            <w:r>
              <w:rPr>
                <w:szCs w:val="21"/>
              </w:rPr>
              <w:t>营业税</w:t>
            </w:r>
          </w:p>
        </w:tc>
        <w:tc>
          <w:tcPr>
            <w:tcW w:w="1022" w:type="pct"/>
            <w:vAlign w:val="center"/>
          </w:tcPr>
          <w:p>
            <w:pPr>
              <w:jc w:val="center"/>
              <w:rPr>
                <w:szCs w:val="21"/>
              </w:rPr>
            </w:pPr>
            <w:r>
              <w:rPr>
                <w:szCs w:val="21"/>
              </w:rPr>
              <w:t>企业所得税</w:t>
            </w:r>
          </w:p>
        </w:tc>
        <w:tc>
          <w:tcPr>
            <w:tcW w:w="993" w:type="pct"/>
            <w:vAlign w:val="center"/>
          </w:tcPr>
          <w:p>
            <w:pPr>
              <w:jc w:val="center"/>
              <w:rPr>
                <w:szCs w:val="21"/>
              </w:rPr>
            </w:pPr>
            <w:r>
              <w:rPr>
                <w:szCs w:val="21"/>
              </w:rPr>
              <w:t>个人所得税</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19" w:type="pct"/>
            <w:vMerge w:val="continue"/>
            <w:vAlign w:val="center"/>
          </w:tcPr>
          <w:p>
            <w:pPr>
              <w:jc w:val="center"/>
              <w:rPr>
                <w:szCs w:val="21"/>
              </w:rPr>
            </w:pPr>
          </w:p>
        </w:tc>
        <w:tc>
          <w:tcPr>
            <w:tcW w:w="944" w:type="pct"/>
            <w:vAlign w:val="center"/>
          </w:tcPr>
          <w:p>
            <w:pPr>
              <w:jc w:val="center"/>
              <w:rPr>
                <w:szCs w:val="21"/>
              </w:rPr>
            </w:pPr>
            <w:r>
              <w:rPr>
                <w:szCs w:val="21"/>
              </w:rPr>
              <w:t>（1）</w:t>
            </w:r>
          </w:p>
        </w:tc>
        <w:tc>
          <w:tcPr>
            <w:tcW w:w="1022" w:type="pct"/>
            <w:vAlign w:val="center"/>
          </w:tcPr>
          <w:p>
            <w:pPr>
              <w:jc w:val="center"/>
              <w:rPr>
                <w:szCs w:val="21"/>
              </w:rPr>
            </w:pPr>
            <w:r>
              <w:rPr>
                <w:szCs w:val="21"/>
              </w:rPr>
              <w:t>（2）</w:t>
            </w:r>
          </w:p>
        </w:tc>
        <w:tc>
          <w:tcPr>
            <w:tcW w:w="1022" w:type="pct"/>
            <w:vAlign w:val="center"/>
          </w:tcPr>
          <w:p>
            <w:pPr>
              <w:jc w:val="center"/>
              <w:rPr>
                <w:szCs w:val="21"/>
              </w:rPr>
            </w:pPr>
            <w:r>
              <w:rPr>
                <w:szCs w:val="21"/>
              </w:rPr>
              <w:t>（3）</w:t>
            </w:r>
          </w:p>
        </w:tc>
        <w:tc>
          <w:tcPr>
            <w:tcW w:w="993" w:type="pct"/>
            <w:vAlign w:val="center"/>
          </w:tcPr>
          <w:p>
            <w:pPr>
              <w:jc w:val="center"/>
              <w:rPr>
                <w:szCs w:val="21"/>
              </w:rPr>
            </w:pPr>
            <w:r>
              <w:rPr>
                <w:szCs w:val="21"/>
              </w:rPr>
              <w:t>（4）</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19" w:type="pct"/>
            <w:vAlign w:val="center"/>
          </w:tcPr>
          <w:p>
            <w:pPr>
              <w:jc w:val="center"/>
              <w:rPr>
                <w:szCs w:val="21"/>
              </w:rPr>
            </w:pPr>
            <w:r>
              <w:rPr>
                <w:szCs w:val="21"/>
              </w:rPr>
              <w:t>直接效应</w:t>
            </w:r>
          </w:p>
        </w:tc>
        <w:tc>
          <w:tcPr>
            <w:tcW w:w="944" w:type="pct"/>
            <w:vAlign w:val="center"/>
          </w:tcPr>
          <w:p>
            <w:pPr>
              <w:jc w:val="center"/>
              <w:rPr>
                <w:szCs w:val="21"/>
              </w:rPr>
            </w:pPr>
            <w:r>
              <w:rPr>
                <w:kern w:val="0"/>
                <w:szCs w:val="21"/>
              </w:rPr>
              <w:t>0.3145</w:t>
            </w:r>
          </w:p>
          <w:p>
            <w:pPr>
              <w:jc w:val="center"/>
              <w:rPr>
                <w:szCs w:val="21"/>
              </w:rPr>
            </w:pPr>
            <w:r>
              <w:rPr>
                <w:kern w:val="0"/>
                <w:szCs w:val="21"/>
              </w:rPr>
              <w:t>(0.2523)</w:t>
            </w:r>
          </w:p>
        </w:tc>
        <w:tc>
          <w:tcPr>
            <w:tcW w:w="1022" w:type="pct"/>
            <w:vAlign w:val="center"/>
          </w:tcPr>
          <w:p>
            <w:pPr>
              <w:jc w:val="center"/>
              <w:rPr>
                <w:szCs w:val="21"/>
              </w:rPr>
            </w:pPr>
            <w:r>
              <w:rPr>
                <w:kern w:val="0"/>
                <w:szCs w:val="21"/>
              </w:rPr>
              <w:t>0.3551</w:t>
            </w:r>
            <w:r>
              <w:rPr>
                <w:kern w:val="0"/>
                <w:szCs w:val="21"/>
                <w:vertAlign w:val="superscript"/>
              </w:rPr>
              <w:t>*</w:t>
            </w:r>
          </w:p>
          <w:p>
            <w:pPr>
              <w:jc w:val="center"/>
              <w:rPr>
                <w:szCs w:val="21"/>
              </w:rPr>
            </w:pPr>
            <w:r>
              <w:rPr>
                <w:kern w:val="0"/>
                <w:szCs w:val="21"/>
              </w:rPr>
              <w:t>(0.2044)</w:t>
            </w:r>
          </w:p>
        </w:tc>
        <w:tc>
          <w:tcPr>
            <w:tcW w:w="1022" w:type="pct"/>
            <w:vAlign w:val="center"/>
          </w:tcPr>
          <w:p>
            <w:pPr>
              <w:jc w:val="center"/>
              <w:rPr>
                <w:szCs w:val="21"/>
              </w:rPr>
            </w:pPr>
            <w:r>
              <w:rPr>
                <w:kern w:val="0"/>
                <w:szCs w:val="21"/>
              </w:rPr>
              <w:t>1.3797</w:t>
            </w:r>
            <w:r>
              <w:rPr>
                <w:kern w:val="0"/>
                <w:szCs w:val="21"/>
                <w:vertAlign w:val="superscript"/>
              </w:rPr>
              <w:t>***</w:t>
            </w:r>
          </w:p>
          <w:p>
            <w:pPr>
              <w:jc w:val="center"/>
              <w:rPr>
                <w:szCs w:val="21"/>
              </w:rPr>
            </w:pPr>
            <w:r>
              <w:rPr>
                <w:kern w:val="0"/>
                <w:szCs w:val="21"/>
              </w:rPr>
              <w:t>(0.4926)</w:t>
            </w:r>
          </w:p>
        </w:tc>
        <w:tc>
          <w:tcPr>
            <w:tcW w:w="993" w:type="pct"/>
            <w:vAlign w:val="center"/>
          </w:tcPr>
          <w:p>
            <w:pPr>
              <w:jc w:val="center"/>
              <w:rPr>
                <w:szCs w:val="21"/>
              </w:rPr>
            </w:pPr>
            <w:r>
              <w:rPr>
                <w:kern w:val="0"/>
                <w:szCs w:val="21"/>
              </w:rPr>
              <w:t>3.3552</w:t>
            </w:r>
            <w:r>
              <w:rPr>
                <w:kern w:val="0"/>
                <w:szCs w:val="21"/>
                <w:vertAlign w:val="superscript"/>
              </w:rPr>
              <w:t>***</w:t>
            </w:r>
          </w:p>
          <w:p>
            <w:pPr>
              <w:jc w:val="center"/>
              <w:rPr>
                <w:szCs w:val="21"/>
              </w:rPr>
            </w:pPr>
            <w:r>
              <w:rPr>
                <w:kern w:val="0"/>
                <w:szCs w:val="21"/>
              </w:rPr>
              <w:t>(1.1919)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19" w:type="pct"/>
            <w:vAlign w:val="center"/>
          </w:tcPr>
          <w:p>
            <w:pPr>
              <w:jc w:val="center"/>
              <w:rPr>
                <w:szCs w:val="21"/>
              </w:rPr>
            </w:pPr>
            <w:r>
              <w:rPr>
                <w:szCs w:val="21"/>
              </w:rPr>
              <w:t>间接效应</w:t>
            </w:r>
          </w:p>
        </w:tc>
        <w:tc>
          <w:tcPr>
            <w:tcW w:w="944" w:type="pct"/>
            <w:vAlign w:val="center"/>
          </w:tcPr>
          <w:p>
            <w:pPr>
              <w:jc w:val="center"/>
              <w:rPr>
                <w:szCs w:val="21"/>
              </w:rPr>
            </w:pPr>
            <w:r>
              <w:rPr>
                <w:kern w:val="0"/>
                <w:szCs w:val="21"/>
              </w:rPr>
              <w:t>-2.9128</w:t>
            </w:r>
          </w:p>
          <w:p>
            <w:pPr>
              <w:jc w:val="center"/>
              <w:rPr>
                <w:szCs w:val="21"/>
              </w:rPr>
            </w:pPr>
            <w:r>
              <w:rPr>
                <w:kern w:val="0"/>
                <w:szCs w:val="21"/>
              </w:rPr>
              <w:t>(1.9412)</w:t>
            </w:r>
          </w:p>
        </w:tc>
        <w:tc>
          <w:tcPr>
            <w:tcW w:w="1022" w:type="pct"/>
            <w:vAlign w:val="center"/>
          </w:tcPr>
          <w:p>
            <w:pPr>
              <w:jc w:val="center"/>
              <w:rPr>
                <w:szCs w:val="21"/>
              </w:rPr>
            </w:pPr>
            <w:r>
              <w:rPr>
                <w:kern w:val="0"/>
                <w:szCs w:val="21"/>
              </w:rPr>
              <w:t>2.0971</w:t>
            </w:r>
            <w:r>
              <w:rPr>
                <w:kern w:val="0"/>
                <w:szCs w:val="21"/>
                <w:vertAlign w:val="superscript"/>
              </w:rPr>
              <w:t>*</w:t>
            </w:r>
          </w:p>
          <w:p>
            <w:pPr>
              <w:jc w:val="center"/>
              <w:rPr>
                <w:szCs w:val="21"/>
              </w:rPr>
            </w:pPr>
            <w:r>
              <w:rPr>
                <w:kern w:val="0"/>
                <w:szCs w:val="21"/>
              </w:rPr>
              <w:t>(1.2486)</w:t>
            </w:r>
          </w:p>
        </w:tc>
        <w:tc>
          <w:tcPr>
            <w:tcW w:w="1022" w:type="pct"/>
            <w:vAlign w:val="center"/>
          </w:tcPr>
          <w:p>
            <w:pPr>
              <w:jc w:val="center"/>
              <w:rPr>
                <w:szCs w:val="21"/>
              </w:rPr>
            </w:pPr>
            <w:r>
              <w:rPr>
                <w:kern w:val="0"/>
                <w:szCs w:val="21"/>
              </w:rPr>
              <w:t>-4.5254</w:t>
            </w:r>
          </w:p>
          <w:p>
            <w:pPr>
              <w:jc w:val="center"/>
              <w:rPr>
                <w:szCs w:val="21"/>
              </w:rPr>
            </w:pPr>
            <w:r>
              <w:rPr>
                <w:kern w:val="0"/>
                <w:szCs w:val="21"/>
              </w:rPr>
              <w:t>(5.9602)</w:t>
            </w:r>
          </w:p>
        </w:tc>
        <w:tc>
          <w:tcPr>
            <w:tcW w:w="993" w:type="pct"/>
            <w:vAlign w:val="center"/>
          </w:tcPr>
          <w:p>
            <w:pPr>
              <w:jc w:val="center"/>
              <w:rPr>
                <w:szCs w:val="21"/>
              </w:rPr>
            </w:pPr>
            <w:r>
              <w:rPr>
                <w:kern w:val="0"/>
                <w:szCs w:val="21"/>
              </w:rPr>
              <w:t>46.6218</w:t>
            </w:r>
            <w:r>
              <w:rPr>
                <w:kern w:val="0"/>
                <w:szCs w:val="21"/>
                <w:vertAlign w:val="superscript"/>
              </w:rPr>
              <w:t>**</w:t>
            </w:r>
          </w:p>
          <w:p>
            <w:pPr>
              <w:jc w:val="center"/>
              <w:rPr>
                <w:szCs w:val="21"/>
              </w:rPr>
            </w:pPr>
            <w:r>
              <w:rPr>
                <w:kern w:val="0"/>
                <w:szCs w:val="21"/>
              </w:rPr>
              <w:t>(19.0379)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19" w:type="pct"/>
            <w:vAlign w:val="center"/>
          </w:tcPr>
          <w:p>
            <w:pPr>
              <w:jc w:val="center"/>
              <w:rPr>
                <w:szCs w:val="21"/>
              </w:rPr>
            </w:pPr>
            <w:r>
              <w:rPr>
                <w:szCs w:val="21"/>
              </w:rPr>
              <w:t>总效应</w:t>
            </w:r>
          </w:p>
        </w:tc>
        <w:tc>
          <w:tcPr>
            <w:tcW w:w="944" w:type="pct"/>
            <w:vAlign w:val="center"/>
          </w:tcPr>
          <w:p>
            <w:pPr>
              <w:jc w:val="center"/>
              <w:rPr>
                <w:szCs w:val="21"/>
              </w:rPr>
            </w:pPr>
            <w:r>
              <w:rPr>
                <w:kern w:val="0"/>
                <w:szCs w:val="21"/>
              </w:rPr>
              <w:t>-2.5983</w:t>
            </w:r>
          </w:p>
          <w:p>
            <w:pPr>
              <w:jc w:val="center"/>
              <w:rPr>
                <w:szCs w:val="21"/>
              </w:rPr>
            </w:pPr>
            <w:r>
              <w:rPr>
                <w:kern w:val="0"/>
                <w:szCs w:val="21"/>
              </w:rPr>
              <w:t>(1.9806)</w:t>
            </w:r>
          </w:p>
        </w:tc>
        <w:tc>
          <w:tcPr>
            <w:tcW w:w="1022" w:type="pct"/>
            <w:vAlign w:val="center"/>
          </w:tcPr>
          <w:p>
            <w:pPr>
              <w:jc w:val="center"/>
              <w:rPr>
                <w:szCs w:val="21"/>
              </w:rPr>
            </w:pPr>
            <w:r>
              <w:rPr>
                <w:kern w:val="0"/>
                <w:szCs w:val="21"/>
              </w:rPr>
              <w:t>2.4522</w:t>
            </w:r>
            <w:r>
              <w:rPr>
                <w:kern w:val="0"/>
                <w:szCs w:val="21"/>
                <w:vertAlign w:val="superscript"/>
              </w:rPr>
              <w:t>*</w:t>
            </w:r>
          </w:p>
          <w:p>
            <w:pPr>
              <w:jc w:val="center"/>
              <w:rPr>
                <w:szCs w:val="21"/>
              </w:rPr>
            </w:pPr>
            <w:r>
              <w:rPr>
                <w:kern w:val="0"/>
                <w:szCs w:val="21"/>
              </w:rPr>
              <w:t>(1.3088)</w:t>
            </w:r>
          </w:p>
        </w:tc>
        <w:tc>
          <w:tcPr>
            <w:tcW w:w="1022" w:type="pct"/>
            <w:vAlign w:val="center"/>
          </w:tcPr>
          <w:p>
            <w:pPr>
              <w:jc w:val="center"/>
              <w:rPr>
                <w:szCs w:val="21"/>
              </w:rPr>
            </w:pPr>
            <w:r>
              <w:rPr>
                <w:kern w:val="0"/>
                <w:szCs w:val="21"/>
              </w:rPr>
              <w:t>-3.1457</w:t>
            </w:r>
          </w:p>
          <w:p>
            <w:pPr>
              <w:jc w:val="center"/>
              <w:rPr>
                <w:szCs w:val="21"/>
              </w:rPr>
            </w:pPr>
            <w:r>
              <w:rPr>
                <w:kern w:val="0"/>
                <w:szCs w:val="21"/>
              </w:rPr>
              <w:t>(5.9722)</w:t>
            </w:r>
          </w:p>
        </w:tc>
        <w:tc>
          <w:tcPr>
            <w:tcW w:w="993" w:type="pct"/>
            <w:vAlign w:val="center"/>
          </w:tcPr>
          <w:p>
            <w:pPr>
              <w:jc w:val="center"/>
              <w:rPr>
                <w:szCs w:val="21"/>
              </w:rPr>
            </w:pPr>
            <w:r>
              <w:rPr>
                <w:kern w:val="0"/>
                <w:szCs w:val="21"/>
              </w:rPr>
              <w:t>49.9770</w:t>
            </w:r>
            <w:r>
              <w:rPr>
                <w:kern w:val="0"/>
                <w:szCs w:val="21"/>
                <w:vertAlign w:val="superscript"/>
              </w:rPr>
              <w:t>***</w:t>
            </w:r>
          </w:p>
          <w:p>
            <w:pPr>
              <w:jc w:val="center"/>
              <w:rPr>
                <w:szCs w:val="21"/>
              </w:rPr>
            </w:pPr>
            <w:r>
              <w:rPr>
                <w:kern w:val="0"/>
                <w:szCs w:val="21"/>
              </w:rPr>
              <w:t>(19.0896)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19" w:type="pct"/>
            <w:vAlign w:val="center"/>
          </w:tcPr>
          <w:p>
            <w:pPr>
              <w:jc w:val="center"/>
              <w:rPr>
                <w:szCs w:val="21"/>
              </w:rPr>
            </w:pPr>
            <w:r>
              <w:rPr>
                <w:i/>
                <w:iCs/>
                <w:szCs w:val="21"/>
              </w:rPr>
              <w:t>Control</w:t>
            </w:r>
          </w:p>
        </w:tc>
        <w:tc>
          <w:tcPr>
            <w:tcW w:w="944" w:type="pct"/>
            <w:vAlign w:val="center"/>
          </w:tcPr>
          <w:p>
            <w:pPr>
              <w:jc w:val="center"/>
              <w:rPr>
                <w:szCs w:val="21"/>
              </w:rPr>
            </w:pPr>
            <w:r>
              <w:rPr>
                <w:szCs w:val="21"/>
              </w:rPr>
              <w:t>Yes</w:t>
            </w:r>
          </w:p>
        </w:tc>
        <w:tc>
          <w:tcPr>
            <w:tcW w:w="1022" w:type="pct"/>
            <w:vAlign w:val="center"/>
          </w:tcPr>
          <w:p>
            <w:pPr>
              <w:jc w:val="center"/>
              <w:rPr>
                <w:szCs w:val="21"/>
              </w:rPr>
            </w:pPr>
            <w:r>
              <w:rPr>
                <w:szCs w:val="21"/>
              </w:rPr>
              <w:t>Yes</w:t>
            </w:r>
          </w:p>
        </w:tc>
        <w:tc>
          <w:tcPr>
            <w:tcW w:w="1022" w:type="pct"/>
            <w:vAlign w:val="center"/>
          </w:tcPr>
          <w:p>
            <w:pPr>
              <w:jc w:val="center"/>
              <w:rPr>
                <w:szCs w:val="21"/>
              </w:rPr>
            </w:pPr>
            <w:r>
              <w:rPr>
                <w:szCs w:val="21"/>
              </w:rPr>
              <w:t>Yes</w:t>
            </w:r>
          </w:p>
        </w:tc>
        <w:tc>
          <w:tcPr>
            <w:tcW w:w="993"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19" w:type="pct"/>
            <w:vAlign w:val="center"/>
          </w:tcPr>
          <w:p>
            <w:pPr>
              <w:jc w:val="center"/>
              <w:rPr>
                <w:szCs w:val="21"/>
              </w:rPr>
            </w:pPr>
            <w:r>
              <w:rPr>
                <w:i/>
                <w:iCs/>
                <w:szCs w:val="21"/>
              </w:rPr>
              <w:t>W×Control</w:t>
            </w:r>
          </w:p>
        </w:tc>
        <w:tc>
          <w:tcPr>
            <w:tcW w:w="944" w:type="pct"/>
            <w:vAlign w:val="center"/>
          </w:tcPr>
          <w:p>
            <w:pPr>
              <w:jc w:val="center"/>
              <w:rPr>
                <w:szCs w:val="21"/>
              </w:rPr>
            </w:pPr>
            <w:r>
              <w:rPr>
                <w:szCs w:val="21"/>
              </w:rPr>
              <w:t>Yes</w:t>
            </w:r>
          </w:p>
        </w:tc>
        <w:tc>
          <w:tcPr>
            <w:tcW w:w="1022" w:type="pct"/>
            <w:vAlign w:val="center"/>
          </w:tcPr>
          <w:p>
            <w:pPr>
              <w:jc w:val="center"/>
              <w:rPr>
                <w:szCs w:val="21"/>
              </w:rPr>
            </w:pPr>
            <w:r>
              <w:rPr>
                <w:szCs w:val="21"/>
              </w:rPr>
              <w:t>Yes</w:t>
            </w:r>
          </w:p>
        </w:tc>
        <w:tc>
          <w:tcPr>
            <w:tcW w:w="1022" w:type="pct"/>
            <w:vAlign w:val="center"/>
          </w:tcPr>
          <w:p>
            <w:pPr>
              <w:jc w:val="center"/>
              <w:rPr>
                <w:szCs w:val="21"/>
              </w:rPr>
            </w:pPr>
            <w:r>
              <w:rPr>
                <w:szCs w:val="21"/>
              </w:rPr>
              <w:t>Yes</w:t>
            </w:r>
          </w:p>
        </w:tc>
        <w:tc>
          <w:tcPr>
            <w:tcW w:w="993"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19" w:type="pct"/>
            <w:vAlign w:val="center"/>
          </w:tcPr>
          <w:p>
            <w:pPr>
              <w:jc w:val="center"/>
              <w:rPr>
                <w:szCs w:val="21"/>
              </w:rPr>
            </w:pPr>
            <w:r>
              <w:rPr>
                <w:szCs w:val="21"/>
              </w:rPr>
              <w:t>城市固定效应</w:t>
            </w:r>
          </w:p>
        </w:tc>
        <w:tc>
          <w:tcPr>
            <w:tcW w:w="944" w:type="pct"/>
            <w:vAlign w:val="center"/>
          </w:tcPr>
          <w:p>
            <w:pPr>
              <w:jc w:val="center"/>
              <w:rPr>
                <w:szCs w:val="21"/>
              </w:rPr>
            </w:pPr>
            <w:r>
              <w:rPr>
                <w:szCs w:val="21"/>
              </w:rPr>
              <w:t>Yes</w:t>
            </w:r>
          </w:p>
        </w:tc>
        <w:tc>
          <w:tcPr>
            <w:tcW w:w="1022" w:type="pct"/>
            <w:vAlign w:val="center"/>
          </w:tcPr>
          <w:p>
            <w:pPr>
              <w:jc w:val="center"/>
              <w:rPr>
                <w:szCs w:val="21"/>
              </w:rPr>
            </w:pPr>
            <w:r>
              <w:rPr>
                <w:szCs w:val="21"/>
              </w:rPr>
              <w:t>Yes</w:t>
            </w:r>
          </w:p>
        </w:tc>
        <w:tc>
          <w:tcPr>
            <w:tcW w:w="1022" w:type="pct"/>
            <w:vAlign w:val="center"/>
          </w:tcPr>
          <w:p>
            <w:pPr>
              <w:jc w:val="center"/>
              <w:rPr>
                <w:szCs w:val="21"/>
              </w:rPr>
            </w:pPr>
            <w:r>
              <w:rPr>
                <w:szCs w:val="21"/>
              </w:rPr>
              <w:t>Yes</w:t>
            </w:r>
          </w:p>
        </w:tc>
        <w:tc>
          <w:tcPr>
            <w:tcW w:w="993"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19" w:type="pct"/>
            <w:vAlign w:val="center"/>
          </w:tcPr>
          <w:p>
            <w:pPr>
              <w:jc w:val="center"/>
              <w:rPr>
                <w:szCs w:val="21"/>
              </w:rPr>
            </w:pPr>
            <w:r>
              <w:rPr>
                <w:szCs w:val="21"/>
              </w:rPr>
              <w:t>时间固定效应</w:t>
            </w:r>
          </w:p>
        </w:tc>
        <w:tc>
          <w:tcPr>
            <w:tcW w:w="944" w:type="pct"/>
            <w:vAlign w:val="center"/>
          </w:tcPr>
          <w:p>
            <w:pPr>
              <w:jc w:val="center"/>
              <w:rPr>
                <w:szCs w:val="21"/>
              </w:rPr>
            </w:pPr>
            <w:r>
              <w:rPr>
                <w:szCs w:val="21"/>
              </w:rPr>
              <w:t>Yes</w:t>
            </w:r>
          </w:p>
        </w:tc>
        <w:tc>
          <w:tcPr>
            <w:tcW w:w="1022" w:type="pct"/>
            <w:vAlign w:val="center"/>
          </w:tcPr>
          <w:p>
            <w:pPr>
              <w:jc w:val="center"/>
              <w:rPr>
                <w:szCs w:val="21"/>
              </w:rPr>
            </w:pPr>
            <w:r>
              <w:rPr>
                <w:szCs w:val="21"/>
              </w:rPr>
              <w:t>Yes</w:t>
            </w:r>
          </w:p>
        </w:tc>
        <w:tc>
          <w:tcPr>
            <w:tcW w:w="1022" w:type="pct"/>
            <w:vAlign w:val="center"/>
          </w:tcPr>
          <w:p>
            <w:pPr>
              <w:jc w:val="center"/>
              <w:rPr>
                <w:szCs w:val="21"/>
              </w:rPr>
            </w:pPr>
            <w:r>
              <w:rPr>
                <w:szCs w:val="21"/>
              </w:rPr>
              <w:t>Yes</w:t>
            </w:r>
          </w:p>
        </w:tc>
        <w:tc>
          <w:tcPr>
            <w:tcW w:w="993"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19" w:type="pct"/>
            <w:vAlign w:val="center"/>
          </w:tcPr>
          <w:p>
            <w:pPr>
              <w:jc w:val="center"/>
              <w:rPr>
                <w:szCs w:val="21"/>
              </w:rPr>
            </w:pPr>
            <w:r>
              <w:rPr>
                <w:szCs w:val="21"/>
              </w:rPr>
              <w:t>N</w:t>
            </w:r>
          </w:p>
        </w:tc>
        <w:tc>
          <w:tcPr>
            <w:tcW w:w="944" w:type="pct"/>
            <w:vAlign w:val="center"/>
          </w:tcPr>
          <w:p>
            <w:pPr>
              <w:jc w:val="center"/>
              <w:rPr>
                <w:szCs w:val="21"/>
              </w:rPr>
            </w:pPr>
            <w:r>
              <w:rPr>
                <w:kern w:val="0"/>
                <w:szCs w:val="21"/>
              </w:rPr>
              <w:t>4641</w:t>
            </w:r>
          </w:p>
        </w:tc>
        <w:tc>
          <w:tcPr>
            <w:tcW w:w="1022" w:type="pct"/>
            <w:vAlign w:val="center"/>
          </w:tcPr>
          <w:p>
            <w:pPr>
              <w:jc w:val="center"/>
              <w:rPr>
                <w:szCs w:val="21"/>
              </w:rPr>
            </w:pPr>
            <w:r>
              <w:rPr>
                <w:szCs w:val="21"/>
              </w:rPr>
              <w:t>2457</w:t>
            </w:r>
          </w:p>
        </w:tc>
        <w:tc>
          <w:tcPr>
            <w:tcW w:w="1022" w:type="pct"/>
            <w:vAlign w:val="center"/>
          </w:tcPr>
          <w:p>
            <w:pPr>
              <w:jc w:val="center"/>
              <w:rPr>
                <w:szCs w:val="21"/>
              </w:rPr>
            </w:pPr>
            <w:r>
              <w:rPr>
                <w:kern w:val="0"/>
                <w:szCs w:val="21"/>
              </w:rPr>
              <w:t>4641</w:t>
            </w:r>
          </w:p>
        </w:tc>
        <w:tc>
          <w:tcPr>
            <w:tcW w:w="993" w:type="pct"/>
            <w:vAlign w:val="center"/>
          </w:tcPr>
          <w:p>
            <w:pPr>
              <w:jc w:val="center"/>
              <w:rPr>
                <w:szCs w:val="21"/>
              </w:rPr>
            </w:pPr>
            <w:r>
              <w:rPr>
                <w:kern w:val="0"/>
                <w:szCs w:val="21"/>
              </w:rPr>
              <w:t>4641</w:t>
            </w:r>
          </w:p>
        </w:tc>
      </w:tr>
    </w:tbl>
    <w:p>
      <w:pPr>
        <w:spacing w:after="178" w:afterLines="50"/>
      </w:pPr>
      <w:r>
        <w:rPr>
          <w:kern w:val="0"/>
          <w:sz w:val="18"/>
          <w:szCs w:val="18"/>
        </w:rPr>
        <w:t>注：各变量括号内采用城市层面聚类稳健标准误；*、**和***分别表示在10%、5%和1%的置信水平下显著。</w:t>
      </w:r>
    </w:p>
    <w:p>
      <w:pPr>
        <w:ind w:firstLine="420" w:firstLineChars="200"/>
      </w:pPr>
      <w:r>
        <w:t>增值税竞争（</w:t>
      </w:r>
      <w:r>
        <w:rPr>
          <w:i/>
        </w:rPr>
        <w:t>Taxcom_VAT</w:t>
      </w:r>
      <w:r>
        <w:t>）对地区经济发展不平衡的影响无论在直接效应还是间接效应方面都不具备统计显著性。即表明在整体上，地区间增值税税收竞争对本地区经济发展不平衡的影响效果甚微。因为与西方联邦制国家的地方政府拥有独立税权不同，中国地方政府无法“因地制宜”地通过开征新税种和调整税率等进行税收竞争。而增值税作为中国第一大流转税种，理论上认为中性的税收原则、税率的统一和央地共享的税收分成机制在提高征税效率的同时，可以有效地避免地区间通过税收竞争来争夺税源和税基。</w:t>
      </w:r>
    </w:p>
    <w:p>
      <w:pPr>
        <w:ind w:firstLine="420" w:firstLineChars="200"/>
      </w:pPr>
      <w:r>
        <w:t>营业税竞争（</w:t>
      </w:r>
      <w:r>
        <w:rPr>
          <w:i/>
        </w:rPr>
        <w:t>Taxcom_BT</w:t>
      </w:r>
      <w:r>
        <w:t>）对地区经济发展不平衡的直接效应和间接效应均在10%的置信水平上成立，且显著为正，这表明地方政府针对营业税的竞争在加剧了本地区经济发展不平衡程度的同时，对邻近地区经济发展不平衡具有正向的溢出效应。究其原因，一方面在“营改增”政策之前，对于地级市政府而言，营业税的分成比例不仅明显高于其他三个税种，而且在税收收入构成中独占鳌头。另一方面，营业税的征管完全归为地方税务局，地方政府凭借直接的行政管辖权，围绕营业税竞争动机更为激励（钱金保、才国伟，2017）。因此，营业税作为单纯的地方税种，具有较强的区位粘性，无疑成为地方政府攫取资金的重要来源（方红生、张军，2014）。尤其是在官员任期交流制度下，地方政府围绕营业税展开税收竞争的情况愈演愈烈。税收减免权的滥用以及盲目的税收竞争成为地区企业间竞争失范和寻租的始末缘由，最终导致辖区整体社会福利增进效果不尽人意。</w:t>
      </w:r>
    </w:p>
    <w:p>
      <w:pPr>
        <w:ind w:firstLine="420" w:firstLineChars="200"/>
      </w:pPr>
      <w:r>
        <w:t>企业所得税竞争（</w:t>
      </w:r>
      <w:r>
        <w:rPr>
          <w:i/>
        </w:rPr>
        <w:t>Taxcom_CIT</w:t>
      </w:r>
      <w:r>
        <w:t>）对地区经济发展不平衡的直接效应显著为正，且在1%的显著性水平下成立，这表明企业所得税竞争不利于地区经济的均衡发展。间接效应表明尽管企业所得税竞争存在负向空间溢出效应，能过缓解地区经济发展差距，但结果并不显著。地方政府进行税收竞争最为根本的利益动机是对稀缺资源和流动要素的争夺，通过降低企业税负争夺流动税基是地区之间进行企业所得税竞争的主要手段。在地区之间的横向竞争中，地方政府为了限制本地资本要素的流出和吸引稀缺要素的流入，通常会采取“逐底竞争”策略实现对本地生产要素的固化作用。除此之外，地方政府在政治晋升激励下通常会通过“先征后返”的税收优惠和财政补贴等吸引要素流入推动本地经济发展，这种“无效竞争”尽管在短期内能够促进地区经济增长，但从长期不利于地方经济的可持续均衡发展。</w:t>
      </w:r>
    </w:p>
    <w:p>
      <w:pPr>
        <w:ind w:firstLine="420" w:firstLineChars="200"/>
      </w:pPr>
      <w:r>
        <w:t>个人所得税竞争（</w:t>
      </w:r>
      <w:r>
        <w:rPr>
          <w:i/>
        </w:rPr>
        <w:t>Taxcom_PIT</w:t>
      </w:r>
      <w:r>
        <w:t>）对地区经济发展不平衡的直接效应、间接效应和总效应均显著为正，这表明个人所得税竞争不仅加剧了本地区经济发展不平衡程度，而且对邻近地区经济发展不均衡产生正向溢出作用。累进的个人所得作为政府调节收入的重要政策工具，通过作用于再分配环节发挥着重要作用（Bird &amp; Zolt,2005）。尤其在中国个税改革的前期，伴随居民可支配收入的增长，尽管个人所得税累进性逐渐下降，但是随着平均税率的大幅攀升，个人所得税的收入分配效应仍发挥作用（岳希明等，2012）。随后为减轻纳税人的税负，个税改革的呼声越发强烈。在免征额和税率结构的调整过程中，形形色色的税收优惠不仅降低了平均有效税率，也增加了高收入群体避税的概率，从而使得个税的收入再分配效应差强人意（徐建炜等，2013），从而导致收入水平差距不断拉大。另外，以调节收入差距为出发点的个税优惠政策，无形中也成为各地之间进行人才争夺的砝码。在“用脚投票”机制下，个税有效税率的降低促使大量劳动力流入本地，各地区纷纷效仿出台的税收补贴和奖励机制成为人才引进的有力抓手。失范的税收竞争不仅抑制了个税再分配效应的正常发挥，而且还拉大了地区之间发展差距，从而加剧了地区经济发展的不平衡程度。</w:t>
      </w:r>
    </w:p>
    <w:p>
      <w:pPr>
        <w:ind w:firstLine="420" w:firstLineChars="200"/>
        <w:rPr>
          <w:rFonts w:eastAsia="黑体"/>
          <w:b/>
          <w:bCs/>
        </w:rPr>
      </w:pPr>
      <w:r>
        <w:rPr>
          <w:rFonts w:eastAsia="楷体"/>
        </w:rPr>
        <w:t>2.分地区考察。</w:t>
      </w:r>
      <w:r>
        <w:t>根据理论模型分析与经济发展不平衡指数测度结果可知，地方政府税收竞争对地区经济均衡发展的影响效果存在显著差异。因资源的区域分配和居民流动性，经济发展水平相对落后地区要想实现与发达地区相竞争的公共支出水平往往需要付出更多的财政努力。正因如此，欠发达地区政府在既有预算硬约束下缺乏充足动力，采取降低税率等竞争手段促进产出水平上升，即无法通过形成竞争优势来吸引要素流入，而且桎梏于资源禀赋、区位条件与市场规模等各种因素，经济发展水平愈发落后，最终形成恶性循环。与之相反，经济发达地区不仅无需承担过多刺激经济增长的压力，而且相对完善的软硬件设施使其拥有更具策略性降低税率的竞争优势，较高的产出水平和良好的营商环境一方面有利于吸引要素流入；另一方面，促使地方政府能够在较低的税率水平下满足公共支出需求。即在正反两种循环作用下，发达地区与欠发达地区之间的产出差异不断扩大，最终促使地区经济发展不平衡程度加剧上升。因此，为捕捉地区异质性影响，本文依据2014年国务院颁布的《关于调整城市规模划分标准的通知》，对城市规模进行划分。具体为按照常住人口数将人口300万人及以上划分为I型及以上大城市，人口在100万人至300万人区间划分为II型大城市，人口在50万人至100万人区间划分为中等城市，人口在50万人及以下划分为小城市，进一步考察地方政府税收竞争对地区经济发展不平衡的影响效应是否具有地区异质性，具体回归结果见表10所示。</w:t>
      </w:r>
    </w:p>
    <w:p>
      <w:pPr>
        <w:spacing w:before="178" w:beforeLines="50"/>
        <w:jc w:val="center"/>
        <w:rPr>
          <w:rFonts w:eastAsia="仿宋"/>
          <w:sz w:val="22"/>
          <w:szCs w:val="24"/>
        </w:rPr>
      </w:pPr>
      <w:r>
        <w:rPr>
          <w:rFonts w:eastAsia="楷体"/>
          <w:szCs w:val="21"/>
        </w:rPr>
        <w:t>表10  不同城市规模等级下税收竞争对于城市发展不平衡的直接和间接影响效应</w:t>
      </w:r>
    </w:p>
    <w:tbl>
      <w:tblPr>
        <w:tblStyle w:val="14"/>
        <w:tblW w:w="5000" w:type="pct"/>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885"/>
        <w:gridCol w:w="2033"/>
        <w:gridCol w:w="1887"/>
        <w:gridCol w:w="1887"/>
        <w:gridCol w:w="1550"/>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020" w:type="pct"/>
            <w:vMerge w:val="restart"/>
            <w:vAlign w:val="center"/>
          </w:tcPr>
          <w:p>
            <w:pPr>
              <w:jc w:val="center"/>
              <w:rPr>
                <w:szCs w:val="21"/>
              </w:rPr>
            </w:pPr>
            <w:r>
              <w:rPr>
                <w:szCs w:val="21"/>
              </w:rPr>
              <w:t>变量</w:t>
            </w:r>
          </w:p>
        </w:tc>
        <w:tc>
          <w:tcPr>
            <w:tcW w:w="1100" w:type="pct"/>
            <w:vAlign w:val="center"/>
          </w:tcPr>
          <w:p>
            <w:pPr>
              <w:jc w:val="center"/>
              <w:rPr>
                <w:szCs w:val="21"/>
              </w:rPr>
            </w:pPr>
            <w:r>
              <w:rPr>
                <w:szCs w:val="21"/>
              </w:rPr>
              <w:t>I型及以上大城市</w:t>
            </w:r>
          </w:p>
        </w:tc>
        <w:tc>
          <w:tcPr>
            <w:tcW w:w="1021" w:type="pct"/>
            <w:vAlign w:val="center"/>
          </w:tcPr>
          <w:p>
            <w:pPr>
              <w:jc w:val="center"/>
              <w:rPr>
                <w:szCs w:val="21"/>
              </w:rPr>
            </w:pPr>
            <w:r>
              <w:rPr>
                <w:szCs w:val="21"/>
              </w:rPr>
              <w:t>II型大城市</w:t>
            </w:r>
          </w:p>
        </w:tc>
        <w:tc>
          <w:tcPr>
            <w:tcW w:w="1021" w:type="pct"/>
            <w:vAlign w:val="center"/>
          </w:tcPr>
          <w:p>
            <w:pPr>
              <w:jc w:val="center"/>
              <w:rPr>
                <w:szCs w:val="21"/>
              </w:rPr>
            </w:pPr>
            <w:r>
              <w:rPr>
                <w:szCs w:val="21"/>
              </w:rPr>
              <w:t>中等城市</w:t>
            </w:r>
          </w:p>
        </w:tc>
        <w:tc>
          <w:tcPr>
            <w:tcW w:w="838" w:type="pct"/>
            <w:vAlign w:val="center"/>
          </w:tcPr>
          <w:p>
            <w:pPr>
              <w:jc w:val="center"/>
              <w:rPr>
                <w:szCs w:val="21"/>
              </w:rPr>
            </w:pPr>
            <w:r>
              <w:rPr>
                <w:szCs w:val="21"/>
              </w:rPr>
              <w:t>小城市</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020" w:type="pct"/>
            <w:vMerge w:val="continue"/>
            <w:vAlign w:val="center"/>
          </w:tcPr>
          <w:p>
            <w:pPr>
              <w:jc w:val="center"/>
              <w:rPr>
                <w:szCs w:val="21"/>
              </w:rPr>
            </w:pPr>
          </w:p>
        </w:tc>
        <w:tc>
          <w:tcPr>
            <w:tcW w:w="1100" w:type="pct"/>
            <w:vAlign w:val="center"/>
          </w:tcPr>
          <w:p>
            <w:pPr>
              <w:jc w:val="center"/>
              <w:rPr>
                <w:szCs w:val="21"/>
              </w:rPr>
            </w:pPr>
            <w:r>
              <w:rPr>
                <w:szCs w:val="21"/>
              </w:rPr>
              <w:t>（1）</w:t>
            </w:r>
          </w:p>
        </w:tc>
        <w:tc>
          <w:tcPr>
            <w:tcW w:w="1021" w:type="pct"/>
            <w:vAlign w:val="center"/>
          </w:tcPr>
          <w:p>
            <w:pPr>
              <w:jc w:val="center"/>
              <w:rPr>
                <w:szCs w:val="21"/>
              </w:rPr>
            </w:pPr>
            <w:r>
              <w:rPr>
                <w:szCs w:val="21"/>
              </w:rPr>
              <w:t>（2）</w:t>
            </w:r>
          </w:p>
        </w:tc>
        <w:tc>
          <w:tcPr>
            <w:tcW w:w="1021" w:type="pct"/>
            <w:vAlign w:val="center"/>
          </w:tcPr>
          <w:p>
            <w:pPr>
              <w:jc w:val="center"/>
              <w:rPr>
                <w:szCs w:val="21"/>
              </w:rPr>
            </w:pPr>
            <w:r>
              <w:rPr>
                <w:szCs w:val="21"/>
              </w:rPr>
              <w:t>（3）</w:t>
            </w:r>
          </w:p>
        </w:tc>
        <w:tc>
          <w:tcPr>
            <w:tcW w:w="838" w:type="pct"/>
            <w:vAlign w:val="center"/>
          </w:tcPr>
          <w:p>
            <w:pPr>
              <w:jc w:val="center"/>
              <w:rPr>
                <w:szCs w:val="21"/>
              </w:rPr>
            </w:pPr>
            <w:r>
              <w:rPr>
                <w:szCs w:val="21"/>
              </w:rPr>
              <w:t>（4）</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020" w:type="pct"/>
            <w:vAlign w:val="center"/>
          </w:tcPr>
          <w:p>
            <w:pPr>
              <w:jc w:val="center"/>
              <w:rPr>
                <w:i/>
                <w:iCs/>
                <w:szCs w:val="21"/>
              </w:rPr>
            </w:pPr>
            <w:r>
              <w:rPr>
                <w:i/>
                <w:iCs/>
                <w:szCs w:val="21"/>
              </w:rPr>
              <w:t>taxcomp</w:t>
            </w:r>
          </w:p>
        </w:tc>
        <w:tc>
          <w:tcPr>
            <w:tcW w:w="1100" w:type="pct"/>
            <w:vAlign w:val="center"/>
          </w:tcPr>
          <w:p>
            <w:pPr>
              <w:jc w:val="center"/>
              <w:rPr>
                <w:szCs w:val="21"/>
              </w:rPr>
            </w:pPr>
            <w:r>
              <w:rPr>
                <w:kern w:val="0"/>
                <w:szCs w:val="21"/>
              </w:rPr>
              <w:t>0.6826</w:t>
            </w:r>
            <w:r>
              <w:rPr>
                <w:kern w:val="0"/>
                <w:szCs w:val="21"/>
                <w:vertAlign w:val="superscript"/>
              </w:rPr>
              <w:t>***</w:t>
            </w:r>
          </w:p>
          <w:p>
            <w:pPr>
              <w:jc w:val="center"/>
              <w:rPr>
                <w:szCs w:val="21"/>
              </w:rPr>
            </w:pPr>
            <w:r>
              <w:rPr>
                <w:kern w:val="0"/>
                <w:szCs w:val="21"/>
              </w:rPr>
              <w:t>(0.1898)</w:t>
            </w:r>
          </w:p>
        </w:tc>
        <w:tc>
          <w:tcPr>
            <w:tcW w:w="1021" w:type="pct"/>
            <w:vAlign w:val="center"/>
          </w:tcPr>
          <w:p>
            <w:pPr>
              <w:jc w:val="center"/>
              <w:rPr>
                <w:szCs w:val="21"/>
              </w:rPr>
            </w:pPr>
            <w:r>
              <w:rPr>
                <w:kern w:val="0"/>
                <w:szCs w:val="21"/>
              </w:rPr>
              <w:t>1.7134</w:t>
            </w:r>
            <w:r>
              <w:rPr>
                <w:kern w:val="0"/>
                <w:szCs w:val="21"/>
                <w:vertAlign w:val="superscript"/>
              </w:rPr>
              <w:t>*</w:t>
            </w:r>
          </w:p>
          <w:p>
            <w:pPr>
              <w:jc w:val="center"/>
              <w:rPr>
                <w:szCs w:val="21"/>
              </w:rPr>
            </w:pPr>
            <w:r>
              <w:rPr>
                <w:kern w:val="0"/>
                <w:szCs w:val="21"/>
              </w:rPr>
              <w:t>(0.9169)</w:t>
            </w:r>
          </w:p>
        </w:tc>
        <w:tc>
          <w:tcPr>
            <w:tcW w:w="1021" w:type="pct"/>
            <w:vAlign w:val="center"/>
          </w:tcPr>
          <w:p>
            <w:pPr>
              <w:jc w:val="center"/>
              <w:rPr>
                <w:szCs w:val="21"/>
              </w:rPr>
            </w:pPr>
            <w:r>
              <w:rPr>
                <w:kern w:val="0"/>
                <w:szCs w:val="21"/>
              </w:rPr>
              <w:t>1.3132</w:t>
            </w:r>
            <w:r>
              <w:rPr>
                <w:kern w:val="0"/>
                <w:szCs w:val="21"/>
                <w:vertAlign w:val="superscript"/>
              </w:rPr>
              <w:t>**</w:t>
            </w:r>
          </w:p>
          <w:p>
            <w:pPr>
              <w:jc w:val="center"/>
              <w:rPr>
                <w:szCs w:val="21"/>
              </w:rPr>
            </w:pPr>
            <w:r>
              <w:rPr>
                <w:kern w:val="0"/>
                <w:szCs w:val="21"/>
              </w:rPr>
              <w:t>(0.5102)</w:t>
            </w:r>
          </w:p>
        </w:tc>
        <w:tc>
          <w:tcPr>
            <w:tcW w:w="838" w:type="pct"/>
            <w:vAlign w:val="center"/>
          </w:tcPr>
          <w:p>
            <w:pPr>
              <w:jc w:val="center"/>
              <w:rPr>
                <w:szCs w:val="21"/>
              </w:rPr>
            </w:pPr>
            <w:r>
              <w:rPr>
                <w:kern w:val="0"/>
                <w:szCs w:val="21"/>
              </w:rPr>
              <w:t>10.8866</w:t>
            </w:r>
          </w:p>
          <w:p>
            <w:pPr>
              <w:jc w:val="center"/>
              <w:rPr>
                <w:szCs w:val="21"/>
              </w:rPr>
            </w:pPr>
            <w:r>
              <w:rPr>
                <w:kern w:val="0"/>
                <w:szCs w:val="21"/>
              </w:rPr>
              <w:t>(10.4650)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020" w:type="pct"/>
            <w:vAlign w:val="center"/>
          </w:tcPr>
          <w:p>
            <w:pPr>
              <w:jc w:val="center"/>
              <w:rPr>
                <w:szCs w:val="21"/>
              </w:rPr>
            </w:pPr>
            <w:r>
              <w:rPr>
                <w:szCs w:val="21"/>
              </w:rPr>
              <w:t>直接效应</w:t>
            </w:r>
          </w:p>
        </w:tc>
        <w:tc>
          <w:tcPr>
            <w:tcW w:w="1100" w:type="pct"/>
            <w:vAlign w:val="center"/>
          </w:tcPr>
          <w:p>
            <w:pPr>
              <w:jc w:val="center"/>
              <w:rPr>
                <w:szCs w:val="21"/>
              </w:rPr>
            </w:pPr>
            <w:r>
              <w:rPr>
                <w:kern w:val="0"/>
                <w:szCs w:val="21"/>
              </w:rPr>
              <w:t>0.6348</w:t>
            </w:r>
            <w:r>
              <w:rPr>
                <w:kern w:val="0"/>
                <w:szCs w:val="21"/>
                <w:vertAlign w:val="superscript"/>
              </w:rPr>
              <w:t>***</w:t>
            </w:r>
          </w:p>
          <w:p>
            <w:pPr>
              <w:jc w:val="center"/>
              <w:rPr>
                <w:szCs w:val="21"/>
              </w:rPr>
            </w:pPr>
            <w:r>
              <w:rPr>
                <w:kern w:val="0"/>
                <w:szCs w:val="21"/>
              </w:rPr>
              <w:t>(0.1906)</w:t>
            </w:r>
          </w:p>
        </w:tc>
        <w:tc>
          <w:tcPr>
            <w:tcW w:w="1021" w:type="pct"/>
            <w:vAlign w:val="center"/>
          </w:tcPr>
          <w:p>
            <w:pPr>
              <w:jc w:val="center"/>
              <w:rPr>
                <w:szCs w:val="21"/>
              </w:rPr>
            </w:pPr>
            <w:r>
              <w:rPr>
                <w:kern w:val="0"/>
                <w:szCs w:val="21"/>
              </w:rPr>
              <w:t>0.5862</w:t>
            </w:r>
            <w:r>
              <w:rPr>
                <w:kern w:val="0"/>
                <w:szCs w:val="21"/>
                <w:vertAlign w:val="superscript"/>
              </w:rPr>
              <w:t>***</w:t>
            </w:r>
          </w:p>
          <w:p>
            <w:pPr>
              <w:jc w:val="center"/>
              <w:rPr>
                <w:szCs w:val="21"/>
              </w:rPr>
            </w:pPr>
            <w:r>
              <w:rPr>
                <w:kern w:val="0"/>
                <w:szCs w:val="21"/>
              </w:rPr>
              <w:t>(0.1483)</w:t>
            </w:r>
          </w:p>
        </w:tc>
        <w:tc>
          <w:tcPr>
            <w:tcW w:w="1021" w:type="pct"/>
            <w:vAlign w:val="center"/>
          </w:tcPr>
          <w:p>
            <w:pPr>
              <w:jc w:val="center"/>
              <w:rPr>
                <w:szCs w:val="21"/>
              </w:rPr>
            </w:pPr>
            <w:r>
              <w:rPr>
                <w:kern w:val="0"/>
                <w:szCs w:val="21"/>
              </w:rPr>
              <w:t>0.0415</w:t>
            </w:r>
          </w:p>
          <w:p>
            <w:pPr>
              <w:jc w:val="center"/>
              <w:rPr>
                <w:szCs w:val="21"/>
              </w:rPr>
            </w:pPr>
            <w:r>
              <w:rPr>
                <w:kern w:val="0"/>
                <w:szCs w:val="21"/>
              </w:rPr>
              <w:t>(0.2460)</w:t>
            </w:r>
          </w:p>
        </w:tc>
        <w:tc>
          <w:tcPr>
            <w:tcW w:w="838" w:type="pct"/>
            <w:vAlign w:val="center"/>
          </w:tcPr>
          <w:p>
            <w:pPr>
              <w:jc w:val="center"/>
              <w:rPr>
                <w:szCs w:val="21"/>
              </w:rPr>
            </w:pPr>
            <w:r>
              <w:rPr>
                <w:kern w:val="0"/>
                <w:szCs w:val="21"/>
              </w:rPr>
              <w:t>2.5892</w:t>
            </w:r>
          </w:p>
          <w:p>
            <w:pPr>
              <w:jc w:val="center"/>
              <w:rPr>
                <w:szCs w:val="21"/>
              </w:rPr>
            </w:pPr>
            <w:r>
              <w:rPr>
                <w:kern w:val="0"/>
                <w:szCs w:val="21"/>
              </w:rPr>
              <w:t>(5.1556)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020" w:type="pct"/>
            <w:vAlign w:val="center"/>
          </w:tcPr>
          <w:p>
            <w:pPr>
              <w:jc w:val="center"/>
              <w:rPr>
                <w:szCs w:val="21"/>
              </w:rPr>
            </w:pPr>
            <w:r>
              <w:rPr>
                <w:szCs w:val="21"/>
              </w:rPr>
              <w:t>间接效应</w:t>
            </w:r>
          </w:p>
        </w:tc>
        <w:tc>
          <w:tcPr>
            <w:tcW w:w="1100" w:type="pct"/>
            <w:vAlign w:val="center"/>
          </w:tcPr>
          <w:p>
            <w:pPr>
              <w:jc w:val="center"/>
              <w:rPr>
                <w:szCs w:val="21"/>
              </w:rPr>
            </w:pPr>
            <w:r>
              <w:rPr>
                <w:kern w:val="0"/>
                <w:szCs w:val="21"/>
              </w:rPr>
              <w:t>-8.9157</w:t>
            </w:r>
          </w:p>
          <w:p>
            <w:pPr>
              <w:jc w:val="center"/>
              <w:rPr>
                <w:szCs w:val="21"/>
              </w:rPr>
            </w:pPr>
            <w:r>
              <w:rPr>
                <w:kern w:val="0"/>
                <w:szCs w:val="21"/>
              </w:rPr>
              <w:t>(9.7720)</w:t>
            </w:r>
          </w:p>
        </w:tc>
        <w:tc>
          <w:tcPr>
            <w:tcW w:w="1021" w:type="pct"/>
            <w:vAlign w:val="center"/>
          </w:tcPr>
          <w:p>
            <w:pPr>
              <w:jc w:val="center"/>
              <w:rPr>
                <w:szCs w:val="21"/>
              </w:rPr>
            </w:pPr>
            <w:r>
              <w:rPr>
                <w:kern w:val="0"/>
                <w:szCs w:val="21"/>
              </w:rPr>
              <w:t>2.1840</w:t>
            </w:r>
            <w:r>
              <w:rPr>
                <w:kern w:val="0"/>
                <w:szCs w:val="21"/>
                <w:vertAlign w:val="superscript"/>
              </w:rPr>
              <w:t>**</w:t>
            </w:r>
          </w:p>
          <w:p>
            <w:pPr>
              <w:jc w:val="center"/>
              <w:rPr>
                <w:szCs w:val="21"/>
              </w:rPr>
            </w:pPr>
            <w:r>
              <w:rPr>
                <w:kern w:val="0"/>
                <w:szCs w:val="21"/>
              </w:rPr>
              <w:t>(1.0696)</w:t>
            </w:r>
          </w:p>
        </w:tc>
        <w:tc>
          <w:tcPr>
            <w:tcW w:w="1021" w:type="pct"/>
            <w:vAlign w:val="center"/>
          </w:tcPr>
          <w:p>
            <w:pPr>
              <w:jc w:val="center"/>
              <w:rPr>
                <w:szCs w:val="21"/>
              </w:rPr>
            </w:pPr>
            <w:r>
              <w:rPr>
                <w:kern w:val="0"/>
                <w:szCs w:val="21"/>
              </w:rPr>
              <w:t>1.0211</w:t>
            </w:r>
            <w:r>
              <w:rPr>
                <w:kern w:val="0"/>
                <w:szCs w:val="21"/>
                <w:vertAlign w:val="superscript"/>
              </w:rPr>
              <w:t>**</w:t>
            </w:r>
          </w:p>
          <w:p>
            <w:pPr>
              <w:jc w:val="center"/>
              <w:rPr>
                <w:szCs w:val="21"/>
              </w:rPr>
            </w:pPr>
            <w:r>
              <w:rPr>
                <w:kern w:val="0"/>
                <w:szCs w:val="21"/>
              </w:rPr>
              <w:t>(0.4310)</w:t>
            </w:r>
          </w:p>
        </w:tc>
        <w:tc>
          <w:tcPr>
            <w:tcW w:w="838" w:type="pct"/>
            <w:vAlign w:val="center"/>
          </w:tcPr>
          <w:p>
            <w:pPr>
              <w:jc w:val="center"/>
              <w:rPr>
                <w:szCs w:val="21"/>
              </w:rPr>
            </w:pPr>
            <w:r>
              <w:rPr>
                <w:kern w:val="0"/>
                <w:szCs w:val="21"/>
              </w:rPr>
              <w:t>8.5993</w:t>
            </w:r>
          </w:p>
          <w:p>
            <w:pPr>
              <w:jc w:val="center"/>
              <w:rPr>
                <w:szCs w:val="21"/>
              </w:rPr>
            </w:pPr>
            <w:r>
              <w:rPr>
                <w:kern w:val="0"/>
                <w:szCs w:val="21"/>
              </w:rPr>
              <w:t>(8.1857)</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020" w:type="pct"/>
            <w:vAlign w:val="center"/>
          </w:tcPr>
          <w:p>
            <w:pPr>
              <w:jc w:val="center"/>
              <w:rPr>
                <w:szCs w:val="21"/>
              </w:rPr>
            </w:pPr>
            <w:r>
              <w:rPr>
                <w:i/>
                <w:iCs/>
                <w:szCs w:val="21"/>
              </w:rPr>
              <w:t>Control</w:t>
            </w:r>
          </w:p>
        </w:tc>
        <w:tc>
          <w:tcPr>
            <w:tcW w:w="1100" w:type="pct"/>
            <w:vAlign w:val="center"/>
          </w:tcPr>
          <w:p>
            <w:pPr>
              <w:jc w:val="center"/>
              <w:rPr>
                <w:szCs w:val="21"/>
              </w:rPr>
            </w:pPr>
            <w:r>
              <w:rPr>
                <w:szCs w:val="21"/>
              </w:rPr>
              <w:t>Yes</w:t>
            </w:r>
          </w:p>
        </w:tc>
        <w:tc>
          <w:tcPr>
            <w:tcW w:w="1021" w:type="pct"/>
            <w:vAlign w:val="center"/>
          </w:tcPr>
          <w:p>
            <w:pPr>
              <w:jc w:val="center"/>
              <w:rPr>
                <w:szCs w:val="21"/>
              </w:rPr>
            </w:pPr>
            <w:r>
              <w:rPr>
                <w:szCs w:val="21"/>
              </w:rPr>
              <w:t>Yes</w:t>
            </w:r>
          </w:p>
        </w:tc>
        <w:tc>
          <w:tcPr>
            <w:tcW w:w="1021" w:type="pct"/>
            <w:vAlign w:val="center"/>
          </w:tcPr>
          <w:p>
            <w:pPr>
              <w:jc w:val="center"/>
              <w:rPr>
                <w:szCs w:val="21"/>
              </w:rPr>
            </w:pPr>
            <w:r>
              <w:rPr>
                <w:szCs w:val="21"/>
              </w:rPr>
              <w:t>Yes</w:t>
            </w:r>
          </w:p>
        </w:tc>
        <w:tc>
          <w:tcPr>
            <w:tcW w:w="838"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020" w:type="pct"/>
            <w:vAlign w:val="center"/>
          </w:tcPr>
          <w:p>
            <w:pPr>
              <w:jc w:val="center"/>
              <w:rPr>
                <w:szCs w:val="21"/>
              </w:rPr>
            </w:pPr>
            <w:r>
              <w:rPr>
                <w:i/>
                <w:iCs/>
                <w:szCs w:val="21"/>
              </w:rPr>
              <w:t>W×Control</w:t>
            </w:r>
          </w:p>
        </w:tc>
        <w:tc>
          <w:tcPr>
            <w:tcW w:w="1100" w:type="pct"/>
            <w:vAlign w:val="center"/>
          </w:tcPr>
          <w:p>
            <w:pPr>
              <w:jc w:val="center"/>
              <w:rPr>
                <w:szCs w:val="21"/>
              </w:rPr>
            </w:pPr>
            <w:r>
              <w:rPr>
                <w:szCs w:val="21"/>
              </w:rPr>
              <w:t>Yes</w:t>
            </w:r>
          </w:p>
        </w:tc>
        <w:tc>
          <w:tcPr>
            <w:tcW w:w="1021" w:type="pct"/>
            <w:vAlign w:val="center"/>
          </w:tcPr>
          <w:p>
            <w:pPr>
              <w:jc w:val="center"/>
              <w:rPr>
                <w:szCs w:val="21"/>
              </w:rPr>
            </w:pPr>
            <w:r>
              <w:rPr>
                <w:szCs w:val="21"/>
              </w:rPr>
              <w:t>Yes</w:t>
            </w:r>
          </w:p>
        </w:tc>
        <w:tc>
          <w:tcPr>
            <w:tcW w:w="1021" w:type="pct"/>
            <w:vAlign w:val="center"/>
          </w:tcPr>
          <w:p>
            <w:pPr>
              <w:jc w:val="center"/>
              <w:rPr>
                <w:szCs w:val="21"/>
              </w:rPr>
            </w:pPr>
            <w:r>
              <w:rPr>
                <w:szCs w:val="21"/>
              </w:rPr>
              <w:t>Yes</w:t>
            </w:r>
          </w:p>
        </w:tc>
        <w:tc>
          <w:tcPr>
            <w:tcW w:w="838"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020" w:type="pct"/>
            <w:vAlign w:val="center"/>
          </w:tcPr>
          <w:p>
            <w:pPr>
              <w:jc w:val="center"/>
              <w:rPr>
                <w:szCs w:val="21"/>
              </w:rPr>
            </w:pPr>
            <w:r>
              <w:rPr>
                <w:szCs w:val="21"/>
              </w:rPr>
              <w:t>城市固定效应</w:t>
            </w:r>
          </w:p>
        </w:tc>
        <w:tc>
          <w:tcPr>
            <w:tcW w:w="1100" w:type="pct"/>
            <w:vAlign w:val="center"/>
          </w:tcPr>
          <w:p>
            <w:pPr>
              <w:jc w:val="center"/>
              <w:rPr>
                <w:szCs w:val="21"/>
              </w:rPr>
            </w:pPr>
            <w:r>
              <w:rPr>
                <w:szCs w:val="21"/>
              </w:rPr>
              <w:t>Yes</w:t>
            </w:r>
          </w:p>
        </w:tc>
        <w:tc>
          <w:tcPr>
            <w:tcW w:w="1021" w:type="pct"/>
            <w:vAlign w:val="center"/>
          </w:tcPr>
          <w:p>
            <w:pPr>
              <w:jc w:val="center"/>
              <w:rPr>
                <w:szCs w:val="21"/>
              </w:rPr>
            </w:pPr>
            <w:r>
              <w:rPr>
                <w:szCs w:val="21"/>
              </w:rPr>
              <w:t>Yes</w:t>
            </w:r>
          </w:p>
        </w:tc>
        <w:tc>
          <w:tcPr>
            <w:tcW w:w="1021" w:type="pct"/>
            <w:vAlign w:val="center"/>
          </w:tcPr>
          <w:p>
            <w:pPr>
              <w:jc w:val="center"/>
              <w:rPr>
                <w:szCs w:val="21"/>
              </w:rPr>
            </w:pPr>
            <w:r>
              <w:rPr>
                <w:szCs w:val="21"/>
              </w:rPr>
              <w:t>Yes</w:t>
            </w:r>
          </w:p>
        </w:tc>
        <w:tc>
          <w:tcPr>
            <w:tcW w:w="838"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020" w:type="pct"/>
            <w:vAlign w:val="center"/>
          </w:tcPr>
          <w:p>
            <w:pPr>
              <w:jc w:val="center"/>
              <w:rPr>
                <w:szCs w:val="21"/>
              </w:rPr>
            </w:pPr>
            <w:r>
              <w:rPr>
                <w:szCs w:val="21"/>
              </w:rPr>
              <w:t>时间固定效应</w:t>
            </w:r>
          </w:p>
        </w:tc>
        <w:tc>
          <w:tcPr>
            <w:tcW w:w="1100" w:type="pct"/>
            <w:vAlign w:val="center"/>
          </w:tcPr>
          <w:p>
            <w:pPr>
              <w:jc w:val="center"/>
              <w:rPr>
                <w:szCs w:val="21"/>
              </w:rPr>
            </w:pPr>
            <w:r>
              <w:rPr>
                <w:szCs w:val="21"/>
              </w:rPr>
              <w:t>Yes</w:t>
            </w:r>
          </w:p>
        </w:tc>
        <w:tc>
          <w:tcPr>
            <w:tcW w:w="1021" w:type="pct"/>
            <w:vAlign w:val="center"/>
          </w:tcPr>
          <w:p>
            <w:pPr>
              <w:jc w:val="center"/>
              <w:rPr>
                <w:szCs w:val="21"/>
              </w:rPr>
            </w:pPr>
            <w:r>
              <w:rPr>
                <w:szCs w:val="21"/>
              </w:rPr>
              <w:t>Yes</w:t>
            </w:r>
          </w:p>
        </w:tc>
        <w:tc>
          <w:tcPr>
            <w:tcW w:w="1021" w:type="pct"/>
            <w:vAlign w:val="center"/>
          </w:tcPr>
          <w:p>
            <w:pPr>
              <w:jc w:val="center"/>
              <w:rPr>
                <w:szCs w:val="21"/>
              </w:rPr>
            </w:pPr>
            <w:r>
              <w:rPr>
                <w:szCs w:val="21"/>
              </w:rPr>
              <w:t>Yes</w:t>
            </w:r>
          </w:p>
        </w:tc>
        <w:tc>
          <w:tcPr>
            <w:tcW w:w="838"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020" w:type="pct"/>
            <w:vAlign w:val="center"/>
          </w:tcPr>
          <w:p>
            <w:pPr>
              <w:jc w:val="center"/>
              <w:rPr>
                <w:szCs w:val="21"/>
              </w:rPr>
            </w:pPr>
            <w:r>
              <w:rPr>
                <w:szCs w:val="21"/>
              </w:rPr>
              <w:t>N</w:t>
            </w:r>
          </w:p>
        </w:tc>
        <w:tc>
          <w:tcPr>
            <w:tcW w:w="1100" w:type="pct"/>
            <w:vAlign w:val="center"/>
          </w:tcPr>
          <w:p>
            <w:pPr>
              <w:jc w:val="center"/>
              <w:rPr>
                <w:szCs w:val="21"/>
              </w:rPr>
            </w:pPr>
            <w:r>
              <w:rPr>
                <w:kern w:val="0"/>
                <w:szCs w:val="21"/>
              </w:rPr>
              <w:t>2822</w:t>
            </w:r>
          </w:p>
        </w:tc>
        <w:tc>
          <w:tcPr>
            <w:tcW w:w="1021" w:type="pct"/>
            <w:vAlign w:val="center"/>
          </w:tcPr>
          <w:p>
            <w:pPr>
              <w:jc w:val="center"/>
              <w:rPr>
                <w:szCs w:val="21"/>
              </w:rPr>
            </w:pPr>
            <w:r>
              <w:rPr>
                <w:kern w:val="0"/>
                <w:szCs w:val="21"/>
              </w:rPr>
              <w:t>1649</w:t>
            </w:r>
          </w:p>
        </w:tc>
        <w:tc>
          <w:tcPr>
            <w:tcW w:w="1021" w:type="pct"/>
            <w:vAlign w:val="center"/>
          </w:tcPr>
          <w:p>
            <w:pPr>
              <w:jc w:val="center"/>
              <w:rPr>
                <w:szCs w:val="21"/>
              </w:rPr>
            </w:pPr>
            <w:r>
              <w:rPr>
                <w:kern w:val="0"/>
                <w:szCs w:val="21"/>
              </w:rPr>
              <w:t>119</w:t>
            </w:r>
          </w:p>
        </w:tc>
        <w:tc>
          <w:tcPr>
            <w:tcW w:w="838" w:type="pct"/>
            <w:vAlign w:val="center"/>
          </w:tcPr>
          <w:p>
            <w:pPr>
              <w:jc w:val="center"/>
              <w:rPr>
                <w:szCs w:val="21"/>
              </w:rPr>
            </w:pPr>
            <w:r>
              <w:rPr>
                <w:kern w:val="0"/>
                <w:szCs w:val="21"/>
              </w:rPr>
              <w:t>51</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注：各变量括号内采用城市层面聚类稳健标准误；*、**和***分别表示在10%、5%和1%的置信水平下显著。</w:t>
      </w:r>
    </w:p>
    <w:p>
      <w:pPr>
        <w:ind w:firstLine="420" w:firstLineChars="200"/>
      </w:pPr>
      <w:r>
        <w:t>由以上表10的实证结果可知，地方政府税收竞争对经济发展不平衡的影响效应在地区间差异较为悬殊。针对直接效应而言，I型及以上的大城市和II型大城市的地方政府税收竞争对经济发展不平衡的影响效应在1%水平上显著为正，然而在中等城市中，这种影响甚微且在统计特征上并不显著。结果说明，大城市的地区政府通过降低税率进行税收竞争会加剧地区经济发展不平衡，而小城市等地区采取“逐底竞争”的动机并不明显。究其原因，正如本文前述第三部分的理论模型所论证，由于大城市依托于良好的基础设施和制度环境，更具有降低税率进行税收竞争的激励效应及其进而吸引要素流入，而资本和劳动力要素的集聚不仅能给发达地区提供更为强劲的经济增长动力，也对地方公共服务水平提出了更高的诉求，从而进一步加快当地基础设施建设、产业结构调整以及专业化分工等进程，进而</w:t>
      </w:r>
      <w:r>
        <w:rPr>
          <w:szCs w:val="21"/>
        </w:rPr>
        <w:t>通过技术优势实现生产优势，最终提升产出效率。然而经济较为发达的大城市产出水平的不断提升在实现其经济快速增长的同时，也拉大了与经济较为落后小地区之间的发展差距，从而导致地区间经济发展不平衡程度不断加剧。</w:t>
      </w:r>
      <w:r>
        <w:t>针对</w:t>
      </w:r>
      <w:r>
        <w:rPr>
          <w:szCs w:val="21"/>
        </w:rPr>
        <w:t>间接效应而言，</w:t>
      </w:r>
      <w:r>
        <w:t>I型及以上大城市的回归结果尽管不具备统计显著性，但是存在一定程度负向空间溢出效应，即税收竞争可能会缓解地区之间经济发展不平衡程度。其中可能的解释是这些城市往往处于经济集聚区域，而经济集聚会对互相模仿的税收竞争产生缓解作用（Charlot &amp; Paty，2010；Jofre-Monseny，2013）。II型大城市和中等城市则存在较为显著的空间溢出效应，某一地区的税收竞争程度提高会加剧邻近地区的经济发展不平衡程度。而针对小城市而言，无论是直接效应还是间接效应，税收竞争对地区经济发展不平衡的影响甚微。</w:t>
      </w:r>
    </w:p>
    <w:p>
      <w:pPr>
        <w:ind w:firstLine="420" w:firstLineChars="200"/>
        <w:rPr>
          <w:rFonts w:eastAsia="黑体"/>
        </w:rPr>
      </w:pPr>
      <w:r>
        <w:rPr>
          <w:rFonts w:eastAsia="黑体"/>
        </w:rPr>
        <w:t>（二）影响机制分析</w:t>
      </w:r>
    </w:p>
    <w:p>
      <w:pPr>
        <w:ind w:firstLine="420" w:firstLineChars="200"/>
      </w:pPr>
      <w:r>
        <w:rPr>
          <w:szCs w:val="21"/>
        </w:rPr>
        <w:t>经由本文第三部分的理论模型可知，地方政府开展地方税收竞争能够</w:t>
      </w:r>
      <w:r>
        <w:t>改变劳动力要素在地区间的流动性，这一机制发挥作用的关键在于税收竞争一方面可以直接影响劳动力的收入水平，另一方面，地方政府之间的横向税收竞争不仅在宏观层面对于地方的财政收入带来冲击，进而影响辖区内的财政支出规模和结构，而且在微观层面对企业区位选择带来影响，从而改变企业在辖区内劳动力雇佣状况和流动情况。由此可见，劳动力要素流动无论采取何种渠道实现，都是政府间税收竞争的直接对象。而劳动力流动不仅牵涉其收入水平和地区产出水平，同时也深刻影响着地区间收入分配格局。为此，本文</w:t>
      </w:r>
      <w:r>
        <w:rPr>
          <w:szCs w:val="21"/>
        </w:rPr>
        <w:t>将依据第三部分的理论模型与劳动力流动这一假设前提，探究劳动力要素流动在地方政府税收竞争与地区经济发展不平衡之间作用机制。</w:t>
      </w:r>
    </w:p>
    <w:p>
      <w:pPr>
        <w:ind w:firstLine="420" w:firstLineChars="200"/>
        <w:rPr>
          <w:szCs w:val="21"/>
        </w:rPr>
      </w:pPr>
      <w:r>
        <w:rPr>
          <w:szCs w:val="21"/>
        </w:rPr>
        <w:t>从理论上，本文认为地方政府税收竞争作用于地区经济发展水平最为直接的影响机制是改变要素在地区间的流动性，而要素流动是决定产出水平的核心内容。地方政府税收竞争形成的差别化税负和征管水平，可以从供给和需求两方面引导流动性要素在地区间流动。其中，地方政府税收竞争对劳动力流动的影响机制主要体现在以下三个方面。一是地方政府税收竞争会对辖区劳动力数量产生影响。在城市化进程中，人口的空间分布在城乡和跨区域间始终处于动态变化之中，人口向低税地区的聚集可以为该辖区劳动密集型产业提供要素基础，从而降低单位产出的生产成本与提高劳动生产效率。此时当地企业借助人口集聚优势，将更加容易形成规模经济（Fujita et al,1999）。另外，地方政府因税收竞争实施的税收优惠政策通过降低所得税负也增进居民福利与吸引人口流入。在虹吸效应的催化下，劳动力迁移在改变整个经济体人力资本存量的同时，也扩大了迁出地和迁入地的经济发展差距。二是地方政府税收竞争会对辖区劳动力质量产生影响。税收竞争促使人口的跨地区迁移和空间集聚形成较大规模的劳动力市场，有利于改善技术人才与岗位需求之间的匹配度。此时即使是在不完全的信息条件下，企业也能更加容易寻得所需人才，而拥有特定技能的劳动者也更加容易找到相匹配的职业，即劳资双方可以有效避免因信息不对称产生的效率损失和对经济周期的冲击，从而提高经济社会运行效率（Helsley &amp; Strange,1990）。然而值得注意的是，异质性的人力资本集聚在短期内有利于社会专业化效率的提升，但长期中却会进一步加剧地区之间的经济差距（胡尊国等，2023）。三是税收优惠和财政补贴政策</w:t>
      </w:r>
      <w:r>
        <w:t>加快了高素质人才在地区间的交流频率，不仅能</w:t>
      </w:r>
      <w:r>
        <w:rPr>
          <w:szCs w:val="21"/>
        </w:rPr>
        <w:t>直接增加劳动者的工资水平以及提高其可支配收入，而且</w:t>
      </w:r>
      <w:r>
        <w:t>人才“涓流”的汇集还会进一步促进地区产业集聚、提升生产效率，进而推动地区经济快速增长与增进辖区居民福利水平。</w:t>
      </w:r>
      <w:r>
        <w:rPr>
          <w:szCs w:val="21"/>
        </w:rPr>
        <w:t>尽管在此过程中，随着劳动力供给数量扩大和竞争程度的提升导致工资水平的降低，但从整体上而言，地方政府税收竞争一直以来对地区间劳动力流动发挥着重要作用。为深入验证地方政府税收竞争对劳动力流动可能存在的影响机制，本文将从宏观直接机制和微观机制两个视角分析地方政府税收竞争如何影响劳动力的决策行为。</w:t>
      </w:r>
    </w:p>
    <w:p>
      <w:pPr>
        <w:ind w:firstLine="420" w:firstLineChars="200"/>
        <w:rPr>
          <w:rFonts w:eastAsia="黑体"/>
          <w:b/>
          <w:bCs/>
        </w:rPr>
      </w:pPr>
      <w:r>
        <w:rPr>
          <w:rFonts w:eastAsia="楷体"/>
        </w:rPr>
        <w:t>1.直接机制。</w:t>
      </w:r>
      <w:r>
        <w:rPr>
          <w:szCs w:val="21"/>
        </w:rPr>
        <w:t>劳动力流动是机制检验中的核心变量，其指标测度学术界主要采取客观数量和主观意愿两种方法，客观数量法主要是基于宏观统计数据对劳动力流动的数量和方向性进行估计，现有文献大多采取劳动力净流入比例的方法进行衡量，即地区年末常住人口与户籍人口的比值，如果指标大于1则表示该地区为劳动力的净流入地，指标小于1表示该地区为劳动力的净流出地；主观意愿法侧重基于微观数据对于劳动力迁移的可能性或者概率进行评估。因此，在机制检验部分，本文采取两种方法分别对劳动力流量进行测算。</w:t>
      </w:r>
    </w:p>
    <w:p>
      <w:pPr>
        <w:ind w:firstLine="420" w:firstLineChars="200"/>
        <w:rPr>
          <w:szCs w:val="21"/>
        </w:rPr>
      </w:pPr>
      <w:r>
        <w:rPr>
          <w:szCs w:val="21"/>
        </w:rPr>
        <w:t>在直接机制检验中劳动力流动的测度，本文参考白俊红等（2017）和吕海萍（2019）的方法采用引力模型衡量地区间劳动力迁移程度。其基本原理是，经济主体之间的距离越近，两者之间发生相互作用的可能性越大，随着经济规模的逐渐扩大，其吸引要素流入的数量会随之增多。随着引力模型在空间相互作用和地理距离半衰效应的研究广泛应用，要素流动问题在引力模型的经验研究和实证分析中得以较好的解释（Evenett et al, 2002；王钺等，2016）。另外，引力模型能够避免简单数值计算方法产生的难以解释的问题，将劳动力的流入地、流出地的经济特征和两地区之间的地理距离联系起来，综合考察了影响劳动力流动的重要因素（Helpmen &amp; Krugman, 1985; 白俊红、蒋伏心，2015）。具体而言，引力模型的基本设定形式如（24）式。</w:t>
      </w:r>
    </w:p>
    <w:p>
      <w:pPr>
        <w:jc w:val="right"/>
        <w:rPr>
          <w:szCs w:val="21"/>
        </w:rPr>
      </w:pPr>
      <w:r>
        <w:rPr>
          <w:position w:val="-14"/>
          <w:szCs w:val="21"/>
        </w:rPr>
        <w:object>
          <v:shape id="_x0000_i1094" o:spt="75" type="#_x0000_t75" style="height:24pt;width:122.7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szCs w:val="21"/>
        </w:rPr>
        <w:t>（</w:t>
      </w:r>
      <w:r>
        <w:rPr>
          <w:i/>
          <w:szCs w:val="21"/>
        </w:rPr>
        <w:t>i≠j，i=</w:t>
      </w:r>
      <w:r>
        <w:rPr>
          <w:szCs w:val="21"/>
        </w:rPr>
        <w:t>1,2</w:t>
      </w:r>
      <w:r>
        <w:rPr>
          <w:i/>
          <w:szCs w:val="21"/>
        </w:rPr>
        <w:t>,…,n; j=</w:t>
      </w:r>
      <w:r>
        <w:rPr>
          <w:szCs w:val="21"/>
        </w:rPr>
        <w:t>1,2</w:t>
      </w:r>
      <w:r>
        <w:rPr>
          <w:i/>
          <w:szCs w:val="21"/>
        </w:rPr>
        <w:t>,…,m</w:t>
      </w:r>
      <w:r>
        <w:rPr>
          <w:szCs w:val="21"/>
        </w:rPr>
        <w:t>）              （24）</w:t>
      </w:r>
    </w:p>
    <w:p>
      <w:pPr>
        <w:ind w:firstLine="420" w:firstLineChars="200"/>
        <w:rPr>
          <w:szCs w:val="21"/>
        </w:rPr>
      </w:pPr>
      <w:r>
        <w:rPr>
          <w:szCs w:val="21"/>
        </w:rPr>
        <w:t>其中</w:t>
      </w:r>
      <w:r>
        <w:rPr>
          <w:i/>
          <w:iCs/>
          <w:szCs w:val="21"/>
        </w:rPr>
        <w:t>G</w:t>
      </w:r>
      <w:r>
        <w:rPr>
          <w:i/>
          <w:iCs/>
          <w:szCs w:val="21"/>
          <w:vertAlign w:val="subscript"/>
        </w:rPr>
        <w:t>ij</w:t>
      </w:r>
      <w:r>
        <w:rPr>
          <w:szCs w:val="21"/>
        </w:rPr>
        <w:t>为</w:t>
      </w:r>
      <w:r>
        <w:rPr>
          <w:i/>
          <w:iCs/>
          <w:szCs w:val="21"/>
        </w:rPr>
        <w:t>i</w:t>
      </w:r>
      <w:r>
        <w:rPr>
          <w:szCs w:val="21"/>
        </w:rPr>
        <w:t>地区对于</w:t>
      </w:r>
      <w:r>
        <w:rPr>
          <w:i/>
          <w:iCs/>
          <w:szCs w:val="21"/>
        </w:rPr>
        <w:t>j</w:t>
      </w:r>
      <w:r>
        <w:rPr>
          <w:szCs w:val="21"/>
        </w:rPr>
        <w:t>地区的吸引力，</w:t>
      </w:r>
      <w:r>
        <w:rPr>
          <w:i/>
          <w:iCs/>
          <w:szCs w:val="21"/>
        </w:rPr>
        <w:t>K</w:t>
      </w:r>
      <w:r>
        <w:rPr>
          <w:i/>
          <w:iCs/>
          <w:szCs w:val="21"/>
          <w:vertAlign w:val="subscript"/>
        </w:rPr>
        <w:t>ij</w:t>
      </w:r>
      <w:r>
        <w:rPr>
          <w:szCs w:val="21"/>
        </w:rPr>
        <w:t>为</w:t>
      </w:r>
      <w:r>
        <w:rPr>
          <w:i/>
          <w:iCs/>
          <w:szCs w:val="21"/>
        </w:rPr>
        <w:t>i</w:t>
      </w:r>
      <w:r>
        <w:rPr>
          <w:szCs w:val="21"/>
        </w:rPr>
        <w:t>地区对于</w:t>
      </w:r>
      <w:r>
        <w:rPr>
          <w:i/>
          <w:iCs/>
          <w:szCs w:val="21"/>
        </w:rPr>
        <w:t>j</w:t>
      </w:r>
      <w:r>
        <w:rPr>
          <w:szCs w:val="21"/>
        </w:rPr>
        <w:t>地区之间的引力系数，一般取值为1，</w:t>
      </w:r>
      <w:r>
        <w:rPr>
          <w:i/>
          <w:iCs/>
          <w:szCs w:val="21"/>
        </w:rPr>
        <w:t>M</w:t>
      </w:r>
      <w:r>
        <w:rPr>
          <w:i/>
          <w:iCs/>
          <w:szCs w:val="21"/>
          <w:vertAlign w:val="subscript"/>
        </w:rPr>
        <w:t>i</w:t>
      </w:r>
      <w:r>
        <w:rPr>
          <w:szCs w:val="21"/>
        </w:rPr>
        <w:t>、</w:t>
      </w:r>
      <w:r>
        <w:rPr>
          <w:i/>
          <w:iCs/>
          <w:szCs w:val="21"/>
        </w:rPr>
        <w:t>M</w:t>
      </w:r>
      <w:r>
        <w:rPr>
          <w:i/>
          <w:iCs/>
          <w:szCs w:val="21"/>
          <w:vertAlign w:val="subscript"/>
        </w:rPr>
        <w:t>j</w:t>
      </w:r>
      <w:r>
        <w:rPr>
          <w:szCs w:val="21"/>
        </w:rPr>
        <w:t>为</w:t>
      </w:r>
      <w:r>
        <w:rPr>
          <w:i/>
          <w:iCs/>
          <w:szCs w:val="21"/>
        </w:rPr>
        <w:t>i</w:t>
      </w:r>
      <w:r>
        <w:rPr>
          <w:szCs w:val="21"/>
        </w:rPr>
        <w:t>地区对于</w:t>
      </w:r>
      <w:r>
        <w:rPr>
          <w:i/>
          <w:iCs/>
          <w:szCs w:val="21"/>
        </w:rPr>
        <w:t>j</w:t>
      </w:r>
      <w:r>
        <w:rPr>
          <w:szCs w:val="21"/>
        </w:rPr>
        <w:t>地区社会经济相关要素的测度，</w:t>
      </w:r>
      <w:r>
        <w:rPr>
          <w:i/>
          <w:iCs/>
          <w:szCs w:val="21"/>
        </w:rPr>
        <w:t>α</w:t>
      </w:r>
      <w:r>
        <w:rPr>
          <w:i/>
          <w:iCs/>
          <w:szCs w:val="21"/>
          <w:vertAlign w:val="superscript"/>
        </w:rPr>
        <w:t>i</w:t>
      </w:r>
      <w:r>
        <w:rPr>
          <w:i/>
          <w:iCs/>
          <w:szCs w:val="21"/>
        </w:rPr>
        <w:t>、α</w:t>
      </w:r>
      <w:r>
        <w:rPr>
          <w:i/>
          <w:iCs/>
          <w:szCs w:val="21"/>
          <w:vertAlign w:val="superscript"/>
        </w:rPr>
        <w:t>j</w:t>
      </w:r>
      <w:r>
        <w:rPr>
          <w:szCs w:val="21"/>
        </w:rPr>
        <w:t>为</w:t>
      </w:r>
      <w:r>
        <w:rPr>
          <w:i/>
          <w:iCs/>
          <w:szCs w:val="21"/>
        </w:rPr>
        <w:t>i</w:t>
      </w:r>
      <w:r>
        <w:rPr>
          <w:szCs w:val="21"/>
        </w:rPr>
        <w:t>地区对于</w:t>
      </w:r>
      <w:r>
        <w:rPr>
          <w:i/>
          <w:iCs/>
          <w:szCs w:val="21"/>
        </w:rPr>
        <w:t>j</w:t>
      </w:r>
      <w:r>
        <w:rPr>
          <w:szCs w:val="21"/>
        </w:rPr>
        <w:t>地区的引力参数，</w:t>
      </w:r>
      <w:r>
        <w:rPr>
          <w:i/>
          <w:iCs/>
          <w:szCs w:val="21"/>
        </w:rPr>
        <w:t>D</w:t>
      </w:r>
      <w:r>
        <w:rPr>
          <w:i/>
          <w:iCs/>
          <w:szCs w:val="21"/>
          <w:vertAlign w:val="superscript"/>
        </w:rPr>
        <w:t>b</w:t>
      </w:r>
      <w:r>
        <w:rPr>
          <w:i/>
          <w:iCs/>
          <w:szCs w:val="21"/>
          <w:vertAlign w:val="subscript"/>
        </w:rPr>
        <w:t>ij</w:t>
      </w:r>
      <w:r>
        <w:rPr>
          <w:szCs w:val="21"/>
        </w:rPr>
        <w:t>为</w:t>
      </w:r>
      <w:r>
        <w:rPr>
          <w:i/>
          <w:iCs/>
          <w:szCs w:val="21"/>
        </w:rPr>
        <w:t>i</w:t>
      </w:r>
      <w:r>
        <w:rPr>
          <w:szCs w:val="21"/>
        </w:rPr>
        <w:t>地区对于</w:t>
      </w:r>
      <w:r>
        <w:rPr>
          <w:i/>
          <w:iCs/>
          <w:szCs w:val="21"/>
        </w:rPr>
        <w:t>j</w:t>
      </w:r>
      <w:r>
        <w:rPr>
          <w:szCs w:val="21"/>
        </w:rPr>
        <w:t>地区之间的地理距离，</w:t>
      </w:r>
      <w:r>
        <w:rPr>
          <w:i/>
          <w:iCs/>
          <w:szCs w:val="21"/>
        </w:rPr>
        <w:t>b</w:t>
      </w:r>
      <w:r>
        <w:rPr>
          <w:szCs w:val="21"/>
        </w:rPr>
        <w:t>为距离衰减参数，</w:t>
      </w:r>
      <w:r>
        <w:rPr>
          <w:i/>
          <w:iCs/>
          <w:szCs w:val="21"/>
        </w:rPr>
        <w:t>n</w:t>
      </w:r>
      <w:r>
        <w:rPr>
          <w:szCs w:val="21"/>
        </w:rPr>
        <w:t>为区域个数。由于传统的引力模型在一定程度上能够反映要素在地区间的流动能力，但无法判断要素流动的方向，因此需要对引力模型进行改进。驱动劳动力要素流动的原因不仅包括实现自我发展、收入水平等个体内部因素，也受到社会、经济、文化、环境等综合外部因素（Grossmann et al，2013；Czaika et al，2017）。根据现有文献研究，工资水平和地区的房价水平能够显著地影响劳动力流动情况（王森，2007；Arntz，2010；安虎森等，2011；Gibson et al，2012）。基于此，本文选取地区间的工资水平和房价水平作为劳动力流动的引力变量，构建产出约束引力模型来衡量劳动力流动程度和方向，具体见式（25）。</w:t>
      </w:r>
    </w:p>
    <w:p>
      <w:pPr>
        <w:wordWrap w:val="0"/>
        <w:jc w:val="right"/>
        <w:rPr>
          <w:szCs w:val="21"/>
        </w:rPr>
      </w:pPr>
      <w:r>
        <w:rPr>
          <w:position w:val="-32"/>
          <w:szCs w:val="21"/>
        </w:rPr>
        <w:object>
          <v:shape id="_x0000_i1095" o:spt="75" type="#_x0000_t75" style="height:38.75pt;width:288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r>
        <w:rPr>
          <w:szCs w:val="21"/>
        </w:rPr>
        <w:t xml:space="preserve">           （25）</w:t>
      </w:r>
    </w:p>
    <w:p>
      <w:pPr>
        <w:ind w:firstLine="420" w:firstLineChars="200"/>
        <w:rPr>
          <w:szCs w:val="21"/>
        </w:rPr>
      </w:pPr>
      <w:r>
        <w:rPr>
          <w:szCs w:val="21"/>
        </w:rPr>
        <w:t>其中，</w:t>
      </w:r>
      <w:r>
        <w:rPr>
          <w:i/>
          <w:iCs/>
          <w:szCs w:val="21"/>
        </w:rPr>
        <w:t>LabFlow</w:t>
      </w:r>
      <w:r>
        <w:rPr>
          <w:i/>
          <w:iCs/>
          <w:szCs w:val="21"/>
          <w:vertAlign w:val="subscript"/>
        </w:rPr>
        <w:t>ij</w:t>
      </w:r>
      <w:r>
        <w:rPr>
          <w:szCs w:val="21"/>
        </w:rPr>
        <w:t>为</w:t>
      </w:r>
      <w:r>
        <w:rPr>
          <w:i/>
          <w:iCs/>
          <w:szCs w:val="21"/>
        </w:rPr>
        <w:t>i</w:t>
      </w:r>
      <w:r>
        <w:rPr>
          <w:szCs w:val="21"/>
        </w:rPr>
        <w:t>地区劳动力迁移到</w:t>
      </w:r>
      <w:r>
        <w:rPr>
          <w:i/>
          <w:iCs/>
          <w:szCs w:val="21"/>
        </w:rPr>
        <w:t>j</w:t>
      </w:r>
      <w:r>
        <w:rPr>
          <w:szCs w:val="21"/>
        </w:rPr>
        <w:t>地区的流量，</w:t>
      </w:r>
      <w:r>
        <w:rPr>
          <w:i/>
          <w:iCs/>
          <w:szCs w:val="21"/>
        </w:rPr>
        <w:t>Lab</w:t>
      </w:r>
      <w:r>
        <w:rPr>
          <w:i/>
          <w:iCs/>
          <w:szCs w:val="21"/>
          <w:vertAlign w:val="subscript"/>
        </w:rPr>
        <w:t>i</w:t>
      </w:r>
      <w:r>
        <w:rPr>
          <w:szCs w:val="21"/>
        </w:rPr>
        <w:t>、</w:t>
      </w:r>
      <w:r>
        <w:rPr>
          <w:i/>
          <w:iCs/>
          <w:szCs w:val="21"/>
        </w:rPr>
        <w:t>Lab</w:t>
      </w:r>
      <w:r>
        <w:rPr>
          <w:i/>
          <w:iCs/>
          <w:szCs w:val="21"/>
          <w:vertAlign w:val="subscript"/>
        </w:rPr>
        <w:t>j</w:t>
      </w:r>
      <w:r>
        <w:rPr>
          <w:szCs w:val="21"/>
        </w:rPr>
        <w:t>为</w:t>
      </w:r>
      <w:r>
        <w:rPr>
          <w:i/>
          <w:iCs/>
          <w:szCs w:val="21"/>
        </w:rPr>
        <w:t>i</w:t>
      </w:r>
      <w:r>
        <w:rPr>
          <w:szCs w:val="21"/>
        </w:rPr>
        <w:t>地区对于</w:t>
      </w:r>
      <w:r>
        <w:rPr>
          <w:i/>
          <w:iCs/>
          <w:szCs w:val="21"/>
        </w:rPr>
        <w:t>j</w:t>
      </w:r>
      <w:r>
        <w:rPr>
          <w:szCs w:val="21"/>
        </w:rPr>
        <w:t>地区常住人口数，</w:t>
      </w:r>
      <w:r>
        <w:rPr>
          <w:i/>
          <w:iCs/>
          <w:szCs w:val="21"/>
        </w:rPr>
        <w:t>Wage</w:t>
      </w:r>
      <w:r>
        <w:rPr>
          <w:i/>
          <w:iCs/>
          <w:szCs w:val="21"/>
          <w:vertAlign w:val="subscript"/>
        </w:rPr>
        <w:t>i</w:t>
      </w:r>
      <w:r>
        <w:rPr>
          <w:szCs w:val="21"/>
        </w:rPr>
        <w:t>、</w:t>
      </w:r>
      <w:r>
        <w:rPr>
          <w:i/>
          <w:iCs/>
          <w:szCs w:val="21"/>
        </w:rPr>
        <w:t>Wage</w:t>
      </w:r>
      <w:r>
        <w:rPr>
          <w:i/>
          <w:iCs/>
          <w:szCs w:val="21"/>
          <w:vertAlign w:val="subscript"/>
        </w:rPr>
        <w:t>j</w:t>
      </w:r>
      <w:r>
        <w:rPr>
          <w:szCs w:val="21"/>
        </w:rPr>
        <w:t>为</w:t>
      </w:r>
      <w:r>
        <w:rPr>
          <w:i/>
          <w:iCs/>
          <w:szCs w:val="21"/>
        </w:rPr>
        <w:t>i</w:t>
      </w:r>
      <w:r>
        <w:rPr>
          <w:szCs w:val="21"/>
        </w:rPr>
        <w:t>地区和</w:t>
      </w:r>
      <w:r>
        <w:rPr>
          <w:i/>
          <w:iCs/>
          <w:szCs w:val="21"/>
        </w:rPr>
        <w:t>j</w:t>
      </w:r>
      <w:r>
        <w:rPr>
          <w:szCs w:val="21"/>
        </w:rPr>
        <w:t>地区的城镇单位就业人员平均工资水平，</w:t>
      </w:r>
      <w:r>
        <w:rPr>
          <w:i/>
          <w:iCs/>
          <w:szCs w:val="21"/>
        </w:rPr>
        <w:t>House</w:t>
      </w:r>
      <w:r>
        <w:rPr>
          <w:i/>
          <w:iCs/>
          <w:szCs w:val="21"/>
          <w:vertAlign w:val="subscript"/>
        </w:rPr>
        <w:t>i</w:t>
      </w:r>
      <w:r>
        <w:rPr>
          <w:szCs w:val="21"/>
        </w:rPr>
        <w:t>、</w:t>
      </w:r>
      <w:r>
        <w:rPr>
          <w:i/>
          <w:iCs/>
          <w:szCs w:val="21"/>
        </w:rPr>
        <w:t>House</w:t>
      </w:r>
      <w:r>
        <w:rPr>
          <w:i/>
          <w:iCs/>
          <w:szCs w:val="21"/>
          <w:vertAlign w:val="subscript"/>
        </w:rPr>
        <w:t>j</w:t>
      </w:r>
      <w:r>
        <w:rPr>
          <w:szCs w:val="21"/>
        </w:rPr>
        <w:t>为</w:t>
      </w:r>
      <w:r>
        <w:rPr>
          <w:i/>
          <w:iCs/>
          <w:szCs w:val="21"/>
        </w:rPr>
        <w:t>i</w:t>
      </w:r>
      <w:r>
        <w:rPr>
          <w:szCs w:val="21"/>
        </w:rPr>
        <w:t>地区对于</w:t>
      </w:r>
      <w:r>
        <w:rPr>
          <w:i/>
          <w:iCs/>
          <w:szCs w:val="21"/>
        </w:rPr>
        <w:t>j</w:t>
      </w:r>
      <w:r>
        <w:rPr>
          <w:szCs w:val="21"/>
        </w:rPr>
        <w:t>地区的住宅平均销售价格。</w:t>
      </w:r>
      <w:r>
        <w:rPr>
          <w:i/>
          <w:iCs/>
          <w:szCs w:val="21"/>
        </w:rPr>
        <w:t>b</w:t>
      </w:r>
      <w:r>
        <w:rPr>
          <w:szCs w:val="21"/>
        </w:rPr>
        <w:t>为距离衰减系数</w:t>
      </w:r>
      <w:r>
        <w:rPr>
          <w:rStyle w:val="20"/>
          <w:szCs w:val="21"/>
        </w:rPr>
        <w:footnoteReference w:id="1"/>
      </w:r>
      <w:r>
        <w:rPr>
          <w:szCs w:val="21"/>
        </w:rPr>
        <w:t>，取值越大表示两个地区之间劳动力流量随着距离衰减的速度越快，本文取值2。此外，</w:t>
      </w:r>
      <w:r>
        <w:rPr>
          <w:i/>
          <w:iCs/>
          <w:szCs w:val="21"/>
        </w:rPr>
        <w:t>i</w:t>
      </w:r>
      <w:r>
        <w:rPr>
          <w:szCs w:val="21"/>
        </w:rPr>
        <w:t>地区在样本期内劳动力流动总量为</w:t>
      </w:r>
      <w:r>
        <w:rPr>
          <w:i/>
          <w:iCs/>
          <w:szCs w:val="21"/>
        </w:rPr>
        <w:t>LabFlow</w:t>
      </w:r>
      <w:r>
        <w:rPr>
          <w:i/>
          <w:iCs/>
          <w:szCs w:val="21"/>
          <w:vertAlign w:val="subscript"/>
        </w:rPr>
        <w:t>i</w:t>
      </w:r>
      <w:r>
        <w:rPr>
          <w:szCs w:val="21"/>
        </w:rPr>
        <w:t>，计算方法如式（26）所示。</w:t>
      </w:r>
    </w:p>
    <w:p>
      <w:pPr>
        <w:jc w:val="right"/>
        <w:rPr>
          <w:szCs w:val="21"/>
        </w:rPr>
      </w:pPr>
      <w:r>
        <w:rPr>
          <w:position w:val="-30"/>
          <w:szCs w:val="21"/>
        </w:rPr>
        <w:object>
          <v:shape id="_x0000_i1096" o:spt="75" type="#_x0000_t75" style="height:35.1pt;width:124.6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r>
        <w:rPr>
          <w:szCs w:val="21"/>
        </w:rPr>
        <w:t xml:space="preserve">                            （26）</w:t>
      </w:r>
    </w:p>
    <w:p>
      <w:pPr>
        <w:ind w:firstLine="420" w:firstLineChars="200"/>
        <w:rPr>
          <w:szCs w:val="21"/>
        </w:rPr>
      </w:pPr>
      <w:r>
        <w:rPr>
          <w:szCs w:val="21"/>
        </w:rPr>
        <w:t>通过以上分析可知，税收竞争程度越高，地区之间的经济发展不平衡程度越深。主流文献大多将其中的作用机制研究聚焦在资本要素流动上，而忽视了劳动力流动在其中发挥着重要作用。为了进一步验证劳动力流动机制是否成立，本文在表11中进行实证检验。</w:t>
      </w:r>
    </w:p>
    <w:p>
      <w:pPr>
        <w:spacing w:before="178" w:beforeLines="50"/>
        <w:jc w:val="center"/>
        <w:rPr>
          <w:szCs w:val="21"/>
        </w:rPr>
      </w:pPr>
      <w:r>
        <w:rPr>
          <w:rFonts w:eastAsia="楷体"/>
          <w:szCs w:val="21"/>
        </w:rPr>
        <w:t>表11  地方政府税收竞争对劳动力流动的直接影响机制检验</w:t>
      </w:r>
    </w:p>
    <w:tbl>
      <w:tblPr>
        <w:tblStyle w:val="14"/>
        <w:tblW w:w="5000" w:type="pct"/>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990"/>
        <w:gridCol w:w="1782"/>
        <w:gridCol w:w="1891"/>
        <w:gridCol w:w="1871"/>
        <w:gridCol w:w="1708"/>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Merge w:val="restart"/>
            <w:vAlign w:val="center"/>
          </w:tcPr>
          <w:p>
            <w:pPr>
              <w:jc w:val="center"/>
              <w:rPr>
                <w:szCs w:val="21"/>
              </w:rPr>
            </w:pPr>
            <w:r>
              <w:rPr>
                <w:szCs w:val="21"/>
              </w:rPr>
              <w:t>被解释变量</w:t>
            </w:r>
          </w:p>
          <w:p>
            <w:pPr>
              <w:jc w:val="center"/>
              <w:rPr>
                <w:i/>
                <w:iCs/>
                <w:szCs w:val="21"/>
              </w:rPr>
            </w:pPr>
            <w:r>
              <w:rPr>
                <w:i/>
                <w:iCs/>
                <w:szCs w:val="21"/>
              </w:rPr>
              <w:t>LabFlow</w:t>
            </w:r>
          </w:p>
        </w:tc>
        <w:tc>
          <w:tcPr>
            <w:tcW w:w="964" w:type="pct"/>
            <w:vAlign w:val="center"/>
          </w:tcPr>
          <w:p>
            <w:pPr>
              <w:jc w:val="center"/>
              <w:rPr>
                <w:szCs w:val="21"/>
              </w:rPr>
            </w:pPr>
            <w:r>
              <w:rPr>
                <w:kern w:val="0"/>
                <w:szCs w:val="21"/>
              </w:rPr>
              <w:t>(1)</w:t>
            </w:r>
          </w:p>
        </w:tc>
        <w:tc>
          <w:tcPr>
            <w:tcW w:w="1023" w:type="pct"/>
            <w:vAlign w:val="center"/>
          </w:tcPr>
          <w:p>
            <w:pPr>
              <w:jc w:val="center"/>
              <w:rPr>
                <w:szCs w:val="21"/>
              </w:rPr>
            </w:pPr>
            <w:r>
              <w:rPr>
                <w:kern w:val="0"/>
                <w:szCs w:val="21"/>
              </w:rPr>
              <w:t>(2)</w:t>
            </w:r>
          </w:p>
        </w:tc>
        <w:tc>
          <w:tcPr>
            <w:tcW w:w="1012" w:type="pct"/>
            <w:vAlign w:val="center"/>
          </w:tcPr>
          <w:p>
            <w:pPr>
              <w:jc w:val="center"/>
              <w:rPr>
                <w:szCs w:val="21"/>
              </w:rPr>
            </w:pPr>
            <w:r>
              <w:rPr>
                <w:kern w:val="0"/>
                <w:szCs w:val="21"/>
              </w:rPr>
              <w:t>(3)</w:t>
            </w:r>
          </w:p>
        </w:tc>
        <w:tc>
          <w:tcPr>
            <w:tcW w:w="924" w:type="pct"/>
            <w:vAlign w:val="center"/>
          </w:tcPr>
          <w:p>
            <w:pPr>
              <w:jc w:val="center"/>
              <w:rPr>
                <w:szCs w:val="21"/>
              </w:rPr>
            </w:pPr>
            <w:r>
              <w:rPr>
                <w:kern w:val="0"/>
                <w:szCs w:val="21"/>
              </w:rPr>
              <w:t>(4)</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Merge w:val="continue"/>
            <w:vAlign w:val="center"/>
          </w:tcPr>
          <w:p>
            <w:pPr>
              <w:jc w:val="center"/>
              <w:rPr>
                <w:i/>
                <w:iCs/>
                <w:szCs w:val="21"/>
              </w:rPr>
            </w:pPr>
          </w:p>
        </w:tc>
        <w:tc>
          <w:tcPr>
            <w:tcW w:w="964" w:type="pct"/>
            <w:vAlign w:val="center"/>
          </w:tcPr>
          <w:p>
            <w:pPr>
              <w:jc w:val="center"/>
              <w:rPr>
                <w:szCs w:val="21"/>
              </w:rPr>
            </w:pPr>
            <w:r>
              <w:rPr>
                <w:szCs w:val="21"/>
              </w:rPr>
              <w:t>全样本</w:t>
            </w:r>
          </w:p>
        </w:tc>
        <w:tc>
          <w:tcPr>
            <w:tcW w:w="1023" w:type="pct"/>
            <w:vAlign w:val="center"/>
          </w:tcPr>
          <w:p>
            <w:pPr>
              <w:jc w:val="center"/>
              <w:rPr>
                <w:szCs w:val="21"/>
              </w:rPr>
            </w:pPr>
            <w:r>
              <w:rPr>
                <w:szCs w:val="21"/>
              </w:rPr>
              <w:t>劳动力流入地</w:t>
            </w:r>
          </w:p>
        </w:tc>
        <w:tc>
          <w:tcPr>
            <w:tcW w:w="1012" w:type="pct"/>
            <w:vAlign w:val="center"/>
          </w:tcPr>
          <w:p>
            <w:pPr>
              <w:jc w:val="center"/>
              <w:rPr>
                <w:szCs w:val="21"/>
              </w:rPr>
            </w:pPr>
            <w:r>
              <w:rPr>
                <w:szCs w:val="21"/>
              </w:rPr>
              <w:t>劳动力流出地</w:t>
            </w:r>
          </w:p>
        </w:tc>
        <w:tc>
          <w:tcPr>
            <w:tcW w:w="924" w:type="pct"/>
            <w:vAlign w:val="center"/>
          </w:tcPr>
          <w:p>
            <w:pPr>
              <w:jc w:val="center"/>
              <w:rPr>
                <w:szCs w:val="21"/>
              </w:rPr>
            </w:pPr>
            <w:r>
              <w:rPr>
                <w:szCs w:val="21"/>
              </w:rPr>
              <w:t>城市群集聚</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000" w:type="pct"/>
            <w:gridSpan w:val="5"/>
            <w:vAlign w:val="center"/>
          </w:tcPr>
          <w:p>
            <w:pPr>
              <w:jc w:val="center"/>
              <w:rPr>
                <w:szCs w:val="21"/>
              </w:rPr>
            </w:pPr>
            <w:r>
              <w:rPr>
                <w:i/>
                <w:iCs/>
                <w:szCs w:val="21"/>
              </w:rPr>
              <w:t>Panel A</w:t>
            </w:r>
            <w:r>
              <w:rPr>
                <w:szCs w:val="21"/>
              </w:rPr>
              <w:t xml:space="preserve"> 总税收竞争</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77" w:type="pct"/>
            <w:vAlign w:val="center"/>
          </w:tcPr>
          <w:p>
            <w:pPr>
              <w:jc w:val="center"/>
              <w:rPr>
                <w:i/>
                <w:iCs/>
                <w:szCs w:val="21"/>
              </w:rPr>
            </w:pPr>
            <w:r>
              <w:rPr>
                <w:i/>
                <w:iCs/>
                <w:szCs w:val="21"/>
              </w:rPr>
              <w:t>Taxcom</w:t>
            </w:r>
          </w:p>
        </w:tc>
        <w:tc>
          <w:tcPr>
            <w:tcW w:w="964" w:type="pct"/>
            <w:vAlign w:val="center"/>
          </w:tcPr>
          <w:p>
            <w:pPr>
              <w:jc w:val="center"/>
              <w:rPr>
                <w:szCs w:val="21"/>
              </w:rPr>
            </w:pPr>
            <w:r>
              <w:rPr>
                <w:kern w:val="0"/>
                <w:szCs w:val="21"/>
              </w:rPr>
              <w:t>19.4725</w:t>
            </w:r>
            <w:r>
              <w:rPr>
                <w:kern w:val="0"/>
                <w:szCs w:val="21"/>
                <w:vertAlign w:val="superscript"/>
              </w:rPr>
              <w:t>*</w:t>
            </w:r>
          </w:p>
          <w:p>
            <w:pPr>
              <w:jc w:val="center"/>
              <w:rPr>
                <w:szCs w:val="21"/>
              </w:rPr>
            </w:pPr>
            <w:r>
              <w:rPr>
                <w:kern w:val="0"/>
                <w:szCs w:val="21"/>
              </w:rPr>
              <w:t>(10.3990)</w:t>
            </w:r>
          </w:p>
        </w:tc>
        <w:tc>
          <w:tcPr>
            <w:tcW w:w="1023" w:type="pct"/>
            <w:vAlign w:val="center"/>
          </w:tcPr>
          <w:p>
            <w:pPr>
              <w:jc w:val="center"/>
              <w:rPr>
                <w:szCs w:val="21"/>
              </w:rPr>
            </w:pPr>
            <w:r>
              <w:rPr>
                <w:kern w:val="0"/>
                <w:szCs w:val="21"/>
              </w:rPr>
              <w:t>45.7574</w:t>
            </w:r>
            <w:r>
              <w:rPr>
                <w:kern w:val="0"/>
                <w:szCs w:val="21"/>
                <w:vertAlign w:val="superscript"/>
              </w:rPr>
              <w:t>*</w:t>
            </w:r>
          </w:p>
          <w:p>
            <w:pPr>
              <w:jc w:val="center"/>
              <w:rPr>
                <w:szCs w:val="21"/>
              </w:rPr>
            </w:pPr>
            <w:r>
              <w:rPr>
                <w:kern w:val="0"/>
                <w:szCs w:val="21"/>
              </w:rPr>
              <w:t>(24.4185)</w:t>
            </w:r>
          </w:p>
        </w:tc>
        <w:tc>
          <w:tcPr>
            <w:tcW w:w="1012" w:type="pct"/>
            <w:vAlign w:val="center"/>
          </w:tcPr>
          <w:p>
            <w:pPr>
              <w:jc w:val="center"/>
              <w:rPr>
                <w:szCs w:val="21"/>
              </w:rPr>
            </w:pPr>
            <w:r>
              <w:rPr>
                <w:kern w:val="0"/>
                <w:szCs w:val="21"/>
              </w:rPr>
              <w:t>0.4362</w:t>
            </w:r>
          </w:p>
          <w:p>
            <w:pPr>
              <w:jc w:val="center"/>
              <w:rPr>
                <w:szCs w:val="21"/>
              </w:rPr>
            </w:pPr>
            <w:r>
              <w:rPr>
                <w:kern w:val="0"/>
                <w:szCs w:val="21"/>
              </w:rPr>
              <w:t>(0.2754)</w:t>
            </w:r>
          </w:p>
        </w:tc>
        <w:tc>
          <w:tcPr>
            <w:tcW w:w="924" w:type="pct"/>
            <w:vAlign w:val="center"/>
          </w:tcPr>
          <w:p>
            <w:pPr>
              <w:jc w:val="center"/>
              <w:rPr>
                <w:szCs w:val="21"/>
              </w:rPr>
            </w:pPr>
            <w:r>
              <w:rPr>
                <w:kern w:val="0"/>
                <w:szCs w:val="21"/>
              </w:rPr>
              <w:t>67.1959</w:t>
            </w:r>
            <w:r>
              <w:rPr>
                <w:kern w:val="0"/>
                <w:szCs w:val="21"/>
                <w:vertAlign w:val="superscript"/>
              </w:rPr>
              <w:t>**</w:t>
            </w:r>
          </w:p>
          <w:p>
            <w:pPr>
              <w:jc w:val="center"/>
              <w:rPr>
                <w:szCs w:val="21"/>
              </w:rPr>
            </w:pPr>
            <w:r>
              <w:rPr>
                <w:kern w:val="0"/>
                <w:szCs w:val="21"/>
              </w:rPr>
              <w:t>(31.6156)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i/>
                <w:iCs/>
                <w:szCs w:val="21"/>
              </w:rPr>
            </w:pPr>
            <w:r>
              <w:rPr>
                <w:i/>
                <w:iCs/>
                <w:szCs w:val="21"/>
              </w:rPr>
              <w:t>R</w:t>
            </w:r>
            <w:r>
              <w:rPr>
                <w:i/>
                <w:iCs/>
                <w:szCs w:val="21"/>
                <w:vertAlign w:val="superscript"/>
              </w:rPr>
              <w:t>2</w:t>
            </w:r>
          </w:p>
        </w:tc>
        <w:tc>
          <w:tcPr>
            <w:tcW w:w="964" w:type="pct"/>
            <w:vAlign w:val="center"/>
          </w:tcPr>
          <w:p>
            <w:pPr>
              <w:jc w:val="center"/>
              <w:rPr>
                <w:szCs w:val="21"/>
              </w:rPr>
            </w:pPr>
            <w:r>
              <w:rPr>
                <w:kern w:val="0"/>
                <w:szCs w:val="21"/>
              </w:rPr>
              <w:t>0.6634</w:t>
            </w:r>
          </w:p>
        </w:tc>
        <w:tc>
          <w:tcPr>
            <w:tcW w:w="1023" w:type="pct"/>
            <w:vAlign w:val="center"/>
          </w:tcPr>
          <w:p>
            <w:pPr>
              <w:jc w:val="center"/>
              <w:rPr>
                <w:szCs w:val="21"/>
              </w:rPr>
            </w:pPr>
            <w:r>
              <w:rPr>
                <w:kern w:val="0"/>
                <w:szCs w:val="21"/>
              </w:rPr>
              <w:t>0.6571</w:t>
            </w:r>
          </w:p>
        </w:tc>
        <w:tc>
          <w:tcPr>
            <w:tcW w:w="1012" w:type="pct"/>
            <w:vAlign w:val="center"/>
          </w:tcPr>
          <w:p>
            <w:pPr>
              <w:jc w:val="center"/>
              <w:rPr>
                <w:szCs w:val="21"/>
              </w:rPr>
            </w:pPr>
            <w:r>
              <w:rPr>
                <w:kern w:val="0"/>
                <w:szCs w:val="21"/>
              </w:rPr>
              <w:t>0.8927</w:t>
            </w:r>
          </w:p>
        </w:tc>
        <w:tc>
          <w:tcPr>
            <w:tcW w:w="924" w:type="pct"/>
            <w:vAlign w:val="center"/>
          </w:tcPr>
          <w:p>
            <w:pPr>
              <w:jc w:val="center"/>
              <w:rPr>
                <w:szCs w:val="21"/>
              </w:rPr>
            </w:pPr>
            <w:r>
              <w:rPr>
                <w:kern w:val="0"/>
                <w:szCs w:val="21"/>
              </w:rPr>
              <w:t>0.7107</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000" w:type="pct"/>
            <w:gridSpan w:val="5"/>
            <w:vAlign w:val="center"/>
          </w:tcPr>
          <w:p>
            <w:pPr>
              <w:jc w:val="center"/>
              <w:rPr>
                <w:szCs w:val="21"/>
              </w:rPr>
            </w:pPr>
            <w:r>
              <w:rPr>
                <w:i/>
                <w:iCs/>
                <w:szCs w:val="21"/>
              </w:rPr>
              <w:t xml:space="preserve">Panel B </w:t>
            </w:r>
            <w:r>
              <w:rPr>
                <w:szCs w:val="21"/>
              </w:rPr>
              <w:t>分税种竞争</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77" w:type="pct"/>
            <w:vAlign w:val="center"/>
          </w:tcPr>
          <w:p>
            <w:pPr>
              <w:jc w:val="center"/>
              <w:rPr>
                <w:i/>
                <w:iCs/>
                <w:szCs w:val="21"/>
              </w:rPr>
            </w:pPr>
            <w:r>
              <w:rPr>
                <w:i/>
                <w:iCs/>
                <w:szCs w:val="21"/>
              </w:rPr>
              <w:t>Taxcom VAT</w:t>
            </w:r>
          </w:p>
        </w:tc>
        <w:tc>
          <w:tcPr>
            <w:tcW w:w="964" w:type="pct"/>
            <w:vAlign w:val="center"/>
          </w:tcPr>
          <w:p>
            <w:pPr>
              <w:jc w:val="center"/>
              <w:rPr>
                <w:szCs w:val="21"/>
              </w:rPr>
            </w:pPr>
            <w:r>
              <w:rPr>
                <w:kern w:val="0"/>
                <w:szCs w:val="21"/>
              </w:rPr>
              <w:t>0.0116</w:t>
            </w:r>
          </w:p>
          <w:p>
            <w:pPr>
              <w:jc w:val="center"/>
              <w:rPr>
                <w:szCs w:val="21"/>
              </w:rPr>
            </w:pPr>
            <w:r>
              <w:rPr>
                <w:kern w:val="0"/>
                <w:szCs w:val="21"/>
              </w:rPr>
              <w:t>(0.0216)</w:t>
            </w:r>
          </w:p>
        </w:tc>
        <w:tc>
          <w:tcPr>
            <w:tcW w:w="1023" w:type="pct"/>
            <w:vAlign w:val="center"/>
          </w:tcPr>
          <w:p>
            <w:pPr>
              <w:jc w:val="center"/>
              <w:rPr>
                <w:szCs w:val="21"/>
              </w:rPr>
            </w:pPr>
            <w:r>
              <w:rPr>
                <w:kern w:val="0"/>
                <w:szCs w:val="21"/>
              </w:rPr>
              <w:t>0.0416</w:t>
            </w:r>
          </w:p>
          <w:p>
            <w:pPr>
              <w:jc w:val="center"/>
              <w:rPr>
                <w:szCs w:val="21"/>
              </w:rPr>
            </w:pPr>
            <w:r>
              <w:rPr>
                <w:kern w:val="0"/>
                <w:szCs w:val="21"/>
              </w:rPr>
              <w:t>(0.0294)</w:t>
            </w:r>
          </w:p>
        </w:tc>
        <w:tc>
          <w:tcPr>
            <w:tcW w:w="1012" w:type="pct"/>
            <w:vAlign w:val="center"/>
          </w:tcPr>
          <w:p>
            <w:pPr>
              <w:jc w:val="center"/>
              <w:rPr>
                <w:szCs w:val="21"/>
              </w:rPr>
            </w:pPr>
            <w:r>
              <w:rPr>
                <w:kern w:val="0"/>
                <w:szCs w:val="21"/>
              </w:rPr>
              <w:t>0.0004</w:t>
            </w:r>
          </w:p>
          <w:p>
            <w:pPr>
              <w:jc w:val="center"/>
              <w:rPr>
                <w:szCs w:val="21"/>
              </w:rPr>
            </w:pPr>
            <w:r>
              <w:rPr>
                <w:kern w:val="0"/>
                <w:szCs w:val="21"/>
              </w:rPr>
              <w:t>(0.0015)</w:t>
            </w:r>
          </w:p>
        </w:tc>
        <w:tc>
          <w:tcPr>
            <w:tcW w:w="924" w:type="pct"/>
            <w:vAlign w:val="center"/>
          </w:tcPr>
          <w:p>
            <w:pPr>
              <w:jc w:val="center"/>
              <w:rPr>
                <w:szCs w:val="21"/>
              </w:rPr>
            </w:pPr>
            <w:r>
              <w:rPr>
                <w:kern w:val="0"/>
                <w:szCs w:val="21"/>
              </w:rPr>
              <w:t>0.0860</w:t>
            </w:r>
            <w:r>
              <w:rPr>
                <w:kern w:val="0"/>
                <w:szCs w:val="21"/>
                <w:vertAlign w:val="superscript"/>
              </w:rPr>
              <w:t>**</w:t>
            </w:r>
          </w:p>
          <w:p>
            <w:pPr>
              <w:jc w:val="center"/>
              <w:rPr>
                <w:szCs w:val="21"/>
              </w:rPr>
            </w:pPr>
            <w:r>
              <w:rPr>
                <w:kern w:val="0"/>
                <w:szCs w:val="21"/>
              </w:rPr>
              <w:t>(0.0427)</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i/>
                <w:iCs/>
                <w:szCs w:val="21"/>
              </w:rPr>
            </w:pPr>
            <w:r>
              <w:rPr>
                <w:i/>
                <w:iCs/>
                <w:szCs w:val="21"/>
              </w:rPr>
              <w:t>R</w:t>
            </w:r>
            <w:r>
              <w:rPr>
                <w:i/>
                <w:iCs/>
                <w:szCs w:val="21"/>
                <w:vertAlign w:val="superscript"/>
              </w:rPr>
              <w:t>2</w:t>
            </w:r>
          </w:p>
        </w:tc>
        <w:tc>
          <w:tcPr>
            <w:tcW w:w="964" w:type="pct"/>
            <w:vAlign w:val="center"/>
          </w:tcPr>
          <w:p>
            <w:pPr>
              <w:jc w:val="center"/>
              <w:rPr>
                <w:kern w:val="0"/>
                <w:szCs w:val="21"/>
              </w:rPr>
            </w:pPr>
            <w:r>
              <w:rPr>
                <w:kern w:val="0"/>
                <w:szCs w:val="21"/>
              </w:rPr>
              <w:t>0.6629</w:t>
            </w:r>
          </w:p>
        </w:tc>
        <w:tc>
          <w:tcPr>
            <w:tcW w:w="1023" w:type="pct"/>
            <w:vAlign w:val="center"/>
          </w:tcPr>
          <w:p>
            <w:pPr>
              <w:jc w:val="center"/>
              <w:rPr>
                <w:kern w:val="0"/>
                <w:szCs w:val="21"/>
              </w:rPr>
            </w:pPr>
            <w:r>
              <w:rPr>
                <w:kern w:val="0"/>
                <w:szCs w:val="21"/>
              </w:rPr>
              <w:t>0.6548</w:t>
            </w:r>
          </w:p>
        </w:tc>
        <w:tc>
          <w:tcPr>
            <w:tcW w:w="1012" w:type="pct"/>
            <w:vAlign w:val="center"/>
          </w:tcPr>
          <w:p>
            <w:pPr>
              <w:jc w:val="center"/>
              <w:rPr>
                <w:kern w:val="0"/>
                <w:szCs w:val="21"/>
              </w:rPr>
            </w:pPr>
            <w:r>
              <w:rPr>
                <w:kern w:val="0"/>
                <w:szCs w:val="21"/>
              </w:rPr>
              <w:t>0.8924</w:t>
            </w:r>
          </w:p>
        </w:tc>
        <w:tc>
          <w:tcPr>
            <w:tcW w:w="924" w:type="pct"/>
            <w:vAlign w:val="center"/>
          </w:tcPr>
          <w:p>
            <w:pPr>
              <w:jc w:val="center"/>
              <w:rPr>
                <w:kern w:val="0"/>
                <w:szCs w:val="21"/>
              </w:rPr>
            </w:pPr>
            <w:r>
              <w:rPr>
                <w:kern w:val="0"/>
                <w:szCs w:val="21"/>
              </w:rPr>
              <w:t>0.7094</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77" w:type="pct"/>
            <w:vAlign w:val="center"/>
          </w:tcPr>
          <w:p>
            <w:pPr>
              <w:jc w:val="center"/>
              <w:rPr>
                <w:i/>
                <w:iCs/>
                <w:szCs w:val="21"/>
              </w:rPr>
            </w:pPr>
            <w:r>
              <w:rPr>
                <w:i/>
                <w:iCs/>
                <w:szCs w:val="21"/>
              </w:rPr>
              <w:t>Taxcom BT</w:t>
            </w:r>
          </w:p>
        </w:tc>
        <w:tc>
          <w:tcPr>
            <w:tcW w:w="964" w:type="pct"/>
            <w:vAlign w:val="center"/>
          </w:tcPr>
          <w:p>
            <w:pPr>
              <w:jc w:val="center"/>
              <w:rPr>
                <w:szCs w:val="21"/>
              </w:rPr>
            </w:pPr>
            <w:r>
              <w:rPr>
                <w:kern w:val="0"/>
                <w:szCs w:val="21"/>
              </w:rPr>
              <w:t>1.4099</w:t>
            </w:r>
            <w:r>
              <w:rPr>
                <w:kern w:val="0"/>
                <w:szCs w:val="21"/>
                <w:vertAlign w:val="superscript"/>
              </w:rPr>
              <w:t>**</w:t>
            </w:r>
          </w:p>
          <w:p>
            <w:pPr>
              <w:jc w:val="center"/>
              <w:rPr>
                <w:szCs w:val="21"/>
              </w:rPr>
            </w:pPr>
            <w:r>
              <w:rPr>
                <w:kern w:val="0"/>
                <w:szCs w:val="21"/>
              </w:rPr>
              <w:t>(0.5637)</w:t>
            </w:r>
          </w:p>
        </w:tc>
        <w:tc>
          <w:tcPr>
            <w:tcW w:w="1023" w:type="pct"/>
            <w:vAlign w:val="center"/>
          </w:tcPr>
          <w:p>
            <w:pPr>
              <w:jc w:val="center"/>
              <w:rPr>
                <w:szCs w:val="21"/>
              </w:rPr>
            </w:pPr>
            <w:r>
              <w:rPr>
                <w:kern w:val="0"/>
                <w:szCs w:val="21"/>
              </w:rPr>
              <w:t>2.8616</w:t>
            </w:r>
            <w:r>
              <w:rPr>
                <w:kern w:val="0"/>
                <w:szCs w:val="21"/>
                <w:vertAlign w:val="superscript"/>
              </w:rPr>
              <w:t>***</w:t>
            </w:r>
          </w:p>
          <w:p>
            <w:pPr>
              <w:jc w:val="center"/>
              <w:rPr>
                <w:szCs w:val="21"/>
              </w:rPr>
            </w:pPr>
            <w:r>
              <w:rPr>
                <w:kern w:val="0"/>
                <w:szCs w:val="21"/>
              </w:rPr>
              <w:t>(0.8388)</w:t>
            </w:r>
          </w:p>
        </w:tc>
        <w:tc>
          <w:tcPr>
            <w:tcW w:w="1012" w:type="pct"/>
            <w:vAlign w:val="center"/>
          </w:tcPr>
          <w:p>
            <w:pPr>
              <w:jc w:val="center"/>
              <w:rPr>
                <w:szCs w:val="21"/>
              </w:rPr>
            </w:pPr>
            <w:r>
              <w:rPr>
                <w:kern w:val="0"/>
                <w:szCs w:val="21"/>
              </w:rPr>
              <w:t>0.0232</w:t>
            </w:r>
            <w:r>
              <w:rPr>
                <w:kern w:val="0"/>
                <w:szCs w:val="21"/>
                <w:vertAlign w:val="superscript"/>
              </w:rPr>
              <w:t>*</w:t>
            </w:r>
          </w:p>
          <w:p>
            <w:pPr>
              <w:jc w:val="center"/>
              <w:rPr>
                <w:szCs w:val="21"/>
              </w:rPr>
            </w:pPr>
            <w:r>
              <w:rPr>
                <w:kern w:val="0"/>
                <w:szCs w:val="21"/>
              </w:rPr>
              <w:t>(0.0140)</w:t>
            </w:r>
          </w:p>
        </w:tc>
        <w:tc>
          <w:tcPr>
            <w:tcW w:w="924" w:type="pct"/>
            <w:vAlign w:val="center"/>
          </w:tcPr>
          <w:p>
            <w:pPr>
              <w:jc w:val="center"/>
              <w:rPr>
                <w:szCs w:val="21"/>
              </w:rPr>
            </w:pPr>
            <w:r>
              <w:rPr>
                <w:kern w:val="0"/>
                <w:szCs w:val="21"/>
              </w:rPr>
              <w:t>2.7441</w:t>
            </w:r>
            <w:r>
              <w:rPr>
                <w:kern w:val="0"/>
                <w:szCs w:val="21"/>
                <w:vertAlign w:val="superscript"/>
              </w:rPr>
              <w:t>***</w:t>
            </w:r>
          </w:p>
          <w:p>
            <w:pPr>
              <w:jc w:val="center"/>
              <w:rPr>
                <w:szCs w:val="21"/>
              </w:rPr>
            </w:pPr>
            <w:r>
              <w:rPr>
                <w:kern w:val="0"/>
                <w:szCs w:val="21"/>
              </w:rPr>
              <w:t>(0.6551)</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i/>
                <w:iCs/>
                <w:szCs w:val="21"/>
              </w:rPr>
            </w:pPr>
            <w:r>
              <w:rPr>
                <w:i/>
                <w:iCs/>
                <w:szCs w:val="21"/>
              </w:rPr>
              <w:t>R</w:t>
            </w:r>
            <w:r>
              <w:rPr>
                <w:i/>
                <w:iCs/>
                <w:szCs w:val="21"/>
                <w:vertAlign w:val="superscript"/>
              </w:rPr>
              <w:t>2</w:t>
            </w:r>
          </w:p>
        </w:tc>
        <w:tc>
          <w:tcPr>
            <w:tcW w:w="964" w:type="pct"/>
            <w:vAlign w:val="center"/>
          </w:tcPr>
          <w:p>
            <w:pPr>
              <w:jc w:val="center"/>
              <w:rPr>
                <w:kern w:val="0"/>
                <w:szCs w:val="21"/>
              </w:rPr>
            </w:pPr>
            <w:r>
              <w:rPr>
                <w:kern w:val="0"/>
                <w:szCs w:val="21"/>
              </w:rPr>
              <w:t>0.6650</w:t>
            </w:r>
          </w:p>
        </w:tc>
        <w:tc>
          <w:tcPr>
            <w:tcW w:w="1023" w:type="pct"/>
            <w:vAlign w:val="center"/>
          </w:tcPr>
          <w:p>
            <w:pPr>
              <w:jc w:val="center"/>
              <w:rPr>
                <w:szCs w:val="21"/>
              </w:rPr>
            </w:pPr>
            <w:r>
              <w:rPr>
                <w:kern w:val="0"/>
                <w:szCs w:val="21"/>
              </w:rPr>
              <w:t>0.6588</w:t>
            </w:r>
          </w:p>
        </w:tc>
        <w:tc>
          <w:tcPr>
            <w:tcW w:w="1012" w:type="pct"/>
            <w:vAlign w:val="center"/>
          </w:tcPr>
          <w:p>
            <w:pPr>
              <w:jc w:val="center"/>
              <w:rPr>
                <w:szCs w:val="21"/>
              </w:rPr>
            </w:pPr>
            <w:r>
              <w:rPr>
                <w:kern w:val="0"/>
                <w:szCs w:val="21"/>
              </w:rPr>
              <w:t>0.8926</w:t>
            </w:r>
          </w:p>
        </w:tc>
        <w:tc>
          <w:tcPr>
            <w:tcW w:w="924" w:type="pct"/>
            <w:vAlign w:val="center"/>
          </w:tcPr>
          <w:p>
            <w:pPr>
              <w:jc w:val="center"/>
              <w:rPr>
                <w:szCs w:val="21"/>
              </w:rPr>
            </w:pPr>
            <w:r>
              <w:rPr>
                <w:kern w:val="0"/>
                <w:szCs w:val="21"/>
              </w:rPr>
              <w:t>0.7120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77" w:type="pct"/>
            <w:vAlign w:val="center"/>
          </w:tcPr>
          <w:p>
            <w:pPr>
              <w:jc w:val="center"/>
              <w:rPr>
                <w:i/>
                <w:iCs/>
                <w:szCs w:val="21"/>
              </w:rPr>
            </w:pPr>
            <w:r>
              <w:rPr>
                <w:i/>
                <w:iCs/>
                <w:szCs w:val="21"/>
              </w:rPr>
              <w:t>Taxcom CIT</w:t>
            </w:r>
          </w:p>
        </w:tc>
        <w:tc>
          <w:tcPr>
            <w:tcW w:w="964" w:type="pct"/>
            <w:vAlign w:val="center"/>
          </w:tcPr>
          <w:p>
            <w:pPr>
              <w:jc w:val="center"/>
              <w:rPr>
                <w:szCs w:val="21"/>
              </w:rPr>
            </w:pPr>
            <w:r>
              <w:rPr>
                <w:kern w:val="0"/>
                <w:szCs w:val="21"/>
              </w:rPr>
              <w:t>2.5569</w:t>
            </w:r>
            <w:r>
              <w:rPr>
                <w:kern w:val="0"/>
                <w:szCs w:val="21"/>
                <w:vertAlign w:val="superscript"/>
              </w:rPr>
              <w:t>***</w:t>
            </w:r>
          </w:p>
          <w:p>
            <w:pPr>
              <w:jc w:val="center"/>
              <w:rPr>
                <w:szCs w:val="21"/>
              </w:rPr>
            </w:pPr>
            <w:r>
              <w:rPr>
                <w:kern w:val="0"/>
                <w:szCs w:val="21"/>
              </w:rPr>
              <w:t>(0.8435)</w:t>
            </w:r>
          </w:p>
        </w:tc>
        <w:tc>
          <w:tcPr>
            <w:tcW w:w="1023" w:type="pct"/>
            <w:vAlign w:val="center"/>
          </w:tcPr>
          <w:p>
            <w:pPr>
              <w:jc w:val="center"/>
              <w:rPr>
                <w:szCs w:val="21"/>
              </w:rPr>
            </w:pPr>
            <w:r>
              <w:rPr>
                <w:kern w:val="0"/>
                <w:szCs w:val="21"/>
              </w:rPr>
              <w:t>2.9121</w:t>
            </w:r>
            <w:r>
              <w:rPr>
                <w:kern w:val="0"/>
                <w:szCs w:val="21"/>
                <w:vertAlign w:val="superscript"/>
              </w:rPr>
              <w:t>**</w:t>
            </w:r>
          </w:p>
          <w:p>
            <w:pPr>
              <w:jc w:val="center"/>
              <w:rPr>
                <w:szCs w:val="21"/>
              </w:rPr>
            </w:pPr>
            <w:r>
              <w:rPr>
                <w:kern w:val="0"/>
                <w:szCs w:val="21"/>
              </w:rPr>
              <w:t>(1.4381)</w:t>
            </w:r>
          </w:p>
        </w:tc>
        <w:tc>
          <w:tcPr>
            <w:tcW w:w="1012" w:type="pct"/>
            <w:vAlign w:val="center"/>
          </w:tcPr>
          <w:p>
            <w:pPr>
              <w:jc w:val="center"/>
              <w:rPr>
                <w:szCs w:val="21"/>
              </w:rPr>
            </w:pPr>
            <w:r>
              <w:rPr>
                <w:kern w:val="0"/>
                <w:szCs w:val="21"/>
              </w:rPr>
              <w:t>0.2425</w:t>
            </w:r>
            <w:r>
              <w:rPr>
                <w:kern w:val="0"/>
                <w:szCs w:val="21"/>
                <w:vertAlign w:val="superscript"/>
              </w:rPr>
              <w:t>***</w:t>
            </w:r>
          </w:p>
          <w:p>
            <w:pPr>
              <w:jc w:val="center"/>
              <w:rPr>
                <w:szCs w:val="21"/>
              </w:rPr>
            </w:pPr>
            <w:r>
              <w:rPr>
                <w:kern w:val="0"/>
                <w:szCs w:val="21"/>
              </w:rPr>
              <w:t>(0.0850)</w:t>
            </w:r>
          </w:p>
        </w:tc>
        <w:tc>
          <w:tcPr>
            <w:tcW w:w="924" w:type="pct"/>
            <w:vAlign w:val="center"/>
          </w:tcPr>
          <w:p>
            <w:pPr>
              <w:jc w:val="center"/>
              <w:rPr>
                <w:szCs w:val="21"/>
              </w:rPr>
            </w:pPr>
            <w:r>
              <w:rPr>
                <w:kern w:val="0"/>
                <w:szCs w:val="21"/>
              </w:rPr>
              <w:t>3.3279</w:t>
            </w:r>
            <w:r>
              <w:rPr>
                <w:kern w:val="0"/>
                <w:szCs w:val="21"/>
                <w:vertAlign w:val="superscript"/>
              </w:rPr>
              <w:t>**</w:t>
            </w:r>
          </w:p>
          <w:p>
            <w:pPr>
              <w:jc w:val="center"/>
              <w:rPr>
                <w:szCs w:val="21"/>
              </w:rPr>
            </w:pPr>
            <w:r>
              <w:rPr>
                <w:kern w:val="0"/>
                <w:szCs w:val="21"/>
              </w:rPr>
              <w:t>(1.5139)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i/>
                <w:iCs/>
                <w:szCs w:val="21"/>
              </w:rPr>
            </w:pPr>
            <w:r>
              <w:rPr>
                <w:i/>
                <w:iCs/>
                <w:szCs w:val="21"/>
              </w:rPr>
              <w:t>R</w:t>
            </w:r>
            <w:r>
              <w:rPr>
                <w:i/>
                <w:iCs/>
                <w:szCs w:val="21"/>
                <w:vertAlign w:val="superscript"/>
              </w:rPr>
              <w:t>2</w:t>
            </w:r>
          </w:p>
        </w:tc>
        <w:tc>
          <w:tcPr>
            <w:tcW w:w="964" w:type="pct"/>
            <w:vAlign w:val="center"/>
          </w:tcPr>
          <w:p>
            <w:pPr>
              <w:jc w:val="center"/>
              <w:rPr>
                <w:kern w:val="0"/>
                <w:szCs w:val="21"/>
              </w:rPr>
            </w:pPr>
            <w:r>
              <w:rPr>
                <w:kern w:val="0"/>
                <w:szCs w:val="21"/>
              </w:rPr>
              <w:t>0.8800</w:t>
            </w:r>
          </w:p>
        </w:tc>
        <w:tc>
          <w:tcPr>
            <w:tcW w:w="1023" w:type="pct"/>
            <w:vAlign w:val="center"/>
          </w:tcPr>
          <w:p>
            <w:pPr>
              <w:jc w:val="center"/>
              <w:rPr>
                <w:szCs w:val="21"/>
              </w:rPr>
            </w:pPr>
            <w:r>
              <w:rPr>
                <w:kern w:val="0"/>
                <w:szCs w:val="21"/>
              </w:rPr>
              <w:t>0.8909</w:t>
            </w:r>
          </w:p>
        </w:tc>
        <w:tc>
          <w:tcPr>
            <w:tcW w:w="1012" w:type="pct"/>
            <w:vAlign w:val="center"/>
          </w:tcPr>
          <w:p>
            <w:pPr>
              <w:jc w:val="center"/>
              <w:rPr>
                <w:szCs w:val="21"/>
              </w:rPr>
            </w:pPr>
            <w:r>
              <w:rPr>
                <w:kern w:val="0"/>
                <w:szCs w:val="21"/>
              </w:rPr>
              <w:t>0.8942</w:t>
            </w:r>
          </w:p>
        </w:tc>
        <w:tc>
          <w:tcPr>
            <w:tcW w:w="924" w:type="pct"/>
            <w:vAlign w:val="center"/>
          </w:tcPr>
          <w:p>
            <w:pPr>
              <w:jc w:val="center"/>
              <w:rPr>
                <w:szCs w:val="21"/>
              </w:rPr>
            </w:pPr>
            <w:r>
              <w:rPr>
                <w:kern w:val="0"/>
                <w:szCs w:val="21"/>
              </w:rPr>
              <w:t>0.9477</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77" w:type="pct"/>
            <w:vAlign w:val="center"/>
          </w:tcPr>
          <w:p>
            <w:pPr>
              <w:jc w:val="center"/>
              <w:rPr>
                <w:i/>
                <w:iCs/>
                <w:szCs w:val="21"/>
              </w:rPr>
            </w:pPr>
            <w:r>
              <w:rPr>
                <w:i/>
                <w:iCs/>
                <w:szCs w:val="21"/>
              </w:rPr>
              <w:t>Taxcom PT</w:t>
            </w:r>
          </w:p>
        </w:tc>
        <w:tc>
          <w:tcPr>
            <w:tcW w:w="964" w:type="pct"/>
            <w:vAlign w:val="center"/>
          </w:tcPr>
          <w:p>
            <w:pPr>
              <w:jc w:val="center"/>
              <w:rPr>
                <w:szCs w:val="21"/>
              </w:rPr>
            </w:pPr>
            <w:r>
              <w:rPr>
                <w:kern w:val="0"/>
                <w:szCs w:val="21"/>
              </w:rPr>
              <w:t>1.5530</w:t>
            </w:r>
            <w:r>
              <w:rPr>
                <w:kern w:val="0"/>
                <w:szCs w:val="21"/>
                <w:vertAlign w:val="superscript"/>
              </w:rPr>
              <w:t>***</w:t>
            </w:r>
          </w:p>
          <w:p>
            <w:pPr>
              <w:jc w:val="center"/>
              <w:rPr>
                <w:szCs w:val="21"/>
              </w:rPr>
            </w:pPr>
            <w:r>
              <w:rPr>
                <w:kern w:val="0"/>
                <w:szCs w:val="21"/>
              </w:rPr>
              <w:t>(0.5914)</w:t>
            </w:r>
          </w:p>
        </w:tc>
        <w:tc>
          <w:tcPr>
            <w:tcW w:w="1023" w:type="pct"/>
            <w:vAlign w:val="center"/>
          </w:tcPr>
          <w:p>
            <w:pPr>
              <w:jc w:val="center"/>
              <w:rPr>
                <w:szCs w:val="21"/>
              </w:rPr>
            </w:pPr>
            <w:r>
              <w:rPr>
                <w:kern w:val="0"/>
                <w:szCs w:val="21"/>
              </w:rPr>
              <w:t>1.6361</w:t>
            </w:r>
            <w:r>
              <w:rPr>
                <w:kern w:val="0"/>
                <w:szCs w:val="21"/>
                <w:vertAlign w:val="superscript"/>
              </w:rPr>
              <w:t>*</w:t>
            </w:r>
          </w:p>
          <w:p>
            <w:pPr>
              <w:jc w:val="center"/>
              <w:rPr>
                <w:szCs w:val="21"/>
              </w:rPr>
            </w:pPr>
            <w:r>
              <w:rPr>
                <w:kern w:val="0"/>
                <w:szCs w:val="21"/>
              </w:rPr>
              <w:t>(0.9299)</w:t>
            </w:r>
          </w:p>
        </w:tc>
        <w:tc>
          <w:tcPr>
            <w:tcW w:w="1012" w:type="pct"/>
            <w:vAlign w:val="center"/>
          </w:tcPr>
          <w:p>
            <w:pPr>
              <w:jc w:val="center"/>
              <w:rPr>
                <w:szCs w:val="21"/>
              </w:rPr>
            </w:pPr>
            <w:r>
              <w:rPr>
                <w:kern w:val="0"/>
                <w:szCs w:val="21"/>
              </w:rPr>
              <w:t>0.1103</w:t>
            </w:r>
          </w:p>
          <w:p>
            <w:pPr>
              <w:jc w:val="center"/>
              <w:rPr>
                <w:szCs w:val="21"/>
              </w:rPr>
            </w:pPr>
            <w:r>
              <w:rPr>
                <w:kern w:val="0"/>
                <w:szCs w:val="21"/>
              </w:rPr>
              <w:t>(0.1023)</w:t>
            </w:r>
          </w:p>
        </w:tc>
        <w:tc>
          <w:tcPr>
            <w:tcW w:w="924" w:type="pct"/>
            <w:vAlign w:val="center"/>
          </w:tcPr>
          <w:p>
            <w:pPr>
              <w:jc w:val="center"/>
              <w:rPr>
                <w:szCs w:val="21"/>
              </w:rPr>
            </w:pPr>
            <w:r>
              <w:rPr>
                <w:kern w:val="0"/>
                <w:szCs w:val="21"/>
              </w:rPr>
              <w:t>0.6436</w:t>
            </w:r>
          </w:p>
          <w:p>
            <w:pPr>
              <w:jc w:val="center"/>
              <w:rPr>
                <w:szCs w:val="21"/>
              </w:rPr>
            </w:pPr>
            <w:r>
              <w:rPr>
                <w:kern w:val="0"/>
                <w:szCs w:val="21"/>
              </w:rPr>
              <w:t>(0.7094)</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i/>
                <w:iCs/>
                <w:szCs w:val="21"/>
              </w:rPr>
            </w:pPr>
            <w:r>
              <w:rPr>
                <w:i/>
                <w:iCs/>
                <w:szCs w:val="21"/>
              </w:rPr>
              <w:t>R</w:t>
            </w:r>
            <w:r>
              <w:rPr>
                <w:i/>
                <w:iCs/>
                <w:szCs w:val="21"/>
                <w:vertAlign w:val="superscript"/>
              </w:rPr>
              <w:t>2</w:t>
            </w:r>
          </w:p>
        </w:tc>
        <w:tc>
          <w:tcPr>
            <w:tcW w:w="964" w:type="pct"/>
            <w:vAlign w:val="center"/>
          </w:tcPr>
          <w:p>
            <w:pPr>
              <w:jc w:val="center"/>
              <w:rPr>
                <w:szCs w:val="21"/>
              </w:rPr>
            </w:pPr>
            <w:r>
              <w:rPr>
                <w:kern w:val="0"/>
                <w:szCs w:val="21"/>
              </w:rPr>
              <w:t>0.8796</w:t>
            </w:r>
          </w:p>
        </w:tc>
        <w:tc>
          <w:tcPr>
            <w:tcW w:w="1023" w:type="pct"/>
            <w:vAlign w:val="center"/>
          </w:tcPr>
          <w:p>
            <w:pPr>
              <w:jc w:val="center"/>
              <w:rPr>
                <w:szCs w:val="21"/>
              </w:rPr>
            </w:pPr>
            <w:r>
              <w:rPr>
                <w:kern w:val="0"/>
                <w:szCs w:val="21"/>
              </w:rPr>
              <w:t>0.8905</w:t>
            </w:r>
          </w:p>
        </w:tc>
        <w:tc>
          <w:tcPr>
            <w:tcW w:w="1012" w:type="pct"/>
            <w:vAlign w:val="center"/>
          </w:tcPr>
          <w:p>
            <w:pPr>
              <w:jc w:val="center"/>
              <w:rPr>
                <w:szCs w:val="21"/>
              </w:rPr>
            </w:pPr>
            <w:r>
              <w:rPr>
                <w:kern w:val="0"/>
                <w:szCs w:val="21"/>
              </w:rPr>
              <w:t>0.8930</w:t>
            </w:r>
          </w:p>
        </w:tc>
        <w:tc>
          <w:tcPr>
            <w:tcW w:w="924" w:type="pct"/>
            <w:vAlign w:val="center"/>
          </w:tcPr>
          <w:p>
            <w:pPr>
              <w:jc w:val="center"/>
              <w:rPr>
                <w:kern w:val="0"/>
                <w:szCs w:val="21"/>
              </w:rPr>
            </w:pPr>
            <w:r>
              <w:rPr>
                <w:kern w:val="0"/>
                <w:szCs w:val="21"/>
              </w:rPr>
              <w:t>0.9468</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i/>
                <w:iCs/>
                <w:szCs w:val="21"/>
              </w:rPr>
            </w:pPr>
            <w:r>
              <w:rPr>
                <w:szCs w:val="21"/>
              </w:rPr>
              <w:t>控制变量</w:t>
            </w:r>
          </w:p>
        </w:tc>
        <w:tc>
          <w:tcPr>
            <w:tcW w:w="964" w:type="pct"/>
            <w:vAlign w:val="center"/>
          </w:tcPr>
          <w:p>
            <w:pPr>
              <w:jc w:val="center"/>
              <w:rPr>
                <w:kern w:val="0"/>
                <w:szCs w:val="21"/>
              </w:rPr>
            </w:pPr>
            <w:r>
              <w:rPr>
                <w:szCs w:val="21"/>
              </w:rPr>
              <w:t>Yes</w:t>
            </w:r>
          </w:p>
        </w:tc>
        <w:tc>
          <w:tcPr>
            <w:tcW w:w="1023" w:type="pct"/>
            <w:vAlign w:val="center"/>
          </w:tcPr>
          <w:p>
            <w:pPr>
              <w:jc w:val="center"/>
              <w:rPr>
                <w:kern w:val="0"/>
                <w:szCs w:val="21"/>
              </w:rPr>
            </w:pPr>
            <w:r>
              <w:rPr>
                <w:szCs w:val="21"/>
              </w:rPr>
              <w:t>Yes</w:t>
            </w:r>
          </w:p>
        </w:tc>
        <w:tc>
          <w:tcPr>
            <w:tcW w:w="1012" w:type="pct"/>
            <w:vAlign w:val="center"/>
          </w:tcPr>
          <w:p>
            <w:pPr>
              <w:jc w:val="center"/>
              <w:rPr>
                <w:kern w:val="0"/>
                <w:szCs w:val="21"/>
              </w:rPr>
            </w:pPr>
            <w:r>
              <w:rPr>
                <w:szCs w:val="21"/>
              </w:rPr>
              <w:t>Yes</w:t>
            </w:r>
          </w:p>
        </w:tc>
        <w:tc>
          <w:tcPr>
            <w:tcW w:w="924" w:type="pct"/>
            <w:vAlign w:val="center"/>
          </w:tcPr>
          <w:p>
            <w:pPr>
              <w:jc w:val="center"/>
              <w:rPr>
                <w:kern w:val="0"/>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szCs w:val="21"/>
              </w:rPr>
            </w:pPr>
            <w:r>
              <w:rPr>
                <w:szCs w:val="21"/>
              </w:rPr>
              <w:t>城市固定效应</w:t>
            </w:r>
          </w:p>
        </w:tc>
        <w:tc>
          <w:tcPr>
            <w:tcW w:w="964" w:type="pct"/>
            <w:vAlign w:val="center"/>
          </w:tcPr>
          <w:p>
            <w:pPr>
              <w:jc w:val="center"/>
              <w:rPr>
                <w:szCs w:val="21"/>
              </w:rPr>
            </w:pPr>
            <w:r>
              <w:rPr>
                <w:szCs w:val="21"/>
              </w:rPr>
              <w:t>Yes</w:t>
            </w:r>
          </w:p>
        </w:tc>
        <w:tc>
          <w:tcPr>
            <w:tcW w:w="1023" w:type="pct"/>
            <w:vAlign w:val="center"/>
          </w:tcPr>
          <w:p>
            <w:pPr>
              <w:jc w:val="center"/>
              <w:rPr>
                <w:szCs w:val="21"/>
              </w:rPr>
            </w:pPr>
            <w:r>
              <w:rPr>
                <w:szCs w:val="21"/>
              </w:rPr>
              <w:t>Yes</w:t>
            </w:r>
          </w:p>
        </w:tc>
        <w:tc>
          <w:tcPr>
            <w:tcW w:w="1012" w:type="pct"/>
            <w:vAlign w:val="center"/>
          </w:tcPr>
          <w:p>
            <w:pPr>
              <w:jc w:val="center"/>
              <w:rPr>
                <w:szCs w:val="21"/>
              </w:rPr>
            </w:pPr>
            <w:r>
              <w:rPr>
                <w:szCs w:val="21"/>
              </w:rPr>
              <w:t>Yes</w:t>
            </w:r>
          </w:p>
        </w:tc>
        <w:tc>
          <w:tcPr>
            <w:tcW w:w="924"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szCs w:val="21"/>
              </w:rPr>
            </w:pPr>
            <w:r>
              <w:rPr>
                <w:szCs w:val="21"/>
              </w:rPr>
              <w:t>时间固定效应</w:t>
            </w:r>
          </w:p>
        </w:tc>
        <w:tc>
          <w:tcPr>
            <w:tcW w:w="964" w:type="pct"/>
            <w:vAlign w:val="center"/>
          </w:tcPr>
          <w:p>
            <w:pPr>
              <w:jc w:val="center"/>
              <w:rPr>
                <w:szCs w:val="21"/>
              </w:rPr>
            </w:pPr>
            <w:r>
              <w:rPr>
                <w:szCs w:val="21"/>
              </w:rPr>
              <w:t>Yes</w:t>
            </w:r>
          </w:p>
        </w:tc>
        <w:tc>
          <w:tcPr>
            <w:tcW w:w="1023" w:type="pct"/>
            <w:vAlign w:val="center"/>
          </w:tcPr>
          <w:p>
            <w:pPr>
              <w:jc w:val="center"/>
              <w:rPr>
                <w:szCs w:val="21"/>
              </w:rPr>
            </w:pPr>
            <w:r>
              <w:rPr>
                <w:szCs w:val="21"/>
              </w:rPr>
              <w:t>Yes</w:t>
            </w:r>
          </w:p>
        </w:tc>
        <w:tc>
          <w:tcPr>
            <w:tcW w:w="1012" w:type="pct"/>
            <w:vAlign w:val="center"/>
          </w:tcPr>
          <w:p>
            <w:pPr>
              <w:jc w:val="center"/>
              <w:rPr>
                <w:szCs w:val="21"/>
              </w:rPr>
            </w:pPr>
            <w:r>
              <w:rPr>
                <w:szCs w:val="21"/>
              </w:rPr>
              <w:t>Yes</w:t>
            </w:r>
          </w:p>
        </w:tc>
        <w:tc>
          <w:tcPr>
            <w:tcW w:w="924" w:type="pct"/>
            <w:vAlign w:val="center"/>
          </w:tcPr>
          <w:p>
            <w:pPr>
              <w:jc w:val="center"/>
              <w:rPr>
                <w:szCs w:val="21"/>
              </w:rPr>
            </w:pPr>
            <w:r>
              <w:rPr>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077" w:type="pct"/>
            <w:vAlign w:val="center"/>
          </w:tcPr>
          <w:p>
            <w:pPr>
              <w:jc w:val="center"/>
              <w:rPr>
                <w:szCs w:val="21"/>
              </w:rPr>
            </w:pPr>
            <w:r>
              <w:rPr>
                <w:i/>
                <w:iCs/>
                <w:szCs w:val="21"/>
              </w:rPr>
              <w:t>N</w:t>
            </w:r>
          </w:p>
        </w:tc>
        <w:tc>
          <w:tcPr>
            <w:tcW w:w="964" w:type="pct"/>
            <w:vAlign w:val="center"/>
          </w:tcPr>
          <w:p>
            <w:pPr>
              <w:jc w:val="center"/>
              <w:rPr>
                <w:szCs w:val="21"/>
              </w:rPr>
            </w:pPr>
            <w:r>
              <w:rPr>
                <w:kern w:val="0"/>
                <w:szCs w:val="21"/>
              </w:rPr>
              <w:t>4641</w:t>
            </w:r>
          </w:p>
        </w:tc>
        <w:tc>
          <w:tcPr>
            <w:tcW w:w="1023" w:type="pct"/>
            <w:vAlign w:val="center"/>
          </w:tcPr>
          <w:p>
            <w:pPr>
              <w:jc w:val="center"/>
              <w:rPr>
                <w:szCs w:val="21"/>
              </w:rPr>
            </w:pPr>
            <w:r>
              <w:rPr>
                <w:kern w:val="0"/>
                <w:szCs w:val="21"/>
              </w:rPr>
              <w:t>1777</w:t>
            </w:r>
          </w:p>
        </w:tc>
        <w:tc>
          <w:tcPr>
            <w:tcW w:w="1012" w:type="pct"/>
            <w:vAlign w:val="center"/>
          </w:tcPr>
          <w:p>
            <w:pPr>
              <w:jc w:val="center"/>
              <w:rPr>
                <w:szCs w:val="21"/>
              </w:rPr>
            </w:pPr>
            <w:r>
              <w:rPr>
                <w:kern w:val="0"/>
                <w:szCs w:val="21"/>
              </w:rPr>
              <w:t>2767</w:t>
            </w:r>
          </w:p>
        </w:tc>
        <w:tc>
          <w:tcPr>
            <w:tcW w:w="924" w:type="pct"/>
            <w:vAlign w:val="center"/>
          </w:tcPr>
          <w:p>
            <w:pPr>
              <w:jc w:val="center"/>
              <w:rPr>
                <w:szCs w:val="21"/>
              </w:rPr>
            </w:pPr>
            <w:r>
              <w:rPr>
                <w:kern w:val="0"/>
                <w:szCs w:val="21"/>
              </w:rPr>
              <w:t>1241</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注：各变量括号内采用城市层面聚类稳健标准误；*、**和***分别表示在10%、5%和1%的置信水平下显著。</w:t>
      </w:r>
    </w:p>
    <w:p>
      <w:pPr>
        <w:ind w:firstLine="420" w:firstLineChars="200"/>
        <w:rPr>
          <w:szCs w:val="21"/>
        </w:rPr>
      </w:pPr>
      <w:r>
        <w:rPr>
          <w:szCs w:val="21"/>
        </w:rPr>
        <w:t>在</w:t>
      </w:r>
      <w:r>
        <w:rPr>
          <w:i/>
          <w:iCs/>
          <w:szCs w:val="21"/>
        </w:rPr>
        <w:t>Panel A</w:t>
      </w:r>
      <w:r>
        <w:rPr>
          <w:szCs w:val="21"/>
        </w:rPr>
        <w:t>中，本文首先在第（1）列中考察了税收竞争对于劳动力流动的整体影响，在控制了一系列城市特征和时空固定效应的基础上，税收竞争系数在10%的置信区间内显著为正，说明随着地区间税收竞争程度提高能显著促进劳动力的跨区域流动。随后在第（2）和（3）列进一步检验税收竞争对于劳动力流入地和流出地的差异化作用，结果表明，税收竞争强化了劳动力流入地的流动程度，在劳动力流出地的作用效果不显著，而劳动力流入地往往是税收优惠政策力度和减税幅度较大的发达地区。为了在竞争中“脱颖而出”，这些地区通过制度税收优惠、财政返还等措施实现对投资的有效刺激，而这些的投资类型不仅包括企业的入驻，还吸引私人投资的增加，资本的流入进一步带来的是劳动力的流动。随着投资项目的落地，相关工作人员、技术人员、管理人员等不同技能的劳动力都会流入该地区。此外，劳动力密集型产业的入驻同样会带动廉价劳动力的流入。然而事实上，采取减税激励措施的税收竞争可能并不会带来实际税收收入的减少，反而要素的流入进一步汇集了税源和税基，更能有效地扩大经济产出。与此同时，税收竞争对于地区经济发展不平衡的作用机制除了通过劳动力流动改变要素配置情况，还通过集聚效应产生影响。根据新经济地理税收竞争理论，随着经济一体化过程的发展，城市群的出现使得要素在空间上产生明显的集聚效应，由此产生的“集聚租金”可以有效地降低税收竞争带来的效率损失（Andersson &amp; Forslid，2003；蒲艳萍、成肖，2017；龚锋等，2021）。因此，处于“城市群”的地区税收政策更为宽松、税源更广，这些地区政府可以根据本地区的就业水平和人力资源需求情况出台更具有针对性的财税政策，通过运用税收杠杆来降低个人实际税负、提供税收优惠条件等，直接作用于劳动力要素，成为引导劳动力流动的重要手段。为了验证这一机制，在第（4）列中本文考察了城市群集聚效应下，税收竞争对于劳动力流动的作用机制，本文界定的城市群为长三角、珠三角、京津冀和成渝城市群。回归结果表明，在集聚效应下，税收竞争对于劳动力流动的作用效果显著提升。</w:t>
      </w:r>
    </w:p>
    <w:p>
      <w:pPr>
        <w:ind w:firstLine="420" w:firstLineChars="200"/>
      </w:pPr>
      <w:r>
        <w:rPr>
          <w:szCs w:val="21"/>
        </w:rPr>
        <w:t>在</w:t>
      </w:r>
      <w:r>
        <w:rPr>
          <w:i/>
          <w:iCs/>
          <w:szCs w:val="21"/>
        </w:rPr>
        <w:t>Panel B</w:t>
      </w:r>
      <w:r>
        <w:rPr>
          <w:szCs w:val="21"/>
        </w:rPr>
        <w:t>中，本文进一步考察</w:t>
      </w:r>
      <w:r>
        <w:t>不同税种进行的税收竞争对劳动力流动是否存在显著的结构效应，结果表明营业税、企业所得税和个人所得税的税收竞争对于劳动力流动具有显著的正向作用，增值税的税收竞争并不会带来劳动力要素的流动。对此可能的解释是，个人所得税是直接作用于劳动力，正如第三部分理论分析，个人所得税的税收竞争可以有效地降低劳动力的税收负担，提高劳动者的消费能力，吸引更多的劳动力要素流入；营业税和企业所得税则是通过企业间接作用于劳动力，而税收竞争带来企业的集聚，尤其是劳动密集型企业的流入会直接带动劳动力要素的汇集。增值税作为共享税，由国税系统征收，因此地方政府参与增值税的税收竞争空间较小，其对劳动力流动的影响机制不明显（谢欣、李建军，2011）。</w:t>
      </w:r>
    </w:p>
    <w:p>
      <w:pPr>
        <w:ind w:firstLine="420" w:firstLineChars="200"/>
        <w:rPr>
          <w:rFonts w:eastAsia="黑体"/>
          <w:b/>
          <w:bCs/>
        </w:rPr>
      </w:pPr>
      <w:r>
        <w:rPr>
          <w:rFonts w:eastAsia="楷体"/>
        </w:rPr>
        <w:t>2.微观机制。</w:t>
      </w:r>
      <w:r>
        <w:rPr>
          <w:szCs w:val="21"/>
        </w:rPr>
        <w:t>关于税收竞争影响劳动力流动的微观机制检验，本文采用2017年</w:t>
      </w:r>
      <w:bookmarkStart w:id="0" w:name="OLE_LINK2"/>
      <w:bookmarkStart w:id="1" w:name="OLE_LINK1"/>
      <w:r>
        <w:rPr>
          <w:szCs w:val="21"/>
        </w:rPr>
        <w:t>全国流动人口动态监测调查数据</w:t>
      </w:r>
      <w:bookmarkEnd w:id="0"/>
      <w:bookmarkEnd w:id="1"/>
      <w:r>
        <w:rPr>
          <w:szCs w:val="21"/>
        </w:rPr>
        <w:t>（CMDS）</w:t>
      </w:r>
      <w:r>
        <w:rPr>
          <w:rStyle w:val="20"/>
          <w:szCs w:val="21"/>
        </w:rPr>
        <w:footnoteReference w:id="2"/>
      </w:r>
      <w:r>
        <w:rPr>
          <w:szCs w:val="21"/>
        </w:rPr>
        <w:t>与各地区城市面板数据进行匹配，为了反映地方政府税收竞争和劳动力流动之间关系，本文进一步构建如下经济计量方程，具体如公式（27）:</w:t>
      </w:r>
    </w:p>
    <w:p>
      <w:pPr>
        <w:wordWrap w:val="0"/>
        <w:jc w:val="right"/>
        <w:rPr>
          <w:szCs w:val="21"/>
        </w:rPr>
      </w:pPr>
      <w:r>
        <w:rPr>
          <w:position w:val="-12"/>
          <w:szCs w:val="21"/>
        </w:rPr>
        <w:drawing>
          <wp:inline distT="0" distB="0" distL="0" distR="0">
            <wp:extent cx="2397125" cy="230505"/>
            <wp:effectExtent l="0" t="0" r="0" b="0"/>
            <wp:docPr id="86" name="图片 97"/>
            <wp:cNvGraphicFramePr/>
            <a:graphic xmlns:a="http://schemas.openxmlformats.org/drawingml/2006/main">
              <a:graphicData uri="http://schemas.openxmlformats.org/drawingml/2006/picture">
                <pic:pic xmlns:pic="http://schemas.openxmlformats.org/drawingml/2006/picture">
                  <pic:nvPicPr>
                    <pic:cNvPr id="86" name="图片 97"/>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2397125" cy="230505"/>
                    </a:xfrm>
                    <a:prstGeom prst="rect">
                      <a:avLst/>
                    </a:prstGeom>
                    <a:noFill/>
                    <a:ln>
                      <a:noFill/>
                    </a:ln>
                  </pic:spPr>
                </pic:pic>
              </a:graphicData>
            </a:graphic>
          </wp:inline>
        </w:drawing>
      </w:r>
      <w:r>
        <w:rPr>
          <w:position w:val="-12"/>
          <w:szCs w:val="21"/>
        </w:rPr>
        <w:t xml:space="preserve">               </w:t>
      </w:r>
      <w:r>
        <w:rPr>
          <w:szCs w:val="21"/>
        </w:rPr>
        <w:t>（27）</w:t>
      </w:r>
    </w:p>
    <w:p>
      <w:pPr>
        <w:ind w:firstLine="420" w:firstLineChars="200"/>
        <w:rPr>
          <w:szCs w:val="21"/>
        </w:rPr>
      </w:pPr>
      <w:r>
        <w:rPr>
          <w:szCs w:val="21"/>
        </w:rPr>
        <w:t>其中，被解释变量</w:t>
      </w:r>
      <w:r>
        <w:rPr>
          <w:i/>
          <w:szCs w:val="21"/>
        </w:rPr>
        <w:t>Labort</w:t>
      </w:r>
      <w:r>
        <w:rPr>
          <w:szCs w:val="21"/>
        </w:rPr>
        <w:t>表示劳动力是否进行跨区流动，跨省流动和省内跨市流动为1，否则为0，以衡量不同地区因地方税收竞争产生的政策差异对劳动力要素的吸引力；</w:t>
      </w:r>
      <w:r>
        <w:rPr>
          <w:i/>
          <w:szCs w:val="21"/>
        </w:rPr>
        <w:t>Taxcom</w:t>
      </w:r>
      <w:r>
        <w:rPr>
          <w:szCs w:val="21"/>
        </w:rPr>
        <w:t>表示地方政府税收竞争程度；</w:t>
      </w:r>
      <w:r>
        <w:rPr>
          <w:i/>
          <w:szCs w:val="21"/>
        </w:rPr>
        <w:t>X</w:t>
      </w:r>
      <w:r>
        <w:rPr>
          <w:i/>
          <w:szCs w:val="21"/>
          <w:vertAlign w:val="subscript"/>
        </w:rPr>
        <w:t>i</w:t>
      </w:r>
      <w:r>
        <w:rPr>
          <w:szCs w:val="21"/>
        </w:rPr>
        <w:t>是个体特征控制变量，包括劳动力年龄（</w:t>
      </w:r>
      <w:r>
        <w:rPr>
          <w:i/>
          <w:szCs w:val="21"/>
        </w:rPr>
        <w:t>age</w:t>
      </w:r>
      <w:r>
        <w:rPr>
          <w:szCs w:val="21"/>
        </w:rPr>
        <w:t>）、性别（</w:t>
      </w:r>
      <w:r>
        <w:rPr>
          <w:i/>
          <w:szCs w:val="21"/>
        </w:rPr>
        <w:t>gender，</w:t>
      </w:r>
      <w:r>
        <w:rPr>
          <w:iCs/>
          <w:szCs w:val="21"/>
        </w:rPr>
        <w:t>男性=1</w:t>
      </w:r>
      <w:r>
        <w:rPr>
          <w:szCs w:val="21"/>
        </w:rPr>
        <w:t>）、婚姻状况（</w:t>
      </w:r>
      <w:r>
        <w:rPr>
          <w:i/>
          <w:szCs w:val="21"/>
        </w:rPr>
        <w:t>married</w:t>
      </w:r>
      <w:r>
        <w:rPr>
          <w:iCs/>
          <w:szCs w:val="21"/>
        </w:rPr>
        <w:t>，已婚=1</w:t>
      </w:r>
      <w:r>
        <w:rPr>
          <w:szCs w:val="21"/>
        </w:rPr>
        <w:t>）、政治面貌（</w:t>
      </w:r>
      <w:r>
        <w:rPr>
          <w:i/>
          <w:szCs w:val="21"/>
        </w:rPr>
        <w:t>political</w:t>
      </w:r>
      <w:r>
        <w:rPr>
          <w:iCs/>
          <w:szCs w:val="21"/>
        </w:rPr>
        <w:t>，党员=1</w:t>
      </w:r>
      <w:r>
        <w:rPr>
          <w:szCs w:val="21"/>
        </w:rPr>
        <w:t>）、健康状况（</w:t>
      </w:r>
      <w:r>
        <w:rPr>
          <w:i/>
          <w:iCs/>
          <w:szCs w:val="21"/>
        </w:rPr>
        <w:t>health，</w:t>
      </w:r>
      <w:r>
        <w:rPr>
          <w:szCs w:val="21"/>
        </w:rPr>
        <w:t>健康和基本健康=1）以及户口性质（</w:t>
      </w:r>
      <w:r>
        <w:rPr>
          <w:i/>
          <w:szCs w:val="21"/>
        </w:rPr>
        <w:t>hukou</w:t>
      </w:r>
      <w:r>
        <w:rPr>
          <w:iCs/>
          <w:szCs w:val="21"/>
        </w:rPr>
        <w:t>，非农业=1</w:t>
      </w:r>
      <w:r>
        <w:rPr>
          <w:szCs w:val="21"/>
        </w:rPr>
        <w:t>）；</w:t>
      </w:r>
      <w:r>
        <w:rPr>
          <w:i/>
          <w:szCs w:val="21"/>
        </w:rPr>
        <w:t>Y</w:t>
      </w:r>
      <w:r>
        <w:rPr>
          <w:i/>
          <w:szCs w:val="21"/>
          <w:vertAlign w:val="subscript"/>
        </w:rPr>
        <w:t>i</w:t>
      </w:r>
      <w:r>
        <w:rPr>
          <w:szCs w:val="21"/>
        </w:rPr>
        <w:t>是城市层面的控制变量，</w:t>
      </w:r>
      <w:r>
        <w:rPr>
          <w:i/>
          <w:szCs w:val="21"/>
        </w:rPr>
        <w:t>ε</w:t>
      </w:r>
      <w:r>
        <w:rPr>
          <w:i/>
          <w:szCs w:val="21"/>
          <w:vertAlign w:val="subscript"/>
        </w:rPr>
        <w:t>i</w:t>
      </w:r>
      <w:r>
        <w:rPr>
          <w:szCs w:val="21"/>
        </w:rPr>
        <w:t>为残差项。因被解释变量</w:t>
      </w:r>
      <w:r>
        <w:rPr>
          <w:i/>
          <w:szCs w:val="21"/>
        </w:rPr>
        <w:t>Labor</w:t>
      </w:r>
      <w:r>
        <w:rPr>
          <w:szCs w:val="21"/>
        </w:rPr>
        <w:t>为0-1变量，本文采用Logit模型进行估计，具体回归估计结果见以下表12。</w:t>
      </w:r>
    </w:p>
    <w:p>
      <w:pPr>
        <w:spacing w:before="178" w:beforeLines="50"/>
        <w:jc w:val="center"/>
        <w:rPr>
          <w:rFonts w:eastAsia="黑体"/>
          <w:bCs/>
        </w:rPr>
      </w:pPr>
      <w:r>
        <w:rPr>
          <w:rFonts w:eastAsia="黑体"/>
          <w:bCs/>
        </w:rPr>
        <w:t xml:space="preserve">         </w:t>
      </w:r>
      <w:r>
        <w:rPr>
          <w:rFonts w:eastAsia="仿宋"/>
          <w:sz w:val="22"/>
          <w:szCs w:val="24"/>
        </w:rPr>
        <w:t xml:space="preserve"> </w:t>
      </w:r>
      <w:r>
        <w:rPr>
          <w:rFonts w:eastAsia="楷体"/>
          <w:szCs w:val="21"/>
        </w:rPr>
        <w:t>表12  地方政府税收竞争对劳动力流动的微观影响机制检验（1）</w:t>
      </w:r>
    </w:p>
    <w:tbl>
      <w:tblPr>
        <w:tblStyle w:val="14"/>
        <w:tblW w:w="10248" w:type="dxa"/>
        <w:tblInd w:w="-572"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1105"/>
        <w:gridCol w:w="1099"/>
        <w:gridCol w:w="1099"/>
        <w:gridCol w:w="1099"/>
        <w:gridCol w:w="1099"/>
        <w:gridCol w:w="1161"/>
        <w:gridCol w:w="1116"/>
        <w:gridCol w:w="105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418" w:type="dxa"/>
            <w:vMerge w:val="restart"/>
            <w:vAlign w:val="center"/>
          </w:tcPr>
          <w:p>
            <w:pPr>
              <w:jc w:val="center"/>
              <w:rPr>
                <w:bCs/>
                <w:szCs w:val="21"/>
              </w:rPr>
            </w:pPr>
            <w:r>
              <w:rPr>
                <w:bCs/>
                <w:szCs w:val="21"/>
              </w:rPr>
              <w:t>变量</w:t>
            </w:r>
          </w:p>
        </w:tc>
        <w:tc>
          <w:tcPr>
            <w:tcW w:w="1105" w:type="dxa"/>
            <w:vMerge w:val="restart"/>
            <w:vAlign w:val="center"/>
          </w:tcPr>
          <w:p>
            <w:pPr>
              <w:jc w:val="center"/>
              <w:rPr>
                <w:bCs/>
                <w:szCs w:val="21"/>
              </w:rPr>
            </w:pPr>
            <w:r>
              <w:rPr>
                <w:kern w:val="0"/>
                <w:szCs w:val="21"/>
              </w:rPr>
              <w:t>Logit</w:t>
            </w:r>
          </w:p>
        </w:tc>
        <w:tc>
          <w:tcPr>
            <w:tcW w:w="1099" w:type="dxa"/>
            <w:vMerge w:val="restart"/>
            <w:vAlign w:val="center"/>
          </w:tcPr>
          <w:p>
            <w:pPr>
              <w:jc w:val="center"/>
              <w:rPr>
                <w:bCs/>
                <w:szCs w:val="21"/>
              </w:rPr>
            </w:pPr>
            <w:r>
              <w:rPr>
                <w:kern w:val="0"/>
                <w:szCs w:val="21"/>
              </w:rPr>
              <w:t>Probit</w:t>
            </w:r>
          </w:p>
        </w:tc>
        <w:tc>
          <w:tcPr>
            <w:tcW w:w="1099" w:type="dxa"/>
            <w:vMerge w:val="restart"/>
            <w:vAlign w:val="center"/>
          </w:tcPr>
          <w:p>
            <w:pPr>
              <w:jc w:val="center"/>
              <w:rPr>
                <w:bCs/>
                <w:szCs w:val="21"/>
              </w:rPr>
            </w:pPr>
            <w:r>
              <w:rPr>
                <w:bCs/>
                <w:szCs w:val="21"/>
              </w:rPr>
              <w:t>剔除社会因素</w:t>
            </w:r>
          </w:p>
        </w:tc>
        <w:tc>
          <w:tcPr>
            <w:tcW w:w="2198" w:type="dxa"/>
            <w:gridSpan w:val="2"/>
            <w:vAlign w:val="center"/>
          </w:tcPr>
          <w:p>
            <w:pPr>
              <w:jc w:val="center"/>
              <w:rPr>
                <w:bCs/>
                <w:szCs w:val="21"/>
              </w:rPr>
            </w:pPr>
            <w:r>
              <w:rPr>
                <w:bCs/>
                <w:szCs w:val="21"/>
              </w:rPr>
              <w:t>劳动力质量</w:t>
            </w:r>
          </w:p>
        </w:tc>
        <w:tc>
          <w:tcPr>
            <w:tcW w:w="3329" w:type="dxa"/>
            <w:gridSpan w:val="3"/>
            <w:vAlign w:val="center"/>
          </w:tcPr>
          <w:p>
            <w:pPr>
              <w:jc w:val="center"/>
              <w:rPr>
                <w:bCs/>
                <w:szCs w:val="21"/>
              </w:rPr>
            </w:pPr>
            <w:r>
              <w:rPr>
                <w:bCs/>
                <w:szCs w:val="21"/>
              </w:rPr>
              <w:t>劳动力从事的行业类型</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1418" w:type="dxa"/>
            <w:vMerge w:val="continue"/>
            <w:vAlign w:val="center"/>
          </w:tcPr>
          <w:p>
            <w:pPr>
              <w:jc w:val="center"/>
              <w:rPr>
                <w:bCs/>
                <w:szCs w:val="21"/>
              </w:rPr>
            </w:pPr>
          </w:p>
        </w:tc>
        <w:tc>
          <w:tcPr>
            <w:tcW w:w="1105" w:type="dxa"/>
            <w:vMerge w:val="continue"/>
            <w:vAlign w:val="center"/>
          </w:tcPr>
          <w:p>
            <w:pPr>
              <w:jc w:val="center"/>
              <w:rPr>
                <w:bCs/>
                <w:szCs w:val="21"/>
              </w:rPr>
            </w:pPr>
          </w:p>
        </w:tc>
        <w:tc>
          <w:tcPr>
            <w:tcW w:w="1099" w:type="dxa"/>
            <w:vMerge w:val="continue"/>
            <w:vAlign w:val="center"/>
          </w:tcPr>
          <w:p>
            <w:pPr>
              <w:jc w:val="center"/>
              <w:rPr>
                <w:bCs/>
                <w:szCs w:val="21"/>
              </w:rPr>
            </w:pPr>
          </w:p>
        </w:tc>
        <w:tc>
          <w:tcPr>
            <w:tcW w:w="1099" w:type="dxa"/>
            <w:vMerge w:val="continue"/>
            <w:vAlign w:val="center"/>
          </w:tcPr>
          <w:p>
            <w:pPr>
              <w:jc w:val="center"/>
              <w:rPr>
                <w:bCs/>
                <w:szCs w:val="21"/>
              </w:rPr>
            </w:pPr>
          </w:p>
        </w:tc>
        <w:tc>
          <w:tcPr>
            <w:tcW w:w="1099" w:type="dxa"/>
            <w:vAlign w:val="center"/>
          </w:tcPr>
          <w:p>
            <w:pPr>
              <w:jc w:val="center"/>
              <w:rPr>
                <w:bCs/>
                <w:szCs w:val="21"/>
              </w:rPr>
            </w:pPr>
            <w:r>
              <w:rPr>
                <w:bCs/>
                <w:szCs w:val="21"/>
              </w:rPr>
              <w:t>优质</w:t>
            </w:r>
          </w:p>
        </w:tc>
        <w:tc>
          <w:tcPr>
            <w:tcW w:w="1099" w:type="dxa"/>
            <w:vAlign w:val="center"/>
          </w:tcPr>
          <w:p>
            <w:pPr>
              <w:jc w:val="center"/>
              <w:rPr>
                <w:bCs/>
                <w:szCs w:val="21"/>
              </w:rPr>
            </w:pPr>
            <w:r>
              <w:rPr>
                <w:bCs/>
                <w:szCs w:val="21"/>
              </w:rPr>
              <w:t>普通</w:t>
            </w:r>
          </w:p>
        </w:tc>
        <w:tc>
          <w:tcPr>
            <w:tcW w:w="1161" w:type="dxa"/>
            <w:vAlign w:val="center"/>
          </w:tcPr>
          <w:p>
            <w:pPr>
              <w:jc w:val="center"/>
              <w:rPr>
                <w:bCs/>
                <w:sz w:val="20"/>
                <w:szCs w:val="20"/>
              </w:rPr>
            </w:pPr>
            <w:r>
              <w:rPr>
                <w:kern w:val="0"/>
                <w:sz w:val="20"/>
                <w:szCs w:val="20"/>
              </w:rPr>
              <w:t>制造业</w:t>
            </w:r>
          </w:p>
        </w:tc>
        <w:tc>
          <w:tcPr>
            <w:tcW w:w="1116" w:type="dxa"/>
            <w:vAlign w:val="center"/>
          </w:tcPr>
          <w:p>
            <w:pPr>
              <w:jc w:val="center"/>
              <w:rPr>
                <w:bCs/>
                <w:sz w:val="20"/>
                <w:szCs w:val="20"/>
              </w:rPr>
            </w:pPr>
            <w:r>
              <w:rPr>
                <w:kern w:val="0"/>
                <w:sz w:val="20"/>
                <w:szCs w:val="20"/>
              </w:rPr>
              <w:t>服务业</w:t>
            </w:r>
          </w:p>
        </w:tc>
        <w:tc>
          <w:tcPr>
            <w:tcW w:w="1052" w:type="dxa"/>
            <w:vAlign w:val="center"/>
          </w:tcPr>
          <w:p>
            <w:pPr>
              <w:jc w:val="center"/>
              <w:rPr>
                <w:bCs/>
                <w:sz w:val="20"/>
                <w:szCs w:val="20"/>
              </w:rPr>
            </w:pPr>
            <w:r>
              <w:rPr>
                <w:kern w:val="0"/>
                <w:sz w:val="20"/>
                <w:szCs w:val="20"/>
              </w:rPr>
              <w:t>科技教育</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 w:hRule="atLeast"/>
        </w:trPr>
        <w:tc>
          <w:tcPr>
            <w:tcW w:w="1418" w:type="dxa"/>
            <w:vMerge w:val="continue"/>
            <w:vAlign w:val="center"/>
          </w:tcPr>
          <w:p>
            <w:pPr>
              <w:jc w:val="center"/>
              <w:rPr>
                <w:bCs/>
                <w:szCs w:val="21"/>
              </w:rPr>
            </w:pPr>
          </w:p>
        </w:tc>
        <w:tc>
          <w:tcPr>
            <w:tcW w:w="1105" w:type="dxa"/>
            <w:vAlign w:val="center"/>
          </w:tcPr>
          <w:p>
            <w:pPr>
              <w:jc w:val="center"/>
              <w:rPr>
                <w:kern w:val="0"/>
                <w:szCs w:val="21"/>
              </w:rPr>
            </w:pPr>
            <w:r>
              <w:rPr>
                <w:kern w:val="0"/>
                <w:szCs w:val="21"/>
              </w:rPr>
              <w:t>(1)</w:t>
            </w:r>
          </w:p>
        </w:tc>
        <w:tc>
          <w:tcPr>
            <w:tcW w:w="1099" w:type="dxa"/>
            <w:vAlign w:val="center"/>
          </w:tcPr>
          <w:p>
            <w:pPr>
              <w:jc w:val="center"/>
              <w:rPr>
                <w:kern w:val="0"/>
                <w:szCs w:val="21"/>
              </w:rPr>
            </w:pPr>
            <w:r>
              <w:rPr>
                <w:kern w:val="0"/>
                <w:szCs w:val="21"/>
              </w:rPr>
              <w:t>(2)</w:t>
            </w:r>
          </w:p>
        </w:tc>
        <w:tc>
          <w:tcPr>
            <w:tcW w:w="1099" w:type="dxa"/>
            <w:vAlign w:val="center"/>
          </w:tcPr>
          <w:p>
            <w:pPr>
              <w:jc w:val="center"/>
              <w:rPr>
                <w:bCs/>
                <w:szCs w:val="21"/>
              </w:rPr>
            </w:pPr>
            <w:r>
              <w:rPr>
                <w:kern w:val="0"/>
                <w:szCs w:val="21"/>
              </w:rPr>
              <w:t>(3)</w:t>
            </w:r>
          </w:p>
        </w:tc>
        <w:tc>
          <w:tcPr>
            <w:tcW w:w="1099" w:type="dxa"/>
            <w:vAlign w:val="center"/>
          </w:tcPr>
          <w:p>
            <w:pPr>
              <w:jc w:val="center"/>
              <w:rPr>
                <w:bCs/>
                <w:szCs w:val="21"/>
              </w:rPr>
            </w:pPr>
            <w:r>
              <w:rPr>
                <w:kern w:val="0"/>
                <w:szCs w:val="21"/>
              </w:rPr>
              <w:t>(4)</w:t>
            </w:r>
          </w:p>
        </w:tc>
        <w:tc>
          <w:tcPr>
            <w:tcW w:w="1099" w:type="dxa"/>
            <w:vAlign w:val="center"/>
          </w:tcPr>
          <w:p>
            <w:pPr>
              <w:jc w:val="center"/>
              <w:rPr>
                <w:kern w:val="0"/>
                <w:szCs w:val="21"/>
              </w:rPr>
            </w:pPr>
            <w:r>
              <w:rPr>
                <w:kern w:val="0"/>
                <w:szCs w:val="21"/>
              </w:rPr>
              <w:t>(5)</w:t>
            </w:r>
          </w:p>
        </w:tc>
        <w:tc>
          <w:tcPr>
            <w:tcW w:w="1161" w:type="dxa"/>
            <w:vAlign w:val="center"/>
          </w:tcPr>
          <w:p>
            <w:pPr>
              <w:jc w:val="center"/>
              <w:rPr>
                <w:kern w:val="0"/>
                <w:szCs w:val="21"/>
              </w:rPr>
            </w:pPr>
            <w:r>
              <w:rPr>
                <w:kern w:val="0"/>
                <w:szCs w:val="21"/>
              </w:rPr>
              <w:t>(6)</w:t>
            </w:r>
          </w:p>
        </w:tc>
        <w:tc>
          <w:tcPr>
            <w:tcW w:w="1116" w:type="dxa"/>
            <w:vAlign w:val="center"/>
          </w:tcPr>
          <w:p>
            <w:pPr>
              <w:jc w:val="center"/>
              <w:rPr>
                <w:kern w:val="0"/>
                <w:szCs w:val="21"/>
              </w:rPr>
            </w:pPr>
            <w:r>
              <w:rPr>
                <w:kern w:val="0"/>
                <w:szCs w:val="21"/>
              </w:rPr>
              <w:t>(7)</w:t>
            </w:r>
          </w:p>
        </w:tc>
        <w:tc>
          <w:tcPr>
            <w:tcW w:w="1052" w:type="dxa"/>
            <w:vAlign w:val="center"/>
          </w:tcPr>
          <w:p>
            <w:pPr>
              <w:jc w:val="center"/>
              <w:rPr>
                <w:kern w:val="0"/>
                <w:szCs w:val="21"/>
              </w:rPr>
            </w:pPr>
            <w:r>
              <w:rPr>
                <w:kern w:val="0"/>
                <w:szCs w:val="21"/>
              </w:rPr>
              <w:t>(8)</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18" w:type="dxa"/>
            <w:vAlign w:val="center"/>
          </w:tcPr>
          <w:p>
            <w:pPr>
              <w:jc w:val="center"/>
              <w:rPr>
                <w:bCs/>
                <w:i/>
                <w:iCs/>
                <w:szCs w:val="21"/>
              </w:rPr>
            </w:pPr>
            <w:r>
              <w:rPr>
                <w:i/>
                <w:iCs/>
                <w:kern w:val="0"/>
                <w:szCs w:val="21"/>
              </w:rPr>
              <w:t>Taxcomp</w:t>
            </w:r>
          </w:p>
        </w:tc>
        <w:tc>
          <w:tcPr>
            <w:tcW w:w="1105" w:type="dxa"/>
            <w:vAlign w:val="center"/>
          </w:tcPr>
          <w:p>
            <w:pPr>
              <w:jc w:val="center"/>
              <w:rPr>
                <w:bCs/>
                <w:szCs w:val="21"/>
              </w:rPr>
            </w:pPr>
            <w:r>
              <w:rPr>
                <w:kern w:val="0"/>
                <w:szCs w:val="21"/>
              </w:rPr>
              <w:t>0.6810</w:t>
            </w:r>
            <w:r>
              <w:rPr>
                <w:kern w:val="0"/>
                <w:szCs w:val="21"/>
                <w:vertAlign w:val="superscript"/>
              </w:rPr>
              <w:t>***</w:t>
            </w:r>
          </w:p>
          <w:p>
            <w:pPr>
              <w:jc w:val="center"/>
              <w:rPr>
                <w:bCs/>
                <w:szCs w:val="21"/>
              </w:rPr>
            </w:pPr>
            <w:r>
              <w:rPr>
                <w:kern w:val="0"/>
                <w:szCs w:val="21"/>
              </w:rPr>
              <w:t>(0.0572)</w:t>
            </w:r>
          </w:p>
        </w:tc>
        <w:tc>
          <w:tcPr>
            <w:tcW w:w="1099" w:type="dxa"/>
            <w:vAlign w:val="center"/>
          </w:tcPr>
          <w:p>
            <w:pPr>
              <w:jc w:val="center"/>
              <w:rPr>
                <w:bCs/>
                <w:szCs w:val="21"/>
              </w:rPr>
            </w:pPr>
            <w:r>
              <w:rPr>
                <w:kern w:val="0"/>
                <w:szCs w:val="21"/>
              </w:rPr>
              <w:t>0.7429</w:t>
            </w:r>
            <w:r>
              <w:rPr>
                <w:kern w:val="0"/>
                <w:szCs w:val="21"/>
                <w:vertAlign w:val="superscript"/>
              </w:rPr>
              <w:t>***</w:t>
            </w:r>
          </w:p>
          <w:p>
            <w:pPr>
              <w:jc w:val="center"/>
              <w:rPr>
                <w:bCs/>
                <w:szCs w:val="21"/>
              </w:rPr>
            </w:pPr>
            <w:r>
              <w:rPr>
                <w:kern w:val="0"/>
                <w:szCs w:val="21"/>
              </w:rPr>
              <w:t>(0.0567)</w:t>
            </w:r>
          </w:p>
        </w:tc>
        <w:tc>
          <w:tcPr>
            <w:tcW w:w="1099" w:type="dxa"/>
            <w:vAlign w:val="center"/>
          </w:tcPr>
          <w:p>
            <w:pPr>
              <w:jc w:val="center"/>
              <w:rPr>
                <w:bCs/>
                <w:szCs w:val="21"/>
              </w:rPr>
            </w:pPr>
            <w:r>
              <w:rPr>
                <w:kern w:val="0"/>
                <w:szCs w:val="21"/>
              </w:rPr>
              <w:t>0.6035</w:t>
            </w:r>
            <w:r>
              <w:rPr>
                <w:kern w:val="0"/>
                <w:szCs w:val="21"/>
                <w:vertAlign w:val="superscript"/>
              </w:rPr>
              <w:t>***</w:t>
            </w:r>
          </w:p>
          <w:p>
            <w:pPr>
              <w:jc w:val="center"/>
              <w:rPr>
                <w:bCs/>
                <w:szCs w:val="21"/>
              </w:rPr>
            </w:pPr>
            <w:r>
              <w:rPr>
                <w:kern w:val="0"/>
                <w:szCs w:val="21"/>
              </w:rPr>
              <w:t>(0.1532)</w:t>
            </w:r>
          </w:p>
        </w:tc>
        <w:tc>
          <w:tcPr>
            <w:tcW w:w="1099" w:type="dxa"/>
            <w:vAlign w:val="center"/>
          </w:tcPr>
          <w:p>
            <w:pPr>
              <w:jc w:val="center"/>
              <w:rPr>
                <w:bCs/>
                <w:szCs w:val="21"/>
              </w:rPr>
            </w:pPr>
            <w:r>
              <w:rPr>
                <w:kern w:val="0"/>
                <w:szCs w:val="21"/>
              </w:rPr>
              <w:t>0.7281</w:t>
            </w:r>
            <w:r>
              <w:rPr>
                <w:kern w:val="0"/>
                <w:szCs w:val="21"/>
                <w:vertAlign w:val="superscript"/>
              </w:rPr>
              <w:t>***</w:t>
            </w:r>
          </w:p>
          <w:p>
            <w:pPr>
              <w:jc w:val="center"/>
              <w:rPr>
                <w:bCs/>
                <w:szCs w:val="21"/>
              </w:rPr>
            </w:pPr>
            <w:r>
              <w:rPr>
                <w:kern w:val="0"/>
                <w:szCs w:val="21"/>
              </w:rPr>
              <w:t>(0.1309)</w:t>
            </w:r>
          </w:p>
        </w:tc>
        <w:tc>
          <w:tcPr>
            <w:tcW w:w="1099" w:type="dxa"/>
            <w:vAlign w:val="center"/>
          </w:tcPr>
          <w:p>
            <w:pPr>
              <w:jc w:val="center"/>
              <w:rPr>
                <w:bCs/>
                <w:szCs w:val="21"/>
              </w:rPr>
            </w:pPr>
            <w:r>
              <w:rPr>
                <w:kern w:val="0"/>
                <w:szCs w:val="21"/>
              </w:rPr>
              <w:t>0.6743</w:t>
            </w:r>
            <w:r>
              <w:rPr>
                <w:kern w:val="0"/>
                <w:szCs w:val="21"/>
                <w:vertAlign w:val="superscript"/>
              </w:rPr>
              <w:t>***</w:t>
            </w:r>
          </w:p>
          <w:p>
            <w:pPr>
              <w:jc w:val="center"/>
              <w:rPr>
                <w:bCs/>
                <w:szCs w:val="21"/>
              </w:rPr>
            </w:pPr>
            <w:r>
              <w:rPr>
                <w:kern w:val="0"/>
                <w:szCs w:val="21"/>
              </w:rPr>
              <w:t>(0.0637)</w:t>
            </w:r>
          </w:p>
        </w:tc>
        <w:tc>
          <w:tcPr>
            <w:tcW w:w="1161" w:type="dxa"/>
            <w:vAlign w:val="center"/>
          </w:tcPr>
          <w:p>
            <w:pPr>
              <w:jc w:val="center"/>
              <w:rPr>
                <w:bCs/>
                <w:szCs w:val="21"/>
              </w:rPr>
            </w:pPr>
            <w:r>
              <w:rPr>
                <w:kern w:val="0"/>
                <w:szCs w:val="21"/>
              </w:rPr>
              <w:t>1.1140</w:t>
            </w:r>
            <w:r>
              <w:rPr>
                <w:kern w:val="0"/>
                <w:szCs w:val="21"/>
                <w:vertAlign w:val="superscript"/>
              </w:rPr>
              <w:t>***</w:t>
            </w:r>
          </w:p>
          <w:p>
            <w:pPr>
              <w:jc w:val="center"/>
              <w:rPr>
                <w:bCs/>
                <w:szCs w:val="21"/>
              </w:rPr>
            </w:pPr>
            <w:r>
              <w:rPr>
                <w:kern w:val="0"/>
                <w:szCs w:val="21"/>
              </w:rPr>
              <w:t>(0.0922)</w:t>
            </w:r>
          </w:p>
        </w:tc>
        <w:tc>
          <w:tcPr>
            <w:tcW w:w="1116" w:type="dxa"/>
            <w:vAlign w:val="center"/>
          </w:tcPr>
          <w:p>
            <w:pPr>
              <w:jc w:val="center"/>
              <w:rPr>
                <w:bCs/>
                <w:szCs w:val="21"/>
              </w:rPr>
            </w:pPr>
            <w:r>
              <w:rPr>
                <w:kern w:val="0"/>
                <w:szCs w:val="21"/>
              </w:rPr>
              <w:t>0.5181</w:t>
            </w:r>
            <w:r>
              <w:rPr>
                <w:kern w:val="0"/>
                <w:szCs w:val="21"/>
                <w:vertAlign w:val="superscript"/>
              </w:rPr>
              <w:t>***</w:t>
            </w:r>
          </w:p>
          <w:p>
            <w:pPr>
              <w:jc w:val="center"/>
              <w:rPr>
                <w:bCs/>
                <w:szCs w:val="21"/>
              </w:rPr>
            </w:pPr>
            <w:r>
              <w:rPr>
                <w:kern w:val="0"/>
                <w:szCs w:val="21"/>
              </w:rPr>
              <w:t>(0.0988)</w:t>
            </w:r>
          </w:p>
        </w:tc>
        <w:tc>
          <w:tcPr>
            <w:tcW w:w="1052" w:type="dxa"/>
            <w:vAlign w:val="center"/>
          </w:tcPr>
          <w:p>
            <w:pPr>
              <w:jc w:val="center"/>
              <w:rPr>
                <w:bCs/>
                <w:szCs w:val="21"/>
              </w:rPr>
            </w:pPr>
            <w:r>
              <w:rPr>
                <w:kern w:val="0"/>
                <w:szCs w:val="21"/>
              </w:rPr>
              <w:t>0.8937</w:t>
            </w:r>
            <w:r>
              <w:rPr>
                <w:kern w:val="0"/>
                <w:szCs w:val="21"/>
                <w:vertAlign w:val="superscript"/>
              </w:rPr>
              <w:t>***</w:t>
            </w:r>
          </w:p>
          <w:p>
            <w:pPr>
              <w:jc w:val="center"/>
              <w:rPr>
                <w:bCs/>
                <w:szCs w:val="21"/>
              </w:rPr>
            </w:pPr>
            <w:r>
              <w:rPr>
                <w:kern w:val="0"/>
                <w:szCs w:val="21"/>
              </w:rPr>
              <w:t>(0.3279)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18" w:type="dxa"/>
            <w:vAlign w:val="center"/>
          </w:tcPr>
          <w:p>
            <w:pPr>
              <w:jc w:val="center"/>
              <w:rPr>
                <w:bCs/>
                <w:i/>
                <w:iCs/>
                <w:szCs w:val="21"/>
              </w:rPr>
            </w:pPr>
            <w:r>
              <w:rPr>
                <w:i/>
                <w:iCs/>
                <w:kern w:val="0"/>
                <w:szCs w:val="21"/>
              </w:rPr>
              <w:t>Age</w:t>
            </w:r>
          </w:p>
        </w:tc>
        <w:tc>
          <w:tcPr>
            <w:tcW w:w="1105" w:type="dxa"/>
            <w:vAlign w:val="center"/>
          </w:tcPr>
          <w:p>
            <w:pPr>
              <w:jc w:val="center"/>
              <w:rPr>
                <w:bCs/>
                <w:szCs w:val="21"/>
              </w:rPr>
            </w:pPr>
            <w:r>
              <w:rPr>
                <w:kern w:val="0"/>
                <w:szCs w:val="21"/>
              </w:rPr>
              <w:t>0.0006</w:t>
            </w:r>
            <w:r>
              <w:rPr>
                <w:kern w:val="0"/>
                <w:szCs w:val="21"/>
                <w:vertAlign w:val="superscript"/>
              </w:rPr>
              <w:t>***</w:t>
            </w:r>
          </w:p>
          <w:p>
            <w:pPr>
              <w:jc w:val="center"/>
              <w:rPr>
                <w:bCs/>
                <w:szCs w:val="21"/>
              </w:rPr>
            </w:pPr>
            <w:r>
              <w:rPr>
                <w:kern w:val="0"/>
                <w:szCs w:val="21"/>
              </w:rPr>
              <w:t>(0.0001)</w:t>
            </w:r>
          </w:p>
        </w:tc>
        <w:tc>
          <w:tcPr>
            <w:tcW w:w="1099" w:type="dxa"/>
            <w:vAlign w:val="center"/>
          </w:tcPr>
          <w:p>
            <w:pPr>
              <w:jc w:val="center"/>
              <w:rPr>
                <w:bCs/>
                <w:szCs w:val="21"/>
              </w:rPr>
            </w:pPr>
            <w:r>
              <w:rPr>
                <w:kern w:val="0"/>
                <w:szCs w:val="21"/>
              </w:rPr>
              <w:t>0.0005</w:t>
            </w:r>
            <w:r>
              <w:rPr>
                <w:kern w:val="0"/>
                <w:szCs w:val="21"/>
                <w:vertAlign w:val="superscript"/>
              </w:rPr>
              <w:t>***</w:t>
            </w:r>
          </w:p>
          <w:p>
            <w:pPr>
              <w:jc w:val="center"/>
              <w:rPr>
                <w:bCs/>
                <w:szCs w:val="21"/>
              </w:rPr>
            </w:pPr>
            <w:r>
              <w:rPr>
                <w:kern w:val="0"/>
                <w:szCs w:val="21"/>
              </w:rPr>
              <w:t>(0.0001)</w:t>
            </w:r>
          </w:p>
        </w:tc>
        <w:tc>
          <w:tcPr>
            <w:tcW w:w="1099" w:type="dxa"/>
            <w:vAlign w:val="center"/>
          </w:tcPr>
          <w:p>
            <w:pPr>
              <w:jc w:val="center"/>
              <w:rPr>
                <w:bCs/>
                <w:szCs w:val="21"/>
              </w:rPr>
            </w:pPr>
            <w:r>
              <w:rPr>
                <w:kern w:val="0"/>
                <w:szCs w:val="21"/>
              </w:rPr>
              <w:t>0.0002</w:t>
            </w:r>
          </w:p>
          <w:p>
            <w:pPr>
              <w:jc w:val="center"/>
              <w:rPr>
                <w:bCs/>
                <w:szCs w:val="21"/>
              </w:rPr>
            </w:pPr>
            <w:r>
              <w:rPr>
                <w:kern w:val="0"/>
                <w:szCs w:val="21"/>
              </w:rPr>
              <w:t>(0.0002)</w:t>
            </w:r>
          </w:p>
        </w:tc>
        <w:tc>
          <w:tcPr>
            <w:tcW w:w="1099" w:type="dxa"/>
            <w:vAlign w:val="center"/>
          </w:tcPr>
          <w:p>
            <w:pPr>
              <w:jc w:val="center"/>
              <w:rPr>
                <w:bCs/>
                <w:szCs w:val="21"/>
              </w:rPr>
            </w:pPr>
            <w:r>
              <w:rPr>
                <w:kern w:val="0"/>
                <w:szCs w:val="21"/>
              </w:rPr>
              <w:t>-0.0004</w:t>
            </w:r>
          </w:p>
          <w:p>
            <w:pPr>
              <w:jc w:val="center"/>
              <w:rPr>
                <w:bCs/>
                <w:szCs w:val="21"/>
              </w:rPr>
            </w:pPr>
            <w:r>
              <w:rPr>
                <w:kern w:val="0"/>
                <w:szCs w:val="21"/>
              </w:rPr>
              <w:t>(0.0003)</w:t>
            </w:r>
          </w:p>
        </w:tc>
        <w:tc>
          <w:tcPr>
            <w:tcW w:w="1099" w:type="dxa"/>
            <w:vAlign w:val="center"/>
          </w:tcPr>
          <w:p>
            <w:pPr>
              <w:jc w:val="center"/>
              <w:rPr>
                <w:bCs/>
                <w:szCs w:val="21"/>
              </w:rPr>
            </w:pPr>
            <w:r>
              <w:rPr>
                <w:kern w:val="0"/>
                <w:szCs w:val="21"/>
              </w:rPr>
              <w:t>0.0007</w:t>
            </w:r>
            <w:r>
              <w:rPr>
                <w:kern w:val="0"/>
                <w:szCs w:val="21"/>
                <w:vertAlign w:val="superscript"/>
              </w:rPr>
              <w:t>***</w:t>
            </w:r>
          </w:p>
          <w:p>
            <w:pPr>
              <w:jc w:val="center"/>
              <w:rPr>
                <w:bCs/>
                <w:szCs w:val="21"/>
              </w:rPr>
            </w:pPr>
            <w:r>
              <w:rPr>
                <w:kern w:val="0"/>
                <w:szCs w:val="21"/>
              </w:rPr>
              <w:t>(0.0001)</w:t>
            </w:r>
          </w:p>
        </w:tc>
        <w:tc>
          <w:tcPr>
            <w:tcW w:w="1161" w:type="dxa"/>
            <w:vAlign w:val="center"/>
          </w:tcPr>
          <w:p>
            <w:pPr>
              <w:jc w:val="center"/>
              <w:rPr>
                <w:bCs/>
                <w:szCs w:val="21"/>
              </w:rPr>
            </w:pPr>
            <w:r>
              <w:rPr>
                <w:kern w:val="0"/>
                <w:szCs w:val="21"/>
              </w:rPr>
              <w:t>0.0007</w:t>
            </w:r>
            <w:r>
              <w:rPr>
                <w:kern w:val="0"/>
                <w:szCs w:val="21"/>
                <w:vertAlign w:val="superscript"/>
              </w:rPr>
              <w:t>***</w:t>
            </w:r>
          </w:p>
          <w:p>
            <w:pPr>
              <w:jc w:val="center"/>
              <w:rPr>
                <w:bCs/>
                <w:szCs w:val="21"/>
              </w:rPr>
            </w:pPr>
            <w:r>
              <w:rPr>
                <w:kern w:val="0"/>
                <w:szCs w:val="21"/>
              </w:rPr>
              <w:t>(0.0002)</w:t>
            </w:r>
          </w:p>
        </w:tc>
        <w:tc>
          <w:tcPr>
            <w:tcW w:w="1116" w:type="dxa"/>
            <w:vAlign w:val="center"/>
          </w:tcPr>
          <w:p>
            <w:pPr>
              <w:jc w:val="center"/>
              <w:rPr>
                <w:bCs/>
                <w:szCs w:val="21"/>
              </w:rPr>
            </w:pPr>
            <w:r>
              <w:rPr>
                <w:kern w:val="0"/>
                <w:szCs w:val="21"/>
              </w:rPr>
              <w:t>0.0005</w:t>
            </w:r>
            <w:r>
              <w:rPr>
                <w:kern w:val="0"/>
                <w:szCs w:val="21"/>
                <w:vertAlign w:val="superscript"/>
              </w:rPr>
              <w:t>***</w:t>
            </w:r>
          </w:p>
          <w:p>
            <w:pPr>
              <w:jc w:val="center"/>
              <w:rPr>
                <w:bCs/>
                <w:szCs w:val="21"/>
              </w:rPr>
            </w:pPr>
            <w:r>
              <w:rPr>
                <w:kern w:val="0"/>
                <w:szCs w:val="21"/>
              </w:rPr>
              <w:t>(0.0002)</w:t>
            </w:r>
          </w:p>
        </w:tc>
        <w:tc>
          <w:tcPr>
            <w:tcW w:w="1052" w:type="dxa"/>
            <w:vAlign w:val="center"/>
          </w:tcPr>
          <w:p>
            <w:pPr>
              <w:jc w:val="center"/>
              <w:rPr>
                <w:bCs/>
                <w:szCs w:val="21"/>
              </w:rPr>
            </w:pPr>
            <w:r>
              <w:rPr>
                <w:kern w:val="0"/>
                <w:szCs w:val="21"/>
              </w:rPr>
              <w:t>-0.0003</w:t>
            </w:r>
          </w:p>
          <w:p>
            <w:pPr>
              <w:jc w:val="center"/>
              <w:rPr>
                <w:bCs/>
                <w:szCs w:val="21"/>
              </w:rPr>
            </w:pPr>
            <w:r>
              <w:rPr>
                <w:kern w:val="0"/>
                <w:szCs w:val="21"/>
              </w:rPr>
              <w:t>(0.0006)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1418" w:type="dxa"/>
            <w:vAlign w:val="center"/>
          </w:tcPr>
          <w:p>
            <w:pPr>
              <w:jc w:val="center"/>
              <w:rPr>
                <w:bCs/>
                <w:i/>
                <w:iCs/>
                <w:szCs w:val="21"/>
              </w:rPr>
            </w:pPr>
            <w:r>
              <w:rPr>
                <w:i/>
                <w:iCs/>
                <w:kern w:val="0"/>
                <w:szCs w:val="21"/>
              </w:rPr>
              <w:t>Gender</w:t>
            </w:r>
          </w:p>
        </w:tc>
        <w:tc>
          <w:tcPr>
            <w:tcW w:w="1105" w:type="dxa"/>
            <w:vAlign w:val="center"/>
          </w:tcPr>
          <w:p>
            <w:pPr>
              <w:jc w:val="center"/>
              <w:rPr>
                <w:bCs/>
                <w:szCs w:val="21"/>
              </w:rPr>
            </w:pPr>
            <w:r>
              <w:rPr>
                <w:kern w:val="0"/>
                <w:szCs w:val="21"/>
              </w:rPr>
              <w:t>0.0149</w:t>
            </w:r>
            <w:r>
              <w:rPr>
                <w:kern w:val="0"/>
                <w:szCs w:val="21"/>
                <w:vertAlign w:val="superscript"/>
              </w:rPr>
              <w:t>***</w:t>
            </w:r>
          </w:p>
          <w:p>
            <w:pPr>
              <w:jc w:val="center"/>
              <w:rPr>
                <w:bCs/>
                <w:szCs w:val="21"/>
              </w:rPr>
            </w:pPr>
            <w:r>
              <w:rPr>
                <w:kern w:val="0"/>
                <w:szCs w:val="21"/>
              </w:rPr>
              <w:t>(0.0018)</w:t>
            </w:r>
          </w:p>
        </w:tc>
        <w:tc>
          <w:tcPr>
            <w:tcW w:w="1099" w:type="dxa"/>
            <w:vAlign w:val="center"/>
          </w:tcPr>
          <w:p>
            <w:pPr>
              <w:jc w:val="center"/>
              <w:rPr>
                <w:bCs/>
                <w:szCs w:val="21"/>
              </w:rPr>
            </w:pPr>
            <w:r>
              <w:rPr>
                <w:kern w:val="0"/>
                <w:szCs w:val="21"/>
              </w:rPr>
              <w:t>0.0143</w:t>
            </w:r>
            <w:r>
              <w:rPr>
                <w:kern w:val="0"/>
                <w:szCs w:val="21"/>
                <w:vertAlign w:val="superscript"/>
              </w:rPr>
              <w:t>***</w:t>
            </w:r>
          </w:p>
          <w:p>
            <w:pPr>
              <w:jc w:val="center"/>
              <w:rPr>
                <w:bCs/>
                <w:szCs w:val="21"/>
              </w:rPr>
            </w:pPr>
            <w:r>
              <w:rPr>
                <w:kern w:val="0"/>
                <w:szCs w:val="21"/>
              </w:rPr>
              <w:t>(0.0018)</w:t>
            </w:r>
          </w:p>
        </w:tc>
        <w:tc>
          <w:tcPr>
            <w:tcW w:w="1099" w:type="dxa"/>
            <w:vAlign w:val="center"/>
          </w:tcPr>
          <w:p>
            <w:pPr>
              <w:jc w:val="center"/>
              <w:rPr>
                <w:bCs/>
                <w:szCs w:val="21"/>
              </w:rPr>
            </w:pPr>
            <w:r>
              <w:rPr>
                <w:kern w:val="0"/>
                <w:szCs w:val="21"/>
              </w:rPr>
              <w:t>-0.0029</w:t>
            </w:r>
          </w:p>
          <w:p>
            <w:pPr>
              <w:jc w:val="center"/>
              <w:rPr>
                <w:bCs/>
                <w:szCs w:val="21"/>
              </w:rPr>
            </w:pPr>
            <w:r>
              <w:rPr>
                <w:kern w:val="0"/>
                <w:szCs w:val="21"/>
              </w:rPr>
              <w:t>(0.0060)</w:t>
            </w:r>
          </w:p>
        </w:tc>
        <w:tc>
          <w:tcPr>
            <w:tcW w:w="1099" w:type="dxa"/>
            <w:vAlign w:val="center"/>
          </w:tcPr>
          <w:p>
            <w:pPr>
              <w:jc w:val="center"/>
              <w:rPr>
                <w:bCs/>
                <w:szCs w:val="21"/>
              </w:rPr>
            </w:pPr>
            <w:r>
              <w:rPr>
                <w:kern w:val="0"/>
                <w:szCs w:val="21"/>
              </w:rPr>
              <w:t>0.0214</w:t>
            </w:r>
            <w:r>
              <w:rPr>
                <w:kern w:val="0"/>
                <w:szCs w:val="21"/>
                <w:vertAlign w:val="superscript"/>
              </w:rPr>
              <w:t>***</w:t>
            </w:r>
          </w:p>
          <w:p>
            <w:pPr>
              <w:jc w:val="center"/>
              <w:rPr>
                <w:bCs/>
                <w:szCs w:val="21"/>
              </w:rPr>
            </w:pPr>
            <w:r>
              <w:rPr>
                <w:kern w:val="0"/>
                <w:szCs w:val="21"/>
              </w:rPr>
              <w:t>(0.0040)</w:t>
            </w:r>
          </w:p>
        </w:tc>
        <w:tc>
          <w:tcPr>
            <w:tcW w:w="1099" w:type="dxa"/>
            <w:vAlign w:val="center"/>
          </w:tcPr>
          <w:p>
            <w:pPr>
              <w:jc w:val="center"/>
              <w:rPr>
                <w:bCs/>
                <w:szCs w:val="21"/>
              </w:rPr>
            </w:pPr>
            <w:r>
              <w:rPr>
                <w:kern w:val="0"/>
                <w:szCs w:val="21"/>
              </w:rPr>
              <w:t>0.0138</w:t>
            </w:r>
            <w:r>
              <w:rPr>
                <w:kern w:val="0"/>
                <w:szCs w:val="21"/>
                <w:vertAlign w:val="superscript"/>
              </w:rPr>
              <w:t>***</w:t>
            </w:r>
          </w:p>
          <w:p>
            <w:pPr>
              <w:jc w:val="center"/>
              <w:rPr>
                <w:bCs/>
                <w:szCs w:val="21"/>
              </w:rPr>
            </w:pPr>
            <w:r>
              <w:rPr>
                <w:kern w:val="0"/>
                <w:szCs w:val="21"/>
              </w:rPr>
              <w:t>(0.0020)</w:t>
            </w:r>
          </w:p>
        </w:tc>
        <w:tc>
          <w:tcPr>
            <w:tcW w:w="1161" w:type="dxa"/>
            <w:vAlign w:val="center"/>
          </w:tcPr>
          <w:p>
            <w:pPr>
              <w:jc w:val="center"/>
              <w:rPr>
                <w:bCs/>
                <w:szCs w:val="21"/>
              </w:rPr>
            </w:pPr>
            <w:r>
              <w:rPr>
                <w:kern w:val="0"/>
                <w:szCs w:val="21"/>
              </w:rPr>
              <w:t>0.0139</w:t>
            </w:r>
            <w:r>
              <w:rPr>
                <w:kern w:val="0"/>
                <w:szCs w:val="21"/>
                <w:vertAlign w:val="superscript"/>
              </w:rPr>
              <w:t>***</w:t>
            </w:r>
          </w:p>
          <w:p>
            <w:pPr>
              <w:jc w:val="center"/>
              <w:rPr>
                <w:bCs/>
                <w:szCs w:val="21"/>
              </w:rPr>
            </w:pPr>
            <w:r>
              <w:rPr>
                <w:kern w:val="0"/>
                <w:szCs w:val="21"/>
              </w:rPr>
              <w:t>(0.0028)</w:t>
            </w:r>
          </w:p>
        </w:tc>
        <w:tc>
          <w:tcPr>
            <w:tcW w:w="1116" w:type="dxa"/>
            <w:vAlign w:val="center"/>
          </w:tcPr>
          <w:p>
            <w:pPr>
              <w:jc w:val="center"/>
              <w:rPr>
                <w:bCs/>
                <w:szCs w:val="21"/>
              </w:rPr>
            </w:pPr>
            <w:r>
              <w:rPr>
                <w:kern w:val="0"/>
                <w:szCs w:val="21"/>
              </w:rPr>
              <w:t>0.0017</w:t>
            </w:r>
          </w:p>
          <w:p>
            <w:pPr>
              <w:jc w:val="center"/>
              <w:rPr>
                <w:bCs/>
                <w:szCs w:val="21"/>
              </w:rPr>
            </w:pPr>
            <w:r>
              <w:rPr>
                <w:kern w:val="0"/>
                <w:szCs w:val="21"/>
              </w:rPr>
              <w:t>(0.0031)</w:t>
            </w:r>
          </w:p>
        </w:tc>
        <w:tc>
          <w:tcPr>
            <w:tcW w:w="1052" w:type="dxa"/>
            <w:vAlign w:val="center"/>
          </w:tcPr>
          <w:p>
            <w:pPr>
              <w:jc w:val="center"/>
              <w:rPr>
                <w:bCs/>
                <w:szCs w:val="21"/>
              </w:rPr>
            </w:pPr>
            <w:r>
              <w:rPr>
                <w:kern w:val="0"/>
                <w:szCs w:val="21"/>
              </w:rPr>
              <w:t>0.0134</w:t>
            </w:r>
          </w:p>
          <w:p>
            <w:pPr>
              <w:jc w:val="center"/>
              <w:rPr>
                <w:bCs/>
                <w:szCs w:val="21"/>
              </w:rPr>
            </w:pPr>
            <w:r>
              <w:rPr>
                <w:kern w:val="0"/>
                <w:szCs w:val="21"/>
              </w:rPr>
              <w:t>(0.0109)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18" w:type="dxa"/>
            <w:vAlign w:val="center"/>
          </w:tcPr>
          <w:p>
            <w:pPr>
              <w:jc w:val="center"/>
              <w:rPr>
                <w:bCs/>
                <w:szCs w:val="21"/>
              </w:rPr>
            </w:pPr>
            <w:r>
              <w:rPr>
                <w:i/>
                <w:kern w:val="0"/>
                <w:szCs w:val="21"/>
              </w:rPr>
              <w:t>Married</w:t>
            </w:r>
          </w:p>
        </w:tc>
        <w:tc>
          <w:tcPr>
            <w:tcW w:w="1105" w:type="dxa"/>
            <w:vAlign w:val="center"/>
          </w:tcPr>
          <w:p>
            <w:pPr>
              <w:jc w:val="center"/>
              <w:rPr>
                <w:kern w:val="0"/>
                <w:szCs w:val="21"/>
              </w:rPr>
            </w:pPr>
            <w:r>
              <w:rPr>
                <w:kern w:val="0"/>
                <w:szCs w:val="21"/>
              </w:rPr>
              <w:t>-0.0106</w:t>
            </w:r>
            <w:r>
              <w:rPr>
                <w:kern w:val="0"/>
                <w:szCs w:val="21"/>
                <w:vertAlign w:val="superscript"/>
              </w:rPr>
              <w:t>***</w:t>
            </w:r>
          </w:p>
          <w:p>
            <w:pPr>
              <w:jc w:val="center"/>
              <w:rPr>
                <w:kern w:val="0"/>
                <w:szCs w:val="21"/>
              </w:rPr>
            </w:pPr>
            <w:r>
              <w:rPr>
                <w:kern w:val="0"/>
                <w:szCs w:val="21"/>
              </w:rPr>
              <w:t>(0.0024)</w:t>
            </w:r>
          </w:p>
        </w:tc>
        <w:tc>
          <w:tcPr>
            <w:tcW w:w="1099" w:type="dxa"/>
            <w:vAlign w:val="center"/>
          </w:tcPr>
          <w:p>
            <w:pPr>
              <w:jc w:val="center"/>
              <w:rPr>
                <w:kern w:val="0"/>
                <w:szCs w:val="21"/>
              </w:rPr>
            </w:pPr>
            <w:r>
              <w:rPr>
                <w:kern w:val="0"/>
                <w:szCs w:val="21"/>
              </w:rPr>
              <w:t>-0.0109</w:t>
            </w:r>
            <w:r>
              <w:rPr>
                <w:kern w:val="0"/>
                <w:szCs w:val="21"/>
                <w:vertAlign w:val="superscript"/>
              </w:rPr>
              <w:t>***</w:t>
            </w:r>
          </w:p>
          <w:p>
            <w:pPr>
              <w:jc w:val="center"/>
              <w:rPr>
                <w:kern w:val="0"/>
                <w:szCs w:val="21"/>
              </w:rPr>
            </w:pPr>
            <w:r>
              <w:rPr>
                <w:kern w:val="0"/>
                <w:szCs w:val="21"/>
              </w:rPr>
              <w:t>(0.0023)</w:t>
            </w:r>
          </w:p>
        </w:tc>
        <w:tc>
          <w:tcPr>
            <w:tcW w:w="1099" w:type="dxa"/>
            <w:vAlign w:val="center"/>
          </w:tcPr>
          <w:p>
            <w:pPr>
              <w:jc w:val="center"/>
              <w:rPr>
                <w:kern w:val="0"/>
                <w:szCs w:val="21"/>
              </w:rPr>
            </w:pPr>
            <w:r>
              <w:rPr>
                <w:kern w:val="0"/>
                <w:szCs w:val="21"/>
              </w:rPr>
              <w:t>-0.0243</w:t>
            </w:r>
            <w:r>
              <w:rPr>
                <w:kern w:val="0"/>
                <w:szCs w:val="21"/>
                <w:vertAlign w:val="superscript"/>
              </w:rPr>
              <w:t>***</w:t>
            </w:r>
          </w:p>
          <w:p>
            <w:pPr>
              <w:jc w:val="center"/>
              <w:rPr>
                <w:kern w:val="0"/>
                <w:szCs w:val="21"/>
              </w:rPr>
            </w:pPr>
            <w:r>
              <w:rPr>
                <w:kern w:val="0"/>
                <w:szCs w:val="21"/>
              </w:rPr>
              <w:t>(0.0062)</w:t>
            </w:r>
          </w:p>
        </w:tc>
        <w:tc>
          <w:tcPr>
            <w:tcW w:w="1099" w:type="dxa"/>
            <w:vAlign w:val="center"/>
          </w:tcPr>
          <w:p>
            <w:pPr>
              <w:jc w:val="center"/>
              <w:rPr>
                <w:kern w:val="0"/>
                <w:szCs w:val="21"/>
              </w:rPr>
            </w:pPr>
            <w:r>
              <w:rPr>
                <w:kern w:val="0"/>
                <w:szCs w:val="21"/>
              </w:rPr>
              <w:t>-0.0086</w:t>
            </w:r>
            <w:r>
              <w:rPr>
                <w:kern w:val="0"/>
                <w:szCs w:val="21"/>
                <w:vertAlign w:val="superscript"/>
              </w:rPr>
              <w:t>*</w:t>
            </w:r>
          </w:p>
          <w:p>
            <w:pPr>
              <w:jc w:val="center"/>
              <w:rPr>
                <w:kern w:val="0"/>
                <w:szCs w:val="21"/>
              </w:rPr>
            </w:pPr>
            <w:r>
              <w:rPr>
                <w:kern w:val="0"/>
                <w:szCs w:val="21"/>
              </w:rPr>
              <w:t>(0.0046)</w:t>
            </w:r>
          </w:p>
        </w:tc>
        <w:tc>
          <w:tcPr>
            <w:tcW w:w="1099" w:type="dxa"/>
            <w:vAlign w:val="center"/>
          </w:tcPr>
          <w:p>
            <w:pPr>
              <w:jc w:val="center"/>
              <w:rPr>
                <w:kern w:val="0"/>
                <w:szCs w:val="21"/>
              </w:rPr>
            </w:pPr>
            <w:r>
              <w:rPr>
                <w:kern w:val="0"/>
                <w:szCs w:val="21"/>
              </w:rPr>
              <w:t>-0.0116</w:t>
            </w:r>
            <w:r>
              <w:rPr>
                <w:kern w:val="0"/>
                <w:szCs w:val="21"/>
                <w:vertAlign w:val="superscript"/>
              </w:rPr>
              <w:t>***</w:t>
            </w:r>
          </w:p>
          <w:p>
            <w:pPr>
              <w:jc w:val="center"/>
              <w:rPr>
                <w:kern w:val="0"/>
                <w:szCs w:val="21"/>
              </w:rPr>
            </w:pPr>
            <w:r>
              <w:rPr>
                <w:kern w:val="0"/>
                <w:szCs w:val="21"/>
              </w:rPr>
              <w:t>(0.0027)</w:t>
            </w:r>
          </w:p>
        </w:tc>
        <w:tc>
          <w:tcPr>
            <w:tcW w:w="1161" w:type="dxa"/>
            <w:vAlign w:val="center"/>
          </w:tcPr>
          <w:p>
            <w:pPr>
              <w:jc w:val="center"/>
              <w:rPr>
                <w:kern w:val="0"/>
                <w:szCs w:val="21"/>
              </w:rPr>
            </w:pPr>
            <w:r>
              <w:rPr>
                <w:kern w:val="0"/>
                <w:szCs w:val="21"/>
              </w:rPr>
              <w:t>-0.0066</w:t>
            </w:r>
            <w:r>
              <w:rPr>
                <w:kern w:val="0"/>
                <w:szCs w:val="21"/>
                <w:vertAlign w:val="superscript"/>
              </w:rPr>
              <w:t>*</w:t>
            </w:r>
          </w:p>
          <w:p>
            <w:pPr>
              <w:jc w:val="center"/>
              <w:rPr>
                <w:kern w:val="0"/>
                <w:szCs w:val="21"/>
              </w:rPr>
            </w:pPr>
            <w:r>
              <w:rPr>
                <w:kern w:val="0"/>
                <w:szCs w:val="21"/>
              </w:rPr>
              <w:t>(0.0037)</w:t>
            </w:r>
          </w:p>
        </w:tc>
        <w:tc>
          <w:tcPr>
            <w:tcW w:w="1116" w:type="dxa"/>
            <w:vAlign w:val="center"/>
          </w:tcPr>
          <w:p>
            <w:pPr>
              <w:jc w:val="center"/>
              <w:rPr>
                <w:kern w:val="0"/>
                <w:szCs w:val="21"/>
              </w:rPr>
            </w:pPr>
            <w:r>
              <w:rPr>
                <w:kern w:val="0"/>
                <w:szCs w:val="21"/>
              </w:rPr>
              <w:t>-0.0178</w:t>
            </w:r>
            <w:r>
              <w:rPr>
                <w:kern w:val="0"/>
                <w:szCs w:val="21"/>
                <w:vertAlign w:val="superscript"/>
              </w:rPr>
              <w:t>***</w:t>
            </w:r>
          </w:p>
          <w:p>
            <w:pPr>
              <w:jc w:val="center"/>
              <w:rPr>
                <w:kern w:val="0"/>
                <w:szCs w:val="21"/>
              </w:rPr>
            </w:pPr>
            <w:r>
              <w:rPr>
                <w:kern w:val="0"/>
                <w:szCs w:val="21"/>
              </w:rPr>
              <w:t>(0.0041)</w:t>
            </w:r>
          </w:p>
        </w:tc>
        <w:tc>
          <w:tcPr>
            <w:tcW w:w="1052" w:type="dxa"/>
            <w:vAlign w:val="center"/>
          </w:tcPr>
          <w:p>
            <w:pPr>
              <w:jc w:val="center"/>
              <w:rPr>
                <w:kern w:val="0"/>
                <w:szCs w:val="21"/>
              </w:rPr>
            </w:pPr>
            <w:r>
              <w:rPr>
                <w:kern w:val="0"/>
                <w:szCs w:val="21"/>
              </w:rPr>
              <w:t>0.0066</w:t>
            </w:r>
          </w:p>
          <w:p>
            <w:pPr>
              <w:jc w:val="center"/>
              <w:rPr>
                <w:kern w:val="0"/>
                <w:szCs w:val="21"/>
              </w:rPr>
            </w:pPr>
            <w:r>
              <w:rPr>
                <w:kern w:val="0"/>
                <w:szCs w:val="21"/>
              </w:rPr>
              <w:t>(0.0123)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18" w:type="dxa"/>
            <w:vAlign w:val="center"/>
          </w:tcPr>
          <w:p>
            <w:pPr>
              <w:jc w:val="center"/>
              <w:rPr>
                <w:kern w:val="0"/>
                <w:szCs w:val="21"/>
              </w:rPr>
            </w:pPr>
            <w:r>
              <w:rPr>
                <w:i/>
                <w:kern w:val="0"/>
                <w:szCs w:val="21"/>
              </w:rPr>
              <w:t>Political</w:t>
            </w:r>
          </w:p>
        </w:tc>
        <w:tc>
          <w:tcPr>
            <w:tcW w:w="1105" w:type="dxa"/>
            <w:vAlign w:val="center"/>
          </w:tcPr>
          <w:p>
            <w:pPr>
              <w:jc w:val="center"/>
              <w:rPr>
                <w:kern w:val="0"/>
                <w:szCs w:val="21"/>
              </w:rPr>
            </w:pPr>
            <w:r>
              <w:rPr>
                <w:kern w:val="0"/>
                <w:szCs w:val="21"/>
              </w:rPr>
              <w:t>-0.0107</w:t>
            </w:r>
            <w:r>
              <w:rPr>
                <w:kern w:val="0"/>
                <w:szCs w:val="21"/>
                <w:vertAlign w:val="superscript"/>
              </w:rPr>
              <w:t>***</w:t>
            </w:r>
          </w:p>
          <w:p>
            <w:pPr>
              <w:jc w:val="center"/>
              <w:rPr>
                <w:kern w:val="0"/>
                <w:szCs w:val="21"/>
              </w:rPr>
            </w:pPr>
            <w:r>
              <w:rPr>
                <w:kern w:val="0"/>
                <w:szCs w:val="21"/>
              </w:rPr>
              <w:t>(0.0041)</w:t>
            </w:r>
          </w:p>
        </w:tc>
        <w:tc>
          <w:tcPr>
            <w:tcW w:w="1099" w:type="dxa"/>
            <w:vAlign w:val="center"/>
          </w:tcPr>
          <w:p>
            <w:pPr>
              <w:jc w:val="center"/>
              <w:rPr>
                <w:kern w:val="0"/>
                <w:szCs w:val="21"/>
              </w:rPr>
            </w:pPr>
            <w:r>
              <w:rPr>
                <w:kern w:val="0"/>
                <w:szCs w:val="21"/>
              </w:rPr>
              <w:t>-0.0115</w:t>
            </w:r>
            <w:r>
              <w:rPr>
                <w:kern w:val="0"/>
                <w:szCs w:val="21"/>
                <w:vertAlign w:val="superscript"/>
              </w:rPr>
              <w:t>***</w:t>
            </w:r>
          </w:p>
          <w:p>
            <w:pPr>
              <w:jc w:val="center"/>
              <w:rPr>
                <w:kern w:val="0"/>
                <w:szCs w:val="21"/>
              </w:rPr>
            </w:pPr>
            <w:r>
              <w:rPr>
                <w:kern w:val="0"/>
                <w:szCs w:val="21"/>
              </w:rPr>
              <w:t>(0.0041)</w:t>
            </w:r>
          </w:p>
        </w:tc>
        <w:tc>
          <w:tcPr>
            <w:tcW w:w="1099" w:type="dxa"/>
            <w:vAlign w:val="center"/>
          </w:tcPr>
          <w:p>
            <w:pPr>
              <w:jc w:val="center"/>
              <w:rPr>
                <w:kern w:val="0"/>
                <w:szCs w:val="21"/>
              </w:rPr>
            </w:pPr>
            <w:r>
              <w:rPr>
                <w:kern w:val="0"/>
                <w:szCs w:val="21"/>
              </w:rPr>
              <w:t>0.0061</w:t>
            </w:r>
          </w:p>
          <w:p>
            <w:pPr>
              <w:jc w:val="center"/>
              <w:rPr>
                <w:kern w:val="0"/>
                <w:szCs w:val="21"/>
              </w:rPr>
            </w:pPr>
            <w:r>
              <w:rPr>
                <w:kern w:val="0"/>
                <w:szCs w:val="21"/>
              </w:rPr>
              <w:t>(0.0111)</w:t>
            </w:r>
          </w:p>
        </w:tc>
        <w:tc>
          <w:tcPr>
            <w:tcW w:w="1099" w:type="dxa"/>
            <w:vAlign w:val="center"/>
          </w:tcPr>
          <w:p>
            <w:pPr>
              <w:jc w:val="center"/>
              <w:rPr>
                <w:kern w:val="0"/>
                <w:szCs w:val="21"/>
              </w:rPr>
            </w:pPr>
            <w:r>
              <w:rPr>
                <w:kern w:val="0"/>
                <w:szCs w:val="21"/>
              </w:rPr>
              <w:t>0.0053</w:t>
            </w:r>
          </w:p>
          <w:p>
            <w:pPr>
              <w:jc w:val="center"/>
              <w:rPr>
                <w:kern w:val="0"/>
                <w:szCs w:val="21"/>
              </w:rPr>
            </w:pPr>
            <w:r>
              <w:rPr>
                <w:kern w:val="0"/>
                <w:szCs w:val="21"/>
              </w:rPr>
              <w:t>(0.0055)</w:t>
            </w:r>
          </w:p>
        </w:tc>
        <w:tc>
          <w:tcPr>
            <w:tcW w:w="1099" w:type="dxa"/>
            <w:vAlign w:val="center"/>
          </w:tcPr>
          <w:p>
            <w:pPr>
              <w:jc w:val="center"/>
              <w:rPr>
                <w:kern w:val="0"/>
                <w:szCs w:val="21"/>
              </w:rPr>
            </w:pPr>
            <w:r>
              <w:rPr>
                <w:kern w:val="0"/>
                <w:szCs w:val="21"/>
              </w:rPr>
              <w:t>-0.0245</w:t>
            </w:r>
            <w:r>
              <w:rPr>
                <w:kern w:val="0"/>
                <w:szCs w:val="21"/>
                <w:vertAlign w:val="superscript"/>
              </w:rPr>
              <w:t>***</w:t>
            </w:r>
          </w:p>
          <w:p>
            <w:pPr>
              <w:jc w:val="center"/>
              <w:rPr>
                <w:kern w:val="0"/>
                <w:szCs w:val="21"/>
              </w:rPr>
            </w:pPr>
            <w:r>
              <w:rPr>
                <w:kern w:val="0"/>
                <w:szCs w:val="21"/>
              </w:rPr>
              <w:t>(0.0060)</w:t>
            </w:r>
          </w:p>
        </w:tc>
        <w:tc>
          <w:tcPr>
            <w:tcW w:w="1161" w:type="dxa"/>
            <w:vAlign w:val="center"/>
          </w:tcPr>
          <w:p>
            <w:pPr>
              <w:jc w:val="center"/>
              <w:rPr>
                <w:kern w:val="0"/>
                <w:szCs w:val="21"/>
              </w:rPr>
            </w:pPr>
            <w:r>
              <w:rPr>
                <w:kern w:val="0"/>
                <w:szCs w:val="21"/>
              </w:rPr>
              <w:t>-0.0172</w:t>
            </w:r>
            <w:r>
              <w:rPr>
                <w:kern w:val="0"/>
                <w:szCs w:val="21"/>
                <w:vertAlign w:val="superscript"/>
              </w:rPr>
              <w:t>**</w:t>
            </w:r>
          </w:p>
          <w:p>
            <w:pPr>
              <w:jc w:val="center"/>
              <w:rPr>
                <w:kern w:val="0"/>
                <w:szCs w:val="21"/>
              </w:rPr>
            </w:pPr>
            <w:r>
              <w:rPr>
                <w:kern w:val="0"/>
                <w:szCs w:val="21"/>
              </w:rPr>
              <w:t>(0.0076)</w:t>
            </w:r>
          </w:p>
        </w:tc>
        <w:tc>
          <w:tcPr>
            <w:tcW w:w="1116" w:type="dxa"/>
            <w:vAlign w:val="center"/>
          </w:tcPr>
          <w:p>
            <w:pPr>
              <w:jc w:val="center"/>
              <w:rPr>
                <w:kern w:val="0"/>
                <w:szCs w:val="21"/>
              </w:rPr>
            </w:pPr>
            <w:r>
              <w:rPr>
                <w:kern w:val="0"/>
                <w:szCs w:val="21"/>
              </w:rPr>
              <w:t>-0.0017</w:t>
            </w:r>
          </w:p>
          <w:p>
            <w:pPr>
              <w:jc w:val="center"/>
              <w:rPr>
                <w:kern w:val="0"/>
                <w:szCs w:val="21"/>
              </w:rPr>
            </w:pPr>
            <w:r>
              <w:rPr>
                <w:kern w:val="0"/>
                <w:szCs w:val="21"/>
              </w:rPr>
              <w:t>(0.0065)</w:t>
            </w:r>
          </w:p>
        </w:tc>
        <w:tc>
          <w:tcPr>
            <w:tcW w:w="1052" w:type="dxa"/>
            <w:vAlign w:val="center"/>
          </w:tcPr>
          <w:p>
            <w:pPr>
              <w:jc w:val="center"/>
              <w:rPr>
                <w:kern w:val="0"/>
                <w:szCs w:val="21"/>
              </w:rPr>
            </w:pPr>
            <w:r>
              <w:rPr>
                <w:kern w:val="0"/>
                <w:szCs w:val="21"/>
              </w:rPr>
              <w:t>0.0241</w:t>
            </w:r>
            <w:r>
              <w:rPr>
                <w:kern w:val="0"/>
                <w:szCs w:val="21"/>
                <w:vertAlign w:val="superscript"/>
              </w:rPr>
              <w:t>*</w:t>
            </w:r>
          </w:p>
          <w:p>
            <w:pPr>
              <w:jc w:val="center"/>
              <w:rPr>
                <w:kern w:val="0"/>
                <w:szCs w:val="21"/>
              </w:rPr>
            </w:pPr>
            <w:r>
              <w:rPr>
                <w:kern w:val="0"/>
                <w:szCs w:val="21"/>
              </w:rPr>
              <w:t>(0.0135)</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18" w:type="dxa"/>
            <w:vAlign w:val="center"/>
          </w:tcPr>
          <w:p>
            <w:pPr>
              <w:jc w:val="center"/>
              <w:rPr>
                <w:i/>
                <w:iCs/>
                <w:kern w:val="0"/>
                <w:szCs w:val="21"/>
              </w:rPr>
            </w:pPr>
            <w:r>
              <w:rPr>
                <w:i/>
                <w:iCs/>
                <w:kern w:val="0"/>
                <w:szCs w:val="21"/>
              </w:rPr>
              <w:t>Health</w:t>
            </w:r>
          </w:p>
        </w:tc>
        <w:tc>
          <w:tcPr>
            <w:tcW w:w="1105" w:type="dxa"/>
            <w:vAlign w:val="center"/>
          </w:tcPr>
          <w:p>
            <w:pPr>
              <w:jc w:val="center"/>
              <w:rPr>
                <w:kern w:val="0"/>
                <w:szCs w:val="21"/>
              </w:rPr>
            </w:pPr>
            <w:r>
              <w:rPr>
                <w:kern w:val="0"/>
                <w:szCs w:val="21"/>
              </w:rPr>
              <w:t>0.0166</w:t>
            </w:r>
            <w:r>
              <w:rPr>
                <w:kern w:val="0"/>
                <w:szCs w:val="21"/>
                <w:vertAlign w:val="superscript"/>
              </w:rPr>
              <w:t>***</w:t>
            </w:r>
          </w:p>
          <w:p>
            <w:pPr>
              <w:jc w:val="center"/>
              <w:rPr>
                <w:kern w:val="0"/>
                <w:szCs w:val="21"/>
              </w:rPr>
            </w:pPr>
            <w:r>
              <w:rPr>
                <w:kern w:val="0"/>
                <w:szCs w:val="21"/>
              </w:rPr>
              <w:t>(0.0052)</w:t>
            </w:r>
          </w:p>
        </w:tc>
        <w:tc>
          <w:tcPr>
            <w:tcW w:w="1099" w:type="dxa"/>
            <w:vAlign w:val="center"/>
          </w:tcPr>
          <w:p>
            <w:pPr>
              <w:jc w:val="center"/>
              <w:rPr>
                <w:kern w:val="0"/>
                <w:szCs w:val="21"/>
              </w:rPr>
            </w:pPr>
            <w:r>
              <w:rPr>
                <w:kern w:val="0"/>
                <w:szCs w:val="21"/>
              </w:rPr>
              <w:t>0.0164</w:t>
            </w:r>
            <w:r>
              <w:rPr>
                <w:kern w:val="0"/>
                <w:szCs w:val="21"/>
                <w:vertAlign w:val="superscript"/>
              </w:rPr>
              <w:t>***</w:t>
            </w:r>
          </w:p>
          <w:p>
            <w:pPr>
              <w:jc w:val="center"/>
              <w:rPr>
                <w:kern w:val="0"/>
                <w:szCs w:val="21"/>
              </w:rPr>
            </w:pPr>
            <w:r>
              <w:rPr>
                <w:kern w:val="0"/>
                <w:szCs w:val="21"/>
              </w:rPr>
              <w:t>(0.0053)</w:t>
            </w:r>
          </w:p>
        </w:tc>
        <w:tc>
          <w:tcPr>
            <w:tcW w:w="1099" w:type="dxa"/>
            <w:vAlign w:val="center"/>
          </w:tcPr>
          <w:p>
            <w:pPr>
              <w:jc w:val="center"/>
              <w:rPr>
                <w:kern w:val="0"/>
                <w:szCs w:val="21"/>
              </w:rPr>
            </w:pPr>
            <w:r>
              <w:rPr>
                <w:kern w:val="0"/>
                <w:szCs w:val="21"/>
              </w:rPr>
              <w:t>0.0060</w:t>
            </w:r>
          </w:p>
          <w:p>
            <w:pPr>
              <w:jc w:val="center"/>
              <w:rPr>
                <w:kern w:val="0"/>
                <w:szCs w:val="21"/>
              </w:rPr>
            </w:pPr>
            <w:r>
              <w:rPr>
                <w:kern w:val="0"/>
                <w:szCs w:val="21"/>
              </w:rPr>
              <w:t>(0.0099)</w:t>
            </w:r>
          </w:p>
        </w:tc>
        <w:tc>
          <w:tcPr>
            <w:tcW w:w="1099" w:type="dxa"/>
            <w:vAlign w:val="center"/>
          </w:tcPr>
          <w:p>
            <w:pPr>
              <w:jc w:val="center"/>
              <w:rPr>
                <w:kern w:val="0"/>
                <w:szCs w:val="21"/>
              </w:rPr>
            </w:pPr>
            <w:r>
              <w:rPr>
                <w:kern w:val="0"/>
                <w:szCs w:val="21"/>
              </w:rPr>
              <w:t>0.0293</w:t>
            </w:r>
          </w:p>
          <w:p>
            <w:pPr>
              <w:jc w:val="center"/>
              <w:rPr>
                <w:kern w:val="0"/>
                <w:szCs w:val="21"/>
              </w:rPr>
            </w:pPr>
            <w:r>
              <w:rPr>
                <w:kern w:val="0"/>
                <w:szCs w:val="21"/>
              </w:rPr>
              <w:t>(0.0258)</w:t>
            </w:r>
          </w:p>
        </w:tc>
        <w:tc>
          <w:tcPr>
            <w:tcW w:w="1099" w:type="dxa"/>
            <w:vAlign w:val="center"/>
          </w:tcPr>
          <w:p>
            <w:pPr>
              <w:jc w:val="center"/>
              <w:rPr>
                <w:kern w:val="0"/>
                <w:szCs w:val="21"/>
              </w:rPr>
            </w:pPr>
            <w:r>
              <w:rPr>
                <w:kern w:val="0"/>
                <w:szCs w:val="21"/>
              </w:rPr>
              <w:t>0.0175</w:t>
            </w:r>
            <w:r>
              <w:rPr>
                <w:kern w:val="0"/>
                <w:szCs w:val="21"/>
                <w:vertAlign w:val="superscript"/>
              </w:rPr>
              <w:t>***</w:t>
            </w:r>
          </w:p>
          <w:p>
            <w:pPr>
              <w:jc w:val="center"/>
              <w:rPr>
                <w:kern w:val="0"/>
                <w:szCs w:val="21"/>
              </w:rPr>
            </w:pPr>
            <w:r>
              <w:rPr>
                <w:kern w:val="0"/>
                <w:szCs w:val="21"/>
              </w:rPr>
              <w:t>(0.0054)</w:t>
            </w:r>
          </w:p>
        </w:tc>
        <w:tc>
          <w:tcPr>
            <w:tcW w:w="1161" w:type="dxa"/>
            <w:vAlign w:val="center"/>
          </w:tcPr>
          <w:p>
            <w:pPr>
              <w:jc w:val="center"/>
              <w:rPr>
                <w:kern w:val="0"/>
                <w:szCs w:val="21"/>
              </w:rPr>
            </w:pPr>
            <w:r>
              <w:rPr>
                <w:kern w:val="0"/>
                <w:szCs w:val="21"/>
              </w:rPr>
              <w:t>0.0138</w:t>
            </w:r>
          </w:p>
          <w:p>
            <w:pPr>
              <w:jc w:val="center"/>
              <w:rPr>
                <w:kern w:val="0"/>
                <w:szCs w:val="21"/>
              </w:rPr>
            </w:pPr>
            <w:r>
              <w:rPr>
                <w:kern w:val="0"/>
                <w:szCs w:val="21"/>
              </w:rPr>
              <w:t>(0.0109)</w:t>
            </w:r>
          </w:p>
        </w:tc>
        <w:tc>
          <w:tcPr>
            <w:tcW w:w="1116" w:type="dxa"/>
            <w:vAlign w:val="center"/>
          </w:tcPr>
          <w:p>
            <w:pPr>
              <w:jc w:val="center"/>
              <w:rPr>
                <w:kern w:val="0"/>
                <w:szCs w:val="21"/>
              </w:rPr>
            </w:pPr>
            <w:r>
              <w:rPr>
                <w:kern w:val="0"/>
                <w:szCs w:val="21"/>
              </w:rPr>
              <w:t>0.0228</w:t>
            </w:r>
            <w:r>
              <w:rPr>
                <w:kern w:val="0"/>
                <w:szCs w:val="21"/>
                <w:vertAlign w:val="superscript"/>
              </w:rPr>
              <w:t>*</w:t>
            </w:r>
          </w:p>
          <w:p>
            <w:pPr>
              <w:jc w:val="center"/>
              <w:rPr>
                <w:kern w:val="0"/>
                <w:szCs w:val="21"/>
              </w:rPr>
            </w:pPr>
            <w:r>
              <w:rPr>
                <w:kern w:val="0"/>
                <w:szCs w:val="21"/>
              </w:rPr>
              <w:t>(0.0125)</w:t>
            </w:r>
          </w:p>
        </w:tc>
        <w:tc>
          <w:tcPr>
            <w:tcW w:w="1052" w:type="dxa"/>
            <w:vAlign w:val="center"/>
          </w:tcPr>
          <w:p>
            <w:pPr>
              <w:jc w:val="center"/>
              <w:rPr>
                <w:kern w:val="0"/>
                <w:szCs w:val="21"/>
              </w:rPr>
            </w:pPr>
            <w:r>
              <w:rPr>
                <w:kern w:val="0"/>
                <w:szCs w:val="21"/>
              </w:rPr>
              <w:t>-0.0952</w:t>
            </w:r>
            <w:r>
              <w:rPr>
                <w:kern w:val="0"/>
                <w:szCs w:val="21"/>
                <w:vertAlign w:val="superscript"/>
              </w:rPr>
              <w:t>*</w:t>
            </w:r>
          </w:p>
          <w:p>
            <w:pPr>
              <w:jc w:val="center"/>
              <w:rPr>
                <w:kern w:val="0"/>
                <w:szCs w:val="21"/>
              </w:rPr>
            </w:pPr>
            <w:r>
              <w:rPr>
                <w:kern w:val="0"/>
                <w:szCs w:val="21"/>
              </w:rPr>
              <w:t>(0.0547)</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18" w:type="dxa"/>
            <w:vAlign w:val="center"/>
          </w:tcPr>
          <w:p>
            <w:pPr>
              <w:jc w:val="center"/>
              <w:rPr>
                <w:kern w:val="0"/>
                <w:szCs w:val="21"/>
              </w:rPr>
            </w:pPr>
            <w:r>
              <w:rPr>
                <w:i/>
                <w:kern w:val="0"/>
                <w:szCs w:val="21"/>
              </w:rPr>
              <w:t>Hukou</w:t>
            </w:r>
          </w:p>
        </w:tc>
        <w:tc>
          <w:tcPr>
            <w:tcW w:w="1105" w:type="dxa"/>
            <w:vAlign w:val="center"/>
          </w:tcPr>
          <w:p>
            <w:pPr>
              <w:jc w:val="center"/>
              <w:rPr>
                <w:kern w:val="0"/>
                <w:szCs w:val="21"/>
              </w:rPr>
            </w:pPr>
            <w:r>
              <w:rPr>
                <w:kern w:val="0"/>
                <w:szCs w:val="21"/>
              </w:rPr>
              <w:t>-0.0100</w:t>
            </w:r>
            <w:r>
              <w:rPr>
                <w:kern w:val="0"/>
                <w:szCs w:val="21"/>
                <w:vertAlign w:val="superscript"/>
              </w:rPr>
              <w:t>***</w:t>
            </w:r>
          </w:p>
          <w:p>
            <w:pPr>
              <w:jc w:val="center"/>
              <w:rPr>
                <w:kern w:val="0"/>
                <w:szCs w:val="21"/>
              </w:rPr>
            </w:pPr>
            <w:r>
              <w:rPr>
                <w:kern w:val="0"/>
                <w:szCs w:val="21"/>
              </w:rPr>
              <w:t>(0.0021)</w:t>
            </w:r>
          </w:p>
        </w:tc>
        <w:tc>
          <w:tcPr>
            <w:tcW w:w="1099" w:type="dxa"/>
            <w:vAlign w:val="center"/>
          </w:tcPr>
          <w:p>
            <w:pPr>
              <w:jc w:val="center"/>
              <w:rPr>
                <w:kern w:val="0"/>
                <w:szCs w:val="21"/>
              </w:rPr>
            </w:pPr>
            <w:r>
              <w:rPr>
                <w:kern w:val="0"/>
                <w:szCs w:val="21"/>
              </w:rPr>
              <w:t>-0.0101</w:t>
            </w:r>
            <w:r>
              <w:rPr>
                <w:kern w:val="0"/>
                <w:szCs w:val="21"/>
                <w:vertAlign w:val="superscript"/>
              </w:rPr>
              <w:t>***</w:t>
            </w:r>
          </w:p>
          <w:p>
            <w:pPr>
              <w:jc w:val="center"/>
              <w:rPr>
                <w:kern w:val="0"/>
                <w:szCs w:val="21"/>
              </w:rPr>
            </w:pPr>
            <w:r>
              <w:rPr>
                <w:kern w:val="0"/>
                <w:szCs w:val="21"/>
              </w:rPr>
              <w:t>(0.0021)</w:t>
            </w:r>
          </w:p>
        </w:tc>
        <w:tc>
          <w:tcPr>
            <w:tcW w:w="1099" w:type="dxa"/>
            <w:vAlign w:val="center"/>
          </w:tcPr>
          <w:p>
            <w:pPr>
              <w:jc w:val="center"/>
              <w:rPr>
                <w:kern w:val="0"/>
                <w:szCs w:val="21"/>
              </w:rPr>
            </w:pPr>
            <w:r>
              <w:rPr>
                <w:kern w:val="0"/>
                <w:szCs w:val="21"/>
              </w:rPr>
              <w:t>0.0033</w:t>
            </w:r>
          </w:p>
          <w:p>
            <w:pPr>
              <w:jc w:val="center"/>
              <w:rPr>
                <w:kern w:val="0"/>
                <w:szCs w:val="21"/>
              </w:rPr>
            </w:pPr>
            <w:r>
              <w:rPr>
                <w:kern w:val="0"/>
                <w:szCs w:val="21"/>
              </w:rPr>
              <w:t>(0.0057)</w:t>
            </w:r>
          </w:p>
        </w:tc>
        <w:tc>
          <w:tcPr>
            <w:tcW w:w="1099" w:type="dxa"/>
            <w:vAlign w:val="center"/>
          </w:tcPr>
          <w:p>
            <w:pPr>
              <w:jc w:val="center"/>
              <w:rPr>
                <w:kern w:val="0"/>
                <w:szCs w:val="21"/>
              </w:rPr>
            </w:pPr>
            <w:r>
              <w:rPr>
                <w:kern w:val="0"/>
                <w:szCs w:val="21"/>
              </w:rPr>
              <w:t>0.0232</w:t>
            </w:r>
            <w:r>
              <w:rPr>
                <w:kern w:val="0"/>
                <w:szCs w:val="21"/>
                <w:vertAlign w:val="superscript"/>
              </w:rPr>
              <w:t>***</w:t>
            </w:r>
          </w:p>
          <w:p>
            <w:pPr>
              <w:jc w:val="center"/>
              <w:rPr>
                <w:kern w:val="0"/>
                <w:szCs w:val="21"/>
              </w:rPr>
            </w:pPr>
            <w:r>
              <w:rPr>
                <w:kern w:val="0"/>
                <w:szCs w:val="21"/>
              </w:rPr>
              <w:t>(0.0041)</w:t>
            </w:r>
          </w:p>
        </w:tc>
        <w:tc>
          <w:tcPr>
            <w:tcW w:w="1099" w:type="dxa"/>
            <w:vAlign w:val="center"/>
          </w:tcPr>
          <w:p>
            <w:pPr>
              <w:jc w:val="center"/>
              <w:rPr>
                <w:kern w:val="0"/>
                <w:szCs w:val="21"/>
              </w:rPr>
            </w:pPr>
            <w:r>
              <w:rPr>
                <w:kern w:val="0"/>
                <w:szCs w:val="21"/>
              </w:rPr>
              <w:t>-0.0213</w:t>
            </w:r>
            <w:r>
              <w:rPr>
                <w:kern w:val="0"/>
                <w:szCs w:val="21"/>
                <w:vertAlign w:val="superscript"/>
              </w:rPr>
              <w:t>***</w:t>
            </w:r>
          </w:p>
          <w:p>
            <w:pPr>
              <w:jc w:val="center"/>
              <w:rPr>
                <w:kern w:val="0"/>
                <w:szCs w:val="21"/>
              </w:rPr>
            </w:pPr>
            <w:r>
              <w:rPr>
                <w:kern w:val="0"/>
                <w:szCs w:val="21"/>
              </w:rPr>
              <w:t>(0.0026)</w:t>
            </w:r>
          </w:p>
        </w:tc>
        <w:tc>
          <w:tcPr>
            <w:tcW w:w="1161" w:type="dxa"/>
            <w:vAlign w:val="center"/>
          </w:tcPr>
          <w:p>
            <w:pPr>
              <w:jc w:val="center"/>
              <w:rPr>
                <w:kern w:val="0"/>
                <w:szCs w:val="21"/>
              </w:rPr>
            </w:pPr>
            <w:r>
              <w:rPr>
                <w:kern w:val="0"/>
                <w:szCs w:val="21"/>
              </w:rPr>
              <w:t>-0.0102</w:t>
            </w:r>
            <w:r>
              <w:rPr>
                <w:kern w:val="0"/>
                <w:szCs w:val="21"/>
                <w:vertAlign w:val="superscript"/>
              </w:rPr>
              <w:t>***</w:t>
            </w:r>
          </w:p>
          <w:p>
            <w:pPr>
              <w:jc w:val="center"/>
              <w:rPr>
                <w:kern w:val="0"/>
                <w:szCs w:val="21"/>
              </w:rPr>
            </w:pPr>
            <w:r>
              <w:rPr>
                <w:kern w:val="0"/>
                <w:szCs w:val="21"/>
              </w:rPr>
              <w:t>(0.0035)</w:t>
            </w:r>
          </w:p>
        </w:tc>
        <w:tc>
          <w:tcPr>
            <w:tcW w:w="1116" w:type="dxa"/>
            <w:vAlign w:val="center"/>
          </w:tcPr>
          <w:p>
            <w:pPr>
              <w:jc w:val="center"/>
              <w:rPr>
                <w:kern w:val="0"/>
                <w:szCs w:val="21"/>
              </w:rPr>
            </w:pPr>
            <w:r>
              <w:rPr>
                <w:kern w:val="0"/>
                <w:szCs w:val="21"/>
              </w:rPr>
              <w:t>-0.0153</w:t>
            </w:r>
            <w:r>
              <w:rPr>
                <w:kern w:val="0"/>
                <w:szCs w:val="21"/>
                <w:vertAlign w:val="superscript"/>
              </w:rPr>
              <w:t>***</w:t>
            </w:r>
          </w:p>
          <w:p>
            <w:pPr>
              <w:jc w:val="center"/>
              <w:rPr>
                <w:kern w:val="0"/>
                <w:szCs w:val="21"/>
              </w:rPr>
            </w:pPr>
            <w:r>
              <w:rPr>
                <w:kern w:val="0"/>
                <w:szCs w:val="21"/>
              </w:rPr>
              <w:t>(0.0035)</w:t>
            </w:r>
          </w:p>
        </w:tc>
        <w:tc>
          <w:tcPr>
            <w:tcW w:w="1052" w:type="dxa"/>
            <w:vAlign w:val="center"/>
          </w:tcPr>
          <w:p>
            <w:pPr>
              <w:jc w:val="center"/>
              <w:rPr>
                <w:kern w:val="0"/>
                <w:szCs w:val="21"/>
              </w:rPr>
            </w:pPr>
            <w:r>
              <w:rPr>
                <w:kern w:val="0"/>
                <w:szCs w:val="21"/>
              </w:rPr>
              <w:t>-0.0165</w:t>
            </w:r>
          </w:p>
          <w:p>
            <w:pPr>
              <w:jc w:val="center"/>
              <w:rPr>
                <w:kern w:val="0"/>
                <w:szCs w:val="21"/>
              </w:rPr>
            </w:pPr>
            <w:r>
              <w:rPr>
                <w:kern w:val="0"/>
                <w:szCs w:val="21"/>
              </w:rPr>
              <w:t>(0.0106)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418" w:type="dxa"/>
            <w:vAlign w:val="center"/>
          </w:tcPr>
          <w:p>
            <w:pPr>
              <w:jc w:val="center"/>
              <w:rPr>
                <w:kern w:val="0"/>
                <w:szCs w:val="21"/>
              </w:rPr>
            </w:pPr>
            <w:r>
              <w:rPr>
                <w:kern w:val="0"/>
                <w:sz w:val="20"/>
                <w:szCs w:val="20"/>
              </w:rPr>
              <w:t>城市控制变量</w:t>
            </w:r>
          </w:p>
        </w:tc>
        <w:tc>
          <w:tcPr>
            <w:tcW w:w="1105" w:type="dxa"/>
            <w:vAlign w:val="center"/>
          </w:tcPr>
          <w:p>
            <w:pPr>
              <w:jc w:val="center"/>
              <w:rPr>
                <w:kern w:val="0"/>
                <w:szCs w:val="21"/>
              </w:rPr>
            </w:pPr>
            <w:r>
              <w:rPr>
                <w:kern w:val="0"/>
                <w:szCs w:val="21"/>
              </w:rPr>
              <w:t>Yes</w:t>
            </w:r>
          </w:p>
        </w:tc>
        <w:tc>
          <w:tcPr>
            <w:tcW w:w="1099" w:type="dxa"/>
            <w:vAlign w:val="center"/>
          </w:tcPr>
          <w:p>
            <w:pPr>
              <w:jc w:val="center"/>
              <w:rPr>
                <w:kern w:val="0"/>
                <w:szCs w:val="21"/>
              </w:rPr>
            </w:pPr>
            <w:r>
              <w:rPr>
                <w:kern w:val="0"/>
                <w:szCs w:val="21"/>
              </w:rPr>
              <w:t>Yes</w:t>
            </w:r>
          </w:p>
        </w:tc>
        <w:tc>
          <w:tcPr>
            <w:tcW w:w="1099" w:type="dxa"/>
            <w:vAlign w:val="center"/>
          </w:tcPr>
          <w:p>
            <w:pPr>
              <w:jc w:val="center"/>
              <w:rPr>
                <w:kern w:val="0"/>
                <w:szCs w:val="21"/>
              </w:rPr>
            </w:pPr>
            <w:r>
              <w:rPr>
                <w:kern w:val="0"/>
                <w:szCs w:val="21"/>
              </w:rPr>
              <w:t>Yes</w:t>
            </w:r>
          </w:p>
        </w:tc>
        <w:tc>
          <w:tcPr>
            <w:tcW w:w="1099" w:type="dxa"/>
            <w:vAlign w:val="center"/>
          </w:tcPr>
          <w:p>
            <w:pPr>
              <w:jc w:val="center"/>
              <w:rPr>
                <w:kern w:val="0"/>
                <w:szCs w:val="21"/>
              </w:rPr>
            </w:pPr>
            <w:r>
              <w:rPr>
                <w:kern w:val="0"/>
                <w:szCs w:val="21"/>
              </w:rPr>
              <w:t>Yes</w:t>
            </w:r>
          </w:p>
        </w:tc>
        <w:tc>
          <w:tcPr>
            <w:tcW w:w="1099" w:type="dxa"/>
            <w:vAlign w:val="center"/>
          </w:tcPr>
          <w:p>
            <w:pPr>
              <w:jc w:val="center"/>
              <w:rPr>
                <w:kern w:val="0"/>
                <w:szCs w:val="21"/>
              </w:rPr>
            </w:pPr>
            <w:r>
              <w:rPr>
                <w:kern w:val="0"/>
                <w:szCs w:val="21"/>
              </w:rPr>
              <w:t>Yes</w:t>
            </w:r>
          </w:p>
        </w:tc>
        <w:tc>
          <w:tcPr>
            <w:tcW w:w="1161" w:type="dxa"/>
            <w:vAlign w:val="center"/>
          </w:tcPr>
          <w:p>
            <w:pPr>
              <w:jc w:val="center"/>
              <w:rPr>
                <w:kern w:val="0"/>
                <w:szCs w:val="21"/>
              </w:rPr>
            </w:pPr>
            <w:r>
              <w:rPr>
                <w:kern w:val="0"/>
                <w:szCs w:val="21"/>
              </w:rPr>
              <w:t>Yes</w:t>
            </w:r>
          </w:p>
        </w:tc>
        <w:tc>
          <w:tcPr>
            <w:tcW w:w="1116" w:type="dxa"/>
            <w:vAlign w:val="center"/>
          </w:tcPr>
          <w:p>
            <w:pPr>
              <w:jc w:val="center"/>
              <w:rPr>
                <w:kern w:val="0"/>
                <w:szCs w:val="21"/>
              </w:rPr>
            </w:pPr>
            <w:r>
              <w:rPr>
                <w:kern w:val="0"/>
                <w:szCs w:val="21"/>
              </w:rPr>
              <w:t>Yes</w:t>
            </w:r>
          </w:p>
        </w:tc>
        <w:tc>
          <w:tcPr>
            <w:tcW w:w="1052" w:type="dxa"/>
            <w:vAlign w:val="center"/>
          </w:tcPr>
          <w:p>
            <w:pPr>
              <w:jc w:val="center"/>
              <w:rPr>
                <w:kern w:val="0"/>
                <w:szCs w:val="21"/>
              </w:rPr>
            </w:pPr>
            <w:r>
              <w:rPr>
                <w:kern w:val="0"/>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418" w:type="dxa"/>
            <w:vAlign w:val="center"/>
          </w:tcPr>
          <w:p>
            <w:pPr>
              <w:jc w:val="center"/>
              <w:rPr>
                <w:kern w:val="0"/>
                <w:szCs w:val="21"/>
              </w:rPr>
            </w:pPr>
            <w:r>
              <w:rPr>
                <w:kern w:val="0"/>
                <w:szCs w:val="21"/>
              </w:rPr>
              <w:t>样本量</w:t>
            </w:r>
          </w:p>
        </w:tc>
        <w:tc>
          <w:tcPr>
            <w:tcW w:w="1105" w:type="dxa"/>
            <w:vAlign w:val="center"/>
          </w:tcPr>
          <w:p>
            <w:pPr>
              <w:jc w:val="center"/>
              <w:rPr>
                <w:kern w:val="0"/>
                <w:szCs w:val="21"/>
              </w:rPr>
            </w:pPr>
            <w:r>
              <w:rPr>
                <w:kern w:val="0"/>
                <w:szCs w:val="21"/>
              </w:rPr>
              <w:t>148632</w:t>
            </w:r>
          </w:p>
        </w:tc>
        <w:tc>
          <w:tcPr>
            <w:tcW w:w="1099" w:type="dxa"/>
            <w:vAlign w:val="center"/>
          </w:tcPr>
          <w:p>
            <w:pPr>
              <w:jc w:val="center"/>
              <w:rPr>
                <w:kern w:val="0"/>
                <w:szCs w:val="21"/>
              </w:rPr>
            </w:pPr>
            <w:r>
              <w:rPr>
                <w:kern w:val="0"/>
                <w:szCs w:val="21"/>
              </w:rPr>
              <w:t>148632</w:t>
            </w:r>
          </w:p>
        </w:tc>
        <w:tc>
          <w:tcPr>
            <w:tcW w:w="1099" w:type="dxa"/>
            <w:vAlign w:val="center"/>
          </w:tcPr>
          <w:p>
            <w:pPr>
              <w:jc w:val="center"/>
              <w:rPr>
                <w:kern w:val="0"/>
                <w:szCs w:val="21"/>
              </w:rPr>
            </w:pPr>
            <w:r>
              <w:rPr>
                <w:kern w:val="0"/>
                <w:szCs w:val="21"/>
              </w:rPr>
              <w:t>23652</w:t>
            </w:r>
          </w:p>
        </w:tc>
        <w:tc>
          <w:tcPr>
            <w:tcW w:w="1099" w:type="dxa"/>
            <w:vAlign w:val="center"/>
          </w:tcPr>
          <w:p>
            <w:pPr>
              <w:jc w:val="center"/>
              <w:rPr>
                <w:kern w:val="0"/>
                <w:szCs w:val="21"/>
              </w:rPr>
            </w:pPr>
            <w:r>
              <w:rPr>
                <w:kern w:val="0"/>
                <w:szCs w:val="21"/>
              </w:rPr>
              <w:t>27336</w:t>
            </w:r>
          </w:p>
        </w:tc>
        <w:tc>
          <w:tcPr>
            <w:tcW w:w="1099" w:type="dxa"/>
            <w:vAlign w:val="center"/>
          </w:tcPr>
          <w:p>
            <w:pPr>
              <w:jc w:val="center"/>
              <w:rPr>
                <w:kern w:val="0"/>
                <w:szCs w:val="21"/>
              </w:rPr>
            </w:pPr>
            <w:r>
              <w:rPr>
                <w:kern w:val="0"/>
                <w:szCs w:val="21"/>
              </w:rPr>
              <w:t>121296</w:t>
            </w:r>
          </w:p>
        </w:tc>
        <w:tc>
          <w:tcPr>
            <w:tcW w:w="1161" w:type="dxa"/>
            <w:vAlign w:val="center"/>
          </w:tcPr>
          <w:p>
            <w:pPr>
              <w:jc w:val="center"/>
              <w:rPr>
                <w:kern w:val="0"/>
                <w:szCs w:val="21"/>
              </w:rPr>
            </w:pPr>
            <w:r>
              <w:rPr>
                <w:kern w:val="0"/>
                <w:szCs w:val="21"/>
              </w:rPr>
              <w:t>64262</w:t>
            </w:r>
          </w:p>
        </w:tc>
        <w:tc>
          <w:tcPr>
            <w:tcW w:w="1116" w:type="dxa"/>
            <w:vAlign w:val="center"/>
          </w:tcPr>
          <w:p>
            <w:pPr>
              <w:jc w:val="center"/>
              <w:rPr>
                <w:kern w:val="0"/>
                <w:szCs w:val="21"/>
              </w:rPr>
            </w:pPr>
            <w:r>
              <w:rPr>
                <w:kern w:val="0"/>
                <w:szCs w:val="21"/>
              </w:rPr>
              <w:t>40836</w:t>
            </w:r>
          </w:p>
        </w:tc>
        <w:tc>
          <w:tcPr>
            <w:tcW w:w="1052" w:type="dxa"/>
            <w:vAlign w:val="center"/>
          </w:tcPr>
          <w:p>
            <w:pPr>
              <w:jc w:val="center"/>
              <w:rPr>
                <w:kern w:val="0"/>
                <w:szCs w:val="21"/>
              </w:rPr>
            </w:pPr>
            <w:r>
              <w:rPr>
                <w:kern w:val="0"/>
                <w:szCs w:val="21"/>
              </w:rPr>
              <w:t>4928</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418" w:type="dxa"/>
            <w:vAlign w:val="center"/>
          </w:tcPr>
          <w:p>
            <w:pPr>
              <w:jc w:val="center"/>
              <w:rPr>
                <w:i/>
                <w:iCs/>
                <w:kern w:val="0"/>
                <w:szCs w:val="21"/>
              </w:rPr>
            </w:pPr>
            <w:r>
              <w:rPr>
                <w:i/>
                <w:iCs/>
                <w:kern w:val="0"/>
                <w:szCs w:val="21"/>
              </w:rPr>
              <w:t>R</w:t>
            </w:r>
            <w:r>
              <w:rPr>
                <w:i/>
                <w:iCs/>
                <w:kern w:val="0"/>
                <w:szCs w:val="21"/>
                <w:vertAlign w:val="superscript"/>
              </w:rPr>
              <w:t>2</w:t>
            </w:r>
          </w:p>
        </w:tc>
        <w:tc>
          <w:tcPr>
            <w:tcW w:w="1105" w:type="dxa"/>
            <w:vAlign w:val="center"/>
          </w:tcPr>
          <w:p>
            <w:pPr>
              <w:jc w:val="center"/>
              <w:rPr>
                <w:kern w:val="0"/>
                <w:szCs w:val="21"/>
              </w:rPr>
            </w:pPr>
            <w:r>
              <w:rPr>
                <w:kern w:val="0"/>
                <w:szCs w:val="21"/>
              </w:rPr>
              <w:t>0.2118</w:t>
            </w:r>
          </w:p>
        </w:tc>
        <w:tc>
          <w:tcPr>
            <w:tcW w:w="1099" w:type="dxa"/>
            <w:vAlign w:val="center"/>
          </w:tcPr>
          <w:p>
            <w:pPr>
              <w:jc w:val="center"/>
              <w:rPr>
                <w:kern w:val="0"/>
                <w:szCs w:val="21"/>
              </w:rPr>
            </w:pPr>
            <w:r>
              <w:rPr>
                <w:kern w:val="0"/>
                <w:szCs w:val="21"/>
              </w:rPr>
              <w:t>0.2155</w:t>
            </w:r>
          </w:p>
        </w:tc>
        <w:tc>
          <w:tcPr>
            <w:tcW w:w="1099" w:type="dxa"/>
            <w:vAlign w:val="center"/>
          </w:tcPr>
          <w:p>
            <w:pPr>
              <w:jc w:val="center"/>
              <w:rPr>
                <w:kern w:val="0"/>
                <w:szCs w:val="21"/>
              </w:rPr>
            </w:pPr>
            <w:r>
              <w:rPr>
                <w:kern w:val="0"/>
                <w:szCs w:val="21"/>
              </w:rPr>
              <w:t>0.2028</w:t>
            </w:r>
          </w:p>
        </w:tc>
        <w:tc>
          <w:tcPr>
            <w:tcW w:w="1099" w:type="dxa"/>
            <w:vAlign w:val="center"/>
          </w:tcPr>
          <w:p>
            <w:pPr>
              <w:jc w:val="center"/>
              <w:rPr>
                <w:kern w:val="0"/>
                <w:szCs w:val="21"/>
              </w:rPr>
            </w:pPr>
            <w:r>
              <w:rPr>
                <w:kern w:val="0"/>
                <w:szCs w:val="21"/>
              </w:rPr>
              <w:t>0.2450</w:t>
            </w:r>
          </w:p>
        </w:tc>
        <w:tc>
          <w:tcPr>
            <w:tcW w:w="1099" w:type="dxa"/>
            <w:vAlign w:val="center"/>
          </w:tcPr>
          <w:p>
            <w:pPr>
              <w:jc w:val="center"/>
              <w:rPr>
                <w:kern w:val="0"/>
                <w:szCs w:val="21"/>
              </w:rPr>
            </w:pPr>
            <w:r>
              <w:rPr>
                <w:kern w:val="0"/>
                <w:szCs w:val="21"/>
              </w:rPr>
              <w:t>0.2072</w:t>
            </w:r>
          </w:p>
        </w:tc>
        <w:tc>
          <w:tcPr>
            <w:tcW w:w="1161" w:type="dxa"/>
            <w:vAlign w:val="center"/>
          </w:tcPr>
          <w:p>
            <w:pPr>
              <w:jc w:val="center"/>
              <w:rPr>
                <w:kern w:val="0"/>
                <w:szCs w:val="21"/>
              </w:rPr>
            </w:pPr>
            <w:r>
              <w:rPr>
                <w:kern w:val="0"/>
                <w:szCs w:val="21"/>
              </w:rPr>
              <w:t>0.2007</w:t>
            </w:r>
          </w:p>
        </w:tc>
        <w:tc>
          <w:tcPr>
            <w:tcW w:w="1116" w:type="dxa"/>
            <w:vAlign w:val="center"/>
          </w:tcPr>
          <w:p>
            <w:pPr>
              <w:jc w:val="center"/>
              <w:rPr>
                <w:kern w:val="0"/>
                <w:szCs w:val="21"/>
              </w:rPr>
            </w:pPr>
            <w:r>
              <w:rPr>
                <w:kern w:val="0"/>
                <w:szCs w:val="21"/>
              </w:rPr>
              <w:t>0.2363</w:t>
            </w:r>
          </w:p>
        </w:tc>
        <w:tc>
          <w:tcPr>
            <w:tcW w:w="1052" w:type="dxa"/>
            <w:vAlign w:val="center"/>
          </w:tcPr>
          <w:p>
            <w:pPr>
              <w:jc w:val="center"/>
              <w:rPr>
                <w:kern w:val="0"/>
                <w:szCs w:val="21"/>
              </w:rPr>
            </w:pPr>
            <w:r>
              <w:rPr>
                <w:kern w:val="0"/>
                <w:szCs w:val="21"/>
              </w:rPr>
              <w:t>0.2797</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注：各变量括号内采用城市层面聚类稳健标准误；*、**和***分别表示在10%、5%和1%的置信水平下显著。</w:t>
      </w:r>
    </w:p>
    <w:p>
      <w:pPr>
        <w:ind w:firstLine="420" w:firstLineChars="200"/>
      </w:pPr>
      <w:r>
        <w:rPr>
          <w:szCs w:val="21"/>
        </w:rPr>
        <w:t>根据表12估计结果可知，表12的第（1）列给出了地方政府税收竞争对劳动力跨区流动影响的实证结果，回归结果表明，一是从劳动力流动程度来看，地方政府税收竞争对吸引劳动力要素流动具有显著的正向促进作用。其中，当税收竞争程度每提高1个单位，劳动力跨区流动的概率平均提高0.68%，这意味着通过降低税率等形式开展的地区税收竞争程度越高，不仅劳动力跨地区流动的动机越强，而且集聚效应也越明显，这一实证结果验证了本文第三部分理论模型部分所提出的，即地方政府</w:t>
      </w:r>
      <w:r>
        <w:t>税收竞争的核心主要体现在“用脚投票”的生产要素竞争。进一步，在第（2）列本文采用Probit模型进行回归结果依然显著为正。二是从劳动力流动因素来看，可以分为经济因素和社会因素。因此，本文根据问卷调查中流动因素将“务工、经商”归为经济因素，将“家属随迁、婚姻嫁娶、拆迁搬家、异地养老”等归为社会因素。在表12第（3）列中剔除了社会因素的潜在影响后，回归结果并没有发生明显变化，可以基本认定劳动力流动的主要驱动因素是经济因素（郝淑玲等，2023）。三是从劳动力质量方面，地方政府税收竞争对不同层次人力资本流动具有显著的结构效应。因考虑到不同劳动力素质受地方政府税收竞争的影响存在一定差异，即理论上认为具有竞争优势的地区往往借助优惠的财税补贴政策、健全的社会保障制度、良好的教育与医疗资源成为高端人力资本的集聚地，譬如近年来各地区开展的“抢人大战”便是最为深刻的写照。低门槛的落户条件、高额的购房补贴以及优质的创业环境是地方政府进行人才竞争的主要政策工具，而劳动力结构中高学历、高素质人口形成的“人力资本红利”不仅能够提高城市整体素质与降低社会管理成本，而且高、低技能劳动者之间的互补性也有利于促进劳动生产效率的提升（张同斌，2016）。因此，为捕捉地方政府税收竞争对不同层次人力资本流动的影响，本文将学历在大专、本科以及上的流动人口定义为优质劳动力，将学历在高中、中专及以下的流动人口定义为普通劳动力。具体由表12的第（4）、（5）列给出了劳动力质量的分样本回归结果。其中，</w:t>
      </w:r>
      <w:r>
        <w:rPr>
          <w:szCs w:val="21"/>
        </w:rPr>
        <w:t>当税收竞争程度提高1个单位，优质劳动力跨区流动的概率平均提高0.72%，而普通劳动力跨区流动的概率平均提高0.67%。</w:t>
      </w:r>
      <w:r>
        <w:t>相比于普通劳动力，地方政府税收竞争对优质劳动力跨区流动的吸引作用相对高出7.46%。四是从劳动力行业类型方面，劳动力所从事的职业和行业受到税收竞争的影响程度不同，对劳动力的迁移和流动决策影响也会存在差异（韩润霖等，2023）。因此，在第（6）—（8）列中将劳动力从事的行业类型进行分组回归，结果显示从事生产、制造、建筑、运输等劳动密集型行业的劳动力流动受税收竞争影响最大，税收竞争程度每提高1%，劳动力流动的概率平均提高1.114%。而从事科研技术、教育行业的劳动力也受地区间税收竞争的影响，政府实施的税收抵免以及高端人才补贴等优惠政策对优质劳动力的流入产生正向激励，合理、有序的税收竞争能够营造良好的经济发展环境，从而带动地区要素生产效率的提升（Fulvio et al，2015）。由此可见，地方政府税收竞争通过影响劳动力流动数量和质量改变地区间的要素流动性，进而对地区经济发展不平衡产生显著影响，以上这一研究结论与前述理论分析完全一致。</w:t>
      </w:r>
    </w:p>
    <w:p>
      <w:pPr>
        <w:ind w:firstLine="420" w:firstLineChars="200"/>
      </w:pPr>
      <w:r>
        <w:t>另外，</w:t>
      </w:r>
      <w:r>
        <w:rPr>
          <w:szCs w:val="21"/>
        </w:rPr>
        <w:t>税收竞争影响劳动力流动的微观机制还包括“福利效应”和“挤出效应”。</w:t>
      </w:r>
      <w:r>
        <w:t>桎梏于户籍制度，流动人口无法同本地居民一样享受当地政府提供的教育、医疗以及养老等公共服务，而住房问题更是成为劳动力进行跨区流动需要解决的首要问题，劳动力进行跨区流动后往往需要付出较高的安置成本才能融入当地的社会生活之中，表现为对劳动力的“挤出效应” （张熠等，2021）。因此，正如理论分析所言，劳动力流动成本越大，人口流动的阻力就会越大，从而抑制了生产要素的“用脚投票”现象。与之相对，本文在公式（27）中加入地方政府税收竞争与劳动力流动障碍的交互项来捕捉劳动力迁移成本对地方政府税收竞争的影响，具体估计结果如表13的第（1）列所示。其中，劳动力流动障碍采用问卷中被访问者在本地平均每月住房支出（仅房租/房贷）占每月总收入之比进行衡量。由表13第（1）列的估计结果可知，地方政府税收竞争与劳动力流动障碍的交乘项的回归系数估计值显著为负，即表明劳动力流动成本越高，迁移阻力就会越强，地方政府税收竞争带来的正外部性对劳动力要素的吸引能力就越被削弱，“挤出效应”越明显。</w:t>
      </w:r>
    </w:p>
    <w:p>
      <w:pPr>
        <w:ind w:firstLine="420" w:firstLineChars="200"/>
      </w:pPr>
      <w:r>
        <w:rPr>
          <w:szCs w:val="21"/>
        </w:rPr>
        <w:t>有效的地方政府税收竞争能够促使地方政府致力于获取与本地居民偏好更为匹配的支出决策，以达到公共品与税收的帕累托有效，从而增进地区社会福祉和提高居民满意度，表现为对劳动力的“福利效应”（Tiebout，1956；马恩涛，2008；杨晓军，2017）。有鉴于此，本文采用问卷中“您是否同意我喜欢我现在居住的城市/地方这个说法”作为衡量当地公共服务质量的代理变量，其中回答“完全同意”赋值为4，“基本同意”赋值为3，“不同意”赋值为2，“完全不同意”赋值为1，且数值越高代表当地公共服务与居民需求的匹配度越高。在表13中，第（2）列反映地方政府税收竞争、公共服务质量以及两者交互项对劳动力跨区流动的影响。根据表13第（2）列的回归结果显示，地方政府税收竞争与公共服务质量交互项的回归系数估计值显著为正，则意味着地方政府支出偏好越契合居民需求，地方政府提供的公共服务质量就会越高，地方政府税收竞争对劳动力要素的吸引能力就会越强，“福利效应”越显著，以上</w:t>
      </w:r>
      <w:r>
        <w:t>研究结论与前述理论分析完全一致。</w:t>
      </w:r>
    </w:p>
    <w:p>
      <w:pPr>
        <w:spacing w:before="178" w:beforeLines="50"/>
        <w:jc w:val="center"/>
        <w:rPr>
          <w:rFonts w:eastAsia="仿宋"/>
          <w:sz w:val="22"/>
          <w:szCs w:val="24"/>
        </w:rPr>
      </w:pPr>
      <w:r>
        <w:rPr>
          <w:rFonts w:eastAsia="楷体"/>
          <w:szCs w:val="21"/>
        </w:rPr>
        <w:t>表13  地方政府税收竞争对劳动力流动的微观影响机制检验（2）</w:t>
      </w:r>
    </w:p>
    <w:tbl>
      <w:tblPr>
        <w:tblStyle w:val="13"/>
        <w:tblW w:w="9016" w:type="dxa"/>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3158"/>
        <w:gridCol w:w="3158"/>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2700" w:type="dxa"/>
            <w:vMerge w:val="restart"/>
            <w:vAlign w:val="center"/>
          </w:tcPr>
          <w:p>
            <w:pPr>
              <w:autoSpaceDE w:val="0"/>
              <w:autoSpaceDN w:val="0"/>
              <w:adjustRightInd w:val="0"/>
              <w:jc w:val="center"/>
              <w:rPr>
                <w:kern w:val="0"/>
                <w:szCs w:val="21"/>
              </w:rPr>
            </w:pPr>
            <w:r>
              <w:rPr>
                <w:kern w:val="0"/>
                <w:szCs w:val="21"/>
              </w:rPr>
              <w:t>被解释变量</w:t>
            </w:r>
          </w:p>
        </w:tc>
        <w:tc>
          <w:tcPr>
            <w:tcW w:w="6316" w:type="dxa"/>
            <w:gridSpan w:val="2"/>
            <w:vAlign w:val="center"/>
          </w:tcPr>
          <w:p>
            <w:pPr>
              <w:autoSpaceDE w:val="0"/>
              <w:autoSpaceDN w:val="0"/>
              <w:adjustRightInd w:val="0"/>
              <w:jc w:val="center"/>
              <w:rPr>
                <w:kern w:val="0"/>
                <w:szCs w:val="21"/>
              </w:rPr>
            </w:pPr>
            <w:r>
              <w:rPr>
                <w:kern w:val="0"/>
                <w:szCs w:val="21"/>
              </w:rPr>
              <w:t>劳动力跨区流动</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2700" w:type="dxa"/>
            <w:vMerge w:val="continue"/>
            <w:vAlign w:val="center"/>
          </w:tcPr>
          <w:p>
            <w:pPr>
              <w:autoSpaceDE w:val="0"/>
              <w:autoSpaceDN w:val="0"/>
              <w:adjustRightInd w:val="0"/>
              <w:jc w:val="center"/>
              <w:rPr>
                <w:i/>
                <w:kern w:val="0"/>
                <w:szCs w:val="21"/>
              </w:rPr>
            </w:pPr>
          </w:p>
        </w:tc>
        <w:tc>
          <w:tcPr>
            <w:tcW w:w="3158" w:type="dxa"/>
            <w:vAlign w:val="center"/>
          </w:tcPr>
          <w:p>
            <w:pPr>
              <w:autoSpaceDE w:val="0"/>
              <w:autoSpaceDN w:val="0"/>
              <w:adjustRightInd w:val="0"/>
              <w:jc w:val="center"/>
              <w:rPr>
                <w:kern w:val="0"/>
                <w:szCs w:val="21"/>
              </w:rPr>
            </w:pPr>
            <w:r>
              <w:rPr>
                <w:kern w:val="0"/>
                <w:szCs w:val="21"/>
              </w:rPr>
              <w:t>(1)</w:t>
            </w:r>
          </w:p>
        </w:tc>
        <w:tc>
          <w:tcPr>
            <w:tcW w:w="3158" w:type="dxa"/>
            <w:vAlign w:val="center"/>
          </w:tcPr>
          <w:p>
            <w:pPr>
              <w:autoSpaceDE w:val="0"/>
              <w:autoSpaceDN w:val="0"/>
              <w:adjustRightInd w:val="0"/>
              <w:jc w:val="center"/>
              <w:rPr>
                <w:kern w:val="0"/>
                <w:szCs w:val="21"/>
              </w:rPr>
            </w:pPr>
            <w:r>
              <w:rPr>
                <w:kern w:val="0"/>
                <w:szCs w:val="21"/>
              </w:rPr>
              <w:t>(2)</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700" w:type="dxa"/>
            <w:vAlign w:val="center"/>
          </w:tcPr>
          <w:p>
            <w:pPr>
              <w:autoSpaceDE w:val="0"/>
              <w:autoSpaceDN w:val="0"/>
              <w:adjustRightInd w:val="0"/>
              <w:jc w:val="center"/>
              <w:rPr>
                <w:i/>
                <w:kern w:val="0"/>
                <w:szCs w:val="21"/>
              </w:rPr>
            </w:pPr>
            <w:r>
              <w:rPr>
                <w:i/>
                <w:kern w:val="0"/>
                <w:szCs w:val="21"/>
              </w:rPr>
              <w:t>Taxcom</w:t>
            </w:r>
          </w:p>
        </w:tc>
        <w:tc>
          <w:tcPr>
            <w:tcW w:w="3158" w:type="dxa"/>
            <w:vAlign w:val="center"/>
          </w:tcPr>
          <w:p>
            <w:pPr>
              <w:autoSpaceDE w:val="0"/>
              <w:autoSpaceDN w:val="0"/>
              <w:adjustRightInd w:val="0"/>
              <w:jc w:val="center"/>
              <w:rPr>
                <w:kern w:val="0"/>
                <w:szCs w:val="21"/>
              </w:rPr>
            </w:pPr>
            <w:r>
              <w:rPr>
                <w:kern w:val="0"/>
                <w:szCs w:val="21"/>
              </w:rPr>
              <w:t>0.4765</w:t>
            </w:r>
            <w:r>
              <w:rPr>
                <w:kern w:val="0"/>
                <w:szCs w:val="21"/>
                <w:vertAlign w:val="superscript"/>
              </w:rPr>
              <w:t>***</w:t>
            </w:r>
          </w:p>
          <w:p>
            <w:pPr>
              <w:autoSpaceDE w:val="0"/>
              <w:autoSpaceDN w:val="0"/>
              <w:adjustRightInd w:val="0"/>
              <w:jc w:val="center"/>
              <w:rPr>
                <w:kern w:val="0"/>
                <w:szCs w:val="21"/>
              </w:rPr>
            </w:pPr>
            <w:r>
              <w:rPr>
                <w:kern w:val="0"/>
                <w:szCs w:val="21"/>
              </w:rPr>
              <w:t>(0.0630)</w:t>
            </w:r>
          </w:p>
        </w:tc>
        <w:tc>
          <w:tcPr>
            <w:tcW w:w="3158" w:type="dxa"/>
            <w:vAlign w:val="center"/>
          </w:tcPr>
          <w:p>
            <w:pPr>
              <w:autoSpaceDE w:val="0"/>
              <w:autoSpaceDN w:val="0"/>
              <w:adjustRightInd w:val="0"/>
              <w:jc w:val="center"/>
              <w:rPr>
                <w:kern w:val="0"/>
                <w:szCs w:val="21"/>
              </w:rPr>
            </w:pPr>
            <w:r>
              <w:rPr>
                <w:kern w:val="0"/>
                <w:szCs w:val="21"/>
              </w:rPr>
              <w:t>0.5059</w:t>
            </w:r>
            <w:r>
              <w:rPr>
                <w:kern w:val="0"/>
                <w:szCs w:val="21"/>
                <w:vertAlign w:val="superscript"/>
              </w:rPr>
              <w:t>**</w:t>
            </w:r>
          </w:p>
          <w:p>
            <w:pPr>
              <w:autoSpaceDE w:val="0"/>
              <w:autoSpaceDN w:val="0"/>
              <w:adjustRightInd w:val="0"/>
              <w:jc w:val="center"/>
              <w:rPr>
                <w:kern w:val="0"/>
                <w:szCs w:val="21"/>
              </w:rPr>
            </w:pPr>
            <w:r>
              <w:rPr>
                <w:kern w:val="0"/>
                <w:szCs w:val="21"/>
              </w:rPr>
              <w:t>(0.2289)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700" w:type="dxa"/>
            <w:vAlign w:val="center"/>
          </w:tcPr>
          <w:p>
            <w:pPr>
              <w:autoSpaceDE w:val="0"/>
              <w:autoSpaceDN w:val="0"/>
              <w:adjustRightInd w:val="0"/>
              <w:jc w:val="center"/>
              <w:rPr>
                <w:kern w:val="0"/>
                <w:szCs w:val="21"/>
              </w:rPr>
            </w:pPr>
            <w:r>
              <w:rPr>
                <w:kern w:val="0"/>
                <w:szCs w:val="21"/>
              </w:rPr>
              <w:t>劳动力流动障碍</w:t>
            </w:r>
          </w:p>
        </w:tc>
        <w:tc>
          <w:tcPr>
            <w:tcW w:w="3158" w:type="dxa"/>
            <w:vAlign w:val="center"/>
          </w:tcPr>
          <w:p>
            <w:pPr>
              <w:autoSpaceDE w:val="0"/>
              <w:autoSpaceDN w:val="0"/>
              <w:adjustRightInd w:val="0"/>
              <w:jc w:val="center"/>
              <w:rPr>
                <w:kern w:val="0"/>
                <w:szCs w:val="21"/>
              </w:rPr>
            </w:pPr>
            <w:r>
              <w:rPr>
                <w:kern w:val="0"/>
                <w:szCs w:val="21"/>
              </w:rPr>
              <w:t>-0.2674</w:t>
            </w:r>
            <w:r>
              <w:rPr>
                <w:kern w:val="0"/>
                <w:szCs w:val="21"/>
                <w:vertAlign w:val="superscript"/>
              </w:rPr>
              <w:t>***</w:t>
            </w:r>
          </w:p>
          <w:p>
            <w:pPr>
              <w:autoSpaceDE w:val="0"/>
              <w:autoSpaceDN w:val="0"/>
              <w:adjustRightInd w:val="0"/>
              <w:jc w:val="center"/>
              <w:rPr>
                <w:kern w:val="0"/>
                <w:szCs w:val="21"/>
              </w:rPr>
            </w:pPr>
            <w:r>
              <w:rPr>
                <w:kern w:val="0"/>
                <w:szCs w:val="21"/>
              </w:rPr>
              <w:t>(0.0331)</w:t>
            </w:r>
          </w:p>
        </w:tc>
        <w:tc>
          <w:tcPr>
            <w:tcW w:w="3158" w:type="dxa"/>
            <w:vAlign w:val="center"/>
          </w:tcPr>
          <w:p>
            <w:pPr>
              <w:autoSpaceDE w:val="0"/>
              <w:autoSpaceDN w:val="0"/>
              <w:adjustRightInd w:val="0"/>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700" w:type="dxa"/>
            <w:vAlign w:val="center"/>
          </w:tcPr>
          <w:p>
            <w:pPr>
              <w:autoSpaceDE w:val="0"/>
              <w:autoSpaceDN w:val="0"/>
              <w:adjustRightInd w:val="0"/>
              <w:jc w:val="center"/>
              <w:rPr>
                <w:kern w:val="0"/>
                <w:szCs w:val="21"/>
              </w:rPr>
            </w:pPr>
            <w:r>
              <w:rPr>
                <w:i/>
                <w:kern w:val="0"/>
                <w:szCs w:val="21"/>
              </w:rPr>
              <w:t>Taxcom</w:t>
            </w:r>
            <w:r>
              <w:rPr>
                <w:kern w:val="0"/>
                <w:szCs w:val="21"/>
              </w:rPr>
              <w:t>×劳动力流动障碍</w:t>
            </w:r>
          </w:p>
        </w:tc>
        <w:tc>
          <w:tcPr>
            <w:tcW w:w="3158" w:type="dxa"/>
            <w:vAlign w:val="center"/>
          </w:tcPr>
          <w:p>
            <w:pPr>
              <w:autoSpaceDE w:val="0"/>
              <w:autoSpaceDN w:val="0"/>
              <w:adjustRightInd w:val="0"/>
              <w:jc w:val="center"/>
              <w:rPr>
                <w:kern w:val="0"/>
                <w:szCs w:val="21"/>
              </w:rPr>
            </w:pPr>
            <w:r>
              <w:rPr>
                <w:kern w:val="0"/>
                <w:szCs w:val="21"/>
              </w:rPr>
              <w:t>2.8647</w:t>
            </w:r>
            <w:r>
              <w:rPr>
                <w:kern w:val="0"/>
                <w:szCs w:val="21"/>
                <w:vertAlign w:val="superscript"/>
              </w:rPr>
              <w:t>***</w:t>
            </w:r>
          </w:p>
          <w:p>
            <w:pPr>
              <w:autoSpaceDE w:val="0"/>
              <w:autoSpaceDN w:val="0"/>
              <w:adjustRightInd w:val="0"/>
              <w:jc w:val="center"/>
              <w:rPr>
                <w:kern w:val="0"/>
                <w:szCs w:val="21"/>
              </w:rPr>
            </w:pPr>
            <w:r>
              <w:rPr>
                <w:kern w:val="0"/>
                <w:szCs w:val="21"/>
              </w:rPr>
              <w:t>(0.3703)</w:t>
            </w:r>
          </w:p>
        </w:tc>
        <w:tc>
          <w:tcPr>
            <w:tcW w:w="3158" w:type="dxa"/>
            <w:vAlign w:val="center"/>
          </w:tcPr>
          <w:p>
            <w:pPr>
              <w:autoSpaceDE w:val="0"/>
              <w:autoSpaceDN w:val="0"/>
              <w:adjustRightInd w:val="0"/>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700" w:type="dxa"/>
            <w:vAlign w:val="center"/>
          </w:tcPr>
          <w:p>
            <w:pPr>
              <w:autoSpaceDE w:val="0"/>
              <w:autoSpaceDN w:val="0"/>
              <w:adjustRightInd w:val="0"/>
              <w:jc w:val="center"/>
              <w:rPr>
                <w:kern w:val="0"/>
                <w:szCs w:val="21"/>
              </w:rPr>
            </w:pPr>
            <w:r>
              <w:rPr>
                <w:kern w:val="0"/>
                <w:szCs w:val="21"/>
              </w:rPr>
              <w:t>公共服务质量</w:t>
            </w:r>
          </w:p>
        </w:tc>
        <w:tc>
          <w:tcPr>
            <w:tcW w:w="3158" w:type="dxa"/>
            <w:vAlign w:val="center"/>
          </w:tcPr>
          <w:p>
            <w:pPr>
              <w:autoSpaceDE w:val="0"/>
              <w:autoSpaceDN w:val="0"/>
              <w:adjustRightInd w:val="0"/>
              <w:jc w:val="center"/>
              <w:rPr>
                <w:kern w:val="0"/>
                <w:szCs w:val="21"/>
              </w:rPr>
            </w:pPr>
          </w:p>
        </w:tc>
        <w:tc>
          <w:tcPr>
            <w:tcW w:w="3158" w:type="dxa"/>
            <w:vAlign w:val="center"/>
          </w:tcPr>
          <w:p>
            <w:pPr>
              <w:autoSpaceDE w:val="0"/>
              <w:autoSpaceDN w:val="0"/>
              <w:adjustRightInd w:val="0"/>
              <w:jc w:val="center"/>
              <w:rPr>
                <w:kern w:val="0"/>
                <w:szCs w:val="21"/>
              </w:rPr>
            </w:pPr>
            <w:r>
              <w:rPr>
                <w:kern w:val="0"/>
                <w:szCs w:val="21"/>
              </w:rPr>
              <w:t>-0.0418</w:t>
            </w:r>
            <w:r>
              <w:rPr>
                <w:kern w:val="0"/>
                <w:szCs w:val="21"/>
                <w:vertAlign w:val="superscript"/>
              </w:rPr>
              <w:t>***</w:t>
            </w:r>
          </w:p>
          <w:p>
            <w:pPr>
              <w:autoSpaceDE w:val="0"/>
              <w:autoSpaceDN w:val="0"/>
              <w:adjustRightInd w:val="0"/>
              <w:jc w:val="center"/>
              <w:rPr>
                <w:kern w:val="0"/>
                <w:szCs w:val="21"/>
              </w:rPr>
            </w:pPr>
            <w:r>
              <w:rPr>
                <w:kern w:val="0"/>
                <w:szCs w:val="21"/>
              </w:rPr>
              <w:t>(0.0055)</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700" w:type="dxa"/>
            <w:vAlign w:val="center"/>
          </w:tcPr>
          <w:p>
            <w:pPr>
              <w:autoSpaceDE w:val="0"/>
              <w:autoSpaceDN w:val="0"/>
              <w:adjustRightInd w:val="0"/>
              <w:jc w:val="center"/>
              <w:rPr>
                <w:kern w:val="0"/>
                <w:szCs w:val="21"/>
              </w:rPr>
            </w:pPr>
            <w:r>
              <w:rPr>
                <w:i/>
                <w:kern w:val="0"/>
                <w:szCs w:val="21"/>
              </w:rPr>
              <w:t>Taxcom</w:t>
            </w:r>
            <w:r>
              <w:rPr>
                <w:kern w:val="0"/>
                <w:szCs w:val="21"/>
              </w:rPr>
              <w:t>×公共服务质量</w:t>
            </w:r>
          </w:p>
        </w:tc>
        <w:tc>
          <w:tcPr>
            <w:tcW w:w="3158" w:type="dxa"/>
            <w:vAlign w:val="center"/>
          </w:tcPr>
          <w:p>
            <w:pPr>
              <w:autoSpaceDE w:val="0"/>
              <w:autoSpaceDN w:val="0"/>
              <w:adjustRightInd w:val="0"/>
              <w:jc w:val="center"/>
              <w:rPr>
                <w:kern w:val="0"/>
                <w:szCs w:val="21"/>
              </w:rPr>
            </w:pPr>
          </w:p>
        </w:tc>
        <w:tc>
          <w:tcPr>
            <w:tcW w:w="3158" w:type="dxa"/>
            <w:vAlign w:val="center"/>
          </w:tcPr>
          <w:p>
            <w:pPr>
              <w:autoSpaceDE w:val="0"/>
              <w:autoSpaceDN w:val="0"/>
              <w:adjustRightInd w:val="0"/>
              <w:jc w:val="center"/>
              <w:rPr>
                <w:kern w:val="0"/>
                <w:szCs w:val="21"/>
              </w:rPr>
            </w:pPr>
            <w:r>
              <w:rPr>
                <w:kern w:val="0"/>
                <w:szCs w:val="21"/>
              </w:rPr>
              <w:t>0.3524</w:t>
            </w:r>
            <w:r>
              <w:rPr>
                <w:kern w:val="0"/>
                <w:szCs w:val="21"/>
                <w:vertAlign w:val="superscript"/>
              </w:rPr>
              <w:t>***</w:t>
            </w:r>
          </w:p>
          <w:p>
            <w:pPr>
              <w:autoSpaceDE w:val="0"/>
              <w:autoSpaceDN w:val="0"/>
              <w:adjustRightInd w:val="0"/>
              <w:jc w:val="center"/>
              <w:rPr>
                <w:kern w:val="0"/>
                <w:szCs w:val="21"/>
              </w:rPr>
            </w:pPr>
            <w:r>
              <w:rPr>
                <w:kern w:val="0"/>
                <w:szCs w:val="21"/>
              </w:rPr>
              <w:t>(0.0650)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9" w:hRule="atLeast"/>
          <w:jc w:val="center"/>
        </w:trPr>
        <w:tc>
          <w:tcPr>
            <w:tcW w:w="2700" w:type="dxa"/>
            <w:vAlign w:val="center"/>
          </w:tcPr>
          <w:p>
            <w:pPr>
              <w:autoSpaceDE w:val="0"/>
              <w:autoSpaceDN w:val="0"/>
              <w:adjustRightInd w:val="0"/>
              <w:jc w:val="center"/>
              <w:rPr>
                <w:kern w:val="0"/>
                <w:szCs w:val="21"/>
              </w:rPr>
            </w:pPr>
            <w:r>
              <w:rPr>
                <w:kern w:val="0"/>
                <w:szCs w:val="21"/>
              </w:rPr>
              <w:t>其他控制变量</w:t>
            </w:r>
          </w:p>
        </w:tc>
        <w:tc>
          <w:tcPr>
            <w:tcW w:w="3158" w:type="dxa"/>
            <w:vAlign w:val="center"/>
          </w:tcPr>
          <w:p>
            <w:pPr>
              <w:autoSpaceDE w:val="0"/>
              <w:autoSpaceDN w:val="0"/>
              <w:adjustRightInd w:val="0"/>
              <w:jc w:val="center"/>
              <w:rPr>
                <w:kern w:val="0"/>
                <w:szCs w:val="21"/>
              </w:rPr>
            </w:pPr>
            <w:r>
              <w:rPr>
                <w:kern w:val="0"/>
                <w:szCs w:val="21"/>
              </w:rPr>
              <w:t>Yes</w:t>
            </w:r>
          </w:p>
        </w:tc>
        <w:tc>
          <w:tcPr>
            <w:tcW w:w="3158" w:type="dxa"/>
            <w:vAlign w:val="center"/>
          </w:tcPr>
          <w:p>
            <w:pPr>
              <w:autoSpaceDE w:val="0"/>
              <w:autoSpaceDN w:val="0"/>
              <w:adjustRightInd w:val="0"/>
              <w:jc w:val="center"/>
              <w:rPr>
                <w:kern w:val="0"/>
                <w:szCs w:val="21"/>
              </w:rPr>
            </w:pPr>
            <w:r>
              <w:rPr>
                <w:kern w:val="0"/>
                <w:szCs w:val="21"/>
              </w:rPr>
              <w:t>Yes</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2700" w:type="dxa"/>
            <w:vAlign w:val="center"/>
          </w:tcPr>
          <w:p>
            <w:pPr>
              <w:autoSpaceDE w:val="0"/>
              <w:autoSpaceDN w:val="0"/>
              <w:adjustRightInd w:val="0"/>
              <w:jc w:val="center"/>
              <w:rPr>
                <w:i/>
                <w:kern w:val="0"/>
                <w:szCs w:val="21"/>
              </w:rPr>
            </w:pPr>
            <w:r>
              <w:rPr>
                <w:i/>
                <w:kern w:val="0"/>
                <w:szCs w:val="21"/>
              </w:rPr>
              <w:t>N</w:t>
            </w:r>
          </w:p>
        </w:tc>
        <w:tc>
          <w:tcPr>
            <w:tcW w:w="3158" w:type="dxa"/>
            <w:vAlign w:val="center"/>
          </w:tcPr>
          <w:p>
            <w:pPr>
              <w:autoSpaceDE w:val="0"/>
              <w:autoSpaceDN w:val="0"/>
              <w:adjustRightInd w:val="0"/>
              <w:jc w:val="center"/>
              <w:rPr>
                <w:kern w:val="0"/>
                <w:szCs w:val="21"/>
              </w:rPr>
            </w:pPr>
            <w:r>
              <w:rPr>
                <w:kern w:val="0"/>
                <w:szCs w:val="21"/>
              </w:rPr>
              <w:t>148632</w:t>
            </w:r>
          </w:p>
        </w:tc>
        <w:tc>
          <w:tcPr>
            <w:tcW w:w="3158" w:type="dxa"/>
            <w:vAlign w:val="center"/>
          </w:tcPr>
          <w:p>
            <w:pPr>
              <w:autoSpaceDE w:val="0"/>
              <w:autoSpaceDN w:val="0"/>
              <w:adjustRightInd w:val="0"/>
              <w:jc w:val="center"/>
              <w:rPr>
                <w:kern w:val="0"/>
                <w:szCs w:val="21"/>
              </w:rPr>
            </w:pPr>
            <w:r>
              <w:rPr>
                <w:kern w:val="0"/>
                <w:szCs w:val="21"/>
              </w:rPr>
              <w:t>148632</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2700" w:type="dxa"/>
            <w:vAlign w:val="center"/>
          </w:tcPr>
          <w:p>
            <w:pPr>
              <w:autoSpaceDE w:val="0"/>
              <w:autoSpaceDN w:val="0"/>
              <w:adjustRightInd w:val="0"/>
              <w:jc w:val="center"/>
              <w:rPr>
                <w:i/>
                <w:kern w:val="0"/>
                <w:szCs w:val="21"/>
              </w:rPr>
            </w:pPr>
            <w:r>
              <w:rPr>
                <w:i/>
                <w:kern w:val="0"/>
                <w:szCs w:val="21"/>
              </w:rPr>
              <w:t>R</w:t>
            </w:r>
            <w:r>
              <w:rPr>
                <w:i/>
                <w:kern w:val="0"/>
                <w:szCs w:val="21"/>
                <w:vertAlign w:val="superscript"/>
              </w:rPr>
              <w:t>2</w:t>
            </w:r>
          </w:p>
        </w:tc>
        <w:tc>
          <w:tcPr>
            <w:tcW w:w="3158" w:type="dxa"/>
            <w:vAlign w:val="center"/>
          </w:tcPr>
          <w:p>
            <w:pPr>
              <w:autoSpaceDE w:val="0"/>
              <w:autoSpaceDN w:val="0"/>
              <w:adjustRightInd w:val="0"/>
              <w:jc w:val="center"/>
              <w:rPr>
                <w:kern w:val="0"/>
                <w:szCs w:val="21"/>
              </w:rPr>
            </w:pPr>
            <w:r>
              <w:rPr>
                <w:kern w:val="0"/>
                <w:szCs w:val="21"/>
              </w:rPr>
              <w:t>0.2124</w:t>
            </w:r>
          </w:p>
        </w:tc>
        <w:tc>
          <w:tcPr>
            <w:tcW w:w="3158" w:type="dxa"/>
            <w:vAlign w:val="center"/>
          </w:tcPr>
          <w:p>
            <w:pPr>
              <w:autoSpaceDE w:val="0"/>
              <w:autoSpaceDN w:val="0"/>
              <w:adjustRightInd w:val="0"/>
              <w:jc w:val="center"/>
              <w:rPr>
                <w:kern w:val="0"/>
                <w:szCs w:val="21"/>
              </w:rPr>
            </w:pPr>
            <w:r>
              <w:rPr>
                <w:kern w:val="0"/>
                <w:szCs w:val="21"/>
              </w:rPr>
              <w:t>0.2126</w:t>
            </w:r>
          </w:p>
        </w:tc>
      </w:tr>
    </w:tbl>
    <w:p>
      <w:pPr>
        <w:spacing w:after="178" w:afterLines="50"/>
        <w:ind w:firstLine="300" w:firstLineChars="200"/>
        <w:rPr>
          <w:kern w:val="0"/>
          <w:sz w:val="15"/>
          <w:szCs w:val="15"/>
        </w:rPr>
      </w:pPr>
      <w:r>
        <w:rPr>
          <w:kern w:val="0"/>
          <w:sz w:val="15"/>
          <w:szCs w:val="15"/>
        </w:rPr>
        <w:t>注：各变量括号内采用城市层面聚类稳健标准误；*、**和***分别表示在10%、5%和1%的置信水平下显著。</w:t>
      </w:r>
    </w:p>
    <w:p>
      <w:pPr>
        <w:pStyle w:val="2"/>
        <w:tabs>
          <w:tab w:val="center" w:pos="4513"/>
          <w:tab w:val="left" w:pos="5543"/>
        </w:tabs>
        <w:spacing w:before="178" w:beforeLines="50" w:after="178" w:afterLines="50"/>
        <w:rPr>
          <w:rFonts w:eastAsia="黑体"/>
          <w:b w:val="0"/>
          <w:bCs w:val="0"/>
          <w:sz w:val="28"/>
          <w:szCs w:val="28"/>
        </w:rPr>
      </w:pPr>
      <w:r>
        <w:rPr>
          <w:rFonts w:eastAsia="黑体"/>
          <w:b w:val="0"/>
          <w:bCs w:val="0"/>
          <w:sz w:val="28"/>
          <w:szCs w:val="28"/>
        </w:rPr>
        <w:t>八、研究结论与政策建议</w:t>
      </w:r>
    </w:p>
    <w:p>
      <w:pPr>
        <w:ind w:firstLine="420" w:firstLineChars="200"/>
      </w:pPr>
      <w:r>
        <w:t>立足新时代中国社会主要矛盾的转变和经济转向高质量发展这一新目标，科学厘清地方政府税收竞争与地区经济发展不平衡之间关系及其影响机制具有非常重要的理论与实践意义。</w:t>
      </w:r>
      <w:r>
        <w:rPr>
          <w:szCs w:val="21"/>
        </w:rPr>
        <w:t>本文首先从理论层面系统诠释地方政府税收竞争与经济发展不平衡之间关系及其影响机制，</w:t>
      </w:r>
      <w:r>
        <w:rPr>
          <w:szCs w:val="21"/>
          <w:lang w:eastAsia="zh-Hans"/>
        </w:rPr>
        <w:t>然后</w:t>
      </w:r>
      <w:r>
        <w:t>构建包含</w:t>
      </w:r>
      <w:r>
        <w:rPr>
          <w:szCs w:val="21"/>
        </w:rPr>
        <w:t>双重固定效应的空间</w:t>
      </w:r>
      <w:r>
        <w:t>杜宾模型实证考察地方政府税收竞争</w:t>
      </w:r>
      <w:r>
        <w:rPr>
          <w:szCs w:val="21"/>
        </w:rPr>
        <w:t>对经济发展不平衡的影响效应，结果发现</w:t>
      </w:r>
      <w:r>
        <w:t>：（1）地方政府之间不仅存在策略互动的税收竞争行为，而且对于地区经济发展不均衡具有正向影响，即地区间税收竞争越激烈，经济发展不平衡程度越高；（2）异质性检验显示，地方政府税收竞争的核心主要源于对营业税和所得税税基的争夺，而且在人口规模较大的城市中效应更为明显；（3）机制分析表明，</w:t>
      </w:r>
      <w:r>
        <w:rPr>
          <w:szCs w:val="21"/>
        </w:rPr>
        <w:t>地方政府税收竞争</w:t>
      </w:r>
      <w:r>
        <w:rPr>
          <w:szCs w:val="21"/>
          <w:lang w:eastAsia="zh-Hans"/>
        </w:rPr>
        <w:t>主要</w:t>
      </w:r>
      <w:r>
        <w:rPr>
          <w:szCs w:val="21"/>
        </w:rPr>
        <w:t>通过</w:t>
      </w:r>
      <w:r>
        <w:rPr>
          <w:szCs w:val="21"/>
          <w:lang w:eastAsia="zh-Hans"/>
        </w:rPr>
        <w:t>改变劳动要素的数量和质量</w:t>
      </w:r>
      <w:r>
        <w:rPr>
          <w:szCs w:val="21"/>
        </w:rPr>
        <w:t>对地区经济发展不平衡产生</w:t>
      </w:r>
      <w:r>
        <w:rPr>
          <w:szCs w:val="21"/>
          <w:lang w:eastAsia="zh-Hans"/>
        </w:rPr>
        <w:t>影响</w:t>
      </w:r>
      <w:r>
        <w:rPr>
          <w:szCs w:val="21"/>
        </w:rPr>
        <w:t>。本文以上研究结论</w:t>
      </w:r>
      <w:r>
        <w:t>不仅有利于通过规范地方政府间税收竞争加快推进现代财政制度基本框架的基本确立，还可以促使地方政府以新发展理念为指引切实推动经济高质量发展。</w:t>
      </w:r>
    </w:p>
    <w:p>
      <w:pPr>
        <w:ind w:firstLine="420"/>
        <w:rPr>
          <w:szCs w:val="21"/>
        </w:rPr>
      </w:pPr>
      <w:r>
        <w:rPr>
          <w:szCs w:val="21"/>
        </w:rPr>
        <w:t>首先，通过规范地方政府税收竞争促进区域经济协调高质量发展。考虑各地区经济发展战略的定位各有不同，地方政府进行税收竞争的目标通常是多元化和多层次的，因而由此对地区之间经济发展动力极化现象日益突出。为此应以区域经济协调高质量发展为目标，不断引导与规范地方政府间税收竞争，通过促进地区经济发展收敛来不断化解人民日益增长的美好生活需求与不平衡不充分之间的基本矛盾，从而实现以人民为中心与不断增强人民福祉。</w:t>
      </w:r>
    </w:p>
    <w:p>
      <w:pPr>
        <w:ind w:firstLine="420"/>
        <w:rPr>
          <w:szCs w:val="21"/>
        </w:rPr>
      </w:pPr>
      <w:r>
        <w:rPr>
          <w:szCs w:val="21"/>
        </w:rPr>
        <w:t>其次，通过规范政府间税收竞争加快推进现代财政制度基本框架的基本确立。国家治理体系现代化与治理能力提升这一全面深化改革目标，要求建立与之相匹配的现代财政制度基本框架。央地政府间以及地方政府间构建权责清晰、财力协调、区域均衡的新型政府间财政关系是现代财政制度构建的三大核心内容之一。因此，规范地方政府税收竞争不仅可以避免“无效竞争”与“有害竞争”，还有利于构建激励与约束并存的新型地方政府间横向财政关系，从而激励地方政府不断实现区域经济均衡高质量发展。</w:t>
      </w:r>
    </w:p>
    <w:p>
      <w:pPr>
        <w:ind w:firstLine="420"/>
        <w:rPr>
          <w:szCs w:val="21"/>
        </w:rPr>
      </w:pPr>
      <w:r>
        <w:rPr>
          <w:szCs w:val="21"/>
        </w:rPr>
        <w:t>然后，通过规范地方政府税收竞争吸引高质量资本和人才流入。依据本文研究结论，地方政府税收竞争对劳动力数量与质量都具有显著影响，而劳动力作为最为重要的人力资本是推动地区经济高质量发展最为重要的生产要素。因此，新时代中国地方政府需要立足经济高质量发展这一新目标，不断规范与引导地方政府有序开展税收竞争，即地方政府税收竞争应该充分考虑地方要素的需求结构及其要素使用效率，从而在推动国家治理现代化的过程中正确把握地方税收竞争的形式和程度，一方面，能够确保需要的高质量要素不断流入；另一方面，还能从长期不断促进区域经济协调与高质量发展。</w:t>
      </w:r>
    </w:p>
    <w:p>
      <w:pPr>
        <w:ind w:firstLine="420"/>
        <w:rPr>
          <w:szCs w:val="21"/>
        </w:rPr>
      </w:pPr>
      <w:r>
        <w:rPr>
          <w:szCs w:val="21"/>
        </w:rPr>
        <w:t>最后，通过规范地方政府税收竞争不断提高对人才流入的吸引力。因盲目与低效率的税收竞争很容易导致劳动力市场中人才结构的扭曲，而这种人才结构的失衡往往与当地的财税政策、工资水平、就业市场和福利保障等制度因素密切相关。为此，如何在地方政府税收竞争中保障劳动力生产要素的供给和质量以满足经济高质量发展诉求，是地方政府开展税收竞争需要考虑的重要问题。按照因势利导原则以及结合地区产业结构特征，实行有针对性和差异化的地方税收竞争策略，不仅能够推动地方产业结构优化升级，长期还有利于实现区域经济协调高质量发展。</w:t>
      </w:r>
    </w:p>
    <w:p>
      <w:pPr>
        <w:spacing w:before="178" w:beforeLines="50"/>
        <w:ind w:firstLine="420"/>
        <w:rPr>
          <w:rFonts w:eastAsia="黑体"/>
          <w:sz w:val="24"/>
          <w:szCs w:val="24"/>
        </w:rPr>
      </w:pPr>
      <w:r>
        <w:rPr>
          <w:rFonts w:eastAsia="黑体"/>
          <w:sz w:val="24"/>
          <w:szCs w:val="24"/>
        </w:rPr>
        <w:t>参考文献</w:t>
      </w:r>
    </w:p>
    <w:p>
      <w:pPr>
        <w:tabs>
          <w:tab w:val="left" w:pos="420"/>
        </w:tabs>
        <w:wordWrap w:val="0"/>
        <w:rPr>
          <w:szCs w:val="21"/>
        </w:rPr>
      </w:pPr>
      <w:r>
        <w:rPr>
          <w:szCs w:val="21"/>
        </w:rPr>
        <w:t>安虎森 颜银根 朴银哲,2011:《城市高房价和户籍制度:促进或抑制城乡收入差距扩大?——中国劳动力流动和收入差距扩大悖论的一个解释》,《世界经济文汇》第4期。</w:t>
      </w:r>
    </w:p>
    <w:p>
      <w:pPr>
        <w:tabs>
          <w:tab w:val="left" w:pos="420"/>
        </w:tabs>
        <w:wordWrap w:val="0"/>
        <w:rPr>
          <w:szCs w:val="21"/>
        </w:rPr>
      </w:pPr>
      <w:r>
        <w:rPr>
          <w:szCs w:val="21"/>
        </w:rPr>
        <w:t>白俊红 蒋伏心,2015:《协同创新、空间关联与区域创新绩效》,《经济研究》第7期。</w:t>
      </w:r>
    </w:p>
    <w:p>
      <w:pPr>
        <w:tabs>
          <w:tab w:val="left" w:pos="420"/>
        </w:tabs>
        <w:wordWrap w:val="0"/>
        <w:rPr>
          <w:szCs w:val="21"/>
        </w:rPr>
      </w:pPr>
      <w:r>
        <w:rPr>
          <w:szCs w:val="21"/>
        </w:rPr>
        <w:t>白俊红等,2017:《研发要素流动、空间知识溢出与经济增长》,《经济研究》第7期。</w:t>
      </w:r>
    </w:p>
    <w:p>
      <w:pPr>
        <w:tabs>
          <w:tab w:val="left" w:pos="420"/>
        </w:tabs>
        <w:wordWrap w:val="0"/>
        <w:rPr>
          <w:szCs w:val="21"/>
        </w:rPr>
      </w:pPr>
      <w:r>
        <w:rPr>
          <w:szCs w:val="21"/>
        </w:rPr>
        <w:t>白雪梅,2004:《教育与收入不平等:中国的经验研究》,《管理世界》第6期。</w:t>
      </w:r>
    </w:p>
    <w:p>
      <w:pPr>
        <w:tabs>
          <w:tab w:val="left" w:pos="420"/>
        </w:tabs>
        <w:wordWrap w:val="0"/>
        <w:rPr>
          <w:szCs w:val="21"/>
        </w:rPr>
      </w:pPr>
      <w:r>
        <w:rPr>
          <w:szCs w:val="21"/>
        </w:rPr>
        <w:t>陈晓光,2016:《财政压力、税收征管与地区不平等》,《中国社会科学》第4期。</w:t>
      </w:r>
    </w:p>
    <w:p>
      <w:pPr>
        <w:tabs>
          <w:tab w:val="left" w:pos="420"/>
        </w:tabs>
        <w:wordWrap w:val="0"/>
        <w:rPr>
          <w:szCs w:val="21"/>
        </w:rPr>
      </w:pPr>
      <w:r>
        <w:rPr>
          <w:szCs w:val="21"/>
        </w:rPr>
        <w:t>方红生 张军,2014:《财政集权的激励效应再评估:攫取之手还是援助之手?》,《管理世界》第2期。</w:t>
      </w:r>
    </w:p>
    <w:p>
      <w:pPr>
        <w:tabs>
          <w:tab w:val="left" w:pos="420"/>
        </w:tabs>
        <w:wordWrap w:val="0"/>
        <w:rPr>
          <w:szCs w:val="21"/>
        </w:rPr>
      </w:pPr>
      <w:r>
        <w:rPr>
          <w:szCs w:val="21"/>
        </w:rPr>
        <w:t>付敏杰 张平 袁富华,2017:《工业化和城市化进程中的财税体制演进:事实、逻辑和政策选择》,《经济研究》第12期。</w:t>
      </w:r>
    </w:p>
    <w:p>
      <w:pPr>
        <w:tabs>
          <w:tab w:val="left" w:pos="420"/>
        </w:tabs>
        <w:wordWrap w:val="0"/>
        <w:rPr>
          <w:szCs w:val="21"/>
        </w:rPr>
      </w:pPr>
      <w:r>
        <w:rPr>
          <w:szCs w:val="21"/>
        </w:rPr>
        <w:t>傅勇 张晏,2007:《中国式分权与财政支出结构偏向:为增长而竞争的代价》,《管理世界》第3期。</w:t>
      </w:r>
    </w:p>
    <w:p>
      <w:pPr>
        <w:tabs>
          <w:tab w:val="left" w:pos="420"/>
        </w:tabs>
        <w:wordWrap w:val="0"/>
        <w:rPr>
          <w:szCs w:val="21"/>
        </w:rPr>
      </w:pPr>
      <w:r>
        <w:rPr>
          <w:szCs w:val="21"/>
        </w:rPr>
        <w:t>龚锋 陶鹏 潘星宇,2021:《城市群对地方税收竞争的影响——来自两区制面板空间杜宾模型的证据》,《财政研究》第4期。</w:t>
      </w:r>
    </w:p>
    <w:p>
      <w:pPr>
        <w:tabs>
          <w:tab w:val="left" w:pos="420"/>
        </w:tabs>
        <w:wordWrap w:val="0"/>
        <w:rPr>
          <w:szCs w:val="21"/>
        </w:rPr>
      </w:pPr>
      <w:r>
        <w:rPr>
          <w:szCs w:val="21"/>
        </w:rPr>
        <w:t>韩润霖 吴立元 张航宇,2023:《低技能劳动力流入与中国城市经济发展》,《世界经济》第10期。</w:t>
      </w:r>
    </w:p>
    <w:p>
      <w:pPr>
        <w:tabs>
          <w:tab w:val="left" w:pos="420"/>
        </w:tabs>
        <w:wordWrap w:val="0"/>
        <w:rPr>
          <w:szCs w:val="21"/>
        </w:rPr>
      </w:pPr>
      <w:r>
        <w:rPr>
          <w:szCs w:val="21"/>
        </w:rPr>
        <w:t>郝淑玲 范建平 米子川,2023:《流动人口收入差距的统计测度与比较》,《统计与决策》第14期。</w:t>
      </w:r>
    </w:p>
    <w:p>
      <w:pPr>
        <w:tabs>
          <w:tab w:val="left" w:pos="420"/>
        </w:tabs>
        <w:wordWrap w:val="0"/>
        <w:rPr>
          <w:szCs w:val="21"/>
        </w:rPr>
      </w:pPr>
      <w:r>
        <w:rPr>
          <w:szCs w:val="21"/>
        </w:rPr>
        <w:t>胡尊国 王耀中 尹国君,2015:《劳动力流动、协同集聚与城市结构匹配》,《财经研究》第12期。</w:t>
      </w:r>
    </w:p>
    <w:p>
      <w:pPr>
        <w:tabs>
          <w:tab w:val="left" w:pos="420"/>
        </w:tabs>
        <w:wordWrap w:val="0"/>
        <w:rPr>
          <w:szCs w:val="21"/>
        </w:rPr>
      </w:pPr>
      <w:r>
        <w:rPr>
          <w:szCs w:val="21"/>
        </w:rPr>
        <w:t>贾俊雪 梁煊,2020:《地方政府财政收支竞争策略与居民收入分配》,《中国工业经济》第11期。</w:t>
      </w:r>
    </w:p>
    <w:p>
      <w:pPr>
        <w:tabs>
          <w:tab w:val="left" w:pos="420"/>
        </w:tabs>
        <w:wordWrap w:val="0"/>
        <w:rPr>
          <w:szCs w:val="21"/>
        </w:rPr>
      </w:pPr>
      <w:r>
        <w:rPr>
          <w:szCs w:val="21"/>
        </w:rPr>
        <w:t>李涛 黄纯纯 周业安,2011:《税收、税收竞争与中国经济增长》,《世界经济》第4期。</w:t>
      </w:r>
    </w:p>
    <w:p>
      <w:pPr>
        <w:tabs>
          <w:tab w:val="left" w:pos="420"/>
        </w:tabs>
        <w:wordWrap w:val="0"/>
        <w:rPr>
          <w:szCs w:val="21"/>
        </w:rPr>
      </w:pPr>
      <w:r>
        <w:rPr>
          <w:szCs w:val="21"/>
        </w:rPr>
        <w:t>林光平 龙志和 吴梅,2006:《中国地区经济σ-收敛的空间计量实证分析》,《数量经济技术经济研究》第4期。</w:t>
      </w:r>
    </w:p>
    <w:p>
      <w:pPr>
        <w:tabs>
          <w:tab w:val="left" w:pos="420"/>
        </w:tabs>
        <w:wordWrap w:val="0"/>
        <w:rPr>
          <w:szCs w:val="21"/>
        </w:rPr>
      </w:pPr>
      <w:r>
        <w:rPr>
          <w:szCs w:val="21"/>
        </w:rPr>
        <w:t>刘泠岑等,2023:《基于夜间灯光数据的中国县域发展活力与均衡性动态研究》,《地理学报》第4期。</w:t>
      </w:r>
    </w:p>
    <w:p>
      <w:pPr>
        <w:tabs>
          <w:tab w:val="left" w:pos="420"/>
        </w:tabs>
        <w:wordWrap w:val="0"/>
        <w:rPr>
          <w:szCs w:val="21"/>
        </w:rPr>
      </w:pPr>
      <w:r>
        <w:rPr>
          <w:szCs w:val="21"/>
        </w:rPr>
        <w:t>刘穷志,2017:《税收竞争、资本外流与投资环境改善——经济增长与收入公平分配并行路径研究》，《经济研究》第3期。</w:t>
      </w:r>
    </w:p>
    <w:p>
      <w:pPr>
        <w:tabs>
          <w:tab w:val="left" w:pos="420"/>
        </w:tabs>
        <w:wordWrap w:val="0"/>
        <w:rPr>
          <w:szCs w:val="21"/>
        </w:rPr>
      </w:pPr>
      <w:r>
        <w:rPr>
          <w:szCs w:val="21"/>
        </w:rPr>
        <w:t>刘晓明 谭建立 刘小勇,2020:《转移支付、政府竞争与区域经济协调——基于省级空间面板数据的实证研究》,《经济问题》第9期。</w:t>
      </w:r>
    </w:p>
    <w:p>
      <w:pPr>
        <w:tabs>
          <w:tab w:val="left" w:pos="420"/>
        </w:tabs>
        <w:wordWrap w:val="0"/>
        <w:rPr>
          <w:szCs w:val="21"/>
        </w:rPr>
      </w:pPr>
      <w:r>
        <w:rPr>
          <w:szCs w:val="21"/>
        </w:rPr>
        <w:t>刘雅南 邵宜航,2009:《政府竞争与区域经济差异》,《经济学(季刊)》第4期。</w:t>
      </w:r>
    </w:p>
    <w:p>
      <w:pPr>
        <w:tabs>
          <w:tab w:val="left" w:pos="420"/>
        </w:tabs>
        <w:wordWrap w:val="0"/>
        <w:rPr>
          <w:szCs w:val="21"/>
        </w:rPr>
      </w:pPr>
      <w:r>
        <w:rPr>
          <w:szCs w:val="21"/>
        </w:rPr>
        <w:t>陆军 杨志勇,2010:《中国地方财税竞争与异质偏好劳动力的空间流动——以京津冀大都市区为例》,《财经研究》第9期。</w:t>
      </w:r>
    </w:p>
    <w:p>
      <w:pPr>
        <w:tabs>
          <w:tab w:val="left" w:pos="420"/>
        </w:tabs>
        <w:wordWrap w:val="0"/>
        <w:rPr>
          <w:szCs w:val="21"/>
        </w:rPr>
      </w:pPr>
      <w:r>
        <w:rPr>
          <w:szCs w:val="21"/>
        </w:rPr>
        <w:t>吕冰洋 郭庆旺,2011:《中国税收高速增长的源泉:税收能力和税收努力框架下的解释》,《 中国社会科学》第2期。</w:t>
      </w:r>
    </w:p>
    <w:p>
      <w:pPr>
        <w:tabs>
          <w:tab w:val="left" w:pos="420"/>
        </w:tabs>
        <w:wordWrap w:val="0"/>
        <w:rPr>
          <w:szCs w:val="21"/>
        </w:rPr>
      </w:pPr>
      <w:r>
        <w:rPr>
          <w:szCs w:val="21"/>
        </w:rPr>
        <w:t>吕炜 张妍彦 周佳音,2019:《财政在中国改革发展中的贡献——探寻中国财政改革的实践逻辑》,《经济研究》第9期。</w:t>
      </w:r>
    </w:p>
    <w:p>
      <w:pPr>
        <w:tabs>
          <w:tab w:val="left" w:pos="420"/>
        </w:tabs>
        <w:wordWrap w:val="0"/>
        <w:rPr>
          <w:szCs w:val="21"/>
        </w:rPr>
      </w:pPr>
      <w:r>
        <w:rPr>
          <w:szCs w:val="21"/>
        </w:rPr>
        <w:t>马恩涛,2008:《财政竞争及其结构福利效应研究》,《当代财经》第8期。</w:t>
      </w:r>
    </w:p>
    <w:p>
      <w:pPr>
        <w:tabs>
          <w:tab w:val="left" w:pos="420"/>
        </w:tabs>
        <w:wordWrap w:val="0"/>
        <w:rPr>
          <w:szCs w:val="21"/>
        </w:rPr>
      </w:pPr>
      <w:r>
        <w:rPr>
          <w:szCs w:val="21"/>
        </w:rPr>
        <w:t>蒲艳萍 成肖,2017:《经济集聚、市场一体化与地方政府税收竞争》,《财贸经济》第10期。</w:t>
      </w:r>
    </w:p>
    <w:p>
      <w:pPr>
        <w:tabs>
          <w:tab w:val="left" w:pos="420"/>
        </w:tabs>
        <w:wordWrap w:val="0"/>
        <w:rPr>
          <w:szCs w:val="21"/>
        </w:rPr>
      </w:pPr>
      <w:r>
        <w:rPr>
          <w:szCs w:val="21"/>
        </w:rPr>
        <w:t>钱金保 才国伟,2017:《地方政府的税收竞争和标杆竞争——基于地市级数据的实证研究》,《经济学(季刊)》第3期。</w:t>
      </w:r>
    </w:p>
    <w:p>
      <w:pPr>
        <w:tabs>
          <w:tab w:val="left" w:pos="420"/>
        </w:tabs>
        <w:wordWrap w:val="0"/>
        <w:rPr>
          <w:szCs w:val="21"/>
        </w:rPr>
      </w:pPr>
      <w:r>
        <w:rPr>
          <w:szCs w:val="21"/>
        </w:rPr>
        <w:t>邵帅 范美婷 杨莉莉,2022:《经济结构调整、绿色技术进步与中国低碳转型发展——基于总体技术前沿和空间溢出效应视角的经验考察》,《管理世界》第2期。,</w:t>
      </w:r>
    </w:p>
    <w:p>
      <w:pPr>
        <w:tabs>
          <w:tab w:val="left" w:pos="420"/>
        </w:tabs>
        <w:wordWrap w:val="0"/>
        <w:rPr>
          <w:szCs w:val="21"/>
        </w:rPr>
      </w:pPr>
      <w:r>
        <w:rPr>
          <w:szCs w:val="21"/>
        </w:rPr>
        <w:t>沈坤荣 付文林,2005:《中国的财政分权制度与地区经济增长》,《管理世界》第1期。</w:t>
      </w:r>
    </w:p>
    <w:p>
      <w:pPr>
        <w:tabs>
          <w:tab w:val="left" w:pos="420"/>
        </w:tabs>
        <w:wordWrap w:val="0"/>
        <w:rPr>
          <w:szCs w:val="21"/>
        </w:rPr>
      </w:pPr>
      <w:r>
        <w:rPr>
          <w:szCs w:val="21"/>
        </w:rPr>
        <w:t>唐飞鹏,2017:《地方税收竞争、企业利润与门槛效应》,《中国工业经济》第7期。</w:t>
      </w:r>
    </w:p>
    <w:p>
      <w:pPr>
        <w:tabs>
          <w:tab w:val="left" w:pos="420"/>
        </w:tabs>
        <w:wordWrap w:val="0"/>
        <w:rPr>
          <w:szCs w:val="21"/>
        </w:rPr>
      </w:pPr>
      <w:r>
        <w:rPr>
          <w:szCs w:val="21"/>
        </w:rPr>
        <w:t>汪冲,2012:《资本集聚、税收互动与纵向税收竞争》,《经济学(季刊)》第1期。</w:t>
      </w:r>
    </w:p>
    <w:p>
      <w:pPr>
        <w:tabs>
          <w:tab w:val="left" w:pos="420"/>
        </w:tabs>
        <w:wordWrap w:val="0"/>
        <w:rPr>
          <w:szCs w:val="21"/>
        </w:rPr>
      </w:pPr>
      <w:r>
        <w:rPr>
          <w:szCs w:val="21"/>
        </w:rPr>
        <w:t>王贤彬等,2017:《中国地区经济差距动态趋势重估——基于卫星灯光数据的考察》,《经济学(季刊)》第3期。</w:t>
      </w:r>
    </w:p>
    <w:p>
      <w:pPr>
        <w:tabs>
          <w:tab w:val="left" w:pos="420"/>
        </w:tabs>
        <w:wordWrap w:val="0"/>
        <w:rPr>
          <w:szCs w:val="21"/>
        </w:rPr>
      </w:pPr>
      <w:r>
        <w:rPr>
          <w:szCs w:val="21"/>
        </w:rPr>
        <w:t>夏怡然 陆铭,2019:《跨越世纪的城市人力资本足迹——历史遗产、政策冲击和劳动力流动》，《经济研究》第1期。</w:t>
      </w:r>
    </w:p>
    <w:p>
      <w:pPr>
        <w:tabs>
          <w:tab w:val="left" w:pos="420"/>
        </w:tabs>
        <w:wordWrap w:val="0"/>
        <w:rPr>
          <w:szCs w:val="21"/>
        </w:rPr>
      </w:pPr>
      <w:r>
        <w:rPr>
          <w:szCs w:val="21"/>
        </w:rPr>
        <w:t>谢欣 李建军,2011:《地方税收竞争与经济增长关系实证研究》,《财政研究》第1期。</w:t>
      </w:r>
    </w:p>
    <w:p>
      <w:pPr>
        <w:tabs>
          <w:tab w:val="left" w:pos="420"/>
        </w:tabs>
        <w:wordWrap w:val="0"/>
        <w:rPr>
          <w:szCs w:val="21"/>
        </w:rPr>
      </w:pPr>
      <w:r>
        <w:rPr>
          <w:szCs w:val="21"/>
        </w:rPr>
        <w:t>谢贞发 范子英,2015:《中国式分税制、中央税收征管权集中与税收竞争》,《经济研究》第4期。</w:t>
      </w:r>
    </w:p>
    <w:p>
      <w:pPr>
        <w:tabs>
          <w:tab w:val="left" w:pos="420"/>
        </w:tabs>
        <w:wordWrap w:val="0"/>
        <w:rPr>
          <w:szCs w:val="21"/>
        </w:rPr>
      </w:pPr>
      <w:r>
        <w:rPr>
          <w:szCs w:val="21"/>
        </w:rPr>
        <w:t>徐建炜 马光荣 李实,2013:《个人所得税改善中国收入分配了吗——基于对1997—2011年微观数据的动态评估》,《中国社会科学》第6期。</w:t>
      </w:r>
    </w:p>
    <w:p>
      <w:pPr>
        <w:tabs>
          <w:tab w:val="left" w:pos="420"/>
        </w:tabs>
        <w:wordWrap w:val="0"/>
        <w:rPr>
          <w:szCs w:val="21"/>
        </w:rPr>
      </w:pPr>
      <w:r>
        <w:rPr>
          <w:szCs w:val="21"/>
        </w:rPr>
        <w:t>尹恒 朱虹,2011:《县级财政生产性支出偏向研究》,《中国社会科学》第1期。</w:t>
      </w:r>
    </w:p>
    <w:p>
      <w:pPr>
        <w:tabs>
          <w:tab w:val="left" w:pos="420"/>
        </w:tabs>
        <w:wordWrap w:val="0"/>
        <w:rPr>
          <w:szCs w:val="21"/>
        </w:rPr>
      </w:pPr>
      <w:r>
        <w:rPr>
          <w:szCs w:val="21"/>
        </w:rPr>
        <w:t>岳希明等,2012:《2011年个人所得税改革的收入再分配效应》,《经济研究》第9期。</w:t>
      </w:r>
    </w:p>
    <w:p>
      <w:pPr>
        <w:tabs>
          <w:tab w:val="left" w:pos="420"/>
        </w:tabs>
        <w:wordWrap w:val="0"/>
        <w:rPr>
          <w:szCs w:val="21"/>
        </w:rPr>
      </w:pPr>
      <w:r>
        <w:rPr>
          <w:szCs w:val="21"/>
        </w:rPr>
        <w:t>张同斌,2016:《从数量型“人口红利”到质量型“人力资本红利”——兼论中国经济增长的动力转换机制》,《经济科学》第5期。</w:t>
      </w:r>
    </w:p>
    <w:p>
      <w:pPr>
        <w:tabs>
          <w:tab w:val="left" w:pos="420"/>
        </w:tabs>
        <w:wordWrap w:val="0"/>
        <w:rPr>
          <w:szCs w:val="21"/>
        </w:rPr>
      </w:pPr>
      <w:r>
        <w:rPr>
          <w:szCs w:val="21"/>
        </w:rPr>
        <w:t>张学良,2012:《中国交通基础设施促进了区域经济增长吗——兼论交通基础设施的空间溢出效应》,《中国社会科学》第3期。</w:t>
      </w:r>
    </w:p>
    <w:p>
      <w:pPr>
        <w:tabs>
          <w:tab w:val="left" w:pos="420"/>
        </w:tabs>
        <w:wordWrap w:val="0"/>
        <w:rPr>
          <w:szCs w:val="21"/>
        </w:rPr>
      </w:pPr>
      <w:r>
        <w:rPr>
          <w:szCs w:val="21"/>
        </w:rPr>
        <w:t>张熠 陶旭辉 宗庆庆,2021:《去留之间：流动人口储蓄和劳动决策的分析》,《财经研究》第5期。</w:t>
      </w:r>
    </w:p>
    <w:p>
      <w:pPr>
        <w:tabs>
          <w:tab w:val="left" w:pos="420"/>
        </w:tabs>
        <w:wordWrap w:val="0"/>
        <w:rPr>
          <w:szCs w:val="21"/>
        </w:rPr>
      </w:pPr>
      <w:r>
        <w:rPr>
          <w:szCs w:val="21"/>
        </w:rPr>
        <w:t>赵文哲 杨其静 周业安,2010:《不平等厌恶性、财政竞争和地方政府财政赤字膨胀关系研究》,《管理世界》第1期。</w:t>
      </w:r>
    </w:p>
    <w:p>
      <w:pPr>
        <w:tabs>
          <w:tab w:val="left" w:pos="420"/>
        </w:tabs>
        <w:wordWrap w:val="0"/>
        <w:rPr>
          <w:szCs w:val="21"/>
        </w:rPr>
      </w:pPr>
      <w:r>
        <w:rPr>
          <w:szCs w:val="21"/>
        </w:rPr>
        <w:t>周黎安,2007:《中国地方官员的晋升锦标赛模式研究》,《经济研究》第7期。</w:t>
      </w:r>
    </w:p>
    <w:p>
      <w:pPr>
        <w:tabs>
          <w:tab w:val="left" w:pos="420"/>
        </w:tabs>
        <w:wordWrap w:val="0"/>
        <w:rPr>
          <w:szCs w:val="21"/>
        </w:rPr>
      </w:pPr>
      <w:r>
        <w:rPr>
          <w:szCs w:val="21"/>
        </w:rPr>
        <w:t>朱军 许志伟,2018:《财政分权、地区间竞争与中国经济波动》,《经济研究》第1期。</w:t>
      </w:r>
    </w:p>
    <w:p>
      <w:r>
        <w:t xml:space="preserve">Boadway, R.(2001), “Inter-governmental fiscal relations: the facilitator of fiscal decentralization”, </w:t>
      </w:r>
      <w:r>
        <w:rPr>
          <w:i/>
          <w:iCs/>
        </w:rPr>
        <w:t>Constitutional Political Economy</w:t>
      </w:r>
      <w:r>
        <w:t>12(2):93-121.</w:t>
      </w:r>
    </w:p>
    <w:p>
      <w:r>
        <w:t xml:space="preserve">Brennan, G. R. &amp; J. M. Buchanan(1980), “The power to tax: analytical foundations of a fiscal constitution”, </w:t>
      </w:r>
      <w:r>
        <w:rPr>
          <w:i/>
          <w:iCs/>
        </w:rPr>
        <w:t>Southern Economic Journal</w:t>
      </w:r>
      <w:r>
        <w:t>, 48(2).</w:t>
      </w:r>
    </w:p>
    <w:p>
      <w:r>
        <w:t>Cai, &amp; Hongbin(2005), “Does competition for capital discipline governments? decentralization, globalization, and public policy”, American Economic Review.</w:t>
      </w:r>
    </w:p>
    <w:p>
      <w:r>
        <w:t xml:space="preserve">Chirinko, R. S. &amp; D. J. Wilson (2017), “Tax competition among u.s. states: racing to the bottom or riding on a seesaw?”, </w:t>
      </w:r>
      <w:r>
        <w:rPr>
          <w:i/>
          <w:iCs/>
        </w:rPr>
        <w:t>Journal of Public Economics</w:t>
      </w:r>
      <w:r>
        <w:t xml:space="preserve"> 36(11):589-609.</w:t>
      </w:r>
    </w:p>
    <w:p>
      <w:r>
        <w:t xml:space="preserve">Czaika, M. &amp; A. Di Lillo (2017), “The geography of anti-immigrant attitudes across europe, 2002–2014”, </w:t>
      </w:r>
      <w:r>
        <w:rPr>
          <w:i/>
          <w:iCs/>
        </w:rPr>
        <w:t>Journal of Ethnic &amp; Migration Studies</w:t>
      </w:r>
      <w:r>
        <w:t>:1-27.</w:t>
      </w:r>
    </w:p>
    <w:p>
      <w:r>
        <w:t xml:space="preserve">Elvidge, C. D. et al(2012), “ The night light development index : a spatially explicit measure of human development from satellite data”, </w:t>
      </w:r>
      <w:r>
        <w:rPr>
          <w:i/>
          <w:iCs/>
        </w:rPr>
        <w:t xml:space="preserve">Social Geography &amp; Discussions </w:t>
      </w:r>
      <w:r>
        <w:t>7(1): 23-35.</w:t>
      </w:r>
    </w:p>
    <w:p>
      <w:r>
        <w:t xml:space="preserve">Helsley, R. W. &amp; W. C.Strange (1990), “Matching and agglomeration economies in a system of cities”, </w:t>
      </w:r>
      <w:r>
        <w:rPr>
          <w:i/>
          <w:iCs/>
        </w:rPr>
        <w:t>Regional Science &amp; Urban Economics</w:t>
      </w:r>
      <w:r>
        <w:t xml:space="preserve"> 20(2):189-212.</w:t>
      </w:r>
    </w:p>
    <w:p>
      <w:r>
        <w:t xml:space="preserve">Hindriks, J. et al(2008), “Competing in taxes and investment under fiscal equalization”, </w:t>
      </w:r>
      <w:r>
        <w:rPr>
          <w:i/>
          <w:iCs/>
        </w:rPr>
        <w:t>Journal of Public Economics</w:t>
      </w:r>
      <w:r>
        <w:t xml:space="preserve"> 92(12):2392-2402.</w:t>
      </w:r>
    </w:p>
    <w:p>
      <w:r>
        <w:t xml:space="preserve">Hoyt, W. H.(1991), “Property taxation, nash equilibrium, and market power”, </w:t>
      </w:r>
      <w:r>
        <w:rPr>
          <w:i/>
          <w:iCs/>
        </w:rPr>
        <w:t xml:space="preserve">Journal of Urban Economics </w:t>
      </w:r>
      <w:r>
        <w:t>30(1):123-131.</w:t>
      </w:r>
    </w:p>
    <w:p>
      <w:r>
        <w:t xml:space="preserve">Janeba, E.(1998), “Tax competition in imperfectly competitive markets”, </w:t>
      </w:r>
      <w:r>
        <w:rPr>
          <w:i/>
          <w:iCs/>
        </w:rPr>
        <w:t>Journal of International Economics</w:t>
      </w:r>
      <w:r>
        <w:t xml:space="preserve"> 44(1):135-153.</w:t>
      </w:r>
    </w:p>
    <w:p>
      <w:r>
        <w:t xml:space="preserve">John, D. &amp; Wilson(1986), “ A theory of interregional tax competition”, </w:t>
      </w:r>
      <w:r>
        <w:rPr>
          <w:i/>
          <w:iCs/>
        </w:rPr>
        <w:t>Journal of Urban Economics.</w:t>
      </w:r>
    </w:p>
    <w:p>
      <w:r>
        <w:t>Michael et al(1997), “Fiscal competition and the pattern of public spending”,</w:t>
      </w:r>
      <w:r>
        <w:rPr>
          <w:i/>
          <w:iCs/>
        </w:rPr>
        <w:t xml:space="preserve"> Journal of Public Economics </w:t>
      </w:r>
      <w:r>
        <w:t>66(1):33-53.</w:t>
      </w:r>
    </w:p>
    <w:p>
      <w:r>
        <w:t xml:space="preserve">Mieszkowski, Z. P. (1986), “Pigou, Tiebout, property taxation, and the underprovision of local public goods”, </w:t>
      </w:r>
      <w:r>
        <w:rPr>
          <w:i/>
          <w:iCs/>
        </w:rPr>
        <w:t>Journal of Urban Economics</w:t>
      </w:r>
      <w:r>
        <w:t xml:space="preserve"> 19(3):356-370.</w:t>
      </w:r>
    </w:p>
    <w:p>
      <w:r>
        <w:t xml:space="preserve">Nordhaus, C. W. D. (2011), “Using luminosity data as a proxy for economic statistics”, </w:t>
      </w:r>
      <w:r>
        <w:rPr>
          <w:i/>
          <w:iCs/>
        </w:rPr>
        <w:t>Proceedings of the National Academy of Sciences of the United States of America</w:t>
      </w:r>
      <w:r>
        <w:t xml:space="preserve"> 108(21):8589-8594.</w:t>
      </w:r>
    </w:p>
    <w:p>
      <w:r>
        <w:t xml:space="preserve">Oates, W. E. &amp; R. M. Schwab(2006), “Economic competition among jurisdictions: efficiency enhancing or distortion inducing?”, </w:t>
      </w:r>
      <w:r>
        <w:rPr>
          <w:i/>
          <w:iCs/>
        </w:rPr>
        <w:t xml:space="preserve">Journal of Public Economics </w:t>
      </w:r>
      <w:r>
        <w:t>35(3):333-354.</w:t>
      </w:r>
    </w:p>
    <w:p>
      <w:r>
        <w:t xml:space="preserve">Parchet, R.(2019), “Are local tax rates strategic complements or strategic substitutes”, </w:t>
      </w:r>
      <w:r>
        <w:rPr>
          <w:i/>
          <w:iCs/>
        </w:rPr>
        <w:t>American Economic Journal: Microeconomics</w:t>
      </w:r>
      <w:r>
        <w:t xml:space="preserve"> 11(2):189-224.</w:t>
      </w:r>
    </w:p>
    <w:p>
      <w:r>
        <w:t xml:space="preserve">Rauscher, M.(1998), “Leviathan and competition among jurisdictions: the case of benefit taxation”, </w:t>
      </w:r>
      <w:r>
        <w:rPr>
          <w:i/>
          <w:iCs/>
        </w:rPr>
        <w:t>Journal of Urban Economics</w:t>
      </w:r>
      <w:r>
        <w:t xml:space="preserve"> 44(1):59-67.</w:t>
      </w:r>
    </w:p>
    <w:p>
      <w:r>
        <w:t xml:space="preserve">Richard, M., Bird et al(2005), “The limited role of the personal income tax in developing countries”, </w:t>
      </w:r>
      <w:r>
        <w:rPr>
          <w:i/>
          <w:iCs/>
        </w:rPr>
        <w:t>Journal of Asian Economics</w:t>
      </w:r>
      <w:r>
        <w:t>16(6):928-946.</w:t>
      </w:r>
    </w:p>
    <w:p>
      <w:r>
        <w:t xml:space="preserve">Tiebout &amp; M. Charles (1956), “A pure theory of local expenditures”, </w:t>
      </w:r>
      <w:r>
        <w:rPr>
          <w:i/>
          <w:iCs/>
        </w:rPr>
        <w:t>Journal of Political Economy</w:t>
      </w:r>
      <w:r>
        <w:t xml:space="preserve"> 64(5):416-424.</w:t>
      </w:r>
    </w:p>
    <w:p>
      <w:r>
        <w:t xml:space="preserve">Vega, S. H. &amp; J. P. Elhorst (2015), “The slx model”. </w:t>
      </w:r>
      <w:r>
        <w:rPr>
          <w:i/>
          <w:iCs/>
        </w:rPr>
        <w:t>Journal of Regional Science</w:t>
      </w:r>
      <w:r>
        <w:t xml:space="preserve"> 55(3):339-363.</w:t>
      </w:r>
    </w:p>
    <w:p>
      <w:r>
        <w:t xml:space="preserve">Wildasin, D.(2001), “Fiscal competition in space and time”, </w:t>
      </w:r>
      <w:r>
        <w:rPr>
          <w:i/>
          <w:iCs/>
        </w:rPr>
        <w:t xml:space="preserve">Public Economics </w:t>
      </w:r>
      <w:r>
        <w:t>87(11):2571-2588.</w:t>
      </w:r>
    </w:p>
    <w:sectPr>
      <w:footerReference r:id="rId4" w:type="default"/>
      <w:footnotePr>
        <w:numFmt w:val="decimalEnclosedCircleChinese"/>
        <w:numRestart w:val="eachPage"/>
      </w:footnotePr>
      <w:pgSz w:w="11906" w:h="16838"/>
      <w:pgMar w:top="1440" w:right="1440" w:bottom="1440" w:left="1440" w:header="851" w:footer="992" w:gutter="0"/>
      <w:pgNumType w:start="1"/>
      <w:cols w:space="720" w:num="1"/>
      <w:docGrid w:type="lines" w:linePitch="3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FZSSK--GBK1-0">
    <w:altName w:val="宋体"/>
    <w:panose1 w:val="020B0604020202020204"/>
    <w:charset w:val="86"/>
    <w:family w:val="roman"/>
    <w:pitch w:val="default"/>
    <w:sig w:usb0="00000000" w:usb1="00000000" w:usb2="00000000" w:usb3="00000000" w:csb0="00160000" w:csb1="00000000"/>
  </w:font>
  <w:font w:name="TimesNewRomanPSMT">
    <w:altName w:val="Times New Roman"/>
    <w:panose1 w:val="020B0604020202020204"/>
    <w:charset w:val="00"/>
    <w:family w:val="roman"/>
    <w:pitch w:val="default"/>
    <w:sig w:usb0="00000000" w:usb1="00000000" w:usb2="00000000" w:usb3="00000000" w:csb0="00000000" w:csb1="00000000"/>
  </w:font>
  <w:font w:name="DY1+ZLNCid-6">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E-BZ+ZLNCic-1">
    <w:altName w:val="Segoe Print"/>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0"/>
        <w:rPr>
          <w:rFonts w:hint="eastAsia"/>
        </w:rPr>
      </w:pPr>
      <w:r>
        <w:rPr>
          <w:rStyle w:val="20"/>
          <w:color w:val="FFFFFF" w:themeColor="background1"/>
          <w:vertAlign w:val="baseline"/>
          <w14:textFill>
            <w14:solidFill>
              <w14:schemeClr w14:val="bg1"/>
            </w14:solidFill>
          </w14:textFill>
        </w:rPr>
        <w:footnoteRef/>
      </w:r>
      <w:r>
        <w:t xml:space="preserve"> *</w:t>
      </w:r>
      <w:r>
        <w:rPr>
          <w:rFonts w:hint="eastAsia"/>
        </w:rPr>
        <w:t>储德银，安徽财经大学财政与公共管理学院，邮政编码：2</w:t>
      </w:r>
      <w:r>
        <w:t>33030</w:t>
      </w:r>
      <w:r>
        <w:rPr>
          <w:rFonts w:hint="eastAsia"/>
        </w:rPr>
        <w:t>，电子邮箱：</w:t>
      </w:r>
      <w:r>
        <w:rPr>
          <w:rFonts w:hint="eastAsia"/>
          <w:color w:val="auto"/>
          <w:u w:val="none"/>
        </w:rPr>
        <w:t>anhuicdy</w:t>
      </w:r>
      <w:r>
        <w:rPr>
          <w:color w:val="auto"/>
          <w:u w:val="none"/>
        </w:rPr>
        <w:t>@163.</w:t>
      </w:r>
      <w:r>
        <w:rPr>
          <w:rFonts w:hint="eastAsia"/>
          <w:color w:val="auto"/>
          <w:u w:val="none"/>
        </w:rPr>
        <w:t>com</w:t>
      </w:r>
      <w:r>
        <w:rPr>
          <w:rFonts w:hint="eastAsia"/>
        </w:rPr>
        <w:t>；迟淑娴，上海财经大学公共经济与管理学院，邮政编码：2</w:t>
      </w:r>
      <w:r>
        <w:t>00433</w:t>
      </w:r>
      <w:r>
        <w:rPr>
          <w:rFonts w:hint="eastAsia"/>
        </w:rPr>
        <w:t>，电子邮箱：</w:t>
      </w:r>
      <w:r>
        <w:rPr>
          <w:rFonts w:hint="eastAsia"/>
          <w:color w:val="auto"/>
          <w:u w:val="none"/>
        </w:rPr>
        <w:t>rshxchst</w:t>
      </w:r>
      <w:r>
        <w:rPr>
          <w:color w:val="auto"/>
          <w:u w:val="none"/>
        </w:rPr>
        <w:t>@163.</w:t>
      </w:r>
      <w:r>
        <w:rPr>
          <w:rFonts w:hint="eastAsia"/>
          <w:color w:val="auto"/>
          <w:u w:val="none"/>
        </w:rPr>
        <w:t>com</w:t>
      </w:r>
      <w:r>
        <w:rPr>
          <w:rFonts w:hint="eastAsia"/>
        </w:rPr>
        <w:t>；刘俸奇</w:t>
      </w:r>
      <w:r>
        <w:rPr>
          <w:rFonts w:hint="eastAsia"/>
          <w:lang w:eastAsia="zh-CN"/>
        </w:rPr>
        <w:t>（</w:t>
      </w:r>
      <w:r>
        <w:rPr>
          <w:rFonts w:hint="eastAsia"/>
          <w:lang w:val="en-US" w:eastAsia="zh-CN"/>
        </w:rPr>
        <w:t>通讯作者</w:t>
      </w:r>
      <w:r>
        <w:rPr>
          <w:rFonts w:hint="eastAsia"/>
          <w:lang w:eastAsia="zh-CN"/>
        </w:rPr>
        <w:t>）</w:t>
      </w:r>
      <w:r>
        <w:rPr>
          <w:rFonts w:hint="eastAsia"/>
        </w:rPr>
        <w:t>，南开大学经济学院、南开大学经济行为与政策模拟实验室，邮政编码：3</w:t>
      </w:r>
      <w:r>
        <w:t>00071</w:t>
      </w:r>
      <w:r>
        <w:rPr>
          <w:rFonts w:hint="eastAsia"/>
        </w:rPr>
        <w:t>，电子邮箱：</w:t>
      </w:r>
      <w:r>
        <w:rPr>
          <w:rFonts w:hint="eastAsia"/>
          <w:color w:val="auto"/>
          <w:u w:val="none"/>
        </w:rPr>
        <w:t>fengqiliucr</w:t>
      </w:r>
      <w:r>
        <w:rPr>
          <w:color w:val="auto"/>
          <w:u w:val="none"/>
        </w:rPr>
        <w:t>@163.</w:t>
      </w:r>
      <w:r>
        <w:rPr>
          <w:rFonts w:hint="eastAsia"/>
          <w:color w:val="auto"/>
          <w:u w:val="none"/>
        </w:rPr>
        <w:t>com</w:t>
      </w:r>
      <w:r>
        <w:rPr>
          <w:rFonts w:hint="eastAsia"/>
        </w:rPr>
        <w:t>。基金项目：国家社会科学基金重大招标项目“促进经济高质量发展的税制结构优化与改革研究”（2</w:t>
      </w:r>
      <w:r>
        <w:t>1&amp;ZD096</w:t>
      </w:r>
      <w:r>
        <w:rPr>
          <w:rFonts w:hint="eastAsia"/>
        </w:rPr>
        <w:t>）；</w:t>
      </w:r>
      <w:r>
        <w:rPr>
          <w:rFonts w:hint="eastAsia"/>
          <w:lang w:val="en-US" w:eastAsia="zh-CN"/>
        </w:rPr>
        <w:t>国家</w:t>
      </w:r>
      <w:r>
        <w:rPr>
          <w:rFonts w:hint="eastAsia"/>
          <w:lang w:val="en-US" w:eastAsia="zh-CN"/>
        </w:rPr>
        <w:t>社科基金项目“优化财政转移支付制度与实现地方经济高质量发展研究”</w:t>
      </w:r>
      <w:r>
        <w:rPr>
          <w:rFonts w:hint="eastAsia"/>
        </w:rPr>
        <w:t>（</w:t>
      </w:r>
      <w:r>
        <w:rPr>
          <w:rFonts w:hint="eastAsia"/>
          <w:lang w:val="en-US" w:eastAsia="zh-CN"/>
        </w:rPr>
        <w:t>22VRC095</w:t>
      </w:r>
      <w:r>
        <w:rPr>
          <w:rFonts w:hint="eastAsia"/>
        </w:rPr>
        <w:t>）</w:t>
      </w:r>
      <w:r>
        <w:rPr>
          <w:rFonts w:hint="eastAsia"/>
          <w:lang w:eastAsia="zh-CN"/>
        </w:rPr>
        <w:t>；</w:t>
      </w:r>
      <w:r>
        <w:rPr>
          <w:rFonts w:hint="eastAsia"/>
        </w:rPr>
        <w:t>国家自然科学基金青年项目“财政支出消息的宏观经济效应研究：测度方法、传导机制与政策优化”（7</w:t>
      </w:r>
      <w:r>
        <w:t>2303120</w:t>
      </w:r>
      <w:r>
        <w:rPr>
          <w:rFonts w:hint="eastAsia"/>
        </w:rPr>
        <w:t>）</w:t>
      </w:r>
      <w:r>
        <w:rPr>
          <w:rFonts w:hint="eastAsia"/>
          <w:lang w:eastAsia="zh-CN"/>
        </w:rPr>
        <w:t>；</w:t>
      </w:r>
      <w:r>
        <w:rPr>
          <w:rFonts w:hint="eastAsia"/>
        </w:rPr>
        <w:t>和</w:t>
      </w:r>
      <w:r>
        <w:rPr>
          <w:rFonts w:hint="eastAsia"/>
          <w:lang w:val="en-US" w:eastAsia="zh-CN"/>
        </w:rPr>
        <w:fldChar w:fldCharType="begin"/>
      </w:r>
      <w:r>
        <w:rPr>
          <w:rFonts w:hint="eastAsia"/>
          <w:lang w:val="en-US" w:eastAsia="zh-CN"/>
        </w:rPr>
        <w:instrText xml:space="preserve"> HYPERLINK "https://kns.cnki.net/kcms2/fund/detail?v=6ybcPoTwXqfo9eNQKscK5qWdhOqCPdNBsGwoBa0cnex2kVhb7_QkqOA0IktENKEJ5TVoHW3X5_MTWXXdbyuKBlYcHR2jiIkhx39M_uEerX3m5xyTTpeslDKVM4vv4nEnC1daaCXygUrPlQH0h3MMUmHW549h3GxZe0I9wam_uC_vbKDRkganuM6qXbjlXg_-JcnQ8eeDRky_98VCz0f4KAsA2zVsgO5u0N7uhs3VEuHZHI54L5k4G7ct5chuKBo75f5DZQs8-1qcvNOYWRqSlzTMZV3hzWgVMKlfYwEcRach1oGXICr5CSl9vBKl-n6KLz65O5o6O19nMuiUnAq3c5a_bqfykS7-3gLwDGUPAJGiJ2thy9O5FzOBEV0t36_a_g8-elw1RVmhdwo4TP9jzTV02wKO6-yOfDpcR6NlrmCHSAeDBH17aQV66L6y1f-d5tgFsumThR_po7wAM5iHPmAvsrIUb-xmffxr3RNBKzFxp1MSj4ssAal4g82ifTBfL237ooWSjqfCsV19XeMhdbFrSRkq7FFfeXFqhLzH_9YIjKEdXNjef6y_1g7We22q472eCgoWg8FNHzIZy9tLM4mM4_rAyu13ZYk0gfjRxBjL-i4efdhUb8zAtezLeT91&amp;uniplatform=NZKPT" \t "https://kns.cnki.net/kcms2/article/_blank" </w:instrText>
      </w:r>
      <w:r>
        <w:rPr>
          <w:rFonts w:hint="eastAsia"/>
          <w:lang w:val="en-US" w:eastAsia="zh-CN"/>
        </w:rPr>
        <w:fldChar w:fldCharType="separate"/>
      </w:r>
      <w:r>
        <w:rPr>
          <w:rFonts w:hint="eastAsia"/>
          <w:lang w:val="en-US" w:eastAsia="zh-CN"/>
        </w:rPr>
        <w:t>安徽省高校自然科学基金重大项目“减税降费与经济高质量发展：作用机制、效应评价与政策优化”（2022AH040087）</w:t>
      </w:r>
      <w:r>
        <w:rPr>
          <w:rFonts w:hint="eastAsia"/>
          <w:lang w:val="en-US" w:eastAsia="zh-CN"/>
        </w:rPr>
        <w:fldChar w:fldCharType="end"/>
      </w:r>
      <w:r>
        <w:rPr>
          <w:rFonts w:hint="eastAsia"/>
        </w:rPr>
        <w:t>。感谢匿名审稿专家的宝贵意见，文责自负。</w:t>
      </w:r>
    </w:p>
  </w:footnote>
  <w:footnote w:id="1">
    <w:p>
      <w:pPr>
        <w:pStyle w:val="10"/>
      </w:pPr>
      <w:r>
        <w:rPr>
          <w:rStyle w:val="20"/>
          <w:sz w:val="21"/>
          <w:szCs w:val="21"/>
          <w:vertAlign w:val="baseline"/>
        </w:rPr>
        <w:footnoteRef/>
      </w:r>
      <w:r>
        <w:rPr>
          <w:sz w:val="21"/>
          <w:szCs w:val="21"/>
        </w:rPr>
        <w:t xml:space="preserve"> </w:t>
      </w:r>
      <w:r>
        <w:rPr>
          <w:rFonts w:hint="eastAsia"/>
          <w:sz w:val="21"/>
          <w:szCs w:val="21"/>
        </w:rPr>
        <w:t>距离衰减指数一般取值1或2，根据国内外学者进行的仿真实验发现，b取值为1可以近似表示为国家尺度内的空间相互作用结构，取值为2可以近似表示省区尺度内的空间相互作用结构。</w:t>
      </w:r>
    </w:p>
  </w:footnote>
  <w:footnote w:id="2">
    <w:p>
      <w:pPr>
        <w:pStyle w:val="10"/>
      </w:pPr>
      <w:r>
        <w:rPr>
          <w:rFonts w:hint="eastAsia"/>
          <w:sz w:val="21"/>
          <w:szCs w:val="21"/>
        </w:rPr>
        <w:t xml:space="preserve">  </w:t>
      </w:r>
      <w:r>
        <w:rPr>
          <w:rStyle w:val="20"/>
          <w:sz w:val="21"/>
          <w:szCs w:val="21"/>
          <w:vertAlign w:val="baseline"/>
        </w:rPr>
        <w:footnoteRef/>
      </w:r>
      <w:r>
        <w:rPr>
          <w:rFonts w:hint="eastAsia"/>
          <w:sz w:val="21"/>
          <w:szCs w:val="21"/>
        </w:rPr>
        <w:t>为确保实证结果具有外推性，本文采用</w:t>
      </w:r>
      <w:r>
        <w:rPr>
          <w:sz w:val="21"/>
          <w:szCs w:val="21"/>
        </w:rPr>
        <w:t>2010-2016</w:t>
      </w:r>
      <w:r>
        <w:rPr>
          <w:rFonts w:hint="eastAsia"/>
          <w:sz w:val="21"/>
          <w:szCs w:val="21"/>
        </w:rPr>
        <w:t>年的全国流动人口动态监测调查数据匹配各地区省级层面数据进行截面数据回归。</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79"/>
  <w:noPunctuationKerning w:val="1"/>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CA"/>
    <w:rsid w:val="00001845"/>
    <w:rsid w:val="00001B7D"/>
    <w:rsid w:val="000031DD"/>
    <w:rsid w:val="000039DB"/>
    <w:rsid w:val="00004B79"/>
    <w:rsid w:val="00006252"/>
    <w:rsid w:val="00007CF2"/>
    <w:rsid w:val="00007DDA"/>
    <w:rsid w:val="00010F87"/>
    <w:rsid w:val="00011BB8"/>
    <w:rsid w:val="00012421"/>
    <w:rsid w:val="00014764"/>
    <w:rsid w:val="00014C1C"/>
    <w:rsid w:val="000157D6"/>
    <w:rsid w:val="00015AE4"/>
    <w:rsid w:val="00015D81"/>
    <w:rsid w:val="000164A2"/>
    <w:rsid w:val="00017780"/>
    <w:rsid w:val="00017C6B"/>
    <w:rsid w:val="00017FF5"/>
    <w:rsid w:val="00020B4A"/>
    <w:rsid w:val="000211B0"/>
    <w:rsid w:val="00021BBC"/>
    <w:rsid w:val="00022378"/>
    <w:rsid w:val="000223C8"/>
    <w:rsid w:val="00022577"/>
    <w:rsid w:val="000226B8"/>
    <w:rsid w:val="000226E9"/>
    <w:rsid w:val="00022DAE"/>
    <w:rsid w:val="000236E6"/>
    <w:rsid w:val="000238AA"/>
    <w:rsid w:val="00023B1A"/>
    <w:rsid w:val="00023D5C"/>
    <w:rsid w:val="00024976"/>
    <w:rsid w:val="00024D33"/>
    <w:rsid w:val="00025040"/>
    <w:rsid w:val="00026295"/>
    <w:rsid w:val="00026C9E"/>
    <w:rsid w:val="000270EF"/>
    <w:rsid w:val="000274CA"/>
    <w:rsid w:val="0003049F"/>
    <w:rsid w:val="00031E1F"/>
    <w:rsid w:val="00031EA2"/>
    <w:rsid w:val="0003269D"/>
    <w:rsid w:val="00032D80"/>
    <w:rsid w:val="0003426E"/>
    <w:rsid w:val="000342DE"/>
    <w:rsid w:val="00034F49"/>
    <w:rsid w:val="000357D6"/>
    <w:rsid w:val="00036063"/>
    <w:rsid w:val="000368AF"/>
    <w:rsid w:val="00036BF4"/>
    <w:rsid w:val="00036E6A"/>
    <w:rsid w:val="00040C9D"/>
    <w:rsid w:val="00040DCF"/>
    <w:rsid w:val="00040FCA"/>
    <w:rsid w:val="0004201B"/>
    <w:rsid w:val="00042C3F"/>
    <w:rsid w:val="00043480"/>
    <w:rsid w:val="000435C1"/>
    <w:rsid w:val="00043FB7"/>
    <w:rsid w:val="000445D6"/>
    <w:rsid w:val="00044CA9"/>
    <w:rsid w:val="0004562F"/>
    <w:rsid w:val="00045885"/>
    <w:rsid w:val="00045D15"/>
    <w:rsid w:val="00046854"/>
    <w:rsid w:val="0004782E"/>
    <w:rsid w:val="00047DA8"/>
    <w:rsid w:val="00047DFC"/>
    <w:rsid w:val="000507C9"/>
    <w:rsid w:val="00050EC6"/>
    <w:rsid w:val="00051007"/>
    <w:rsid w:val="00051E48"/>
    <w:rsid w:val="00053E75"/>
    <w:rsid w:val="00054514"/>
    <w:rsid w:val="000550CE"/>
    <w:rsid w:val="00055A9A"/>
    <w:rsid w:val="00055D68"/>
    <w:rsid w:val="00056070"/>
    <w:rsid w:val="000566A0"/>
    <w:rsid w:val="000569DA"/>
    <w:rsid w:val="00056E33"/>
    <w:rsid w:val="00056ED6"/>
    <w:rsid w:val="00057415"/>
    <w:rsid w:val="000579D4"/>
    <w:rsid w:val="000615C0"/>
    <w:rsid w:val="00062232"/>
    <w:rsid w:val="000624EE"/>
    <w:rsid w:val="00062FF9"/>
    <w:rsid w:val="00063332"/>
    <w:rsid w:val="000633E3"/>
    <w:rsid w:val="000635FA"/>
    <w:rsid w:val="000638EC"/>
    <w:rsid w:val="000644F2"/>
    <w:rsid w:val="00064DD8"/>
    <w:rsid w:val="00064F07"/>
    <w:rsid w:val="000650CC"/>
    <w:rsid w:val="000655A6"/>
    <w:rsid w:val="00066093"/>
    <w:rsid w:val="000660D9"/>
    <w:rsid w:val="00066ABF"/>
    <w:rsid w:val="00067638"/>
    <w:rsid w:val="00067A94"/>
    <w:rsid w:val="00067AC5"/>
    <w:rsid w:val="00070299"/>
    <w:rsid w:val="0007196D"/>
    <w:rsid w:val="00071A6B"/>
    <w:rsid w:val="0007206A"/>
    <w:rsid w:val="000722CD"/>
    <w:rsid w:val="00072740"/>
    <w:rsid w:val="00072873"/>
    <w:rsid w:val="00073C2F"/>
    <w:rsid w:val="00073E4D"/>
    <w:rsid w:val="0007465B"/>
    <w:rsid w:val="00075841"/>
    <w:rsid w:val="000762B8"/>
    <w:rsid w:val="0007668F"/>
    <w:rsid w:val="00076C84"/>
    <w:rsid w:val="00076E62"/>
    <w:rsid w:val="00077E65"/>
    <w:rsid w:val="0008047B"/>
    <w:rsid w:val="00080DF7"/>
    <w:rsid w:val="000817F4"/>
    <w:rsid w:val="00081957"/>
    <w:rsid w:val="00081EDA"/>
    <w:rsid w:val="0008215B"/>
    <w:rsid w:val="00082933"/>
    <w:rsid w:val="00082E5F"/>
    <w:rsid w:val="00083A5A"/>
    <w:rsid w:val="00084004"/>
    <w:rsid w:val="00084EEA"/>
    <w:rsid w:val="000855BC"/>
    <w:rsid w:val="00085619"/>
    <w:rsid w:val="00086552"/>
    <w:rsid w:val="0008724F"/>
    <w:rsid w:val="00087E06"/>
    <w:rsid w:val="00090F82"/>
    <w:rsid w:val="00091708"/>
    <w:rsid w:val="0009190E"/>
    <w:rsid w:val="00092981"/>
    <w:rsid w:val="00092B91"/>
    <w:rsid w:val="00093142"/>
    <w:rsid w:val="00094109"/>
    <w:rsid w:val="00094300"/>
    <w:rsid w:val="00095106"/>
    <w:rsid w:val="00096693"/>
    <w:rsid w:val="0009704D"/>
    <w:rsid w:val="000971BC"/>
    <w:rsid w:val="000972D8"/>
    <w:rsid w:val="00097AF0"/>
    <w:rsid w:val="000A1601"/>
    <w:rsid w:val="000A17BE"/>
    <w:rsid w:val="000A3309"/>
    <w:rsid w:val="000A3EB7"/>
    <w:rsid w:val="000A45C4"/>
    <w:rsid w:val="000A49C5"/>
    <w:rsid w:val="000A4B75"/>
    <w:rsid w:val="000A5076"/>
    <w:rsid w:val="000A5B87"/>
    <w:rsid w:val="000A632A"/>
    <w:rsid w:val="000A67EF"/>
    <w:rsid w:val="000A7A59"/>
    <w:rsid w:val="000A7E90"/>
    <w:rsid w:val="000B0151"/>
    <w:rsid w:val="000B0AB0"/>
    <w:rsid w:val="000B0D19"/>
    <w:rsid w:val="000B1BCA"/>
    <w:rsid w:val="000B30A6"/>
    <w:rsid w:val="000B3141"/>
    <w:rsid w:val="000B39FE"/>
    <w:rsid w:val="000B3AF5"/>
    <w:rsid w:val="000B3B66"/>
    <w:rsid w:val="000B3C64"/>
    <w:rsid w:val="000B3CF5"/>
    <w:rsid w:val="000B4102"/>
    <w:rsid w:val="000B419A"/>
    <w:rsid w:val="000B541A"/>
    <w:rsid w:val="000B5BBC"/>
    <w:rsid w:val="000B5CDB"/>
    <w:rsid w:val="000B607E"/>
    <w:rsid w:val="000B6793"/>
    <w:rsid w:val="000B7807"/>
    <w:rsid w:val="000B7EC6"/>
    <w:rsid w:val="000C0629"/>
    <w:rsid w:val="000C0F07"/>
    <w:rsid w:val="000C26A1"/>
    <w:rsid w:val="000C3D73"/>
    <w:rsid w:val="000C470F"/>
    <w:rsid w:val="000C53E0"/>
    <w:rsid w:val="000C5C96"/>
    <w:rsid w:val="000C6334"/>
    <w:rsid w:val="000C696E"/>
    <w:rsid w:val="000C71A2"/>
    <w:rsid w:val="000C7A01"/>
    <w:rsid w:val="000D0A24"/>
    <w:rsid w:val="000D0B43"/>
    <w:rsid w:val="000D161A"/>
    <w:rsid w:val="000D1B4C"/>
    <w:rsid w:val="000D1D15"/>
    <w:rsid w:val="000D53AB"/>
    <w:rsid w:val="000D56F0"/>
    <w:rsid w:val="000D5ADE"/>
    <w:rsid w:val="000D605A"/>
    <w:rsid w:val="000E08B6"/>
    <w:rsid w:val="000E0BE6"/>
    <w:rsid w:val="000E0DA8"/>
    <w:rsid w:val="000E49A0"/>
    <w:rsid w:val="000E4AC2"/>
    <w:rsid w:val="000E5BD0"/>
    <w:rsid w:val="000F045E"/>
    <w:rsid w:val="000F0C3D"/>
    <w:rsid w:val="000F10BC"/>
    <w:rsid w:val="000F1978"/>
    <w:rsid w:val="000F2485"/>
    <w:rsid w:val="000F2CE6"/>
    <w:rsid w:val="000F3400"/>
    <w:rsid w:val="000F3C7D"/>
    <w:rsid w:val="000F4080"/>
    <w:rsid w:val="000F424C"/>
    <w:rsid w:val="000F4366"/>
    <w:rsid w:val="000F45E6"/>
    <w:rsid w:val="000F4605"/>
    <w:rsid w:val="000F4624"/>
    <w:rsid w:val="000F46DA"/>
    <w:rsid w:val="000F6094"/>
    <w:rsid w:val="000F74D5"/>
    <w:rsid w:val="000F760D"/>
    <w:rsid w:val="000F7DC6"/>
    <w:rsid w:val="001018CD"/>
    <w:rsid w:val="00101CD0"/>
    <w:rsid w:val="0010201D"/>
    <w:rsid w:val="00102399"/>
    <w:rsid w:val="001032C2"/>
    <w:rsid w:val="00103425"/>
    <w:rsid w:val="00103CC6"/>
    <w:rsid w:val="0010446B"/>
    <w:rsid w:val="00104A39"/>
    <w:rsid w:val="00104AD1"/>
    <w:rsid w:val="00105AD8"/>
    <w:rsid w:val="00106004"/>
    <w:rsid w:val="00107D80"/>
    <w:rsid w:val="0011020B"/>
    <w:rsid w:val="00110511"/>
    <w:rsid w:val="00111A80"/>
    <w:rsid w:val="00111D0F"/>
    <w:rsid w:val="00111F20"/>
    <w:rsid w:val="00112382"/>
    <w:rsid w:val="0011374B"/>
    <w:rsid w:val="00113E17"/>
    <w:rsid w:val="00113F65"/>
    <w:rsid w:val="0011593D"/>
    <w:rsid w:val="00115990"/>
    <w:rsid w:val="00115991"/>
    <w:rsid w:val="00116ADD"/>
    <w:rsid w:val="0011762A"/>
    <w:rsid w:val="00117BDF"/>
    <w:rsid w:val="001213F9"/>
    <w:rsid w:val="00121D22"/>
    <w:rsid w:val="001227E9"/>
    <w:rsid w:val="00123B71"/>
    <w:rsid w:val="001244A3"/>
    <w:rsid w:val="00124B67"/>
    <w:rsid w:val="00125454"/>
    <w:rsid w:val="00126052"/>
    <w:rsid w:val="00126795"/>
    <w:rsid w:val="00126EB1"/>
    <w:rsid w:val="001278A1"/>
    <w:rsid w:val="00131B06"/>
    <w:rsid w:val="0013287E"/>
    <w:rsid w:val="00133417"/>
    <w:rsid w:val="001337D8"/>
    <w:rsid w:val="00133B17"/>
    <w:rsid w:val="00133BAE"/>
    <w:rsid w:val="00133D0C"/>
    <w:rsid w:val="00134E04"/>
    <w:rsid w:val="001377C6"/>
    <w:rsid w:val="00137A2C"/>
    <w:rsid w:val="00140161"/>
    <w:rsid w:val="001418B1"/>
    <w:rsid w:val="00141FC3"/>
    <w:rsid w:val="00144106"/>
    <w:rsid w:val="00146966"/>
    <w:rsid w:val="00146ECA"/>
    <w:rsid w:val="00146EDE"/>
    <w:rsid w:val="00147CFE"/>
    <w:rsid w:val="00147EE3"/>
    <w:rsid w:val="00147FF5"/>
    <w:rsid w:val="001500D9"/>
    <w:rsid w:val="00150649"/>
    <w:rsid w:val="00151A61"/>
    <w:rsid w:val="00151B2A"/>
    <w:rsid w:val="00153516"/>
    <w:rsid w:val="00154D7C"/>
    <w:rsid w:val="001554B4"/>
    <w:rsid w:val="00156097"/>
    <w:rsid w:val="001564CB"/>
    <w:rsid w:val="00156A5B"/>
    <w:rsid w:val="001573ED"/>
    <w:rsid w:val="001574BF"/>
    <w:rsid w:val="001577B5"/>
    <w:rsid w:val="001603C2"/>
    <w:rsid w:val="00160490"/>
    <w:rsid w:val="001609DB"/>
    <w:rsid w:val="00161024"/>
    <w:rsid w:val="001615E5"/>
    <w:rsid w:val="00161860"/>
    <w:rsid w:val="0016186A"/>
    <w:rsid w:val="00161C64"/>
    <w:rsid w:val="00161C68"/>
    <w:rsid w:val="00162659"/>
    <w:rsid w:val="00163BCE"/>
    <w:rsid w:val="00163F39"/>
    <w:rsid w:val="001650EA"/>
    <w:rsid w:val="00165B7D"/>
    <w:rsid w:val="001660F8"/>
    <w:rsid w:val="00166122"/>
    <w:rsid w:val="00166B29"/>
    <w:rsid w:val="00166BE5"/>
    <w:rsid w:val="001671CC"/>
    <w:rsid w:val="001676C7"/>
    <w:rsid w:val="00167752"/>
    <w:rsid w:val="00167ADD"/>
    <w:rsid w:val="00170C51"/>
    <w:rsid w:val="0017190D"/>
    <w:rsid w:val="00171E78"/>
    <w:rsid w:val="00172203"/>
    <w:rsid w:val="00172D9B"/>
    <w:rsid w:val="00173466"/>
    <w:rsid w:val="0017467E"/>
    <w:rsid w:val="00174D8F"/>
    <w:rsid w:val="00176107"/>
    <w:rsid w:val="001777BC"/>
    <w:rsid w:val="001802AA"/>
    <w:rsid w:val="0018146D"/>
    <w:rsid w:val="001824F0"/>
    <w:rsid w:val="00183858"/>
    <w:rsid w:val="0018453E"/>
    <w:rsid w:val="00184A35"/>
    <w:rsid w:val="00187229"/>
    <w:rsid w:val="001872A1"/>
    <w:rsid w:val="0019019B"/>
    <w:rsid w:val="00190D63"/>
    <w:rsid w:val="0019100E"/>
    <w:rsid w:val="001910D4"/>
    <w:rsid w:val="00191342"/>
    <w:rsid w:val="0019161B"/>
    <w:rsid w:val="001926B0"/>
    <w:rsid w:val="00192B4D"/>
    <w:rsid w:val="00192F20"/>
    <w:rsid w:val="00193ED6"/>
    <w:rsid w:val="0019440C"/>
    <w:rsid w:val="00194778"/>
    <w:rsid w:val="0019531E"/>
    <w:rsid w:val="00195EF6"/>
    <w:rsid w:val="00196A21"/>
    <w:rsid w:val="00196EDF"/>
    <w:rsid w:val="00197102"/>
    <w:rsid w:val="0019765E"/>
    <w:rsid w:val="001A1136"/>
    <w:rsid w:val="001A11C4"/>
    <w:rsid w:val="001A1D9A"/>
    <w:rsid w:val="001A31D5"/>
    <w:rsid w:val="001A32F2"/>
    <w:rsid w:val="001A361D"/>
    <w:rsid w:val="001A39EE"/>
    <w:rsid w:val="001A51A2"/>
    <w:rsid w:val="001A6686"/>
    <w:rsid w:val="001A685C"/>
    <w:rsid w:val="001A7EE6"/>
    <w:rsid w:val="001B0E2A"/>
    <w:rsid w:val="001B1543"/>
    <w:rsid w:val="001B1628"/>
    <w:rsid w:val="001B17B6"/>
    <w:rsid w:val="001B1CEF"/>
    <w:rsid w:val="001B3B60"/>
    <w:rsid w:val="001B3F85"/>
    <w:rsid w:val="001B5DAC"/>
    <w:rsid w:val="001C04B9"/>
    <w:rsid w:val="001C1492"/>
    <w:rsid w:val="001C2133"/>
    <w:rsid w:val="001C2187"/>
    <w:rsid w:val="001C246A"/>
    <w:rsid w:val="001C2511"/>
    <w:rsid w:val="001C524E"/>
    <w:rsid w:val="001C5476"/>
    <w:rsid w:val="001C766A"/>
    <w:rsid w:val="001D057D"/>
    <w:rsid w:val="001D18F4"/>
    <w:rsid w:val="001D2528"/>
    <w:rsid w:val="001D252A"/>
    <w:rsid w:val="001D2A55"/>
    <w:rsid w:val="001D2C6A"/>
    <w:rsid w:val="001D2C7C"/>
    <w:rsid w:val="001D3DCE"/>
    <w:rsid w:val="001D48A6"/>
    <w:rsid w:val="001D48F3"/>
    <w:rsid w:val="001D4987"/>
    <w:rsid w:val="001D51F1"/>
    <w:rsid w:val="001D6CEC"/>
    <w:rsid w:val="001D6E29"/>
    <w:rsid w:val="001E0BA1"/>
    <w:rsid w:val="001E0EFA"/>
    <w:rsid w:val="001E1939"/>
    <w:rsid w:val="001E1FCA"/>
    <w:rsid w:val="001E47F8"/>
    <w:rsid w:val="001E5F50"/>
    <w:rsid w:val="001E683B"/>
    <w:rsid w:val="001E6A07"/>
    <w:rsid w:val="001E7402"/>
    <w:rsid w:val="001E761D"/>
    <w:rsid w:val="001E7BE5"/>
    <w:rsid w:val="001F0A7D"/>
    <w:rsid w:val="001F10C2"/>
    <w:rsid w:val="001F1F41"/>
    <w:rsid w:val="001F29BF"/>
    <w:rsid w:val="001F2A7C"/>
    <w:rsid w:val="001F2F18"/>
    <w:rsid w:val="001F2F55"/>
    <w:rsid w:val="001F37AF"/>
    <w:rsid w:val="001F421C"/>
    <w:rsid w:val="001F44D4"/>
    <w:rsid w:val="001F511F"/>
    <w:rsid w:val="001F7001"/>
    <w:rsid w:val="001F73CA"/>
    <w:rsid w:val="001F7708"/>
    <w:rsid w:val="00200B6F"/>
    <w:rsid w:val="00202505"/>
    <w:rsid w:val="00203012"/>
    <w:rsid w:val="002037B2"/>
    <w:rsid w:val="00203D21"/>
    <w:rsid w:val="002043BB"/>
    <w:rsid w:val="00204B2A"/>
    <w:rsid w:val="00205429"/>
    <w:rsid w:val="00205BAA"/>
    <w:rsid w:val="0020689D"/>
    <w:rsid w:val="00206A03"/>
    <w:rsid w:val="002075F2"/>
    <w:rsid w:val="00207BD8"/>
    <w:rsid w:val="00210E63"/>
    <w:rsid w:val="0021100D"/>
    <w:rsid w:val="0021102E"/>
    <w:rsid w:val="002110D4"/>
    <w:rsid w:val="00212465"/>
    <w:rsid w:val="0021263C"/>
    <w:rsid w:val="00213A9D"/>
    <w:rsid w:val="002144D9"/>
    <w:rsid w:val="002148F3"/>
    <w:rsid w:val="00214D18"/>
    <w:rsid w:val="00215548"/>
    <w:rsid w:val="002158A8"/>
    <w:rsid w:val="002158D8"/>
    <w:rsid w:val="00215F5D"/>
    <w:rsid w:val="0021659F"/>
    <w:rsid w:val="00216CBA"/>
    <w:rsid w:val="00216CEE"/>
    <w:rsid w:val="0021782B"/>
    <w:rsid w:val="00217A6B"/>
    <w:rsid w:val="00217BBC"/>
    <w:rsid w:val="00217F3B"/>
    <w:rsid w:val="002203B7"/>
    <w:rsid w:val="00220C39"/>
    <w:rsid w:val="00220EB8"/>
    <w:rsid w:val="0022126F"/>
    <w:rsid w:val="002214F3"/>
    <w:rsid w:val="00221B29"/>
    <w:rsid w:val="00221EA0"/>
    <w:rsid w:val="00222325"/>
    <w:rsid w:val="002225FB"/>
    <w:rsid w:val="002229A6"/>
    <w:rsid w:val="00224155"/>
    <w:rsid w:val="0022440D"/>
    <w:rsid w:val="00224A7F"/>
    <w:rsid w:val="00224B3E"/>
    <w:rsid w:val="00225990"/>
    <w:rsid w:val="00226B5A"/>
    <w:rsid w:val="00226F1B"/>
    <w:rsid w:val="002273DC"/>
    <w:rsid w:val="002274B9"/>
    <w:rsid w:val="00227A3E"/>
    <w:rsid w:val="00227F8F"/>
    <w:rsid w:val="00231439"/>
    <w:rsid w:val="00231D75"/>
    <w:rsid w:val="00231E29"/>
    <w:rsid w:val="00231F67"/>
    <w:rsid w:val="00232DD5"/>
    <w:rsid w:val="002337D7"/>
    <w:rsid w:val="00234822"/>
    <w:rsid w:val="00234EA3"/>
    <w:rsid w:val="00235715"/>
    <w:rsid w:val="0023650C"/>
    <w:rsid w:val="00236635"/>
    <w:rsid w:val="00237088"/>
    <w:rsid w:val="002404D5"/>
    <w:rsid w:val="00240D9C"/>
    <w:rsid w:val="00242F79"/>
    <w:rsid w:val="002430A8"/>
    <w:rsid w:val="00243A12"/>
    <w:rsid w:val="00244BAB"/>
    <w:rsid w:val="00245028"/>
    <w:rsid w:val="0024667B"/>
    <w:rsid w:val="0024689F"/>
    <w:rsid w:val="00246A68"/>
    <w:rsid w:val="00246ABB"/>
    <w:rsid w:val="00246D48"/>
    <w:rsid w:val="00247039"/>
    <w:rsid w:val="002473DB"/>
    <w:rsid w:val="00247423"/>
    <w:rsid w:val="0025286B"/>
    <w:rsid w:val="002533B7"/>
    <w:rsid w:val="0025362F"/>
    <w:rsid w:val="002556AB"/>
    <w:rsid w:val="00256510"/>
    <w:rsid w:val="00256531"/>
    <w:rsid w:val="00256683"/>
    <w:rsid w:val="00256926"/>
    <w:rsid w:val="00257545"/>
    <w:rsid w:val="0025775A"/>
    <w:rsid w:val="00260305"/>
    <w:rsid w:val="00260E26"/>
    <w:rsid w:val="002611C7"/>
    <w:rsid w:val="002615F0"/>
    <w:rsid w:val="00261C9E"/>
    <w:rsid w:val="00262D8B"/>
    <w:rsid w:val="0026778B"/>
    <w:rsid w:val="00267DB3"/>
    <w:rsid w:val="00267DF1"/>
    <w:rsid w:val="00270470"/>
    <w:rsid w:val="002716DE"/>
    <w:rsid w:val="00273042"/>
    <w:rsid w:val="00273102"/>
    <w:rsid w:val="00273334"/>
    <w:rsid w:val="002738FC"/>
    <w:rsid w:val="00273D0B"/>
    <w:rsid w:val="00274406"/>
    <w:rsid w:val="00274671"/>
    <w:rsid w:val="00274B4C"/>
    <w:rsid w:val="00275584"/>
    <w:rsid w:val="00275802"/>
    <w:rsid w:val="002759AB"/>
    <w:rsid w:val="00276BBA"/>
    <w:rsid w:val="0027798E"/>
    <w:rsid w:val="00277B0B"/>
    <w:rsid w:val="00277F77"/>
    <w:rsid w:val="00281B0A"/>
    <w:rsid w:val="00281BFB"/>
    <w:rsid w:val="00282F23"/>
    <w:rsid w:val="00283D58"/>
    <w:rsid w:val="002846B9"/>
    <w:rsid w:val="00284823"/>
    <w:rsid w:val="0028605C"/>
    <w:rsid w:val="002875BB"/>
    <w:rsid w:val="00287658"/>
    <w:rsid w:val="00287900"/>
    <w:rsid w:val="0029160B"/>
    <w:rsid w:val="00291A4D"/>
    <w:rsid w:val="002931C0"/>
    <w:rsid w:val="0029450B"/>
    <w:rsid w:val="00295EF1"/>
    <w:rsid w:val="00296168"/>
    <w:rsid w:val="002A0B88"/>
    <w:rsid w:val="002A1F12"/>
    <w:rsid w:val="002A25D2"/>
    <w:rsid w:val="002A2B93"/>
    <w:rsid w:val="002A2C33"/>
    <w:rsid w:val="002A36B0"/>
    <w:rsid w:val="002A38D8"/>
    <w:rsid w:val="002A3B21"/>
    <w:rsid w:val="002A4F9F"/>
    <w:rsid w:val="002A59BF"/>
    <w:rsid w:val="002A5A37"/>
    <w:rsid w:val="002A68E9"/>
    <w:rsid w:val="002A6CFB"/>
    <w:rsid w:val="002A6F45"/>
    <w:rsid w:val="002B0A9B"/>
    <w:rsid w:val="002B0E54"/>
    <w:rsid w:val="002B1A9E"/>
    <w:rsid w:val="002B1BF9"/>
    <w:rsid w:val="002B2966"/>
    <w:rsid w:val="002B2F48"/>
    <w:rsid w:val="002B5265"/>
    <w:rsid w:val="002B55AB"/>
    <w:rsid w:val="002B7685"/>
    <w:rsid w:val="002C00D0"/>
    <w:rsid w:val="002C0426"/>
    <w:rsid w:val="002C0F4D"/>
    <w:rsid w:val="002C1211"/>
    <w:rsid w:val="002C188A"/>
    <w:rsid w:val="002C2E6A"/>
    <w:rsid w:val="002C3661"/>
    <w:rsid w:val="002C38E9"/>
    <w:rsid w:val="002C3E54"/>
    <w:rsid w:val="002C5278"/>
    <w:rsid w:val="002C6BDF"/>
    <w:rsid w:val="002D03B4"/>
    <w:rsid w:val="002D2282"/>
    <w:rsid w:val="002D30CC"/>
    <w:rsid w:val="002D3D16"/>
    <w:rsid w:val="002D4002"/>
    <w:rsid w:val="002D40DA"/>
    <w:rsid w:val="002D4C18"/>
    <w:rsid w:val="002D5846"/>
    <w:rsid w:val="002D7843"/>
    <w:rsid w:val="002D79D3"/>
    <w:rsid w:val="002E1390"/>
    <w:rsid w:val="002E1F3C"/>
    <w:rsid w:val="002E20B3"/>
    <w:rsid w:val="002E2CBD"/>
    <w:rsid w:val="002E46E7"/>
    <w:rsid w:val="002E4E90"/>
    <w:rsid w:val="002E4F27"/>
    <w:rsid w:val="002E5440"/>
    <w:rsid w:val="002E608C"/>
    <w:rsid w:val="002E6371"/>
    <w:rsid w:val="002E6BF7"/>
    <w:rsid w:val="002E7085"/>
    <w:rsid w:val="002E7534"/>
    <w:rsid w:val="002F0818"/>
    <w:rsid w:val="002F1505"/>
    <w:rsid w:val="002F1A26"/>
    <w:rsid w:val="002F1E6F"/>
    <w:rsid w:val="002F1F5D"/>
    <w:rsid w:val="002F2359"/>
    <w:rsid w:val="002F2791"/>
    <w:rsid w:val="002F3C80"/>
    <w:rsid w:val="002F435A"/>
    <w:rsid w:val="002F4DE6"/>
    <w:rsid w:val="002F53D0"/>
    <w:rsid w:val="002F55D6"/>
    <w:rsid w:val="002F7D9A"/>
    <w:rsid w:val="00300B4C"/>
    <w:rsid w:val="00300FD9"/>
    <w:rsid w:val="00302B1E"/>
    <w:rsid w:val="00304230"/>
    <w:rsid w:val="00304B98"/>
    <w:rsid w:val="0030561F"/>
    <w:rsid w:val="00305EBB"/>
    <w:rsid w:val="00307A94"/>
    <w:rsid w:val="0031021B"/>
    <w:rsid w:val="003104E0"/>
    <w:rsid w:val="00310923"/>
    <w:rsid w:val="00311D26"/>
    <w:rsid w:val="0031220D"/>
    <w:rsid w:val="003149B3"/>
    <w:rsid w:val="00314E63"/>
    <w:rsid w:val="0031715F"/>
    <w:rsid w:val="003178FC"/>
    <w:rsid w:val="00317BC7"/>
    <w:rsid w:val="00317EE4"/>
    <w:rsid w:val="00320515"/>
    <w:rsid w:val="003216AE"/>
    <w:rsid w:val="00321C0C"/>
    <w:rsid w:val="00321D69"/>
    <w:rsid w:val="003222FF"/>
    <w:rsid w:val="00323628"/>
    <w:rsid w:val="003236CB"/>
    <w:rsid w:val="00323C94"/>
    <w:rsid w:val="00325700"/>
    <w:rsid w:val="00325DAA"/>
    <w:rsid w:val="00326FD2"/>
    <w:rsid w:val="003313A3"/>
    <w:rsid w:val="003318D4"/>
    <w:rsid w:val="00331FC5"/>
    <w:rsid w:val="0033336A"/>
    <w:rsid w:val="003339B5"/>
    <w:rsid w:val="003339DC"/>
    <w:rsid w:val="003339E7"/>
    <w:rsid w:val="00333A6B"/>
    <w:rsid w:val="0033483B"/>
    <w:rsid w:val="00335E57"/>
    <w:rsid w:val="00336043"/>
    <w:rsid w:val="00336502"/>
    <w:rsid w:val="003371F5"/>
    <w:rsid w:val="00337833"/>
    <w:rsid w:val="00342440"/>
    <w:rsid w:val="00342A60"/>
    <w:rsid w:val="00342C83"/>
    <w:rsid w:val="003431E0"/>
    <w:rsid w:val="0034361E"/>
    <w:rsid w:val="00344CA4"/>
    <w:rsid w:val="00345E6E"/>
    <w:rsid w:val="00345FEA"/>
    <w:rsid w:val="003461C5"/>
    <w:rsid w:val="003469CE"/>
    <w:rsid w:val="003474B3"/>
    <w:rsid w:val="0034785F"/>
    <w:rsid w:val="00347958"/>
    <w:rsid w:val="00350703"/>
    <w:rsid w:val="0035146C"/>
    <w:rsid w:val="00354EA5"/>
    <w:rsid w:val="003559CC"/>
    <w:rsid w:val="00355CE9"/>
    <w:rsid w:val="003564D3"/>
    <w:rsid w:val="00356BF8"/>
    <w:rsid w:val="003571D2"/>
    <w:rsid w:val="0035746A"/>
    <w:rsid w:val="00357F88"/>
    <w:rsid w:val="00360540"/>
    <w:rsid w:val="00361B77"/>
    <w:rsid w:val="00361D33"/>
    <w:rsid w:val="00362646"/>
    <w:rsid w:val="00367B04"/>
    <w:rsid w:val="00370200"/>
    <w:rsid w:val="003705F0"/>
    <w:rsid w:val="00370645"/>
    <w:rsid w:val="00370AF0"/>
    <w:rsid w:val="00371246"/>
    <w:rsid w:val="00371460"/>
    <w:rsid w:val="00372713"/>
    <w:rsid w:val="0037324A"/>
    <w:rsid w:val="0037351C"/>
    <w:rsid w:val="00374DA2"/>
    <w:rsid w:val="00374DC7"/>
    <w:rsid w:val="00374E6D"/>
    <w:rsid w:val="003757F5"/>
    <w:rsid w:val="003758E3"/>
    <w:rsid w:val="00375F47"/>
    <w:rsid w:val="00376169"/>
    <w:rsid w:val="00376486"/>
    <w:rsid w:val="00376E4D"/>
    <w:rsid w:val="00377283"/>
    <w:rsid w:val="0037789C"/>
    <w:rsid w:val="00377C5D"/>
    <w:rsid w:val="00377EAA"/>
    <w:rsid w:val="00380924"/>
    <w:rsid w:val="00381444"/>
    <w:rsid w:val="00381CC0"/>
    <w:rsid w:val="0038206C"/>
    <w:rsid w:val="00382653"/>
    <w:rsid w:val="0038273C"/>
    <w:rsid w:val="00382E02"/>
    <w:rsid w:val="0038333F"/>
    <w:rsid w:val="00383DDC"/>
    <w:rsid w:val="003843D3"/>
    <w:rsid w:val="00384AF9"/>
    <w:rsid w:val="00384FC7"/>
    <w:rsid w:val="00385585"/>
    <w:rsid w:val="00385F06"/>
    <w:rsid w:val="00386A77"/>
    <w:rsid w:val="003874A7"/>
    <w:rsid w:val="00387AB6"/>
    <w:rsid w:val="00387DC5"/>
    <w:rsid w:val="00390EF3"/>
    <w:rsid w:val="00390F1D"/>
    <w:rsid w:val="00391303"/>
    <w:rsid w:val="00391401"/>
    <w:rsid w:val="00392ED1"/>
    <w:rsid w:val="0039387E"/>
    <w:rsid w:val="00393EAC"/>
    <w:rsid w:val="003947E6"/>
    <w:rsid w:val="00394A29"/>
    <w:rsid w:val="00395F8E"/>
    <w:rsid w:val="0039635F"/>
    <w:rsid w:val="0039688A"/>
    <w:rsid w:val="003978C8"/>
    <w:rsid w:val="003979EC"/>
    <w:rsid w:val="003A00C7"/>
    <w:rsid w:val="003A0337"/>
    <w:rsid w:val="003A159C"/>
    <w:rsid w:val="003A24C1"/>
    <w:rsid w:val="003A3D0B"/>
    <w:rsid w:val="003A4C7D"/>
    <w:rsid w:val="003A6545"/>
    <w:rsid w:val="003A65D9"/>
    <w:rsid w:val="003A6A05"/>
    <w:rsid w:val="003A6C22"/>
    <w:rsid w:val="003A7CE2"/>
    <w:rsid w:val="003A7F89"/>
    <w:rsid w:val="003B03A1"/>
    <w:rsid w:val="003B0C7B"/>
    <w:rsid w:val="003B16D7"/>
    <w:rsid w:val="003B2C0F"/>
    <w:rsid w:val="003B2ED3"/>
    <w:rsid w:val="003B52CB"/>
    <w:rsid w:val="003B6F2A"/>
    <w:rsid w:val="003C0B09"/>
    <w:rsid w:val="003C2523"/>
    <w:rsid w:val="003C3594"/>
    <w:rsid w:val="003C47A8"/>
    <w:rsid w:val="003C4855"/>
    <w:rsid w:val="003C4B41"/>
    <w:rsid w:val="003C4BA5"/>
    <w:rsid w:val="003C54AE"/>
    <w:rsid w:val="003C5BB4"/>
    <w:rsid w:val="003C5E41"/>
    <w:rsid w:val="003C6EFC"/>
    <w:rsid w:val="003C7348"/>
    <w:rsid w:val="003D0A9A"/>
    <w:rsid w:val="003D23EB"/>
    <w:rsid w:val="003D2CD8"/>
    <w:rsid w:val="003D3D4A"/>
    <w:rsid w:val="003D4573"/>
    <w:rsid w:val="003D48D1"/>
    <w:rsid w:val="003D4F49"/>
    <w:rsid w:val="003D5898"/>
    <w:rsid w:val="003D5C3D"/>
    <w:rsid w:val="003D756A"/>
    <w:rsid w:val="003E0611"/>
    <w:rsid w:val="003E08F4"/>
    <w:rsid w:val="003E2E6E"/>
    <w:rsid w:val="003E369E"/>
    <w:rsid w:val="003E44CA"/>
    <w:rsid w:val="003E57E2"/>
    <w:rsid w:val="003E58A1"/>
    <w:rsid w:val="003E664D"/>
    <w:rsid w:val="003E703B"/>
    <w:rsid w:val="003E7564"/>
    <w:rsid w:val="003E7E70"/>
    <w:rsid w:val="003E7E76"/>
    <w:rsid w:val="003E7F46"/>
    <w:rsid w:val="003F08A6"/>
    <w:rsid w:val="003F15A4"/>
    <w:rsid w:val="003F164B"/>
    <w:rsid w:val="003F368B"/>
    <w:rsid w:val="003F4777"/>
    <w:rsid w:val="003F593A"/>
    <w:rsid w:val="003F5965"/>
    <w:rsid w:val="003F6AC1"/>
    <w:rsid w:val="003F6FE8"/>
    <w:rsid w:val="003F71A7"/>
    <w:rsid w:val="003F71DD"/>
    <w:rsid w:val="003F7DEA"/>
    <w:rsid w:val="0040128F"/>
    <w:rsid w:val="00402ACB"/>
    <w:rsid w:val="004037CB"/>
    <w:rsid w:val="00403B29"/>
    <w:rsid w:val="00404714"/>
    <w:rsid w:val="004063C5"/>
    <w:rsid w:val="004069F5"/>
    <w:rsid w:val="00406D5F"/>
    <w:rsid w:val="00407614"/>
    <w:rsid w:val="00407664"/>
    <w:rsid w:val="004106AA"/>
    <w:rsid w:val="00410E2D"/>
    <w:rsid w:val="00412012"/>
    <w:rsid w:val="0041334A"/>
    <w:rsid w:val="00413526"/>
    <w:rsid w:val="00413B59"/>
    <w:rsid w:val="00415359"/>
    <w:rsid w:val="00416053"/>
    <w:rsid w:val="00416A8F"/>
    <w:rsid w:val="00416C42"/>
    <w:rsid w:val="004201A5"/>
    <w:rsid w:val="00420270"/>
    <w:rsid w:val="0042032A"/>
    <w:rsid w:val="0042076E"/>
    <w:rsid w:val="00420FD1"/>
    <w:rsid w:val="004221FB"/>
    <w:rsid w:val="00423CB1"/>
    <w:rsid w:val="00423DA8"/>
    <w:rsid w:val="00423FDA"/>
    <w:rsid w:val="00424A1E"/>
    <w:rsid w:val="00424E4C"/>
    <w:rsid w:val="00426395"/>
    <w:rsid w:val="00426D66"/>
    <w:rsid w:val="0042720C"/>
    <w:rsid w:val="004275A1"/>
    <w:rsid w:val="0043039B"/>
    <w:rsid w:val="00430AE3"/>
    <w:rsid w:val="004314C9"/>
    <w:rsid w:val="00431823"/>
    <w:rsid w:val="004319C4"/>
    <w:rsid w:val="00432445"/>
    <w:rsid w:val="004324F2"/>
    <w:rsid w:val="004337A4"/>
    <w:rsid w:val="00433AAD"/>
    <w:rsid w:val="00433B14"/>
    <w:rsid w:val="00434642"/>
    <w:rsid w:val="0043496E"/>
    <w:rsid w:val="0043579A"/>
    <w:rsid w:val="004368F5"/>
    <w:rsid w:val="00436988"/>
    <w:rsid w:val="00436C0E"/>
    <w:rsid w:val="004373F0"/>
    <w:rsid w:val="004374AA"/>
    <w:rsid w:val="00437D98"/>
    <w:rsid w:val="00437F8F"/>
    <w:rsid w:val="00441A26"/>
    <w:rsid w:val="004420DF"/>
    <w:rsid w:val="004427C0"/>
    <w:rsid w:val="00443EE7"/>
    <w:rsid w:val="0044520A"/>
    <w:rsid w:val="00445D79"/>
    <w:rsid w:val="00445FB9"/>
    <w:rsid w:val="00446F34"/>
    <w:rsid w:val="004502C4"/>
    <w:rsid w:val="004502E0"/>
    <w:rsid w:val="00451A86"/>
    <w:rsid w:val="00451C8A"/>
    <w:rsid w:val="004522B6"/>
    <w:rsid w:val="00452B11"/>
    <w:rsid w:val="004532F6"/>
    <w:rsid w:val="00453D2F"/>
    <w:rsid w:val="00454721"/>
    <w:rsid w:val="00454EFE"/>
    <w:rsid w:val="0045541F"/>
    <w:rsid w:val="004558F7"/>
    <w:rsid w:val="00455CE0"/>
    <w:rsid w:val="004564FE"/>
    <w:rsid w:val="00456D52"/>
    <w:rsid w:val="00457AEB"/>
    <w:rsid w:val="0046077F"/>
    <w:rsid w:val="00462DE2"/>
    <w:rsid w:val="00462E1F"/>
    <w:rsid w:val="00464EE8"/>
    <w:rsid w:val="00466B48"/>
    <w:rsid w:val="00466C00"/>
    <w:rsid w:val="0046791D"/>
    <w:rsid w:val="0046793C"/>
    <w:rsid w:val="0047044D"/>
    <w:rsid w:val="0047094B"/>
    <w:rsid w:val="004710F8"/>
    <w:rsid w:val="004714CC"/>
    <w:rsid w:val="00471831"/>
    <w:rsid w:val="00471C69"/>
    <w:rsid w:val="00472EE5"/>
    <w:rsid w:val="00473A5B"/>
    <w:rsid w:val="004748DD"/>
    <w:rsid w:val="00474CED"/>
    <w:rsid w:val="004756E2"/>
    <w:rsid w:val="00475C76"/>
    <w:rsid w:val="00475E63"/>
    <w:rsid w:val="00476A18"/>
    <w:rsid w:val="00477ACC"/>
    <w:rsid w:val="00477BD3"/>
    <w:rsid w:val="00480A43"/>
    <w:rsid w:val="00480C71"/>
    <w:rsid w:val="004817AF"/>
    <w:rsid w:val="0048263B"/>
    <w:rsid w:val="004828E5"/>
    <w:rsid w:val="004831F0"/>
    <w:rsid w:val="00484E95"/>
    <w:rsid w:val="0048651C"/>
    <w:rsid w:val="00487DF7"/>
    <w:rsid w:val="004910BF"/>
    <w:rsid w:val="004912EE"/>
    <w:rsid w:val="0049151A"/>
    <w:rsid w:val="00492C46"/>
    <w:rsid w:val="0049435B"/>
    <w:rsid w:val="00494CC6"/>
    <w:rsid w:val="00495C0B"/>
    <w:rsid w:val="00496165"/>
    <w:rsid w:val="00496496"/>
    <w:rsid w:val="00497466"/>
    <w:rsid w:val="004A03E8"/>
    <w:rsid w:val="004A188C"/>
    <w:rsid w:val="004A1AF7"/>
    <w:rsid w:val="004A28C0"/>
    <w:rsid w:val="004A3F50"/>
    <w:rsid w:val="004A41CB"/>
    <w:rsid w:val="004A44F0"/>
    <w:rsid w:val="004A4BA7"/>
    <w:rsid w:val="004A4FEB"/>
    <w:rsid w:val="004A59CD"/>
    <w:rsid w:val="004A6412"/>
    <w:rsid w:val="004A70B0"/>
    <w:rsid w:val="004A723A"/>
    <w:rsid w:val="004A760E"/>
    <w:rsid w:val="004A7667"/>
    <w:rsid w:val="004A77E7"/>
    <w:rsid w:val="004B0550"/>
    <w:rsid w:val="004B1F34"/>
    <w:rsid w:val="004B2102"/>
    <w:rsid w:val="004B2371"/>
    <w:rsid w:val="004B2482"/>
    <w:rsid w:val="004B25AB"/>
    <w:rsid w:val="004B359E"/>
    <w:rsid w:val="004B3C52"/>
    <w:rsid w:val="004B5C5A"/>
    <w:rsid w:val="004B5F9A"/>
    <w:rsid w:val="004B68A7"/>
    <w:rsid w:val="004B70EC"/>
    <w:rsid w:val="004B71A4"/>
    <w:rsid w:val="004B7943"/>
    <w:rsid w:val="004C2162"/>
    <w:rsid w:val="004C23B4"/>
    <w:rsid w:val="004C244E"/>
    <w:rsid w:val="004C294C"/>
    <w:rsid w:val="004C2C19"/>
    <w:rsid w:val="004C2E5C"/>
    <w:rsid w:val="004C2FEB"/>
    <w:rsid w:val="004C3547"/>
    <w:rsid w:val="004C3B3B"/>
    <w:rsid w:val="004C3BBF"/>
    <w:rsid w:val="004C43F7"/>
    <w:rsid w:val="004C4A8D"/>
    <w:rsid w:val="004C4E50"/>
    <w:rsid w:val="004C4F56"/>
    <w:rsid w:val="004C67D1"/>
    <w:rsid w:val="004C6ABF"/>
    <w:rsid w:val="004C79EF"/>
    <w:rsid w:val="004C7B26"/>
    <w:rsid w:val="004D02AF"/>
    <w:rsid w:val="004D1862"/>
    <w:rsid w:val="004D1E17"/>
    <w:rsid w:val="004D2E34"/>
    <w:rsid w:val="004D2F34"/>
    <w:rsid w:val="004D39CE"/>
    <w:rsid w:val="004D40A1"/>
    <w:rsid w:val="004D5018"/>
    <w:rsid w:val="004D517D"/>
    <w:rsid w:val="004D657E"/>
    <w:rsid w:val="004D7787"/>
    <w:rsid w:val="004E0605"/>
    <w:rsid w:val="004E090A"/>
    <w:rsid w:val="004E1A95"/>
    <w:rsid w:val="004E43F1"/>
    <w:rsid w:val="004E5635"/>
    <w:rsid w:val="004E63BB"/>
    <w:rsid w:val="004E7728"/>
    <w:rsid w:val="004E7B5E"/>
    <w:rsid w:val="004F051C"/>
    <w:rsid w:val="004F13FA"/>
    <w:rsid w:val="004F1588"/>
    <w:rsid w:val="004F222A"/>
    <w:rsid w:val="004F2ECF"/>
    <w:rsid w:val="004F6699"/>
    <w:rsid w:val="004F693A"/>
    <w:rsid w:val="005010DE"/>
    <w:rsid w:val="00501D85"/>
    <w:rsid w:val="00503BF0"/>
    <w:rsid w:val="0050405E"/>
    <w:rsid w:val="005041E2"/>
    <w:rsid w:val="00504D0A"/>
    <w:rsid w:val="00504E24"/>
    <w:rsid w:val="005053E8"/>
    <w:rsid w:val="0050618F"/>
    <w:rsid w:val="005101DC"/>
    <w:rsid w:val="00510DD7"/>
    <w:rsid w:val="00511C5F"/>
    <w:rsid w:val="00512400"/>
    <w:rsid w:val="0051452F"/>
    <w:rsid w:val="005157DE"/>
    <w:rsid w:val="005158F9"/>
    <w:rsid w:val="00516145"/>
    <w:rsid w:val="005169C1"/>
    <w:rsid w:val="005175B0"/>
    <w:rsid w:val="00517782"/>
    <w:rsid w:val="005206E4"/>
    <w:rsid w:val="005210BA"/>
    <w:rsid w:val="0052203B"/>
    <w:rsid w:val="005220DB"/>
    <w:rsid w:val="0052277A"/>
    <w:rsid w:val="0052341F"/>
    <w:rsid w:val="00523758"/>
    <w:rsid w:val="00523B70"/>
    <w:rsid w:val="005246BF"/>
    <w:rsid w:val="00524D70"/>
    <w:rsid w:val="00525738"/>
    <w:rsid w:val="00527BA1"/>
    <w:rsid w:val="00527D6B"/>
    <w:rsid w:val="005303CD"/>
    <w:rsid w:val="00530D8D"/>
    <w:rsid w:val="005313E4"/>
    <w:rsid w:val="00531E29"/>
    <w:rsid w:val="005321F8"/>
    <w:rsid w:val="0053433B"/>
    <w:rsid w:val="00534F38"/>
    <w:rsid w:val="005355B4"/>
    <w:rsid w:val="005355C4"/>
    <w:rsid w:val="00536120"/>
    <w:rsid w:val="00536590"/>
    <w:rsid w:val="0053691A"/>
    <w:rsid w:val="0054326B"/>
    <w:rsid w:val="005439F6"/>
    <w:rsid w:val="00544673"/>
    <w:rsid w:val="00544D48"/>
    <w:rsid w:val="00544FB5"/>
    <w:rsid w:val="00545230"/>
    <w:rsid w:val="00545451"/>
    <w:rsid w:val="005455AA"/>
    <w:rsid w:val="00545D3A"/>
    <w:rsid w:val="00545D4F"/>
    <w:rsid w:val="005467C8"/>
    <w:rsid w:val="0054707A"/>
    <w:rsid w:val="00547AD5"/>
    <w:rsid w:val="00551720"/>
    <w:rsid w:val="00551C27"/>
    <w:rsid w:val="00552236"/>
    <w:rsid w:val="0055298D"/>
    <w:rsid w:val="00552B10"/>
    <w:rsid w:val="0055303F"/>
    <w:rsid w:val="005533E9"/>
    <w:rsid w:val="0055504D"/>
    <w:rsid w:val="00555397"/>
    <w:rsid w:val="00555E31"/>
    <w:rsid w:val="00555FBD"/>
    <w:rsid w:val="0055635F"/>
    <w:rsid w:val="00556691"/>
    <w:rsid w:val="00557A3D"/>
    <w:rsid w:val="0056042D"/>
    <w:rsid w:val="00560B26"/>
    <w:rsid w:val="005611DE"/>
    <w:rsid w:val="00562F8C"/>
    <w:rsid w:val="00565682"/>
    <w:rsid w:val="00566B92"/>
    <w:rsid w:val="00567851"/>
    <w:rsid w:val="00567D93"/>
    <w:rsid w:val="00570244"/>
    <w:rsid w:val="0057117A"/>
    <w:rsid w:val="0057118D"/>
    <w:rsid w:val="00572559"/>
    <w:rsid w:val="00572842"/>
    <w:rsid w:val="00572EE6"/>
    <w:rsid w:val="0057361A"/>
    <w:rsid w:val="0057388C"/>
    <w:rsid w:val="00574517"/>
    <w:rsid w:val="0057453B"/>
    <w:rsid w:val="00574814"/>
    <w:rsid w:val="00574A95"/>
    <w:rsid w:val="00574CF6"/>
    <w:rsid w:val="00575643"/>
    <w:rsid w:val="0057578D"/>
    <w:rsid w:val="00575E95"/>
    <w:rsid w:val="005761CE"/>
    <w:rsid w:val="00576E9C"/>
    <w:rsid w:val="0057733A"/>
    <w:rsid w:val="00577A82"/>
    <w:rsid w:val="00577D21"/>
    <w:rsid w:val="00577EDF"/>
    <w:rsid w:val="00581595"/>
    <w:rsid w:val="00582049"/>
    <w:rsid w:val="005836D4"/>
    <w:rsid w:val="00584243"/>
    <w:rsid w:val="005844D0"/>
    <w:rsid w:val="00584A97"/>
    <w:rsid w:val="00584C15"/>
    <w:rsid w:val="00584E8A"/>
    <w:rsid w:val="005862E1"/>
    <w:rsid w:val="00587FB2"/>
    <w:rsid w:val="00590135"/>
    <w:rsid w:val="005903DC"/>
    <w:rsid w:val="005906E9"/>
    <w:rsid w:val="00590E11"/>
    <w:rsid w:val="00590ECE"/>
    <w:rsid w:val="00591473"/>
    <w:rsid w:val="005919DB"/>
    <w:rsid w:val="00591C2F"/>
    <w:rsid w:val="00593A99"/>
    <w:rsid w:val="0059439D"/>
    <w:rsid w:val="00594892"/>
    <w:rsid w:val="005953DA"/>
    <w:rsid w:val="00595722"/>
    <w:rsid w:val="00596BA9"/>
    <w:rsid w:val="00596C0B"/>
    <w:rsid w:val="00597328"/>
    <w:rsid w:val="005A0025"/>
    <w:rsid w:val="005A0969"/>
    <w:rsid w:val="005A0F77"/>
    <w:rsid w:val="005A1E57"/>
    <w:rsid w:val="005A246E"/>
    <w:rsid w:val="005A2C4A"/>
    <w:rsid w:val="005A31EF"/>
    <w:rsid w:val="005A37D4"/>
    <w:rsid w:val="005A4C20"/>
    <w:rsid w:val="005A5FAD"/>
    <w:rsid w:val="005A74F8"/>
    <w:rsid w:val="005A7A8C"/>
    <w:rsid w:val="005B0B04"/>
    <w:rsid w:val="005B0DED"/>
    <w:rsid w:val="005B0F34"/>
    <w:rsid w:val="005B109C"/>
    <w:rsid w:val="005B13A5"/>
    <w:rsid w:val="005B16AA"/>
    <w:rsid w:val="005B2F3C"/>
    <w:rsid w:val="005B32F7"/>
    <w:rsid w:val="005B3689"/>
    <w:rsid w:val="005B3706"/>
    <w:rsid w:val="005B4118"/>
    <w:rsid w:val="005B4A9D"/>
    <w:rsid w:val="005B4CA5"/>
    <w:rsid w:val="005B5040"/>
    <w:rsid w:val="005B5855"/>
    <w:rsid w:val="005B5B30"/>
    <w:rsid w:val="005B6316"/>
    <w:rsid w:val="005B687A"/>
    <w:rsid w:val="005B6E38"/>
    <w:rsid w:val="005B6F8F"/>
    <w:rsid w:val="005B79E1"/>
    <w:rsid w:val="005B7B0F"/>
    <w:rsid w:val="005B7C25"/>
    <w:rsid w:val="005C058F"/>
    <w:rsid w:val="005C0F7C"/>
    <w:rsid w:val="005C12F6"/>
    <w:rsid w:val="005C17E8"/>
    <w:rsid w:val="005C1C82"/>
    <w:rsid w:val="005C2B56"/>
    <w:rsid w:val="005C30B7"/>
    <w:rsid w:val="005C3698"/>
    <w:rsid w:val="005C3A23"/>
    <w:rsid w:val="005C459E"/>
    <w:rsid w:val="005C4976"/>
    <w:rsid w:val="005C4F66"/>
    <w:rsid w:val="005C5880"/>
    <w:rsid w:val="005C6623"/>
    <w:rsid w:val="005C6A73"/>
    <w:rsid w:val="005C6EDC"/>
    <w:rsid w:val="005C6F17"/>
    <w:rsid w:val="005C6F35"/>
    <w:rsid w:val="005C7FAA"/>
    <w:rsid w:val="005D04F7"/>
    <w:rsid w:val="005D0D7F"/>
    <w:rsid w:val="005D2499"/>
    <w:rsid w:val="005D2E77"/>
    <w:rsid w:val="005D309B"/>
    <w:rsid w:val="005D3A3A"/>
    <w:rsid w:val="005D526D"/>
    <w:rsid w:val="005D52D5"/>
    <w:rsid w:val="005D52E7"/>
    <w:rsid w:val="005D5B0A"/>
    <w:rsid w:val="005D5C34"/>
    <w:rsid w:val="005D7214"/>
    <w:rsid w:val="005E00FE"/>
    <w:rsid w:val="005E0DD6"/>
    <w:rsid w:val="005E1B7E"/>
    <w:rsid w:val="005E3204"/>
    <w:rsid w:val="005E3F4B"/>
    <w:rsid w:val="005E4889"/>
    <w:rsid w:val="005E55C5"/>
    <w:rsid w:val="005E57CF"/>
    <w:rsid w:val="005E5D54"/>
    <w:rsid w:val="005E645F"/>
    <w:rsid w:val="005E710C"/>
    <w:rsid w:val="005E7E9C"/>
    <w:rsid w:val="005F1176"/>
    <w:rsid w:val="005F331E"/>
    <w:rsid w:val="005F355E"/>
    <w:rsid w:val="005F39D7"/>
    <w:rsid w:val="005F3FAF"/>
    <w:rsid w:val="005F5C02"/>
    <w:rsid w:val="005F61D0"/>
    <w:rsid w:val="005F7574"/>
    <w:rsid w:val="0060052E"/>
    <w:rsid w:val="006012EA"/>
    <w:rsid w:val="0060194B"/>
    <w:rsid w:val="00601BAA"/>
    <w:rsid w:val="00602598"/>
    <w:rsid w:val="00603501"/>
    <w:rsid w:val="00603CB4"/>
    <w:rsid w:val="00604141"/>
    <w:rsid w:val="00605D03"/>
    <w:rsid w:val="006069AC"/>
    <w:rsid w:val="00606B76"/>
    <w:rsid w:val="00607010"/>
    <w:rsid w:val="006074FB"/>
    <w:rsid w:val="006077F5"/>
    <w:rsid w:val="00607DBE"/>
    <w:rsid w:val="00610557"/>
    <w:rsid w:val="00610E92"/>
    <w:rsid w:val="00611486"/>
    <w:rsid w:val="00612235"/>
    <w:rsid w:val="00613A94"/>
    <w:rsid w:val="00614106"/>
    <w:rsid w:val="0061420F"/>
    <w:rsid w:val="00614939"/>
    <w:rsid w:val="00616474"/>
    <w:rsid w:val="006175DA"/>
    <w:rsid w:val="00620F0A"/>
    <w:rsid w:val="0062258E"/>
    <w:rsid w:val="00622640"/>
    <w:rsid w:val="0062277A"/>
    <w:rsid w:val="00622A12"/>
    <w:rsid w:val="006248AB"/>
    <w:rsid w:val="00625249"/>
    <w:rsid w:val="00625A61"/>
    <w:rsid w:val="00625ACC"/>
    <w:rsid w:val="00626191"/>
    <w:rsid w:val="00626760"/>
    <w:rsid w:val="0062696D"/>
    <w:rsid w:val="00626BB3"/>
    <w:rsid w:val="00626DF4"/>
    <w:rsid w:val="00626F23"/>
    <w:rsid w:val="00627FA0"/>
    <w:rsid w:val="0063015B"/>
    <w:rsid w:val="006303B1"/>
    <w:rsid w:val="00630C18"/>
    <w:rsid w:val="00630D55"/>
    <w:rsid w:val="00630F24"/>
    <w:rsid w:val="00631281"/>
    <w:rsid w:val="0063187B"/>
    <w:rsid w:val="00631CAD"/>
    <w:rsid w:val="00632B15"/>
    <w:rsid w:val="006342B7"/>
    <w:rsid w:val="00634599"/>
    <w:rsid w:val="00634DAE"/>
    <w:rsid w:val="006356E9"/>
    <w:rsid w:val="00635F5C"/>
    <w:rsid w:val="00636049"/>
    <w:rsid w:val="0063624F"/>
    <w:rsid w:val="0063626D"/>
    <w:rsid w:val="0063706D"/>
    <w:rsid w:val="00640415"/>
    <w:rsid w:val="00641397"/>
    <w:rsid w:val="006423FE"/>
    <w:rsid w:val="006444DA"/>
    <w:rsid w:val="00644524"/>
    <w:rsid w:val="00644628"/>
    <w:rsid w:val="00644DFA"/>
    <w:rsid w:val="006456F7"/>
    <w:rsid w:val="00645C2E"/>
    <w:rsid w:val="006461B2"/>
    <w:rsid w:val="0064648D"/>
    <w:rsid w:val="006529C3"/>
    <w:rsid w:val="006536F8"/>
    <w:rsid w:val="00653F89"/>
    <w:rsid w:val="006547E9"/>
    <w:rsid w:val="00655741"/>
    <w:rsid w:val="00655958"/>
    <w:rsid w:val="00655B5E"/>
    <w:rsid w:val="00655B85"/>
    <w:rsid w:val="00655D60"/>
    <w:rsid w:val="006576E0"/>
    <w:rsid w:val="00661081"/>
    <w:rsid w:val="00661EB1"/>
    <w:rsid w:val="00662949"/>
    <w:rsid w:val="00662E5C"/>
    <w:rsid w:val="00662F5F"/>
    <w:rsid w:val="00664383"/>
    <w:rsid w:val="006647A6"/>
    <w:rsid w:val="006650FE"/>
    <w:rsid w:val="00666758"/>
    <w:rsid w:val="00666E43"/>
    <w:rsid w:val="00666FFE"/>
    <w:rsid w:val="006700F4"/>
    <w:rsid w:val="006705EB"/>
    <w:rsid w:val="006716B8"/>
    <w:rsid w:val="006722CC"/>
    <w:rsid w:val="00672B86"/>
    <w:rsid w:val="00672EB7"/>
    <w:rsid w:val="0067362B"/>
    <w:rsid w:val="0067476F"/>
    <w:rsid w:val="00675B3B"/>
    <w:rsid w:val="00676C41"/>
    <w:rsid w:val="006804A6"/>
    <w:rsid w:val="0068120D"/>
    <w:rsid w:val="0068163E"/>
    <w:rsid w:val="0068189A"/>
    <w:rsid w:val="006821F3"/>
    <w:rsid w:val="00682437"/>
    <w:rsid w:val="00682AFE"/>
    <w:rsid w:val="00683167"/>
    <w:rsid w:val="00683473"/>
    <w:rsid w:val="0068349A"/>
    <w:rsid w:val="00683C08"/>
    <w:rsid w:val="00683D67"/>
    <w:rsid w:val="006844A1"/>
    <w:rsid w:val="00685491"/>
    <w:rsid w:val="006858B4"/>
    <w:rsid w:val="00686266"/>
    <w:rsid w:val="00686C5E"/>
    <w:rsid w:val="0068781C"/>
    <w:rsid w:val="00690525"/>
    <w:rsid w:val="00690D90"/>
    <w:rsid w:val="00691B71"/>
    <w:rsid w:val="00692CBB"/>
    <w:rsid w:val="00692D4D"/>
    <w:rsid w:val="00692EB7"/>
    <w:rsid w:val="006932A0"/>
    <w:rsid w:val="00695019"/>
    <w:rsid w:val="00696B69"/>
    <w:rsid w:val="006A0185"/>
    <w:rsid w:val="006A01FF"/>
    <w:rsid w:val="006A066B"/>
    <w:rsid w:val="006A0C92"/>
    <w:rsid w:val="006A22ED"/>
    <w:rsid w:val="006A242A"/>
    <w:rsid w:val="006A269B"/>
    <w:rsid w:val="006A32B4"/>
    <w:rsid w:val="006A338E"/>
    <w:rsid w:val="006A3ADB"/>
    <w:rsid w:val="006A4D83"/>
    <w:rsid w:val="006A522B"/>
    <w:rsid w:val="006B013F"/>
    <w:rsid w:val="006B0316"/>
    <w:rsid w:val="006B0A25"/>
    <w:rsid w:val="006B1AB9"/>
    <w:rsid w:val="006B24C5"/>
    <w:rsid w:val="006B2EB7"/>
    <w:rsid w:val="006B37D9"/>
    <w:rsid w:val="006B41A5"/>
    <w:rsid w:val="006B432E"/>
    <w:rsid w:val="006B77EF"/>
    <w:rsid w:val="006C02D8"/>
    <w:rsid w:val="006C044E"/>
    <w:rsid w:val="006C04CA"/>
    <w:rsid w:val="006C158F"/>
    <w:rsid w:val="006C191A"/>
    <w:rsid w:val="006C2D53"/>
    <w:rsid w:val="006C3786"/>
    <w:rsid w:val="006C59D9"/>
    <w:rsid w:val="006C609B"/>
    <w:rsid w:val="006C67BF"/>
    <w:rsid w:val="006D0615"/>
    <w:rsid w:val="006D0E5F"/>
    <w:rsid w:val="006D21A0"/>
    <w:rsid w:val="006D249B"/>
    <w:rsid w:val="006D2C0D"/>
    <w:rsid w:val="006D2E64"/>
    <w:rsid w:val="006D41DA"/>
    <w:rsid w:val="006D44AB"/>
    <w:rsid w:val="006D58BE"/>
    <w:rsid w:val="006D5D1C"/>
    <w:rsid w:val="006D612D"/>
    <w:rsid w:val="006D6363"/>
    <w:rsid w:val="006D6BF0"/>
    <w:rsid w:val="006D735A"/>
    <w:rsid w:val="006E0326"/>
    <w:rsid w:val="006E033A"/>
    <w:rsid w:val="006E219D"/>
    <w:rsid w:val="006E22C9"/>
    <w:rsid w:val="006E2361"/>
    <w:rsid w:val="006E3159"/>
    <w:rsid w:val="006E4112"/>
    <w:rsid w:val="006E5F1F"/>
    <w:rsid w:val="006E6493"/>
    <w:rsid w:val="006E680D"/>
    <w:rsid w:val="006E7747"/>
    <w:rsid w:val="006E779C"/>
    <w:rsid w:val="006F1A49"/>
    <w:rsid w:val="006F1C0D"/>
    <w:rsid w:val="006F20EA"/>
    <w:rsid w:val="006F2344"/>
    <w:rsid w:val="006F2C0C"/>
    <w:rsid w:val="006F387F"/>
    <w:rsid w:val="006F3BD7"/>
    <w:rsid w:val="006F4571"/>
    <w:rsid w:val="006F5BF7"/>
    <w:rsid w:val="006F611E"/>
    <w:rsid w:val="006F67D4"/>
    <w:rsid w:val="006F69C9"/>
    <w:rsid w:val="006F6C84"/>
    <w:rsid w:val="0070051D"/>
    <w:rsid w:val="007007A3"/>
    <w:rsid w:val="00700F27"/>
    <w:rsid w:val="00701189"/>
    <w:rsid w:val="007021C4"/>
    <w:rsid w:val="007023DF"/>
    <w:rsid w:val="00702A9A"/>
    <w:rsid w:val="00703E6D"/>
    <w:rsid w:val="0070468A"/>
    <w:rsid w:val="0070523F"/>
    <w:rsid w:val="00706448"/>
    <w:rsid w:val="00707B3C"/>
    <w:rsid w:val="007103CA"/>
    <w:rsid w:val="0071297D"/>
    <w:rsid w:val="0071324D"/>
    <w:rsid w:val="0071332D"/>
    <w:rsid w:val="00713735"/>
    <w:rsid w:val="00713BF5"/>
    <w:rsid w:val="00714205"/>
    <w:rsid w:val="007146FC"/>
    <w:rsid w:val="007158C8"/>
    <w:rsid w:val="00715C0A"/>
    <w:rsid w:val="00720F63"/>
    <w:rsid w:val="00721180"/>
    <w:rsid w:val="007213F0"/>
    <w:rsid w:val="007218AA"/>
    <w:rsid w:val="007218F2"/>
    <w:rsid w:val="00722028"/>
    <w:rsid w:val="007220AD"/>
    <w:rsid w:val="007220F6"/>
    <w:rsid w:val="00723190"/>
    <w:rsid w:val="00723E34"/>
    <w:rsid w:val="00725FC9"/>
    <w:rsid w:val="00726078"/>
    <w:rsid w:val="0072657B"/>
    <w:rsid w:val="00727753"/>
    <w:rsid w:val="00730027"/>
    <w:rsid w:val="00730089"/>
    <w:rsid w:val="007300A8"/>
    <w:rsid w:val="007309B3"/>
    <w:rsid w:val="0073112C"/>
    <w:rsid w:val="0073140D"/>
    <w:rsid w:val="007314D4"/>
    <w:rsid w:val="0073172A"/>
    <w:rsid w:val="007317D2"/>
    <w:rsid w:val="007318E6"/>
    <w:rsid w:val="0073311D"/>
    <w:rsid w:val="00735AE9"/>
    <w:rsid w:val="0073609C"/>
    <w:rsid w:val="00736F17"/>
    <w:rsid w:val="00736FFB"/>
    <w:rsid w:val="00737183"/>
    <w:rsid w:val="007402E8"/>
    <w:rsid w:val="00740C15"/>
    <w:rsid w:val="0074175D"/>
    <w:rsid w:val="00741968"/>
    <w:rsid w:val="007427BB"/>
    <w:rsid w:val="00742B0A"/>
    <w:rsid w:val="00742D0C"/>
    <w:rsid w:val="00742EC4"/>
    <w:rsid w:val="007437F0"/>
    <w:rsid w:val="007450D6"/>
    <w:rsid w:val="0074523C"/>
    <w:rsid w:val="00745288"/>
    <w:rsid w:val="00745F46"/>
    <w:rsid w:val="00746280"/>
    <w:rsid w:val="00746A97"/>
    <w:rsid w:val="00750910"/>
    <w:rsid w:val="00750F53"/>
    <w:rsid w:val="00751127"/>
    <w:rsid w:val="00751308"/>
    <w:rsid w:val="00751BB9"/>
    <w:rsid w:val="00751C70"/>
    <w:rsid w:val="00752755"/>
    <w:rsid w:val="00752858"/>
    <w:rsid w:val="00753A07"/>
    <w:rsid w:val="00753B9D"/>
    <w:rsid w:val="00753BD7"/>
    <w:rsid w:val="00754786"/>
    <w:rsid w:val="0075566E"/>
    <w:rsid w:val="0075581A"/>
    <w:rsid w:val="007563ED"/>
    <w:rsid w:val="007574CA"/>
    <w:rsid w:val="00757995"/>
    <w:rsid w:val="00760669"/>
    <w:rsid w:val="00760C10"/>
    <w:rsid w:val="0076161F"/>
    <w:rsid w:val="00761E5E"/>
    <w:rsid w:val="007625E5"/>
    <w:rsid w:val="00763403"/>
    <w:rsid w:val="00763632"/>
    <w:rsid w:val="0076513A"/>
    <w:rsid w:val="0076531E"/>
    <w:rsid w:val="00766433"/>
    <w:rsid w:val="007701F8"/>
    <w:rsid w:val="0077043A"/>
    <w:rsid w:val="00771F2C"/>
    <w:rsid w:val="00772CE8"/>
    <w:rsid w:val="00772FF1"/>
    <w:rsid w:val="0077500B"/>
    <w:rsid w:val="0077593B"/>
    <w:rsid w:val="00777762"/>
    <w:rsid w:val="00777A3C"/>
    <w:rsid w:val="00780444"/>
    <w:rsid w:val="007805DE"/>
    <w:rsid w:val="0078097F"/>
    <w:rsid w:val="00781880"/>
    <w:rsid w:val="00781C40"/>
    <w:rsid w:val="00781E62"/>
    <w:rsid w:val="0078208B"/>
    <w:rsid w:val="007820E8"/>
    <w:rsid w:val="00782887"/>
    <w:rsid w:val="007830A3"/>
    <w:rsid w:val="0078336E"/>
    <w:rsid w:val="00784BED"/>
    <w:rsid w:val="00785661"/>
    <w:rsid w:val="007861E3"/>
    <w:rsid w:val="007872A6"/>
    <w:rsid w:val="00787BEF"/>
    <w:rsid w:val="00790453"/>
    <w:rsid w:val="00791E00"/>
    <w:rsid w:val="00792015"/>
    <w:rsid w:val="0079247E"/>
    <w:rsid w:val="00794586"/>
    <w:rsid w:val="00794595"/>
    <w:rsid w:val="0079548F"/>
    <w:rsid w:val="00796634"/>
    <w:rsid w:val="00796670"/>
    <w:rsid w:val="007A000A"/>
    <w:rsid w:val="007A00B0"/>
    <w:rsid w:val="007A0649"/>
    <w:rsid w:val="007A073A"/>
    <w:rsid w:val="007A21CF"/>
    <w:rsid w:val="007A2433"/>
    <w:rsid w:val="007A2CFF"/>
    <w:rsid w:val="007A3331"/>
    <w:rsid w:val="007A3393"/>
    <w:rsid w:val="007A45B4"/>
    <w:rsid w:val="007A4C71"/>
    <w:rsid w:val="007A6204"/>
    <w:rsid w:val="007A65B4"/>
    <w:rsid w:val="007A7670"/>
    <w:rsid w:val="007A793F"/>
    <w:rsid w:val="007B007B"/>
    <w:rsid w:val="007B0D04"/>
    <w:rsid w:val="007B1137"/>
    <w:rsid w:val="007B188F"/>
    <w:rsid w:val="007B1AAC"/>
    <w:rsid w:val="007B1F2B"/>
    <w:rsid w:val="007B30A4"/>
    <w:rsid w:val="007B31AE"/>
    <w:rsid w:val="007B328E"/>
    <w:rsid w:val="007B3467"/>
    <w:rsid w:val="007B35D0"/>
    <w:rsid w:val="007B3616"/>
    <w:rsid w:val="007B46F6"/>
    <w:rsid w:val="007B4F6E"/>
    <w:rsid w:val="007B518F"/>
    <w:rsid w:val="007B5287"/>
    <w:rsid w:val="007B586A"/>
    <w:rsid w:val="007B6FA2"/>
    <w:rsid w:val="007B7E53"/>
    <w:rsid w:val="007C11D7"/>
    <w:rsid w:val="007C31ED"/>
    <w:rsid w:val="007C3CD4"/>
    <w:rsid w:val="007C46AB"/>
    <w:rsid w:val="007C54B0"/>
    <w:rsid w:val="007C58FD"/>
    <w:rsid w:val="007C6095"/>
    <w:rsid w:val="007C7290"/>
    <w:rsid w:val="007C7D9B"/>
    <w:rsid w:val="007D013A"/>
    <w:rsid w:val="007D1034"/>
    <w:rsid w:val="007D1B78"/>
    <w:rsid w:val="007D1F92"/>
    <w:rsid w:val="007D2667"/>
    <w:rsid w:val="007D3EF3"/>
    <w:rsid w:val="007D40A7"/>
    <w:rsid w:val="007D4D2D"/>
    <w:rsid w:val="007D53B8"/>
    <w:rsid w:val="007D54DD"/>
    <w:rsid w:val="007D5567"/>
    <w:rsid w:val="007D5A44"/>
    <w:rsid w:val="007D6F07"/>
    <w:rsid w:val="007D75AE"/>
    <w:rsid w:val="007D762E"/>
    <w:rsid w:val="007E0D7C"/>
    <w:rsid w:val="007E155C"/>
    <w:rsid w:val="007E1649"/>
    <w:rsid w:val="007E169B"/>
    <w:rsid w:val="007E1FD2"/>
    <w:rsid w:val="007E3C40"/>
    <w:rsid w:val="007E3E82"/>
    <w:rsid w:val="007E4BE4"/>
    <w:rsid w:val="007E746E"/>
    <w:rsid w:val="007F0F0A"/>
    <w:rsid w:val="007F3236"/>
    <w:rsid w:val="007F343B"/>
    <w:rsid w:val="007F42C7"/>
    <w:rsid w:val="007F4DDC"/>
    <w:rsid w:val="007F54C6"/>
    <w:rsid w:val="007F57B6"/>
    <w:rsid w:val="007F5FF5"/>
    <w:rsid w:val="007F62EA"/>
    <w:rsid w:val="007F6F01"/>
    <w:rsid w:val="007F7263"/>
    <w:rsid w:val="00800047"/>
    <w:rsid w:val="00800BA6"/>
    <w:rsid w:val="00801011"/>
    <w:rsid w:val="0080118E"/>
    <w:rsid w:val="00801AC1"/>
    <w:rsid w:val="00802309"/>
    <w:rsid w:val="00802C9A"/>
    <w:rsid w:val="0080534B"/>
    <w:rsid w:val="00806A93"/>
    <w:rsid w:val="0080764A"/>
    <w:rsid w:val="00807706"/>
    <w:rsid w:val="008104C9"/>
    <w:rsid w:val="0081143E"/>
    <w:rsid w:val="00811EFC"/>
    <w:rsid w:val="008122FB"/>
    <w:rsid w:val="0081280B"/>
    <w:rsid w:val="00812C35"/>
    <w:rsid w:val="00814476"/>
    <w:rsid w:val="00814BDF"/>
    <w:rsid w:val="00814DA5"/>
    <w:rsid w:val="008152FD"/>
    <w:rsid w:val="00816189"/>
    <w:rsid w:val="00817A81"/>
    <w:rsid w:val="00817F37"/>
    <w:rsid w:val="0082015A"/>
    <w:rsid w:val="008204CD"/>
    <w:rsid w:val="00820667"/>
    <w:rsid w:val="00821662"/>
    <w:rsid w:val="00821962"/>
    <w:rsid w:val="00822577"/>
    <w:rsid w:val="00824A57"/>
    <w:rsid w:val="00825CDE"/>
    <w:rsid w:val="00825DAE"/>
    <w:rsid w:val="008260E7"/>
    <w:rsid w:val="00827107"/>
    <w:rsid w:val="008278D5"/>
    <w:rsid w:val="00827BF3"/>
    <w:rsid w:val="00827F58"/>
    <w:rsid w:val="00830866"/>
    <w:rsid w:val="00830D43"/>
    <w:rsid w:val="00830FEC"/>
    <w:rsid w:val="00832D29"/>
    <w:rsid w:val="00834035"/>
    <w:rsid w:val="008341A7"/>
    <w:rsid w:val="00834655"/>
    <w:rsid w:val="00836442"/>
    <w:rsid w:val="008401A1"/>
    <w:rsid w:val="00841FB0"/>
    <w:rsid w:val="008428B0"/>
    <w:rsid w:val="00842998"/>
    <w:rsid w:val="00842B33"/>
    <w:rsid w:val="00843489"/>
    <w:rsid w:val="00844FBF"/>
    <w:rsid w:val="00845731"/>
    <w:rsid w:val="00846D8C"/>
    <w:rsid w:val="00850232"/>
    <w:rsid w:val="00851227"/>
    <w:rsid w:val="00851B42"/>
    <w:rsid w:val="00851D12"/>
    <w:rsid w:val="008522D0"/>
    <w:rsid w:val="00853E0B"/>
    <w:rsid w:val="0085474A"/>
    <w:rsid w:val="00854A5E"/>
    <w:rsid w:val="00854F6F"/>
    <w:rsid w:val="008569D4"/>
    <w:rsid w:val="00856A3E"/>
    <w:rsid w:val="00857A20"/>
    <w:rsid w:val="00857AE5"/>
    <w:rsid w:val="00861949"/>
    <w:rsid w:val="00861C0C"/>
    <w:rsid w:val="00862ACC"/>
    <w:rsid w:val="0086312E"/>
    <w:rsid w:val="00863182"/>
    <w:rsid w:val="00863DC0"/>
    <w:rsid w:val="00864B33"/>
    <w:rsid w:val="00864C5E"/>
    <w:rsid w:val="00864F5D"/>
    <w:rsid w:val="00865C7C"/>
    <w:rsid w:val="00866EFF"/>
    <w:rsid w:val="00867B24"/>
    <w:rsid w:val="00870BC5"/>
    <w:rsid w:val="00870E23"/>
    <w:rsid w:val="00871879"/>
    <w:rsid w:val="00871981"/>
    <w:rsid w:val="008721E5"/>
    <w:rsid w:val="00872A20"/>
    <w:rsid w:val="0087399A"/>
    <w:rsid w:val="00873A60"/>
    <w:rsid w:val="00873EC9"/>
    <w:rsid w:val="0087440D"/>
    <w:rsid w:val="00875DBA"/>
    <w:rsid w:val="00877276"/>
    <w:rsid w:val="0088206C"/>
    <w:rsid w:val="00882770"/>
    <w:rsid w:val="00882941"/>
    <w:rsid w:val="0088464C"/>
    <w:rsid w:val="00884769"/>
    <w:rsid w:val="008852AF"/>
    <w:rsid w:val="00885708"/>
    <w:rsid w:val="00885A81"/>
    <w:rsid w:val="00886459"/>
    <w:rsid w:val="008867C0"/>
    <w:rsid w:val="008870FA"/>
    <w:rsid w:val="008907E9"/>
    <w:rsid w:val="008909BB"/>
    <w:rsid w:val="008910E7"/>
    <w:rsid w:val="00891B08"/>
    <w:rsid w:val="00891D37"/>
    <w:rsid w:val="00891FA7"/>
    <w:rsid w:val="008922BA"/>
    <w:rsid w:val="0089534C"/>
    <w:rsid w:val="008955EE"/>
    <w:rsid w:val="00896EB6"/>
    <w:rsid w:val="008A0A14"/>
    <w:rsid w:val="008A0F4D"/>
    <w:rsid w:val="008A167D"/>
    <w:rsid w:val="008A444E"/>
    <w:rsid w:val="008A4C7B"/>
    <w:rsid w:val="008A4F73"/>
    <w:rsid w:val="008A561C"/>
    <w:rsid w:val="008A5CFD"/>
    <w:rsid w:val="008A5E16"/>
    <w:rsid w:val="008A6956"/>
    <w:rsid w:val="008A762F"/>
    <w:rsid w:val="008A7E4F"/>
    <w:rsid w:val="008A7F15"/>
    <w:rsid w:val="008B061C"/>
    <w:rsid w:val="008B1A94"/>
    <w:rsid w:val="008B1B73"/>
    <w:rsid w:val="008B35EB"/>
    <w:rsid w:val="008B3C4F"/>
    <w:rsid w:val="008B43C3"/>
    <w:rsid w:val="008B53F2"/>
    <w:rsid w:val="008B5981"/>
    <w:rsid w:val="008B5A6C"/>
    <w:rsid w:val="008B6003"/>
    <w:rsid w:val="008B63B0"/>
    <w:rsid w:val="008B6A8F"/>
    <w:rsid w:val="008B7B02"/>
    <w:rsid w:val="008C08C9"/>
    <w:rsid w:val="008C10AB"/>
    <w:rsid w:val="008C1393"/>
    <w:rsid w:val="008C1AB2"/>
    <w:rsid w:val="008C2216"/>
    <w:rsid w:val="008C2607"/>
    <w:rsid w:val="008C397D"/>
    <w:rsid w:val="008C56CA"/>
    <w:rsid w:val="008C5B24"/>
    <w:rsid w:val="008C5D05"/>
    <w:rsid w:val="008C7CFA"/>
    <w:rsid w:val="008D19B3"/>
    <w:rsid w:val="008D1C60"/>
    <w:rsid w:val="008D211C"/>
    <w:rsid w:val="008D2565"/>
    <w:rsid w:val="008D2961"/>
    <w:rsid w:val="008D2FA9"/>
    <w:rsid w:val="008D3078"/>
    <w:rsid w:val="008D34F8"/>
    <w:rsid w:val="008D43D7"/>
    <w:rsid w:val="008D481E"/>
    <w:rsid w:val="008D4926"/>
    <w:rsid w:val="008D6C5E"/>
    <w:rsid w:val="008E016D"/>
    <w:rsid w:val="008E183B"/>
    <w:rsid w:val="008E1F25"/>
    <w:rsid w:val="008E27B8"/>
    <w:rsid w:val="008E3FFA"/>
    <w:rsid w:val="008E43A3"/>
    <w:rsid w:val="008E4D4A"/>
    <w:rsid w:val="008E5169"/>
    <w:rsid w:val="008E7816"/>
    <w:rsid w:val="008F0920"/>
    <w:rsid w:val="008F0BC5"/>
    <w:rsid w:val="008F1561"/>
    <w:rsid w:val="008F1D2B"/>
    <w:rsid w:val="008F45FE"/>
    <w:rsid w:val="008F4B3B"/>
    <w:rsid w:val="008F515D"/>
    <w:rsid w:val="008F5CED"/>
    <w:rsid w:val="008F60C7"/>
    <w:rsid w:val="008F68DB"/>
    <w:rsid w:val="008F6C2F"/>
    <w:rsid w:val="008F7A3D"/>
    <w:rsid w:val="008F7C5A"/>
    <w:rsid w:val="009000CF"/>
    <w:rsid w:val="00900171"/>
    <w:rsid w:val="00900644"/>
    <w:rsid w:val="00900F53"/>
    <w:rsid w:val="00900FF1"/>
    <w:rsid w:val="00901B17"/>
    <w:rsid w:val="0090441E"/>
    <w:rsid w:val="009050C7"/>
    <w:rsid w:val="00906253"/>
    <w:rsid w:val="009067C9"/>
    <w:rsid w:val="00906BA7"/>
    <w:rsid w:val="00906F44"/>
    <w:rsid w:val="00910068"/>
    <w:rsid w:val="00910409"/>
    <w:rsid w:val="00910F3B"/>
    <w:rsid w:val="00911451"/>
    <w:rsid w:val="00911C6D"/>
    <w:rsid w:val="009131CD"/>
    <w:rsid w:val="009134FB"/>
    <w:rsid w:val="009135AC"/>
    <w:rsid w:val="00914128"/>
    <w:rsid w:val="009157EC"/>
    <w:rsid w:val="009165B8"/>
    <w:rsid w:val="00916C64"/>
    <w:rsid w:val="00917803"/>
    <w:rsid w:val="0091788B"/>
    <w:rsid w:val="009200B9"/>
    <w:rsid w:val="00920BAB"/>
    <w:rsid w:val="0092283E"/>
    <w:rsid w:val="00922E11"/>
    <w:rsid w:val="00923DC6"/>
    <w:rsid w:val="00924277"/>
    <w:rsid w:val="00924704"/>
    <w:rsid w:val="00926897"/>
    <w:rsid w:val="0092689B"/>
    <w:rsid w:val="0092710D"/>
    <w:rsid w:val="00927514"/>
    <w:rsid w:val="00931A1A"/>
    <w:rsid w:val="00931C99"/>
    <w:rsid w:val="00932C6B"/>
    <w:rsid w:val="00933209"/>
    <w:rsid w:val="00933469"/>
    <w:rsid w:val="00933C4F"/>
    <w:rsid w:val="00934336"/>
    <w:rsid w:val="009347E1"/>
    <w:rsid w:val="00934AF4"/>
    <w:rsid w:val="00934D42"/>
    <w:rsid w:val="00934D8E"/>
    <w:rsid w:val="00934E0D"/>
    <w:rsid w:val="00935C0C"/>
    <w:rsid w:val="00935D4D"/>
    <w:rsid w:val="00940150"/>
    <w:rsid w:val="00941540"/>
    <w:rsid w:val="00941780"/>
    <w:rsid w:val="00942171"/>
    <w:rsid w:val="009422B8"/>
    <w:rsid w:val="009423B5"/>
    <w:rsid w:val="009430FB"/>
    <w:rsid w:val="00943F31"/>
    <w:rsid w:val="0094497A"/>
    <w:rsid w:val="00944EF3"/>
    <w:rsid w:val="00946C64"/>
    <w:rsid w:val="00947518"/>
    <w:rsid w:val="00951F25"/>
    <w:rsid w:val="00953755"/>
    <w:rsid w:val="00953C5A"/>
    <w:rsid w:val="009541B8"/>
    <w:rsid w:val="00954E72"/>
    <w:rsid w:val="00955E17"/>
    <w:rsid w:val="00957167"/>
    <w:rsid w:val="009575A6"/>
    <w:rsid w:val="00957C9C"/>
    <w:rsid w:val="00961E0B"/>
    <w:rsid w:val="00962F1F"/>
    <w:rsid w:val="009633D3"/>
    <w:rsid w:val="009642A5"/>
    <w:rsid w:val="00965693"/>
    <w:rsid w:val="009656F2"/>
    <w:rsid w:val="00965899"/>
    <w:rsid w:val="00965ED2"/>
    <w:rsid w:val="00967EF2"/>
    <w:rsid w:val="00970435"/>
    <w:rsid w:val="009706C3"/>
    <w:rsid w:val="00970B5E"/>
    <w:rsid w:val="00970C18"/>
    <w:rsid w:val="009713F5"/>
    <w:rsid w:val="00971A76"/>
    <w:rsid w:val="00972AE3"/>
    <w:rsid w:val="00972D3F"/>
    <w:rsid w:val="00973051"/>
    <w:rsid w:val="009738C5"/>
    <w:rsid w:val="00973DF3"/>
    <w:rsid w:val="00973E79"/>
    <w:rsid w:val="009751A8"/>
    <w:rsid w:val="00975ABD"/>
    <w:rsid w:val="00976B15"/>
    <w:rsid w:val="00977343"/>
    <w:rsid w:val="0097766A"/>
    <w:rsid w:val="0098035B"/>
    <w:rsid w:val="00981E53"/>
    <w:rsid w:val="00981FFF"/>
    <w:rsid w:val="00982205"/>
    <w:rsid w:val="00982533"/>
    <w:rsid w:val="009827DE"/>
    <w:rsid w:val="00982845"/>
    <w:rsid w:val="00982EA5"/>
    <w:rsid w:val="00983008"/>
    <w:rsid w:val="009830C5"/>
    <w:rsid w:val="0098333D"/>
    <w:rsid w:val="00983700"/>
    <w:rsid w:val="00983CCF"/>
    <w:rsid w:val="00983D19"/>
    <w:rsid w:val="0098440C"/>
    <w:rsid w:val="009844E3"/>
    <w:rsid w:val="009851F5"/>
    <w:rsid w:val="0098748F"/>
    <w:rsid w:val="009878BF"/>
    <w:rsid w:val="00990857"/>
    <w:rsid w:val="00990F33"/>
    <w:rsid w:val="00991FBF"/>
    <w:rsid w:val="00992088"/>
    <w:rsid w:val="00992444"/>
    <w:rsid w:val="00992871"/>
    <w:rsid w:val="00993AF8"/>
    <w:rsid w:val="0099461E"/>
    <w:rsid w:val="00996771"/>
    <w:rsid w:val="00996913"/>
    <w:rsid w:val="00997C1F"/>
    <w:rsid w:val="009A18D9"/>
    <w:rsid w:val="009A1DC5"/>
    <w:rsid w:val="009A3198"/>
    <w:rsid w:val="009A48FE"/>
    <w:rsid w:val="009A6C30"/>
    <w:rsid w:val="009A6EC9"/>
    <w:rsid w:val="009A7B2A"/>
    <w:rsid w:val="009B06F3"/>
    <w:rsid w:val="009B194B"/>
    <w:rsid w:val="009B1FED"/>
    <w:rsid w:val="009B21E0"/>
    <w:rsid w:val="009B27F4"/>
    <w:rsid w:val="009B2A15"/>
    <w:rsid w:val="009B2F59"/>
    <w:rsid w:val="009B406C"/>
    <w:rsid w:val="009B45F7"/>
    <w:rsid w:val="009B4FE0"/>
    <w:rsid w:val="009B6A8C"/>
    <w:rsid w:val="009B6BDF"/>
    <w:rsid w:val="009B6FE8"/>
    <w:rsid w:val="009B720F"/>
    <w:rsid w:val="009B7D9F"/>
    <w:rsid w:val="009C02B1"/>
    <w:rsid w:val="009C1010"/>
    <w:rsid w:val="009C1E4F"/>
    <w:rsid w:val="009C1F23"/>
    <w:rsid w:val="009C2E27"/>
    <w:rsid w:val="009C5311"/>
    <w:rsid w:val="009D0E64"/>
    <w:rsid w:val="009D20C9"/>
    <w:rsid w:val="009D3E84"/>
    <w:rsid w:val="009D40BC"/>
    <w:rsid w:val="009D4A9F"/>
    <w:rsid w:val="009D55BD"/>
    <w:rsid w:val="009D73B5"/>
    <w:rsid w:val="009D7EC0"/>
    <w:rsid w:val="009D7F09"/>
    <w:rsid w:val="009E03F3"/>
    <w:rsid w:val="009E1D75"/>
    <w:rsid w:val="009E2BC6"/>
    <w:rsid w:val="009E3071"/>
    <w:rsid w:val="009E31BE"/>
    <w:rsid w:val="009E3652"/>
    <w:rsid w:val="009E3BAD"/>
    <w:rsid w:val="009E4F21"/>
    <w:rsid w:val="009E5596"/>
    <w:rsid w:val="009E6F81"/>
    <w:rsid w:val="009F0086"/>
    <w:rsid w:val="009F0832"/>
    <w:rsid w:val="009F1293"/>
    <w:rsid w:val="009F1466"/>
    <w:rsid w:val="009F1E42"/>
    <w:rsid w:val="009F2899"/>
    <w:rsid w:val="009F28E3"/>
    <w:rsid w:val="009F4E10"/>
    <w:rsid w:val="009F6187"/>
    <w:rsid w:val="009F6319"/>
    <w:rsid w:val="009F6740"/>
    <w:rsid w:val="009F6D9C"/>
    <w:rsid w:val="009F714B"/>
    <w:rsid w:val="009F7387"/>
    <w:rsid w:val="009F73EA"/>
    <w:rsid w:val="009F7921"/>
    <w:rsid w:val="009F79A9"/>
    <w:rsid w:val="009F7C3F"/>
    <w:rsid w:val="00A00D44"/>
    <w:rsid w:val="00A029A0"/>
    <w:rsid w:val="00A02D62"/>
    <w:rsid w:val="00A03729"/>
    <w:rsid w:val="00A042FA"/>
    <w:rsid w:val="00A046C0"/>
    <w:rsid w:val="00A04C00"/>
    <w:rsid w:val="00A04CC4"/>
    <w:rsid w:val="00A04E1B"/>
    <w:rsid w:val="00A058E5"/>
    <w:rsid w:val="00A0662F"/>
    <w:rsid w:val="00A06C39"/>
    <w:rsid w:val="00A06EFC"/>
    <w:rsid w:val="00A07222"/>
    <w:rsid w:val="00A07436"/>
    <w:rsid w:val="00A078E3"/>
    <w:rsid w:val="00A107B0"/>
    <w:rsid w:val="00A1106F"/>
    <w:rsid w:val="00A110C4"/>
    <w:rsid w:val="00A13927"/>
    <w:rsid w:val="00A152F6"/>
    <w:rsid w:val="00A16CEB"/>
    <w:rsid w:val="00A20758"/>
    <w:rsid w:val="00A20CE5"/>
    <w:rsid w:val="00A21968"/>
    <w:rsid w:val="00A21A24"/>
    <w:rsid w:val="00A240FC"/>
    <w:rsid w:val="00A246E8"/>
    <w:rsid w:val="00A24D6F"/>
    <w:rsid w:val="00A27ADB"/>
    <w:rsid w:val="00A27C6B"/>
    <w:rsid w:val="00A30C75"/>
    <w:rsid w:val="00A31151"/>
    <w:rsid w:val="00A31A17"/>
    <w:rsid w:val="00A33649"/>
    <w:rsid w:val="00A339A9"/>
    <w:rsid w:val="00A36349"/>
    <w:rsid w:val="00A37DB5"/>
    <w:rsid w:val="00A40892"/>
    <w:rsid w:val="00A41759"/>
    <w:rsid w:val="00A421C4"/>
    <w:rsid w:val="00A42D7A"/>
    <w:rsid w:val="00A44A79"/>
    <w:rsid w:val="00A45216"/>
    <w:rsid w:val="00A4685D"/>
    <w:rsid w:val="00A469D9"/>
    <w:rsid w:val="00A46A42"/>
    <w:rsid w:val="00A4778C"/>
    <w:rsid w:val="00A47A10"/>
    <w:rsid w:val="00A47C5F"/>
    <w:rsid w:val="00A507EA"/>
    <w:rsid w:val="00A50AEF"/>
    <w:rsid w:val="00A512BA"/>
    <w:rsid w:val="00A5142C"/>
    <w:rsid w:val="00A51561"/>
    <w:rsid w:val="00A52D74"/>
    <w:rsid w:val="00A53B99"/>
    <w:rsid w:val="00A53FC7"/>
    <w:rsid w:val="00A5440E"/>
    <w:rsid w:val="00A54564"/>
    <w:rsid w:val="00A55519"/>
    <w:rsid w:val="00A557A9"/>
    <w:rsid w:val="00A56074"/>
    <w:rsid w:val="00A60776"/>
    <w:rsid w:val="00A60DCF"/>
    <w:rsid w:val="00A60E1C"/>
    <w:rsid w:val="00A61E32"/>
    <w:rsid w:val="00A61FF8"/>
    <w:rsid w:val="00A62C80"/>
    <w:rsid w:val="00A650BA"/>
    <w:rsid w:val="00A65CB8"/>
    <w:rsid w:val="00A664CF"/>
    <w:rsid w:val="00A67452"/>
    <w:rsid w:val="00A67691"/>
    <w:rsid w:val="00A67EFD"/>
    <w:rsid w:val="00A702F5"/>
    <w:rsid w:val="00A70911"/>
    <w:rsid w:val="00A7279B"/>
    <w:rsid w:val="00A72E29"/>
    <w:rsid w:val="00A733CD"/>
    <w:rsid w:val="00A738C0"/>
    <w:rsid w:val="00A7419C"/>
    <w:rsid w:val="00A74B50"/>
    <w:rsid w:val="00A75865"/>
    <w:rsid w:val="00A76197"/>
    <w:rsid w:val="00A76246"/>
    <w:rsid w:val="00A76948"/>
    <w:rsid w:val="00A770B7"/>
    <w:rsid w:val="00A800F8"/>
    <w:rsid w:val="00A81A1E"/>
    <w:rsid w:val="00A82E2C"/>
    <w:rsid w:val="00A83A06"/>
    <w:rsid w:val="00A84C5C"/>
    <w:rsid w:val="00A85A19"/>
    <w:rsid w:val="00A86521"/>
    <w:rsid w:val="00A87239"/>
    <w:rsid w:val="00A87AB6"/>
    <w:rsid w:val="00A91145"/>
    <w:rsid w:val="00A91788"/>
    <w:rsid w:val="00A91B68"/>
    <w:rsid w:val="00A92C74"/>
    <w:rsid w:val="00A92D3D"/>
    <w:rsid w:val="00A9355B"/>
    <w:rsid w:val="00A937BD"/>
    <w:rsid w:val="00A944AC"/>
    <w:rsid w:val="00A97FED"/>
    <w:rsid w:val="00AA0F78"/>
    <w:rsid w:val="00AA1232"/>
    <w:rsid w:val="00AA1B8B"/>
    <w:rsid w:val="00AA466D"/>
    <w:rsid w:val="00AA4F06"/>
    <w:rsid w:val="00AA5E9D"/>
    <w:rsid w:val="00AA6E36"/>
    <w:rsid w:val="00AA6E53"/>
    <w:rsid w:val="00AA7031"/>
    <w:rsid w:val="00AA78B0"/>
    <w:rsid w:val="00AB031A"/>
    <w:rsid w:val="00AB03A1"/>
    <w:rsid w:val="00AB04A8"/>
    <w:rsid w:val="00AB1999"/>
    <w:rsid w:val="00AB1D69"/>
    <w:rsid w:val="00AB1DE0"/>
    <w:rsid w:val="00AB2AF9"/>
    <w:rsid w:val="00AB32EB"/>
    <w:rsid w:val="00AB4713"/>
    <w:rsid w:val="00AB4DE7"/>
    <w:rsid w:val="00AB5206"/>
    <w:rsid w:val="00AB5749"/>
    <w:rsid w:val="00AB59CF"/>
    <w:rsid w:val="00AB5BB2"/>
    <w:rsid w:val="00AB66B8"/>
    <w:rsid w:val="00AB773F"/>
    <w:rsid w:val="00AB7AF4"/>
    <w:rsid w:val="00AC0565"/>
    <w:rsid w:val="00AC069C"/>
    <w:rsid w:val="00AC09B0"/>
    <w:rsid w:val="00AC0D34"/>
    <w:rsid w:val="00AC0F72"/>
    <w:rsid w:val="00AC1098"/>
    <w:rsid w:val="00AC1777"/>
    <w:rsid w:val="00AC183F"/>
    <w:rsid w:val="00AC187D"/>
    <w:rsid w:val="00AC18FD"/>
    <w:rsid w:val="00AC1F80"/>
    <w:rsid w:val="00AC1FD8"/>
    <w:rsid w:val="00AC316B"/>
    <w:rsid w:val="00AC51BF"/>
    <w:rsid w:val="00AC58D6"/>
    <w:rsid w:val="00AC5E33"/>
    <w:rsid w:val="00AC6A2F"/>
    <w:rsid w:val="00AC70EA"/>
    <w:rsid w:val="00AC7542"/>
    <w:rsid w:val="00AD0DC1"/>
    <w:rsid w:val="00AD2A89"/>
    <w:rsid w:val="00AD2B99"/>
    <w:rsid w:val="00AD2DA6"/>
    <w:rsid w:val="00AD39E3"/>
    <w:rsid w:val="00AD5FD2"/>
    <w:rsid w:val="00AD6841"/>
    <w:rsid w:val="00AD7B66"/>
    <w:rsid w:val="00AD7FB8"/>
    <w:rsid w:val="00AE0402"/>
    <w:rsid w:val="00AE0DF4"/>
    <w:rsid w:val="00AE1E52"/>
    <w:rsid w:val="00AE229A"/>
    <w:rsid w:val="00AE2561"/>
    <w:rsid w:val="00AE2B92"/>
    <w:rsid w:val="00AE2FFA"/>
    <w:rsid w:val="00AE4F6D"/>
    <w:rsid w:val="00AE5156"/>
    <w:rsid w:val="00AE5DE3"/>
    <w:rsid w:val="00AE6571"/>
    <w:rsid w:val="00AE68E0"/>
    <w:rsid w:val="00AE7C63"/>
    <w:rsid w:val="00AE7ED4"/>
    <w:rsid w:val="00AF0573"/>
    <w:rsid w:val="00AF0786"/>
    <w:rsid w:val="00AF0856"/>
    <w:rsid w:val="00AF087B"/>
    <w:rsid w:val="00AF184C"/>
    <w:rsid w:val="00AF1B1A"/>
    <w:rsid w:val="00AF1F9A"/>
    <w:rsid w:val="00AF2721"/>
    <w:rsid w:val="00AF2A6B"/>
    <w:rsid w:val="00AF39C0"/>
    <w:rsid w:val="00AF3C36"/>
    <w:rsid w:val="00AF4F2B"/>
    <w:rsid w:val="00AF5C32"/>
    <w:rsid w:val="00AF6433"/>
    <w:rsid w:val="00AF6F67"/>
    <w:rsid w:val="00B00D53"/>
    <w:rsid w:val="00B012FF"/>
    <w:rsid w:val="00B03F1D"/>
    <w:rsid w:val="00B051E4"/>
    <w:rsid w:val="00B053A7"/>
    <w:rsid w:val="00B1135C"/>
    <w:rsid w:val="00B1168C"/>
    <w:rsid w:val="00B11CD4"/>
    <w:rsid w:val="00B11F61"/>
    <w:rsid w:val="00B11F6F"/>
    <w:rsid w:val="00B12BE9"/>
    <w:rsid w:val="00B130F4"/>
    <w:rsid w:val="00B13A0A"/>
    <w:rsid w:val="00B14534"/>
    <w:rsid w:val="00B14A8E"/>
    <w:rsid w:val="00B15880"/>
    <w:rsid w:val="00B2127D"/>
    <w:rsid w:val="00B21810"/>
    <w:rsid w:val="00B22576"/>
    <w:rsid w:val="00B23406"/>
    <w:rsid w:val="00B23A9D"/>
    <w:rsid w:val="00B23AA1"/>
    <w:rsid w:val="00B23D64"/>
    <w:rsid w:val="00B23DBB"/>
    <w:rsid w:val="00B2499C"/>
    <w:rsid w:val="00B24C9F"/>
    <w:rsid w:val="00B24F66"/>
    <w:rsid w:val="00B25001"/>
    <w:rsid w:val="00B25869"/>
    <w:rsid w:val="00B25D0E"/>
    <w:rsid w:val="00B269DC"/>
    <w:rsid w:val="00B26D8B"/>
    <w:rsid w:val="00B27080"/>
    <w:rsid w:val="00B27724"/>
    <w:rsid w:val="00B2779E"/>
    <w:rsid w:val="00B27C87"/>
    <w:rsid w:val="00B300CF"/>
    <w:rsid w:val="00B30976"/>
    <w:rsid w:val="00B30D5E"/>
    <w:rsid w:val="00B3126B"/>
    <w:rsid w:val="00B31287"/>
    <w:rsid w:val="00B316C5"/>
    <w:rsid w:val="00B3253F"/>
    <w:rsid w:val="00B33A9E"/>
    <w:rsid w:val="00B33AE1"/>
    <w:rsid w:val="00B33BD3"/>
    <w:rsid w:val="00B346C6"/>
    <w:rsid w:val="00B34AE7"/>
    <w:rsid w:val="00B35E6C"/>
    <w:rsid w:val="00B3619D"/>
    <w:rsid w:val="00B37043"/>
    <w:rsid w:val="00B3717B"/>
    <w:rsid w:val="00B40229"/>
    <w:rsid w:val="00B40E6A"/>
    <w:rsid w:val="00B42307"/>
    <w:rsid w:val="00B42D97"/>
    <w:rsid w:val="00B43F8D"/>
    <w:rsid w:val="00B4539E"/>
    <w:rsid w:val="00B454F1"/>
    <w:rsid w:val="00B45EDD"/>
    <w:rsid w:val="00B461A8"/>
    <w:rsid w:val="00B466B6"/>
    <w:rsid w:val="00B47576"/>
    <w:rsid w:val="00B478F2"/>
    <w:rsid w:val="00B50671"/>
    <w:rsid w:val="00B50E57"/>
    <w:rsid w:val="00B51003"/>
    <w:rsid w:val="00B545BD"/>
    <w:rsid w:val="00B55616"/>
    <w:rsid w:val="00B55A72"/>
    <w:rsid w:val="00B55AB0"/>
    <w:rsid w:val="00B56795"/>
    <w:rsid w:val="00B5740B"/>
    <w:rsid w:val="00B578DF"/>
    <w:rsid w:val="00B57FE5"/>
    <w:rsid w:val="00B60D0E"/>
    <w:rsid w:val="00B62B40"/>
    <w:rsid w:val="00B63384"/>
    <w:rsid w:val="00B63DC8"/>
    <w:rsid w:val="00B64210"/>
    <w:rsid w:val="00B64B83"/>
    <w:rsid w:val="00B64E5D"/>
    <w:rsid w:val="00B65BD3"/>
    <w:rsid w:val="00B66C01"/>
    <w:rsid w:val="00B673F3"/>
    <w:rsid w:val="00B67989"/>
    <w:rsid w:val="00B7069B"/>
    <w:rsid w:val="00B70BEC"/>
    <w:rsid w:val="00B71094"/>
    <w:rsid w:val="00B718C5"/>
    <w:rsid w:val="00B72460"/>
    <w:rsid w:val="00B7260A"/>
    <w:rsid w:val="00B74156"/>
    <w:rsid w:val="00B74379"/>
    <w:rsid w:val="00B74C3F"/>
    <w:rsid w:val="00B768CF"/>
    <w:rsid w:val="00B76F1F"/>
    <w:rsid w:val="00B773B4"/>
    <w:rsid w:val="00B808F0"/>
    <w:rsid w:val="00B813D8"/>
    <w:rsid w:val="00B81E34"/>
    <w:rsid w:val="00B83B2B"/>
    <w:rsid w:val="00B84043"/>
    <w:rsid w:val="00B84063"/>
    <w:rsid w:val="00B84A20"/>
    <w:rsid w:val="00B8515F"/>
    <w:rsid w:val="00B86BFD"/>
    <w:rsid w:val="00B90747"/>
    <w:rsid w:val="00B909FC"/>
    <w:rsid w:val="00B90BB8"/>
    <w:rsid w:val="00B910EB"/>
    <w:rsid w:val="00B91824"/>
    <w:rsid w:val="00B918E5"/>
    <w:rsid w:val="00B91D1B"/>
    <w:rsid w:val="00B92B18"/>
    <w:rsid w:val="00B92E77"/>
    <w:rsid w:val="00B93843"/>
    <w:rsid w:val="00B93FE8"/>
    <w:rsid w:val="00B94B45"/>
    <w:rsid w:val="00B94DDC"/>
    <w:rsid w:val="00B95520"/>
    <w:rsid w:val="00B958DE"/>
    <w:rsid w:val="00B97259"/>
    <w:rsid w:val="00B979EA"/>
    <w:rsid w:val="00B97AEC"/>
    <w:rsid w:val="00B97CBD"/>
    <w:rsid w:val="00BA0145"/>
    <w:rsid w:val="00BA03D7"/>
    <w:rsid w:val="00BA0C7A"/>
    <w:rsid w:val="00BA0F01"/>
    <w:rsid w:val="00BA1CD9"/>
    <w:rsid w:val="00BA2954"/>
    <w:rsid w:val="00BA29C3"/>
    <w:rsid w:val="00BA2B83"/>
    <w:rsid w:val="00BA3332"/>
    <w:rsid w:val="00BA423E"/>
    <w:rsid w:val="00BA4E52"/>
    <w:rsid w:val="00BA5B09"/>
    <w:rsid w:val="00BA5D22"/>
    <w:rsid w:val="00BA5EA3"/>
    <w:rsid w:val="00BA6DF2"/>
    <w:rsid w:val="00BA7D56"/>
    <w:rsid w:val="00BB1600"/>
    <w:rsid w:val="00BB5974"/>
    <w:rsid w:val="00BB61C2"/>
    <w:rsid w:val="00BC08F1"/>
    <w:rsid w:val="00BC0F49"/>
    <w:rsid w:val="00BC1E48"/>
    <w:rsid w:val="00BC234B"/>
    <w:rsid w:val="00BC3958"/>
    <w:rsid w:val="00BC44C9"/>
    <w:rsid w:val="00BC4883"/>
    <w:rsid w:val="00BC4FDD"/>
    <w:rsid w:val="00BC6615"/>
    <w:rsid w:val="00BC7BF2"/>
    <w:rsid w:val="00BD0FB7"/>
    <w:rsid w:val="00BD522D"/>
    <w:rsid w:val="00BD6299"/>
    <w:rsid w:val="00BD646A"/>
    <w:rsid w:val="00BD6E19"/>
    <w:rsid w:val="00BD7199"/>
    <w:rsid w:val="00BD71C4"/>
    <w:rsid w:val="00BE0032"/>
    <w:rsid w:val="00BE0875"/>
    <w:rsid w:val="00BE1AF2"/>
    <w:rsid w:val="00BE322C"/>
    <w:rsid w:val="00BE3C99"/>
    <w:rsid w:val="00BE46A3"/>
    <w:rsid w:val="00BE4E07"/>
    <w:rsid w:val="00BE5630"/>
    <w:rsid w:val="00BE58F8"/>
    <w:rsid w:val="00BE5E71"/>
    <w:rsid w:val="00BE6DBB"/>
    <w:rsid w:val="00BE6E2D"/>
    <w:rsid w:val="00BE6E8E"/>
    <w:rsid w:val="00BE7460"/>
    <w:rsid w:val="00BF04E0"/>
    <w:rsid w:val="00BF0936"/>
    <w:rsid w:val="00BF1AFB"/>
    <w:rsid w:val="00BF268A"/>
    <w:rsid w:val="00BF3293"/>
    <w:rsid w:val="00BF32AE"/>
    <w:rsid w:val="00BF38EC"/>
    <w:rsid w:val="00BF3EEB"/>
    <w:rsid w:val="00BF4CE0"/>
    <w:rsid w:val="00BF4D19"/>
    <w:rsid w:val="00BF5606"/>
    <w:rsid w:val="00BF561A"/>
    <w:rsid w:val="00BF5EAB"/>
    <w:rsid w:val="00BF6667"/>
    <w:rsid w:val="00BF74E5"/>
    <w:rsid w:val="00C00231"/>
    <w:rsid w:val="00C00718"/>
    <w:rsid w:val="00C01691"/>
    <w:rsid w:val="00C0232A"/>
    <w:rsid w:val="00C04CF1"/>
    <w:rsid w:val="00C05E1B"/>
    <w:rsid w:val="00C065EB"/>
    <w:rsid w:val="00C0707D"/>
    <w:rsid w:val="00C07258"/>
    <w:rsid w:val="00C105BC"/>
    <w:rsid w:val="00C1240F"/>
    <w:rsid w:val="00C12911"/>
    <w:rsid w:val="00C13AB0"/>
    <w:rsid w:val="00C13BD4"/>
    <w:rsid w:val="00C13CED"/>
    <w:rsid w:val="00C14C68"/>
    <w:rsid w:val="00C154DF"/>
    <w:rsid w:val="00C156E8"/>
    <w:rsid w:val="00C1599D"/>
    <w:rsid w:val="00C15BDE"/>
    <w:rsid w:val="00C16AEE"/>
    <w:rsid w:val="00C16CC9"/>
    <w:rsid w:val="00C16D5F"/>
    <w:rsid w:val="00C16E77"/>
    <w:rsid w:val="00C20404"/>
    <w:rsid w:val="00C2078B"/>
    <w:rsid w:val="00C21B73"/>
    <w:rsid w:val="00C22442"/>
    <w:rsid w:val="00C229F7"/>
    <w:rsid w:val="00C24E71"/>
    <w:rsid w:val="00C26DB0"/>
    <w:rsid w:val="00C27406"/>
    <w:rsid w:val="00C27624"/>
    <w:rsid w:val="00C27F85"/>
    <w:rsid w:val="00C30068"/>
    <w:rsid w:val="00C307B1"/>
    <w:rsid w:val="00C30FB1"/>
    <w:rsid w:val="00C31511"/>
    <w:rsid w:val="00C3182A"/>
    <w:rsid w:val="00C3351D"/>
    <w:rsid w:val="00C33EE0"/>
    <w:rsid w:val="00C35469"/>
    <w:rsid w:val="00C3627E"/>
    <w:rsid w:val="00C36746"/>
    <w:rsid w:val="00C3726F"/>
    <w:rsid w:val="00C37409"/>
    <w:rsid w:val="00C408B3"/>
    <w:rsid w:val="00C40E8C"/>
    <w:rsid w:val="00C41241"/>
    <w:rsid w:val="00C41826"/>
    <w:rsid w:val="00C41D90"/>
    <w:rsid w:val="00C4301B"/>
    <w:rsid w:val="00C43B14"/>
    <w:rsid w:val="00C43C98"/>
    <w:rsid w:val="00C4447D"/>
    <w:rsid w:val="00C445AC"/>
    <w:rsid w:val="00C44C3C"/>
    <w:rsid w:val="00C44EC2"/>
    <w:rsid w:val="00C45227"/>
    <w:rsid w:val="00C45455"/>
    <w:rsid w:val="00C51998"/>
    <w:rsid w:val="00C51BB9"/>
    <w:rsid w:val="00C5258F"/>
    <w:rsid w:val="00C52A91"/>
    <w:rsid w:val="00C52BB0"/>
    <w:rsid w:val="00C52E17"/>
    <w:rsid w:val="00C5421C"/>
    <w:rsid w:val="00C54C25"/>
    <w:rsid w:val="00C55031"/>
    <w:rsid w:val="00C560BC"/>
    <w:rsid w:val="00C563C5"/>
    <w:rsid w:val="00C56D39"/>
    <w:rsid w:val="00C56D4D"/>
    <w:rsid w:val="00C578F1"/>
    <w:rsid w:val="00C5795C"/>
    <w:rsid w:val="00C600A1"/>
    <w:rsid w:val="00C60B69"/>
    <w:rsid w:val="00C60F38"/>
    <w:rsid w:val="00C61174"/>
    <w:rsid w:val="00C62442"/>
    <w:rsid w:val="00C62F5D"/>
    <w:rsid w:val="00C631D2"/>
    <w:rsid w:val="00C631E3"/>
    <w:rsid w:val="00C6389F"/>
    <w:rsid w:val="00C64012"/>
    <w:rsid w:val="00C65C7F"/>
    <w:rsid w:val="00C66060"/>
    <w:rsid w:val="00C66290"/>
    <w:rsid w:val="00C662E6"/>
    <w:rsid w:val="00C6690A"/>
    <w:rsid w:val="00C71B28"/>
    <w:rsid w:val="00C71EB9"/>
    <w:rsid w:val="00C72472"/>
    <w:rsid w:val="00C729C7"/>
    <w:rsid w:val="00C73299"/>
    <w:rsid w:val="00C73A8B"/>
    <w:rsid w:val="00C73D5F"/>
    <w:rsid w:val="00C74C11"/>
    <w:rsid w:val="00C74D82"/>
    <w:rsid w:val="00C7501D"/>
    <w:rsid w:val="00C7542C"/>
    <w:rsid w:val="00C7640C"/>
    <w:rsid w:val="00C76FA2"/>
    <w:rsid w:val="00C77415"/>
    <w:rsid w:val="00C776CD"/>
    <w:rsid w:val="00C77A11"/>
    <w:rsid w:val="00C8008D"/>
    <w:rsid w:val="00C80AA8"/>
    <w:rsid w:val="00C81976"/>
    <w:rsid w:val="00C824CA"/>
    <w:rsid w:val="00C834FD"/>
    <w:rsid w:val="00C8373D"/>
    <w:rsid w:val="00C83DD5"/>
    <w:rsid w:val="00C83F45"/>
    <w:rsid w:val="00C85B21"/>
    <w:rsid w:val="00C87093"/>
    <w:rsid w:val="00C870D9"/>
    <w:rsid w:val="00C87301"/>
    <w:rsid w:val="00C8780F"/>
    <w:rsid w:val="00C87DDA"/>
    <w:rsid w:val="00C9064C"/>
    <w:rsid w:val="00C9087D"/>
    <w:rsid w:val="00C91204"/>
    <w:rsid w:val="00C91B48"/>
    <w:rsid w:val="00C9547B"/>
    <w:rsid w:val="00C96B1C"/>
    <w:rsid w:val="00C96E7B"/>
    <w:rsid w:val="00C973ED"/>
    <w:rsid w:val="00C979DF"/>
    <w:rsid w:val="00CA119F"/>
    <w:rsid w:val="00CA51C1"/>
    <w:rsid w:val="00CA52B2"/>
    <w:rsid w:val="00CB02C3"/>
    <w:rsid w:val="00CB1167"/>
    <w:rsid w:val="00CB1326"/>
    <w:rsid w:val="00CB1369"/>
    <w:rsid w:val="00CB160C"/>
    <w:rsid w:val="00CB165B"/>
    <w:rsid w:val="00CB170C"/>
    <w:rsid w:val="00CB22F7"/>
    <w:rsid w:val="00CB3E15"/>
    <w:rsid w:val="00CB40BB"/>
    <w:rsid w:val="00CB4222"/>
    <w:rsid w:val="00CB4D04"/>
    <w:rsid w:val="00CB573A"/>
    <w:rsid w:val="00CB5D17"/>
    <w:rsid w:val="00CB68C8"/>
    <w:rsid w:val="00CB69A5"/>
    <w:rsid w:val="00CB7267"/>
    <w:rsid w:val="00CB7FBA"/>
    <w:rsid w:val="00CC00D7"/>
    <w:rsid w:val="00CC0A9F"/>
    <w:rsid w:val="00CC20C2"/>
    <w:rsid w:val="00CC3C85"/>
    <w:rsid w:val="00CC5CFA"/>
    <w:rsid w:val="00CC6099"/>
    <w:rsid w:val="00CC6489"/>
    <w:rsid w:val="00CD14B4"/>
    <w:rsid w:val="00CD23DF"/>
    <w:rsid w:val="00CD321F"/>
    <w:rsid w:val="00CD4297"/>
    <w:rsid w:val="00CD63E9"/>
    <w:rsid w:val="00CD6BE4"/>
    <w:rsid w:val="00CE07CA"/>
    <w:rsid w:val="00CE120B"/>
    <w:rsid w:val="00CE14E0"/>
    <w:rsid w:val="00CE2547"/>
    <w:rsid w:val="00CE26B9"/>
    <w:rsid w:val="00CE2D7A"/>
    <w:rsid w:val="00CE357F"/>
    <w:rsid w:val="00CE3739"/>
    <w:rsid w:val="00CE3947"/>
    <w:rsid w:val="00CE41EA"/>
    <w:rsid w:val="00CE4568"/>
    <w:rsid w:val="00CE4649"/>
    <w:rsid w:val="00CE5CCE"/>
    <w:rsid w:val="00CE6021"/>
    <w:rsid w:val="00CE6103"/>
    <w:rsid w:val="00CE6139"/>
    <w:rsid w:val="00CE64A1"/>
    <w:rsid w:val="00CE683C"/>
    <w:rsid w:val="00CE69E2"/>
    <w:rsid w:val="00CE6C8D"/>
    <w:rsid w:val="00CE6F51"/>
    <w:rsid w:val="00CE725B"/>
    <w:rsid w:val="00CE7D5C"/>
    <w:rsid w:val="00CF1911"/>
    <w:rsid w:val="00CF2067"/>
    <w:rsid w:val="00CF208C"/>
    <w:rsid w:val="00CF227B"/>
    <w:rsid w:val="00CF2722"/>
    <w:rsid w:val="00CF378E"/>
    <w:rsid w:val="00CF4285"/>
    <w:rsid w:val="00CF471B"/>
    <w:rsid w:val="00CF4922"/>
    <w:rsid w:val="00CF5305"/>
    <w:rsid w:val="00CF5A28"/>
    <w:rsid w:val="00CF770D"/>
    <w:rsid w:val="00CF7D39"/>
    <w:rsid w:val="00D000EE"/>
    <w:rsid w:val="00D01473"/>
    <w:rsid w:val="00D01F06"/>
    <w:rsid w:val="00D0218D"/>
    <w:rsid w:val="00D0231A"/>
    <w:rsid w:val="00D025BB"/>
    <w:rsid w:val="00D05989"/>
    <w:rsid w:val="00D05C38"/>
    <w:rsid w:val="00D0613E"/>
    <w:rsid w:val="00D06249"/>
    <w:rsid w:val="00D07093"/>
    <w:rsid w:val="00D07574"/>
    <w:rsid w:val="00D07A96"/>
    <w:rsid w:val="00D101E7"/>
    <w:rsid w:val="00D106FA"/>
    <w:rsid w:val="00D11247"/>
    <w:rsid w:val="00D11A8F"/>
    <w:rsid w:val="00D123B1"/>
    <w:rsid w:val="00D13EED"/>
    <w:rsid w:val="00D14E12"/>
    <w:rsid w:val="00D151F0"/>
    <w:rsid w:val="00D159FB"/>
    <w:rsid w:val="00D172FC"/>
    <w:rsid w:val="00D1761E"/>
    <w:rsid w:val="00D17AE6"/>
    <w:rsid w:val="00D17DA0"/>
    <w:rsid w:val="00D203DD"/>
    <w:rsid w:val="00D20B28"/>
    <w:rsid w:val="00D21197"/>
    <w:rsid w:val="00D21999"/>
    <w:rsid w:val="00D21B67"/>
    <w:rsid w:val="00D21DDF"/>
    <w:rsid w:val="00D22B30"/>
    <w:rsid w:val="00D2374E"/>
    <w:rsid w:val="00D2461A"/>
    <w:rsid w:val="00D24F91"/>
    <w:rsid w:val="00D256F4"/>
    <w:rsid w:val="00D271D1"/>
    <w:rsid w:val="00D27ED3"/>
    <w:rsid w:val="00D3085A"/>
    <w:rsid w:val="00D30C75"/>
    <w:rsid w:val="00D30FAD"/>
    <w:rsid w:val="00D335F5"/>
    <w:rsid w:val="00D34AA0"/>
    <w:rsid w:val="00D34C3B"/>
    <w:rsid w:val="00D34D01"/>
    <w:rsid w:val="00D3508A"/>
    <w:rsid w:val="00D35207"/>
    <w:rsid w:val="00D35786"/>
    <w:rsid w:val="00D358F8"/>
    <w:rsid w:val="00D35974"/>
    <w:rsid w:val="00D369AA"/>
    <w:rsid w:val="00D372F3"/>
    <w:rsid w:val="00D407C9"/>
    <w:rsid w:val="00D40C0B"/>
    <w:rsid w:val="00D41285"/>
    <w:rsid w:val="00D4205F"/>
    <w:rsid w:val="00D4222B"/>
    <w:rsid w:val="00D43098"/>
    <w:rsid w:val="00D43B47"/>
    <w:rsid w:val="00D441DE"/>
    <w:rsid w:val="00D46648"/>
    <w:rsid w:val="00D46BB4"/>
    <w:rsid w:val="00D47490"/>
    <w:rsid w:val="00D47E1A"/>
    <w:rsid w:val="00D5095F"/>
    <w:rsid w:val="00D50C1B"/>
    <w:rsid w:val="00D53720"/>
    <w:rsid w:val="00D53D07"/>
    <w:rsid w:val="00D555DC"/>
    <w:rsid w:val="00D56E0F"/>
    <w:rsid w:val="00D5743A"/>
    <w:rsid w:val="00D60454"/>
    <w:rsid w:val="00D6192F"/>
    <w:rsid w:val="00D62F50"/>
    <w:rsid w:val="00D630BE"/>
    <w:rsid w:val="00D63B61"/>
    <w:rsid w:val="00D645C8"/>
    <w:rsid w:val="00D6520C"/>
    <w:rsid w:val="00D65217"/>
    <w:rsid w:val="00D65687"/>
    <w:rsid w:val="00D65892"/>
    <w:rsid w:val="00D65BB9"/>
    <w:rsid w:val="00D66F52"/>
    <w:rsid w:val="00D675CC"/>
    <w:rsid w:val="00D67BBD"/>
    <w:rsid w:val="00D7156F"/>
    <w:rsid w:val="00D722EB"/>
    <w:rsid w:val="00D72853"/>
    <w:rsid w:val="00D729F8"/>
    <w:rsid w:val="00D72AC1"/>
    <w:rsid w:val="00D75499"/>
    <w:rsid w:val="00D76569"/>
    <w:rsid w:val="00D80710"/>
    <w:rsid w:val="00D80D27"/>
    <w:rsid w:val="00D81845"/>
    <w:rsid w:val="00D81A67"/>
    <w:rsid w:val="00D82322"/>
    <w:rsid w:val="00D8325F"/>
    <w:rsid w:val="00D86413"/>
    <w:rsid w:val="00D87150"/>
    <w:rsid w:val="00D87806"/>
    <w:rsid w:val="00D878BF"/>
    <w:rsid w:val="00D87968"/>
    <w:rsid w:val="00D87F2C"/>
    <w:rsid w:val="00D907E0"/>
    <w:rsid w:val="00D922D2"/>
    <w:rsid w:val="00D94041"/>
    <w:rsid w:val="00D941AF"/>
    <w:rsid w:val="00D94263"/>
    <w:rsid w:val="00D94388"/>
    <w:rsid w:val="00D94589"/>
    <w:rsid w:val="00D954A5"/>
    <w:rsid w:val="00D95A40"/>
    <w:rsid w:val="00D966A3"/>
    <w:rsid w:val="00D96A9E"/>
    <w:rsid w:val="00D97838"/>
    <w:rsid w:val="00DA0959"/>
    <w:rsid w:val="00DA0B93"/>
    <w:rsid w:val="00DA0F19"/>
    <w:rsid w:val="00DA1F64"/>
    <w:rsid w:val="00DA3532"/>
    <w:rsid w:val="00DA3C2E"/>
    <w:rsid w:val="00DA3C33"/>
    <w:rsid w:val="00DA482B"/>
    <w:rsid w:val="00DA5269"/>
    <w:rsid w:val="00DA53A9"/>
    <w:rsid w:val="00DA5812"/>
    <w:rsid w:val="00DA5C00"/>
    <w:rsid w:val="00DA5F0F"/>
    <w:rsid w:val="00DA6B04"/>
    <w:rsid w:val="00DA6B9A"/>
    <w:rsid w:val="00DA6DE1"/>
    <w:rsid w:val="00DB0DD1"/>
    <w:rsid w:val="00DB0E4B"/>
    <w:rsid w:val="00DB0ED7"/>
    <w:rsid w:val="00DB1194"/>
    <w:rsid w:val="00DB1374"/>
    <w:rsid w:val="00DB2EB3"/>
    <w:rsid w:val="00DB2F7F"/>
    <w:rsid w:val="00DB3828"/>
    <w:rsid w:val="00DB62FA"/>
    <w:rsid w:val="00DB6682"/>
    <w:rsid w:val="00DB7127"/>
    <w:rsid w:val="00DB7235"/>
    <w:rsid w:val="00DB75FA"/>
    <w:rsid w:val="00DB7AE6"/>
    <w:rsid w:val="00DC11D5"/>
    <w:rsid w:val="00DC20CA"/>
    <w:rsid w:val="00DC321D"/>
    <w:rsid w:val="00DC3943"/>
    <w:rsid w:val="00DC61EF"/>
    <w:rsid w:val="00DC62D4"/>
    <w:rsid w:val="00DC6B87"/>
    <w:rsid w:val="00DC7A22"/>
    <w:rsid w:val="00DD08AE"/>
    <w:rsid w:val="00DD0D41"/>
    <w:rsid w:val="00DD104B"/>
    <w:rsid w:val="00DD122C"/>
    <w:rsid w:val="00DD132C"/>
    <w:rsid w:val="00DD14EC"/>
    <w:rsid w:val="00DD15BF"/>
    <w:rsid w:val="00DD312F"/>
    <w:rsid w:val="00DD37DC"/>
    <w:rsid w:val="00DD4D9F"/>
    <w:rsid w:val="00DD59D4"/>
    <w:rsid w:val="00DD6199"/>
    <w:rsid w:val="00DD62CD"/>
    <w:rsid w:val="00DE0393"/>
    <w:rsid w:val="00DE049A"/>
    <w:rsid w:val="00DE0E6B"/>
    <w:rsid w:val="00DE151E"/>
    <w:rsid w:val="00DE199B"/>
    <w:rsid w:val="00DE1CE0"/>
    <w:rsid w:val="00DE23BD"/>
    <w:rsid w:val="00DE264A"/>
    <w:rsid w:val="00DE2711"/>
    <w:rsid w:val="00DE300A"/>
    <w:rsid w:val="00DE4466"/>
    <w:rsid w:val="00DE4D6D"/>
    <w:rsid w:val="00DE58FE"/>
    <w:rsid w:val="00DF0116"/>
    <w:rsid w:val="00DF08BA"/>
    <w:rsid w:val="00DF0D22"/>
    <w:rsid w:val="00DF1E70"/>
    <w:rsid w:val="00DF2084"/>
    <w:rsid w:val="00DF4027"/>
    <w:rsid w:val="00DF467C"/>
    <w:rsid w:val="00DF487C"/>
    <w:rsid w:val="00DF50AC"/>
    <w:rsid w:val="00DF5253"/>
    <w:rsid w:val="00DF556D"/>
    <w:rsid w:val="00DF5A1F"/>
    <w:rsid w:val="00DF5D28"/>
    <w:rsid w:val="00DF6065"/>
    <w:rsid w:val="00DF6442"/>
    <w:rsid w:val="00DF65E2"/>
    <w:rsid w:val="00DF6611"/>
    <w:rsid w:val="00DF7AD5"/>
    <w:rsid w:val="00E00AF3"/>
    <w:rsid w:val="00E00CBB"/>
    <w:rsid w:val="00E02537"/>
    <w:rsid w:val="00E0393A"/>
    <w:rsid w:val="00E03CBA"/>
    <w:rsid w:val="00E04831"/>
    <w:rsid w:val="00E0508B"/>
    <w:rsid w:val="00E050B9"/>
    <w:rsid w:val="00E0569D"/>
    <w:rsid w:val="00E0605C"/>
    <w:rsid w:val="00E06877"/>
    <w:rsid w:val="00E0795A"/>
    <w:rsid w:val="00E10192"/>
    <w:rsid w:val="00E10455"/>
    <w:rsid w:val="00E11F63"/>
    <w:rsid w:val="00E1396D"/>
    <w:rsid w:val="00E1472D"/>
    <w:rsid w:val="00E14E17"/>
    <w:rsid w:val="00E16981"/>
    <w:rsid w:val="00E16F45"/>
    <w:rsid w:val="00E16F87"/>
    <w:rsid w:val="00E1734B"/>
    <w:rsid w:val="00E178C2"/>
    <w:rsid w:val="00E17A56"/>
    <w:rsid w:val="00E21702"/>
    <w:rsid w:val="00E22AEE"/>
    <w:rsid w:val="00E23988"/>
    <w:rsid w:val="00E23A4B"/>
    <w:rsid w:val="00E23C0E"/>
    <w:rsid w:val="00E2561B"/>
    <w:rsid w:val="00E25BE8"/>
    <w:rsid w:val="00E261AA"/>
    <w:rsid w:val="00E264E9"/>
    <w:rsid w:val="00E2654D"/>
    <w:rsid w:val="00E2740D"/>
    <w:rsid w:val="00E303C1"/>
    <w:rsid w:val="00E3041A"/>
    <w:rsid w:val="00E30E30"/>
    <w:rsid w:val="00E3223D"/>
    <w:rsid w:val="00E325C8"/>
    <w:rsid w:val="00E32D92"/>
    <w:rsid w:val="00E32F15"/>
    <w:rsid w:val="00E336B6"/>
    <w:rsid w:val="00E338A6"/>
    <w:rsid w:val="00E34A83"/>
    <w:rsid w:val="00E34E43"/>
    <w:rsid w:val="00E35E44"/>
    <w:rsid w:val="00E36F20"/>
    <w:rsid w:val="00E37873"/>
    <w:rsid w:val="00E37A08"/>
    <w:rsid w:val="00E401CB"/>
    <w:rsid w:val="00E404A0"/>
    <w:rsid w:val="00E40A37"/>
    <w:rsid w:val="00E426AB"/>
    <w:rsid w:val="00E42B2E"/>
    <w:rsid w:val="00E43D80"/>
    <w:rsid w:val="00E45022"/>
    <w:rsid w:val="00E4585B"/>
    <w:rsid w:val="00E45B08"/>
    <w:rsid w:val="00E45EE8"/>
    <w:rsid w:val="00E46356"/>
    <w:rsid w:val="00E47FBD"/>
    <w:rsid w:val="00E5031B"/>
    <w:rsid w:val="00E50C34"/>
    <w:rsid w:val="00E522E3"/>
    <w:rsid w:val="00E53C0C"/>
    <w:rsid w:val="00E53FBD"/>
    <w:rsid w:val="00E55BE3"/>
    <w:rsid w:val="00E56103"/>
    <w:rsid w:val="00E569DA"/>
    <w:rsid w:val="00E56E04"/>
    <w:rsid w:val="00E6028B"/>
    <w:rsid w:val="00E6087B"/>
    <w:rsid w:val="00E6090C"/>
    <w:rsid w:val="00E60FCD"/>
    <w:rsid w:val="00E617E2"/>
    <w:rsid w:val="00E62693"/>
    <w:rsid w:val="00E6279D"/>
    <w:rsid w:val="00E63F06"/>
    <w:rsid w:val="00E64F2C"/>
    <w:rsid w:val="00E652F7"/>
    <w:rsid w:val="00E66303"/>
    <w:rsid w:val="00E66539"/>
    <w:rsid w:val="00E66556"/>
    <w:rsid w:val="00E67F7F"/>
    <w:rsid w:val="00E70784"/>
    <w:rsid w:val="00E70A09"/>
    <w:rsid w:val="00E71CC6"/>
    <w:rsid w:val="00E7245F"/>
    <w:rsid w:val="00E729A8"/>
    <w:rsid w:val="00E72B59"/>
    <w:rsid w:val="00E72C11"/>
    <w:rsid w:val="00E738D5"/>
    <w:rsid w:val="00E74549"/>
    <w:rsid w:val="00E74926"/>
    <w:rsid w:val="00E74B32"/>
    <w:rsid w:val="00E750C5"/>
    <w:rsid w:val="00E75ADF"/>
    <w:rsid w:val="00E76819"/>
    <w:rsid w:val="00E7716B"/>
    <w:rsid w:val="00E777C0"/>
    <w:rsid w:val="00E77AF9"/>
    <w:rsid w:val="00E810E2"/>
    <w:rsid w:val="00E820F4"/>
    <w:rsid w:val="00E82A79"/>
    <w:rsid w:val="00E82F0D"/>
    <w:rsid w:val="00E831A6"/>
    <w:rsid w:val="00E83459"/>
    <w:rsid w:val="00E835E3"/>
    <w:rsid w:val="00E83D01"/>
    <w:rsid w:val="00E841AB"/>
    <w:rsid w:val="00E84712"/>
    <w:rsid w:val="00E8581A"/>
    <w:rsid w:val="00E8639C"/>
    <w:rsid w:val="00E87350"/>
    <w:rsid w:val="00E87D02"/>
    <w:rsid w:val="00E908FC"/>
    <w:rsid w:val="00E916DC"/>
    <w:rsid w:val="00E93CB8"/>
    <w:rsid w:val="00E94B23"/>
    <w:rsid w:val="00E94B4A"/>
    <w:rsid w:val="00E953F4"/>
    <w:rsid w:val="00E95DA3"/>
    <w:rsid w:val="00E960A2"/>
    <w:rsid w:val="00E96A66"/>
    <w:rsid w:val="00E96BB1"/>
    <w:rsid w:val="00E97732"/>
    <w:rsid w:val="00E97EB2"/>
    <w:rsid w:val="00E97EE7"/>
    <w:rsid w:val="00EA0065"/>
    <w:rsid w:val="00EA039E"/>
    <w:rsid w:val="00EA0BF5"/>
    <w:rsid w:val="00EA0D0A"/>
    <w:rsid w:val="00EA1CE7"/>
    <w:rsid w:val="00EA31FC"/>
    <w:rsid w:val="00EA32EA"/>
    <w:rsid w:val="00EA357C"/>
    <w:rsid w:val="00EA3AA7"/>
    <w:rsid w:val="00EA3C1C"/>
    <w:rsid w:val="00EA4CA5"/>
    <w:rsid w:val="00EA57E5"/>
    <w:rsid w:val="00EA6CC6"/>
    <w:rsid w:val="00EA7010"/>
    <w:rsid w:val="00EA74E9"/>
    <w:rsid w:val="00EA753F"/>
    <w:rsid w:val="00EA7644"/>
    <w:rsid w:val="00EB0855"/>
    <w:rsid w:val="00EB0CAC"/>
    <w:rsid w:val="00EB0D79"/>
    <w:rsid w:val="00EB10ED"/>
    <w:rsid w:val="00EB1A28"/>
    <w:rsid w:val="00EB30B6"/>
    <w:rsid w:val="00EB3F74"/>
    <w:rsid w:val="00EB4744"/>
    <w:rsid w:val="00EB501D"/>
    <w:rsid w:val="00EB5A04"/>
    <w:rsid w:val="00EB5CD0"/>
    <w:rsid w:val="00EC21C3"/>
    <w:rsid w:val="00EC26FD"/>
    <w:rsid w:val="00EC2F32"/>
    <w:rsid w:val="00EC418E"/>
    <w:rsid w:val="00EC4753"/>
    <w:rsid w:val="00EC4FE2"/>
    <w:rsid w:val="00EC5025"/>
    <w:rsid w:val="00EC50EB"/>
    <w:rsid w:val="00EC547D"/>
    <w:rsid w:val="00EC56E1"/>
    <w:rsid w:val="00EC6181"/>
    <w:rsid w:val="00EC621F"/>
    <w:rsid w:val="00EC79E9"/>
    <w:rsid w:val="00ED011A"/>
    <w:rsid w:val="00ED079A"/>
    <w:rsid w:val="00ED11FA"/>
    <w:rsid w:val="00ED1854"/>
    <w:rsid w:val="00ED19AA"/>
    <w:rsid w:val="00ED1BBC"/>
    <w:rsid w:val="00ED24E3"/>
    <w:rsid w:val="00ED2628"/>
    <w:rsid w:val="00ED2EE2"/>
    <w:rsid w:val="00ED37BD"/>
    <w:rsid w:val="00ED390D"/>
    <w:rsid w:val="00ED57CF"/>
    <w:rsid w:val="00ED5B97"/>
    <w:rsid w:val="00ED69D3"/>
    <w:rsid w:val="00ED6FC1"/>
    <w:rsid w:val="00ED757A"/>
    <w:rsid w:val="00ED771B"/>
    <w:rsid w:val="00EE08D5"/>
    <w:rsid w:val="00EE136A"/>
    <w:rsid w:val="00EE18DD"/>
    <w:rsid w:val="00EE2478"/>
    <w:rsid w:val="00EE324B"/>
    <w:rsid w:val="00EE3EE4"/>
    <w:rsid w:val="00EE4ABB"/>
    <w:rsid w:val="00EE5040"/>
    <w:rsid w:val="00EE51B6"/>
    <w:rsid w:val="00EE5476"/>
    <w:rsid w:val="00EE62A2"/>
    <w:rsid w:val="00EE69A6"/>
    <w:rsid w:val="00EE6E16"/>
    <w:rsid w:val="00EE7570"/>
    <w:rsid w:val="00EE7645"/>
    <w:rsid w:val="00EE7D88"/>
    <w:rsid w:val="00EF06C1"/>
    <w:rsid w:val="00EF0894"/>
    <w:rsid w:val="00EF08B5"/>
    <w:rsid w:val="00EF2A95"/>
    <w:rsid w:val="00EF2EBF"/>
    <w:rsid w:val="00EF3252"/>
    <w:rsid w:val="00EF3B10"/>
    <w:rsid w:val="00EF45F3"/>
    <w:rsid w:val="00EF4CA1"/>
    <w:rsid w:val="00EF62AA"/>
    <w:rsid w:val="00EF771E"/>
    <w:rsid w:val="00F001D2"/>
    <w:rsid w:val="00F002F8"/>
    <w:rsid w:val="00F01B89"/>
    <w:rsid w:val="00F02062"/>
    <w:rsid w:val="00F03000"/>
    <w:rsid w:val="00F041A3"/>
    <w:rsid w:val="00F04491"/>
    <w:rsid w:val="00F067FE"/>
    <w:rsid w:val="00F0698D"/>
    <w:rsid w:val="00F06B2D"/>
    <w:rsid w:val="00F07B33"/>
    <w:rsid w:val="00F1033B"/>
    <w:rsid w:val="00F115DD"/>
    <w:rsid w:val="00F12794"/>
    <w:rsid w:val="00F12BFB"/>
    <w:rsid w:val="00F157F4"/>
    <w:rsid w:val="00F15A81"/>
    <w:rsid w:val="00F16B69"/>
    <w:rsid w:val="00F17B6D"/>
    <w:rsid w:val="00F17FD7"/>
    <w:rsid w:val="00F2188A"/>
    <w:rsid w:val="00F21A6E"/>
    <w:rsid w:val="00F24612"/>
    <w:rsid w:val="00F249C3"/>
    <w:rsid w:val="00F24B98"/>
    <w:rsid w:val="00F24BB8"/>
    <w:rsid w:val="00F24BDD"/>
    <w:rsid w:val="00F24BFE"/>
    <w:rsid w:val="00F24F03"/>
    <w:rsid w:val="00F250FB"/>
    <w:rsid w:val="00F2527F"/>
    <w:rsid w:val="00F25E1A"/>
    <w:rsid w:val="00F273CD"/>
    <w:rsid w:val="00F3082B"/>
    <w:rsid w:val="00F31C22"/>
    <w:rsid w:val="00F31E0A"/>
    <w:rsid w:val="00F33E47"/>
    <w:rsid w:val="00F361F1"/>
    <w:rsid w:val="00F36E99"/>
    <w:rsid w:val="00F37148"/>
    <w:rsid w:val="00F37C8B"/>
    <w:rsid w:val="00F409DE"/>
    <w:rsid w:val="00F40C8A"/>
    <w:rsid w:val="00F4141B"/>
    <w:rsid w:val="00F438B2"/>
    <w:rsid w:val="00F43DF6"/>
    <w:rsid w:val="00F4436A"/>
    <w:rsid w:val="00F4450A"/>
    <w:rsid w:val="00F44E41"/>
    <w:rsid w:val="00F45AE6"/>
    <w:rsid w:val="00F46A41"/>
    <w:rsid w:val="00F47A8C"/>
    <w:rsid w:val="00F513AC"/>
    <w:rsid w:val="00F523B3"/>
    <w:rsid w:val="00F539EF"/>
    <w:rsid w:val="00F53C23"/>
    <w:rsid w:val="00F55128"/>
    <w:rsid w:val="00F55281"/>
    <w:rsid w:val="00F60E2C"/>
    <w:rsid w:val="00F625AB"/>
    <w:rsid w:val="00F627D1"/>
    <w:rsid w:val="00F63A55"/>
    <w:rsid w:val="00F6442C"/>
    <w:rsid w:val="00F6633C"/>
    <w:rsid w:val="00F666FA"/>
    <w:rsid w:val="00F67B79"/>
    <w:rsid w:val="00F70063"/>
    <w:rsid w:val="00F70532"/>
    <w:rsid w:val="00F70BAE"/>
    <w:rsid w:val="00F70C51"/>
    <w:rsid w:val="00F70DD9"/>
    <w:rsid w:val="00F72605"/>
    <w:rsid w:val="00F72A43"/>
    <w:rsid w:val="00F74CA2"/>
    <w:rsid w:val="00F75308"/>
    <w:rsid w:val="00F75C60"/>
    <w:rsid w:val="00F779A0"/>
    <w:rsid w:val="00F80633"/>
    <w:rsid w:val="00F81542"/>
    <w:rsid w:val="00F815B0"/>
    <w:rsid w:val="00F817C7"/>
    <w:rsid w:val="00F81946"/>
    <w:rsid w:val="00F81FEB"/>
    <w:rsid w:val="00F82DE7"/>
    <w:rsid w:val="00F83499"/>
    <w:rsid w:val="00F841AA"/>
    <w:rsid w:val="00F84578"/>
    <w:rsid w:val="00F848A7"/>
    <w:rsid w:val="00F848EF"/>
    <w:rsid w:val="00F8496C"/>
    <w:rsid w:val="00F84A2F"/>
    <w:rsid w:val="00F84D91"/>
    <w:rsid w:val="00F852AA"/>
    <w:rsid w:val="00F8549D"/>
    <w:rsid w:val="00F85ED4"/>
    <w:rsid w:val="00F864E5"/>
    <w:rsid w:val="00F866F7"/>
    <w:rsid w:val="00F90234"/>
    <w:rsid w:val="00F90D49"/>
    <w:rsid w:val="00F90EF8"/>
    <w:rsid w:val="00F90F9E"/>
    <w:rsid w:val="00F912EA"/>
    <w:rsid w:val="00F9137E"/>
    <w:rsid w:val="00F939BD"/>
    <w:rsid w:val="00F93AFB"/>
    <w:rsid w:val="00F93C2D"/>
    <w:rsid w:val="00F940BF"/>
    <w:rsid w:val="00F94AC6"/>
    <w:rsid w:val="00F95761"/>
    <w:rsid w:val="00F95D15"/>
    <w:rsid w:val="00F95E25"/>
    <w:rsid w:val="00F95FB1"/>
    <w:rsid w:val="00F97340"/>
    <w:rsid w:val="00F97FAE"/>
    <w:rsid w:val="00FA02EE"/>
    <w:rsid w:val="00FA1266"/>
    <w:rsid w:val="00FA1BCB"/>
    <w:rsid w:val="00FA1C01"/>
    <w:rsid w:val="00FA20EB"/>
    <w:rsid w:val="00FA3694"/>
    <w:rsid w:val="00FA3A70"/>
    <w:rsid w:val="00FA4B60"/>
    <w:rsid w:val="00FA4C31"/>
    <w:rsid w:val="00FA5321"/>
    <w:rsid w:val="00FA59C1"/>
    <w:rsid w:val="00FA6DF3"/>
    <w:rsid w:val="00FA7B5C"/>
    <w:rsid w:val="00FA7FED"/>
    <w:rsid w:val="00FB0591"/>
    <w:rsid w:val="00FB2458"/>
    <w:rsid w:val="00FB2538"/>
    <w:rsid w:val="00FB2BAA"/>
    <w:rsid w:val="00FB2C87"/>
    <w:rsid w:val="00FB31EB"/>
    <w:rsid w:val="00FB58DA"/>
    <w:rsid w:val="00FB632A"/>
    <w:rsid w:val="00FB77B3"/>
    <w:rsid w:val="00FC04FF"/>
    <w:rsid w:val="00FC0ADC"/>
    <w:rsid w:val="00FC0E29"/>
    <w:rsid w:val="00FC19ED"/>
    <w:rsid w:val="00FC245F"/>
    <w:rsid w:val="00FC32E7"/>
    <w:rsid w:val="00FC36D3"/>
    <w:rsid w:val="00FC4B78"/>
    <w:rsid w:val="00FC541D"/>
    <w:rsid w:val="00FC59CD"/>
    <w:rsid w:val="00FC66F8"/>
    <w:rsid w:val="00FC6A4D"/>
    <w:rsid w:val="00FC734E"/>
    <w:rsid w:val="00FC7A2E"/>
    <w:rsid w:val="00FD084F"/>
    <w:rsid w:val="00FD1651"/>
    <w:rsid w:val="00FD23D1"/>
    <w:rsid w:val="00FD2804"/>
    <w:rsid w:val="00FD2FA1"/>
    <w:rsid w:val="00FD3AD3"/>
    <w:rsid w:val="00FD5205"/>
    <w:rsid w:val="00FD6370"/>
    <w:rsid w:val="00FD69D0"/>
    <w:rsid w:val="00FD6E8A"/>
    <w:rsid w:val="00FD7236"/>
    <w:rsid w:val="00FD77BA"/>
    <w:rsid w:val="00FD7834"/>
    <w:rsid w:val="00FE079A"/>
    <w:rsid w:val="00FE0B70"/>
    <w:rsid w:val="00FE0BFB"/>
    <w:rsid w:val="00FE0D32"/>
    <w:rsid w:val="00FE35F5"/>
    <w:rsid w:val="00FE3803"/>
    <w:rsid w:val="00FE3847"/>
    <w:rsid w:val="00FE3DFD"/>
    <w:rsid w:val="00FE61C8"/>
    <w:rsid w:val="00FE691F"/>
    <w:rsid w:val="00FE7D00"/>
    <w:rsid w:val="00FE7E10"/>
    <w:rsid w:val="00FF116B"/>
    <w:rsid w:val="00FF1EB4"/>
    <w:rsid w:val="00FF2DAE"/>
    <w:rsid w:val="00FF2FD1"/>
    <w:rsid w:val="00FF2FF2"/>
    <w:rsid w:val="00FF4FC2"/>
    <w:rsid w:val="00FF5DF5"/>
    <w:rsid w:val="00FF64D0"/>
    <w:rsid w:val="00FF71E3"/>
    <w:rsid w:val="00FF7278"/>
    <w:rsid w:val="03CC2EA9"/>
    <w:rsid w:val="04DA381A"/>
    <w:rsid w:val="0551028E"/>
    <w:rsid w:val="08773592"/>
    <w:rsid w:val="0E46243F"/>
    <w:rsid w:val="1365315B"/>
    <w:rsid w:val="18C1789C"/>
    <w:rsid w:val="25F3AAA4"/>
    <w:rsid w:val="33EFBA68"/>
    <w:rsid w:val="35C7D52F"/>
    <w:rsid w:val="36E35F31"/>
    <w:rsid w:val="377FDAD6"/>
    <w:rsid w:val="3E896677"/>
    <w:rsid w:val="3F470BDC"/>
    <w:rsid w:val="3FC5590B"/>
    <w:rsid w:val="3FF33868"/>
    <w:rsid w:val="46CFB2E9"/>
    <w:rsid w:val="48663147"/>
    <w:rsid w:val="4E5337A1"/>
    <w:rsid w:val="4FB7680C"/>
    <w:rsid w:val="4FCE1DB9"/>
    <w:rsid w:val="521BA62E"/>
    <w:rsid w:val="59F9AEFC"/>
    <w:rsid w:val="5EAF5A2D"/>
    <w:rsid w:val="65FC540D"/>
    <w:rsid w:val="6773682A"/>
    <w:rsid w:val="69E745B4"/>
    <w:rsid w:val="6B9CE17E"/>
    <w:rsid w:val="6E741100"/>
    <w:rsid w:val="72936DE6"/>
    <w:rsid w:val="73E74F25"/>
    <w:rsid w:val="77DDA253"/>
    <w:rsid w:val="77F739DD"/>
    <w:rsid w:val="79FD907D"/>
    <w:rsid w:val="7BDB1420"/>
    <w:rsid w:val="7BFBFAB4"/>
    <w:rsid w:val="7F69FFFA"/>
    <w:rsid w:val="965ED14B"/>
    <w:rsid w:val="9F7F9ACF"/>
    <w:rsid w:val="BFB725EF"/>
    <w:rsid w:val="CD7F7AF6"/>
    <w:rsid w:val="D3274241"/>
    <w:rsid w:val="D7BB0257"/>
    <w:rsid w:val="D7CF78D4"/>
    <w:rsid w:val="D99F5771"/>
    <w:rsid w:val="DE9E1675"/>
    <w:rsid w:val="ED6FF425"/>
    <w:rsid w:val="EDEFBFC0"/>
    <w:rsid w:val="F75B544D"/>
    <w:rsid w:val="F89E812A"/>
    <w:rsid w:val="F9DB053F"/>
    <w:rsid w:val="FD6BDDEC"/>
    <w:rsid w:val="FDDF0370"/>
    <w:rsid w:val="FDF7FAB5"/>
    <w:rsid w:val="FDFDD684"/>
    <w:rsid w:val="FE6ECD2F"/>
    <w:rsid w:val="FE97B583"/>
    <w:rsid w:val="FEFA4FA4"/>
    <w:rsid w:val="FEFF7422"/>
    <w:rsid w:val="FFEDFDED"/>
    <w:rsid w:val="FFF7ABB8"/>
    <w:rsid w:val="FFFFF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120" w:after="120"/>
      <w:jc w:val="center"/>
      <w:outlineLvl w:val="0"/>
    </w:pPr>
    <w:rPr>
      <w:b/>
      <w:bCs/>
      <w:kern w:val="44"/>
      <w:sz w:val="24"/>
      <w:szCs w:val="44"/>
    </w:rPr>
  </w:style>
  <w:style w:type="paragraph" w:styleId="3">
    <w:name w:val="heading 2"/>
    <w:basedOn w:val="1"/>
    <w:next w:val="1"/>
    <w:link w:val="22"/>
    <w:qFormat/>
    <w:uiPriority w:val="9"/>
    <w:pPr>
      <w:keepNext/>
      <w:keepLines/>
      <w:spacing w:before="120" w:after="120"/>
      <w:outlineLvl w:val="1"/>
    </w:pPr>
    <w:rPr>
      <w:rFonts w:ascii="Calibri Light" w:hAnsi="Calibri Light"/>
      <w:b/>
      <w:bCs/>
      <w:szCs w:val="32"/>
    </w:rPr>
  </w:style>
  <w:style w:type="paragraph" w:styleId="4">
    <w:name w:val="heading 3"/>
    <w:basedOn w:val="1"/>
    <w:next w:val="1"/>
    <w:link w:val="23"/>
    <w:qFormat/>
    <w:uiPriority w:val="9"/>
    <w:pPr>
      <w:keepNext/>
      <w:keepLines/>
      <w:outlineLvl w:val="2"/>
    </w:pPr>
    <w:rPr>
      <w:bCs/>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8"/>
    <w:unhideWhenUsed/>
    <w:uiPriority w:val="99"/>
    <w:pPr>
      <w:jc w:val="left"/>
    </w:pPr>
  </w:style>
  <w:style w:type="paragraph" w:styleId="6">
    <w:name w:val="Plain Text"/>
    <w:basedOn w:val="1"/>
    <w:link w:val="24"/>
    <w:unhideWhenUsed/>
    <w:uiPriority w:val="99"/>
    <w:rPr>
      <w:rFonts w:ascii="宋体" w:hAnsi="Courier New"/>
      <w:szCs w:val="21"/>
    </w:rPr>
  </w:style>
  <w:style w:type="paragraph" w:styleId="7">
    <w:name w:val="Balloon Text"/>
    <w:basedOn w:val="1"/>
    <w:link w:val="25"/>
    <w:unhideWhenUsed/>
    <w:uiPriority w:val="99"/>
    <w:rPr>
      <w:sz w:val="18"/>
      <w:szCs w:val="18"/>
    </w:rPr>
  </w:style>
  <w:style w:type="paragraph" w:styleId="8">
    <w:name w:val="footer"/>
    <w:basedOn w:val="1"/>
    <w:link w:val="26"/>
    <w:unhideWhenUsed/>
    <w:uiPriority w:val="99"/>
    <w:pPr>
      <w:tabs>
        <w:tab w:val="center" w:pos="4153"/>
        <w:tab w:val="right" w:pos="8306"/>
      </w:tabs>
      <w:snapToGrid w:val="0"/>
      <w:jc w:val="left"/>
    </w:pPr>
    <w:rPr>
      <w:rFonts w:eastAsia="Times New Roman"/>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8"/>
    <w:unhideWhenUsed/>
    <w:uiPriority w:val="99"/>
    <w:pPr>
      <w:snapToGrid w:val="0"/>
      <w:jc w:val="left"/>
    </w:pPr>
    <w:rPr>
      <w:sz w:val="18"/>
      <w:szCs w:val="18"/>
    </w:rPr>
  </w:style>
  <w:style w:type="paragraph" w:styleId="11">
    <w:name w:val="Normal (Web)"/>
    <w:basedOn w:val="1"/>
    <w:unhideWhenUsed/>
    <w:uiPriority w:val="99"/>
    <w:pPr>
      <w:spacing w:before="100" w:beforeAutospacing="1" w:after="100" w:afterAutospacing="1"/>
      <w:jc w:val="left"/>
    </w:pPr>
    <w:rPr>
      <w:kern w:val="0"/>
      <w:sz w:val="24"/>
    </w:rPr>
  </w:style>
  <w:style w:type="paragraph" w:styleId="12">
    <w:name w:val="annotation subject"/>
    <w:basedOn w:val="5"/>
    <w:next w:val="5"/>
    <w:link w:val="39"/>
    <w:semiHidden/>
    <w:unhideWhenUsed/>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FollowedHyperlink"/>
    <w:unhideWhenUsed/>
    <w:uiPriority w:val="99"/>
    <w:rPr>
      <w:color w:val="954F72"/>
      <w:u w:val="single"/>
    </w:rPr>
  </w:style>
  <w:style w:type="character" w:styleId="18">
    <w:name w:val="Hyperlink"/>
    <w:unhideWhenUsed/>
    <w:uiPriority w:val="99"/>
    <w:rPr>
      <w:color w:val="0000FF"/>
      <w:u w:val="single"/>
    </w:rPr>
  </w:style>
  <w:style w:type="character" w:styleId="19">
    <w:name w:val="annotation reference"/>
    <w:semiHidden/>
    <w:unhideWhenUsed/>
    <w:uiPriority w:val="99"/>
    <w:rPr>
      <w:sz w:val="21"/>
      <w:szCs w:val="21"/>
    </w:rPr>
  </w:style>
  <w:style w:type="character" w:styleId="20">
    <w:name w:val="footnote reference"/>
    <w:unhideWhenUsed/>
    <w:uiPriority w:val="99"/>
    <w:rPr>
      <w:vertAlign w:val="superscript"/>
    </w:rPr>
  </w:style>
  <w:style w:type="character" w:customStyle="1" w:styleId="21">
    <w:name w:val="标题 1 字符"/>
    <w:link w:val="2"/>
    <w:uiPriority w:val="9"/>
    <w:rPr>
      <w:b/>
      <w:bCs/>
      <w:kern w:val="44"/>
      <w:sz w:val="24"/>
      <w:szCs w:val="44"/>
    </w:rPr>
  </w:style>
  <w:style w:type="character" w:customStyle="1" w:styleId="22">
    <w:name w:val="标题 2 字符"/>
    <w:link w:val="3"/>
    <w:uiPriority w:val="9"/>
    <w:rPr>
      <w:rFonts w:ascii="Calibri Light" w:hAnsi="Calibri Light" w:eastAsia="宋体" w:cs="Times New Roman"/>
      <w:b/>
      <w:bCs/>
      <w:kern w:val="2"/>
      <w:sz w:val="21"/>
      <w:szCs w:val="32"/>
    </w:rPr>
  </w:style>
  <w:style w:type="character" w:customStyle="1" w:styleId="23">
    <w:name w:val="标题 3 字符"/>
    <w:link w:val="4"/>
    <w:uiPriority w:val="9"/>
    <w:rPr>
      <w:bCs/>
      <w:kern w:val="2"/>
      <w:sz w:val="21"/>
      <w:szCs w:val="32"/>
    </w:rPr>
  </w:style>
  <w:style w:type="character" w:customStyle="1" w:styleId="24">
    <w:name w:val="纯文本 字符"/>
    <w:link w:val="6"/>
    <w:uiPriority w:val="99"/>
    <w:rPr>
      <w:rFonts w:ascii="宋体" w:hAnsi="Courier New"/>
      <w:kern w:val="2"/>
      <w:sz w:val="21"/>
      <w:szCs w:val="21"/>
    </w:rPr>
  </w:style>
  <w:style w:type="character" w:customStyle="1" w:styleId="25">
    <w:name w:val="批注框文本 字符"/>
    <w:link w:val="7"/>
    <w:semiHidden/>
    <w:uiPriority w:val="99"/>
    <w:rPr>
      <w:kern w:val="2"/>
      <w:sz w:val="18"/>
      <w:szCs w:val="18"/>
    </w:rPr>
  </w:style>
  <w:style w:type="character" w:customStyle="1" w:styleId="26">
    <w:name w:val="页脚 字符"/>
    <w:link w:val="8"/>
    <w:uiPriority w:val="99"/>
    <w:rPr>
      <w:rFonts w:eastAsia="Times New Roman"/>
      <w:kern w:val="2"/>
      <w:sz w:val="18"/>
      <w:szCs w:val="18"/>
    </w:rPr>
  </w:style>
  <w:style w:type="character" w:customStyle="1" w:styleId="27">
    <w:name w:val="页眉 字符"/>
    <w:link w:val="9"/>
    <w:uiPriority w:val="99"/>
    <w:rPr>
      <w:kern w:val="2"/>
      <w:sz w:val="18"/>
      <w:szCs w:val="18"/>
    </w:rPr>
  </w:style>
  <w:style w:type="character" w:customStyle="1" w:styleId="28">
    <w:name w:val="脚注文本 字符"/>
    <w:link w:val="10"/>
    <w:uiPriority w:val="99"/>
    <w:rPr>
      <w:kern w:val="2"/>
      <w:sz w:val="18"/>
      <w:szCs w:val="18"/>
    </w:rPr>
  </w:style>
  <w:style w:type="character" w:customStyle="1" w:styleId="29">
    <w:name w:val="fontstyle21"/>
    <w:uiPriority w:val="0"/>
    <w:rPr>
      <w:rFonts w:hint="default" w:ascii="FZSSK--GBK1-0" w:hAnsi="FZSSK--GBK1-0"/>
      <w:color w:val="000000"/>
      <w:sz w:val="20"/>
      <w:szCs w:val="20"/>
    </w:rPr>
  </w:style>
  <w:style w:type="character" w:customStyle="1" w:styleId="30">
    <w:name w:val="fontstyle01"/>
    <w:uiPriority w:val="0"/>
    <w:rPr>
      <w:rFonts w:hint="eastAsia" w:ascii="宋体" w:hAnsi="宋体" w:eastAsia="宋体"/>
      <w:color w:val="000000"/>
      <w:sz w:val="22"/>
      <w:szCs w:val="22"/>
    </w:rPr>
  </w:style>
  <w:style w:type="character" w:customStyle="1" w:styleId="31">
    <w:name w:val="fontstyle11"/>
    <w:uiPriority w:val="0"/>
    <w:rPr>
      <w:rFonts w:hint="default" w:ascii="TimesNewRomanPSMT" w:hAnsi="TimesNewRomanPSMT"/>
      <w:color w:val="000000"/>
      <w:sz w:val="22"/>
      <w:szCs w:val="22"/>
    </w:rPr>
  </w:style>
  <w:style w:type="character" w:customStyle="1" w:styleId="32">
    <w:name w:val="fontstyle31"/>
    <w:uiPriority w:val="0"/>
    <w:rPr>
      <w:rFonts w:hint="default" w:ascii="DY1+ZLNCid-6" w:hAnsi="DY1+ZLNCid-6"/>
      <w:color w:val="000000"/>
      <w:sz w:val="16"/>
      <w:szCs w:val="16"/>
    </w:rPr>
  </w:style>
  <w:style w:type="character" w:customStyle="1" w:styleId="33">
    <w:name w:val="fontstyle41"/>
    <w:uiPriority w:val="0"/>
    <w:rPr>
      <w:rFonts w:hint="default" w:ascii="E-BZ+ZLNCic-1" w:hAnsi="E-BZ+ZLNCic-1"/>
      <w:color w:val="000000"/>
      <w:sz w:val="12"/>
      <w:szCs w:val="12"/>
    </w:rPr>
  </w:style>
  <w:style w:type="paragraph" w:customStyle="1" w:styleId="34">
    <w:name w:val="Char"/>
    <w:basedOn w:val="1"/>
    <w:uiPriority w:val="0"/>
    <w:rPr>
      <w:rFonts w:ascii="Tahoma" w:hAnsi="Tahoma"/>
      <w:sz w:val="24"/>
      <w:szCs w:val="20"/>
    </w:rPr>
  </w:style>
  <w:style w:type="character" w:customStyle="1" w:styleId="35">
    <w:name w:val="Footnote Text Char"/>
    <w:locked/>
    <w:uiPriority w:val="0"/>
    <w:rPr>
      <w:kern w:val="2"/>
      <w:sz w:val="18"/>
    </w:rPr>
  </w:style>
  <w:style w:type="paragraph" w:customStyle="1" w:styleId="36">
    <w:name w:val="修订1"/>
    <w:semiHidden/>
    <w:uiPriority w:val="99"/>
    <w:rPr>
      <w:rFonts w:ascii="Times New Roman" w:hAnsi="Times New Roman" w:eastAsia="宋体" w:cs="Times New Roman"/>
      <w:kern w:val="2"/>
      <w:sz w:val="21"/>
      <w:szCs w:val="22"/>
      <w:lang w:val="en-US" w:eastAsia="zh-CN" w:bidi="ar-SA"/>
    </w:rPr>
  </w:style>
  <w:style w:type="paragraph" w:customStyle="1" w:styleId="37">
    <w:name w:val="Char Char5 Char Char Char Char Char Char Char Char Char Char Char Char"/>
    <w:basedOn w:val="1"/>
    <w:uiPriority w:val="0"/>
    <w:rPr>
      <w:rFonts w:ascii="Tahoma" w:hAnsi="Tahoma"/>
      <w:sz w:val="24"/>
      <w:szCs w:val="20"/>
    </w:rPr>
  </w:style>
  <w:style w:type="character" w:customStyle="1" w:styleId="38">
    <w:name w:val="批注文字 字符"/>
    <w:link w:val="5"/>
    <w:uiPriority w:val="99"/>
    <w:rPr>
      <w:kern w:val="2"/>
      <w:sz w:val="21"/>
      <w:szCs w:val="22"/>
    </w:rPr>
  </w:style>
  <w:style w:type="character" w:customStyle="1" w:styleId="39">
    <w:name w:val="批注主题 字符"/>
    <w:link w:val="12"/>
    <w:semiHidden/>
    <w:uiPriority w:val="99"/>
    <w:rPr>
      <w:b/>
      <w:bCs/>
      <w:kern w:val="2"/>
      <w:sz w:val="21"/>
      <w:szCs w:val="22"/>
    </w:rPr>
  </w:style>
  <w:style w:type="character" w:styleId="40">
    <w:name w:val="Placeholder Text"/>
    <w:basedOn w:val="15"/>
    <w:unhideWhenUsed/>
    <w:uiPriority w:val="99"/>
    <w:rPr>
      <w:color w:val="808080"/>
    </w:rPr>
  </w:style>
  <w:style w:type="character" w:customStyle="1" w:styleId="41">
    <w:name w:val="未处理的提及1"/>
    <w:basedOn w:val="15"/>
    <w:semiHidden/>
    <w:unhideWhenUsed/>
    <w:uiPriority w:val="99"/>
    <w:rPr>
      <w:color w:val="605E5C"/>
      <w:shd w:val="clear" w:color="auto" w:fill="E1DFDD"/>
    </w:rPr>
  </w:style>
  <w:style w:type="paragraph" w:customStyle="1" w:styleId="42">
    <w:name w:val="公式居中编号"/>
    <w:basedOn w:val="1"/>
    <w:qFormat/>
    <w:uiPriority w:val="0"/>
    <w:pPr>
      <w:tabs>
        <w:tab w:val="center" w:pos="4150"/>
        <w:tab w:val="right" w:pos="8104"/>
      </w:tabs>
      <w:adjustRightInd w:val="0"/>
      <w:snapToGrid w:val="0"/>
      <w:spacing w:before="50" w:beforeLines="50" w:after="50" w:afterLines="50" w:line="360" w:lineRule="exact"/>
      <w:jc w:val="center"/>
    </w:pPr>
    <w:rPr>
      <w:rFonts w:ascii="Calibri" w:hAnsi="Calibri" w:eastAsia="Calibri"/>
      <w:color w:val="000000"/>
      <w:kern w:val="0"/>
      <w:sz w:val="20"/>
      <w:lang w:eastAsia="en-US"/>
    </w:rPr>
  </w:style>
  <w:style w:type="character" w:customStyle="1" w:styleId="43">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5.wmf"/><Relationship Id="rId97" Type="http://schemas.openxmlformats.org/officeDocument/2006/relationships/oleObject" Target="embeddings/oleObject48.bin"/><Relationship Id="rId96" Type="http://schemas.openxmlformats.org/officeDocument/2006/relationships/image" Target="media/image44.wmf"/><Relationship Id="rId95" Type="http://schemas.openxmlformats.org/officeDocument/2006/relationships/oleObject" Target="embeddings/oleObject47.bin"/><Relationship Id="rId94" Type="http://schemas.openxmlformats.org/officeDocument/2006/relationships/image" Target="media/image43.wmf"/><Relationship Id="rId93" Type="http://schemas.openxmlformats.org/officeDocument/2006/relationships/oleObject" Target="embeddings/oleObject46.bin"/><Relationship Id="rId92" Type="http://schemas.openxmlformats.org/officeDocument/2006/relationships/image" Target="media/image42.wmf"/><Relationship Id="rId91" Type="http://schemas.openxmlformats.org/officeDocument/2006/relationships/oleObject" Target="embeddings/oleObject45.bin"/><Relationship Id="rId90" Type="http://schemas.openxmlformats.org/officeDocument/2006/relationships/image" Target="media/image41.wmf"/><Relationship Id="rId9" Type="http://schemas.openxmlformats.org/officeDocument/2006/relationships/image" Target="media/image2.wmf"/><Relationship Id="rId89" Type="http://schemas.openxmlformats.org/officeDocument/2006/relationships/oleObject" Target="embeddings/oleObject44.bin"/><Relationship Id="rId88" Type="http://schemas.openxmlformats.org/officeDocument/2006/relationships/image" Target="media/image40.wmf"/><Relationship Id="rId87" Type="http://schemas.openxmlformats.org/officeDocument/2006/relationships/oleObject" Target="embeddings/oleObject43.bin"/><Relationship Id="rId86" Type="http://schemas.openxmlformats.org/officeDocument/2006/relationships/image" Target="media/image39.wmf"/><Relationship Id="rId85" Type="http://schemas.openxmlformats.org/officeDocument/2006/relationships/oleObject" Target="embeddings/oleObject42.bin"/><Relationship Id="rId84" Type="http://schemas.openxmlformats.org/officeDocument/2006/relationships/image" Target="media/image38.wmf"/><Relationship Id="rId83" Type="http://schemas.openxmlformats.org/officeDocument/2006/relationships/oleObject" Target="embeddings/oleObject41.bin"/><Relationship Id="rId82" Type="http://schemas.openxmlformats.org/officeDocument/2006/relationships/image" Target="media/image37.wmf"/><Relationship Id="rId81" Type="http://schemas.openxmlformats.org/officeDocument/2006/relationships/oleObject" Target="embeddings/oleObject40.bin"/><Relationship Id="rId80" Type="http://schemas.openxmlformats.org/officeDocument/2006/relationships/image" Target="media/image36.wmf"/><Relationship Id="rId8" Type="http://schemas.openxmlformats.org/officeDocument/2006/relationships/oleObject" Target="embeddings/oleObject2.bin"/><Relationship Id="rId79" Type="http://schemas.openxmlformats.org/officeDocument/2006/relationships/oleObject" Target="embeddings/oleObject39.bin"/><Relationship Id="rId78" Type="http://schemas.openxmlformats.org/officeDocument/2006/relationships/oleObject" Target="embeddings/oleObject38.bin"/><Relationship Id="rId77" Type="http://schemas.openxmlformats.org/officeDocument/2006/relationships/image" Target="media/image35.wmf"/><Relationship Id="rId76" Type="http://schemas.openxmlformats.org/officeDocument/2006/relationships/oleObject" Target="embeddings/oleObject37.bin"/><Relationship Id="rId75" Type="http://schemas.openxmlformats.org/officeDocument/2006/relationships/image" Target="media/image34.wmf"/><Relationship Id="rId74" Type="http://schemas.openxmlformats.org/officeDocument/2006/relationships/oleObject" Target="embeddings/oleObject36.bin"/><Relationship Id="rId73" Type="http://schemas.openxmlformats.org/officeDocument/2006/relationships/image" Target="media/image33.wmf"/><Relationship Id="rId72" Type="http://schemas.openxmlformats.org/officeDocument/2006/relationships/oleObject" Target="embeddings/oleObject35.bin"/><Relationship Id="rId71" Type="http://schemas.openxmlformats.org/officeDocument/2006/relationships/image" Target="media/image32.wmf"/><Relationship Id="rId70" Type="http://schemas.openxmlformats.org/officeDocument/2006/relationships/oleObject" Target="embeddings/oleObject34.bin"/><Relationship Id="rId7" Type="http://schemas.openxmlformats.org/officeDocument/2006/relationships/image" Target="media/image1.wmf"/><Relationship Id="rId69" Type="http://schemas.openxmlformats.org/officeDocument/2006/relationships/image" Target="media/image31.wmf"/><Relationship Id="rId68" Type="http://schemas.openxmlformats.org/officeDocument/2006/relationships/oleObject" Target="embeddings/oleObject33.bin"/><Relationship Id="rId67" Type="http://schemas.openxmlformats.org/officeDocument/2006/relationships/image" Target="media/image30.wmf"/><Relationship Id="rId66" Type="http://schemas.openxmlformats.org/officeDocument/2006/relationships/oleObject" Target="embeddings/oleObject32.bin"/><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0" Type="http://schemas.openxmlformats.org/officeDocument/2006/relationships/fontTable" Target="fontTable.xml"/><Relationship Id="rId15" Type="http://schemas.openxmlformats.org/officeDocument/2006/relationships/image" Target="media/image5.wmf"/><Relationship Id="rId149" Type="http://schemas.openxmlformats.org/officeDocument/2006/relationships/customXml" Target="../customXml/item2.xml"/><Relationship Id="rId148" Type="http://schemas.openxmlformats.org/officeDocument/2006/relationships/customXml" Target="../customXml/item1.xml"/><Relationship Id="rId147" Type="http://schemas.openxmlformats.org/officeDocument/2006/relationships/image" Target="media/image70.wmf"/><Relationship Id="rId146" Type="http://schemas.openxmlformats.org/officeDocument/2006/relationships/image" Target="media/image69.wmf"/><Relationship Id="rId145" Type="http://schemas.openxmlformats.org/officeDocument/2006/relationships/oleObject" Target="embeddings/oleObject72.bin"/><Relationship Id="rId144" Type="http://schemas.openxmlformats.org/officeDocument/2006/relationships/image" Target="media/image68.wmf"/><Relationship Id="rId143" Type="http://schemas.openxmlformats.org/officeDocument/2006/relationships/oleObject" Target="embeddings/oleObject71.bin"/><Relationship Id="rId142" Type="http://schemas.openxmlformats.org/officeDocument/2006/relationships/image" Target="media/image67.wmf"/><Relationship Id="rId141" Type="http://schemas.openxmlformats.org/officeDocument/2006/relationships/oleObject" Target="embeddings/oleObject70.bin"/><Relationship Id="rId140" Type="http://schemas.openxmlformats.org/officeDocument/2006/relationships/image" Target="media/image66.wmf"/><Relationship Id="rId14" Type="http://schemas.openxmlformats.org/officeDocument/2006/relationships/oleObject" Target="embeddings/oleObject5.bin"/><Relationship Id="rId139" Type="http://schemas.openxmlformats.org/officeDocument/2006/relationships/oleObject" Target="embeddings/oleObject69.bin"/><Relationship Id="rId138" Type="http://schemas.openxmlformats.org/officeDocument/2006/relationships/image" Target="media/image65.wmf"/><Relationship Id="rId137" Type="http://schemas.openxmlformats.org/officeDocument/2006/relationships/oleObject" Target="embeddings/oleObject68.bin"/><Relationship Id="rId136" Type="http://schemas.openxmlformats.org/officeDocument/2006/relationships/image" Target="media/image64.wmf"/><Relationship Id="rId135" Type="http://schemas.openxmlformats.org/officeDocument/2006/relationships/oleObject" Target="embeddings/oleObject67.bin"/><Relationship Id="rId134" Type="http://schemas.openxmlformats.org/officeDocument/2006/relationships/image" Target="media/image63.wmf"/><Relationship Id="rId133" Type="http://schemas.openxmlformats.org/officeDocument/2006/relationships/oleObject" Target="embeddings/oleObject66.bin"/><Relationship Id="rId132" Type="http://schemas.openxmlformats.org/officeDocument/2006/relationships/image" Target="media/image62.wmf"/><Relationship Id="rId131" Type="http://schemas.openxmlformats.org/officeDocument/2006/relationships/oleObject" Target="embeddings/oleObject65.bin"/><Relationship Id="rId130" Type="http://schemas.openxmlformats.org/officeDocument/2006/relationships/image" Target="media/image61.wmf"/><Relationship Id="rId13" Type="http://schemas.openxmlformats.org/officeDocument/2006/relationships/image" Target="media/image4.wmf"/><Relationship Id="rId129" Type="http://schemas.openxmlformats.org/officeDocument/2006/relationships/oleObject" Target="embeddings/oleObject64.bin"/><Relationship Id="rId128" Type="http://schemas.openxmlformats.org/officeDocument/2006/relationships/image" Target="media/image60.wmf"/><Relationship Id="rId127" Type="http://schemas.openxmlformats.org/officeDocument/2006/relationships/oleObject" Target="embeddings/oleObject63.bin"/><Relationship Id="rId126" Type="http://schemas.openxmlformats.org/officeDocument/2006/relationships/image" Target="media/image59.wmf"/><Relationship Id="rId125" Type="http://schemas.openxmlformats.org/officeDocument/2006/relationships/oleObject" Target="embeddings/oleObject62.bin"/><Relationship Id="rId124" Type="http://schemas.openxmlformats.org/officeDocument/2006/relationships/image" Target="media/image58.wmf"/><Relationship Id="rId123" Type="http://schemas.openxmlformats.org/officeDocument/2006/relationships/oleObject" Target="embeddings/oleObject61.bin"/><Relationship Id="rId122" Type="http://schemas.openxmlformats.org/officeDocument/2006/relationships/image" Target="media/image57.wmf"/><Relationship Id="rId121" Type="http://schemas.openxmlformats.org/officeDocument/2006/relationships/oleObject" Target="embeddings/oleObject60.bin"/><Relationship Id="rId120" Type="http://schemas.openxmlformats.org/officeDocument/2006/relationships/image" Target="media/image56.wmf"/><Relationship Id="rId12" Type="http://schemas.openxmlformats.org/officeDocument/2006/relationships/oleObject" Target="embeddings/oleObject4.bin"/><Relationship Id="rId119" Type="http://schemas.openxmlformats.org/officeDocument/2006/relationships/oleObject" Target="embeddings/oleObject59.bin"/><Relationship Id="rId118" Type="http://schemas.openxmlformats.org/officeDocument/2006/relationships/image" Target="media/image55.wmf"/><Relationship Id="rId117" Type="http://schemas.openxmlformats.org/officeDocument/2006/relationships/oleObject" Target="embeddings/oleObject58.bin"/><Relationship Id="rId116" Type="http://schemas.openxmlformats.org/officeDocument/2006/relationships/image" Target="media/image54.wmf"/><Relationship Id="rId115" Type="http://schemas.openxmlformats.org/officeDocument/2006/relationships/oleObject" Target="embeddings/oleObject57.bin"/><Relationship Id="rId114" Type="http://schemas.openxmlformats.org/officeDocument/2006/relationships/image" Target="media/image53.wmf"/><Relationship Id="rId113" Type="http://schemas.openxmlformats.org/officeDocument/2006/relationships/oleObject" Target="embeddings/oleObject56.bin"/><Relationship Id="rId112" Type="http://schemas.openxmlformats.org/officeDocument/2006/relationships/image" Target="media/image52.wmf"/><Relationship Id="rId111" Type="http://schemas.openxmlformats.org/officeDocument/2006/relationships/oleObject" Target="embeddings/oleObject55.bin"/><Relationship Id="rId110" Type="http://schemas.openxmlformats.org/officeDocument/2006/relationships/image" Target="media/image51.wmf"/><Relationship Id="rId11" Type="http://schemas.openxmlformats.org/officeDocument/2006/relationships/image" Target="media/image3.wmf"/><Relationship Id="rId109" Type="http://schemas.openxmlformats.org/officeDocument/2006/relationships/oleObject" Target="embeddings/oleObject54.bin"/><Relationship Id="rId108" Type="http://schemas.openxmlformats.org/officeDocument/2006/relationships/image" Target="media/image50.wmf"/><Relationship Id="rId107" Type="http://schemas.openxmlformats.org/officeDocument/2006/relationships/oleObject" Target="embeddings/oleObject53.bin"/><Relationship Id="rId106" Type="http://schemas.openxmlformats.org/officeDocument/2006/relationships/image" Target="media/image49.wmf"/><Relationship Id="rId105" Type="http://schemas.openxmlformats.org/officeDocument/2006/relationships/oleObject" Target="embeddings/oleObject52.bin"/><Relationship Id="rId104" Type="http://schemas.openxmlformats.org/officeDocument/2006/relationships/image" Target="media/image48.wmf"/><Relationship Id="rId103" Type="http://schemas.openxmlformats.org/officeDocument/2006/relationships/oleObject" Target="embeddings/oleObject51.bin"/><Relationship Id="rId102" Type="http://schemas.openxmlformats.org/officeDocument/2006/relationships/image" Target="media/image47.wmf"/><Relationship Id="rId101" Type="http://schemas.openxmlformats.org/officeDocument/2006/relationships/oleObject" Target="embeddings/oleObject50.bin"/><Relationship Id="rId100" Type="http://schemas.openxmlformats.org/officeDocument/2006/relationships/image" Target="media/image46.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9A272-5E9D-3843-8069-D32EA0422680}">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6847</Words>
  <Characters>39030</Characters>
  <Lines>325</Lines>
  <Paragraphs>91</Paragraphs>
  <TotalTime>3</TotalTime>
  <ScaleCrop>false</ScaleCrop>
  <LinksUpToDate>false</LinksUpToDate>
  <CharactersWithSpaces>45786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2023-11-08T01:19:00Z</dcterms:created>
  <dc:creator>Sukie</dc:creator>
  <cp:lastModifiedBy>苗苗</cp:lastModifiedBy>
  <cp:lastPrinted>2021-06-24T16:21:00Z</cp:lastPrinted>
  <dcterms:modified xsi:type="dcterms:W3CDTF">2023-11-08T10:45:46Z</dcterms:modified>
  <dc:title>地方税收竞争与经济发展不平衡</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2052-11.1.0.11372</vt:lpwstr>
  </property>
  <property fmtid="{D5CDD505-2E9C-101B-9397-08002B2CF9AE}" pid="4" name="ICV">
    <vt:lpwstr>A4BD6C5638314ED2AA8B11ED6B0DEAFB</vt:lpwstr>
  </property>
</Properties>
</file>