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29431" w14:textId="77777777" w:rsidR="00AF2A13" w:rsidRPr="00C702D7" w:rsidRDefault="00BD70C4" w:rsidP="00AF2A13">
      <w:pPr>
        <w:snapToGrid w:val="0"/>
        <w:spacing w:line="240" w:lineRule="auto"/>
        <w:ind w:firstLineChars="0" w:firstLine="0"/>
        <w:jc w:val="center"/>
        <w:rPr>
          <w:rFonts w:ascii="宋体" w:hAnsi="宋体"/>
          <w:b/>
          <w:bCs/>
          <w:sz w:val="32"/>
          <w:szCs w:val="32"/>
        </w:rPr>
      </w:pPr>
      <w:r w:rsidRPr="00C702D7">
        <w:rPr>
          <w:rFonts w:ascii="宋体" w:hAnsi="宋体" w:hint="eastAsia"/>
          <w:b/>
          <w:bCs/>
          <w:sz w:val="32"/>
          <w:szCs w:val="32"/>
        </w:rPr>
        <w:t>机构投资者绿色关注的</w:t>
      </w:r>
      <w:r w:rsidR="008C1535" w:rsidRPr="00C702D7">
        <w:rPr>
          <w:rFonts w:ascii="宋体" w:hAnsi="宋体" w:hint="eastAsia"/>
          <w:b/>
          <w:bCs/>
          <w:sz w:val="32"/>
          <w:szCs w:val="32"/>
        </w:rPr>
        <w:t>减排</w:t>
      </w:r>
      <w:r w:rsidR="009F2FCC" w:rsidRPr="00C702D7">
        <w:rPr>
          <w:rFonts w:ascii="宋体" w:hAnsi="宋体" w:hint="eastAsia"/>
          <w:b/>
          <w:bCs/>
          <w:sz w:val="32"/>
          <w:szCs w:val="32"/>
        </w:rPr>
        <w:t>作用与溢出效应</w:t>
      </w:r>
      <w:r w:rsidR="009F2FCC" w:rsidRPr="00C702D7">
        <w:rPr>
          <w:rStyle w:val="af5"/>
          <w:rFonts w:ascii="宋体" w:hAnsi="宋体"/>
          <w:b/>
          <w:bCs/>
          <w:sz w:val="32"/>
          <w:szCs w:val="32"/>
        </w:rPr>
        <w:footnoteReference w:id="1"/>
      </w:r>
    </w:p>
    <w:p w14:paraId="733C206C" w14:textId="77777777" w:rsidR="00AF2A13" w:rsidRPr="00C702D7" w:rsidRDefault="00AF2A13" w:rsidP="00AF2A13">
      <w:pPr>
        <w:ind w:firstLineChars="0" w:firstLine="0"/>
        <w:jc w:val="center"/>
        <w:rPr>
          <w:rFonts w:ascii="宋体" w:hAnsi="宋体"/>
          <w:b/>
          <w:bCs/>
          <w:sz w:val="32"/>
          <w:szCs w:val="36"/>
        </w:rPr>
      </w:pPr>
    </w:p>
    <w:p w14:paraId="64B4BC8E" w14:textId="77777777" w:rsidR="00AF2A13" w:rsidRPr="00C702D7" w:rsidRDefault="00AF2A13" w:rsidP="00AB1ED3">
      <w:pPr>
        <w:spacing w:line="240" w:lineRule="auto"/>
        <w:ind w:firstLineChars="0" w:firstLine="0"/>
        <w:jc w:val="center"/>
        <w:rPr>
          <w:rFonts w:cs="Times New Roman"/>
          <w:szCs w:val="21"/>
        </w:rPr>
      </w:pPr>
      <w:r w:rsidRPr="00C702D7">
        <w:rPr>
          <w:rFonts w:cs="Times New Roman" w:hint="eastAsia"/>
          <w:sz w:val="24"/>
          <w:szCs w:val="24"/>
        </w:rPr>
        <w:t>张</w:t>
      </w:r>
      <w:r w:rsidRPr="00C702D7">
        <w:rPr>
          <w:rFonts w:cs="Times New Roman" w:hint="eastAsia"/>
          <w:sz w:val="24"/>
          <w:szCs w:val="24"/>
        </w:rPr>
        <w:t xml:space="preserve"> </w:t>
      </w:r>
      <w:r w:rsidRPr="00C702D7">
        <w:rPr>
          <w:rFonts w:cs="Times New Roman" w:hint="eastAsia"/>
          <w:sz w:val="24"/>
          <w:szCs w:val="24"/>
        </w:rPr>
        <w:t>云</w:t>
      </w:r>
      <w:r w:rsidRPr="00C702D7">
        <w:rPr>
          <w:rFonts w:cs="Times New Roman" w:hint="eastAsia"/>
          <w:sz w:val="24"/>
          <w:szCs w:val="24"/>
        </w:rPr>
        <w:t xml:space="preserve"> </w:t>
      </w:r>
      <w:r w:rsidRPr="00C702D7">
        <w:rPr>
          <w:rFonts w:cs="Times New Roman"/>
          <w:sz w:val="24"/>
          <w:szCs w:val="24"/>
        </w:rPr>
        <w:t xml:space="preserve">   </w:t>
      </w:r>
      <w:r w:rsidR="009F2FCC" w:rsidRPr="00C702D7">
        <w:rPr>
          <w:rFonts w:cs="Times New Roman"/>
          <w:sz w:val="24"/>
          <w:szCs w:val="24"/>
        </w:rPr>
        <w:t>韩</w:t>
      </w:r>
      <w:r w:rsidR="009F2FCC" w:rsidRPr="00C702D7">
        <w:rPr>
          <w:rFonts w:cs="Times New Roman"/>
          <w:sz w:val="24"/>
          <w:szCs w:val="24"/>
        </w:rPr>
        <w:t xml:space="preserve">  </w:t>
      </w:r>
      <w:r w:rsidR="009F2FCC" w:rsidRPr="00C702D7">
        <w:rPr>
          <w:rFonts w:cs="Times New Roman"/>
          <w:sz w:val="24"/>
          <w:szCs w:val="24"/>
        </w:rPr>
        <w:t>云</w:t>
      </w:r>
      <w:r w:rsidR="009F2FCC" w:rsidRPr="00C702D7">
        <w:rPr>
          <w:rFonts w:cs="Times New Roman" w:hint="eastAsia"/>
          <w:sz w:val="24"/>
          <w:szCs w:val="24"/>
        </w:rPr>
        <w:t xml:space="preserve">   </w:t>
      </w:r>
      <w:r w:rsidRPr="00C702D7">
        <w:rPr>
          <w:rFonts w:cs="Times New Roman"/>
          <w:sz w:val="24"/>
          <w:szCs w:val="24"/>
        </w:rPr>
        <w:t>吕</w:t>
      </w:r>
      <w:r w:rsidRPr="00C702D7">
        <w:rPr>
          <w:rFonts w:cs="Times New Roman"/>
          <w:sz w:val="24"/>
          <w:szCs w:val="24"/>
        </w:rPr>
        <w:t xml:space="preserve">  </w:t>
      </w:r>
      <w:r w:rsidRPr="00C702D7">
        <w:rPr>
          <w:rFonts w:cs="Times New Roman"/>
          <w:sz w:val="24"/>
          <w:szCs w:val="24"/>
        </w:rPr>
        <w:t>纤</w:t>
      </w:r>
      <w:r w:rsidRPr="00C702D7">
        <w:rPr>
          <w:rFonts w:cs="Times New Roman"/>
          <w:sz w:val="24"/>
          <w:szCs w:val="24"/>
        </w:rPr>
        <w:t xml:space="preserve">    </w:t>
      </w:r>
    </w:p>
    <w:p w14:paraId="04B26E07" w14:textId="77777777" w:rsidR="00AF2A13" w:rsidRPr="00C702D7" w:rsidRDefault="009F2FCC" w:rsidP="00AF2A13">
      <w:pPr>
        <w:ind w:firstLine="420"/>
        <w:rPr>
          <w:szCs w:val="21"/>
        </w:rPr>
      </w:pPr>
      <w:r w:rsidRPr="00C702D7">
        <w:rPr>
          <w:rFonts w:ascii="黑体" w:eastAsia="黑体" w:hAnsi="黑体" w:hint="eastAsia"/>
          <w:szCs w:val="21"/>
        </w:rPr>
        <w:t>摘</w:t>
      </w:r>
      <w:r w:rsidR="00AF2A13" w:rsidRPr="00C702D7">
        <w:rPr>
          <w:rFonts w:ascii="黑体" w:eastAsia="黑体" w:hAnsi="黑体" w:hint="eastAsia"/>
          <w:szCs w:val="21"/>
        </w:rPr>
        <w:t>要：</w:t>
      </w:r>
      <w:bookmarkStart w:id="0" w:name="_Hlk145427890"/>
      <w:r w:rsidR="00AF2A13" w:rsidRPr="00C702D7">
        <w:rPr>
          <w:rFonts w:ascii="楷体_GB2312" w:eastAsia="楷体_GB2312" w:hint="eastAsia"/>
          <w:szCs w:val="21"/>
        </w:rPr>
        <w:t>作为资本市场</w:t>
      </w:r>
      <w:r w:rsidRPr="00C702D7">
        <w:rPr>
          <w:rFonts w:ascii="楷体_GB2312" w:eastAsia="楷体_GB2312" w:hint="eastAsia"/>
          <w:szCs w:val="21"/>
        </w:rPr>
        <w:t>的</w:t>
      </w:r>
      <w:r w:rsidR="00AF2A13" w:rsidRPr="00C702D7">
        <w:rPr>
          <w:rFonts w:ascii="楷体_GB2312" w:eastAsia="楷体_GB2312" w:hint="eastAsia"/>
          <w:szCs w:val="21"/>
        </w:rPr>
        <w:t>专业投资者，</w:t>
      </w:r>
      <w:r w:rsidRPr="00C702D7">
        <w:rPr>
          <w:rFonts w:ascii="楷体_GB2312" w:eastAsia="楷体_GB2312" w:hint="eastAsia"/>
          <w:szCs w:val="21"/>
        </w:rPr>
        <w:t>机构投资者</w:t>
      </w:r>
      <w:r w:rsidR="00AF2A13" w:rsidRPr="00C702D7">
        <w:rPr>
          <w:rFonts w:ascii="楷体_GB2312" w:eastAsia="楷体_GB2312" w:hint="eastAsia"/>
          <w:szCs w:val="21"/>
        </w:rPr>
        <w:t>对企业的绿色关注将影响微观</w:t>
      </w:r>
      <w:r w:rsidRPr="00C702D7">
        <w:rPr>
          <w:rFonts w:ascii="楷体_GB2312" w:eastAsia="楷体_GB2312" w:hint="eastAsia"/>
          <w:szCs w:val="21"/>
        </w:rPr>
        <w:t>企业层面</w:t>
      </w:r>
      <w:r w:rsidR="00AF2A13" w:rsidRPr="00C702D7">
        <w:rPr>
          <w:rFonts w:ascii="楷体_GB2312" w:eastAsia="楷体_GB2312" w:hint="eastAsia"/>
          <w:szCs w:val="21"/>
        </w:rPr>
        <w:t>碳减排治理</w:t>
      </w:r>
      <w:r w:rsidRPr="00C702D7">
        <w:rPr>
          <w:rFonts w:ascii="楷体_GB2312" w:eastAsia="楷体_GB2312" w:hint="eastAsia"/>
          <w:szCs w:val="21"/>
        </w:rPr>
        <w:t>效果。本文利用机构投资者实地调研文本数据研究</w:t>
      </w:r>
      <w:r w:rsidR="00AF2A13" w:rsidRPr="00C702D7">
        <w:rPr>
          <w:rFonts w:ascii="楷体_GB2312" w:eastAsia="楷体_GB2312" w:hint="eastAsia"/>
          <w:szCs w:val="21"/>
        </w:rPr>
        <w:t>机构投资者绿色关注对于企业碳减排的作用及溢出效应。研究发现，机构投资者绿色关注可以显著降低企业碳排放强度，抑制碳排放增长速度。针对行业溢出效应的检验发现，机构投资者绿色关注具有行业减排治理效应，且企业间存在碳排放决策相互影响的同群效应，在行业竞争更激烈或不确定性较高时，企业碳排放水平更容易受到机构投资者绿色关注及同行业其他企业碳排放行为的共同影响。结合区域碳减排的研究发现，机构投资者绿色关注还可以显著降低供应链集中度较高地区的碳排放水平，缓解净碳转入地区的污染转移效应。引入低碳试点政策的检验发现，低碳试点政策显著增强机构投资者绿色关注的减排效果，形成宏微观绿色治理机制的联动效应。本文的研究结果表明，合理引导机构投资者通过绿色关注承担环境责任</w:t>
      </w:r>
      <w:r w:rsidRPr="00C702D7">
        <w:rPr>
          <w:rFonts w:ascii="楷体_GB2312" w:eastAsia="楷体_GB2312" w:hint="eastAsia"/>
          <w:szCs w:val="21"/>
        </w:rPr>
        <w:t>、</w:t>
      </w:r>
      <w:r w:rsidR="00AF2A13" w:rsidRPr="00C702D7">
        <w:rPr>
          <w:rFonts w:ascii="楷体_GB2312" w:eastAsia="楷体_GB2312" w:hint="eastAsia"/>
          <w:szCs w:val="21"/>
        </w:rPr>
        <w:t>形成市场驱动型的绿色治理机制，对于我国优化</w:t>
      </w:r>
      <w:r w:rsidRPr="00C702D7">
        <w:rPr>
          <w:rFonts w:ascii="楷体_GB2312" w:eastAsia="楷体_GB2312" w:hint="eastAsia"/>
          <w:szCs w:val="21"/>
        </w:rPr>
        <w:t>减排治理、</w:t>
      </w:r>
      <w:r w:rsidR="00AF2A13" w:rsidRPr="00C702D7">
        <w:rPr>
          <w:rFonts w:ascii="楷体_GB2312" w:eastAsia="楷体_GB2312" w:hint="eastAsia"/>
          <w:szCs w:val="21"/>
        </w:rPr>
        <w:t>推进碳达峰具有重要意义。</w:t>
      </w:r>
      <w:bookmarkEnd w:id="0"/>
    </w:p>
    <w:p w14:paraId="4C33BF3C" w14:textId="77777777" w:rsidR="00AF2A13" w:rsidRPr="00C702D7" w:rsidRDefault="00AF2A13" w:rsidP="00AF2A13">
      <w:pPr>
        <w:ind w:firstLine="420"/>
        <w:rPr>
          <w:b/>
          <w:bCs/>
          <w:szCs w:val="21"/>
        </w:rPr>
      </w:pPr>
      <w:r w:rsidRPr="00C702D7">
        <w:rPr>
          <w:rFonts w:ascii="黑体" w:eastAsia="黑体" w:hAnsi="黑体" w:hint="eastAsia"/>
          <w:szCs w:val="21"/>
        </w:rPr>
        <w:t>关键词：</w:t>
      </w:r>
      <w:r w:rsidR="009F2FCC" w:rsidRPr="00C702D7">
        <w:rPr>
          <w:rFonts w:ascii="楷体_GB2312" w:eastAsia="楷体_GB2312" w:hint="eastAsia"/>
          <w:szCs w:val="21"/>
        </w:rPr>
        <w:t xml:space="preserve">机构投资者  绿色关注  碳减排  溢出效应  </w:t>
      </w:r>
      <w:r w:rsidRPr="00C702D7">
        <w:rPr>
          <w:rFonts w:ascii="楷体_GB2312" w:eastAsia="楷体_GB2312" w:hint="eastAsia"/>
          <w:szCs w:val="21"/>
        </w:rPr>
        <w:t>同群效应</w:t>
      </w:r>
    </w:p>
    <w:p w14:paraId="783C3F94" w14:textId="77777777" w:rsidR="00AF2A13" w:rsidRPr="00C702D7" w:rsidRDefault="00AF2A13" w:rsidP="00AF2A13">
      <w:pPr>
        <w:ind w:firstLineChars="0" w:firstLine="0"/>
        <w:rPr>
          <w:b/>
          <w:bCs/>
          <w:sz w:val="24"/>
          <w:szCs w:val="28"/>
        </w:rPr>
      </w:pPr>
    </w:p>
    <w:p w14:paraId="3A60085A" w14:textId="77777777" w:rsidR="0093171C" w:rsidRPr="00C702D7" w:rsidRDefault="0093171C" w:rsidP="00776687">
      <w:pPr>
        <w:spacing w:beforeLines="50" w:before="156" w:afterLines="50" w:after="156" w:line="400" w:lineRule="exact"/>
        <w:ind w:firstLineChars="0" w:firstLine="0"/>
        <w:jc w:val="center"/>
        <w:outlineLvl w:val="0"/>
        <w:rPr>
          <w:rFonts w:ascii="黑体" w:eastAsia="黑体" w:hAnsi="黑体"/>
        </w:rPr>
      </w:pPr>
      <w:r w:rsidRPr="00C702D7">
        <w:rPr>
          <w:rFonts w:ascii="黑体" w:eastAsia="黑体" w:hAnsi="黑体" w:hint="eastAsia"/>
          <w:sz w:val="24"/>
          <w:szCs w:val="28"/>
        </w:rPr>
        <w:t>一、引言</w:t>
      </w:r>
    </w:p>
    <w:p w14:paraId="112D3AA4" w14:textId="77777777" w:rsidR="005600D7" w:rsidRPr="00C702D7" w:rsidRDefault="00662009" w:rsidP="004E79D9">
      <w:pPr>
        <w:spacing w:line="400" w:lineRule="exact"/>
        <w:ind w:firstLine="420"/>
      </w:pPr>
      <w:bookmarkStart w:id="1" w:name="_Hlk145427984"/>
      <w:r w:rsidRPr="00C702D7">
        <w:rPr>
          <w:rFonts w:hint="eastAsia"/>
        </w:rPr>
        <w:t>党的二十大报告</w:t>
      </w:r>
      <w:r w:rsidR="0048038F" w:rsidRPr="00C702D7">
        <w:rPr>
          <w:rFonts w:hint="eastAsia"/>
        </w:rPr>
        <w:t>强调</w:t>
      </w:r>
      <w:r w:rsidRPr="00C702D7">
        <w:rPr>
          <w:rFonts w:hint="eastAsia"/>
        </w:rPr>
        <w:t>促进人与自然和谐共生，积极稳妥推进碳达峰碳中和，为我国经济绿色低碳转型发展提供了指引方向。</w:t>
      </w:r>
      <w:r w:rsidR="00D56974" w:rsidRPr="00C702D7">
        <w:rPr>
          <w:rFonts w:hint="eastAsia"/>
        </w:rPr>
        <w:t>当前，我国</w:t>
      </w:r>
      <w:r w:rsidR="006A59B3" w:rsidRPr="00C702D7">
        <w:rPr>
          <w:rFonts w:hint="eastAsia"/>
        </w:rPr>
        <w:t>能耗</w:t>
      </w:r>
      <w:r w:rsidR="00D56974" w:rsidRPr="00C702D7">
        <w:rPr>
          <w:rFonts w:hint="eastAsia"/>
        </w:rPr>
        <w:t>强度和碳排放强度仍然</w:t>
      </w:r>
      <w:r w:rsidR="0094267D" w:rsidRPr="00C702D7">
        <w:rPr>
          <w:rFonts w:hint="eastAsia"/>
        </w:rPr>
        <w:t>高于世界平均水平，而且</w:t>
      </w:r>
      <w:r w:rsidR="00D56974" w:rsidRPr="00C702D7">
        <w:rPr>
          <w:rFonts w:hint="eastAsia"/>
        </w:rPr>
        <w:t>高碳发展惯性</w:t>
      </w:r>
      <w:r w:rsidR="0094267D" w:rsidRPr="00C702D7">
        <w:rPr>
          <w:rFonts w:hint="eastAsia"/>
        </w:rPr>
        <w:t>使</w:t>
      </w:r>
      <w:r w:rsidR="005967A5" w:rsidRPr="00C702D7">
        <w:rPr>
          <w:rFonts w:hint="eastAsia"/>
        </w:rPr>
        <w:t>节能降碳</w:t>
      </w:r>
      <w:r w:rsidR="00D56974" w:rsidRPr="00C702D7">
        <w:rPr>
          <w:rFonts w:hint="eastAsia"/>
        </w:rPr>
        <w:t>难度逐渐加大</w:t>
      </w:r>
      <w:r w:rsidR="002E7A67" w:rsidRPr="00C702D7">
        <w:rPr>
          <w:rFonts w:hint="eastAsia"/>
        </w:rPr>
        <w:t>。</w:t>
      </w:r>
      <w:r w:rsidR="00D56974" w:rsidRPr="00C702D7">
        <w:rPr>
          <w:rFonts w:hint="eastAsia"/>
        </w:rPr>
        <w:t>部分企业受制于经济发展压力（陈菡等，</w:t>
      </w:r>
      <w:r w:rsidR="00D56974" w:rsidRPr="00C702D7">
        <w:rPr>
          <w:rFonts w:hint="eastAsia"/>
        </w:rPr>
        <w:t>2</w:t>
      </w:r>
      <w:r w:rsidR="00D56974" w:rsidRPr="00C702D7">
        <w:t>020</w:t>
      </w:r>
      <w:r w:rsidR="00D56974" w:rsidRPr="00C702D7">
        <w:rPr>
          <w:rFonts w:hint="eastAsia"/>
        </w:rPr>
        <w:t>）</w:t>
      </w:r>
      <w:r w:rsidR="00BC6857" w:rsidRPr="00C702D7">
        <w:rPr>
          <w:rFonts w:hint="eastAsia"/>
        </w:rPr>
        <w:t>、能源消费结构（林伯强，</w:t>
      </w:r>
      <w:r w:rsidR="00BC6857" w:rsidRPr="00C702D7">
        <w:rPr>
          <w:rFonts w:hint="eastAsia"/>
        </w:rPr>
        <w:t>2</w:t>
      </w:r>
      <w:r w:rsidR="00BC6857" w:rsidRPr="00C702D7">
        <w:t>022</w:t>
      </w:r>
      <w:r w:rsidR="00BC6857" w:rsidRPr="00C702D7">
        <w:rPr>
          <w:rFonts w:hint="eastAsia"/>
        </w:rPr>
        <w:t>）</w:t>
      </w:r>
      <w:r w:rsidR="00D62763" w:rsidRPr="00C702D7">
        <w:rPr>
          <w:rFonts w:hint="eastAsia"/>
        </w:rPr>
        <w:t>、融资约束（张云等，</w:t>
      </w:r>
      <w:r w:rsidR="00D62763" w:rsidRPr="00C702D7">
        <w:rPr>
          <w:rFonts w:hint="eastAsia"/>
        </w:rPr>
        <w:t>2</w:t>
      </w:r>
      <w:r w:rsidR="00D62763" w:rsidRPr="00C702D7">
        <w:t>022</w:t>
      </w:r>
      <w:r w:rsidR="00D62763" w:rsidRPr="00C702D7">
        <w:rPr>
          <w:rFonts w:hint="eastAsia"/>
        </w:rPr>
        <w:t>）</w:t>
      </w:r>
      <w:r w:rsidR="00664676" w:rsidRPr="00C702D7">
        <w:rPr>
          <w:rFonts w:hint="eastAsia"/>
        </w:rPr>
        <w:t>和</w:t>
      </w:r>
      <w:r w:rsidR="000B430F" w:rsidRPr="00C702D7">
        <w:rPr>
          <w:rFonts w:hint="eastAsia"/>
        </w:rPr>
        <w:t>绿色代理问题（王馨</w:t>
      </w:r>
      <w:r w:rsidR="00047416" w:rsidRPr="00C702D7">
        <w:rPr>
          <w:rFonts w:hint="eastAsia"/>
        </w:rPr>
        <w:t>、</w:t>
      </w:r>
      <w:r w:rsidR="000B430F" w:rsidRPr="00C702D7">
        <w:rPr>
          <w:rFonts w:hint="eastAsia"/>
        </w:rPr>
        <w:t>王营，</w:t>
      </w:r>
      <w:r w:rsidR="000B430F" w:rsidRPr="00C702D7">
        <w:rPr>
          <w:rFonts w:hint="eastAsia"/>
        </w:rPr>
        <w:t>2</w:t>
      </w:r>
      <w:r w:rsidR="000B430F" w:rsidRPr="00C702D7">
        <w:t>021</w:t>
      </w:r>
      <w:r w:rsidR="000B430F" w:rsidRPr="00C702D7">
        <w:rPr>
          <w:rFonts w:hint="eastAsia"/>
        </w:rPr>
        <w:t>）</w:t>
      </w:r>
      <w:r w:rsidR="00BC6857" w:rsidRPr="00C702D7">
        <w:rPr>
          <w:rFonts w:hint="eastAsia"/>
        </w:rPr>
        <w:t>等</w:t>
      </w:r>
      <w:r w:rsidR="00F21708" w:rsidRPr="00C702D7">
        <w:rPr>
          <w:rFonts w:hint="eastAsia"/>
        </w:rPr>
        <w:t>约束</w:t>
      </w:r>
      <w:r w:rsidR="00D56974" w:rsidRPr="00C702D7">
        <w:rPr>
          <w:rFonts w:hint="eastAsia"/>
        </w:rPr>
        <w:t>，碳</w:t>
      </w:r>
      <w:r w:rsidR="00234785" w:rsidRPr="00C702D7">
        <w:rPr>
          <w:rFonts w:hint="eastAsia"/>
        </w:rPr>
        <w:t>减排</w:t>
      </w:r>
      <w:r w:rsidR="00D56974" w:rsidRPr="00C702D7">
        <w:rPr>
          <w:rFonts w:hint="eastAsia"/>
        </w:rPr>
        <w:t>动力</w:t>
      </w:r>
      <w:r w:rsidR="00F21708" w:rsidRPr="00C702D7">
        <w:rPr>
          <w:rFonts w:hint="eastAsia"/>
        </w:rPr>
        <w:t>相对</w:t>
      </w:r>
      <w:r w:rsidR="00D56974" w:rsidRPr="00C702D7">
        <w:rPr>
          <w:rFonts w:hint="eastAsia"/>
        </w:rPr>
        <w:t>不足。企业作为主要自然资源消耗</w:t>
      </w:r>
      <w:r w:rsidR="00AB17A5" w:rsidRPr="00C702D7">
        <w:rPr>
          <w:rFonts w:hint="eastAsia"/>
        </w:rPr>
        <w:t>方</w:t>
      </w:r>
      <w:r w:rsidR="00D56974" w:rsidRPr="00C702D7">
        <w:rPr>
          <w:rFonts w:hint="eastAsia"/>
        </w:rPr>
        <w:t>和污染排放来源，是</w:t>
      </w:r>
      <w:r w:rsidR="008253A3" w:rsidRPr="00C702D7">
        <w:rPr>
          <w:rFonts w:hint="eastAsia"/>
        </w:rPr>
        <w:t>改善</w:t>
      </w:r>
      <w:r w:rsidR="00FC02EB" w:rsidRPr="00C702D7">
        <w:rPr>
          <w:rFonts w:hint="eastAsia"/>
        </w:rPr>
        <w:t>能源</w:t>
      </w:r>
      <w:r w:rsidR="008253A3" w:rsidRPr="00C702D7">
        <w:rPr>
          <w:rFonts w:hint="eastAsia"/>
        </w:rPr>
        <w:t>结构</w:t>
      </w:r>
      <w:r w:rsidR="00FC02EB" w:rsidRPr="00C702D7">
        <w:rPr>
          <w:rFonts w:hint="eastAsia"/>
        </w:rPr>
        <w:t>、</w:t>
      </w:r>
      <w:r w:rsidR="008806D3" w:rsidRPr="00C702D7">
        <w:rPr>
          <w:rFonts w:hint="eastAsia"/>
        </w:rPr>
        <w:t>治污减排</w:t>
      </w:r>
      <w:r w:rsidR="00D56974" w:rsidRPr="00C702D7">
        <w:rPr>
          <w:rFonts w:hint="eastAsia"/>
        </w:rPr>
        <w:t>过程中的重要实践主体（李维安等，</w:t>
      </w:r>
      <w:r w:rsidR="00BC6857" w:rsidRPr="00C702D7">
        <w:rPr>
          <w:rFonts w:hint="eastAsia"/>
        </w:rPr>
        <w:t>2</w:t>
      </w:r>
      <w:r w:rsidR="00BC6857" w:rsidRPr="00C702D7">
        <w:t>019</w:t>
      </w:r>
      <w:r w:rsidR="00D56974" w:rsidRPr="00C702D7">
        <w:rPr>
          <w:rFonts w:hint="eastAsia"/>
        </w:rPr>
        <w:t>）</w:t>
      </w:r>
      <w:r w:rsidR="00A75164" w:rsidRPr="00C702D7">
        <w:rPr>
          <w:rFonts w:hint="eastAsia"/>
        </w:rPr>
        <w:t>，</w:t>
      </w:r>
      <w:r w:rsidR="009E4739" w:rsidRPr="00C702D7">
        <w:rPr>
          <w:rFonts w:hint="eastAsia"/>
        </w:rPr>
        <w:t>推进企业</w:t>
      </w:r>
      <w:r w:rsidR="005967A5" w:rsidRPr="00C702D7">
        <w:rPr>
          <w:rFonts w:hint="eastAsia"/>
        </w:rPr>
        <w:t>绿色治理</w:t>
      </w:r>
      <w:r w:rsidR="009E4739" w:rsidRPr="00C702D7">
        <w:rPr>
          <w:rFonts w:hint="eastAsia"/>
        </w:rPr>
        <w:t>驱动机制建设和监测减排效果</w:t>
      </w:r>
      <w:r w:rsidR="00D56974" w:rsidRPr="00C702D7">
        <w:rPr>
          <w:rFonts w:hint="eastAsia"/>
        </w:rPr>
        <w:t>是</w:t>
      </w:r>
      <w:r w:rsidR="009E4739" w:rsidRPr="00C702D7">
        <w:rPr>
          <w:rFonts w:hint="eastAsia"/>
        </w:rPr>
        <w:t>实现我国</w:t>
      </w:r>
      <w:r w:rsidR="00D56974" w:rsidRPr="00C702D7">
        <w:rPr>
          <w:rFonts w:hint="eastAsia"/>
        </w:rPr>
        <w:t>“双碳”</w:t>
      </w:r>
      <w:r w:rsidR="00FC02EB" w:rsidRPr="00C702D7">
        <w:rPr>
          <w:rFonts w:hint="eastAsia"/>
        </w:rPr>
        <w:t>目</w:t>
      </w:r>
      <w:r w:rsidR="00D56974" w:rsidRPr="00C702D7">
        <w:rPr>
          <w:rFonts w:hint="eastAsia"/>
        </w:rPr>
        <w:t>标的</w:t>
      </w:r>
      <w:r w:rsidR="009E4739" w:rsidRPr="00C702D7">
        <w:rPr>
          <w:rFonts w:hint="eastAsia"/>
        </w:rPr>
        <w:t>重要微观路径</w:t>
      </w:r>
      <w:r w:rsidR="00D56974" w:rsidRPr="00C702D7">
        <w:rPr>
          <w:rFonts w:hint="eastAsia"/>
        </w:rPr>
        <w:t>。</w:t>
      </w:r>
    </w:p>
    <w:p w14:paraId="0F2F662B" w14:textId="77777777" w:rsidR="009B777D" w:rsidRPr="00C702D7" w:rsidRDefault="00770EC4" w:rsidP="005A3C63">
      <w:pPr>
        <w:spacing w:line="400" w:lineRule="exact"/>
        <w:ind w:firstLine="420"/>
      </w:pPr>
      <w:r w:rsidRPr="00C702D7">
        <w:rPr>
          <w:rFonts w:hint="eastAsia"/>
        </w:rPr>
        <w:t>机构投资者</w:t>
      </w:r>
      <w:r w:rsidR="00343390" w:rsidRPr="00C702D7">
        <w:rPr>
          <w:rFonts w:hint="eastAsia"/>
        </w:rPr>
        <w:t>是</w:t>
      </w:r>
      <w:r w:rsidR="006D049C" w:rsidRPr="00C702D7">
        <w:rPr>
          <w:rFonts w:hint="eastAsia"/>
        </w:rPr>
        <w:t>资本市场</w:t>
      </w:r>
      <w:r w:rsidR="00577940" w:rsidRPr="00C702D7">
        <w:rPr>
          <w:rFonts w:hint="eastAsia"/>
        </w:rPr>
        <w:t>中参与</w:t>
      </w:r>
      <w:r w:rsidR="00A62BEB" w:rsidRPr="00C702D7">
        <w:rPr>
          <w:rFonts w:hint="eastAsia"/>
        </w:rPr>
        <w:t>公司治理</w:t>
      </w:r>
      <w:r w:rsidR="00577940" w:rsidRPr="00C702D7">
        <w:rPr>
          <w:rFonts w:hint="eastAsia"/>
        </w:rPr>
        <w:t>的</w:t>
      </w:r>
      <w:r w:rsidR="0064432E" w:rsidRPr="00C702D7">
        <w:rPr>
          <w:rFonts w:hint="eastAsia"/>
        </w:rPr>
        <w:t>重要主体，</w:t>
      </w:r>
      <w:r w:rsidR="00A87A56" w:rsidRPr="00C702D7">
        <w:rPr>
          <w:rFonts w:hint="eastAsia"/>
        </w:rPr>
        <w:t>具有凭借大股东地位和专业投资能力，内生驱动企业积极减排的动机和</w:t>
      </w:r>
      <w:r w:rsidR="009454A8" w:rsidRPr="00C702D7">
        <w:rPr>
          <w:rFonts w:hint="eastAsia"/>
        </w:rPr>
        <w:t>实</w:t>
      </w:r>
      <w:r w:rsidR="00A87A56" w:rsidRPr="00C702D7">
        <w:rPr>
          <w:rFonts w:hint="eastAsia"/>
        </w:rPr>
        <w:t>力。</w:t>
      </w:r>
      <w:r w:rsidR="00270F4B" w:rsidRPr="00C702D7">
        <w:rPr>
          <w:rFonts w:hint="eastAsia"/>
        </w:rPr>
        <w:t>近年研究表明</w:t>
      </w:r>
      <w:r w:rsidR="00A87A56" w:rsidRPr="00C702D7">
        <w:rPr>
          <w:rFonts w:hint="eastAsia"/>
        </w:rPr>
        <w:t>，机构投资者</w:t>
      </w:r>
      <w:r w:rsidR="00687043" w:rsidRPr="00C702D7">
        <w:rPr>
          <w:rFonts w:hint="eastAsia"/>
        </w:rPr>
        <w:t>已对环境污染等社会问题形成一定</w:t>
      </w:r>
      <w:r w:rsidR="00AF2BBC" w:rsidRPr="00C702D7">
        <w:rPr>
          <w:rFonts w:hint="eastAsia"/>
        </w:rPr>
        <w:t>的绿色</w:t>
      </w:r>
      <w:r w:rsidR="00687043" w:rsidRPr="00C702D7">
        <w:rPr>
          <w:rFonts w:hint="eastAsia"/>
        </w:rPr>
        <w:t>关注，</w:t>
      </w:r>
      <w:r w:rsidR="00310342" w:rsidRPr="00C702D7">
        <w:rPr>
          <w:rFonts w:hint="eastAsia"/>
        </w:rPr>
        <w:t>并通过</w:t>
      </w:r>
      <w:r w:rsidR="00687043" w:rsidRPr="00C702D7">
        <w:rPr>
          <w:rFonts w:hint="eastAsia"/>
        </w:rPr>
        <w:t>投资决策影响股票价格与企业行为（赵阳等，</w:t>
      </w:r>
      <w:r w:rsidR="00687043" w:rsidRPr="00C702D7">
        <w:rPr>
          <w:rFonts w:hint="eastAsia"/>
        </w:rPr>
        <w:t>2</w:t>
      </w:r>
      <w:r w:rsidR="00687043" w:rsidRPr="00C702D7">
        <w:t>019</w:t>
      </w:r>
      <w:r w:rsidR="00687043" w:rsidRPr="00C702D7">
        <w:rPr>
          <w:rFonts w:hint="eastAsia"/>
        </w:rPr>
        <w:t>；祝敏等，</w:t>
      </w:r>
      <w:r w:rsidR="00687043" w:rsidRPr="00C702D7">
        <w:rPr>
          <w:rFonts w:hint="eastAsia"/>
        </w:rPr>
        <w:t>2</w:t>
      </w:r>
      <w:r w:rsidR="00687043" w:rsidRPr="00C702D7">
        <w:t>019</w:t>
      </w:r>
      <w:r w:rsidR="00687043" w:rsidRPr="00C702D7">
        <w:rPr>
          <w:rFonts w:hint="eastAsia"/>
        </w:rPr>
        <w:t>；</w:t>
      </w:r>
      <w:r w:rsidR="00687043" w:rsidRPr="00C702D7">
        <w:rPr>
          <w:rFonts w:cs="Times New Roman" w:hint="eastAsia"/>
          <w:szCs w:val="21"/>
        </w:rPr>
        <w:t>Bolton</w:t>
      </w:r>
      <w:r w:rsidR="0091763C" w:rsidRPr="00C702D7">
        <w:t xml:space="preserve"> </w:t>
      </w:r>
      <w:r w:rsidR="005375CF" w:rsidRPr="00C702D7">
        <w:rPr>
          <w:rFonts w:hint="eastAsia"/>
        </w:rPr>
        <w:t>&amp;</w:t>
      </w:r>
      <w:r w:rsidR="0091763C" w:rsidRPr="00C702D7">
        <w:t xml:space="preserve"> </w:t>
      </w:r>
      <w:proofErr w:type="spellStart"/>
      <w:r w:rsidR="00687043" w:rsidRPr="00C702D7">
        <w:rPr>
          <w:rFonts w:hint="eastAsia"/>
        </w:rPr>
        <w:t>Kacp</w:t>
      </w:r>
      <w:r w:rsidR="00687043" w:rsidRPr="00C702D7">
        <w:rPr>
          <w:rFonts w:cs="Times New Roman" w:hint="eastAsia"/>
          <w:szCs w:val="21"/>
        </w:rPr>
        <w:t>erczyk</w:t>
      </w:r>
      <w:proofErr w:type="spellEnd"/>
      <w:r w:rsidR="00687043" w:rsidRPr="00C702D7">
        <w:rPr>
          <w:rFonts w:cs="Times New Roman" w:hint="eastAsia"/>
          <w:szCs w:val="21"/>
        </w:rPr>
        <w:t>，</w:t>
      </w:r>
      <w:r w:rsidR="00687043" w:rsidRPr="00C702D7">
        <w:rPr>
          <w:rFonts w:cs="Times New Roman" w:hint="eastAsia"/>
          <w:szCs w:val="21"/>
        </w:rPr>
        <w:t>2021</w:t>
      </w:r>
      <w:r w:rsidR="00687043" w:rsidRPr="00C702D7">
        <w:rPr>
          <w:rFonts w:hint="eastAsia"/>
        </w:rPr>
        <w:t>）</w:t>
      </w:r>
      <w:r w:rsidR="00A87A56" w:rsidRPr="00C702D7">
        <w:rPr>
          <w:rFonts w:hint="eastAsia"/>
        </w:rPr>
        <w:t>。</w:t>
      </w:r>
      <w:r w:rsidR="005967A5" w:rsidRPr="00C702D7">
        <w:rPr>
          <w:rFonts w:hint="eastAsia"/>
        </w:rPr>
        <w:t>机构投资者若关注</w:t>
      </w:r>
      <w:bookmarkStart w:id="2" w:name="_Hlk119082505"/>
      <w:r w:rsidR="005967A5" w:rsidRPr="00C702D7">
        <w:rPr>
          <w:rFonts w:hint="eastAsia"/>
        </w:rPr>
        <w:t>企业经营排污带来的价值损失风险和绿色转型成功带来的长期价值增值</w:t>
      </w:r>
      <w:bookmarkStart w:id="3" w:name="_Hlk119144244"/>
      <w:r w:rsidR="005967A5" w:rsidRPr="00C702D7">
        <w:rPr>
          <w:rFonts w:hint="eastAsia"/>
        </w:rPr>
        <w:t>，</w:t>
      </w:r>
      <w:bookmarkEnd w:id="2"/>
      <w:bookmarkEnd w:id="3"/>
      <w:r w:rsidR="00AF2BBC" w:rsidRPr="00C702D7">
        <w:rPr>
          <w:rFonts w:hint="eastAsia"/>
        </w:rPr>
        <w:t>将会</w:t>
      </w:r>
      <w:r w:rsidR="005A3C63" w:rsidRPr="00C702D7">
        <w:rPr>
          <w:rFonts w:hint="eastAsia"/>
        </w:rPr>
        <w:t>不断挖掘企业绿色经营活动相关信息，</w:t>
      </w:r>
      <w:r w:rsidR="005A3C63" w:rsidRPr="00C702D7">
        <w:rPr>
          <w:rFonts w:hint="eastAsia"/>
        </w:rPr>
        <w:lastRenderedPageBreak/>
        <w:t>识别</w:t>
      </w:r>
      <w:r w:rsidR="00A75164" w:rsidRPr="00C702D7">
        <w:rPr>
          <w:rFonts w:hint="eastAsia"/>
        </w:rPr>
        <w:t>企业碳减排效果和</w:t>
      </w:r>
      <w:r w:rsidR="005A3C63" w:rsidRPr="00C702D7">
        <w:rPr>
          <w:rFonts w:hint="eastAsia"/>
        </w:rPr>
        <w:t>抑制企业“漂绿”行为</w:t>
      </w:r>
      <w:r w:rsidR="00926675" w:rsidRPr="00C702D7">
        <w:rPr>
          <w:rFonts w:hint="eastAsia"/>
        </w:rPr>
        <w:t>等</w:t>
      </w:r>
      <w:r w:rsidR="00A87A56" w:rsidRPr="00C702D7">
        <w:rPr>
          <w:rFonts w:hint="eastAsia"/>
        </w:rPr>
        <w:t>。</w:t>
      </w:r>
      <w:r w:rsidR="00AF2BBC" w:rsidRPr="00C702D7">
        <w:rPr>
          <w:rFonts w:hint="eastAsia"/>
        </w:rPr>
        <w:t>同时，机构投资者还可能会围绕绿色</w:t>
      </w:r>
      <w:r w:rsidR="005A3C63" w:rsidRPr="00C702D7">
        <w:rPr>
          <w:rFonts w:hint="eastAsia"/>
        </w:rPr>
        <w:t>关注的具体问题</w:t>
      </w:r>
      <w:r w:rsidR="004B0977" w:rsidRPr="00C702D7">
        <w:rPr>
          <w:rFonts w:hint="eastAsia"/>
        </w:rPr>
        <w:t>与</w:t>
      </w:r>
      <w:r w:rsidR="005A3C63" w:rsidRPr="00C702D7">
        <w:rPr>
          <w:rFonts w:hint="eastAsia"/>
        </w:rPr>
        <w:t>企业管理层</w:t>
      </w:r>
      <w:r w:rsidR="004B0977" w:rsidRPr="00C702D7">
        <w:rPr>
          <w:rFonts w:hint="eastAsia"/>
        </w:rPr>
        <w:t>进行</w:t>
      </w:r>
      <w:r w:rsidR="005A3C63" w:rsidRPr="00C702D7">
        <w:rPr>
          <w:rFonts w:hint="eastAsia"/>
        </w:rPr>
        <w:t>沟通交流，以确保防污减排和</w:t>
      </w:r>
      <w:r w:rsidR="004B0977" w:rsidRPr="00C702D7">
        <w:rPr>
          <w:rFonts w:hint="eastAsia"/>
        </w:rPr>
        <w:t>绿色转型</w:t>
      </w:r>
      <w:r w:rsidR="005A3C63" w:rsidRPr="00C702D7">
        <w:rPr>
          <w:rFonts w:hint="eastAsia"/>
        </w:rPr>
        <w:t>的落实。</w:t>
      </w:r>
    </w:p>
    <w:p w14:paraId="286F4921" w14:textId="77777777" w:rsidR="00A87A56" w:rsidRPr="00C702D7" w:rsidRDefault="00AF2BBC" w:rsidP="001852F7">
      <w:pPr>
        <w:spacing w:line="400" w:lineRule="exact"/>
        <w:ind w:firstLine="420"/>
      </w:pPr>
      <w:r w:rsidRPr="00C702D7">
        <w:rPr>
          <w:rFonts w:hint="eastAsia"/>
        </w:rPr>
        <w:t>事实上，</w:t>
      </w:r>
      <w:r w:rsidR="009B16D2" w:rsidRPr="00C702D7">
        <w:rPr>
          <w:rFonts w:hint="eastAsia"/>
        </w:rPr>
        <w:t>机构</w:t>
      </w:r>
      <w:r w:rsidR="005A3C63" w:rsidRPr="00C702D7">
        <w:rPr>
          <w:rFonts w:hint="eastAsia"/>
        </w:rPr>
        <w:t>投资者</w:t>
      </w:r>
      <w:r w:rsidR="009B16D2" w:rsidRPr="00C702D7">
        <w:rPr>
          <w:rFonts w:hint="eastAsia"/>
        </w:rPr>
        <w:t>聚焦</w:t>
      </w:r>
      <w:r w:rsidR="005A3C63" w:rsidRPr="00C702D7">
        <w:rPr>
          <w:rFonts w:hint="eastAsia"/>
        </w:rPr>
        <w:t>企业</w:t>
      </w:r>
      <w:r w:rsidR="003E77FE" w:rsidRPr="00C702D7">
        <w:rPr>
          <w:rFonts w:hint="eastAsia"/>
        </w:rPr>
        <w:t>污染排放</w:t>
      </w:r>
      <w:r w:rsidR="00926675" w:rsidRPr="00C702D7">
        <w:rPr>
          <w:rFonts w:hint="eastAsia"/>
        </w:rPr>
        <w:t>等的</w:t>
      </w:r>
      <w:r w:rsidR="005A3C63" w:rsidRPr="00C702D7">
        <w:rPr>
          <w:rFonts w:hint="eastAsia"/>
        </w:rPr>
        <w:t>社会影响还有助于形成良好的社会共治机制，</w:t>
      </w:r>
      <w:r w:rsidR="001852F7" w:rsidRPr="00C702D7">
        <w:rPr>
          <w:rFonts w:hint="eastAsia"/>
        </w:rPr>
        <w:t>使得</w:t>
      </w:r>
      <w:r w:rsidR="005A3C63" w:rsidRPr="00C702D7">
        <w:rPr>
          <w:rFonts w:hint="eastAsia"/>
        </w:rPr>
        <w:t>机构投资者</w:t>
      </w:r>
      <w:r w:rsidR="001852F7" w:rsidRPr="00C702D7">
        <w:rPr>
          <w:rFonts w:hint="eastAsia"/>
        </w:rPr>
        <w:t>绿色关注的</w:t>
      </w:r>
      <w:r w:rsidR="005A3C63" w:rsidRPr="00C702D7">
        <w:rPr>
          <w:rFonts w:hint="eastAsia"/>
        </w:rPr>
        <w:t>治理</w:t>
      </w:r>
      <w:r w:rsidR="001852F7" w:rsidRPr="00C702D7">
        <w:rPr>
          <w:rFonts w:hint="eastAsia"/>
        </w:rPr>
        <w:t>作用</w:t>
      </w:r>
      <w:r w:rsidR="009B777D" w:rsidRPr="00C702D7">
        <w:rPr>
          <w:rFonts w:hint="eastAsia"/>
        </w:rPr>
        <w:t>可能</w:t>
      </w:r>
      <w:r w:rsidR="005A3C63" w:rsidRPr="00C702D7">
        <w:rPr>
          <w:rFonts w:hint="eastAsia"/>
        </w:rPr>
        <w:t>产生更广泛的溢出效应</w:t>
      </w:r>
      <w:r w:rsidR="009B777D" w:rsidRPr="00C702D7">
        <w:rPr>
          <w:rFonts w:hint="eastAsia"/>
        </w:rPr>
        <w:t>。</w:t>
      </w:r>
      <w:r w:rsidR="005A3C63" w:rsidRPr="00C702D7">
        <w:rPr>
          <w:rFonts w:hint="eastAsia"/>
        </w:rPr>
        <w:t>当</w:t>
      </w:r>
      <w:r w:rsidR="00600760" w:rsidRPr="00C702D7">
        <w:rPr>
          <w:rFonts w:hint="eastAsia"/>
        </w:rPr>
        <w:t>核心</w:t>
      </w:r>
      <w:r w:rsidR="005A3C63" w:rsidRPr="00C702D7">
        <w:rPr>
          <w:rFonts w:hint="eastAsia"/>
        </w:rPr>
        <w:t>企业因机构投资者</w:t>
      </w:r>
      <w:r w:rsidR="00600760" w:rsidRPr="00C702D7">
        <w:rPr>
          <w:rFonts w:hint="eastAsia"/>
        </w:rPr>
        <w:t>对于</w:t>
      </w:r>
      <w:r w:rsidR="005A3C63" w:rsidRPr="00C702D7">
        <w:rPr>
          <w:rFonts w:hint="eastAsia"/>
        </w:rPr>
        <w:t>绿色活动</w:t>
      </w:r>
      <w:r w:rsidR="00600760" w:rsidRPr="00C702D7">
        <w:rPr>
          <w:rFonts w:hint="eastAsia"/>
        </w:rPr>
        <w:t>的关注</w:t>
      </w:r>
      <w:r w:rsidR="00644D95" w:rsidRPr="00C702D7">
        <w:rPr>
          <w:rFonts w:hint="eastAsia"/>
        </w:rPr>
        <w:t>而</w:t>
      </w:r>
      <w:r w:rsidR="00600760" w:rsidRPr="00C702D7">
        <w:rPr>
          <w:rFonts w:hint="eastAsia"/>
        </w:rPr>
        <w:t>优化</w:t>
      </w:r>
      <w:r w:rsidR="005A3C63" w:rsidRPr="00C702D7">
        <w:rPr>
          <w:rFonts w:hint="eastAsia"/>
        </w:rPr>
        <w:t>碳减排决策</w:t>
      </w:r>
      <w:r w:rsidR="00600760" w:rsidRPr="00C702D7">
        <w:rPr>
          <w:rFonts w:hint="eastAsia"/>
        </w:rPr>
        <w:t>时</w:t>
      </w:r>
      <w:r w:rsidR="006E2178" w:rsidRPr="00C702D7">
        <w:rPr>
          <w:rFonts w:hint="eastAsia"/>
        </w:rPr>
        <w:t>，行业内竞争企业和信息弱势企业还</w:t>
      </w:r>
      <w:r w:rsidR="005A3C63" w:rsidRPr="00C702D7">
        <w:rPr>
          <w:rFonts w:hint="eastAsia"/>
        </w:rPr>
        <w:t>可能选择模仿跟进，采取相近的碳减排决策</w:t>
      </w:r>
      <w:r w:rsidR="00600760" w:rsidRPr="00C702D7">
        <w:rPr>
          <w:rFonts w:hint="eastAsia"/>
        </w:rPr>
        <w:t>，使得</w:t>
      </w:r>
      <w:r w:rsidR="00887877" w:rsidRPr="00C702D7">
        <w:rPr>
          <w:rFonts w:hint="eastAsia"/>
        </w:rPr>
        <w:t>减排效应</w:t>
      </w:r>
      <w:r w:rsidR="00600760" w:rsidRPr="00C702D7">
        <w:rPr>
          <w:rFonts w:hint="eastAsia"/>
        </w:rPr>
        <w:t>通过同群效应传导至其他同类企业</w:t>
      </w:r>
      <w:r w:rsidR="005A3C63" w:rsidRPr="00C702D7">
        <w:rPr>
          <w:rFonts w:hint="eastAsia"/>
        </w:rPr>
        <w:t>。</w:t>
      </w:r>
      <w:r w:rsidR="001852F7" w:rsidRPr="00C702D7">
        <w:rPr>
          <w:rFonts w:hint="eastAsia"/>
        </w:rPr>
        <w:t>例如，市场卖空者</w:t>
      </w:r>
      <w:r w:rsidR="00600760" w:rsidRPr="00C702D7">
        <w:rPr>
          <w:rFonts w:hint="eastAsia"/>
        </w:rPr>
        <w:t>的</w:t>
      </w:r>
      <w:r w:rsidR="001852F7" w:rsidRPr="00C702D7">
        <w:rPr>
          <w:rFonts w:hint="eastAsia"/>
        </w:rPr>
        <w:t>关切可</w:t>
      </w:r>
      <w:r w:rsidR="00600760" w:rsidRPr="00C702D7">
        <w:rPr>
          <w:rFonts w:hint="eastAsia"/>
        </w:rPr>
        <w:t>驱使供应链核心企业构建涵盖绿色规范标准和相应淘汰机制的绿色供应链体系，传递至</w:t>
      </w:r>
      <w:r w:rsidR="000C189C" w:rsidRPr="00C702D7">
        <w:rPr>
          <w:rFonts w:hint="eastAsia"/>
        </w:rPr>
        <w:t>上下游其他</w:t>
      </w:r>
      <w:r w:rsidR="00600760" w:rsidRPr="00C702D7">
        <w:rPr>
          <w:rFonts w:hint="eastAsia"/>
        </w:rPr>
        <w:t>企业</w:t>
      </w:r>
      <w:r w:rsidR="007C2BBE" w:rsidRPr="00C702D7">
        <w:rPr>
          <w:rFonts w:hint="eastAsia"/>
        </w:rPr>
        <w:t>并影响其</w:t>
      </w:r>
      <w:r w:rsidR="00600760" w:rsidRPr="00C702D7">
        <w:rPr>
          <w:rFonts w:hint="eastAsia"/>
        </w:rPr>
        <w:t>碳排放</w:t>
      </w:r>
      <w:r w:rsidR="009B777D" w:rsidRPr="00C702D7">
        <w:rPr>
          <w:rFonts w:hint="eastAsia"/>
        </w:rPr>
        <w:t>（</w:t>
      </w:r>
      <w:r w:rsidR="009B777D" w:rsidRPr="00C702D7">
        <w:rPr>
          <w:rFonts w:cs="Times New Roman" w:hint="eastAsia"/>
        </w:rPr>
        <w:t>张璇等，</w:t>
      </w:r>
      <w:r w:rsidR="009B777D" w:rsidRPr="00C702D7">
        <w:rPr>
          <w:rFonts w:cs="Times New Roman" w:hint="eastAsia"/>
        </w:rPr>
        <w:t>2022</w:t>
      </w:r>
      <w:r w:rsidR="009B777D" w:rsidRPr="00C702D7">
        <w:rPr>
          <w:rFonts w:hint="eastAsia"/>
        </w:rPr>
        <w:t>）</w:t>
      </w:r>
      <w:r w:rsidR="001852F7" w:rsidRPr="00C702D7">
        <w:rPr>
          <w:rFonts w:hint="eastAsia"/>
        </w:rPr>
        <w:t>。</w:t>
      </w:r>
      <w:r w:rsidR="00600760" w:rsidRPr="00C702D7">
        <w:rPr>
          <w:rFonts w:hint="eastAsia"/>
        </w:rPr>
        <w:t>因此，</w:t>
      </w:r>
      <w:r w:rsidR="001852F7" w:rsidRPr="00C702D7">
        <w:rPr>
          <w:rFonts w:hint="eastAsia"/>
        </w:rPr>
        <w:t>机构投资者</w:t>
      </w:r>
      <w:r w:rsidR="00C653BE" w:rsidRPr="00C702D7">
        <w:rPr>
          <w:rFonts w:hint="eastAsia"/>
        </w:rPr>
        <w:t>通过绿色关注影响企业碳排放行为并</w:t>
      </w:r>
      <w:r w:rsidR="001852F7" w:rsidRPr="00C702D7">
        <w:rPr>
          <w:rFonts w:hint="eastAsia"/>
        </w:rPr>
        <w:t>将</w:t>
      </w:r>
      <w:r w:rsidR="00887877" w:rsidRPr="00C702D7">
        <w:rPr>
          <w:rFonts w:hint="eastAsia"/>
        </w:rPr>
        <w:t>减排效应</w:t>
      </w:r>
      <w:r w:rsidR="001852F7" w:rsidRPr="00C702D7">
        <w:rPr>
          <w:rFonts w:hint="eastAsia"/>
        </w:rPr>
        <w:t>进一步传导至同</w:t>
      </w:r>
      <w:r w:rsidR="00C56315" w:rsidRPr="00C702D7">
        <w:rPr>
          <w:rFonts w:hint="eastAsia"/>
        </w:rPr>
        <w:t>行业</w:t>
      </w:r>
      <w:r w:rsidR="00186DAD" w:rsidRPr="00C702D7">
        <w:rPr>
          <w:rFonts w:hint="eastAsia"/>
        </w:rPr>
        <w:t>及</w:t>
      </w:r>
      <w:r w:rsidR="008F53E1" w:rsidRPr="00C702D7">
        <w:rPr>
          <w:rFonts w:hint="eastAsia"/>
        </w:rPr>
        <w:t>同</w:t>
      </w:r>
      <w:r w:rsidR="00186DAD" w:rsidRPr="00C702D7">
        <w:rPr>
          <w:rFonts w:hint="eastAsia"/>
        </w:rPr>
        <w:t>地区的</w:t>
      </w:r>
      <w:r w:rsidR="001852F7" w:rsidRPr="00C702D7">
        <w:rPr>
          <w:rFonts w:hint="eastAsia"/>
        </w:rPr>
        <w:t>其他企业，最终促进</w:t>
      </w:r>
      <w:r w:rsidR="00C653BE" w:rsidRPr="00C702D7">
        <w:rPr>
          <w:rFonts w:hint="eastAsia"/>
        </w:rPr>
        <w:t>更多</w:t>
      </w:r>
      <w:r w:rsidR="00C56315" w:rsidRPr="00C702D7">
        <w:rPr>
          <w:rFonts w:hint="eastAsia"/>
        </w:rPr>
        <w:t>企业</w:t>
      </w:r>
      <w:r w:rsidR="001852F7" w:rsidRPr="00C702D7">
        <w:rPr>
          <w:rFonts w:hint="eastAsia"/>
        </w:rPr>
        <w:t>减少碳排放。</w:t>
      </w:r>
    </w:p>
    <w:p w14:paraId="505531BB" w14:textId="77777777" w:rsidR="001852F7" w:rsidRPr="00C702D7" w:rsidRDefault="001852F7" w:rsidP="001852F7">
      <w:pPr>
        <w:spacing w:line="400" w:lineRule="exact"/>
        <w:ind w:firstLine="420"/>
      </w:pPr>
      <w:r w:rsidRPr="00C702D7">
        <w:rPr>
          <w:rFonts w:hint="eastAsia"/>
        </w:rPr>
        <w:t>本研究</w:t>
      </w:r>
      <w:r w:rsidR="00A87A56" w:rsidRPr="00C702D7">
        <w:rPr>
          <w:rFonts w:hint="eastAsia"/>
        </w:rPr>
        <w:t>基于机构投资者实地调研数据，</w:t>
      </w:r>
      <w:r w:rsidRPr="00C702D7">
        <w:rPr>
          <w:rFonts w:hint="eastAsia"/>
        </w:rPr>
        <w:t>利用文本分析法构建绿色关注指标，考察机构投资者绿色关注的</w:t>
      </w:r>
      <w:r w:rsidR="00887877" w:rsidRPr="00C702D7">
        <w:rPr>
          <w:rFonts w:hint="eastAsia"/>
        </w:rPr>
        <w:t>减排效应</w:t>
      </w:r>
      <w:r w:rsidRPr="00C702D7">
        <w:rPr>
          <w:rFonts w:hint="eastAsia"/>
        </w:rPr>
        <w:t>及传导机制。本文</w:t>
      </w:r>
      <w:r w:rsidR="00A87A56" w:rsidRPr="00C702D7">
        <w:rPr>
          <w:rFonts w:hint="eastAsia"/>
        </w:rPr>
        <w:t>的研究发现，机构投资者绿色关注具有显著的减排作用，可以抑制碳排放强度和碳排放新增比例。</w:t>
      </w:r>
      <w:r w:rsidR="005F3A1B" w:rsidRPr="00C702D7">
        <w:rPr>
          <w:rFonts w:hint="eastAsia"/>
        </w:rPr>
        <w:t>我们</w:t>
      </w:r>
      <w:r w:rsidR="00B272C7" w:rsidRPr="00C702D7">
        <w:rPr>
          <w:rFonts w:hint="eastAsia"/>
        </w:rPr>
        <w:t>基于</w:t>
      </w:r>
      <w:r w:rsidR="00A87A56" w:rsidRPr="00C702D7">
        <w:rPr>
          <w:rFonts w:hint="eastAsia"/>
        </w:rPr>
        <w:t>行业</w:t>
      </w:r>
      <w:r w:rsidRPr="00C702D7">
        <w:rPr>
          <w:rFonts w:hint="eastAsia"/>
        </w:rPr>
        <w:t>和地区层面两个维度检验机构投资者绿色关注对于碳排放的抑制效应，</w:t>
      </w:r>
      <w:r w:rsidR="007C2BBE" w:rsidRPr="00C702D7">
        <w:rPr>
          <w:rFonts w:hint="eastAsia"/>
        </w:rPr>
        <w:t>证实了机构投资者绿色关注存在</w:t>
      </w:r>
      <w:r w:rsidR="009504C1" w:rsidRPr="00C702D7">
        <w:rPr>
          <w:rFonts w:hint="eastAsia"/>
        </w:rPr>
        <w:t>行业</w:t>
      </w:r>
      <w:r w:rsidR="000D15DF" w:rsidRPr="00C702D7">
        <w:rPr>
          <w:rFonts w:hint="eastAsia"/>
        </w:rPr>
        <w:t>内企业</w:t>
      </w:r>
      <w:r w:rsidR="009504C1" w:rsidRPr="00C702D7">
        <w:rPr>
          <w:rFonts w:hint="eastAsia"/>
        </w:rPr>
        <w:t>同群效应和</w:t>
      </w:r>
      <w:r w:rsidR="000D15DF" w:rsidRPr="00C702D7">
        <w:rPr>
          <w:rFonts w:hint="eastAsia"/>
        </w:rPr>
        <w:t>区域供应链相关企业协同</w:t>
      </w:r>
      <w:r w:rsidR="007C2BBE" w:rsidRPr="00C702D7">
        <w:rPr>
          <w:rFonts w:hint="eastAsia"/>
        </w:rPr>
        <w:t>效应</w:t>
      </w:r>
      <w:r w:rsidRPr="00C702D7">
        <w:rPr>
          <w:rFonts w:hint="eastAsia"/>
        </w:rPr>
        <w:t>，</w:t>
      </w:r>
      <w:r w:rsidR="007C2BBE" w:rsidRPr="00C702D7">
        <w:rPr>
          <w:rFonts w:hint="eastAsia"/>
        </w:rPr>
        <w:t>阐释了</w:t>
      </w:r>
      <w:r w:rsidR="00EF4FD2" w:rsidRPr="00C702D7">
        <w:rPr>
          <w:rFonts w:hint="eastAsia"/>
        </w:rPr>
        <w:t>碳</w:t>
      </w:r>
      <w:r w:rsidRPr="00C702D7">
        <w:rPr>
          <w:rFonts w:hint="eastAsia"/>
        </w:rPr>
        <w:t>减</w:t>
      </w:r>
      <w:r w:rsidR="00EF4FD2" w:rsidRPr="00C702D7">
        <w:rPr>
          <w:rFonts w:hint="eastAsia"/>
        </w:rPr>
        <w:t>排</w:t>
      </w:r>
      <w:r w:rsidRPr="00C702D7">
        <w:rPr>
          <w:rFonts w:hint="eastAsia"/>
        </w:rPr>
        <w:t>溢出效应的绿色治理机理。</w:t>
      </w:r>
      <w:r w:rsidR="00B272C7" w:rsidRPr="00C702D7">
        <w:rPr>
          <w:rFonts w:hint="eastAsia"/>
        </w:rPr>
        <w:t>针对</w:t>
      </w:r>
      <w:r w:rsidRPr="00C702D7">
        <w:rPr>
          <w:rFonts w:hint="eastAsia"/>
        </w:rPr>
        <w:t>地区间碳转移的现象，本研究进一步区分净碳流出和净碳流入地区，</w:t>
      </w:r>
      <w:r w:rsidR="009B5614" w:rsidRPr="00C702D7">
        <w:rPr>
          <w:rFonts w:hint="eastAsia"/>
        </w:rPr>
        <w:t>检验发现机构</w:t>
      </w:r>
      <w:r w:rsidRPr="00C702D7">
        <w:rPr>
          <w:rFonts w:hint="eastAsia"/>
        </w:rPr>
        <w:t>投资者绿色关注</w:t>
      </w:r>
      <w:r w:rsidR="00F84545" w:rsidRPr="00C702D7">
        <w:rPr>
          <w:rFonts w:hint="eastAsia"/>
        </w:rPr>
        <w:t>存在</w:t>
      </w:r>
      <w:r w:rsidR="009B5614" w:rsidRPr="00C702D7">
        <w:rPr>
          <w:rFonts w:hint="eastAsia"/>
        </w:rPr>
        <w:t>抑制</w:t>
      </w:r>
      <w:r w:rsidRPr="00C702D7">
        <w:rPr>
          <w:rFonts w:hint="eastAsia"/>
        </w:rPr>
        <w:t>“污染天堂”效应的监督作用</w:t>
      </w:r>
      <w:r w:rsidR="00A87A56" w:rsidRPr="00C702D7">
        <w:rPr>
          <w:rFonts w:hint="eastAsia"/>
        </w:rPr>
        <w:t>。</w:t>
      </w:r>
      <w:r w:rsidR="00B272C7" w:rsidRPr="00C702D7">
        <w:rPr>
          <w:rFonts w:hint="eastAsia"/>
        </w:rPr>
        <w:t>结合</w:t>
      </w:r>
      <w:r w:rsidR="00A87A56" w:rsidRPr="00C702D7">
        <w:rPr>
          <w:rFonts w:hint="eastAsia"/>
        </w:rPr>
        <w:t>对</w:t>
      </w:r>
      <w:r w:rsidRPr="00C702D7">
        <w:rPr>
          <w:rFonts w:hint="eastAsia"/>
        </w:rPr>
        <w:t>低碳城市试点政策</w:t>
      </w:r>
      <w:r w:rsidR="00A87A56" w:rsidRPr="00C702D7">
        <w:rPr>
          <w:rFonts w:hint="eastAsia"/>
        </w:rPr>
        <w:t>评估</w:t>
      </w:r>
      <w:r w:rsidR="00A965AE" w:rsidRPr="00C702D7">
        <w:rPr>
          <w:rFonts w:hint="eastAsia"/>
        </w:rPr>
        <w:t>的自然实验说明</w:t>
      </w:r>
      <w:r w:rsidRPr="00C702D7">
        <w:rPr>
          <w:rFonts w:hint="eastAsia"/>
        </w:rPr>
        <w:t>，国家低碳政策与机构投资者绿色关注存在</w:t>
      </w:r>
      <w:r w:rsidR="005F3A1B" w:rsidRPr="00C702D7">
        <w:rPr>
          <w:rFonts w:hint="eastAsia"/>
        </w:rPr>
        <w:t>显著的绿色治理</w:t>
      </w:r>
      <w:r w:rsidRPr="00C702D7">
        <w:rPr>
          <w:rFonts w:hint="eastAsia"/>
        </w:rPr>
        <w:t>交互效应。</w:t>
      </w:r>
    </w:p>
    <w:p w14:paraId="6F61BC5B" w14:textId="77777777" w:rsidR="001852F7" w:rsidRPr="00C702D7" w:rsidRDefault="001852F7" w:rsidP="00A2468E">
      <w:pPr>
        <w:spacing w:line="400" w:lineRule="exact"/>
        <w:ind w:firstLine="420"/>
      </w:pPr>
      <w:r w:rsidRPr="00C702D7">
        <w:rPr>
          <w:rFonts w:hint="eastAsia"/>
        </w:rPr>
        <w:t>相较于现有文献，本文可能的贡献在于：第一，本研究</w:t>
      </w:r>
      <w:r w:rsidR="009F4256" w:rsidRPr="00C702D7">
        <w:rPr>
          <w:rFonts w:hint="eastAsia"/>
        </w:rPr>
        <w:t>聚焦</w:t>
      </w:r>
      <w:r w:rsidR="00CD2019" w:rsidRPr="00C702D7">
        <w:rPr>
          <w:rFonts w:hint="eastAsia"/>
        </w:rPr>
        <w:t>机构投资者绿色关注这一治理手段，</w:t>
      </w:r>
      <w:r w:rsidRPr="00C702D7">
        <w:rPr>
          <w:rFonts w:hint="eastAsia"/>
        </w:rPr>
        <w:t>通过</w:t>
      </w:r>
      <w:r w:rsidR="00223D1F" w:rsidRPr="00C702D7">
        <w:rPr>
          <w:rFonts w:hint="eastAsia"/>
        </w:rPr>
        <w:t>文本分析法测度</w:t>
      </w:r>
      <w:r w:rsidRPr="00C702D7">
        <w:rPr>
          <w:rFonts w:hint="eastAsia"/>
        </w:rPr>
        <w:t>机构投资者实地调研</w:t>
      </w:r>
      <w:r w:rsidR="00223D1F" w:rsidRPr="00C702D7">
        <w:rPr>
          <w:rFonts w:hint="eastAsia"/>
        </w:rPr>
        <w:t>中的</w:t>
      </w:r>
      <w:r w:rsidRPr="00C702D7">
        <w:rPr>
          <w:rFonts w:hint="eastAsia"/>
        </w:rPr>
        <w:t>绿色关注</w:t>
      </w:r>
      <w:r w:rsidR="00223D1F" w:rsidRPr="00C702D7">
        <w:rPr>
          <w:rFonts w:hint="eastAsia"/>
        </w:rPr>
        <w:t>程度</w:t>
      </w:r>
      <w:r w:rsidRPr="00C702D7">
        <w:rPr>
          <w:rFonts w:hint="eastAsia"/>
        </w:rPr>
        <w:t>，探讨机构投资者</w:t>
      </w:r>
      <w:r w:rsidR="00187642" w:rsidRPr="00C702D7">
        <w:rPr>
          <w:rFonts w:hint="eastAsia"/>
        </w:rPr>
        <w:t>影响碳排放的绿色治理效应形成机制</w:t>
      </w:r>
      <w:r w:rsidRPr="00C702D7">
        <w:rPr>
          <w:rFonts w:hint="eastAsia"/>
        </w:rPr>
        <w:t>，拓宽了机构投资者绿色治理</w:t>
      </w:r>
      <w:r w:rsidR="00F13BB6" w:rsidRPr="00C702D7">
        <w:rPr>
          <w:rFonts w:hint="eastAsia"/>
        </w:rPr>
        <w:t>领域</w:t>
      </w:r>
      <w:r w:rsidRPr="00C702D7">
        <w:rPr>
          <w:rFonts w:hint="eastAsia"/>
        </w:rPr>
        <w:t>的相关研究。第二，基于</w:t>
      </w:r>
      <w:r w:rsidR="00F21708" w:rsidRPr="00C702D7">
        <w:rPr>
          <w:rFonts w:hint="eastAsia"/>
        </w:rPr>
        <w:t>减排治理的</w:t>
      </w:r>
      <w:r w:rsidRPr="00C702D7">
        <w:rPr>
          <w:rFonts w:hint="eastAsia"/>
        </w:rPr>
        <w:t>溢出效应视角，本</w:t>
      </w:r>
      <w:r w:rsidR="001E585E" w:rsidRPr="00C702D7">
        <w:rPr>
          <w:rFonts w:hint="eastAsia"/>
        </w:rPr>
        <w:t>研究</w:t>
      </w:r>
      <w:r w:rsidRPr="00C702D7">
        <w:rPr>
          <w:rFonts w:hint="eastAsia"/>
        </w:rPr>
        <w:t>探讨了机构投资者绿色关注</w:t>
      </w:r>
      <w:r w:rsidR="00986F5E" w:rsidRPr="00C702D7">
        <w:rPr>
          <w:rFonts w:hint="eastAsia"/>
        </w:rPr>
        <w:t>影响</w:t>
      </w:r>
      <w:r w:rsidRPr="00C702D7">
        <w:rPr>
          <w:rFonts w:hint="eastAsia"/>
        </w:rPr>
        <w:t>企业</w:t>
      </w:r>
      <w:r w:rsidR="001E585E" w:rsidRPr="00C702D7">
        <w:rPr>
          <w:rFonts w:hint="eastAsia"/>
        </w:rPr>
        <w:t>所处行业和</w:t>
      </w:r>
      <w:r w:rsidRPr="00C702D7">
        <w:rPr>
          <w:rFonts w:hint="eastAsia"/>
        </w:rPr>
        <w:t>地区碳排放的溢出作用，</w:t>
      </w:r>
      <w:r w:rsidR="001E585E" w:rsidRPr="00C702D7">
        <w:rPr>
          <w:rFonts w:hint="eastAsia"/>
        </w:rPr>
        <w:t>发现机构投资者绿色关注存在</w:t>
      </w:r>
      <w:r w:rsidR="00A2468E" w:rsidRPr="00C702D7">
        <w:rPr>
          <w:rFonts w:hint="eastAsia"/>
        </w:rPr>
        <w:t>行业</w:t>
      </w:r>
      <w:r w:rsidRPr="00C702D7">
        <w:rPr>
          <w:rFonts w:hint="eastAsia"/>
        </w:rPr>
        <w:t>同群效应</w:t>
      </w:r>
      <w:r w:rsidR="00A2468E" w:rsidRPr="00C702D7">
        <w:rPr>
          <w:rFonts w:hint="eastAsia"/>
        </w:rPr>
        <w:t>和供应链协同</w:t>
      </w:r>
      <w:r w:rsidRPr="00C702D7">
        <w:rPr>
          <w:rFonts w:hint="eastAsia"/>
        </w:rPr>
        <w:t>两个传导机制，</w:t>
      </w:r>
      <w:r w:rsidR="001E585E" w:rsidRPr="00C702D7">
        <w:rPr>
          <w:rFonts w:hint="eastAsia"/>
        </w:rPr>
        <w:t>深化了</w:t>
      </w:r>
      <w:r w:rsidRPr="00C702D7">
        <w:rPr>
          <w:rFonts w:hint="eastAsia"/>
        </w:rPr>
        <w:t>企业碳排放治理的微观机制研究。第三，本文发现机构投资者绿色关注在净碳转出地区和低碳</w:t>
      </w:r>
      <w:r w:rsidR="00255A9B" w:rsidRPr="00C702D7">
        <w:rPr>
          <w:rFonts w:hint="eastAsia"/>
        </w:rPr>
        <w:t>城市</w:t>
      </w:r>
      <w:r w:rsidRPr="00C702D7">
        <w:rPr>
          <w:rFonts w:hint="eastAsia"/>
        </w:rPr>
        <w:t>试点地区发挥更显著的</w:t>
      </w:r>
      <w:r w:rsidR="00887877" w:rsidRPr="00C702D7">
        <w:rPr>
          <w:rFonts w:hint="eastAsia"/>
        </w:rPr>
        <w:t>减排效应</w:t>
      </w:r>
      <w:r w:rsidRPr="00C702D7">
        <w:rPr>
          <w:rFonts w:hint="eastAsia"/>
        </w:rPr>
        <w:t>，不仅为碳转移现象下的“污染天堂”效应提供了可能的治理路径，还</w:t>
      </w:r>
      <w:r w:rsidR="001E585E" w:rsidRPr="00C702D7">
        <w:rPr>
          <w:rFonts w:hint="eastAsia"/>
        </w:rPr>
        <w:t>为</w:t>
      </w:r>
      <w:r w:rsidRPr="00C702D7">
        <w:rPr>
          <w:rFonts w:hint="eastAsia"/>
        </w:rPr>
        <w:t>国家低碳试点的政策评价</w:t>
      </w:r>
      <w:r w:rsidR="001E585E" w:rsidRPr="00C702D7">
        <w:rPr>
          <w:rFonts w:hint="eastAsia"/>
        </w:rPr>
        <w:t>提供了经验证据</w:t>
      </w:r>
      <w:r w:rsidRPr="00C702D7">
        <w:rPr>
          <w:rFonts w:hint="eastAsia"/>
        </w:rPr>
        <w:t>，对于推进实现“双碳”目标具有一定的政策借鉴意义。</w:t>
      </w:r>
    </w:p>
    <w:bookmarkEnd w:id="1"/>
    <w:p w14:paraId="1383DEB4" w14:textId="77777777" w:rsidR="0093171C" w:rsidRPr="00C702D7" w:rsidRDefault="0093171C" w:rsidP="00776687">
      <w:pPr>
        <w:spacing w:beforeLines="50" w:before="156" w:afterLines="50" w:after="156" w:line="400" w:lineRule="exact"/>
        <w:ind w:firstLineChars="0" w:firstLine="0"/>
        <w:jc w:val="center"/>
        <w:outlineLvl w:val="0"/>
        <w:rPr>
          <w:rFonts w:ascii="黑体" w:eastAsia="黑体" w:hAnsi="黑体"/>
          <w:sz w:val="24"/>
          <w:szCs w:val="28"/>
        </w:rPr>
      </w:pPr>
      <w:r w:rsidRPr="00C702D7">
        <w:rPr>
          <w:rFonts w:ascii="黑体" w:eastAsia="黑体" w:hAnsi="黑体" w:hint="eastAsia"/>
          <w:sz w:val="24"/>
          <w:szCs w:val="28"/>
        </w:rPr>
        <w:t>二、文献综述</w:t>
      </w:r>
    </w:p>
    <w:p w14:paraId="45036BBE" w14:textId="77777777" w:rsidR="00200DA1" w:rsidRPr="00C702D7" w:rsidRDefault="00200DA1" w:rsidP="009F2FCC">
      <w:pPr>
        <w:spacing w:line="400" w:lineRule="exact"/>
        <w:ind w:firstLine="420"/>
        <w:outlineLvl w:val="0"/>
        <w:rPr>
          <w:rFonts w:cs="Times New Roman"/>
          <w:szCs w:val="21"/>
        </w:rPr>
      </w:pPr>
      <w:r w:rsidRPr="00C702D7">
        <w:rPr>
          <w:rFonts w:cs="Times New Roman" w:hint="eastAsia"/>
          <w:szCs w:val="21"/>
        </w:rPr>
        <w:t>（一）投资者绿色关注</w:t>
      </w:r>
      <w:r w:rsidR="000F41D1" w:rsidRPr="00C702D7">
        <w:rPr>
          <w:rFonts w:cs="Times New Roman" w:hint="eastAsia"/>
          <w:szCs w:val="21"/>
        </w:rPr>
        <w:t>相关研究</w:t>
      </w:r>
    </w:p>
    <w:p w14:paraId="2F493563" w14:textId="77777777" w:rsidR="004D20E9" w:rsidRPr="00C702D7" w:rsidRDefault="006858F1" w:rsidP="006C08A2">
      <w:pPr>
        <w:spacing w:line="400" w:lineRule="exact"/>
        <w:ind w:firstLine="420"/>
        <w:rPr>
          <w:rFonts w:cs="Times New Roman"/>
          <w:szCs w:val="21"/>
        </w:rPr>
      </w:pPr>
      <w:r w:rsidRPr="00C702D7">
        <w:rPr>
          <w:rFonts w:cs="Times New Roman" w:hint="eastAsia"/>
          <w:szCs w:val="21"/>
        </w:rPr>
        <w:t>自</w:t>
      </w:r>
      <w:r w:rsidRPr="00C702D7">
        <w:rPr>
          <w:rFonts w:cs="Times New Roman" w:hint="eastAsia"/>
          <w:szCs w:val="21"/>
        </w:rPr>
        <w:t>Merton</w:t>
      </w:r>
      <w:r w:rsidRPr="00C702D7">
        <w:rPr>
          <w:rFonts w:cs="Times New Roman" w:hint="eastAsia"/>
          <w:szCs w:val="21"/>
        </w:rPr>
        <w:t>（</w:t>
      </w:r>
      <w:r w:rsidRPr="00C702D7">
        <w:rPr>
          <w:rFonts w:cs="Times New Roman" w:hint="eastAsia"/>
          <w:szCs w:val="21"/>
        </w:rPr>
        <w:t>1</w:t>
      </w:r>
      <w:r w:rsidRPr="00C702D7">
        <w:rPr>
          <w:rFonts w:cs="Times New Roman"/>
          <w:szCs w:val="21"/>
        </w:rPr>
        <w:t>987</w:t>
      </w:r>
      <w:r w:rsidRPr="00C702D7">
        <w:rPr>
          <w:rFonts w:cs="Times New Roman" w:hint="eastAsia"/>
          <w:szCs w:val="21"/>
        </w:rPr>
        <w:t>）引入投资者认知概念，指出投资者关注可能影响资产价格，</w:t>
      </w:r>
      <w:r w:rsidR="005F3A1B" w:rsidRPr="00C702D7">
        <w:rPr>
          <w:rFonts w:cs="Times New Roman" w:hint="eastAsia"/>
          <w:szCs w:val="21"/>
        </w:rPr>
        <w:t>学者们</w:t>
      </w:r>
      <w:r w:rsidRPr="00C702D7">
        <w:rPr>
          <w:rFonts w:cs="Times New Roman" w:hint="eastAsia"/>
          <w:szCs w:val="21"/>
        </w:rPr>
        <w:t>围绕投资者</w:t>
      </w:r>
      <w:r w:rsidR="009E1AF4" w:rsidRPr="00C702D7">
        <w:rPr>
          <w:rFonts w:cs="Times New Roman" w:hint="eastAsia"/>
          <w:szCs w:val="21"/>
        </w:rPr>
        <w:t>对特定问题的关注做出了丰富探讨。随着环境问题日益突出，绿色低碳发展成为广泛共识，投资者对企业污染环境</w:t>
      </w:r>
      <w:r w:rsidR="005F3A1B" w:rsidRPr="00C702D7">
        <w:rPr>
          <w:rFonts w:cs="Times New Roman" w:hint="eastAsia"/>
          <w:szCs w:val="21"/>
        </w:rPr>
        <w:t>领域问题的</w:t>
      </w:r>
      <w:r w:rsidR="009E1AF4" w:rsidRPr="00C702D7">
        <w:rPr>
          <w:rFonts w:cs="Times New Roman" w:hint="eastAsia"/>
          <w:szCs w:val="21"/>
        </w:rPr>
        <w:t>关注成为该领域研究新焦点。现有研究主要从股票收益率变化角度</w:t>
      </w:r>
      <w:r w:rsidR="005100F0" w:rsidRPr="00C702D7">
        <w:rPr>
          <w:rFonts w:cs="Times New Roman" w:hint="eastAsia"/>
          <w:szCs w:val="21"/>
        </w:rPr>
        <w:t>，为</w:t>
      </w:r>
      <w:r w:rsidR="00AA54E5" w:rsidRPr="00C702D7">
        <w:rPr>
          <w:rFonts w:cs="Times New Roman" w:hint="eastAsia"/>
          <w:szCs w:val="21"/>
        </w:rPr>
        <w:t>资本</w:t>
      </w:r>
      <w:r w:rsidR="005100F0" w:rsidRPr="00C702D7">
        <w:rPr>
          <w:rFonts w:cs="Times New Roman" w:hint="eastAsia"/>
          <w:szCs w:val="21"/>
        </w:rPr>
        <w:t>市场的绿色关注</w:t>
      </w:r>
      <w:r w:rsidR="009E1AF4" w:rsidRPr="00C702D7">
        <w:rPr>
          <w:rFonts w:cs="Times New Roman" w:hint="eastAsia"/>
          <w:szCs w:val="21"/>
        </w:rPr>
        <w:t>提供了一定经验证据。例如，</w:t>
      </w:r>
      <w:proofErr w:type="spellStart"/>
      <w:r w:rsidR="00412E3A" w:rsidRPr="00C702D7">
        <w:rPr>
          <w:rFonts w:cs="Times New Roman" w:hint="eastAsia"/>
          <w:szCs w:val="21"/>
        </w:rPr>
        <w:t>Chia</w:t>
      </w:r>
      <w:r w:rsidR="00C364C8" w:rsidRPr="00C702D7">
        <w:rPr>
          <w:rFonts w:cs="Times New Roman" w:hint="eastAsia"/>
          <w:szCs w:val="21"/>
        </w:rPr>
        <w:t>etal</w:t>
      </w:r>
      <w:proofErr w:type="spellEnd"/>
      <w:r w:rsidR="00412E3A" w:rsidRPr="00C702D7">
        <w:rPr>
          <w:rFonts w:cs="Times New Roman" w:hint="eastAsia"/>
          <w:szCs w:val="21"/>
        </w:rPr>
        <w:lastRenderedPageBreak/>
        <w:t>（</w:t>
      </w:r>
      <w:r w:rsidR="00412E3A" w:rsidRPr="00C702D7">
        <w:rPr>
          <w:rFonts w:cs="Times New Roman" w:hint="eastAsia"/>
          <w:szCs w:val="21"/>
        </w:rPr>
        <w:t>2</w:t>
      </w:r>
      <w:r w:rsidR="00412E3A" w:rsidRPr="00C702D7">
        <w:rPr>
          <w:rFonts w:cs="Times New Roman"/>
          <w:szCs w:val="21"/>
        </w:rPr>
        <w:t>009</w:t>
      </w:r>
      <w:r w:rsidR="00412E3A" w:rsidRPr="00C702D7">
        <w:rPr>
          <w:rFonts w:cs="Times New Roman" w:hint="eastAsia"/>
          <w:szCs w:val="21"/>
        </w:rPr>
        <w:t>）、韩立岩等（</w:t>
      </w:r>
      <w:r w:rsidR="00412E3A" w:rsidRPr="00C702D7">
        <w:rPr>
          <w:rFonts w:cs="Times New Roman" w:hint="eastAsia"/>
          <w:szCs w:val="21"/>
        </w:rPr>
        <w:t>2</w:t>
      </w:r>
      <w:r w:rsidR="00412E3A" w:rsidRPr="00C702D7">
        <w:rPr>
          <w:rFonts w:cs="Times New Roman"/>
          <w:szCs w:val="21"/>
        </w:rPr>
        <w:t>017</w:t>
      </w:r>
      <w:r w:rsidR="00412E3A" w:rsidRPr="00C702D7">
        <w:rPr>
          <w:rFonts w:cs="Times New Roman" w:hint="eastAsia"/>
          <w:szCs w:val="21"/>
        </w:rPr>
        <w:t>）</w:t>
      </w:r>
      <w:r w:rsidR="008F53E1" w:rsidRPr="00C702D7">
        <w:rPr>
          <w:rFonts w:cs="Times New Roman" w:hint="eastAsia"/>
          <w:szCs w:val="21"/>
        </w:rPr>
        <w:t>研究</w:t>
      </w:r>
      <w:r w:rsidR="00412E3A" w:rsidRPr="00C702D7">
        <w:rPr>
          <w:rFonts w:cs="Times New Roman" w:hint="eastAsia"/>
          <w:szCs w:val="21"/>
        </w:rPr>
        <w:t>发现绿色概念股票具有传统风险因子难以解释的风险和收益率特征，说明投资者关注股票</w:t>
      </w:r>
      <w:r w:rsidR="00F95952" w:rsidRPr="00C702D7">
        <w:rPr>
          <w:rFonts w:cs="Times New Roman" w:hint="eastAsia"/>
          <w:szCs w:val="21"/>
        </w:rPr>
        <w:t>的绿色属性</w:t>
      </w:r>
      <w:r w:rsidR="00412E3A" w:rsidRPr="00C702D7">
        <w:rPr>
          <w:rFonts w:cs="Times New Roman" w:hint="eastAsia"/>
          <w:szCs w:val="21"/>
        </w:rPr>
        <w:t>，并以此为依据进行投资决策。</w:t>
      </w:r>
      <w:r w:rsidR="00F95952" w:rsidRPr="00C702D7">
        <w:rPr>
          <w:rFonts w:cs="Times New Roman" w:hint="eastAsia"/>
          <w:szCs w:val="21"/>
        </w:rPr>
        <w:t>结合事件研究来看，投资者通常对于企业环境违法信息具有显著负向反应（</w:t>
      </w:r>
      <w:r w:rsidR="00F95952" w:rsidRPr="00C702D7">
        <w:rPr>
          <w:rFonts w:cs="Times New Roman" w:hint="eastAsia"/>
          <w:szCs w:val="21"/>
        </w:rPr>
        <w:t>Capelle-</w:t>
      </w:r>
      <w:proofErr w:type="spellStart"/>
      <w:r w:rsidR="00F95952" w:rsidRPr="00C702D7">
        <w:rPr>
          <w:rFonts w:cs="Times New Roman" w:hint="eastAsia"/>
          <w:szCs w:val="21"/>
        </w:rPr>
        <w:t>Blancard</w:t>
      </w:r>
      <w:proofErr w:type="spellEnd"/>
      <w:r w:rsidR="00F95952" w:rsidRPr="00C702D7">
        <w:rPr>
          <w:rFonts w:cs="Times New Roman" w:hint="eastAsia"/>
          <w:szCs w:val="21"/>
        </w:rPr>
        <w:t xml:space="preserve"> </w:t>
      </w:r>
      <w:r w:rsidR="00C364C8" w:rsidRPr="00C702D7">
        <w:rPr>
          <w:rFonts w:cs="Times New Roman" w:hint="eastAsia"/>
          <w:szCs w:val="21"/>
        </w:rPr>
        <w:t>et al</w:t>
      </w:r>
      <w:r w:rsidR="00F95952" w:rsidRPr="00C702D7">
        <w:rPr>
          <w:rFonts w:cs="Times New Roman" w:hint="eastAsia"/>
          <w:szCs w:val="21"/>
        </w:rPr>
        <w:t>，</w:t>
      </w:r>
      <w:r w:rsidR="00F95952" w:rsidRPr="00C702D7">
        <w:rPr>
          <w:rFonts w:cs="Times New Roman" w:hint="eastAsia"/>
          <w:szCs w:val="21"/>
        </w:rPr>
        <w:t>2010</w:t>
      </w:r>
      <w:r w:rsidR="00F95952" w:rsidRPr="00C702D7">
        <w:rPr>
          <w:rFonts w:cs="Times New Roman" w:hint="eastAsia"/>
          <w:szCs w:val="21"/>
        </w:rPr>
        <w:t>），极端气候事件也会引起股票收益率和波动性的负面变化（</w:t>
      </w:r>
      <w:r w:rsidR="00F95952" w:rsidRPr="00C702D7">
        <w:rPr>
          <w:rFonts w:cs="Times New Roman"/>
          <w:szCs w:val="21"/>
        </w:rPr>
        <w:t xml:space="preserve">U‑Din </w:t>
      </w:r>
      <w:r w:rsidR="00C364C8" w:rsidRPr="00C702D7">
        <w:rPr>
          <w:rFonts w:cs="Times New Roman"/>
          <w:szCs w:val="21"/>
        </w:rPr>
        <w:t>et al</w:t>
      </w:r>
      <w:r w:rsidR="00F95952" w:rsidRPr="00C702D7">
        <w:rPr>
          <w:rFonts w:cs="Times New Roman" w:hint="eastAsia"/>
          <w:szCs w:val="21"/>
        </w:rPr>
        <w:t>，</w:t>
      </w:r>
      <w:r w:rsidR="00F95952" w:rsidRPr="00C702D7">
        <w:rPr>
          <w:rFonts w:cs="Times New Roman"/>
          <w:szCs w:val="21"/>
        </w:rPr>
        <w:t>2022</w:t>
      </w:r>
      <w:r w:rsidR="00F95952" w:rsidRPr="00C702D7">
        <w:rPr>
          <w:rFonts w:cs="Times New Roman" w:hint="eastAsia"/>
          <w:szCs w:val="21"/>
        </w:rPr>
        <w:t>）</w:t>
      </w:r>
      <w:r w:rsidR="00F95952" w:rsidRPr="00C702D7">
        <w:rPr>
          <w:rFonts w:hint="eastAsia"/>
        </w:rPr>
        <w:t>。</w:t>
      </w:r>
      <w:r w:rsidR="00F95952" w:rsidRPr="00C702D7">
        <w:rPr>
          <w:rFonts w:cs="Times New Roman" w:hint="eastAsia"/>
          <w:szCs w:val="21"/>
        </w:rPr>
        <w:t>投资者绿色关注的形成与公众环保意识</w:t>
      </w:r>
      <w:r w:rsidR="003D22FE" w:rsidRPr="00C702D7">
        <w:rPr>
          <w:rFonts w:cs="Times New Roman" w:hint="eastAsia"/>
          <w:szCs w:val="21"/>
        </w:rPr>
        <w:t>密切相关，公众对雾霾等环境问题关注度越高，则环保及污染治理类股票收益越高（王哲宇</w:t>
      </w:r>
      <w:r w:rsidR="00047416" w:rsidRPr="00C702D7">
        <w:rPr>
          <w:rFonts w:cs="Times New Roman" w:hint="eastAsia"/>
          <w:szCs w:val="21"/>
        </w:rPr>
        <w:t>、</w:t>
      </w:r>
      <w:r w:rsidR="003D22FE" w:rsidRPr="00C702D7">
        <w:rPr>
          <w:rFonts w:cs="Times New Roman" w:hint="eastAsia"/>
          <w:szCs w:val="21"/>
        </w:rPr>
        <w:t>赵静，</w:t>
      </w:r>
      <w:r w:rsidR="003D22FE" w:rsidRPr="00C702D7">
        <w:rPr>
          <w:rFonts w:cs="Times New Roman" w:hint="eastAsia"/>
          <w:szCs w:val="21"/>
        </w:rPr>
        <w:t>2</w:t>
      </w:r>
      <w:r w:rsidR="003D22FE" w:rsidRPr="00C702D7">
        <w:rPr>
          <w:rFonts w:cs="Times New Roman"/>
          <w:szCs w:val="21"/>
        </w:rPr>
        <w:t>018</w:t>
      </w:r>
      <w:r w:rsidR="003D22FE" w:rsidRPr="00C702D7">
        <w:rPr>
          <w:rFonts w:cs="Times New Roman" w:hint="eastAsia"/>
          <w:szCs w:val="21"/>
        </w:rPr>
        <w:t>）</w:t>
      </w:r>
      <w:r w:rsidR="00067A66" w:rsidRPr="00C702D7">
        <w:rPr>
          <w:rFonts w:cs="Times New Roman" w:hint="eastAsia"/>
          <w:szCs w:val="21"/>
        </w:rPr>
        <w:t>，交易量也更为活跃（杨涛</w:t>
      </w:r>
      <w:r w:rsidR="00047416" w:rsidRPr="00C702D7">
        <w:rPr>
          <w:rFonts w:cs="Times New Roman" w:hint="eastAsia"/>
          <w:szCs w:val="21"/>
        </w:rPr>
        <w:t>、</w:t>
      </w:r>
      <w:r w:rsidR="00067A66" w:rsidRPr="00C702D7">
        <w:rPr>
          <w:rFonts w:cs="Times New Roman" w:hint="eastAsia"/>
          <w:szCs w:val="21"/>
        </w:rPr>
        <w:t>郭萌萌，</w:t>
      </w:r>
      <w:r w:rsidR="00067A66" w:rsidRPr="00C702D7">
        <w:rPr>
          <w:rFonts w:cs="Times New Roman" w:hint="eastAsia"/>
          <w:szCs w:val="21"/>
        </w:rPr>
        <w:t>2019</w:t>
      </w:r>
      <w:r w:rsidR="00067A66" w:rsidRPr="00C702D7">
        <w:rPr>
          <w:rFonts w:cs="Times New Roman" w:hint="eastAsia"/>
          <w:szCs w:val="21"/>
        </w:rPr>
        <w:t>）</w:t>
      </w:r>
      <w:r w:rsidR="003D22FE" w:rsidRPr="00C702D7">
        <w:rPr>
          <w:rFonts w:cs="Times New Roman" w:hint="eastAsia"/>
          <w:szCs w:val="21"/>
        </w:rPr>
        <w:t>。</w:t>
      </w:r>
      <w:r w:rsidR="00F26645" w:rsidRPr="00C702D7">
        <w:rPr>
          <w:rFonts w:cs="Times New Roman" w:hint="eastAsia"/>
          <w:szCs w:val="21"/>
        </w:rPr>
        <w:t>此外，媒体对企业环境污染的负面报道也会引起投资者关注，影响投资者对企业经济价值与</w:t>
      </w:r>
      <w:r w:rsidR="00387477" w:rsidRPr="00C702D7">
        <w:rPr>
          <w:rFonts w:cs="Times New Roman" w:hint="eastAsia"/>
          <w:szCs w:val="21"/>
        </w:rPr>
        <w:t>环境</w:t>
      </w:r>
      <w:r w:rsidR="00F26645" w:rsidRPr="00C702D7">
        <w:rPr>
          <w:rFonts w:cs="Times New Roman" w:hint="eastAsia"/>
          <w:szCs w:val="21"/>
        </w:rPr>
        <w:t>价值</w:t>
      </w:r>
      <w:r w:rsidR="008F53E1" w:rsidRPr="00C702D7">
        <w:rPr>
          <w:rFonts w:cs="Times New Roman" w:hint="eastAsia"/>
          <w:szCs w:val="21"/>
        </w:rPr>
        <w:t>的</w:t>
      </w:r>
      <w:r w:rsidR="00F26645" w:rsidRPr="00C702D7">
        <w:rPr>
          <w:rFonts w:cs="Times New Roman" w:hint="eastAsia"/>
          <w:szCs w:val="21"/>
        </w:rPr>
        <w:t>预期</w:t>
      </w:r>
      <w:r w:rsidR="0088464D" w:rsidRPr="00C702D7">
        <w:rPr>
          <w:rFonts w:cs="Times New Roman" w:hint="eastAsia"/>
          <w:szCs w:val="21"/>
        </w:rPr>
        <w:t>（王云等，</w:t>
      </w:r>
      <w:r w:rsidR="0088464D" w:rsidRPr="00C702D7">
        <w:rPr>
          <w:rFonts w:cs="Times New Roman" w:hint="eastAsia"/>
          <w:szCs w:val="21"/>
        </w:rPr>
        <w:t>2</w:t>
      </w:r>
      <w:r w:rsidR="0088464D" w:rsidRPr="00C702D7">
        <w:rPr>
          <w:rFonts w:cs="Times New Roman"/>
          <w:szCs w:val="21"/>
        </w:rPr>
        <w:t>017</w:t>
      </w:r>
      <w:r w:rsidR="0088464D" w:rsidRPr="00C702D7">
        <w:rPr>
          <w:rFonts w:cs="Times New Roman" w:hint="eastAsia"/>
          <w:szCs w:val="21"/>
        </w:rPr>
        <w:t>；肖红军等，</w:t>
      </w:r>
      <w:r w:rsidR="0088464D" w:rsidRPr="00C702D7">
        <w:rPr>
          <w:rFonts w:cs="Times New Roman" w:hint="eastAsia"/>
          <w:szCs w:val="21"/>
        </w:rPr>
        <w:t>2</w:t>
      </w:r>
      <w:r w:rsidR="0088464D" w:rsidRPr="00C702D7">
        <w:rPr>
          <w:rFonts w:cs="Times New Roman"/>
          <w:szCs w:val="21"/>
        </w:rPr>
        <w:t>022</w:t>
      </w:r>
      <w:r w:rsidR="0088464D" w:rsidRPr="00C702D7">
        <w:rPr>
          <w:rFonts w:cs="Times New Roman" w:hint="eastAsia"/>
          <w:szCs w:val="21"/>
        </w:rPr>
        <w:t>）</w:t>
      </w:r>
      <w:r w:rsidR="00F26645" w:rsidRPr="00C702D7">
        <w:rPr>
          <w:rFonts w:cs="Times New Roman" w:hint="eastAsia"/>
          <w:szCs w:val="21"/>
        </w:rPr>
        <w:t>。</w:t>
      </w:r>
    </w:p>
    <w:p w14:paraId="2691D6E1" w14:textId="77777777" w:rsidR="00BD34B9" w:rsidRPr="00C702D7" w:rsidRDefault="00BD34B9" w:rsidP="00464684">
      <w:pPr>
        <w:spacing w:line="400" w:lineRule="exact"/>
        <w:ind w:firstLine="420"/>
        <w:rPr>
          <w:rFonts w:cs="Times New Roman"/>
          <w:szCs w:val="21"/>
        </w:rPr>
      </w:pPr>
      <w:bookmarkStart w:id="4" w:name="_Hlk146635125"/>
      <w:r w:rsidRPr="00C702D7">
        <w:rPr>
          <w:rFonts w:cs="Times New Roman" w:hint="eastAsia"/>
          <w:szCs w:val="21"/>
        </w:rPr>
        <w:t>与中小投资者相比，机构投资者</w:t>
      </w:r>
      <w:r w:rsidR="008F53E1" w:rsidRPr="00C702D7">
        <w:rPr>
          <w:rFonts w:cs="Times New Roman" w:hint="eastAsia"/>
          <w:szCs w:val="21"/>
        </w:rPr>
        <w:t>具</w:t>
      </w:r>
      <w:r w:rsidR="00AA54E5" w:rsidRPr="00C702D7">
        <w:rPr>
          <w:rFonts w:cs="Times New Roman" w:hint="eastAsia"/>
          <w:szCs w:val="21"/>
        </w:rPr>
        <w:t>备</w:t>
      </w:r>
      <w:r w:rsidRPr="00C702D7">
        <w:rPr>
          <w:rFonts w:cs="Times New Roman" w:hint="eastAsia"/>
          <w:szCs w:val="21"/>
        </w:rPr>
        <w:t>专业信息收集分析能力</w:t>
      </w:r>
      <w:r w:rsidR="008F53E1" w:rsidRPr="00C702D7">
        <w:rPr>
          <w:rFonts w:cs="Times New Roman" w:hint="eastAsia"/>
          <w:szCs w:val="21"/>
        </w:rPr>
        <w:t>，拥有</w:t>
      </w:r>
      <w:r w:rsidRPr="00C702D7">
        <w:rPr>
          <w:rFonts w:cs="Times New Roman" w:hint="eastAsia"/>
          <w:szCs w:val="21"/>
        </w:rPr>
        <w:t>大股东地位，</w:t>
      </w:r>
      <w:r w:rsidR="00B60B5B" w:rsidRPr="00C702D7">
        <w:rPr>
          <w:rFonts w:cs="Times New Roman" w:hint="eastAsia"/>
          <w:szCs w:val="21"/>
        </w:rPr>
        <w:t>有更强的能力和动机</w:t>
      </w:r>
      <w:r w:rsidRPr="00C702D7">
        <w:rPr>
          <w:rFonts w:cs="Times New Roman" w:hint="eastAsia"/>
          <w:szCs w:val="21"/>
        </w:rPr>
        <w:t>积极关注企业</w:t>
      </w:r>
      <w:r w:rsidR="00464684" w:rsidRPr="00C702D7">
        <w:rPr>
          <w:rFonts w:cs="Times New Roman" w:hint="eastAsia"/>
          <w:szCs w:val="21"/>
        </w:rPr>
        <w:t>经营活动及绩效，并通过介入影响企业经营决策，发挥更强的监督治理效应。</w:t>
      </w:r>
      <w:r w:rsidR="00977071" w:rsidRPr="00C702D7">
        <w:rPr>
          <w:rFonts w:cs="Times New Roman" w:hint="eastAsia"/>
          <w:szCs w:val="21"/>
        </w:rPr>
        <w:t>现有文献尚未直接</w:t>
      </w:r>
      <w:r w:rsidR="00464684" w:rsidRPr="00C702D7">
        <w:rPr>
          <w:rFonts w:cs="Times New Roman" w:hint="eastAsia"/>
          <w:szCs w:val="21"/>
        </w:rPr>
        <w:t>测度</w:t>
      </w:r>
      <w:r w:rsidR="00977071" w:rsidRPr="00C702D7">
        <w:rPr>
          <w:rFonts w:cs="Times New Roman" w:hint="eastAsia"/>
          <w:szCs w:val="21"/>
        </w:rPr>
        <w:t>机构投资者的绿色关注</w:t>
      </w:r>
      <w:r w:rsidR="00464684" w:rsidRPr="00C702D7">
        <w:rPr>
          <w:rFonts w:cs="Times New Roman" w:hint="eastAsia"/>
          <w:szCs w:val="21"/>
        </w:rPr>
        <w:t>，也未进一步分析验证其影响机制</w:t>
      </w:r>
      <w:r w:rsidR="00977071" w:rsidRPr="00C702D7">
        <w:rPr>
          <w:rFonts w:cs="Times New Roman" w:hint="eastAsia"/>
          <w:szCs w:val="21"/>
        </w:rPr>
        <w:t>，不过仍从其他角度为机构投资者对环境问题的</w:t>
      </w:r>
      <w:r w:rsidR="0091763C" w:rsidRPr="00C702D7">
        <w:rPr>
          <w:rFonts w:cs="Times New Roman" w:hint="eastAsia"/>
          <w:szCs w:val="21"/>
        </w:rPr>
        <w:t>关注</w:t>
      </w:r>
      <w:r w:rsidR="00977071" w:rsidRPr="00C702D7">
        <w:rPr>
          <w:rFonts w:cs="Times New Roman" w:hint="eastAsia"/>
          <w:szCs w:val="21"/>
        </w:rPr>
        <w:t>提供了一些证据。例如，</w:t>
      </w:r>
      <w:r w:rsidR="00464684" w:rsidRPr="00C702D7">
        <w:rPr>
          <w:rFonts w:cs="Times New Roman" w:hint="eastAsia"/>
          <w:szCs w:val="21"/>
        </w:rPr>
        <w:t>研究发现，</w:t>
      </w:r>
      <w:r w:rsidRPr="00C702D7">
        <w:rPr>
          <w:rFonts w:cs="Times New Roman" w:hint="eastAsia"/>
          <w:szCs w:val="21"/>
        </w:rPr>
        <w:t>机构投资者</w:t>
      </w:r>
      <w:r w:rsidR="00464684" w:rsidRPr="00C702D7">
        <w:rPr>
          <w:rFonts w:cs="Times New Roman" w:hint="eastAsia"/>
          <w:szCs w:val="21"/>
        </w:rPr>
        <w:t>比普通投资者</w:t>
      </w:r>
      <w:r w:rsidRPr="00C702D7">
        <w:rPr>
          <w:rFonts w:cs="Times New Roman" w:hint="eastAsia"/>
          <w:szCs w:val="21"/>
        </w:rPr>
        <w:t>更能识别企业绿色要素，关注企业环境及社会绩效的提升（黎文靖、路晓燕，</w:t>
      </w:r>
      <w:r w:rsidRPr="00C702D7">
        <w:rPr>
          <w:rFonts w:cs="Times New Roman" w:hint="eastAsia"/>
          <w:szCs w:val="21"/>
        </w:rPr>
        <w:t>2015</w:t>
      </w:r>
      <w:r w:rsidRPr="00C702D7">
        <w:rPr>
          <w:rFonts w:cs="Times New Roman" w:hint="eastAsia"/>
          <w:szCs w:val="21"/>
        </w:rPr>
        <w:t>；</w:t>
      </w:r>
      <w:r w:rsidRPr="00C702D7">
        <w:rPr>
          <w:rFonts w:cs="Times New Roman" w:hint="eastAsia"/>
          <w:szCs w:val="21"/>
        </w:rPr>
        <w:t xml:space="preserve">Reboredo </w:t>
      </w:r>
      <w:r w:rsidR="00C364C8" w:rsidRPr="00C702D7">
        <w:rPr>
          <w:rFonts w:cs="Times New Roman" w:hint="eastAsia"/>
          <w:szCs w:val="21"/>
        </w:rPr>
        <w:t>et al</w:t>
      </w:r>
      <w:r w:rsidRPr="00C702D7">
        <w:rPr>
          <w:rFonts w:cs="Times New Roman" w:hint="eastAsia"/>
          <w:szCs w:val="21"/>
        </w:rPr>
        <w:t>，</w:t>
      </w:r>
      <w:r w:rsidRPr="00C702D7">
        <w:rPr>
          <w:rFonts w:cs="Times New Roman" w:hint="eastAsia"/>
          <w:szCs w:val="21"/>
        </w:rPr>
        <w:t>2017</w:t>
      </w:r>
      <w:r w:rsidRPr="00C702D7">
        <w:rPr>
          <w:rFonts w:cs="Times New Roman" w:hint="eastAsia"/>
          <w:szCs w:val="21"/>
        </w:rPr>
        <w:t>），并将对环境效益和社会绩效的关注随跨国投资辐射至其他国家（</w:t>
      </w:r>
      <w:r w:rsidRPr="00C702D7">
        <w:rPr>
          <w:rFonts w:cs="Times New Roman" w:hint="eastAsia"/>
          <w:szCs w:val="21"/>
        </w:rPr>
        <w:t xml:space="preserve">Dyck </w:t>
      </w:r>
      <w:r w:rsidR="00C364C8" w:rsidRPr="00C702D7">
        <w:rPr>
          <w:rFonts w:cs="Times New Roman" w:hint="eastAsia"/>
          <w:szCs w:val="21"/>
        </w:rPr>
        <w:t>et al</w:t>
      </w:r>
      <w:r w:rsidRPr="00C702D7">
        <w:rPr>
          <w:rFonts w:cs="Times New Roman" w:hint="eastAsia"/>
          <w:szCs w:val="21"/>
        </w:rPr>
        <w:t>，</w:t>
      </w:r>
      <w:r w:rsidRPr="00C702D7">
        <w:rPr>
          <w:rFonts w:cs="Times New Roman" w:hint="eastAsia"/>
          <w:szCs w:val="21"/>
        </w:rPr>
        <w:t>2018</w:t>
      </w:r>
      <w:r w:rsidRPr="00C702D7">
        <w:rPr>
          <w:rFonts w:cs="Times New Roman" w:hint="eastAsia"/>
          <w:szCs w:val="21"/>
        </w:rPr>
        <w:t>）。</w:t>
      </w:r>
      <w:r w:rsidRPr="00C702D7">
        <w:rPr>
          <w:rFonts w:hint="eastAsia"/>
        </w:rPr>
        <w:t>鉴于高碳排放可能使企业面临因能源结构形成的经营风险、超标排放的合规风</w:t>
      </w:r>
      <w:r w:rsidRPr="00C702D7">
        <w:rPr>
          <w:rFonts w:cs="Times New Roman" w:hint="eastAsia"/>
          <w:szCs w:val="21"/>
        </w:rPr>
        <w:t>险和碳相关声誉风险（</w:t>
      </w:r>
      <w:r w:rsidRPr="00C702D7">
        <w:rPr>
          <w:rFonts w:cs="Times New Roman" w:hint="eastAsia"/>
          <w:szCs w:val="21"/>
        </w:rPr>
        <w:t>Labatt</w:t>
      </w:r>
      <w:r w:rsidR="0091763C" w:rsidRPr="00C702D7">
        <w:rPr>
          <w:rFonts w:cs="Times New Roman"/>
          <w:szCs w:val="21"/>
        </w:rPr>
        <w:t xml:space="preserve"> </w:t>
      </w:r>
      <w:r w:rsidRPr="00C702D7">
        <w:rPr>
          <w:rFonts w:cs="Times New Roman" w:hint="eastAsia"/>
          <w:szCs w:val="21"/>
        </w:rPr>
        <w:t>&amp;</w:t>
      </w:r>
      <w:r w:rsidR="0091763C" w:rsidRPr="00C702D7">
        <w:rPr>
          <w:rFonts w:cs="Times New Roman"/>
          <w:szCs w:val="21"/>
        </w:rPr>
        <w:t xml:space="preserve"> </w:t>
      </w:r>
      <w:r w:rsidRPr="00C702D7">
        <w:rPr>
          <w:rFonts w:cs="Times New Roman" w:hint="eastAsia"/>
          <w:szCs w:val="21"/>
        </w:rPr>
        <w:t>White</w:t>
      </w:r>
      <w:r w:rsidRPr="00C702D7">
        <w:rPr>
          <w:rFonts w:cs="Times New Roman" w:hint="eastAsia"/>
          <w:szCs w:val="21"/>
        </w:rPr>
        <w:t>，</w:t>
      </w:r>
      <w:r w:rsidRPr="00C702D7">
        <w:rPr>
          <w:rFonts w:cs="Times New Roman" w:hint="eastAsia"/>
          <w:szCs w:val="21"/>
        </w:rPr>
        <w:t>2</w:t>
      </w:r>
      <w:r w:rsidRPr="00C702D7">
        <w:rPr>
          <w:rFonts w:cs="Times New Roman"/>
          <w:szCs w:val="21"/>
        </w:rPr>
        <w:t>007</w:t>
      </w:r>
      <w:r w:rsidRPr="00C702D7">
        <w:rPr>
          <w:rFonts w:cs="Times New Roman" w:hint="eastAsia"/>
          <w:szCs w:val="21"/>
        </w:rPr>
        <w:t>），机构投资者还具有关注企业碳排放</w:t>
      </w:r>
      <w:r w:rsidR="000C189C" w:rsidRPr="00C702D7">
        <w:rPr>
          <w:rFonts w:cs="Times New Roman" w:hint="eastAsia"/>
          <w:szCs w:val="21"/>
        </w:rPr>
        <w:t>水平，</w:t>
      </w:r>
      <w:r w:rsidRPr="00C702D7">
        <w:rPr>
          <w:rFonts w:cs="Times New Roman" w:hint="eastAsia"/>
          <w:szCs w:val="21"/>
        </w:rPr>
        <w:t>规避</w:t>
      </w:r>
      <w:r w:rsidR="000C189C" w:rsidRPr="00C702D7">
        <w:rPr>
          <w:rFonts w:cs="Times New Roman" w:hint="eastAsia"/>
          <w:szCs w:val="21"/>
        </w:rPr>
        <w:t>企业</w:t>
      </w:r>
      <w:r w:rsidRPr="00C702D7">
        <w:rPr>
          <w:rFonts w:cs="Times New Roman" w:hint="eastAsia"/>
          <w:szCs w:val="21"/>
        </w:rPr>
        <w:t>转型风险的</w:t>
      </w:r>
      <w:r w:rsidR="00AA54E5" w:rsidRPr="00C702D7">
        <w:rPr>
          <w:rFonts w:cs="Times New Roman" w:hint="eastAsia"/>
          <w:szCs w:val="21"/>
        </w:rPr>
        <w:t>监督</w:t>
      </w:r>
      <w:r w:rsidRPr="00C702D7">
        <w:rPr>
          <w:rFonts w:cs="Times New Roman" w:hint="eastAsia"/>
          <w:szCs w:val="21"/>
        </w:rPr>
        <w:t>动机。此时，企业碳排放水平越高，机构投资者要求的风险补偿也越高（</w:t>
      </w:r>
      <w:r w:rsidRPr="00C702D7">
        <w:rPr>
          <w:rFonts w:cs="Times New Roman" w:hint="eastAsia"/>
          <w:szCs w:val="21"/>
        </w:rPr>
        <w:t>Bolton</w:t>
      </w:r>
      <w:r w:rsidR="0091763C" w:rsidRPr="00C702D7">
        <w:rPr>
          <w:rFonts w:cs="Times New Roman"/>
          <w:szCs w:val="21"/>
        </w:rPr>
        <w:t xml:space="preserve"> </w:t>
      </w:r>
      <w:r w:rsidRPr="00C702D7">
        <w:rPr>
          <w:rFonts w:cs="Times New Roman" w:hint="eastAsia"/>
          <w:szCs w:val="21"/>
        </w:rPr>
        <w:t>&amp;</w:t>
      </w:r>
      <w:r w:rsidR="0091763C" w:rsidRPr="00C702D7">
        <w:rPr>
          <w:rFonts w:cs="Times New Roman"/>
          <w:szCs w:val="21"/>
        </w:rPr>
        <w:t xml:space="preserve"> </w:t>
      </w:r>
      <w:proofErr w:type="spellStart"/>
      <w:r w:rsidRPr="00C702D7">
        <w:rPr>
          <w:rFonts w:cs="Times New Roman" w:hint="eastAsia"/>
          <w:szCs w:val="21"/>
        </w:rPr>
        <w:t>Kacperczyk</w:t>
      </w:r>
      <w:proofErr w:type="spellEnd"/>
      <w:r w:rsidRPr="00C702D7">
        <w:rPr>
          <w:rFonts w:cs="Times New Roman" w:hint="eastAsia"/>
          <w:szCs w:val="21"/>
        </w:rPr>
        <w:t>，</w:t>
      </w:r>
      <w:r w:rsidRPr="00C702D7">
        <w:rPr>
          <w:rFonts w:cs="Times New Roman" w:hint="eastAsia"/>
          <w:szCs w:val="21"/>
        </w:rPr>
        <w:t>2021</w:t>
      </w:r>
      <w:r w:rsidRPr="00C702D7">
        <w:rPr>
          <w:rFonts w:cs="Times New Roman" w:hint="eastAsia"/>
          <w:szCs w:val="21"/>
        </w:rPr>
        <w:t>）。</w:t>
      </w:r>
    </w:p>
    <w:bookmarkEnd w:id="4"/>
    <w:p w14:paraId="43ED4D41" w14:textId="77777777" w:rsidR="0088464D" w:rsidRPr="00C702D7" w:rsidRDefault="0088464D" w:rsidP="009F2FCC">
      <w:pPr>
        <w:spacing w:line="400" w:lineRule="exact"/>
        <w:ind w:firstLine="420"/>
        <w:outlineLvl w:val="0"/>
        <w:rPr>
          <w:rFonts w:cs="Times New Roman"/>
          <w:szCs w:val="21"/>
        </w:rPr>
      </w:pPr>
      <w:r w:rsidRPr="00C702D7">
        <w:rPr>
          <w:rFonts w:cs="Times New Roman" w:hint="eastAsia"/>
          <w:szCs w:val="21"/>
        </w:rPr>
        <w:t>（二）机构投资者</w:t>
      </w:r>
      <w:r w:rsidR="000F41D1" w:rsidRPr="00C702D7">
        <w:rPr>
          <w:rFonts w:cs="Times New Roman" w:hint="eastAsia"/>
          <w:szCs w:val="21"/>
        </w:rPr>
        <w:t>的</w:t>
      </w:r>
      <w:r w:rsidRPr="00C702D7">
        <w:rPr>
          <w:rFonts w:cs="Times New Roman" w:hint="eastAsia"/>
          <w:szCs w:val="21"/>
        </w:rPr>
        <w:t>绿色治理效应</w:t>
      </w:r>
      <w:r w:rsidR="000F41D1" w:rsidRPr="00C702D7">
        <w:rPr>
          <w:rFonts w:cs="Times New Roman" w:hint="eastAsia"/>
          <w:szCs w:val="21"/>
        </w:rPr>
        <w:t>研究</w:t>
      </w:r>
    </w:p>
    <w:p w14:paraId="01B99673" w14:textId="77777777" w:rsidR="00BD34B9" w:rsidRPr="00C702D7" w:rsidRDefault="00232108" w:rsidP="006C08A2">
      <w:pPr>
        <w:spacing w:line="400" w:lineRule="exact"/>
        <w:ind w:firstLine="420"/>
        <w:rPr>
          <w:rFonts w:cs="Times New Roman"/>
          <w:szCs w:val="21"/>
        </w:rPr>
      </w:pPr>
      <w:r w:rsidRPr="00C702D7">
        <w:rPr>
          <w:rFonts w:cs="Times New Roman" w:hint="eastAsia"/>
          <w:szCs w:val="21"/>
        </w:rPr>
        <w:t>机构投资者作为</w:t>
      </w:r>
      <w:r w:rsidR="00FB2742" w:rsidRPr="00C702D7">
        <w:rPr>
          <w:rFonts w:cs="Times New Roman" w:hint="eastAsia"/>
          <w:szCs w:val="21"/>
        </w:rPr>
        <w:t>企业</w:t>
      </w:r>
      <w:r w:rsidRPr="00C702D7">
        <w:rPr>
          <w:rFonts w:cs="Times New Roman" w:hint="eastAsia"/>
          <w:szCs w:val="21"/>
        </w:rPr>
        <w:t>治理监督主体，可以影响</w:t>
      </w:r>
      <w:r w:rsidR="00FB2742" w:rsidRPr="00C702D7">
        <w:rPr>
          <w:rFonts w:cs="Times New Roman" w:hint="eastAsia"/>
          <w:szCs w:val="21"/>
        </w:rPr>
        <w:t>企业</w:t>
      </w:r>
      <w:r w:rsidR="00067A66" w:rsidRPr="00C702D7">
        <w:rPr>
          <w:rFonts w:cs="Times New Roman" w:hint="eastAsia"/>
          <w:szCs w:val="21"/>
        </w:rPr>
        <w:t>绿色</w:t>
      </w:r>
      <w:r w:rsidR="00FE2CFF" w:rsidRPr="00C702D7">
        <w:rPr>
          <w:rFonts w:cs="Times New Roman" w:hint="eastAsia"/>
          <w:szCs w:val="21"/>
        </w:rPr>
        <w:t>活动，发挥绿色治理效用</w:t>
      </w:r>
      <w:r w:rsidR="00067A66" w:rsidRPr="00C702D7">
        <w:rPr>
          <w:rFonts w:cs="Times New Roman" w:hint="eastAsia"/>
          <w:szCs w:val="21"/>
        </w:rPr>
        <w:t>。</w:t>
      </w:r>
      <w:r w:rsidRPr="00C702D7">
        <w:rPr>
          <w:rFonts w:cs="Times New Roman" w:hint="eastAsia"/>
          <w:szCs w:val="21"/>
        </w:rPr>
        <w:t>早期关于机构投资者绿色治理</w:t>
      </w:r>
      <w:r w:rsidR="00067A66" w:rsidRPr="00C702D7">
        <w:rPr>
          <w:rFonts w:cs="Times New Roman" w:hint="eastAsia"/>
          <w:szCs w:val="21"/>
        </w:rPr>
        <w:t>效应</w:t>
      </w:r>
      <w:r w:rsidRPr="00C702D7">
        <w:rPr>
          <w:rFonts w:cs="Times New Roman" w:hint="eastAsia"/>
          <w:szCs w:val="21"/>
        </w:rPr>
        <w:t>的研究多聚焦</w:t>
      </w:r>
      <w:r w:rsidR="00FE2CFF" w:rsidRPr="00C702D7">
        <w:rPr>
          <w:rFonts w:cs="Times New Roman" w:hint="eastAsia"/>
          <w:szCs w:val="21"/>
        </w:rPr>
        <w:t>于</w:t>
      </w:r>
      <w:r w:rsidRPr="00C702D7">
        <w:rPr>
          <w:rFonts w:cs="Times New Roman" w:hint="eastAsia"/>
          <w:szCs w:val="21"/>
        </w:rPr>
        <w:t>企业社会责任活动，</w:t>
      </w:r>
      <w:r w:rsidR="00060016" w:rsidRPr="00C702D7">
        <w:rPr>
          <w:rFonts w:cs="Times New Roman" w:hint="eastAsia"/>
          <w:szCs w:val="21"/>
        </w:rPr>
        <w:t>认为机构投资者</w:t>
      </w:r>
      <w:r w:rsidR="00D958F5" w:rsidRPr="00C702D7">
        <w:rPr>
          <w:rFonts w:cs="Times New Roman" w:hint="eastAsia"/>
          <w:szCs w:val="21"/>
        </w:rPr>
        <w:t>为</w:t>
      </w:r>
      <w:r w:rsidR="00060016" w:rsidRPr="00C702D7">
        <w:rPr>
          <w:rFonts w:cs="Times New Roman" w:hint="eastAsia"/>
          <w:szCs w:val="21"/>
        </w:rPr>
        <w:t>实现社会目标和</w:t>
      </w:r>
      <w:r w:rsidR="00D958F5" w:rsidRPr="00C702D7">
        <w:rPr>
          <w:rFonts w:cs="Times New Roman" w:hint="eastAsia"/>
          <w:szCs w:val="21"/>
        </w:rPr>
        <w:t>避免环境问题导致财富受损</w:t>
      </w:r>
      <w:r w:rsidR="00060016" w:rsidRPr="00C702D7">
        <w:rPr>
          <w:rFonts w:cs="Times New Roman" w:hint="eastAsia"/>
          <w:szCs w:val="21"/>
        </w:rPr>
        <w:t>，</w:t>
      </w:r>
      <w:r w:rsidR="00D958F5" w:rsidRPr="00C702D7">
        <w:rPr>
          <w:rFonts w:cs="Times New Roman" w:hint="eastAsia"/>
          <w:szCs w:val="21"/>
        </w:rPr>
        <w:t>会积极监督企业实施可持续发展、履行社会责任（</w:t>
      </w:r>
      <w:r w:rsidR="00D958F5" w:rsidRPr="00C702D7">
        <w:rPr>
          <w:rFonts w:cs="Times New Roman"/>
          <w:szCs w:val="21"/>
        </w:rPr>
        <w:t>Lewis</w:t>
      </w:r>
      <w:r w:rsidR="0091763C" w:rsidRPr="00C702D7">
        <w:rPr>
          <w:rFonts w:cs="Times New Roman"/>
          <w:szCs w:val="21"/>
        </w:rPr>
        <w:t xml:space="preserve"> </w:t>
      </w:r>
      <w:r w:rsidR="00047416" w:rsidRPr="00C702D7">
        <w:rPr>
          <w:rFonts w:cs="Times New Roman" w:hint="eastAsia"/>
          <w:szCs w:val="21"/>
        </w:rPr>
        <w:t>&amp;</w:t>
      </w:r>
      <w:r w:rsidR="0091763C" w:rsidRPr="00C702D7">
        <w:rPr>
          <w:rFonts w:cs="Times New Roman"/>
          <w:szCs w:val="21"/>
        </w:rPr>
        <w:t xml:space="preserve"> </w:t>
      </w:r>
      <w:r w:rsidR="00D958F5" w:rsidRPr="00C702D7">
        <w:rPr>
          <w:rFonts w:cs="Times New Roman"/>
          <w:szCs w:val="21"/>
        </w:rPr>
        <w:t>Mackenzie</w:t>
      </w:r>
      <w:r w:rsidR="00D958F5" w:rsidRPr="00C702D7">
        <w:rPr>
          <w:rFonts w:cs="Times New Roman" w:hint="eastAsia"/>
          <w:szCs w:val="21"/>
        </w:rPr>
        <w:t>，</w:t>
      </w:r>
      <w:r w:rsidR="00D958F5" w:rsidRPr="00C702D7">
        <w:rPr>
          <w:rFonts w:cs="Times New Roman"/>
          <w:szCs w:val="21"/>
        </w:rPr>
        <w:t>2000</w:t>
      </w:r>
      <w:r w:rsidR="00D958F5" w:rsidRPr="00C702D7">
        <w:rPr>
          <w:rFonts w:cs="Times New Roman" w:hint="eastAsia"/>
          <w:szCs w:val="21"/>
        </w:rPr>
        <w:t>），并验证了机构投资者持股对企业社会责任活动和相关信息披露的正向作用（</w:t>
      </w:r>
      <w:r w:rsidR="00D958F5" w:rsidRPr="00C702D7">
        <w:rPr>
          <w:rFonts w:cs="Times New Roman" w:hint="eastAsia"/>
          <w:szCs w:val="21"/>
        </w:rPr>
        <w:t xml:space="preserve">Cox </w:t>
      </w:r>
      <w:r w:rsidR="00C364C8" w:rsidRPr="00C702D7">
        <w:rPr>
          <w:rFonts w:cs="Times New Roman" w:hint="eastAsia"/>
          <w:szCs w:val="21"/>
        </w:rPr>
        <w:t>et al</w:t>
      </w:r>
      <w:r w:rsidR="00D958F5" w:rsidRPr="00C702D7">
        <w:rPr>
          <w:rFonts w:cs="Times New Roman" w:hint="eastAsia"/>
          <w:szCs w:val="21"/>
        </w:rPr>
        <w:t>，</w:t>
      </w:r>
      <w:r w:rsidR="00D958F5" w:rsidRPr="00C702D7">
        <w:rPr>
          <w:rFonts w:cs="Times New Roman" w:hint="eastAsia"/>
          <w:szCs w:val="21"/>
        </w:rPr>
        <w:t>2004</w:t>
      </w:r>
      <w:r w:rsidR="00D958F5" w:rsidRPr="00C702D7">
        <w:rPr>
          <w:rFonts w:cs="Times New Roman" w:hint="eastAsia"/>
          <w:szCs w:val="21"/>
        </w:rPr>
        <w:t>；</w:t>
      </w:r>
      <w:r w:rsidR="00D958F5" w:rsidRPr="00C702D7">
        <w:rPr>
          <w:rFonts w:cs="Times New Roman" w:hint="eastAsia"/>
          <w:szCs w:val="21"/>
        </w:rPr>
        <w:t>Cox</w:t>
      </w:r>
      <w:r w:rsidR="0091763C" w:rsidRPr="00C702D7">
        <w:rPr>
          <w:rFonts w:cs="Times New Roman"/>
          <w:szCs w:val="21"/>
        </w:rPr>
        <w:t xml:space="preserve"> </w:t>
      </w:r>
      <w:r w:rsidR="00047416" w:rsidRPr="00C702D7">
        <w:rPr>
          <w:rFonts w:cs="Times New Roman" w:hint="eastAsia"/>
          <w:szCs w:val="21"/>
        </w:rPr>
        <w:t>&amp;</w:t>
      </w:r>
      <w:r w:rsidR="0091763C" w:rsidRPr="00C702D7">
        <w:rPr>
          <w:rFonts w:cs="Times New Roman"/>
          <w:szCs w:val="21"/>
        </w:rPr>
        <w:t xml:space="preserve"> </w:t>
      </w:r>
      <w:r w:rsidR="00D958F5" w:rsidRPr="00C702D7">
        <w:rPr>
          <w:rFonts w:cs="Times New Roman" w:hint="eastAsia"/>
          <w:szCs w:val="21"/>
        </w:rPr>
        <w:t>Wicks</w:t>
      </w:r>
      <w:r w:rsidR="00D958F5" w:rsidRPr="00C702D7">
        <w:rPr>
          <w:rFonts w:cs="Times New Roman" w:hint="eastAsia"/>
          <w:szCs w:val="21"/>
        </w:rPr>
        <w:t>，</w:t>
      </w:r>
      <w:r w:rsidR="00D958F5" w:rsidRPr="00C702D7">
        <w:rPr>
          <w:rFonts w:cs="Times New Roman" w:hint="eastAsia"/>
          <w:szCs w:val="21"/>
        </w:rPr>
        <w:t>2011</w:t>
      </w:r>
      <w:r w:rsidR="00D958F5" w:rsidRPr="00C702D7">
        <w:rPr>
          <w:rFonts w:cs="Times New Roman" w:hint="eastAsia"/>
          <w:szCs w:val="21"/>
        </w:rPr>
        <w:t>）。其中</w:t>
      </w:r>
      <w:r w:rsidR="00FE2CFF" w:rsidRPr="00C702D7">
        <w:rPr>
          <w:rFonts w:cs="Times New Roman" w:hint="eastAsia"/>
          <w:szCs w:val="21"/>
        </w:rPr>
        <w:t>，</w:t>
      </w:r>
      <w:r w:rsidRPr="00C702D7">
        <w:rPr>
          <w:rFonts w:cs="Times New Roman" w:hint="eastAsia"/>
          <w:szCs w:val="21"/>
        </w:rPr>
        <w:t>长期持股的积极投资者（</w:t>
      </w:r>
      <w:r w:rsidRPr="00C702D7">
        <w:rPr>
          <w:rFonts w:cs="Times New Roman" w:hint="eastAsia"/>
          <w:szCs w:val="21"/>
        </w:rPr>
        <w:t xml:space="preserve">Kim </w:t>
      </w:r>
      <w:r w:rsidR="00C364C8" w:rsidRPr="00C702D7">
        <w:rPr>
          <w:rFonts w:cs="Times New Roman" w:hint="eastAsia"/>
          <w:szCs w:val="21"/>
        </w:rPr>
        <w:t>et al</w:t>
      </w:r>
      <w:r w:rsidRPr="00C702D7">
        <w:rPr>
          <w:rFonts w:cs="Times New Roman" w:hint="eastAsia"/>
          <w:szCs w:val="21"/>
        </w:rPr>
        <w:t>，</w:t>
      </w:r>
      <w:r w:rsidRPr="00C702D7">
        <w:rPr>
          <w:rFonts w:cs="Times New Roman" w:hint="eastAsia"/>
          <w:szCs w:val="21"/>
        </w:rPr>
        <w:t>2019</w:t>
      </w:r>
      <w:r w:rsidRPr="00C702D7">
        <w:rPr>
          <w:rFonts w:cs="Times New Roman" w:hint="eastAsia"/>
          <w:szCs w:val="21"/>
        </w:rPr>
        <w:t>）、压力抵制型机构（王垒等，</w:t>
      </w:r>
      <w:r w:rsidRPr="00C702D7">
        <w:rPr>
          <w:rFonts w:cs="Times New Roman" w:hint="eastAsia"/>
          <w:szCs w:val="21"/>
        </w:rPr>
        <w:t>2019</w:t>
      </w:r>
      <w:r w:rsidRPr="00C702D7">
        <w:rPr>
          <w:rFonts w:cs="Times New Roman" w:hint="eastAsia"/>
          <w:szCs w:val="21"/>
        </w:rPr>
        <w:t>）更</w:t>
      </w:r>
      <w:r w:rsidR="00FE2CFF" w:rsidRPr="00C702D7">
        <w:rPr>
          <w:rFonts w:cs="Times New Roman" w:hint="eastAsia"/>
          <w:szCs w:val="21"/>
        </w:rPr>
        <w:t>能</w:t>
      </w:r>
      <w:r w:rsidRPr="00C702D7">
        <w:rPr>
          <w:rFonts w:cs="Times New Roman" w:hint="eastAsia"/>
          <w:szCs w:val="21"/>
        </w:rPr>
        <w:t>有效监督管理者，促使公司参与更多社会责任活动。</w:t>
      </w:r>
    </w:p>
    <w:p w14:paraId="47CD7977" w14:textId="77777777" w:rsidR="00BD34B9" w:rsidRPr="00C702D7" w:rsidRDefault="00C778C0" w:rsidP="009F0ED3">
      <w:pPr>
        <w:spacing w:line="400" w:lineRule="exact"/>
        <w:ind w:firstLine="420"/>
        <w:rPr>
          <w:rFonts w:cs="Times New Roman"/>
          <w:szCs w:val="21"/>
        </w:rPr>
      </w:pPr>
      <w:r w:rsidRPr="00C702D7">
        <w:rPr>
          <w:rFonts w:cs="Times New Roman" w:hint="eastAsia"/>
          <w:szCs w:val="21"/>
        </w:rPr>
        <w:t>近</w:t>
      </w:r>
      <w:r w:rsidR="00BD34B9" w:rsidRPr="00C702D7">
        <w:rPr>
          <w:rFonts w:cs="Times New Roman" w:hint="eastAsia"/>
          <w:szCs w:val="21"/>
        </w:rPr>
        <w:t>期</w:t>
      </w:r>
      <w:r w:rsidRPr="00C702D7">
        <w:rPr>
          <w:rFonts w:cs="Times New Roman" w:hint="eastAsia"/>
          <w:szCs w:val="21"/>
        </w:rPr>
        <w:t>的</w:t>
      </w:r>
      <w:r w:rsidR="00BD34B9" w:rsidRPr="00C702D7">
        <w:rPr>
          <w:rFonts w:cs="Times New Roman" w:hint="eastAsia"/>
          <w:szCs w:val="21"/>
        </w:rPr>
        <w:t>部分</w:t>
      </w:r>
      <w:r w:rsidRPr="00C702D7">
        <w:rPr>
          <w:rFonts w:cs="Times New Roman" w:hint="eastAsia"/>
          <w:szCs w:val="21"/>
        </w:rPr>
        <w:t>研究则支持了机构投资者在企业环境绩效、绿色创新等方面的积极效应（</w:t>
      </w:r>
      <w:r w:rsidRPr="00C702D7">
        <w:rPr>
          <w:rFonts w:cs="Times New Roman" w:hint="eastAsia"/>
          <w:szCs w:val="21"/>
        </w:rPr>
        <w:t>Hong</w:t>
      </w:r>
      <w:r w:rsidR="0091763C" w:rsidRPr="00C702D7">
        <w:rPr>
          <w:rFonts w:cs="Times New Roman"/>
          <w:szCs w:val="21"/>
        </w:rPr>
        <w:t xml:space="preserve"> </w:t>
      </w:r>
      <w:r w:rsidR="00047416" w:rsidRPr="00C702D7">
        <w:rPr>
          <w:rFonts w:cs="Times New Roman" w:hint="eastAsia"/>
          <w:szCs w:val="21"/>
        </w:rPr>
        <w:t>&amp;</w:t>
      </w:r>
      <w:r w:rsidR="0091763C" w:rsidRPr="00C702D7">
        <w:rPr>
          <w:rFonts w:cs="Times New Roman"/>
          <w:szCs w:val="21"/>
        </w:rPr>
        <w:t xml:space="preserve"> </w:t>
      </w:r>
      <w:proofErr w:type="spellStart"/>
      <w:r w:rsidRPr="00C702D7">
        <w:rPr>
          <w:rFonts w:cs="Times New Roman"/>
          <w:szCs w:val="21"/>
        </w:rPr>
        <w:t>Kostovetsky</w:t>
      </w:r>
      <w:proofErr w:type="spellEnd"/>
      <w:r w:rsidRPr="00C702D7">
        <w:rPr>
          <w:rFonts w:cs="Times New Roman" w:hint="eastAsia"/>
          <w:szCs w:val="21"/>
        </w:rPr>
        <w:t>，</w:t>
      </w:r>
      <w:r w:rsidRPr="00C702D7">
        <w:rPr>
          <w:rFonts w:cs="Times New Roman"/>
          <w:szCs w:val="21"/>
        </w:rPr>
        <w:t>2012</w:t>
      </w:r>
      <w:r w:rsidRPr="00C702D7">
        <w:rPr>
          <w:rFonts w:cs="Times New Roman" w:hint="eastAsia"/>
          <w:szCs w:val="21"/>
        </w:rPr>
        <w:t>；方先明</w:t>
      </w:r>
      <w:r w:rsidR="00047416" w:rsidRPr="00C702D7">
        <w:rPr>
          <w:rFonts w:cs="Times New Roman" w:hint="eastAsia"/>
          <w:szCs w:val="21"/>
        </w:rPr>
        <w:t>、</w:t>
      </w:r>
      <w:r w:rsidRPr="00C702D7">
        <w:rPr>
          <w:rFonts w:cs="Times New Roman" w:hint="eastAsia"/>
          <w:szCs w:val="21"/>
        </w:rPr>
        <w:t>那晋领，</w:t>
      </w:r>
      <w:r w:rsidRPr="00C702D7">
        <w:rPr>
          <w:rFonts w:cs="Times New Roman" w:hint="eastAsia"/>
          <w:szCs w:val="21"/>
        </w:rPr>
        <w:t>2</w:t>
      </w:r>
      <w:r w:rsidRPr="00C702D7">
        <w:rPr>
          <w:rFonts w:cs="Times New Roman"/>
          <w:szCs w:val="21"/>
        </w:rPr>
        <w:t>020</w:t>
      </w:r>
      <w:r w:rsidR="006D7534" w:rsidRPr="00C702D7">
        <w:rPr>
          <w:rFonts w:cs="Times New Roman" w:hint="eastAsia"/>
          <w:szCs w:val="21"/>
        </w:rPr>
        <w:t>），</w:t>
      </w:r>
      <w:r w:rsidRPr="00C702D7">
        <w:rPr>
          <w:rFonts w:cs="Times New Roman" w:hint="eastAsia"/>
          <w:szCs w:val="21"/>
        </w:rPr>
        <w:t>进一步探讨机构投资者绿色治理效应的作用机制。当机构投资者实地调研揭露企业环境信息时，能够吸引新闻媒体的关注和监管部门的重视，约束和改进企业行为（李培功</w:t>
      </w:r>
      <w:r w:rsidR="00047416" w:rsidRPr="00C702D7">
        <w:rPr>
          <w:rFonts w:cs="Times New Roman" w:hint="eastAsia"/>
          <w:szCs w:val="21"/>
        </w:rPr>
        <w:t>、</w:t>
      </w:r>
      <w:r w:rsidRPr="00C702D7">
        <w:rPr>
          <w:rFonts w:cs="Times New Roman" w:hint="eastAsia"/>
          <w:szCs w:val="21"/>
        </w:rPr>
        <w:t>沈艺峰，</w:t>
      </w:r>
      <w:r w:rsidRPr="00C702D7">
        <w:rPr>
          <w:rFonts w:cs="Times New Roman" w:hint="eastAsia"/>
          <w:szCs w:val="21"/>
        </w:rPr>
        <w:t>201</w:t>
      </w:r>
      <w:r w:rsidRPr="00C702D7">
        <w:rPr>
          <w:rFonts w:cs="Times New Roman"/>
          <w:szCs w:val="21"/>
        </w:rPr>
        <w:t>1</w:t>
      </w:r>
      <w:r w:rsidRPr="00C702D7">
        <w:rPr>
          <w:rFonts w:cs="Times New Roman" w:hint="eastAsia"/>
          <w:szCs w:val="21"/>
        </w:rPr>
        <w:t>；赵阳等，</w:t>
      </w:r>
      <w:r w:rsidRPr="00C702D7">
        <w:rPr>
          <w:rFonts w:cs="Times New Roman" w:hint="eastAsia"/>
          <w:szCs w:val="21"/>
        </w:rPr>
        <w:t>2019</w:t>
      </w:r>
      <w:r w:rsidRPr="00C702D7">
        <w:rPr>
          <w:rFonts w:cs="Times New Roman" w:hint="eastAsia"/>
          <w:szCs w:val="21"/>
        </w:rPr>
        <w:t>）。除信息机制外，</w:t>
      </w:r>
      <w:r w:rsidR="00A203E2" w:rsidRPr="00C702D7">
        <w:rPr>
          <w:rFonts w:cs="Times New Roman" w:hint="eastAsia"/>
          <w:szCs w:val="21"/>
        </w:rPr>
        <w:t>机构投资者尤其是绿色基金还会通过“用手投票”和“用脚投票”影响企业绿色经营决策，促使企业实施绿色行动，如增加绿色支出和提高绿色治理绩效（祝敏等，</w:t>
      </w:r>
      <w:r w:rsidR="00A203E2" w:rsidRPr="00C702D7">
        <w:rPr>
          <w:rFonts w:cs="Times New Roman" w:hint="eastAsia"/>
          <w:szCs w:val="21"/>
        </w:rPr>
        <w:t>2019</w:t>
      </w:r>
      <w:r w:rsidR="00A203E2" w:rsidRPr="00C702D7">
        <w:rPr>
          <w:rFonts w:cs="Times New Roman" w:hint="eastAsia"/>
          <w:szCs w:val="21"/>
        </w:rPr>
        <w:t>；赵阳等，</w:t>
      </w:r>
      <w:r w:rsidR="00A203E2" w:rsidRPr="00C702D7">
        <w:rPr>
          <w:rFonts w:cs="Times New Roman" w:hint="eastAsia"/>
          <w:szCs w:val="21"/>
        </w:rPr>
        <w:t>2019</w:t>
      </w:r>
      <w:r w:rsidR="00A203E2" w:rsidRPr="00C702D7">
        <w:rPr>
          <w:rFonts w:cs="Times New Roman" w:hint="eastAsia"/>
          <w:szCs w:val="21"/>
        </w:rPr>
        <w:t>；姜广省等，</w:t>
      </w:r>
      <w:r w:rsidR="00A203E2" w:rsidRPr="00C702D7">
        <w:rPr>
          <w:rFonts w:cs="Times New Roman" w:hint="eastAsia"/>
          <w:szCs w:val="21"/>
        </w:rPr>
        <w:t>2021</w:t>
      </w:r>
      <w:r w:rsidR="00A203E2" w:rsidRPr="00C702D7">
        <w:rPr>
          <w:rFonts w:cs="Times New Roman" w:hint="eastAsia"/>
          <w:szCs w:val="21"/>
        </w:rPr>
        <w:t>）。</w:t>
      </w:r>
      <w:r w:rsidR="00574020" w:rsidRPr="00C702D7">
        <w:rPr>
          <w:rFonts w:cs="Times New Roman" w:hint="eastAsia"/>
          <w:szCs w:val="21"/>
        </w:rPr>
        <w:t>之外，</w:t>
      </w:r>
      <w:r w:rsidR="00574020" w:rsidRPr="00C702D7">
        <w:rPr>
          <w:rFonts w:cs="Times New Roman" w:hint="eastAsia"/>
          <w:szCs w:val="21"/>
        </w:rPr>
        <w:t>Azar et al</w:t>
      </w:r>
      <w:r w:rsidR="00574020" w:rsidRPr="00C702D7">
        <w:rPr>
          <w:rFonts w:cs="Times New Roman" w:hint="eastAsia"/>
          <w:szCs w:val="21"/>
        </w:rPr>
        <w:t>（</w:t>
      </w:r>
      <w:r w:rsidR="00574020" w:rsidRPr="00C702D7">
        <w:rPr>
          <w:rFonts w:cs="Times New Roman" w:hint="eastAsia"/>
          <w:szCs w:val="21"/>
        </w:rPr>
        <w:t>2021</w:t>
      </w:r>
      <w:r w:rsidR="00574020" w:rsidRPr="00C702D7">
        <w:rPr>
          <w:rFonts w:cs="Times New Roman" w:hint="eastAsia"/>
          <w:szCs w:val="21"/>
        </w:rPr>
        <w:t>）基于投资企业公开承诺解决环境、社会和治理问题的自然实验，仅从构投资者持股角度验证减排效应在绿色承诺</w:t>
      </w:r>
      <w:r w:rsidR="00574020" w:rsidRPr="00C702D7">
        <w:rPr>
          <w:rFonts w:cs="Times New Roman" w:hint="eastAsia"/>
          <w:szCs w:val="21"/>
        </w:rPr>
        <w:lastRenderedPageBreak/>
        <w:t>发布后更加显著。</w:t>
      </w:r>
      <w:r w:rsidR="004F2F68" w:rsidRPr="00C702D7">
        <w:rPr>
          <w:rFonts w:cs="Times New Roman" w:hint="eastAsia"/>
          <w:szCs w:val="21"/>
        </w:rPr>
        <w:t>总体来看</w:t>
      </w:r>
      <w:r w:rsidR="008E604A" w:rsidRPr="00C702D7">
        <w:rPr>
          <w:rFonts w:cs="Times New Roman" w:hint="eastAsia"/>
          <w:szCs w:val="21"/>
        </w:rPr>
        <w:t>，现有研究已探讨了</w:t>
      </w:r>
      <w:r w:rsidR="00BD34B9" w:rsidRPr="00C702D7">
        <w:rPr>
          <w:rFonts w:cs="Times New Roman" w:hint="eastAsia"/>
          <w:szCs w:val="21"/>
        </w:rPr>
        <w:t>机构投资者持股及调研</w:t>
      </w:r>
      <w:r w:rsidR="0091763C" w:rsidRPr="00C702D7">
        <w:rPr>
          <w:rFonts w:cs="Times New Roman" w:hint="eastAsia"/>
          <w:szCs w:val="21"/>
        </w:rPr>
        <w:t>的</w:t>
      </w:r>
      <w:r w:rsidR="00BD34B9" w:rsidRPr="00C702D7">
        <w:rPr>
          <w:rFonts w:cs="Times New Roman" w:hint="eastAsia"/>
          <w:szCs w:val="21"/>
        </w:rPr>
        <w:t>企业社会责任承担、环境信息披露</w:t>
      </w:r>
      <w:r w:rsidR="00821956" w:rsidRPr="00C702D7">
        <w:rPr>
          <w:rFonts w:cs="Times New Roman" w:hint="eastAsia"/>
          <w:szCs w:val="21"/>
        </w:rPr>
        <w:t>和</w:t>
      </w:r>
      <w:r w:rsidR="00BD34B9" w:rsidRPr="00C702D7">
        <w:rPr>
          <w:rFonts w:cs="Times New Roman" w:hint="eastAsia"/>
          <w:szCs w:val="21"/>
        </w:rPr>
        <w:t>绿色支出等方面的绿色治理效应，</w:t>
      </w:r>
      <w:r w:rsidR="00464684" w:rsidRPr="00C702D7">
        <w:rPr>
          <w:rFonts w:cs="Times New Roman" w:hint="eastAsia"/>
          <w:szCs w:val="21"/>
        </w:rPr>
        <w:t>但机构投资者</w:t>
      </w:r>
      <w:r w:rsidR="008F53E1" w:rsidRPr="00C702D7">
        <w:rPr>
          <w:rFonts w:cs="Times New Roman" w:hint="eastAsia"/>
          <w:szCs w:val="21"/>
        </w:rPr>
        <w:t>如何</w:t>
      </w:r>
      <w:r w:rsidR="00464684" w:rsidRPr="00C702D7">
        <w:rPr>
          <w:rFonts w:cs="Times New Roman" w:hint="eastAsia"/>
          <w:szCs w:val="21"/>
        </w:rPr>
        <w:t>促进</w:t>
      </w:r>
      <w:r w:rsidR="008E604A" w:rsidRPr="00C702D7">
        <w:rPr>
          <w:rFonts w:cs="Times New Roman" w:hint="eastAsia"/>
          <w:szCs w:val="21"/>
        </w:rPr>
        <w:t>形成</w:t>
      </w:r>
      <w:r w:rsidR="00464684" w:rsidRPr="00C702D7">
        <w:rPr>
          <w:rFonts w:cs="Times New Roman" w:hint="eastAsia"/>
          <w:szCs w:val="21"/>
        </w:rPr>
        <w:t>绿色治理机制</w:t>
      </w:r>
      <w:r w:rsidR="00BD34B9" w:rsidRPr="00C702D7">
        <w:rPr>
          <w:rFonts w:cs="Times New Roman" w:hint="eastAsia"/>
          <w:szCs w:val="21"/>
        </w:rPr>
        <w:t>，以及</w:t>
      </w:r>
      <w:r w:rsidR="008E604A" w:rsidRPr="00C702D7">
        <w:rPr>
          <w:rFonts w:cs="Times New Roman" w:hint="eastAsia"/>
          <w:szCs w:val="21"/>
        </w:rPr>
        <w:t>能否</w:t>
      </w:r>
      <w:r w:rsidR="00574020" w:rsidRPr="00C702D7">
        <w:rPr>
          <w:rFonts w:cs="Times New Roman" w:hint="eastAsia"/>
          <w:szCs w:val="21"/>
        </w:rPr>
        <w:t>促进持股企业碳减排的相关研究有待进一步探讨</w:t>
      </w:r>
      <w:r w:rsidR="00BD34B9" w:rsidRPr="00C702D7">
        <w:rPr>
          <w:rFonts w:cs="Times New Roman" w:hint="eastAsia"/>
          <w:szCs w:val="21"/>
        </w:rPr>
        <w:t>。</w:t>
      </w:r>
    </w:p>
    <w:p w14:paraId="30B9B335" w14:textId="77777777" w:rsidR="00200DA1" w:rsidRPr="00C702D7" w:rsidRDefault="00200DA1" w:rsidP="009F2FCC">
      <w:pPr>
        <w:spacing w:line="400" w:lineRule="exact"/>
        <w:ind w:firstLine="420"/>
        <w:outlineLvl w:val="0"/>
        <w:rPr>
          <w:rFonts w:cs="Times New Roman"/>
          <w:szCs w:val="21"/>
        </w:rPr>
      </w:pPr>
      <w:r w:rsidRPr="00C702D7">
        <w:rPr>
          <w:rFonts w:cs="Times New Roman" w:hint="eastAsia"/>
          <w:szCs w:val="21"/>
        </w:rPr>
        <w:t>（三）</w:t>
      </w:r>
      <w:r w:rsidR="00E936AE" w:rsidRPr="00C702D7">
        <w:rPr>
          <w:rFonts w:cs="Times New Roman" w:hint="eastAsia"/>
          <w:szCs w:val="21"/>
        </w:rPr>
        <w:t>“双碳”目标与</w:t>
      </w:r>
      <w:r w:rsidRPr="00C702D7">
        <w:rPr>
          <w:rFonts w:cs="Times New Roman" w:hint="eastAsia"/>
          <w:szCs w:val="21"/>
        </w:rPr>
        <w:t>企业碳减排</w:t>
      </w:r>
      <w:r w:rsidR="000F41D1" w:rsidRPr="00C702D7">
        <w:rPr>
          <w:rFonts w:cs="Times New Roman" w:hint="eastAsia"/>
          <w:szCs w:val="21"/>
        </w:rPr>
        <w:t>相关研究</w:t>
      </w:r>
    </w:p>
    <w:p w14:paraId="5F1CD517" w14:textId="77777777" w:rsidR="00792508" w:rsidRPr="00C702D7" w:rsidRDefault="00FD0A41" w:rsidP="006C08A2">
      <w:pPr>
        <w:spacing w:line="400" w:lineRule="exact"/>
        <w:ind w:firstLine="420"/>
        <w:rPr>
          <w:rFonts w:cs="Times New Roman"/>
          <w:szCs w:val="21"/>
        </w:rPr>
      </w:pPr>
      <w:r w:rsidRPr="00C702D7">
        <w:rPr>
          <w:rFonts w:cs="Times New Roman" w:hint="eastAsia"/>
          <w:szCs w:val="21"/>
        </w:rPr>
        <w:t>国际社会已经意识到“净零排放”转型的重要意义和</w:t>
      </w:r>
      <w:r w:rsidR="009454A8" w:rsidRPr="00C702D7">
        <w:rPr>
          <w:rFonts w:cs="Times New Roman" w:hint="eastAsia"/>
          <w:szCs w:val="21"/>
        </w:rPr>
        <w:t>必要性</w:t>
      </w:r>
      <w:r w:rsidRPr="00C702D7">
        <w:rPr>
          <w:rFonts w:cs="Times New Roman" w:hint="eastAsia"/>
          <w:szCs w:val="21"/>
        </w:rPr>
        <w:t>（王博</w:t>
      </w:r>
      <w:r w:rsidR="00047416" w:rsidRPr="00C702D7">
        <w:rPr>
          <w:rFonts w:cs="Times New Roman" w:hint="eastAsia"/>
          <w:szCs w:val="21"/>
        </w:rPr>
        <w:t>、</w:t>
      </w:r>
      <w:r w:rsidRPr="00C702D7">
        <w:rPr>
          <w:rFonts w:cs="Times New Roman" w:hint="eastAsia"/>
          <w:szCs w:val="21"/>
        </w:rPr>
        <w:t>宋玉峰，</w:t>
      </w:r>
      <w:r w:rsidRPr="00C702D7">
        <w:rPr>
          <w:rFonts w:cs="Times New Roman" w:hint="eastAsia"/>
          <w:szCs w:val="21"/>
        </w:rPr>
        <w:t>2020</w:t>
      </w:r>
      <w:r w:rsidRPr="00C702D7">
        <w:rPr>
          <w:rFonts w:cs="Times New Roman" w:hint="eastAsia"/>
          <w:szCs w:val="21"/>
        </w:rPr>
        <w:t>），</w:t>
      </w:r>
      <w:r w:rsidR="00395A36" w:rsidRPr="00C702D7">
        <w:rPr>
          <w:rFonts w:cs="Times New Roman" w:hint="eastAsia"/>
          <w:szCs w:val="21"/>
        </w:rPr>
        <w:t>“双碳”目标的提出与不断落实为</w:t>
      </w:r>
      <w:r w:rsidRPr="00C702D7">
        <w:rPr>
          <w:rFonts w:cs="Times New Roman" w:hint="eastAsia"/>
          <w:szCs w:val="21"/>
        </w:rPr>
        <w:t>我国</w:t>
      </w:r>
      <w:r w:rsidR="00395A36" w:rsidRPr="00C702D7">
        <w:rPr>
          <w:rFonts w:cs="Times New Roman" w:hint="eastAsia"/>
          <w:szCs w:val="21"/>
        </w:rPr>
        <w:t>绿色发展确定了具体路径</w:t>
      </w:r>
      <w:r w:rsidR="00F324C9" w:rsidRPr="00C702D7">
        <w:rPr>
          <w:rFonts w:cs="Times New Roman" w:hint="eastAsia"/>
          <w:szCs w:val="21"/>
        </w:rPr>
        <w:t>。</w:t>
      </w:r>
      <w:r w:rsidR="002444CB" w:rsidRPr="00C702D7">
        <w:rPr>
          <w:rFonts w:cs="Times New Roman" w:hint="eastAsia"/>
          <w:szCs w:val="21"/>
        </w:rPr>
        <w:t>现</w:t>
      </w:r>
      <w:r w:rsidR="006117B9" w:rsidRPr="00C702D7">
        <w:rPr>
          <w:rFonts w:cs="Times New Roman" w:hint="eastAsia"/>
          <w:szCs w:val="21"/>
        </w:rPr>
        <w:t>有</w:t>
      </w:r>
      <w:r w:rsidR="00F92508" w:rsidRPr="00C702D7">
        <w:rPr>
          <w:rFonts w:cs="Times New Roman" w:hint="eastAsia"/>
          <w:szCs w:val="21"/>
        </w:rPr>
        <w:t>关于“双碳”的研究</w:t>
      </w:r>
      <w:r w:rsidR="00F324C9" w:rsidRPr="00C702D7">
        <w:rPr>
          <w:rFonts w:cs="Times New Roman" w:hint="eastAsia"/>
          <w:szCs w:val="21"/>
        </w:rPr>
        <w:t>从宏观视角上，</w:t>
      </w:r>
      <w:r w:rsidR="00A775C3" w:rsidRPr="00C702D7">
        <w:rPr>
          <w:rFonts w:cs="Times New Roman" w:hint="eastAsia"/>
          <w:szCs w:val="21"/>
        </w:rPr>
        <w:t>围绕</w:t>
      </w:r>
      <w:r w:rsidR="0051687C" w:rsidRPr="00C702D7">
        <w:rPr>
          <w:rFonts w:cs="Times New Roman" w:hint="eastAsia"/>
          <w:szCs w:val="21"/>
        </w:rPr>
        <w:t>城市化与经济聚集（</w:t>
      </w:r>
      <w:r w:rsidR="0051687C" w:rsidRPr="00C702D7">
        <w:rPr>
          <w:rFonts w:cs="Times New Roman"/>
          <w:szCs w:val="21"/>
        </w:rPr>
        <w:t xml:space="preserve">York </w:t>
      </w:r>
      <w:r w:rsidR="00C364C8" w:rsidRPr="00C702D7">
        <w:rPr>
          <w:rFonts w:cs="Times New Roman"/>
          <w:szCs w:val="21"/>
        </w:rPr>
        <w:t>et al</w:t>
      </w:r>
      <w:r w:rsidR="0051687C" w:rsidRPr="00C702D7">
        <w:rPr>
          <w:rFonts w:cs="Times New Roman" w:hint="eastAsia"/>
          <w:szCs w:val="21"/>
        </w:rPr>
        <w:t>，</w:t>
      </w:r>
      <w:r w:rsidR="0051687C" w:rsidRPr="00C702D7">
        <w:rPr>
          <w:rFonts w:cs="Times New Roman"/>
          <w:szCs w:val="21"/>
        </w:rPr>
        <w:t>2003</w:t>
      </w:r>
      <w:r w:rsidR="0051687C" w:rsidRPr="00C702D7">
        <w:rPr>
          <w:rFonts w:cs="Times New Roman" w:hint="eastAsia"/>
          <w:szCs w:val="21"/>
        </w:rPr>
        <w:t>；任晓松等，</w:t>
      </w:r>
      <w:r w:rsidR="0051687C" w:rsidRPr="00C702D7">
        <w:rPr>
          <w:rFonts w:cs="Times New Roman" w:hint="eastAsia"/>
          <w:szCs w:val="21"/>
        </w:rPr>
        <w:t>2</w:t>
      </w:r>
      <w:r w:rsidR="0051687C" w:rsidRPr="00C702D7">
        <w:rPr>
          <w:rFonts w:cs="Times New Roman"/>
          <w:szCs w:val="21"/>
        </w:rPr>
        <w:t>020</w:t>
      </w:r>
      <w:r w:rsidR="0051687C" w:rsidRPr="00C702D7">
        <w:rPr>
          <w:rFonts w:cs="Times New Roman" w:hint="eastAsia"/>
          <w:szCs w:val="21"/>
        </w:rPr>
        <w:t>）、环境规制演化（</w:t>
      </w:r>
      <w:proofErr w:type="spellStart"/>
      <w:r w:rsidR="00E94DDD" w:rsidRPr="00C702D7">
        <w:rPr>
          <w:rFonts w:cs="Times New Roman" w:hint="eastAsia"/>
          <w:szCs w:val="21"/>
        </w:rPr>
        <w:t>Alocott</w:t>
      </w:r>
      <w:proofErr w:type="spellEnd"/>
      <w:r w:rsidR="00E94DDD" w:rsidRPr="00C702D7">
        <w:rPr>
          <w:rFonts w:cs="Times New Roman" w:hint="eastAsia"/>
          <w:szCs w:val="21"/>
        </w:rPr>
        <w:t>，</w:t>
      </w:r>
      <w:r w:rsidR="00E94DDD" w:rsidRPr="00C702D7">
        <w:rPr>
          <w:rFonts w:cs="Times New Roman" w:hint="eastAsia"/>
          <w:szCs w:val="21"/>
        </w:rPr>
        <w:t>2</w:t>
      </w:r>
      <w:r w:rsidR="00E94DDD" w:rsidRPr="00C702D7">
        <w:rPr>
          <w:rFonts w:cs="Times New Roman"/>
          <w:szCs w:val="21"/>
        </w:rPr>
        <w:t>005</w:t>
      </w:r>
      <w:r w:rsidR="00E94DDD" w:rsidRPr="00C702D7">
        <w:rPr>
          <w:rFonts w:cs="Times New Roman" w:hint="eastAsia"/>
          <w:szCs w:val="21"/>
        </w:rPr>
        <w:t>；</w:t>
      </w:r>
      <w:r w:rsidR="00A775C3" w:rsidRPr="00C702D7">
        <w:rPr>
          <w:rFonts w:cs="Times New Roman" w:hint="eastAsia"/>
          <w:szCs w:val="21"/>
        </w:rPr>
        <w:t>禹湘等，</w:t>
      </w:r>
      <w:r w:rsidR="00A775C3" w:rsidRPr="00C702D7">
        <w:rPr>
          <w:rFonts w:cs="Times New Roman" w:hint="eastAsia"/>
          <w:szCs w:val="21"/>
        </w:rPr>
        <w:t>2</w:t>
      </w:r>
      <w:r w:rsidR="00A775C3" w:rsidRPr="00C702D7">
        <w:rPr>
          <w:rFonts w:cs="Times New Roman"/>
          <w:szCs w:val="21"/>
        </w:rPr>
        <w:t>020</w:t>
      </w:r>
      <w:r w:rsidR="0051687C" w:rsidRPr="00C702D7">
        <w:rPr>
          <w:rFonts w:cs="Times New Roman" w:hint="eastAsia"/>
          <w:szCs w:val="21"/>
        </w:rPr>
        <w:t>）、贸易活动（</w:t>
      </w:r>
      <w:r w:rsidR="0038634D" w:rsidRPr="00C702D7">
        <w:rPr>
          <w:rFonts w:cs="Times New Roman" w:hint="eastAsia"/>
          <w:szCs w:val="21"/>
        </w:rPr>
        <w:t>Andrew</w:t>
      </w:r>
      <w:r w:rsidR="0091763C" w:rsidRPr="00C702D7">
        <w:rPr>
          <w:rFonts w:cs="Times New Roman"/>
          <w:szCs w:val="21"/>
        </w:rPr>
        <w:t xml:space="preserve"> </w:t>
      </w:r>
      <w:r w:rsidR="00047416" w:rsidRPr="00C702D7">
        <w:rPr>
          <w:rFonts w:cs="Times New Roman"/>
          <w:szCs w:val="21"/>
        </w:rPr>
        <w:t>&amp;</w:t>
      </w:r>
      <w:r w:rsidR="0091763C" w:rsidRPr="00C702D7">
        <w:rPr>
          <w:rFonts w:cs="Times New Roman"/>
          <w:szCs w:val="21"/>
        </w:rPr>
        <w:t xml:space="preserve"> </w:t>
      </w:r>
      <w:r w:rsidR="0038634D" w:rsidRPr="00C702D7">
        <w:rPr>
          <w:rFonts w:cs="Times New Roman" w:hint="eastAsia"/>
          <w:szCs w:val="21"/>
        </w:rPr>
        <w:t>Peters</w:t>
      </w:r>
      <w:r w:rsidR="0038634D" w:rsidRPr="00C702D7">
        <w:rPr>
          <w:rFonts w:cs="Times New Roman" w:hint="eastAsia"/>
          <w:szCs w:val="21"/>
        </w:rPr>
        <w:t>，</w:t>
      </w:r>
      <w:r w:rsidR="0038634D" w:rsidRPr="00C702D7">
        <w:rPr>
          <w:rFonts w:cs="Times New Roman" w:hint="eastAsia"/>
          <w:szCs w:val="21"/>
        </w:rPr>
        <w:t>2</w:t>
      </w:r>
      <w:r w:rsidR="0038634D" w:rsidRPr="00C702D7">
        <w:rPr>
          <w:rFonts w:cs="Times New Roman"/>
          <w:szCs w:val="21"/>
        </w:rPr>
        <w:t>013</w:t>
      </w:r>
      <w:r w:rsidR="0038634D" w:rsidRPr="00C702D7">
        <w:rPr>
          <w:rFonts w:cs="Times New Roman" w:hint="eastAsia"/>
          <w:szCs w:val="21"/>
        </w:rPr>
        <w:t>；</w:t>
      </w:r>
      <w:r w:rsidR="00A775C3" w:rsidRPr="00C702D7">
        <w:rPr>
          <w:rFonts w:hint="eastAsia"/>
        </w:rPr>
        <w:t>王育宝</w:t>
      </w:r>
      <w:r w:rsidR="00047416" w:rsidRPr="00C702D7">
        <w:rPr>
          <w:rFonts w:hint="eastAsia"/>
        </w:rPr>
        <w:t>、</w:t>
      </w:r>
      <w:r w:rsidR="00A775C3" w:rsidRPr="00C702D7">
        <w:rPr>
          <w:rFonts w:hint="eastAsia"/>
        </w:rPr>
        <w:t>何宇鹏，</w:t>
      </w:r>
      <w:r w:rsidR="00A775C3" w:rsidRPr="00C702D7">
        <w:rPr>
          <w:rFonts w:hint="eastAsia"/>
        </w:rPr>
        <w:t>2</w:t>
      </w:r>
      <w:r w:rsidR="00A775C3" w:rsidRPr="00C702D7">
        <w:t>021</w:t>
      </w:r>
      <w:r w:rsidR="0051687C" w:rsidRPr="00C702D7">
        <w:rPr>
          <w:rFonts w:cs="Times New Roman" w:hint="eastAsia"/>
          <w:szCs w:val="21"/>
        </w:rPr>
        <w:t>）、碳权交易（</w:t>
      </w:r>
      <w:r w:rsidR="0038634D" w:rsidRPr="00C702D7">
        <w:rPr>
          <w:rFonts w:cs="Times New Roman" w:hint="eastAsia"/>
          <w:szCs w:val="21"/>
        </w:rPr>
        <w:t xml:space="preserve">Zhang </w:t>
      </w:r>
      <w:r w:rsidR="00C364C8" w:rsidRPr="00C702D7">
        <w:rPr>
          <w:rFonts w:cs="Times New Roman" w:hint="eastAsia"/>
          <w:szCs w:val="21"/>
        </w:rPr>
        <w:t>et al</w:t>
      </w:r>
      <w:r w:rsidR="0038634D" w:rsidRPr="00C702D7">
        <w:rPr>
          <w:rFonts w:cs="Times New Roman" w:hint="eastAsia"/>
          <w:szCs w:val="21"/>
        </w:rPr>
        <w:t>，</w:t>
      </w:r>
      <w:r w:rsidR="0038634D" w:rsidRPr="00C702D7">
        <w:rPr>
          <w:rFonts w:cs="Times New Roman" w:hint="eastAsia"/>
          <w:szCs w:val="21"/>
        </w:rPr>
        <w:t>2017</w:t>
      </w:r>
      <w:r w:rsidR="0038634D" w:rsidRPr="00C702D7">
        <w:rPr>
          <w:rFonts w:cs="Times New Roman" w:hint="eastAsia"/>
          <w:szCs w:val="21"/>
        </w:rPr>
        <w:t>；</w:t>
      </w:r>
      <w:r w:rsidR="00734BBF" w:rsidRPr="00C702D7">
        <w:rPr>
          <w:rFonts w:cs="Times New Roman" w:hint="eastAsia"/>
          <w:szCs w:val="21"/>
        </w:rPr>
        <w:t xml:space="preserve">Hu </w:t>
      </w:r>
      <w:r w:rsidR="00C364C8" w:rsidRPr="00C702D7">
        <w:rPr>
          <w:rFonts w:cs="Times New Roman" w:hint="eastAsia"/>
          <w:szCs w:val="21"/>
        </w:rPr>
        <w:t>et al</w:t>
      </w:r>
      <w:r w:rsidR="00734BBF" w:rsidRPr="00C702D7">
        <w:rPr>
          <w:rFonts w:cs="Times New Roman" w:hint="eastAsia"/>
          <w:szCs w:val="21"/>
        </w:rPr>
        <w:t>，</w:t>
      </w:r>
      <w:r w:rsidR="004E42EE" w:rsidRPr="00C702D7">
        <w:rPr>
          <w:rFonts w:cs="Times New Roman"/>
          <w:szCs w:val="21"/>
        </w:rPr>
        <w:t>2020</w:t>
      </w:r>
      <w:r w:rsidR="0051687C" w:rsidRPr="00C702D7">
        <w:rPr>
          <w:rFonts w:cs="Times New Roman" w:hint="eastAsia"/>
          <w:szCs w:val="21"/>
        </w:rPr>
        <w:t>）等对</w:t>
      </w:r>
      <w:r w:rsidR="00F324C9" w:rsidRPr="00C702D7">
        <w:rPr>
          <w:rFonts w:cs="Times New Roman" w:hint="eastAsia"/>
          <w:szCs w:val="21"/>
        </w:rPr>
        <w:t>产业或</w:t>
      </w:r>
      <w:r w:rsidR="0051687C" w:rsidRPr="00C702D7">
        <w:rPr>
          <w:rFonts w:cs="Times New Roman" w:hint="eastAsia"/>
          <w:szCs w:val="21"/>
        </w:rPr>
        <w:t>地区碳排放的影响</w:t>
      </w:r>
      <w:r w:rsidR="00A775C3" w:rsidRPr="00C702D7">
        <w:rPr>
          <w:rFonts w:cs="Times New Roman" w:hint="eastAsia"/>
          <w:szCs w:val="21"/>
        </w:rPr>
        <w:t>进行了丰富探讨</w:t>
      </w:r>
      <w:r w:rsidR="005236F3" w:rsidRPr="00C702D7">
        <w:rPr>
          <w:rFonts w:cs="Times New Roman" w:hint="eastAsia"/>
          <w:szCs w:val="21"/>
        </w:rPr>
        <w:t>，并开始涉及低碳转型溢出效应问题（贾智杰等，</w:t>
      </w:r>
      <w:r w:rsidR="005236F3" w:rsidRPr="00C702D7">
        <w:rPr>
          <w:rFonts w:cs="Times New Roman" w:hint="eastAsia"/>
          <w:szCs w:val="21"/>
        </w:rPr>
        <w:t>2</w:t>
      </w:r>
      <w:r w:rsidR="005236F3" w:rsidRPr="00C702D7">
        <w:rPr>
          <w:rFonts w:cs="Times New Roman"/>
          <w:szCs w:val="21"/>
        </w:rPr>
        <w:t>023</w:t>
      </w:r>
      <w:r w:rsidR="005236F3" w:rsidRPr="00C702D7">
        <w:rPr>
          <w:rFonts w:cs="Times New Roman" w:hint="eastAsia"/>
          <w:szCs w:val="21"/>
        </w:rPr>
        <w:t>）</w:t>
      </w:r>
      <w:r w:rsidR="0051687C" w:rsidRPr="00C702D7">
        <w:rPr>
          <w:rFonts w:cs="Times New Roman" w:hint="eastAsia"/>
          <w:szCs w:val="21"/>
        </w:rPr>
        <w:t>。在微观</w:t>
      </w:r>
      <w:r w:rsidR="002444CB" w:rsidRPr="00C702D7">
        <w:rPr>
          <w:rFonts w:cs="Times New Roman" w:hint="eastAsia"/>
          <w:szCs w:val="21"/>
        </w:rPr>
        <w:t>层面</w:t>
      </w:r>
      <w:r w:rsidR="0051687C" w:rsidRPr="00C702D7">
        <w:rPr>
          <w:rFonts w:cs="Times New Roman" w:hint="eastAsia"/>
          <w:szCs w:val="21"/>
        </w:rPr>
        <w:t>，有关企业碳排放行为及其影响因素的研究</w:t>
      </w:r>
      <w:r w:rsidR="00F324C9" w:rsidRPr="00C702D7">
        <w:rPr>
          <w:rFonts w:cs="Times New Roman" w:hint="eastAsia"/>
          <w:szCs w:val="21"/>
        </w:rPr>
        <w:t>相对</w:t>
      </w:r>
      <w:r w:rsidR="0051687C" w:rsidRPr="00C702D7">
        <w:rPr>
          <w:rFonts w:cs="Times New Roman" w:hint="eastAsia"/>
          <w:szCs w:val="21"/>
        </w:rPr>
        <w:t>较少。</w:t>
      </w:r>
      <w:r w:rsidR="00A70986" w:rsidRPr="00C702D7">
        <w:rPr>
          <w:rFonts w:cs="Times New Roman" w:hint="eastAsia"/>
          <w:szCs w:val="21"/>
        </w:rPr>
        <w:t>多数</w:t>
      </w:r>
      <w:r w:rsidR="00450168" w:rsidRPr="00C702D7">
        <w:rPr>
          <w:rFonts w:cs="Times New Roman" w:hint="eastAsia"/>
          <w:szCs w:val="21"/>
        </w:rPr>
        <w:t>研究受限于</w:t>
      </w:r>
      <w:r w:rsidR="001B60AD" w:rsidRPr="00C702D7">
        <w:rPr>
          <w:rFonts w:cs="Times New Roman" w:hint="eastAsia"/>
          <w:szCs w:val="21"/>
        </w:rPr>
        <w:t>微观</w:t>
      </w:r>
      <w:r w:rsidR="00450168" w:rsidRPr="00C702D7">
        <w:rPr>
          <w:rFonts w:cs="Times New Roman" w:hint="eastAsia"/>
          <w:szCs w:val="21"/>
        </w:rPr>
        <w:t>碳</w:t>
      </w:r>
      <w:r w:rsidR="001B60AD" w:rsidRPr="00C702D7">
        <w:rPr>
          <w:rFonts w:cs="Times New Roman" w:hint="eastAsia"/>
          <w:szCs w:val="21"/>
        </w:rPr>
        <w:t>数据</w:t>
      </w:r>
      <w:r w:rsidR="00450168" w:rsidRPr="00C702D7">
        <w:rPr>
          <w:rFonts w:cs="Times New Roman" w:hint="eastAsia"/>
          <w:szCs w:val="21"/>
        </w:rPr>
        <w:t>可得性，</w:t>
      </w:r>
      <w:r w:rsidR="00105D23" w:rsidRPr="00C702D7">
        <w:rPr>
          <w:rFonts w:cs="Times New Roman" w:hint="eastAsia"/>
          <w:szCs w:val="21"/>
        </w:rPr>
        <w:t>仅</w:t>
      </w:r>
      <w:r w:rsidR="00410A6B" w:rsidRPr="00C702D7">
        <w:rPr>
          <w:rFonts w:cs="Times New Roman" w:hint="eastAsia"/>
          <w:szCs w:val="21"/>
        </w:rPr>
        <w:t>通过</w:t>
      </w:r>
      <w:r w:rsidR="00D148C1" w:rsidRPr="00C702D7">
        <w:rPr>
          <w:rFonts w:cs="Times New Roman" w:hint="eastAsia"/>
          <w:szCs w:val="21"/>
        </w:rPr>
        <w:t>理论</w:t>
      </w:r>
      <w:r w:rsidR="00450168" w:rsidRPr="00C702D7">
        <w:rPr>
          <w:rFonts w:cs="Times New Roman" w:hint="eastAsia"/>
          <w:szCs w:val="21"/>
        </w:rPr>
        <w:t>模型分析研究企业减排决策（</w:t>
      </w:r>
      <w:r w:rsidR="00734BBF" w:rsidRPr="00C702D7">
        <w:rPr>
          <w:rFonts w:cs="Times New Roman"/>
          <w:szCs w:val="21"/>
        </w:rPr>
        <w:t>Maeda</w:t>
      </w:r>
      <w:r w:rsidR="00734BBF" w:rsidRPr="00C702D7">
        <w:rPr>
          <w:rFonts w:cs="Times New Roman" w:hint="eastAsia"/>
          <w:szCs w:val="21"/>
        </w:rPr>
        <w:t>，</w:t>
      </w:r>
      <w:r w:rsidR="00734BBF" w:rsidRPr="00C702D7">
        <w:rPr>
          <w:rFonts w:cs="Times New Roman" w:hint="eastAsia"/>
          <w:szCs w:val="21"/>
        </w:rPr>
        <w:t>2</w:t>
      </w:r>
      <w:r w:rsidR="00734BBF" w:rsidRPr="00C702D7">
        <w:rPr>
          <w:rFonts w:cs="Times New Roman"/>
          <w:szCs w:val="21"/>
        </w:rPr>
        <w:t>001</w:t>
      </w:r>
      <w:r w:rsidR="00734BBF" w:rsidRPr="00C702D7">
        <w:rPr>
          <w:rFonts w:cs="Times New Roman" w:hint="eastAsia"/>
          <w:szCs w:val="21"/>
        </w:rPr>
        <w:t>；</w:t>
      </w:r>
      <w:r w:rsidR="00450168" w:rsidRPr="00C702D7">
        <w:rPr>
          <w:rFonts w:cs="Times New Roman" w:hint="eastAsia"/>
          <w:szCs w:val="21"/>
        </w:rPr>
        <w:t>谢鑫鹏</w:t>
      </w:r>
      <w:r w:rsidR="00047416" w:rsidRPr="00C702D7">
        <w:rPr>
          <w:rFonts w:cs="Times New Roman" w:hint="eastAsia"/>
          <w:szCs w:val="21"/>
        </w:rPr>
        <w:t>、</w:t>
      </w:r>
      <w:r w:rsidR="00450168" w:rsidRPr="00C702D7">
        <w:rPr>
          <w:rFonts w:cs="Times New Roman" w:hint="eastAsia"/>
          <w:szCs w:val="21"/>
        </w:rPr>
        <w:t>赵道致，</w:t>
      </w:r>
      <w:r w:rsidR="00450168" w:rsidRPr="00C702D7">
        <w:rPr>
          <w:rFonts w:cs="Times New Roman" w:hint="eastAsia"/>
          <w:szCs w:val="21"/>
        </w:rPr>
        <w:t>2</w:t>
      </w:r>
      <w:r w:rsidR="00450168" w:rsidRPr="00C702D7">
        <w:rPr>
          <w:rFonts w:cs="Times New Roman"/>
          <w:szCs w:val="21"/>
        </w:rPr>
        <w:t>013</w:t>
      </w:r>
      <w:r w:rsidR="00450168" w:rsidRPr="00C702D7">
        <w:rPr>
          <w:rFonts w:cs="Times New Roman" w:hint="eastAsia"/>
          <w:szCs w:val="21"/>
        </w:rPr>
        <w:t>；夏良杰等，</w:t>
      </w:r>
      <w:r w:rsidR="00450168" w:rsidRPr="00C702D7">
        <w:rPr>
          <w:rFonts w:cs="Times New Roman" w:hint="eastAsia"/>
          <w:szCs w:val="21"/>
        </w:rPr>
        <w:t>2</w:t>
      </w:r>
      <w:r w:rsidR="00450168" w:rsidRPr="00C702D7">
        <w:rPr>
          <w:rFonts w:cs="Times New Roman"/>
          <w:szCs w:val="21"/>
        </w:rPr>
        <w:t>021</w:t>
      </w:r>
      <w:r w:rsidR="00734BBF" w:rsidRPr="00C702D7">
        <w:rPr>
          <w:rFonts w:cs="Times New Roman" w:hint="eastAsia"/>
          <w:szCs w:val="21"/>
        </w:rPr>
        <w:t>；吴茵茵等，</w:t>
      </w:r>
      <w:r w:rsidR="00734BBF" w:rsidRPr="00C702D7">
        <w:rPr>
          <w:rFonts w:cs="Times New Roman" w:hint="eastAsia"/>
          <w:szCs w:val="21"/>
        </w:rPr>
        <w:t>2</w:t>
      </w:r>
      <w:r w:rsidR="00734BBF" w:rsidRPr="00C702D7">
        <w:rPr>
          <w:rFonts w:cs="Times New Roman"/>
          <w:szCs w:val="21"/>
        </w:rPr>
        <w:t>021</w:t>
      </w:r>
      <w:r w:rsidR="00450168" w:rsidRPr="00C702D7">
        <w:rPr>
          <w:rFonts w:cs="Times New Roman" w:hint="eastAsia"/>
          <w:szCs w:val="21"/>
        </w:rPr>
        <w:t>）</w:t>
      </w:r>
      <w:r w:rsidR="00F324C9" w:rsidRPr="00C702D7">
        <w:rPr>
          <w:rFonts w:cs="Times New Roman" w:hint="eastAsia"/>
          <w:szCs w:val="21"/>
        </w:rPr>
        <w:t>；</w:t>
      </w:r>
      <w:r w:rsidR="00D148C1" w:rsidRPr="00C702D7">
        <w:rPr>
          <w:rFonts w:cs="Times New Roman" w:hint="eastAsia"/>
          <w:szCs w:val="21"/>
        </w:rPr>
        <w:t>也有学者尝试从资本市场角度探讨企业碳排放行为，例如何玉等（</w:t>
      </w:r>
      <w:r w:rsidR="00D148C1" w:rsidRPr="00C702D7">
        <w:rPr>
          <w:rFonts w:cs="Times New Roman" w:hint="eastAsia"/>
          <w:szCs w:val="21"/>
        </w:rPr>
        <w:t>2</w:t>
      </w:r>
      <w:r w:rsidR="00D148C1" w:rsidRPr="00C702D7">
        <w:rPr>
          <w:rFonts w:cs="Times New Roman"/>
          <w:szCs w:val="21"/>
        </w:rPr>
        <w:t>01</w:t>
      </w:r>
      <w:r w:rsidR="00D148C1" w:rsidRPr="00C702D7">
        <w:rPr>
          <w:rFonts w:cs="Times New Roman" w:hint="eastAsia"/>
          <w:szCs w:val="21"/>
        </w:rPr>
        <w:t>4</w:t>
      </w:r>
      <w:r w:rsidR="00410A6B" w:rsidRPr="00C702D7">
        <w:rPr>
          <w:rFonts w:cs="Times New Roman" w:hint="eastAsia"/>
          <w:szCs w:val="21"/>
        </w:rPr>
        <w:t>；</w:t>
      </w:r>
      <w:r w:rsidR="00410A6B" w:rsidRPr="00C702D7">
        <w:rPr>
          <w:rFonts w:cs="Times New Roman" w:hint="eastAsia"/>
          <w:szCs w:val="21"/>
        </w:rPr>
        <w:t>2</w:t>
      </w:r>
      <w:r w:rsidR="00410A6B" w:rsidRPr="00C702D7">
        <w:rPr>
          <w:rFonts w:cs="Times New Roman"/>
          <w:szCs w:val="21"/>
        </w:rPr>
        <w:t>017</w:t>
      </w:r>
      <w:r w:rsidR="00D148C1" w:rsidRPr="00C702D7">
        <w:rPr>
          <w:rFonts w:cs="Times New Roman" w:hint="eastAsia"/>
          <w:szCs w:val="21"/>
        </w:rPr>
        <w:t>）使用美国数据对企业碳绩效以及碳信息披露决策进行研究，认为</w:t>
      </w:r>
      <w:r w:rsidR="00BC06A5" w:rsidRPr="00C702D7">
        <w:rPr>
          <w:rFonts w:cs="Times New Roman" w:hint="eastAsia"/>
          <w:szCs w:val="21"/>
        </w:rPr>
        <w:t>改善绿色形象和促进财务绩效是企业开展碳减排活动的重要动力。</w:t>
      </w:r>
    </w:p>
    <w:p w14:paraId="7027AF37" w14:textId="77777777" w:rsidR="00792508" w:rsidRPr="00C702D7" w:rsidRDefault="00792508" w:rsidP="00792508">
      <w:pPr>
        <w:spacing w:line="400" w:lineRule="exact"/>
        <w:ind w:firstLine="420"/>
        <w:rPr>
          <w:rFonts w:cs="Times New Roman"/>
          <w:szCs w:val="21"/>
        </w:rPr>
      </w:pPr>
      <w:r w:rsidRPr="00C702D7">
        <w:rPr>
          <w:rFonts w:cs="Times New Roman" w:hint="eastAsia"/>
          <w:szCs w:val="21"/>
        </w:rPr>
        <w:t>随着技术以及信息可得性</w:t>
      </w:r>
      <w:r w:rsidR="00105D23" w:rsidRPr="00C702D7">
        <w:rPr>
          <w:rFonts w:cs="Times New Roman" w:hint="eastAsia"/>
          <w:szCs w:val="21"/>
        </w:rPr>
        <w:t>的</w:t>
      </w:r>
      <w:r w:rsidRPr="00C702D7">
        <w:rPr>
          <w:rFonts w:cs="Times New Roman" w:hint="eastAsia"/>
          <w:szCs w:val="21"/>
        </w:rPr>
        <w:t>改善，</w:t>
      </w:r>
      <w:r w:rsidR="00DC280F" w:rsidRPr="00C702D7">
        <w:rPr>
          <w:rFonts w:cs="Times New Roman" w:hint="eastAsia"/>
          <w:szCs w:val="21"/>
        </w:rPr>
        <w:t>最新</w:t>
      </w:r>
      <w:r w:rsidRPr="00C702D7">
        <w:rPr>
          <w:rFonts w:cs="Times New Roman" w:hint="eastAsia"/>
          <w:szCs w:val="21"/>
        </w:rPr>
        <w:t>研究开始聚焦我国企业碳排放行为以及低碳政策的微观效应。韩超等（</w:t>
      </w:r>
      <w:r w:rsidRPr="00C702D7">
        <w:rPr>
          <w:rFonts w:cs="Times New Roman" w:hint="eastAsia"/>
          <w:szCs w:val="21"/>
        </w:rPr>
        <w:t>2</w:t>
      </w:r>
      <w:r w:rsidRPr="00C702D7">
        <w:rPr>
          <w:rFonts w:cs="Times New Roman"/>
          <w:szCs w:val="21"/>
        </w:rPr>
        <w:t>020</w:t>
      </w:r>
      <w:r w:rsidRPr="00C702D7">
        <w:rPr>
          <w:rFonts w:cs="Times New Roman" w:hint="eastAsia"/>
          <w:szCs w:val="21"/>
        </w:rPr>
        <w:t>）使用我国企业二氧化硫排放数据，探讨了节能政策对污染排放的协同效应以及影响机制，发现节能政策能够通过改进技术效率、提升能源使用效率发挥减排效应，并且对中西部地区和大型企业意义更为重大。还有研究基于</w:t>
      </w:r>
      <w:r w:rsidRPr="00C702D7">
        <w:rPr>
          <w:rFonts w:cs="Times New Roman" w:hint="eastAsia"/>
          <w:szCs w:val="21"/>
        </w:rPr>
        <w:t>A</w:t>
      </w:r>
      <w:r w:rsidRPr="00C702D7">
        <w:rPr>
          <w:rFonts w:cs="Times New Roman" w:hint="eastAsia"/>
          <w:szCs w:val="21"/>
        </w:rPr>
        <w:t>股上市工业企业数据，分析了异质性企业环境责任对碳绩效的影响，以及媒体关注和环境规制的联合调节效应（张宏、蔡淑琳，</w:t>
      </w:r>
      <w:r w:rsidRPr="00C702D7">
        <w:rPr>
          <w:rFonts w:cs="Times New Roman" w:hint="eastAsia"/>
          <w:szCs w:val="21"/>
        </w:rPr>
        <w:t>2</w:t>
      </w:r>
      <w:r w:rsidRPr="00C702D7">
        <w:rPr>
          <w:rFonts w:cs="Times New Roman"/>
          <w:szCs w:val="21"/>
        </w:rPr>
        <w:t>022</w:t>
      </w:r>
      <w:r w:rsidRPr="00C702D7">
        <w:rPr>
          <w:rFonts w:cs="Times New Roman" w:hint="eastAsia"/>
          <w:szCs w:val="21"/>
        </w:rPr>
        <w:t>），并利用创新的碳全要素生产率测算和分解框架，探讨了低碳政策对我国火电企业节能减排效率的促进作用</w:t>
      </w:r>
      <w:r w:rsidR="00630098" w:rsidRPr="00C702D7">
        <w:rPr>
          <w:rFonts w:cs="Times New Roman" w:hint="eastAsia"/>
          <w:szCs w:val="21"/>
        </w:rPr>
        <w:t>，</w:t>
      </w:r>
      <w:r w:rsidRPr="00C702D7">
        <w:rPr>
          <w:rFonts w:cs="Times New Roman" w:hint="eastAsia"/>
          <w:szCs w:val="21"/>
        </w:rPr>
        <w:t>以及人力资本</w:t>
      </w:r>
      <w:r w:rsidR="00AE4EB4" w:rsidRPr="00C702D7">
        <w:rPr>
          <w:rFonts w:cs="Times New Roman" w:hint="eastAsia"/>
          <w:szCs w:val="21"/>
        </w:rPr>
        <w:t>对于碳全要素生产率提升</w:t>
      </w:r>
      <w:r w:rsidRPr="00C702D7">
        <w:rPr>
          <w:rFonts w:cs="Times New Roman" w:hint="eastAsia"/>
          <w:szCs w:val="21"/>
        </w:rPr>
        <w:t>的制约</w:t>
      </w:r>
      <w:r w:rsidR="00630098" w:rsidRPr="00C702D7">
        <w:rPr>
          <w:rFonts w:cs="Times New Roman" w:hint="eastAsia"/>
          <w:szCs w:val="21"/>
        </w:rPr>
        <w:t>效应</w:t>
      </w:r>
      <w:r w:rsidRPr="00C702D7">
        <w:rPr>
          <w:rFonts w:cs="Times New Roman" w:hint="eastAsia"/>
          <w:szCs w:val="21"/>
        </w:rPr>
        <w:t>（张宁，</w:t>
      </w:r>
      <w:r w:rsidRPr="00C702D7">
        <w:rPr>
          <w:rFonts w:cs="Times New Roman" w:hint="eastAsia"/>
          <w:szCs w:val="21"/>
        </w:rPr>
        <w:t>2</w:t>
      </w:r>
      <w:r w:rsidRPr="00C702D7">
        <w:rPr>
          <w:rFonts w:cs="Times New Roman"/>
          <w:szCs w:val="21"/>
        </w:rPr>
        <w:t>022</w:t>
      </w:r>
      <w:r w:rsidRPr="00C702D7">
        <w:rPr>
          <w:rFonts w:cs="Times New Roman" w:hint="eastAsia"/>
          <w:szCs w:val="21"/>
        </w:rPr>
        <w:t>）。</w:t>
      </w:r>
    </w:p>
    <w:p w14:paraId="3D79C558" w14:textId="77777777" w:rsidR="002744D8" w:rsidRPr="00C702D7" w:rsidRDefault="00F74AEA" w:rsidP="00792508">
      <w:pPr>
        <w:spacing w:line="400" w:lineRule="exact"/>
        <w:ind w:firstLine="420"/>
        <w:rPr>
          <w:rFonts w:cs="Times New Roman"/>
          <w:szCs w:val="21"/>
        </w:rPr>
      </w:pPr>
      <w:r w:rsidRPr="00C702D7">
        <w:rPr>
          <w:rFonts w:cs="Times New Roman" w:hint="eastAsia"/>
          <w:szCs w:val="21"/>
        </w:rPr>
        <w:t>总体而言，已有</w:t>
      </w:r>
      <w:r w:rsidR="00792508" w:rsidRPr="00C702D7">
        <w:rPr>
          <w:rFonts w:cs="Times New Roman" w:hint="eastAsia"/>
          <w:szCs w:val="21"/>
        </w:rPr>
        <w:t>文献</w:t>
      </w:r>
      <w:r w:rsidR="00B718EA" w:rsidRPr="00C702D7">
        <w:rPr>
          <w:rFonts w:cs="Times New Roman" w:hint="eastAsia"/>
          <w:szCs w:val="21"/>
        </w:rPr>
        <w:t>主要</w:t>
      </w:r>
      <w:r w:rsidR="002744D8" w:rsidRPr="00C702D7">
        <w:rPr>
          <w:rFonts w:cs="Times New Roman" w:hint="eastAsia"/>
          <w:szCs w:val="21"/>
        </w:rPr>
        <w:t>探讨了投资者关注企业污染环境领域相关问题，证实机构投资者对企业绿色要素、环境绩效及转型风险</w:t>
      </w:r>
      <w:r w:rsidR="00431C70" w:rsidRPr="00C702D7">
        <w:rPr>
          <w:rFonts w:cs="Times New Roman" w:hint="eastAsia"/>
          <w:szCs w:val="21"/>
        </w:rPr>
        <w:t>具有</w:t>
      </w:r>
      <w:r w:rsidR="002744D8" w:rsidRPr="00C702D7">
        <w:rPr>
          <w:rFonts w:cs="Times New Roman" w:hint="eastAsia"/>
          <w:szCs w:val="21"/>
        </w:rPr>
        <w:t>更高的关注度，</w:t>
      </w:r>
      <w:r w:rsidRPr="00C702D7">
        <w:rPr>
          <w:rFonts w:cs="Times New Roman" w:hint="eastAsia"/>
          <w:szCs w:val="21"/>
        </w:rPr>
        <w:t>具备</w:t>
      </w:r>
      <w:r w:rsidR="002744D8" w:rsidRPr="00C702D7">
        <w:rPr>
          <w:rFonts w:cs="Times New Roman" w:hint="eastAsia"/>
          <w:szCs w:val="21"/>
        </w:rPr>
        <w:t>推进企业社会责任承担和环境信息披露等的绿色治理效应</w:t>
      </w:r>
      <w:r w:rsidRPr="00C702D7">
        <w:rPr>
          <w:rFonts w:cs="Times New Roman" w:hint="eastAsia"/>
          <w:szCs w:val="21"/>
        </w:rPr>
        <w:t>，</w:t>
      </w:r>
      <w:r w:rsidR="002744D8" w:rsidRPr="00C702D7">
        <w:rPr>
          <w:rFonts w:cs="Times New Roman" w:hint="eastAsia"/>
          <w:szCs w:val="21"/>
        </w:rPr>
        <w:t>但现有研究</w:t>
      </w:r>
      <w:r w:rsidRPr="00C702D7">
        <w:rPr>
          <w:rFonts w:cs="Times New Roman" w:hint="eastAsia"/>
          <w:szCs w:val="21"/>
        </w:rPr>
        <w:t>对</w:t>
      </w:r>
      <w:r w:rsidR="002744D8" w:rsidRPr="00C702D7">
        <w:rPr>
          <w:rFonts w:cs="Times New Roman" w:hint="eastAsia"/>
          <w:szCs w:val="21"/>
        </w:rPr>
        <w:t>机构投资者绿色关注的治理效应及机理的研究尚不深入，且缺乏基于企业碳排放水平的机构投资者绿色治理效果</w:t>
      </w:r>
      <w:r w:rsidRPr="00C702D7">
        <w:rPr>
          <w:rFonts w:cs="Times New Roman" w:hint="eastAsia"/>
          <w:szCs w:val="21"/>
        </w:rPr>
        <w:t>的实证检验</w:t>
      </w:r>
      <w:r w:rsidR="002744D8" w:rsidRPr="00C702D7">
        <w:rPr>
          <w:rFonts w:cs="Times New Roman" w:hint="eastAsia"/>
          <w:szCs w:val="21"/>
        </w:rPr>
        <w:t>。</w:t>
      </w:r>
      <w:r w:rsidRPr="00C702D7">
        <w:rPr>
          <w:rFonts w:cs="Times New Roman" w:hint="eastAsia"/>
          <w:szCs w:val="21"/>
        </w:rPr>
        <w:t>而且</w:t>
      </w:r>
      <w:r w:rsidR="00452B2E" w:rsidRPr="00C702D7">
        <w:rPr>
          <w:rFonts w:cs="Times New Roman" w:hint="eastAsia"/>
          <w:szCs w:val="21"/>
        </w:rPr>
        <w:t>，</w:t>
      </w:r>
      <w:r w:rsidR="00792508" w:rsidRPr="00C702D7">
        <w:rPr>
          <w:rFonts w:cs="Times New Roman" w:hint="eastAsia"/>
          <w:szCs w:val="21"/>
        </w:rPr>
        <w:t>基于宏观视角的</w:t>
      </w:r>
      <w:r w:rsidRPr="00C702D7">
        <w:rPr>
          <w:rFonts w:cs="Times New Roman" w:hint="eastAsia"/>
          <w:szCs w:val="21"/>
        </w:rPr>
        <w:t>碳减排相关</w:t>
      </w:r>
      <w:r w:rsidR="00792508" w:rsidRPr="00C702D7">
        <w:rPr>
          <w:rFonts w:cs="Times New Roman" w:hint="eastAsia"/>
          <w:szCs w:val="21"/>
        </w:rPr>
        <w:t>研究已取得丰富成果，但对于企业碳减排治理的内生</w:t>
      </w:r>
      <w:r w:rsidR="00B718EA" w:rsidRPr="00C702D7">
        <w:rPr>
          <w:rFonts w:cs="Times New Roman" w:hint="eastAsia"/>
          <w:szCs w:val="21"/>
        </w:rPr>
        <w:t>性</w:t>
      </w:r>
      <w:r w:rsidR="00792508" w:rsidRPr="00C702D7">
        <w:rPr>
          <w:rFonts w:cs="Times New Roman" w:hint="eastAsia"/>
          <w:szCs w:val="21"/>
        </w:rPr>
        <w:t>微观机制及传导渠道</w:t>
      </w:r>
      <w:r w:rsidR="00105D23" w:rsidRPr="00C702D7">
        <w:rPr>
          <w:rFonts w:cs="Times New Roman" w:hint="eastAsia"/>
          <w:szCs w:val="21"/>
        </w:rPr>
        <w:t>的</w:t>
      </w:r>
      <w:r w:rsidRPr="00C702D7">
        <w:rPr>
          <w:rFonts w:cs="Times New Roman" w:hint="eastAsia"/>
          <w:szCs w:val="21"/>
        </w:rPr>
        <w:t>研究不足</w:t>
      </w:r>
      <w:r w:rsidR="00792508" w:rsidRPr="00C702D7">
        <w:rPr>
          <w:rFonts w:cs="Times New Roman" w:hint="eastAsia"/>
          <w:szCs w:val="21"/>
        </w:rPr>
        <w:t>。</w:t>
      </w:r>
      <w:r w:rsidR="002260A9" w:rsidRPr="00C702D7">
        <w:rPr>
          <w:rFonts w:cs="Times New Roman" w:hint="eastAsia"/>
          <w:szCs w:val="21"/>
        </w:rPr>
        <w:t>考虑到</w:t>
      </w:r>
      <w:r w:rsidR="00792508" w:rsidRPr="00C702D7">
        <w:rPr>
          <w:rFonts w:cs="Times New Roman" w:hint="eastAsia"/>
          <w:szCs w:val="21"/>
        </w:rPr>
        <w:t>我国高碳发展惯性下企业控制碳排放的内生动力不足的现实</w:t>
      </w:r>
      <w:r w:rsidR="002260A9" w:rsidRPr="00C702D7">
        <w:rPr>
          <w:rFonts w:cs="Times New Roman" w:hint="eastAsia"/>
          <w:szCs w:val="21"/>
        </w:rPr>
        <w:t>情况</w:t>
      </w:r>
      <w:r w:rsidR="00792508" w:rsidRPr="00C702D7">
        <w:rPr>
          <w:rFonts w:cs="Times New Roman" w:hint="eastAsia"/>
          <w:szCs w:val="21"/>
        </w:rPr>
        <w:t>，本文</w:t>
      </w:r>
      <w:r w:rsidR="002260A9" w:rsidRPr="00C702D7">
        <w:rPr>
          <w:rFonts w:cs="Times New Roman" w:hint="eastAsia"/>
          <w:szCs w:val="21"/>
        </w:rPr>
        <w:t>探讨</w:t>
      </w:r>
      <w:r w:rsidR="00431C70" w:rsidRPr="00C702D7">
        <w:rPr>
          <w:rFonts w:cs="Times New Roman" w:hint="eastAsia"/>
          <w:szCs w:val="21"/>
        </w:rPr>
        <w:t>机构投资者作为企业绿色治理参与主体通过</w:t>
      </w:r>
      <w:r w:rsidR="002260A9" w:rsidRPr="00C702D7">
        <w:rPr>
          <w:rFonts w:cs="Times New Roman" w:hint="eastAsia"/>
          <w:szCs w:val="21"/>
        </w:rPr>
        <w:t>绿色关注的治理手段促进</w:t>
      </w:r>
      <w:r w:rsidR="00D46F6F" w:rsidRPr="00C702D7">
        <w:rPr>
          <w:rFonts w:cs="Times New Roman" w:hint="eastAsia"/>
          <w:szCs w:val="21"/>
        </w:rPr>
        <w:t>企业</w:t>
      </w:r>
      <w:r w:rsidR="00431C70" w:rsidRPr="00C702D7">
        <w:rPr>
          <w:rFonts w:cs="Times New Roman" w:hint="eastAsia"/>
          <w:szCs w:val="21"/>
        </w:rPr>
        <w:t>实现</w:t>
      </w:r>
      <w:r w:rsidR="002260A9" w:rsidRPr="00C702D7">
        <w:rPr>
          <w:rFonts w:cs="Times New Roman" w:hint="eastAsia"/>
          <w:szCs w:val="21"/>
        </w:rPr>
        <w:t>减排</w:t>
      </w:r>
      <w:r w:rsidR="00431C70" w:rsidRPr="00C702D7">
        <w:rPr>
          <w:rFonts w:cs="Times New Roman" w:hint="eastAsia"/>
          <w:szCs w:val="21"/>
        </w:rPr>
        <w:t>目标，</w:t>
      </w:r>
      <w:r w:rsidR="002260A9" w:rsidRPr="00C702D7">
        <w:rPr>
          <w:rFonts w:cs="Times New Roman" w:hint="eastAsia"/>
          <w:szCs w:val="21"/>
        </w:rPr>
        <w:t>实证检验</w:t>
      </w:r>
      <w:r w:rsidR="00792508" w:rsidRPr="00C702D7">
        <w:rPr>
          <w:rFonts w:cs="Times New Roman" w:hint="eastAsia"/>
          <w:szCs w:val="21"/>
        </w:rPr>
        <w:t>传导</w:t>
      </w:r>
      <w:r w:rsidR="002260A9" w:rsidRPr="00C702D7">
        <w:rPr>
          <w:rFonts w:cs="Times New Roman" w:hint="eastAsia"/>
          <w:szCs w:val="21"/>
        </w:rPr>
        <w:t>机制形成减排</w:t>
      </w:r>
      <w:r w:rsidR="00792508" w:rsidRPr="00C702D7">
        <w:rPr>
          <w:rFonts w:cs="Times New Roman" w:hint="eastAsia"/>
          <w:szCs w:val="21"/>
        </w:rPr>
        <w:t>溢出效应具有重要</w:t>
      </w:r>
      <w:r w:rsidR="00105D23" w:rsidRPr="00C702D7">
        <w:rPr>
          <w:rFonts w:cs="Times New Roman" w:hint="eastAsia"/>
          <w:szCs w:val="21"/>
        </w:rPr>
        <w:t>现实</w:t>
      </w:r>
      <w:r w:rsidR="00792508" w:rsidRPr="00C702D7">
        <w:rPr>
          <w:rFonts w:cs="Times New Roman" w:hint="eastAsia"/>
          <w:szCs w:val="21"/>
        </w:rPr>
        <w:t>意义。</w:t>
      </w:r>
    </w:p>
    <w:p w14:paraId="03949E42" w14:textId="77777777" w:rsidR="0093171C" w:rsidRPr="00C702D7" w:rsidRDefault="000F41D1" w:rsidP="00776687">
      <w:pPr>
        <w:spacing w:beforeLines="50" w:before="156" w:afterLines="50" w:after="156" w:line="400" w:lineRule="exact"/>
        <w:ind w:firstLineChars="0" w:firstLine="0"/>
        <w:jc w:val="center"/>
        <w:outlineLvl w:val="0"/>
        <w:rPr>
          <w:rFonts w:ascii="黑体" w:eastAsia="黑体" w:hAnsi="黑体"/>
          <w:sz w:val="24"/>
          <w:szCs w:val="28"/>
        </w:rPr>
      </w:pPr>
      <w:r w:rsidRPr="00C702D7">
        <w:rPr>
          <w:rFonts w:ascii="黑体" w:eastAsia="黑体" w:hAnsi="黑体" w:hint="eastAsia"/>
          <w:sz w:val="24"/>
          <w:szCs w:val="28"/>
        </w:rPr>
        <w:t>三、理论分析与研究假说</w:t>
      </w:r>
    </w:p>
    <w:p w14:paraId="778802EB" w14:textId="77777777" w:rsidR="00503956" w:rsidRPr="00C702D7" w:rsidRDefault="00CA2421" w:rsidP="00B84678">
      <w:pPr>
        <w:spacing w:line="400" w:lineRule="exact"/>
        <w:ind w:firstLine="420"/>
      </w:pPr>
      <w:r w:rsidRPr="00C702D7">
        <w:rPr>
          <w:rFonts w:hint="eastAsia"/>
        </w:rPr>
        <w:t>高碳排放</w:t>
      </w:r>
      <w:r w:rsidR="00C338B1" w:rsidRPr="00C702D7">
        <w:rPr>
          <w:rFonts w:hint="eastAsia"/>
        </w:rPr>
        <w:t>企业</w:t>
      </w:r>
      <w:r w:rsidRPr="00C702D7">
        <w:rPr>
          <w:rFonts w:hint="eastAsia"/>
        </w:rPr>
        <w:t>的经营模式与能源消费结构关联，隐含着经营风险、排放合规政策风险</w:t>
      </w:r>
      <w:r w:rsidRPr="00C702D7">
        <w:rPr>
          <w:rFonts w:hint="eastAsia"/>
        </w:rPr>
        <w:lastRenderedPageBreak/>
        <w:t>以及声誉风险等。但</w:t>
      </w:r>
      <w:r w:rsidR="00C338B1" w:rsidRPr="00C702D7">
        <w:rPr>
          <w:rFonts w:hint="eastAsia"/>
        </w:rPr>
        <w:t>绿色活动具有</w:t>
      </w:r>
      <w:r w:rsidRPr="00C702D7">
        <w:rPr>
          <w:rFonts w:hint="eastAsia"/>
        </w:rPr>
        <w:t>投入高、收益时限长</w:t>
      </w:r>
      <w:r w:rsidR="00105D23" w:rsidRPr="00C702D7">
        <w:rPr>
          <w:rFonts w:hint="eastAsia"/>
        </w:rPr>
        <w:t>的</w:t>
      </w:r>
      <w:r w:rsidR="00C338B1" w:rsidRPr="00C702D7">
        <w:rPr>
          <w:rFonts w:hint="eastAsia"/>
        </w:rPr>
        <w:t>特征和公共</w:t>
      </w:r>
      <w:r w:rsidRPr="00C702D7">
        <w:rPr>
          <w:rFonts w:hint="eastAsia"/>
        </w:rPr>
        <w:t>物品</w:t>
      </w:r>
      <w:r w:rsidR="00C338B1" w:rsidRPr="00C702D7">
        <w:rPr>
          <w:rFonts w:hint="eastAsia"/>
        </w:rPr>
        <w:t>属性，短期内较难取得相应经济收益</w:t>
      </w:r>
      <w:r w:rsidR="00D26397" w:rsidRPr="00C702D7">
        <w:rPr>
          <w:rFonts w:hint="eastAsia"/>
        </w:rPr>
        <w:t>（姜广省等，</w:t>
      </w:r>
      <w:r w:rsidR="00D26397" w:rsidRPr="00C702D7">
        <w:rPr>
          <w:rFonts w:hint="eastAsia"/>
        </w:rPr>
        <w:t>2</w:t>
      </w:r>
      <w:r w:rsidR="00D26397" w:rsidRPr="00C702D7">
        <w:t>021</w:t>
      </w:r>
      <w:r w:rsidR="00D26397" w:rsidRPr="00C702D7">
        <w:rPr>
          <w:rFonts w:hint="eastAsia"/>
        </w:rPr>
        <w:t>）</w:t>
      </w:r>
      <w:r w:rsidR="00C16782" w:rsidRPr="00C702D7">
        <w:rPr>
          <w:rFonts w:hint="eastAsia"/>
        </w:rPr>
        <w:t>，</w:t>
      </w:r>
      <w:r w:rsidRPr="00C702D7">
        <w:rPr>
          <w:rFonts w:hint="eastAsia"/>
        </w:rPr>
        <w:t>使得</w:t>
      </w:r>
      <w:r w:rsidR="007F542D" w:rsidRPr="00C702D7">
        <w:rPr>
          <w:rFonts w:hint="eastAsia"/>
        </w:rPr>
        <w:t>企业</w:t>
      </w:r>
      <w:r w:rsidRPr="00C702D7">
        <w:rPr>
          <w:rFonts w:hint="eastAsia"/>
        </w:rPr>
        <w:t>在权衡碳风险损失、绿色投入与产出时，并不一定会选择积极的减排等绿色行为决策。</w:t>
      </w:r>
      <w:r w:rsidR="000A0F30" w:rsidRPr="00C702D7">
        <w:rPr>
          <w:rFonts w:hint="eastAsia"/>
        </w:rPr>
        <w:t>如果市场环境中的</w:t>
      </w:r>
      <w:r w:rsidR="007736E3" w:rsidRPr="00C702D7">
        <w:rPr>
          <w:rFonts w:hint="eastAsia"/>
        </w:rPr>
        <w:t>绿色治理监督</w:t>
      </w:r>
      <w:r w:rsidR="000A0F30" w:rsidRPr="00C702D7">
        <w:rPr>
          <w:rFonts w:hint="eastAsia"/>
        </w:rPr>
        <w:t>约束相对较低</w:t>
      </w:r>
      <w:r w:rsidR="007736E3" w:rsidRPr="00C702D7">
        <w:rPr>
          <w:rFonts w:hint="eastAsia"/>
        </w:rPr>
        <w:t>，</w:t>
      </w:r>
      <w:r w:rsidR="000A0F30" w:rsidRPr="00C702D7">
        <w:rPr>
          <w:rFonts w:hint="eastAsia"/>
        </w:rPr>
        <w:t>企业</w:t>
      </w:r>
      <w:r w:rsidR="007736E3" w:rsidRPr="00C702D7">
        <w:rPr>
          <w:rFonts w:hint="eastAsia"/>
        </w:rPr>
        <w:t>主动开展绿色</w:t>
      </w:r>
      <w:r w:rsidR="00F10A03" w:rsidRPr="00C702D7">
        <w:rPr>
          <w:rFonts w:hint="eastAsia"/>
        </w:rPr>
        <w:t>活动</w:t>
      </w:r>
      <w:r w:rsidR="007736E3" w:rsidRPr="00C702D7">
        <w:rPr>
          <w:rFonts w:hint="eastAsia"/>
        </w:rPr>
        <w:t>控制碳排放的动机</w:t>
      </w:r>
      <w:r w:rsidR="007F542D" w:rsidRPr="00C702D7">
        <w:rPr>
          <w:rFonts w:hint="eastAsia"/>
        </w:rPr>
        <w:t>可能</w:t>
      </w:r>
      <w:r w:rsidR="007736E3" w:rsidRPr="00C702D7">
        <w:rPr>
          <w:rFonts w:hint="eastAsia"/>
        </w:rPr>
        <w:t>不足。</w:t>
      </w:r>
      <w:r w:rsidR="000A0F30" w:rsidRPr="00C702D7">
        <w:rPr>
          <w:rFonts w:hint="eastAsia"/>
        </w:rPr>
        <w:t>例如，</w:t>
      </w:r>
      <w:r w:rsidR="007F542D" w:rsidRPr="00C702D7">
        <w:rPr>
          <w:rFonts w:hint="eastAsia"/>
        </w:rPr>
        <w:t>面临</w:t>
      </w:r>
      <w:r w:rsidR="000A0F30" w:rsidRPr="00C702D7">
        <w:rPr>
          <w:rFonts w:hint="eastAsia"/>
        </w:rPr>
        <w:t>政府主导的</w:t>
      </w:r>
      <w:r w:rsidR="007F542D" w:rsidRPr="00C702D7">
        <w:rPr>
          <w:rFonts w:hint="eastAsia"/>
        </w:rPr>
        <w:t>环境规制要求，管理层有可能</w:t>
      </w:r>
      <w:r w:rsidR="000A0F30" w:rsidRPr="00C702D7">
        <w:rPr>
          <w:rFonts w:hint="eastAsia"/>
        </w:rPr>
        <w:t>基于短期利益</w:t>
      </w:r>
      <w:r w:rsidR="007F542D" w:rsidRPr="00C702D7">
        <w:rPr>
          <w:rFonts w:hint="eastAsia"/>
        </w:rPr>
        <w:t>通过“漂绿”等策略性信息披露满足监管要求，或是操纵绿色治理支出谋取私有收益</w:t>
      </w:r>
      <w:r w:rsidR="00D26397" w:rsidRPr="00C702D7">
        <w:rPr>
          <w:rFonts w:hint="eastAsia"/>
        </w:rPr>
        <w:t>（李哲，</w:t>
      </w:r>
      <w:r w:rsidR="00D26397" w:rsidRPr="00C702D7">
        <w:rPr>
          <w:rFonts w:hint="eastAsia"/>
        </w:rPr>
        <w:t>2</w:t>
      </w:r>
      <w:r w:rsidR="00D26397" w:rsidRPr="00C702D7">
        <w:t>018</w:t>
      </w:r>
      <w:r w:rsidR="00D26397" w:rsidRPr="00C702D7">
        <w:rPr>
          <w:rFonts w:hint="eastAsia"/>
        </w:rPr>
        <w:t>；王馨</w:t>
      </w:r>
      <w:r w:rsidR="00047416" w:rsidRPr="00C702D7">
        <w:rPr>
          <w:rFonts w:hint="eastAsia"/>
        </w:rPr>
        <w:t>、</w:t>
      </w:r>
      <w:r w:rsidR="00D26397" w:rsidRPr="00C702D7">
        <w:rPr>
          <w:rFonts w:hint="eastAsia"/>
        </w:rPr>
        <w:t>王营，</w:t>
      </w:r>
      <w:r w:rsidR="00D26397" w:rsidRPr="00C702D7">
        <w:rPr>
          <w:rFonts w:hint="eastAsia"/>
        </w:rPr>
        <w:t>2</w:t>
      </w:r>
      <w:r w:rsidR="00D26397" w:rsidRPr="00C702D7">
        <w:t>021</w:t>
      </w:r>
      <w:r w:rsidR="00D26397" w:rsidRPr="00C702D7">
        <w:rPr>
          <w:rFonts w:hint="eastAsia"/>
        </w:rPr>
        <w:t>）</w:t>
      </w:r>
      <w:r w:rsidR="007F542D" w:rsidRPr="00C702D7">
        <w:rPr>
          <w:rFonts w:hint="eastAsia"/>
        </w:rPr>
        <w:t>。</w:t>
      </w:r>
      <w:r w:rsidR="000A0F30" w:rsidRPr="00C702D7">
        <w:rPr>
          <w:rFonts w:hint="eastAsia"/>
        </w:rPr>
        <w:t>企业管理层短视行为或自利动机</w:t>
      </w:r>
      <w:r w:rsidR="007F542D" w:rsidRPr="00C702D7">
        <w:rPr>
          <w:rFonts w:hint="eastAsia"/>
        </w:rPr>
        <w:t>不仅</w:t>
      </w:r>
      <w:r w:rsidR="000A0F30" w:rsidRPr="00C702D7">
        <w:rPr>
          <w:rFonts w:hint="eastAsia"/>
        </w:rPr>
        <w:t>难以实现微观领域碳减排目标，</w:t>
      </w:r>
      <w:r w:rsidR="007F542D" w:rsidRPr="00C702D7">
        <w:rPr>
          <w:rFonts w:hint="eastAsia"/>
        </w:rPr>
        <w:t>还将加剧投资者与企业之间的信息不对称，导致股东</w:t>
      </w:r>
      <w:r w:rsidR="000A0F30" w:rsidRPr="00C702D7">
        <w:rPr>
          <w:rFonts w:hint="eastAsia"/>
        </w:rPr>
        <w:t>及利益相关者的损失。机构投资者作为企业的大股东和资本市场专业投资者，面临着企业“漂绿”等</w:t>
      </w:r>
      <w:r w:rsidR="001E4394" w:rsidRPr="00C702D7">
        <w:rPr>
          <w:rFonts w:hint="eastAsia"/>
        </w:rPr>
        <w:t>绿色代理</w:t>
      </w:r>
      <w:r w:rsidR="000A0F30" w:rsidRPr="00C702D7">
        <w:rPr>
          <w:rFonts w:hint="eastAsia"/>
        </w:rPr>
        <w:t>行为可能引起的政策风险、声誉风险、转型风险等价值损失，</w:t>
      </w:r>
      <w:r w:rsidR="001E4394" w:rsidRPr="00C702D7">
        <w:rPr>
          <w:rFonts w:hint="eastAsia"/>
        </w:rPr>
        <w:t>但也可能在</w:t>
      </w:r>
      <w:r w:rsidR="000A0F30" w:rsidRPr="00C702D7">
        <w:rPr>
          <w:rFonts w:hint="eastAsia"/>
        </w:rPr>
        <w:t>企业</w:t>
      </w:r>
      <w:r w:rsidR="001E4394" w:rsidRPr="00C702D7">
        <w:rPr>
          <w:rFonts w:hint="eastAsia"/>
        </w:rPr>
        <w:t>较好的</w:t>
      </w:r>
      <w:r w:rsidR="000A0F30" w:rsidRPr="00C702D7">
        <w:rPr>
          <w:rFonts w:hint="eastAsia"/>
        </w:rPr>
        <w:t>碳减排行为中获得企业绿色转型成功带来的长期价值增值。</w:t>
      </w:r>
      <w:r w:rsidR="00457ECF" w:rsidRPr="00C702D7">
        <w:rPr>
          <w:rFonts w:hint="eastAsia"/>
        </w:rPr>
        <w:t>鉴于</w:t>
      </w:r>
      <w:r w:rsidR="00204594" w:rsidRPr="00C702D7">
        <w:rPr>
          <w:rFonts w:hint="eastAsia"/>
        </w:rPr>
        <w:t>对企业碳风险</w:t>
      </w:r>
      <w:r w:rsidR="001E4394" w:rsidRPr="00C702D7">
        <w:rPr>
          <w:rFonts w:hint="eastAsia"/>
        </w:rPr>
        <w:t>、</w:t>
      </w:r>
      <w:r w:rsidR="00204594" w:rsidRPr="00C702D7">
        <w:rPr>
          <w:rFonts w:hint="eastAsia"/>
        </w:rPr>
        <w:t>绿色代理问题</w:t>
      </w:r>
      <w:r w:rsidR="001E4394" w:rsidRPr="00C702D7">
        <w:rPr>
          <w:rFonts w:hint="eastAsia"/>
        </w:rPr>
        <w:t>和投资组合收益最大化</w:t>
      </w:r>
      <w:r w:rsidR="00204594" w:rsidRPr="00C702D7">
        <w:rPr>
          <w:rFonts w:hint="eastAsia"/>
        </w:rPr>
        <w:t>的</w:t>
      </w:r>
      <w:r w:rsidR="001E4394" w:rsidRPr="00C702D7">
        <w:rPr>
          <w:rFonts w:hint="eastAsia"/>
        </w:rPr>
        <w:t>权衡</w:t>
      </w:r>
      <w:r w:rsidR="00204594" w:rsidRPr="00C702D7">
        <w:rPr>
          <w:rFonts w:hint="eastAsia"/>
        </w:rPr>
        <w:t>，机构投资者</w:t>
      </w:r>
      <w:r w:rsidR="004A3227" w:rsidRPr="00C702D7">
        <w:rPr>
          <w:rFonts w:hint="eastAsia"/>
        </w:rPr>
        <w:t>具</w:t>
      </w:r>
      <w:r w:rsidR="00C16782" w:rsidRPr="00C702D7">
        <w:rPr>
          <w:rFonts w:hint="eastAsia"/>
        </w:rPr>
        <w:t>有</w:t>
      </w:r>
      <w:r w:rsidR="00AE4EB4" w:rsidRPr="00C702D7">
        <w:rPr>
          <w:rFonts w:hint="eastAsia"/>
        </w:rPr>
        <w:t>密切</w:t>
      </w:r>
      <w:r w:rsidR="00204594" w:rsidRPr="00C702D7">
        <w:rPr>
          <w:rFonts w:hint="eastAsia"/>
        </w:rPr>
        <w:t>关注企业绿色活动开展情况</w:t>
      </w:r>
      <w:r w:rsidR="009F0ED3" w:rsidRPr="00C702D7">
        <w:rPr>
          <w:rFonts w:hint="eastAsia"/>
        </w:rPr>
        <w:t>的较强动机</w:t>
      </w:r>
      <w:r w:rsidR="00204594" w:rsidRPr="00C702D7">
        <w:rPr>
          <w:rFonts w:hint="eastAsia"/>
        </w:rPr>
        <w:t>。</w:t>
      </w:r>
      <w:bookmarkStart w:id="5" w:name="_Hlk119144637"/>
    </w:p>
    <w:p w14:paraId="37E4F35F" w14:textId="77777777" w:rsidR="00DB2ED5" w:rsidRPr="00C702D7" w:rsidRDefault="00E209B5" w:rsidP="00B84678">
      <w:pPr>
        <w:spacing w:line="400" w:lineRule="exact"/>
        <w:ind w:firstLine="420"/>
      </w:pPr>
      <w:r w:rsidRPr="00C702D7">
        <w:rPr>
          <w:rFonts w:hint="eastAsia"/>
        </w:rPr>
        <w:t>机构投资者</w:t>
      </w:r>
      <w:r w:rsidR="00503956" w:rsidRPr="00C702D7">
        <w:rPr>
          <w:rFonts w:hint="eastAsia"/>
        </w:rPr>
        <w:t>绿色关注将通过专业投资信息挖掘、积极主义沟通等形式影响企业碳排放决策</w:t>
      </w:r>
      <w:r w:rsidR="0021524F" w:rsidRPr="00C702D7">
        <w:rPr>
          <w:rFonts w:hint="eastAsia"/>
        </w:rPr>
        <w:t>，从而有助于企业改善环境信息披露质量，形成</w:t>
      </w:r>
      <w:r w:rsidR="005236F3" w:rsidRPr="00C702D7">
        <w:rPr>
          <w:rFonts w:hint="eastAsia"/>
        </w:rPr>
        <w:t>对</w:t>
      </w:r>
      <w:r w:rsidR="0021524F" w:rsidRPr="00C702D7">
        <w:rPr>
          <w:rFonts w:hint="eastAsia"/>
        </w:rPr>
        <w:t>企业经营决策的绿色监督效应</w:t>
      </w:r>
      <w:r w:rsidR="00503956" w:rsidRPr="00C702D7">
        <w:rPr>
          <w:rFonts w:hint="eastAsia"/>
        </w:rPr>
        <w:t>。</w:t>
      </w:r>
      <w:r w:rsidRPr="00C702D7">
        <w:rPr>
          <w:rFonts w:hint="eastAsia"/>
        </w:rPr>
        <w:t>一方面</w:t>
      </w:r>
      <w:r w:rsidR="00CA2421" w:rsidRPr="00C702D7">
        <w:rPr>
          <w:rFonts w:hint="eastAsia"/>
        </w:rPr>
        <w:t>，机构投资者</w:t>
      </w:r>
      <w:r w:rsidR="0021524F" w:rsidRPr="00C702D7">
        <w:rPr>
          <w:rFonts w:hint="eastAsia"/>
        </w:rPr>
        <w:t>将会主动搜集和挖掘企业相关活动信息，确认</w:t>
      </w:r>
      <w:r w:rsidR="00B84678" w:rsidRPr="00C702D7">
        <w:rPr>
          <w:rFonts w:hint="eastAsia"/>
        </w:rPr>
        <w:t>企业是否开展或参与绿色活动，</w:t>
      </w:r>
      <w:r w:rsidRPr="00C702D7">
        <w:rPr>
          <w:rFonts w:hint="eastAsia"/>
        </w:rPr>
        <w:t>识别并抑制企业“漂绿”行为</w:t>
      </w:r>
      <w:r w:rsidR="00C16ACD" w:rsidRPr="00C702D7">
        <w:rPr>
          <w:rFonts w:hint="eastAsia"/>
        </w:rPr>
        <w:t>。</w:t>
      </w:r>
      <w:r w:rsidRPr="00C702D7">
        <w:rPr>
          <w:rFonts w:hint="eastAsia"/>
        </w:rPr>
        <w:t>另一方面</w:t>
      </w:r>
      <w:r w:rsidR="00C16ACD" w:rsidRPr="00C702D7">
        <w:rPr>
          <w:rFonts w:hint="eastAsia"/>
        </w:rPr>
        <w:t>，机构投资者</w:t>
      </w:r>
      <w:r w:rsidR="000D4EDD" w:rsidRPr="00C702D7">
        <w:rPr>
          <w:rFonts w:hint="eastAsia"/>
        </w:rPr>
        <w:t>还可以</w:t>
      </w:r>
      <w:r w:rsidR="00C16ACD" w:rsidRPr="00C702D7">
        <w:rPr>
          <w:rFonts w:hint="eastAsia"/>
        </w:rPr>
        <w:t>通过实地调研等形式，</w:t>
      </w:r>
      <w:r w:rsidR="00457ECF" w:rsidRPr="00C702D7">
        <w:rPr>
          <w:rFonts w:hint="eastAsia"/>
        </w:rPr>
        <w:t>结合</w:t>
      </w:r>
      <w:r w:rsidR="00E314A8" w:rsidRPr="00C702D7">
        <w:rPr>
          <w:rFonts w:hint="eastAsia"/>
        </w:rPr>
        <w:t>具体的绿色活动问题向企业管理层表达诉求</w:t>
      </w:r>
      <w:r w:rsidR="0021524F" w:rsidRPr="00C702D7">
        <w:rPr>
          <w:rFonts w:hint="eastAsia"/>
        </w:rPr>
        <w:t>，通过公开或幕后沟通的形式向企业传递绿色治理信息和监督约束</w:t>
      </w:r>
      <w:r w:rsidR="00C16ACD" w:rsidRPr="00C702D7">
        <w:rPr>
          <w:rFonts w:hint="eastAsia"/>
        </w:rPr>
        <w:t>，以确保企业</w:t>
      </w:r>
      <w:r w:rsidR="00E13FBD" w:rsidRPr="00C702D7">
        <w:rPr>
          <w:rFonts w:hint="eastAsia"/>
        </w:rPr>
        <w:t>开展</w:t>
      </w:r>
      <w:r w:rsidR="00E314A8" w:rsidRPr="00C702D7">
        <w:rPr>
          <w:rFonts w:hint="eastAsia"/>
        </w:rPr>
        <w:t>提高清洁能源利用效率、治污减排等绿色</w:t>
      </w:r>
      <w:r w:rsidR="0021524F" w:rsidRPr="00C702D7">
        <w:rPr>
          <w:rFonts w:hint="eastAsia"/>
        </w:rPr>
        <w:t>经营</w:t>
      </w:r>
      <w:r w:rsidR="00E314A8" w:rsidRPr="00C702D7">
        <w:rPr>
          <w:rFonts w:hint="eastAsia"/>
        </w:rPr>
        <w:t>活动</w:t>
      </w:r>
      <w:r w:rsidR="00C16ACD" w:rsidRPr="00C702D7">
        <w:rPr>
          <w:rFonts w:hint="eastAsia"/>
        </w:rPr>
        <w:t>。</w:t>
      </w:r>
      <w:bookmarkEnd w:id="5"/>
      <w:r w:rsidR="000A49A1" w:rsidRPr="00C702D7">
        <w:rPr>
          <w:rFonts w:hint="eastAsia"/>
        </w:rPr>
        <w:t>进一步地，</w:t>
      </w:r>
      <w:r w:rsidR="00F10A03" w:rsidRPr="00C702D7">
        <w:rPr>
          <w:rFonts w:hint="eastAsia"/>
        </w:rPr>
        <w:t>随着</w:t>
      </w:r>
      <w:r w:rsidR="000A49A1" w:rsidRPr="00C702D7">
        <w:rPr>
          <w:rFonts w:hint="eastAsia"/>
        </w:rPr>
        <w:t>社会公众</w:t>
      </w:r>
      <w:r w:rsidR="00F10A03" w:rsidRPr="00C702D7">
        <w:rPr>
          <w:rFonts w:hint="eastAsia"/>
        </w:rPr>
        <w:t>绿色投资理念形成和环境责任承担意识提升，机构投资者对</w:t>
      </w:r>
      <w:r w:rsidR="00B84678" w:rsidRPr="00C702D7">
        <w:rPr>
          <w:rFonts w:hint="eastAsia"/>
        </w:rPr>
        <w:t>企业绿色</w:t>
      </w:r>
      <w:r w:rsidR="00DD4600" w:rsidRPr="00C702D7">
        <w:rPr>
          <w:rFonts w:hint="eastAsia"/>
        </w:rPr>
        <w:t>经营</w:t>
      </w:r>
      <w:r w:rsidR="00B84678" w:rsidRPr="00C702D7">
        <w:rPr>
          <w:rFonts w:hint="eastAsia"/>
        </w:rPr>
        <w:t>活动的关注程度也逐年增强，形成更强的绿色监督作用，促进企业</w:t>
      </w:r>
      <w:r w:rsidR="00DD4600" w:rsidRPr="00C702D7">
        <w:rPr>
          <w:rFonts w:hint="eastAsia"/>
        </w:rPr>
        <w:t>实现</w:t>
      </w:r>
      <w:r w:rsidR="00B84678" w:rsidRPr="00C702D7">
        <w:rPr>
          <w:rFonts w:hint="eastAsia"/>
        </w:rPr>
        <w:t>碳</w:t>
      </w:r>
      <w:r w:rsidR="00DD4600" w:rsidRPr="00C702D7">
        <w:rPr>
          <w:rFonts w:hint="eastAsia"/>
        </w:rPr>
        <w:t>减排</w:t>
      </w:r>
      <w:r w:rsidR="00B84678" w:rsidRPr="00C702D7">
        <w:rPr>
          <w:rFonts w:hint="eastAsia"/>
        </w:rPr>
        <w:t>。</w:t>
      </w:r>
      <w:r w:rsidR="00A62BEB" w:rsidRPr="00C702D7">
        <w:rPr>
          <w:rFonts w:hint="eastAsia"/>
        </w:rPr>
        <w:t>因此，本文提出如下假说：</w:t>
      </w:r>
    </w:p>
    <w:p w14:paraId="6559630B" w14:textId="77777777" w:rsidR="00B84678" w:rsidRPr="00C702D7" w:rsidRDefault="00A62BEB" w:rsidP="000D046B">
      <w:pPr>
        <w:spacing w:line="400" w:lineRule="exact"/>
        <w:ind w:firstLine="420"/>
      </w:pPr>
      <w:r w:rsidRPr="00C702D7">
        <w:rPr>
          <w:rFonts w:hint="eastAsia"/>
        </w:rPr>
        <w:t>H</w:t>
      </w:r>
      <w:r w:rsidR="000F41D1" w:rsidRPr="00C702D7">
        <w:rPr>
          <w:rFonts w:hint="eastAsia"/>
        </w:rPr>
        <w:t>1</w:t>
      </w:r>
      <w:r w:rsidRPr="00C702D7">
        <w:rPr>
          <w:rFonts w:hint="eastAsia"/>
        </w:rPr>
        <w:t>：</w:t>
      </w:r>
      <w:r w:rsidR="00C16782" w:rsidRPr="00C702D7">
        <w:rPr>
          <w:rFonts w:hint="eastAsia"/>
        </w:rPr>
        <w:t>在其他条件不变的情况下，</w:t>
      </w:r>
      <w:r w:rsidR="00B84678" w:rsidRPr="00C702D7">
        <w:rPr>
          <w:rFonts w:hint="eastAsia"/>
        </w:rPr>
        <w:t>机构投资者绿色关注度</w:t>
      </w:r>
      <w:r w:rsidR="00457ECF" w:rsidRPr="00C702D7">
        <w:rPr>
          <w:rFonts w:hint="eastAsia"/>
        </w:rPr>
        <w:t>与</w:t>
      </w:r>
      <w:r w:rsidR="00B84678" w:rsidRPr="00C702D7">
        <w:rPr>
          <w:rFonts w:hint="eastAsia"/>
        </w:rPr>
        <w:t>企业碳排放</w:t>
      </w:r>
      <w:r w:rsidR="00457ECF" w:rsidRPr="00C702D7">
        <w:rPr>
          <w:rFonts w:hint="eastAsia"/>
        </w:rPr>
        <w:t>水平负相关</w:t>
      </w:r>
      <w:r w:rsidR="00B84678" w:rsidRPr="00C702D7">
        <w:rPr>
          <w:rFonts w:hint="eastAsia"/>
        </w:rPr>
        <w:t>。</w:t>
      </w:r>
    </w:p>
    <w:p w14:paraId="31398D8A" w14:textId="77777777" w:rsidR="00182D05" w:rsidRPr="00C702D7" w:rsidRDefault="001F1542" w:rsidP="005E3FF1">
      <w:pPr>
        <w:spacing w:line="400" w:lineRule="exact"/>
        <w:ind w:firstLine="420"/>
      </w:pPr>
      <w:r w:rsidRPr="00C702D7">
        <w:rPr>
          <w:rFonts w:hint="eastAsia"/>
        </w:rPr>
        <w:t>机构投资者关注持股企业绿色活动形成绿色治理监督效应，也可能</w:t>
      </w:r>
      <w:r w:rsidR="00182D05" w:rsidRPr="00C702D7">
        <w:rPr>
          <w:rFonts w:hint="eastAsia"/>
        </w:rPr>
        <w:t>通过</w:t>
      </w:r>
      <w:r w:rsidRPr="00C702D7">
        <w:rPr>
          <w:rFonts w:hint="eastAsia"/>
        </w:rPr>
        <w:t>企业之间绿色经营决策的相互</w:t>
      </w:r>
      <w:r w:rsidR="00182D05" w:rsidRPr="00C702D7">
        <w:rPr>
          <w:rFonts w:hint="eastAsia"/>
        </w:rPr>
        <w:t>模仿与</w:t>
      </w:r>
      <w:r w:rsidRPr="00C702D7">
        <w:rPr>
          <w:rFonts w:hint="eastAsia"/>
        </w:rPr>
        <w:t>影响，对其他企业碳排放控制产生积极的溢出作用。</w:t>
      </w:r>
      <w:r w:rsidR="00E8480B" w:rsidRPr="00C702D7">
        <w:rPr>
          <w:rFonts w:hint="eastAsia"/>
        </w:rPr>
        <w:t>事实上，由于</w:t>
      </w:r>
      <w:r w:rsidR="00F365F9" w:rsidRPr="00C702D7">
        <w:rPr>
          <w:rFonts w:hint="eastAsia"/>
        </w:rPr>
        <w:t>获得</w:t>
      </w:r>
      <w:r w:rsidR="00E8480B" w:rsidRPr="00C702D7">
        <w:rPr>
          <w:rFonts w:hint="eastAsia"/>
        </w:rPr>
        <w:t>信息的不充分</w:t>
      </w:r>
      <w:r w:rsidR="00182D05" w:rsidRPr="00C702D7">
        <w:rPr>
          <w:rFonts w:hint="eastAsia"/>
        </w:rPr>
        <w:t>性和</w:t>
      </w:r>
      <w:r w:rsidR="00E8480B" w:rsidRPr="00C702D7">
        <w:rPr>
          <w:rFonts w:hint="eastAsia"/>
        </w:rPr>
        <w:t>决策的不确定性，同一行业中各企业的决策行为往往相互影响，呈现趋同现象，即存在同群效应（</w:t>
      </w:r>
      <w:r w:rsidR="00E8480B" w:rsidRPr="00C702D7">
        <w:rPr>
          <w:rFonts w:cs="Times New Roman" w:hint="eastAsia"/>
          <w:szCs w:val="21"/>
        </w:rPr>
        <w:t>Manski</w:t>
      </w:r>
      <w:r w:rsidR="00E8480B" w:rsidRPr="00C702D7">
        <w:rPr>
          <w:rFonts w:cs="Times New Roman" w:hint="eastAsia"/>
          <w:szCs w:val="21"/>
        </w:rPr>
        <w:t>，</w:t>
      </w:r>
      <w:r w:rsidR="00E8480B" w:rsidRPr="00C702D7">
        <w:rPr>
          <w:rFonts w:cs="Times New Roman" w:hint="eastAsia"/>
          <w:szCs w:val="21"/>
        </w:rPr>
        <w:t>2</w:t>
      </w:r>
      <w:r w:rsidR="00E8480B" w:rsidRPr="00C702D7">
        <w:rPr>
          <w:rFonts w:cs="Times New Roman"/>
          <w:szCs w:val="21"/>
        </w:rPr>
        <w:t>000</w:t>
      </w:r>
      <w:r w:rsidR="00E8480B" w:rsidRPr="00C702D7">
        <w:rPr>
          <w:rFonts w:cs="Times New Roman" w:hint="eastAsia"/>
          <w:szCs w:val="21"/>
        </w:rPr>
        <w:t>；</w:t>
      </w:r>
      <w:r w:rsidR="00E8480B" w:rsidRPr="00C702D7">
        <w:rPr>
          <w:rFonts w:hint="eastAsia"/>
        </w:rPr>
        <w:t>Leary</w:t>
      </w:r>
      <w:r w:rsidR="0091763C" w:rsidRPr="00C702D7">
        <w:t xml:space="preserve"> </w:t>
      </w:r>
      <w:r w:rsidR="00047416" w:rsidRPr="00C702D7">
        <w:rPr>
          <w:rFonts w:hint="eastAsia"/>
        </w:rPr>
        <w:t>&amp;</w:t>
      </w:r>
      <w:r w:rsidR="0091763C" w:rsidRPr="00C702D7">
        <w:t xml:space="preserve"> </w:t>
      </w:r>
      <w:r w:rsidR="00E8480B" w:rsidRPr="00C702D7">
        <w:rPr>
          <w:rFonts w:hint="eastAsia"/>
        </w:rPr>
        <w:t>Roberts</w:t>
      </w:r>
      <w:r w:rsidR="00E8480B" w:rsidRPr="00C702D7">
        <w:rPr>
          <w:rFonts w:hint="eastAsia"/>
        </w:rPr>
        <w:t>，</w:t>
      </w:r>
      <w:r w:rsidR="00E8480B" w:rsidRPr="00C702D7">
        <w:rPr>
          <w:rFonts w:hint="eastAsia"/>
        </w:rPr>
        <w:t>2014</w:t>
      </w:r>
      <w:r w:rsidR="00E8480B" w:rsidRPr="00C702D7">
        <w:rPr>
          <w:rFonts w:hint="eastAsia"/>
        </w:rPr>
        <w:t>）。这是因为，当</w:t>
      </w:r>
      <w:r w:rsidR="00182D05" w:rsidRPr="00C702D7">
        <w:rPr>
          <w:rFonts w:hint="eastAsia"/>
        </w:rPr>
        <w:t>企业</w:t>
      </w:r>
      <w:r w:rsidR="00E8480B" w:rsidRPr="00C702D7">
        <w:rPr>
          <w:rFonts w:hint="eastAsia"/>
        </w:rPr>
        <w:t>拥有的信息不足以准确预测决策的结果时，管理者可以通过模仿和学习其他公司的行为，降低决策制定难度、提升决策效率和避免负面评价（</w:t>
      </w:r>
      <w:r w:rsidR="00E8480B" w:rsidRPr="00C702D7">
        <w:rPr>
          <w:rFonts w:hint="eastAsia"/>
        </w:rPr>
        <w:t>Lieberman</w:t>
      </w:r>
      <w:r w:rsidR="008F05AF" w:rsidRPr="00C702D7">
        <w:t xml:space="preserve"> </w:t>
      </w:r>
      <w:r w:rsidR="00047416" w:rsidRPr="00C702D7">
        <w:t>&amp;</w:t>
      </w:r>
      <w:r w:rsidR="008F05AF" w:rsidRPr="00C702D7">
        <w:t xml:space="preserve"> </w:t>
      </w:r>
      <w:r w:rsidR="00E8480B" w:rsidRPr="00C702D7">
        <w:rPr>
          <w:rFonts w:hint="eastAsia"/>
        </w:rPr>
        <w:t>Asaba</w:t>
      </w:r>
      <w:r w:rsidR="00E8480B" w:rsidRPr="00C702D7">
        <w:rPr>
          <w:rFonts w:hint="eastAsia"/>
        </w:rPr>
        <w:t>，</w:t>
      </w:r>
      <w:r w:rsidR="00E8480B" w:rsidRPr="00C702D7">
        <w:rPr>
          <w:rFonts w:hint="eastAsia"/>
        </w:rPr>
        <w:t>2006</w:t>
      </w:r>
      <w:r w:rsidR="00E8480B" w:rsidRPr="00C702D7">
        <w:rPr>
          <w:rFonts w:hint="eastAsia"/>
        </w:rPr>
        <w:t>）。</w:t>
      </w:r>
    </w:p>
    <w:p w14:paraId="07F7BA3B" w14:textId="77777777" w:rsidR="00792508" w:rsidRPr="00C702D7" w:rsidRDefault="00524A4C" w:rsidP="00792508">
      <w:pPr>
        <w:spacing w:line="400" w:lineRule="exact"/>
        <w:ind w:firstLine="420"/>
      </w:pPr>
      <w:r w:rsidRPr="00C702D7">
        <w:rPr>
          <w:rFonts w:hint="eastAsia"/>
        </w:rPr>
        <w:t>在“双碳”目标</w:t>
      </w:r>
      <w:r w:rsidR="00821956" w:rsidRPr="00C702D7">
        <w:rPr>
          <w:rFonts w:hint="eastAsia"/>
        </w:rPr>
        <w:t>的约束</w:t>
      </w:r>
      <w:r w:rsidRPr="00C702D7">
        <w:rPr>
          <w:rFonts w:hint="eastAsia"/>
        </w:rPr>
        <w:t>下，</w:t>
      </w:r>
      <w:r w:rsidR="00E8480B" w:rsidRPr="00C702D7">
        <w:rPr>
          <w:rFonts w:hint="eastAsia"/>
        </w:rPr>
        <w:t>企业</w:t>
      </w:r>
      <w:r w:rsidRPr="00C702D7">
        <w:rPr>
          <w:rFonts w:hint="eastAsia"/>
        </w:rPr>
        <w:t>控制碳排放的经营决策相较其他财务决策更为复杂，需要综合考虑产品成本变化、环境规制</w:t>
      </w:r>
      <w:r w:rsidR="00F365F9" w:rsidRPr="00C702D7">
        <w:rPr>
          <w:rFonts w:hint="eastAsia"/>
        </w:rPr>
        <w:t>政策</w:t>
      </w:r>
      <w:r w:rsidRPr="00C702D7">
        <w:rPr>
          <w:rFonts w:hint="eastAsia"/>
        </w:rPr>
        <w:t>、绿色技术水平、绿色融资</w:t>
      </w:r>
      <w:r w:rsidR="00F365F9" w:rsidRPr="00C702D7">
        <w:rPr>
          <w:rFonts w:hint="eastAsia"/>
        </w:rPr>
        <w:t>便利</w:t>
      </w:r>
      <w:r w:rsidRPr="00C702D7">
        <w:rPr>
          <w:rFonts w:hint="eastAsia"/>
        </w:rPr>
        <w:t>等方面的影响。滞后的碳减排决策不利于企业低碳转型，而过于激进的减排行为则可能影响企业经济效益。</w:t>
      </w:r>
      <w:r w:rsidR="001F1542" w:rsidRPr="00C702D7">
        <w:rPr>
          <w:rFonts w:hint="eastAsia"/>
        </w:rPr>
        <w:t>因此，管理者模仿和借鉴其他公司</w:t>
      </w:r>
      <w:r w:rsidRPr="00C702D7">
        <w:rPr>
          <w:rFonts w:hint="eastAsia"/>
        </w:rPr>
        <w:t>控制碳排放的经营决策</w:t>
      </w:r>
      <w:r w:rsidR="001F1542" w:rsidRPr="00C702D7">
        <w:rPr>
          <w:rFonts w:hint="eastAsia"/>
        </w:rPr>
        <w:t>是一种较为理性的做法。</w:t>
      </w:r>
      <w:r w:rsidR="00792508" w:rsidRPr="00C702D7">
        <w:rPr>
          <w:rFonts w:hint="eastAsia"/>
        </w:rPr>
        <w:t>机构投资者绿色关注的减排治理作用将可能通过企业间相互模仿的同群效应，降低</w:t>
      </w:r>
      <w:r w:rsidR="009F0ED3" w:rsidRPr="00C702D7">
        <w:rPr>
          <w:rFonts w:hint="eastAsia"/>
        </w:rPr>
        <w:t>所在</w:t>
      </w:r>
      <w:r w:rsidR="00792508" w:rsidRPr="00C702D7">
        <w:rPr>
          <w:rFonts w:hint="eastAsia"/>
        </w:rPr>
        <w:t>行业</w:t>
      </w:r>
      <w:r w:rsidR="009F0ED3" w:rsidRPr="00C702D7">
        <w:rPr>
          <w:rFonts w:hint="eastAsia"/>
        </w:rPr>
        <w:t>的</w:t>
      </w:r>
      <w:r w:rsidR="00792508" w:rsidRPr="00C702D7">
        <w:rPr>
          <w:rFonts w:hint="eastAsia"/>
        </w:rPr>
        <w:t>碳排放水平。</w:t>
      </w:r>
      <w:r w:rsidR="001F1542" w:rsidRPr="00C702D7">
        <w:rPr>
          <w:rFonts w:hint="eastAsia"/>
        </w:rPr>
        <w:t>一方面，机构投资者</w:t>
      </w:r>
      <w:r w:rsidR="008D6B9C" w:rsidRPr="00C702D7">
        <w:rPr>
          <w:rFonts w:hint="eastAsia"/>
        </w:rPr>
        <w:t>把</w:t>
      </w:r>
      <w:r w:rsidR="00E27745" w:rsidRPr="00C702D7">
        <w:rPr>
          <w:rFonts w:hint="eastAsia"/>
        </w:rPr>
        <w:t>拥有的绿色治理私有信息传递给企业管理层，督促企业</w:t>
      </w:r>
      <w:r w:rsidR="00E27745" w:rsidRPr="00C702D7">
        <w:rPr>
          <w:rFonts w:hint="eastAsia"/>
        </w:rPr>
        <w:lastRenderedPageBreak/>
        <w:t>实施</w:t>
      </w:r>
      <w:r w:rsidR="003A47BD" w:rsidRPr="00C702D7">
        <w:rPr>
          <w:rFonts w:hint="eastAsia"/>
        </w:rPr>
        <w:t>碳</w:t>
      </w:r>
      <w:r w:rsidR="00E27745" w:rsidRPr="00C702D7">
        <w:rPr>
          <w:rFonts w:hint="eastAsia"/>
        </w:rPr>
        <w:t>减排</w:t>
      </w:r>
      <w:r w:rsidR="003A47BD" w:rsidRPr="00C702D7">
        <w:rPr>
          <w:rFonts w:hint="eastAsia"/>
        </w:rPr>
        <w:t>的</w:t>
      </w:r>
      <w:r w:rsidR="0015526C" w:rsidRPr="00C702D7">
        <w:rPr>
          <w:rFonts w:hint="eastAsia"/>
        </w:rPr>
        <w:t>绿色</w:t>
      </w:r>
      <w:r w:rsidR="003A47BD" w:rsidRPr="00C702D7">
        <w:rPr>
          <w:rFonts w:hint="eastAsia"/>
        </w:rPr>
        <w:t>经营决策</w:t>
      </w:r>
      <w:r w:rsidR="003D051B" w:rsidRPr="00C702D7">
        <w:rPr>
          <w:rFonts w:hint="eastAsia"/>
        </w:rPr>
        <w:t>。</w:t>
      </w:r>
      <w:r w:rsidR="009F0ED3" w:rsidRPr="00C702D7">
        <w:rPr>
          <w:rFonts w:hint="eastAsia"/>
        </w:rPr>
        <w:t>此时，</w:t>
      </w:r>
      <w:r w:rsidR="003A47BD" w:rsidRPr="00C702D7">
        <w:rPr>
          <w:rFonts w:hint="eastAsia"/>
        </w:rPr>
        <w:t>同行业其他企业</w:t>
      </w:r>
      <w:r w:rsidR="009F0ED3" w:rsidRPr="00C702D7">
        <w:rPr>
          <w:rFonts w:hint="eastAsia"/>
        </w:rPr>
        <w:t>若和</w:t>
      </w:r>
      <w:r w:rsidR="0015526C" w:rsidRPr="00C702D7">
        <w:rPr>
          <w:rFonts w:hint="eastAsia"/>
        </w:rPr>
        <w:t>机构投资者绿色关注企业</w:t>
      </w:r>
      <w:r w:rsidR="003A47BD" w:rsidRPr="00C702D7">
        <w:rPr>
          <w:rFonts w:hint="eastAsia"/>
        </w:rPr>
        <w:t>实施相近的</w:t>
      </w:r>
      <w:r w:rsidR="00617AA2" w:rsidRPr="00C702D7">
        <w:rPr>
          <w:rFonts w:hint="eastAsia"/>
        </w:rPr>
        <w:t>碳减排决策，则有助于降低信息</w:t>
      </w:r>
      <w:r w:rsidR="00E27745" w:rsidRPr="00C702D7">
        <w:rPr>
          <w:rFonts w:hint="eastAsia"/>
        </w:rPr>
        <w:t>不对称及碳风险等</w:t>
      </w:r>
      <w:r w:rsidR="00617AA2" w:rsidRPr="00C702D7">
        <w:rPr>
          <w:rFonts w:hint="eastAsia"/>
        </w:rPr>
        <w:t>不确定性带来的不利影响，提升</w:t>
      </w:r>
      <w:r w:rsidR="00251773" w:rsidRPr="00C702D7">
        <w:rPr>
          <w:rFonts w:hint="eastAsia"/>
        </w:rPr>
        <w:t>绿色经营</w:t>
      </w:r>
      <w:r w:rsidR="00617AA2" w:rsidRPr="00C702D7">
        <w:rPr>
          <w:rFonts w:hint="eastAsia"/>
        </w:rPr>
        <w:t>决策效率。另一方面，</w:t>
      </w:r>
      <w:r w:rsidR="00CB532A" w:rsidRPr="00C702D7">
        <w:rPr>
          <w:rFonts w:hint="eastAsia"/>
        </w:rPr>
        <w:t>机构投资者绿色关注促进</w:t>
      </w:r>
      <w:r w:rsidR="00105D23" w:rsidRPr="00C702D7">
        <w:rPr>
          <w:rFonts w:hint="eastAsia"/>
        </w:rPr>
        <w:t>了</w:t>
      </w:r>
      <w:r w:rsidR="00617AA2" w:rsidRPr="00C702D7">
        <w:rPr>
          <w:rFonts w:hint="eastAsia"/>
        </w:rPr>
        <w:t>企业提能增效、治污减排</w:t>
      </w:r>
      <w:r w:rsidR="00CB532A" w:rsidRPr="00C702D7">
        <w:rPr>
          <w:rFonts w:hint="eastAsia"/>
        </w:rPr>
        <w:t>，</w:t>
      </w:r>
      <w:r w:rsidR="00617AA2" w:rsidRPr="00C702D7">
        <w:rPr>
          <w:rFonts w:hint="eastAsia"/>
        </w:rPr>
        <w:t>有助于形成良好的环境绩效</w:t>
      </w:r>
      <w:r w:rsidR="00CB532A" w:rsidRPr="00C702D7">
        <w:rPr>
          <w:rFonts w:hint="eastAsia"/>
        </w:rPr>
        <w:t>和绿色激励效应</w:t>
      </w:r>
      <w:r w:rsidR="00617AA2" w:rsidRPr="00C702D7">
        <w:rPr>
          <w:rFonts w:hint="eastAsia"/>
        </w:rPr>
        <w:t>，</w:t>
      </w:r>
      <w:r w:rsidR="00CB532A" w:rsidRPr="00C702D7">
        <w:rPr>
          <w:rFonts w:hint="eastAsia"/>
        </w:rPr>
        <w:t>并</w:t>
      </w:r>
      <w:r w:rsidR="00617AA2" w:rsidRPr="00C702D7">
        <w:rPr>
          <w:rFonts w:hint="eastAsia"/>
        </w:rPr>
        <w:t>为企业带来声誉优势。</w:t>
      </w:r>
      <w:r w:rsidR="005E3FF1" w:rsidRPr="00C702D7">
        <w:rPr>
          <w:rFonts w:hint="eastAsia"/>
        </w:rPr>
        <w:t>同</w:t>
      </w:r>
      <w:r w:rsidR="00CB532A" w:rsidRPr="00C702D7">
        <w:rPr>
          <w:rFonts w:hint="eastAsia"/>
        </w:rPr>
        <w:t>一</w:t>
      </w:r>
      <w:r w:rsidR="005E3FF1" w:rsidRPr="00C702D7">
        <w:rPr>
          <w:rFonts w:hint="eastAsia"/>
        </w:rPr>
        <w:t>行业</w:t>
      </w:r>
      <w:r w:rsidR="00150B25" w:rsidRPr="00C702D7">
        <w:rPr>
          <w:rFonts w:hint="eastAsia"/>
        </w:rPr>
        <w:t>的</w:t>
      </w:r>
      <w:r w:rsidR="00CB532A" w:rsidRPr="00C702D7">
        <w:rPr>
          <w:rFonts w:hint="eastAsia"/>
        </w:rPr>
        <w:t>其他</w:t>
      </w:r>
      <w:r w:rsidR="00617AA2" w:rsidRPr="00C702D7">
        <w:rPr>
          <w:rFonts w:hint="eastAsia"/>
        </w:rPr>
        <w:t>企业若没有选择一致的低碳经营决策，将不利于</w:t>
      </w:r>
      <w:r w:rsidR="00CB532A" w:rsidRPr="00C702D7">
        <w:rPr>
          <w:rFonts w:hint="eastAsia"/>
        </w:rPr>
        <w:t>行业</w:t>
      </w:r>
      <w:r w:rsidR="00617AA2" w:rsidRPr="00C702D7">
        <w:rPr>
          <w:rFonts w:hint="eastAsia"/>
        </w:rPr>
        <w:t>竞争。</w:t>
      </w:r>
      <w:r w:rsidR="005E3FF1" w:rsidRPr="00C702D7">
        <w:rPr>
          <w:rFonts w:hint="eastAsia"/>
        </w:rPr>
        <w:t>即使</w:t>
      </w:r>
      <w:r w:rsidR="00A111B0" w:rsidRPr="00C702D7">
        <w:rPr>
          <w:rFonts w:hint="eastAsia"/>
        </w:rPr>
        <w:t>同行业其他</w:t>
      </w:r>
      <w:r w:rsidR="005E3FF1" w:rsidRPr="00C702D7">
        <w:rPr>
          <w:rFonts w:hint="eastAsia"/>
        </w:rPr>
        <w:t>企业并</w:t>
      </w:r>
      <w:r w:rsidR="00A111B0" w:rsidRPr="00C702D7">
        <w:rPr>
          <w:rFonts w:hint="eastAsia"/>
        </w:rPr>
        <w:t>未</w:t>
      </w:r>
      <w:r w:rsidR="005E3FF1" w:rsidRPr="00C702D7">
        <w:rPr>
          <w:rFonts w:hint="eastAsia"/>
        </w:rPr>
        <w:t>受到机构投资者绿色关注，管理层也可能出于竞争或弥补信息劣势的目的，模仿跟进受绿色关注企业的决策，</w:t>
      </w:r>
      <w:r w:rsidR="00A111B0" w:rsidRPr="00C702D7">
        <w:rPr>
          <w:rFonts w:hint="eastAsia"/>
        </w:rPr>
        <w:t>形成较好的</w:t>
      </w:r>
      <w:r w:rsidR="005E3FF1" w:rsidRPr="00C702D7">
        <w:rPr>
          <w:rFonts w:hint="eastAsia"/>
        </w:rPr>
        <w:t>碳减排</w:t>
      </w:r>
      <w:r w:rsidR="00A111B0" w:rsidRPr="00C702D7">
        <w:rPr>
          <w:rFonts w:hint="eastAsia"/>
        </w:rPr>
        <w:t>治理效应</w:t>
      </w:r>
      <w:r w:rsidR="005E3FF1" w:rsidRPr="00C702D7">
        <w:rPr>
          <w:rFonts w:hint="eastAsia"/>
        </w:rPr>
        <w:t>。</w:t>
      </w:r>
      <w:r w:rsidR="00792508" w:rsidRPr="00C702D7">
        <w:rPr>
          <w:rFonts w:hint="eastAsia"/>
        </w:rPr>
        <w:t>反之，若同一行业内其他企业实施减排，也会对机构投资者绿色关注企业产生竞争压力和模仿动机，会进一步优化减排治理效果。因此，行业内其他企业也相应地选择减碳</w:t>
      </w:r>
      <w:r w:rsidR="008D6B9C" w:rsidRPr="00C702D7">
        <w:rPr>
          <w:rFonts w:hint="eastAsia"/>
        </w:rPr>
        <w:t>的</w:t>
      </w:r>
      <w:r w:rsidR="00792508" w:rsidRPr="00C702D7">
        <w:rPr>
          <w:rFonts w:hint="eastAsia"/>
        </w:rPr>
        <w:t>绿色经营决策，使得机构投资者绿色关注具有通过同群效应产生减排溢出的作用机理。综合上述分析，本文提出如下假说：</w:t>
      </w:r>
    </w:p>
    <w:p w14:paraId="45B02DC5" w14:textId="77777777" w:rsidR="005E3FF1" w:rsidRPr="00C702D7" w:rsidRDefault="001800BF" w:rsidP="002E0305">
      <w:pPr>
        <w:spacing w:line="400" w:lineRule="exact"/>
        <w:ind w:firstLine="420"/>
      </w:pPr>
      <w:bookmarkStart w:id="6" w:name="_Hlk146742306"/>
      <w:r w:rsidRPr="00C702D7">
        <w:rPr>
          <w:rFonts w:hint="eastAsia"/>
        </w:rPr>
        <w:t>H2</w:t>
      </w:r>
      <w:r w:rsidRPr="00C702D7">
        <w:rPr>
          <w:rFonts w:hint="eastAsia"/>
        </w:rPr>
        <w:t>：</w:t>
      </w:r>
      <w:r w:rsidR="00A111B0" w:rsidRPr="00C702D7">
        <w:rPr>
          <w:rFonts w:hint="eastAsia"/>
        </w:rPr>
        <w:t>机构投资者绿色关注的企业减</w:t>
      </w:r>
      <w:r w:rsidR="00821956" w:rsidRPr="00C702D7">
        <w:rPr>
          <w:rFonts w:hint="eastAsia"/>
        </w:rPr>
        <w:t>排</w:t>
      </w:r>
      <w:r w:rsidR="00E62E68" w:rsidRPr="00C702D7">
        <w:rPr>
          <w:rFonts w:hint="eastAsia"/>
        </w:rPr>
        <w:t>治理效应</w:t>
      </w:r>
      <w:r w:rsidR="00A111B0" w:rsidRPr="00C702D7">
        <w:rPr>
          <w:rFonts w:hint="eastAsia"/>
        </w:rPr>
        <w:t>具有</w:t>
      </w:r>
      <w:r w:rsidR="00C7033E" w:rsidRPr="00C702D7">
        <w:rPr>
          <w:rFonts w:hint="eastAsia"/>
        </w:rPr>
        <w:t>行业</w:t>
      </w:r>
      <w:r w:rsidR="00E8300E" w:rsidRPr="00C702D7">
        <w:rPr>
          <w:rFonts w:hint="eastAsia"/>
        </w:rPr>
        <w:t>溢出效应</w:t>
      </w:r>
      <w:r w:rsidR="00A111B0" w:rsidRPr="00C702D7">
        <w:rPr>
          <w:rFonts w:hint="eastAsia"/>
        </w:rPr>
        <w:t>，将促使同一行业内其他企业</w:t>
      </w:r>
      <w:r w:rsidR="00E62E68" w:rsidRPr="00C702D7">
        <w:rPr>
          <w:rFonts w:hint="eastAsia"/>
        </w:rPr>
        <w:t>降低碳排放水平</w:t>
      </w:r>
      <w:r w:rsidR="00A111B0" w:rsidRPr="00C702D7">
        <w:rPr>
          <w:rFonts w:hint="eastAsia"/>
        </w:rPr>
        <w:t>。</w:t>
      </w:r>
    </w:p>
    <w:bookmarkEnd w:id="6"/>
    <w:p w14:paraId="12D8AB39" w14:textId="77777777" w:rsidR="00521B97" w:rsidRPr="00C702D7" w:rsidRDefault="00521B97" w:rsidP="002E0305">
      <w:pPr>
        <w:spacing w:line="400" w:lineRule="exact"/>
        <w:ind w:firstLine="420"/>
      </w:pPr>
      <w:r w:rsidRPr="00C702D7">
        <w:rPr>
          <w:noProof/>
        </w:rPr>
        <w:drawing>
          <wp:anchor distT="0" distB="0" distL="114300" distR="114300" simplePos="0" relativeHeight="251658240" behindDoc="0" locked="0" layoutInCell="1" allowOverlap="1" wp14:anchorId="3FE6E904" wp14:editId="18860CD5">
            <wp:simplePos x="0" y="0"/>
            <wp:positionH relativeFrom="margin">
              <wp:posOffset>658658</wp:posOffset>
            </wp:positionH>
            <wp:positionV relativeFrom="paragraph">
              <wp:posOffset>162802</wp:posOffset>
            </wp:positionV>
            <wp:extent cx="3686861" cy="1067681"/>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6861" cy="1067681"/>
                    </a:xfrm>
                    <a:prstGeom prst="rect">
                      <a:avLst/>
                    </a:prstGeom>
                    <a:noFill/>
                  </pic:spPr>
                </pic:pic>
              </a:graphicData>
            </a:graphic>
          </wp:anchor>
        </w:drawing>
      </w:r>
    </w:p>
    <w:p w14:paraId="1D2D5638" w14:textId="77777777" w:rsidR="001D389B" w:rsidRPr="00C702D7" w:rsidRDefault="001D389B" w:rsidP="002E0305">
      <w:pPr>
        <w:spacing w:line="400" w:lineRule="exact"/>
        <w:ind w:firstLine="420"/>
      </w:pPr>
    </w:p>
    <w:p w14:paraId="6F5151C5" w14:textId="77777777" w:rsidR="00521B97" w:rsidRPr="00C702D7" w:rsidRDefault="00521B97" w:rsidP="002E0305">
      <w:pPr>
        <w:spacing w:line="400" w:lineRule="exact"/>
        <w:ind w:firstLine="420"/>
      </w:pPr>
    </w:p>
    <w:p w14:paraId="1DBAF1F2" w14:textId="77777777" w:rsidR="00521B97" w:rsidRPr="00C702D7" w:rsidRDefault="00521B97" w:rsidP="002E0305">
      <w:pPr>
        <w:spacing w:line="400" w:lineRule="exact"/>
        <w:ind w:firstLine="420"/>
      </w:pPr>
    </w:p>
    <w:p w14:paraId="27E0A2AA" w14:textId="77777777" w:rsidR="004A33BD" w:rsidRPr="00C702D7" w:rsidRDefault="004A33BD" w:rsidP="002E0305">
      <w:pPr>
        <w:spacing w:line="400" w:lineRule="exact"/>
        <w:ind w:firstLine="420"/>
      </w:pPr>
    </w:p>
    <w:p w14:paraId="6FCD0DC0" w14:textId="77777777" w:rsidR="00E314A8" w:rsidRPr="00C702D7" w:rsidRDefault="00521B97" w:rsidP="00CB3E53">
      <w:pPr>
        <w:spacing w:line="400" w:lineRule="exact"/>
        <w:ind w:firstLineChars="0" w:firstLine="0"/>
        <w:jc w:val="center"/>
        <w:rPr>
          <w:rFonts w:ascii="黑体" w:eastAsia="黑体" w:hAnsi="黑体" w:cs="Times New Roman"/>
          <w:bCs/>
          <w:szCs w:val="21"/>
        </w:rPr>
      </w:pPr>
      <w:r w:rsidRPr="00C702D7">
        <w:rPr>
          <w:rFonts w:ascii="黑体" w:eastAsia="黑体" w:hAnsi="黑体" w:cs="Times New Roman" w:hint="eastAsia"/>
          <w:bCs/>
          <w:sz w:val="20"/>
          <w:szCs w:val="20"/>
        </w:rPr>
        <w:t>图</w:t>
      </w:r>
      <w:r w:rsidRPr="00C702D7">
        <w:rPr>
          <w:rFonts w:eastAsia="黑体" w:cs="Times New Roman"/>
          <w:b/>
          <w:sz w:val="20"/>
          <w:szCs w:val="20"/>
        </w:rPr>
        <w:t>1</w:t>
      </w:r>
      <w:r w:rsidRPr="00C702D7">
        <w:rPr>
          <w:rFonts w:ascii="黑体" w:eastAsia="黑体" w:hAnsi="黑体" w:cs="Times New Roman" w:hint="eastAsia"/>
          <w:bCs/>
          <w:sz w:val="20"/>
          <w:szCs w:val="20"/>
        </w:rPr>
        <w:t>机构投资者绿色关注的碳减排效应及其传导机制示意图</w:t>
      </w:r>
    </w:p>
    <w:p w14:paraId="28956F38" w14:textId="77777777" w:rsidR="00792508" w:rsidRPr="00C702D7" w:rsidRDefault="00F660C3" w:rsidP="00C753A5">
      <w:pPr>
        <w:spacing w:line="400" w:lineRule="exact"/>
        <w:ind w:firstLine="420"/>
      </w:pPr>
      <w:r w:rsidRPr="00C702D7">
        <w:rPr>
          <w:rFonts w:hint="eastAsia"/>
        </w:rPr>
        <w:t>机构投资者绿色关注的碳减排作用</w:t>
      </w:r>
      <w:r w:rsidR="00E07324" w:rsidRPr="00C702D7">
        <w:rPr>
          <w:rFonts w:hint="eastAsia"/>
        </w:rPr>
        <w:t>不仅在行业内企业</w:t>
      </w:r>
      <w:r w:rsidR="00CB3E53" w:rsidRPr="00C702D7">
        <w:rPr>
          <w:rFonts w:hint="eastAsia"/>
        </w:rPr>
        <w:t>引起模仿的溢出效应，</w:t>
      </w:r>
      <w:r w:rsidRPr="00C702D7">
        <w:rPr>
          <w:rFonts w:hint="eastAsia"/>
        </w:rPr>
        <w:t>还可能通过供应链传导</w:t>
      </w:r>
      <w:r w:rsidR="00CB3E53" w:rsidRPr="00C702D7">
        <w:rPr>
          <w:rFonts w:hint="eastAsia"/>
        </w:rPr>
        <w:t>影响地区减排水平。当企业</w:t>
      </w:r>
      <w:r w:rsidRPr="00C702D7">
        <w:rPr>
          <w:rFonts w:hint="eastAsia"/>
        </w:rPr>
        <w:t>受到机构投资者绿色关注</w:t>
      </w:r>
      <w:r w:rsidR="00CB3E53" w:rsidRPr="00C702D7">
        <w:rPr>
          <w:rFonts w:hint="eastAsia"/>
        </w:rPr>
        <w:t>进行减碳决策</w:t>
      </w:r>
      <w:r w:rsidR="008D6B9C" w:rsidRPr="00C702D7">
        <w:rPr>
          <w:rFonts w:hint="eastAsia"/>
        </w:rPr>
        <w:t>，驱动</w:t>
      </w:r>
      <w:r w:rsidR="00CB3E53" w:rsidRPr="00C702D7">
        <w:rPr>
          <w:rFonts w:hint="eastAsia"/>
        </w:rPr>
        <w:t>供应链上下游企业</w:t>
      </w:r>
      <w:r w:rsidR="00E07324" w:rsidRPr="00C702D7">
        <w:rPr>
          <w:rFonts w:hint="eastAsia"/>
        </w:rPr>
        <w:t>匹配</w:t>
      </w:r>
      <w:r w:rsidR="00CB3E53" w:rsidRPr="00C702D7">
        <w:rPr>
          <w:rFonts w:hint="eastAsia"/>
        </w:rPr>
        <w:t>相应绿色产品。</w:t>
      </w:r>
      <w:r w:rsidR="00C753A5" w:rsidRPr="00C702D7">
        <w:rPr>
          <w:rFonts w:hint="eastAsia"/>
        </w:rPr>
        <w:t>例如</w:t>
      </w:r>
      <w:r w:rsidR="00CB3E53" w:rsidRPr="00C702D7">
        <w:rPr>
          <w:rFonts w:hint="eastAsia"/>
        </w:rPr>
        <w:t>，</w:t>
      </w:r>
      <w:r w:rsidR="00C753A5" w:rsidRPr="00C702D7">
        <w:rPr>
          <w:rFonts w:hint="eastAsia"/>
        </w:rPr>
        <w:t>受到</w:t>
      </w:r>
      <w:r w:rsidR="00CB3E53" w:rsidRPr="00C702D7">
        <w:rPr>
          <w:rFonts w:hint="eastAsia"/>
        </w:rPr>
        <w:t>机构投资者绿色关注</w:t>
      </w:r>
      <w:r w:rsidR="00C753A5" w:rsidRPr="00C702D7">
        <w:rPr>
          <w:rFonts w:hint="eastAsia"/>
        </w:rPr>
        <w:t>的</w:t>
      </w:r>
      <w:r w:rsidRPr="00C702D7">
        <w:rPr>
          <w:rFonts w:hint="eastAsia"/>
        </w:rPr>
        <w:t>企业</w:t>
      </w:r>
      <w:r w:rsidR="00C753A5" w:rsidRPr="00C702D7">
        <w:rPr>
          <w:rFonts w:hint="eastAsia"/>
        </w:rPr>
        <w:t>，</w:t>
      </w:r>
      <w:r w:rsidR="00CB3E53" w:rsidRPr="00C702D7">
        <w:rPr>
          <w:rFonts w:hint="eastAsia"/>
        </w:rPr>
        <w:t>可能</w:t>
      </w:r>
      <w:r w:rsidRPr="00C702D7">
        <w:rPr>
          <w:rFonts w:hint="eastAsia"/>
        </w:rPr>
        <w:t>要求</w:t>
      </w:r>
      <w:r w:rsidR="00CB3E53" w:rsidRPr="00C702D7">
        <w:rPr>
          <w:rFonts w:hint="eastAsia"/>
        </w:rPr>
        <w:t>供应链</w:t>
      </w:r>
      <w:r w:rsidRPr="00C702D7">
        <w:rPr>
          <w:rFonts w:hint="eastAsia"/>
        </w:rPr>
        <w:t>上游企业提升原材料的绿色程度</w:t>
      </w:r>
      <w:r w:rsidR="00C753A5" w:rsidRPr="00C702D7">
        <w:rPr>
          <w:rFonts w:hint="eastAsia"/>
        </w:rPr>
        <w:t>，</w:t>
      </w:r>
      <w:r w:rsidRPr="00C702D7">
        <w:rPr>
          <w:rFonts w:hint="eastAsia"/>
        </w:rPr>
        <w:t>以降低自身的生产能耗，并积极为下游企业提供更加绿色环保的原材料。</w:t>
      </w:r>
      <w:r w:rsidR="00CB3E53" w:rsidRPr="00C702D7">
        <w:rPr>
          <w:rFonts w:hint="eastAsia"/>
        </w:rPr>
        <w:t>若企业</w:t>
      </w:r>
      <w:r w:rsidRPr="00C702D7">
        <w:rPr>
          <w:rFonts w:hint="eastAsia"/>
        </w:rPr>
        <w:t>处于供应链核心位置，</w:t>
      </w:r>
      <w:r w:rsidR="00821DE1" w:rsidRPr="00C702D7">
        <w:rPr>
          <w:rFonts w:hint="eastAsia"/>
        </w:rPr>
        <w:t>不仅可以</w:t>
      </w:r>
      <w:r w:rsidRPr="00C702D7">
        <w:rPr>
          <w:rFonts w:hint="eastAsia"/>
        </w:rPr>
        <w:t>在供应链中树立</w:t>
      </w:r>
      <w:r w:rsidR="00CB3E53" w:rsidRPr="00C702D7">
        <w:rPr>
          <w:rFonts w:hint="eastAsia"/>
        </w:rPr>
        <w:t>相关</w:t>
      </w:r>
      <w:r w:rsidRPr="00C702D7">
        <w:rPr>
          <w:rFonts w:hint="eastAsia"/>
        </w:rPr>
        <w:t>规范和标准，</w:t>
      </w:r>
      <w:r w:rsidR="00CB3E53" w:rsidRPr="00C702D7">
        <w:rPr>
          <w:rFonts w:hint="eastAsia"/>
        </w:rPr>
        <w:t>还会</w:t>
      </w:r>
      <w:r w:rsidRPr="00C702D7">
        <w:rPr>
          <w:rFonts w:hint="eastAsia"/>
        </w:rPr>
        <w:t>通过生产和信息</w:t>
      </w:r>
      <w:r w:rsidR="00CB3E53" w:rsidRPr="00C702D7">
        <w:rPr>
          <w:rFonts w:hint="eastAsia"/>
        </w:rPr>
        <w:t>共享</w:t>
      </w:r>
      <w:r w:rsidRPr="00C702D7">
        <w:rPr>
          <w:rFonts w:hint="eastAsia"/>
        </w:rPr>
        <w:t>协同作用，将</w:t>
      </w:r>
      <w:r w:rsidR="00CB3E53" w:rsidRPr="00C702D7">
        <w:rPr>
          <w:rFonts w:hint="eastAsia"/>
        </w:rPr>
        <w:t>减碳的</w:t>
      </w:r>
      <w:r w:rsidRPr="00C702D7">
        <w:rPr>
          <w:rFonts w:hint="eastAsia"/>
        </w:rPr>
        <w:t>绿色转型战略逐层传递至</w:t>
      </w:r>
      <w:r w:rsidR="00CB3E53" w:rsidRPr="00C702D7">
        <w:rPr>
          <w:rFonts w:hint="eastAsia"/>
        </w:rPr>
        <w:t>供应链</w:t>
      </w:r>
      <w:r w:rsidRPr="00C702D7">
        <w:rPr>
          <w:rFonts w:hint="eastAsia"/>
        </w:rPr>
        <w:t>关联企业，促进</w:t>
      </w:r>
      <w:r w:rsidR="00CB3E53" w:rsidRPr="00C702D7">
        <w:rPr>
          <w:rFonts w:hint="eastAsia"/>
        </w:rPr>
        <w:t>供应链上下游</w:t>
      </w:r>
      <w:r w:rsidRPr="00C702D7">
        <w:rPr>
          <w:rFonts w:hint="eastAsia"/>
        </w:rPr>
        <w:t>企业</w:t>
      </w:r>
      <w:r w:rsidR="00821DE1" w:rsidRPr="00C702D7">
        <w:rPr>
          <w:rFonts w:hint="eastAsia"/>
        </w:rPr>
        <w:t>实现</w:t>
      </w:r>
      <w:r w:rsidRPr="00C702D7">
        <w:rPr>
          <w:rFonts w:hint="eastAsia"/>
        </w:rPr>
        <w:t>碳减排。</w:t>
      </w:r>
    </w:p>
    <w:p w14:paraId="07D8838D" w14:textId="77777777" w:rsidR="00E62E68" w:rsidRPr="00C702D7" w:rsidRDefault="00CB3E53" w:rsidP="00792508">
      <w:pPr>
        <w:spacing w:line="400" w:lineRule="exact"/>
        <w:ind w:firstLine="420"/>
      </w:pPr>
      <w:r w:rsidRPr="00C702D7">
        <w:rPr>
          <w:rFonts w:hint="eastAsia"/>
        </w:rPr>
        <w:t>进一步地，</w:t>
      </w:r>
      <w:r w:rsidR="00217B5D" w:rsidRPr="00C702D7">
        <w:rPr>
          <w:rFonts w:hint="eastAsia"/>
        </w:rPr>
        <w:t>若</w:t>
      </w:r>
      <w:r w:rsidR="00F749A9" w:rsidRPr="00C702D7">
        <w:rPr>
          <w:rFonts w:hint="eastAsia"/>
        </w:rPr>
        <w:t>较多</w:t>
      </w:r>
      <w:r w:rsidR="00217B5D" w:rsidRPr="00C702D7">
        <w:rPr>
          <w:rFonts w:hint="eastAsia"/>
        </w:rPr>
        <w:t>供应链</w:t>
      </w:r>
      <w:r w:rsidR="00F749A9" w:rsidRPr="00C702D7">
        <w:rPr>
          <w:rFonts w:hint="eastAsia"/>
        </w:rPr>
        <w:t>上下游企业</w:t>
      </w:r>
      <w:r w:rsidR="00217B5D" w:rsidRPr="00C702D7">
        <w:rPr>
          <w:rFonts w:hint="eastAsia"/>
        </w:rPr>
        <w:t>集中分布于</w:t>
      </w:r>
      <w:r w:rsidR="0032414E" w:rsidRPr="00C702D7">
        <w:rPr>
          <w:rFonts w:hint="eastAsia"/>
        </w:rPr>
        <w:t>某一</w:t>
      </w:r>
      <w:r w:rsidR="00217B5D" w:rsidRPr="00C702D7">
        <w:rPr>
          <w:rFonts w:hint="eastAsia"/>
        </w:rPr>
        <w:t>地区，</w:t>
      </w:r>
      <w:r w:rsidRPr="00C702D7">
        <w:rPr>
          <w:rFonts w:hint="eastAsia"/>
        </w:rPr>
        <w:t>机构投资者</w:t>
      </w:r>
      <w:r w:rsidR="00F660C3" w:rsidRPr="00C702D7">
        <w:rPr>
          <w:rFonts w:hint="eastAsia"/>
        </w:rPr>
        <w:t>绿色关注的核心企业</w:t>
      </w:r>
      <w:r w:rsidR="0032414E" w:rsidRPr="00C702D7">
        <w:rPr>
          <w:rFonts w:hint="eastAsia"/>
        </w:rPr>
        <w:t>更容易</w:t>
      </w:r>
      <w:r w:rsidR="00F660C3" w:rsidRPr="00C702D7">
        <w:rPr>
          <w:rFonts w:hint="eastAsia"/>
        </w:rPr>
        <w:t>构建绿色环保的供应链体系，通过淘汰供应链中高能耗、高污染成员，吸纳使用清洁能源</w:t>
      </w:r>
      <w:r w:rsidRPr="00C702D7">
        <w:rPr>
          <w:rFonts w:hint="eastAsia"/>
        </w:rPr>
        <w:t>和</w:t>
      </w:r>
      <w:r w:rsidR="00F660C3" w:rsidRPr="00C702D7">
        <w:rPr>
          <w:rFonts w:hint="eastAsia"/>
        </w:rPr>
        <w:t>环境治理水平较高成员</w:t>
      </w:r>
      <w:r w:rsidRPr="00C702D7">
        <w:rPr>
          <w:rFonts w:hint="eastAsia"/>
        </w:rPr>
        <w:t>等优化</w:t>
      </w:r>
      <w:r w:rsidR="00F660C3" w:rsidRPr="00C702D7">
        <w:rPr>
          <w:rFonts w:hint="eastAsia"/>
        </w:rPr>
        <w:t>机制</w:t>
      </w:r>
      <w:r w:rsidR="00217B5D" w:rsidRPr="00C702D7">
        <w:rPr>
          <w:rFonts w:hint="eastAsia"/>
        </w:rPr>
        <w:t>的作用，</w:t>
      </w:r>
      <w:r w:rsidR="0032414E" w:rsidRPr="00C702D7">
        <w:rPr>
          <w:rFonts w:hint="eastAsia"/>
        </w:rPr>
        <w:t>那么</w:t>
      </w:r>
      <w:r w:rsidR="00217B5D" w:rsidRPr="00C702D7">
        <w:rPr>
          <w:rFonts w:hint="eastAsia"/>
        </w:rPr>
        <w:t>通过</w:t>
      </w:r>
      <w:r w:rsidR="00F660C3" w:rsidRPr="00C702D7">
        <w:rPr>
          <w:rFonts w:hint="eastAsia"/>
        </w:rPr>
        <w:t>提升</w:t>
      </w:r>
      <w:r w:rsidRPr="00C702D7">
        <w:rPr>
          <w:rFonts w:hint="eastAsia"/>
        </w:rPr>
        <w:t>供应链</w:t>
      </w:r>
      <w:r w:rsidR="00F660C3" w:rsidRPr="00C702D7">
        <w:rPr>
          <w:rFonts w:hint="eastAsia"/>
        </w:rPr>
        <w:t>碳减排</w:t>
      </w:r>
      <w:r w:rsidR="00105D23" w:rsidRPr="00C702D7">
        <w:rPr>
          <w:rFonts w:hint="eastAsia"/>
        </w:rPr>
        <w:t>水平</w:t>
      </w:r>
      <w:r w:rsidR="0032414E" w:rsidRPr="00C702D7">
        <w:rPr>
          <w:rFonts w:hint="eastAsia"/>
        </w:rPr>
        <w:t>有助于</w:t>
      </w:r>
      <w:r w:rsidR="00F749A9" w:rsidRPr="00C702D7">
        <w:rPr>
          <w:rFonts w:hint="eastAsia"/>
        </w:rPr>
        <w:t>推动</w:t>
      </w:r>
      <w:r w:rsidR="00217B5D" w:rsidRPr="00C702D7">
        <w:rPr>
          <w:rFonts w:hint="eastAsia"/>
        </w:rPr>
        <w:t>地区减排治理</w:t>
      </w:r>
      <w:r w:rsidR="00F660C3" w:rsidRPr="00C702D7">
        <w:rPr>
          <w:rFonts w:hint="eastAsia"/>
        </w:rPr>
        <w:t>。</w:t>
      </w:r>
      <w:r w:rsidR="00821DE1" w:rsidRPr="00C702D7">
        <w:rPr>
          <w:rFonts w:hint="eastAsia"/>
        </w:rPr>
        <w:t>若同一地区内供应链集中度越高，供应链核心企业影响上下游企业绿色经营决策的能力越强，机构投资者绿色关注企业的</w:t>
      </w:r>
      <w:r w:rsidR="00217B5D" w:rsidRPr="00C702D7">
        <w:rPr>
          <w:rFonts w:hint="eastAsia"/>
        </w:rPr>
        <w:t>地区</w:t>
      </w:r>
      <w:r w:rsidR="00821DE1" w:rsidRPr="00C702D7">
        <w:rPr>
          <w:rFonts w:hint="eastAsia"/>
        </w:rPr>
        <w:t>减排溢出效应将</w:t>
      </w:r>
      <w:r w:rsidR="005236F3" w:rsidRPr="00C702D7">
        <w:rPr>
          <w:rFonts w:hint="eastAsia"/>
        </w:rPr>
        <w:t>更加</w:t>
      </w:r>
      <w:r w:rsidR="00821DE1" w:rsidRPr="00C702D7">
        <w:rPr>
          <w:rFonts w:hint="eastAsia"/>
        </w:rPr>
        <w:t>显著。</w:t>
      </w:r>
      <w:r w:rsidRPr="00C702D7">
        <w:rPr>
          <w:rFonts w:hint="eastAsia"/>
        </w:rPr>
        <w:t>因此，机构投资者绿色关注的</w:t>
      </w:r>
      <w:r w:rsidR="00887877" w:rsidRPr="00C702D7">
        <w:rPr>
          <w:rFonts w:hint="eastAsia"/>
        </w:rPr>
        <w:t>减排效应</w:t>
      </w:r>
      <w:r w:rsidRPr="00C702D7">
        <w:rPr>
          <w:rFonts w:hint="eastAsia"/>
        </w:rPr>
        <w:t>可能</w:t>
      </w:r>
      <w:r w:rsidR="00F660C3" w:rsidRPr="00C702D7">
        <w:rPr>
          <w:rFonts w:hint="eastAsia"/>
        </w:rPr>
        <w:t>以</w:t>
      </w:r>
      <w:r w:rsidRPr="00C702D7">
        <w:rPr>
          <w:rFonts w:hint="eastAsia"/>
        </w:rPr>
        <w:t>供应链</w:t>
      </w:r>
      <w:r w:rsidR="00F660C3" w:rsidRPr="00C702D7">
        <w:rPr>
          <w:rFonts w:hint="eastAsia"/>
        </w:rPr>
        <w:t>核心企业为中心逐层传递，</w:t>
      </w:r>
      <w:r w:rsidR="00821DE1" w:rsidRPr="00C702D7">
        <w:rPr>
          <w:rFonts w:hint="eastAsia"/>
        </w:rPr>
        <w:t>并在</w:t>
      </w:r>
      <w:r w:rsidR="00F660C3" w:rsidRPr="00C702D7">
        <w:rPr>
          <w:rFonts w:hint="eastAsia"/>
        </w:rPr>
        <w:t>区域供应链集中</w:t>
      </w:r>
      <w:r w:rsidRPr="00C702D7">
        <w:rPr>
          <w:rFonts w:hint="eastAsia"/>
        </w:rPr>
        <w:t>度</w:t>
      </w:r>
      <w:r w:rsidR="00105D23" w:rsidRPr="00C702D7">
        <w:rPr>
          <w:rFonts w:hint="eastAsia"/>
        </w:rPr>
        <w:t>较</w:t>
      </w:r>
      <w:r w:rsidRPr="00C702D7">
        <w:rPr>
          <w:rFonts w:hint="eastAsia"/>
        </w:rPr>
        <w:t>高时</w:t>
      </w:r>
      <w:r w:rsidR="00F660C3" w:rsidRPr="00C702D7">
        <w:rPr>
          <w:rFonts w:hint="eastAsia"/>
        </w:rPr>
        <w:t>，</w:t>
      </w:r>
      <w:r w:rsidR="00821DE1" w:rsidRPr="00C702D7">
        <w:rPr>
          <w:rFonts w:hint="eastAsia"/>
        </w:rPr>
        <w:t>发挥</w:t>
      </w:r>
      <w:r w:rsidRPr="00C702D7">
        <w:rPr>
          <w:rFonts w:hint="eastAsia"/>
        </w:rPr>
        <w:t>更加显著</w:t>
      </w:r>
      <w:r w:rsidR="00821DE1" w:rsidRPr="00C702D7">
        <w:rPr>
          <w:rFonts w:hint="eastAsia"/>
        </w:rPr>
        <w:t>的作用</w:t>
      </w:r>
      <w:r w:rsidR="00F660C3" w:rsidRPr="00C702D7">
        <w:rPr>
          <w:rFonts w:hint="eastAsia"/>
        </w:rPr>
        <w:t>。</w:t>
      </w:r>
      <w:r w:rsidRPr="00C702D7">
        <w:rPr>
          <w:rFonts w:hint="eastAsia"/>
        </w:rPr>
        <w:t>综合上述分析，本文提出如下假说：</w:t>
      </w:r>
    </w:p>
    <w:p w14:paraId="183B6149" w14:textId="77777777" w:rsidR="00E62E68" w:rsidRPr="00C702D7" w:rsidRDefault="00E62E68" w:rsidP="00821DE1">
      <w:pPr>
        <w:spacing w:line="400" w:lineRule="exact"/>
        <w:ind w:firstLine="420"/>
      </w:pPr>
      <w:r w:rsidRPr="00C702D7">
        <w:rPr>
          <w:rFonts w:hint="eastAsia"/>
        </w:rPr>
        <w:t>H</w:t>
      </w:r>
      <w:r w:rsidRPr="00C702D7">
        <w:t>3</w:t>
      </w:r>
      <w:r w:rsidR="00150B25" w:rsidRPr="00C702D7">
        <w:rPr>
          <w:rFonts w:hint="eastAsia"/>
        </w:rPr>
        <w:t>：</w:t>
      </w:r>
      <w:r w:rsidR="00405F95" w:rsidRPr="00C702D7">
        <w:rPr>
          <w:rFonts w:hint="eastAsia"/>
        </w:rPr>
        <w:t>在其他条件不变的情况下，</w:t>
      </w:r>
      <w:r w:rsidRPr="00C702D7">
        <w:rPr>
          <w:rFonts w:hint="eastAsia"/>
        </w:rPr>
        <w:t>机构投资者绿色关注</w:t>
      </w:r>
      <w:r w:rsidR="00405F95" w:rsidRPr="00C702D7">
        <w:rPr>
          <w:rFonts w:hint="eastAsia"/>
        </w:rPr>
        <w:t>与地区碳排放水平负相关，且</w:t>
      </w:r>
      <w:r w:rsidRPr="00C702D7">
        <w:rPr>
          <w:rFonts w:hint="eastAsia"/>
        </w:rPr>
        <w:t>供应链</w:t>
      </w:r>
      <w:r w:rsidR="00405F95" w:rsidRPr="00C702D7">
        <w:rPr>
          <w:rFonts w:hint="eastAsia"/>
        </w:rPr>
        <w:t>集中度较高时机构投资者绿色关注的地区减排效果更显著</w:t>
      </w:r>
      <w:r w:rsidRPr="00C702D7">
        <w:rPr>
          <w:rFonts w:hint="eastAsia"/>
        </w:rPr>
        <w:t>。</w:t>
      </w:r>
    </w:p>
    <w:p w14:paraId="390FF5AD" w14:textId="77777777" w:rsidR="00D457FC" w:rsidRPr="00C702D7" w:rsidRDefault="00D457FC" w:rsidP="00776687">
      <w:pPr>
        <w:spacing w:beforeLines="50" w:before="156" w:afterLines="50" w:after="156" w:line="400" w:lineRule="exact"/>
        <w:ind w:firstLineChars="0" w:firstLine="0"/>
        <w:jc w:val="center"/>
        <w:outlineLvl w:val="0"/>
        <w:rPr>
          <w:rFonts w:ascii="黑体" w:eastAsia="黑体" w:hAnsi="黑体"/>
          <w:sz w:val="24"/>
          <w:szCs w:val="28"/>
        </w:rPr>
      </w:pPr>
      <w:bookmarkStart w:id="7" w:name="_Hlk146662800"/>
      <w:bookmarkStart w:id="8" w:name="_Hlk146661464"/>
      <w:r w:rsidRPr="00C702D7">
        <w:rPr>
          <w:rFonts w:ascii="黑体" w:eastAsia="黑体" w:hAnsi="黑体" w:hint="eastAsia"/>
          <w:sz w:val="24"/>
          <w:szCs w:val="28"/>
        </w:rPr>
        <w:lastRenderedPageBreak/>
        <w:t>四、数据、样本与变量</w:t>
      </w:r>
    </w:p>
    <w:p w14:paraId="3450C49E" w14:textId="77777777" w:rsidR="00D457FC" w:rsidRPr="00C702D7" w:rsidRDefault="00D457FC" w:rsidP="009F2FCC">
      <w:pPr>
        <w:spacing w:line="400" w:lineRule="exact"/>
        <w:ind w:firstLine="420"/>
        <w:outlineLvl w:val="0"/>
        <w:rPr>
          <w:rFonts w:ascii="楷体" w:eastAsia="楷体" w:hAnsi="楷体" w:cs="Times New Roman"/>
          <w:bCs/>
          <w:szCs w:val="21"/>
        </w:rPr>
      </w:pPr>
      <w:r w:rsidRPr="00C702D7">
        <w:rPr>
          <w:rFonts w:ascii="楷体" w:eastAsia="楷体" w:hAnsi="楷体" w:cs="Times New Roman" w:hint="eastAsia"/>
          <w:bCs/>
          <w:szCs w:val="21"/>
        </w:rPr>
        <w:t>（一）实证模型设定</w:t>
      </w:r>
    </w:p>
    <w:p w14:paraId="1993A1EA" w14:textId="77777777" w:rsidR="00D457FC" w:rsidRPr="00C702D7" w:rsidRDefault="00D457FC" w:rsidP="00D457FC">
      <w:pPr>
        <w:spacing w:line="400" w:lineRule="exact"/>
        <w:ind w:firstLine="420"/>
        <w:jc w:val="left"/>
        <w:rPr>
          <w:rFonts w:ascii="宋体" w:hAnsi="宋体" w:cs="Times New Roman"/>
          <w:bCs/>
          <w:szCs w:val="21"/>
        </w:rPr>
      </w:pPr>
      <w:r w:rsidRPr="00C702D7">
        <w:rPr>
          <w:rFonts w:ascii="宋体" w:hAnsi="宋体" w:cs="Times New Roman" w:hint="eastAsia"/>
          <w:bCs/>
          <w:szCs w:val="21"/>
        </w:rPr>
        <w:t>本文设置如下基准模型来探究机构投资者绿色关注对受关注企业碳排放的总体效应，检验绿色关注度与企业碳排放强度及排放增量的基准关系，具体模型如下：</w:t>
      </w:r>
    </w:p>
    <w:p w14:paraId="4FB7508B" w14:textId="77777777" w:rsidR="00D457FC" w:rsidRPr="00C702D7" w:rsidRDefault="00D457FC" w:rsidP="00D457FC">
      <w:pPr>
        <w:spacing w:line="400" w:lineRule="exact"/>
        <w:ind w:firstLineChars="0" w:firstLine="0"/>
        <w:jc w:val="right"/>
        <w:rPr>
          <w:rFonts w:ascii="宋体" w:hAnsi="宋体" w:cs="Times New Roman"/>
          <w:bCs/>
          <w:szCs w:val="21"/>
        </w:rPr>
      </w:pPr>
      <w:r w:rsidRPr="00C702D7">
        <w:rPr>
          <w:rFonts w:ascii="宋体" w:hAnsi="宋体" w:cs="Times New Roman"/>
          <w:bCs/>
          <w:position w:val="-14"/>
          <w:szCs w:val="21"/>
        </w:rPr>
        <w:object w:dxaOrig="8100" w:dyaOrig="380" w14:anchorId="69A6F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9pt;height:19.4pt" o:ole="">
            <v:imagedata r:id="rId9" o:title=""/>
          </v:shape>
          <o:OLEObject Type="Embed" ProgID="Equation.DSMT4" ShapeID="_x0000_i1025" DrawAspect="Content" ObjectID="_1760174171" r:id="rId10"/>
        </w:object>
      </w:r>
      <w:r w:rsidRPr="00C702D7">
        <w:rPr>
          <w:rFonts w:ascii="宋体" w:hAnsi="宋体" w:cs="Times New Roman" w:hint="eastAsia"/>
          <w:bCs/>
          <w:szCs w:val="21"/>
        </w:rPr>
        <w:t>（1）</w:t>
      </w:r>
    </w:p>
    <w:p w14:paraId="4699C9B9" w14:textId="77777777" w:rsidR="00D457FC" w:rsidRPr="00C702D7" w:rsidRDefault="00D457FC" w:rsidP="00D457FC">
      <w:pPr>
        <w:spacing w:line="400" w:lineRule="exact"/>
        <w:ind w:firstLine="420"/>
        <w:rPr>
          <w:rFonts w:ascii="楷体" w:eastAsia="楷体" w:hAnsi="楷体" w:cs="Times New Roman"/>
          <w:bCs/>
          <w:szCs w:val="21"/>
        </w:rPr>
      </w:pPr>
      <w:r w:rsidRPr="00C702D7">
        <w:rPr>
          <w:rFonts w:ascii="宋体" w:hAnsi="宋体" w:cs="Times New Roman" w:hint="eastAsia"/>
          <w:bCs/>
          <w:szCs w:val="21"/>
        </w:rPr>
        <w:t>其中，</w:t>
      </w:r>
      <w:r w:rsidRPr="00C702D7">
        <w:rPr>
          <w:rFonts w:cs="Times New Roman" w:hint="eastAsia"/>
          <w:i/>
          <w:iCs/>
          <w:szCs w:val="21"/>
        </w:rPr>
        <w:t>Cmiss</w:t>
      </w:r>
      <w:r w:rsidRPr="00C702D7">
        <w:rPr>
          <w:rFonts w:cs="Times New Roman"/>
          <w:i/>
          <w:iCs/>
          <w:szCs w:val="21"/>
          <w:vertAlign w:val="subscript"/>
        </w:rPr>
        <w:t>i,t+1</w:t>
      </w:r>
      <w:r w:rsidRPr="00C702D7">
        <w:rPr>
          <w:rFonts w:cs="Times New Roman" w:hint="eastAsia"/>
          <w:szCs w:val="21"/>
        </w:rPr>
        <w:t>衡量了企业</w:t>
      </w:r>
      <w:proofErr w:type="spellStart"/>
      <w:r w:rsidRPr="00C702D7">
        <w:rPr>
          <w:rFonts w:cs="Times New Roman" w:hint="eastAsia"/>
          <w:i/>
          <w:iCs/>
          <w:szCs w:val="21"/>
        </w:rPr>
        <w:t>i</w:t>
      </w:r>
      <w:proofErr w:type="spellEnd"/>
      <w:r w:rsidRPr="00C702D7">
        <w:rPr>
          <w:rFonts w:cs="Times New Roman" w:hint="eastAsia"/>
          <w:szCs w:val="21"/>
        </w:rPr>
        <w:t>第</w:t>
      </w:r>
      <w:r w:rsidRPr="00C702D7">
        <w:rPr>
          <w:rFonts w:cs="Times New Roman" w:hint="eastAsia"/>
          <w:i/>
          <w:iCs/>
          <w:szCs w:val="21"/>
        </w:rPr>
        <w:t>t+1</w:t>
      </w:r>
      <w:r w:rsidRPr="00C702D7">
        <w:rPr>
          <w:rFonts w:cs="Times New Roman" w:hint="eastAsia"/>
          <w:szCs w:val="21"/>
        </w:rPr>
        <w:t>年的碳排放，包括企业碳排放强度（</w:t>
      </w:r>
      <w:proofErr w:type="spellStart"/>
      <w:r w:rsidRPr="00C702D7">
        <w:rPr>
          <w:rFonts w:cs="Times New Roman" w:hint="eastAsia"/>
          <w:i/>
          <w:iCs/>
          <w:szCs w:val="21"/>
        </w:rPr>
        <w:t>Cmiss</w:t>
      </w:r>
      <w:r w:rsidRPr="00C702D7">
        <w:rPr>
          <w:rFonts w:cs="Times New Roman"/>
          <w:i/>
          <w:iCs/>
          <w:szCs w:val="21"/>
        </w:rPr>
        <w:t>_</w:t>
      </w:r>
      <w:r w:rsidRPr="00C702D7">
        <w:rPr>
          <w:rFonts w:cs="Times New Roman" w:hint="eastAsia"/>
          <w:i/>
          <w:iCs/>
          <w:szCs w:val="21"/>
        </w:rPr>
        <w:t>total</w:t>
      </w:r>
      <w:proofErr w:type="spellEnd"/>
      <w:r w:rsidRPr="00C702D7">
        <w:rPr>
          <w:rFonts w:cs="Times New Roman" w:hint="eastAsia"/>
          <w:szCs w:val="21"/>
        </w:rPr>
        <w:t>）和排放增量（</w:t>
      </w:r>
      <w:proofErr w:type="spellStart"/>
      <w:r w:rsidRPr="00C702D7">
        <w:rPr>
          <w:rFonts w:cs="Times New Roman" w:hint="eastAsia"/>
          <w:i/>
          <w:iCs/>
          <w:szCs w:val="21"/>
        </w:rPr>
        <w:t>d</w:t>
      </w:r>
      <w:r w:rsidRPr="00C702D7">
        <w:rPr>
          <w:rFonts w:cs="Times New Roman"/>
          <w:i/>
          <w:iCs/>
          <w:szCs w:val="21"/>
        </w:rPr>
        <w:t>Cmiss</w:t>
      </w:r>
      <w:proofErr w:type="spellEnd"/>
      <w:r w:rsidRPr="00C702D7">
        <w:rPr>
          <w:rFonts w:cs="Times New Roman" w:hint="eastAsia"/>
          <w:szCs w:val="21"/>
        </w:rPr>
        <w:t>）两方面指标。</w:t>
      </w:r>
      <w:proofErr w:type="spellStart"/>
      <w:r w:rsidRPr="00C702D7">
        <w:rPr>
          <w:rFonts w:cs="Times New Roman" w:hint="eastAsia"/>
          <w:i/>
          <w:iCs/>
          <w:kern w:val="0"/>
          <w:szCs w:val="21"/>
        </w:rPr>
        <w:t>G</w:t>
      </w:r>
      <w:r w:rsidRPr="00C702D7">
        <w:rPr>
          <w:rFonts w:cs="Times New Roman"/>
          <w:i/>
          <w:iCs/>
          <w:kern w:val="0"/>
          <w:szCs w:val="21"/>
        </w:rPr>
        <w:t>atten</w:t>
      </w:r>
      <w:r w:rsidRPr="00C702D7">
        <w:rPr>
          <w:rFonts w:cs="Times New Roman"/>
          <w:i/>
          <w:iCs/>
          <w:kern w:val="0"/>
          <w:szCs w:val="21"/>
          <w:vertAlign w:val="subscript"/>
        </w:rPr>
        <w:t>i,t</w:t>
      </w:r>
      <w:proofErr w:type="spellEnd"/>
      <w:r w:rsidRPr="00C702D7">
        <w:rPr>
          <w:rFonts w:cs="Times New Roman" w:hint="eastAsia"/>
          <w:szCs w:val="21"/>
        </w:rPr>
        <w:t>为机构投资者绿色关注度指标，基于企业</w:t>
      </w:r>
      <w:proofErr w:type="spellStart"/>
      <w:r w:rsidRPr="00C702D7">
        <w:rPr>
          <w:rFonts w:cs="Times New Roman" w:hint="eastAsia"/>
          <w:i/>
          <w:iCs/>
          <w:szCs w:val="21"/>
        </w:rPr>
        <w:t>i</w:t>
      </w:r>
      <w:proofErr w:type="spellEnd"/>
      <w:r w:rsidRPr="00C702D7">
        <w:rPr>
          <w:rFonts w:cs="Times New Roman" w:hint="eastAsia"/>
          <w:szCs w:val="21"/>
        </w:rPr>
        <w:t>于第</w:t>
      </w:r>
      <w:r w:rsidRPr="00C702D7">
        <w:rPr>
          <w:rFonts w:cs="Times New Roman" w:hint="eastAsia"/>
          <w:i/>
          <w:iCs/>
          <w:szCs w:val="21"/>
        </w:rPr>
        <w:t>t</w:t>
      </w:r>
      <w:r w:rsidRPr="00C702D7">
        <w:rPr>
          <w:rFonts w:cs="Times New Roman" w:hint="eastAsia"/>
          <w:szCs w:val="21"/>
        </w:rPr>
        <w:t>年投资者调研提问的绿色相关比例计算得到。</w:t>
      </w:r>
      <w:proofErr w:type="spellStart"/>
      <w:r w:rsidRPr="00C702D7">
        <w:rPr>
          <w:rFonts w:cs="Times New Roman" w:hint="eastAsia"/>
          <w:i/>
          <w:iCs/>
          <w:szCs w:val="21"/>
        </w:rPr>
        <w:t>Controls</w:t>
      </w:r>
      <w:r w:rsidRPr="00C702D7">
        <w:rPr>
          <w:rFonts w:cs="Times New Roman"/>
          <w:i/>
          <w:iCs/>
          <w:szCs w:val="21"/>
          <w:vertAlign w:val="subscript"/>
        </w:rPr>
        <w:t>i,t</w:t>
      </w:r>
      <w:proofErr w:type="spellEnd"/>
      <w:r w:rsidRPr="00C702D7">
        <w:rPr>
          <w:rFonts w:cs="Times New Roman" w:hint="eastAsia"/>
          <w:szCs w:val="21"/>
        </w:rPr>
        <w:t>是一系列企业财务特征和地方特征的控制变量。同时，我们还加入年度固定效应（</w:t>
      </w:r>
      <w:r w:rsidRPr="00C702D7">
        <w:rPr>
          <w:rFonts w:cs="Times New Roman" w:hint="eastAsia"/>
          <w:i/>
          <w:iCs/>
          <w:szCs w:val="21"/>
        </w:rPr>
        <w:t xml:space="preserve">Year fixed </w:t>
      </w:r>
      <w:r w:rsidRPr="00C702D7">
        <w:rPr>
          <w:rFonts w:cs="Times New Roman"/>
          <w:i/>
          <w:iCs/>
          <w:szCs w:val="21"/>
        </w:rPr>
        <w:t>e</w:t>
      </w:r>
      <w:r w:rsidRPr="00C702D7">
        <w:rPr>
          <w:rFonts w:cs="Times New Roman" w:hint="eastAsia"/>
          <w:i/>
          <w:iCs/>
          <w:szCs w:val="21"/>
        </w:rPr>
        <w:t>ffects</w:t>
      </w:r>
      <w:r w:rsidRPr="00C702D7">
        <w:rPr>
          <w:rFonts w:cs="Times New Roman" w:hint="eastAsia"/>
          <w:szCs w:val="21"/>
        </w:rPr>
        <w:t>）和行业固定效应（</w:t>
      </w:r>
      <w:r w:rsidRPr="00C702D7">
        <w:rPr>
          <w:rFonts w:cs="Times New Roman" w:hint="eastAsia"/>
          <w:i/>
          <w:iCs/>
          <w:szCs w:val="21"/>
        </w:rPr>
        <w:t xml:space="preserve">Industry </w:t>
      </w:r>
      <w:r w:rsidRPr="00C702D7">
        <w:rPr>
          <w:rFonts w:cs="Times New Roman"/>
          <w:i/>
          <w:iCs/>
          <w:szCs w:val="21"/>
        </w:rPr>
        <w:t>f</w:t>
      </w:r>
      <w:r w:rsidRPr="00C702D7">
        <w:rPr>
          <w:rFonts w:cs="Times New Roman" w:hint="eastAsia"/>
          <w:i/>
          <w:iCs/>
          <w:szCs w:val="21"/>
        </w:rPr>
        <w:t xml:space="preserve">ixed </w:t>
      </w:r>
      <w:r w:rsidRPr="00C702D7">
        <w:rPr>
          <w:rFonts w:cs="Times New Roman"/>
          <w:i/>
          <w:iCs/>
          <w:szCs w:val="21"/>
        </w:rPr>
        <w:t>e</w:t>
      </w:r>
      <w:r w:rsidRPr="00C702D7">
        <w:rPr>
          <w:rFonts w:cs="Times New Roman" w:hint="eastAsia"/>
          <w:i/>
          <w:iCs/>
          <w:szCs w:val="21"/>
        </w:rPr>
        <w:t>ffects</w:t>
      </w:r>
      <w:r w:rsidRPr="00C702D7">
        <w:rPr>
          <w:rFonts w:cs="Times New Roman" w:hint="eastAsia"/>
          <w:szCs w:val="21"/>
        </w:rPr>
        <w:t>），以控制各年份的宏观经济和政策因素及随时间不变的企业特征变量对实证结果的影响。模型（</w:t>
      </w:r>
      <w:r w:rsidRPr="00C702D7">
        <w:rPr>
          <w:rFonts w:cs="Times New Roman" w:hint="eastAsia"/>
          <w:szCs w:val="21"/>
        </w:rPr>
        <w:t>1</w:t>
      </w:r>
      <w:r w:rsidRPr="00C702D7">
        <w:rPr>
          <w:rFonts w:cs="Times New Roman" w:hint="eastAsia"/>
          <w:szCs w:val="21"/>
        </w:rPr>
        <w:t>）中我们重点关注</w:t>
      </w:r>
      <w:proofErr w:type="spellStart"/>
      <w:r w:rsidRPr="00C702D7">
        <w:rPr>
          <w:rFonts w:cs="Times New Roman" w:hint="eastAsia"/>
          <w:i/>
          <w:iCs/>
          <w:kern w:val="0"/>
          <w:szCs w:val="21"/>
        </w:rPr>
        <w:t>G</w:t>
      </w:r>
      <w:r w:rsidRPr="00C702D7">
        <w:rPr>
          <w:rFonts w:cs="Times New Roman"/>
          <w:i/>
          <w:iCs/>
          <w:kern w:val="0"/>
          <w:szCs w:val="21"/>
        </w:rPr>
        <w:t>atten</w:t>
      </w:r>
      <w:r w:rsidRPr="00C702D7">
        <w:rPr>
          <w:rFonts w:cs="Times New Roman"/>
          <w:i/>
          <w:iCs/>
          <w:kern w:val="0"/>
          <w:szCs w:val="21"/>
          <w:vertAlign w:val="subscript"/>
        </w:rPr>
        <w:t>i,t</w:t>
      </w:r>
      <w:proofErr w:type="spellEnd"/>
      <w:r w:rsidRPr="00C702D7">
        <w:rPr>
          <w:rFonts w:cs="Times New Roman" w:hint="eastAsia"/>
          <w:szCs w:val="21"/>
        </w:rPr>
        <w:t>对</w:t>
      </w:r>
      <w:r w:rsidRPr="00C702D7">
        <w:rPr>
          <w:rFonts w:cs="Times New Roman" w:hint="eastAsia"/>
          <w:i/>
          <w:iCs/>
          <w:szCs w:val="21"/>
        </w:rPr>
        <w:t>Cmiss</w:t>
      </w:r>
      <w:r w:rsidRPr="00C702D7">
        <w:rPr>
          <w:rFonts w:cs="Times New Roman"/>
          <w:i/>
          <w:iCs/>
          <w:szCs w:val="21"/>
          <w:vertAlign w:val="subscript"/>
        </w:rPr>
        <w:t>i,t+1</w:t>
      </w:r>
      <w:r w:rsidRPr="00C702D7">
        <w:rPr>
          <w:rFonts w:cs="Times New Roman" w:hint="eastAsia"/>
          <w:szCs w:val="21"/>
        </w:rPr>
        <w:t>的回归系数</w:t>
      </w:r>
      <w:r w:rsidRPr="00C702D7">
        <w:rPr>
          <w:rFonts w:cs="Times New Roman"/>
          <w:i/>
          <w:iCs/>
          <w:szCs w:val="21"/>
        </w:rPr>
        <w:t>α</w:t>
      </w:r>
      <w:r w:rsidRPr="00C702D7">
        <w:rPr>
          <w:rFonts w:cs="Times New Roman"/>
          <w:i/>
          <w:iCs/>
          <w:szCs w:val="21"/>
          <w:vertAlign w:val="subscript"/>
        </w:rPr>
        <w:t>1</w:t>
      </w:r>
      <w:r w:rsidRPr="00C702D7">
        <w:rPr>
          <w:rFonts w:cs="Times New Roman" w:hint="eastAsia"/>
          <w:szCs w:val="21"/>
        </w:rPr>
        <w:t>，若</w:t>
      </w:r>
      <w:r w:rsidRPr="00C702D7">
        <w:rPr>
          <w:rFonts w:cs="Times New Roman"/>
          <w:i/>
          <w:iCs/>
          <w:szCs w:val="21"/>
        </w:rPr>
        <w:t>α</w:t>
      </w:r>
      <w:r w:rsidRPr="00C702D7">
        <w:rPr>
          <w:rFonts w:cs="Times New Roman"/>
          <w:i/>
          <w:iCs/>
          <w:szCs w:val="21"/>
          <w:vertAlign w:val="subscript"/>
        </w:rPr>
        <w:t>1</w:t>
      </w:r>
      <w:r w:rsidRPr="00C702D7">
        <w:rPr>
          <w:rFonts w:cs="Times New Roman" w:hint="eastAsia"/>
          <w:szCs w:val="21"/>
        </w:rPr>
        <w:t>显著为负，说明机构投资者绿色关注能够降低企业碳排放。为缓解内生性问题，回归中采用</w:t>
      </w:r>
      <w:r w:rsidRPr="00C702D7">
        <w:rPr>
          <w:rFonts w:cs="Times New Roman" w:hint="eastAsia"/>
          <w:i/>
          <w:iCs/>
          <w:szCs w:val="21"/>
        </w:rPr>
        <w:t>t</w:t>
      </w:r>
      <w:r w:rsidRPr="00C702D7">
        <w:rPr>
          <w:rFonts w:cs="Times New Roman"/>
          <w:i/>
          <w:iCs/>
          <w:szCs w:val="21"/>
        </w:rPr>
        <w:t>+1</w:t>
      </w:r>
      <w:r w:rsidRPr="00C702D7">
        <w:rPr>
          <w:rFonts w:cs="Times New Roman" w:hint="eastAsia"/>
          <w:szCs w:val="21"/>
        </w:rPr>
        <w:t>期碳排放指标和</w:t>
      </w:r>
      <w:r w:rsidRPr="00C702D7">
        <w:rPr>
          <w:rFonts w:cs="Times New Roman" w:hint="eastAsia"/>
          <w:i/>
          <w:iCs/>
          <w:szCs w:val="21"/>
        </w:rPr>
        <w:t>t</w:t>
      </w:r>
      <w:r w:rsidRPr="00C702D7">
        <w:rPr>
          <w:rFonts w:cs="Times New Roman" w:hint="eastAsia"/>
          <w:szCs w:val="21"/>
        </w:rPr>
        <w:t>期绿色关注度指标。</w:t>
      </w:r>
    </w:p>
    <w:p w14:paraId="14DCA742" w14:textId="77777777" w:rsidR="00D457FC" w:rsidRPr="00C702D7" w:rsidRDefault="00D457FC" w:rsidP="009F2FCC">
      <w:pPr>
        <w:spacing w:line="400" w:lineRule="exact"/>
        <w:ind w:firstLine="420"/>
        <w:outlineLvl w:val="0"/>
        <w:rPr>
          <w:rFonts w:ascii="楷体" w:eastAsia="楷体" w:hAnsi="楷体" w:cs="Times New Roman"/>
          <w:bCs/>
          <w:szCs w:val="21"/>
        </w:rPr>
      </w:pPr>
      <w:r w:rsidRPr="00C702D7">
        <w:rPr>
          <w:rFonts w:ascii="楷体" w:eastAsia="楷体" w:hAnsi="楷体" w:cs="Times New Roman" w:hint="eastAsia"/>
          <w:bCs/>
          <w:szCs w:val="21"/>
        </w:rPr>
        <w:t>（二）数据来源与样本选择</w:t>
      </w:r>
    </w:p>
    <w:p w14:paraId="70095BC7" w14:textId="77777777" w:rsidR="00D457FC" w:rsidRPr="00C702D7" w:rsidRDefault="00D457FC" w:rsidP="00D457FC">
      <w:pPr>
        <w:spacing w:line="400" w:lineRule="exact"/>
        <w:ind w:firstLine="420"/>
        <w:rPr>
          <w:rFonts w:cs="Times New Roman"/>
          <w:szCs w:val="21"/>
        </w:rPr>
      </w:pPr>
      <w:r w:rsidRPr="00C702D7">
        <w:rPr>
          <w:rFonts w:ascii="宋体" w:hAnsi="宋体" w:cs="Times New Roman" w:hint="eastAsia"/>
          <w:bCs/>
          <w:szCs w:val="21"/>
        </w:rPr>
        <w:t>自</w:t>
      </w:r>
      <w:r w:rsidRPr="00C702D7">
        <w:rPr>
          <w:rFonts w:cs="Times New Roman"/>
          <w:bCs/>
          <w:szCs w:val="21"/>
        </w:rPr>
        <w:t>2012</w:t>
      </w:r>
      <w:r w:rsidRPr="00C702D7">
        <w:rPr>
          <w:rFonts w:ascii="宋体" w:hAnsi="宋体" w:cs="Times New Roman" w:hint="eastAsia"/>
          <w:bCs/>
          <w:szCs w:val="21"/>
        </w:rPr>
        <w:t>年起，我国深交所要求上市公司披露机构投资者实地调研信息，上交所上市公司由于未有强制要求而较少披露相关数据，因此</w:t>
      </w:r>
      <w:r w:rsidRPr="00C702D7">
        <w:rPr>
          <w:rFonts w:ascii="宋体" w:hAnsi="宋体" w:cs="Times New Roman"/>
          <w:bCs/>
          <w:szCs w:val="21"/>
        </w:rPr>
        <w:t>本文以</w:t>
      </w:r>
      <w:r w:rsidRPr="00C702D7">
        <w:rPr>
          <w:rFonts w:cs="Times New Roman"/>
          <w:szCs w:val="21"/>
        </w:rPr>
        <w:t>2013</w:t>
      </w:r>
      <w:r w:rsidRPr="00C702D7">
        <w:rPr>
          <w:rFonts w:ascii="宋体" w:hAnsi="宋体" w:cs="Times New Roman"/>
          <w:szCs w:val="21"/>
        </w:rPr>
        <w:t>-</w:t>
      </w:r>
      <w:r w:rsidRPr="00C702D7">
        <w:rPr>
          <w:rFonts w:cs="Times New Roman"/>
          <w:szCs w:val="21"/>
        </w:rPr>
        <w:t>20</w:t>
      </w:r>
      <w:r w:rsidRPr="00C702D7">
        <w:rPr>
          <w:rFonts w:cs="Times New Roman" w:hint="eastAsia"/>
          <w:szCs w:val="21"/>
        </w:rPr>
        <w:t>20</w:t>
      </w:r>
      <w:r w:rsidRPr="00C702D7">
        <w:rPr>
          <w:rFonts w:cs="Times New Roman"/>
          <w:szCs w:val="21"/>
        </w:rPr>
        <w:t>年我国</w:t>
      </w:r>
      <w:r w:rsidRPr="00C702D7">
        <w:rPr>
          <w:rFonts w:cs="Times New Roman" w:hint="eastAsia"/>
          <w:szCs w:val="21"/>
        </w:rPr>
        <w:t>深交所</w:t>
      </w:r>
      <w:r w:rsidRPr="00C702D7">
        <w:rPr>
          <w:rFonts w:cs="Times New Roman"/>
          <w:szCs w:val="21"/>
        </w:rPr>
        <w:t>A</w:t>
      </w:r>
      <w:r w:rsidRPr="00C702D7">
        <w:rPr>
          <w:rFonts w:cs="Times New Roman"/>
          <w:szCs w:val="21"/>
        </w:rPr>
        <w:t>股上市公司为初始研究样本</w:t>
      </w:r>
      <w:r w:rsidRPr="00C702D7">
        <w:rPr>
          <w:rFonts w:cs="Times New Roman" w:hint="eastAsia"/>
          <w:szCs w:val="21"/>
        </w:rPr>
        <w:t>。</w:t>
      </w:r>
      <w:r w:rsidRPr="00C702D7">
        <w:rPr>
          <w:rFonts w:cs="Times New Roman"/>
          <w:szCs w:val="21"/>
        </w:rPr>
        <w:t>所采用的企业</w:t>
      </w:r>
      <w:r w:rsidRPr="00C702D7">
        <w:rPr>
          <w:rFonts w:cs="Times New Roman" w:hint="eastAsia"/>
          <w:szCs w:val="21"/>
        </w:rPr>
        <w:t>和机构投资者</w:t>
      </w:r>
      <w:r w:rsidRPr="00C702D7">
        <w:rPr>
          <w:rFonts w:cs="Times New Roman"/>
          <w:szCs w:val="21"/>
        </w:rPr>
        <w:t>数据来源于国泰安数据库（</w:t>
      </w:r>
      <w:r w:rsidRPr="00C702D7">
        <w:rPr>
          <w:rFonts w:cs="Times New Roman"/>
          <w:szCs w:val="21"/>
        </w:rPr>
        <w:t>CSMAR</w:t>
      </w:r>
      <w:r w:rsidRPr="00C702D7">
        <w:rPr>
          <w:rFonts w:cs="Times New Roman"/>
          <w:szCs w:val="21"/>
        </w:rPr>
        <w:t>）</w:t>
      </w:r>
      <w:r w:rsidRPr="00C702D7">
        <w:rPr>
          <w:rFonts w:cs="Times New Roman" w:hint="eastAsia"/>
          <w:szCs w:val="21"/>
        </w:rPr>
        <w:t>，企业层面回归使用超前一期碳排放强度。</w:t>
      </w:r>
      <w:r w:rsidRPr="00C702D7">
        <w:rPr>
          <w:rFonts w:cs="Times New Roman"/>
          <w:szCs w:val="21"/>
        </w:rPr>
        <w:t>研究样本筛选步骤如下：（</w:t>
      </w:r>
      <w:r w:rsidRPr="00C702D7">
        <w:rPr>
          <w:rFonts w:cs="Times New Roman"/>
          <w:szCs w:val="21"/>
        </w:rPr>
        <w:t>1</w:t>
      </w:r>
      <w:r w:rsidRPr="00C702D7">
        <w:rPr>
          <w:rFonts w:cs="Times New Roman"/>
          <w:szCs w:val="21"/>
        </w:rPr>
        <w:t>）剔除所有金融类上市公司</w:t>
      </w:r>
      <w:r w:rsidRPr="00C702D7">
        <w:rPr>
          <w:rFonts w:cs="Times New Roman" w:hint="eastAsia"/>
          <w:szCs w:val="21"/>
        </w:rPr>
        <w:t>样本</w:t>
      </w:r>
      <w:r w:rsidRPr="00C702D7">
        <w:rPr>
          <w:rFonts w:cs="Times New Roman"/>
          <w:szCs w:val="21"/>
        </w:rPr>
        <w:t>；（</w:t>
      </w:r>
      <w:r w:rsidRPr="00C702D7">
        <w:rPr>
          <w:rFonts w:cs="Times New Roman"/>
          <w:szCs w:val="21"/>
        </w:rPr>
        <w:t>2</w:t>
      </w:r>
      <w:r w:rsidRPr="00C702D7">
        <w:rPr>
          <w:rFonts w:cs="Times New Roman"/>
          <w:szCs w:val="21"/>
        </w:rPr>
        <w:t>）剔除</w:t>
      </w:r>
      <w:r w:rsidRPr="00C702D7">
        <w:rPr>
          <w:rFonts w:cs="Times New Roman"/>
          <w:szCs w:val="21"/>
        </w:rPr>
        <w:t>ST</w:t>
      </w:r>
      <w:r w:rsidRPr="00C702D7">
        <w:rPr>
          <w:rFonts w:cs="Times New Roman"/>
          <w:szCs w:val="21"/>
        </w:rPr>
        <w:t>、</w:t>
      </w:r>
      <w:r w:rsidRPr="00C702D7">
        <w:rPr>
          <w:rFonts w:cs="Times New Roman"/>
          <w:szCs w:val="21"/>
        </w:rPr>
        <w:t>*ST</w:t>
      </w:r>
      <w:r w:rsidRPr="00C702D7">
        <w:rPr>
          <w:rFonts w:cs="Times New Roman"/>
          <w:szCs w:val="21"/>
        </w:rPr>
        <w:t>等亏损类</w:t>
      </w:r>
      <w:r w:rsidRPr="00C702D7">
        <w:rPr>
          <w:rFonts w:cs="Times New Roman" w:hint="eastAsia"/>
          <w:szCs w:val="21"/>
        </w:rPr>
        <w:t>上市公司</w:t>
      </w:r>
      <w:r w:rsidRPr="00C702D7">
        <w:rPr>
          <w:rFonts w:cs="Times New Roman"/>
          <w:szCs w:val="21"/>
        </w:rPr>
        <w:t>数据；（</w:t>
      </w:r>
      <w:r w:rsidRPr="00C702D7">
        <w:rPr>
          <w:rFonts w:cs="Times New Roman"/>
          <w:szCs w:val="21"/>
        </w:rPr>
        <w:t>3</w:t>
      </w:r>
      <w:r w:rsidRPr="00C702D7">
        <w:rPr>
          <w:rFonts w:cs="Times New Roman"/>
          <w:szCs w:val="21"/>
        </w:rPr>
        <w:t>）剔除数据缺失或明显异常的上市公司</w:t>
      </w:r>
      <w:r w:rsidRPr="00C702D7">
        <w:rPr>
          <w:rFonts w:cs="Times New Roman" w:hint="eastAsia"/>
          <w:szCs w:val="21"/>
        </w:rPr>
        <w:t>。</w:t>
      </w:r>
      <w:r w:rsidRPr="00C702D7">
        <w:rPr>
          <w:rFonts w:cs="Times New Roman"/>
          <w:szCs w:val="21"/>
        </w:rPr>
        <w:t>在此基础上，本</w:t>
      </w:r>
      <w:r w:rsidRPr="00C702D7">
        <w:rPr>
          <w:rFonts w:cs="Times New Roman" w:hint="eastAsia"/>
          <w:szCs w:val="21"/>
        </w:rPr>
        <w:t>文</w:t>
      </w:r>
      <w:r w:rsidRPr="00C702D7">
        <w:rPr>
          <w:rFonts w:cs="Times New Roman"/>
          <w:szCs w:val="21"/>
        </w:rPr>
        <w:t>还对主要连续变量进行</w:t>
      </w:r>
      <w:r w:rsidRPr="00C702D7">
        <w:rPr>
          <w:rFonts w:cs="Times New Roman" w:hint="eastAsia"/>
          <w:szCs w:val="21"/>
        </w:rPr>
        <w:t>1%</w:t>
      </w:r>
      <w:r w:rsidRPr="00C702D7">
        <w:rPr>
          <w:rFonts w:cs="Times New Roman"/>
          <w:szCs w:val="21"/>
        </w:rPr>
        <w:t>缩尾处理，以消除极端值带来的影响。</w:t>
      </w:r>
      <w:r w:rsidRPr="00C702D7">
        <w:rPr>
          <w:rFonts w:cs="Times New Roman" w:hint="eastAsia"/>
          <w:szCs w:val="21"/>
        </w:rPr>
        <w:t>最终，本文共获得</w:t>
      </w:r>
      <w:r w:rsidRPr="00C702D7">
        <w:rPr>
          <w:rFonts w:cs="Times New Roman"/>
          <w:szCs w:val="21"/>
        </w:rPr>
        <w:t>6896</w:t>
      </w:r>
      <w:r w:rsidRPr="00C702D7">
        <w:rPr>
          <w:rFonts w:cs="Times New Roman" w:hint="eastAsia"/>
          <w:szCs w:val="21"/>
        </w:rPr>
        <w:t>个企业层面样本观测值。</w:t>
      </w:r>
    </w:p>
    <w:p w14:paraId="3212C21A" w14:textId="77777777" w:rsidR="00D457FC" w:rsidRPr="00C702D7" w:rsidRDefault="00D457FC" w:rsidP="009F2FCC">
      <w:pPr>
        <w:spacing w:line="400" w:lineRule="exact"/>
        <w:ind w:firstLine="420"/>
        <w:outlineLvl w:val="0"/>
        <w:rPr>
          <w:rFonts w:ascii="楷体" w:eastAsia="楷体" w:hAnsi="楷体" w:cs="Times New Roman"/>
          <w:bCs/>
          <w:szCs w:val="21"/>
        </w:rPr>
      </w:pPr>
      <w:r w:rsidRPr="00C702D7">
        <w:rPr>
          <w:rFonts w:ascii="楷体" w:eastAsia="楷体" w:hAnsi="楷体" w:cs="Times New Roman" w:hint="eastAsia"/>
          <w:bCs/>
          <w:szCs w:val="21"/>
        </w:rPr>
        <w:t>（三）变量定义与界定</w:t>
      </w:r>
    </w:p>
    <w:p w14:paraId="14AD2D00" w14:textId="77777777" w:rsidR="00D457FC" w:rsidRPr="00C702D7" w:rsidRDefault="00D457FC" w:rsidP="00D457FC">
      <w:pPr>
        <w:spacing w:line="400" w:lineRule="exact"/>
        <w:ind w:firstLine="420"/>
        <w:rPr>
          <w:rFonts w:cs="Times New Roman"/>
          <w:szCs w:val="21"/>
        </w:rPr>
      </w:pPr>
      <w:r w:rsidRPr="00C702D7">
        <w:rPr>
          <w:rFonts w:cs="Times New Roman" w:hint="eastAsia"/>
          <w:szCs w:val="21"/>
        </w:rPr>
        <w:t>1</w:t>
      </w:r>
      <w:r w:rsidRPr="00C702D7">
        <w:rPr>
          <w:rFonts w:cs="Times New Roman"/>
          <w:szCs w:val="21"/>
        </w:rPr>
        <w:t xml:space="preserve">. </w:t>
      </w:r>
      <w:r w:rsidRPr="00C702D7">
        <w:rPr>
          <w:rFonts w:cs="Times New Roman" w:hint="eastAsia"/>
          <w:szCs w:val="21"/>
        </w:rPr>
        <w:t>机构投资者绿色关注度（</w:t>
      </w:r>
      <w:r w:rsidRPr="00C702D7">
        <w:rPr>
          <w:rFonts w:cs="Times New Roman" w:hint="eastAsia"/>
          <w:i/>
          <w:iCs/>
          <w:szCs w:val="21"/>
        </w:rPr>
        <w:t>G</w:t>
      </w:r>
      <w:r w:rsidRPr="00C702D7">
        <w:rPr>
          <w:rFonts w:cs="Times New Roman"/>
          <w:i/>
          <w:iCs/>
          <w:szCs w:val="21"/>
        </w:rPr>
        <w:t>atten</w:t>
      </w:r>
      <w:r w:rsidRPr="00C702D7">
        <w:rPr>
          <w:rFonts w:cs="Times New Roman" w:hint="eastAsia"/>
          <w:szCs w:val="21"/>
        </w:rPr>
        <w:t>）。本文基于我国上市公司披露的投资者关系活动纪要，采用文本分析方法度量机构投资者绿色关注度。理论上投资者向企业管理层提问内容能够反映投资者关注主题，而提问次数则能进一步反映关注程度（岑维等，</w:t>
      </w:r>
      <w:r w:rsidRPr="00C702D7">
        <w:rPr>
          <w:rFonts w:cs="Times New Roman" w:hint="eastAsia"/>
          <w:szCs w:val="21"/>
        </w:rPr>
        <w:t>2</w:t>
      </w:r>
      <w:r w:rsidRPr="00C702D7">
        <w:rPr>
          <w:rFonts w:cs="Times New Roman"/>
          <w:szCs w:val="21"/>
        </w:rPr>
        <w:t>017</w:t>
      </w:r>
      <w:r w:rsidRPr="00C702D7">
        <w:rPr>
          <w:rFonts w:cs="Times New Roman" w:hint="eastAsia"/>
          <w:szCs w:val="21"/>
        </w:rPr>
        <w:t>）。因此，本文借鉴李哲（</w:t>
      </w:r>
      <w:r w:rsidRPr="00C702D7">
        <w:rPr>
          <w:rFonts w:cs="Times New Roman" w:hint="eastAsia"/>
          <w:szCs w:val="21"/>
        </w:rPr>
        <w:t>2</w:t>
      </w:r>
      <w:r w:rsidRPr="00C702D7">
        <w:rPr>
          <w:rFonts w:cs="Times New Roman"/>
          <w:szCs w:val="21"/>
        </w:rPr>
        <w:t>018</w:t>
      </w:r>
      <w:r w:rsidRPr="00C702D7">
        <w:rPr>
          <w:rFonts w:cs="Times New Roman" w:hint="eastAsia"/>
          <w:szCs w:val="21"/>
        </w:rPr>
        <w:t>）构建的环境文本词典，提取“增产减污”、“增产不增污”、“低污染”、“高循环”、“可持续”、“协调发展”、“绿色行动”、“绿色发展”、“环保”、“环境治理”、“排放”、“新能源”、“减排”等关键词，在此基础上分析机构投资者调研问题与绿色环保主题的相关性，判断该提问是否属于绿色环保相关，进而统计企业年度收到绿色环保相关提问的数量。由于机构投资者关注可能涵盖企业各个方面，直接使用绿色环保相关问题数量较难反映机构投资者对企业绿色环保方面的侧重。因此，本文进一步计算</w:t>
      </w:r>
      <w:r w:rsidRPr="00C702D7">
        <w:rPr>
          <w:rFonts w:cs="Times New Roman"/>
          <w:szCs w:val="21"/>
        </w:rPr>
        <w:t>当年绿色环保相关提问占投资者提问总数的比例</w:t>
      </w:r>
      <w:r w:rsidRPr="00C702D7">
        <w:rPr>
          <w:rFonts w:cs="Times New Roman" w:hint="eastAsia"/>
          <w:szCs w:val="21"/>
        </w:rPr>
        <w:t>，将其</w:t>
      </w:r>
      <w:r w:rsidRPr="00C702D7">
        <w:rPr>
          <w:rFonts w:cs="Times New Roman"/>
          <w:szCs w:val="21"/>
        </w:rPr>
        <w:t>作为绿色关注的代理指标。</w:t>
      </w:r>
      <w:r w:rsidRPr="00C702D7">
        <w:rPr>
          <w:rFonts w:cs="Times New Roman" w:hint="eastAsia"/>
          <w:szCs w:val="21"/>
        </w:rPr>
        <w:t>该比例数值越大则说明机构投资者绿色关注度越高。稳健性检验部分，本文也参照姜广省等（</w:t>
      </w:r>
      <w:r w:rsidRPr="00C702D7">
        <w:rPr>
          <w:rFonts w:cs="Times New Roman" w:hint="eastAsia"/>
          <w:szCs w:val="21"/>
        </w:rPr>
        <w:t>2</w:t>
      </w:r>
      <w:r w:rsidRPr="00C702D7">
        <w:rPr>
          <w:rFonts w:cs="Times New Roman"/>
          <w:szCs w:val="21"/>
        </w:rPr>
        <w:t>021</w:t>
      </w:r>
      <w:r w:rsidRPr="00C702D7">
        <w:rPr>
          <w:rFonts w:cs="Times New Roman" w:hint="eastAsia"/>
          <w:szCs w:val="21"/>
        </w:rPr>
        <w:t>）对绿色投资者的识别方法，采用绿色投资者虚拟变量（</w:t>
      </w:r>
      <w:proofErr w:type="spellStart"/>
      <w:r w:rsidRPr="00C702D7">
        <w:rPr>
          <w:rFonts w:cs="Times New Roman" w:hint="eastAsia"/>
          <w:i/>
          <w:iCs/>
          <w:szCs w:val="21"/>
        </w:rPr>
        <w:t>Green</w:t>
      </w:r>
      <w:r w:rsidRPr="00C702D7">
        <w:rPr>
          <w:rFonts w:cs="Times New Roman"/>
          <w:i/>
          <w:iCs/>
          <w:szCs w:val="21"/>
        </w:rPr>
        <w:t>Inv</w:t>
      </w:r>
      <w:proofErr w:type="spellEnd"/>
      <w:r w:rsidRPr="00C702D7">
        <w:rPr>
          <w:rFonts w:cs="Times New Roman" w:hint="eastAsia"/>
          <w:szCs w:val="21"/>
        </w:rPr>
        <w:t>）替代机构投资者绿色关注度指标。</w:t>
      </w:r>
    </w:p>
    <w:p w14:paraId="52A40C66" w14:textId="77777777" w:rsidR="00D457FC" w:rsidRPr="00C702D7" w:rsidRDefault="00D457FC" w:rsidP="00D457FC">
      <w:pPr>
        <w:spacing w:line="400" w:lineRule="exact"/>
        <w:ind w:firstLine="420"/>
        <w:rPr>
          <w:rFonts w:cs="Times New Roman"/>
          <w:szCs w:val="21"/>
        </w:rPr>
      </w:pPr>
      <w:r w:rsidRPr="00C702D7">
        <w:rPr>
          <w:rFonts w:cs="Times New Roman" w:hint="eastAsia"/>
          <w:szCs w:val="21"/>
        </w:rPr>
        <w:lastRenderedPageBreak/>
        <w:t>2</w:t>
      </w:r>
      <w:r w:rsidRPr="00C702D7">
        <w:rPr>
          <w:rFonts w:cs="Times New Roman"/>
          <w:szCs w:val="21"/>
        </w:rPr>
        <w:t>.</w:t>
      </w:r>
      <w:r w:rsidRPr="00C702D7">
        <w:rPr>
          <w:rFonts w:cs="Times New Roman" w:hint="eastAsia"/>
          <w:szCs w:val="21"/>
        </w:rPr>
        <w:t>企业碳排放（</w:t>
      </w:r>
      <w:proofErr w:type="spellStart"/>
      <w:r w:rsidRPr="00C702D7">
        <w:rPr>
          <w:rFonts w:cs="Times New Roman" w:hint="eastAsia"/>
          <w:i/>
          <w:iCs/>
          <w:szCs w:val="21"/>
        </w:rPr>
        <w:t>Cmiss</w:t>
      </w:r>
      <w:proofErr w:type="spellEnd"/>
      <w:r w:rsidRPr="00C702D7">
        <w:rPr>
          <w:rFonts w:cs="Times New Roman" w:hint="eastAsia"/>
          <w:szCs w:val="21"/>
        </w:rPr>
        <w:t>）。本文检验从排放强度与排放增量两个方面量化企业碳排放，排放强度方面采用企业披露的温室气体、二氧化碳、一氧化碳等排放物总量（</w:t>
      </w:r>
      <w:proofErr w:type="spellStart"/>
      <w:r w:rsidRPr="00C702D7">
        <w:rPr>
          <w:rFonts w:cs="Times New Roman" w:hint="eastAsia"/>
          <w:i/>
          <w:iCs/>
          <w:szCs w:val="21"/>
        </w:rPr>
        <w:t>Cmiss</w:t>
      </w:r>
      <w:r w:rsidRPr="00C702D7">
        <w:rPr>
          <w:rFonts w:cs="Times New Roman"/>
          <w:i/>
          <w:iCs/>
          <w:szCs w:val="21"/>
        </w:rPr>
        <w:t>_total</w:t>
      </w:r>
      <w:proofErr w:type="spellEnd"/>
      <w:r w:rsidRPr="00C702D7">
        <w:rPr>
          <w:rFonts w:cs="Times New Roman" w:hint="eastAsia"/>
          <w:szCs w:val="21"/>
        </w:rPr>
        <w:t>）与营业收入比值衡量企业碳减排，该数值越大意味企业碳排放强度越大。企业碳排放数据来源于社会责任报告、环境报告和年度报告，在国泰安数据库基础上经手工补充整理得到。同时，本文采用经营业收入标准化后本年度与上年度碳排放量的变化值衡量企业碳排放（</w:t>
      </w:r>
      <w:proofErr w:type="spellStart"/>
      <w:r w:rsidRPr="00C702D7">
        <w:rPr>
          <w:rFonts w:cs="Times New Roman" w:hint="eastAsia"/>
          <w:i/>
          <w:iCs/>
          <w:szCs w:val="21"/>
        </w:rPr>
        <w:t>d</w:t>
      </w:r>
      <w:r w:rsidRPr="00C702D7">
        <w:rPr>
          <w:rFonts w:cs="Times New Roman"/>
          <w:i/>
          <w:iCs/>
          <w:szCs w:val="21"/>
        </w:rPr>
        <w:t>Cmiss</w:t>
      </w:r>
      <w:proofErr w:type="spellEnd"/>
      <w:r w:rsidRPr="00C702D7">
        <w:rPr>
          <w:rFonts w:cs="Times New Roman" w:hint="eastAsia"/>
          <w:szCs w:val="21"/>
        </w:rPr>
        <w:t>），该数值越大意味企业碳排放增量越多。稳健性检验部分，本文也采用和讯网</w:t>
      </w:r>
      <w:r w:rsidRPr="00C702D7">
        <w:rPr>
          <w:rFonts w:cs="Times New Roman" w:hint="eastAsia"/>
          <w:szCs w:val="21"/>
        </w:rPr>
        <w:t>ESG</w:t>
      </w:r>
      <w:r w:rsidRPr="00C702D7">
        <w:rPr>
          <w:rFonts w:cs="Times New Roman" w:hint="eastAsia"/>
          <w:szCs w:val="21"/>
        </w:rPr>
        <w:t>评分中环境评分作为企业碳排放的替代指标（</w:t>
      </w:r>
      <w:proofErr w:type="spellStart"/>
      <w:r w:rsidRPr="00C702D7">
        <w:rPr>
          <w:rFonts w:cs="Times New Roman" w:hint="eastAsia"/>
          <w:i/>
          <w:iCs/>
          <w:szCs w:val="21"/>
        </w:rPr>
        <w:t>Cmiss</w:t>
      </w:r>
      <w:r w:rsidRPr="00C702D7">
        <w:rPr>
          <w:rFonts w:cs="Times New Roman"/>
          <w:i/>
          <w:iCs/>
          <w:szCs w:val="21"/>
        </w:rPr>
        <w:t>_E</w:t>
      </w:r>
      <w:proofErr w:type="spellEnd"/>
      <w:r w:rsidRPr="00C702D7">
        <w:rPr>
          <w:rFonts w:cs="Times New Roman" w:hint="eastAsia"/>
          <w:szCs w:val="21"/>
        </w:rPr>
        <w:t>），该指标为企业碳排放反向指标，数值越大则意味企业碳排放越少。</w:t>
      </w:r>
    </w:p>
    <w:p w14:paraId="7A7C961E" w14:textId="77777777" w:rsidR="00D457FC" w:rsidRPr="00C702D7" w:rsidRDefault="00D457FC" w:rsidP="00D457FC">
      <w:pPr>
        <w:spacing w:line="400" w:lineRule="exact"/>
        <w:ind w:firstLine="420"/>
        <w:rPr>
          <w:rFonts w:cs="Times New Roman"/>
          <w:szCs w:val="21"/>
        </w:rPr>
      </w:pPr>
      <w:r w:rsidRPr="00C702D7">
        <w:rPr>
          <w:rFonts w:cs="Times New Roman"/>
          <w:szCs w:val="21"/>
        </w:rPr>
        <w:t xml:space="preserve">3. </w:t>
      </w:r>
      <w:r w:rsidRPr="00C702D7">
        <w:rPr>
          <w:rFonts w:cs="Times New Roman" w:hint="eastAsia"/>
          <w:szCs w:val="21"/>
        </w:rPr>
        <w:t>控制变量。结合已有文献，在企业层面，本文</w:t>
      </w:r>
      <w:r w:rsidRPr="00C702D7">
        <w:rPr>
          <w:rFonts w:cs="Times New Roman" w:hint="eastAsia"/>
        </w:rPr>
        <w:t>选取企业</w:t>
      </w:r>
      <w:r w:rsidRPr="00C702D7">
        <w:rPr>
          <w:rFonts w:cs="Times New Roman"/>
        </w:rPr>
        <w:t>规模（</w:t>
      </w:r>
      <w:r w:rsidRPr="00C702D7">
        <w:rPr>
          <w:rFonts w:cs="Times New Roman" w:hint="eastAsia"/>
          <w:i/>
          <w:iCs/>
        </w:rPr>
        <w:t>S</w:t>
      </w:r>
      <w:r w:rsidRPr="00C702D7">
        <w:rPr>
          <w:rFonts w:cs="Times New Roman"/>
          <w:i/>
          <w:iCs/>
        </w:rPr>
        <w:t>ize</w:t>
      </w:r>
      <w:r w:rsidRPr="00C702D7">
        <w:rPr>
          <w:rFonts w:cs="Times New Roman"/>
        </w:rPr>
        <w:t>）、负债水平（</w:t>
      </w:r>
      <w:r w:rsidRPr="00C702D7">
        <w:rPr>
          <w:rFonts w:cs="Times New Roman" w:hint="eastAsia"/>
          <w:i/>
          <w:iCs/>
        </w:rPr>
        <w:t>L</w:t>
      </w:r>
      <w:r w:rsidRPr="00C702D7">
        <w:rPr>
          <w:rFonts w:cs="Times New Roman"/>
          <w:i/>
          <w:iCs/>
        </w:rPr>
        <w:t>ev</w:t>
      </w:r>
      <w:r w:rsidRPr="00C702D7">
        <w:rPr>
          <w:rFonts w:cs="Times New Roman"/>
        </w:rPr>
        <w:t>）、</w:t>
      </w:r>
      <w:r w:rsidRPr="00C702D7">
        <w:rPr>
          <w:rFonts w:cs="Times New Roman" w:hint="eastAsia"/>
        </w:rPr>
        <w:t>现金流水平（</w:t>
      </w:r>
      <w:r w:rsidRPr="00C702D7">
        <w:rPr>
          <w:rFonts w:cs="Times New Roman" w:hint="eastAsia"/>
          <w:i/>
          <w:iCs/>
        </w:rPr>
        <w:t>C</w:t>
      </w:r>
      <w:r w:rsidRPr="00C702D7">
        <w:rPr>
          <w:rFonts w:cs="Times New Roman"/>
          <w:i/>
          <w:iCs/>
        </w:rPr>
        <w:t>F</w:t>
      </w:r>
      <w:r w:rsidRPr="00C702D7">
        <w:rPr>
          <w:rFonts w:cs="Times New Roman" w:hint="eastAsia"/>
        </w:rPr>
        <w:t>）、</w:t>
      </w:r>
      <w:r w:rsidRPr="00C702D7">
        <w:rPr>
          <w:rFonts w:cs="Times New Roman"/>
        </w:rPr>
        <w:t>营业收入增长率（</w:t>
      </w:r>
      <w:r w:rsidRPr="00C702D7">
        <w:rPr>
          <w:rFonts w:cs="Times New Roman" w:hint="eastAsia"/>
          <w:i/>
          <w:iCs/>
        </w:rPr>
        <w:t>G</w:t>
      </w:r>
      <w:r w:rsidRPr="00C702D7">
        <w:rPr>
          <w:rFonts w:cs="Times New Roman"/>
          <w:i/>
          <w:iCs/>
        </w:rPr>
        <w:t>rowth</w:t>
      </w:r>
      <w:r w:rsidRPr="00C702D7">
        <w:rPr>
          <w:rFonts w:cs="Times New Roman"/>
        </w:rPr>
        <w:t>）、股权集中程度（</w:t>
      </w:r>
      <w:proofErr w:type="spellStart"/>
      <w:r w:rsidRPr="00C702D7">
        <w:rPr>
          <w:rFonts w:cs="Times New Roman" w:hint="eastAsia"/>
          <w:i/>
          <w:iCs/>
        </w:rPr>
        <w:t>L</w:t>
      </w:r>
      <w:r w:rsidRPr="00C702D7">
        <w:rPr>
          <w:rFonts w:cs="Times New Roman"/>
          <w:i/>
          <w:iCs/>
        </w:rPr>
        <w:t>arge</w:t>
      </w:r>
      <w:r w:rsidRPr="00C702D7">
        <w:rPr>
          <w:rFonts w:cs="Times New Roman" w:hint="eastAsia"/>
          <w:i/>
          <w:iCs/>
        </w:rPr>
        <w:t>H</w:t>
      </w:r>
      <w:proofErr w:type="spellEnd"/>
      <w:r w:rsidRPr="00C702D7">
        <w:rPr>
          <w:rFonts w:cs="Times New Roman"/>
        </w:rPr>
        <w:t>）、</w:t>
      </w:r>
      <w:r w:rsidRPr="00C702D7">
        <w:rPr>
          <w:rFonts w:cs="Times New Roman" w:hint="eastAsia"/>
        </w:rPr>
        <w:t>总资产回报率</w:t>
      </w:r>
      <w:r w:rsidRPr="00C702D7">
        <w:rPr>
          <w:rFonts w:cs="Times New Roman"/>
        </w:rPr>
        <w:t>（</w:t>
      </w:r>
      <w:r w:rsidRPr="00C702D7">
        <w:rPr>
          <w:rFonts w:cs="Times New Roman" w:hint="eastAsia"/>
          <w:i/>
          <w:iCs/>
        </w:rPr>
        <w:t>R</w:t>
      </w:r>
      <w:r w:rsidRPr="00C702D7">
        <w:rPr>
          <w:rFonts w:cs="Times New Roman"/>
          <w:i/>
          <w:iCs/>
        </w:rPr>
        <w:t>OA</w:t>
      </w:r>
      <w:r w:rsidRPr="00C702D7">
        <w:rPr>
          <w:rFonts w:cs="Times New Roman"/>
        </w:rPr>
        <w:t>）、董事会规模（</w:t>
      </w:r>
      <w:r w:rsidRPr="00C702D7">
        <w:rPr>
          <w:rFonts w:cs="Times New Roman" w:hint="eastAsia"/>
          <w:i/>
          <w:iCs/>
        </w:rPr>
        <w:t>B</w:t>
      </w:r>
      <w:r w:rsidRPr="00C702D7">
        <w:rPr>
          <w:rFonts w:cs="Times New Roman"/>
          <w:i/>
          <w:iCs/>
        </w:rPr>
        <w:t>road</w:t>
      </w:r>
      <w:r w:rsidRPr="00C702D7">
        <w:rPr>
          <w:rFonts w:cs="Times New Roman"/>
        </w:rPr>
        <w:t>）、独立董事比例（</w:t>
      </w:r>
      <w:r w:rsidRPr="00C702D7">
        <w:rPr>
          <w:rFonts w:cs="Times New Roman" w:hint="eastAsia"/>
          <w:i/>
          <w:iCs/>
        </w:rPr>
        <w:t>I</w:t>
      </w:r>
      <w:r w:rsidRPr="00C702D7">
        <w:rPr>
          <w:rFonts w:cs="Times New Roman"/>
          <w:i/>
          <w:iCs/>
        </w:rPr>
        <w:t>nde</w:t>
      </w:r>
      <w:r w:rsidRPr="00C702D7">
        <w:rPr>
          <w:rFonts w:cs="Times New Roman"/>
        </w:rPr>
        <w:t>）、两职合一情况（</w:t>
      </w:r>
      <w:r w:rsidRPr="00C702D7">
        <w:rPr>
          <w:rFonts w:cs="Times New Roman" w:hint="eastAsia"/>
          <w:i/>
          <w:iCs/>
        </w:rPr>
        <w:t>D</w:t>
      </w:r>
      <w:r w:rsidRPr="00C702D7">
        <w:rPr>
          <w:rFonts w:cs="Times New Roman"/>
          <w:i/>
          <w:iCs/>
        </w:rPr>
        <w:t>ual</w:t>
      </w:r>
      <w:r w:rsidRPr="00C702D7">
        <w:rPr>
          <w:rFonts w:cs="Times New Roman"/>
        </w:rPr>
        <w:t>）、</w:t>
      </w:r>
      <w:r w:rsidRPr="00C702D7">
        <w:rPr>
          <w:rFonts w:cs="Times New Roman" w:hint="eastAsia"/>
        </w:rPr>
        <w:t>企业年龄（</w:t>
      </w:r>
      <w:r w:rsidRPr="00C702D7">
        <w:rPr>
          <w:rFonts w:cs="Times New Roman" w:hint="eastAsia"/>
          <w:i/>
          <w:iCs/>
        </w:rPr>
        <w:t>A</w:t>
      </w:r>
      <w:r w:rsidRPr="00C702D7">
        <w:rPr>
          <w:rFonts w:cs="Times New Roman"/>
          <w:i/>
          <w:iCs/>
        </w:rPr>
        <w:t>ge</w:t>
      </w:r>
      <w:r w:rsidRPr="00C702D7">
        <w:rPr>
          <w:rFonts w:cs="Times New Roman" w:hint="eastAsia"/>
        </w:rPr>
        <w:t>）、地区人均</w:t>
      </w:r>
      <w:r w:rsidRPr="00C702D7">
        <w:rPr>
          <w:rFonts w:cs="Times New Roman" w:hint="eastAsia"/>
        </w:rPr>
        <w:t>GDP</w:t>
      </w:r>
      <w:r w:rsidRPr="00C702D7">
        <w:rPr>
          <w:rFonts w:cs="Times New Roman" w:hint="eastAsia"/>
        </w:rPr>
        <w:t>（</w:t>
      </w:r>
      <w:r w:rsidRPr="00C702D7">
        <w:rPr>
          <w:rFonts w:cs="Times New Roman" w:hint="eastAsia"/>
          <w:i/>
          <w:iCs/>
        </w:rPr>
        <w:t>P</w:t>
      </w:r>
      <w:r w:rsidRPr="00C702D7">
        <w:rPr>
          <w:rFonts w:cs="Times New Roman"/>
          <w:i/>
          <w:iCs/>
        </w:rPr>
        <w:t>GDP</w:t>
      </w:r>
      <w:r w:rsidRPr="00C702D7">
        <w:rPr>
          <w:rFonts w:cs="Times New Roman" w:hint="eastAsia"/>
        </w:rPr>
        <w:t>）</w:t>
      </w:r>
      <w:r w:rsidRPr="00C702D7">
        <w:rPr>
          <w:rFonts w:cs="Times New Roman"/>
        </w:rPr>
        <w:t>等</w:t>
      </w:r>
      <w:r w:rsidRPr="00C702D7">
        <w:rPr>
          <w:rFonts w:cs="Times New Roman" w:hint="eastAsia"/>
        </w:rPr>
        <w:t>作为</w:t>
      </w:r>
      <w:r w:rsidRPr="00C702D7">
        <w:rPr>
          <w:rFonts w:cs="Times New Roman"/>
        </w:rPr>
        <w:t>控制变量。</w:t>
      </w:r>
      <w:r w:rsidRPr="00C702D7">
        <w:rPr>
          <w:rFonts w:cs="Times New Roman" w:hint="eastAsia"/>
        </w:rPr>
        <w:t>在地区层面，本文还选取了如下控制变量：地区环境治理（</w:t>
      </w:r>
      <w:r w:rsidRPr="00C702D7">
        <w:rPr>
          <w:rFonts w:cs="Times New Roman" w:hint="eastAsia"/>
          <w:i/>
          <w:iCs/>
        </w:rPr>
        <w:t>E</w:t>
      </w:r>
      <w:r w:rsidRPr="00C702D7">
        <w:rPr>
          <w:rFonts w:cs="Times New Roman"/>
          <w:i/>
          <w:iCs/>
        </w:rPr>
        <w:t>nv</w:t>
      </w:r>
      <w:r w:rsidRPr="00C702D7">
        <w:rPr>
          <w:rFonts w:cs="Times New Roman" w:hint="eastAsia"/>
        </w:rPr>
        <w:t>）、人力资本（</w:t>
      </w:r>
      <w:r w:rsidRPr="00C702D7">
        <w:rPr>
          <w:rFonts w:cs="Times New Roman" w:hint="eastAsia"/>
          <w:i/>
          <w:iCs/>
        </w:rPr>
        <w:t>H</w:t>
      </w:r>
      <w:r w:rsidRPr="00C702D7">
        <w:rPr>
          <w:rFonts w:cs="Times New Roman"/>
          <w:i/>
          <w:iCs/>
        </w:rPr>
        <w:t>R</w:t>
      </w:r>
      <w:r w:rsidRPr="00C702D7">
        <w:rPr>
          <w:rFonts w:cs="Times New Roman" w:hint="eastAsia"/>
        </w:rPr>
        <w:t>）、技术水平（</w:t>
      </w:r>
      <w:r w:rsidRPr="00C702D7">
        <w:rPr>
          <w:rFonts w:cs="Times New Roman" w:hint="eastAsia"/>
          <w:i/>
          <w:iCs/>
        </w:rPr>
        <w:t>T</w:t>
      </w:r>
      <w:r w:rsidRPr="00C702D7">
        <w:rPr>
          <w:rFonts w:cs="Times New Roman"/>
          <w:i/>
          <w:iCs/>
        </w:rPr>
        <w:t>ech</w:t>
      </w:r>
      <w:r w:rsidRPr="00C702D7">
        <w:rPr>
          <w:rFonts w:cs="Times New Roman" w:hint="eastAsia"/>
        </w:rPr>
        <w:t>）、融资能力（</w:t>
      </w:r>
      <w:r w:rsidRPr="00C702D7">
        <w:rPr>
          <w:rFonts w:cs="Times New Roman" w:hint="eastAsia"/>
          <w:i/>
          <w:iCs/>
        </w:rPr>
        <w:t>F</w:t>
      </w:r>
      <w:r w:rsidRPr="00C702D7">
        <w:rPr>
          <w:rFonts w:cs="Times New Roman"/>
          <w:i/>
          <w:iCs/>
        </w:rPr>
        <w:t>in</w:t>
      </w:r>
      <w:r w:rsidRPr="00C702D7">
        <w:rPr>
          <w:rFonts w:cs="Times New Roman" w:hint="eastAsia"/>
        </w:rPr>
        <w:t>）、工业化程度（</w:t>
      </w:r>
      <w:r w:rsidRPr="00C702D7">
        <w:rPr>
          <w:rFonts w:cs="Times New Roman" w:hint="eastAsia"/>
          <w:i/>
          <w:iCs/>
        </w:rPr>
        <w:t>I</w:t>
      </w:r>
      <w:r w:rsidRPr="00C702D7">
        <w:rPr>
          <w:rFonts w:cs="Times New Roman"/>
          <w:i/>
          <w:iCs/>
        </w:rPr>
        <w:t>S</w:t>
      </w:r>
      <w:r w:rsidRPr="00C702D7">
        <w:rPr>
          <w:rFonts w:cs="Times New Roman" w:hint="eastAsia"/>
        </w:rPr>
        <w:t>）。在机制检验部分，本文也对上述企业特征变量的行业均值进行控制。此外，本文还控制了年度、行业效应，并考虑了企业层面聚类效应。本文实证检验主要变量具体定义及计算方法如表</w:t>
      </w:r>
      <w:r w:rsidRPr="00C702D7">
        <w:rPr>
          <w:rFonts w:cs="Times New Roman" w:hint="eastAsia"/>
        </w:rPr>
        <w:t>1</w:t>
      </w:r>
      <w:r w:rsidRPr="00C702D7">
        <w:rPr>
          <w:rFonts w:cs="Times New Roman" w:hint="eastAsia"/>
        </w:rPr>
        <w:t>所示。</w:t>
      </w:r>
    </w:p>
    <w:p w14:paraId="189800C6" w14:textId="77777777" w:rsidR="00D457FC" w:rsidRPr="00C702D7" w:rsidRDefault="00D457FC" w:rsidP="00D457FC">
      <w:pPr>
        <w:spacing w:line="400" w:lineRule="exact"/>
        <w:ind w:firstLineChars="0" w:firstLine="0"/>
        <w:jc w:val="center"/>
        <w:rPr>
          <w:rFonts w:ascii="黑体" w:eastAsia="黑体" w:hAnsi="黑体" w:cs="Times New Roman"/>
          <w:bCs/>
          <w:sz w:val="18"/>
          <w:szCs w:val="18"/>
        </w:rPr>
      </w:pPr>
      <w:r w:rsidRPr="00C702D7">
        <w:rPr>
          <w:rFonts w:ascii="黑体" w:eastAsia="黑体" w:hAnsi="黑体" w:cs="Times New Roman" w:hint="eastAsia"/>
          <w:bCs/>
          <w:szCs w:val="21"/>
        </w:rPr>
        <w:t>表</w:t>
      </w:r>
      <w:r w:rsidRPr="00C702D7">
        <w:rPr>
          <w:rFonts w:eastAsia="黑体" w:cs="Times New Roman"/>
          <w:b/>
          <w:szCs w:val="21"/>
        </w:rPr>
        <w:t>1</w:t>
      </w:r>
      <w:r w:rsidRPr="00C702D7">
        <w:rPr>
          <w:rFonts w:ascii="黑体" w:eastAsia="黑体" w:hAnsi="黑体" w:cs="Times New Roman" w:hint="eastAsia"/>
          <w:bCs/>
          <w:szCs w:val="21"/>
        </w:rPr>
        <w:t>主要变量及其定义</w:t>
      </w:r>
    </w:p>
    <w:tbl>
      <w:tblPr>
        <w:tblStyle w:val="a7"/>
        <w:tblW w:w="5000"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2095"/>
        <w:gridCol w:w="1416"/>
        <w:gridCol w:w="4946"/>
        <w:gridCol w:w="65"/>
      </w:tblGrid>
      <w:tr w:rsidR="00C702D7" w:rsidRPr="00C702D7" w14:paraId="4048A001" w14:textId="77777777" w:rsidTr="00B718EA">
        <w:trPr>
          <w:jc w:val="center"/>
        </w:trPr>
        <w:tc>
          <w:tcPr>
            <w:tcW w:w="1229" w:type="pct"/>
            <w:tcBorders>
              <w:top w:val="single" w:sz="12" w:space="0" w:color="auto"/>
              <w:bottom w:val="single" w:sz="4" w:space="0" w:color="auto"/>
              <w:right w:val="nil"/>
            </w:tcBorders>
          </w:tcPr>
          <w:p w14:paraId="1A6279C8" w14:textId="77777777" w:rsidR="00D457FC" w:rsidRPr="00C702D7" w:rsidRDefault="00D457FC" w:rsidP="00B718EA">
            <w:pPr>
              <w:spacing w:line="240" w:lineRule="auto"/>
              <w:ind w:firstLineChars="0" w:firstLine="0"/>
              <w:jc w:val="center"/>
              <w:rPr>
                <w:rFonts w:cs="Times New Roman"/>
                <w:sz w:val="18"/>
                <w:szCs w:val="18"/>
              </w:rPr>
            </w:pPr>
            <w:r w:rsidRPr="00C702D7">
              <w:rPr>
                <w:rFonts w:cs="Times New Roman"/>
                <w:sz w:val="18"/>
                <w:szCs w:val="18"/>
              </w:rPr>
              <w:t>变量名称</w:t>
            </w:r>
          </w:p>
        </w:tc>
        <w:tc>
          <w:tcPr>
            <w:tcW w:w="831" w:type="pct"/>
            <w:tcBorders>
              <w:top w:val="single" w:sz="12" w:space="0" w:color="auto"/>
              <w:left w:val="nil"/>
              <w:bottom w:val="single" w:sz="4" w:space="0" w:color="auto"/>
              <w:right w:val="nil"/>
            </w:tcBorders>
          </w:tcPr>
          <w:p w14:paraId="4EE6BCEE" w14:textId="77777777" w:rsidR="00D457FC" w:rsidRPr="00C702D7" w:rsidRDefault="00D457FC" w:rsidP="00B718EA">
            <w:pPr>
              <w:spacing w:line="240" w:lineRule="auto"/>
              <w:ind w:firstLineChars="0" w:firstLine="0"/>
              <w:jc w:val="center"/>
              <w:rPr>
                <w:rFonts w:cs="Times New Roman"/>
                <w:sz w:val="18"/>
                <w:szCs w:val="18"/>
              </w:rPr>
            </w:pPr>
            <w:r w:rsidRPr="00C702D7">
              <w:rPr>
                <w:rFonts w:cs="Times New Roman"/>
                <w:sz w:val="18"/>
                <w:szCs w:val="18"/>
              </w:rPr>
              <w:t>变量符号</w:t>
            </w:r>
          </w:p>
        </w:tc>
        <w:tc>
          <w:tcPr>
            <w:tcW w:w="2940" w:type="pct"/>
            <w:gridSpan w:val="2"/>
            <w:tcBorders>
              <w:top w:val="single" w:sz="12" w:space="0" w:color="auto"/>
              <w:left w:val="nil"/>
              <w:bottom w:val="single" w:sz="4" w:space="0" w:color="auto"/>
            </w:tcBorders>
          </w:tcPr>
          <w:p w14:paraId="04EAD70C" w14:textId="77777777" w:rsidR="00D457FC" w:rsidRPr="00C702D7" w:rsidRDefault="00D457FC" w:rsidP="00B718EA">
            <w:pPr>
              <w:spacing w:line="240" w:lineRule="auto"/>
              <w:ind w:firstLineChars="0" w:firstLine="0"/>
              <w:jc w:val="center"/>
              <w:rPr>
                <w:rFonts w:cs="Times New Roman"/>
                <w:sz w:val="18"/>
                <w:szCs w:val="18"/>
              </w:rPr>
            </w:pPr>
            <w:r w:rsidRPr="00C702D7">
              <w:rPr>
                <w:rFonts w:cs="Times New Roman"/>
                <w:sz w:val="18"/>
                <w:szCs w:val="18"/>
              </w:rPr>
              <w:t>变量定义</w:t>
            </w:r>
          </w:p>
        </w:tc>
      </w:tr>
      <w:tr w:rsidR="00C702D7" w:rsidRPr="00C702D7" w14:paraId="7100DDDE" w14:textId="77777777" w:rsidTr="00B718EA">
        <w:trPr>
          <w:gridAfter w:val="1"/>
          <w:wAfter w:w="38" w:type="pct"/>
          <w:jc w:val="center"/>
        </w:trPr>
        <w:tc>
          <w:tcPr>
            <w:tcW w:w="1229" w:type="pct"/>
            <w:tcBorders>
              <w:top w:val="single" w:sz="4" w:space="0" w:color="auto"/>
              <w:left w:val="nil"/>
              <w:bottom w:val="nil"/>
              <w:right w:val="nil"/>
            </w:tcBorders>
          </w:tcPr>
          <w:p w14:paraId="3D2F2C7E" w14:textId="77777777" w:rsidR="00D457FC" w:rsidRPr="00C702D7" w:rsidRDefault="00D457FC" w:rsidP="00B718EA">
            <w:pPr>
              <w:spacing w:line="240" w:lineRule="auto"/>
              <w:ind w:firstLineChars="0" w:firstLine="0"/>
              <w:jc w:val="center"/>
              <w:rPr>
                <w:rFonts w:cs="Times New Roman"/>
                <w:sz w:val="18"/>
                <w:szCs w:val="18"/>
              </w:rPr>
            </w:pPr>
            <w:r w:rsidRPr="00C702D7">
              <w:rPr>
                <w:rFonts w:cs="Times New Roman" w:hint="eastAsia"/>
                <w:sz w:val="18"/>
                <w:szCs w:val="18"/>
              </w:rPr>
              <w:t>机构投资者绿色关注度</w:t>
            </w:r>
          </w:p>
        </w:tc>
        <w:tc>
          <w:tcPr>
            <w:tcW w:w="831" w:type="pct"/>
            <w:tcBorders>
              <w:top w:val="single" w:sz="4" w:space="0" w:color="auto"/>
              <w:left w:val="nil"/>
              <w:bottom w:val="nil"/>
              <w:right w:val="nil"/>
            </w:tcBorders>
          </w:tcPr>
          <w:p w14:paraId="55CAA75A" w14:textId="77777777" w:rsidR="00D457FC" w:rsidRPr="00C702D7" w:rsidRDefault="00D457FC" w:rsidP="00B718EA">
            <w:pPr>
              <w:spacing w:line="240" w:lineRule="auto"/>
              <w:ind w:firstLineChars="0" w:firstLine="0"/>
              <w:jc w:val="center"/>
              <w:rPr>
                <w:rFonts w:cs="Times New Roman"/>
                <w:i/>
                <w:sz w:val="18"/>
                <w:szCs w:val="18"/>
              </w:rPr>
            </w:pPr>
            <w:r w:rsidRPr="00C702D7">
              <w:rPr>
                <w:rFonts w:cs="Times New Roman"/>
                <w:i/>
                <w:iCs/>
                <w:kern w:val="0"/>
                <w:sz w:val="18"/>
                <w:szCs w:val="18"/>
              </w:rPr>
              <w:t>Gatten</w:t>
            </w:r>
          </w:p>
        </w:tc>
        <w:tc>
          <w:tcPr>
            <w:tcW w:w="2902" w:type="pct"/>
            <w:tcBorders>
              <w:top w:val="single" w:sz="4" w:space="0" w:color="auto"/>
              <w:left w:val="nil"/>
              <w:bottom w:val="nil"/>
            </w:tcBorders>
            <w:vAlign w:val="center"/>
          </w:tcPr>
          <w:p w14:paraId="5A830FC5" w14:textId="77777777" w:rsidR="00D457FC" w:rsidRPr="00C702D7" w:rsidRDefault="00D457FC" w:rsidP="00B718EA">
            <w:pPr>
              <w:spacing w:line="240" w:lineRule="auto"/>
              <w:ind w:firstLineChars="0" w:firstLine="0"/>
              <w:jc w:val="left"/>
              <w:rPr>
                <w:rFonts w:cs="Times New Roman"/>
                <w:sz w:val="18"/>
                <w:szCs w:val="18"/>
              </w:rPr>
            </w:pPr>
            <w:r w:rsidRPr="00C702D7">
              <w:rPr>
                <w:rFonts w:cs="Times New Roman" w:hint="eastAsia"/>
                <w:sz w:val="18"/>
                <w:szCs w:val="18"/>
              </w:rPr>
              <w:t>投资者绿色环保主题提问占总提问数比例</w:t>
            </w:r>
          </w:p>
        </w:tc>
      </w:tr>
      <w:tr w:rsidR="00C702D7" w:rsidRPr="00C702D7" w14:paraId="5C0F0EF3" w14:textId="77777777" w:rsidTr="00B718EA">
        <w:trPr>
          <w:gridAfter w:val="1"/>
          <w:wAfter w:w="38" w:type="pct"/>
          <w:jc w:val="center"/>
        </w:trPr>
        <w:tc>
          <w:tcPr>
            <w:tcW w:w="1229" w:type="pct"/>
            <w:tcBorders>
              <w:top w:val="nil"/>
              <w:left w:val="nil"/>
              <w:bottom w:val="nil"/>
              <w:right w:val="nil"/>
            </w:tcBorders>
          </w:tcPr>
          <w:p w14:paraId="494C7DAA" w14:textId="77777777" w:rsidR="00D457FC" w:rsidRPr="00C702D7" w:rsidRDefault="00D457FC" w:rsidP="00B718EA">
            <w:pPr>
              <w:spacing w:line="240" w:lineRule="auto"/>
              <w:ind w:firstLineChars="0" w:firstLine="0"/>
              <w:jc w:val="center"/>
              <w:rPr>
                <w:rFonts w:cs="Times New Roman"/>
                <w:sz w:val="18"/>
                <w:szCs w:val="18"/>
              </w:rPr>
            </w:pPr>
            <w:r w:rsidRPr="00C702D7">
              <w:rPr>
                <w:rFonts w:cs="Times New Roman" w:hint="eastAsia"/>
                <w:sz w:val="18"/>
                <w:szCs w:val="18"/>
              </w:rPr>
              <w:t>企业碳排放强度</w:t>
            </w:r>
          </w:p>
        </w:tc>
        <w:tc>
          <w:tcPr>
            <w:tcW w:w="831" w:type="pct"/>
            <w:tcBorders>
              <w:top w:val="nil"/>
              <w:left w:val="nil"/>
              <w:bottom w:val="nil"/>
              <w:right w:val="nil"/>
            </w:tcBorders>
          </w:tcPr>
          <w:p w14:paraId="167DD1E1" w14:textId="77777777" w:rsidR="00D457FC" w:rsidRPr="00C702D7" w:rsidRDefault="00D457FC" w:rsidP="00B718EA">
            <w:pPr>
              <w:spacing w:line="240" w:lineRule="auto"/>
              <w:ind w:firstLineChars="0" w:firstLine="0"/>
              <w:jc w:val="center"/>
              <w:rPr>
                <w:rFonts w:cs="Times New Roman"/>
                <w:i/>
                <w:sz w:val="18"/>
                <w:szCs w:val="18"/>
              </w:rPr>
            </w:pPr>
            <w:proofErr w:type="spellStart"/>
            <w:r w:rsidRPr="00C702D7">
              <w:rPr>
                <w:i/>
                <w:iCs/>
                <w:sz w:val="18"/>
                <w:szCs w:val="18"/>
              </w:rPr>
              <w:t>Cmiss_total</w:t>
            </w:r>
            <w:proofErr w:type="spellEnd"/>
          </w:p>
        </w:tc>
        <w:tc>
          <w:tcPr>
            <w:tcW w:w="2902" w:type="pct"/>
            <w:tcBorders>
              <w:top w:val="nil"/>
              <w:left w:val="nil"/>
              <w:bottom w:val="nil"/>
            </w:tcBorders>
            <w:vAlign w:val="center"/>
          </w:tcPr>
          <w:p w14:paraId="73E96686" w14:textId="77777777" w:rsidR="00D457FC" w:rsidRPr="00C702D7" w:rsidRDefault="00D457FC" w:rsidP="00B718EA">
            <w:pPr>
              <w:spacing w:line="240" w:lineRule="auto"/>
              <w:ind w:firstLineChars="0" w:firstLine="0"/>
              <w:jc w:val="left"/>
              <w:rPr>
                <w:rFonts w:cs="Times New Roman"/>
                <w:sz w:val="18"/>
                <w:szCs w:val="18"/>
              </w:rPr>
            </w:pPr>
            <w:r w:rsidRPr="00C702D7">
              <w:rPr>
                <w:rFonts w:cs="Times New Roman" w:hint="eastAsia"/>
                <w:sz w:val="18"/>
                <w:szCs w:val="18"/>
              </w:rPr>
              <w:t>碳排放物总量</w:t>
            </w:r>
            <w:r w:rsidRPr="00C702D7">
              <w:rPr>
                <w:rFonts w:cs="Times New Roman" w:hint="eastAsia"/>
                <w:sz w:val="18"/>
                <w:szCs w:val="18"/>
              </w:rPr>
              <w:t>/</w:t>
            </w:r>
            <w:r w:rsidRPr="00C702D7">
              <w:rPr>
                <w:rFonts w:cs="Times New Roman" w:hint="eastAsia"/>
                <w:sz w:val="18"/>
                <w:szCs w:val="18"/>
              </w:rPr>
              <w:t>营业收入</w:t>
            </w:r>
          </w:p>
        </w:tc>
      </w:tr>
      <w:tr w:rsidR="00C702D7" w:rsidRPr="00C702D7" w14:paraId="7D253F41" w14:textId="77777777" w:rsidTr="00B718EA">
        <w:trPr>
          <w:gridAfter w:val="1"/>
          <w:wAfter w:w="38" w:type="pct"/>
          <w:jc w:val="center"/>
        </w:trPr>
        <w:tc>
          <w:tcPr>
            <w:tcW w:w="1229" w:type="pct"/>
            <w:tcBorders>
              <w:top w:val="nil"/>
              <w:left w:val="nil"/>
              <w:bottom w:val="nil"/>
              <w:right w:val="nil"/>
            </w:tcBorders>
            <w:vAlign w:val="center"/>
          </w:tcPr>
          <w:p w14:paraId="48BD6C40" w14:textId="77777777" w:rsidR="00D457FC" w:rsidRPr="00C702D7" w:rsidRDefault="00D457FC" w:rsidP="00B718EA">
            <w:pPr>
              <w:spacing w:line="240" w:lineRule="auto"/>
              <w:ind w:firstLineChars="0" w:firstLine="0"/>
              <w:jc w:val="center"/>
              <w:rPr>
                <w:rFonts w:cs="Times New Roman"/>
                <w:sz w:val="18"/>
                <w:szCs w:val="18"/>
              </w:rPr>
            </w:pPr>
            <w:r w:rsidRPr="00C702D7">
              <w:rPr>
                <w:rFonts w:cs="Times New Roman" w:hint="eastAsia"/>
                <w:sz w:val="18"/>
                <w:szCs w:val="18"/>
              </w:rPr>
              <w:t>企业碳排放增量</w:t>
            </w:r>
          </w:p>
        </w:tc>
        <w:tc>
          <w:tcPr>
            <w:tcW w:w="831" w:type="pct"/>
            <w:tcBorders>
              <w:top w:val="nil"/>
              <w:left w:val="nil"/>
              <w:bottom w:val="nil"/>
              <w:right w:val="nil"/>
            </w:tcBorders>
            <w:vAlign w:val="center"/>
          </w:tcPr>
          <w:p w14:paraId="25EEA346" w14:textId="77777777" w:rsidR="00D457FC" w:rsidRPr="00C702D7" w:rsidRDefault="00D457FC" w:rsidP="00B718EA">
            <w:pPr>
              <w:spacing w:line="240" w:lineRule="auto"/>
              <w:ind w:firstLineChars="0" w:firstLine="0"/>
              <w:jc w:val="center"/>
              <w:rPr>
                <w:i/>
                <w:iCs/>
                <w:sz w:val="18"/>
                <w:szCs w:val="18"/>
              </w:rPr>
            </w:pPr>
            <w:proofErr w:type="spellStart"/>
            <w:r w:rsidRPr="00C702D7">
              <w:rPr>
                <w:rFonts w:hint="eastAsia"/>
                <w:i/>
                <w:iCs/>
                <w:sz w:val="18"/>
                <w:szCs w:val="18"/>
              </w:rPr>
              <w:t>d</w:t>
            </w:r>
            <w:r w:rsidRPr="00C702D7">
              <w:rPr>
                <w:i/>
                <w:iCs/>
                <w:sz w:val="18"/>
                <w:szCs w:val="18"/>
              </w:rPr>
              <w:t>Cmiss</w:t>
            </w:r>
            <w:proofErr w:type="spellEnd"/>
          </w:p>
        </w:tc>
        <w:tc>
          <w:tcPr>
            <w:tcW w:w="2902" w:type="pct"/>
            <w:tcBorders>
              <w:top w:val="nil"/>
              <w:left w:val="nil"/>
              <w:bottom w:val="nil"/>
            </w:tcBorders>
            <w:vAlign w:val="center"/>
          </w:tcPr>
          <w:p w14:paraId="4EFA8DF8" w14:textId="77777777" w:rsidR="00D457FC" w:rsidRPr="00C702D7" w:rsidRDefault="00D457FC" w:rsidP="00B718EA">
            <w:pPr>
              <w:spacing w:line="240" w:lineRule="auto"/>
              <w:ind w:firstLineChars="0" w:firstLine="0"/>
              <w:jc w:val="left"/>
              <w:rPr>
                <w:rFonts w:cs="Times New Roman"/>
                <w:sz w:val="18"/>
                <w:szCs w:val="18"/>
              </w:rPr>
            </w:pPr>
            <w:r w:rsidRPr="00C702D7">
              <w:rPr>
                <w:rFonts w:cs="Times New Roman" w:hint="eastAsia"/>
                <w:sz w:val="18"/>
                <w:szCs w:val="18"/>
              </w:rPr>
              <w:t>(</w:t>
            </w:r>
            <w:r w:rsidRPr="00C702D7">
              <w:rPr>
                <w:rFonts w:cs="Times New Roman" w:hint="eastAsia"/>
                <w:sz w:val="18"/>
                <w:szCs w:val="18"/>
              </w:rPr>
              <w:t>本年碳排放强度</w:t>
            </w:r>
            <w:r w:rsidRPr="00C702D7">
              <w:rPr>
                <w:rFonts w:cs="Times New Roman" w:hint="eastAsia"/>
                <w:sz w:val="18"/>
                <w:szCs w:val="18"/>
              </w:rPr>
              <w:t>/</w:t>
            </w:r>
            <w:r w:rsidRPr="00C702D7">
              <w:rPr>
                <w:rFonts w:cs="Times New Roman" w:hint="eastAsia"/>
                <w:sz w:val="18"/>
                <w:szCs w:val="18"/>
              </w:rPr>
              <w:t>本年营业收入–上年碳排放强度</w:t>
            </w:r>
            <w:r w:rsidRPr="00C702D7">
              <w:rPr>
                <w:rFonts w:cs="Times New Roman" w:hint="eastAsia"/>
                <w:sz w:val="18"/>
                <w:szCs w:val="18"/>
              </w:rPr>
              <w:t>)/</w:t>
            </w:r>
            <w:r w:rsidRPr="00C702D7">
              <w:rPr>
                <w:rFonts w:cs="Times New Roman" w:hint="eastAsia"/>
                <w:sz w:val="18"/>
                <w:szCs w:val="18"/>
              </w:rPr>
              <w:t>上年营业收入</w:t>
            </w:r>
          </w:p>
        </w:tc>
      </w:tr>
      <w:tr w:rsidR="00C702D7" w:rsidRPr="00C702D7" w14:paraId="005FB527" w14:textId="77777777" w:rsidTr="00B718EA">
        <w:trPr>
          <w:gridAfter w:val="1"/>
          <w:wAfter w:w="38" w:type="pct"/>
          <w:jc w:val="center"/>
        </w:trPr>
        <w:tc>
          <w:tcPr>
            <w:tcW w:w="1229" w:type="pct"/>
            <w:tcBorders>
              <w:top w:val="single" w:sz="4" w:space="0" w:color="auto"/>
              <w:left w:val="nil"/>
              <w:bottom w:val="nil"/>
              <w:right w:val="nil"/>
            </w:tcBorders>
          </w:tcPr>
          <w:p w14:paraId="18F88A7D" w14:textId="77777777" w:rsidR="00D457FC" w:rsidRPr="00C702D7" w:rsidRDefault="00D457FC" w:rsidP="00B718EA">
            <w:pPr>
              <w:spacing w:line="240" w:lineRule="auto"/>
              <w:ind w:firstLineChars="0" w:firstLine="0"/>
              <w:jc w:val="center"/>
              <w:rPr>
                <w:rFonts w:cs="Times New Roman"/>
                <w:sz w:val="18"/>
                <w:szCs w:val="18"/>
              </w:rPr>
            </w:pPr>
            <w:r w:rsidRPr="00C702D7">
              <w:rPr>
                <w:rFonts w:cs="Times New Roman" w:hint="eastAsia"/>
                <w:sz w:val="18"/>
                <w:szCs w:val="18"/>
              </w:rPr>
              <w:t>企业规模</w:t>
            </w:r>
          </w:p>
        </w:tc>
        <w:tc>
          <w:tcPr>
            <w:tcW w:w="831" w:type="pct"/>
            <w:tcBorders>
              <w:top w:val="single" w:sz="4" w:space="0" w:color="auto"/>
              <w:left w:val="nil"/>
              <w:bottom w:val="nil"/>
              <w:right w:val="nil"/>
            </w:tcBorders>
          </w:tcPr>
          <w:p w14:paraId="11E5AA37" w14:textId="77777777" w:rsidR="00D457FC" w:rsidRPr="00C702D7" w:rsidRDefault="00D457FC" w:rsidP="00B718EA">
            <w:pPr>
              <w:spacing w:line="240" w:lineRule="auto"/>
              <w:ind w:firstLineChars="0" w:firstLine="0"/>
              <w:jc w:val="center"/>
              <w:rPr>
                <w:rFonts w:cs="Times New Roman"/>
                <w:i/>
                <w:sz w:val="18"/>
                <w:szCs w:val="18"/>
              </w:rPr>
            </w:pPr>
            <w:r w:rsidRPr="00C702D7">
              <w:rPr>
                <w:rFonts w:cs="Times New Roman" w:hint="eastAsia"/>
                <w:i/>
                <w:sz w:val="18"/>
                <w:szCs w:val="18"/>
              </w:rPr>
              <w:t>S</w:t>
            </w:r>
            <w:r w:rsidRPr="00C702D7">
              <w:rPr>
                <w:rFonts w:cs="Times New Roman"/>
                <w:i/>
                <w:sz w:val="18"/>
                <w:szCs w:val="18"/>
              </w:rPr>
              <w:t>ize</w:t>
            </w:r>
          </w:p>
        </w:tc>
        <w:tc>
          <w:tcPr>
            <w:tcW w:w="2902" w:type="pct"/>
            <w:tcBorders>
              <w:top w:val="single" w:sz="4" w:space="0" w:color="auto"/>
              <w:left w:val="nil"/>
              <w:bottom w:val="nil"/>
            </w:tcBorders>
            <w:vAlign w:val="center"/>
          </w:tcPr>
          <w:p w14:paraId="32BFBA6D" w14:textId="77777777" w:rsidR="00D457FC" w:rsidRPr="00C702D7" w:rsidRDefault="00D457FC" w:rsidP="00B718EA">
            <w:pPr>
              <w:spacing w:line="240" w:lineRule="auto"/>
              <w:ind w:firstLineChars="0" w:firstLine="0"/>
              <w:jc w:val="left"/>
              <w:rPr>
                <w:rFonts w:cs="Times New Roman"/>
                <w:sz w:val="18"/>
                <w:szCs w:val="18"/>
              </w:rPr>
            </w:pPr>
            <w:r w:rsidRPr="00C702D7">
              <w:rPr>
                <w:rFonts w:cs="Times New Roman" w:hint="eastAsia"/>
                <w:sz w:val="18"/>
                <w:szCs w:val="18"/>
              </w:rPr>
              <w:t>总资产的自然对数</w:t>
            </w:r>
          </w:p>
        </w:tc>
      </w:tr>
      <w:tr w:rsidR="00C702D7" w:rsidRPr="00C702D7" w14:paraId="1E7619AA" w14:textId="77777777" w:rsidTr="00B718EA">
        <w:trPr>
          <w:gridAfter w:val="1"/>
          <w:wAfter w:w="38" w:type="pct"/>
          <w:jc w:val="center"/>
        </w:trPr>
        <w:tc>
          <w:tcPr>
            <w:tcW w:w="1229" w:type="pct"/>
            <w:tcBorders>
              <w:top w:val="nil"/>
              <w:left w:val="nil"/>
              <w:bottom w:val="nil"/>
              <w:right w:val="nil"/>
            </w:tcBorders>
          </w:tcPr>
          <w:p w14:paraId="72B54C91" w14:textId="77777777" w:rsidR="00D457FC" w:rsidRPr="00C702D7" w:rsidRDefault="00D457FC" w:rsidP="00B718EA">
            <w:pPr>
              <w:spacing w:line="240" w:lineRule="auto"/>
              <w:ind w:firstLineChars="0" w:firstLine="0"/>
              <w:jc w:val="center"/>
              <w:rPr>
                <w:rFonts w:cs="Times New Roman"/>
                <w:sz w:val="18"/>
                <w:szCs w:val="18"/>
              </w:rPr>
            </w:pPr>
            <w:r w:rsidRPr="00C702D7">
              <w:rPr>
                <w:rFonts w:cs="Times New Roman" w:hint="eastAsia"/>
                <w:sz w:val="18"/>
                <w:szCs w:val="18"/>
              </w:rPr>
              <w:t>负债水平</w:t>
            </w:r>
          </w:p>
        </w:tc>
        <w:tc>
          <w:tcPr>
            <w:tcW w:w="831" w:type="pct"/>
            <w:tcBorders>
              <w:top w:val="nil"/>
              <w:left w:val="nil"/>
              <w:bottom w:val="nil"/>
              <w:right w:val="nil"/>
            </w:tcBorders>
          </w:tcPr>
          <w:p w14:paraId="304747BF" w14:textId="77777777" w:rsidR="00D457FC" w:rsidRPr="00C702D7" w:rsidRDefault="00D457FC" w:rsidP="00B718EA">
            <w:pPr>
              <w:spacing w:line="240" w:lineRule="auto"/>
              <w:ind w:firstLineChars="0" w:firstLine="0"/>
              <w:jc w:val="center"/>
              <w:rPr>
                <w:rFonts w:cs="Times New Roman"/>
                <w:i/>
                <w:sz w:val="18"/>
                <w:szCs w:val="18"/>
              </w:rPr>
            </w:pPr>
            <w:r w:rsidRPr="00C702D7">
              <w:rPr>
                <w:rFonts w:cs="Times New Roman" w:hint="eastAsia"/>
                <w:i/>
                <w:sz w:val="18"/>
                <w:szCs w:val="18"/>
              </w:rPr>
              <w:t>L</w:t>
            </w:r>
            <w:r w:rsidRPr="00C702D7">
              <w:rPr>
                <w:rFonts w:cs="Times New Roman"/>
                <w:i/>
                <w:sz w:val="18"/>
                <w:szCs w:val="18"/>
              </w:rPr>
              <w:t>ev</w:t>
            </w:r>
          </w:p>
        </w:tc>
        <w:tc>
          <w:tcPr>
            <w:tcW w:w="2902" w:type="pct"/>
            <w:tcBorders>
              <w:top w:val="nil"/>
              <w:left w:val="nil"/>
              <w:bottom w:val="nil"/>
            </w:tcBorders>
            <w:vAlign w:val="center"/>
          </w:tcPr>
          <w:p w14:paraId="39982FFF" w14:textId="77777777" w:rsidR="00D457FC" w:rsidRPr="00C702D7" w:rsidRDefault="00D457FC" w:rsidP="00B718EA">
            <w:pPr>
              <w:spacing w:line="240" w:lineRule="auto"/>
              <w:ind w:firstLineChars="0" w:firstLine="0"/>
              <w:jc w:val="left"/>
              <w:rPr>
                <w:rFonts w:cs="Times New Roman"/>
                <w:sz w:val="18"/>
                <w:szCs w:val="18"/>
              </w:rPr>
            </w:pPr>
            <w:r w:rsidRPr="00C702D7">
              <w:rPr>
                <w:rFonts w:cs="Times New Roman" w:hint="eastAsia"/>
                <w:sz w:val="18"/>
                <w:szCs w:val="18"/>
              </w:rPr>
              <w:t>资产负债率</w:t>
            </w:r>
          </w:p>
        </w:tc>
      </w:tr>
      <w:tr w:rsidR="00C702D7" w:rsidRPr="00C702D7" w14:paraId="3EFF25F6" w14:textId="77777777" w:rsidTr="00B718EA">
        <w:trPr>
          <w:gridAfter w:val="1"/>
          <w:wAfter w:w="38" w:type="pct"/>
          <w:jc w:val="center"/>
        </w:trPr>
        <w:tc>
          <w:tcPr>
            <w:tcW w:w="1229" w:type="pct"/>
            <w:tcBorders>
              <w:top w:val="nil"/>
              <w:left w:val="nil"/>
              <w:bottom w:val="nil"/>
              <w:right w:val="nil"/>
            </w:tcBorders>
          </w:tcPr>
          <w:p w14:paraId="33C341EF" w14:textId="77777777" w:rsidR="00D457FC" w:rsidRPr="00C702D7" w:rsidRDefault="00D457FC" w:rsidP="00B718EA">
            <w:pPr>
              <w:spacing w:line="240" w:lineRule="auto"/>
              <w:ind w:firstLineChars="0" w:firstLine="0"/>
              <w:jc w:val="center"/>
              <w:rPr>
                <w:rFonts w:cs="Times New Roman"/>
                <w:sz w:val="18"/>
                <w:szCs w:val="18"/>
              </w:rPr>
            </w:pPr>
            <w:r w:rsidRPr="00C702D7">
              <w:rPr>
                <w:rFonts w:cs="Times New Roman" w:hint="eastAsia"/>
                <w:sz w:val="18"/>
                <w:szCs w:val="18"/>
              </w:rPr>
              <w:t>现金流水平</w:t>
            </w:r>
          </w:p>
        </w:tc>
        <w:tc>
          <w:tcPr>
            <w:tcW w:w="831" w:type="pct"/>
            <w:tcBorders>
              <w:top w:val="nil"/>
              <w:left w:val="nil"/>
              <w:bottom w:val="nil"/>
              <w:right w:val="nil"/>
            </w:tcBorders>
          </w:tcPr>
          <w:p w14:paraId="64C549FC" w14:textId="77777777" w:rsidR="00D457FC" w:rsidRPr="00C702D7" w:rsidRDefault="00D457FC" w:rsidP="00B718EA">
            <w:pPr>
              <w:spacing w:line="240" w:lineRule="auto"/>
              <w:ind w:firstLineChars="0" w:firstLine="0"/>
              <w:jc w:val="center"/>
              <w:rPr>
                <w:rFonts w:cs="Times New Roman"/>
                <w:i/>
                <w:sz w:val="18"/>
                <w:szCs w:val="18"/>
              </w:rPr>
            </w:pPr>
            <w:r w:rsidRPr="00C702D7">
              <w:rPr>
                <w:rFonts w:cs="Times New Roman" w:hint="eastAsia"/>
                <w:i/>
                <w:sz w:val="18"/>
                <w:szCs w:val="18"/>
              </w:rPr>
              <w:t>C</w:t>
            </w:r>
            <w:r w:rsidRPr="00C702D7">
              <w:rPr>
                <w:rFonts w:cs="Times New Roman"/>
                <w:i/>
                <w:sz w:val="18"/>
                <w:szCs w:val="18"/>
              </w:rPr>
              <w:t>F</w:t>
            </w:r>
          </w:p>
        </w:tc>
        <w:tc>
          <w:tcPr>
            <w:tcW w:w="2902" w:type="pct"/>
            <w:tcBorders>
              <w:top w:val="nil"/>
              <w:left w:val="nil"/>
              <w:bottom w:val="nil"/>
            </w:tcBorders>
            <w:vAlign w:val="center"/>
          </w:tcPr>
          <w:p w14:paraId="7FB4326B" w14:textId="77777777" w:rsidR="00D457FC" w:rsidRPr="00C702D7" w:rsidRDefault="00D457FC" w:rsidP="00B718EA">
            <w:pPr>
              <w:spacing w:line="240" w:lineRule="auto"/>
              <w:ind w:firstLineChars="0" w:firstLine="0"/>
              <w:jc w:val="left"/>
              <w:rPr>
                <w:rFonts w:cs="Times New Roman"/>
                <w:sz w:val="18"/>
                <w:szCs w:val="18"/>
              </w:rPr>
            </w:pPr>
            <w:r w:rsidRPr="00C702D7">
              <w:rPr>
                <w:rFonts w:cs="Times New Roman" w:hint="eastAsia"/>
                <w:sz w:val="18"/>
                <w:szCs w:val="18"/>
              </w:rPr>
              <w:t>经营活动现金流净额</w:t>
            </w:r>
            <w:r w:rsidRPr="00C702D7">
              <w:rPr>
                <w:rFonts w:cs="Times New Roman" w:hint="eastAsia"/>
                <w:sz w:val="18"/>
                <w:szCs w:val="18"/>
              </w:rPr>
              <w:t>/</w:t>
            </w:r>
            <w:r w:rsidRPr="00C702D7">
              <w:rPr>
                <w:rFonts w:cs="Times New Roman" w:hint="eastAsia"/>
                <w:sz w:val="18"/>
                <w:szCs w:val="18"/>
              </w:rPr>
              <w:t>上期总资产</w:t>
            </w:r>
          </w:p>
        </w:tc>
      </w:tr>
      <w:tr w:rsidR="00C702D7" w:rsidRPr="00C702D7" w14:paraId="68266CA2" w14:textId="77777777" w:rsidTr="00B718EA">
        <w:trPr>
          <w:gridAfter w:val="1"/>
          <w:wAfter w:w="38" w:type="pct"/>
          <w:jc w:val="center"/>
        </w:trPr>
        <w:tc>
          <w:tcPr>
            <w:tcW w:w="1229" w:type="pct"/>
            <w:tcBorders>
              <w:top w:val="nil"/>
              <w:left w:val="nil"/>
              <w:bottom w:val="nil"/>
              <w:right w:val="nil"/>
            </w:tcBorders>
          </w:tcPr>
          <w:p w14:paraId="5D602834" w14:textId="77777777" w:rsidR="00D457FC" w:rsidRPr="00C702D7" w:rsidRDefault="00D457FC" w:rsidP="00B718EA">
            <w:pPr>
              <w:spacing w:line="240" w:lineRule="auto"/>
              <w:ind w:firstLineChars="0" w:firstLine="0"/>
              <w:jc w:val="center"/>
              <w:rPr>
                <w:rFonts w:cs="Times New Roman"/>
                <w:sz w:val="18"/>
                <w:szCs w:val="18"/>
              </w:rPr>
            </w:pPr>
            <w:r w:rsidRPr="00C702D7">
              <w:rPr>
                <w:rFonts w:cs="Times New Roman" w:hint="eastAsia"/>
                <w:sz w:val="18"/>
                <w:szCs w:val="18"/>
              </w:rPr>
              <w:t>营业收入增长率</w:t>
            </w:r>
          </w:p>
        </w:tc>
        <w:tc>
          <w:tcPr>
            <w:tcW w:w="831" w:type="pct"/>
            <w:tcBorders>
              <w:top w:val="nil"/>
              <w:left w:val="nil"/>
              <w:bottom w:val="nil"/>
              <w:right w:val="nil"/>
            </w:tcBorders>
          </w:tcPr>
          <w:p w14:paraId="4CF34AED" w14:textId="77777777" w:rsidR="00D457FC" w:rsidRPr="00C702D7" w:rsidRDefault="00D457FC" w:rsidP="00B718EA">
            <w:pPr>
              <w:spacing w:line="240" w:lineRule="auto"/>
              <w:ind w:firstLineChars="0" w:firstLine="0"/>
              <w:jc w:val="center"/>
              <w:rPr>
                <w:rFonts w:cs="Times New Roman"/>
                <w:i/>
                <w:sz w:val="18"/>
                <w:szCs w:val="18"/>
              </w:rPr>
            </w:pPr>
            <w:r w:rsidRPr="00C702D7">
              <w:rPr>
                <w:rFonts w:cs="Times New Roman" w:hint="eastAsia"/>
                <w:i/>
                <w:sz w:val="18"/>
                <w:szCs w:val="18"/>
              </w:rPr>
              <w:t>G</w:t>
            </w:r>
            <w:r w:rsidRPr="00C702D7">
              <w:rPr>
                <w:rFonts w:cs="Times New Roman"/>
                <w:i/>
                <w:sz w:val="18"/>
                <w:szCs w:val="18"/>
              </w:rPr>
              <w:t>rowth</w:t>
            </w:r>
          </w:p>
        </w:tc>
        <w:tc>
          <w:tcPr>
            <w:tcW w:w="2902" w:type="pct"/>
            <w:tcBorders>
              <w:top w:val="nil"/>
              <w:left w:val="nil"/>
              <w:bottom w:val="nil"/>
            </w:tcBorders>
            <w:vAlign w:val="center"/>
          </w:tcPr>
          <w:p w14:paraId="2C8E3F7D" w14:textId="77777777" w:rsidR="00D457FC" w:rsidRPr="00C702D7" w:rsidRDefault="00D457FC" w:rsidP="00B718EA">
            <w:pPr>
              <w:spacing w:line="240" w:lineRule="auto"/>
              <w:ind w:firstLineChars="0" w:firstLine="0"/>
              <w:jc w:val="left"/>
              <w:rPr>
                <w:rFonts w:cs="Times New Roman"/>
                <w:sz w:val="18"/>
                <w:szCs w:val="18"/>
              </w:rPr>
            </w:pPr>
            <w:r w:rsidRPr="00C702D7">
              <w:rPr>
                <w:rFonts w:cs="Times New Roman" w:hint="eastAsia"/>
                <w:sz w:val="18"/>
                <w:szCs w:val="18"/>
              </w:rPr>
              <w:t>（当期销售收入</w:t>
            </w:r>
            <w:r w:rsidRPr="00C702D7">
              <w:rPr>
                <w:rFonts w:ascii="宋体" w:hAnsi="宋体" w:cs="Times New Roman" w:hint="eastAsia"/>
                <w:sz w:val="18"/>
                <w:szCs w:val="18"/>
              </w:rPr>
              <w:t>–</w:t>
            </w:r>
            <w:r w:rsidRPr="00C702D7">
              <w:rPr>
                <w:rFonts w:cs="Times New Roman" w:hint="eastAsia"/>
                <w:sz w:val="18"/>
                <w:szCs w:val="18"/>
              </w:rPr>
              <w:t>上期销售收入）</w:t>
            </w:r>
            <w:r w:rsidRPr="00C702D7">
              <w:rPr>
                <w:rFonts w:cs="Times New Roman" w:hint="eastAsia"/>
                <w:sz w:val="18"/>
                <w:szCs w:val="18"/>
              </w:rPr>
              <w:t>/</w:t>
            </w:r>
            <w:r w:rsidRPr="00C702D7">
              <w:rPr>
                <w:rFonts w:cs="Times New Roman" w:hint="eastAsia"/>
                <w:sz w:val="18"/>
                <w:szCs w:val="18"/>
              </w:rPr>
              <w:t>上期销售收入</w:t>
            </w:r>
          </w:p>
        </w:tc>
      </w:tr>
      <w:tr w:rsidR="00C702D7" w:rsidRPr="00C702D7" w14:paraId="46BBD4C1" w14:textId="77777777" w:rsidTr="00B718EA">
        <w:trPr>
          <w:gridAfter w:val="1"/>
          <w:wAfter w:w="38" w:type="pct"/>
          <w:jc w:val="center"/>
        </w:trPr>
        <w:tc>
          <w:tcPr>
            <w:tcW w:w="1229" w:type="pct"/>
            <w:tcBorders>
              <w:top w:val="nil"/>
              <w:left w:val="nil"/>
              <w:bottom w:val="nil"/>
              <w:right w:val="nil"/>
            </w:tcBorders>
          </w:tcPr>
          <w:p w14:paraId="252274F8" w14:textId="77777777" w:rsidR="00D457FC" w:rsidRPr="00C702D7" w:rsidRDefault="00D457FC" w:rsidP="00B718EA">
            <w:pPr>
              <w:spacing w:line="240" w:lineRule="auto"/>
              <w:ind w:firstLineChars="0" w:firstLine="0"/>
              <w:jc w:val="center"/>
              <w:rPr>
                <w:rFonts w:cs="Times New Roman"/>
                <w:sz w:val="18"/>
                <w:szCs w:val="18"/>
              </w:rPr>
            </w:pPr>
            <w:r w:rsidRPr="00C702D7">
              <w:rPr>
                <w:rFonts w:cs="Times New Roman" w:hint="eastAsia"/>
                <w:sz w:val="18"/>
                <w:szCs w:val="18"/>
              </w:rPr>
              <w:t>总资产回报率</w:t>
            </w:r>
          </w:p>
        </w:tc>
        <w:tc>
          <w:tcPr>
            <w:tcW w:w="831" w:type="pct"/>
            <w:tcBorders>
              <w:top w:val="nil"/>
              <w:left w:val="nil"/>
              <w:bottom w:val="nil"/>
              <w:right w:val="nil"/>
            </w:tcBorders>
          </w:tcPr>
          <w:p w14:paraId="35EE1A12" w14:textId="77777777" w:rsidR="00D457FC" w:rsidRPr="00C702D7" w:rsidRDefault="00D457FC" w:rsidP="00B718EA">
            <w:pPr>
              <w:spacing w:line="240" w:lineRule="auto"/>
              <w:ind w:firstLineChars="0" w:firstLine="0"/>
              <w:jc w:val="center"/>
              <w:rPr>
                <w:rFonts w:cs="Times New Roman"/>
                <w:i/>
                <w:sz w:val="18"/>
                <w:szCs w:val="18"/>
              </w:rPr>
            </w:pPr>
            <w:r w:rsidRPr="00C702D7">
              <w:rPr>
                <w:rFonts w:cs="Times New Roman" w:hint="eastAsia"/>
                <w:i/>
                <w:sz w:val="18"/>
                <w:szCs w:val="18"/>
              </w:rPr>
              <w:t>R</w:t>
            </w:r>
            <w:r w:rsidRPr="00C702D7">
              <w:rPr>
                <w:rFonts w:cs="Times New Roman"/>
                <w:i/>
                <w:sz w:val="18"/>
                <w:szCs w:val="18"/>
              </w:rPr>
              <w:t>OA</w:t>
            </w:r>
          </w:p>
        </w:tc>
        <w:tc>
          <w:tcPr>
            <w:tcW w:w="2902" w:type="pct"/>
            <w:tcBorders>
              <w:top w:val="nil"/>
              <w:left w:val="nil"/>
              <w:bottom w:val="nil"/>
            </w:tcBorders>
            <w:vAlign w:val="center"/>
          </w:tcPr>
          <w:p w14:paraId="0A6B056D" w14:textId="77777777" w:rsidR="00D457FC" w:rsidRPr="00C702D7" w:rsidRDefault="00D457FC" w:rsidP="00B718EA">
            <w:pPr>
              <w:spacing w:line="240" w:lineRule="auto"/>
              <w:ind w:firstLineChars="0" w:firstLine="0"/>
              <w:jc w:val="left"/>
              <w:rPr>
                <w:rFonts w:cs="Times New Roman"/>
                <w:sz w:val="18"/>
                <w:szCs w:val="18"/>
              </w:rPr>
            </w:pPr>
            <w:r w:rsidRPr="00C702D7">
              <w:rPr>
                <w:rFonts w:cs="Times New Roman" w:hint="eastAsia"/>
                <w:sz w:val="18"/>
                <w:szCs w:val="18"/>
              </w:rPr>
              <w:t>企业净利润</w:t>
            </w:r>
            <w:r w:rsidRPr="00C702D7">
              <w:rPr>
                <w:rFonts w:cs="Times New Roman" w:hint="eastAsia"/>
                <w:sz w:val="18"/>
                <w:szCs w:val="18"/>
              </w:rPr>
              <w:t>/</w:t>
            </w:r>
            <w:r w:rsidRPr="00C702D7">
              <w:rPr>
                <w:rFonts w:cs="Times New Roman" w:hint="eastAsia"/>
                <w:sz w:val="18"/>
                <w:szCs w:val="18"/>
              </w:rPr>
              <w:t>总资产</w:t>
            </w:r>
          </w:p>
        </w:tc>
      </w:tr>
      <w:tr w:rsidR="00C702D7" w:rsidRPr="00C702D7" w14:paraId="31B34203" w14:textId="77777777" w:rsidTr="00B718EA">
        <w:trPr>
          <w:gridAfter w:val="1"/>
          <w:wAfter w:w="38" w:type="pct"/>
          <w:jc w:val="center"/>
        </w:trPr>
        <w:tc>
          <w:tcPr>
            <w:tcW w:w="1229" w:type="pct"/>
            <w:tcBorders>
              <w:top w:val="nil"/>
              <w:left w:val="nil"/>
              <w:bottom w:val="nil"/>
              <w:right w:val="nil"/>
            </w:tcBorders>
          </w:tcPr>
          <w:p w14:paraId="2EDDC5C2" w14:textId="77777777" w:rsidR="00D457FC" w:rsidRPr="00C702D7" w:rsidRDefault="00D457FC" w:rsidP="00B718EA">
            <w:pPr>
              <w:spacing w:line="240" w:lineRule="auto"/>
              <w:ind w:firstLineChars="0" w:firstLine="0"/>
              <w:jc w:val="center"/>
              <w:rPr>
                <w:rFonts w:cs="Times New Roman"/>
                <w:sz w:val="18"/>
                <w:szCs w:val="18"/>
              </w:rPr>
            </w:pPr>
            <w:r w:rsidRPr="00C702D7">
              <w:rPr>
                <w:rFonts w:cs="Times New Roman" w:hint="eastAsia"/>
                <w:sz w:val="18"/>
                <w:szCs w:val="18"/>
              </w:rPr>
              <w:t>股权集中度</w:t>
            </w:r>
          </w:p>
        </w:tc>
        <w:tc>
          <w:tcPr>
            <w:tcW w:w="831" w:type="pct"/>
            <w:tcBorders>
              <w:top w:val="nil"/>
              <w:left w:val="nil"/>
              <w:bottom w:val="nil"/>
              <w:right w:val="nil"/>
            </w:tcBorders>
          </w:tcPr>
          <w:p w14:paraId="0CF86E8F" w14:textId="77777777" w:rsidR="00D457FC" w:rsidRPr="00C702D7" w:rsidRDefault="00D457FC" w:rsidP="00B718EA">
            <w:pPr>
              <w:spacing w:line="240" w:lineRule="auto"/>
              <w:ind w:firstLineChars="0" w:firstLine="0"/>
              <w:jc w:val="center"/>
              <w:rPr>
                <w:rFonts w:cs="Times New Roman"/>
                <w:i/>
                <w:sz w:val="18"/>
                <w:szCs w:val="18"/>
              </w:rPr>
            </w:pPr>
            <w:proofErr w:type="spellStart"/>
            <w:r w:rsidRPr="00C702D7">
              <w:rPr>
                <w:rFonts w:cs="Times New Roman"/>
                <w:i/>
                <w:sz w:val="18"/>
                <w:szCs w:val="18"/>
              </w:rPr>
              <w:t>Large</w:t>
            </w:r>
            <w:r w:rsidRPr="00C702D7">
              <w:rPr>
                <w:rFonts w:cs="Times New Roman" w:hint="eastAsia"/>
                <w:i/>
                <w:sz w:val="18"/>
                <w:szCs w:val="18"/>
              </w:rPr>
              <w:t>H</w:t>
            </w:r>
            <w:proofErr w:type="spellEnd"/>
          </w:p>
        </w:tc>
        <w:tc>
          <w:tcPr>
            <w:tcW w:w="2902" w:type="pct"/>
            <w:tcBorders>
              <w:top w:val="nil"/>
              <w:left w:val="nil"/>
              <w:bottom w:val="nil"/>
            </w:tcBorders>
            <w:vAlign w:val="center"/>
          </w:tcPr>
          <w:p w14:paraId="31B61793" w14:textId="77777777" w:rsidR="00D457FC" w:rsidRPr="00C702D7" w:rsidRDefault="00D457FC" w:rsidP="00B718EA">
            <w:pPr>
              <w:spacing w:line="240" w:lineRule="auto"/>
              <w:ind w:firstLineChars="0" w:firstLine="0"/>
              <w:jc w:val="left"/>
              <w:rPr>
                <w:rFonts w:cs="Times New Roman"/>
                <w:sz w:val="18"/>
                <w:szCs w:val="18"/>
              </w:rPr>
            </w:pPr>
            <w:r w:rsidRPr="00C702D7">
              <w:rPr>
                <w:rFonts w:cs="Times New Roman" w:hint="eastAsia"/>
                <w:sz w:val="18"/>
                <w:szCs w:val="18"/>
              </w:rPr>
              <w:t>企业第一大股东持股比例</w:t>
            </w:r>
          </w:p>
        </w:tc>
      </w:tr>
      <w:tr w:rsidR="00C702D7" w:rsidRPr="00C702D7" w14:paraId="460636BB" w14:textId="77777777" w:rsidTr="00B718EA">
        <w:trPr>
          <w:gridAfter w:val="1"/>
          <w:wAfter w:w="38" w:type="pct"/>
          <w:jc w:val="center"/>
        </w:trPr>
        <w:tc>
          <w:tcPr>
            <w:tcW w:w="1229" w:type="pct"/>
            <w:tcBorders>
              <w:top w:val="nil"/>
              <w:left w:val="nil"/>
              <w:bottom w:val="nil"/>
              <w:right w:val="nil"/>
            </w:tcBorders>
          </w:tcPr>
          <w:p w14:paraId="44F83E3D" w14:textId="77777777" w:rsidR="00D457FC" w:rsidRPr="00C702D7" w:rsidRDefault="00D457FC" w:rsidP="00B718EA">
            <w:pPr>
              <w:spacing w:line="240" w:lineRule="auto"/>
              <w:ind w:firstLineChars="0" w:firstLine="0"/>
              <w:jc w:val="center"/>
              <w:rPr>
                <w:rFonts w:cs="Times New Roman"/>
                <w:sz w:val="18"/>
                <w:szCs w:val="18"/>
              </w:rPr>
            </w:pPr>
            <w:r w:rsidRPr="00C702D7">
              <w:rPr>
                <w:rFonts w:cs="Times New Roman" w:hint="eastAsia"/>
                <w:sz w:val="18"/>
                <w:szCs w:val="18"/>
              </w:rPr>
              <w:t>董事会规模</w:t>
            </w:r>
          </w:p>
        </w:tc>
        <w:tc>
          <w:tcPr>
            <w:tcW w:w="831" w:type="pct"/>
            <w:tcBorders>
              <w:top w:val="nil"/>
              <w:left w:val="nil"/>
              <w:bottom w:val="nil"/>
              <w:right w:val="nil"/>
            </w:tcBorders>
          </w:tcPr>
          <w:p w14:paraId="02787923" w14:textId="77777777" w:rsidR="00D457FC" w:rsidRPr="00C702D7" w:rsidRDefault="00D457FC" w:rsidP="00B718EA">
            <w:pPr>
              <w:spacing w:line="240" w:lineRule="auto"/>
              <w:ind w:firstLineChars="0" w:firstLine="0"/>
              <w:jc w:val="center"/>
              <w:rPr>
                <w:rFonts w:cs="Times New Roman"/>
                <w:i/>
                <w:sz w:val="18"/>
                <w:szCs w:val="18"/>
              </w:rPr>
            </w:pPr>
            <w:r w:rsidRPr="00C702D7">
              <w:rPr>
                <w:rFonts w:cs="Times New Roman" w:hint="eastAsia"/>
                <w:i/>
                <w:sz w:val="18"/>
                <w:szCs w:val="18"/>
              </w:rPr>
              <w:t>B</w:t>
            </w:r>
            <w:r w:rsidRPr="00C702D7">
              <w:rPr>
                <w:rFonts w:cs="Times New Roman"/>
                <w:i/>
                <w:sz w:val="18"/>
                <w:szCs w:val="18"/>
              </w:rPr>
              <w:t>oard</w:t>
            </w:r>
          </w:p>
        </w:tc>
        <w:tc>
          <w:tcPr>
            <w:tcW w:w="2902" w:type="pct"/>
            <w:tcBorders>
              <w:top w:val="nil"/>
              <w:left w:val="nil"/>
              <w:bottom w:val="nil"/>
            </w:tcBorders>
            <w:vAlign w:val="center"/>
          </w:tcPr>
          <w:p w14:paraId="62CBF86C" w14:textId="77777777" w:rsidR="00D457FC" w:rsidRPr="00C702D7" w:rsidRDefault="00D457FC" w:rsidP="00B718EA">
            <w:pPr>
              <w:spacing w:line="240" w:lineRule="auto"/>
              <w:ind w:firstLineChars="0" w:firstLine="0"/>
              <w:jc w:val="left"/>
              <w:rPr>
                <w:rFonts w:cs="Times New Roman"/>
                <w:sz w:val="18"/>
                <w:szCs w:val="18"/>
              </w:rPr>
            </w:pPr>
            <w:r w:rsidRPr="00C702D7">
              <w:rPr>
                <w:rFonts w:cs="Times New Roman" w:hint="eastAsia"/>
                <w:sz w:val="18"/>
                <w:szCs w:val="18"/>
              </w:rPr>
              <w:t>董事会人数</w:t>
            </w:r>
          </w:p>
        </w:tc>
      </w:tr>
      <w:tr w:rsidR="00C702D7" w:rsidRPr="00C702D7" w14:paraId="269E23F9" w14:textId="77777777" w:rsidTr="00B718EA">
        <w:trPr>
          <w:gridAfter w:val="1"/>
          <w:wAfter w:w="38" w:type="pct"/>
          <w:jc w:val="center"/>
        </w:trPr>
        <w:tc>
          <w:tcPr>
            <w:tcW w:w="1229" w:type="pct"/>
            <w:tcBorders>
              <w:top w:val="nil"/>
              <w:left w:val="nil"/>
              <w:bottom w:val="nil"/>
              <w:right w:val="nil"/>
            </w:tcBorders>
          </w:tcPr>
          <w:p w14:paraId="776E7933" w14:textId="77777777" w:rsidR="00D457FC" w:rsidRPr="00C702D7" w:rsidRDefault="00D457FC" w:rsidP="00B718EA">
            <w:pPr>
              <w:spacing w:line="240" w:lineRule="auto"/>
              <w:ind w:firstLineChars="0" w:firstLine="0"/>
              <w:jc w:val="center"/>
              <w:rPr>
                <w:rFonts w:cs="Times New Roman"/>
                <w:sz w:val="18"/>
                <w:szCs w:val="18"/>
              </w:rPr>
            </w:pPr>
            <w:r w:rsidRPr="00C702D7">
              <w:rPr>
                <w:rFonts w:cs="Times New Roman" w:hint="eastAsia"/>
                <w:sz w:val="18"/>
                <w:szCs w:val="18"/>
              </w:rPr>
              <w:t>独立董事比例</w:t>
            </w:r>
          </w:p>
        </w:tc>
        <w:tc>
          <w:tcPr>
            <w:tcW w:w="831" w:type="pct"/>
            <w:tcBorders>
              <w:top w:val="nil"/>
              <w:left w:val="nil"/>
              <w:bottom w:val="nil"/>
              <w:right w:val="nil"/>
            </w:tcBorders>
          </w:tcPr>
          <w:p w14:paraId="642C8E7D" w14:textId="77777777" w:rsidR="00D457FC" w:rsidRPr="00C702D7" w:rsidRDefault="00D457FC" w:rsidP="00B718EA">
            <w:pPr>
              <w:spacing w:line="240" w:lineRule="auto"/>
              <w:ind w:firstLineChars="0" w:firstLine="0"/>
              <w:jc w:val="center"/>
              <w:rPr>
                <w:rFonts w:cs="Times New Roman"/>
                <w:i/>
                <w:sz w:val="18"/>
                <w:szCs w:val="18"/>
              </w:rPr>
            </w:pPr>
            <w:r w:rsidRPr="00C702D7">
              <w:rPr>
                <w:rFonts w:cs="Times New Roman" w:hint="eastAsia"/>
                <w:i/>
                <w:sz w:val="18"/>
                <w:szCs w:val="18"/>
              </w:rPr>
              <w:t>I</w:t>
            </w:r>
            <w:r w:rsidRPr="00C702D7">
              <w:rPr>
                <w:rFonts w:cs="Times New Roman"/>
                <w:i/>
                <w:sz w:val="18"/>
                <w:szCs w:val="18"/>
              </w:rPr>
              <w:t>nde</w:t>
            </w:r>
          </w:p>
        </w:tc>
        <w:tc>
          <w:tcPr>
            <w:tcW w:w="2902" w:type="pct"/>
            <w:tcBorders>
              <w:top w:val="nil"/>
              <w:left w:val="nil"/>
              <w:bottom w:val="nil"/>
            </w:tcBorders>
            <w:vAlign w:val="center"/>
          </w:tcPr>
          <w:p w14:paraId="1C634015" w14:textId="77777777" w:rsidR="00D457FC" w:rsidRPr="00C702D7" w:rsidRDefault="00D457FC" w:rsidP="00B718EA">
            <w:pPr>
              <w:spacing w:line="240" w:lineRule="auto"/>
              <w:ind w:firstLineChars="0" w:firstLine="0"/>
              <w:jc w:val="left"/>
              <w:rPr>
                <w:rFonts w:cs="Times New Roman"/>
                <w:sz w:val="18"/>
                <w:szCs w:val="18"/>
              </w:rPr>
            </w:pPr>
            <w:r w:rsidRPr="00C702D7">
              <w:rPr>
                <w:rFonts w:cs="Times New Roman" w:hint="eastAsia"/>
                <w:sz w:val="18"/>
                <w:szCs w:val="18"/>
              </w:rPr>
              <w:t>独立董事人数</w:t>
            </w:r>
            <w:r w:rsidRPr="00C702D7">
              <w:rPr>
                <w:rFonts w:cs="Times New Roman" w:hint="eastAsia"/>
                <w:sz w:val="18"/>
                <w:szCs w:val="18"/>
              </w:rPr>
              <w:t>/</w:t>
            </w:r>
            <w:r w:rsidRPr="00C702D7">
              <w:rPr>
                <w:rFonts w:cs="Times New Roman" w:hint="eastAsia"/>
                <w:sz w:val="18"/>
                <w:szCs w:val="18"/>
              </w:rPr>
              <w:t>董事会人数</w:t>
            </w:r>
          </w:p>
        </w:tc>
      </w:tr>
      <w:tr w:rsidR="00C702D7" w:rsidRPr="00C702D7" w14:paraId="3D7AA73F" w14:textId="77777777" w:rsidTr="00B718EA">
        <w:trPr>
          <w:gridAfter w:val="1"/>
          <w:wAfter w:w="38" w:type="pct"/>
          <w:jc w:val="center"/>
        </w:trPr>
        <w:tc>
          <w:tcPr>
            <w:tcW w:w="1229" w:type="pct"/>
            <w:tcBorders>
              <w:top w:val="nil"/>
              <w:left w:val="nil"/>
              <w:bottom w:val="nil"/>
              <w:right w:val="nil"/>
            </w:tcBorders>
          </w:tcPr>
          <w:p w14:paraId="1BD6BFBB" w14:textId="77777777" w:rsidR="00D457FC" w:rsidRPr="00C702D7" w:rsidRDefault="00D457FC" w:rsidP="00B718EA">
            <w:pPr>
              <w:spacing w:line="240" w:lineRule="auto"/>
              <w:ind w:firstLineChars="0" w:firstLine="0"/>
              <w:jc w:val="center"/>
              <w:rPr>
                <w:rFonts w:cs="Times New Roman"/>
                <w:sz w:val="18"/>
                <w:szCs w:val="18"/>
              </w:rPr>
            </w:pPr>
            <w:r w:rsidRPr="00C702D7">
              <w:rPr>
                <w:rFonts w:cs="Times New Roman" w:hint="eastAsia"/>
                <w:sz w:val="18"/>
                <w:szCs w:val="18"/>
              </w:rPr>
              <w:t>两职合一情况</w:t>
            </w:r>
          </w:p>
        </w:tc>
        <w:tc>
          <w:tcPr>
            <w:tcW w:w="831" w:type="pct"/>
            <w:tcBorders>
              <w:top w:val="nil"/>
              <w:left w:val="nil"/>
              <w:bottom w:val="nil"/>
              <w:right w:val="nil"/>
            </w:tcBorders>
          </w:tcPr>
          <w:p w14:paraId="18862C39" w14:textId="77777777" w:rsidR="00D457FC" w:rsidRPr="00C702D7" w:rsidRDefault="00D457FC" w:rsidP="00B718EA">
            <w:pPr>
              <w:spacing w:line="240" w:lineRule="auto"/>
              <w:ind w:firstLineChars="0" w:firstLine="0"/>
              <w:jc w:val="center"/>
              <w:rPr>
                <w:rFonts w:cs="Times New Roman"/>
                <w:i/>
                <w:sz w:val="18"/>
                <w:szCs w:val="18"/>
              </w:rPr>
            </w:pPr>
            <w:r w:rsidRPr="00C702D7">
              <w:rPr>
                <w:rFonts w:cs="Times New Roman" w:hint="eastAsia"/>
                <w:i/>
                <w:sz w:val="18"/>
                <w:szCs w:val="18"/>
              </w:rPr>
              <w:t>D</w:t>
            </w:r>
            <w:r w:rsidRPr="00C702D7">
              <w:rPr>
                <w:rFonts w:cs="Times New Roman"/>
                <w:i/>
                <w:sz w:val="18"/>
                <w:szCs w:val="18"/>
              </w:rPr>
              <w:t>ual</w:t>
            </w:r>
          </w:p>
        </w:tc>
        <w:tc>
          <w:tcPr>
            <w:tcW w:w="2902" w:type="pct"/>
            <w:tcBorders>
              <w:top w:val="nil"/>
              <w:left w:val="nil"/>
              <w:bottom w:val="nil"/>
            </w:tcBorders>
            <w:vAlign w:val="center"/>
          </w:tcPr>
          <w:p w14:paraId="6E5B3E87" w14:textId="77777777" w:rsidR="00D457FC" w:rsidRPr="00C702D7" w:rsidRDefault="00D457FC" w:rsidP="00B718EA">
            <w:pPr>
              <w:spacing w:line="240" w:lineRule="auto"/>
              <w:ind w:firstLineChars="0" w:firstLine="0"/>
              <w:jc w:val="left"/>
              <w:rPr>
                <w:rFonts w:cs="Times New Roman"/>
                <w:sz w:val="18"/>
                <w:szCs w:val="18"/>
              </w:rPr>
            </w:pPr>
            <w:r w:rsidRPr="00C702D7">
              <w:rPr>
                <w:rFonts w:cs="Times New Roman" w:hint="eastAsia"/>
                <w:sz w:val="18"/>
                <w:szCs w:val="18"/>
              </w:rPr>
              <w:t>若总经理和董事长两职合一取值为</w:t>
            </w:r>
            <w:r w:rsidRPr="00C702D7">
              <w:rPr>
                <w:rFonts w:cs="Times New Roman" w:hint="eastAsia"/>
                <w:sz w:val="18"/>
                <w:szCs w:val="18"/>
              </w:rPr>
              <w:t>1</w:t>
            </w:r>
            <w:r w:rsidRPr="00C702D7">
              <w:rPr>
                <w:rFonts w:cs="Times New Roman" w:hint="eastAsia"/>
                <w:sz w:val="18"/>
                <w:szCs w:val="18"/>
              </w:rPr>
              <w:t>，否则为</w:t>
            </w:r>
            <w:r w:rsidRPr="00C702D7">
              <w:rPr>
                <w:rFonts w:cs="Times New Roman" w:hint="eastAsia"/>
                <w:sz w:val="18"/>
                <w:szCs w:val="18"/>
              </w:rPr>
              <w:t>0</w:t>
            </w:r>
          </w:p>
        </w:tc>
      </w:tr>
      <w:tr w:rsidR="00C702D7" w:rsidRPr="00C702D7" w14:paraId="68A87F16" w14:textId="77777777" w:rsidTr="00B718EA">
        <w:trPr>
          <w:gridAfter w:val="1"/>
          <w:wAfter w:w="38" w:type="pct"/>
          <w:jc w:val="center"/>
        </w:trPr>
        <w:tc>
          <w:tcPr>
            <w:tcW w:w="1229" w:type="pct"/>
            <w:tcBorders>
              <w:top w:val="nil"/>
              <w:left w:val="nil"/>
              <w:bottom w:val="single" w:sz="4" w:space="0" w:color="auto"/>
              <w:right w:val="nil"/>
            </w:tcBorders>
          </w:tcPr>
          <w:p w14:paraId="256EEC70" w14:textId="77777777" w:rsidR="00D457FC" w:rsidRPr="00C702D7" w:rsidRDefault="00D457FC" w:rsidP="00B718EA">
            <w:pPr>
              <w:spacing w:line="240" w:lineRule="auto"/>
              <w:ind w:firstLineChars="0" w:firstLine="0"/>
              <w:jc w:val="center"/>
              <w:rPr>
                <w:rFonts w:cs="Times New Roman"/>
                <w:sz w:val="18"/>
                <w:szCs w:val="18"/>
              </w:rPr>
            </w:pPr>
            <w:r w:rsidRPr="00C702D7">
              <w:rPr>
                <w:rFonts w:cs="Times New Roman" w:hint="eastAsia"/>
                <w:sz w:val="18"/>
                <w:szCs w:val="18"/>
              </w:rPr>
              <w:t>企业年龄</w:t>
            </w:r>
          </w:p>
        </w:tc>
        <w:tc>
          <w:tcPr>
            <w:tcW w:w="831" w:type="pct"/>
            <w:tcBorders>
              <w:top w:val="nil"/>
              <w:left w:val="nil"/>
              <w:bottom w:val="single" w:sz="4" w:space="0" w:color="auto"/>
              <w:right w:val="nil"/>
            </w:tcBorders>
          </w:tcPr>
          <w:p w14:paraId="2B714248" w14:textId="77777777" w:rsidR="00D457FC" w:rsidRPr="00C702D7" w:rsidRDefault="00D457FC" w:rsidP="00B718EA">
            <w:pPr>
              <w:spacing w:line="240" w:lineRule="auto"/>
              <w:ind w:firstLineChars="0" w:firstLine="0"/>
              <w:jc w:val="center"/>
              <w:rPr>
                <w:rFonts w:cs="Times New Roman"/>
                <w:i/>
                <w:sz w:val="18"/>
                <w:szCs w:val="18"/>
              </w:rPr>
            </w:pPr>
            <w:r w:rsidRPr="00C702D7">
              <w:rPr>
                <w:rFonts w:cs="Times New Roman" w:hint="eastAsia"/>
                <w:i/>
                <w:sz w:val="18"/>
                <w:szCs w:val="18"/>
              </w:rPr>
              <w:t>A</w:t>
            </w:r>
            <w:r w:rsidRPr="00C702D7">
              <w:rPr>
                <w:rFonts w:cs="Times New Roman"/>
                <w:i/>
                <w:sz w:val="18"/>
                <w:szCs w:val="18"/>
              </w:rPr>
              <w:t>ge</w:t>
            </w:r>
          </w:p>
        </w:tc>
        <w:tc>
          <w:tcPr>
            <w:tcW w:w="2902" w:type="pct"/>
            <w:tcBorders>
              <w:top w:val="nil"/>
              <w:left w:val="nil"/>
              <w:bottom w:val="single" w:sz="4" w:space="0" w:color="auto"/>
            </w:tcBorders>
          </w:tcPr>
          <w:p w14:paraId="33088379" w14:textId="77777777" w:rsidR="00D457FC" w:rsidRPr="00C702D7" w:rsidRDefault="00D457FC" w:rsidP="00B718EA">
            <w:pPr>
              <w:spacing w:line="240" w:lineRule="auto"/>
              <w:ind w:firstLineChars="0" w:firstLine="0"/>
              <w:jc w:val="left"/>
              <w:rPr>
                <w:rFonts w:cs="Times New Roman"/>
                <w:sz w:val="18"/>
                <w:szCs w:val="18"/>
              </w:rPr>
            </w:pPr>
            <w:r w:rsidRPr="00C702D7">
              <w:rPr>
                <w:rFonts w:cs="Times New Roman" w:hint="eastAsia"/>
                <w:sz w:val="18"/>
                <w:szCs w:val="18"/>
              </w:rPr>
              <w:t>企业成立年数的自然对数</w:t>
            </w:r>
          </w:p>
        </w:tc>
      </w:tr>
      <w:tr w:rsidR="00C702D7" w:rsidRPr="00C702D7" w14:paraId="7546F932" w14:textId="77777777" w:rsidTr="00B718EA">
        <w:trPr>
          <w:gridAfter w:val="1"/>
          <w:wAfter w:w="38" w:type="pct"/>
          <w:jc w:val="center"/>
        </w:trPr>
        <w:tc>
          <w:tcPr>
            <w:tcW w:w="1229" w:type="pct"/>
            <w:tcBorders>
              <w:top w:val="single" w:sz="4" w:space="0" w:color="auto"/>
              <w:left w:val="nil"/>
              <w:bottom w:val="nil"/>
              <w:right w:val="nil"/>
            </w:tcBorders>
          </w:tcPr>
          <w:p w14:paraId="23206FCC" w14:textId="77777777" w:rsidR="00D457FC" w:rsidRPr="00C702D7" w:rsidRDefault="00D457FC" w:rsidP="00B718EA">
            <w:pPr>
              <w:spacing w:line="240" w:lineRule="auto"/>
              <w:ind w:firstLineChars="0" w:firstLine="0"/>
              <w:jc w:val="center"/>
              <w:rPr>
                <w:rFonts w:cs="Times New Roman"/>
                <w:sz w:val="18"/>
                <w:szCs w:val="18"/>
              </w:rPr>
            </w:pPr>
            <w:r w:rsidRPr="00C702D7">
              <w:rPr>
                <w:rFonts w:cs="Times New Roman" w:hint="eastAsia"/>
                <w:sz w:val="18"/>
                <w:szCs w:val="18"/>
              </w:rPr>
              <w:t>地区人均</w:t>
            </w:r>
            <w:r w:rsidRPr="00C702D7">
              <w:rPr>
                <w:rFonts w:cs="Times New Roman" w:hint="eastAsia"/>
                <w:sz w:val="18"/>
                <w:szCs w:val="18"/>
              </w:rPr>
              <w:t>GDP</w:t>
            </w:r>
          </w:p>
        </w:tc>
        <w:tc>
          <w:tcPr>
            <w:tcW w:w="831" w:type="pct"/>
            <w:tcBorders>
              <w:top w:val="single" w:sz="4" w:space="0" w:color="auto"/>
              <w:left w:val="nil"/>
              <w:bottom w:val="nil"/>
              <w:right w:val="nil"/>
            </w:tcBorders>
          </w:tcPr>
          <w:p w14:paraId="2E6DA1CD" w14:textId="77777777" w:rsidR="00D457FC" w:rsidRPr="00C702D7" w:rsidRDefault="00D457FC" w:rsidP="00B718EA">
            <w:pPr>
              <w:spacing w:line="240" w:lineRule="auto"/>
              <w:ind w:firstLineChars="0" w:firstLine="0"/>
              <w:jc w:val="center"/>
              <w:rPr>
                <w:rFonts w:cs="Times New Roman"/>
                <w:i/>
                <w:sz w:val="18"/>
                <w:szCs w:val="18"/>
              </w:rPr>
            </w:pPr>
            <w:r w:rsidRPr="00C702D7">
              <w:rPr>
                <w:rFonts w:cs="Times New Roman" w:hint="eastAsia"/>
                <w:i/>
                <w:sz w:val="18"/>
                <w:szCs w:val="18"/>
              </w:rPr>
              <w:t>P</w:t>
            </w:r>
            <w:r w:rsidRPr="00C702D7">
              <w:rPr>
                <w:rFonts w:cs="Times New Roman"/>
                <w:i/>
                <w:sz w:val="18"/>
                <w:szCs w:val="18"/>
              </w:rPr>
              <w:t>GDP</w:t>
            </w:r>
          </w:p>
        </w:tc>
        <w:tc>
          <w:tcPr>
            <w:tcW w:w="2902" w:type="pct"/>
            <w:tcBorders>
              <w:top w:val="single" w:sz="4" w:space="0" w:color="auto"/>
              <w:left w:val="nil"/>
              <w:bottom w:val="nil"/>
            </w:tcBorders>
          </w:tcPr>
          <w:p w14:paraId="3EE51442" w14:textId="77777777" w:rsidR="00D457FC" w:rsidRPr="00C702D7" w:rsidRDefault="00D457FC" w:rsidP="00B718EA">
            <w:pPr>
              <w:spacing w:line="240" w:lineRule="auto"/>
              <w:ind w:firstLineChars="0" w:firstLine="0"/>
              <w:jc w:val="left"/>
              <w:rPr>
                <w:rFonts w:cs="Times New Roman"/>
                <w:sz w:val="18"/>
                <w:szCs w:val="18"/>
              </w:rPr>
            </w:pPr>
            <w:r w:rsidRPr="00C702D7">
              <w:rPr>
                <w:rFonts w:hint="eastAsia"/>
                <w:sz w:val="18"/>
                <w:szCs w:val="18"/>
              </w:rPr>
              <w:t>企业所在地总产出与总人口比例的自然对数</w:t>
            </w:r>
          </w:p>
        </w:tc>
      </w:tr>
      <w:tr w:rsidR="00C702D7" w:rsidRPr="00C702D7" w14:paraId="1FAD8BC9" w14:textId="77777777" w:rsidTr="00B718EA">
        <w:trPr>
          <w:gridAfter w:val="1"/>
          <w:wAfter w:w="38" w:type="pct"/>
          <w:jc w:val="center"/>
        </w:trPr>
        <w:tc>
          <w:tcPr>
            <w:tcW w:w="1229" w:type="pct"/>
            <w:tcBorders>
              <w:top w:val="nil"/>
              <w:left w:val="nil"/>
              <w:bottom w:val="nil"/>
              <w:right w:val="nil"/>
            </w:tcBorders>
            <w:vAlign w:val="center"/>
          </w:tcPr>
          <w:p w14:paraId="3ED2EF78" w14:textId="77777777" w:rsidR="00D457FC" w:rsidRPr="00C702D7" w:rsidRDefault="00D457FC" w:rsidP="00B718EA">
            <w:pPr>
              <w:spacing w:line="240" w:lineRule="auto"/>
              <w:ind w:firstLineChars="0" w:firstLine="0"/>
              <w:jc w:val="center"/>
              <w:rPr>
                <w:rFonts w:cs="Times New Roman"/>
                <w:sz w:val="18"/>
                <w:szCs w:val="18"/>
              </w:rPr>
            </w:pPr>
            <w:r w:rsidRPr="00C702D7">
              <w:rPr>
                <w:rFonts w:cs="Times New Roman" w:hint="eastAsia"/>
                <w:sz w:val="18"/>
                <w:szCs w:val="18"/>
              </w:rPr>
              <w:t>地区环境治理</w:t>
            </w:r>
          </w:p>
        </w:tc>
        <w:tc>
          <w:tcPr>
            <w:tcW w:w="831" w:type="pct"/>
            <w:tcBorders>
              <w:top w:val="nil"/>
              <w:left w:val="nil"/>
              <w:bottom w:val="nil"/>
              <w:right w:val="nil"/>
            </w:tcBorders>
            <w:vAlign w:val="center"/>
          </w:tcPr>
          <w:p w14:paraId="3D39B59F" w14:textId="77777777" w:rsidR="00D457FC" w:rsidRPr="00C702D7" w:rsidRDefault="00D457FC" w:rsidP="00B718EA">
            <w:pPr>
              <w:spacing w:line="240" w:lineRule="auto"/>
              <w:ind w:firstLineChars="0" w:firstLine="0"/>
              <w:jc w:val="center"/>
              <w:rPr>
                <w:rFonts w:cs="Times New Roman"/>
                <w:i/>
                <w:sz w:val="18"/>
                <w:szCs w:val="18"/>
              </w:rPr>
            </w:pPr>
            <w:r w:rsidRPr="00C702D7">
              <w:rPr>
                <w:rFonts w:cs="Times New Roman" w:hint="eastAsia"/>
                <w:i/>
                <w:sz w:val="18"/>
                <w:szCs w:val="18"/>
              </w:rPr>
              <w:t>E</w:t>
            </w:r>
            <w:r w:rsidRPr="00C702D7">
              <w:rPr>
                <w:rFonts w:cs="Times New Roman"/>
                <w:i/>
                <w:sz w:val="18"/>
                <w:szCs w:val="18"/>
              </w:rPr>
              <w:t>nv</w:t>
            </w:r>
          </w:p>
        </w:tc>
        <w:tc>
          <w:tcPr>
            <w:tcW w:w="2902" w:type="pct"/>
            <w:tcBorders>
              <w:top w:val="nil"/>
              <w:left w:val="nil"/>
              <w:bottom w:val="nil"/>
            </w:tcBorders>
            <w:vAlign w:val="center"/>
          </w:tcPr>
          <w:p w14:paraId="69F9653C" w14:textId="77777777" w:rsidR="00D457FC" w:rsidRPr="00C702D7" w:rsidRDefault="00D457FC" w:rsidP="00B718EA">
            <w:pPr>
              <w:spacing w:line="240" w:lineRule="auto"/>
              <w:ind w:firstLineChars="0" w:firstLine="0"/>
              <w:jc w:val="left"/>
              <w:rPr>
                <w:rFonts w:cs="Times New Roman"/>
                <w:sz w:val="18"/>
                <w:szCs w:val="18"/>
              </w:rPr>
            </w:pPr>
            <w:r w:rsidRPr="00C702D7">
              <w:rPr>
                <w:rFonts w:cs="Times New Roman" w:hint="eastAsia"/>
                <w:sz w:val="18"/>
                <w:szCs w:val="18"/>
              </w:rPr>
              <w:t>地区垃圾生活无害化处理率</w:t>
            </w:r>
          </w:p>
        </w:tc>
      </w:tr>
      <w:tr w:rsidR="00C702D7" w:rsidRPr="00C702D7" w14:paraId="133DC646" w14:textId="77777777" w:rsidTr="00B718EA">
        <w:trPr>
          <w:gridAfter w:val="1"/>
          <w:wAfter w:w="38" w:type="pct"/>
          <w:jc w:val="center"/>
        </w:trPr>
        <w:tc>
          <w:tcPr>
            <w:tcW w:w="1229" w:type="pct"/>
            <w:tcBorders>
              <w:top w:val="nil"/>
              <w:left w:val="nil"/>
              <w:bottom w:val="nil"/>
              <w:right w:val="nil"/>
            </w:tcBorders>
            <w:vAlign w:val="center"/>
          </w:tcPr>
          <w:p w14:paraId="5FD86174" w14:textId="77777777" w:rsidR="00D457FC" w:rsidRPr="00C702D7" w:rsidRDefault="00D457FC" w:rsidP="00B718EA">
            <w:pPr>
              <w:spacing w:line="240" w:lineRule="auto"/>
              <w:ind w:firstLineChars="0" w:firstLine="0"/>
              <w:jc w:val="center"/>
              <w:rPr>
                <w:rFonts w:cs="Times New Roman"/>
                <w:sz w:val="18"/>
                <w:szCs w:val="18"/>
              </w:rPr>
            </w:pPr>
            <w:r w:rsidRPr="00C702D7">
              <w:rPr>
                <w:rFonts w:cs="Times New Roman" w:hint="eastAsia"/>
                <w:sz w:val="18"/>
                <w:szCs w:val="18"/>
              </w:rPr>
              <w:t>人力资本</w:t>
            </w:r>
          </w:p>
        </w:tc>
        <w:tc>
          <w:tcPr>
            <w:tcW w:w="831" w:type="pct"/>
            <w:tcBorders>
              <w:top w:val="nil"/>
              <w:left w:val="nil"/>
              <w:bottom w:val="nil"/>
              <w:right w:val="nil"/>
            </w:tcBorders>
            <w:vAlign w:val="center"/>
          </w:tcPr>
          <w:p w14:paraId="0B1F8B44" w14:textId="77777777" w:rsidR="00D457FC" w:rsidRPr="00C702D7" w:rsidRDefault="00D457FC" w:rsidP="00B718EA">
            <w:pPr>
              <w:spacing w:line="240" w:lineRule="auto"/>
              <w:ind w:firstLineChars="0" w:firstLine="0"/>
              <w:jc w:val="center"/>
              <w:rPr>
                <w:rFonts w:cs="Times New Roman"/>
                <w:i/>
                <w:sz w:val="18"/>
                <w:szCs w:val="18"/>
              </w:rPr>
            </w:pPr>
            <w:r w:rsidRPr="00C702D7">
              <w:rPr>
                <w:rFonts w:cs="Times New Roman" w:hint="eastAsia"/>
                <w:i/>
                <w:sz w:val="18"/>
                <w:szCs w:val="18"/>
              </w:rPr>
              <w:t>H</w:t>
            </w:r>
            <w:r w:rsidRPr="00C702D7">
              <w:rPr>
                <w:rFonts w:cs="Times New Roman"/>
                <w:i/>
                <w:sz w:val="18"/>
                <w:szCs w:val="18"/>
              </w:rPr>
              <w:t>R</w:t>
            </w:r>
          </w:p>
        </w:tc>
        <w:tc>
          <w:tcPr>
            <w:tcW w:w="2902" w:type="pct"/>
            <w:tcBorders>
              <w:top w:val="nil"/>
              <w:left w:val="nil"/>
              <w:bottom w:val="nil"/>
            </w:tcBorders>
            <w:vAlign w:val="center"/>
          </w:tcPr>
          <w:p w14:paraId="542E674D" w14:textId="77777777" w:rsidR="00D457FC" w:rsidRPr="00C702D7" w:rsidRDefault="00D457FC" w:rsidP="00B718EA">
            <w:pPr>
              <w:spacing w:line="240" w:lineRule="auto"/>
              <w:ind w:firstLineChars="0" w:firstLine="0"/>
              <w:jc w:val="left"/>
              <w:rPr>
                <w:rFonts w:cs="Times New Roman"/>
                <w:sz w:val="18"/>
                <w:szCs w:val="18"/>
              </w:rPr>
            </w:pPr>
            <w:r w:rsidRPr="00C702D7">
              <w:rPr>
                <w:rFonts w:cs="Times New Roman" w:hint="eastAsia"/>
                <w:sz w:val="18"/>
                <w:szCs w:val="18"/>
              </w:rPr>
              <w:t>地区在岗职工平均工资</w:t>
            </w:r>
          </w:p>
        </w:tc>
      </w:tr>
      <w:tr w:rsidR="00C702D7" w:rsidRPr="00C702D7" w14:paraId="025FEE73" w14:textId="77777777" w:rsidTr="00B718EA">
        <w:trPr>
          <w:gridAfter w:val="1"/>
          <w:wAfter w:w="38" w:type="pct"/>
          <w:jc w:val="center"/>
        </w:trPr>
        <w:tc>
          <w:tcPr>
            <w:tcW w:w="1229" w:type="pct"/>
            <w:tcBorders>
              <w:top w:val="nil"/>
              <w:left w:val="nil"/>
              <w:bottom w:val="nil"/>
              <w:right w:val="nil"/>
            </w:tcBorders>
            <w:vAlign w:val="center"/>
          </w:tcPr>
          <w:p w14:paraId="43EC21FA" w14:textId="77777777" w:rsidR="00D457FC" w:rsidRPr="00C702D7" w:rsidRDefault="00D457FC" w:rsidP="00B718EA">
            <w:pPr>
              <w:spacing w:line="240" w:lineRule="auto"/>
              <w:ind w:firstLineChars="0" w:firstLine="0"/>
              <w:jc w:val="center"/>
              <w:rPr>
                <w:rFonts w:cs="Times New Roman"/>
                <w:sz w:val="18"/>
                <w:szCs w:val="18"/>
              </w:rPr>
            </w:pPr>
            <w:r w:rsidRPr="00C702D7">
              <w:rPr>
                <w:rFonts w:cs="Times New Roman" w:hint="eastAsia"/>
                <w:sz w:val="18"/>
                <w:szCs w:val="18"/>
              </w:rPr>
              <w:t>技术水平</w:t>
            </w:r>
          </w:p>
        </w:tc>
        <w:tc>
          <w:tcPr>
            <w:tcW w:w="831" w:type="pct"/>
            <w:tcBorders>
              <w:top w:val="nil"/>
              <w:left w:val="nil"/>
              <w:bottom w:val="nil"/>
              <w:right w:val="nil"/>
            </w:tcBorders>
            <w:vAlign w:val="center"/>
          </w:tcPr>
          <w:p w14:paraId="54E056A6" w14:textId="77777777" w:rsidR="00D457FC" w:rsidRPr="00C702D7" w:rsidRDefault="00D457FC" w:rsidP="00B718EA">
            <w:pPr>
              <w:spacing w:line="240" w:lineRule="auto"/>
              <w:ind w:firstLineChars="0" w:firstLine="0"/>
              <w:jc w:val="center"/>
              <w:rPr>
                <w:rFonts w:cs="Times New Roman"/>
                <w:i/>
                <w:sz w:val="18"/>
                <w:szCs w:val="18"/>
              </w:rPr>
            </w:pPr>
            <w:r w:rsidRPr="00C702D7">
              <w:rPr>
                <w:rFonts w:cs="Times New Roman" w:hint="eastAsia"/>
                <w:i/>
                <w:sz w:val="18"/>
                <w:szCs w:val="18"/>
              </w:rPr>
              <w:t>T</w:t>
            </w:r>
            <w:r w:rsidRPr="00C702D7">
              <w:rPr>
                <w:rFonts w:cs="Times New Roman"/>
                <w:i/>
                <w:sz w:val="18"/>
                <w:szCs w:val="18"/>
              </w:rPr>
              <w:t>ech</w:t>
            </w:r>
          </w:p>
        </w:tc>
        <w:tc>
          <w:tcPr>
            <w:tcW w:w="2902" w:type="pct"/>
            <w:tcBorders>
              <w:top w:val="nil"/>
              <w:left w:val="nil"/>
              <w:bottom w:val="nil"/>
            </w:tcBorders>
            <w:vAlign w:val="center"/>
          </w:tcPr>
          <w:p w14:paraId="3D690E8C" w14:textId="77777777" w:rsidR="00D457FC" w:rsidRPr="00C702D7" w:rsidRDefault="00D457FC" w:rsidP="00B718EA">
            <w:pPr>
              <w:spacing w:line="240" w:lineRule="auto"/>
              <w:ind w:firstLineChars="0" w:firstLine="0"/>
              <w:jc w:val="left"/>
              <w:rPr>
                <w:rFonts w:cs="Times New Roman"/>
                <w:sz w:val="18"/>
                <w:szCs w:val="18"/>
              </w:rPr>
            </w:pPr>
            <w:r w:rsidRPr="00C702D7">
              <w:rPr>
                <w:rFonts w:cs="Times New Roman" w:hint="eastAsia"/>
                <w:sz w:val="18"/>
                <w:szCs w:val="18"/>
              </w:rPr>
              <w:t>地区年度科技支出的对数</w:t>
            </w:r>
          </w:p>
        </w:tc>
      </w:tr>
      <w:tr w:rsidR="00C702D7" w:rsidRPr="00C702D7" w14:paraId="6ECD7894" w14:textId="77777777" w:rsidTr="00B718EA">
        <w:trPr>
          <w:gridAfter w:val="1"/>
          <w:wAfter w:w="38" w:type="pct"/>
          <w:jc w:val="center"/>
        </w:trPr>
        <w:tc>
          <w:tcPr>
            <w:tcW w:w="1229" w:type="pct"/>
            <w:tcBorders>
              <w:top w:val="nil"/>
              <w:left w:val="nil"/>
              <w:bottom w:val="nil"/>
              <w:right w:val="nil"/>
            </w:tcBorders>
            <w:vAlign w:val="center"/>
          </w:tcPr>
          <w:p w14:paraId="354B603C" w14:textId="77777777" w:rsidR="00D457FC" w:rsidRPr="00C702D7" w:rsidRDefault="00D457FC" w:rsidP="00B718EA">
            <w:pPr>
              <w:spacing w:line="240" w:lineRule="auto"/>
              <w:ind w:firstLineChars="0" w:firstLine="0"/>
              <w:jc w:val="center"/>
              <w:rPr>
                <w:rFonts w:cs="Times New Roman"/>
                <w:sz w:val="18"/>
                <w:szCs w:val="18"/>
              </w:rPr>
            </w:pPr>
            <w:r w:rsidRPr="00C702D7">
              <w:rPr>
                <w:rFonts w:cs="Times New Roman" w:hint="eastAsia"/>
                <w:sz w:val="18"/>
                <w:szCs w:val="18"/>
              </w:rPr>
              <w:t>融资能力</w:t>
            </w:r>
          </w:p>
        </w:tc>
        <w:tc>
          <w:tcPr>
            <w:tcW w:w="831" w:type="pct"/>
            <w:tcBorders>
              <w:top w:val="nil"/>
              <w:left w:val="nil"/>
              <w:bottom w:val="nil"/>
              <w:right w:val="nil"/>
            </w:tcBorders>
            <w:vAlign w:val="center"/>
          </w:tcPr>
          <w:p w14:paraId="27B7A8F4" w14:textId="77777777" w:rsidR="00D457FC" w:rsidRPr="00C702D7" w:rsidRDefault="00D457FC" w:rsidP="00B718EA">
            <w:pPr>
              <w:spacing w:line="240" w:lineRule="auto"/>
              <w:ind w:firstLineChars="0" w:firstLine="0"/>
              <w:jc w:val="center"/>
              <w:rPr>
                <w:rFonts w:cs="Times New Roman"/>
                <w:i/>
                <w:sz w:val="18"/>
                <w:szCs w:val="18"/>
              </w:rPr>
            </w:pPr>
            <w:r w:rsidRPr="00C702D7">
              <w:rPr>
                <w:rFonts w:cs="Times New Roman" w:hint="eastAsia"/>
                <w:i/>
                <w:sz w:val="18"/>
                <w:szCs w:val="18"/>
              </w:rPr>
              <w:t>F</w:t>
            </w:r>
            <w:r w:rsidRPr="00C702D7">
              <w:rPr>
                <w:rFonts w:cs="Times New Roman"/>
                <w:i/>
                <w:sz w:val="18"/>
                <w:szCs w:val="18"/>
              </w:rPr>
              <w:t>in</w:t>
            </w:r>
          </w:p>
        </w:tc>
        <w:tc>
          <w:tcPr>
            <w:tcW w:w="2902" w:type="pct"/>
            <w:tcBorders>
              <w:top w:val="nil"/>
              <w:left w:val="nil"/>
              <w:bottom w:val="nil"/>
            </w:tcBorders>
            <w:vAlign w:val="center"/>
          </w:tcPr>
          <w:p w14:paraId="4BD96A3D" w14:textId="77777777" w:rsidR="00D457FC" w:rsidRPr="00C702D7" w:rsidRDefault="00D457FC" w:rsidP="00B718EA">
            <w:pPr>
              <w:spacing w:line="240" w:lineRule="auto"/>
              <w:ind w:firstLineChars="0" w:firstLine="0"/>
              <w:jc w:val="left"/>
              <w:rPr>
                <w:rFonts w:cs="Times New Roman"/>
                <w:sz w:val="18"/>
                <w:szCs w:val="18"/>
              </w:rPr>
            </w:pPr>
            <w:r w:rsidRPr="00C702D7">
              <w:rPr>
                <w:rFonts w:cs="Times New Roman" w:hint="eastAsia"/>
                <w:sz w:val="18"/>
                <w:szCs w:val="18"/>
              </w:rPr>
              <w:t>地区年末金融机构贷款余额的对数</w:t>
            </w:r>
          </w:p>
        </w:tc>
      </w:tr>
      <w:tr w:rsidR="00C702D7" w:rsidRPr="00C702D7" w14:paraId="22ACEF0F" w14:textId="77777777" w:rsidTr="00B718EA">
        <w:trPr>
          <w:gridAfter w:val="1"/>
          <w:wAfter w:w="38" w:type="pct"/>
          <w:trHeight w:val="351"/>
          <w:jc w:val="center"/>
        </w:trPr>
        <w:tc>
          <w:tcPr>
            <w:tcW w:w="1229" w:type="pct"/>
            <w:tcBorders>
              <w:top w:val="nil"/>
              <w:left w:val="nil"/>
              <w:bottom w:val="single" w:sz="12" w:space="0" w:color="auto"/>
              <w:right w:val="nil"/>
            </w:tcBorders>
            <w:vAlign w:val="center"/>
          </w:tcPr>
          <w:p w14:paraId="5B97BE79" w14:textId="77777777" w:rsidR="00D457FC" w:rsidRPr="00C702D7" w:rsidRDefault="00D457FC" w:rsidP="00B718EA">
            <w:pPr>
              <w:spacing w:line="240" w:lineRule="auto"/>
              <w:ind w:firstLineChars="0" w:firstLine="0"/>
              <w:jc w:val="center"/>
              <w:rPr>
                <w:rFonts w:cs="Times New Roman"/>
                <w:sz w:val="18"/>
                <w:szCs w:val="18"/>
              </w:rPr>
            </w:pPr>
            <w:r w:rsidRPr="00C702D7">
              <w:rPr>
                <w:rFonts w:cs="Times New Roman" w:hint="eastAsia"/>
                <w:sz w:val="18"/>
                <w:szCs w:val="18"/>
              </w:rPr>
              <w:t>工业化程度</w:t>
            </w:r>
          </w:p>
        </w:tc>
        <w:tc>
          <w:tcPr>
            <w:tcW w:w="831" w:type="pct"/>
            <w:tcBorders>
              <w:top w:val="nil"/>
              <w:left w:val="nil"/>
              <w:bottom w:val="single" w:sz="12" w:space="0" w:color="auto"/>
              <w:right w:val="nil"/>
            </w:tcBorders>
            <w:vAlign w:val="center"/>
          </w:tcPr>
          <w:p w14:paraId="677319C5" w14:textId="77777777" w:rsidR="00D457FC" w:rsidRPr="00C702D7" w:rsidRDefault="00D457FC" w:rsidP="00B718EA">
            <w:pPr>
              <w:spacing w:line="240" w:lineRule="auto"/>
              <w:ind w:firstLineChars="0" w:firstLine="0"/>
              <w:jc w:val="center"/>
              <w:rPr>
                <w:rFonts w:cs="Times New Roman"/>
                <w:i/>
                <w:sz w:val="18"/>
                <w:szCs w:val="18"/>
              </w:rPr>
            </w:pPr>
            <w:r w:rsidRPr="00C702D7">
              <w:rPr>
                <w:rFonts w:cs="Times New Roman" w:hint="eastAsia"/>
                <w:i/>
                <w:sz w:val="18"/>
                <w:szCs w:val="18"/>
              </w:rPr>
              <w:t>I</w:t>
            </w:r>
            <w:r w:rsidRPr="00C702D7">
              <w:rPr>
                <w:rFonts w:cs="Times New Roman"/>
                <w:i/>
                <w:sz w:val="18"/>
                <w:szCs w:val="18"/>
              </w:rPr>
              <w:t>S</w:t>
            </w:r>
          </w:p>
        </w:tc>
        <w:tc>
          <w:tcPr>
            <w:tcW w:w="2902" w:type="pct"/>
            <w:tcBorders>
              <w:top w:val="nil"/>
              <w:left w:val="nil"/>
              <w:bottom w:val="single" w:sz="12" w:space="0" w:color="auto"/>
            </w:tcBorders>
            <w:vAlign w:val="center"/>
          </w:tcPr>
          <w:p w14:paraId="45B09766" w14:textId="77777777" w:rsidR="00D457FC" w:rsidRPr="00C702D7" w:rsidRDefault="00D457FC" w:rsidP="00B718EA">
            <w:pPr>
              <w:spacing w:line="240" w:lineRule="auto"/>
              <w:ind w:firstLineChars="0" w:firstLine="0"/>
              <w:jc w:val="left"/>
              <w:rPr>
                <w:rFonts w:cs="Times New Roman"/>
                <w:sz w:val="18"/>
                <w:szCs w:val="18"/>
              </w:rPr>
            </w:pPr>
            <w:r w:rsidRPr="00C702D7">
              <w:rPr>
                <w:rFonts w:cs="Times New Roman" w:hint="eastAsia"/>
                <w:sz w:val="18"/>
                <w:szCs w:val="18"/>
              </w:rPr>
              <w:t>地区工业企业在</w:t>
            </w:r>
            <w:r w:rsidRPr="00C702D7">
              <w:rPr>
                <w:rFonts w:cs="Times New Roman" w:hint="eastAsia"/>
                <w:sz w:val="18"/>
                <w:szCs w:val="18"/>
              </w:rPr>
              <w:t xml:space="preserve"> GDP </w:t>
            </w:r>
            <w:r w:rsidRPr="00C702D7">
              <w:rPr>
                <w:rFonts w:cs="Times New Roman" w:hint="eastAsia"/>
                <w:sz w:val="18"/>
                <w:szCs w:val="18"/>
              </w:rPr>
              <w:t>的占比</w:t>
            </w:r>
          </w:p>
        </w:tc>
      </w:tr>
    </w:tbl>
    <w:p w14:paraId="5F5BE578" w14:textId="77777777" w:rsidR="00D457FC" w:rsidRPr="00C702D7" w:rsidRDefault="00D457FC" w:rsidP="00D457FC">
      <w:pPr>
        <w:spacing w:line="400" w:lineRule="exact"/>
        <w:ind w:firstLine="420"/>
        <w:rPr>
          <w:rFonts w:ascii="楷体" w:eastAsia="楷体" w:hAnsi="楷体" w:cs="Times New Roman"/>
          <w:bCs/>
          <w:szCs w:val="21"/>
        </w:rPr>
      </w:pPr>
      <w:r w:rsidRPr="00C702D7">
        <w:rPr>
          <w:rFonts w:ascii="楷体" w:eastAsia="楷体" w:hAnsi="楷体" w:cs="Times New Roman" w:hint="eastAsia"/>
          <w:bCs/>
          <w:szCs w:val="21"/>
        </w:rPr>
        <w:t>（四）描述性统计</w:t>
      </w:r>
    </w:p>
    <w:p w14:paraId="637F1052" w14:textId="77777777" w:rsidR="00D457FC" w:rsidRPr="00C702D7" w:rsidRDefault="00D457FC" w:rsidP="00D457FC">
      <w:pPr>
        <w:spacing w:line="400" w:lineRule="exact"/>
        <w:ind w:firstLine="420"/>
      </w:pPr>
      <w:r w:rsidRPr="00C702D7">
        <w:rPr>
          <w:rFonts w:hint="eastAsia"/>
        </w:rPr>
        <w:t>表</w:t>
      </w:r>
      <w:r w:rsidRPr="00C702D7">
        <w:rPr>
          <w:rFonts w:hint="eastAsia"/>
        </w:rPr>
        <w:t>2</w:t>
      </w:r>
      <w:r w:rsidRPr="00C702D7">
        <w:rPr>
          <w:rFonts w:hint="eastAsia"/>
        </w:rPr>
        <w:t>汇报了主要变量的描述性统计。可以看到，机构投资者绿色关注度指标（</w:t>
      </w:r>
      <w:r w:rsidRPr="00C702D7">
        <w:rPr>
          <w:rFonts w:cs="Times New Roman" w:hint="eastAsia"/>
          <w:i/>
          <w:iCs/>
          <w:szCs w:val="21"/>
        </w:rPr>
        <w:t>Gatten</w:t>
      </w:r>
      <w:r w:rsidRPr="00C702D7">
        <w:rPr>
          <w:rFonts w:hint="eastAsia"/>
        </w:rPr>
        <w:t>）均值为</w:t>
      </w:r>
      <w:r w:rsidRPr="00C702D7">
        <w:rPr>
          <w:rFonts w:hint="eastAsia"/>
        </w:rPr>
        <w:t>0</w:t>
      </w:r>
      <w:r w:rsidRPr="00C702D7">
        <w:t>.0136</w:t>
      </w:r>
      <w:r w:rsidRPr="00C702D7">
        <w:rPr>
          <w:rFonts w:hint="eastAsia"/>
        </w:rPr>
        <w:t>、最大值为</w:t>
      </w:r>
      <w:r w:rsidRPr="00C702D7">
        <w:rPr>
          <w:rFonts w:hint="eastAsia"/>
        </w:rPr>
        <w:t>0</w:t>
      </w:r>
      <w:r w:rsidRPr="00C702D7">
        <w:t>.2000</w:t>
      </w:r>
      <w:r w:rsidRPr="00C702D7">
        <w:rPr>
          <w:rFonts w:hint="eastAsia"/>
        </w:rPr>
        <w:t>、标准差为</w:t>
      </w:r>
      <w:r w:rsidRPr="00C702D7">
        <w:rPr>
          <w:rFonts w:hint="eastAsia"/>
        </w:rPr>
        <w:t>0</w:t>
      </w:r>
      <w:r w:rsidRPr="00C702D7">
        <w:t>.0455</w:t>
      </w:r>
      <w:r w:rsidRPr="00C702D7">
        <w:rPr>
          <w:rFonts w:hint="eastAsia"/>
        </w:rPr>
        <w:t>，说明整体上机构投资者对企业绿色活动具有一定关注。企业碳排放强度（</w:t>
      </w:r>
      <w:proofErr w:type="spellStart"/>
      <w:r w:rsidRPr="00C702D7">
        <w:rPr>
          <w:rFonts w:cs="Times New Roman" w:hint="eastAsia"/>
          <w:i/>
          <w:iCs/>
          <w:szCs w:val="21"/>
        </w:rPr>
        <w:t>C</w:t>
      </w:r>
      <w:r w:rsidRPr="00C702D7">
        <w:rPr>
          <w:rFonts w:cs="Times New Roman"/>
          <w:i/>
          <w:iCs/>
          <w:szCs w:val="21"/>
        </w:rPr>
        <w:t>miss_</w:t>
      </w:r>
      <w:r w:rsidRPr="00C702D7">
        <w:rPr>
          <w:rFonts w:cs="Times New Roman" w:hint="eastAsia"/>
          <w:i/>
          <w:iCs/>
          <w:szCs w:val="21"/>
        </w:rPr>
        <w:t>total</w:t>
      </w:r>
      <w:proofErr w:type="spellEnd"/>
      <w:r w:rsidRPr="00C702D7">
        <w:rPr>
          <w:rFonts w:hint="eastAsia"/>
        </w:rPr>
        <w:t>）均值为</w:t>
      </w:r>
      <w:r w:rsidRPr="00C702D7">
        <w:rPr>
          <w:rFonts w:hint="eastAsia"/>
        </w:rPr>
        <w:t>0</w:t>
      </w:r>
      <w:r w:rsidRPr="00C702D7">
        <w:t>.0015</w:t>
      </w:r>
      <w:r w:rsidRPr="00C702D7">
        <w:rPr>
          <w:rFonts w:hint="eastAsia"/>
        </w:rPr>
        <w:t>、标准差为</w:t>
      </w:r>
      <w:r w:rsidRPr="00C702D7">
        <w:rPr>
          <w:rFonts w:hint="eastAsia"/>
        </w:rPr>
        <w:t>0</w:t>
      </w:r>
      <w:r w:rsidRPr="00C702D7">
        <w:t>.0594</w:t>
      </w:r>
      <w:r w:rsidRPr="00C702D7">
        <w:rPr>
          <w:rFonts w:hint="eastAsia"/>
        </w:rPr>
        <w:t>、最大</w:t>
      </w:r>
      <w:r w:rsidRPr="00C702D7">
        <w:rPr>
          <w:rFonts w:hint="eastAsia"/>
        </w:rPr>
        <w:lastRenderedPageBreak/>
        <w:t>值为</w:t>
      </w:r>
      <w:r w:rsidRPr="00C702D7">
        <w:t>4.3069</w:t>
      </w:r>
      <w:r w:rsidRPr="00C702D7">
        <w:rPr>
          <w:rFonts w:hint="eastAsia"/>
        </w:rPr>
        <w:t>，碳排放增量（</w:t>
      </w:r>
      <w:proofErr w:type="spellStart"/>
      <w:r w:rsidRPr="00C702D7">
        <w:rPr>
          <w:rFonts w:hint="eastAsia"/>
          <w:i/>
          <w:iCs/>
        </w:rPr>
        <w:t>dCmiss</w:t>
      </w:r>
      <w:proofErr w:type="spellEnd"/>
      <w:r w:rsidRPr="00C702D7">
        <w:rPr>
          <w:rFonts w:hint="eastAsia"/>
        </w:rPr>
        <w:t>）均值为</w:t>
      </w:r>
      <w:r w:rsidRPr="00C702D7">
        <w:rPr>
          <w:rFonts w:hint="eastAsia"/>
        </w:rPr>
        <w:t>0</w:t>
      </w:r>
      <w:r w:rsidRPr="00C702D7">
        <w:t>.0009</w:t>
      </w:r>
      <w:r w:rsidRPr="00C702D7">
        <w:rPr>
          <w:rFonts w:hint="eastAsia"/>
        </w:rPr>
        <w:t>、最大值为</w:t>
      </w:r>
      <w:r w:rsidRPr="00C702D7">
        <w:rPr>
          <w:rFonts w:hint="eastAsia"/>
        </w:rPr>
        <w:t>4</w:t>
      </w:r>
      <w:r w:rsidRPr="00C702D7">
        <w:t>.3069</w:t>
      </w:r>
      <w:r w:rsidRPr="00C702D7">
        <w:rPr>
          <w:rFonts w:hint="eastAsia"/>
        </w:rPr>
        <w:t>、最小值为</w:t>
      </w:r>
      <w:r w:rsidRPr="00C702D7">
        <w:rPr>
          <w:rFonts w:hint="eastAsia"/>
        </w:rPr>
        <w:t>-1</w:t>
      </w:r>
      <w:r w:rsidRPr="00C702D7">
        <w:t>.6945</w:t>
      </w:r>
      <w:r w:rsidRPr="00C702D7">
        <w:rPr>
          <w:rFonts w:hint="eastAsia"/>
        </w:rPr>
        <w:t>，可见不同企业披露的碳排放情况差异较大，而同一企业在不同年份会对其碳排放水平进行动态调整。</w:t>
      </w:r>
    </w:p>
    <w:p w14:paraId="1CA210ED" w14:textId="77777777" w:rsidR="00D457FC" w:rsidRPr="00C702D7" w:rsidRDefault="00D457FC" w:rsidP="00D457FC">
      <w:pPr>
        <w:spacing w:line="400" w:lineRule="exact"/>
        <w:ind w:firstLineChars="0" w:firstLine="0"/>
        <w:jc w:val="center"/>
        <w:rPr>
          <w:rFonts w:ascii="黑体" w:eastAsia="黑体" w:hAnsi="黑体" w:cs="Times New Roman"/>
          <w:bCs/>
          <w:sz w:val="18"/>
          <w:szCs w:val="18"/>
        </w:rPr>
      </w:pPr>
      <w:r w:rsidRPr="00C702D7">
        <w:rPr>
          <w:rFonts w:ascii="黑体" w:eastAsia="黑体" w:hAnsi="黑体" w:cs="Times New Roman" w:hint="eastAsia"/>
          <w:bCs/>
          <w:szCs w:val="21"/>
        </w:rPr>
        <w:t>表</w:t>
      </w:r>
      <w:r w:rsidRPr="00C702D7">
        <w:rPr>
          <w:rFonts w:eastAsia="黑体" w:cs="Times New Roman"/>
          <w:b/>
          <w:szCs w:val="21"/>
        </w:rPr>
        <w:t>2</w:t>
      </w:r>
      <w:r w:rsidRPr="00C702D7">
        <w:rPr>
          <w:rFonts w:ascii="黑体" w:eastAsia="黑体" w:hAnsi="黑体" w:cs="Times New Roman" w:hint="eastAsia"/>
          <w:bCs/>
          <w:szCs w:val="21"/>
        </w:rPr>
        <w:t>主要变量描述性统计</w:t>
      </w:r>
    </w:p>
    <w:tbl>
      <w:tblPr>
        <w:tblStyle w:val="a7"/>
        <w:tblW w:w="5000"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674"/>
        <w:gridCol w:w="1275"/>
        <w:gridCol w:w="1353"/>
        <w:gridCol w:w="1353"/>
        <w:gridCol w:w="1514"/>
        <w:gridCol w:w="1353"/>
      </w:tblGrid>
      <w:tr w:rsidR="00C702D7" w:rsidRPr="00C702D7" w14:paraId="6BD8F58B" w14:textId="77777777" w:rsidTr="00B718EA">
        <w:trPr>
          <w:jc w:val="center"/>
        </w:trPr>
        <w:tc>
          <w:tcPr>
            <w:tcW w:w="982" w:type="pct"/>
            <w:tcBorders>
              <w:top w:val="single" w:sz="12" w:space="0" w:color="auto"/>
              <w:bottom w:val="single" w:sz="4" w:space="0" w:color="auto"/>
              <w:right w:val="nil"/>
            </w:tcBorders>
          </w:tcPr>
          <w:p w14:paraId="10702699" w14:textId="77777777" w:rsidR="00D457FC" w:rsidRPr="00C702D7" w:rsidRDefault="00D457FC" w:rsidP="00B718EA">
            <w:pPr>
              <w:spacing w:line="240" w:lineRule="auto"/>
              <w:ind w:firstLineChars="0" w:firstLine="0"/>
              <w:jc w:val="center"/>
              <w:rPr>
                <w:rFonts w:cs="Times New Roman"/>
                <w:sz w:val="18"/>
                <w:szCs w:val="18"/>
              </w:rPr>
            </w:pPr>
            <w:r w:rsidRPr="00C702D7">
              <w:rPr>
                <w:rFonts w:cs="Times New Roman" w:hint="eastAsia"/>
                <w:sz w:val="18"/>
                <w:szCs w:val="18"/>
              </w:rPr>
              <w:t>变量</w:t>
            </w:r>
          </w:p>
        </w:tc>
        <w:tc>
          <w:tcPr>
            <w:tcW w:w="748" w:type="pct"/>
            <w:tcBorders>
              <w:top w:val="single" w:sz="12" w:space="0" w:color="auto"/>
              <w:left w:val="nil"/>
              <w:bottom w:val="single" w:sz="4" w:space="0" w:color="auto"/>
              <w:right w:val="nil"/>
            </w:tcBorders>
          </w:tcPr>
          <w:p w14:paraId="39856E89" w14:textId="77777777" w:rsidR="00D457FC" w:rsidRPr="00C702D7" w:rsidRDefault="00D457FC" w:rsidP="00B718EA">
            <w:pPr>
              <w:spacing w:line="240" w:lineRule="auto"/>
              <w:ind w:firstLineChars="0" w:firstLine="0"/>
              <w:jc w:val="center"/>
              <w:rPr>
                <w:sz w:val="18"/>
                <w:szCs w:val="20"/>
              </w:rPr>
            </w:pPr>
            <w:r w:rsidRPr="00C702D7">
              <w:rPr>
                <w:rFonts w:hint="eastAsia"/>
                <w:sz w:val="18"/>
                <w:szCs w:val="20"/>
              </w:rPr>
              <w:t>观测值</w:t>
            </w:r>
          </w:p>
        </w:tc>
        <w:tc>
          <w:tcPr>
            <w:tcW w:w="794" w:type="pct"/>
            <w:tcBorders>
              <w:top w:val="single" w:sz="12" w:space="0" w:color="auto"/>
              <w:left w:val="nil"/>
              <w:bottom w:val="single" w:sz="4" w:space="0" w:color="auto"/>
              <w:right w:val="nil"/>
            </w:tcBorders>
          </w:tcPr>
          <w:p w14:paraId="4EEE4507" w14:textId="77777777" w:rsidR="00D457FC" w:rsidRPr="00C702D7" w:rsidRDefault="00D457FC" w:rsidP="00B718EA">
            <w:pPr>
              <w:spacing w:line="240" w:lineRule="auto"/>
              <w:ind w:firstLineChars="0" w:firstLine="0"/>
              <w:jc w:val="center"/>
              <w:rPr>
                <w:rFonts w:cs="Times New Roman"/>
                <w:sz w:val="18"/>
                <w:szCs w:val="20"/>
              </w:rPr>
            </w:pPr>
            <w:r w:rsidRPr="00C702D7">
              <w:rPr>
                <w:rFonts w:cs="Times New Roman" w:hint="eastAsia"/>
                <w:sz w:val="18"/>
                <w:szCs w:val="20"/>
              </w:rPr>
              <w:t>均值</w:t>
            </w:r>
          </w:p>
        </w:tc>
        <w:tc>
          <w:tcPr>
            <w:tcW w:w="794" w:type="pct"/>
            <w:tcBorders>
              <w:top w:val="single" w:sz="12" w:space="0" w:color="auto"/>
              <w:left w:val="nil"/>
              <w:bottom w:val="single" w:sz="4" w:space="0" w:color="auto"/>
              <w:right w:val="nil"/>
            </w:tcBorders>
          </w:tcPr>
          <w:p w14:paraId="25DAED6B" w14:textId="77777777" w:rsidR="00D457FC" w:rsidRPr="00C702D7" w:rsidRDefault="00D457FC" w:rsidP="00B718EA">
            <w:pPr>
              <w:spacing w:line="240" w:lineRule="auto"/>
              <w:ind w:firstLineChars="0" w:firstLine="0"/>
              <w:jc w:val="center"/>
              <w:rPr>
                <w:rFonts w:cs="Times New Roman"/>
                <w:sz w:val="18"/>
                <w:szCs w:val="20"/>
              </w:rPr>
            </w:pPr>
            <w:r w:rsidRPr="00C702D7">
              <w:rPr>
                <w:rFonts w:hint="eastAsia"/>
                <w:sz w:val="18"/>
                <w:szCs w:val="20"/>
              </w:rPr>
              <w:t>标准差</w:t>
            </w:r>
          </w:p>
        </w:tc>
        <w:tc>
          <w:tcPr>
            <w:tcW w:w="888" w:type="pct"/>
            <w:tcBorders>
              <w:top w:val="single" w:sz="12" w:space="0" w:color="auto"/>
              <w:left w:val="nil"/>
              <w:bottom w:val="single" w:sz="4" w:space="0" w:color="auto"/>
              <w:right w:val="nil"/>
            </w:tcBorders>
          </w:tcPr>
          <w:p w14:paraId="5AD2ED79" w14:textId="77777777" w:rsidR="00D457FC" w:rsidRPr="00C702D7" w:rsidRDefault="00D457FC" w:rsidP="00B718EA">
            <w:pPr>
              <w:spacing w:line="240" w:lineRule="auto"/>
              <w:ind w:firstLineChars="0" w:firstLine="0"/>
              <w:jc w:val="center"/>
              <w:rPr>
                <w:rFonts w:cs="Times New Roman"/>
                <w:sz w:val="18"/>
                <w:szCs w:val="20"/>
              </w:rPr>
            </w:pPr>
            <w:r w:rsidRPr="00C702D7">
              <w:rPr>
                <w:rFonts w:hint="eastAsia"/>
                <w:sz w:val="18"/>
                <w:szCs w:val="20"/>
              </w:rPr>
              <w:t>最大值</w:t>
            </w:r>
          </w:p>
        </w:tc>
        <w:tc>
          <w:tcPr>
            <w:tcW w:w="794" w:type="pct"/>
            <w:tcBorders>
              <w:top w:val="single" w:sz="12" w:space="0" w:color="auto"/>
              <w:left w:val="nil"/>
              <w:bottom w:val="single" w:sz="4" w:space="0" w:color="auto"/>
            </w:tcBorders>
          </w:tcPr>
          <w:p w14:paraId="68ED1F5C" w14:textId="77777777" w:rsidR="00D457FC" w:rsidRPr="00C702D7" w:rsidRDefault="00D457FC" w:rsidP="00B718EA">
            <w:pPr>
              <w:spacing w:line="240" w:lineRule="auto"/>
              <w:ind w:firstLineChars="0" w:firstLine="0"/>
              <w:jc w:val="center"/>
              <w:rPr>
                <w:rFonts w:cs="Times New Roman"/>
                <w:sz w:val="18"/>
                <w:szCs w:val="20"/>
              </w:rPr>
            </w:pPr>
            <w:r w:rsidRPr="00C702D7">
              <w:rPr>
                <w:rFonts w:hint="eastAsia"/>
                <w:sz w:val="18"/>
                <w:szCs w:val="20"/>
              </w:rPr>
              <w:t>最小值</w:t>
            </w:r>
          </w:p>
        </w:tc>
      </w:tr>
      <w:tr w:rsidR="00C702D7" w:rsidRPr="00C702D7" w14:paraId="42C1BB2E" w14:textId="77777777" w:rsidTr="00B718EA">
        <w:trPr>
          <w:jc w:val="center"/>
        </w:trPr>
        <w:tc>
          <w:tcPr>
            <w:tcW w:w="982" w:type="pct"/>
            <w:tcBorders>
              <w:top w:val="single" w:sz="4" w:space="0" w:color="auto"/>
              <w:bottom w:val="nil"/>
              <w:right w:val="nil"/>
            </w:tcBorders>
          </w:tcPr>
          <w:p w14:paraId="7D50CFA0" w14:textId="77777777" w:rsidR="00D457FC" w:rsidRPr="00C702D7" w:rsidRDefault="00D457FC" w:rsidP="00B718EA">
            <w:pPr>
              <w:spacing w:line="240" w:lineRule="auto"/>
              <w:ind w:firstLineChars="0" w:firstLine="0"/>
              <w:jc w:val="center"/>
              <w:rPr>
                <w:rFonts w:cs="Times New Roman"/>
                <w:i/>
                <w:sz w:val="18"/>
                <w:szCs w:val="18"/>
              </w:rPr>
            </w:pPr>
            <w:r w:rsidRPr="00C702D7">
              <w:rPr>
                <w:rFonts w:cs="Times New Roman" w:hint="eastAsia"/>
                <w:i/>
                <w:iCs/>
                <w:kern w:val="0"/>
                <w:sz w:val="18"/>
                <w:szCs w:val="18"/>
              </w:rPr>
              <w:t>Gatten</w:t>
            </w:r>
          </w:p>
        </w:tc>
        <w:tc>
          <w:tcPr>
            <w:tcW w:w="748" w:type="pct"/>
            <w:tcBorders>
              <w:top w:val="single" w:sz="4" w:space="0" w:color="auto"/>
              <w:left w:val="nil"/>
              <w:bottom w:val="nil"/>
              <w:right w:val="nil"/>
            </w:tcBorders>
          </w:tcPr>
          <w:p w14:paraId="203A3054" w14:textId="77777777" w:rsidR="00D457FC" w:rsidRPr="00C702D7" w:rsidRDefault="00D457FC" w:rsidP="00B718EA">
            <w:pPr>
              <w:spacing w:line="240" w:lineRule="auto"/>
              <w:ind w:firstLineChars="0" w:firstLine="0"/>
              <w:jc w:val="center"/>
              <w:rPr>
                <w:i/>
                <w:iCs/>
                <w:sz w:val="18"/>
                <w:szCs w:val="18"/>
              </w:rPr>
            </w:pPr>
            <w:r w:rsidRPr="00C702D7">
              <w:rPr>
                <w:sz w:val="18"/>
                <w:szCs w:val="18"/>
              </w:rPr>
              <w:t>6896</w:t>
            </w:r>
          </w:p>
        </w:tc>
        <w:tc>
          <w:tcPr>
            <w:tcW w:w="794" w:type="pct"/>
            <w:tcBorders>
              <w:top w:val="single" w:sz="4" w:space="0" w:color="auto"/>
              <w:left w:val="nil"/>
              <w:bottom w:val="nil"/>
              <w:right w:val="nil"/>
            </w:tcBorders>
          </w:tcPr>
          <w:p w14:paraId="735CBC16" w14:textId="77777777" w:rsidR="00D457FC" w:rsidRPr="00C702D7" w:rsidRDefault="00D457FC" w:rsidP="00B718EA">
            <w:pPr>
              <w:spacing w:line="240" w:lineRule="auto"/>
              <w:ind w:firstLineChars="0" w:firstLine="0"/>
              <w:jc w:val="center"/>
              <w:rPr>
                <w:i/>
                <w:iCs/>
                <w:sz w:val="18"/>
                <w:szCs w:val="18"/>
              </w:rPr>
            </w:pPr>
            <w:r w:rsidRPr="00C702D7">
              <w:rPr>
                <w:sz w:val="18"/>
                <w:szCs w:val="18"/>
              </w:rPr>
              <w:t xml:space="preserve">0.0136 </w:t>
            </w:r>
          </w:p>
        </w:tc>
        <w:tc>
          <w:tcPr>
            <w:tcW w:w="794" w:type="pct"/>
            <w:tcBorders>
              <w:top w:val="single" w:sz="4" w:space="0" w:color="auto"/>
              <w:left w:val="nil"/>
              <w:bottom w:val="nil"/>
              <w:right w:val="nil"/>
            </w:tcBorders>
          </w:tcPr>
          <w:p w14:paraId="47A89353" w14:textId="77777777" w:rsidR="00D457FC" w:rsidRPr="00C702D7" w:rsidRDefault="00D457FC" w:rsidP="00B718EA">
            <w:pPr>
              <w:spacing w:line="240" w:lineRule="auto"/>
              <w:ind w:firstLineChars="0" w:firstLine="0"/>
              <w:jc w:val="center"/>
              <w:rPr>
                <w:i/>
                <w:iCs/>
                <w:sz w:val="18"/>
                <w:szCs w:val="18"/>
              </w:rPr>
            </w:pPr>
            <w:r w:rsidRPr="00C702D7">
              <w:rPr>
                <w:sz w:val="18"/>
                <w:szCs w:val="18"/>
              </w:rPr>
              <w:t xml:space="preserve">0.0455 </w:t>
            </w:r>
          </w:p>
        </w:tc>
        <w:tc>
          <w:tcPr>
            <w:tcW w:w="888" w:type="pct"/>
            <w:tcBorders>
              <w:top w:val="single" w:sz="4" w:space="0" w:color="auto"/>
              <w:left w:val="nil"/>
              <w:bottom w:val="nil"/>
              <w:right w:val="nil"/>
            </w:tcBorders>
          </w:tcPr>
          <w:p w14:paraId="2928B065" w14:textId="77777777" w:rsidR="00D457FC" w:rsidRPr="00C702D7" w:rsidRDefault="00D457FC" w:rsidP="00B718EA">
            <w:pPr>
              <w:spacing w:line="240" w:lineRule="auto"/>
              <w:ind w:firstLineChars="0" w:firstLine="0"/>
              <w:jc w:val="center"/>
              <w:rPr>
                <w:i/>
                <w:iCs/>
                <w:sz w:val="18"/>
                <w:szCs w:val="18"/>
              </w:rPr>
            </w:pPr>
            <w:r w:rsidRPr="00C702D7">
              <w:rPr>
                <w:sz w:val="18"/>
                <w:szCs w:val="18"/>
              </w:rPr>
              <w:t xml:space="preserve">0.2000 </w:t>
            </w:r>
          </w:p>
        </w:tc>
        <w:tc>
          <w:tcPr>
            <w:tcW w:w="794" w:type="pct"/>
            <w:tcBorders>
              <w:top w:val="single" w:sz="4" w:space="0" w:color="auto"/>
              <w:left w:val="nil"/>
              <w:bottom w:val="nil"/>
            </w:tcBorders>
          </w:tcPr>
          <w:p w14:paraId="1903D2FC" w14:textId="77777777" w:rsidR="00D457FC" w:rsidRPr="00C702D7" w:rsidRDefault="00D457FC" w:rsidP="00B718EA">
            <w:pPr>
              <w:spacing w:line="240" w:lineRule="auto"/>
              <w:ind w:firstLineChars="0" w:firstLine="0"/>
              <w:jc w:val="center"/>
              <w:rPr>
                <w:i/>
                <w:iCs/>
                <w:sz w:val="18"/>
                <w:szCs w:val="18"/>
              </w:rPr>
            </w:pPr>
            <w:r w:rsidRPr="00C702D7">
              <w:rPr>
                <w:sz w:val="18"/>
                <w:szCs w:val="18"/>
              </w:rPr>
              <w:t xml:space="preserve">0.0000 </w:t>
            </w:r>
          </w:p>
        </w:tc>
      </w:tr>
      <w:tr w:rsidR="00C702D7" w:rsidRPr="00C702D7" w14:paraId="389F2CE6" w14:textId="77777777" w:rsidTr="00B718EA">
        <w:trPr>
          <w:jc w:val="center"/>
        </w:trPr>
        <w:tc>
          <w:tcPr>
            <w:tcW w:w="982" w:type="pct"/>
            <w:tcBorders>
              <w:top w:val="nil"/>
              <w:bottom w:val="nil"/>
              <w:right w:val="nil"/>
            </w:tcBorders>
          </w:tcPr>
          <w:p w14:paraId="1D369EF1" w14:textId="77777777" w:rsidR="00D457FC" w:rsidRPr="00C702D7" w:rsidRDefault="00D457FC" w:rsidP="00B718EA">
            <w:pPr>
              <w:spacing w:line="240" w:lineRule="auto"/>
              <w:ind w:firstLineChars="0" w:firstLine="0"/>
              <w:jc w:val="center"/>
              <w:rPr>
                <w:rFonts w:cs="Times New Roman"/>
                <w:i/>
                <w:iCs/>
                <w:kern w:val="0"/>
                <w:sz w:val="18"/>
                <w:szCs w:val="18"/>
              </w:rPr>
            </w:pPr>
            <w:proofErr w:type="spellStart"/>
            <w:r w:rsidRPr="00C702D7">
              <w:rPr>
                <w:i/>
                <w:iCs/>
                <w:sz w:val="18"/>
                <w:szCs w:val="18"/>
              </w:rPr>
              <w:t>Cmiss</w:t>
            </w:r>
            <w:r w:rsidRPr="00C702D7">
              <w:rPr>
                <w:rFonts w:hint="eastAsia"/>
                <w:i/>
                <w:iCs/>
                <w:sz w:val="18"/>
                <w:szCs w:val="18"/>
              </w:rPr>
              <w:t>_</w:t>
            </w:r>
            <w:r w:rsidRPr="00C702D7">
              <w:rPr>
                <w:i/>
                <w:iCs/>
                <w:sz w:val="18"/>
                <w:szCs w:val="18"/>
              </w:rPr>
              <w:t>total</w:t>
            </w:r>
            <w:proofErr w:type="spellEnd"/>
          </w:p>
        </w:tc>
        <w:tc>
          <w:tcPr>
            <w:tcW w:w="748" w:type="pct"/>
            <w:tcBorders>
              <w:top w:val="nil"/>
              <w:left w:val="nil"/>
              <w:bottom w:val="nil"/>
              <w:right w:val="nil"/>
            </w:tcBorders>
          </w:tcPr>
          <w:p w14:paraId="537C451D" w14:textId="77777777" w:rsidR="00D457FC" w:rsidRPr="00C702D7" w:rsidRDefault="00D457FC" w:rsidP="00B718EA">
            <w:pPr>
              <w:spacing w:line="240" w:lineRule="auto"/>
              <w:ind w:firstLineChars="0" w:firstLine="0"/>
              <w:jc w:val="center"/>
              <w:rPr>
                <w:sz w:val="18"/>
                <w:szCs w:val="18"/>
              </w:rPr>
            </w:pPr>
            <w:r w:rsidRPr="00C702D7">
              <w:rPr>
                <w:sz w:val="18"/>
                <w:szCs w:val="18"/>
              </w:rPr>
              <w:t>6896</w:t>
            </w:r>
          </w:p>
        </w:tc>
        <w:tc>
          <w:tcPr>
            <w:tcW w:w="794" w:type="pct"/>
            <w:tcBorders>
              <w:top w:val="nil"/>
              <w:left w:val="nil"/>
              <w:bottom w:val="nil"/>
              <w:right w:val="nil"/>
            </w:tcBorders>
          </w:tcPr>
          <w:p w14:paraId="617440E6" w14:textId="77777777" w:rsidR="00D457FC" w:rsidRPr="00C702D7" w:rsidRDefault="00D457FC" w:rsidP="00B718EA">
            <w:pPr>
              <w:spacing w:line="240" w:lineRule="auto"/>
              <w:ind w:firstLineChars="0" w:firstLine="0"/>
              <w:jc w:val="center"/>
              <w:rPr>
                <w:sz w:val="18"/>
                <w:szCs w:val="18"/>
              </w:rPr>
            </w:pPr>
            <w:r w:rsidRPr="00C702D7">
              <w:rPr>
                <w:sz w:val="18"/>
                <w:szCs w:val="18"/>
              </w:rPr>
              <w:t>0.0015</w:t>
            </w:r>
          </w:p>
        </w:tc>
        <w:tc>
          <w:tcPr>
            <w:tcW w:w="794" w:type="pct"/>
            <w:tcBorders>
              <w:top w:val="nil"/>
              <w:left w:val="nil"/>
              <w:bottom w:val="nil"/>
              <w:right w:val="nil"/>
            </w:tcBorders>
          </w:tcPr>
          <w:p w14:paraId="43EAAFD1" w14:textId="77777777" w:rsidR="00D457FC" w:rsidRPr="00C702D7" w:rsidRDefault="00D457FC" w:rsidP="00B718EA">
            <w:pPr>
              <w:spacing w:line="240" w:lineRule="auto"/>
              <w:ind w:firstLineChars="0" w:firstLine="0"/>
              <w:jc w:val="center"/>
              <w:rPr>
                <w:sz w:val="18"/>
                <w:szCs w:val="18"/>
              </w:rPr>
            </w:pPr>
            <w:r w:rsidRPr="00C702D7">
              <w:rPr>
                <w:sz w:val="18"/>
                <w:szCs w:val="18"/>
              </w:rPr>
              <w:t>0.0594</w:t>
            </w:r>
          </w:p>
        </w:tc>
        <w:tc>
          <w:tcPr>
            <w:tcW w:w="888" w:type="pct"/>
            <w:tcBorders>
              <w:top w:val="nil"/>
              <w:left w:val="nil"/>
              <w:bottom w:val="nil"/>
              <w:right w:val="nil"/>
            </w:tcBorders>
          </w:tcPr>
          <w:p w14:paraId="1D67ACDC" w14:textId="77777777" w:rsidR="00D457FC" w:rsidRPr="00C702D7" w:rsidRDefault="00D457FC" w:rsidP="00B718EA">
            <w:pPr>
              <w:spacing w:line="240" w:lineRule="auto"/>
              <w:ind w:firstLineChars="0" w:firstLine="0"/>
              <w:jc w:val="center"/>
              <w:rPr>
                <w:sz w:val="18"/>
                <w:szCs w:val="18"/>
              </w:rPr>
            </w:pPr>
            <w:r w:rsidRPr="00C702D7">
              <w:rPr>
                <w:sz w:val="18"/>
                <w:szCs w:val="18"/>
              </w:rPr>
              <w:t>4.3069</w:t>
            </w:r>
          </w:p>
        </w:tc>
        <w:tc>
          <w:tcPr>
            <w:tcW w:w="794" w:type="pct"/>
            <w:tcBorders>
              <w:top w:val="nil"/>
              <w:left w:val="nil"/>
              <w:bottom w:val="nil"/>
            </w:tcBorders>
          </w:tcPr>
          <w:p w14:paraId="2D5F35C9" w14:textId="77777777" w:rsidR="00D457FC" w:rsidRPr="00C702D7" w:rsidRDefault="00D457FC" w:rsidP="00B718EA">
            <w:pPr>
              <w:spacing w:line="240" w:lineRule="auto"/>
              <w:ind w:firstLineChars="0" w:firstLine="0"/>
              <w:jc w:val="center"/>
              <w:rPr>
                <w:sz w:val="18"/>
                <w:szCs w:val="18"/>
              </w:rPr>
            </w:pPr>
            <w:r w:rsidRPr="00C702D7">
              <w:rPr>
                <w:sz w:val="18"/>
                <w:szCs w:val="18"/>
              </w:rPr>
              <w:t xml:space="preserve">0.0000 </w:t>
            </w:r>
          </w:p>
        </w:tc>
      </w:tr>
      <w:tr w:rsidR="00C702D7" w:rsidRPr="00C702D7" w14:paraId="1242F4C2" w14:textId="77777777" w:rsidTr="00B718EA">
        <w:trPr>
          <w:jc w:val="center"/>
        </w:trPr>
        <w:tc>
          <w:tcPr>
            <w:tcW w:w="982" w:type="pct"/>
            <w:tcBorders>
              <w:top w:val="nil"/>
              <w:bottom w:val="nil"/>
              <w:right w:val="nil"/>
            </w:tcBorders>
          </w:tcPr>
          <w:p w14:paraId="4D8A34F7" w14:textId="77777777" w:rsidR="00D457FC" w:rsidRPr="00C702D7" w:rsidRDefault="00D457FC" w:rsidP="00B718EA">
            <w:pPr>
              <w:spacing w:line="240" w:lineRule="auto"/>
              <w:ind w:firstLineChars="0" w:firstLine="0"/>
              <w:jc w:val="center"/>
              <w:rPr>
                <w:i/>
                <w:iCs/>
                <w:sz w:val="18"/>
                <w:szCs w:val="18"/>
              </w:rPr>
            </w:pPr>
            <w:proofErr w:type="spellStart"/>
            <w:r w:rsidRPr="00C702D7">
              <w:rPr>
                <w:rFonts w:hint="eastAsia"/>
                <w:i/>
                <w:iCs/>
                <w:sz w:val="18"/>
                <w:szCs w:val="18"/>
              </w:rPr>
              <w:t>d</w:t>
            </w:r>
            <w:r w:rsidRPr="00C702D7">
              <w:rPr>
                <w:i/>
                <w:iCs/>
                <w:sz w:val="18"/>
                <w:szCs w:val="18"/>
              </w:rPr>
              <w:t>Cmiss</w:t>
            </w:r>
            <w:proofErr w:type="spellEnd"/>
          </w:p>
        </w:tc>
        <w:tc>
          <w:tcPr>
            <w:tcW w:w="748" w:type="pct"/>
            <w:tcBorders>
              <w:top w:val="nil"/>
              <w:left w:val="nil"/>
              <w:bottom w:val="nil"/>
              <w:right w:val="nil"/>
            </w:tcBorders>
          </w:tcPr>
          <w:p w14:paraId="4A1ED786" w14:textId="77777777" w:rsidR="00D457FC" w:rsidRPr="00C702D7" w:rsidRDefault="00D457FC" w:rsidP="00B718EA">
            <w:pPr>
              <w:spacing w:line="240" w:lineRule="auto"/>
              <w:ind w:firstLineChars="0" w:firstLine="0"/>
              <w:jc w:val="center"/>
              <w:rPr>
                <w:sz w:val="18"/>
                <w:szCs w:val="18"/>
              </w:rPr>
            </w:pPr>
            <w:r w:rsidRPr="00C702D7">
              <w:rPr>
                <w:sz w:val="18"/>
                <w:szCs w:val="18"/>
              </w:rPr>
              <w:t>6896</w:t>
            </w:r>
          </w:p>
        </w:tc>
        <w:tc>
          <w:tcPr>
            <w:tcW w:w="794" w:type="pct"/>
            <w:tcBorders>
              <w:top w:val="nil"/>
              <w:left w:val="nil"/>
              <w:bottom w:val="nil"/>
              <w:right w:val="nil"/>
            </w:tcBorders>
          </w:tcPr>
          <w:p w14:paraId="1C3F09D2" w14:textId="77777777" w:rsidR="00D457FC" w:rsidRPr="00C702D7" w:rsidRDefault="00D457FC" w:rsidP="00B718EA">
            <w:pPr>
              <w:spacing w:line="240" w:lineRule="auto"/>
              <w:ind w:firstLineChars="0" w:firstLine="0"/>
              <w:jc w:val="center"/>
              <w:rPr>
                <w:sz w:val="18"/>
                <w:szCs w:val="18"/>
              </w:rPr>
            </w:pPr>
            <w:r w:rsidRPr="00C702D7">
              <w:rPr>
                <w:rFonts w:hint="eastAsia"/>
                <w:sz w:val="18"/>
                <w:szCs w:val="18"/>
              </w:rPr>
              <w:t>0</w:t>
            </w:r>
            <w:r w:rsidRPr="00C702D7">
              <w:rPr>
                <w:sz w:val="18"/>
                <w:szCs w:val="18"/>
              </w:rPr>
              <w:t>.0009</w:t>
            </w:r>
          </w:p>
        </w:tc>
        <w:tc>
          <w:tcPr>
            <w:tcW w:w="794" w:type="pct"/>
            <w:tcBorders>
              <w:top w:val="nil"/>
              <w:left w:val="nil"/>
              <w:bottom w:val="nil"/>
              <w:right w:val="nil"/>
            </w:tcBorders>
          </w:tcPr>
          <w:p w14:paraId="39688479" w14:textId="77777777" w:rsidR="00D457FC" w:rsidRPr="00C702D7" w:rsidRDefault="00D457FC" w:rsidP="00B718EA">
            <w:pPr>
              <w:spacing w:line="240" w:lineRule="auto"/>
              <w:ind w:firstLineChars="0" w:firstLine="0"/>
              <w:jc w:val="center"/>
              <w:rPr>
                <w:sz w:val="18"/>
                <w:szCs w:val="18"/>
              </w:rPr>
            </w:pPr>
            <w:r w:rsidRPr="00C702D7">
              <w:rPr>
                <w:rFonts w:hint="eastAsia"/>
                <w:sz w:val="18"/>
                <w:szCs w:val="18"/>
              </w:rPr>
              <w:t>0</w:t>
            </w:r>
            <w:r w:rsidRPr="00C702D7">
              <w:rPr>
                <w:sz w:val="18"/>
                <w:szCs w:val="18"/>
              </w:rPr>
              <w:t>.0628</w:t>
            </w:r>
          </w:p>
        </w:tc>
        <w:tc>
          <w:tcPr>
            <w:tcW w:w="888" w:type="pct"/>
            <w:tcBorders>
              <w:top w:val="nil"/>
              <w:left w:val="nil"/>
              <w:bottom w:val="nil"/>
              <w:right w:val="nil"/>
            </w:tcBorders>
          </w:tcPr>
          <w:p w14:paraId="79AEDEDC" w14:textId="77777777" w:rsidR="00D457FC" w:rsidRPr="00C702D7" w:rsidRDefault="00D457FC" w:rsidP="00B718EA">
            <w:pPr>
              <w:spacing w:line="240" w:lineRule="auto"/>
              <w:ind w:firstLineChars="0" w:firstLine="0"/>
              <w:jc w:val="center"/>
              <w:rPr>
                <w:sz w:val="18"/>
                <w:szCs w:val="18"/>
              </w:rPr>
            </w:pPr>
            <w:r w:rsidRPr="00C702D7">
              <w:rPr>
                <w:rFonts w:hint="eastAsia"/>
                <w:sz w:val="18"/>
                <w:szCs w:val="18"/>
              </w:rPr>
              <w:t>4</w:t>
            </w:r>
            <w:r w:rsidRPr="00C702D7">
              <w:rPr>
                <w:sz w:val="18"/>
                <w:szCs w:val="18"/>
              </w:rPr>
              <w:t>.3069</w:t>
            </w:r>
          </w:p>
        </w:tc>
        <w:tc>
          <w:tcPr>
            <w:tcW w:w="794" w:type="pct"/>
            <w:tcBorders>
              <w:top w:val="nil"/>
              <w:left w:val="nil"/>
              <w:bottom w:val="nil"/>
            </w:tcBorders>
          </w:tcPr>
          <w:p w14:paraId="44A89402" w14:textId="77777777" w:rsidR="00D457FC" w:rsidRPr="00C702D7" w:rsidRDefault="00D457FC" w:rsidP="00B718EA">
            <w:pPr>
              <w:spacing w:line="240" w:lineRule="auto"/>
              <w:ind w:firstLineChars="0" w:firstLine="0"/>
              <w:jc w:val="center"/>
              <w:rPr>
                <w:sz w:val="18"/>
                <w:szCs w:val="18"/>
              </w:rPr>
            </w:pPr>
            <w:r w:rsidRPr="00C702D7">
              <w:rPr>
                <w:rFonts w:hint="eastAsia"/>
                <w:sz w:val="18"/>
                <w:szCs w:val="18"/>
              </w:rPr>
              <w:t>-</w:t>
            </w:r>
            <w:r w:rsidRPr="00C702D7">
              <w:rPr>
                <w:sz w:val="18"/>
                <w:szCs w:val="18"/>
              </w:rPr>
              <w:t>1.6945</w:t>
            </w:r>
          </w:p>
        </w:tc>
      </w:tr>
      <w:tr w:rsidR="00C702D7" w:rsidRPr="00C702D7" w14:paraId="167372DA" w14:textId="77777777" w:rsidTr="00B718EA">
        <w:trPr>
          <w:jc w:val="center"/>
        </w:trPr>
        <w:tc>
          <w:tcPr>
            <w:tcW w:w="982" w:type="pct"/>
            <w:tcBorders>
              <w:top w:val="nil"/>
              <w:bottom w:val="nil"/>
              <w:right w:val="nil"/>
            </w:tcBorders>
          </w:tcPr>
          <w:p w14:paraId="2DB47CC3" w14:textId="77777777" w:rsidR="00D457FC" w:rsidRPr="00C702D7" w:rsidRDefault="00D457FC" w:rsidP="00B718EA">
            <w:pPr>
              <w:spacing w:line="240" w:lineRule="auto"/>
              <w:ind w:firstLineChars="0" w:firstLine="0"/>
              <w:jc w:val="center"/>
              <w:rPr>
                <w:rFonts w:cs="Times New Roman"/>
                <w:i/>
                <w:sz w:val="18"/>
                <w:szCs w:val="18"/>
              </w:rPr>
            </w:pPr>
            <w:r w:rsidRPr="00C702D7">
              <w:rPr>
                <w:rFonts w:cs="Times New Roman" w:hint="eastAsia"/>
                <w:i/>
                <w:sz w:val="18"/>
                <w:szCs w:val="18"/>
              </w:rPr>
              <w:t>S</w:t>
            </w:r>
            <w:r w:rsidRPr="00C702D7">
              <w:rPr>
                <w:rFonts w:cs="Times New Roman"/>
                <w:i/>
                <w:sz w:val="18"/>
                <w:szCs w:val="18"/>
              </w:rPr>
              <w:t>ize</w:t>
            </w:r>
          </w:p>
        </w:tc>
        <w:tc>
          <w:tcPr>
            <w:tcW w:w="748" w:type="pct"/>
            <w:tcBorders>
              <w:top w:val="nil"/>
              <w:left w:val="nil"/>
              <w:bottom w:val="nil"/>
              <w:right w:val="nil"/>
            </w:tcBorders>
          </w:tcPr>
          <w:p w14:paraId="002306DB"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6896</w:t>
            </w:r>
          </w:p>
        </w:tc>
        <w:tc>
          <w:tcPr>
            <w:tcW w:w="794" w:type="pct"/>
            <w:tcBorders>
              <w:top w:val="nil"/>
              <w:left w:val="nil"/>
              <w:bottom w:val="nil"/>
              <w:right w:val="nil"/>
            </w:tcBorders>
          </w:tcPr>
          <w:p w14:paraId="5ACAB402"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22.0220 </w:t>
            </w:r>
          </w:p>
        </w:tc>
        <w:tc>
          <w:tcPr>
            <w:tcW w:w="794" w:type="pct"/>
            <w:tcBorders>
              <w:top w:val="nil"/>
              <w:left w:val="nil"/>
              <w:bottom w:val="nil"/>
              <w:right w:val="nil"/>
            </w:tcBorders>
          </w:tcPr>
          <w:p w14:paraId="2D689043"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1.1636 </w:t>
            </w:r>
          </w:p>
        </w:tc>
        <w:tc>
          <w:tcPr>
            <w:tcW w:w="888" w:type="pct"/>
            <w:tcBorders>
              <w:top w:val="nil"/>
              <w:left w:val="nil"/>
              <w:bottom w:val="nil"/>
              <w:right w:val="nil"/>
            </w:tcBorders>
          </w:tcPr>
          <w:p w14:paraId="1F7332E8"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26.3883 </w:t>
            </w:r>
          </w:p>
        </w:tc>
        <w:tc>
          <w:tcPr>
            <w:tcW w:w="794" w:type="pct"/>
            <w:tcBorders>
              <w:top w:val="nil"/>
              <w:left w:val="nil"/>
              <w:bottom w:val="nil"/>
            </w:tcBorders>
          </w:tcPr>
          <w:p w14:paraId="2174BC95"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19.9082 </w:t>
            </w:r>
          </w:p>
        </w:tc>
      </w:tr>
      <w:tr w:rsidR="00C702D7" w:rsidRPr="00C702D7" w14:paraId="2D3E6B00" w14:textId="77777777" w:rsidTr="00B718EA">
        <w:trPr>
          <w:jc w:val="center"/>
        </w:trPr>
        <w:tc>
          <w:tcPr>
            <w:tcW w:w="982" w:type="pct"/>
            <w:tcBorders>
              <w:top w:val="nil"/>
              <w:bottom w:val="nil"/>
              <w:right w:val="nil"/>
            </w:tcBorders>
          </w:tcPr>
          <w:p w14:paraId="6609DD0D" w14:textId="77777777" w:rsidR="00D457FC" w:rsidRPr="00C702D7" w:rsidRDefault="00D457FC" w:rsidP="00B718EA">
            <w:pPr>
              <w:spacing w:line="240" w:lineRule="auto"/>
              <w:ind w:firstLineChars="0" w:firstLine="0"/>
              <w:jc w:val="center"/>
              <w:rPr>
                <w:rFonts w:cs="Times New Roman"/>
                <w:i/>
                <w:sz w:val="18"/>
                <w:szCs w:val="18"/>
              </w:rPr>
            </w:pPr>
            <w:r w:rsidRPr="00C702D7">
              <w:rPr>
                <w:rFonts w:cs="Times New Roman" w:hint="eastAsia"/>
                <w:i/>
                <w:sz w:val="18"/>
                <w:szCs w:val="18"/>
              </w:rPr>
              <w:t>L</w:t>
            </w:r>
            <w:r w:rsidRPr="00C702D7">
              <w:rPr>
                <w:rFonts w:cs="Times New Roman"/>
                <w:i/>
                <w:sz w:val="18"/>
                <w:szCs w:val="18"/>
              </w:rPr>
              <w:t>ev</w:t>
            </w:r>
          </w:p>
        </w:tc>
        <w:tc>
          <w:tcPr>
            <w:tcW w:w="748" w:type="pct"/>
            <w:tcBorders>
              <w:top w:val="nil"/>
              <w:left w:val="nil"/>
              <w:bottom w:val="nil"/>
              <w:right w:val="nil"/>
            </w:tcBorders>
          </w:tcPr>
          <w:p w14:paraId="23721CFB"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6896</w:t>
            </w:r>
          </w:p>
        </w:tc>
        <w:tc>
          <w:tcPr>
            <w:tcW w:w="794" w:type="pct"/>
            <w:tcBorders>
              <w:top w:val="nil"/>
              <w:left w:val="nil"/>
              <w:bottom w:val="nil"/>
              <w:right w:val="nil"/>
            </w:tcBorders>
          </w:tcPr>
          <w:p w14:paraId="6BCE9A2E"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0.3803 </w:t>
            </w:r>
          </w:p>
        </w:tc>
        <w:tc>
          <w:tcPr>
            <w:tcW w:w="794" w:type="pct"/>
            <w:tcBorders>
              <w:top w:val="nil"/>
              <w:left w:val="nil"/>
              <w:bottom w:val="nil"/>
              <w:right w:val="nil"/>
            </w:tcBorders>
          </w:tcPr>
          <w:p w14:paraId="6FFDBE1C"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0.1917 </w:t>
            </w:r>
          </w:p>
        </w:tc>
        <w:tc>
          <w:tcPr>
            <w:tcW w:w="888" w:type="pct"/>
            <w:tcBorders>
              <w:top w:val="nil"/>
              <w:left w:val="nil"/>
              <w:bottom w:val="nil"/>
              <w:right w:val="nil"/>
            </w:tcBorders>
          </w:tcPr>
          <w:p w14:paraId="74732B7C"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0.8579 </w:t>
            </w:r>
          </w:p>
        </w:tc>
        <w:tc>
          <w:tcPr>
            <w:tcW w:w="794" w:type="pct"/>
            <w:tcBorders>
              <w:top w:val="nil"/>
              <w:left w:val="nil"/>
              <w:bottom w:val="nil"/>
            </w:tcBorders>
          </w:tcPr>
          <w:p w14:paraId="015822DF"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0.0492 </w:t>
            </w:r>
          </w:p>
        </w:tc>
      </w:tr>
      <w:tr w:rsidR="00C702D7" w:rsidRPr="00C702D7" w14:paraId="405A9653" w14:textId="77777777" w:rsidTr="00B718EA">
        <w:trPr>
          <w:jc w:val="center"/>
        </w:trPr>
        <w:tc>
          <w:tcPr>
            <w:tcW w:w="982" w:type="pct"/>
            <w:tcBorders>
              <w:top w:val="nil"/>
              <w:bottom w:val="nil"/>
              <w:right w:val="nil"/>
            </w:tcBorders>
          </w:tcPr>
          <w:p w14:paraId="4E9BBC5C" w14:textId="77777777" w:rsidR="00D457FC" w:rsidRPr="00C702D7" w:rsidRDefault="00D457FC" w:rsidP="00B718EA">
            <w:pPr>
              <w:spacing w:line="240" w:lineRule="auto"/>
              <w:ind w:firstLineChars="0" w:firstLine="0"/>
              <w:jc w:val="center"/>
              <w:rPr>
                <w:rFonts w:cs="Times New Roman"/>
                <w:i/>
                <w:sz w:val="18"/>
                <w:szCs w:val="18"/>
              </w:rPr>
            </w:pPr>
            <w:r w:rsidRPr="00C702D7">
              <w:rPr>
                <w:rFonts w:cs="Times New Roman" w:hint="eastAsia"/>
                <w:i/>
                <w:sz w:val="18"/>
                <w:szCs w:val="18"/>
              </w:rPr>
              <w:t>C</w:t>
            </w:r>
            <w:r w:rsidRPr="00C702D7">
              <w:rPr>
                <w:rFonts w:cs="Times New Roman"/>
                <w:i/>
                <w:sz w:val="18"/>
                <w:szCs w:val="18"/>
              </w:rPr>
              <w:t>F</w:t>
            </w:r>
          </w:p>
        </w:tc>
        <w:tc>
          <w:tcPr>
            <w:tcW w:w="748" w:type="pct"/>
            <w:tcBorders>
              <w:top w:val="nil"/>
              <w:left w:val="nil"/>
              <w:bottom w:val="nil"/>
              <w:right w:val="nil"/>
            </w:tcBorders>
          </w:tcPr>
          <w:p w14:paraId="47960733"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6896</w:t>
            </w:r>
          </w:p>
        </w:tc>
        <w:tc>
          <w:tcPr>
            <w:tcW w:w="794" w:type="pct"/>
            <w:tcBorders>
              <w:top w:val="nil"/>
              <w:left w:val="nil"/>
              <w:bottom w:val="nil"/>
              <w:right w:val="nil"/>
            </w:tcBorders>
          </w:tcPr>
          <w:p w14:paraId="619F15BA"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0.2435 </w:t>
            </w:r>
          </w:p>
        </w:tc>
        <w:tc>
          <w:tcPr>
            <w:tcW w:w="794" w:type="pct"/>
            <w:tcBorders>
              <w:top w:val="nil"/>
              <w:left w:val="nil"/>
              <w:bottom w:val="nil"/>
              <w:right w:val="nil"/>
            </w:tcBorders>
          </w:tcPr>
          <w:p w14:paraId="2F11777C"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0.4487 </w:t>
            </w:r>
          </w:p>
        </w:tc>
        <w:tc>
          <w:tcPr>
            <w:tcW w:w="888" w:type="pct"/>
            <w:tcBorders>
              <w:top w:val="nil"/>
              <w:left w:val="nil"/>
              <w:bottom w:val="nil"/>
              <w:right w:val="nil"/>
            </w:tcBorders>
          </w:tcPr>
          <w:p w14:paraId="4C218DA3"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2.9234 </w:t>
            </w:r>
          </w:p>
        </w:tc>
        <w:tc>
          <w:tcPr>
            <w:tcW w:w="794" w:type="pct"/>
            <w:tcBorders>
              <w:top w:val="nil"/>
              <w:left w:val="nil"/>
              <w:bottom w:val="nil"/>
            </w:tcBorders>
          </w:tcPr>
          <w:p w14:paraId="3E438BE5"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-0.4414 </w:t>
            </w:r>
          </w:p>
        </w:tc>
      </w:tr>
      <w:tr w:rsidR="00C702D7" w:rsidRPr="00C702D7" w14:paraId="57FFA006" w14:textId="77777777" w:rsidTr="00B718EA">
        <w:trPr>
          <w:jc w:val="center"/>
        </w:trPr>
        <w:tc>
          <w:tcPr>
            <w:tcW w:w="982" w:type="pct"/>
            <w:tcBorders>
              <w:top w:val="nil"/>
              <w:bottom w:val="nil"/>
              <w:right w:val="nil"/>
            </w:tcBorders>
          </w:tcPr>
          <w:p w14:paraId="6E45C897" w14:textId="77777777" w:rsidR="00D457FC" w:rsidRPr="00C702D7" w:rsidRDefault="00D457FC" w:rsidP="00B718EA">
            <w:pPr>
              <w:spacing w:line="240" w:lineRule="auto"/>
              <w:ind w:firstLineChars="0" w:firstLine="0"/>
              <w:jc w:val="center"/>
              <w:rPr>
                <w:rFonts w:cs="Times New Roman"/>
                <w:i/>
                <w:sz w:val="18"/>
                <w:szCs w:val="18"/>
              </w:rPr>
            </w:pPr>
            <w:r w:rsidRPr="00C702D7">
              <w:rPr>
                <w:rFonts w:cs="Times New Roman" w:hint="eastAsia"/>
                <w:i/>
                <w:sz w:val="18"/>
                <w:szCs w:val="18"/>
              </w:rPr>
              <w:t>G</w:t>
            </w:r>
            <w:r w:rsidRPr="00C702D7">
              <w:rPr>
                <w:rFonts w:cs="Times New Roman"/>
                <w:i/>
                <w:sz w:val="18"/>
                <w:szCs w:val="18"/>
              </w:rPr>
              <w:t>rowth</w:t>
            </w:r>
          </w:p>
        </w:tc>
        <w:tc>
          <w:tcPr>
            <w:tcW w:w="748" w:type="pct"/>
            <w:tcBorders>
              <w:top w:val="nil"/>
              <w:left w:val="nil"/>
              <w:bottom w:val="nil"/>
              <w:right w:val="nil"/>
            </w:tcBorders>
          </w:tcPr>
          <w:p w14:paraId="062D2BEA"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6896</w:t>
            </w:r>
          </w:p>
        </w:tc>
        <w:tc>
          <w:tcPr>
            <w:tcW w:w="794" w:type="pct"/>
            <w:tcBorders>
              <w:top w:val="nil"/>
              <w:left w:val="nil"/>
              <w:bottom w:val="nil"/>
              <w:right w:val="nil"/>
            </w:tcBorders>
          </w:tcPr>
          <w:p w14:paraId="0DFA6895"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0.0506 </w:t>
            </w:r>
          </w:p>
        </w:tc>
        <w:tc>
          <w:tcPr>
            <w:tcW w:w="794" w:type="pct"/>
            <w:tcBorders>
              <w:top w:val="nil"/>
              <w:left w:val="nil"/>
              <w:bottom w:val="nil"/>
              <w:right w:val="nil"/>
            </w:tcBorders>
          </w:tcPr>
          <w:p w14:paraId="5A8AD4EC"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0.0653 </w:t>
            </w:r>
          </w:p>
        </w:tc>
        <w:tc>
          <w:tcPr>
            <w:tcW w:w="888" w:type="pct"/>
            <w:tcBorders>
              <w:top w:val="nil"/>
              <w:left w:val="nil"/>
              <w:bottom w:val="nil"/>
              <w:right w:val="nil"/>
            </w:tcBorders>
          </w:tcPr>
          <w:p w14:paraId="1B1755CD"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0.2460 </w:t>
            </w:r>
          </w:p>
        </w:tc>
        <w:tc>
          <w:tcPr>
            <w:tcW w:w="794" w:type="pct"/>
            <w:tcBorders>
              <w:top w:val="nil"/>
              <w:left w:val="nil"/>
              <w:bottom w:val="nil"/>
            </w:tcBorders>
          </w:tcPr>
          <w:p w14:paraId="69435ACF"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-0.1510 </w:t>
            </w:r>
          </w:p>
        </w:tc>
      </w:tr>
      <w:tr w:rsidR="00C702D7" w:rsidRPr="00C702D7" w14:paraId="32E841D9" w14:textId="77777777" w:rsidTr="00B718EA">
        <w:trPr>
          <w:jc w:val="center"/>
        </w:trPr>
        <w:tc>
          <w:tcPr>
            <w:tcW w:w="982" w:type="pct"/>
            <w:tcBorders>
              <w:top w:val="nil"/>
              <w:bottom w:val="nil"/>
              <w:right w:val="nil"/>
            </w:tcBorders>
          </w:tcPr>
          <w:p w14:paraId="04AAE472" w14:textId="77777777" w:rsidR="00D457FC" w:rsidRPr="00C702D7" w:rsidRDefault="00D457FC" w:rsidP="00B718EA">
            <w:pPr>
              <w:spacing w:line="240" w:lineRule="auto"/>
              <w:ind w:firstLineChars="0" w:firstLine="0"/>
              <w:jc w:val="center"/>
              <w:rPr>
                <w:rFonts w:cs="Times New Roman"/>
                <w:i/>
                <w:sz w:val="18"/>
                <w:szCs w:val="18"/>
              </w:rPr>
            </w:pPr>
            <w:r w:rsidRPr="00C702D7">
              <w:rPr>
                <w:rFonts w:cs="Times New Roman" w:hint="eastAsia"/>
                <w:i/>
                <w:sz w:val="18"/>
                <w:szCs w:val="18"/>
              </w:rPr>
              <w:t>R</w:t>
            </w:r>
            <w:r w:rsidRPr="00C702D7">
              <w:rPr>
                <w:rFonts w:cs="Times New Roman"/>
                <w:i/>
                <w:sz w:val="18"/>
                <w:szCs w:val="18"/>
              </w:rPr>
              <w:t>OA</w:t>
            </w:r>
          </w:p>
        </w:tc>
        <w:tc>
          <w:tcPr>
            <w:tcW w:w="748" w:type="pct"/>
            <w:tcBorders>
              <w:top w:val="nil"/>
              <w:left w:val="nil"/>
              <w:bottom w:val="nil"/>
              <w:right w:val="nil"/>
            </w:tcBorders>
          </w:tcPr>
          <w:p w14:paraId="2B0A89DC"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6896</w:t>
            </w:r>
          </w:p>
        </w:tc>
        <w:tc>
          <w:tcPr>
            <w:tcW w:w="794" w:type="pct"/>
            <w:tcBorders>
              <w:top w:val="nil"/>
              <w:left w:val="nil"/>
              <w:bottom w:val="nil"/>
              <w:right w:val="nil"/>
            </w:tcBorders>
          </w:tcPr>
          <w:p w14:paraId="4E578959"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0.0550 </w:t>
            </w:r>
          </w:p>
        </w:tc>
        <w:tc>
          <w:tcPr>
            <w:tcW w:w="794" w:type="pct"/>
            <w:tcBorders>
              <w:top w:val="nil"/>
              <w:left w:val="nil"/>
              <w:bottom w:val="nil"/>
              <w:right w:val="nil"/>
            </w:tcBorders>
          </w:tcPr>
          <w:p w14:paraId="0F3CFFAA"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0.0402 </w:t>
            </w:r>
          </w:p>
        </w:tc>
        <w:tc>
          <w:tcPr>
            <w:tcW w:w="888" w:type="pct"/>
            <w:tcBorders>
              <w:top w:val="nil"/>
              <w:left w:val="nil"/>
              <w:bottom w:val="nil"/>
              <w:right w:val="nil"/>
            </w:tcBorders>
          </w:tcPr>
          <w:p w14:paraId="3228D88D"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0.2051 </w:t>
            </w:r>
          </w:p>
        </w:tc>
        <w:tc>
          <w:tcPr>
            <w:tcW w:w="794" w:type="pct"/>
            <w:tcBorders>
              <w:top w:val="nil"/>
              <w:left w:val="nil"/>
              <w:bottom w:val="nil"/>
            </w:tcBorders>
          </w:tcPr>
          <w:p w14:paraId="6408711D"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0.0017 </w:t>
            </w:r>
          </w:p>
        </w:tc>
      </w:tr>
      <w:tr w:rsidR="00C702D7" w:rsidRPr="00C702D7" w14:paraId="6F914ABE" w14:textId="77777777" w:rsidTr="00B718EA">
        <w:trPr>
          <w:jc w:val="center"/>
        </w:trPr>
        <w:tc>
          <w:tcPr>
            <w:tcW w:w="982" w:type="pct"/>
            <w:tcBorders>
              <w:top w:val="nil"/>
              <w:bottom w:val="nil"/>
              <w:right w:val="nil"/>
            </w:tcBorders>
          </w:tcPr>
          <w:p w14:paraId="1332F348" w14:textId="77777777" w:rsidR="00D457FC" w:rsidRPr="00C702D7" w:rsidRDefault="00D457FC" w:rsidP="00B718EA">
            <w:pPr>
              <w:spacing w:line="240" w:lineRule="auto"/>
              <w:ind w:firstLineChars="0" w:firstLine="0"/>
              <w:jc w:val="center"/>
              <w:rPr>
                <w:rFonts w:cs="Times New Roman"/>
                <w:i/>
                <w:sz w:val="18"/>
                <w:szCs w:val="18"/>
              </w:rPr>
            </w:pPr>
            <w:proofErr w:type="spellStart"/>
            <w:r w:rsidRPr="00C702D7">
              <w:rPr>
                <w:rFonts w:cs="Times New Roman"/>
                <w:i/>
                <w:sz w:val="18"/>
                <w:szCs w:val="18"/>
              </w:rPr>
              <w:t>Large</w:t>
            </w:r>
            <w:r w:rsidRPr="00C702D7">
              <w:rPr>
                <w:rFonts w:cs="Times New Roman" w:hint="eastAsia"/>
                <w:i/>
                <w:sz w:val="18"/>
                <w:szCs w:val="18"/>
              </w:rPr>
              <w:t>H</w:t>
            </w:r>
            <w:proofErr w:type="spellEnd"/>
          </w:p>
        </w:tc>
        <w:tc>
          <w:tcPr>
            <w:tcW w:w="748" w:type="pct"/>
            <w:tcBorders>
              <w:top w:val="nil"/>
              <w:left w:val="nil"/>
              <w:bottom w:val="nil"/>
              <w:right w:val="nil"/>
            </w:tcBorders>
          </w:tcPr>
          <w:p w14:paraId="24ABD5A5"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6896</w:t>
            </w:r>
          </w:p>
        </w:tc>
        <w:tc>
          <w:tcPr>
            <w:tcW w:w="794" w:type="pct"/>
            <w:tcBorders>
              <w:top w:val="nil"/>
              <w:left w:val="nil"/>
              <w:bottom w:val="nil"/>
              <w:right w:val="nil"/>
            </w:tcBorders>
          </w:tcPr>
          <w:p w14:paraId="6F2FCF2A"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0.3319 </w:t>
            </w:r>
          </w:p>
        </w:tc>
        <w:tc>
          <w:tcPr>
            <w:tcW w:w="794" w:type="pct"/>
            <w:tcBorders>
              <w:top w:val="nil"/>
              <w:left w:val="nil"/>
              <w:bottom w:val="nil"/>
              <w:right w:val="nil"/>
            </w:tcBorders>
          </w:tcPr>
          <w:p w14:paraId="182B6F41"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0.1409 </w:t>
            </w:r>
          </w:p>
        </w:tc>
        <w:tc>
          <w:tcPr>
            <w:tcW w:w="888" w:type="pct"/>
            <w:tcBorders>
              <w:top w:val="nil"/>
              <w:left w:val="nil"/>
              <w:bottom w:val="nil"/>
              <w:right w:val="nil"/>
            </w:tcBorders>
          </w:tcPr>
          <w:p w14:paraId="5557C0CB"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0.7482 </w:t>
            </w:r>
          </w:p>
        </w:tc>
        <w:tc>
          <w:tcPr>
            <w:tcW w:w="794" w:type="pct"/>
            <w:tcBorders>
              <w:top w:val="nil"/>
              <w:left w:val="nil"/>
              <w:bottom w:val="nil"/>
            </w:tcBorders>
          </w:tcPr>
          <w:p w14:paraId="228BFDB8"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0.0845 </w:t>
            </w:r>
          </w:p>
        </w:tc>
      </w:tr>
      <w:tr w:rsidR="00C702D7" w:rsidRPr="00C702D7" w14:paraId="6B946333" w14:textId="77777777" w:rsidTr="00B718EA">
        <w:trPr>
          <w:jc w:val="center"/>
        </w:trPr>
        <w:tc>
          <w:tcPr>
            <w:tcW w:w="982" w:type="pct"/>
            <w:tcBorders>
              <w:top w:val="nil"/>
              <w:bottom w:val="nil"/>
              <w:right w:val="nil"/>
            </w:tcBorders>
          </w:tcPr>
          <w:p w14:paraId="33ED3F21" w14:textId="77777777" w:rsidR="00D457FC" w:rsidRPr="00C702D7" w:rsidRDefault="00D457FC" w:rsidP="00B718EA">
            <w:pPr>
              <w:spacing w:line="240" w:lineRule="auto"/>
              <w:ind w:firstLineChars="0" w:firstLine="0"/>
              <w:jc w:val="center"/>
              <w:rPr>
                <w:rFonts w:cs="Times New Roman"/>
                <w:i/>
                <w:sz w:val="18"/>
                <w:szCs w:val="18"/>
              </w:rPr>
            </w:pPr>
            <w:r w:rsidRPr="00C702D7">
              <w:rPr>
                <w:rFonts w:cs="Times New Roman" w:hint="eastAsia"/>
                <w:i/>
                <w:sz w:val="18"/>
                <w:szCs w:val="18"/>
              </w:rPr>
              <w:t>B</w:t>
            </w:r>
            <w:r w:rsidRPr="00C702D7">
              <w:rPr>
                <w:rFonts w:cs="Times New Roman"/>
                <w:i/>
                <w:sz w:val="18"/>
                <w:szCs w:val="18"/>
              </w:rPr>
              <w:t>oard</w:t>
            </w:r>
          </w:p>
        </w:tc>
        <w:tc>
          <w:tcPr>
            <w:tcW w:w="748" w:type="pct"/>
            <w:tcBorders>
              <w:top w:val="nil"/>
              <w:left w:val="nil"/>
              <w:bottom w:val="nil"/>
              <w:right w:val="nil"/>
            </w:tcBorders>
          </w:tcPr>
          <w:p w14:paraId="2F9BA23E"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6896</w:t>
            </w:r>
          </w:p>
        </w:tc>
        <w:tc>
          <w:tcPr>
            <w:tcW w:w="794" w:type="pct"/>
            <w:tcBorders>
              <w:top w:val="nil"/>
              <w:left w:val="nil"/>
              <w:bottom w:val="nil"/>
              <w:right w:val="nil"/>
            </w:tcBorders>
          </w:tcPr>
          <w:p w14:paraId="00ABE26B"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0.3768 </w:t>
            </w:r>
          </w:p>
        </w:tc>
        <w:tc>
          <w:tcPr>
            <w:tcW w:w="794" w:type="pct"/>
            <w:tcBorders>
              <w:top w:val="nil"/>
              <w:left w:val="nil"/>
              <w:bottom w:val="nil"/>
              <w:right w:val="nil"/>
            </w:tcBorders>
          </w:tcPr>
          <w:p w14:paraId="5D19D7B2"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0.0540 </w:t>
            </w:r>
          </w:p>
        </w:tc>
        <w:tc>
          <w:tcPr>
            <w:tcW w:w="888" w:type="pct"/>
            <w:tcBorders>
              <w:top w:val="nil"/>
              <w:left w:val="nil"/>
              <w:bottom w:val="nil"/>
              <w:right w:val="nil"/>
            </w:tcBorders>
          </w:tcPr>
          <w:p w14:paraId="4374A3AD"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0.5714 </w:t>
            </w:r>
          </w:p>
        </w:tc>
        <w:tc>
          <w:tcPr>
            <w:tcW w:w="794" w:type="pct"/>
            <w:tcBorders>
              <w:top w:val="nil"/>
              <w:left w:val="nil"/>
              <w:bottom w:val="nil"/>
            </w:tcBorders>
          </w:tcPr>
          <w:p w14:paraId="6CB80B3F"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0.3333 </w:t>
            </w:r>
          </w:p>
        </w:tc>
      </w:tr>
      <w:tr w:rsidR="00C702D7" w:rsidRPr="00C702D7" w14:paraId="0B274C95" w14:textId="77777777" w:rsidTr="00B718EA">
        <w:trPr>
          <w:jc w:val="center"/>
        </w:trPr>
        <w:tc>
          <w:tcPr>
            <w:tcW w:w="982" w:type="pct"/>
            <w:tcBorders>
              <w:top w:val="nil"/>
              <w:bottom w:val="nil"/>
              <w:right w:val="nil"/>
            </w:tcBorders>
          </w:tcPr>
          <w:p w14:paraId="36AE8A59" w14:textId="77777777" w:rsidR="00D457FC" w:rsidRPr="00C702D7" w:rsidRDefault="00D457FC" w:rsidP="00B718EA">
            <w:pPr>
              <w:spacing w:line="240" w:lineRule="auto"/>
              <w:ind w:firstLineChars="0" w:firstLine="0"/>
              <w:jc w:val="center"/>
              <w:rPr>
                <w:rFonts w:cs="Times New Roman"/>
                <w:i/>
                <w:sz w:val="18"/>
                <w:szCs w:val="18"/>
              </w:rPr>
            </w:pPr>
            <w:r w:rsidRPr="00C702D7">
              <w:rPr>
                <w:rFonts w:cs="Times New Roman" w:hint="eastAsia"/>
                <w:i/>
                <w:sz w:val="18"/>
                <w:szCs w:val="18"/>
              </w:rPr>
              <w:t>I</w:t>
            </w:r>
            <w:r w:rsidRPr="00C702D7">
              <w:rPr>
                <w:rFonts w:cs="Times New Roman"/>
                <w:i/>
                <w:sz w:val="18"/>
                <w:szCs w:val="18"/>
              </w:rPr>
              <w:t>nde</w:t>
            </w:r>
          </w:p>
        </w:tc>
        <w:tc>
          <w:tcPr>
            <w:tcW w:w="748" w:type="pct"/>
            <w:tcBorders>
              <w:top w:val="nil"/>
              <w:left w:val="nil"/>
              <w:bottom w:val="nil"/>
              <w:right w:val="nil"/>
            </w:tcBorders>
          </w:tcPr>
          <w:p w14:paraId="60FE44AF"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6896</w:t>
            </w:r>
          </w:p>
        </w:tc>
        <w:tc>
          <w:tcPr>
            <w:tcW w:w="794" w:type="pct"/>
            <w:tcBorders>
              <w:top w:val="nil"/>
              <w:left w:val="nil"/>
              <w:bottom w:val="nil"/>
              <w:right w:val="nil"/>
            </w:tcBorders>
          </w:tcPr>
          <w:p w14:paraId="159DCAF0"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8.3623 </w:t>
            </w:r>
          </w:p>
        </w:tc>
        <w:tc>
          <w:tcPr>
            <w:tcW w:w="794" w:type="pct"/>
            <w:tcBorders>
              <w:top w:val="nil"/>
              <w:left w:val="nil"/>
              <w:bottom w:val="nil"/>
              <w:right w:val="nil"/>
            </w:tcBorders>
          </w:tcPr>
          <w:p w14:paraId="617F191A"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1.5511 </w:t>
            </w:r>
          </w:p>
        </w:tc>
        <w:tc>
          <w:tcPr>
            <w:tcW w:w="888" w:type="pct"/>
            <w:tcBorders>
              <w:top w:val="nil"/>
              <w:left w:val="nil"/>
              <w:bottom w:val="nil"/>
              <w:right w:val="nil"/>
            </w:tcBorders>
          </w:tcPr>
          <w:p w14:paraId="63F2D1F6"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15.0000 </w:t>
            </w:r>
          </w:p>
        </w:tc>
        <w:tc>
          <w:tcPr>
            <w:tcW w:w="794" w:type="pct"/>
            <w:tcBorders>
              <w:top w:val="nil"/>
              <w:left w:val="nil"/>
              <w:bottom w:val="nil"/>
            </w:tcBorders>
          </w:tcPr>
          <w:p w14:paraId="756DAA33"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5.0000 </w:t>
            </w:r>
          </w:p>
        </w:tc>
      </w:tr>
      <w:tr w:rsidR="00C702D7" w:rsidRPr="00C702D7" w14:paraId="6C6BC0A1" w14:textId="77777777" w:rsidTr="00B718EA">
        <w:trPr>
          <w:jc w:val="center"/>
        </w:trPr>
        <w:tc>
          <w:tcPr>
            <w:tcW w:w="982" w:type="pct"/>
            <w:tcBorders>
              <w:top w:val="nil"/>
              <w:bottom w:val="nil"/>
              <w:right w:val="nil"/>
            </w:tcBorders>
          </w:tcPr>
          <w:p w14:paraId="7DB1B2E3" w14:textId="77777777" w:rsidR="00D457FC" w:rsidRPr="00C702D7" w:rsidRDefault="00D457FC" w:rsidP="00B718EA">
            <w:pPr>
              <w:spacing w:line="240" w:lineRule="auto"/>
              <w:ind w:firstLineChars="0" w:firstLine="0"/>
              <w:jc w:val="center"/>
              <w:rPr>
                <w:rFonts w:cs="Times New Roman"/>
                <w:i/>
                <w:sz w:val="18"/>
                <w:szCs w:val="18"/>
              </w:rPr>
            </w:pPr>
            <w:r w:rsidRPr="00C702D7">
              <w:rPr>
                <w:rFonts w:cs="Times New Roman" w:hint="eastAsia"/>
                <w:i/>
                <w:sz w:val="18"/>
                <w:szCs w:val="18"/>
              </w:rPr>
              <w:t>D</w:t>
            </w:r>
            <w:r w:rsidRPr="00C702D7">
              <w:rPr>
                <w:rFonts w:cs="Times New Roman"/>
                <w:i/>
                <w:sz w:val="18"/>
                <w:szCs w:val="18"/>
              </w:rPr>
              <w:t>ual</w:t>
            </w:r>
          </w:p>
        </w:tc>
        <w:tc>
          <w:tcPr>
            <w:tcW w:w="748" w:type="pct"/>
            <w:tcBorders>
              <w:top w:val="nil"/>
              <w:left w:val="nil"/>
              <w:bottom w:val="nil"/>
              <w:right w:val="nil"/>
            </w:tcBorders>
          </w:tcPr>
          <w:p w14:paraId="2528A89A"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6896</w:t>
            </w:r>
          </w:p>
        </w:tc>
        <w:tc>
          <w:tcPr>
            <w:tcW w:w="794" w:type="pct"/>
            <w:tcBorders>
              <w:top w:val="nil"/>
              <w:left w:val="nil"/>
              <w:bottom w:val="nil"/>
              <w:right w:val="nil"/>
            </w:tcBorders>
          </w:tcPr>
          <w:p w14:paraId="23D8D26C"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0.3413 </w:t>
            </w:r>
          </w:p>
        </w:tc>
        <w:tc>
          <w:tcPr>
            <w:tcW w:w="794" w:type="pct"/>
            <w:tcBorders>
              <w:top w:val="nil"/>
              <w:left w:val="nil"/>
              <w:bottom w:val="nil"/>
              <w:right w:val="nil"/>
            </w:tcBorders>
          </w:tcPr>
          <w:p w14:paraId="500D2EBC"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0.4742 </w:t>
            </w:r>
          </w:p>
        </w:tc>
        <w:tc>
          <w:tcPr>
            <w:tcW w:w="888" w:type="pct"/>
            <w:tcBorders>
              <w:top w:val="nil"/>
              <w:left w:val="nil"/>
              <w:bottom w:val="nil"/>
              <w:right w:val="nil"/>
            </w:tcBorders>
          </w:tcPr>
          <w:p w14:paraId="24C6B04D"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1.0000 </w:t>
            </w:r>
          </w:p>
        </w:tc>
        <w:tc>
          <w:tcPr>
            <w:tcW w:w="794" w:type="pct"/>
            <w:tcBorders>
              <w:top w:val="nil"/>
              <w:left w:val="nil"/>
              <w:bottom w:val="nil"/>
            </w:tcBorders>
          </w:tcPr>
          <w:p w14:paraId="756630D1"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0.0000 </w:t>
            </w:r>
          </w:p>
        </w:tc>
      </w:tr>
      <w:tr w:rsidR="00C702D7" w:rsidRPr="00C702D7" w14:paraId="4611A115" w14:textId="77777777" w:rsidTr="00B718EA">
        <w:trPr>
          <w:jc w:val="center"/>
        </w:trPr>
        <w:tc>
          <w:tcPr>
            <w:tcW w:w="982" w:type="pct"/>
            <w:tcBorders>
              <w:top w:val="nil"/>
              <w:bottom w:val="nil"/>
              <w:right w:val="nil"/>
            </w:tcBorders>
          </w:tcPr>
          <w:p w14:paraId="7CC9C051" w14:textId="77777777" w:rsidR="00D457FC" w:rsidRPr="00C702D7" w:rsidRDefault="00D457FC" w:rsidP="00B718EA">
            <w:pPr>
              <w:spacing w:line="240" w:lineRule="auto"/>
              <w:ind w:firstLineChars="0" w:firstLine="0"/>
              <w:jc w:val="center"/>
              <w:rPr>
                <w:rFonts w:cs="Times New Roman"/>
                <w:i/>
                <w:sz w:val="18"/>
                <w:szCs w:val="18"/>
              </w:rPr>
            </w:pPr>
            <w:r w:rsidRPr="00C702D7">
              <w:rPr>
                <w:rFonts w:cs="Times New Roman" w:hint="eastAsia"/>
                <w:i/>
                <w:sz w:val="18"/>
                <w:szCs w:val="18"/>
              </w:rPr>
              <w:t>A</w:t>
            </w:r>
            <w:r w:rsidRPr="00C702D7">
              <w:rPr>
                <w:rFonts w:cs="Times New Roman"/>
                <w:i/>
                <w:sz w:val="18"/>
                <w:szCs w:val="18"/>
              </w:rPr>
              <w:t>ge</w:t>
            </w:r>
          </w:p>
        </w:tc>
        <w:tc>
          <w:tcPr>
            <w:tcW w:w="748" w:type="pct"/>
            <w:tcBorders>
              <w:top w:val="nil"/>
              <w:left w:val="nil"/>
              <w:bottom w:val="nil"/>
              <w:right w:val="nil"/>
            </w:tcBorders>
          </w:tcPr>
          <w:p w14:paraId="62E3EFEA"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6896</w:t>
            </w:r>
          </w:p>
        </w:tc>
        <w:tc>
          <w:tcPr>
            <w:tcW w:w="794" w:type="pct"/>
            <w:tcBorders>
              <w:top w:val="nil"/>
              <w:left w:val="nil"/>
              <w:bottom w:val="nil"/>
              <w:right w:val="nil"/>
            </w:tcBorders>
          </w:tcPr>
          <w:p w14:paraId="5D77D406"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2.7467 </w:t>
            </w:r>
          </w:p>
        </w:tc>
        <w:tc>
          <w:tcPr>
            <w:tcW w:w="794" w:type="pct"/>
            <w:tcBorders>
              <w:top w:val="nil"/>
              <w:left w:val="nil"/>
              <w:bottom w:val="nil"/>
              <w:right w:val="nil"/>
            </w:tcBorders>
          </w:tcPr>
          <w:p w14:paraId="590DD939"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0.3664 </w:t>
            </w:r>
          </w:p>
        </w:tc>
        <w:tc>
          <w:tcPr>
            <w:tcW w:w="888" w:type="pct"/>
            <w:tcBorders>
              <w:top w:val="nil"/>
              <w:left w:val="nil"/>
              <w:bottom w:val="nil"/>
              <w:right w:val="nil"/>
            </w:tcBorders>
          </w:tcPr>
          <w:p w14:paraId="035340E5"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3.9120 </w:t>
            </w:r>
          </w:p>
        </w:tc>
        <w:tc>
          <w:tcPr>
            <w:tcW w:w="794" w:type="pct"/>
            <w:tcBorders>
              <w:top w:val="nil"/>
              <w:left w:val="nil"/>
              <w:bottom w:val="nil"/>
            </w:tcBorders>
          </w:tcPr>
          <w:p w14:paraId="2BED34DC"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1.3863 </w:t>
            </w:r>
          </w:p>
        </w:tc>
      </w:tr>
      <w:tr w:rsidR="00C702D7" w:rsidRPr="00C702D7" w14:paraId="5D43943F" w14:textId="77777777" w:rsidTr="00B718EA">
        <w:trPr>
          <w:jc w:val="center"/>
        </w:trPr>
        <w:tc>
          <w:tcPr>
            <w:tcW w:w="982" w:type="pct"/>
            <w:tcBorders>
              <w:top w:val="nil"/>
              <w:bottom w:val="nil"/>
              <w:right w:val="nil"/>
            </w:tcBorders>
          </w:tcPr>
          <w:p w14:paraId="2D5D8636" w14:textId="77777777" w:rsidR="00D457FC" w:rsidRPr="00C702D7" w:rsidRDefault="00D457FC" w:rsidP="00B718EA">
            <w:pPr>
              <w:spacing w:line="240" w:lineRule="auto"/>
              <w:ind w:firstLineChars="0" w:firstLine="0"/>
              <w:jc w:val="center"/>
              <w:rPr>
                <w:rFonts w:cs="Times New Roman"/>
                <w:i/>
                <w:sz w:val="18"/>
                <w:szCs w:val="18"/>
              </w:rPr>
            </w:pPr>
            <w:r w:rsidRPr="00C702D7">
              <w:rPr>
                <w:rFonts w:cs="Times New Roman" w:hint="eastAsia"/>
                <w:i/>
                <w:sz w:val="18"/>
                <w:szCs w:val="18"/>
              </w:rPr>
              <w:t>P</w:t>
            </w:r>
            <w:r w:rsidRPr="00C702D7">
              <w:rPr>
                <w:rFonts w:cs="Times New Roman"/>
                <w:i/>
                <w:sz w:val="18"/>
                <w:szCs w:val="18"/>
              </w:rPr>
              <w:t>GDP</w:t>
            </w:r>
          </w:p>
        </w:tc>
        <w:tc>
          <w:tcPr>
            <w:tcW w:w="748" w:type="pct"/>
            <w:tcBorders>
              <w:top w:val="nil"/>
              <w:left w:val="nil"/>
              <w:bottom w:val="nil"/>
              <w:right w:val="nil"/>
            </w:tcBorders>
          </w:tcPr>
          <w:p w14:paraId="77F28873"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6896</w:t>
            </w:r>
          </w:p>
        </w:tc>
        <w:tc>
          <w:tcPr>
            <w:tcW w:w="794" w:type="pct"/>
            <w:tcBorders>
              <w:top w:val="nil"/>
              <w:left w:val="nil"/>
              <w:bottom w:val="nil"/>
              <w:right w:val="nil"/>
            </w:tcBorders>
          </w:tcPr>
          <w:p w14:paraId="2E69A4E1"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10.9052 </w:t>
            </w:r>
          </w:p>
        </w:tc>
        <w:tc>
          <w:tcPr>
            <w:tcW w:w="794" w:type="pct"/>
            <w:tcBorders>
              <w:top w:val="nil"/>
              <w:left w:val="nil"/>
              <w:bottom w:val="nil"/>
              <w:right w:val="nil"/>
            </w:tcBorders>
          </w:tcPr>
          <w:p w14:paraId="25E72461"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0.3657 </w:t>
            </w:r>
          </w:p>
        </w:tc>
        <w:tc>
          <w:tcPr>
            <w:tcW w:w="888" w:type="pct"/>
            <w:tcBorders>
              <w:top w:val="nil"/>
              <w:left w:val="nil"/>
              <w:bottom w:val="nil"/>
              <w:right w:val="nil"/>
            </w:tcBorders>
          </w:tcPr>
          <w:p w14:paraId="2F6B7282"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11.7249 </w:t>
            </w:r>
          </w:p>
        </w:tc>
        <w:tc>
          <w:tcPr>
            <w:tcW w:w="794" w:type="pct"/>
            <w:tcBorders>
              <w:top w:val="nil"/>
              <w:left w:val="nil"/>
              <w:bottom w:val="nil"/>
            </w:tcBorders>
          </w:tcPr>
          <w:p w14:paraId="4814B3D4"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10.0498 </w:t>
            </w:r>
          </w:p>
        </w:tc>
      </w:tr>
      <w:tr w:rsidR="00C702D7" w:rsidRPr="00C702D7" w14:paraId="79C7A070" w14:textId="77777777" w:rsidTr="00B718EA">
        <w:trPr>
          <w:jc w:val="center"/>
        </w:trPr>
        <w:tc>
          <w:tcPr>
            <w:tcW w:w="982" w:type="pct"/>
            <w:tcBorders>
              <w:top w:val="nil"/>
              <w:bottom w:val="nil"/>
              <w:right w:val="nil"/>
            </w:tcBorders>
            <w:vAlign w:val="center"/>
          </w:tcPr>
          <w:p w14:paraId="049B12A0" w14:textId="77777777" w:rsidR="00D457FC" w:rsidRPr="00C702D7" w:rsidRDefault="00D457FC" w:rsidP="00B718EA">
            <w:pPr>
              <w:spacing w:line="240" w:lineRule="auto"/>
              <w:ind w:firstLineChars="0" w:firstLine="0"/>
              <w:jc w:val="center"/>
              <w:rPr>
                <w:rFonts w:cs="Times New Roman"/>
                <w:i/>
                <w:sz w:val="18"/>
                <w:szCs w:val="18"/>
              </w:rPr>
            </w:pPr>
            <w:r w:rsidRPr="00C702D7">
              <w:rPr>
                <w:rFonts w:cs="Times New Roman" w:hint="eastAsia"/>
                <w:i/>
                <w:sz w:val="18"/>
                <w:szCs w:val="18"/>
              </w:rPr>
              <w:t>E</w:t>
            </w:r>
            <w:r w:rsidRPr="00C702D7">
              <w:rPr>
                <w:rFonts w:cs="Times New Roman"/>
                <w:i/>
                <w:sz w:val="18"/>
                <w:szCs w:val="18"/>
              </w:rPr>
              <w:t>nv</w:t>
            </w:r>
          </w:p>
        </w:tc>
        <w:tc>
          <w:tcPr>
            <w:tcW w:w="748" w:type="pct"/>
            <w:tcBorders>
              <w:top w:val="nil"/>
              <w:left w:val="nil"/>
              <w:bottom w:val="nil"/>
              <w:right w:val="nil"/>
            </w:tcBorders>
          </w:tcPr>
          <w:p w14:paraId="4C264084"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6896</w:t>
            </w:r>
          </w:p>
        </w:tc>
        <w:tc>
          <w:tcPr>
            <w:tcW w:w="794" w:type="pct"/>
            <w:tcBorders>
              <w:top w:val="nil"/>
              <w:left w:val="nil"/>
              <w:bottom w:val="nil"/>
              <w:right w:val="nil"/>
            </w:tcBorders>
          </w:tcPr>
          <w:p w14:paraId="7285F13A"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92.5414 </w:t>
            </w:r>
          </w:p>
        </w:tc>
        <w:tc>
          <w:tcPr>
            <w:tcW w:w="794" w:type="pct"/>
            <w:tcBorders>
              <w:top w:val="nil"/>
              <w:left w:val="nil"/>
              <w:bottom w:val="nil"/>
              <w:right w:val="nil"/>
            </w:tcBorders>
          </w:tcPr>
          <w:p w14:paraId="17841FC8"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15.6642 </w:t>
            </w:r>
          </w:p>
        </w:tc>
        <w:tc>
          <w:tcPr>
            <w:tcW w:w="888" w:type="pct"/>
            <w:tcBorders>
              <w:top w:val="nil"/>
              <w:left w:val="nil"/>
              <w:bottom w:val="nil"/>
              <w:right w:val="nil"/>
            </w:tcBorders>
          </w:tcPr>
          <w:p w14:paraId="42C3E9BD"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100.0000 </w:t>
            </w:r>
          </w:p>
        </w:tc>
        <w:tc>
          <w:tcPr>
            <w:tcW w:w="794" w:type="pct"/>
            <w:tcBorders>
              <w:top w:val="nil"/>
              <w:left w:val="nil"/>
              <w:bottom w:val="nil"/>
            </w:tcBorders>
          </w:tcPr>
          <w:p w14:paraId="70EAC655"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0.0000 </w:t>
            </w:r>
          </w:p>
        </w:tc>
      </w:tr>
      <w:tr w:rsidR="00C702D7" w:rsidRPr="00C702D7" w14:paraId="0406A07B" w14:textId="77777777" w:rsidTr="00B718EA">
        <w:trPr>
          <w:jc w:val="center"/>
        </w:trPr>
        <w:tc>
          <w:tcPr>
            <w:tcW w:w="982" w:type="pct"/>
            <w:tcBorders>
              <w:top w:val="nil"/>
              <w:bottom w:val="nil"/>
              <w:right w:val="nil"/>
            </w:tcBorders>
            <w:vAlign w:val="center"/>
          </w:tcPr>
          <w:p w14:paraId="7A62E8BD" w14:textId="77777777" w:rsidR="00D457FC" w:rsidRPr="00C702D7" w:rsidRDefault="00D457FC" w:rsidP="00B718EA">
            <w:pPr>
              <w:spacing w:line="240" w:lineRule="auto"/>
              <w:ind w:firstLineChars="0" w:firstLine="0"/>
              <w:jc w:val="center"/>
              <w:rPr>
                <w:rFonts w:cs="Times New Roman"/>
                <w:i/>
                <w:sz w:val="18"/>
                <w:szCs w:val="18"/>
              </w:rPr>
            </w:pPr>
            <w:r w:rsidRPr="00C702D7">
              <w:rPr>
                <w:rFonts w:cs="Times New Roman" w:hint="eastAsia"/>
                <w:i/>
                <w:sz w:val="18"/>
                <w:szCs w:val="18"/>
              </w:rPr>
              <w:t>H</w:t>
            </w:r>
            <w:r w:rsidRPr="00C702D7">
              <w:rPr>
                <w:rFonts w:cs="Times New Roman"/>
                <w:i/>
                <w:sz w:val="18"/>
                <w:szCs w:val="18"/>
              </w:rPr>
              <w:t>R</w:t>
            </w:r>
          </w:p>
        </w:tc>
        <w:tc>
          <w:tcPr>
            <w:tcW w:w="748" w:type="pct"/>
            <w:tcBorders>
              <w:top w:val="nil"/>
              <w:left w:val="nil"/>
              <w:bottom w:val="nil"/>
              <w:right w:val="nil"/>
            </w:tcBorders>
          </w:tcPr>
          <w:p w14:paraId="3F8784D5"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6896</w:t>
            </w:r>
          </w:p>
        </w:tc>
        <w:tc>
          <w:tcPr>
            <w:tcW w:w="794" w:type="pct"/>
            <w:tcBorders>
              <w:top w:val="nil"/>
              <w:left w:val="nil"/>
              <w:bottom w:val="nil"/>
              <w:right w:val="nil"/>
            </w:tcBorders>
          </w:tcPr>
          <w:p w14:paraId="4CFFC80E"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10.9927 </w:t>
            </w:r>
          </w:p>
        </w:tc>
        <w:tc>
          <w:tcPr>
            <w:tcW w:w="794" w:type="pct"/>
            <w:tcBorders>
              <w:top w:val="nil"/>
              <w:left w:val="nil"/>
              <w:bottom w:val="nil"/>
              <w:right w:val="nil"/>
            </w:tcBorders>
          </w:tcPr>
          <w:p w14:paraId="0BAA916A"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0.2025 </w:t>
            </w:r>
          </w:p>
        </w:tc>
        <w:tc>
          <w:tcPr>
            <w:tcW w:w="888" w:type="pct"/>
            <w:tcBorders>
              <w:top w:val="nil"/>
              <w:left w:val="nil"/>
              <w:bottom w:val="nil"/>
              <w:right w:val="nil"/>
            </w:tcBorders>
          </w:tcPr>
          <w:p w14:paraId="29993832"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11.5095 </w:t>
            </w:r>
          </w:p>
        </w:tc>
        <w:tc>
          <w:tcPr>
            <w:tcW w:w="794" w:type="pct"/>
            <w:tcBorders>
              <w:top w:val="nil"/>
              <w:left w:val="nil"/>
              <w:bottom w:val="nil"/>
            </w:tcBorders>
          </w:tcPr>
          <w:p w14:paraId="760DA1D7"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10.5532 </w:t>
            </w:r>
          </w:p>
        </w:tc>
      </w:tr>
      <w:tr w:rsidR="00C702D7" w:rsidRPr="00C702D7" w14:paraId="06FF656C" w14:textId="77777777" w:rsidTr="00B718EA">
        <w:trPr>
          <w:jc w:val="center"/>
        </w:trPr>
        <w:tc>
          <w:tcPr>
            <w:tcW w:w="982" w:type="pct"/>
            <w:tcBorders>
              <w:top w:val="nil"/>
              <w:bottom w:val="nil"/>
              <w:right w:val="nil"/>
            </w:tcBorders>
            <w:vAlign w:val="center"/>
          </w:tcPr>
          <w:p w14:paraId="0D474D67" w14:textId="77777777" w:rsidR="00D457FC" w:rsidRPr="00C702D7" w:rsidRDefault="00D457FC" w:rsidP="00B718EA">
            <w:pPr>
              <w:spacing w:line="240" w:lineRule="auto"/>
              <w:ind w:firstLineChars="0" w:firstLine="0"/>
              <w:jc w:val="center"/>
              <w:rPr>
                <w:rFonts w:cs="Times New Roman"/>
                <w:i/>
                <w:sz w:val="18"/>
                <w:szCs w:val="18"/>
              </w:rPr>
            </w:pPr>
            <w:r w:rsidRPr="00C702D7">
              <w:rPr>
                <w:rFonts w:cs="Times New Roman" w:hint="eastAsia"/>
                <w:i/>
                <w:sz w:val="18"/>
                <w:szCs w:val="18"/>
              </w:rPr>
              <w:t>T</w:t>
            </w:r>
            <w:r w:rsidRPr="00C702D7">
              <w:rPr>
                <w:rFonts w:cs="Times New Roman"/>
                <w:i/>
                <w:sz w:val="18"/>
                <w:szCs w:val="18"/>
              </w:rPr>
              <w:t>ech</w:t>
            </w:r>
          </w:p>
        </w:tc>
        <w:tc>
          <w:tcPr>
            <w:tcW w:w="748" w:type="pct"/>
            <w:tcBorders>
              <w:top w:val="nil"/>
              <w:left w:val="nil"/>
              <w:bottom w:val="nil"/>
              <w:right w:val="nil"/>
            </w:tcBorders>
          </w:tcPr>
          <w:p w14:paraId="03711D2C"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6896</w:t>
            </w:r>
          </w:p>
        </w:tc>
        <w:tc>
          <w:tcPr>
            <w:tcW w:w="794" w:type="pct"/>
            <w:tcBorders>
              <w:top w:val="nil"/>
              <w:left w:val="nil"/>
              <w:bottom w:val="nil"/>
              <w:right w:val="nil"/>
            </w:tcBorders>
          </w:tcPr>
          <w:p w14:paraId="2578CFAB"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46.2546 </w:t>
            </w:r>
          </w:p>
        </w:tc>
        <w:tc>
          <w:tcPr>
            <w:tcW w:w="794" w:type="pct"/>
            <w:tcBorders>
              <w:top w:val="nil"/>
              <w:left w:val="nil"/>
              <w:bottom w:val="nil"/>
              <w:right w:val="nil"/>
            </w:tcBorders>
          </w:tcPr>
          <w:p w14:paraId="26C38CD1"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4.9550 </w:t>
            </w:r>
          </w:p>
        </w:tc>
        <w:tc>
          <w:tcPr>
            <w:tcW w:w="888" w:type="pct"/>
            <w:tcBorders>
              <w:top w:val="nil"/>
              <w:left w:val="nil"/>
              <w:bottom w:val="nil"/>
              <w:right w:val="nil"/>
            </w:tcBorders>
          </w:tcPr>
          <w:p w14:paraId="36FE0285"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55.5000 </w:t>
            </w:r>
          </w:p>
        </w:tc>
        <w:tc>
          <w:tcPr>
            <w:tcW w:w="794" w:type="pct"/>
            <w:tcBorders>
              <w:top w:val="nil"/>
              <w:left w:val="nil"/>
              <w:bottom w:val="nil"/>
            </w:tcBorders>
          </w:tcPr>
          <w:p w14:paraId="49B384ED"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24.0000 </w:t>
            </w:r>
          </w:p>
        </w:tc>
      </w:tr>
      <w:tr w:rsidR="00C702D7" w:rsidRPr="00C702D7" w14:paraId="5B16AD19" w14:textId="77777777" w:rsidTr="00B718EA">
        <w:trPr>
          <w:jc w:val="center"/>
        </w:trPr>
        <w:tc>
          <w:tcPr>
            <w:tcW w:w="982" w:type="pct"/>
            <w:tcBorders>
              <w:top w:val="nil"/>
              <w:bottom w:val="nil"/>
              <w:right w:val="nil"/>
            </w:tcBorders>
            <w:vAlign w:val="center"/>
          </w:tcPr>
          <w:p w14:paraId="0EE2943D" w14:textId="77777777" w:rsidR="00D457FC" w:rsidRPr="00C702D7" w:rsidRDefault="00D457FC" w:rsidP="00B718EA">
            <w:pPr>
              <w:spacing w:line="240" w:lineRule="auto"/>
              <w:ind w:firstLineChars="0" w:firstLine="0"/>
              <w:jc w:val="center"/>
              <w:rPr>
                <w:rFonts w:cs="Times New Roman"/>
                <w:i/>
                <w:sz w:val="18"/>
                <w:szCs w:val="18"/>
              </w:rPr>
            </w:pPr>
            <w:r w:rsidRPr="00C702D7">
              <w:rPr>
                <w:rFonts w:cs="Times New Roman" w:hint="eastAsia"/>
                <w:i/>
                <w:sz w:val="18"/>
                <w:szCs w:val="18"/>
              </w:rPr>
              <w:t>F</w:t>
            </w:r>
            <w:r w:rsidRPr="00C702D7">
              <w:rPr>
                <w:rFonts w:cs="Times New Roman"/>
                <w:i/>
                <w:sz w:val="18"/>
                <w:szCs w:val="18"/>
              </w:rPr>
              <w:t>in</w:t>
            </w:r>
          </w:p>
        </w:tc>
        <w:tc>
          <w:tcPr>
            <w:tcW w:w="748" w:type="pct"/>
            <w:tcBorders>
              <w:top w:val="nil"/>
              <w:left w:val="nil"/>
              <w:bottom w:val="nil"/>
              <w:right w:val="nil"/>
            </w:tcBorders>
          </w:tcPr>
          <w:p w14:paraId="255D9DE3"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6896</w:t>
            </w:r>
          </w:p>
        </w:tc>
        <w:tc>
          <w:tcPr>
            <w:tcW w:w="794" w:type="pct"/>
            <w:tcBorders>
              <w:top w:val="nil"/>
              <w:left w:val="nil"/>
              <w:bottom w:val="nil"/>
              <w:right w:val="nil"/>
            </w:tcBorders>
          </w:tcPr>
          <w:p w14:paraId="137ECA03"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19.7438 </w:t>
            </w:r>
          </w:p>
        </w:tc>
        <w:tc>
          <w:tcPr>
            <w:tcW w:w="794" w:type="pct"/>
            <w:tcBorders>
              <w:top w:val="nil"/>
              <w:left w:val="nil"/>
              <w:bottom w:val="nil"/>
              <w:right w:val="nil"/>
            </w:tcBorders>
          </w:tcPr>
          <w:p w14:paraId="02187F94"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0.6786 </w:t>
            </w:r>
          </w:p>
        </w:tc>
        <w:tc>
          <w:tcPr>
            <w:tcW w:w="888" w:type="pct"/>
            <w:tcBorders>
              <w:top w:val="nil"/>
              <w:left w:val="nil"/>
              <w:bottom w:val="nil"/>
              <w:right w:val="nil"/>
            </w:tcBorders>
          </w:tcPr>
          <w:p w14:paraId="00E303DF"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21.0541 </w:t>
            </w:r>
          </w:p>
        </w:tc>
        <w:tc>
          <w:tcPr>
            <w:tcW w:w="794" w:type="pct"/>
            <w:tcBorders>
              <w:top w:val="nil"/>
              <w:left w:val="nil"/>
              <w:bottom w:val="nil"/>
            </w:tcBorders>
          </w:tcPr>
          <w:p w14:paraId="201830D9"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17.2691 </w:t>
            </w:r>
          </w:p>
        </w:tc>
      </w:tr>
      <w:tr w:rsidR="00C702D7" w:rsidRPr="00C702D7" w14:paraId="63345686" w14:textId="77777777" w:rsidTr="00B718EA">
        <w:trPr>
          <w:jc w:val="center"/>
        </w:trPr>
        <w:tc>
          <w:tcPr>
            <w:tcW w:w="982" w:type="pct"/>
            <w:tcBorders>
              <w:top w:val="nil"/>
              <w:bottom w:val="single" w:sz="12" w:space="0" w:color="auto"/>
              <w:right w:val="nil"/>
            </w:tcBorders>
            <w:vAlign w:val="center"/>
          </w:tcPr>
          <w:p w14:paraId="0FFB6E97" w14:textId="77777777" w:rsidR="00D457FC" w:rsidRPr="00C702D7" w:rsidRDefault="00D457FC" w:rsidP="00B718EA">
            <w:pPr>
              <w:spacing w:line="240" w:lineRule="auto"/>
              <w:ind w:firstLineChars="0" w:firstLine="0"/>
              <w:jc w:val="center"/>
              <w:rPr>
                <w:rFonts w:cs="Times New Roman"/>
                <w:i/>
                <w:sz w:val="18"/>
                <w:szCs w:val="18"/>
              </w:rPr>
            </w:pPr>
            <w:r w:rsidRPr="00C702D7">
              <w:rPr>
                <w:rFonts w:cs="Times New Roman" w:hint="eastAsia"/>
                <w:i/>
                <w:sz w:val="18"/>
                <w:szCs w:val="18"/>
              </w:rPr>
              <w:t>I</w:t>
            </w:r>
            <w:r w:rsidRPr="00C702D7">
              <w:rPr>
                <w:rFonts w:cs="Times New Roman"/>
                <w:i/>
                <w:sz w:val="18"/>
                <w:szCs w:val="18"/>
              </w:rPr>
              <w:t>S</w:t>
            </w:r>
          </w:p>
        </w:tc>
        <w:tc>
          <w:tcPr>
            <w:tcW w:w="748" w:type="pct"/>
            <w:tcBorders>
              <w:top w:val="nil"/>
              <w:left w:val="nil"/>
              <w:bottom w:val="single" w:sz="12" w:space="0" w:color="auto"/>
              <w:right w:val="nil"/>
            </w:tcBorders>
          </w:tcPr>
          <w:p w14:paraId="3BCE5233"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6896</w:t>
            </w:r>
          </w:p>
        </w:tc>
        <w:tc>
          <w:tcPr>
            <w:tcW w:w="794" w:type="pct"/>
            <w:tcBorders>
              <w:top w:val="nil"/>
              <w:left w:val="nil"/>
              <w:bottom w:val="single" w:sz="12" w:space="0" w:color="auto"/>
              <w:right w:val="nil"/>
            </w:tcBorders>
          </w:tcPr>
          <w:p w14:paraId="753442F8"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13.0221 </w:t>
            </w:r>
          </w:p>
        </w:tc>
        <w:tc>
          <w:tcPr>
            <w:tcW w:w="794" w:type="pct"/>
            <w:tcBorders>
              <w:top w:val="nil"/>
              <w:left w:val="nil"/>
              <w:bottom w:val="single" w:sz="12" w:space="0" w:color="auto"/>
              <w:right w:val="nil"/>
            </w:tcBorders>
          </w:tcPr>
          <w:p w14:paraId="70FA1921"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3.5911 </w:t>
            </w:r>
          </w:p>
        </w:tc>
        <w:tc>
          <w:tcPr>
            <w:tcW w:w="888" w:type="pct"/>
            <w:tcBorders>
              <w:top w:val="nil"/>
              <w:left w:val="nil"/>
              <w:bottom w:val="single" w:sz="12" w:space="0" w:color="auto"/>
              <w:right w:val="nil"/>
            </w:tcBorders>
          </w:tcPr>
          <w:p w14:paraId="45A2FCB3"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16.2184 </w:t>
            </w:r>
          </w:p>
        </w:tc>
        <w:tc>
          <w:tcPr>
            <w:tcW w:w="794" w:type="pct"/>
            <w:tcBorders>
              <w:top w:val="nil"/>
              <w:left w:val="nil"/>
              <w:bottom w:val="single" w:sz="12" w:space="0" w:color="auto"/>
            </w:tcBorders>
          </w:tcPr>
          <w:p w14:paraId="18C546A8" w14:textId="77777777" w:rsidR="00D457FC" w:rsidRPr="00C702D7" w:rsidRDefault="00D457FC" w:rsidP="00B718EA">
            <w:pPr>
              <w:spacing w:line="240" w:lineRule="auto"/>
              <w:ind w:firstLineChars="0" w:firstLine="0"/>
              <w:jc w:val="center"/>
              <w:rPr>
                <w:rFonts w:cs="Times New Roman"/>
                <w:i/>
                <w:sz w:val="18"/>
                <w:szCs w:val="18"/>
              </w:rPr>
            </w:pPr>
            <w:r w:rsidRPr="00C702D7">
              <w:rPr>
                <w:sz w:val="18"/>
                <w:szCs w:val="18"/>
              </w:rPr>
              <w:t xml:space="preserve">0.0000 </w:t>
            </w:r>
          </w:p>
        </w:tc>
      </w:tr>
    </w:tbl>
    <w:p w14:paraId="69E8350F" w14:textId="77777777" w:rsidR="00D457FC" w:rsidRPr="00C702D7" w:rsidRDefault="00D457FC" w:rsidP="00776687">
      <w:pPr>
        <w:spacing w:beforeLines="50" w:before="156" w:afterLines="50" w:after="156" w:line="400" w:lineRule="exact"/>
        <w:ind w:firstLineChars="0" w:firstLine="0"/>
        <w:jc w:val="center"/>
        <w:rPr>
          <w:rFonts w:ascii="黑体" w:eastAsia="黑体" w:hAnsi="黑体"/>
          <w:sz w:val="24"/>
          <w:szCs w:val="28"/>
        </w:rPr>
      </w:pPr>
      <w:r w:rsidRPr="00C702D7">
        <w:rPr>
          <w:rFonts w:ascii="黑体" w:eastAsia="黑体" w:hAnsi="黑体" w:hint="eastAsia"/>
          <w:sz w:val="24"/>
          <w:szCs w:val="28"/>
        </w:rPr>
        <w:t>五、实证结果分析</w:t>
      </w:r>
    </w:p>
    <w:p w14:paraId="0C486D40" w14:textId="77777777" w:rsidR="00D457FC" w:rsidRPr="00C702D7" w:rsidRDefault="00D457FC" w:rsidP="00D457FC">
      <w:pPr>
        <w:spacing w:line="400" w:lineRule="exact"/>
        <w:ind w:firstLine="420"/>
        <w:rPr>
          <w:rFonts w:ascii="楷体" w:eastAsia="楷体" w:hAnsi="楷体"/>
        </w:rPr>
      </w:pPr>
      <w:r w:rsidRPr="00C702D7">
        <w:rPr>
          <w:rFonts w:ascii="楷体" w:eastAsia="楷体" w:hAnsi="楷体" w:cs="Times New Roman" w:hint="eastAsia"/>
          <w:bCs/>
          <w:szCs w:val="21"/>
        </w:rPr>
        <w:t>（一）机构投资者绿色关注与企业碳排放</w:t>
      </w:r>
      <w:r w:rsidR="00AB1ED3" w:rsidRPr="00C702D7">
        <w:rPr>
          <w:rFonts w:ascii="楷体" w:eastAsia="楷体" w:hAnsi="楷体" w:cs="Times New Roman" w:hint="eastAsia"/>
          <w:bCs/>
          <w:szCs w:val="21"/>
        </w:rPr>
        <w:t>的基准回归</w:t>
      </w:r>
    </w:p>
    <w:p w14:paraId="5193D9D6" w14:textId="77777777" w:rsidR="00D457FC" w:rsidRPr="00C702D7" w:rsidRDefault="00D457FC" w:rsidP="00D457FC">
      <w:pPr>
        <w:spacing w:line="400" w:lineRule="exact"/>
        <w:ind w:firstLine="420"/>
        <w:rPr>
          <w:rFonts w:ascii="宋体" w:hAnsi="宋体" w:cs="Times New Roman"/>
          <w:bCs/>
          <w:szCs w:val="21"/>
        </w:rPr>
      </w:pPr>
      <w:r w:rsidRPr="00C702D7">
        <w:rPr>
          <w:rFonts w:ascii="宋体" w:hAnsi="宋体" w:cs="Times New Roman" w:hint="eastAsia"/>
          <w:bCs/>
          <w:szCs w:val="21"/>
        </w:rPr>
        <w:t>本文首先基于模型（1）检验绿色关注度与企业碳排放强度及排放增量的基准关系，以考察机构投资者绿色关注对受关注企业碳排放的总体效应。</w:t>
      </w:r>
      <w:r w:rsidRPr="00C702D7">
        <w:rPr>
          <w:rFonts w:hint="eastAsia"/>
        </w:rPr>
        <w:t>表</w:t>
      </w:r>
      <w:r w:rsidRPr="00C702D7">
        <w:rPr>
          <w:rFonts w:hint="eastAsia"/>
        </w:rPr>
        <w:t>3</w:t>
      </w:r>
      <w:r w:rsidRPr="00C702D7">
        <w:rPr>
          <w:rFonts w:hint="eastAsia"/>
        </w:rPr>
        <w:t>汇报了机构投资者绿色关注与企业碳排放的回归结果。其中，第（</w:t>
      </w:r>
      <w:r w:rsidRPr="00C702D7">
        <w:rPr>
          <w:rFonts w:hint="eastAsia"/>
        </w:rPr>
        <w:t>1</w:t>
      </w:r>
      <w:r w:rsidRPr="00C702D7">
        <w:rPr>
          <w:rFonts w:hint="eastAsia"/>
        </w:rPr>
        <w:t>）至（</w:t>
      </w:r>
      <w:r w:rsidRPr="00C702D7">
        <w:t>3</w:t>
      </w:r>
      <w:r w:rsidRPr="00C702D7">
        <w:rPr>
          <w:rFonts w:hint="eastAsia"/>
        </w:rPr>
        <w:t>）列为以排放强度衡量企业碳排放的回归结果，第（</w:t>
      </w:r>
      <w:r w:rsidRPr="00C702D7">
        <w:t>4</w:t>
      </w:r>
      <w:r w:rsidRPr="00C702D7">
        <w:rPr>
          <w:rFonts w:hint="eastAsia"/>
        </w:rPr>
        <w:t>）至（</w:t>
      </w:r>
      <w:r w:rsidRPr="00C702D7">
        <w:t>6</w:t>
      </w:r>
      <w:r w:rsidRPr="00C702D7">
        <w:rPr>
          <w:rFonts w:hint="eastAsia"/>
        </w:rPr>
        <w:t>）列为以排放增量衡量企业碳排放的回归结果。从表</w:t>
      </w:r>
      <w:r w:rsidRPr="00C702D7">
        <w:rPr>
          <w:rFonts w:hint="eastAsia"/>
        </w:rPr>
        <w:t>3</w:t>
      </w:r>
      <w:r w:rsidRPr="00C702D7">
        <w:rPr>
          <w:rFonts w:hint="eastAsia"/>
        </w:rPr>
        <w:t>第（</w:t>
      </w:r>
      <w:r w:rsidRPr="00C702D7">
        <w:rPr>
          <w:rFonts w:hint="eastAsia"/>
        </w:rPr>
        <w:t>1</w:t>
      </w:r>
      <w:r w:rsidRPr="00C702D7">
        <w:rPr>
          <w:rFonts w:hint="eastAsia"/>
        </w:rPr>
        <w:t>）、（</w:t>
      </w:r>
      <w:r w:rsidRPr="00C702D7">
        <w:rPr>
          <w:rFonts w:hint="eastAsia"/>
        </w:rPr>
        <w:t>2</w:t>
      </w:r>
      <w:r w:rsidRPr="00C702D7">
        <w:rPr>
          <w:rFonts w:hint="eastAsia"/>
        </w:rPr>
        <w:t>）、（</w:t>
      </w:r>
      <w:r w:rsidRPr="00C702D7">
        <w:rPr>
          <w:rFonts w:hint="eastAsia"/>
        </w:rPr>
        <w:t>3</w:t>
      </w:r>
      <w:r w:rsidRPr="00C702D7">
        <w:rPr>
          <w:rFonts w:hint="eastAsia"/>
        </w:rPr>
        <w:t>）列可以看到，依次加入控制变量、进一步控制年度（</w:t>
      </w:r>
      <w:r w:rsidRPr="00C702D7">
        <w:rPr>
          <w:rFonts w:hint="eastAsia"/>
          <w:i/>
          <w:iCs/>
        </w:rPr>
        <w:t>Year</w:t>
      </w:r>
      <w:r w:rsidRPr="00C702D7">
        <w:rPr>
          <w:i/>
          <w:iCs/>
        </w:rPr>
        <w:t xml:space="preserve"> </w:t>
      </w:r>
      <w:r w:rsidRPr="00C702D7">
        <w:rPr>
          <w:rFonts w:hint="eastAsia"/>
          <w:i/>
          <w:iCs/>
        </w:rPr>
        <w:t>fixed</w:t>
      </w:r>
      <w:r w:rsidRPr="00C702D7">
        <w:rPr>
          <w:i/>
          <w:iCs/>
        </w:rPr>
        <w:t xml:space="preserve"> </w:t>
      </w:r>
      <w:r w:rsidRPr="00C702D7">
        <w:rPr>
          <w:rFonts w:hint="eastAsia"/>
          <w:i/>
          <w:iCs/>
        </w:rPr>
        <w:t>effects</w:t>
      </w:r>
      <w:r w:rsidRPr="00C702D7">
        <w:rPr>
          <w:rFonts w:hint="eastAsia"/>
        </w:rPr>
        <w:t>）及企业个体固定效应（</w:t>
      </w:r>
      <w:r w:rsidRPr="00C702D7">
        <w:rPr>
          <w:rFonts w:hint="eastAsia"/>
          <w:i/>
          <w:iCs/>
        </w:rPr>
        <w:t>Firm</w:t>
      </w:r>
      <w:r w:rsidRPr="00C702D7">
        <w:rPr>
          <w:i/>
          <w:iCs/>
        </w:rPr>
        <w:t xml:space="preserve"> </w:t>
      </w:r>
      <w:r w:rsidRPr="00C702D7">
        <w:rPr>
          <w:rFonts w:hint="eastAsia"/>
          <w:i/>
          <w:iCs/>
        </w:rPr>
        <w:t>fixed</w:t>
      </w:r>
      <w:r w:rsidRPr="00C702D7">
        <w:rPr>
          <w:i/>
          <w:iCs/>
        </w:rPr>
        <w:t xml:space="preserve"> </w:t>
      </w:r>
      <w:r w:rsidRPr="00C702D7">
        <w:rPr>
          <w:rFonts w:hint="eastAsia"/>
          <w:i/>
          <w:iCs/>
        </w:rPr>
        <w:t>effects</w:t>
      </w:r>
      <w:r w:rsidRPr="00C702D7">
        <w:rPr>
          <w:rFonts w:hint="eastAsia"/>
        </w:rPr>
        <w:t>）时，机构投资者绿色关注度（</w:t>
      </w:r>
      <w:r w:rsidRPr="00C702D7">
        <w:rPr>
          <w:rFonts w:hint="eastAsia"/>
          <w:i/>
          <w:iCs/>
        </w:rPr>
        <w:t>G</w:t>
      </w:r>
      <w:r w:rsidRPr="00C702D7">
        <w:rPr>
          <w:i/>
          <w:iCs/>
        </w:rPr>
        <w:t>atten</w:t>
      </w:r>
      <w:r w:rsidRPr="00C702D7">
        <w:rPr>
          <w:rFonts w:hint="eastAsia"/>
        </w:rPr>
        <w:t>）对企业碳排放强度（</w:t>
      </w:r>
      <w:proofErr w:type="spellStart"/>
      <w:r w:rsidRPr="00C702D7">
        <w:rPr>
          <w:rFonts w:hint="eastAsia"/>
          <w:i/>
          <w:iCs/>
        </w:rPr>
        <w:t>C</w:t>
      </w:r>
      <w:r w:rsidRPr="00C702D7">
        <w:rPr>
          <w:i/>
          <w:iCs/>
        </w:rPr>
        <w:t>miss_total</w:t>
      </w:r>
      <w:proofErr w:type="spellEnd"/>
      <w:r w:rsidRPr="00C702D7">
        <w:rPr>
          <w:rFonts w:hint="eastAsia"/>
        </w:rPr>
        <w:t>）的回归系数分别为</w:t>
      </w:r>
      <w:r w:rsidRPr="00C702D7">
        <w:t>-0.0031</w:t>
      </w:r>
      <w:r w:rsidRPr="00C702D7">
        <w:rPr>
          <w:rFonts w:hint="eastAsia"/>
        </w:rPr>
        <w:t>、</w:t>
      </w:r>
      <w:r w:rsidRPr="00C702D7">
        <w:rPr>
          <w:rFonts w:hint="eastAsia"/>
        </w:rPr>
        <w:t>-0</w:t>
      </w:r>
      <w:r w:rsidRPr="00C702D7">
        <w:t>.0065</w:t>
      </w:r>
      <w:r w:rsidRPr="00C702D7">
        <w:rPr>
          <w:rFonts w:hint="eastAsia"/>
        </w:rPr>
        <w:t>和</w:t>
      </w:r>
      <w:r w:rsidRPr="00C702D7">
        <w:rPr>
          <w:rFonts w:hint="eastAsia"/>
        </w:rPr>
        <w:t>-</w:t>
      </w:r>
      <w:r w:rsidRPr="00C702D7">
        <w:t>0.0041</w:t>
      </w:r>
      <w:r w:rsidRPr="00C702D7">
        <w:rPr>
          <w:rFonts w:hint="eastAsia"/>
        </w:rPr>
        <w:t>，均在</w:t>
      </w:r>
      <w:r w:rsidRPr="00C702D7">
        <w:t>1%</w:t>
      </w:r>
      <w:r w:rsidRPr="00C702D7">
        <w:rPr>
          <w:rFonts w:hint="eastAsia"/>
        </w:rPr>
        <w:t>水平下显著，说明机构投资者绿色关注度越高时，企业碳排放强度越低。在第（</w:t>
      </w:r>
      <w:r w:rsidRPr="00C702D7">
        <w:rPr>
          <w:rFonts w:hint="eastAsia"/>
        </w:rPr>
        <w:t>4</w:t>
      </w:r>
      <w:r w:rsidRPr="00C702D7">
        <w:rPr>
          <w:rFonts w:hint="eastAsia"/>
        </w:rPr>
        <w:t>）、（</w:t>
      </w:r>
      <w:r w:rsidRPr="00C702D7">
        <w:t>5</w:t>
      </w:r>
      <w:r w:rsidRPr="00C702D7">
        <w:rPr>
          <w:rFonts w:hint="eastAsia"/>
        </w:rPr>
        <w:t>）、（</w:t>
      </w:r>
      <w:r w:rsidRPr="00C702D7">
        <w:t>6</w:t>
      </w:r>
      <w:r w:rsidRPr="00C702D7">
        <w:rPr>
          <w:rFonts w:hint="eastAsia"/>
        </w:rPr>
        <w:t>）列中，机构投资者绿色关注度（</w:t>
      </w:r>
      <w:r w:rsidRPr="00C702D7">
        <w:rPr>
          <w:rFonts w:hint="eastAsia"/>
          <w:i/>
          <w:iCs/>
        </w:rPr>
        <w:t>G</w:t>
      </w:r>
      <w:r w:rsidRPr="00C702D7">
        <w:rPr>
          <w:i/>
          <w:iCs/>
        </w:rPr>
        <w:t>atten</w:t>
      </w:r>
      <w:r w:rsidRPr="00C702D7">
        <w:rPr>
          <w:rFonts w:hint="eastAsia"/>
        </w:rPr>
        <w:t>）对企业碳排放增量（</w:t>
      </w:r>
      <w:proofErr w:type="spellStart"/>
      <w:r w:rsidRPr="00C702D7">
        <w:rPr>
          <w:rFonts w:hint="eastAsia"/>
          <w:i/>
          <w:iCs/>
        </w:rPr>
        <w:t>dCmiss</w:t>
      </w:r>
      <w:proofErr w:type="spellEnd"/>
      <w:r w:rsidRPr="00C702D7">
        <w:rPr>
          <w:rFonts w:hint="eastAsia"/>
        </w:rPr>
        <w:t>）的回归系数为</w:t>
      </w:r>
      <w:r w:rsidRPr="00C702D7">
        <w:t>-0.0007</w:t>
      </w:r>
      <w:r w:rsidRPr="00C702D7">
        <w:rPr>
          <w:rFonts w:hint="eastAsia"/>
        </w:rPr>
        <w:t>、</w:t>
      </w:r>
      <w:r w:rsidRPr="00C702D7">
        <w:t>-0.0027</w:t>
      </w:r>
      <w:r w:rsidRPr="00C702D7">
        <w:rPr>
          <w:rFonts w:hint="eastAsia"/>
        </w:rPr>
        <w:t>和</w:t>
      </w:r>
      <w:r w:rsidRPr="00C702D7">
        <w:rPr>
          <w:rFonts w:hint="eastAsia"/>
        </w:rPr>
        <w:t>-</w:t>
      </w:r>
      <w:r w:rsidRPr="00C702D7">
        <w:t>0.0029</w:t>
      </w:r>
      <w:r w:rsidRPr="00C702D7">
        <w:rPr>
          <w:rFonts w:hint="eastAsia"/>
        </w:rPr>
        <w:t>，且均在</w:t>
      </w:r>
      <w:r w:rsidRPr="00C702D7">
        <w:t>5%</w:t>
      </w:r>
      <w:r w:rsidRPr="00C702D7">
        <w:rPr>
          <w:rFonts w:hint="eastAsia"/>
        </w:rPr>
        <w:t>和</w:t>
      </w:r>
      <w:r w:rsidRPr="00C702D7">
        <w:rPr>
          <w:rFonts w:hint="eastAsia"/>
        </w:rPr>
        <w:t>1</w:t>
      </w:r>
      <w:r w:rsidRPr="00C702D7">
        <w:t>%</w:t>
      </w:r>
      <w:r w:rsidRPr="00C702D7">
        <w:rPr>
          <w:rFonts w:hint="eastAsia"/>
        </w:rPr>
        <w:t>水平下显著，说明机构投资者绿色关注度越高，则企业碳排放增量越少。上述结果和假设相符，说明机构投资者绿色关注与企业碳排放之间存在负相关关系，</w:t>
      </w:r>
      <w:r w:rsidR="006C38B5" w:rsidRPr="00C702D7">
        <w:rPr>
          <w:rFonts w:hint="eastAsia"/>
        </w:rPr>
        <w:t>证实存在机构投资者绿色关注的减排</w:t>
      </w:r>
      <w:r w:rsidRPr="00C702D7">
        <w:rPr>
          <w:rFonts w:hint="eastAsia"/>
        </w:rPr>
        <w:t>治理效应。</w:t>
      </w:r>
    </w:p>
    <w:p w14:paraId="3018B951" w14:textId="77777777" w:rsidR="00D457FC" w:rsidRPr="00C702D7" w:rsidRDefault="00D457FC" w:rsidP="00D457FC">
      <w:pPr>
        <w:spacing w:line="400" w:lineRule="exact"/>
        <w:ind w:firstLineChars="0" w:firstLine="0"/>
        <w:jc w:val="center"/>
        <w:rPr>
          <w:rFonts w:ascii="黑体" w:eastAsia="黑体" w:hAnsi="黑体" w:cs="Times New Roman"/>
          <w:bCs/>
          <w:sz w:val="18"/>
          <w:szCs w:val="18"/>
        </w:rPr>
      </w:pPr>
      <w:r w:rsidRPr="00C702D7">
        <w:rPr>
          <w:rFonts w:ascii="黑体" w:eastAsia="黑体" w:hAnsi="黑体" w:cs="Times New Roman" w:hint="eastAsia"/>
          <w:bCs/>
          <w:szCs w:val="21"/>
        </w:rPr>
        <w:t>表</w:t>
      </w:r>
      <w:r w:rsidRPr="00C702D7">
        <w:rPr>
          <w:rFonts w:eastAsia="黑体" w:cs="Times New Roman"/>
          <w:b/>
          <w:szCs w:val="21"/>
        </w:rPr>
        <w:t>3</w:t>
      </w:r>
      <w:r w:rsidRPr="00C702D7">
        <w:rPr>
          <w:rFonts w:ascii="黑体" w:eastAsia="黑体" w:hAnsi="黑体" w:cs="Times New Roman" w:hint="eastAsia"/>
          <w:bCs/>
          <w:szCs w:val="21"/>
        </w:rPr>
        <w:t>机构投资者绿色关注与企业碳排放的</w:t>
      </w:r>
      <w:r w:rsidR="00AB1ED3" w:rsidRPr="00C702D7">
        <w:rPr>
          <w:rFonts w:ascii="黑体" w:eastAsia="黑体" w:hAnsi="黑体" w:cs="Times New Roman" w:hint="eastAsia"/>
          <w:bCs/>
          <w:szCs w:val="21"/>
        </w:rPr>
        <w:t>基准</w:t>
      </w:r>
      <w:r w:rsidRPr="00C702D7">
        <w:rPr>
          <w:rFonts w:ascii="黑体" w:eastAsia="黑体" w:hAnsi="黑体" w:cs="Times New Roman" w:hint="eastAsia"/>
          <w:bCs/>
          <w:szCs w:val="21"/>
        </w:rPr>
        <w:t>回归结果</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1134"/>
        <w:gridCol w:w="1134"/>
        <w:gridCol w:w="1134"/>
        <w:gridCol w:w="993"/>
        <w:gridCol w:w="1076"/>
      </w:tblGrid>
      <w:tr w:rsidR="00C702D7" w:rsidRPr="00C702D7" w14:paraId="53B387BE" w14:textId="77777777" w:rsidTr="00B718EA">
        <w:trPr>
          <w:trHeight w:val="280"/>
          <w:jc w:val="center"/>
        </w:trPr>
        <w:tc>
          <w:tcPr>
            <w:tcW w:w="1701" w:type="dxa"/>
            <w:vMerge w:val="restart"/>
            <w:tcBorders>
              <w:top w:val="single" w:sz="12" w:space="0" w:color="auto"/>
              <w:right w:val="nil"/>
            </w:tcBorders>
            <w:shd w:val="clear" w:color="auto" w:fill="auto"/>
            <w:noWrap/>
            <w:vAlign w:val="center"/>
            <w:hideMark/>
          </w:tcPr>
          <w:p w14:paraId="3F8A1259" w14:textId="77777777" w:rsidR="00D457FC" w:rsidRPr="00C702D7" w:rsidRDefault="00D457FC" w:rsidP="00B718EA">
            <w:pPr>
              <w:spacing w:line="240" w:lineRule="auto"/>
              <w:ind w:firstLineChars="0" w:firstLine="0"/>
              <w:jc w:val="center"/>
              <w:rPr>
                <w:rFonts w:cs="Times New Roman"/>
                <w:kern w:val="0"/>
                <w:sz w:val="18"/>
                <w:szCs w:val="18"/>
              </w:rPr>
            </w:pPr>
            <w:r w:rsidRPr="00C702D7">
              <w:rPr>
                <w:rFonts w:cs="Times New Roman"/>
                <w:kern w:val="0"/>
                <w:sz w:val="18"/>
                <w:szCs w:val="18"/>
              </w:rPr>
              <w:t>变量</w:t>
            </w:r>
          </w:p>
        </w:tc>
        <w:tc>
          <w:tcPr>
            <w:tcW w:w="1134" w:type="dxa"/>
            <w:tcBorders>
              <w:top w:val="single" w:sz="12" w:space="0" w:color="auto"/>
              <w:left w:val="nil"/>
              <w:right w:val="nil"/>
            </w:tcBorders>
            <w:vAlign w:val="center"/>
          </w:tcPr>
          <w:p w14:paraId="2EEEA378" w14:textId="77777777" w:rsidR="00D457FC" w:rsidRPr="00C702D7" w:rsidRDefault="00D457FC" w:rsidP="00B718EA">
            <w:pPr>
              <w:widowControl/>
              <w:spacing w:line="240" w:lineRule="auto"/>
              <w:ind w:firstLineChars="0" w:firstLine="0"/>
              <w:jc w:val="center"/>
              <w:rPr>
                <w:rFonts w:cs="Times New Roman"/>
                <w:kern w:val="0"/>
                <w:sz w:val="18"/>
                <w:szCs w:val="18"/>
              </w:rPr>
            </w:pPr>
            <w:r w:rsidRPr="00C702D7">
              <w:rPr>
                <w:rFonts w:cs="Times New Roman" w:hint="eastAsia"/>
                <w:kern w:val="0"/>
                <w:sz w:val="18"/>
                <w:szCs w:val="18"/>
              </w:rPr>
              <w:t>(</w:t>
            </w:r>
            <w:r w:rsidRPr="00C702D7">
              <w:rPr>
                <w:rFonts w:cs="Times New Roman"/>
                <w:kern w:val="0"/>
                <w:sz w:val="18"/>
                <w:szCs w:val="18"/>
              </w:rPr>
              <w:t>1)</w:t>
            </w:r>
          </w:p>
        </w:tc>
        <w:tc>
          <w:tcPr>
            <w:tcW w:w="1134" w:type="dxa"/>
            <w:tcBorders>
              <w:top w:val="single" w:sz="12" w:space="0" w:color="auto"/>
              <w:left w:val="nil"/>
              <w:right w:val="nil"/>
            </w:tcBorders>
            <w:vAlign w:val="center"/>
          </w:tcPr>
          <w:p w14:paraId="140202D8" w14:textId="77777777" w:rsidR="00D457FC" w:rsidRPr="00C702D7" w:rsidRDefault="00D457FC" w:rsidP="00B718EA">
            <w:pPr>
              <w:widowControl/>
              <w:spacing w:line="240" w:lineRule="auto"/>
              <w:ind w:firstLineChars="0" w:firstLine="0"/>
              <w:jc w:val="center"/>
              <w:rPr>
                <w:rFonts w:cs="Times New Roman"/>
                <w:kern w:val="0"/>
                <w:sz w:val="18"/>
                <w:szCs w:val="18"/>
              </w:rPr>
            </w:pPr>
            <w:r w:rsidRPr="00C702D7">
              <w:rPr>
                <w:rFonts w:cs="Times New Roman" w:hint="eastAsia"/>
                <w:kern w:val="0"/>
                <w:sz w:val="18"/>
                <w:szCs w:val="18"/>
              </w:rPr>
              <w:t>(</w:t>
            </w:r>
            <w:r w:rsidRPr="00C702D7">
              <w:rPr>
                <w:rFonts w:cs="Times New Roman"/>
                <w:kern w:val="0"/>
                <w:sz w:val="18"/>
                <w:szCs w:val="18"/>
              </w:rPr>
              <w:t>2)</w:t>
            </w:r>
          </w:p>
        </w:tc>
        <w:tc>
          <w:tcPr>
            <w:tcW w:w="1134" w:type="dxa"/>
            <w:tcBorders>
              <w:top w:val="single" w:sz="12" w:space="0" w:color="auto"/>
              <w:left w:val="nil"/>
              <w:right w:val="nil"/>
            </w:tcBorders>
            <w:vAlign w:val="center"/>
          </w:tcPr>
          <w:p w14:paraId="2C33E08D" w14:textId="77777777" w:rsidR="00D457FC" w:rsidRPr="00C702D7" w:rsidRDefault="00D457FC" w:rsidP="00B718EA">
            <w:pPr>
              <w:widowControl/>
              <w:spacing w:line="240" w:lineRule="auto"/>
              <w:ind w:firstLineChars="0" w:firstLine="0"/>
              <w:jc w:val="center"/>
              <w:rPr>
                <w:rFonts w:cs="Times New Roman"/>
                <w:kern w:val="0"/>
                <w:sz w:val="18"/>
                <w:szCs w:val="18"/>
              </w:rPr>
            </w:pPr>
            <w:r w:rsidRPr="00C702D7">
              <w:rPr>
                <w:rFonts w:cs="Times New Roman" w:hint="eastAsia"/>
                <w:kern w:val="0"/>
                <w:sz w:val="18"/>
                <w:szCs w:val="18"/>
              </w:rPr>
              <w:t>(</w:t>
            </w:r>
            <w:r w:rsidRPr="00C702D7">
              <w:rPr>
                <w:rFonts w:cs="Times New Roman"/>
                <w:kern w:val="0"/>
                <w:sz w:val="18"/>
                <w:szCs w:val="18"/>
              </w:rPr>
              <w:t>3)</w:t>
            </w:r>
          </w:p>
        </w:tc>
        <w:tc>
          <w:tcPr>
            <w:tcW w:w="1134" w:type="dxa"/>
            <w:tcBorders>
              <w:top w:val="single" w:sz="12" w:space="0" w:color="auto"/>
              <w:left w:val="nil"/>
              <w:right w:val="nil"/>
            </w:tcBorders>
            <w:vAlign w:val="center"/>
          </w:tcPr>
          <w:p w14:paraId="5D3A5105" w14:textId="77777777" w:rsidR="00D457FC" w:rsidRPr="00C702D7" w:rsidRDefault="00D457FC" w:rsidP="00B718EA">
            <w:pPr>
              <w:widowControl/>
              <w:spacing w:line="240" w:lineRule="auto"/>
              <w:ind w:firstLineChars="0" w:firstLine="0"/>
              <w:jc w:val="center"/>
              <w:rPr>
                <w:rFonts w:cs="Times New Roman"/>
                <w:kern w:val="0"/>
                <w:sz w:val="18"/>
                <w:szCs w:val="18"/>
              </w:rPr>
            </w:pPr>
            <w:r w:rsidRPr="00C702D7">
              <w:rPr>
                <w:rFonts w:cs="Times New Roman" w:hint="eastAsia"/>
                <w:kern w:val="0"/>
                <w:sz w:val="18"/>
                <w:szCs w:val="18"/>
              </w:rPr>
              <w:t>(</w:t>
            </w:r>
            <w:r w:rsidRPr="00C702D7">
              <w:rPr>
                <w:rFonts w:cs="Times New Roman"/>
                <w:kern w:val="0"/>
                <w:sz w:val="18"/>
                <w:szCs w:val="18"/>
              </w:rPr>
              <w:t>4)</w:t>
            </w:r>
          </w:p>
        </w:tc>
        <w:tc>
          <w:tcPr>
            <w:tcW w:w="993" w:type="dxa"/>
            <w:tcBorders>
              <w:top w:val="single" w:sz="12" w:space="0" w:color="auto"/>
              <w:left w:val="nil"/>
              <w:bottom w:val="single" w:sz="4" w:space="0" w:color="auto"/>
              <w:right w:val="nil"/>
            </w:tcBorders>
            <w:vAlign w:val="center"/>
          </w:tcPr>
          <w:p w14:paraId="214317D1" w14:textId="77777777" w:rsidR="00D457FC" w:rsidRPr="00C702D7" w:rsidRDefault="00D457FC" w:rsidP="00B718EA">
            <w:pPr>
              <w:widowControl/>
              <w:spacing w:line="240" w:lineRule="auto"/>
              <w:ind w:firstLineChars="0" w:firstLine="0"/>
              <w:jc w:val="center"/>
              <w:rPr>
                <w:rFonts w:cs="Times New Roman"/>
                <w:kern w:val="0"/>
                <w:sz w:val="18"/>
                <w:szCs w:val="18"/>
              </w:rPr>
            </w:pPr>
            <w:r w:rsidRPr="00C702D7">
              <w:rPr>
                <w:rFonts w:cs="Times New Roman" w:hint="eastAsia"/>
                <w:kern w:val="0"/>
                <w:sz w:val="18"/>
                <w:szCs w:val="18"/>
              </w:rPr>
              <w:t>(</w:t>
            </w:r>
            <w:r w:rsidRPr="00C702D7">
              <w:rPr>
                <w:rFonts w:cs="Times New Roman"/>
                <w:kern w:val="0"/>
                <w:sz w:val="18"/>
                <w:szCs w:val="18"/>
              </w:rPr>
              <w:t>5)</w:t>
            </w:r>
          </w:p>
        </w:tc>
        <w:tc>
          <w:tcPr>
            <w:tcW w:w="1076" w:type="dxa"/>
            <w:tcBorders>
              <w:top w:val="single" w:sz="12" w:space="0" w:color="auto"/>
              <w:left w:val="nil"/>
              <w:bottom w:val="single" w:sz="4" w:space="0" w:color="auto"/>
              <w:right w:val="nil"/>
            </w:tcBorders>
            <w:vAlign w:val="center"/>
          </w:tcPr>
          <w:p w14:paraId="25F56F17" w14:textId="77777777" w:rsidR="00D457FC" w:rsidRPr="00C702D7" w:rsidRDefault="00D457FC" w:rsidP="00B718EA">
            <w:pPr>
              <w:widowControl/>
              <w:spacing w:line="240" w:lineRule="auto"/>
              <w:ind w:firstLineChars="0" w:firstLine="0"/>
              <w:jc w:val="center"/>
              <w:rPr>
                <w:rFonts w:cs="Times New Roman"/>
                <w:kern w:val="0"/>
                <w:sz w:val="18"/>
                <w:szCs w:val="18"/>
              </w:rPr>
            </w:pPr>
            <w:r w:rsidRPr="00C702D7">
              <w:rPr>
                <w:rFonts w:cs="Times New Roman" w:hint="eastAsia"/>
                <w:kern w:val="0"/>
                <w:sz w:val="18"/>
                <w:szCs w:val="18"/>
              </w:rPr>
              <w:t>(</w:t>
            </w:r>
            <w:r w:rsidRPr="00C702D7">
              <w:rPr>
                <w:rFonts w:cs="Times New Roman"/>
                <w:kern w:val="0"/>
                <w:sz w:val="18"/>
                <w:szCs w:val="18"/>
              </w:rPr>
              <w:t>6)</w:t>
            </w:r>
          </w:p>
        </w:tc>
      </w:tr>
      <w:tr w:rsidR="00C702D7" w:rsidRPr="00C702D7" w14:paraId="3D211C26" w14:textId="77777777" w:rsidTr="00B718EA">
        <w:trPr>
          <w:trHeight w:val="280"/>
          <w:jc w:val="center"/>
        </w:trPr>
        <w:tc>
          <w:tcPr>
            <w:tcW w:w="1701" w:type="dxa"/>
            <w:vMerge/>
            <w:tcBorders>
              <w:bottom w:val="single" w:sz="4" w:space="0" w:color="auto"/>
              <w:right w:val="nil"/>
            </w:tcBorders>
            <w:shd w:val="clear" w:color="auto" w:fill="auto"/>
            <w:noWrap/>
            <w:vAlign w:val="center"/>
            <w:hideMark/>
          </w:tcPr>
          <w:p w14:paraId="296B5B51" w14:textId="77777777" w:rsidR="00D457FC" w:rsidRPr="00C702D7" w:rsidRDefault="00D457FC" w:rsidP="00B718EA">
            <w:pPr>
              <w:widowControl/>
              <w:spacing w:line="240" w:lineRule="auto"/>
              <w:ind w:firstLineChars="0" w:firstLine="0"/>
              <w:jc w:val="center"/>
              <w:rPr>
                <w:rFonts w:cs="Times New Roman"/>
                <w:kern w:val="0"/>
                <w:sz w:val="18"/>
                <w:szCs w:val="18"/>
              </w:rPr>
            </w:pPr>
          </w:p>
        </w:tc>
        <w:tc>
          <w:tcPr>
            <w:tcW w:w="1134" w:type="dxa"/>
            <w:tcBorders>
              <w:left w:val="nil"/>
              <w:bottom w:val="single" w:sz="4" w:space="0" w:color="auto"/>
              <w:right w:val="nil"/>
            </w:tcBorders>
            <w:vAlign w:val="center"/>
          </w:tcPr>
          <w:p w14:paraId="169AFD5B" w14:textId="77777777" w:rsidR="00D457FC" w:rsidRPr="00C702D7" w:rsidRDefault="00D457FC" w:rsidP="00B718EA">
            <w:pPr>
              <w:widowControl/>
              <w:spacing w:line="240" w:lineRule="auto"/>
              <w:ind w:firstLineChars="0" w:firstLine="0"/>
              <w:jc w:val="center"/>
              <w:rPr>
                <w:i/>
                <w:iCs/>
                <w:sz w:val="18"/>
                <w:szCs w:val="18"/>
              </w:rPr>
            </w:pPr>
            <w:proofErr w:type="spellStart"/>
            <w:r w:rsidRPr="00C702D7">
              <w:rPr>
                <w:i/>
                <w:iCs/>
                <w:sz w:val="18"/>
                <w:szCs w:val="18"/>
              </w:rPr>
              <w:t>Cmiss_total</w:t>
            </w:r>
            <w:proofErr w:type="spellEnd"/>
          </w:p>
        </w:tc>
        <w:tc>
          <w:tcPr>
            <w:tcW w:w="1134" w:type="dxa"/>
            <w:tcBorders>
              <w:left w:val="nil"/>
              <w:bottom w:val="single" w:sz="4" w:space="0" w:color="auto"/>
              <w:right w:val="nil"/>
            </w:tcBorders>
            <w:vAlign w:val="center"/>
          </w:tcPr>
          <w:p w14:paraId="52F6581C" w14:textId="77777777" w:rsidR="00D457FC" w:rsidRPr="00C702D7" w:rsidRDefault="00D457FC" w:rsidP="00B718EA">
            <w:pPr>
              <w:widowControl/>
              <w:spacing w:line="240" w:lineRule="auto"/>
              <w:ind w:firstLineChars="0" w:firstLine="0"/>
              <w:jc w:val="center"/>
              <w:rPr>
                <w:rFonts w:cs="Times New Roman"/>
                <w:kern w:val="0"/>
                <w:sz w:val="18"/>
                <w:szCs w:val="18"/>
              </w:rPr>
            </w:pPr>
            <w:proofErr w:type="spellStart"/>
            <w:r w:rsidRPr="00C702D7">
              <w:rPr>
                <w:i/>
                <w:iCs/>
                <w:sz w:val="18"/>
                <w:szCs w:val="18"/>
              </w:rPr>
              <w:t>Cmiss_total</w:t>
            </w:r>
            <w:proofErr w:type="spellEnd"/>
          </w:p>
        </w:tc>
        <w:tc>
          <w:tcPr>
            <w:tcW w:w="1134" w:type="dxa"/>
            <w:tcBorders>
              <w:left w:val="nil"/>
              <w:bottom w:val="single" w:sz="4" w:space="0" w:color="auto"/>
              <w:right w:val="nil"/>
            </w:tcBorders>
            <w:vAlign w:val="center"/>
          </w:tcPr>
          <w:p w14:paraId="4F9F1206" w14:textId="77777777" w:rsidR="00D457FC" w:rsidRPr="00C702D7" w:rsidRDefault="00D457FC" w:rsidP="00B718EA">
            <w:pPr>
              <w:widowControl/>
              <w:spacing w:line="240" w:lineRule="auto"/>
              <w:ind w:firstLineChars="0" w:firstLine="0"/>
              <w:jc w:val="center"/>
              <w:rPr>
                <w:rFonts w:eastAsia="等线" w:cs="Times New Roman"/>
                <w:i/>
                <w:iCs/>
                <w:sz w:val="18"/>
                <w:szCs w:val="18"/>
              </w:rPr>
            </w:pPr>
            <w:proofErr w:type="spellStart"/>
            <w:r w:rsidRPr="00C702D7">
              <w:rPr>
                <w:rFonts w:eastAsia="等线" w:cs="Times New Roman"/>
                <w:i/>
                <w:iCs/>
                <w:sz w:val="18"/>
                <w:szCs w:val="18"/>
              </w:rPr>
              <w:t>Cmiss_total</w:t>
            </w:r>
            <w:proofErr w:type="spellEnd"/>
          </w:p>
        </w:tc>
        <w:tc>
          <w:tcPr>
            <w:tcW w:w="1134" w:type="dxa"/>
            <w:tcBorders>
              <w:left w:val="nil"/>
              <w:bottom w:val="single" w:sz="4" w:space="0" w:color="auto"/>
              <w:right w:val="nil"/>
            </w:tcBorders>
            <w:vAlign w:val="center"/>
          </w:tcPr>
          <w:p w14:paraId="24834094" w14:textId="77777777" w:rsidR="00D457FC" w:rsidRPr="00C702D7" w:rsidRDefault="00D457FC" w:rsidP="00B718EA">
            <w:pPr>
              <w:widowControl/>
              <w:spacing w:line="240" w:lineRule="auto"/>
              <w:ind w:firstLineChars="0" w:firstLine="0"/>
              <w:jc w:val="center"/>
              <w:rPr>
                <w:i/>
                <w:iCs/>
                <w:sz w:val="18"/>
                <w:szCs w:val="18"/>
              </w:rPr>
            </w:pPr>
            <w:proofErr w:type="spellStart"/>
            <w:r w:rsidRPr="00C702D7">
              <w:rPr>
                <w:i/>
                <w:iCs/>
                <w:sz w:val="18"/>
                <w:szCs w:val="18"/>
              </w:rPr>
              <w:t>dCmiss</w:t>
            </w:r>
            <w:proofErr w:type="spellEnd"/>
          </w:p>
        </w:tc>
        <w:tc>
          <w:tcPr>
            <w:tcW w:w="993" w:type="dxa"/>
            <w:tcBorders>
              <w:left w:val="nil"/>
              <w:bottom w:val="single" w:sz="4" w:space="0" w:color="auto"/>
              <w:right w:val="nil"/>
            </w:tcBorders>
            <w:vAlign w:val="center"/>
          </w:tcPr>
          <w:p w14:paraId="5A5143C8" w14:textId="77777777" w:rsidR="00D457FC" w:rsidRPr="00C702D7" w:rsidRDefault="00D457FC" w:rsidP="00B718EA">
            <w:pPr>
              <w:widowControl/>
              <w:spacing w:line="240" w:lineRule="auto"/>
              <w:ind w:firstLineChars="0" w:firstLine="0"/>
              <w:jc w:val="center"/>
              <w:rPr>
                <w:rFonts w:cs="Times New Roman"/>
                <w:i/>
                <w:iCs/>
                <w:kern w:val="0"/>
                <w:sz w:val="18"/>
                <w:szCs w:val="18"/>
              </w:rPr>
            </w:pPr>
            <w:proofErr w:type="spellStart"/>
            <w:r w:rsidRPr="00C702D7">
              <w:rPr>
                <w:i/>
                <w:iCs/>
                <w:sz w:val="18"/>
                <w:szCs w:val="18"/>
              </w:rPr>
              <w:t>dCmiss</w:t>
            </w:r>
            <w:proofErr w:type="spellEnd"/>
          </w:p>
        </w:tc>
        <w:tc>
          <w:tcPr>
            <w:tcW w:w="1076" w:type="dxa"/>
            <w:tcBorders>
              <w:left w:val="nil"/>
              <w:bottom w:val="single" w:sz="4" w:space="0" w:color="auto"/>
              <w:right w:val="nil"/>
            </w:tcBorders>
            <w:vAlign w:val="center"/>
          </w:tcPr>
          <w:p w14:paraId="7AA23D93" w14:textId="77777777" w:rsidR="00D457FC" w:rsidRPr="00C702D7" w:rsidRDefault="00D457FC" w:rsidP="00B718EA">
            <w:pPr>
              <w:widowControl/>
              <w:spacing w:line="240" w:lineRule="auto"/>
              <w:ind w:firstLineChars="0" w:firstLine="0"/>
              <w:jc w:val="center"/>
              <w:rPr>
                <w:i/>
                <w:iCs/>
                <w:sz w:val="18"/>
                <w:szCs w:val="18"/>
              </w:rPr>
            </w:pPr>
            <w:proofErr w:type="spellStart"/>
            <w:r w:rsidRPr="00C702D7">
              <w:rPr>
                <w:i/>
                <w:iCs/>
                <w:sz w:val="18"/>
                <w:szCs w:val="18"/>
              </w:rPr>
              <w:t>dCmiss</w:t>
            </w:r>
            <w:proofErr w:type="spellEnd"/>
          </w:p>
        </w:tc>
      </w:tr>
      <w:tr w:rsidR="00C702D7" w:rsidRPr="00C702D7" w14:paraId="26DE68F2" w14:textId="77777777" w:rsidTr="00B718EA">
        <w:trPr>
          <w:trHeight w:val="280"/>
          <w:jc w:val="center"/>
        </w:trPr>
        <w:tc>
          <w:tcPr>
            <w:tcW w:w="1701" w:type="dxa"/>
            <w:vMerge w:val="restart"/>
            <w:tcBorders>
              <w:top w:val="nil"/>
              <w:right w:val="nil"/>
            </w:tcBorders>
            <w:shd w:val="clear" w:color="auto" w:fill="auto"/>
            <w:noWrap/>
            <w:vAlign w:val="center"/>
          </w:tcPr>
          <w:p w14:paraId="3A41BF70" w14:textId="77777777" w:rsidR="00D457FC" w:rsidRPr="00C702D7" w:rsidRDefault="00D457FC" w:rsidP="00B718EA">
            <w:pPr>
              <w:widowControl/>
              <w:spacing w:line="240" w:lineRule="auto"/>
              <w:ind w:firstLineChars="0" w:firstLine="0"/>
              <w:jc w:val="center"/>
              <w:rPr>
                <w:rFonts w:cs="Times New Roman"/>
                <w:i/>
                <w:iCs/>
                <w:kern w:val="0"/>
                <w:sz w:val="18"/>
                <w:szCs w:val="18"/>
              </w:rPr>
            </w:pPr>
            <w:r w:rsidRPr="00C702D7">
              <w:rPr>
                <w:rFonts w:cs="Times New Roman" w:hint="eastAsia"/>
                <w:i/>
                <w:iCs/>
                <w:kern w:val="0"/>
                <w:sz w:val="18"/>
                <w:szCs w:val="18"/>
              </w:rPr>
              <w:t>G</w:t>
            </w:r>
            <w:r w:rsidRPr="00C702D7">
              <w:rPr>
                <w:rFonts w:cs="Times New Roman"/>
                <w:i/>
                <w:iCs/>
                <w:kern w:val="0"/>
                <w:sz w:val="18"/>
                <w:szCs w:val="18"/>
              </w:rPr>
              <w:t>atten</w:t>
            </w:r>
          </w:p>
        </w:tc>
        <w:tc>
          <w:tcPr>
            <w:tcW w:w="1134" w:type="dxa"/>
            <w:tcBorders>
              <w:top w:val="nil"/>
              <w:left w:val="nil"/>
              <w:bottom w:val="nil"/>
              <w:right w:val="nil"/>
            </w:tcBorders>
            <w:vAlign w:val="center"/>
          </w:tcPr>
          <w:p w14:paraId="0759F92B"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-0.0031</w:t>
            </w:r>
            <w:r w:rsidRPr="00C702D7">
              <w:rPr>
                <w:rFonts w:eastAsia="等线" w:cs="Times New Roman" w:hint="eastAsia"/>
                <w:sz w:val="18"/>
                <w:szCs w:val="18"/>
                <w:vertAlign w:val="superscript"/>
              </w:rPr>
              <w:t>***</w:t>
            </w:r>
          </w:p>
        </w:tc>
        <w:tc>
          <w:tcPr>
            <w:tcW w:w="1134" w:type="dxa"/>
            <w:tcBorders>
              <w:top w:val="nil"/>
              <w:left w:val="nil"/>
              <w:bottom w:val="nil"/>
              <w:right w:val="nil"/>
            </w:tcBorders>
            <w:vAlign w:val="center"/>
          </w:tcPr>
          <w:p w14:paraId="21B8930E"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-0.0065</w:t>
            </w:r>
            <w:r w:rsidRPr="00C702D7">
              <w:rPr>
                <w:rFonts w:eastAsia="等线" w:cs="Times New Roman"/>
                <w:sz w:val="18"/>
                <w:szCs w:val="18"/>
                <w:vertAlign w:val="superscript"/>
              </w:rPr>
              <w:t>***</w:t>
            </w:r>
          </w:p>
        </w:tc>
        <w:tc>
          <w:tcPr>
            <w:tcW w:w="1134" w:type="dxa"/>
            <w:tcBorders>
              <w:top w:val="nil"/>
              <w:left w:val="nil"/>
              <w:bottom w:val="nil"/>
              <w:right w:val="nil"/>
            </w:tcBorders>
            <w:vAlign w:val="center"/>
          </w:tcPr>
          <w:p w14:paraId="40EE4EE9"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-0.0041</w:t>
            </w:r>
            <w:r w:rsidRPr="00C702D7">
              <w:rPr>
                <w:rFonts w:eastAsia="等线" w:cs="Times New Roman" w:hint="eastAsia"/>
                <w:sz w:val="18"/>
                <w:szCs w:val="18"/>
                <w:vertAlign w:val="superscript"/>
              </w:rPr>
              <w:t>***</w:t>
            </w:r>
          </w:p>
        </w:tc>
        <w:tc>
          <w:tcPr>
            <w:tcW w:w="1134" w:type="dxa"/>
            <w:tcBorders>
              <w:top w:val="nil"/>
              <w:left w:val="nil"/>
              <w:bottom w:val="nil"/>
              <w:right w:val="nil"/>
            </w:tcBorders>
            <w:vAlign w:val="center"/>
          </w:tcPr>
          <w:p w14:paraId="11561DC9"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-0.0007</w:t>
            </w:r>
            <w:r w:rsidRPr="00C702D7">
              <w:rPr>
                <w:rFonts w:eastAsia="等线" w:cs="Times New Roman" w:hint="eastAsia"/>
                <w:sz w:val="18"/>
                <w:szCs w:val="18"/>
                <w:vertAlign w:val="superscript"/>
              </w:rPr>
              <w:t>**</w:t>
            </w:r>
          </w:p>
        </w:tc>
        <w:tc>
          <w:tcPr>
            <w:tcW w:w="993" w:type="dxa"/>
            <w:tcBorders>
              <w:top w:val="nil"/>
              <w:left w:val="nil"/>
              <w:bottom w:val="nil"/>
              <w:right w:val="nil"/>
            </w:tcBorders>
            <w:shd w:val="clear" w:color="auto" w:fill="auto"/>
            <w:noWrap/>
            <w:vAlign w:val="center"/>
          </w:tcPr>
          <w:p w14:paraId="2FC15308"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-0.0027</w:t>
            </w:r>
            <w:r w:rsidRPr="00C702D7">
              <w:rPr>
                <w:rFonts w:eastAsia="等线" w:cs="Times New Roman"/>
                <w:sz w:val="18"/>
                <w:szCs w:val="18"/>
                <w:vertAlign w:val="superscript"/>
              </w:rPr>
              <w:t>**</w:t>
            </w:r>
          </w:p>
        </w:tc>
        <w:tc>
          <w:tcPr>
            <w:tcW w:w="1076" w:type="dxa"/>
            <w:tcBorders>
              <w:top w:val="nil"/>
              <w:left w:val="nil"/>
              <w:bottom w:val="nil"/>
              <w:right w:val="nil"/>
            </w:tcBorders>
            <w:vAlign w:val="center"/>
          </w:tcPr>
          <w:p w14:paraId="269B176D"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-0.0029</w:t>
            </w:r>
            <w:r w:rsidRPr="00C702D7">
              <w:rPr>
                <w:rFonts w:eastAsia="等线" w:cs="Times New Roman" w:hint="eastAsia"/>
                <w:sz w:val="18"/>
                <w:szCs w:val="18"/>
                <w:vertAlign w:val="superscript"/>
              </w:rPr>
              <w:t>***</w:t>
            </w:r>
          </w:p>
        </w:tc>
      </w:tr>
      <w:tr w:rsidR="00C702D7" w:rsidRPr="00C702D7" w14:paraId="4B89153B" w14:textId="77777777" w:rsidTr="00B718EA">
        <w:trPr>
          <w:trHeight w:val="280"/>
          <w:jc w:val="center"/>
        </w:trPr>
        <w:tc>
          <w:tcPr>
            <w:tcW w:w="1701" w:type="dxa"/>
            <w:vMerge/>
            <w:tcBorders>
              <w:bottom w:val="nil"/>
              <w:right w:val="nil"/>
            </w:tcBorders>
            <w:shd w:val="clear" w:color="auto" w:fill="auto"/>
            <w:noWrap/>
            <w:vAlign w:val="center"/>
          </w:tcPr>
          <w:p w14:paraId="3D6CD62B" w14:textId="77777777" w:rsidR="00D457FC" w:rsidRPr="00C702D7" w:rsidRDefault="00D457FC" w:rsidP="00B718EA">
            <w:pPr>
              <w:widowControl/>
              <w:spacing w:line="240" w:lineRule="auto"/>
              <w:ind w:firstLineChars="0" w:firstLine="0"/>
              <w:jc w:val="center"/>
              <w:rPr>
                <w:rFonts w:cs="Times New Roman"/>
                <w:i/>
                <w:iCs/>
                <w:kern w:val="0"/>
                <w:sz w:val="18"/>
                <w:szCs w:val="18"/>
              </w:rPr>
            </w:pPr>
          </w:p>
        </w:tc>
        <w:tc>
          <w:tcPr>
            <w:tcW w:w="1134" w:type="dxa"/>
            <w:tcBorders>
              <w:top w:val="nil"/>
              <w:left w:val="nil"/>
              <w:bottom w:val="nil"/>
              <w:right w:val="nil"/>
            </w:tcBorders>
            <w:vAlign w:val="center"/>
          </w:tcPr>
          <w:p w14:paraId="136109B0"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(-4.8619)</w:t>
            </w:r>
          </w:p>
        </w:tc>
        <w:tc>
          <w:tcPr>
            <w:tcW w:w="1134" w:type="dxa"/>
            <w:tcBorders>
              <w:top w:val="nil"/>
              <w:left w:val="nil"/>
              <w:bottom w:val="nil"/>
              <w:right w:val="nil"/>
            </w:tcBorders>
            <w:vAlign w:val="center"/>
          </w:tcPr>
          <w:p w14:paraId="0CBD6528"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(-3.9051)</w:t>
            </w:r>
          </w:p>
        </w:tc>
        <w:tc>
          <w:tcPr>
            <w:tcW w:w="1134" w:type="dxa"/>
            <w:tcBorders>
              <w:top w:val="nil"/>
              <w:left w:val="nil"/>
              <w:bottom w:val="nil"/>
              <w:right w:val="nil"/>
            </w:tcBorders>
            <w:vAlign w:val="center"/>
          </w:tcPr>
          <w:p w14:paraId="58DE5631"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(-4.0626)</w:t>
            </w:r>
          </w:p>
        </w:tc>
        <w:tc>
          <w:tcPr>
            <w:tcW w:w="1134" w:type="dxa"/>
            <w:tcBorders>
              <w:top w:val="nil"/>
              <w:left w:val="nil"/>
              <w:bottom w:val="nil"/>
              <w:right w:val="nil"/>
            </w:tcBorders>
            <w:vAlign w:val="center"/>
          </w:tcPr>
          <w:p w14:paraId="649D8B83"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(-2.7204)</w:t>
            </w:r>
          </w:p>
        </w:tc>
        <w:tc>
          <w:tcPr>
            <w:tcW w:w="993" w:type="dxa"/>
            <w:tcBorders>
              <w:top w:val="nil"/>
              <w:left w:val="nil"/>
              <w:bottom w:val="nil"/>
              <w:right w:val="nil"/>
            </w:tcBorders>
            <w:shd w:val="clear" w:color="auto" w:fill="auto"/>
            <w:noWrap/>
            <w:vAlign w:val="center"/>
          </w:tcPr>
          <w:p w14:paraId="0AFE0825"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(-2.3185)</w:t>
            </w:r>
          </w:p>
        </w:tc>
        <w:tc>
          <w:tcPr>
            <w:tcW w:w="1076" w:type="dxa"/>
            <w:tcBorders>
              <w:top w:val="nil"/>
              <w:left w:val="nil"/>
              <w:bottom w:val="nil"/>
              <w:right w:val="nil"/>
            </w:tcBorders>
            <w:vAlign w:val="center"/>
          </w:tcPr>
          <w:p w14:paraId="4E8B27F7"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(-3.5910)</w:t>
            </w:r>
          </w:p>
        </w:tc>
      </w:tr>
      <w:tr w:rsidR="00C702D7" w:rsidRPr="00C702D7" w14:paraId="4C8A0C27" w14:textId="77777777" w:rsidTr="00B718EA">
        <w:trPr>
          <w:trHeight w:val="280"/>
          <w:jc w:val="center"/>
        </w:trPr>
        <w:tc>
          <w:tcPr>
            <w:tcW w:w="1701" w:type="dxa"/>
            <w:vMerge w:val="restart"/>
            <w:tcBorders>
              <w:top w:val="nil"/>
              <w:right w:val="nil"/>
            </w:tcBorders>
            <w:shd w:val="clear" w:color="auto" w:fill="auto"/>
            <w:noWrap/>
            <w:vAlign w:val="center"/>
            <w:hideMark/>
          </w:tcPr>
          <w:p w14:paraId="650064DA" w14:textId="77777777" w:rsidR="00D457FC" w:rsidRPr="00C702D7" w:rsidRDefault="00D457FC" w:rsidP="00B718EA">
            <w:pPr>
              <w:widowControl/>
              <w:spacing w:line="240" w:lineRule="auto"/>
              <w:ind w:firstLineChars="0" w:firstLine="0"/>
              <w:jc w:val="center"/>
              <w:rPr>
                <w:rFonts w:cs="Times New Roman"/>
                <w:i/>
                <w:iCs/>
                <w:kern w:val="0"/>
                <w:sz w:val="18"/>
                <w:szCs w:val="18"/>
              </w:rPr>
            </w:pPr>
            <w:r w:rsidRPr="00C702D7">
              <w:rPr>
                <w:rFonts w:cs="Times New Roman"/>
                <w:i/>
                <w:iCs/>
                <w:kern w:val="0"/>
                <w:sz w:val="18"/>
                <w:szCs w:val="18"/>
              </w:rPr>
              <w:t>Size</w:t>
            </w:r>
          </w:p>
        </w:tc>
        <w:tc>
          <w:tcPr>
            <w:tcW w:w="1134" w:type="dxa"/>
            <w:tcBorders>
              <w:top w:val="nil"/>
              <w:left w:val="nil"/>
              <w:bottom w:val="nil"/>
              <w:right w:val="nil"/>
            </w:tcBorders>
            <w:vAlign w:val="center"/>
          </w:tcPr>
          <w:p w14:paraId="5B29F907"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1134" w:type="dxa"/>
            <w:tcBorders>
              <w:top w:val="nil"/>
              <w:left w:val="nil"/>
              <w:bottom w:val="nil"/>
              <w:right w:val="nil"/>
            </w:tcBorders>
            <w:vAlign w:val="center"/>
          </w:tcPr>
          <w:p w14:paraId="744368B7"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0.0015</w:t>
            </w:r>
            <w:r w:rsidRPr="00C702D7">
              <w:rPr>
                <w:rFonts w:eastAsia="等线" w:cs="Times New Roman"/>
                <w:sz w:val="18"/>
                <w:szCs w:val="18"/>
                <w:vertAlign w:val="superscript"/>
              </w:rPr>
              <w:t>***</w:t>
            </w:r>
          </w:p>
        </w:tc>
        <w:tc>
          <w:tcPr>
            <w:tcW w:w="1134" w:type="dxa"/>
            <w:tcBorders>
              <w:top w:val="nil"/>
              <w:left w:val="nil"/>
              <w:bottom w:val="nil"/>
              <w:right w:val="nil"/>
            </w:tcBorders>
            <w:vAlign w:val="center"/>
          </w:tcPr>
          <w:p w14:paraId="59153941"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0.0015</w:t>
            </w:r>
            <w:r w:rsidRPr="00C702D7">
              <w:rPr>
                <w:rFonts w:eastAsia="等线" w:cs="Times New Roman" w:hint="eastAsia"/>
                <w:sz w:val="18"/>
                <w:szCs w:val="18"/>
                <w:vertAlign w:val="superscript"/>
              </w:rPr>
              <w:t>***</w:t>
            </w:r>
          </w:p>
        </w:tc>
        <w:tc>
          <w:tcPr>
            <w:tcW w:w="1134" w:type="dxa"/>
            <w:tcBorders>
              <w:top w:val="nil"/>
              <w:left w:val="nil"/>
              <w:bottom w:val="nil"/>
              <w:right w:val="nil"/>
            </w:tcBorders>
            <w:vAlign w:val="center"/>
          </w:tcPr>
          <w:p w14:paraId="1E42475C"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993" w:type="dxa"/>
            <w:tcBorders>
              <w:top w:val="nil"/>
              <w:left w:val="nil"/>
              <w:bottom w:val="nil"/>
              <w:right w:val="nil"/>
            </w:tcBorders>
            <w:shd w:val="clear" w:color="auto" w:fill="auto"/>
            <w:noWrap/>
            <w:vAlign w:val="center"/>
          </w:tcPr>
          <w:p w14:paraId="6FB8589B"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0.0010</w:t>
            </w:r>
            <w:r w:rsidRPr="00C702D7">
              <w:rPr>
                <w:rFonts w:eastAsia="等线" w:cs="Times New Roman"/>
                <w:sz w:val="18"/>
                <w:szCs w:val="18"/>
                <w:vertAlign w:val="superscript"/>
              </w:rPr>
              <w:t>**</w:t>
            </w:r>
          </w:p>
        </w:tc>
        <w:tc>
          <w:tcPr>
            <w:tcW w:w="1076" w:type="dxa"/>
            <w:tcBorders>
              <w:top w:val="nil"/>
              <w:left w:val="nil"/>
              <w:bottom w:val="nil"/>
              <w:right w:val="nil"/>
            </w:tcBorders>
            <w:vAlign w:val="center"/>
          </w:tcPr>
          <w:p w14:paraId="0E2C1764"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0.0020</w:t>
            </w:r>
            <w:r w:rsidRPr="00C702D7">
              <w:rPr>
                <w:rFonts w:eastAsia="等线" w:cs="Times New Roman" w:hint="eastAsia"/>
                <w:sz w:val="18"/>
                <w:szCs w:val="18"/>
                <w:vertAlign w:val="superscript"/>
              </w:rPr>
              <w:t>***</w:t>
            </w:r>
          </w:p>
        </w:tc>
      </w:tr>
      <w:tr w:rsidR="00C702D7" w:rsidRPr="00C702D7" w14:paraId="776BD88A" w14:textId="77777777" w:rsidTr="00B718EA">
        <w:trPr>
          <w:trHeight w:val="280"/>
          <w:jc w:val="center"/>
        </w:trPr>
        <w:tc>
          <w:tcPr>
            <w:tcW w:w="1701" w:type="dxa"/>
            <w:vMerge/>
            <w:tcBorders>
              <w:bottom w:val="nil"/>
              <w:right w:val="nil"/>
            </w:tcBorders>
            <w:shd w:val="clear" w:color="auto" w:fill="auto"/>
            <w:noWrap/>
            <w:vAlign w:val="center"/>
            <w:hideMark/>
          </w:tcPr>
          <w:p w14:paraId="6701102E" w14:textId="77777777" w:rsidR="00D457FC" w:rsidRPr="00C702D7" w:rsidRDefault="00D457FC" w:rsidP="00B718EA">
            <w:pPr>
              <w:widowControl/>
              <w:spacing w:line="240" w:lineRule="auto"/>
              <w:ind w:firstLineChars="0" w:firstLine="0"/>
              <w:jc w:val="center"/>
              <w:rPr>
                <w:rFonts w:cs="Times New Roman"/>
                <w:i/>
                <w:iCs/>
                <w:kern w:val="0"/>
                <w:sz w:val="18"/>
                <w:szCs w:val="18"/>
              </w:rPr>
            </w:pPr>
          </w:p>
        </w:tc>
        <w:tc>
          <w:tcPr>
            <w:tcW w:w="1134" w:type="dxa"/>
            <w:tcBorders>
              <w:top w:val="nil"/>
              <w:left w:val="nil"/>
              <w:bottom w:val="nil"/>
              <w:right w:val="nil"/>
            </w:tcBorders>
            <w:vAlign w:val="center"/>
          </w:tcPr>
          <w:p w14:paraId="2ED690A6"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1134" w:type="dxa"/>
            <w:tcBorders>
              <w:top w:val="nil"/>
              <w:left w:val="nil"/>
              <w:bottom w:val="nil"/>
              <w:right w:val="nil"/>
            </w:tcBorders>
            <w:vAlign w:val="center"/>
          </w:tcPr>
          <w:p w14:paraId="78780545"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(3.8396)</w:t>
            </w:r>
          </w:p>
        </w:tc>
        <w:tc>
          <w:tcPr>
            <w:tcW w:w="1134" w:type="dxa"/>
            <w:tcBorders>
              <w:top w:val="nil"/>
              <w:left w:val="nil"/>
              <w:bottom w:val="nil"/>
              <w:right w:val="nil"/>
            </w:tcBorders>
            <w:vAlign w:val="center"/>
          </w:tcPr>
          <w:p w14:paraId="2F6F2785"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(6.6922)</w:t>
            </w:r>
          </w:p>
        </w:tc>
        <w:tc>
          <w:tcPr>
            <w:tcW w:w="1134" w:type="dxa"/>
            <w:tcBorders>
              <w:top w:val="nil"/>
              <w:left w:val="nil"/>
              <w:bottom w:val="nil"/>
              <w:right w:val="nil"/>
            </w:tcBorders>
            <w:vAlign w:val="center"/>
          </w:tcPr>
          <w:p w14:paraId="564BF21B"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993" w:type="dxa"/>
            <w:tcBorders>
              <w:top w:val="nil"/>
              <w:left w:val="nil"/>
              <w:bottom w:val="nil"/>
              <w:right w:val="nil"/>
            </w:tcBorders>
            <w:shd w:val="clear" w:color="auto" w:fill="auto"/>
            <w:noWrap/>
            <w:vAlign w:val="center"/>
          </w:tcPr>
          <w:p w14:paraId="3A93D904"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(2.5621)</w:t>
            </w:r>
          </w:p>
        </w:tc>
        <w:tc>
          <w:tcPr>
            <w:tcW w:w="1076" w:type="dxa"/>
            <w:tcBorders>
              <w:top w:val="nil"/>
              <w:left w:val="nil"/>
              <w:bottom w:val="nil"/>
              <w:right w:val="nil"/>
            </w:tcBorders>
            <w:vAlign w:val="center"/>
          </w:tcPr>
          <w:p w14:paraId="54F934CF"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(4.0666)</w:t>
            </w:r>
          </w:p>
        </w:tc>
      </w:tr>
      <w:tr w:rsidR="00C702D7" w:rsidRPr="00C702D7" w14:paraId="141C5820" w14:textId="77777777" w:rsidTr="00B718EA">
        <w:trPr>
          <w:trHeight w:val="280"/>
          <w:jc w:val="center"/>
        </w:trPr>
        <w:tc>
          <w:tcPr>
            <w:tcW w:w="1701" w:type="dxa"/>
            <w:tcBorders>
              <w:top w:val="nil"/>
              <w:bottom w:val="nil"/>
              <w:right w:val="nil"/>
            </w:tcBorders>
            <w:shd w:val="clear" w:color="auto" w:fill="auto"/>
            <w:noWrap/>
            <w:vAlign w:val="center"/>
            <w:hideMark/>
          </w:tcPr>
          <w:p w14:paraId="7F5F232F" w14:textId="77777777" w:rsidR="00D457FC" w:rsidRPr="00C702D7" w:rsidRDefault="00D457FC" w:rsidP="00B718EA">
            <w:pPr>
              <w:widowControl/>
              <w:spacing w:line="240" w:lineRule="auto"/>
              <w:ind w:firstLineChars="0" w:firstLine="0"/>
              <w:jc w:val="center"/>
              <w:rPr>
                <w:rFonts w:cs="Times New Roman"/>
                <w:i/>
                <w:iCs/>
                <w:kern w:val="0"/>
                <w:sz w:val="18"/>
                <w:szCs w:val="18"/>
              </w:rPr>
            </w:pPr>
            <w:r w:rsidRPr="00C702D7">
              <w:rPr>
                <w:rFonts w:cs="Times New Roman"/>
                <w:i/>
                <w:iCs/>
                <w:kern w:val="0"/>
                <w:sz w:val="18"/>
                <w:szCs w:val="18"/>
              </w:rPr>
              <w:t>Lev</w:t>
            </w:r>
          </w:p>
        </w:tc>
        <w:tc>
          <w:tcPr>
            <w:tcW w:w="1134" w:type="dxa"/>
            <w:tcBorders>
              <w:top w:val="nil"/>
              <w:left w:val="nil"/>
              <w:bottom w:val="nil"/>
              <w:right w:val="nil"/>
            </w:tcBorders>
            <w:vAlign w:val="center"/>
          </w:tcPr>
          <w:p w14:paraId="7FD5C86B"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1134" w:type="dxa"/>
            <w:tcBorders>
              <w:top w:val="nil"/>
              <w:left w:val="nil"/>
              <w:bottom w:val="nil"/>
              <w:right w:val="nil"/>
            </w:tcBorders>
            <w:vAlign w:val="center"/>
          </w:tcPr>
          <w:p w14:paraId="4776A4EF"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0.0068</w:t>
            </w:r>
            <w:r w:rsidRPr="00C702D7">
              <w:rPr>
                <w:rFonts w:eastAsia="等线" w:cs="Times New Roman"/>
                <w:sz w:val="18"/>
                <w:szCs w:val="18"/>
                <w:vertAlign w:val="superscript"/>
              </w:rPr>
              <w:t>***</w:t>
            </w:r>
          </w:p>
        </w:tc>
        <w:tc>
          <w:tcPr>
            <w:tcW w:w="1134" w:type="dxa"/>
            <w:tcBorders>
              <w:top w:val="nil"/>
              <w:left w:val="nil"/>
              <w:bottom w:val="nil"/>
              <w:right w:val="nil"/>
            </w:tcBorders>
            <w:vAlign w:val="center"/>
          </w:tcPr>
          <w:p w14:paraId="2DA24C9A"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0.0127</w:t>
            </w:r>
            <w:r w:rsidRPr="00C702D7">
              <w:rPr>
                <w:rFonts w:eastAsia="等线" w:cs="Times New Roman" w:hint="eastAsia"/>
                <w:sz w:val="18"/>
                <w:szCs w:val="18"/>
                <w:vertAlign w:val="superscript"/>
              </w:rPr>
              <w:t>***</w:t>
            </w:r>
          </w:p>
        </w:tc>
        <w:tc>
          <w:tcPr>
            <w:tcW w:w="1134" w:type="dxa"/>
            <w:tcBorders>
              <w:top w:val="nil"/>
              <w:left w:val="nil"/>
              <w:bottom w:val="nil"/>
              <w:right w:val="nil"/>
            </w:tcBorders>
            <w:vAlign w:val="center"/>
          </w:tcPr>
          <w:p w14:paraId="46617960"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993" w:type="dxa"/>
            <w:tcBorders>
              <w:top w:val="nil"/>
              <w:left w:val="nil"/>
              <w:bottom w:val="nil"/>
              <w:right w:val="nil"/>
            </w:tcBorders>
            <w:shd w:val="clear" w:color="auto" w:fill="auto"/>
            <w:noWrap/>
            <w:vAlign w:val="center"/>
          </w:tcPr>
          <w:p w14:paraId="247A3204"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0.0061</w:t>
            </w:r>
            <w:r w:rsidRPr="00C702D7">
              <w:rPr>
                <w:rFonts w:eastAsia="等线" w:cs="Times New Roman"/>
                <w:sz w:val="18"/>
                <w:szCs w:val="18"/>
                <w:vertAlign w:val="superscript"/>
              </w:rPr>
              <w:t>***</w:t>
            </w:r>
          </w:p>
        </w:tc>
        <w:tc>
          <w:tcPr>
            <w:tcW w:w="1076" w:type="dxa"/>
            <w:tcBorders>
              <w:top w:val="nil"/>
              <w:left w:val="nil"/>
              <w:bottom w:val="nil"/>
              <w:right w:val="nil"/>
            </w:tcBorders>
            <w:vAlign w:val="center"/>
          </w:tcPr>
          <w:p w14:paraId="7EDD8AA2"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0.0079</w:t>
            </w:r>
            <w:r w:rsidRPr="00C702D7">
              <w:rPr>
                <w:rFonts w:eastAsia="等线" w:cs="Times New Roman" w:hint="eastAsia"/>
                <w:sz w:val="18"/>
                <w:szCs w:val="18"/>
                <w:vertAlign w:val="superscript"/>
              </w:rPr>
              <w:t>***</w:t>
            </w:r>
          </w:p>
        </w:tc>
      </w:tr>
      <w:tr w:rsidR="00C702D7" w:rsidRPr="00C702D7" w14:paraId="0D7774D9" w14:textId="77777777" w:rsidTr="00B718EA">
        <w:trPr>
          <w:trHeight w:val="280"/>
          <w:jc w:val="center"/>
        </w:trPr>
        <w:tc>
          <w:tcPr>
            <w:tcW w:w="1701" w:type="dxa"/>
            <w:tcBorders>
              <w:top w:val="nil"/>
              <w:bottom w:val="nil"/>
              <w:right w:val="nil"/>
            </w:tcBorders>
            <w:shd w:val="clear" w:color="auto" w:fill="auto"/>
            <w:noWrap/>
            <w:vAlign w:val="center"/>
            <w:hideMark/>
          </w:tcPr>
          <w:p w14:paraId="1E6D6D10" w14:textId="77777777" w:rsidR="00D457FC" w:rsidRPr="00C702D7" w:rsidRDefault="00D457FC" w:rsidP="00B718EA">
            <w:pPr>
              <w:widowControl/>
              <w:spacing w:line="240" w:lineRule="auto"/>
              <w:ind w:firstLineChars="0" w:firstLine="0"/>
              <w:jc w:val="center"/>
              <w:rPr>
                <w:rFonts w:cs="Times New Roman"/>
                <w:i/>
                <w:iCs/>
                <w:kern w:val="0"/>
                <w:sz w:val="18"/>
                <w:szCs w:val="18"/>
              </w:rPr>
            </w:pPr>
          </w:p>
        </w:tc>
        <w:tc>
          <w:tcPr>
            <w:tcW w:w="1134" w:type="dxa"/>
            <w:tcBorders>
              <w:top w:val="nil"/>
              <w:left w:val="nil"/>
              <w:bottom w:val="nil"/>
              <w:right w:val="nil"/>
            </w:tcBorders>
            <w:vAlign w:val="center"/>
          </w:tcPr>
          <w:p w14:paraId="66FDC372"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1134" w:type="dxa"/>
            <w:tcBorders>
              <w:top w:val="nil"/>
              <w:left w:val="nil"/>
              <w:bottom w:val="nil"/>
              <w:right w:val="nil"/>
            </w:tcBorders>
            <w:vAlign w:val="center"/>
          </w:tcPr>
          <w:p w14:paraId="303FD4F1"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(3.4874)</w:t>
            </w:r>
          </w:p>
        </w:tc>
        <w:tc>
          <w:tcPr>
            <w:tcW w:w="1134" w:type="dxa"/>
            <w:tcBorders>
              <w:top w:val="nil"/>
              <w:left w:val="nil"/>
              <w:bottom w:val="nil"/>
              <w:right w:val="nil"/>
            </w:tcBorders>
            <w:vAlign w:val="center"/>
          </w:tcPr>
          <w:p w14:paraId="1BD8E3F1"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(3.9596)</w:t>
            </w:r>
          </w:p>
        </w:tc>
        <w:tc>
          <w:tcPr>
            <w:tcW w:w="1134" w:type="dxa"/>
            <w:tcBorders>
              <w:top w:val="nil"/>
              <w:left w:val="nil"/>
              <w:bottom w:val="nil"/>
              <w:right w:val="nil"/>
            </w:tcBorders>
            <w:vAlign w:val="center"/>
          </w:tcPr>
          <w:p w14:paraId="6AAD457A"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993" w:type="dxa"/>
            <w:tcBorders>
              <w:top w:val="nil"/>
              <w:left w:val="nil"/>
              <w:bottom w:val="nil"/>
              <w:right w:val="nil"/>
            </w:tcBorders>
            <w:shd w:val="clear" w:color="auto" w:fill="auto"/>
            <w:noWrap/>
            <w:vAlign w:val="center"/>
          </w:tcPr>
          <w:p w14:paraId="144F4A9D"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(3.5282)</w:t>
            </w:r>
          </w:p>
        </w:tc>
        <w:tc>
          <w:tcPr>
            <w:tcW w:w="1076" w:type="dxa"/>
            <w:tcBorders>
              <w:top w:val="nil"/>
              <w:left w:val="nil"/>
              <w:bottom w:val="nil"/>
              <w:right w:val="nil"/>
            </w:tcBorders>
            <w:vAlign w:val="center"/>
          </w:tcPr>
          <w:p w14:paraId="40EE3516"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(6.4255)</w:t>
            </w:r>
          </w:p>
        </w:tc>
      </w:tr>
      <w:tr w:rsidR="00C702D7" w:rsidRPr="00C702D7" w14:paraId="026FDBF3" w14:textId="77777777" w:rsidTr="00B718EA">
        <w:trPr>
          <w:trHeight w:val="280"/>
          <w:jc w:val="center"/>
        </w:trPr>
        <w:tc>
          <w:tcPr>
            <w:tcW w:w="1701" w:type="dxa"/>
            <w:tcBorders>
              <w:top w:val="nil"/>
              <w:bottom w:val="nil"/>
              <w:right w:val="nil"/>
            </w:tcBorders>
            <w:shd w:val="clear" w:color="auto" w:fill="auto"/>
            <w:noWrap/>
            <w:vAlign w:val="center"/>
            <w:hideMark/>
          </w:tcPr>
          <w:p w14:paraId="3ACA52DE" w14:textId="77777777" w:rsidR="00D457FC" w:rsidRPr="00C702D7" w:rsidRDefault="00D457FC" w:rsidP="00B718EA">
            <w:pPr>
              <w:widowControl/>
              <w:spacing w:line="240" w:lineRule="auto"/>
              <w:ind w:firstLineChars="0" w:firstLine="0"/>
              <w:jc w:val="center"/>
              <w:rPr>
                <w:rFonts w:cs="Times New Roman"/>
                <w:i/>
                <w:iCs/>
                <w:kern w:val="0"/>
                <w:sz w:val="18"/>
                <w:szCs w:val="18"/>
              </w:rPr>
            </w:pPr>
            <w:r w:rsidRPr="00C702D7">
              <w:rPr>
                <w:rFonts w:cs="Times New Roman"/>
                <w:i/>
                <w:iCs/>
                <w:kern w:val="0"/>
                <w:sz w:val="18"/>
                <w:szCs w:val="18"/>
              </w:rPr>
              <w:t>Growth</w:t>
            </w:r>
          </w:p>
        </w:tc>
        <w:tc>
          <w:tcPr>
            <w:tcW w:w="1134" w:type="dxa"/>
            <w:tcBorders>
              <w:top w:val="nil"/>
              <w:left w:val="nil"/>
              <w:bottom w:val="nil"/>
              <w:right w:val="nil"/>
            </w:tcBorders>
            <w:vAlign w:val="center"/>
          </w:tcPr>
          <w:p w14:paraId="7ED9E4AA"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1134" w:type="dxa"/>
            <w:tcBorders>
              <w:top w:val="nil"/>
              <w:left w:val="nil"/>
              <w:bottom w:val="nil"/>
              <w:right w:val="nil"/>
            </w:tcBorders>
            <w:vAlign w:val="center"/>
          </w:tcPr>
          <w:p w14:paraId="08263BAE"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-0.0012</w:t>
            </w:r>
            <w:r w:rsidRPr="00C702D7">
              <w:rPr>
                <w:rFonts w:eastAsia="等线" w:cs="Times New Roman"/>
                <w:sz w:val="18"/>
                <w:szCs w:val="18"/>
                <w:vertAlign w:val="superscript"/>
              </w:rPr>
              <w:t>***</w:t>
            </w:r>
          </w:p>
        </w:tc>
        <w:tc>
          <w:tcPr>
            <w:tcW w:w="1134" w:type="dxa"/>
            <w:tcBorders>
              <w:top w:val="nil"/>
              <w:left w:val="nil"/>
              <w:bottom w:val="nil"/>
              <w:right w:val="nil"/>
            </w:tcBorders>
            <w:vAlign w:val="center"/>
          </w:tcPr>
          <w:p w14:paraId="3DCC47AC"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-0.0021</w:t>
            </w:r>
            <w:r w:rsidRPr="00C702D7">
              <w:rPr>
                <w:rFonts w:eastAsia="等线" w:cs="Times New Roman" w:hint="eastAsia"/>
                <w:sz w:val="18"/>
                <w:szCs w:val="18"/>
                <w:vertAlign w:val="superscript"/>
              </w:rPr>
              <w:t>***</w:t>
            </w:r>
          </w:p>
        </w:tc>
        <w:tc>
          <w:tcPr>
            <w:tcW w:w="1134" w:type="dxa"/>
            <w:tcBorders>
              <w:top w:val="nil"/>
              <w:left w:val="nil"/>
              <w:bottom w:val="nil"/>
              <w:right w:val="nil"/>
            </w:tcBorders>
            <w:vAlign w:val="center"/>
          </w:tcPr>
          <w:p w14:paraId="60E65392"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993" w:type="dxa"/>
            <w:tcBorders>
              <w:top w:val="nil"/>
              <w:left w:val="nil"/>
              <w:bottom w:val="nil"/>
              <w:right w:val="nil"/>
            </w:tcBorders>
            <w:shd w:val="clear" w:color="auto" w:fill="auto"/>
            <w:noWrap/>
            <w:vAlign w:val="center"/>
          </w:tcPr>
          <w:p w14:paraId="7F20E9D1"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-0.0009</w:t>
            </w:r>
            <w:r w:rsidRPr="00C702D7">
              <w:rPr>
                <w:rFonts w:eastAsia="等线" w:cs="Times New Roman"/>
                <w:sz w:val="18"/>
                <w:szCs w:val="18"/>
                <w:vertAlign w:val="superscript"/>
              </w:rPr>
              <w:t>**</w:t>
            </w:r>
          </w:p>
        </w:tc>
        <w:tc>
          <w:tcPr>
            <w:tcW w:w="1076" w:type="dxa"/>
            <w:tcBorders>
              <w:top w:val="nil"/>
              <w:left w:val="nil"/>
              <w:bottom w:val="nil"/>
              <w:right w:val="nil"/>
            </w:tcBorders>
            <w:vAlign w:val="center"/>
          </w:tcPr>
          <w:p w14:paraId="2CB6F8B4"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-0.0023</w:t>
            </w:r>
            <w:r w:rsidRPr="00C702D7">
              <w:rPr>
                <w:rFonts w:eastAsia="等线" w:cs="Times New Roman" w:hint="eastAsia"/>
                <w:sz w:val="18"/>
                <w:szCs w:val="18"/>
                <w:vertAlign w:val="superscript"/>
              </w:rPr>
              <w:t>***</w:t>
            </w:r>
          </w:p>
        </w:tc>
      </w:tr>
      <w:tr w:rsidR="00C702D7" w:rsidRPr="00C702D7" w14:paraId="284C03F1" w14:textId="77777777" w:rsidTr="00B718EA">
        <w:trPr>
          <w:trHeight w:val="280"/>
          <w:jc w:val="center"/>
        </w:trPr>
        <w:tc>
          <w:tcPr>
            <w:tcW w:w="1701" w:type="dxa"/>
            <w:tcBorders>
              <w:top w:val="nil"/>
              <w:bottom w:val="nil"/>
              <w:right w:val="nil"/>
            </w:tcBorders>
            <w:shd w:val="clear" w:color="auto" w:fill="auto"/>
            <w:noWrap/>
            <w:vAlign w:val="center"/>
            <w:hideMark/>
          </w:tcPr>
          <w:p w14:paraId="1855A27E" w14:textId="77777777" w:rsidR="00D457FC" w:rsidRPr="00C702D7" w:rsidRDefault="00D457FC" w:rsidP="00B718EA">
            <w:pPr>
              <w:widowControl/>
              <w:spacing w:line="240" w:lineRule="auto"/>
              <w:ind w:firstLineChars="0" w:firstLine="0"/>
              <w:jc w:val="center"/>
              <w:rPr>
                <w:rFonts w:cs="Times New Roman"/>
                <w:i/>
                <w:iCs/>
                <w:kern w:val="0"/>
                <w:sz w:val="18"/>
                <w:szCs w:val="18"/>
              </w:rPr>
            </w:pPr>
          </w:p>
        </w:tc>
        <w:tc>
          <w:tcPr>
            <w:tcW w:w="1134" w:type="dxa"/>
            <w:tcBorders>
              <w:top w:val="nil"/>
              <w:left w:val="nil"/>
              <w:bottom w:val="nil"/>
              <w:right w:val="nil"/>
            </w:tcBorders>
            <w:vAlign w:val="center"/>
          </w:tcPr>
          <w:p w14:paraId="28476B82"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1134" w:type="dxa"/>
            <w:tcBorders>
              <w:top w:val="nil"/>
              <w:left w:val="nil"/>
              <w:bottom w:val="nil"/>
              <w:right w:val="nil"/>
            </w:tcBorders>
            <w:vAlign w:val="center"/>
          </w:tcPr>
          <w:p w14:paraId="56F41964"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(-3.3530)</w:t>
            </w:r>
          </w:p>
        </w:tc>
        <w:tc>
          <w:tcPr>
            <w:tcW w:w="1134" w:type="dxa"/>
            <w:tcBorders>
              <w:top w:val="nil"/>
              <w:left w:val="nil"/>
              <w:bottom w:val="nil"/>
              <w:right w:val="nil"/>
            </w:tcBorders>
            <w:vAlign w:val="center"/>
          </w:tcPr>
          <w:p w14:paraId="6D7EEFE3"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(-3.5973)</w:t>
            </w:r>
          </w:p>
        </w:tc>
        <w:tc>
          <w:tcPr>
            <w:tcW w:w="1134" w:type="dxa"/>
            <w:tcBorders>
              <w:top w:val="nil"/>
              <w:left w:val="nil"/>
              <w:bottom w:val="nil"/>
              <w:right w:val="nil"/>
            </w:tcBorders>
            <w:vAlign w:val="center"/>
          </w:tcPr>
          <w:p w14:paraId="39C5BA25"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993" w:type="dxa"/>
            <w:tcBorders>
              <w:top w:val="nil"/>
              <w:left w:val="nil"/>
              <w:bottom w:val="nil"/>
              <w:right w:val="nil"/>
            </w:tcBorders>
            <w:shd w:val="clear" w:color="auto" w:fill="auto"/>
            <w:noWrap/>
            <w:vAlign w:val="center"/>
          </w:tcPr>
          <w:p w14:paraId="7182FFD2"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(-2.6156)</w:t>
            </w:r>
          </w:p>
        </w:tc>
        <w:tc>
          <w:tcPr>
            <w:tcW w:w="1076" w:type="dxa"/>
            <w:tcBorders>
              <w:top w:val="nil"/>
              <w:left w:val="nil"/>
              <w:bottom w:val="nil"/>
              <w:right w:val="nil"/>
            </w:tcBorders>
            <w:vAlign w:val="center"/>
          </w:tcPr>
          <w:p w14:paraId="499D0816"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(-3.3024)</w:t>
            </w:r>
          </w:p>
        </w:tc>
      </w:tr>
      <w:tr w:rsidR="00C702D7" w:rsidRPr="00C702D7" w14:paraId="7BB1B211" w14:textId="77777777" w:rsidTr="00B718EA">
        <w:trPr>
          <w:trHeight w:val="280"/>
          <w:jc w:val="center"/>
        </w:trPr>
        <w:tc>
          <w:tcPr>
            <w:tcW w:w="1701" w:type="dxa"/>
            <w:vMerge w:val="restart"/>
            <w:tcBorders>
              <w:top w:val="nil"/>
              <w:right w:val="nil"/>
            </w:tcBorders>
            <w:shd w:val="clear" w:color="auto" w:fill="auto"/>
            <w:noWrap/>
            <w:vAlign w:val="center"/>
          </w:tcPr>
          <w:p w14:paraId="07400720" w14:textId="77777777" w:rsidR="00D457FC" w:rsidRPr="00C702D7" w:rsidRDefault="00D457FC" w:rsidP="00B718EA">
            <w:pPr>
              <w:widowControl/>
              <w:spacing w:line="240" w:lineRule="auto"/>
              <w:ind w:firstLineChars="0" w:firstLine="0"/>
              <w:jc w:val="center"/>
              <w:rPr>
                <w:rFonts w:cs="Times New Roman"/>
                <w:i/>
                <w:iCs/>
                <w:kern w:val="0"/>
                <w:sz w:val="18"/>
                <w:szCs w:val="18"/>
              </w:rPr>
            </w:pPr>
            <w:r w:rsidRPr="00C702D7">
              <w:rPr>
                <w:rFonts w:cs="Times New Roman" w:hint="eastAsia"/>
                <w:i/>
                <w:iCs/>
                <w:kern w:val="0"/>
                <w:sz w:val="18"/>
                <w:szCs w:val="18"/>
              </w:rPr>
              <w:t>CF</w:t>
            </w:r>
          </w:p>
        </w:tc>
        <w:tc>
          <w:tcPr>
            <w:tcW w:w="1134" w:type="dxa"/>
            <w:tcBorders>
              <w:top w:val="nil"/>
              <w:left w:val="nil"/>
              <w:bottom w:val="nil"/>
              <w:right w:val="nil"/>
            </w:tcBorders>
            <w:vAlign w:val="center"/>
          </w:tcPr>
          <w:p w14:paraId="3E5E108C"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1134" w:type="dxa"/>
            <w:tcBorders>
              <w:top w:val="nil"/>
              <w:left w:val="nil"/>
              <w:bottom w:val="nil"/>
              <w:right w:val="nil"/>
            </w:tcBorders>
            <w:vAlign w:val="center"/>
          </w:tcPr>
          <w:p w14:paraId="39AD8DFF"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0.0158</w:t>
            </w:r>
            <w:r w:rsidRPr="00C702D7">
              <w:rPr>
                <w:rFonts w:eastAsia="等线" w:cs="Times New Roman"/>
                <w:sz w:val="18"/>
                <w:szCs w:val="18"/>
                <w:vertAlign w:val="superscript"/>
              </w:rPr>
              <w:t>***</w:t>
            </w:r>
          </w:p>
        </w:tc>
        <w:tc>
          <w:tcPr>
            <w:tcW w:w="1134" w:type="dxa"/>
            <w:tcBorders>
              <w:top w:val="nil"/>
              <w:left w:val="nil"/>
              <w:bottom w:val="nil"/>
              <w:right w:val="nil"/>
            </w:tcBorders>
            <w:vAlign w:val="center"/>
          </w:tcPr>
          <w:p w14:paraId="522D3FE2"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0.0050</w:t>
            </w:r>
            <w:r w:rsidRPr="00C702D7">
              <w:rPr>
                <w:rFonts w:eastAsia="等线" w:cs="Times New Roman" w:hint="eastAsia"/>
                <w:sz w:val="18"/>
                <w:szCs w:val="18"/>
                <w:vertAlign w:val="superscript"/>
              </w:rPr>
              <w:t>**</w:t>
            </w:r>
          </w:p>
        </w:tc>
        <w:tc>
          <w:tcPr>
            <w:tcW w:w="1134" w:type="dxa"/>
            <w:tcBorders>
              <w:top w:val="nil"/>
              <w:left w:val="nil"/>
              <w:bottom w:val="nil"/>
              <w:right w:val="nil"/>
            </w:tcBorders>
            <w:vAlign w:val="center"/>
          </w:tcPr>
          <w:p w14:paraId="2CF8AF8C"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993" w:type="dxa"/>
            <w:tcBorders>
              <w:top w:val="nil"/>
              <w:left w:val="nil"/>
              <w:bottom w:val="nil"/>
              <w:right w:val="nil"/>
            </w:tcBorders>
            <w:shd w:val="clear" w:color="auto" w:fill="auto"/>
            <w:noWrap/>
            <w:vAlign w:val="center"/>
          </w:tcPr>
          <w:p w14:paraId="5B735DA8"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0.0144</w:t>
            </w:r>
            <w:r w:rsidRPr="00C702D7">
              <w:rPr>
                <w:rFonts w:eastAsia="等线" w:cs="Times New Roman"/>
                <w:sz w:val="18"/>
                <w:szCs w:val="18"/>
                <w:vertAlign w:val="superscript"/>
              </w:rPr>
              <w:t>**</w:t>
            </w:r>
          </w:p>
        </w:tc>
        <w:tc>
          <w:tcPr>
            <w:tcW w:w="1076" w:type="dxa"/>
            <w:tcBorders>
              <w:top w:val="nil"/>
              <w:left w:val="nil"/>
              <w:bottom w:val="nil"/>
              <w:right w:val="nil"/>
            </w:tcBorders>
            <w:vAlign w:val="center"/>
          </w:tcPr>
          <w:p w14:paraId="73DCE107"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0.0078</w:t>
            </w:r>
          </w:p>
        </w:tc>
      </w:tr>
      <w:tr w:rsidR="00C702D7" w:rsidRPr="00C702D7" w14:paraId="7B59D56A" w14:textId="77777777" w:rsidTr="00B718EA">
        <w:trPr>
          <w:trHeight w:val="280"/>
          <w:jc w:val="center"/>
        </w:trPr>
        <w:tc>
          <w:tcPr>
            <w:tcW w:w="1701" w:type="dxa"/>
            <w:vMerge/>
            <w:tcBorders>
              <w:bottom w:val="nil"/>
              <w:right w:val="nil"/>
            </w:tcBorders>
            <w:shd w:val="clear" w:color="auto" w:fill="auto"/>
            <w:noWrap/>
            <w:vAlign w:val="center"/>
          </w:tcPr>
          <w:p w14:paraId="6B091F00" w14:textId="77777777" w:rsidR="00D457FC" w:rsidRPr="00C702D7" w:rsidRDefault="00D457FC" w:rsidP="00B718EA">
            <w:pPr>
              <w:widowControl/>
              <w:spacing w:line="240" w:lineRule="auto"/>
              <w:ind w:firstLineChars="0" w:firstLine="0"/>
              <w:jc w:val="center"/>
              <w:rPr>
                <w:rFonts w:cs="Times New Roman"/>
                <w:i/>
                <w:kern w:val="0"/>
                <w:sz w:val="18"/>
                <w:szCs w:val="18"/>
              </w:rPr>
            </w:pPr>
          </w:p>
        </w:tc>
        <w:tc>
          <w:tcPr>
            <w:tcW w:w="1134" w:type="dxa"/>
            <w:tcBorders>
              <w:top w:val="nil"/>
              <w:left w:val="nil"/>
              <w:bottom w:val="nil"/>
              <w:right w:val="nil"/>
            </w:tcBorders>
            <w:vAlign w:val="center"/>
          </w:tcPr>
          <w:p w14:paraId="57F72155"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1134" w:type="dxa"/>
            <w:tcBorders>
              <w:top w:val="nil"/>
              <w:left w:val="nil"/>
              <w:bottom w:val="nil"/>
              <w:right w:val="nil"/>
            </w:tcBorders>
            <w:vAlign w:val="center"/>
          </w:tcPr>
          <w:p w14:paraId="3EC6AE18"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(3.1394)</w:t>
            </w:r>
          </w:p>
        </w:tc>
        <w:tc>
          <w:tcPr>
            <w:tcW w:w="1134" w:type="dxa"/>
            <w:tcBorders>
              <w:top w:val="nil"/>
              <w:left w:val="nil"/>
              <w:bottom w:val="nil"/>
              <w:right w:val="nil"/>
            </w:tcBorders>
            <w:vAlign w:val="center"/>
          </w:tcPr>
          <w:p w14:paraId="67119DFE"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(2.2487)</w:t>
            </w:r>
          </w:p>
        </w:tc>
        <w:tc>
          <w:tcPr>
            <w:tcW w:w="1134" w:type="dxa"/>
            <w:tcBorders>
              <w:top w:val="nil"/>
              <w:left w:val="nil"/>
              <w:bottom w:val="nil"/>
              <w:right w:val="nil"/>
            </w:tcBorders>
            <w:vAlign w:val="center"/>
          </w:tcPr>
          <w:p w14:paraId="29E6F9DC"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993" w:type="dxa"/>
            <w:tcBorders>
              <w:top w:val="nil"/>
              <w:left w:val="nil"/>
              <w:bottom w:val="nil"/>
              <w:right w:val="nil"/>
            </w:tcBorders>
            <w:shd w:val="clear" w:color="auto" w:fill="auto"/>
            <w:noWrap/>
            <w:vAlign w:val="center"/>
          </w:tcPr>
          <w:p w14:paraId="1D0C2592"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(2.8247)</w:t>
            </w:r>
          </w:p>
        </w:tc>
        <w:tc>
          <w:tcPr>
            <w:tcW w:w="1076" w:type="dxa"/>
            <w:tcBorders>
              <w:top w:val="nil"/>
              <w:left w:val="nil"/>
              <w:bottom w:val="nil"/>
              <w:right w:val="nil"/>
            </w:tcBorders>
            <w:vAlign w:val="center"/>
          </w:tcPr>
          <w:p w14:paraId="760A11CD"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(1.6992)</w:t>
            </w:r>
          </w:p>
        </w:tc>
      </w:tr>
      <w:tr w:rsidR="00C702D7" w:rsidRPr="00C702D7" w14:paraId="1544CE4D" w14:textId="77777777" w:rsidTr="00B718EA">
        <w:trPr>
          <w:trHeight w:val="280"/>
          <w:jc w:val="center"/>
        </w:trPr>
        <w:tc>
          <w:tcPr>
            <w:tcW w:w="1701" w:type="dxa"/>
            <w:vMerge w:val="restart"/>
            <w:tcBorders>
              <w:top w:val="nil"/>
              <w:right w:val="nil"/>
            </w:tcBorders>
            <w:shd w:val="clear" w:color="auto" w:fill="auto"/>
            <w:noWrap/>
            <w:vAlign w:val="center"/>
          </w:tcPr>
          <w:p w14:paraId="405D2BBC" w14:textId="77777777" w:rsidR="00D457FC" w:rsidRPr="00C702D7" w:rsidRDefault="00D457FC" w:rsidP="00B718EA">
            <w:pPr>
              <w:widowControl/>
              <w:spacing w:line="240" w:lineRule="auto"/>
              <w:ind w:firstLineChars="0" w:firstLine="0"/>
              <w:jc w:val="center"/>
              <w:rPr>
                <w:rFonts w:cs="Times New Roman"/>
                <w:i/>
                <w:kern w:val="0"/>
                <w:sz w:val="18"/>
                <w:szCs w:val="18"/>
              </w:rPr>
            </w:pPr>
            <w:r w:rsidRPr="00C702D7">
              <w:rPr>
                <w:rFonts w:cs="Times New Roman"/>
                <w:i/>
                <w:kern w:val="0"/>
                <w:sz w:val="18"/>
                <w:szCs w:val="18"/>
              </w:rPr>
              <w:t>ROA</w:t>
            </w:r>
          </w:p>
        </w:tc>
        <w:tc>
          <w:tcPr>
            <w:tcW w:w="1134" w:type="dxa"/>
            <w:tcBorders>
              <w:top w:val="nil"/>
              <w:left w:val="nil"/>
              <w:bottom w:val="nil"/>
              <w:right w:val="nil"/>
            </w:tcBorders>
            <w:vAlign w:val="center"/>
          </w:tcPr>
          <w:p w14:paraId="5163983F"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1134" w:type="dxa"/>
            <w:tcBorders>
              <w:top w:val="nil"/>
              <w:left w:val="nil"/>
              <w:bottom w:val="nil"/>
              <w:right w:val="nil"/>
            </w:tcBorders>
            <w:vAlign w:val="center"/>
          </w:tcPr>
          <w:p w14:paraId="74D497A1"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0.0275</w:t>
            </w:r>
            <w:r w:rsidRPr="00C702D7">
              <w:rPr>
                <w:rFonts w:eastAsia="等线" w:cs="Times New Roman"/>
                <w:sz w:val="18"/>
                <w:szCs w:val="18"/>
                <w:vertAlign w:val="superscript"/>
              </w:rPr>
              <w:t>***</w:t>
            </w:r>
          </w:p>
        </w:tc>
        <w:tc>
          <w:tcPr>
            <w:tcW w:w="1134" w:type="dxa"/>
            <w:tcBorders>
              <w:top w:val="nil"/>
              <w:left w:val="nil"/>
              <w:bottom w:val="nil"/>
              <w:right w:val="nil"/>
            </w:tcBorders>
            <w:vAlign w:val="center"/>
          </w:tcPr>
          <w:p w14:paraId="1AC9E72A"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0.0011</w:t>
            </w:r>
            <w:r w:rsidRPr="00C702D7">
              <w:rPr>
                <w:rFonts w:eastAsia="等线" w:cs="Times New Roman" w:hint="eastAsia"/>
                <w:sz w:val="18"/>
                <w:szCs w:val="18"/>
                <w:vertAlign w:val="superscript"/>
              </w:rPr>
              <w:t>***</w:t>
            </w:r>
          </w:p>
        </w:tc>
        <w:tc>
          <w:tcPr>
            <w:tcW w:w="1134" w:type="dxa"/>
            <w:tcBorders>
              <w:top w:val="nil"/>
              <w:left w:val="nil"/>
              <w:bottom w:val="nil"/>
              <w:right w:val="nil"/>
            </w:tcBorders>
            <w:vAlign w:val="center"/>
          </w:tcPr>
          <w:p w14:paraId="4EB5EA7B"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993" w:type="dxa"/>
            <w:tcBorders>
              <w:top w:val="nil"/>
              <w:left w:val="nil"/>
              <w:bottom w:val="nil"/>
              <w:right w:val="nil"/>
            </w:tcBorders>
            <w:shd w:val="clear" w:color="auto" w:fill="auto"/>
            <w:noWrap/>
            <w:vAlign w:val="center"/>
          </w:tcPr>
          <w:p w14:paraId="33F161AD"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0.0255</w:t>
            </w:r>
            <w:r w:rsidRPr="00C702D7">
              <w:rPr>
                <w:rFonts w:eastAsia="等线" w:cs="Times New Roman"/>
                <w:sz w:val="18"/>
                <w:szCs w:val="18"/>
                <w:vertAlign w:val="superscript"/>
              </w:rPr>
              <w:t>***</w:t>
            </w:r>
          </w:p>
        </w:tc>
        <w:tc>
          <w:tcPr>
            <w:tcW w:w="1076" w:type="dxa"/>
            <w:tcBorders>
              <w:top w:val="nil"/>
              <w:left w:val="nil"/>
              <w:bottom w:val="nil"/>
              <w:right w:val="nil"/>
            </w:tcBorders>
            <w:vAlign w:val="center"/>
          </w:tcPr>
          <w:p w14:paraId="4E3D0064"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0.0004</w:t>
            </w:r>
            <w:r w:rsidRPr="00C702D7">
              <w:rPr>
                <w:rFonts w:eastAsia="等线" w:cs="Times New Roman" w:hint="eastAsia"/>
                <w:sz w:val="18"/>
                <w:szCs w:val="18"/>
                <w:vertAlign w:val="superscript"/>
              </w:rPr>
              <w:t>*</w:t>
            </w:r>
          </w:p>
        </w:tc>
      </w:tr>
      <w:tr w:rsidR="00C702D7" w:rsidRPr="00C702D7" w14:paraId="0EE27CB3" w14:textId="77777777" w:rsidTr="00B718EA">
        <w:trPr>
          <w:trHeight w:val="280"/>
          <w:jc w:val="center"/>
        </w:trPr>
        <w:tc>
          <w:tcPr>
            <w:tcW w:w="1701" w:type="dxa"/>
            <w:vMerge/>
            <w:tcBorders>
              <w:bottom w:val="nil"/>
              <w:right w:val="nil"/>
            </w:tcBorders>
            <w:shd w:val="clear" w:color="auto" w:fill="auto"/>
            <w:noWrap/>
            <w:vAlign w:val="center"/>
          </w:tcPr>
          <w:p w14:paraId="0BAB2EE0" w14:textId="77777777" w:rsidR="00D457FC" w:rsidRPr="00C702D7" w:rsidRDefault="00D457FC" w:rsidP="00B718EA">
            <w:pPr>
              <w:widowControl/>
              <w:spacing w:line="240" w:lineRule="auto"/>
              <w:ind w:firstLineChars="0" w:firstLine="0"/>
              <w:jc w:val="center"/>
              <w:rPr>
                <w:rFonts w:cs="Times New Roman"/>
                <w:i/>
                <w:kern w:val="0"/>
                <w:sz w:val="18"/>
                <w:szCs w:val="18"/>
              </w:rPr>
            </w:pPr>
          </w:p>
        </w:tc>
        <w:tc>
          <w:tcPr>
            <w:tcW w:w="1134" w:type="dxa"/>
            <w:tcBorders>
              <w:top w:val="nil"/>
              <w:left w:val="nil"/>
              <w:bottom w:val="nil"/>
              <w:right w:val="nil"/>
            </w:tcBorders>
            <w:vAlign w:val="center"/>
          </w:tcPr>
          <w:p w14:paraId="4132051E"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1134" w:type="dxa"/>
            <w:tcBorders>
              <w:top w:val="nil"/>
              <w:left w:val="nil"/>
              <w:bottom w:val="nil"/>
              <w:right w:val="nil"/>
            </w:tcBorders>
            <w:vAlign w:val="center"/>
          </w:tcPr>
          <w:p w14:paraId="36FB1D26"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(5.0371)</w:t>
            </w:r>
          </w:p>
        </w:tc>
        <w:tc>
          <w:tcPr>
            <w:tcW w:w="1134" w:type="dxa"/>
            <w:tcBorders>
              <w:top w:val="nil"/>
              <w:left w:val="nil"/>
              <w:bottom w:val="nil"/>
              <w:right w:val="nil"/>
            </w:tcBorders>
            <w:vAlign w:val="center"/>
          </w:tcPr>
          <w:p w14:paraId="5A9A1F0F"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(3.7901)</w:t>
            </w:r>
          </w:p>
        </w:tc>
        <w:tc>
          <w:tcPr>
            <w:tcW w:w="1134" w:type="dxa"/>
            <w:tcBorders>
              <w:top w:val="nil"/>
              <w:left w:val="nil"/>
              <w:bottom w:val="nil"/>
              <w:right w:val="nil"/>
            </w:tcBorders>
            <w:vAlign w:val="center"/>
          </w:tcPr>
          <w:p w14:paraId="65A65DA3"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993" w:type="dxa"/>
            <w:tcBorders>
              <w:top w:val="nil"/>
              <w:left w:val="nil"/>
              <w:bottom w:val="nil"/>
              <w:right w:val="nil"/>
            </w:tcBorders>
            <w:shd w:val="clear" w:color="auto" w:fill="auto"/>
            <w:noWrap/>
            <w:vAlign w:val="center"/>
          </w:tcPr>
          <w:p w14:paraId="3A63123A"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(5.2051)</w:t>
            </w:r>
          </w:p>
        </w:tc>
        <w:tc>
          <w:tcPr>
            <w:tcW w:w="1076" w:type="dxa"/>
            <w:tcBorders>
              <w:top w:val="nil"/>
              <w:left w:val="nil"/>
              <w:bottom w:val="nil"/>
              <w:right w:val="nil"/>
            </w:tcBorders>
            <w:vAlign w:val="center"/>
          </w:tcPr>
          <w:p w14:paraId="05BF1703"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(1.7722)</w:t>
            </w:r>
          </w:p>
        </w:tc>
      </w:tr>
      <w:tr w:rsidR="00C702D7" w:rsidRPr="00C702D7" w14:paraId="52A33FC2" w14:textId="77777777" w:rsidTr="00B718EA">
        <w:trPr>
          <w:trHeight w:val="280"/>
          <w:jc w:val="center"/>
        </w:trPr>
        <w:tc>
          <w:tcPr>
            <w:tcW w:w="1701" w:type="dxa"/>
            <w:vMerge w:val="restart"/>
            <w:tcBorders>
              <w:top w:val="nil"/>
              <w:right w:val="nil"/>
            </w:tcBorders>
            <w:shd w:val="clear" w:color="auto" w:fill="auto"/>
            <w:noWrap/>
            <w:vAlign w:val="center"/>
          </w:tcPr>
          <w:p w14:paraId="21D691C2" w14:textId="77777777" w:rsidR="00D457FC" w:rsidRPr="00C702D7" w:rsidRDefault="00D457FC" w:rsidP="00B718EA">
            <w:pPr>
              <w:widowControl/>
              <w:spacing w:line="240" w:lineRule="auto"/>
              <w:ind w:firstLineChars="0" w:firstLine="0"/>
              <w:jc w:val="center"/>
              <w:rPr>
                <w:rFonts w:cs="Times New Roman"/>
                <w:i/>
                <w:kern w:val="0"/>
                <w:sz w:val="18"/>
                <w:szCs w:val="18"/>
              </w:rPr>
            </w:pPr>
            <w:proofErr w:type="spellStart"/>
            <w:r w:rsidRPr="00C702D7">
              <w:rPr>
                <w:rFonts w:cs="Times New Roman"/>
                <w:i/>
                <w:kern w:val="0"/>
                <w:sz w:val="18"/>
                <w:szCs w:val="18"/>
              </w:rPr>
              <w:t>LargeH</w:t>
            </w:r>
            <w:proofErr w:type="spellEnd"/>
          </w:p>
        </w:tc>
        <w:tc>
          <w:tcPr>
            <w:tcW w:w="1134" w:type="dxa"/>
            <w:tcBorders>
              <w:top w:val="nil"/>
              <w:left w:val="nil"/>
              <w:bottom w:val="nil"/>
              <w:right w:val="nil"/>
            </w:tcBorders>
            <w:vAlign w:val="center"/>
          </w:tcPr>
          <w:p w14:paraId="3FA271D4"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1134" w:type="dxa"/>
            <w:tcBorders>
              <w:top w:val="nil"/>
              <w:left w:val="nil"/>
              <w:bottom w:val="nil"/>
              <w:right w:val="nil"/>
            </w:tcBorders>
            <w:vAlign w:val="center"/>
          </w:tcPr>
          <w:p w14:paraId="55F5AE40"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-0.0139</w:t>
            </w:r>
            <w:r w:rsidRPr="00C702D7">
              <w:rPr>
                <w:rFonts w:eastAsia="等线" w:cs="Times New Roman"/>
                <w:sz w:val="18"/>
                <w:szCs w:val="18"/>
                <w:vertAlign w:val="superscript"/>
              </w:rPr>
              <w:t>***</w:t>
            </w:r>
          </w:p>
        </w:tc>
        <w:tc>
          <w:tcPr>
            <w:tcW w:w="1134" w:type="dxa"/>
            <w:tcBorders>
              <w:top w:val="nil"/>
              <w:left w:val="nil"/>
              <w:bottom w:val="nil"/>
              <w:right w:val="nil"/>
            </w:tcBorders>
            <w:vAlign w:val="center"/>
          </w:tcPr>
          <w:p w14:paraId="4D2ABE17"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-0.0136</w:t>
            </w:r>
            <w:r w:rsidRPr="00C702D7">
              <w:rPr>
                <w:rFonts w:eastAsia="等线" w:cs="Times New Roman" w:hint="eastAsia"/>
                <w:sz w:val="18"/>
                <w:szCs w:val="18"/>
                <w:vertAlign w:val="superscript"/>
              </w:rPr>
              <w:t>***</w:t>
            </w:r>
          </w:p>
        </w:tc>
        <w:tc>
          <w:tcPr>
            <w:tcW w:w="1134" w:type="dxa"/>
            <w:tcBorders>
              <w:top w:val="nil"/>
              <w:left w:val="nil"/>
              <w:bottom w:val="nil"/>
              <w:right w:val="nil"/>
            </w:tcBorders>
            <w:vAlign w:val="center"/>
          </w:tcPr>
          <w:p w14:paraId="7BCB6752"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993" w:type="dxa"/>
            <w:tcBorders>
              <w:top w:val="nil"/>
              <w:left w:val="nil"/>
              <w:bottom w:val="nil"/>
              <w:right w:val="nil"/>
            </w:tcBorders>
            <w:shd w:val="clear" w:color="auto" w:fill="auto"/>
            <w:noWrap/>
            <w:vAlign w:val="center"/>
          </w:tcPr>
          <w:p w14:paraId="4547B55E"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-0.0094</w:t>
            </w:r>
            <w:r w:rsidRPr="00C702D7">
              <w:rPr>
                <w:rFonts w:eastAsia="等线" w:cs="Times New Roman"/>
                <w:sz w:val="18"/>
                <w:szCs w:val="18"/>
                <w:vertAlign w:val="superscript"/>
              </w:rPr>
              <w:t>***</w:t>
            </w:r>
          </w:p>
        </w:tc>
        <w:tc>
          <w:tcPr>
            <w:tcW w:w="1076" w:type="dxa"/>
            <w:tcBorders>
              <w:top w:val="nil"/>
              <w:left w:val="nil"/>
              <w:bottom w:val="nil"/>
              <w:right w:val="nil"/>
            </w:tcBorders>
            <w:vAlign w:val="center"/>
          </w:tcPr>
          <w:p w14:paraId="6B05A54C"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-0.0090</w:t>
            </w:r>
            <w:r w:rsidRPr="00C702D7">
              <w:rPr>
                <w:rFonts w:eastAsia="等线" w:cs="Times New Roman" w:hint="eastAsia"/>
                <w:sz w:val="18"/>
                <w:szCs w:val="18"/>
                <w:vertAlign w:val="superscript"/>
              </w:rPr>
              <w:t>*</w:t>
            </w:r>
          </w:p>
        </w:tc>
      </w:tr>
      <w:tr w:rsidR="00C702D7" w:rsidRPr="00C702D7" w14:paraId="3AC9B7E5" w14:textId="77777777" w:rsidTr="00B718EA">
        <w:trPr>
          <w:trHeight w:val="280"/>
          <w:jc w:val="center"/>
        </w:trPr>
        <w:tc>
          <w:tcPr>
            <w:tcW w:w="1701" w:type="dxa"/>
            <w:vMerge/>
            <w:tcBorders>
              <w:bottom w:val="nil"/>
              <w:right w:val="nil"/>
            </w:tcBorders>
            <w:shd w:val="clear" w:color="auto" w:fill="auto"/>
            <w:noWrap/>
            <w:vAlign w:val="center"/>
          </w:tcPr>
          <w:p w14:paraId="5BD1C5B9" w14:textId="77777777" w:rsidR="00D457FC" w:rsidRPr="00C702D7" w:rsidRDefault="00D457FC" w:rsidP="00B718EA">
            <w:pPr>
              <w:widowControl/>
              <w:spacing w:line="240" w:lineRule="auto"/>
              <w:ind w:firstLineChars="0" w:firstLine="0"/>
              <w:jc w:val="center"/>
              <w:rPr>
                <w:rFonts w:cs="Times New Roman"/>
                <w:i/>
                <w:kern w:val="0"/>
                <w:sz w:val="18"/>
                <w:szCs w:val="18"/>
              </w:rPr>
            </w:pPr>
          </w:p>
        </w:tc>
        <w:tc>
          <w:tcPr>
            <w:tcW w:w="1134" w:type="dxa"/>
            <w:tcBorders>
              <w:top w:val="nil"/>
              <w:left w:val="nil"/>
              <w:bottom w:val="nil"/>
              <w:right w:val="nil"/>
            </w:tcBorders>
            <w:vAlign w:val="center"/>
          </w:tcPr>
          <w:p w14:paraId="199B38A7"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1134" w:type="dxa"/>
            <w:tcBorders>
              <w:top w:val="nil"/>
              <w:left w:val="nil"/>
              <w:bottom w:val="nil"/>
              <w:right w:val="nil"/>
            </w:tcBorders>
            <w:vAlign w:val="center"/>
          </w:tcPr>
          <w:p w14:paraId="72D92E77"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(-4.0232)</w:t>
            </w:r>
          </w:p>
        </w:tc>
        <w:tc>
          <w:tcPr>
            <w:tcW w:w="1134" w:type="dxa"/>
            <w:tcBorders>
              <w:top w:val="nil"/>
              <w:left w:val="nil"/>
              <w:bottom w:val="nil"/>
              <w:right w:val="nil"/>
            </w:tcBorders>
            <w:vAlign w:val="center"/>
          </w:tcPr>
          <w:p w14:paraId="10D8763B"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(-3.7082)</w:t>
            </w:r>
          </w:p>
        </w:tc>
        <w:tc>
          <w:tcPr>
            <w:tcW w:w="1134" w:type="dxa"/>
            <w:tcBorders>
              <w:top w:val="nil"/>
              <w:left w:val="nil"/>
              <w:bottom w:val="nil"/>
              <w:right w:val="nil"/>
            </w:tcBorders>
            <w:vAlign w:val="center"/>
          </w:tcPr>
          <w:p w14:paraId="5B3C7798"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993" w:type="dxa"/>
            <w:tcBorders>
              <w:top w:val="nil"/>
              <w:left w:val="nil"/>
              <w:bottom w:val="nil"/>
              <w:right w:val="nil"/>
            </w:tcBorders>
            <w:shd w:val="clear" w:color="auto" w:fill="auto"/>
            <w:noWrap/>
            <w:vAlign w:val="center"/>
          </w:tcPr>
          <w:p w14:paraId="39C4EAF8"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(-3.2949)</w:t>
            </w:r>
          </w:p>
        </w:tc>
        <w:tc>
          <w:tcPr>
            <w:tcW w:w="1076" w:type="dxa"/>
            <w:tcBorders>
              <w:top w:val="nil"/>
              <w:left w:val="nil"/>
              <w:bottom w:val="nil"/>
              <w:right w:val="nil"/>
            </w:tcBorders>
            <w:vAlign w:val="center"/>
          </w:tcPr>
          <w:p w14:paraId="52770362"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(-2.0560)</w:t>
            </w:r>
          </w:p>
        </w:tc>
      </w:tr>
      <w:tr w:rsidR="00C702D7" w:rsidRPr="00C702D7" w14:paraId="4615FA36" w14:textId="77777777" w:rsidTr="00B718EA">
        <w:trPr>
          <w:trHeight w:val="280"/>
          <w:jc w:val="center"/>
        </w:trPr>
        <w:tc>
          <w:tcPr>
            <w:tcW w:w="1701" w:type="dxa"/>
            <w:vMerge w:val="restart"/>
            <w:tcBorders>
              <w:top w:val="nil"/>
              <w:right w:val="nil"/>
            </w:tcBorders>
            <w:shd w:val="clear" w:color="auto" w:fill="auto"/>
            <w:noWrap/>
            <w:vAlign w:val="center"/>
          </w:tcPr>
          <w:p w14:paraId="67A0983E" w14:textId="77777777" w:rsidR="00D457FC" w:rsidRPr="00C702D7" w:rsidRDefault="00D457FC" w:rsidP="00B718EA">
            <w:pPr>
              <w:widowControl/>
              <w:spacing w:line="240" w:lineRule="auto"/>
              <w:ind w:firstLineChars="0" w:firstLine="0"/>
              <w:jc w:val="center"/>
              <w:rPr>
                <w:rFonts w:cs="Times New Roman"/>
                <w:i/>
                <w:kern w:val="0"/>
                <w:sz w:val="18"/>
                <w:szCs w:val="18"/>
              </w:rPr>
            </w:pPr>
            <w:r w:rsidRPr="00C702D7">
              <w:rPr>
                <w:rFonts w:cs="Times New Roman"/>
                <w:i/>
                <w:kern w:val="0"/>
                <w:sz w:val="18"/>
                <w:szCs w:val="18"/>
              </w:rPr>
              <w:t>Inde</w:t>
            </w:r>
          </w:p>
        </w:tc>
        <w:tc>
          <w:tcPr>
            <w:tcW w:w="1134" w:type="dxa"/>
            <w:tcBorders>
              <w:top w:val="nil"/>
              <w:left w:val="nil"/>
              <w:bottom w:val="nil"/>
              <w:right w:val="nil"/>
            </w:tcBorders>
            <w:vAlign w:val="center"/>
          </w:tcPr>
          <w:p w14:paraId="16FD6A60"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1134" w:type="dxa"/>
            <w:tcBorders>
              <w:top w:val="nil"/>
              <w:left w:val="nil"/>
              <w:bottom w:val="nil"/>
              <w:right w:val="nil"/>
            </w:tcBorders>
            <w:vAlign w:val="center"/>
          </w:tcPr>
          <w:p w14:paraId="12E6B547"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-0.0010</w:t>
            </w:r>
          </w:p>
        </w:tc>
        <w:tc>
          <w:tcPr>
            <w:tcW w:w="1134" w:type="dxa"/>
            <w:tcBorders>
              <w:top w:val="nil"/>
              <w:left w:val="nil"/>
              <w:bottom w:val="nil"/>
              <w:right w:val="nil"/>
            </w:tcBorders>
            <w:vAlign w:val="center"/>
          </w:tcPr>
          <w:p w14:paraId="37C51473"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-0.0397</w:t>
            </w:r>
            <w:r w:rsidRPr="00C702D7">
              <w:rPr>
                <w:rFonts w:eastAsia="等线" w:cs="Times New Roman" w:hint="eastAsia"/>
                <w:sz w:val="18"/>
                <w:szCs w:val="18"/>
                <w:vertAlign w:val="superscript"/>
              </w:rPr>
              <w:t>***</w:t>
            </w:r>
          </w:p>
        </w:tc>
        <w:tc>
          <w:tcPr>
            <w:tcW w:w="1134" w:type="dxa"/>
            <w:tcBorders>
              <w:top w:val="nil"/>
              <w:left w:val="nil"/>
              <w:bottom w:val="nil"/>
              <w:right w:val="nil"/>
            </w:tcBorders>
            <w:vAlign w:val="center"/>
          </w:tcPr>
          <w:p w14:paraId="1EAE4756"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993" w:type="dxa"/>
            <w:tcBorders>
              <w:top w:val="nil"/>
              <w:left w:val="nil"/>
              <w:bottom w:val="nil"/>
              <w:right w:val="nil"/>
            </w:tcBorders>
            <w:shd w:val="clear" w:color="auto" w:fill="auto"/>
            <w:noWrap/>
            <w:vAlign w:val="center"/>
          </w:tcPr>
          <w:p w14:paraId="1EF373A1"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0.0017</w:t>
            </w:r>
          </w:p>
        </w:tc>
        <w:tc>
          <w:tcPr>
            <w:tcW w:w="1076" w:type="dxa"/>
            <w:tcBorders>
              <w:top w:val="nil"/>
              <w:left w:val="nil"/>
              <w:bottom w:val="nil"/>
              <w:right w:val="nil"/>
            </w:tcBorders>
            <w:vAlign w:val="center"/>
          </w:tcPr>
          <w:p w14:paraId="7CA7A29A"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-0.0402</w:t>
            </w:r>
            <w:r w:rsidRPr="00C702D7">
              <w:rPr>
                <w:rFonts w:eastAsia="等线" w:cs="Times New Roman" w:hint="eastAsia"/>
                <w:sz w:val="18"/>
                <w:szCs w:val="18"/>
                <w:vertAlign w:val="superscript"/>
              </w:rPr>
              <w:t>***</w:t>
            </w:r>
          </w:p>
        </w:tc>
      </w:tr>
      <w:tr w:rsidR="00C702D7" w:rsidRPr="00C702D7" w14:paraId="3A681FC6" w14:textId="77777777" w:rsidTr="00B718EA">
        <w:trPr>
          <w:trHeight w:val="280"/>
          <w:jc w:val="center"/>
        </w:trPr>
        <w:tc>
          <w:tcPr>
            <w:tcW w:w="1701" w:type="dxa"/>
            <w:vMerge/>
            <w:tcBorders>
              <w:bottom w:val="nil"/>
              <w:right w:val="nil"/>
            </w:tcBorders>
            <w:shd w:val="clear" w:color="auto" w:fill="auto"/>
            <w:noWrap/>
            <w:vAlign w:val="center"/>
          </w:tcPr>
          <w:p w14:paraId="542CC4A7" w14:textId="77777777" w:rsidR="00D457FC" w:rsidRPr="00C702D7" w:rsidRDefault="00D457FC" w:rsidP="00B718EA">
            <w:pPr>
              <w:widowControl/>
              <w:spacing w:line="240" w:lineRule="auto"/>
              <w:ind w:firstLineChars="0" w:firstLine="0"/>
              <w:jc w:val="center"/>
              <w:rPr>
                <w:rFonts w:cs="Times New Roman"/>
                <w:i/>
                <w:kern w:val="0"/>
                <w:sz w:val="18"/>
                <w:szCs w:val="18"/>
              </w:rPr>
            </w:pPr>
          </w:p>
        </w:tc>
        <w:tc>
          <w:tcPr>
            <w:tcW w:w="1134" w:type="dxa"/>
            <w:tcBorders>
              <w:top w:val="nil"/>
              <w:left w:val="nil"/>
              <w:bottom w:val="nil"/>
              <w:right w:val="nil"/>
            </w:tcBorders>
            <w:vAlign w:val="center"/>
          </w:tcPr>
          <w:p w14:paraId="54812F1B"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1134" w:type="dxa"/>
            <w:tcBorders>
              <w:top w:val="nil"/>
              <w:left w:val="nil"/>
              <w:bottom w:val="nil"/>
              <w:right w:val="nil"/>
            </w:tcBorders>
            <w:vAlign w:val="center"/>
          </w:tcPr>
          <w:p w14:paraId="7AF902FC"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(-0.7226)</w:t>
            </w:r>
          </w:p>
        </w:tc>
        <w:tc>
          <w:tcPr>
            <w:tcW w:w="1134" w:type="dxa"/>
            <w:tcBorders>
              <w:top w:val="nil"/>
              <w:left w:val="nil"/>
              <w:bottom w:val="nil"/>
              <w:right w:val="nil"/>
            </w:tcBorders>
            <w:vAlign w:val="center"/>
          </w:tcPr>
          <w:p w14:paraId="3DF47821"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(-4.5594)</w:t>
            </w:r>
          </w:p>
        </w:tc>
        <w:tc>
          <w:tcPr>
            <w:tcW w:w="1134" w:type="dxa"/>
            <w:tcBorders>
              <w:top w:val="nil"/>
              <w:left w:val="nil"/>
              <w:bottom w:val="nil"/>
              <w:right w:val="nil"/>
            </w:tcBorders>
            <w:vAlign w:val="center"/>
          </w:tcPr>
          <w:p w14:paraId="66B16A1F"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993" w:type="dxa"/>
            <w:tcBorders>
              <w:top w:val="nil"/>
              <w:left w:val="nil"/>
              <w:bottom w:val="nil"/>
              <w:right w:val="nil"/>
            </w:tcBorders>
            <w:shd w:val="clear" w:color="auto" w:fill="auto"/>
            <w:noWrap/>
            <w:vAlign w:val="center"/>
          </w:tcPr>
          <w:p w14:paraId="3F4102D3"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(1.4899)</w:t>
            </w:r>
          </w:p>
        </w:tc>
        <w:tc>
          <w:tcPr>
            <w:tcW w:w="1076" w:type="dxa"/>
            <w:tcBorders>
              <w:top w:val="nil"/>
              <w:left w:val="nil"/>
              <w:bottom w:val="nil"/>
              <w:right w:val="nil"/>
            </w:tcBorders>
            <w:vAlign w:val="center"/>
          </w:tcPr>
          <w:p w14:paraId="3C163125"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(-4.6279)</w:t>
            </w:r>
          </w:p>
        </w:tc>
      </w:tr>
      <w:tr w:rsidR="00C702D7" w:rsidRPr="00C702D7" w14:paraId="45656BA4" w14:textId="77777777" w:rsidTr="00B718EA">
        <w:trPr>
          <w:trHeight w:val="280"/>
          <w:jc w:val="center"/>
        </w:trPr>
        <w:tc>
          <w:tcPr>
            <w:tcW w:w="1701" w:type="dxa"/>
            <w:vMerge w:val="restart"/>
            <w:tcBorders>
              <w:top w:val="nil"/>
              <w:right w:val="nil"/>
            </w:tcBorders>
            <w:shd w:val="clear" w:color="auto" w:fill="auto"/>
            <w:noWrap/>
            <w:vAlign w:val="center"/>
          </w:tcPr>
          <w:p w14:paraId="4797C5C5" w14:textId="77777777" w:rsidR="00D457FC" w:rsidRPr="00C702D7" w:rsidRDefault="00D457FC" w:rsidP="00B718EA">
            <w:pPr>
              <w:widowControl/>
              <w:spacing w:line="240" w:lineRule="auto"/>
              <w:ind w:firstLineChars="0" w:firstLine="0"/>
              <w:jc w:val="center"/>
              <w:rPr>
                <w:rFonts w:cs="Times New Roman"/>
                <w:i/>
                <w:kern w:val="0"/>
                <w:sz w:val="18"/>
                <w:szCs w:val="18"/>
              </w:rPr>
            </w:pPr>
            <w:r w:rsidRPr="00C702D7">
              <w:rPr>
                <w:rFonts w:cs="Times New Roman"/>
                <w:i/>
                <w:kern w:val="0"/>
                <w:sz w:val="18"/>
                <w:szCs w:val="18"/>
              </w:rPr>
              <w:t>Board</w:t>
            </w:r>
          </w:p>
        </w:tc>
        <w:tc>
          <w:tcPr>
            <w:tcW w:w="1134" w:type="dxa"/>
            <w:tcBorders>
              <w:top w:val="nil"/>
              <w:left w:val="nil"/>
              <w:bottom w:val="nil"/>
              <w:right w:val="nil"/>
            </w:tcBorders>
            <w:vAlign w:val="center"/>
          </w:tcPr>
          <w:p w14:paraId="248B046A"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1134" w:type="dxa"/>
            <w:tcBorders>
              <w:top w:val="nil"/>
              <w:left w:val="nil"/>
              <w:bottom w:val="nil"/>
              <w:right w:val="nil"/>
            </w:tcBorders>
            <w:vAlign w:val="center"/>
          </w:tcPr>
          <w:p w14:paraId="043514ED"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-0.0004</w:t>
            </w:r>
            <w:r w:rsidRPr="00C702D7">
              <w:rPr>
                <w:rFonts w:eastAsia="等线" w:cs="Times New Roman"/>
                <w:sz w:val="18"/>
                <w:szCs w:val="18"/>
                <w:vertAlign w:val="superscript"/>
              </w:rPr>
              <w:t>*</w:t>
            </w:r>
          </w:p>
        </w:tc>
        <w:tc>
          <w:tcPr>
            <w:tcW w:w="1134" w:type="dxa"/>
            <w:tcBorders>
              <w:top w:val="nil"/>
              <w:left w:val="nil"/>
              <w:bottom w:val="nil"/>
              <w:right w:val="nil"/>
            </w:tcBorders>
            <w:vAlign w:val="center"/>
          </w:tcPr>
          <w:p w14:paraId="03708757"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-0.0015</w:t>
            </w:r>
            <w:r w:rsidRPr="00C702D7">
              <w:rPr>
                <w:rFonts w:eastAsia="等线" w:cs="Times New Roman" w:hint="eastAsia"/>
                <w:sz w:val="18"/>
                <w:szCs w:val="18"/>
                <w:vertAlign w:val="superscript"/>
              </w:rPr>
              <w:t>***</w:t>
            </w:r>
          </w:p>
        </w:tc>
        <w:tc>
          <w:tcPr>
            <w:tcW w:w="1134" w:type="dxa"/>
            <w:tcBorders>
              <w:top w:val="nil"/>
              <w:left w:val="nil"/>
              <w:bottom w:val="nil"/>
              <w:right w:val="nil"/>
            </w:tcBorders>
            <w:vAlign w:val="center"/>
          </w:tcPr>
          <w:p w14:paraId="0F04D3C6"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993" w:type="dxa"/>
            <w:tcBorders>
              <w:top w:val="nil"/>
              <w:left w:val="nil"/>
              <w:bottom w:val="nil"/>
              <w:right w:val="nil"/>
            </w:tcBorders>
            <w:shd w:val="clear" w:color="auto" w:fill="auto"/>
            <w:noWrap/>
            <w:vAlign w:val="center"/>
          </w:tcPr>
          <w:p w14:paraId="473D0B20"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-0.0004</w:t>
            </w:r>
            <w:r w:rsidRPr="00C702D7">
              <w:rPr>
                <w:rFonts w:eastAsia="等线" w:cs="Times New Roman"/>
                <w:sz w:val="18"/>
                <w:szCs w:val="18"/>
                <w:vertAlign w:val="superscript"/>
              </w:rPr>
              <w:t>**</w:t>
            </w:r>
          </w:p>
        </w:tc>
        <w:tc>
          <w:tcPr>
            <w:tcW w:w="1076" w:type="dxa"/>
            <w:tcBorders>
              <w:top w:val="nil"/>
              <w:left w:val="nil"/>
              <w:bottom w:val="nil"/>
              <w:right w:val="nil"/>
            </w:tcBorders>
            <w:vAlign w:val="center"/>
          </w:tcPr>
          <w:p w14:paraId="0BE0AD4F"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-0.0015</w:t>
            </w:r>
            <w:r w:rsidRPr="00C702D7">
              <w:rPr>
                <w:rFonts w:eastAsia="等线" w:cs="Times New Roman" w:hint="eastAsia"/>
                <w:sz w:val="18"/>
                <w:szCs w:val="18"/>
                <w:vertAlign w:val="superscript"/>
              </w:rPr>
              <w:t>***</w:t>
            </w:r>
          </w:p>
        </w:tc>
      </w:tr>
      <w:tr w:rsidR="00C702D7" w:rsidRPr="00C702D7" w14:paraId="4D228AE1" w14:textId="77777777" w:rsidTr="00B718EA">
        <w:trPr>
          <w:trHeight w:val="280"/>
          <w:jc w:val="center"/>
        </w:trPr>
        <w:tc>
          <w:tcPr>
            <w:tcW w:w="1701" w:type="dxa"/>
            <w:vMerge/>
            <w:tcBorders>
              <w:bottom w:val="nil"/>
              <w:right w:val="nil"/>
            </w:tcBorders>
            <w:shd w:val="clear" w:color="auto" w:fill="auto"/>
            <w:noWrap/>
            <w:vAlign w:val="center"/>
          </w:tcPr>
          <w:p w14:paraId="5EDF5867" w14:textId="77777777" w:rsidR="00D457FC" w:rsidRPr="00C702D7" w:rsidRDefault="00D457FC" w:rsidP="00B718EA">
            <w:pPr>
              <w:widowControl/>
              <w:spacing w:line="240" w:lineRule="auto"/>
              <w:ind w:firstLineChars="0" w:firstLine="0"/>
              <w:jc w:val="center"/>
              <w:rPr>
                <w:rFonts w:cs="Times New Roman"/>
                <w:i/>
                <w:kern w:val="0"/>
                <w:sz w:val="18"/>
                <w:szCs w:val="18"/>
              </w:rPr>
            </w:pPr>
          </w:p>
        </w:tc>
        <w:tc>
          <w:tcPr>
            <w:tcW w:w="1134" w:type="dxa"/>
            <w:tcBorders>
              <w:top w:val="nil"/>
              <w:left w:val="nil"/>
              <w:bottom w:val="nil"/>
              <w:right w:val="nil"/>
            </w:tcBorders>
            <w:vAlign w:val="center"/>
          </w:tcPr>
          <w:p w14:paraId="394F61DA"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1134" w:type="dxa"/>
            <w:tcBorders>
              <w:top w:val="nil"/>
              <w:left w:val="nil"/>
              <w:bottom w:val="nil"/>
              <w:right w:val="nil"/>
            </w:tcBorders>
            <w:vAlign w:val="center"/>
          </w:tcPr>
          <w:p w14:paraId="3569BA65"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(-2.0852)</w:t>
            </w:r>
          </w:p>
        </w:tc>
        <w:tc>
          <w:tcPr>
            <w:tcW w:w="1134" w:type="dxa"/>
            <w:tcBorders>
              <w:top w:val="nil"/>
              <w:left w:val="nil"/>
              <w:bottom w:val="nil"/>
              <w:right w:val="nil"/>
            </w:tcBorders>
            <w:vAlign w:val="center"/>
          </w:tcPr>
          <w:p w14:paraId="34207222"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(-4.6065)</w:t>
            </w:r>
          </w:p>
        </w:tc>
        <w:tc>
          <w:tcPr>
            <w:tcW w:w="1134" w:type="dxa"/>
            <w:tcBorders>
              <w:top w:val="nil"/>
              <w:left w:val="nil"/>
              <w:bottom w:val="nil"/>
              <w:right w:val="nil"/>
            </w:tcBorders>
            <w:vAlign w:val="center"/>
          </w:tcPr>
          <w:p w14:paraId="5BC75A17"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993" w:type="dxa"/>
            <w:tcBorders>
              <w:top w:val="nil"/>
              <w:left w:val="nil"/>
              <w:bottom w:val="nil"/>
              <w:right w:val="nil"/>
            </w:tcBorders>
            <w:shd w:val="clear" w:color="auto" w:fill="auto"/>
            <w:noWrap/>
            <w:vAlign w:val="center"/>
          </w:tcPr>
          <w:p w14:paraId="09D81919"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(-2.6231)</w:t>
            </w:r>
          </w:p>
        </w:tc>
        <w:tc>
          <w:tcPr>
            <w:tcW w:w="1076" w:type="dxa"/>
            <w:tcBorders>
              <w:top w:val="nil"/>
              <w:left w:val="nil"/>
              <w:bottom w:val="nil"/>
              <w:right w:val="nil"/>
            </w:tcBorders>
            <w:vAlign w:val="center"/>
          </w:tcPr>
          <w:p w14:paraId="42478768"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(-4.4223)</w:t>
            </w:r>
          </w:p>
        </w:tc>
      </w:tr>
      <w:tr w:rsidR="00C702D7" w:rsidRPr="00C702D7" w14:paraId="17D6ABEC" w14:textId="77777777" w:rsidTr="00B718EA">
        <w:trPr>
          <w:trHeight w:val="280"/>
          <w:jc w:val="center"/>
        </w:trPr>
        <w:tc>
          <w:tcPr>
            <w:tcW w:w="1701" w:type="dxa"/>
            <w:vMerge w:val="restart"/>
            <w:tcBorders>
              <w:top w:val="nil"/>
              <w:right w:val="nil"/>
            </w:tcBorders>
            <w:shd w:val="clear" w:color="auto" w:fill="auto"/>
            <w:noWrap/>
            <w:vAlign w:val="center"/>
          </w:tcPr>
          <w:p w14:paraId="4136BB5F" w14:textId="77777777" w:rsidR="00D457FC" w:rsidRPr="00C702D7" w:rsidRDefault="00D457FC" w:rsidP="00B718EA">
            <w:pPr>
              <w:widowControl/>
              <w:spacing w:line="240" w:lineRule="auto"/>
              <w:ind w:firstLineChars="0" w:firstLine="0"/>
              <w:jc w:val="center"/>
              <w:rPr>
                <w:rFonts w:cs="Times New Roman"/>
                <w:i/>
                <w:iCs/>
                <w:kern w:val="0"/>
                <w:sz w:val="18"/>
                <w:szCs w:val="18"/>
              </w:rPr>
            </w:pPr>
            <w:r w:rsidRPr="00C702D7">
              <w:rPr>
                <w:rFonts w:cs="Times New Roman"/>
                <w:i/>
                <w:iCs/>
                <w:kern w:val="0"/>
                <w:sz w:val="18"/>
                <w:szCs w:val="18"/>
              </w:rPr>
              <w:t>Dual</w:t>
            </w:r>
          </w:p>
        </w:tc>
        <w:tc>
          <w:tcPr>
            <w:tcW w:w="1134" w:type="dxa"/>
            <w:tcBorders>
              <w:top w:val="nil"/>
              <w:left w:val="nil"/>
              <w:bottom w:val="nil"/>
              <w:right w:val="nil"/>
            </w:tcBorders>
            <w:vAlign w:val="center"/>
          </w:tcPr>
          <w:p w14:paraId="6BBEF8FC"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1134" w:type="dxa"/>
            <w:tcBorders>
              <w:top w:val="nil"/>
              <w:left w:val="nil"/>
              <w:bottom w:val="nil"/>
              <w:right w:val="nil"/>
            </w:tcBorders>
            <w:vAlign w:val="center"/>
          </w:tcPr>
          <w:p w14:paraId="1862D4B5"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0.0011</w:t>
            </w:r>
            <w:r w:rsidRPr="00C702D7">
              <w:rPr>
                <w:rFonts w:eastAsia="等线" w:cs="Times New Roman"/>
                <w:sz w:val="18"/>
                <w:szCs w:val="18"/>
                <w:vertAlign w:val="superscript"/>
              </w:rPr>
              <w:t>***</w:t>
            </w:r>
          </w:p>
        </w:tc>
        <w:tc>
          <w:tcPr>
            <w:tcW w:w="1134" w:type="dxa"/>
            <w:tcBorders>
              <w:top w:val="nil"/>
              <w:left w:val="nil"/>
              <w:bottom w:val="nil"/>
              <w:right w:val="nil"/>
            </w:tcBorders>
            <w:vAlign w:val="center"/>
          </w:tcPr>
          <w:p w14:paraId="2286F2A8"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0.0030</w:t>
            </w:r>
            <w:r w:rsidRPr="00C702D7">
              <w:rPr>
                <w:rFonts w:eastAsia="等线" w:cs="Times New Roman" w:hint="eastAsia"/>
                <w:sz w:val="18"/>
                <w:szCs w:val="18"/>
                <w:vertAlign w:val="superscript"/>
              </w:rPr>
              <w:t>***</w:t>
            </w:r>
          </w:p>
        </w:tc>
        <w:tc>
          <w:tcPr>
            <w:tcW w:w="1134" w:type="dxa"/>
            <w:tcBorders>
              <w:top w:val="nil"/>
              <w:left w:val="nil"/>
              <w:bottom w:val="nil"/>
              <w:right w:val="nil"/>
            </w:tcBorders>
            <w:vAlign w:val="center"/>
          </w:tcPr>
          <w:p w14:paraId="2E17D4C6"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993" w:type="dxa"/>
            <w:tcBorders>
              <w:top w:val="nil"/>
              <w:left w:val="nil"/>
              <w:bottom w:val="nil"/>
              <w:right w:val="nil"/>
            </w:tcBorders>
            <w:shd w:val="clear" w:color="auto" w:fill="auto"/>
            <w:noWrap/>
            <w:vAlign w:val="center"/>
          </w:tcPr>
          <w:p w14:paraId="634A7D2E"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0.0015</w:t>
            </w:r>
            <w:r w:rsidRPr="00C702D7">
              <w:rPr>
                <w:rFonts w:eastAsia="等线" w:cs="Times New Roman"/>
                <w:sz w:val="18"/>
                <w:szCs w:val="18"/>
                <w:vertAlign w:val="superscript"/>
              </w:rPr>
              <w:t>***</w:t>
            </w:r>
          </w:p>
        </w:tc>
        <w:tc>
          <w:tcPr>
            <w:tcW w:w="1076" w:type="dxa"/>
            <w:tcBorders>
              <w:top w:val="nil"/>
              <w:left w:val="nil"/>
              <w:bottom w:val="nil"/>
              <w:right w:val="nil"/>
            </w:tcBorders>
            <w:vAlign w:val="center"/>
          </w:tcPr>
          <w:p w14:paraId="3BB131F7"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0.0030</w:t>
            </w:r>
            <w:r w:rsidRPr="00C702D7">
              <w:rPr>
                <w:rFonts w:eastAsia="等线" w:cs="Times New Roman" w:hint="eastAsia"/>
                <w:sz w:val="18"/>
                <w:szCs w:val="18"/>
                <w:vertAlign w:val="superscript"/>
              </w:rPr>
              <w:t>***</w:t>
            </w:r>
          </w:p>
        </w:tc>
      </w:tr>
      <w:tr w:rsidR="00C702D7" w:rsidRPr="00C702D7" w14:paraId="3D41629B" w14:textId="77777777" w:rsidTr="00B718EA">
        <w:trPr>
          <w:trHeight w:val="280"/>
          <w:jc w:val="center"/>
        </w:trPr>
        <w:tc>
          <w:tcPr>
            <w:tcW w:w="1701" w:type="dxa"/>
            <w:vMerge/>
            <w:tcBorders>
              <w:bottom w:val="nil"/>
              <w:right w:val="nil"/>
            </w:tcBorders>
            <w:shd w:val="clear" w:color="auto" w:fill="auto"/>
            <w:noWrap/>
            <w:vAlign w:val="center"/>
          </w:tcPr>
          <w:p w14:paraId="218E3263" w14:textId="77777777" w:rsidR="00D457FC" w:rsidRPr="00C702D7" w:rsidRDefault="00D457FC" w:rsidP="00B718EA">
            <w:pPr>
              <w:widowControl/>
              <w:spacing w:line="240" w:lineRule="auto"/>
              <w:ind w:firstLineChars="0" w:firstLine="0"/>
              <w:jc w:val="center"/>
              <w:rPr>
                <w:rFonts w:cs="Times New Roman"/>
                <w:kern w:val="0"/>
                <w:sz w:val="18"/>
                <w:szCs w:val="18"/>
              </w:rPr>
            </w:pPr>
          </w:p>
        </w:tc>
        <w:tc>
          <w:tcPr>
            <w:tcW w:w="1134" w:type="dxa"/>
            <w:tcBorders>
              <w:top w:val="nil"/>
              <w:left w:val="nil"/>
              <w:bottom w:val="nil"/>
              <w:right w:val="nil"/>
            </w:tcBorders>
            <w:vAlign w:val="center"/>
          </w:tcPr>
          <w:p w14:paraId="672FB589"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1134" w:type="dxa"/>
            <w:tcBorders>
              <w:top w:val="nil"/>
              <w:left w:val="nil"/>
              <w:bottom w:val="nil"/>
              <w:right w:val="nil"/>
            </w:tcBorders>
            <w:vAlign w:val="center"/>
          </w:tcPr>
          <w:p w14:paraId="2C54441A"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(3.2736)</w:t>
            </w:r>
          </w:p>
        </w:tc>
        <w:tc>
          <w:tcPr>
            <w:tcW w:w="1134" w:type="dxa"/>
            <w:tcBorders>
              <w:top w:val="nil"/>
              <w:left w:val="nil"/>
              <w:bottom w:val="nil"/>
              <w:right w:val="nil"/>
            </w:tcBorders>
            <w:vAlign w:val="center"/>
          </w:tcPr>
          <w:p w14:paraId="37C57289"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(3.1391)</w:t>
            </w:r>
          </w:p>
        </w:tc>
        <w:tc>
          <w:tcPr>
            <w:tcW w:w="1134" w:type="dxa"/>
            <w:tcBorders>
              <w:top w:val="nil"/>
              <w:left w:val="nil"/>
              <w:bottom w:val="nil"/>
              <w:right w:val="nil"/>
            </w:tcBorders>
            <w:vAlign w:val="center"/>
          </w:tcPr>
          <w:p w14:paraId="2CC7CA7C"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993" w:type="dxa"/>
            <w:tcBorders>
              <w:top w:val="nil"/>
              <w:left w:val="nil"/>
              <w:bottom w:val="nil"/>
              <w:right w:val="nil"/>
            </w:tcBorders>
            <w:shd w:val="clear" w:color="auto" w:fill="auto"/>
            <w:noWrap/>
            <w:vAlign w:val="center"/>
          </w:tcPr>
          <w:p w14:paraId="07AFD34A"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(3.1894)</w:t>
            </w:r>
          </w:p>
        </w:tc>
        <w:tc>
          <w:tcPr>
            <w:tcW w:w="1076" w:type="dxa"/>
            <w:tcBorders>
              <w:top w:val="nil"/>
              <w:left w:val="nil"/>
              <w:bottom w:val="nil"/>
              <w:right w:val="nil"/>
            </w:tcBorders>
            <w:vAlign w:val="center"/>
          </w:tcPr>
          <w:p w14:paraId="7F4961FF"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(3.4915)</w:t>
            </w:r>
          </w:p>
        </w:tc>
      </w:tr>
      <w:tr w:rsidR="00C702D7" w:rsidRPr="00C702D7" w14:paraId="644A3E0F" w14:textId="77777777" w:rsidTr="00B718EA">
        <w:trPr>
          <w:trHeight w:val="280"/>
          <w:jc w:val="center"/>
        </w:trPr>
        <w:tc>
          <w:tcPr>
            <w:tcW w:w="1701" w:type="dxa"/>
            <w:vMerge w:val="restart"/>
            <w:tcBorders>
              <w:top w:val="nil"/>
              <w:right w:val="nil"/>
            </w:tcBorders>
            <w:shd w:val="clear" w:color="auto" w:fill="auto"/>
            <w:noWrap/>
            <w:vAlign w:val="center"/>
          </w:tcPr>
          <w:p w14:paraId="1070AE9A" w14:textId="77777777" w:rsidR="00D457FC" w:rsidRPr="00C702D7" w:rsidRDefault="00D457FC" w:rsidP="00B718EA">
            <w:pPr>
              <w:widowControl/>
              <w:spacing w:line="240" w:lineRule="auto"/>
              <w:ind w:firstLineChars="0" w:firstLine="0"/>
              <w:jc w:val="center"/>
              <w:rPr>
                <w:rFonts w:cs="Times New Roman"/>
                <w:i/>
                <w:iCs/>
                <w:kern w:val="0"/>
                <w:sz w:val="18"/>
                <w:szCs w:val="18"/>
              </w:rPr>
            </w:pPr>
            <w:r w:rsidRPr="00C702D7">
              <w:rPr>
                <w:rFonts w:cs="Times New Roman" w:hint="eastAsia"/>
                <w:i/>
                <w:iCs/>
                <w:kern w:val="0"/>
                <w:sz w:val="18"/>
                <w:szCs w:val="18"/>
              </w:rPr>
              <w:t>A</w:t>
            </w:r>
            <w:r w:rsidRPr="00C702D7">
              <w:rPr>
                <w:rFonts w:cs="Times New Roman"/>
                <w:i/>
                <w:iCs/>
                <w:kern w:val="0"/>
                <w:sz w:val="18"/>
                <w:szCs w:val="18"/>
              </w:rPr>
              <w:t>ge</w:t>
            </w:r>
          </w:p>
        </w:tc>
        <w:tc>
          <w:tcPr>
            <w:tcW w:w="1134" w:type="dxa"/>
            <w:tcBorders>
              <w:top w:val="nil"/>
              <w:left w:val="nil"/>
              <w:bottom w:val="nil"/>
              <w:right w:val="nil"/>
            </w:tcBorders>
            <w:vAlign w:val="center"/>
          </w:tcPr>
          <w:p w14:paraId="4DE6F8B3"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1134" w:type="dxa"/>
            <w:tcBorders>
              <w:top w:val="nil"/>
              <w:left w:val="nil"/>
              <w:bottom w:val="nil"/>
              <w:right w:val="nil"/>
            </w:tcBorders>
            <w:vAlign w:val="center"/>
          </w:tcPr>
          <w:p w14:paraId="30DFD20E"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-0.0038</w:t>
            </w:r>
            <w:r w:rsidRPr="00C702D7">
              <w:rPr>
                <w:rFonts w:eastAsia="等线" w:cs="Times New Roman"/>
                <w:sz w:val="18"/>
                <w:szCs w:val="18"/>
                <w:vertAlign w:val="superscript"/>
              </w:rPr>
              <w:t>***</w:t>
            </w:r>
          </w:p>
        </w:tc>
        <w:tc>
          <w:tcPr>
            <w:tcW w:w="1134" w:type="dxa"/>
            <w:tcBorders>
              <w:top w:val="nil"/>
              <w:left w:val="nil"/>
              <w:bottom w:val="nil"/>
              <w:right w:val="nil"/>
            </w:tcBorders>
            <w:vAlign w:val="center"/>
          </w:tcPr>
          <w:p w14:paraId="158A3390"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0.0653</w:t>
            </w:r>
            <w:r w:rsidRPr="00C702D7">
              <w:rPr>
                <w:rFonts w:eastAsia="等线" w:cs="Times New Roman" w:hint="eastAsia"/>
                <w:sz w:val="18"/>
                <w:szCs w:val="18"/>
                <w:vertAlign w:val="superscript"/>
              </w:rPr>
              <w:t>***</w:t>
            </w:r>
          </w:p>
        </w:tc>
        <w:tc>
          <w:tcPr>
            <w:tcW w:w="1134" w:type="dxa"/>
            <w:tcBorders>
              <w:top w:val="nil"/>
              <w:left w:val="nil"/>
              <w:bottom w:val="nil"/>
              <w:right w:val="nil"/>
            </w:tcBorders>
            <w:vAlign w:val="center"/>
          </w:tcPr>
          <w:p w14:paraId="71E8D1EF"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993" w:type="dxa"/>
            <w:tcBorders>
              <w:top w:val="nil"/>
              <w:left w:val="nil"/>
              <w:bottom w:val="nil"/>
              <w:right w:val="nil"/>
            </w:tcBorders>
            <w:shd w:val="clear" w:color="auto" w:fill="auto"/>
            <w:noWrap/>
            <w:vAlign w:val="center"/>
          </w:tcPr>
          <w:p w14:paraId="0BCAA7A0"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-0.0037</w:t>
            </w:r>
            <w:r w:rsidRPr="00C702D7">
              <w:rPr>
                <w:rFonts w:eastAsia="等线" w:cs="Times New Roman"/>
                <w:sz w:val="18"/>
                <w:szCs w:val="18"/>
                <w:vertAlign w:val="superscript"/>
              </w:rPr>
              <w:t>***</w:t>
            </w:r>
          </w:p>
        </w:tc>
        <w:tc>
          <w:tcPr>
            <w:tcW w:w="1076" w:type="dxa"/>
            <w:tcBorders>
              <w:top w:val="nil"/>
              <w:left w:val="nil"/>
              <w:bottom w:val="nil"/>
              <w:right w:val="nil"/>
            </w:tcBorders>
            <w:vAlign w:val="center"/>
          </w:tcPr>
          <w:p w14:paraId="788D6AE1"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0.0659</w:t>
            </w:r>
            <w:r w:rsidRPr="00C702D7">
              <w:rPr>
                <w:rFonts w:eastAsia="等线" w:cs="Times New Roman" w:hint="eastAsia"/>
                <w:sz w:val="18"/>
                <w:szCs w:val="18"/>
                <w:vertAlign w:val="superscript"/>
              </w:rPr>
              <w:t>***</w:t>
            </w:r>
          </w:p>
        </w:tc>
      </w:tr>
      <w:tr w:rsidR="00C702D7" w:rsidRPr="00C702D7" w14:paraId="3BFE73F8" w14:textId="77777777" w:rsidTr="00B718EA">
        <w:trPr>
          <w:trHeight w:val="280"/>
          <w:jc w:val="center"/>
        </w:trPr>
        <w:tc>
          <w:tcPr>
            <w:tcW w:w="1701" w:type="dxa"/>
            <w:vMerge/>
            <w:tcBorders>
              <w:bottom w:val="nil"/>
              <w:right w:val="nil"/>
            </w:tcBorders>
            <w:shd w:val="clear" w:color="auto" w:fill="auto"/>
            <w:noWrap/>
            <w:vAlign w:val="center"/>
          </w:tcPr>
          <w:p w14:paraId="0F3BBD43" w14:textId="77777777" w:rsidR="00D457FC" w:rsidRPr="00C702D7" w:rsidRDefault="00D457FC" w:rsidP="00B718EA">
            <w:pPr>
              <w:widowControl/>
              <w:spacing w:line="240" w:lineRule="auto"/>
              <w:ind w:firstLineChars="0" w:firstLine="0"/>
              <w:jc w:val="center"/>
              <w:rPr>
                <w:rFonts w:cs="Times New Roman"/>
                <w:kern w:val="0"/>
                <w:sz w:val="18"/>
                <w:szCs w:val="18"/>
              </w:rPr>
            </w:pPr>
          </w:p>
        </w:tc>
        <w:tc>
          <w:tcPr>
            <w:tcW w:w="1134" w:type="dxa"/>
            <w:tcBorders>
              <w:top w:val="nil"/>
              <w:left w:val="nil"/>
              <w:bottom w:val="nil"/>
              <w:right w:val="nil"/>
            </w:tcBorders>
            <w:vAlign w:val="center"/>
          </w:tcPr>
          <w:p w14:paraId="01D877D4"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1134" w:type="dxa"/>
            <w:tcBorders>
              <w:top w:val="nil"/>
              <w:left w:val="nil"/>
              <w:bottom w:val="nil"/>
              <w:right w:val="nil"/>
            </w:tcBorders>
            <w:vAlign w:val="center"/>
          </w:tcPr>
          <w:p w14:paraId="6879B43D"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(-3.3995)</w:t>
            </w:r>
          </w:p>
        </w:tc>
        <w:tc>
          <w:tcPr>
            <w:tcW w:w="1134" w:type="dxa"/>
            <w:tcBorders>
              <w:top w:val="nil"/>
              <w:left w:val="nil"/>
              <w:bottom w:val="nil"/>
              <w:right w:val="nil"/>
            </w:tcBorders>
            <w:vAlign w:val="center"/>
          </w:tcPr>
          <w:p w14:paraId="20047928"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(5.3224)</w:t>
            </w:r>
          </w:p>
        </w:tc>
        <w:tc>
          <w:tcPr>
            <w:tcW w:w="1134" w:type="dxa"/>
            <w:tcBorders>
              <w:top w:val="nil"/>
              <w:left w:val="nil"/>
              <w:bottom w:val="nil"/>
              <w:right w:val="nil"/>
            </w:tcBorders>
            <w:vAlign w:val="center"/>
          </w:tcPr>
          <w:p w14:paraId="66A8BAB6"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993" w:type="dxa"/>
            <w:tcBorders>
              <w:top w:val="nil"/>
              <w:left w:val="nil"/>
              <w:bottom w:val="nil"/>
              <w:right w:val="nil"/>
            </w:tcBorders>
            <w:shd w:val="clear" w:color="auto" w:fill="auto"/>
            <w:noWrap/>
            <w:vAlign w:val="center"/>
          </w:tcPr>
          <w:p w14:paraId="720FC762"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(-3.8260)</w:t>
            </w:r>
          </w:p>
        </w:tc>
        <w:tc>
          <w:tcPr>
            <w:tcW w:w="1076" w:type="dxa"/>
            <w:tcBorders>
              <w:top w:val="nil"/>
              <w:left w:val="nil"/>
              <w:bottom w:val="nil"/>
              <w:right w:val="nil"/>
            </w:tcBorders>
            <w:vAlign w:val="center"/>
          </w:tcPr>
          <w:p w14:paraId="6260F0B0"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(4.8967)</w:t>
            </w:r>
          </w:p>
        </w:tc>
      </w:tr>
      <w:tr w:rsidR="00C702D7" w:rsidRPr="00C702D7" w14:paraId="22D44715" w14:textId="77777777" w:rsidTr="00B718EA">
        <w:trPr>
          <w:trHeight w:val="280"/>
          <w:jc w:val="center"/>
        </w:trPr>
        <w:tc>
          <w:tcPr>
            <w:tcW w:w="1701" w:type="dxa"/>
            <w:vMerge w:val="restart"/>
            <w:tcBorders>
              <w:top w:val="nil"/>
              <w:right w:val="nil"/>
            </w:tcBorders>
            <w:shd w:val="clear" w:color="auto" w:fill="auto"/>
            <w:noWrap/>
            <w:vAlign w:val="center"/>
          </w:tcPr>
          <w:p w14:paraId="2BB3B761" w14:textId="77777777" w:rsidR="00D457FC" w:rsidRPr="00C702D7" w:rsidRDefault="00D457FC" w:rsidP="00B718EA">
            <w:pPr>
              <w:widowControl/>
              <w:spacing w:line="240" w:lineRule="auto"/>
              <w:ind w:firstLineChars="0" w:firstLine="0"/>
              <w:jc w:val="center"/>
              <w:rPr>
                <w:rFonts w:cs="Times New Roman"/>
                <w:i/>
                <w:iCs/>
                <w:kern w:val="0"/>
                <w:sz w:val="18"/>
                <w:szCs w:val="18"/>
              </w:rPr>
            </w:pPr>
            <w:r w:rsidRPr="00C702D7">
              <w:rPr>
                <w:rFonts w:cs="Times New Roman"/>
                <w:i/>
                <w:iCs/>
                <w:kern w:val="0"/>
                <w:sz w:val="18"/>
                <w:szCs w:val="18"/>
              </w:rPr>
              <w:t>PGDP</w:t>
            </w:r>
          </w:p>
        </w:tc>
        <w:tc>
          <w:tcPr>
            <w:tcW w:w="1134" w:type="dxa"/>
            <w:tcBorders>
              <w:top w:val="nil"/>
              <w:left w:val="nil"/>
              <w:bottom w:val="nil"/>
              <w:right w:val="nil"/>
            </w:tcBorders>
            <w:vAlign w:val="center"/>
          </w:tcPr>
          <w:p w14:paraId="288EC640"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1134" w:type="dxa"/>
            <w:tcBorders>
              <w:top w:val="nil"/>
              <w:left w:val="nil"/>
              <w:bottom w:val="nil"/>
              <w:right w:val="nil"/>
            </w:tcBorders>
            <w:vAlign w:val="center"/>
          </w:tcPr>
          <w:p w14:paraId="08586011"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0.0021</w:t>
            </w:r>
          </w:p>
        </w:tc>
        <w:tc>
          <w:tcPr>
            <w:tcW w:w="1134" w:type="dxa"/>
            <w:tcBorders>
              <w:top w:val="nil"/>
              <w:left w:val="nil"/>
              <w:bottom w:val="nil"/>
              <w:right w:val="nil"/>
            </w:tcBorders>
            <w:vAlign w:val="center"/>
          </w:tcPr>
          <w:p w14:paraId="416A2559"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0.0438</w:t>
            </w:r>
            <w:r w:rsidRPr="00C702D7">
              <w:rPr>
                <w:rFonts w:eastAsia="等线" w:cs="Times New Roman" w:hint="eastAsia"/>
                <w:sz w:val="18"/>
                <w:szCs w:val="18"/>
                <w:vertAlign w:val="superscript"/>
              </w:rPr>
              <w:t>***</w:t>
            </w:r>
          </w:p>
        </w:tc>
        <w:tc>
          <w:tcPr>
            <w:tcW w:w="1134" w:type="dxa"/>
            <w:tcBorders>
              <w:top w:val="nil"/>
              <w:left w:val="nil"/>
              <w:bottom w:val="nil"/>
              <w:right w:val="nil"/>
            </w:tcBorders>
            <w:vAlign w:val="center"/>
          </w:tcPr>
          <w:p w14:paraId="20279183"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993" w:type="dxa"/>
            <w:tcBorders>
              <w:top w:val="nil"/>
              <w:left w:val="nil"/>
              <w:bottom w:val="nil"/>
              <w:right w:val="nil"/>
            </w:tcBorders>
            <w:shd w:val="clear" w:color="auto" w:fill="auto"/>
            <w:noWrap/>
            <w:vAlign w:val="center"/>
          </w:tcPr>
          <w:p w14:paraId="290621B0"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0.0033</w:t>
            </w:r>
          </w:p>
        </w:tc>
        <w:tc>
          <w:tcPr>
            <w:tcW w:w="1076" w:type="dxa"/>
            <w:tcBorders>
              <w:top w:val="nil"/>
              <w:left w:val="nil"/>
              <w:bottom w:val="nil"/>
              <w:right w:val="nil"/>
            </w:tcBorders>
            <w:vAlign w:val="center"/>
          </w:tcPr>
          <w:p w14:paraId="6B472145"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0.0443</w:t>
            </w:r>
            <w:r w:rsidRPr="00C702D7">
              <w:rPr>
                <w:rFonts w:eastAsia="等线" w:cs="Times New Roman" w:hint="eastAsia"/>
                <w:sz w:val="18"/>
                <w:szCs w:val="18"/>
                <w:vertAlign w:val="superscript"/>
              </w:rPr>
              <w:t>***</w:t>
            </w:r>
          </w:p>
        </w:tc>
      </w:tr>
      <w:tr w:rsidR="00C702D7" w:rsidRPr="00C702D7" w14:paraId="2EDCAC53" w14:textId="77777777" w:rsidTr="00B718EA">
        <w:trPr>
          <w:trHeight w:val="280"/>
          <w:jc w:val="center"/>
        </w:trPr>
        <w:tc>
          <w:tcPr>
            <w:tcW w:w="1701" w:type="dxa"/>
            <w:vMerge/>
            <w:tcBorders>
              <w:bottom w:val="nil"/>
              <w:right w:val="nil"/>
            </w:tcBorders>
            <w:shd w:val="clear" w:color="auto" w:fill="auto"/>
            <w:noWrap/>
            <w:vAlign w:val="center"/>
          </w:tcPr>
          <w:p w14:paraId="44B7C393" w14:textId="77777777" w:rsidR="00D457FC" w:rsidRPr="00C702D7" w:rsidRDefault="00D457FC" w:rsidP="00B718EA">
            <w:pPr>
              <w:widowControl/>
              <w:spacing w:line="240" w:lineRule="auto"/>
              <w:ind w:firstLineChars="0" w:firstLine="0"/>
              <w:jc w:val="center"/>
              <w:rPr>
                <w:rFonts w:cs="Times New Roman"/>
                <w:kern w:val="0"/>
                <w:sz w:val="18"/>
                <w:szCs w:val="18"/>
              </w:rPr>
            </w:pPr>
          </w:p>
        </w:tc>
        <w:tc>
          <w:tcPr>
            <w:tcW w:w="1134" w:type="dxa"/>
            <w:tcBorders>
              <w:top w:val="nil"/>
              <w:left w:val="nil"/>
              <w:bottom w:val="nil"/>
              <w:right w:val="nil"/>
            </w:tcBorders>
            <w:vAlign w:val="center"/>
          </w:tcPr>
          <w:p w14:paraId="58D6BB2A"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1134" w:type="dxa"/>
            <w:tcBorders>
              <w:top w:val="nil"/>
              <w:left w:val="nil"/>
              <w:bottom w:val="nil"/>
              <w:right w:val="nil"/>
            </w:tcBorders>
            <w:vAlign w:val="center"/>
          </w:tcPr>
          <w:p w14:paraId="40D70F27"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(1.2338)</w:t>
            </w:r>
          </w:p>
        </w:tc>
        <w:tc>
          <w:tcPr>
            <w:tcW w:w="1134" w:type="dxa"/>
            <w:tcBorders>
              <w:top w:val="nil"/>
              <w:left w:val="nil"/>
              <w:bottom w:val="nil"/>
              <w:right w:val="nil"/>
            </w:tcBorders>
            <w:vAlign w:val="center"/>
          </w:tcPr>
          <w:p w14:paraId="156D1D4B"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(3.7307)</w:t>
            </w:r>
          </w:p>
        </w:tc>
        <w:tc>
          <w:tcPr>
            <w:tcW w:w="1134" w:type="dxa"/>
            <w:tcBorders>
              <w:top w:val="nil"/>
              <w:left w:val="nil"/>
              <w:bottom w:val="nil"/>
              <w:right w:val="nil"/>
            </w:tcBorders>
            <w:vAlign w:val="center"/>
          </w:tcPr>
          <w:p w14:paraId="16097CB9"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993" w:type="dxa"/>
            <w:tcBorders>
              <w:top w:val="nil"/>
              <w:left w:val="nil"/>
              <w:bottom w:val="nil"/>
              <w:right w:val="nil"/>
            </w:tcBorders>
            <w:shd w:val="clear" w:color="auto" w:fill="auto"/>
            <w:noWrap/>
            <w:vAlign w:val="center"/>
          </w:tcPr>
          <w:p w14:paraId="05027AB6"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(1.7183)</w:t>
            </w:r>
          </w:p>
        </w:tc>
        <w:tc>
          <w:tcPr>
            <w:tcW w:w="1076" w:type="dxa"/>
            <w:tcBorders>
              <w:top w:val="nil"/>
              <w:left w:val="nil"/>
              <w:bottom w:val="nil"/>
              <w:right w:val="nil"/>
            </w:tcBorders>
            <w:vAlign w:val="center"/>
          </w:tcPr>
          <w:p w14:paraId="4B2A3FC1"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(3.8524)</w:t>
            </w:r>
          </w:p>
        </w:tc>
      </w:tr>
      <w:tr w:rsidR="00C702D7" w:rsidRPr="00C702D7" w14:paraId="26874AC8" w14:textId="77777777" w:rsidTr="00B718EA">
        <w:trPr>
          <w:trHeight w:val="280"/>
          <w:jc w:val="center"/>
        </w:trPr>
        <w:tc>
          <w:tcPr>
            <w:tcW w:w="1701" w:type="dxa"/>
            <w:vMerge w:val="restart"/>
            <w:tcBorders>
              <w:top w:val="nil"/>
              <w:right w:val="nil"/>
            </w:tcBorders>
            <w:shd w:val="clear" w:color="auto" w:fill="auto"/>
            <w:noWrap/>
            <w:vAlign w:val="center"/>
          </w:tcPr>
          <w:p w14:paraId="62CBC47E" w14:textId="77777777" w:rsidR="00D457FC" w:rsidRPr="00C702D7" w:rsidRDefault="00D457FC" w:rsidP="00B718EA">
            <w:pPr>
              <w:widowControl/>
              <w:spacing w:line="240" w:lineRule="auto"/>
              <w:ind w:firstLineChars="0" w:firstLine="0"/>
              <w:jc w:val="center"/>
              <w:rPr>
                <w:rFonts w:cs="Times New Roman"/>
                <w:i/>
                <w:iCs/>
                <w:kern w:val="0"/>
                <w:sz w:val="18"/>
                <w:szCs w:val="18"/>
              </w:rPr>
            </w:pPr>
            <w:r w:rsidRPr="00C702D7">
              <w:rPr>
                <w:rFonts w:cs="Times New Roman" w:hint="eastAsia"/>
                <w:i/>
                <w:iCs/>
                <w:kern w:val="0"/>
                <w:sz w:val="18"/>
                <w:szCs w:val="18"/>
              </w:rPr>
              <w:t>Env</w:t>
            </w:r>
          </w:p>
        </w:tc>
        <w:tc>
          <w:tcPr>
            <w:tcW w:w="1134" w:type="dxa"/>
            <w:tcBorders>
              <w:top w:val="nil"/>
              <w:left w:val="nil"/>
              <w:bottom w:val="nil"/>
              <w:right w:val="nil"/>
            </w:tcBorders>
            <w:vAlign w:val="center"/>
          </w:tcPr>
          <w:p w14:paraId="3E3DF588"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1134" w:type="dxa"/>
            <w:tcBorders>
              <w:top w:val="nil"/>
              <w:left w:val="nil"/>
              <w:bottom w:val="nil"/>
              <w:right w:val="nil"/>
            </w:tcBorders>
            <w:vAlign w:val="center"/>
          </w:tcPr>
          <w:p w14:paraId="6A01417D"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-0.0000</w:t>
            </w:r>
            <w:r w:rsidRPr="00C702D7">
              <w:rPr>
                <w:rFonts w:eastAsia="等线" w:cs="Times New Roman"/>
                <w:sz w:val="18"/>
                <w:szCs w:val="18"/>
                <w:vertAlign w:val="superscript"/>
              </w:rPr>
              <w:t>**</w:t>
            </w:r>
          </w:p>
        </w:tc>
        <w:tc>
          <w:tcPr>
            <w:tcW w:w="1134" w:type="dxa"/>
            <w:tcBorders>
              <w:top w:val="nil"/>
              <w:left w:val="nil"/>
              <w:bottom w:val="nil"/>
              <w:right w:val="nil"/>
            </w:tcBorders>
            <w:vAlign w:val="center"/>
          </w:tcPr>
          <w:p w14:paraId="4D3A4581"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-0.0002</w:t>
            </w:r>
            <w:r w:rsidRPr="00C702D7">
              <w:rPr>
                <w:rFonts w:eastAsia="等线" w:cs="Times New Roman" w:hint="eastAsia"/>
                <w:sz w:val="18"/>
                <w:szCs w:val="18"/>
                <w:vertAlign w:val="superscript"/>
              </w:rPr>
              <w:t>***</w:t>
            </w:r>
          </w:p>
        </w:tc>
        <w:tc>
          <w:tcPr>
            <w:tcW w:w="1134" w:type="dxa"/>
            <w:tcBorders>
              <w:top w:val="nil"/>
              <w:left w:val="nil"/>
              <w:bottom w:val="nil"/>
              <w:right w:val="nil"/>
            </w:tcBorders>
            <w:vAlign w:val="center"/>
          </w:tcPr>
          <w:p w14:paraId="4F8951AF"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993" w:type="dxa"/>
            <w:tcBorders>
              <w:top w:val="nil"/>
              <w:left w:val="nil"/>
              <w:bottom w:val="nil"/>
              <w:right w:val="nil"/>
            </w:tcBorders>
            <w:shd w:val="clear" w:color="auto" w:fill="auto"/>
            <w:noWrap/>
            <w:vAlign w:val="center"/>
          </w:tcPr>
          <w:p w14:paraId="620F8F06"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-0.0001</w:t>
            </w:r>
            <w:r w:rsidRPr="00C702D7">
              <w:rPr>
                <w:rFonts w:eastAsia="等线" w:cs="Times New Roman"/>
                <w:sz w:val="18"/>
                <w:szCs w:val="18"/>
                <w:vertAlign w:val="superscript"/>
              </w:rPr>
              <w:t>***</w:t>
            </w:r>
          </w:p>
        </w:tc>
        <w:tc>
          <w:tcPr>
            <w:tcW w:w="1076" w:type="dxa"/>
            <w:tcBorders>
              <w:top w:val="nil"/>
              <w:left w:val="nil"/>
              <w:bottom w:val="nil"/>
              <w:right w:val="nil"/>
            </w:tcBorders>
            <w:vAlign w:val="center"/>
          </w:tcPr>
          <w:p w14:paraId="09EEBAF7"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-0.0002</w:t>
            </w:r>
            <w:r w:rsidRPr="00C702D7">
              <w:rPr>
                <w:rFonts w:eastAsia="等线" w:cs="Times New Roman" w:hint="eastAsia"/>
                <w:sz w:val="18"/>
                <w:szCs w:val="18"/>
                <w:vertAlign w:val="superscript"/>
              </w:rPr>
              <w:t>***</w:t>
            </w:r>
          </w:p>
        </w:tc>
      </w:tr>
      <w:tr w:rsidR="00C702D7" w:rsidRPr="00C702D7" w14:paraId="2CF06083" w14:textId="77777777" w:rsidTr="00B718EA">
        <w:trPr>
          <w:trHeight w:val="280"/>
          <w:jc w:val="center"/>
        </w:trPr>
        <w:tc>
          <w:tcPr>
            <w:tcW w:w="1701" w:type="dxa"/>
            <w:vMerge/>
            <w:tcBorders>
              <w:bottom w:val="nil"/>
              <w:right w:val="nil"/>
            </w:tcBorders>
            <w:shd w:val="clear" w:color="auto" w:fill="auto"/>
            <w:noWrap/>
            <w:vAlign w:val="center"/>
          </w:tcPr>
          <w:p w14:paraId="2F4CA536" w14:textId="77777777" w:rsidR="00D457FC" w:rsidRPr="00C702D7" w:rsidRDefault="00D457FC" w:rsidP="00B718EA">
            <w:pPr>
              <w:widowControl/>
              <w:spacing w:line="240" w:lineRule="auto"/>
              <w:ind w:firstLineChars="0" w:firstLine="0"/>
              <w:jc w:val="center"/>
              <w:rPr>
                <w:rFonts w:cs="Times New Roman"/>
                <w:kern w:val="0"/>
                <w:sz w:val="18"/>
                <w:szCs w:val="18"/>
              </w:rPr>
            </w:pPr>
          </w:p>
        </w:tc>
        <w:tc>
          <w:tcPr>
            <w:tcW w:w="1134" w:type="dxa"/>
            <w:tcBorders>
              <w:top w:val="nil"/>
              <w:left w:val="nil"/>
              <w:bottom w:val="nil"/>
              <w:right w:val="nil"/>
            </w:tcBorders>
            <w:vAlign w:val="center"/>
          </w:tcPr>
          <w:p w14:paraId="2A6AD831"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1134" w:type="dxa"/>
            <w:tcBorders>
              <w:top w:val="nil"/>
              <w:left w:val="nil"/>
              <w:bottom w:val="nil"/>
              <w:right w:val="nil"/>
            </w:tcBorders>
            <w:vAlign w:val="center"/>
          </w:tcPr>
          <w:p w14:paraId="5FF4A5E4"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(-2.8200)</w:t>
            </w:r>
          </w:p>
        </w:tc>
        <w:tc>
          <w:tcPr>
            <w:tcW w:w="1134" w:type="dxa"/>
            <w:tcBorders>
              <w:top w:val="nil"/>
              <w:left w:val="nil"/>
              <w:bottom w:val="nil"/>
              <w:right w:val="nil"/>
            </w:tcBorders>
            <w:vAlign w:val="center"/>
          </w:tcPr>
          <w:p w14:paraId="478D10B7"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(-7.6289)</w:t>
            </w:r>
          </w:p>
        </w:tc>
        <w:tc>
          <w:tcPr>
            <w:tcW w:w="1134" w:type="dxa"/>
            <w:tcBorders>
              <w:top w:val="nil"/>
              <w:left w:val="nil"/>
              <w:bottom w:val="nil"/>
              <w:right w:val="nil"/>
            </w:tcBorders>
            <w:vAlign w:val="center"/>
          </w:tcPr>
          <w:p w14:paraId="09C7241C"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993" w:type="dxa"/>
            <w:tcBorders>
              <w:top w:val="nil"/>
              <w:left w:val="nil"/>
              <w:bottom w:val="nil"/>
              <w:right w:val="nil"/>
            </w:tcBorders>
            <w:shd w:val="clear" w:color="auto" w:fill="auto"/>
            <w:noWrap/>
            <w:vAlign w:val="center"/>
          </w:tcPr>
          <w:p w14:paraId="37C101AA"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(-3.6992)</w:t>
            </w:r>
          </w:p>
        </w:tc>
        <w:tc>
          <w:tcPr>
            <w:tcW w:w="1076" w:type="dxa"/>
            <w:tcBorders>
              <w:top w:val="nil"/>
              <w:left w:val="nil"/>
              <w:bottom w:val="nil"/>
              <w:right w:val="nil"/>
            </w:tcBorders>
            <w:vAlign w:val="center"/>
          </w:tcPr>
          <w:p w14:paraId="0269B925"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(-6.6959)</w:t>
            </w:r>
          </w:p>
        </w:tc>
      </w:tr>
      <w:tr w:rsidR="00C702D7" w:rsidRPr="00C702D7" w14:paraId="48AAE4FF" w14:textId="77777777" w:rsidTr="00B718EA">
        <w:trPr>
          <w:trHeight w:val="280"/>
          <w:jc w:val="center"/>
        </w:trPr>
        <w:tc>
          <w:tcPr>
            <w:tcW w:w="1701" w:type="dxa"/>
            <w:vMerge w:val="restart"/>
            <w:tcBorders>
              <w:top w:val="nil"/>
              <w:right w:val="nil"/>
            </w:tcBorders>
            <w:shd w:val="clear" w:color="auto" w:fill="auto"/>
            <w:noWrap/>
            <w:vAlign w:val="center"/>
          </w:tcPr>
          <w:p w14:paraId="1CB3518B" w14:textId="77777777" w:rsidR="00D457FC" w:rsidRPr="00C702D7" w:rsidRDefault="00D457FC" w:rsidP="00B718EA">
            <w:pPr>
              <w:widowControl/>
              <w:spacing w:line="240" w:lineRule="auto"/>
              <w:ind w:firstLineChars="0" w:firstLine="0"/>
              <w:jc w:val="center"/>
              <w:rPr>
                <w:rFonts w:cs="Times New Roman"/>
                <w:i/>
                <w:iCs/>
                <w:kern w:val="0"/>
                <w:sz w:val="18"/>
                <w:szCs w:val="18"/>
              </w:rPr>
            </w:pPr>
            <w:r w:rsidRPr="00C702D7">
              <w:rPr>
                <w:rFonts w:cs="Times New Roman" w:hint="eastAsia"/>
                <w:i/>
                <w:iCs/>
                <w:kern w:val="0"/>
                <w:sz w:val="18"/>
                <w:szCs w:val="18"/>
              </w:rPr>
              <w:t>HR</w:t>
            </w:r>
          </w:p>
        </w:tc>
        <w:tc>
          <w:tcPr>
            <w:tcW w:w="1134" w:type="dxa"/>
            <w:tcBorders>
              <w:top w:val="nil"/>
              <w:left w:val="nil"/>
              <w:bottom w:val="nil"/>
              <w:right w:val="nil"/>
            </w:tcBorders>
            <w:vAlign w:val="center"/>
          </w:tcPr>
          <w:p w14:paraId="264C04B5"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1134" w:type="dxa"/>
            <w:tcBorders>
              <w:top w:val="nil"/>
              <w:left w:val="nil"/>
              <w:bottom w:val="nil"/>
              <w:right w:val="nil"/>
            </w:tcBorders>
            <w:vAlign w:val="center"/>
          </w:tcPr>
          <w:p w14:paraId="4D5D6AF8"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-0.0016</w:t>
            </w:r>
          </w:p>
        </w:tc>
        <w:tc>
          <w:tcPr>
            <w:tcW w:w="1134" w:type="dxa"/>
            <w:tcBorders>
              <w:top w:val="nil"/>
              <w:left w:val="nil"/>
              <w:bottom w:val="nil"/>
              <w:right w:val="nil"/>
            </w:tcBorders>
            <w:vAlign w:val="center"/>
          </w:tcPr>
          <w:p w14:paraId="13DD966C"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0.0850</w:t>
            </w:r>
            <w:r w:rsidRPr="00C702D7">
              <w:rPr>
                <w:rFonts w:eastAsia="等线" w:cs="Times New Roman" w:hint="eastAsia"/>
                <w:sz w:val="18"/>
                <w:szCs w:val="18"/>
                <w:vertAlign w:val="superscript"/>
              </w:rPr>
              <w:t>***</w:t>
            </w:r>
          </w:p>
        </w:tc>
        <w:tc>
          <w:tcPr>
            <w:tcW w:w="1134" w:type="dxa"/>
            <w:tcBorders>
              <w:top w:val="nil"/>
              <w:left w:val="nil"/>
              <w:bottom w:val="nil"/>
              <w:right w:val="nil"/>
            </w:tcBorders>
            <w:vAlign w:val="center"/>
          </w:tcPr>
          <w:p w14:paraId="36E0570C"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993" w:type="dxa"/>
            <w:tcBorders>
              <w:top w:val="nil"/>
              <w:left w:val="nil"/>
              <w:bottom w:val="nil"/>
              <w:right w:val="nil"/>
            </w:tcBorders>
            <w:shd w:val="clear" w:color="auto" w:fill="auto"/>
            <w:noWrap/>
            <w:vAlign w:val="center"/>
          </w:tcPr>
          <w:p w14:paraId="57782879"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-0.0028</w:t>
            </w:r>
          </w:p>
        </w:tc>
        <w:tc>
          <w:tcPr>
            <w:tcW w:w="1076" w:type="dxa"/>
            <w:tcBorders>
              <w:top w:val="nil"/>
              <w:left w:val="nil"/>
              <w:bottom w:val="nil"/>
              <w:right w:val="nil"/>
            </w:tcBorders>
            <w:vAlign w:val="center"/>
          </w:tcPr>
          <w:p w14:paraId="37B57DE1"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0.0927</w:t>
            </w:r>
            <w:r w:rsidRPr="00C702D7">
              <w:rPr>
                <w:rFonts w:eastAsia="等线" w:cs="Times New Roman" w:hint="eastAsia"/>
                <w:sz w:val="18"/>
                <w:szCs w:val="18"/>
                <w:vertAlign w:val="superscript"/>
              </w:rPr>
              <w:t>***</w:t>
            </w:r>
          </w:p>
        </w:tc>
      </w:tr>
      <w:tr w:rsidR="00C702D7" w:rsidRPr="00C702D7" w14:paraId="05F0B5BB" w14:textId="77777777" w:rsidTr="00B718EA">
        <w:trPr>
          <w:trHeight w:val="280"/>
          <w:jc w:val="center"/>
        </w:trPr>
        <w:tc>
          <w:tcPr>
            <w:tcW w:w="1701" w:type="dxa"/>
            <w:vMerge/>
            <w:tcBorders>
              <w:bottom w:val="nil"/>
              <w:right w:val="nil"/>
            </w:tcBorders>
            <w:shd w:val="clear" w:color="auto" w:fill="auto"/>
            <w:noWrap/>
            <w:vAlign w:val="center"/>
          </w:tcPr>
          <w:p w14:paraId="5F1FF6AF" w14:textId="77777777" w:rsidR="00D457FC" w:rsidRPr="00C702D7" w:rsidRDefault="00D457FC" w:rsidP="00B718EA">
            <w:pPr>
              <w:widowControl/>
              <w:spacing w:line="240" w:lineRule="auto"/>
              <w:ind w:firstLineChars="0" w:firstLine="0"/>
              <w:jc w:val="center"/>
              <w:rPr>
                <w:rFonts w:cs="Times New Roman"/>
                <w:i/>
                <w:iCs/>
                <w:kern w:val="0"/>
                <w:sz w:val="18"/>
                <w:szCs w:val="18"/>
              </w:rPr>
            </w:pPr>
          </w:p>
        </w:tc>
        <w:tc>
          <w:tcPr>
            <w:tcW w:w="1134" w:type="dxa"/>
            <w:tcBorders>
              <w:top w:val="nil"/>
              <w:left w:val="nil"/>
              <w:bottom w:val="nil"/>
              <w:right w:val="nil"/>
            </w:tcBorders>
            <w:vAlign w:val="center"/>
          </w:tcPr>
          <w:p w14:paraId="68476E90"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1134" w:type="dxa"/>
            <w:tcBorders>
              <w:top w:val="nil"/>
              <w:left w:val="nil"/>
              <w:bottom w:val="nil"/>
              <w:right w:val="nil"/>
            </w:tcBorders>
            <w:vAlign w:val="center"/>
          </w:tcPr>
          <w:p w14:paraId="17698619"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(-0.9899)</w:t>
            </w:r>
          </w:p>
        </w:tc>
        <w:tc>
          <w:tcPr>
            <w:tcW w:w="1134" w:type="dxa"/>
            <w:tcBorders>
              <w:top w:val="nil"/>
              <w:left w:val="nil"/>
              <w:bottom w:val="nil"/>
              <w:right w:val="nil"/>
            </w:tcBorders>
            <w:vAlign w:val="center"/>
          </w:tcPr>
          <w:p w14:paraId="464A2341"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(3.6453)</w:t>
            </w:r>
          </w:p>
        </w:tc>
        <w:tc>
          <w:tcPr>
            <w:tcW w:w="1134" w:type="dxa"/>
            <w:tcBorders>
              <w:top w:val="nil"/>
              <w:left w:val="nil"/>
              <w:bottom w:val="nil"/>
              <w:right w:val="nil"/>
            </w:tcBorders>
            <w:vAlign w:val="center"/>
          </w:tcPr>
          <w:p w14:paraId="25375AF8"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993" w:type="dxa"/>
            <w:tcBorders>
              <w:top w:val="nil"/>
              <w:left w:val="nil"/>
              <w:bottom w:val="nil"/>
              <w:right w:val="nil"/>
            </w:tcBorders>
            <w:shd w:val="clear" w:color="auto" w:fill="auto"/>
            <w:noWrap/>
            <w:vAlign w:val="center"/>
          </w:tcPr>
          <w:p w14:paraId="57A99437"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(-1.5185)</w:t>
            </w:r>
          </w:p>
        </w:tc>
        <w:tc>
          <w:tcPr>
            <w:tcW w:w="1076" w:type="dxa"/>
            <w:tcBorders>
              <w:top w:val="nil"/>
              <w:left w:val="nil"/>
              <w:bottom w:val="nil"/>
              <w:right w:val="nil"/>
            </w:tcBorders>
            <w:vAlign w:val="center"/>
          </w:tcPr>
          <w:p w14:paraId="1FA7DDB2"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(3.6208)</w:t>
            </w:r>
          </w:p>
        </w:tc>
      </w:tr>
      <w:tr w:rsidR="00C702D7" w:rsidRPr="00C702D7" w14:paraId="2E9D6C61" w14:textId="77777777" w:rsidTr="00B718EA">
        <w:trPr>
          <w:trHeight w:val="280"/>
          <w:jc w:val="center"/>
        </w:trPr>
        <w:tc>
          <w:tcPr>
            <w:tcW w:w="1701" w:type="dxa"/>
            <w:vMerge w:val="restart"/>
            <w:tcBorders>
              <w:top w:val="nil"/>
              <w:right w:val="nil"/>
            </w:tcBorders>
            <w:shd w:val="clear" w:color="auto" w:fill="auto"/>
            <w:noWrap/>
            <w:vAlign w:val="center"/>
          </w:tcPr>
          <w:p w14:paraId="7E788605" w14:textId="77777777" w:rsidR="00D457FC" w:rsidRPr="00C702D7" w:rsidRDefault="00D457FC" w:rsidP="00B718EA">
            <w:pPr>
              <w:widowControl/>
              <w:spacing w:line="240" w:lineRule="auto"/>
              <w:ind w:firstLineChars="0" w:firstLine="0"/>
              <w:jc w:val="center"/>
              <w:rPr>
                <w:rFonts w:cs="Times New Roman"/>
                <w:i/>
                <w:iCs/>
                <w:kern w:val="0"/>
                <w:sz w:val="18"/>
                <w:szCs w:val="18"/>
              </w:rPr>
            </w:pPr>
            <w:r w:rsidRPr="00C702D7">
              <w:rPr>
                <w:rFonts w:cs="Times New Roman" w:hint="eastAsia"/>
                <w:i/>
                <w:iCs/>
                <w:kern w:val="0"/>
                <w:sz w:val="18"/>
                <w:szCs w:val="18"/>
              </w:rPr>
              <w:t>IS</w:t>
            </w:r>
          </w:p>
        </w:tc>
        <w:tc>
          <w:tcPr>
            <w:tcW w:w="1134" w:type="dxa"/>
            <w:tcBorders>
              <w:top w:val="nil"/>
              <w:left w:val="nil"/>
              <w:bottom w:val="nil"/>
              <w:right w:val="nil"/>
            </w:tcBorders>
            <w:vAlign w:val="center"/>
          </w:tcPr>
          <w:p w14:paraId="70BA6BC5"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1134" w:type="dxa"/>
            <w:tcBorders>
              <w:top w:val="nil"/>
              <w:left w:val="nil"/>
              <w:bottom w:val="nil"/>
              <w:right w:val="nil"/>
            </w:tcBorders>
            <w:vAlign w:val="center"/>
          </w:tcPr>
          <w:p w14:paraId="3AC54B72"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-0.0003</w:t>
            </w:r>
          </w:p>
        </w:tc>
        <w:tc>
          <w:tcPr>
            <w:tcW w:w="1134" w:type="dxa"/>
            <w:tcBorders>
              <w:top w:val="nil"/>
              <w:left w:val="nil"/>
              <w:bottom w:val="nil"/>
              <w:right w:val="nil"/>
            </w:tcBorders>
            <w:vAlign w:val="center"/>
          </w:tcPr>
          <w:p w14:paraId="3DEC1707"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-0.0008</w:t>
            </w:r>
            <w:r w:rsidRPr="00C702D7">
              <w:rPr>
                <w:rFonts w:eastAsia="等线" w:cs="Times New Roman" w:hint="eastAsia"/>
                <w:sz w:val="18"/>
                <w:szCs w:val="18"/>
                <w:vertAlign w:val="superscript"/>
              </w:rPr>
              <w:t>***</w:t>
            </w:r>
          </w:p>
        </w:tc>
        <w:tc>
          <w:tcPr>
            <w:tcW w:w="1134" w:type="dxa"/>
            <w:tcBorders>
              <w:top w:val="nil"/>
              <w:left w:val="nil"/>
              <w:bottom w:val="nil"/>
              <w:right w:val="nil"/>
            </w:tcBorders>
            <w:vAlign w:val="center"/>
          </w:tcPr>
          <w:p w14:paraId="253C2D61"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993" w:type="dxa"/>
            <w:tcBorders>
              <w:top w:val="nil"/>
              <w:left w:val="nil"/>
              <w:bottom w:val="nil"/>
              <w:right w:val="nil"/>
            </w:tcBorders>
            <w:shd w:val="clear" w:color="auto" w:fill="auto"/>
            <w:noWrap/>
            <w:vAlign w:val="center"/>
          </w:tcPr>
          <w:p w14:paraId="10A5A0CE"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-0.0003</w:t>
            </w:r>
          </w:p>
        </w:tc>
        <w:tc>
          <w:tcPr>
            <w:tcW w:w="1076" w:type="dxa"/>
            <w:tcBorders>
              <w:top w:val="nil"/>
              <w:left w:val="nil"/>
              <w:bottom w:val="nil"/>
              <w:right w:val="nil"/>
            </w:tcBorders>
            <w:vAlign w:val="center"/>
          </w:tcPr>
          <w:p w14:paraId="3D16CC03"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-0.0008</w:t>
            </w:r>
            <w:r w:rsidRPr="00C702D7">
              <w:rPr>
                <w:rFonts w:eastAsia="等线" w:cs="Times New Roman" w:hint="eastAsia"/>
                <w:sz w:val="18"/>
                <w:szCs w:val="18"/>
                <w:vertAlign w:val="superscript"/>
              </w:rPr>
              <w:t>***</w:t>
            </w:r>
          </w:p>
        </w:tc>
      </w:tr>
      <w:tr w:rsidR="00C702D7" w:rsidRPr="00C702D7" w14:paraId="404E2D02" w14:textId="77777777" w:rsidTr="00B718EA">
        <w:trPr>
          <w:trHeight w:val="280"/>
          <w:jc w:val="center"/>
        </w:trPr>
        <w:tc>
          <w:tcPr>
            <w:tcW w:w="1701" w:type="dxa"/>
            <w:vMerge/>
            <w:tcBorders>
              <w:bottom w:val="nil"/>
              <w:right w:val="nil"/>
            </w:tcBorders>
            <w:shd w:val="clear" w:color="auto" w:fill="auto"/>
            <w:noWrap/>
            <w:vAlign w:val="center"/>
          </w:tcPr>
          <w:p w14:paraId="68537E2F" w14:textId="77777777" w:rsidR="00D457FC" w:rsidRPr="00C702D7" w:rsidRDefault="00D457FC" w:rsidP="00B718EA">
            <w:pPr>
              <w:widowControl/>
              <w:spacing w:line="240" w:lineRule="auto"/>
              <w:ind w:firstLineChars="0" w:firstLine="0"/>
              <w:jc w:val="center"/>
              <w:rPr>
                <w:rFonts w:cs="Times New Roman"/>
                <w:i/>
                <w:iCs/>
                <w:kern w:val="0"/>
                <w:sz w:val="18"/>
                <w:szCs w:val="18"/>
              </w:rPr>
            </w:pPr>
          </w:p>
        </w:tc>
        <w:tc>
          <w:tcPr>
            <w:tcW w:w="1134" w:type="dxa"/>
            <w:tcBorders>
              <w:top w:val="nil"/>
              <w:left w:val="nil"/>
              <w:bottom w:val="nil"/>
              <w:right w:val="nil"/>
            </w:tcBorders>
            <w:vAlign w:val="center"/>
          </w:tcPr>
          <w:p w14:paraId="661CACB6"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1134" w:type="dxa"/>
            <w:tcBorders>
              <w:top w:val="nil"/>
              <w:left w:val="nil"/>
              <w:bottom w:val="nil"/>
              <w:right w:val="nil"/>
            </w:tcBorders>
            <w:vAlign w:val="center"/>
          </w:tcPr>
          <w:p w14:paraId="751AA193"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(-1.6824)</w:t>
            </w:r>
          </w:p>
        </w:tc>
        <w:tc>
          <w:tcPr>
            <w:tcW w:w="1134" w:type="dxa"/>
            <w:tcBorders>
              <w:top w:val="nil"/>
              <w:left w:val="nil"/>
              <w:bottom w:val="nil"/>
              <w:right w:val="nil"/>
            </w:tcBorders>
            <w:vAlign w:val="center"/>
          </w:tcPr>
          <w:p w14:paraId="19B56DFB"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(-3.0349)</w:t>
            </w:r>
          </w:p>
        </w:tc>
        <w:tc>
          <w:tcPr>
            <w:tcW w:w="1134" w:type="dxa"/>
            <w:tcBorders>
              <w:top w:val="nil"/>
              <w:left w:val="nil"/>
              <w:bottom w:val="nil"/>
              <w:right w:val="nil"/>
            </w:tcBorders>
            <w:vAlign w:val="center"/>
          </w:tcPr>
          <w:p w14:paraId="6048E71C"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993" w:type="dxa"/>
            <w:tcBorders>
              <w:top w:val="nil"/>
              <w:left w:val="nil"/>
              <w:bottom w:val="nil"/>
              <w:right w:val="nil"/>
            </w:tcBorders>
            <w:shd w:val="clear" w:color="auto" w:fill="auto"/>
            <w:noWrap/>
            <w:vAlign w:val="center"/>
          </w:tcPr>
          <w:p w14:paraId="67D70E76"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(-1.7510)</w:t>
            </w:r>
          </w:p>
        </w:tc>
        <w:tc>
          <w:tcPr>
            <w:tcW w:w="1076" w:type="dxa"/>
            <w:tcBorders>
              <w:top w:val="nil"/>
              <w:left w:val="nil"/>
              <w:bottom w:val="nil"/>
              <w:right w:val="nil"/>
            </w:tcBorders>
            <w:vAlign w:val="center"/>
          </w:tcPr>
          <w:p w14:paraId="4052B748"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(-3.0728)</w:t>
            </w:r>
          </w:p>
        </w:tc>
      </w:tr>
      <w:tr w:rsidR="00C702D7" w:rsidRPr="00C702D7" w14:paraId="3CD646FD" w14:textId="77777777" w:rsidTr="00B718EA">
        <w:trPr>
          <w:trHeight w:val="280"/>
          <w:jc w:val="center"/>
        </w:trPr>
        <w:tc>
          <w:tcPr>
            <w:tcW w:w="1701" w:type="dxa"/>
            <w:vMerge w:val="restart"/>
            <w:tcBorders>
              <w:top w:val="nil"/>
              <w:right w:val="nil"/>
            </w:tcBorders>
            <w:shd w:val="clear" w:color="auto" w:fill="auto"/>
            <w:noWrap/>
            <w:vAlign w:val="center"/>
          </w:tcPr>
          <w:p w14:paraId="12217621" w14:textId="77777777" w:rsidR="00D457FC" w:rsidRPr="00C702D7" w:rsidRDefault="00D457FC" w:rsidP="00B718EA">
            <w:pPr>
              <w:widowControl/>
              <w:spacing w:line="240" w:lineRule="auto"/>
              <w:ind w:firstLineChars="0" w:firstLine="0"/>
              <w:jc w:val="center"/>
              <w:rPr>
                <w:rFonts w:cs="Times New Roman"/>
                <w:i/>
                <w:iCs/>
                <w:kern w:val="0"/>
                <w:sz w:val="18"/>
                <w:szCs w:val="18"/>
              </w:rPr>
            </w:pPr>
            <w:r w:rsidRPr="00C702D7">
              <w:rPr>
                <w:rFonts w:cs="Times New Roman" w:hint="eastAsia"/>
                <w:i/>
                <w:iCs/>
                <w:kern w:val="0"/>
                <w:sz w:val="18"/>
                <w:szCs w:val="18"/>
              </w:rPr>
              <w:t>F</w:t>
            </w:r>
            <w:r w:rsidRPr="00C702D7">
              <w:rPr>
                <w:rFonts w:cs="Times New Roman"/>
                <w:i/>
                <w:iCs/>
                <w:kern w:val="0"/>
                <w:sz w:val="18"/>
                <w:szCs w:val="18"/>
              </w:rPr>
              <w:t>in</w:t>
            </w:r>
          </w:p>
        </w:tc>
        <w:tc>
          <w:tcPr>
            <w:tcW w:w="1134" w:type="dxa"/>
            <w:tcBorders>
              <w:top w:val="nil"/>
              <w:left w:val="nil"/>
              <w:bottom w:val="nil"/>
              <w:right w:val="nil"/>
            </w:tcBorders>
            <w:vAlign w:val="center"/>
          </w:tcPr>
          <w:p w14:paraId="28BD7FA5"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1134" w:type="dxa"/>
            <w:tcBorders>
              <w:top w:val="nil"/>
              <w:left w:val="nil"/>
              <w:bottom w:val="nil"/>
              <w:right w:val="nil"/>
            </w:tcBorders>
            <w:vAlign w:val="center"/>
          </w:tcPr>
          <w:p w14:paraId="08D6A480"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0.0001</w:t>
            </w:r>
          </w:p>
        </w:tc>
        <w:tc>
          <w:tcPr>
            <w:tcW w:w="1134" w:type="dxa"/>
            <w:tcBorders>
              <w:top w:val="nil"/>
              <w:left w:val="nil"/>
              <w:bottom w:val="nil"/>
              <w:right w:val="nil"/>
            </w:tcBorders>
            <w:vAlign w:val="center"/>
          </w:tcPr>
          <w:p w14:paraId="2D7187E3"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-0.0402</w:t>
            </w:r>
            <w:r w:rsidRPr="00C702D7">
              <w:rPr>
                <w:rFonts w:eastAsia="等线" w:cs="Times New Roman" w:hint="eastAsia"/>
                <w:sz w:val="18"/>
                <w:szCs w:val="18"/>
                <w:vertAlign w:val="superscript"/>
              </w:rPr>
              <w:t>***</w:t>
            </w:r>
          </w:p>
        </w:tc>
        <w:tc>
          <w:tcPr>
            <w:tcW w:w="1134" w:type="dxa"/>
            <w:tcBorders>
              <w:top w:val="nil"/>
              <w:left w:val="nil"/>
              <w:bottom w:val="nil"/>
              <w:right w:val="nil"/>
            </w:tcBorders>
            <w:vAlign w:val="center"/>
          </w:tcPr>
          <w:p w14:paraId="7776CA95"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993" w:type="dxa"/>
            <w:tcBorders>
              <w:top w:val="nil"/>
              <w:left w:val="nil"/>
              <w:bottom w:val="nil"/>
              <w:right w:val="nil"/>
            </w:tcBorders>
            <w:shd w:val="clear" w:color="auto" w:fill="auto"/>
            <w:noWrap/>
            <w:vAlign w:val="center"/>
          </w:tcPr>
          <w:p w14:paraId="23469C09"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-0.0002</w:t>
            </w:r>
          </w:p>
        </w:tc>
        <w:tc>
          <w:tcPr>
            <w:tcW w:w="1076" w:type="dxa"/>
            <w:tcBorders>
              <w:top w:val="nil"/>
              <w:left w:val="nil"/>
              <w:bottom w:val="nil"/>
              <w:right w:val="nil"/>
            </w:tcBorders>
            <w:vAlign w:val="center"/>
          </w:tcPr>
          <w:p w14:paraId="66DCB9F1"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-0.0353</w:t>
            </w:r>
            <w:r w:rsidRPr="00C702D7">
              <w:rPr>
                <w:rFonts w:eastAsia="等线" w:cs="Times New Roman" w:hint="eastAsia"/>
                <w:sz w:val="18"/>
                <w:szCs w:val="18"/>
                <w:vertAlign w:val="superscript"/>
              </w:rPr>
              <w:t>***</w:t>
            </w:r>
          </w:p>
        </w:tc>
      </w:tr>
      <w:tr w:rsidR="00C702D7" w:rsidRPr="00C702D7" w14:paraId="39C7B98B" w14:textId="77777777" w:rsidTr="00B718EA">
        <w:trPr>
          <w:trHeight w:val="280"/>
          <w:jc w:val="center"/>
        </w:trPr>
        <w:tc>
          <w:tcPr>
            <w:tcW w:w="1701" w:type="dxa"/>
            <w:vMerge/>
            <w:tcBorders>
              <w:bottom w:val="nil"/>
              <w:right w:val="nil"/>
            </w:tcBorders>
            <w:shd w:val="clear" w:color="auto" w:fill="auto"/>
            <w:noWrap/>
            <w:vAlign w:val="center"/>
          </w:tcPr>
          <w:p w14:paraId="036E3C18" w14:textId="77777777" w:rsidR="00D457FC" w:rsidRPr="00C702D7" w:rsidRDefault="00D457FC" w:rsidP="00B718EA">
            <w:pPr>
              <w:widowControl/>
              <w:spacing w:line="240" w:lineRule="auto"/>
              <w:ind w:firstLineChars="0" w:firstLine="0"/>
              <w:jc w:val="center"/>
              <w:rPr>
                <w:rFonts w:cs="Times New Roman"/>
                <w:i/>
                <w:iCs/>
                <w:kern w:val="0"/>
                <w:sz w:val="18"/>
                <w:szCs w:val="18"/>
              </w:rPr>
            </w:pPr>
          </w:p>
        </w:tc>
        <w:tc>
          <w:tcPr>
            <w:tcW w:w="1134" w:type="dxa"/>
            <w:tcBorders>
              <w:top w:val="nil"/>
              <w:left w:val="nil"/>
              <w:bottom w:val="nil"/>
              <w:right w:val="nil"/>
            </w:tcBorders>
            <w:vAlign w:val="center"/>
          </w:tcPr>
          <w:p w14:paraId="37041293"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1134" w:type="dxa"/>
            <w:tcBorders>
              <w:top w:val="nil"/>
              <w:left w:val="nil"/>
              <w:bottom w:val="nil"/>
              <w:right w:val="nil"/>
            </w:tcBorders>
            <w:vAlign w:val="center"/>
          </w:tcPr>
          <w:p w14:paraId="32497189"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(0.4086)</w:t>
            </w:r>
          </w:p>
        </w:tc>
        <w:tc>
          <w:tcPr>
            <w:tcW w:w="1134" w:type="dxa"/>
            <w:tcBorders>
              <w:top w:val="nil"/>
              <w:left w:val="nil"/>
              <w:bottom w:val="nil"/>
              <w:right w:val="nil"/>
            </w:tcBorders>
            <w:vAlign w:val="center"/>
          </w:tcPr>
          <w:p w14:paraId="46957055"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(-3.5776)</w:t>
            </w:r>
          </w:p>
        </w:tc>
        <w:tc>
          <w:tcPr>
            <w:tcW w:w="1134" w:type="dxa"/>
            <w:tcBorders>
              <w:top w:val="nil"/>
              <w:left w:val="nil"/>
              <w:bottom w:val="nil"/>
              <w:right w:val="nil"/>
            </w:tcBorders>
            <w:vAlign w:val="center"/>
          </w:tcPr>
          <w:p w14:paraId="6E03455E"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993" w:type="dxa"/>
            <w:tcBorders>
              <w:top w:val="nil"/>
              <w:left w:val="nil"/>
              <w:bottom w:val="nil"/>
              <w:right w:val="nil"/>
            </w:tcBorders>
            <w:shd w:val="clear" w:color="auto" w:fill="auto"/>
            <w:noWrap/>
            <w:vAlign w:val="center"/>
          </w:tcPr>
          <w:p w14:paraId="0E8914D9"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(-0.9521)</w:t>
            </w:r>
          </w:p>
        </w:tc>
        <w:tc>
          <w:tcPr>
            <w:tcW w:w="1076" w:type="dxa"/>
            <w:tcBorders>
              <w:top w:val="nil"/>
              <w:left w:val="nil"/>
              <w:bottom w:val="nil"/>
              <w:right w:val="nil"/>
            </w:tcBorders>
            <w:vAlign w:val="center"/>
          </w:tcPr>
          <w:p w14:paraId="3BF17950"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(-3.2582)</w:t>
            </w:r>
          </w:p>
        </w:tc>
      </w:tr>
      <w:tr w:rsidR="00C702D7" w:rsidRPr="00C702D7" w14:paraId="526A6620" w14:textId="77777777" w:rsidTr="00B718EA">
        <w:trPr>
          <w:trHeight w:val="280"/>
          <w:jc w:val="center"/>
        </w:trPr>
        <w:tc>
          <w:tcPr>
            <w:tcW w:w="1701" w:type="dxa"/>
            <w:vMerge w:val="restart"/>
            <w:tcBorders>
              <w:top w:val="nil"/>
              <w:right w:val="nil"/>
            </w:tcBorders>
            <w:shd w:val="clear" w:color="auto" w:fill="auto"/>
            <w:noWrap/>
            <w:vAlign w:val="center"/>
          </w:tcPr>
          <w:p w14:paraId="3E25EE46" w14:textId="77777777" w:rsidR="00D457FC" w:rsidRPr="00C702D7" w:rsidRDefault="00D457FC" w:rsidP="00B718EA">
            <w:pPr>
              <w:widowControl/>
              <w:spacing w:line="240" w:lineRule="auto"/>
              <w:ind w:firstLineChars="0" w:firstLine="0"/>
              <w:jc w:val="center"/>
              <w:rPr>
                <w:rFonts w:cs="Times New Roman"/>
                <w:i/>
                <w:iCs/>
                <w:kern w:val="0"/>
                <w:sz w:val="18"/>
                <w:szCs w:val="18"/>
              </w:rPr>
            </w:pPr>
            <w:r w:rsidRPr="00C702D7">
              <w:rPr>
                <w:rFonts w:cs="Times New Roman" w:hint="eastAsia"/>
                <w:i/>
                <w:iCs/>
                <w:kern w:val="0"/>
                <w:sz w:val="18"/>
                <w:szCs w:val="18"/>
              </w:rPr>
              <w:t>T</w:t>
            </w:r>
            <w:r w:rsidRPr="00C702D7">
              <w:rPr>
                <w:rFonts w:cs="Times New Roman"/>
                <w:i/>
                <w:iCs/>
                <w:kern w:val="0"/>
                <w:sz w:val="18"/>
                <w:szCs w:val="18"/>
              </w:rPr>
              <w:t>ech</w:t>
            </w:r>
          </w:p>
        </w:tc>
        <w:tc>
          <w:tcPr>
            <w:tcW w:w="1134" w:type="dxa"/>
            <w:tcBorders>
              <w:top w:val="nil"/>
              <w:left w:val="nil"/>
              <w:bottom w:val="nil"/>
              <w:right w:val="nil"/>
            </w:tcBorders>
            <w:vAlign w:val="center"/>
          </w:tcPr>
          <w:p w14:paraId="5032D908"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1134" w:type="dxa"/>
            <w:tcBorders>
              <w:top w:val="nil"/>
              <w:left w:val="nil"/>
              <w:bottom w:val="nil"/>
              <w:right w:val="nil"/>
            </w:tcBorders>
            <w:vAlign w:val="center"/>
          </w:tcPr>
          <w:p w14:paraId="49BCED6F"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-0.0001</w:t>
            </w:r>
          </w:p>
        </w:tc>
        <w:tc>
          <w:tcPr>
            <w:tcW w:w="1134" w:type="dxa"/>
            <w:tcBorders>
              <w:top w:val="nil"/>
              <w:left w:val="nil"/>
              <w:bottom w:val="nil"/>
              <w:right w:val="nil"/>
            </w:tcBorders>
            <w:vAlign w:val="center"/>
          </w:tcPr>
          <w:p w14:paraId="6FED99E2"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-0.0003</w:t>
            </w:r>
            <w:r w:rsidRPr="00C702D7">
              <w:rPr>
                <w:rFonts w:eastAsia="等线" w:cs="Times New Roman" w:hint="eastAsia"/>
                <w:sz w:val="18"/>
                <w:szCs w:val="18"/>
                <w:vertAlign w:val="superscript"/>
              </w:rPr>
              <w:t>**</w:t>
            </w:r>
          </w:p>
        </w:tc>
        <w:tc>
          <w:tcPr>
            <w:tcW w:w="1134" w:type="dxa"/>
            <w:tcBorders>
              <w:top w:val="nil"/>
              <w:left w:val="nil"/>
              <w:bottom w:val="nil"/>
              <w:right w:val="nil"/>
            </w:tcBorders>
            <w:vAlign w:val="center"/>
          </w:tcPr>
          <w:p w14:paraId="093555C9"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993" w:type="dxa"/>
            <w:tcBorders>
              <w:top w:val="nil"/>
              <w:left w:val="nil"/>
              <w:bottom w:val="nil"/>
              <w:right w:val="nil"/>
            </w:tcBorders>
            <w:shd w:val="clear" w:color="auto" w:fill="auto"/>
            <w:noWrap/>
            <w:vAlign w:val="center"/>
          </w:tcPr>
          <w:p w14:paraId="5E28BC09"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-0.0002</w:t>
            </w:r>
          </w:p>
        </w:tc>
        <w:tc>
          <w:tcPr>
            <w:tcW w:w="1076" w:type="dxa"/>
            <w:tcBorders>
              <w:top w:val="nil"/>
              <w:left w:val="nil"/>
              <w:bottom w:val="nil"/>
              <w:right w:val="nil"/>
            </w:tcBorders>
            <w:vAlign w:val="center"/>
          </w:tcPr>
          <w:p w14:paraId="5BC29210"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-0.0004</w:t>
            </w:r>
            <w:r w:rsidRPr="00C702D7">
              <w:rPr>
                <w:rFonts w:eastAsia="等线" w:cs="Times New Roman" w:hint="eastAsia"/>
                <w:sz w:val="18"/>
                <w:szCs w:val="18"/>
                <w:vertAlign w:val="superscript"/>
              </w:rPr>
              <w:t>**</w:t>
            </w:r>
          </w:p>
        </w:tc>
      </w:tr>
      <w:tr w:rsidR="00C702D7" w:rsidRPr="00C702D7" w14:paraId="6EFC19A0" w14:textId="77777777" w:rsidTr="00B718EA">
        <w:trPr>
          <w:trHeight w:val="280"/>
          <w:jc w:val="center"/>
        </w:trPr>
        <w:tc>
          <w:tcPr>
            <w:tcW w:w="1701" w:type="dxa"/>
            <w:vMerge/>
            <w:tcBorders>
              <w:bottom w:val="nil"/>
              <w:right w:val="nil"/>
            </w:tcBorders>
            <w:shd w:val="clear" w:color="auto" w:fill="auto"/>
            <w:noWrap/>
            <w:vAlign w:val="center"/>
          </w:tcPr>
          <w:p w14:paraId="56DCAC32" w14:textId="77777777" w:rsidR="00D457FC" w:rsidRPr="00C702D7" w:rsidRDefault="00D457FC" w:rsidP="00B718EA">
            <w:pPr>
              <w:widowControl/>
              <w:spacing w:line="240" w:lineRule="auto"/>
              <w:ind w:firstLineChars="0" w:firstLine="0"/>
              <w:jc w:val="center"/>
              <w:rPr>
                <w:rFonts w:cs="Times New Roman"/>
                <w:i/>
                <w:iCs/>
                <w:kern w:val="0"/>
                <w:sz w:val="18"/>
                <w:szCs w:val="18"/>
              </w:rPr>
            </w:pPr>
          </w:p>
        </w:tc>
        <w:tc>
          <w:tcPr>
            <w:tcW w:w="1134" w:type="dxa"/>
            <w:tcBorders>
              <w:top w:val="nil"/>
              <w:left w:val="nil"/>
              <w:bottom w:val="nil"/>
              <w:right w:val="nil"/>
            </w:tcBorders>
            <w:vAlign w:val="center"/>
          </w:tcPr>
          <w:p w14:paraId="6AC6DA72"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1134" w:type="dxa"/>
            <w:tcBorders>
              <w:top w:val="nil"/>
              <w:left w:val="nil"/>
              <w:bottom w:val="nil"/>
              <w:right w:val="nil"/>
            </w:tcBorders>
            <w:vAlign w:val="center"/>
          </w:tcPr>
          <w:p w14:paraId="69B730E9"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(-1.2465)</w:t>
            </w:r>
          </w:p>
        </w:tc>
        <w:tc>
          <w:tcPr>
            <w:tcW w:w="1134" w:type="dxa"/>
            <w:tcBorders>
              <w:top w:val="nil"/>
              <w:left w:val="nil"/>
              <w:bottom w:val="nil"/>
              <w:right w:val="nil"/>
            </w:tcBorders>
            <w:vAlign w:val="center"/>
          </w:tcPr>
          <w:p w14:paraId="33DC5142"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(-2.8349)</w:t>
            </w:r>
          </w:p>
        </w:tc>
        <w:tc>
          <w:tcPr>
            <w:tcW w:w="1134" w:type="dxa"/>
            <w:tcBorders>
              <w:top w:val="nil"/>
              <w:left w:val="nil"/>
              <w:bottom w:val="nil"/>
              <w:right w:val="nil"/>
            </w:tcBorders>
            <w:vAlign w:val="center"/>
          </w:tcPr>
          <w:p w14:paraId="2626190F"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993" w:type="dxa"/>
            <w:tcBorders>
              <w:top w:val="nil"/>
              <w:left w:val="nil"/>
              <w:bottom w:val="nil"/>
              <w:right w:val="nil"/>
            </w:tcBorders>
            <w:shd w:val="clear" w:color="auto" w:fill="auto"/>
            <w:noWrap/>
            <w:vAlign w:val="center"/>
          </w:tcPr>
          <w:p w14:paraId="1E9C2440"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(-1.6497)</w:t>
            </w:r>
          </w:p>
        </w:tc>
        <w:tc>
          <w:tcPr>
            <w:tcW w:w="1076" w:type="dxa"/>
            <w:tcBorders>
              <w:top w:val="nil"/>
              <w:left w:val="nil"/>
              <w:bottom w:val="nil"/>
              <w:right w:val="nil"/>
            </w:tcBorders>
            <w:vAlign w:val="center"/>
          </w:tcPr>
          <w:p w14:paraId="67276FE2"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(-2.7797)</w:t>
            </w:r>
          </w:p>
        </w:tc>
      </w:tr>
      <w:tr w:rsidR="00C702D7" w:rsidRPr="00C702D7" w14:paraId="014DE6FA" w14:textId="77777777" w:rsidTr="00B718EA">
        <w:trPr>
          <w:trHeight w:val="280"/>
          <w:jc w:val="center"/>
        </w:trPr>
        <w:tc>
          <w:tcPr>
            <w:tcW w:w="1701" w:type="dxa"/>
            <w:vMerge w:val="restart"/>
            <w:tcBorders>
              <w:top w:val="nil"/>
              <w:right w:val="nil"/>
            </w:tcBorders>
            <w:shd w:val="clear" w:color="auto" w:fill="auto"/>
            <w:noWrap/>
            <w:vAlign w:val="center"/>
          </w:tcPr>
          <w:p w14:paraId="586FF7E0" w14:textId="77777777" w:rsidR="00D457FC" w:rsidRPr="00C702D7" w:rsidRDefault="00D457FC" w:rsidP="00B718EA">
            <w:pPr>
              <w:widowControl/>
              <w:spacing w:line="240" w:lineRule="auto"/>
              <w:ind w:firstLineChars="0" w:firstLine="0"/>
              <w:jc w:val="center"/>
              <w:rPr>
                <w:rFonts w:cs="Times New Roman"/>
                <w:i/>
                <w:iCs/>
                <w:kern w:val="0"/>
                <w:sz w:val="18"/>
                <w:szCs w:val="18"/>
              </w:rPr>
            </w:pPr>
            <w:r w:rsidRPr="00C702D7">
              <w:rPr>
                <w:rFonts w:cs="Times New Roman"/>
                <w:i/>
                <w:iCs/>
                <w:kern w:val="0"/>
                <w:sz w:val="18"/>
                <w:szCs w:val="18"/>
              </w:rPr>
              <w:t>Constant</w:t>
            </w:r>
          </w:p>
        </w:tc>
        <w:tc>
          <w:tcPr>
            <w:tcW w:w="1134" w:type="dxa"/>
            <w:tcBorders>
              <w:top w:val="nil"/>
              <w:left w:val="nil"/>
              <w:bottom w:val="nil"/>
              <w:right w:val="nil"/>
            </w:tcBorders>
            <w:vAlign w:val="center"/>
          </w:tcPr>
          <w:p w14:paraId="5A8523D1"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0.0016</w:t>
            </w:r>
            <w:r w:rsidRPr="00C702D7">
              <w:rPr>
                <w:rFonts w:eastAsia="等线" w:cs="Times New Roman" w:hint="eastAsia"/>
                <w:sz w:val="18"/>
                <w:szCs w:val="18"/>
                <w:vertAlign w:val="superscript"/>
              </w:rPr>
              <w:t>***</w:t>
            </w:r>
          </w:p>
        </w:tc>
        <w:tc>
          <w:tcPr>
            <w:tcW w:w="1134" w:type="dxa"/>
            <w:tcBorders>
              <w:top w:val="nil"/>
              <w:left w:val="nil"/>
              <w:bottom w:val="nil"/>
              <w:right w:val="nil"/>
            </w:tcBorders>
            <w:vAlign w:val="center"/>
          </w:tcPr>
          <w:p w14:paraId="40BBE1CB"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sz w:val="18"/>
                <w:szCs w:val="18"/>
              </w:rPr>
              <w:t>-0.0108</w:t>
            </w:r>
          </w:p>
        </w:tc>
        <w:tc>
          <w:tcPr>
            <w:tcW w:w="1134" w:type="dxa"/>
            <w:tcBorders>
              <w:top w:val="nil"/>
              <w:left w:val="nil"/>
              <w:bottom w:val="nil"/>
              <w:right w:val="nil"/>
            </w:tcBorders>
            <w:vAlign w:val="center"/>
          </w:tcPr>
          <w:p w14:paraId="02D1EC8F"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-0.7548</w:t>
            </w:r>
            <w:r w:rsidRPr="00C702D7">
              <w:rPr>
                <w:rFonts w:eastAsia="等线" w:cs="Times New Roman" w:hint="eastAsia"/>
                <w:sz w:val="18"/>
                <w:szCs w:val="18"/>
                <w:vertAlign w:val="superscript"/>
              </w:rPr>
              <w:t>***</w:t>
            </w:r>
          </w:p>
        </w:tc>
        <w:tc>
          <w:tcPr>
            <w:tcW w:w="1134" w:type="dxa"/>
            <w:tcBorders>
              <w:top w:val="nil"/>
              <w:left w:val="nil"/>
              <w:bottom w:val="nil"/>
              <w:right w:val="nil"/>
            </w:tcBorders>
            <w:vAlign w:val="center"/>
          </w:tcPr>
          <w:p w14:paraId="4A6CEC2F"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0.0009</w:t>
            </w:r>
            <w:r w:rsidRPr="00C702D7">
              <w:rPr>
                <w:rFonts w:eastAsia="等线" w:cs="Times New Roman" w:hint="eastAsia"/>
                <w:sz w:val="18"/>
                <w:szCs w:val="18"/>
                <w:vertAlign w:val="superscript"/>
              </w:rPr>
              <w:t>***</w:t>
            </w:r>
          </w:p>
        </w:tc>
        <w:tc>
          <w:tcPr>
            <w:tcW w:w="993" w:type="dxa"/>
            <w:tcBorders>
              <w:top w:val="nil"/>
              <w:left w:val="nil"/>
              <w:bottom w:val="nil"/>
              <w:right w:val="nil"/>
            </w:tcBorders>
            <w:shd w:val="clear" w:color="auto" w:fill="auto"/>
            <w:noWrap/>
            <w:vAlign w:val="center"/>
          </w:tcPr>
          <w:p w14:paraId="4FADB6CB"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0.0112</w:t>
            </w:r>
          </w:p>
        </w:tc>
        <w:tc>
          <w:tcPr>
            <w:tcW w:w="1076" w:type="dxa"/>
            <w:tcBorders>
              <w:top w:val="nil"/>
              <w:left w:val="nil"/>
              <w:bottom w:val="nil"/>
              <w:right w:val="nil"/>
            </w:tcBorders>
            <w:vAlign w:val="center"/>
          </w:tcPr>
          <w:p w14:paraId="564A73EB"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-0.9563</w:t>
            </w:r>
            <w:r w:rsidRPr="00C702D7">
              <w:rPr>
                <w:rFonts w:eastAsia="等线" w:cs="Times New Roman" w:hint="eastAsia"/>
                <w:sz w:val="18"/>
                <w:szCs w:val="18"/>
                <w:vertAlign w:val="superscript"/>
              </w:rPr>
              <w:t>***</w:t>
            </w:r>
          </w:p>
        </w:tc>
      </w:tr>
      <w:tr w:rsidR="00C702D7" w:rsidRPr="00C702D7" w14:paraId="0DA76ACD" w14:textId="77777777" w:rsidTr="00B718EA">
        <w:trPr>
          <w:trHeight w:val="280"/>
          <w:jc w:val="center"/>
        </w:trPr>
        <w:tc>
          <w:tcPr>
            <w:tcW w:w="1701" w:type="dxa"/>
            <w:vMerge/>
            <w:tcBorders>
              <w:bottom w:val="nil"/>
              <w:right w:val="nil"/>
            </w:tcBorders>
            <w:shd w:val="clear" w:color="auto" w:fill="auto"/>
            <w:noWrap/>
            <w:vAlign w:val="center"/>
          </w:tcPr>
          <w:p w14:paraId="24A2A7D0" w14:textId="77777777" w:rsidR="00D457FC" w:rsidRPr="00C702D7" w:rsidRDefault="00D457FC" w:rsidP="00B718EA">
            <w:pPr>
              <w:widowControl/>
              <w:spacing w:line="240" w:lineRule="auto"/>
              <w:ind w:firstLineChars="0" w:firstLine="0"/>
              <w:jc w:val="center"/>
              <w:rPr>
                <w:rFonts w:cs="Times New Roman"/>
                <w:kern w:val="0"/>
                <w:sz w:val="18"/>
                <w:szCs w:val="18"/>
              </w:rPr>
            </w:pPr>
          </w:p>
        </w:tc>
        <w:tc>
          <w:tcPr>
            <w:tcW w:w="1134" w:type="dxa"/>
            <w:tcBorders>
              <w:top w:val="nil"/>
              <w:left w:val="nil"/>
              <w:bottom w:val="nil"/>
              <w:right w:val="nil"/>
            </w:tcBorders>
            <w:vAlign w:val="center"/>
          </w:tcPr>
          <w:p w14:paraId="0F0CA9BD"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(163.2136)</w:t>
            </w:r>
          </w:p>
        </w:tc>
        <w:tc>
          <w:tcPr>
            <w:tcW w:w="1134" w:type="dxa"/>
            <w:tcBorders>
              <w:top w:val="nil"/>
              <w:left w:val="nil"/>
              <w:bottom w:val="nil"/>
              <w:right w:val="nil"/>
            </w:tcBorders>
            <w:vAlign w:val="center"/>
          </w:tcPr>
          <w:p w14:paraId="73D86819"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sz w:val="18"/>
                <w:szCs w:val="18"/>
              </w:rPr>
              <w:t>(-1.5691)</w:t>
            </w:r>
          </w:p>
        </w:tc>
        <w:tc>
          <w:tcPr>
            <w:tcW w:w="1134" w:type="dxa"/>
            <w:tcBorders>
              <w:top w:val="nil"/>
              <w:left w:val="nil"/>
              <w:bottom w:val="nil"/>
              <w:right w:val="nil"/>
            </w:tcBorders>
            <w:vAlign w:val="center"/>
          </w:tcPr>
          <w:p w14:paraId="501E84A0"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(-4.1909)</w:t>
            </w:r>
          </w:p>
        </w:tc>
        <w:tc>
          <w:tcPr>
            <w:tcW w:w="1134" w:type="dxa"/>
            <w:tcBorders>
              <w:top w:val="nil"/>
              <w:left w:val="nil"/>
              <w:bottom w:val="nil"/>
              <w:right w:val="nil"/>
            </w:tcBorders>
            <w:vAlign w:val="center"/>
          </w:tcPr>
          <w:p w14:paraId="3DD2C1D2"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(254.8634)</w:t>
            </w:r>
          </w:p>
        </w:tc>
        <w:tc>
          <w:tcPr>
            <w:tcW w:w="993" w:type="dxa"/>
            <w:tcBorders>
              <w:top w:val="nil"/>
              <w:left w:val="nil"/>
              <w:bottom w:val="nil"/>
              <w:right w:val="nil"/>
            </w:tcBorders>
            <w:shd w:val="clear" w:color="auto" w:fill="auto"/>
            <w:noWrap/>
            <w:vAlign w:val="center"/>
          </w:tcPr>
          <w:p w14:paraId="59626B01"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sz w:val="18"/>
                <w:szCs w:val="18"/>
              </w:rPr>
              <w:t>(1.1547)</w:t>
            </w:r>
          </w:p>
        </w:tc>
        <w:tc>
          <w:tcPr>
            <w:tcW w:w="1076" w:type="dxa"/>
            <w:tcBorders>
              <w:top w:val="nil"/>
              <w:left w:val="nil"/>
              <w:bottom w:val="nil"/>
              <w:right w:val="nil"/>
            </w:tcBorders>
            <w:vAlign w:val="center"/>
          </w:tcPr>
          <w:p w14:paraId="2FAFFDC6"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(-4.2758)</w:t>
            </w:r>
          </w:p>
        </w:tc>
      </w:tr>
      <w:tr w:rsidR="00C702D7" w:rsidRPr="00C702D7" w14:paraId="0CA65DE0" w14:textId="77777777" w:rsidTr="00B718EA">
        <w:trPr>
          <w:trHeight w:val="280"/>
          <w:jc w:val="center"/>
        </w:trPr>
        <w:tc>
          <w:tcPr>
            <w:tcW w:w="1701" w:type="dxa"/>
            <w:tcBorders>
              <w:top w:val="nil"/>
              <w:bottom w:val="nil"/>
              <w:right w:val="nil"/>
            </w:tcBorders>
            <w:shd w:val="clear" w:color="auto" w:fill="auto"/>
            <w:noWrap/>
            <w:vAlign w:val="center"/>
          </w:tcPr>
          <w:p w14:paraId="6AB8F417" w14:textId="77777777" w:rsidR="00D457FC" w:rsidRPr="00C702D7" w:rsidRDefault="00D457FC" w:rsidP="00B718EA">
            <w:pPr>
              <w:widowControl/>
              <w:spacing w:line="240" w:lineRule="auto"/>
              <w:ind w:firstLineChars="0" w:firstLine="0"/>
              <w:jc w:val="center"/>
              <w:rPr>
                <w:rFonts w:cs="Times New Roman"/>
                <w:kern w:val="0"/>
                <w:sz w:val="18"/>
                <w:szCs w:val="18"/>
              </w:rPr>
            </w:pPr>
            <w:r w:rsidRPr="00C702D7">
              <w:rPr>
                <w:rFonts w:cs="Times New Roman"/>
                <w:kern w:val="0"/>
                <w:sz w:val="18"/>
                <w:szCs w:val="18"/>
              </w:rPr>
              <w:t>年度</w:t>
            </w:r>
            <w:r w:rsidRPr="00C702D7">
              <w:rPr>
                <w:rFonts w:cs="Times New Roman" w:hint="eastAsia"/>
                <w:kern w:val="0"/>
                <w:sz w:val="18"/>
                <w:szCs w:val="18"/>
              </w:rPr>
              <w:t>/</w:t>
            </w:r>
            <w:r w:rsidRPr="00C702D7">
              <w:rPr>
                <w:rFonts w:cs="Times New Roman" w:hint="eastAsia"/>
                <w:kern w:val="0"/>
                <w:sz w:val="18"/>
                <w:szCs w:val="18"/>
              </w:rPr>
              <w:t>行业</w:t>
            </w:r>
          </w:p>
          <w:p w14:paraId="54790A58" w14:textId="77777777" w:rsidR="00D457FC" w:rsidRPr="00C702D7" w:rsidRDefault="00D457FC" w:rsidP="00B718EA">
            <w:pPr>
              <w:widowControl/>
              <w:spacing w:line="240" w:lineRule="auto"/>
              <w:ind w:firstLineChars="0" w:firstLine="0"/>
              <w:jc w:val="center"/>
              <w:rPr>
                <w:rFonts w:cs="Times New Roman"/>
                <w:kern w:val="0"/>
                <w:sz w:val="18"/>
                <w:szCs w:val="18"/>
              </w:rPr>
            </w:pPr>
            <w:r w:rsidRPr="00C702D7">
              <w:rPr>
                <w:rFonts w:cs="Times New Roman"/>
                <w:kern w:val="0"/>
                <w:sz w:val="18"/>
                <w:szCs w:val="18"/>
              </w:rPr>
              <w:t>固定效应</w:t>
            </w:r>
          </w:p>
        </w:tc>
        <w:tc>
          <w:tcPr>
            <w:tcW w:w="1134" w:type="dxa"/>
            <w:tcBorders>
              <w:top w:val="nil"/>
              <w:left w:val="nil"/>
              <w:bottom w:val="nil"/>
              <w:right w:val="nil"/>
            </w:tcBorders>
            <w:vAlign w:val="center"/>
          </w:tcPr>
          <w:p w14:paraId="428EB2B4"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hint="eastAsia"/>
                <w:sz w:val="18"/>
                <w:szCs w:val="18"/>
              </w:rPr>
              <w:t>Yes</w:t>
            </w:r>
          </w:p>
        </w:tc>
        <w:tc>
          <w:tcPr>
            <w:tcW w:w="1134" w:type="dxa"/>
            <w:tcBorders>
              <w:top w:val="nil"/>
              <w:left w:val="nil"/>
              <w:bottom w:val="nil"/>
              <w:right w:val="nil"/>
            </w:tcBorders>
            <w:vAlign w:val="center"/>
          </w:tcPr>
          <w:p w14:paraId="776A69F8"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Yes</w:t>
            </w:r>
          </w:p>
        </w:tc>
        <w:tc>
          <w:tcPr>
            <w:tcW w:w="1134" w:type="dxa"/>
            <w:tcBorders>
              <w:top w:val="nil"/>
              <w:left w:val="nil"/>
              <w:bottom w:val="nil"/>
              <w:right w:val="nil"/>
            </w:tcBorders>
            <w:vAlign w:val="center"/>
          </w:tcPr>
          <w:p w14:paraId="48705358"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N</w:t>
            </w:r>
            <w:r w:rsidRPr="00C702D7">
              <w:rPr>
                <w:rFonts w:eastAsia="等线" w:cs="Times New Roman"/>
                <w:sz w:val="18"/>
                <w:szCs w:val="18"/>
              </w:rPr>
              <w:t>o</w:t>
            </w:r>
          </w:p>
        </w:tc>
        <w:tc>
          <w:tcPr>
            <w:tcW w:w="1134" w:type="dxa"/>
            <w:tcBorders>
              <w:top w:val="nil"/>
              <w:left w:val="nil"/>
              <w:bottom w:val="nil"/>
              <w:right w:val="nil"/>
            </w:tcBorders>
            <w:vAlign w:val="center"/>
          </w:tcPr>
          <w:p w14:paraId="183A2160"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hint="eastAsia"/>
                <w:sz w:val="18"/>
                <w:szCs w:val="18"/>
              </w:rPr>
              <w:t>Yes</w:t>
            </w:r>
          </w:p>
        </w:tc>
        <w:tc>
          <w:tcPr>
            <w:tcW w:w="993" w:type="dxa"/>
            <w:tcBorders>
              <w:top w:val="nil"/>
              <w:left w:val="nil"/>
              <w:bottom w:val="nil"/>
              <w:right w:val="nil"/>
            </w:tcBorders>
            <w:shd w:val="clear" w:color="auto" w:fill="auto"/>
            <w:noWrap/>
            <w:vAlign w:val="center"/>
          </w:tcPr>
          <w:p w14:paraId="091F2184"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Yes</w:t>
            </w:r>
          </w:p>
        </w:tc>
        <w:tc>
          <w:tcPr>
            <w:tcW w:w="1076" w:type="dxa"/>
            <w:tcBorders>
              <w:top w:val="nil"/>
              <w:left w:val="nil"/>
              <w:bottom w:val="nil"/>
              <w:right w:val="nil"/>
            </w:tcBorders>
            <w:vAlign w:val="center"/>
          </w:tcPr>
          <w:p w14:paraId="0A557CEE"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hint="eastAsia"/>
                <w:sz w:val="18"/>
                <w:szCs w:val="18"/>
              </w:rPr>
              <w:t>N</w:t>
            </w:r>
            <w:r w:rsidRPr="00C702D7">
              <w:rPr>
                <w:rFonts w:eastAsia="等线" w:cs="Times New Roman"/>
                <w:sz w:val="18"/>
                <w:szCs w:val="18"/>
              </w:rPr>
              <w:t>o</w:t>
            </w:r>
          </w:p>
        </w:tc>
      </w:tr>
      <w:tr w:rsidR="00C702D7" w:rsidRPr="00C702D7" w14:paraId="4CBE9D45" w14:textId="77777777" w:rsidTr="00B718EA">
        <w:trPr>
          <w:trHeight w:val="280"/>
          <w:jc w:val="center"/>
        </w:trPr>
        <w:tc>
          <w:tcPr>
            <w:tcW w:w="1701" w:type="dxa"/>
            <w:tcBorders>
              <w:top w:val="nil"/>
              <w:bottom w:val="nil"/>
              <w:right w:val="nil"/>
            </w:tcBorders>
            <w:shd w:val="clear" w:color="auto" w:fill="auto"/>
            <w:noWrap/>
            <w:vAlign w:val="center"/>
          </w:tcPr>
          <w:p w14:paraId="656C22AE" w14:textId="77777777" w:rsidR="00D457FC" w:rsidRPr="00C702D7" w:rsidRDefault="00D457FC" w:rsidP="00B718EA">
            <w:pPr>
              <w:widowControl/>
              <w:spacing w:line="240" w:lineRule="auto"/>
              <w:ind w:firstLineChars="0" w:firstLine="0"/>
              <w:jc w:val="center"/>
              <w:rPr>
                <w:rFonts w:cs="Times New Roman"/>
                <w:kern w:val="0"/>
                <w:sz w:val="18"/>
                <w:szCs w:val="18"/>
              </w:rPr>
            </w:pPr>
            <w:r w:rsidRPr="00C702D7">
              <w:rPr>
                <w:rFonts w:cs="Times New Roman" w:hint="eastAsia"/>
                <w:kern w:val="0"/>
                <w:sz w:val="18"/>
                <w:szCs w:val="18"/>
              </w:rPr>
              <w:t>年度</w:t>
            </w:r>
            <w:r w:rsidRPr="00C702D7">
              <w:rPr>
                <w:rFonts w:cs="Times New Roman" w:hint="eastAsia"/>
                <w:kern w:val="0"/>
                <w:sz w:val="18"/>
                <w:szCs w:val="18"/>
              </w:rPr>
              <w:t>/</w:t>
            </w:r>
            <w:r w:rsidRPr="00C702D7">
              <w:rPr>
                <w:rFonts w:cs="Times New Roman" w:hint="eastAsia"/>
                <w:kern w:val="0"/>
                <w:sz w:val="18"/>
                <w:szCs w:val="18"/>
              </w:rPr>
              <w:t>个体</w:t>
            </w:r>
          </w:p>
          <w:p w14:paraId="007B51EB" w14:textId="77777777" w:rsidR="00D457FC" w:rsidRPr="00C702D7" w:rsidRDefault="00D457FC" w:rsidP="00B718EA">
            <w:pPr>
              <w:widowControl/>
              <w:spacing w:line="240" w:lineRule="auto"/>
              <w:ind w:firstLineChars="0" w:firstLine="0"/>
              <w:jc w:val="center"/>
              <w:rPr>
                <w:rFonts w:cs="Times New Roman"/>
                <w:kern w:val="0"/>
                <w:sz w:val="18"/>
                <w:szCs w:val="18"/>
              </w:rPr>
            </w:pPr>
            <w:r w:rsidRPr="00C702D7">
              <w:rPr>
                <w:rFonts w:cs="Times New Roman" w:hint="eastAsia"/>
                <w:kern w:val="0"/>
                <w:sz w:val="18"/>
                <w:szCs w:val="18"/>
              </w:rPr>
              <w:t>固定效应</w:t>
            </w:r>
          </w:p>
        </w:tc>
        <w:tc>
          <w:tcPr>
            <w:tcW w:w="1134" w:type="dxa"/>
            <w:tcBorders>
              <w:top w:val="nil"/>
              <w:left w:val="nil"/>
              <w:bottom w:val="nil"/>
              <w:right w:val="nil"/>
            </w:tcBorders>
            <w:vAlign w:val="center"/>
          </w:tcPr>
          <w:p w14:paraId="16025CA5"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No</w:t>
            </w:r>
          </w:p>
        </w:tc>
        <w:tc>
          <w:tcPr>
            <w:tcW w:w="1134" w:type="dxa"/>
            <w:tcBorders>
              <w:top w:val="nil"/>
              <w:left w:val="nil"/>
              <w:bottom w:val="nil"/>
              <w:right w:val="nil"/>
            </w:tcBorders>
            <w:vAlign w:val="center"/>
          </w:tcPr>
          <w:p w14:paraId="73A8E93A"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hint="eastAsia"/>
                <w:sz w:val="18"/>
                <w:szCs w:val="18"/>
              </w:rPr>
              <w:t>No</w:t>
            </w:r>
          </w:p>
        </w:tc>
        <w:tc>
          <w:tcPr>
            <w:tcW w:w="1134" w:type="dxa"/>
            <w:tcBorders>
              <w:top w:val="nil"/>
              <w:left w:val="nil"/>
              <w:bottom w:val="nil"/>
              <w:right w:val="nil"/>
            </w:tcBorders>
            <w:vAlign w:val="center"/>
          </w:tcPr>
          <w:p w14:paraId="32083FC2"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Yes</w:t>
            </w:r>
          </w:p>
        </w:tc>
        <w:tc>
          <w:tcPr>
            <w:tcW w:w="1134" w:type="dxa"/>
            <w:tcBorders>
              <w:top w:val="nil"/>
              <w:left w:val="nil"/>
              <w:bottom w:val="nil"/>
              <w:right w:val="nil"/>
            </w:tcBorders>
            <w:vAlign w:val="center"/>
          </w:tcPr>
          <w:p w14:paraId="0182C415"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No</w:t>
            </w:r>
          </w:p>
        </w:tc>
        <w:tc>
          <w:tcPr>
            <w:tcW w:w="993" w:type="dxa"/>
            <w:tcBorders>
              <w:top w:val="nil"/>
              <w:left w:val="nil"/>
              <w:bottom w:val="nil"/>
              <w:right w:val="nil"/>
            </w:tcBorders>
            <w:shd w:val="clear" w:color="auto" w:fill="auto"/>
            <w:noWrap/>
            <w:vAlign w:val="center"/>
          </w:tcPr>
          <w:p w14:paraId="10A8FB80"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eastAsia="等线" w:cs="Times New Roman" w:hint="eastAsia"/>
                <w:sz w:val="18"/>
                <w:szCs w:val="18"/>
              </w:rPr>
              <w:t>No</w:t>
            </w:r>
          </w:p>
        </w:tc>
        <w:tc>
          <w:tcPr>
            <w:tcW w:w="1076" w:type="dxa"/>
            <w:tcBorders>
              <w:top w:val="nil"/>
              <w:left w:val="nil"/>
              <w:bottom w:val="nil"/>
              <w:right w:val="nil"/>
            </w:tcBorders>
            <w:vAlign w:val="center"/>
          </w:tcPr>
          <w:p w14:paraId="3DC514E0"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Yes</w:t>
            </w:r>
          </w:p>
        </w:tc>
      </w:tr>
      <w:tr w:rsidR="00C702D7" w:rsidRPr="00C702D7" w14:paraId="711779FE" w14:textId="77777777" w:rsidTr="00B718EA">
        <w:trPr>
          <w:trHeight w:val="280"/>
          <w:jc w:val="center"/>
        </w:trPr>
        <w:tc>
          <w:tcPr>
            <w:tcW w:w="1701" w:type="dxa"/>
            <w:tcBorders>
              <w:top w:val="nil"/>
              <w:bottom w:val="nil"/>
              <w:right w:val="nil"/>
            </w:tcBorders>
            <w:shd w:val="clear" w:color="auto" w:fill="auto"/>
            <w:noWrap/>
            <w:vAlign w:val="center"/>
          </w:tcPr>
          <w:p w14:paraId="47A43197" w14:textId="77777777" w:rsidR="00D457FC" w:rsidRPr="00C702D7" w:rsidRDefault="00D457FC" w:rsidP="00B718EA">
            <w:pPr>
              <w:widowControl/>
              <w:spacing w:line="240" w:lineRule="auto"/>
              <w:ind w:firstLineChars="0" w:firstLine="0"/>
              <w:jc w:val="center"/>
              <w:rPr>
                <w:rFonts w:cs="Times New Roman"/>
                <w:kern w:val="0"/>
                <w:sz w:val="18"/>
                <w:szCs w:val="18"/>
              </w:rPr>
            </w:pPr>
            <w:r w:rsidRPr="00C702D7">
              <w:rPr>
                <w:rFonts w:cs="Times New Roman" w:hint="eastAsia"/>
                <w:kern w:val="0"/>
                <w:sz w:val="18"/>
                <w:szCs w:val="18"/>
              </w:rPr>
              <w:t>样本量</w:t>
            </w:r>
          </w:p>
        </w:tc>
        <w:tc>
          <w:tcPr>
            <w:tcW w:w="1134" w:type="dxa"/>
            <w:tcBorders>
              <w:top w:val="nil"/>
              <w:left w:val="nil"/>
              <w:bottom w:val="nil"/>
              <w:right w:val="nil"/>
            </w:tcBorders>
            <w:vAlign w:val="center"/>
          </w:tcPr>
          <w:p w14:paraId="010F3950"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6896</w:t>
            </w:r>
          </w:p>
        </w:tc>
        <w:tc>
          <w:tcPr>
            <w:tcW w:w="1134" w:type="dxa"/>
            <w:tcBorders>
              <w:top w:val="nil"/>
              <w:left w:val="nil"/>
              <w:bottom w:val="nil"/>
              <w:right w:val="nil"/>
            </w:tcBorders>
            <w:vAlign w:val="center"/>
          </w:tcPr>
          <w:p w14:paraId="4016622B"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689</w:t>
            </w:r>
            <w:r w:rsidRPr="00C702D7">
              <w:rPr>
                <w:rFonts w:cs="Times New Roman"/>
                <w:sz w:val="18"/>
                <w:szCs w:val="18"/>
              </w:rPr>
              <w:t>6</w:t>
            </w:r>
          </w:p>
        </w:tc>
        <w:tc>
          <w:tcPr>
            <w:tcW w:w="1134" w:type="dxa"/>
            <w:tcBorders>
              <w:top w:val="nil"/>
              <w:left w:val="nil"/>
              <w:bottom w:val="nil"/>
              <w:right w:val="nil"/>
            </w:tcBorders>
            <w:vAlign w:val="center"/>
          </w:tcPr>
          <w:p w14:paraId="35C0D6A0"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689</w:t>
            </w:r>
            <w:r w:rsidRPr="00C702D7">
              <w:rPr>
                <w:rFonts w:cs="Times New Roman"/>
                <w:sz w:val="18"/>
                <w:szCs w:val="18"/>
              </w:rPr>
              <w:t>6</w:t>
            </w:r>
          </w:p>
        </w:tc>
        <w:tc>
          <w:tcPr>
            <w:tcW w:w="1134" w:type="dxa"/>
            <w:tcBorders>
              <w:top w:val="nil"/>
              <w:left w:val="nil"/>
              <w:bottom w:val="nil"/>
              <w:right w:val="nil"/>
            </w:tcBorders>
            <w:vAlign w:val="center"/>
          </w:tcPr>
          <w:p w14:paraId="41F6969C"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6896</w:t>
            </w:r>
          </w:p>
        </w:tc>
        <w:tc>
          <w:tcPr>
            <w:tcW w:w="993" w:type="dxa"/>
            <w:tcBorders>
              <w:top w:val="nil"/>
              <w:left w:val="nil"/>
              <w:bottom w:val="nil"/>
              <w:right w:val="nil"/>
            </w:tcBorders>
            <w:shd w:val="clear" w:color="auto" w:fill="auto"/>
            <w:noWrap/>
            <w:vAlign w:val="center"/>
          </w:tcPr>
          <w:p w14:paraId="2BFCBA63"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689</w:t>
            </w:r>
            <w:r w:rsidRPr="00C702D7">
              <w:rPr>
                <w:rFonts w:cs="Times New Roman"/>
                <w:sz w:val="18"/>
                <w:szCs w:val="18"/>
              </w:rPr>
              <w:t>6</w:t>
            </w:r>
          </w:p>
        </w:tc>
        <w:tc>
          <w:tcPr>
            <w:tcW w:w="1076" w:type="dxa"/>
            <w:tcBorders>
              <w:top w:val="nil"/>
              <w:left w:val="nil"/>
              <w:bottom w:val="nil"/>
              <w:right w:val="nil"/>
            </w:tcBorders>
            <w:vAlign w:val="center"/>
          </w:tcPr>
          <w:p w14:paraId="19872808"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6896</w:t>
            </w:r>
          </w:p>
        </w:tc>
      </w:tr>
      <w:tr w:rsidR="00C702D7" w:rsidRPr="00C702D7" w14:paraId="51554F43" w14:textId="77777777" w:rsidTr="00B718EA">
        <w:trPr>
          <w:trHeight w:val="280"/>
          <w:jc w:val="center"/>
        </w:trPr>
        <w:tc>
          <w:tcPr>
            <w:tcW w:w="1701" w:type="dxa"/>
            <w:tcBorders>
              <w:top w:val="nil"/>
              <w:bottom w:val="single" w:sz="12" w:space="0" w:color="auto"/>
              <w:right w:val="nil"/>
            </w:tcBorders>
            <w:shd w:val="clear" w:color="auto" w:fill="auto"/>
            <w:noWrap/>
            <w:vAlign w:val="center"/>
          </w:tcPr>
          <w:p w14:paraId="2CB0033B" w14:textId="77777777" w:rsidR="00D457FC" w:rsidRPr="00C702D7" w:rsidRDefault="00D457FC" w:rsidP="00B718EA">
            <w:pPr>
              <w:widowControl/>
              <w:spacing w:line="240" w:lineRule="auto"/>
              <w:ind w:firstLineChars="0" w:firstLine="0"/>
              <w:jc w:val="center"/>
              <w:rPr>
                <w:rFonts w:cs="Times New Roman"/>
                <w:i/>
                <w:iCs/>
                <w:kern w:val="0"/>
                <w:sz w:val="18"/>
                <w:szCs w:val="18"/>
              </w:rPr>
            </w:pPr>
            <w:r w:rsidRPr="00C702D7">
              <w:rPr>
                <w:rFonts w:cs="Times New Roman"/>
                <w:i/>
                <w:iCs/>
                <w:kern w:val="0"/>
                <w:sz w:val="18"/>
                <w:szCs w:val="18"/>
              </w:rPr>
              <w:t>R</w:t>
            </w:r>
            <w:r w:rsidRPr="00C702D7">
              <w:rPr>
                <w:rFonts w:cs="Times New Roman"/>
                <w:i/>
                <w:iCs/>
                <w:kern w:val="0"/>
                <w:sz w:val="18"/>
                <w:szCs w:val="18"/>
                <w:vertAlign w:val="superscript"/>
              </w:rPr>
              <w:t>2</w:t>
            </w:r>
          </w:p>
        </w:tc>
        <w:tc>
          <w:tcPr>
            <w:tcW w:w="1134" w:type="dxa"/>
            <w:tcBorders>
              <w:top w:val="nil"/>
              <w:left w:val="nil"/>
              <w:bottom w:val="single" w:sz="12" w:space="0" w:color="auto"/>
              <w:right w:val="nil"/>
            </w:tcBorders>
            <w:vAlign w:val="center"/>
          </w:tcPr>
          <w:p w14:paraId="7778AEF2"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0.00</w:t>
            </w:r>
            <w:r w:rsidRPr="00C702D7">
              <w:rPr>
                <w:rFonts w:cs="Times New Roman"/>
                <w:sz w:val="18"/>
                <w:szCs w:val="18"/>
              </w:rPr>
              <w:t>2</w:t>
            </w:r>
          </w:p>
        </w:tc>
        <w:tc>
          <w:tcPr>
            <w:tcW w:w="1134" w:type="dxa"/>
            <w:tcBorders>
              <w:top w:val="nil"/>
              <w:left w:val="nil"/>
              <w:bottom w:val="single" w:sz="12" w:space="0" w:color="auto"/>
              <w:right w:val="nil"/>
            </w:tcBorders>
            <w:vAlign w:val="center"/>
          </w:tcPr>
          <w:p w14:paraId="6BDC62D0"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0.0</w:t>
            </w:r>
            <w:r w:rsidRPr="00C702D7">
              <w:rPr>
                <w:rFonts w:cs="Times New Roman"/>
                <w:sz w:val="18"/>
                <w:szCs w:val="18"/>
              </w:rPr>
              <w:t>06</w:t>
            </w:r>
          </w:p>
        </w:tc>
        <w:tc>
          <w:tcPr>
            <w:tcW w:w="1134" w:type="dxa"/>
            <w:tcBorders>
              <w:top w:val="nil"/>
              <w:left w:val="nil"/>
              <w:bottom w:val="single" w:sz="12" w:space="0" w:color="auto"/>
              <w:right w:val="nil"/>
            </w:tcBorders>
            <w:vAlign w:val="center"/>
          </w:tcPr>
          <w:p w14:paraId="00C7AACB"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0</w:t>
            </w:r>
            <w:r w:rsidRPr="00C702D7">
              <w:rPr>
                <w:rFonts w:cs="Times New Roman"/>
                <w:sz w:val="18"/>
                <w:szCs w:val="18"/>
              </w:rPr>
              <w:t>.199</w:t>
            </w:r>
          </w:p>
        </w:tc>
        <w:tc>
          <w:tcPr>
            <w:tcW w:w="1134" w:type="dxa"/>
            <w:tcBorders>
              <w:top w:val="nil"/>
              <w:left w:val="nil"/>
              <w:bottom w:val="single" w:sz="12" w:space="0" w:color="auto"/>
              <w:right w:val="nil"/>
            </w:tcBorders>
            <w:vAlign w:val="center"/>
          </w:tcPr>
          <w:p w14:paraId="06EFF083"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0.00</w:t>
            </w:r>
            <w:r w:rsidRPr="00C702D7">
              <w:rPr>
                <w:rFonts w:cs="Times New Roman"/>
                <w:sz w:val="18"/>
                <w:szCs w:val="18"/>
              </w:rPr>
              <w:t>2</w:t>
            </w:r>
          </w:p>
        </w:tc>
        <w:tc>
          <w:tcPr>
            <w:tcW w:w="993" w:type="dxa"/>
            <w:tcBorders>
              <w:top w:val="nil"/>
              <w:left w:val="nil"/>
              <w:bottom w:val="single" w:sz="12" w:space="0" w:color="auto"/>
              <w:right w:val="nil"/>
            </w:tcBorders>
            <w:shd w:val="clear" w:color="auto" w:fill="auto"/>
            <w:noWrap/>
            <w:vAlign w:val="center"/>
          </w:tcPr>
          <w:p w14:paraId="3DEA7EFF"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0</w:t>
            </w:r>
            <w:r w:rsidRPr="00C702D7">
              <w:rPr>
                <w:rFonts w:cs="Times New Roman"/>
                <w:sz w:val="18"/>
                <w:szCs w:val="18"/>
              </w:rPr>
              <w:t>.005</w:t>
            </w:r>
          </w:p>
        </w:tc>
        <w:tc>
          <w:tcPr>
            <w:tcW w:w="1076" w:type="dxa"/>
            <w:tcBorders>
              <w:top w:val="nil"/>
              <w:left w:val="nil"/>
              <w:bottom w:val="single" w:sz="12" w:space="0" w:color="auto"/>
              <w:right w:val="nil"/>
            </w:tcBorders>
            <w:vAlign w:val="center"/>
          </w:tcPr>
          <w:p w14:paraId="6816E4D3"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0</w:t>
            </w:r>
            <w:r w:rsidRPr="00C702D7">
              <w:rPr>
                <w:rFonts w:cs="Times New Roman"/>
                <w:sz w:val="18"/>
                <w:szCs w:val="18"/>
              </w:rPr>
              <w:t>.154</w:t>
            </w:r>
          </w:p>
        </w:tc>
      </w:tr>
    </w:tbl>
    <w:p w14:paraId="50CEAAA9" w14:textId="77777777" w:rsidR="00D457FC" w:rsidRPr="00C702D7" w:rsidRDefault="00D457FC" w:rsidP="00D457FC">
      <w:pPr>
        <w:spacing w:line="400" w:lineRule="exact"/>
        <w:ind w:firstLine="360"/>
      </w:pPr>
      <w:r w:rsidRPr="00C702D7">
        <w:rPr>
          <w:rFonts w:hint="eastAsia"/>
          <w:sz w:val="18"/>
          <w:szCs w:val="20"/>
        </w:rPr>
        <w:t>注：</w:t>
      </w:r>
      <w:r w:rsidRPr="00C702D7">
        <w:rPr>
          <w:rFonts w:hint="eastAsia"/>
          <w:sz w:val="18"/>
          <w:szCs w:val="20"/>
          <w:vertAlign w:val="superscript"/>
        </w:rPr>
        <w:t>***</w:t>
      </w:r>
      <w:r w:rsidRPr="00C702D7">
        <w:rPr>
          <w:rFonts w:hint="eastAsia"/>
          <w:sz w:val="18"/>
          <w:szCs w:val="20"/>
        </w:rPr>
        <w:t>、</w:t>
      </w:r>
      <w:r w:rsidRPr="00C702D7">
        <w:rPr>
          <w:rFonts w:hint="eastAsia"/>
          <w:sz w:val="18"/>
          <w:szCs w:val="20"/>
          <w:vertAlign w:val="superscript"/>
        </w:rPr>
        <w:t>**</w:t>
      </w:r>
      <w:r w:rsidRPr="00C702D7">
        <w:rPr>
          <w:rFonts w:hint="eastAsia"/>
          <w:sz w:val="18"/>
          <w:szCs w:val="20"/>
        </w:rPr>
        <w:t>、</w:t>
      </w:r>
      <w:r w:rsidRPr="00C702D7">
        <w:rPr>
          <w:rFonts w:hint="eastAsia"/>
          <w:sz w:val="18"/>
          <w:szCs w:val="20"/>
          <w:vertAlign w:val="superscript"/>
        </w:rPr>
        <w:t>*</w:t>
      </w:r>
      <w:r w:rsidRPr="00C702D7">
        <w:rPr>
          <w:rFonts w:hint="eastAsia"/>
          <w:sz w:val="18"/>
          <w:szCs w:val="20"/>
        </w:rPr>
        <w:t>表示在</w:t>
      </w:r>
      <w:r w:rsidRPr="00C702D7">
        <w:rPr>
          <w:rFonts w:hint="eastAsia"/>
          <w:sz w:val="18"/>
          <w:szCs w:val="20"/>
        </w:rPr>
        <w:t>1%</w:t>
      </w:r>
      <w:r w:rsidRPr="00C702D7">
        <w:rPr>
          <w:rFonts w:hint="eastAsia"/>
          <w:sz w:val="18"/>
          <w:szCs w:val="20"/>
        </w:rPr>
        <w:t>、</w:t>
      </w:r>
      <w:r w:rsidRPr="00C702D7">
        <w:rPr>
          <w:rFonts w:hint="eastAsia"/>
          <w:sz w:val="18"/>
          <w:szCs w:val="20"/>
        </w:rPr>
        <w:t>5%</w:t>
      </w:r>
      <w:r w:rsidRPr="00C702D7">
        <w:rPr>
          <w:rFonts w:hint="eastAsia"/>
          <w:sz w:val="18"/>
          <w:szCs w:val="20"/>
        </w:rPr>
        <w:t>和</w:t>
      </w:r>
      <w:r w:rsidRPr="00C702D7">
        <w:rPr>
          <w:rFonts w:hint="eastAsia"/>
          <w:sz w:val="18"/>
          <w:szCs w:val="20"/>
        </w:rPr>
        <w:t>10%</w:t>
      </w:r>
      <w:r w:rsidR="00AB1ED3" w:rsidRPr="00C702D7">
        <w:rPr>
          <w:rFonts w:hint="eastAsia"/>
          <w:sz w:val="18"/>
          <w:szCs w:val="20"/>
        </w:rPr>
        <w:t>水平上</w:t>
      </w:r>
      <w:r w:rsidRPr="00C702D7">
        <w:rPr>
          <w:rFonts w:hint="eastAsia"/>
          <w:sz w:val="18"/>
          <w:szCs w:val="20"/>
        </w:rPr>
        <w:t>显著，括号内为</w:t>
      </w:r>
      <w:r w:rsidRPr="00C702D7">
        <w:rPr>
          <w:rFonts w:hint="eastAsia"/>
          <w:sz w:val="18"/>
          <w:szCs w:val="20"/>
        </w:rPr>
        <w:t>t</w:t>
      </w:r>
      <w:r w:rsidRPr="00C702D7">
        <w:rPr>
          <w:rFonts w:hint="eastAsia"/>
          <w:sz w:val="18"/>
          <w:szCs w:val="20"/>
        </w:rPr>
        <w:t>值。</w:t>
      </w:r>
      <w:r w:rsidR="00AB1ED3" w:rsidRPr="00C702D7">
        <w:rPr>
          <w:rFonts w:hint="eastAsia"/>
          <w:sz w:val="18"/>
          <w:szCs w:val="20"/>
        </w:rPr>
        <w:t>下同。</w:t>
      </w:r>
    </w:p>
    <w:p w14:paraId="2375EFC3" w14:textId="77777777" w:rsidR="00D457FC" w:rsidRPr="00C702D7" w:rsidRDefault="00D457FC" w:rsidP="00D457FC">
      <w:pPr>
        <w:spacing w:line="400" w:lineRule="exact"/>
        <w:ind w:firstLine="420"/>
        <w:rPr>
          <w:rFonts w:ascii="楷体" w:eastAsia="楷体" w:hAnsi="楷体" w:cs="Times New Roman"/>
          <w:bCs/>
          <w:szCs w:val="21"/>
        </w:rPr>
      </w:pPr>
      <w:r w:rsidRPr="00C702D7">
        <w:rPr>
          <w:rFonts w:ascii="楷体" w:eastAsia="楷体" w:hAnsi="楷体" w:cs="Times New Roman" w:hint="eastAsia"/>
          <w:bCs/>
          <w:szCs w:val="21"/>
        </w:rPr>
        <w:t>（二）溢出效应识别及传导机制分析</w:t>
      </w:r>
    </w:p>
    <w:p w14:paraId="7E7BC18F" w14:textId="77777777" w:rsidR="00D457FC" w:rsidRPr="00C702D7" w:rsidRDefault="00D457FC" w:rsidP="00D457FC">
      <w:pPr>
        <w:spacing w:line="400" w:lineRule="exact"/>
        <w:ind w:firstLine="420"/>
      </w:pPr>
      <w:r w:rsidRPr="00C702D7">
        <w:rPr>
          <w:rFonts w:hint="eastAsia"/>
        </w:rPr>
        <w:t>面对经济绿色转型</w:t>
      </w:r>
      <w:r w:rsidR="00E95DD2" w:rsidRPr="00C702D7">
        <w:rPr>
          <w:rFonts w:hint="eastAsia"/>
        </w:rPr>
        <w:t>趋势</w:t>
      </w:r>
      <w:r w:rsidRPr="00C702D7">
        <w:rPr>
          <w:rFonts w:hint="eastAsia"/>
        </w:rPr>
        <w:t>和不确定性</w:t>
      </w:r>
      <w:r w:rsidR="00F749A9" w:rsidRPr="00C702D7">
        <w:rPr>
          <w:rFonts w:hint="eastAsia"/>
        </w:rPr>
        <w:t>较</w:t>
      </w:r>
      <w:r w:rsidRPr="00C702D7">
        <w:rPr>
          <w:rFonts w:hint="eastAsia"/>
        </w:rPr>
        <w:t>高的决策环</w:t>
      </w:r>
      <w:r w:rsidR="00E95DD2" w:rsidRPr="00C702D7">
        <w:rPr>
          <w:rFonts w:hint="eastAsia"/>
        </w:rPr>
        <w:t>境，企业在减排决策方面</w:t>
      </w:r>
      <w:r w:rsidRPr="00C702D7">
        <w:rPr>
          <w:rFonts w:hint="eastAsia"/>
        </w:rPr>
        <w:t>存在相互模仿学习的情况，这将使得机构投资者绿色关注不仅影响受关注企业碳排放，还进一步将减碳作用传导至行业内其他企业。具体而言，企业出于竞争或降低决策不确定性的目的，在同行业企业因受到机构投资者绿色关注而做出降低碳排放的经营决策时，也会跟进模仿以保持相近的减排进度。为验证上述观点，本文设置模型（</w:t>
      </w:r>
      <w:r w:rsidRPr="00C702D7">
        <w:rPr>
          <w:rFonts w:hint="eastAsia"/>
        </w:rPr>
        <w:t>2</w:t>
      </w:r>
      <w:r w:rsidRPr="00C702D7">
        <w:rPr>
          <w:rFonts w:hint="eastAsia"/>
        </w:rPr>
        <w:t>）考察机构投资者绿色关注度对</w:t>
      </w:r>
      <w:r w:rsidRPr="00C702D7">
        <w:rPr>
          <w:rFonts w:hint="eastAsia"/>
        </w:rPr>
        <w:lastRenderedPageBreak/>
        <w:t>行业碳排放的影响，并进一步设置模型（</w:t>
      </w:r>
      <w:r w:rsidRPr="00C702D7">
        <w:rPr>
          <w:rFonts w:hint="eastAsia"/>
        </w:rPr>
        <w:t>3</w:t>
      </w:r>
      <w:r w:rsidRPr="00C702D7">
        <w:rPr>
          <w:rFonts w:hint="eastAsia"/>
        </w:rPr>
        <w:t>），检验行业层面绿色关注程度及其他企业碳排放的交互作用对企业碳排放的影响，以考察机构投资者绿色关注溢出效应的同群传导机制。具体回归模型如下：</w:t>
      </w:r>
    </w:p>
    <w:p w14:paraId="6CBD9437" w14:textId="77777777" w:rsidR="00D457FC" w:rsidRPr="00C702D7" w:rsidRDefault="00D457FC" w:rsidP="00D457FC">
      <w:pPr>
        <w:spacing w:line="400" w:lineRule="exact"/>
        <w:ind w:firstLineChars="0" w:firstLine="0"/>
        <w:jc w:val="right"/>
        <w:rPr>
          <w:rFonts w:cs="Times New Roman"/>
          <w:bCs/>
          <w:szCs w:val="21"/>
        </w:rPr>
      </w:pPr>
      <w:r w:rsidRPr="00C702D7">
        <w:rPr>
          <w:rFonts w:ascii="宋体" w:hAnsi="宋体" w:cs="Times New Roman"/>
          <w:bCs/>
          <w:position w:val="-14"/>
          <w:szCs w:val="21"/>
        </w:rPr>
        <w:object w:dxaOrig="8600" w:dyaOrig="380" w14:anchorId="45ECB57D">
          <v:shape id="_x0000_i1026" type="#_x0000_t75" style="width:388.15pt;height:19.1pt" o:ole="">
            <v:imagedata r:id="rId11" o:title=""/>
          </v:shape>
          <o:OLEObject Type="Embed" ProgID="Equation.DSMT4" ShapeID="_x0000_i1026" DrawAspect="Content" ObjectID="_1760174172" r:id="rId12"/>
        </w:object>
      </w:r>
      <w:r w:rsidRPr="00C702D7">
        <w:rPr>
          <w:rFonts w:cs="Times New Roman"/>
          <w:bCs/>
          <w:szCs w:val="21"/>
        </w:rPr>
        <w:t>（</w:t>
      </w:r>
      <w:r w:rsidRPr="00C702D7">
        <w:rPr>
          <w:rFonts w:cs="Times New Roman"/>
          <w:bCs/>
          <w:szCs w:val="21"/>
        </w:rPr>
        <w:t>2</w:t>
      </w:r>
      <w:r w:rsidRPr="00C702D7">
        <w:rPr>
          <w:rFonts w:cs="Times New Roman"/>
          <w:bCs/>
          <w:szCs w:val="21"/>
        </w:rPr>
        <w:t>）</w:t>
      </w:r>
    </w:p>
    <w:p w14:paraId="3FEBF931" w14:textId="77777777" w:rsidR="00D457FC" w:rsidRPr="00C702D7" w:rsidRDefault="00D457FC" w:rsidP="00D457FC">
      <w:pPr>
        <w:spacing w:line="400" w:lineRule="exact"/>
        <w:ind w:firstLineChars="0" w:firstLine="0"/>
        <w:jc w:val="right"/>
        <w:rPr>
          <w:rFonts w:ascii="宋体" w:hAnsi="宋体" w:cs="Times New Roman"/>
          <w:bCs/>
          <w:szCs w:val="21"/>
        </w:rPr>
      </w:pPr>
      <w:r w:rsidRPr="00C702D7">
        <w:rPr>
          <w:rFonts w:cs="Times New Roman"/>
          <w:bCs/>
          <w:position w:val="-14"/>
          <w:szCs w:val="21"/>
        </w:rPr>
        <w:object w:dxaOrig="8460" w:dyaOrig="380" w14:anchorId="24FB5E0B">
          <v:shape id="_x0000_i1027" type="#_x0000_t75" style="width:388.15pt;height:19.1pt" o:ole="">
            <v:imagedata r:id="rId13" o:title=""/>
          </v:shape>
          <o:OLEObject Type="Embed" ProgID="Equation.DSMT4" ShapeID="_x0000_i1027" DrawAspect="Content" ObjectID="_1760174173" r:id="rId14"/>
        </w:object>
      </w:r>
      <w:r w:rsidRPr="00C702D7">
        <w:rPr>
          <w:rFonts w:cs="Times New Roman"/>
          <w:bCs/>
          <w:szCs w:val="21"/>
        </w:rPr>
        <w:t>（</w:t>
      </w:r>
      <w:r w:rsidRPr="00C702D7">
        <w:rPr>
          <w:rFonts w:cs="Times New Roman"/>
          <w:bCs/>
          <w:szCs w:val="21"/>
        </w:rPr>
        <w:t>3</w:t>
      </w:r>
      <w:r w:rsidRPr="00C702D7">
        <w:rPr>
          <w:rFonts w:cs="Times New Roman"/>
          <w:bCs/>
          <w:szCs w:val="21"/>
        </w:rPr>
        <w:t>）</w:t>
      </w:r>
    </w:p>
    <w:p w14:paraId="5AC3A657" w14:textId="77777777" w:rsidR="00D457FC" w:rsidRPr="00C702D7" w:rsidRDefault="00D457FC" w:rsidP="00D457FC">
      <w:pPr>
        <w:spacing w:line="400" w:lineRule="exact"/>
        <w:ind w:firstLine="420"/>
      </w:pPr>
      <w:r w:rsidRPr="00C702D7">
        <w:rPr>
          <w:rFonts w:hint="eastAsia"/>
        </w:rPr>
        <w:t>模型</w:t>
      </w:r>
      <w:r w:rsidRPr="00C702D7">
        <w:t>（</w:t>
      </w:r>
      <w:r w:rsidRPr="00C702D7">
        <w:rPr>
          <w:rFonts w:hint="eastAsia"/>
        </w:rPr>
        <w:t>2</w:t>
      </w:r>
      <w:r w:rsidRPr="00C702D7">
        <w:t>）</w:t>
      </w:r>
      <w:r w:rsidRPr="00C702D7">
        <w:rPr>
          <w:rFonts w:hint="eastAsia"/>
        </w:rPr>
        <w:t>中，</w:t>
      </w:r>
      <w:r w:rsidRPr="00C702D7">
        <w:rPr>
          <w:rFonts w:hint="eastAsia"/>
          <w:i/>
          <w:iCs/>
        </w:rPr>
        <w:t>C</w:t>
      </w:r>
      <w:r w:rsidRPr="00C702D7">
        <w:rPr>
          <w:i/>
          <w:iCs/>
        </w:rPr>
        <w:t>miss_ind</w:t>
      </w:r>
      <w:r w:rsidRPr="00C702D7">
        <w:rPr>
          <w:rFonts w:hint="eastAsia"/>
          <w:i/>
          <w:iCs/>
          <w:vertAlign w:val="subscript"/>
        </w:rPr>
        <w:t>j</w:t>
      </w:r>
      <w:r w:rsidRPr="00C702D7">
        <w:rPr>
          <w:i/>
          <w:iCs/>
          <w:vertAlign w:val="subscript"/>
        </w:rPr>
        <w:t>,t+1</w:t>
      </w:r>
      <w:r w:rsidRPr="00C702D7">
        <w:rPr>
          <w:rFonts w:hint="eastAsia"/>
        </w:rPr>
        <w:t>表示行业碳排放强度，采用第</w:t>
      </w:r>
      <w:r w:rsidRPr="00C702D7">
        <w:rPr>
          <w:rFonts w:hint="eastAsia"/>
          <w:i/>
          <w:iCs/>
        </w:rPr>
        <w:t>t</w:t>
      </w:r>
      <w:r w:rsidRPr="00C702D7">
        <w:rPr>
          <w:i/>
          <w:iCs/>
        </w:rPr>
        <w:t>+1</w:t>
      </w:r>
      <w:r w:rsidRPr="00C702D7">
        <w:rPr>
          <w:rFonts w:hint="eastAsia"/>
        </w:rPr>
        <w:t>年行业</w:t>
      </w:r>
      <w:r w:rsidRPr="00C702D7">
        <w:rPr>
          <w:rFonts w:hint="eastAsia"/>
          <w:i/>
          <w:iCs/>
        </w:rPr>
        <w:t>j</w:t>
      </w:r>
      <w:r w:rsidRPr="00C702D7">
        <w:rPr>
          <w:rFonts w:hint="eastAsia"/>
        </w:rPr>
        <w:t>的二氧化碳排放总量的自然对数来衡量，</w:t>
      </w:r>
      <w:proofErr w:type="spellStart"/>
      <w:r w:rsidRPr="00C702D7">
        <w:rPr>
          <w:rFonts w:cs="Times New Roman" w:hint="eastAsia"/>
          <w:i/>
          <w:iCs/>
          <w:kern w:val="0"/>
          <w:szCs w:val="21"/>
        </w:rPr>
        <w:t>G</w:t>
      </w:r>
      <w:r w:rsidRPr="00C702D7">
        <w:rPr>
          <w:rFonts w:cs="Times New Roman"/>
          <w:i/>
          <w:iCs/>
          <w:kern w:val="0"/>
          <w:szCs w:val="21"/>
        </w:rPr>
        <w:t>atten</w:t>
      </w:r>
      <w:r w:rsidRPr="00C702D7">
        <w:rPr>
          <w:rFonts w:cs="Times New Roman"/>
          <w:i/>
          <w:iCs/>
          <w:kern w:val="0"/>
          <w:szCs w:val="21"/>
          <w:vertAlign w:val="subscript"/>
        </w:rPr>
        <w:t>i,t</w:t>
      </w:r>
      <w:proofErr w:type="spellEnd"/>
      <w:r w:rsidRPr="00C702D7">
        <w:rPr>
          <w:rFonts w:cs="Times New Roman" w:hint="eastAsia"/>
          <w:szCs w:val="21"/>
        </w:rPr>
        <w:t>为企业层面绿色关注度指标，表示第</w:t>
      </w:r>
      <w:r w:rsidRPr="00C702D7">
        <w:rPr>
          <w:rFonts w:cs="Times New Roman" w:hint="eastAsia"/>
          <w:i/>
          <w:iCs/>
          <w:szCs w:val="21"/>
        </w:rPr>
        <w:t>t</w:t>
      </w:r>
      <w:r w:rsidRPr="00C702D7">
        <w:rPr>
          <w:rFonts w:cs="Times New Roman" w:hint="eastAsia"/>
          <w:szCs w:val="21"/>
        </w:rPr>
        <w:t>年企业</w:t>
      </w:r>
      <w:proofErr w:type="spellStart"/>
      <w:r w:rsidRPr="00C702D7">
        <w:rPr>
          <w:rFonts w:cs="Times New Roman" w:hint="eastAsia"/>
          <w:i/>
          <w:iCs/>
          <w:szCs w:val="21"/>
        </w:rPr>
        <w:t>i</w:t>
      </w:r>
      <w:proofErr w:type="spellEnd"/>
      <w:r w:rsidRPr="00C702D7">
        <w:rPr>
          <w:rFonts w:cs="Times New Roman" w:hint="eastAsia"/>
          <w:szCs w:val="21"/>
        </w:rPr>
        <w:t>受到的机构投资者绿色关注程度</w:t>
      </w:r>
      <w:r w:rsidRPr="00C702D7">
        <w:rPr>
          <w:rFonts w:hint="eastAsia"/>
        </w:rPr>
        <w:t>。鉴于除上市公司外，各行业还存在一定数量的非上市企业，若只考虑上市公司，可能存在低估行业碳排放水平的情况。因此，本研究基于中国能源统计年鉴报告的各行业二氧化碳排放情况构造行业碳排放指标（</w:t>
      </w:r>
      <w:r w:rsidRPr="00C702D7">
        <w:rPr>
          <w:rFonts w:hint="eastAsia"/>
          <w:i/>
          <w:iCs/>
        </w:rPr>
        <w:t>C</w:t>
      </w:r>
      <w:r w:rsidRPr="00C702D7">
        <w:rPr>
          <w:i/>
          <w:iCs/>
        </w:rPr>
        <w:t>miss_ind</w:t>
      </w:r>
      <w:r w:rsidRPr="00C702D7">
        <w:rPr>
          <w:rFonts w:hint="eastAsia"/>
          <w:i/>
          <w:iCs/>
          <w:vertAlign w:val="subscript"/>
        </w:rPr>
        <w:t>j</w:t>
      </w:r>
      <w:r w:rsidRPr="00C702D7">
        <w:rPr>
          <w:i/>
          <w:iCs/>
          <w:vertAlign w:val="subscript"/>
        </w:rPr>
        <w:t>,t+1</w:t>
      </w:r>
      <w:r w:rsidRPr="00C702D7">
        <w:rPr>
          <w:rFonts w:hint="eastAsia"/>
        </w:rPr>
        <w:t>）。若回归系数</w:t>
      </w:r>
      <w:r w:rsidRPr="00C702D7">
        <w:rPr>
          <w:rStyle w:val="ae"/>
          <w:rFonts w:cs="Times New Roman"/>
          <w:szCs w:val="21"/>
          <w:shd w:val="clear" w:color="auto" w:fill="FFFFFF"/>
        </w:rPr>
        <w:t>φ</w:t>
      </w:r>
      <w:r w:rsidRPr="00C702D7">
        <w:rPr>
          <w:rFonts w:ascii="宋体" w:hAnsi="宋体" w:hint="eastAsia"/>
          <w:i/>
          <w:iCs/>
          <w:vertAlign w:val="subscript"/>
        </w:rPr>
        <w:t>1</w:t>
      </w:r>
      <w:r w:rsidRPr="00C702D7">
        <w:rPr>
          <w:rFonts w:hint="eastAsia"/>
        </w:rPr>
        <w:t>显著为负，说明企业受到机构投资者绿色关注会对行业整体碳排放具有抑制影响。</w:t>
      </w:r>
    </w:p>
    <w:p w14:paraId="1ED133C5" w14:textId="77777777" w:rsidR="00D457FC" w:rsidRPr="00C702D7" w:rsidRDefault="00D457FC" w:rsidP="00D457FC">
      <w:pPr>
        <w:spacing w:line="400" w:lineRule="exact"/>
        <w:ind w:firstLine="420"/>
      </w:pPr>
      <w:r w:rsidRPr="00C702D7">
        <w:rPr>
          <w:rFonts w:hint="eastAsia"/>
        </w:rPr>
        <w:t>模型（</w:t>
      </w:r>
      <w:r w:rsidRPr="00C702D7">
        <w:rPr>
          <w:rFonts w:hint="eastAsia"/>
        </w:rPr>
        <w:t>3</w:t>
      </w:r>
      <w:r w:rsidRPr="00C702D7">
        <w:rPr>
          <w:rFonts w:hint="eastAsia"/>
        </w:rPr>
        <w:t>）中，</w:t>
      </w:r>
      <w:r w:rsidRPr="00C702D7">
        <w:rPr>
          <w:rFonts w:cs="Times New Roman" w:hint="eastAsia"/>
          <w:i/>
          <w:iCs/>
          <w:szCs w:val="21"/>
        </w:rPr>
        <w:t>Cmiss</w:t>
      </w:r>
      <w:r w:rsidRPr="00C702D7">
        <w:rPr>
          <w:rFonts w:cs="Times New Roman"/>
          <w:i/>
          <w:iCs/>
          <w:szCs w:val="21"/>
          <w:vertAlign w:val="subscript"/>
        </w:rPr>
        <w:t>i,t+1</w:t>
      </w:r>
      <w:r w:rsidRPr="00C702D7">
        <w:rPr>
          <w:rFonts w:cs="Times New Roman" w:hint="eastAsia"/>
          <w:szCs w:val="21"/>
        </w:rPr>
        <w:t>为第</w:t>
      </w:r>
      <w:r w:rsidRPr="00C702D7">
        <w:rPr>
          <w:rFonts w:cs="Times New Roman" w:hint="eastAsia"/>
          <w:i/>
          <w:iCs/>
          <w:szCs w:val="21"/>
        </w:rPr>
        <w:t>t+1</w:t>
      </w:r>
      <w:r w:rsidRPr="00C702D7">
        <w:rPr>
          <w:rFonts w:cs="Times New Roman" w:hint="eastAsia"/>
          <w:szCs w:val="21"/>
        </w:rPr>
        <w:t>年企业</w:t>
      </w:r>
      <w:proofErr w:type="spellStart"/>
      <w:r w:rsidRPr="00C702D7">
        <w:rPr>
          <w:rFonts w:cs="Times New Roman" w:hint="eastAsia"/>
          <w:i/>
          <w:iCs/>
          <w:szCs w:val="21"/>
        </w:rPr>
        <w:t>i</w:t>
      </w:r>
      <w:proofErr w:type="spellEnd"/>
      <w:r w:rsidRPr="00C702D7">
        <w:rPr>
          <w:rFonts w:cs="Times New Roman" w:hint="eastAsia"/>
          <w:szCs w:val="21"/>
        </w:rPr>
        <w:t>的碳排放指标，分别用企业碳排放强度（</w:t>
      </w:r>
      <w:r w:rsidRPr="00C702D7">
        <w:rPr>
          <w:rFonts w:cs="Times New Roman" w:hint="eastAsia"/>
          <w:i/>
          <w:iCs/>
          <w:szCs w:val="21"/>
        </w:rPr>
        <w:t>Cmiss</w:t>
      </w:r>
      <w:r w:rsidRPr="00C702D7">
        <w:rPr>
          <w:rFonts w:cs="Times New Roman"/>
          <w:i/>
          <w:iCs/>
          <w:szCs w:val="21"/>
        </w:rPr>
        <w:t>_</w:t>
      </w:r>
      <w:r w:rsidRPr="00C702D7">
        <w:rPr>
          <w:rFonts w:cs="Times New Roman" w:hint="eastAsia"/>
          <w:i/>
          <w:iCs/>
          <w:szCs w:val="21"/>
        </w:rPr>
        <w:t>total</w:t>
      </w:r>
      <w:r w:rsidRPr="00C702D7">
        <w:rPr>
          <w:rFonts w:cs="Times New Roman"/>
          <w:i/>
          <w:iCs/>
          <w:szCs w:val="21"/>
          <w:vertAlign w:val="subscript"/>
        </w:rPr>
        <w:t>i,t+1</w:t>
      </w:r>
      <w:r w:rsidRPr="00C702D7">
        <w:rPr>
          <w:rFonts w:cs="Times New Roman" w:hint="eastAsia"/>
          <w:szCs w:val="21"/>
        </w:rPr>
        <w:t>）和碳排放增量（</w:t>
      </w:r>
      <w:r w:rsidRPr="00C702D7">
        <w:rPr>
          <w:rFonts w:cs="Times New Roman" w:hint="eastAsia"/>
          <w:i/>
          <w:iCs/>
          <w:szCs w:val="21"/>
        </w:rPr>
        <w:t>d</w:t>
      </w:r>
      <w:r w:rsidRPr="00C702D7">
        <w:rPr>
          <w:rFonts w:cs="Times New Roman"/>
          <w:i/>
          <w:iCs/>
          <w:szCs w:val="21"/>
        </w:rPr>
        <w:t>Cmiss</w:t>
      </w:r>
      <w:r w:rsidRPr="00C702D7">
        <w:rPr>
          <w:rFonts w:cs="Times New Roman"/>
          <w:i/>
          <w:iCs/>
          <w:szCs w:val="21"/>
          <w:vertAlign w:val="subscript"/>
        </w:rPr>
        <w:t>i,t+1</w:t>
      </w:r>
      <w:r w:rsidRPr="00C702D7">
        <w:rPr>
          <w:rFonts w:cs="Times New Roman" w:hint="eastAsia"/>
          <w:szCs w:val="21"/>
        </w:rPr>
        <w:t>）来衡量。</w:t>
      </w:r>
      <w:proofErr w:type="spellStart"/>
      <w:r w:rsidRPr="00C702D7">
        <w:rPr>
          <w:rFonts w:hint="eastAsia"/>
          <w:i/>
          <w:iCs/>
        </w:rPr>
        <w:t>C</w:t>
      </w:r>
      <w:r w:rsidRPr="00C702D7">
        <w:rPr>
          <w:i/>
          <w:iCs/>
        </w:rPr>
        <w:t>miss_</w:t>
      </w:r>
      <w:r w:rsidRPr="00C702D7">
        <w:rPr>
          <w:rFonts w:hint="eastAsia"/>
          <w:i/>
          <w:iCs/>
        </w:rPr>
        <w:t>se</w:t>
      </w:r>
      <w:r w:rsidRPr="00C702D7">
        <w:rPr>
          <w:rFonts w:hint="eastAsia"/>
          <w:i/>
          <w:iCs/>
          <w:vertAlign w:val="subscript"/>
        </w:rPr>
        <w:t>j</w:t>
      </w:r>
      <w:r w:rsidRPr="00C702D7">
        <w:rPr>
          <w:i/>
          <w:iCs/>
          <w:vertAlign w:val="subscript"/>
        </w:rPr>
        <w:t>,t</w:t>
      </w:r>
      <w:proofErr w:type="spellEnd"/>
      <w:r w:rsidRPr="00C702D7">
        <w:rPr>
          <w:rFonts w:cs="Times New Roman" w:hint="eastAsia"/>
          <w:szCs w:val="21"/>
        </w:rPr>
        <w:t>为</w:t>
      </w:r>
      <w:r w:rsidRPr="00C702D7">
        <w:rPr>
          <w:rFonts w:hint="eastAsia"/>
        </w:rPr>
        <w:t>行业层面绿色关注度（</w:t>
      </w:r>
      <w:proofErr w:type="spellStart"/>
      <w:r w:rsidRPr="00C702D7">
        <w:rPr>
          <w:i/>
          <w:iCs/>
        </w:rPr>
        <w:t>G</w:t>
      </w:r>
      <w:r w:rsidRPr="00C702D7">
        <w:rPr>
          <w:rFonts w:hint="eastAsia"/>
          <w:i/>
          <w:iCs/>
        </w:rPr>
        <w:t>a</w:t>
      </w:r>
      <w:r w:rsidRPr="00C702D7">
        <w:rPr>
          <w:i/>
          <w:iCs/>
        </w:rPr>
        <w:t>tten_ind</w:t>
      </w:r>
      <w:r w:rsidRPr="00C702D7">
        <w:rPr>
          <w:rFonts w:hint="eastAsia"/>
          <w:i/>
          <w:iCs/>
          <w:vertAlign w:val="subscript"/>
        </w:rPr>
        <w:t>j</w:t>
      </w:r>
      <w:r w:rsidRPr="00C702D7">
        <w:rPr>
          <w:i/>
          <w:iCs/>
          <w:vertAlign w:val="subscript"/>
        </w:rPr>
        <w:t>,t</w:t>
      </w:r>
      <w:proofErr w:type="spellEnd"/>
      <w:r w:rsidRPr="00C702D7">
        <w:rPr>
          <w:rFonts w:hint="eastAsia"/>
        </w:rPr>
        <w:t>）与行业内其他企业碳排放（</w:t>
      </w:r>
      <w:proofErr w:type="spellStart"/>
      <w:r w:rsidRPr="00C702D7">
        <w:rPr>
          <w:rFonts w:cs="Times New Roman"/>
          <w:i/>
          <w:iCs/>
          <w:szCs w:val="21"/>
        </w:rPr>
        <w:t>P</w:t>
      </w:r>
      <w:r w:rsidRPr="00C702D7">
        <w:rPr>
          <w:rFonts w:cs="Times New Roman" w:hint="eastAsia"/>
          <w:i/>
          <w:iCs/>
          <w:szCs w:val="21"/>
        </w:rPr>
        <w:t>C</w:t>
      </w:r>
      <w:r w:rsidRPr="00C702D7">
        <w:rPr>
          <w:rFonts w:cs="Times New Roman"/>
          <w:i/>
          <w:iCs/>
          <w:szCs w:val="21"/>
        </w:rPr>
        <w:t>miss</w:t>
      </w:r>
      <w:r w:rsidRPr="00C702D7">
        <w:rPr>
          <w:rFonts w:cs="Times New Roman" w:hint="eastAsia"/>
          <w:i/>
          <w:iCs/>
          <w:szCs w:val="21"/>
          <w:vertAlign w:val="subscript"/>
        </w:rPr>
        <w:t>j</w:t>
      </w:r>
      <w:r w:rsidRPr="00C702D7">
        <w:rPr>
          <w:rFonts w:cs="Times New Roman"/>
          <w:i/>
          <w:iCs/>
          <w:szCs w:val="21"/>
          <w:vertAlign w:val="subscript"/>
        </w:rPr>
        <w:t>,t</w:t>
      </w:r>
      <w:proofErr w:type="spellEnd"/>
      <w:r w:rsidRPr="00C702D7">
        <w:rPr>
          <w:rFonts w:hint="eastAsia"/>
        </w:rPr>
        <w:t>）的乘积（</w:t>
      </w:r>
      <w:proofErr w:type="spellStart"/>
      <w:r w:rsidRPr="00C702D7">
        <w:rPr>
          <w:i/>
          <w:iCs/>
        </w:rPr>
        <w:t>G</w:t>
      </w:r>
      <w:r w:rsidRPr="00C702D7">
        <w:rPr>
          <w:rFonts w:hint="eastAsia"/>
          <w:i/>
          <w:iCs/>
        </w:rPr>
        <w:t>a</w:t>
      </w:r>
      <w:r w:rsidRPr="00C702D7">
        <w:rPr>
          <w:i/>
          <w:iCs/>
        </w:rPr>
        <w:t>tten_ind</w:t>
      </w:r>
      <w:r w:rsidRPr="00C702D7">
        <w:rPr>
          <w:rFonts w:hint="eastAsia"/>
          <w:i/>
          <w:iCs/>
          <w:vertAlign w:val="subscript"/>
        </w:rPr>
        <w:t>j</w:t>
      </w:r>
      <w:r w:rsidRPr="00C702D7">
        <w:rPr>
          <w:i/>
          <w:iCs/>
          <w:vertAlign w:val="subscript"/>
        </w:rPr>
        <w:t>,t</w:t>
      </w:r>
      <w:proofErr w:type="spellEnd"/>
      <w:r w:rsidRPr="00C702D7">
        <w:rPr>
          <w:rFonts w:ascii="楷体" w:eastAsia="楷体" w:hAnsi="楷体" w:hint="eastAsia"/>
        </w:rPr>
        <w:t>ⅹ</w:t>
      </w:r>
      <w:proofErr w:type="spellStart"/>
      <w:r w:rsidRPr="00C702D7">
        <w:rPr>
          <w:rFonts w:cs="Times New Roman"/>
          <w:i/>
          <w:iCs/>
          <w:szCs w:val="21"/>
        </w:rPr>
        <w:t>P</w:t>
      </w:r>
      <w:r w:rsidRPr="00C702D7">
        <w:rPr>
          <w:rFonts w:cs="Times New Roman" w:hint="eastAsia"/>
          <w:i/>
          <w:iCs/>
          <w:szCs w:val="21"/>
        </w:rPr>
        <w:t>C</w:t>
      </w:r>
      <w:r w:rsidRPr="00C702D7">
        <w:rPr>
          <w:rFonts w:cs="Times New Roman"/>
          <w:i/>
          <w:iCs/>
          <w:szCs w:val="21"/>
        </w:rPr>
        <w:t>miss</w:t>
      </w:r>
      <w:r w:rsidRPr="00C702D7">
        <w:rPr>
          <w:rFonts w:cs="Times New Roman" w:hint="eastAsia"/>
          <w:i/>
          <w:iCs/>
          <w:szCs w:val="21"/>
          <w:vertAlign w:val="subscript"/>
        </w:rPr>
        <w:t>j</w:t>
      </w:r>
      <w:r w:rsidRPr="00C702D7">
        <w:rPr>
          <w:rFonts w:cs="Times New Roman"/>
          <w:i/>
          <w:iCs/>
          <w:szCs w:val="21"/>
          <w:vertAlign w:val="subscript"/>
        </w:rPr>
        <w:t>,t</w:t>
      </w:r>
      <w:proofErr w:type="spellEnd"/>
      <w:r w:rsidRPr="00C702D7">
        <w:rPr>
          <w:rFonts w:hint="eastAsia"/>
        </w:rPr>
        <w:t>），衡量了第</w:t>
      </w:r>
      <w:r w:rsidRPr="00C702D7">
        <w:rPr>
          <w:rFonts w:hint="eastAsia"/>
          <w:i/>
          <w:iCs/>
        </w:rPr>
        <w:t>t</w:t>
      </w:r>
      <w:r w:rsidRPr="00C702D7">
        <w:rPr>
          <w:rFonts w:hint="eastAsia"/>
        </w:rPr>
        <w:t>年行业</w:t>
      </w:r>
      <w:r w:rsidRPr="00C702D7">
        <w:rPr>
          <w:rFonts w:hint="eastAsia"/>
          <w:i/>
          <w:iCs/>
        </w:rPr>
        <w:t>j</w:t>
      </w:r>
      <w:r w:rsidRPr="00C702D7">
        <w:rPr>
          <w:rFonts w:hint="eastAsia"/>
        </w:rPr>
        <w:t>受到的绿色关注程度与行业内其他企业碳排放水平对企业</w:t>
      </w:r>
      <w:proofErr w:type="spellStart"/>
      <w:r w:rsidRPr="00C702D7">
        <w:rPr>
          <w:rFonts w:cs="Times New Roman" w:hint="eastAsia"/>
          <w:i/>
          <w:iCs/>
          <w:szCs w:val="21"/>
        </w:rPr>
        <w:t>i</w:t>
      </w:r>
      <w:proofErr w:type="spellEnd"/>
      <w:r w:rsidRPr="00C702D7">
        <w:rPr>
          <w:rFonts w:cs="Times New Roman" w:hint="eastAsia"/>
          <w:szCs w:val="21"/>
        </w:rPr>
        <w:t>的交互影响</w:t>
      </w:r>
      <w:r w:rsidRPr="00C702D7">
        <w:rPr>
          <w:rFonts w:hint="eastAsia"/>
        </w:rPr>
        <w:t>。其中，</w:t>
      </w:r>
      <w:proofErr w:type="spellStart"/>
      <w:r w:rsidRPr="00C702D7">
        <w:rPr>
          <w:i/>
          <w:iCs/>
        </w:rPr>
        <w:t>G</w:t>
      </w:r>
      <w:r w:rsidRPr="00C702D7">
        <w:rPr>
          <w:rFonts w:hint="eastAsia"/>
          <w:i/>
          <w:iCs/>
        </w:rPr>
        <w:t>a</w:t>
      </w:r>
      <w:r w:rsidRPr="00C702D7">
        <w:rPr>
          <w:i/>
          <w:iCs/>
        </w:rPr>
        <w:t>tten_ind</w:t>
      </w:r>
      <w:r w:rsidRPr="00C702D7">
        <w:rPr>
          <w:rFonts w:hint="eastAsia"/>
          <w:i/>
          <w:iCs/>
          <w:vertAlign w:val="subscript"/>
        </w:rPr>
        <w:t>j</w:t>
      </w:r>
      <w:r w:rsidRPr="00C702D7">
        <w:rPr>
          <w:i/>
          <w:iCs/>
          <w:vertAlign w:val="subscript"/>
        </w:rPr>
        <w:t>,t</w:t>
      </w:r>
      <w:proofErr w:type="spellEnd"/>
      <w:r w:rsidRPr="00C702D7">
        <w:rPr>
          <w:rFonts w:hint="eastAsia"/>
        </w:rPr>
        <w:t>为行业层面绿色关注度指标，衡量了第</w:t>
      </w:r>
      <w:r w:rsidRPr="00C702D7">
        <w:rPr>
          <w:rFonts w:hint="eastAsia"/>
          <w:i/>
          <w:iCs/>
        </w:rPr>
        <w:t>t</w:t>
      </w:r>
      <w:r w:rsidRPr="00C702D7">
        <w:rPr>
          <w:rFonts w:hint="eastAsia"/>
        </w:rPr>
        <w:t>年行业</w:t>
      </w:r>
      <w:r w:rsidRPr="00C702D7">
        <w:rPr>
          <w:rFonts w:hint="eastAsia"/>
          <w:i/>
          <w:iCs/>
        </w:rPr>
        <w:t>j</w:t>
      </w:r>
      <w:r w:rsidRPr="00C702D7">
        <w:rPr>
          <w:rFonts w:hint="eastAsia"/>
        </w:rPr>
        <w:t>的绿色关注程度，测算方法为区分各行业上市公司机构投资者绿色关注度，再根据受到绿色关注的企业营业收入加权平均计算得到；</w:t>
      </w:r>
      <w:proofErr w:type="spellStart"/>
      <w:r w:rsidRPr="00C702D7">
        <w:rPr>
          <w:rFonts w:cs="Times New Roman"/>
          <w:i/>
          <w:iCs/>
          <w:szCs w:val="21"/>
        </w:rPr>
        <w:t>P</w:t>
      </w:r>
      <w:r w:rsidRPr="00C702D7">
        <w:rPr>
          <w:rFonts w:cs="Times New Roman" w:hint="eastAsia"/>
          <w:i/>
          <w:iCs/>
          <w:szCs w:val="21"/>
        </w:rPr>
        <w:t>C</w:t>
      </w:r>
      <w:r w:rsidRPr="00C702D7">
        <w:rPr>
          <w:rFonts w:cs="Times New Roman"/>
          <w:i/>
          <w:iCs/>
          <w:szCs w:val="21"/>
        </w:rPr>
        <w:t>miss</w:t>
      </w:r>
      <w:r w:rsidRPr="00C702D7">
        <w:rPr>
          <w:rFonts w:cs="Times New Roman" w:hint="eastAsia"/>
          <w:i/>
          <w:iCs/>
          <w:szCs w:val="21"/>
          <w:vertAlign w:val="subscript"/>
        </w:rPr>
        <w:t>j</w:t>
      </w:r>
      <w:r w:rsidRPr="00C702D7">
        <w:rPr>
          <w:rFonts w:cs="Times New Roman"/>
          <w:i/>
          <w:iCs/>
          <w:szCs w:val="21"/>
          <w:vertAlign w:val="subscript"/>
        </w:rPr>
        <w:t>,t</w:t>
      </w:r>
      <w:proofErr w:type="spellEnd"/>
      <w:r w:rsidRPr="00C702D7">
        <w:rPr>
          <w:rFonts w:cs="Times New Roman" w:hint="eastAsia"/>
          <w:szCs w:val="21"/>
        </w:rPr>
        <w:t>为第</w:t>
      </w:r>
      <w:r w:rsidRPr="00C702D7">
        <w:rPr>
          <w:rFonts w:cs="Times New Roman" w:hint="eastAsia"/>
          <w:i/>
          <w:iCs/>
          <w:szCs w:val="21"/>
        </w:rPr>
        <w:t>t</w:t>
      </w:r>
      <w:r w:rsidRPr="00C702D7">
        <w:rPr>
          <w:rFonts w:cs="Times New Roman" w:hint="eastAsia"/>
          <w:szCs w:val="21"/>
        </w:rPr>
        <w:t>年剔除样本企业后，根据同一行业</w:t>
      </w:r>
      <w:r w:rsidRPr="00C702D7">
        <w:rPr>
          <w:rFonts w:cs="Times New Roman" w:hint="eastAsia"/>
          <w:i/>
          <w:iCs/>
          <w:szCs w:val="21"/>
        </w:rPr>
        <w:t>j</w:t>
      </w:r>
      <w:r w:rsidRPr="00C702D7">
        <w:rPr>
          <w:rFonts w:cs="Times New Roman" w:hint="eastAsia"/>
          <w:szCs w:val="21"/>
        </w:rPr>
        <w:t>中各</w:t>
      </w:r>
      <w:r w:rsidRPr="00C702D7">
        <w:rPr>
          <w:rFonts w:hint="eastAsia"/>
        </w:rPr>
        <w:t>企业营业收入加权计算得到的</w:t>
      </w:r>
      <w:r w:rsidRPr="00C702D7">
        <w:rPr>
          <w:rFonts w:cs="Times New Roman" w:hint="eastAsia"/>
          <w:szCs w:val="21"/>
        </w:rPr>
        <w:t>其他企业碳排放加权平均值</w:t>
      </w:r>
      <w:r w:rsidRPr="00C702D7">
        <w:rPr>
          <w:rFonts w:hint="eastAsia"/>
        </w:rPr>
        <w:t>。若</w:t>
      </w:r>
      <w:proofErr w:type="spellStart"/>
      <w:r w:rsidRPr="00C702D7">
        <w:rPr>
          <w:rFonts w:hint="eastAsia"/>
          <w:i/>
          <w:iCs/>
        </w:rPr>
        <w:t>C</w:t>
      </w:r>
      <w:r w:rsidRPr="00C702D7">
        <w:rPr>
          <w:i/>
          <w:iCs/>
        </w:rPr>
        <w:t>miss_</w:t>
      </w:r>
      <w:r w:rsidRPr="00C702D7">
        <w:rPr>
          <w:rFonts w:hint="eastAsia"/>
          <w:i/>
          <w:iCs/>
        </w:rPr>
        <w:t>se</w:t>
      </w:r>
      <w:r w:rsidRPr="00C702D7">
        <w:rPr>
          <w:rFonts w:hint="eastAsia"/>
          <w:i/>
          <w:iCs/>
          <w:vertAlign w:val="subscript"/>
        </w:rPr>
        <w:t>j</w:t>
      </w:r>
      <w:r w:rsidRPr="00C702D7">
        <w:rPr>
          <w:i/>
          <w:iCs/>
          <w:vertAlign w:val="subscript"/>
        </w:rPr>
        <w:t>,t</w:t>
      </w:r>
      <w:proofErr w:type="spellEnd"/>
      <w:r w:rsidRPr="00C702D7">
        <w:rPr>
          <w:rFonts w:hint="eastAsia"/>
        </w:rPr>
        <w:t>对</w:t>
      </w:r>
      <w:proofErr w:type="spellStart"/>
      <w:r w:rsidRPr="00C702D7">
        <w:rPr>
          <w:rFonts w:hint="eastAsia"/>
          <w:i/>
          <w:iCs/>
        </w:rPr>
        <w:t>C</w:t>
      </w:r>
      <w:r w:rsidRPr="00C702D7">
        <w:rPr>
          <w:i/>
          <w:iCs/>
        </w:rPr>
        <w:t>miss</w:t>
      </w:r>
      <w:r w:rsidRPr="00C702D7">
        <w:rPr>
          <w:rFonts w:hint="eastAsia"/>
          <w:i/>
          <w:iCs/>
          <w:vertAlign w:val="subscript"/>
        </w:rPr>
        <w:t>j</w:t>
      </w:r>
      <w:r w:rsidRPr="00C702D7">
        <w:rPr>
          <w:i/>
          <w:iCs/>
          <w:vertAlign w:val="subscript"/>
        </w:rPr>
        <w:t>,t</w:t>
      </w:r>
      <w:proofErr w:type="spellEnd"/>
      <w:r w:rsidRPr="00C702D7">
        <w:rPr>
          <w:rFonts w:hint="eastAsia"/>
        </w:rPr>
        <w:t>的回归系数</w:t>
      </w:r>
      <w:r w:rsidRPr="00C702D7">
        <w:rPr>
          <w:i/>
          <w:iCs/>
        </w:rPr>
        <w:t>λ</w:t>
      </w:r>
      <w:r w:rsidRPr="00C702D7">
        <w:rPr>
          <w:rFonts w:ascii="宋体" w:hAnsi="宋体"/>
          <w:i/>
          <w:iCs/>
          <w:vertAlign w:val="subscript"/>
        </w:rPr>
        <w:t>1</w:t>
      </w:r>
      <w:r w:rsidRPr="00C702D7">
        <w:rPr>
          <w:rFonts w:hint="eastAsia"/>
        </w:rPr>
        <w:t>显著为负，则说明机构投资者对行业的绿色关注会基于行业内同群效应</w:t>
      </w:r>
      <w:r w:rsidR="00355EB1" w:rsidRPr="00C702D7">
        <w:rPr>
          <w:rFonts w:hint="eastAsia"/>
        </w:rPr>
        <w:t>，</w:t>
      </w:r>
      <w:r w:rsidR="00C66124" w:rsidRPr="00C702D7">
        <w:rPr>
          <w:rFonts w:hint="eastAsia"/>
        </w:rPr>
        <w:t>将</w:t>
      </w:r>
      <w:r w:rsidR="00E95DD2" w:rsidRPr="00C702D7">
        <w:rPr>
          <w:rFonts w:hint="eastAsia"/>
        </w:rPr>
        <w:t>减排</w:t>
      </w:r>
      <w:r w:rsidRPr="00C702D7">
        <w:rPr>
          <w:rFonts w:hint="eastAsia"/>
        </w:rPr>
        <w:t>治理</w:t>
      </w:r>
      <w:r w:rsidR="00C66124" w:rsidRPr="00C702D7">
        <w:rPr>
          <w:rFonts w:hint="eastAsia"/>
        </w:rPr>
        <w:t>作用进一步</w:t>
      </w:r>
      <w:r w:rsidRPr="00C702D7">
        <w:rPr>
          <w:rFonts w:hint="eastAsia"/>
        </w:rPr>
        <w:t>传导</w:t>
      </w:r>
      <w:r w:rsidR="00355EB1" w:rsidRPr="00C702D7">
        <w:rPr>
          <w:rFonts w:hint="eastAsia"/>
        </w:rPr>
        <w:t>至</w:t>
      </w:r>
      <w:r w:rsidRPr="00C702D7">
        <w:rPr>
          <w:rFonts w:hint="eastAsia"/>
        </w:rPr>
        <w:t>企业碳排放决策，促进我国碳达峰和发展方式转型。</w:t>
      </w:r>
    </w:p>
    <w:p w14:paraId="5ABBD013" w14:textId="77777777" w:rsidR="00D457FC" w:rsidRPr="00C702D7" w:rsidRDefault="00D457FC" w:rsidP="00D457FC">
      <w:pPr>
        <w:spacing w:line="400" w:lineRule="exact"/>
        <w:ind w:firstLine="420"/>
        <w:rPr>
          <w:rFonts w:cs="Times New Roman"/>
          <w:szCs w:val="21"/>
        </w:rPr>
      </w:pPr>
      <w:r w:rsidRPr="00C702D7">
        <w:rPr>
          <w:rFonts w:hint="eastAsia"/>
        </w:rPr>
        <w:t>本文首先</w:t>
      </w:r>
      <w:r w:rsidRPr="00C702D7">
        <w:rPr>
          <w:rFonts w:ascii="宋体" w:hAnsi="宋体" w:cs="Times New Roman" w:hint="eastAsia"/>
          <w:bCs/>
          <w:szCs w:val="21"/>
        </w:rPr>
        <w:t>基于模型</w:t>
      </w:r>
      <w:r w:rsidRPr="00C702D7">
        <w:rPr>
          <w:rFonts w:cs="Times New Roman"/>
          <w:bCs/>
          <w:szCs w:val="21"/>
        </w:rPr>
        <w:t>（</w:t>
      </w:r>
      <w:r w:rsidRPr="00C702D7">
        <w:rPr>
          <w:rFonts w:cs="Times New Roman"/>
          <w:bCs/>
          <w:szCs w:val="21"/>
        </w:rPr>
        <w:t>2</w:t>
      </w:r>
      <w:r w:rsidRPr="00C702D7">
        <w:rPr>
          <w:rFonts w:cs="Times New Roman"/>
          <w:bCs/>
          <w:szCs w:val="21"/>
        </w:rPr>
        <w:t>）进行</w:t>
      </w:r>
      <w:r w:rsidRPr="00C702D7">
        <w:rPr>
          <w:rFonts w:cs="Times New Roman" w:hint="eastAsia"/>
          <w:bCs/>
          <w:szCs w:val="21"/>
        </w:rPr>
        <w:t>实证检验</w:t>
      </w:r>
      <w:r w:rsidRPr="00C702D7">
        <w:rPr>
          <w:rFonts w:cs="Times New Roman"/>
          <w:bCs/>
          <w:szCs w:val="21"/>
        </w:rPr>
        <w:t>，</w:t>
      </w:r>
      <w:r w:rsidRPr="00C702D7">
        <w:rPr>
          <w:rFonts w:cs="Times New Roman" w:hint="eastAsia"/>
          <w:bCs/>
          <w:szCs w:val="21"/>
        </w:rPr>
        <w:t>检验企业层面绿色关注度与行业碳排放关系，以</w:t>
      </w:r>
      <w:r w:rsidRPr="00C702D7">
        <w:rPr>
          <w:rFonts w:cs="Times New Roman"/>
          <w:bCs/>
          <w:szCs w:val="21"/>
        </w:rPr>
        <w:t>考察机构投资者绿色关注的</w:t>
      </w:r>
      <w:r w:rsidRPr="00C702D7">
        <w:rPr>
          <w:rFonts w:cs="Times New Roman" w:hint="eastAsia"/>
          <w:bCs/>
          <w:szCs w:val="21"/>
        </w:rPr>
        <w:t>减碳治理效应是否在行业</w:t>
      </w:r>
      <w:r w:rsidRPr="00C702D7">
        <w:rPr>
          <w:rFonts w:cs="Times New Roman"/>
          <w:bCs/>
          <w:szCs w:val="21"/>
        </w:rPr>
        <w:t>溢出影响</w:t>
      </w:r>
      <w:r w:rsidRPr="00C702D7">
        <w:rPr>
          <w:rFonts w:cs="Times New Roman" w:hint="eastAsia"/>
          <w:bCs/>
          <w:szCs w:val="21"/>
        </w:rPr>
        <w:t>，具体回归结果见表</w:t>
      </w:r>
      <w:r w:rsidRPr="00C702D7">
        <w:rPr>
          <w:rFonts w:cs="Times New Roman"/>
          <w:bCs/>
          <w:szCs w:val="21"/>
        </w:rPr>
        <w:t>4</w:t>
      </w:r>
      <w:r w:rsidRPr="00C702D7">
        <w:rPr>
          <w:rFonts w:cs="Times New Roman"/>
          <w:bCs/>
          <w:szCs w:val="21"/>
        </w:rPr>
        <w:t>中第（</w:t>
      </w:r>
      <w:r w:rsidRPr="00C702D7">
        <w:rPr>
          <w:rFonts w:cs="Times New Roman"/>
          <w:bCs/>
          <w:szCs w:val="21"/>
        </w:rPr>
        <w:t>1</w:t>
      </w:r>
      <w:r w:rsidRPr="00C702D7">
        <w:rPr>
          <w:rFonts w:cs="Times New Roman"/>
          <w:bCs/>
          <w:szCs w:val="21"/>
        </w:rPr>
        <w:t>）列</w:t>
      </w:r>
      <w:r w:rsidRPr="00C702D7">
        <w:rPr>
          <w:rFonts w:cs="Times New Roman" w:hint="eastAsia"/>
          <w:bCs/>
          <w:szCs w:val="21"/>
        </w:rPr>
        <w:t>。据表</w:t>
      </w:r>
      <w:r w:rsidRPr="00C702D7">
        <w:rPr>
          <w:rFonts w:cs="Times New Roman" w:hint="eastAsia"/>
          <w:bCs/>
          <w:szCs w:val="21"/>
        </w:rPr>
        <w:t>4</w:t>
      </w:r>
      <w:r w:rsidRPr="00C702D7">
        <w:rPr>
          <w:rFonts w:cs="Times New Roman"/>
          <w:bCs/>
          <w:szCs w:val="21"/>
        </w:rPr>
        <w:t>第（</w:t>
      </w:r>
      <w:r w:rsidRPr="00C702D7">
        <w:rPr>
          <w:rFonts w:cs="Times New Roman"/>
          <w:bCs/>
          <w:szCs w:val="21"/>
        </w:rPr>
        <w:t>1</w:t>
      </w:r>
      <w:r w:rsidRPr="00C702D7">
        <w:rPr>
          <w:rFonts w:cs="Times New Roman"/>
          <w:bCs/>
          <w:szCs w:val="21"/>
        </w:rPr>
        <w:t>）列</w:t>
      </w:r>
      <w:r w:rsidRPr="00C702D7">
        <w:rPr>
          <w:rFonts w:cs="Times New Roman" w:hint="eastAsia"/>
          <w:bCs/>
          <w:szCs w:val="21"/>
        </w:rPr>
        <w:t>所示</w:t>
      </w:r>
      <w:r w:rsidRPr="00C702D7">
        <w:rPr>
          <w:rFonts w:ascii="宋体" w:hAnsi="宋体" w:cs="Times New Roman" w:hint="eastAsia"/>
          <w:bCs/>
          <w:szCs w:val="21"/>
        </w:rPr>
        <w:t>，机构投资者绿色关注度（</w:t>
      </w:r>
      <w:r w:rsidRPr="00C702D7">
        <w:rPr>
          <w:rFonts w:cs="Times New Roman"/>
          <w:bCs/>
          <w:i/>
          <w:iCs/>
          <w:szCs w:val="21"/>
        </w:rPr>
        <w:t>G</w:t>
      </w:r>
      <w:r w:rsidRPr="00C702D7">
        <w:rPr>
          <w:rFonts w:cs="Times New Roman" w:hint="eastAsia"/>
          <w:bCs/>
          <w:i/>
          <w:iCs/>
          <w:szCs w:val="21"/>
        </w:rPr>
        <w:t>a</w:t>
      </w:r>
      <w:r w:rsidRPr="00C702D7">
        <w:rPr>
          <w:rFonts w:cs="Times New Roman"/>
          <w:bCs/>
          <w:i/>
          <w:iCs/>
          <w:szCs w:val="21"/>
        </w:rPr>
        <w:t>tten</w:t>
      </w:r>
      <w:r w:rsidRPr="00C702D7">
        <w:rPr>
          <w:rFonts w:cs="Times New Roman" w:hint="eastAsia"/>
          <w:bCs/>
          <w:szCs w:val="21"/>
        </w:rPr>
        <w:t>）</w:t>
      </w:r>
      <w:r w:rsidRPr="00C702D7">
        <w:rPr>
          <w:rFonts w:cs="Times New Roman" w:hint="eastAsia"/>
          <w:szCs w:val="21"/>
        </w:rPr>
        <w:t>对行业碳排放强度</w:t>
      </w:r>
      <w:r w:rsidRPr="00C702D7">
        <w:rPr>
          <w:rFonts w:hint="eastAsia"/>
        </w:rPr>
        <w:t>（</w:t>
      </w:r>
      <w:proofErr w:type="spellStart"/>
      <w:r w:rsidRPr="00C702D7">
        <w:rPr>
          <w:rFonts w:hint="eastAsia"/>
          <w:i/>
          <w:iCs/>
        </w:rPr>
        <w:t>C</w:t>
      </w:r>
      <w:r w:rsidRPr="00C702D7">
        <w:rPr>
          <w:i/>
          <w:iCs/>
        </w:rPr>
        <w:t>miss_ind</w:t>
      </w:r>
      <w:proofErr w:type="spellEnd"/>
      <w:r w:rsidRPr="00C702D7">
        <w:rPr>
          <w:rFonts w:hint="eastAsia"/>
        </w:rPr>
        <w:t>）</w:t>
      </w:r>
      <w:r w:rsidRPr="00C702D7">
        <w:rPr>
          <w:rFonts w:cs="Times New Roman" w:hint="eastAsia"/>
          <w:szCs w:val="21"/>
        </w:rPr>
        <w:t>的回归系数为</w:t>
      </w:r>
      <w:r w:rsidRPr="00C702D7">
        <w:rPr>
          <w:rFonts w:cs="Times New Roman" w:hint="eastAsia"/>
          <w:szCs w:val="21"/>
        </w:rPr>
        <w:t>-</w:t>
      </w:r>
      <w:r w:rsidRPr="00C702D7">
        <w:rPr>
          <w:rFonts w:cs="Times New Roman"/>
          <w:szCs w:val="21"/>
        </w:rPr>
        <w:t>0.8583</w:t>
      </w:r>
      <w:r w:rsidRPr="00C702D7">
        <w:rPr>
          <w:rFonts w:cs="Times New Roman" w:hint="eastAsia"/>
          <w:szCs w:val="21"/>
        </w:rPr>
        <w:t>，且在</w:t>
      </w:r>
      <w:r w:rsidRPr="00C702D7">
        <w:rPr>
          <w:rFonts w:cs="Times New Roman" w:hint="eastAsia"/>
          <w:szCs w:val="21"/>
        </w:rPr>
        <w:t>5</w:t>
      </w:r>
      <w:r w:rsidRPr="00C702D7">
        <w:rPr>
          <w:rFonts w:cs="Times New Roman"/>
          <w:szCs w:val="21"/>
        </w:rPr>
        <w:t>%</w:t>
      </w:r>
      <w:r w:rsidRPr="00C702D7">
        <w:rPr>
          <w:rFonts w:cs="Times New Roman" w:hint="eastAsia"/>
          <w:szCs w:val="21"/>
        </w:rPr>
        <w:t>水平下显著，说明机构投资者绿色关注在一定程度上有助于推进行业碳减排，产生微观企业减碳治理向行业传导的溢出效应。</w:t>
      </w:r>
      <w:bookmarkStart w:id="9" w:name="_Hlk146660615"/>
      <w:r w:rsidRPr="00C702D7">
        <w:rPr>
          <w:rFonts w:hint="eastAsia"/>
        </w:rPr>
        <w:t>鉴于企业减碳的溢出效应主要应体现为机构投资者绿色关注对行业内其他企业碳排放的影响作用，即使企业没有直接受到机构投资者绿色关注，也将由于行业内其他企业受到的机构投资者绿色关注程度变化而调整决策，并最终会影响整个行业碳排放。因此，</w:t>
      </w:r>
      <w:bookmarkStart w:id="10" w:name="_Hlk146660323"/>
      <w:r w:rsidRPr="00C702D7">
        <w:rPr>
          <w:rFonts w:hint="eastAsia"/>
        </w:rPr>
        <w:t>本文还参照张璇等（</w:t>
      </w:r>
      <w:r w:rsidRPr="00C702D7">
        <w:rPr>
          <w:rFonts w:hint="eastAsia"/>
        </w:rPr>
        <w:t>2</w:t>
      </w:r>
      <w:r w:rsidRPr="00C702D7">
        <w:t>022</w:t>
      </w:r>
      <w:r w:rsidRPr="00C702D7">
        <w:rPr>
          <w:rFonts w:hint="eastAsia"/>
        </w:rPr>
        <w:t>）的研究思路，剔除受绿色关注企业碳排放信息构造行业碳排放变量（</w:t>
      </w:r>
      <w:r w:rsidRPr="00C702D7">
        <w:rPr>
          <w:rFonts w:hint="eastAsia"/>
          <w:i/>
          <w:iCs/>
        </w:rPr>
        <w:t>C</w:t>
      </w:r>
      <w:r w:rsidRPr="00C702D7">
        <w:rPr>
          <w:i/>
          <w:iCs/>
        </w:rPr>
        <w:t>miss_ind2</w:t>
      </w:r>
      <w:r w:rsidRPr="00C702D7">
        <w:rPr>
          <w:rFonts w:hint="eastAsia"/>
        </w:rPr>
        <w:t>），考察机构投资者绿色关注对行业非绿色关注企业碳排放的影响，所得结果汇报于表</w:t>
      </w:r>
      <w:r w:rsidRPr="00C702D7">
        <w:rPr>
          <w:rFonts w:hint="eastAsia"/>
        </w:rPr>
        <w:t>4</w:t>
      </w:r>
      <w:r w:rsidRPr="00C702D7">
        <w:rPr>
          <w:rFonts w:hint="eastAsia"/>
        </w:rPr>
        <w:t>第（</w:t>
      </w:r>
      <w:r w:rsidRPr="00C702D7">
        <w:rPr>
          <w:rFonts w:hint="eastAsia"/>
        </w:rPr>
        <w:t>2</w:t>
      </w:r>
      <w:r w:rsidRPr="00C702D7">
        <w:rPr>
          <w:rFonts w:hint="eastAsia"/>
        </w:rPr>
        <w:t>）列。</w:t>
      </w:r>
      <w:bookmarkEnd w:id="10"/>
      <w:r w:rsidRPr="00C702D7">
        <w:rPr>
          <w:rFonts w:hint="eastAsia"/>
        </w:rPr>
        <w:t>可以看到，</w:t>
      </w:r>
      <w:r w:rsidRPr="00C702D7">
        <w:rPr>
          <w:rFonts w:ascii="宋体" w:hAnsi="宋体" w:cs="Times New Roman" w:hint="eastAsia"/>
          <w:bCs/>
          <w:szCs w:val="21"/>
        </w:rPr>
        <w:t>机构投资者绿色关注度（</w:t>
      </w:r>
      <w:proofErr w:type="spellStart"/>
      <w:r w:rsidRPr="00C702D7">
        <w:rPr>
          <w:rFonts w:cs="Times New Roman"/>
          <w:bCs/>
          <w:i/>
          <w:iCs/>
          <w:szCs w:val="21"/>
        </w:rPr>
        <w:t>G</w:t>
      </w:r>
      <w:r w:rsidRPr="00C702D7">
        <w:rPr>
          <w:rFonts w:cs="Times New Roman" w:hint="eastAsia"/>
          <w:bCs/>
          <w:i/>
          <w:iCs/>
          <w:szCs w:val="21"/>
        </w:rPr>
        <w:t>a</w:t>
      </w:r>
      <w:r w:rsidRPr="00C702D7">
        <w:rPr>
          <w:rFonts w:cs="Times New Roman"/>
          <w:bCs/>
          <w:i/>
          <w:iCs/>
          <w:szCs w:val="21"/>
        </w:rPr>
        <w:t>tten</w:t>
      </w:r>
      <w:r w:rsidRPr="00C702D7">
        <w:rPr>
          <w:rFonts w:cs="Times New Roman"/>
          <w:bCs/>
          <w:i/>
          <w:iCs/>
          <w:szCs w:val="21"/>
          <w:vertAlign w:val="subscript"/>
        </w:rPr>
        <w:t>i,t</w:t>
      </w:r>
      <w:proofErr w:type="spellEnd"/>
      <w:r w:rsidRPr="00C702D7">
        <w:rPr>
          <w:rFonts w:cs="Times New Roman" w:hint="eastAsia"/>
          <w:bCs/>
          <w:szCs w:val="21"/>
        </w:rPr>
        <w:t>）对于</w:t>
      </w:r>
      <w:r w:rsidRPr="00C702D7">
        <w:rPr>
          <w:rFonts w:hint="eastAsia"/>
        </w:rPr>
        <w:t>未受到绿色关注企业构成的行业碳排放变量（</w:t>
      </w:r>
      <w:r w:rsidRPr="00C702D7">
        <w:rPr>
          <w:rFonts w:hint="eastAsia"/>
          <w:i/>
          <w:iCs/>
        </w:rPr>
        <w:t>C</w:t>
      </w:r>
      <w:r w:rsidRPr="00C702D7">
        <w:rPr>
          <w:i/>
          <w:iCs/>
        </w:rPr>
        <w:t>miss_ind2</w:t>
      </w:r>
      <w:r w:rsidRPr="00C702D7">
        <w:rPr>
          <w:rFonts w:hint="eastAsia"/>
        </w:rPr>
        <w:t>）</w:t>
      </w:r>
      <w:r w:rsidRPr="00C702D7">
        <w:rPr>
          <w:rFonts w:cs="Times New Roman" w:hint="eastAsia"/>
          <w:szCs w:val="21"/>
        </w:rPr>
        <w:t>的影响系数为</w:t>
      </w:r>
      <w:r w:rsidRPr="00C702D7">
        <w:rPr>
          <w:rFonts w:cs="Times New Roman" w:hint="eastAsia"/>
          <w:szCs w:val="21"/>
        </w:rPr>
        <w:t>-</w:t>
      </w:r>
      <w:r w:rsidRPr="00C702D7">
        <w:rPr>
          <w:rFonts w:cs="Times New Roman"/>
          <w:szCs w:val="21"/>
        </w:rPr>
        <w:t>0.8056</w:t>
      </w:r>
      <w:r w:rsidRPr="00C702D7">
        <w:rPr>
          <w:rFonts w:cs="Times New Roman" w:hint="eastAsia"/>
          <w:szCs w:val="21"/>
        </w:rPr>
        <w:t>，且仍在</w:t>
      </w:r>
      <w:r w:rsidRPr="00C702D7">
        <w:rPr>
          <w:rFonts w:cs="Times New Roman" w:hint="eastAsia"/>
          <w:szCs w:val="21"/>
        </w:rPr>
        <w:t>5</w:t>
      </w:r>
      <w:r w:rsidRPr="00C702D7">
        <w:rPr>
          <w:rFonts w:cs="Times New Roman"/>
          <w:szCs w:val="21"/>
        </w:rPr>
        <w:t>%</w:t>
      </w:r>
      <w:r w:rsidRPr="00C702D7">
        <w:rPr>
          <w:rFonts w:cs="Times New Roman" w:hint="eastAsia"/>
          <w:szCs w:val="21"/>
        </w:rPr>
        <w:t>水平下显著为正。这说明机构投资者绿色关注不仅通过受到绿色关注企业产生行业</w:t>
      </w:r>
      <w:r w:rsidR="00887877" w:rsidRPr="00C702D7">
        <w:rPr>
          <w:rFonts w:cs="Times New Roman" w:hint="eastAsia"/>
          <w:szCs w:val="21"/>
        </w:rPr>
        <w:t>减排效应</w:t>
      </w:r>
      <w:r w:rsidRPr="00C702D7">
        <w:rPr>
          <w:rFonts w:cs="Times New Roman" w:hint="eastAsia"/>
          <w:szCs w:val="21"/>
        </w:rPr>
        <w:t>，还会对同一行业中未受到机</w:t>
      </w:r>
      <w:r w:rsidRPr="00C702D7">
        <w:rPr>
          <w:rFonts w:cs="Times New Roman" w:hint="eastAsia"/>
          <w:szCs w:val="21"/>
        </w:rPr>
        <w:lastRenderedPageBreak/>
        <w:t>构投资者绿色关注企业的碳减排行为产生积极影响。</w:t>
      </w:r>
    </w:p>
    <w:p w14:paraId="722A5BFD" w14:textId="77777777" w:rsidR="00D457FC" w:rsidRPr="00C702D7" w:rsidRDefault="00D457FC" w:rsidP="00D457FC">
      <w:pPr>
        <w:spacing w:line="400" w:lineRule="exact"/>
        <w:ind w:firstLine="420"/>
        <w:rPr>
          <w:rFonts w:cs="Times New Roman"/>
          <w:szCs w:val="21"/>
        </w:rPr>
      </w:pPr>
      <w:r w:rsidRPr="00C702D7">
        <w:rPr>
          <w:rFonts w:hint="eastAsia"/>
        </w:rPr>
        <w:t>进一步地，本文基于模型</w:t>
      </w:r>
      <w:r w:rsidRPr="00C702D7">
        <w:rPr>
          <w:rFonts w:cs="Times New Roman"/>
        </w:rPr>
        <w:t>（</w:t>
      </w:r>
      <w:r w:rsidRPr="00C702D7">
        <w:rPr>
          <w:rFonts w:cs="Times New Roman"/>
        </w:rPr>
        <w:t>3</w:t>
      </w:r>
      <w:r w:rsidRPr="00C702D7">
        <w:rPr>
          <w:rFonts w:cs="Times New Roman"/>
        </w:rPr>
        <w:t>）</w:t>
      </w:r>
      <w:r w:rsidRPr="00C702D7">
        <w:rPr>
          <w:rFonts w:cs="Times New Roman" w:hint="eastAsia"/>
        </w:rPr>
        <w:t>检验</w:t>
      </w:r>
      <w:r w:rsidRPr="00C702D7">
        <w:rPr>
          <w:rFonts w:hint="eastAsia"/>
        </w:rPr>
        <w:t>行业层面绿色关注度与同行业其他企业碳排放水平对微观企业碳排放行为的交互影响，以探究机构投资者绿色关注的减碳治理作用是否基于行业内同群效应形成传导。</w:t>
      </w:r>
      <w:r w:rsidRPr="00C702D7">
        <w:rPr>
          <w:rFonts w:ascii="宋体" w:hAnsi="宋体" w:cs="Times New Roman" w:hint="eastAsia"/>
          <w:bCs/>
          <w:szCs w:val="21"/>
        </w:rPr>
        <w:t>表</w:t>
      </w:r>
      <w:r w:rsidRPr="00C702D7">
        <w:rPr>
          <w:rFonts w:cs="Times New Roman"/>
          <w:bCs/>
          <w:szCs w:val="21"/>
        </w:rPr>
        <w:t>4</w:t>
      </w:r>
      <w:r w:rsidRPr="00C702D7">
        <w:rPr>
          <w:rFonts w:cs="Times New Roman"/>
          <w:bCs/>
          <w:szCs w:val="21"/>
        </w:rPr>
        <w:t>中第（</w:t>
      </w:r>
      <w:r w:rsidRPr="00C702D7">
        <w:rPr>
          <w:rFonts w:cs="Times New Roman"/>
          <w:bCs/>
          <w:szCs w:val="21"/>
        </w:rPr>
        <w:t>3</w:t>
      </w:r>
      <w:r w:rsidRPr="00C702D7">
        <w:rPr>
          <w:rFonts w:cs="Times New Roman"/>
          <w:bCs/>
          <w:szCs w:val="21"/>
        </w:rPr>
        <w:t>）</w:t>
      </w:r>
      <w:r w:rsidRPr="00C702D7">
        <w:rPr>
          <w:rFonts w:cs="Times New Roman" w:hint="eastAsia"/>
          <w:bCs/>
          <w:szCs w:val="21"/>
        </w:rPr>
        <w:t>、</w:t>
      </w:r>
      <w:r w:rsidRPr="00C702D7">
        <w:rPr>
          <w:rFonts w:cs="Times New Roman"/>
          <w:bCs/>
          <w:szCs w:val="21"/>
        </w:rPr>
        <w:t>（</w:t>
      </w:r>
      <w:r w:rsidRPr="00C702D7">
        <w:rPr>
          <w:rFonts w:cs="Times New Roman"/>
          <w:bCs/>
          <w:szCs w:val="21"/>
        </w:rPr>
        <w:t>6</w:t>
      </w:r>
      <w:r w:rsidRPr="00C702D7">
        <w:rPr>
          <w:rFonts w:cs="Times New Roman"/>
          <w:bCs/>
          <w:szCs w:val="21"/>
        </w:rPr>
        <w:t>）列汇报了模型（</w:t>
      </w:r>
      <w:r w:rsidRPr="00C702D7">
        <w:rPr>
          <w:rFonts w:cs="Times New Roman"/>
          <w:bCs/>
          <w:szCs w:val="21"/>
        </w:rPr>
        <w:t>3</w:t>
      </w:r>
      <w:r w:rsidRPr="00C702D7">
        <w:rPr>
          <w:rFonts w:cs="Times New Roman"/>
          <w:bCs/>
          <w:szCs w:val="21"/>
        </w:rPr>
        <w:t>）</w:t>
      </w:r>
      <w:r w:rsidRPr="00C702D7">
        <w:rPr>
          <w:rFonts w:ascii="宋体" w:hAnsi="宋体" w:cs="Times New Roman" w:hint="eastAsia"/>
          <w:bCs/>
          <w:szCs w:val="21"/>
        </w:rPr>
        <w:t>的全样本回归结果，我们发现，</w:t>
      </w:r>
      <w:proofErr w:type="spellStart"/>
      <w:r w:rsidRPr="00C702D7">
        <w:rPr>
          <w:rFonts w:hint="eastAsia"/>
          <w:i/>
          <w:iCs/>
        </w:rPr>
        <w:t>C</w:t>
      </w:r>
      <w:r w:rsidRPr="00C702D7">
        <w:rPr>
          <w:i/>
          <w:iCs/>
        </w:rPr>
        <w:t>miss_</w:t>
      </w:r>
      <w:r w:rsidRPr="00C702D7">
        <w:rPr>
          <w:rFonts w:hint="eastAsia"/>
          <w:i/>
          <w:iCs/>
        </w:rPr>
        <w:t>se</w:t>
      </w:r>
      <w:proofErr w:type="spellEnd"/>
      <w:r w:rsidRPr="00C702D7">
        <w:rPr>
          <w:rFonts w:cs="Times New Roman" w:hint="eastAsia"/>
          <w:szCs w:val="21"/>
        </w:rPr>
        <w:t>对企业碳排放强度（</w:t>
      </w:r>
      <w:proofErr w:type="spellStart"/>
      <w:r w:rsidRPr="00C702D7">
        <w:rPr>
          <w:rFonts w:cs="Times New Roman" w:hint="eastAsia"/>
          <w:i/>
          <w:iCs/>
          <w:szCs w:val="21"/>
        </w:rPr>
        <w:t>Cmiss_total</w:t>
      </w:r>
      <w:proofErr w:type="spellEnd"/>
      <w:r w:rsidRPr="00C702D7">
        <w:rPr>
          <w:rFonts w:cs="Times New Roman" w:hint="eastAsia"/>
          <w:i/>
          <w:iCs/>
          <w:szCs w:val="21"/>
        </w:rPr>
        <w:t>）</w:t>
      </w:r>
      <w:r w:rsidRPr="00C702D7">
        <w:rPr>
          <w:rFonts w:cs="Times New Roman" w:hint="eastAsia"/>
          <w:szCs w:val="21"/>
        </w:rPr>
        <w:t>的回归系数为</w:t>
      </w:r>
      <w:r w:rsidRPr="00C702D7">
        <w:rPr>
          <w:rFonts w:cs="Times New Roman"/>
          <w:szCs w:val="21"/>
        </w:rPr>
        <w:t>-0.1146</w:t>
      </w:r>
      <w:r w:rsidRPr="00C702D7">
        <w:rPr>
          <w:rFonts w:cs="Times New Roman" w:hint="eastAsia"/>
          <w:szCs w:val="21"/>
        </w:rPr>
        <w:t>，在</w:t>
      </w:r>
      <w:r w:rsidRPr="00C702D7">
        <w:rPr>
          <w:rFonts w:cs="Times New Roman"/>
          <w:szCs w:val="21"/>
        </w:rPr>
        <w:t>5%</w:t>
      </w:r>
      <w:r w:rsidRPr="00C702D7">
        <w:rPr>
          <w:rFonts w:cs="Times New Roman" w:hint="eastAsia"/>
          <w:szCs w:val="21"/>
        </w:rPr>
        <w:t>的水平下显著，同时</w:t>
      </w:r>
      <w:proofErr w:type="spellStart"/>
      <w:r w:rsidRPr="00C702D7">
        <w:rPr>
          <w:rFonts w:hint="eastAsia"/>
          <w:i/>
          <w:iCs/>
        </w:rPr>
        <w:t>C</w:t>
      </w:r>
      <w:r w:rsidRPr="00C702D7">
        <w:rPr>
          <w:i/>
          <w:iCs/>
        </w:rPr>
        <w:t>miss_</w:t>
      </w:r>
      <w:r w:rsidRPr="00C702D7">
        <w:rPr>
          <w:rFonts w:hint="eastAsia"/>
          <w:i/>
          <w:iCs/>
        </w:rPr>
        <w:t>se</w:t>
      </w:r>
      <w:proofErr w:type="spellEnd"/>
      <w:r w:rsidRPr="00C702D7">
        <w:rPr>
          <w:rFonts w:cs="Times New Roman" w:hint="eastAsia"/>
          <w:szCs w:val="21"/>
        </w:rPr>
        <w:t>对碳排放增量（</w:t>
      </w:r>
      <w:proofErr w:type="spellStart"/>
      <w:r w:rsidRPr="00C702D7">
        <w:rPr>
          <w:rFonts w:cs="Times New Roman" w:hint="eastAsia"/>
          <w:i/>
          <w:iCs/>
          <w:szCs w:val="21"/>
        </w:rPr>
        <w:t>dCmiss</w:t>
      </w:r>
      <w:proofErr w:type="spellEnd"/>
      <w:r w:rsidRPr="00C702D7">
        <w:rPr>
          <w:rFonts w:cs="Times New Roman" w:hint="eastAsia"/>
          <w:szCs w:val="21"/>
        </w:rPr>
        <w:t>）的回归系数为</w:t>
      </w:r>
      <w:r w:rsidRPr="00C702D7">
        <w:rPr>
          <w:rFonts w:cs="Times New Roman"/>
          <w:szCs w:val="21"/>
        </w:rPr>
        <w:t>-0.4461</w:t>
      </w:r>
      <w:r w:rsidRPr="00C702D7">
        <w:rPr>
          <w:rFonts w:cs="Times New Roman" w:hint="eastAsia"/>
          <w:szCs w:val="21"/>
        </w:rPr>
        <w:t>，在</w:t>
      </w:r>
      <w:r w:rsidRPr="00C702D7">
        <w:rPr>
          <w:rFonts w:cs="Times New Roman"/>
          <w:szCs w:val="21"/>
        </w:rPr>
        <w:t>1%</w:t>
      </w:r>
      <w:r w:rsidRPr="00C702D7">
        <w:rPr>
          <w:rFonts w:cs="Times New Roman" w:hint="eastAsia"/>
          <w:szCs w:val="21"/>
        </w:rPr>
        <w:t>水平下显著。上述结果表明，机构投资者</w:t>
      </w:r>
      <w:r w:rsidR="00355EB1" w:rsidRPr="00C702D7">
        <w:rPr>
          <w:rFonts w:cs="Times New Roman" w:hint="eastAsia"/>
          <w:szCs w:val="21"/>
        </w:rPr>
        <w:t>对同一行业的</w:t>
      </w:r>
      <w:r w:rsidRPr="00C702D7">
        <w:rPr>
          <w:rFonts w:cs="Times New Roman" w:hint="eastAsia"/>
          <w:szCs w:val="21"/>
        </w:rPr>
        <w:t>绿色关注</w:t>
      </w:r>
      <w:r w:rsidR="00355EB1" w:rsidRPr="00C702D7">
        <w:rPr>
          <w:rFonts w:cs="Times New Roman" w:hint="eastAsia"/>
          <w:szCs w:val="21"/>
        </w:rPr>
        <w:t>和</w:t>
      </w:r>
      <w:r w:rsidRPr="00C702D7">
        <w:rPr>
          <w:rFonts w:cs="Times New Roman" w:hint="eastAsia"/>
          <w:szCs w:val="21"/>
        </w:rPr>
        <w:t>行业内其他企业碳</w:t>
      </w:r>
      <w:r w:rsidR="00355EB1" w:rsidRPr="00C702D7">
        <w:rPr>
          <w:rFonts w:cs="Times New Roman" w:hint="eastAsia"/>
          <w:szCs w:val="21"/>
        </w:rPr>
        <w:t>减排行为，将会推动微观</w:t>
      </w:r>
      <w:r w:rsidRPr="00C702D7">
        <w:rPr>
          <w:rFonts w:cs="Times New Roman" w:hint="eastAsia"/>
          <w:szCs w:val="21"/>
        </w:rPr>
        <w:t>企业调整碳排放决策，产生同群效应。</w:t>
      </w:r>
      <w:r w:rsidR="00326663" w:rsidRPr="00C702D7">
        <w:rPr>
          <w:rFonts w:cs="Times New Roman" w:hint="eastAsia"/>
          <w:szCs w:val="21"/>
        </w:rPr>
        <w:t>这也在一定程度上说明，机构投资者绿色关注对微观企业的减排</w:t>
      </w:r>
      <w:r w:rsidRPr="00C702D7">
        <w:rPr>
          <w:rFonts w:cs="Times New Roman" w:hint="eastAsia"/>
          <w:szCs w:val="21"/>
        </w:rPr>
        <w:t>治理效应会通过同群效应传导，</w:t>
      </w:r>
      <w:r w:rsidR="00AC3B62" w:rsidRPr="00C702D7">
        <w:rPr>
          <w:rFonts w:cs="Times New Roman" w:hint="eastAsia"/>
          <w:szCs w:val="21"/>
        </w:rPr>
        <w:t>且</w:t>
      </w:r>
      <w:r w:rsidRPr="00C702D7">
        <w:rPr>
          <w:rFonts w:cs="Times New Roman" w:hint="eastAsia"/>
          <w:szCs w:val="21"/>
        </w:rPr>
        <w:t>在其他企业的碳减排影响下进一步加强</w:t>
      </w:r>
      <w:r w:rsidR="00AC3B62" w:rsidRPr="00C702D7">
        <w:rPr>
          <w:rFonts w:cs="Times New Roman" w:hint="eastAsia"/>
          <w:szCs w:val="21"/>
        </w:rPr>
        <w:t>微观减排作用</w:t>
      </w:r>
      <w:r w:rsidRPr="00C702D7">
        <w:rPr>
          <w:rFonts w:cs="Times New Roman" w:hint="eastAsia"/>
          <w:szCs w:val="21"/>
        </w:rPr>
        <w:t>。</w:t>
      </w:r>
    </w:p>
    <w:p w14:paraId="5E17F91C" w14:textId="77777777" w:rsidR="00D457FC" w:rsidRPr="00C702D7" w:rsidRDefault="00D457FC" w:rsidP="00D457FC">
      <w:pPr>
        <w:spacing w:line="400" w:lineRule="exact"/>
        <w:ind w:firstLine="420"/>
        <w:rPr>
          <w:rFonts w:cs="Times New Roman"/>
          <w:szCs w:val="21"/>
        </w:rPr>
      </w:pPr>
      <w:r w:rsidRPr="00C702D7">
        <w:rPr>
          <w:rFonts w:cs="Times New Roman" w:hint="eastAsia"/>
          <w:szCs w:val="21"/>
        </w:rPr>
        <w:t>同时，为剥离企业自身受到绿色关注对其碳排放决策的影响，我们还进一步区分了受机构投资者绿色关注子样本以及非绿色关注子样本进行分组回归，具体回归结果如表</w:t>
      </w:r>
      <w:r w:rsidRPr="00C702D7">
        <w:rPr>
          <w:rFonts w:cs="Times New Roman" w:hint="eastAsia"/>
          <w:szCs w:val="21"/>
        </w:rPr>
        <w:t>4</w:t>
      </w:r>
      <w:r w:rsidRPr="00C702D7">
        <w:rPr>
          <w:rFonts w:cs="Times New Roman" w:hint="eastAsia"/>
          <w:szCs w:val="21"/>
        </w:rPr>
        <w:t>所示。表</w:t>
      </w:r>
      <w:r w:rsidRPr="00C702D7">
        <w:rPr>
          <w:rFonts w:cs="Times New Roman" w:hint="eastAsia"/>
          <w:szCs w:val="21"/>
        </w:rPr>
        <w:t>4</w:t>
      </w:r>
      <w:r w:rsidRPr="00C702D7">
        <w:rPr>
          <w:rFonts w:cs="Times New Roman" w:hint="eastAsia"/>
          <w:szCs w:val="21"/>
        </w:rPr>
        <w:t>中第（</w:t>
      </w:r>
      <w:r w:rsidRPr="00C702D7">
        <w:rPr>
          <w:rFonts w:cs="Times New Roman" w:hint="eastAsia"/>
          <w:szCs w:val="21"/>
        </w:rPr>
        <w:t>4</w:t>
      </w:r>
      <w:r w:rsidRPr="00C702D7">
        <w:rPr>
          <w:rFonts w:cs="Times New Roman" w:hint="eastAsia"/>
          <w:szCs w:val="21"/>
        </w:rPr>
        <w:t>）、（</w:t>
      </w:r>
      <w:r w:rsidRPr="00C702D7">
        <w:rPr>
          <w:rFonts w:cs="Times New Roman"/>
          <w:szCs w:val="21"/>
        </w:rPr>
        <w:t>7</w:t>
      </w:r>
      <w:r w:rsidRPr="00C702D7">
        <w:rPr>
          <w:rFonts w:cs="Times New Roman" w:hint="eastAsia"/>
          <w:szCs w:val="21"/>
        </w:rPr>
        <w:t>）列汇报了非绿色关注子样本的回归结果，第（</w:t>
      </w:r>
      <w:r w:rsidRPr="00C702D7">
        <w:rPr>
          <w:rFonts w:cs="Times New Roman"/>
          <w:szCs w:val="21"/>
        </w:rPr>
        <w:t>5</w:t>
      </w:r>
      <w:r w:rsidRPr="00C702D7">
        <w:rPr>
          <w:rFonts w:cs="Times New Roman" w:hint="eastAsia"/>
          <w:szCs w:val="21"/>
        </w:rPr>
        <w:t>）、（</w:t>
      </w:r>
      <w:r w:rsidRPr="00C702D7">
        <w:rPr>
          <w:rFonts w:cs="Times New Roman"/>
          <w:szCs w:val="21"/>
        </w:rPr>
        <w:t>8</w:t>
      </w:r>
      <w:r w:rsidRPr="00C702D7">
        <w:rPr>
          <w:rFonts w:cs="Times New Roman" w:hint="eastAsia"/>
          <w:szCs w:val="21"/>
        </w:rPr>
        <w:t>）列为受绿色关注子样本的结果。据表</w:t>
      </w:r>
      <w:r w:rsidRPr="00C702D7">
        <w:rPr>
          <w:rFonts w:cs="Times New Roman" w:hint="eastAsia"/>
          <w:szCs w:val="21"/>
        </w:rPr>
        <w:t>4</w:t>
      </w:r>
      <w:r w:rsidRPr="00C702D7">
        <w:rPr>
          <w:rFonts w:cs="Times New Roman" w:hint="eastAsia"/>
          <w:szCs w:val="21"/>
        </w:rPr>
        <w:t>所示，</w:t>
      </w:r>
      <w:proofErr w:type="spellStart"/>
      <w:r w:rsidRPr="00C702D7">
        <w:rPr>
          <w:rFonts w:hint="eastAsia"/>
          <w:i/>
          <w:iCs/>
        </w:rPr>
        <w:t>C</w:t>
      </w:r>
      <w:r w:rsidRPr="00C702D7">
        <w:rPr>
          <w:i/>
          <w:iCs/>
        </w:rPr>
        <w:t>miss_</w:t>
      </w:r>
      <w:r w:rsidRPr="00C702D7">
        <w:rPr>
          <w:rFonts w:hint="eastAsia"/>
          <w:i/>
          <w:iCs/>
        </w:rPr>
        <w:t>se</w:t>
      </w:r>
      <w:proofErr w:type="spellEnd"/>
      <w:r w:rsidRPr="00C702D7">
        <w:rPr>
          <w:rFonts w:cs="Times New Roman" w:hint="eastAsia"/>
          <w:szCs w:val="21"/>
        </w:rPr>
        <w:t>的回归系数仅在非绿色关注的样本分组中显著为负，而在受绿色关注的样本分组中显著性较弱。这表明，当行业其他企业受到机构投资者绿色关注并调整碳排放行为时，即使企业没有受到绿色关注，仍会随之优化碳排放决策，从而进一步证实了机构投资者绿色关注的碳减排治理作用存在行业溢出效应。</w:t>
      </w:r>
    </w:p>
    <w:p w14:paraId="58BC9F48" w14:textId="77777777" w:rsidR="00D457FC" w:rsidRPr="00C702D7" w:rsidRDefault="00D457FC" w:rsidP="00D457FC">
      <w:pPr>
        <w:spacing w:line="400" w:lineRule="exact"/>
        <w:ind w:firstLineChars="0" w:firstLine="0"/>
        <w:jc w:val="center"/>
        <w:rPr>
          <w:rFonts w:ascii="黑体" w:eastAsia="黑体" w:hAnsi="黑体" w:cs="Times New Roman"/>
          <w:bCs/>
          <w:sz w:val="18"/>
          <w:szCs w:val="18"/>
        </w:rPr>
      </w:pPr>
      <w:r w:rsidRPr="00C702D7">
        <w:rPr>
          <w:rFonts w:ascii="黑体" w:eastAsia="黑体" w:hAnsi="黑体" w:cs="Times New Roman" w:hint="eastAsia"/>
          <w:bCs/>
          <w:szCs w:val="21"/>
        </w:rPr>
        <w:t>表</w:t>
      </w:r>
      <w:r w:rsidRPr="00C702D7">
        <w:rPr>
          <w:rFonts w:eastAsia="黑体" w:cs="Times New Roman"/>
          <w:b/>
          <w:szCs w:val="21"/>
        </w:rPr>
        <w:t>4</w:t>
      </w:r>
      <w:r w:rsidR="000F41D1" w:rsidRPr="00C702D7">
        <w:rPr>
          <w:rFonts w:eastAsia="黑体" w:cs="Times New Roman" w:hint="eastAsia"/>
          <w:b/>
          <w:szCs w:val="21"/>
        </w:rPr>
        <w:t xml:space="preserve">  </w:t>
      </w:r>
      <w:r w:rsidRPr="00C702D7">
        <w:rPr>
          <w:rFonts w:ascii="黑体" w:eastAsia="黑体" w:hAnsi="黑体" w:cs="Times New Roman" w:hint="eastAsia"/>
          <w:bCs/>
          <w:szCs w:val="21"/>
        </w:rPr>
        <w:t>溢出效应的检验结果</w:t>
      </w:r>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70"/>
        <w:gridCol w:w="960"/>
        <w:gridCol w:w="999"/>
        <w:gridCol w:w="874"/>
        <w:gridCol w:w="934"/>
        <w:gridCol w:w="874"/>
        <w:gridCol w:w="1019"/>
        <w:gridCol w:w="1019"/>
        <w:gridCol w:w="873"/>
      </w:tblGrid>
      <w:tr w:rsidR="00C702D7" w:rsidRPr="00C702D7" w14:paraId="4C3A84B3" w14:textId="77777777" w:rsidTr="00B718EA">
        <w:trPr>
          <w:trHeight w:val="280"/>
          <w:jc w:val="center"/>
        </w:trPr>
        <w:tc>
          <w:tcPr>
            <w:tcW w:w="569" w:type="pct"/>
            <w:vMerge w:val="restart"/>
            <w:tcBorders>
              <w:top w:val="single" w:sz="12" w:space="0" w:color="auto"/>
              <w:right w:val="nil"/>
            </w:tcBorders>
            <w:shd w:val="clear" w:color="auto" w:fill="auto"/>
            <w:noWrap/>
            <w:vAlign w:val="center"/>
            <w:hideMark/>
          </w:tcPr>
          <w:p w14:paraId="57376D83" w14:textId="77777777" w:rsidR="00D457FC" w:rsidRPr="00C702D7" w:rsidRDefault="00D457FC" w:rsidP="00B718EA">
            <w:pPr>
              <w:spacing w:line="240" w:lineRule="auto"/>
              <w:ind w:firstLineChars="0" w:firstLine="0"/>
              <w:jc w:val="center"/>
              <w:rPr>
                <w:rFonts w:cs="Times New Roman"/>
                <w:kern w:val="0"/>
                <w:sz w:val="16"/>
                <w:szCs w:val="16"/>
              </w:rPr>
            </w:pPr>
            <w:r w:rsidRPr="00C702D7">
              <w:rPr>
                <w:rFonts w:cs="Times New Roman"/>
                <w:kern w:val="0"/>
                <w:sz w:val="16"/>
                <w:szCs w:val="16"/>
              </w:rPr>
              <w:t>变量</w:t>
            </w:r>
          </w:p>
        </w:tc>
        <w:tc>
          <w:tcPr>
            <w:tcW w:w="563" w:type="pct"/>
            <w:tcBorders>
              <w:top w:val="single" w:sz="12" w:space="0" w:color="auto"/>
              <w:left w:val="nil"/>
              <w:right w:val="nil"/>
            </w:tcBorders>
            <w:vAlign w:val="center"/>
          </w:tcPr>
          <w:p w14:paraId="04712B10" w14:textId="77777777" w:rsidR="00D457FC" w:rsidRPr="00C702D7" w:rsidRDefault="00D457FC" w:rsidP="00B718EA">
            <w:pPr>
              <w:widowControl/>
              <w:spacing w:line="240" w:lineRule="auto"/>
              <w:ind w:firstLineChars="0" w:firstLine="0"/>
              <w:jc w:val="center"/>
              <w:rPr>
                <w:rFonts w:cs="Times New Roman"/>
                <w:kern w:val="0"/>
                <w:sz w:val="16"/>
                <w:szCs w:val="16"/>
              </w:rPr>
            </w:pPr>
            <w:r w:rsidRPr="00C702D7">
              <w:rPr>
                <w:rFonts w:cs="Times New Roman" w:hint="eastAsia"/>
                <w:kern w:val="0"/>
                <w:sz w:val="16"/>
                <w:szCs w:val="16"/>
              </w:rPr>
              <w:t>(</w:t>
            </w:r>
            <w:r w:rsidRPr="00C702D7">
              <w:rPr>
                <w:rFonts w:cs="Times New Roman"/>
                <w:kern w:val="0"/>
                <w:sz w:val="16"/>
                <w:szCs w:val="16"/>
              </w:rPr>
              <w:t>1)</w:t>
            </w:r>
          </w:p>
        </w:tc>
        <w:tc>
          <w:tcPr>
            <w:tcW w:w="586" w:type="pct"/>
            <w:tcBorders>
              <w:top w:val="single" w:sz="12" w:space="0" w:color="auto"/>
              <w:left w:val="nil"/>
              <w:bottom w:val="single" w:sz="4" w:space="0" w:color="auto"/>
              <w:right w:val="nil"/>
            </w:tcBorders>
            <w:vAlign w:val="center"/>
          </w:tcPr>
          <w:p w14:paraId="048DAA95" w14:textId="77777777" w:rsidR="00D457FC" w:rsidRPr="00C702D7" w:rsidRDefault="00D457FC" w:rsidP="00B718EA">
            <w:pPr>
              <w:widowControl/>
              <w:spacing w:line="240" w:lineRule="auto"/>
              <w:ind w:firstLineChars="0" w:firstLine="0"/>
              <w:jc w:val="center"/>
              <w:rPr>
                <w:rFonts w:cs="Times New Roman"/>
                <w:kern w:val="0"/>
                <w:sz w:val="16"/>
                <w:szCs w:val="16"/>
              </w:rPr>
            </w:pPr>
            <w:r w:rsidRPr="00C702D7">
              <w:rPr>
                <w:rFonts w:cs="Times New Roman" w:hint="eastAsia"/>
                <w:kern w:val="0"/>
                <w:sz w:val="16"/>
                <w:szCs w:val="16"/>
              </w:rPr>
              <w:t>(</w:t>
            </w:r>
            <w:r w:rsidRPr="00C702D7">
              <w:rPr>
                <w:rFonts w:cs="Times New Roman"/>
                <w:kern w:val="0"/>
                <w:sz w:val="16"/>
                <w:szCs w:val="16"/>
              </w:rPr>
              <w:t>2)</w:t>
            </w:r>
          </w:p>
        </w:tc>
        <w:tc>
          <w:tcPr>
            <w:tcW w:w="513" w:type="pct"/>
            <w:tcBorders>
              <w:top w:val="single" w:sz="12" w:space="0" w:color="auto"/>
              <w:left w:val="nil"/>
              <w:bottom w:val="single" w:sz="4" w:space="0" w:color="auto"/>
              <w:right w:val="nil"/>
            </w:tcBorders>
            <w:vAlign w:val="center"/>
          </w:tcPr>
          <w:p w14:paraId="49D5B839" w14:textId="77777777" w:rsidR="00D457FC" w:rsidRPr="00C702D7" w:rsidRDefault="00D457FC" w:rsidP="00B718EA">
            <w:pPr>
              <w:widowControl/>
              <w:spacing w:line="240" w:lineRule="auto"/>
              <w:ind w:firstLineChars="0" w:firstLine="0"/>
              <w:jc w:val="center"/>
              <w:rPr>
                <w:sz w:val="16"/>
                <w:szCs w:val="16"/>
              </w:rPr>
            </w:pPr>
            <w:r w:rsidRPr="00C702D7">
              <w:rPr>
                <w:rFonts w:hint="eastAsia"/>
                <w:sz w:val="16"/>
                <w:szCs w:val="16"/>
              </w:rPr>
              <w:t>(</w:t>
            </w:r>
            <w:r w:rsidRPr="00C702D7">
              <w:rPr>
                <w:sz w:val="16"/>
                <w:szCs w:val="16"/>
              </w:rPr>
              <w:t>3)</w:t>
            </w:r>
          </w:p>
        </w:tc>
        <w:tc>
          <w:tcPr>
            <w:tcW w:w="548" w:type="pct"/>
            <w:tcBorders>
              <w:top w:val="single" w:sz="12" w:space="0" w:color="auto"/>
              <w:left w:val="nil"/>
              <w:bottom w:val="single" w:sz="4" w:space="0" w:color="auto"/>
              <w:right w:val="nil"/>
            </w:tcBorders>
            <w:vAlign w:val="center"/>
          </w:tcPr>
          <w:p w14:paraId="27092EFC" w14:textId="77777777" w:rsidR="00D457FC" w:rsidRPr="00C702D7" w:rsidRDefault="00D457FC" w:rsidP="00B718EA">
            <w:pPr>
              <w:widowControl/>
              <w:spacing w:line="240" w:lineRule="auto"/>
              <w:ind w:firstLineChars="0" w:firstLine="0"/>
              <w:jc w:val="center"/>
              <w:rPr>
                <w:i/>
                <w:iCs/>
                <w:sz w:val="16"/>
                <w:szCs w:val="16"/>
              </w:rPr>
            </w:pPr>
            <w:r w:rsidRPr="00C702D7">
              <w:rPr>
                <w:rFonts w:hint="eastAsia"/>
                <w:sz w:val="16"/>
                <w:szCs w:val="16"/>
              </w:rPr>
              <w:t>(</w:t>
            </w:r>
            <w:r w:rsidRPr="00C702D7">
              <w:rPr>
                <w:sz w:val="16"/>
                <w:szCs w:val="16"/>
              </w:rPr>
              <w:t>4)</w:t>
            </w:r>
          </w:p>
        </w:tc>
        <w:tc>
          <w:tcPr>
            <w:tcW w:w="513" w:type="pct"/>
            <w:tcBorders>
              <w:top w:val="single" w:sz="12" w:space="0" w:color="auto"/>
              <w:left w:val="nil"/>
              <w:bottom w:val="single" w:sz="4" w:space="0" w:color="auto"/>
              <w:right w:val="nil"/>
            </w:tcBorders>
            <w:vAlign w:val="center"/>
          </w:tcPr>
          <w:p w14:paraId="265C4FF1" w14:textId="77777777" w:rsidR="00D457FC" w:rsidRPr="00C702D7" w:rsidRDefault="00D457FC" w:rsidP="00B718EA">
            <w:pPr>
              <w:widowControl/>
              <w:spacing w:line="240" w:lineRule="auto"/>
              <w:ind w:firstLineChars="0" w:firstLine="0"/>
              <w:jc w:val="center"/>
              <w:rPr>
                <w:sz w:val="16"/>
                <w:szCs w:val="16"/>
              </w:rPr>
            </w:pPr>
            <w:r w:rsidRPr="00C702D7">
              <w:rPr>
                <w:rFonts w:hint="eastAsia"/>
                <w:sz w:val="16"/>
                <w:szCs w:val="16"/>
              </w:rPr>
              <w:t>(</w:t>
            </w:r>
            <w:r w:rsidRPr="00C702D7">
              <w:rPr>
                <w:sz w:val="16"/>
                <w:szCs w:val="16"/>
              </w:rPr>
              <w:t>5)</w:t>
            </w:r>
          </w:p>
        </w:tc>
        <w:tc>
          <w:tcPr>
            <w:tcW w:w="598" w:type="pct"/>
            <w:tcBorders>
              <w:top w:val="single" w:sz="12" w:space="0" w:color="auto"/>
              <w:left w:val="nil"/>
              <w:bottom w:val="single" w:sz="4" w:space="0" w:color="auto"/>
              <w:right w:val="nil"/>
            </w:tcBorders>
            <w:vAlign w:val="center"/>
          </w:tcPr>
          <w:p w14:paraId="3E739496" w14:textId="77777777" w:rsidR="00D457FC" w:rsidRPr="00C702D7" w:rsidRDefault="00D457FC" w:rsidP="00B718EA">
            <w:pPr>
              <w:widowControl/>
              <w:spacing w:line="240" w:lineRule="auto"/>
              <w:ind w:firstLineChars="0" w:firstLine="0"/>
              <w:jc w:val="center"/>
              <w:rPr>
                <w:sz w:val="16"/>
                <w:szCs w:val="16"/>
              </w:rPr>
            </w:pPr>
            <w:r w:rsidRPr="00C702D7">
              <w:rPr>
                <w:rFonts w:hint="eastAsia"/>
                <w:sz w:val="16"/>
                <w:szCs w:val="16"/>
              </w:rPr>
              <w:t>(</w:t>
            </w:r>
            <w:r w:rsidRPr="00C702D7">
              <w:rPr>
                <w:sz w:val="16"/>
                <w:szCs w:val="16"/>
              </w:rPr>
              <w:t>6)</w:t>
            </w:r>
          </w:p>
        </w:tc>
        <w:tc>
          <w:tcPr>
            <w:tcW w:w="598" w:type="pct"/>
            <w:tcBorders>
              <w:top w:val="single" w:sz="12" w:space="0" w:color="auto"/>
              <w:left w:val="nil"/>
              <w:bottom w:val="single" w:sz="4" w:space="0" w:color="auto"/>
              <w:right w:val="nil"/>
            </w:tcBorders>
            <w:vAlign w:val="center"/>
          </w:tcPr>
          <w:p w14:paraId="731815A2" w14:textId="77777777" w:rsidR="00D457FC" w:rsidRPr="00C702D7" w:rsidRDefault="00D457FC" w:rsidP="00B718EA">
            <w:pPr>
              <w:widowControl/>
              <w:spacing w:line="240" w:lineRule="auto"/>
              <w:ind w:firstLineChars="0" w:firstLine="0"/>
              <w:jc w:val="center"/>
              <w:rPr>
                <w:sz w:val="16"/>
                <w:szCs w:val="16"/>
              </w:rPr>
            </w:pPr>
            <w:r w:rsidRPr="00C702D7">
              <w:rPr>
                <w:rFonts w:hint="eastAsia"/>
                <w:sz w:val="16"/>
                <w:szCs w:val="16"/>
              </w:rPr>
              <w:t>(</w:t>
            </w:r>
            <w:r w:rsidRPr="00C702D7">
              <w:rPr>
                <w:sz w:val="16"/>
                <w:szCs w:val="16"/>
              </w:rPr>
              <w:t>7)</w:t>
            </w:r>
          </w:p>
        </w:tc>
        <w:tc>
          <w:tcPr>
            <w:tcW w:w="512" w:type="pct"/>
            <w:tcBorders>
              <w:top w:val="single" w:sz="12" w:space="0" w:color="auto"/>
              <w:left w:val="nil"/>
              <w:bottom w:val="single" w:sz="4" w:space="0" w:color="auto"/>
              <w:right w:val="nil"/>
            </w:tcBorders>
            <w:vAlign w:val="center"/>
          </w:tcPr>
          <w:p w14:paraId="7E02CB34" w14:textId="77777777" w:rsidR="00D457FC" w:rsidRPr="00C702D7" w:rsidRDefault="00D457FC" w:rsidP="00B718EA">
            <w:pPr>
              <w:widowControl/>
              <w:spacing w:line="240" w:lineRule="auto"/>
              <w:ind w:firstLineChars="0" w:firstLine="0"/>
              <w:jc w:val="center"/>
              <w:rPr>
                <w:sz w:val="16"/>
                <w:szCs w:val="16"/>
              </w:rPr>
            </w:pPr>
            <w:r w:rsidRPr="00C702D7">
              <w:rPr>
                <w:rFonts w:hint="eastAsia"/>
                <w:sz w:val="16"/>
                <w:szCs w:val="16"/>
              </w:rPr>
              <w:t>(</w:t>
            </w:r>
            <w:r w:rsidRPr="00C702D7">
              <w:rPr>
                <w:sz w:val="16"/>
                <w:szCs w:val="16"/>
              </w:rPr>
              <w:t>8)</w:t>
            </w:r>
          </w:p>
        </w:tc>
      </w:tr>
      <w:tr w:rsidR="00C702D7" w:rsidRPr="00C702D7" w14:paraId="7E69FAC9" w14:textId="77777777" w:rsidTr="00B718EA">
        <w:trPr>
          <w:trHeight w:val="280"/>
          <w:jc w:val="center"/>
        </w:trPr>
        <w:tc>
          <w:tcPr>
            <w:tcW w:w="569" w:type="pct"/>
            <w:vMerge/>
            <w:tcBorders>
              <w:bottom w:val="single" w:sz="4" w:space="0" w:color="auto"/>
              <w:right w:val="nil"/>
            </w:tcBorders>
            <w:shd w:val="clear" w:color="auto" w:fill="auto"/>
            <w:noWrap/>
            <w:vAlign w:val="center"/>
            <w:hideMark/>
          </w:tcPr>
          <w:p w14:paraId="7C0195C6" w14:textId="77777777" w:rsidR="00D457FC" w:rsidRPr="00C702D7" w:rsidRDefault="00D457FC" w:rsidP="00B718EA">
            <w:pPr>
              <w:widowControl/>
              <w:spacing w:line="240" w:lineRule="auto"/>
              <w:ind w:firstLineChars="0" w:firstLine="0"/>
              <w:jc w:val="center"/>
              <w:rPr>
                <w:rFonts w:cs="Times New Roman"/>
                <w:kern w:val="0"/>
                <w:sz w:val="16"/>
                <w:szCs w:val="16"/>
              </w:rPr>
            </w:pPr>
          </w:p>
        </w:tc>
        <w:tc>
          <w:tcPr>
            <w:tcW w:w="563" w:type="pct"/>
            <w:tcBorders>
              <w:left w:val="nil"/>
              <w:bottom w:val="single" w:sz="4" w:space="0" w:color="auto"/>
              <w:right w:val="nil"/>
            </w:tcBorders>
            <w:vAlign w:val="center"/>
          </w:tcPr>
          <w:p w14:paraId="63DBC975" w14:textId="77777777" w:rsidR="00D457FC" w:rsidRPr="00C702D7" w:rsidRDefault="00D457FC" w:rsidP="00B718EA">
            <w:pPr>
              <w:widowControl/>
              <w:spacing w:line="240" w:lineRule="auto"/>
              <w:ind w:firstLineChars="0" w:firstLine="0"/>
              <w:jc w:val="center"/>
              <w:rPr>
                <w:rFonts w:cs="Times New Roman"/>
                <w:kern w:val="0"/>
                <w:sz w:val="16"/>
                <w:szCs w:val="16"/>
              </w:rPr>
            </w:pPr>
            <w:proofErr w:type="spellStart"/>
            <w:r w:rsidRPr="00C702D7">
              <w:rPr>
                <w:i/>
                <w:iCs/>
                <w:sz w:val="16"/>
                <w:szCs w:val="16"/>
              </w:rPr>
              <w:t>Cmiss_</w:t>
            </w:r>
            <w:r w:rsidRPr="00C702D7">
              <w:rPr>
                <w:rFonts w:hint="eastAsia"/>
                <w:i/>
                <w:iCs/>
                <w:sz w:val="16"/>
                <w:szCs w:val="16"/>
              </w:rPr>
              <w:t>ind</w:t>
            </w:r>
            <w:proofErr w:type="spellEnd"/>
          </w:p>
        </w:tc>
        <w:tc>
          <w:tcPr>
            <w:tcW w:w="586" w:type="pct"/>
            <w:tcBorders>
              <w:left w:val="nil"/>
              <w:bottom w:val="single" w:sz="4" w:space="0" w:color="auto"/>
              <w:right w:val="nil"/>
            </w:tcBorders>
            <w:vAlign w:val="center"/>
          </w:tcPr>
          <w:p w14:paraId="01CC8984" w14:textId="77777777" w:rsidR="00D457FC" w:rsidRPr="00C702D7" w:rsidRDefault="00D457FC" w:rsidP="00B718EA">
            <w:pPr>
              <w:widowControl/>
              <w:spacing w:line="240" w:lineRule="auto"/>
              <w:ind w:firstLineChars="0" w:firstLine="0"/>
              <w:jc w:val="center"/>
              <w:rPr>
                <w:rFonts w:cs="Times New Roman"/>
                <w:i/>
                <w:iCs/>
                <w:kern w:val="0"/>
                <w:sz w:val="16"/>
                <w:szCs w:val="16"/>
              </w:rPr>
            </w:pPr>
            <w:r w:rsidRPr="00C702D7">
              <w:rPr>
                <w:i/>
                <w:iCs/>
                <w:sz w:val="16"/>
                <w:szCs w:val="16"/>
              </w:rPr>
              <w:t>Cmiss_</w:t>
            </w:r>
            <w:r w:rsidRPr="00C702D7">
              <w:rPr>
                <w:rFonts w:hint="eastAsia"/>
                <w:i/>
                <w:iCs/>
                <w:sz w:val="16"/>
                <w:szCs w:val="16"/>
              </w:rPr>
              <w:t>ind</w:t>
            </w:r>
            <w:r w:rsidRPr="00C702D7">
              <w:rPr>
                <w:i/>
                <w:iCs/>
                <w:sz w:val="16"/>
                <w:szCs w:val="16"/>
              </w:rPr>
              <w:t>2</w:t>
            </w:r>
          </w:p>
        </w:tc>
        <w:tc>
          <w:tcPr>
            <w:tcW w:w="513" w:type="pct"/>
            <w:tcBorders>
              <w:left w:val="nil"/>
              <w:bottom w:val="single" w:sz="4" w:space="0" w:color="auto"/>
              <w:right w:val="nil"/>
            </w:tcBorders>
            <w:vAlign w:val="center"/>
          </w:tcPr>
          <w:p w14:paraId="1EC431AC" w14:textId="77777777" w:rsidR="00D457FC" w:rsidRPr="00C702D7" w:rsidRDefault="00D457FC" w:rsidP="00B718EA">
            <w:pPr>
              <w:widowControl/>
              <w:spacing w:line="240" w:lineRule="auto"/>
              <w:ind w:firstLineChars="0" w:firstLine="0"/>
              <w:jc w:val="center"/>
              <w:rPr>
                <w:rFonts w:cs="Times New Roman"/>
                <w:kern w:val="0"/>
                <w:sz w:val="16"/>
                <w:szCs w:val="16"/>
              </w:rPr>
            </w:pPr>
            <w:proofErr w:type="spellStart"/>
            <w:r w:rsidRPr="00C702D7">
              <w:rPr>
                <w:i/>
                <w:iCs/>
                <w:sz w:val="16"/>
                <w:szCs w:val="16"/>
              </w:rPr>
              <w:t>Cmiss</w:t>
            </w:r>
            <w:proofErr w:type="spellEnd"/>
          </w:p>
        </w:tc>
        <w:tc>
          <w:tcPr>
            <w:tcW w:w="548" w:type="pct"/>
            <w:tcBorders>
              <w:left w:val="nil"/>
              <w:bottom w:val="single" w:sz="4" w:space="0" w:color="auto"/>
              <w:right w:val="nil"/>
            </w:tcBorders>
            <w:vAlign w:val="center"/>
          </w:tcPr>
          <w:p w14:paraId="67B2471C" w14:textId="77777777" w:rsidR="00D457FC" w:rsidRPr="00C702D7" w:rsidRDefault="00D457FC" w:rsidP="00B718EA">
            <w:pPr>
              <w:widowControl/>
              <w:spacing w:line="240" w:lineRule="auto"/>
              <w:ind w:firstLineChars="0" w:firstLine="0"/>
              <w:jc w:val="center"/>
              <w:rPr>
                <w:rFonts w:cs="Times New Roman"/>
                <w:kern w:val="0"/>
                <w:sz w:val="16"/>
                <w:szCs w:val="16"/>
              </w:rPr>
            </w:pPr>
            <w:proofErr w:type="spellStart"/>
            <w:r w:rsidRPr="00C702D7">
              <w:rPr>
                <w:i/>
                <w:iCs/>
                <w:sz w:val="16"/>
                <w:szCs w:val="16"/>
              </w:rPr>
              <w:t>Cmiss</w:t>
            </w:r>
            <w:proofErr w:type="spellEnd"/>
          </w:p>
        </w:tc>
        <w:tc>
          <w:tcPr>
            <w:tcW w:w="513" w:type="pct"/>
            <w:tcBorders>
              <w:left w:val="nil"/>
              <w:bottom w:val="single" w:sz="4" w:space="0" w:color="auto"/>
              <w:right w:val="nil"/>
            </w:tcBorders>
            <w:vAlign w:val="center"/>
          </w:tcPr>
          <w:p w14:paraId="3D5EF3C9" w14:textId="77777777" w:rsidR="00D457FC" w:rsidRPr="00C702D7" w:rsidRDefault="00D457FC" w:rsidP="00B718EA">
            <w:pPr>
              <w:widowControl/>
              <w:spacing w:line="240" w:lineRule="auto"/>
              <w:ind w:firstLineChars="0" w:firstLine="0"/>
              <w:jc w:val="center"/>
              <w:rPr>
                <w:i/>
                <w:iCs/>
                <w:sz w:val="16"/>
                <w:szCs w:val="16"/>
              </w:rPr>
            </w:pPr>
            <w:proofErr w:type="spellStart"/>
            <w:r w:rsidRPr="00C702D7">
              <w:rPr>
                <w:i/>
                <w:iCs/>
                <w:sz w:val="16"/>
                <w:szCs w:val="16"/>
              </w:rPr>
              <w:t>Cmiss</w:t>
            </w:r>
            <w:proofErr w:type="spellEnd"/>
          </w:p>
        </w:tc>
        <w:tc>
          <w:tcPr>
            <w:tcW w:w="598" w:type="pct"/>
            <w:tcBorders>
              <w:left w:val="nil"/>
              <w:bottom w:val="single" w:sz="4" w:space="0" w:color="auto"/>
              <w:right w:val="nil"/>
            </w:tcBorders>
            <w:vAlign w:val="center"/>
          </w:tcPr>
          <w:p w14:paraId="7EBB2E19" w14:textId="77777777" w:rsidR="00D457FC" w:rsidRPr="00C702D7" w:rsidRDefault="00D457FC" w:rsidP="00B718EA">
            <w:pPr>
              <w:widowControl/>
              <w:spacing w:line="240" w:lineRule="auto"/>
              <w:ind w:firstLineChars="0" w:firstLine="0"/>
              <w:jc w:val="center"/>
              <w:rPr>
                <w:i/>
                <w:iCs/>
                <w:sz w:val="16"/>
                <w:szCs w:val="16"/>
              </w:rPr>
            </w:pPr>
            <w:proofErr w:type="spellStart"/>
            <w:r w:rsidRPr="00C702D7">
              <w:rPr>
                <w:i/>
                <w:iCs/>
                <w:sz w:val="16"/>
                <w:szCs w:val="16"/>
              </w:rPr>
              <w:t>dCmiss</w:t>
            </w:r>
            <w:proofErr w:type="spellEnd"/>
          </w:p>
        </w:tc>
        <w:tc>
          <w:tcPr>
            <w:tcW w:w="598" w:type="pct"/>
            <w:tcBorders>
              <w:left w:val="nil"/>
              <w:bottom w:val="single" w:sz="4" w:space="0" w:color="auto"/>
              <w:right w:val="nil"/>
            </w:tcBorders>
            <w:vAlign w:val="center"/>
          </w:tcPr>
          <w:p w14:paraId="6DE46B3E" w14:textId="77777777" w:rsidR="00D457FC" w:rsidRPr="00C702D7" w:rsidRDefault="00D457FC" w:rsidP="00B718EA">
            <w:pPr>
              <w:widowControl/>
              <w:spacing w:line="240" w:lineRule="auto"/>
              <w:ind w:firstLineChars="0" w:firstLine="0"/>
              <w:jc w:val="center"/>
              <w:rPr>
                <w:i/>
                <w:iCs/>
                <w:sz w:val="16"/>
                <w:szCs w:val="16"/>
              </w:rPr>
            </w:pPr>
            <w:proofErr w:type="spellStart"/>
            <w:r w:rsidRPr="00C702D7">
              <w:rPr>
                <w:i/>
                <w:iCs/>
                <w:sz w:val="16"/>
                <w:szCs w:val="16"/>
              </w:rPr>
              <w:t>dCmiss</w:t>
            </w:r>
            <w:proofErr w:type="spellEnd"/>
          </w:p>
        </w:tc>
        <w:tc>
          <w:tcPr>
            <w:tcW w:w="512" w:type="pct"/>
            <w:tcBorders>
              <w:left w:val="nil"/>
              <w:bottom w:val="single" w:sz="4" w:space="0" w:color="auto"/>
              <w:right w:val="nil"/>
            </w:tcBorders>
            <w:vAlign w:val="center"/>
          </w:tcPr>
          <w:p w14:paraId="6EF31498" w14:textId="77777777" w:rsidR="00D457FC" w:rsidRPr="00C702D7" w:rsidRDefault="00D457FC" w:rsidP="00B718EA">
            <w:pPr>
              <w:widowControl/>
              <w:spacing w:line="240" w:lineRule="auto"/>
              <w:ind w:firstLineChars="0" w:firstLine="0"/>
              <w:jc w:val="center"/>
              <w:rPr>
                <w:i/>
                <w:iCs/>
                <w:sz w:val="16"/>
                <w:szCs w:val="16"/>
              </w:rPr>
            </w:pPr>
            <w:proofErr w:type="spellStart"/>
            <w:r w:rsidRPr="00C702D7">
              <w:rPr>
                <w:i/>
                <w:iCs/>
                <w:sz w:val="16"/>
                <w:szCs w:val="16"/>
              </w:rPr>
              <w:t>dCmiss</w:t>
            </w:r>
            <w:proofErr w:type="spellEnd"/>
          </w:p>
        </w:tc>
      </w:tr>
      <w:tr w:rsidR="00C702D7" w:rsidRPr="00C702D7" w14:paraId="260CAFC8" w14:textId="77777777" w:rsidTr="00B718EA">
        <w:trPr>
          <w:trHeight w:val="280"/>
          <w:jc w:val="center"/>
        </w:trPr>
        <w:tc>
          <w:tcPr>
            <w:tcW w:w="569" w:type="pct"/>
            <w:vMerge w:val="restart"/>
            <w:tcBorders>
              <w:top w:val="nil"/>
              <w:right w:val="nil"/>
            </w:tcBorders>
            <w:shd w:val="clear" w:color="auto" w:fill="auto"/>
            <w:noWrap/>
            <w:vAlign w:val="center"/>
          </w:tcPr>
          <w:p w14:paraId="42C6DCB1" w14:textId="77777777" w:rsidR="00D457FC" w:rsidRPr="00C702D7" w:rsidRDefault="00D457FC" w:rsidP="00B718EA">
            <w:pPr>
              <w:widowControl/>
              <w:spacing w:line="240" w:lineRule="auto"/>
              <w:ind w:firstLineChars="0" w:firstLine="0"/>
              <w:jc w:val="center"/>
              <w:rPr>
                <w:rFonts w:cs="Times New Roman"/>
                <w:i/>
                <w:iCs/>
                <w:kern w:val="0"/>
                <w:sz w:val="16"/>
                <w:szCs w:val="16"/>
              </w:rPr>
            </w:pPr>
            <w:r w:rsidRPr="00C702D7">
              <w:rPr>
                <w:rFonts w:cs="Times New Roman"/>
                <w:bCs/>
                <w:i/>
                <w:iCs/>
                <w:sz w:val="16"/>
                <w:szCs w:val="16"/>
              </w:rPr>
              <w:t>G</w:t>
            </w:r>
            <w:r w:rsidRPr="00C702D7">
              <w:rPr>
                <w:rFonts w:cs="Times New Roman" w:hint="eastAsia"/>
                <w:bCs/>
                <w:i/>
                <w:iCs/>
                <w:sz w:val="16"/>
                <w:szCs w:val="16"/>
              </w:rPr>
              <w:t>a</w:t>
            </w:r>
            <w:r w:rsidRPr="00C702D7">
              <w:rPr>
                <w:rFonts w:cs="Times New Roman"/>
                <w:bCs/>
                <w:i/>
                <w:iCs/>
                <w:sz w:val="16"/>
                <w:szCs w:val="16"/>
              </w:rPr>
              <w:t>tten</w:t>
            </w:r>
          </w:p>
        </w:tc>
        <w:tc>
          <w:tcPr>
            <w:tcW w:w="563" w:type="pct"/>
            <w:tcBorders>
              <w:top w:val="nil"/>
              <w:left w:val="nil"/>
              <w:bottom w:val="nil"/>
              <w:right w:val="nil"/>
            </w:tcBorders>
            <w:vAlign w:val="center"/>
          </w:tcPr>
          <w:p w14:paraId="620D4CE3"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-0.8583</w:t>
            </w:r>
            <w:r w:rsidRPr="00C702D7">
              <w:rPr>
                <w:rFonts w:eastAsia="等线" w:cs="Times New Roman" w:hint="eastAsia"/>
                <w:sz w:val="16"/>
                <w:szCs w:val="16"/>
                <w:vertAlign w:val="superscript"/>
              </w:rPr>
              <w:t>**</w:t>
            </w:r>
          </w:p>
        </w:tc>
        <w:tc>
          <w:tcPr>
            <w:tcW w:w="586" w:type="pct"/>
            <w:tcBorders>
              <w:top w:val="nil"/>
              <w:left w:val="nil"/>
              <w:bottom w:val="nil"/>
              <w:right w:val="nil"/>
            </w:tcBorders>
            <w:shd w:val="clear" w:color="auto" w:fill="auto"/>
            <w:noWrap/>
            <w:vAlign w:val="center"/>
          </w:tcPr>
          <w:p w14:paraId="334B9175"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-0.8056</w:t>
            </w:r>
            <w:r w:rsidRPr="00C702D7">
              <w:rPr>
                <w:rFonts w:eastAsia="等线" w:cs="Times New Roman" w:hint="eastAsia"/>
                <w:sz w:val="16"/>
                <w:szCs w:val="16"/>
                <w:vertAlign w:val="superscript"/>
              </w:rPr>
              <w:t>**</w:t>
            </w:r>
          </w:p>
        </w:tc>
        <w:tc>
          <w:tcPr>
            <w:tcW w:w="513" w:type="pct"/>
            <w:vMerge w:val="restart"/>
            <w:tcBorders>
              <w:top w:val="nil"/>
              <w:left w:val="nil"/>
              <w:right w:val="nil"/>
            </w:tcBorders>
            <w:vAlign w:val="center"/>
          </w:tcPr>
          <w:p w14:paraId="75180C0B"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w:t>
            </w:r>
          </w:p>
        </w:tc>
        <w:tc>
          <w:tcPr>
            <w:tcW w:w="548" w:type="pct"/>
            <w:vMerge w:val="restart"/>
            <w:tcBorders>
              <w:top w:val="nil"/>
              <w:left w:val="nil"/>
              <w:right w:val="nil"/>
            </w:tcBorders>
            <w:vAlign w:val="center"/>
          </w:tcPr>
          <w:p w14:paraId="3692FA55"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w:t>
            </w:r>
          </w:p>
        </w:tc>
        <w:tc>
          <w:tcPr>
            <w:tcW w:w="513" w:type="pct"/>
            <w:vMerge w:val="restart"/>
            <w:tcBorders>
              <w:top w:val="nil"/>
              <w:left w:val="nil"/>
              <w:right w:val="nil"/>
            </w:tcBorders>
            <w:vAlign w:val="center"/>
          </w:tcPr>
          <w:p w14:paraId="3F9A5DEE"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w:t>
            </w:r>
          </w:p>
        </w:tc>
        <w:tc>
          <w:tcPr>
            <w:tcW w:w="598" w:type="pct"/>
            <w:vMerge w:val="restart"/>
            <w:tcBorders>
              <w:top w:val="nil"/>
              <w:left w:val="nil"/>
              <w:right w:val="nil"/>
            </w:tcBorders>
            <w:vAlign w:val="center"/>
          </w:tcPr>
          <w:p w14:paraId="20123F24"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w:t>
            </w:r>
          </w:p>
        </w:tc>
        <w:tc>
          <w:tcPr>
            <w:tcW w:w="598" w:type="pct"/>
            <w:vMerge w:val="restart"/>
            <w:tcBorders>
              <w:top w:val="nil"/>
              <w:left w:val="nil"/>
              <w:right w:val="nil"/>
            </w:tcBorders>
            <w:vAlign w:val="center"/>
          </w:tcPr>
          <w:p w14:paraId="770D0D16"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w:t>
            </w:r>
          </w:p>
        </w:tc>
        <w:tc>
          <w:tcPr>
            <w:tcW w:w="512" w:type="pct"/>
            <w:vMerge w:val="restart"/>
            <w:tcBorders>
              <w:top w:val="nil"/>
              <w:left w:val="nil"/>
              <w:right w:val="nil"/>
            </w:tcBorders>
            <w:vAlign w:val="center"/>
          </w:tcPr>
          <w:p w14:paraId="4ABBE9FF"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w:t>
            </w:r>
          </w:p>
        </w:tc>
      </w:tr>
      <w:tr w:rsidR="00C702D7" w:rsidRPr="00C702D7" w14:paraId="5B4E1B68" w14:textId="77777777" w:rsidTr="00B718EA">
        <w:trPr>
          <w:trHeight w:val="280"/>
          <w:jc w:val="center"/>
        </w:trPr>
        <w:tc>
          <w:tcPr>
            <w:tcW w:w="569" w:type="pct"/>
            <w:vMerge/>
            <w:tcBorders>
              <w:bottom w:val="nil"/>
              <w:right w:val="nil"/>
            </w:tcBorders>
            <w:shd w:val="clear" w:color="auto" w:fill="auto"/>
            <w:noWrap/>
            <w:vAlign w:val="center"/>
          </w:tcPr>
          <w:p w14:paraId="4FC064D2" w14:textId="77777777" w:rsidR="00D457FC" w:rsidRPr="00C702D7" w:rsidRDefault="00D457FC" w:rsidP="00B718EA">
            <w:pPr>
              <w:widowControl/>
              <w:spacing w:line="240" w:lineRule="auto"/>
              <w:ind w:firstLineChars="0" w:firstLine="0"/>
              <w:jc w:val="center"/>
              <w:rPr>
                <w:rFonts w:cs="Times New Roman"/>
                <w:i/>
                <w:iCs/>
                <w:kern w:val="0"/>
                <w:sz w:val="16"/>
                <w:szCs w:val="16"/>
              </w:rPr>
            </w:pPr>
          </w:p>
        </w:tc>
        <w:tc>
          <w:tcPr>
            <w:tcW w:w="563" w:type="pct"/>
            <w:tcBorders>
              <w:top w:val="nil"/>
              <w:left w:val="nil"/>
              <w:bottom w:val="nil"/>
              <w:right w:val="nil"/>
            </w:tcBorders>
            <w:vAlign w:val="center"/>
          </w:tcPr>
          <w:p w14:paraId="22E8ABF9"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(-2.4194)</w:t>
            </w:r>
          </w:p>
        </w:tc>
        <w:tc>
          <w:tcPr>
            <w:tcW w:w="586" w:type="pct"/>
            <w:tcBorders>
              <w:top w:val="nil"/>
              <w:left w:val="nil"/>
              <w:bottom w:val="nil"/>
              <w:right w:val="nil"/>
            </w:tcBorders>
            <w:shd w:val="clear" w:color="auto" w:fill="auto"/>
            <w:noWrap/>
            <w:vAlign w:val="center"/>
          </w:tcPr>
          <w:p w14:paraId="531A4792"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(-2.2317)</w:t>
            </w:r>
          </w:p>
        </w:tc>
        <w:tc>
          <w:tcPr>
            <w:tcW w:w="513" w:type="pct"/>
            <w:vMerge/>
            <w:tcBorders>
              <w:left w:val="nil"/>
              <w:bottom w:val="nil"/>
              <w:right w:val="nil"/>
            </w:tcBorders>
            <w:vAlign w:val="center"/>
          </w:tcPr>
          <w:p w14:paraId="32389D42" w14:textId="77777777" w:rsidR="00D457FC" w:rsidRPr="00C702D7" w:rsidRDefault="00D457FC" w:rsidP="00B718EA">
            <w:pPr>
              <w:widowControl/>
              <w:spacing w:line="240" w:lineRule="auto"/>
              <w:ind w:firstLineChars="0" w:firstLine="0"/>
              <w:jc w:val="center"/>
              <w:rPr>
                <w:rFonts w:eastAsia="等线" w:cs="Times New Roman"/>
                <w:sz w:val="16"/>
                <w:szCs w:val="16"/>
              </w:rPr>
            </w:pPr>
          </w:p>
        </w:tc>
        <w:tc>
          <w:tcPr>
            <w:tcW w:w="548" w:type="pct"/>
            <w:vMerge/>
            <w:tcBorders>
              <w:left w:val="nil"/>
              <w:bottom w:val="nil"/>
              <w:right w:val="nil"/>
            </w:tcBorders>
            <w:vAlign w:val="center"/>
          </w:tcPr>
          <w:p w14:paraId="40F5B210" w14:textId="77777777" w:rsidR="00D457FC" w:rsidRPr="00C702D7" w:rsidRDefault="00D457FC" w:rsidP="00B718EA">
            <w:pPr>
              <w:widowControl/>
              <w:spacing w:line="240" w:lineRule="auto"/>
              <w:ind w:firstLineChars="0" w:firstLine="0"/>
              <w:jc w:val="center"/>
              <w:rPr>
                <w:rFonts w:eastAsia="等线" w:cs="Times New Roman"/>
                <w:sz w:val="16"/>
                <w:szCs w:val="16"/>
              </w:rPr>
            </w:pPr>
          </w:p>
        </w:tc>
        <w:tc>
          <w:tcPr>
            <w:tcW w:w="513" w:type="pct"/>
            <w:vMerge/>
            <w:tcBorders>
              <w:left w:val="nil"/>
              <w:bottom w:val="nil"/>
              <w:right w:val="nil"/>
            </w:tcBorders>
            <w:vAlign w:val="center"/>
          </w:tcPr>
          <w:p w14:paraId="2CBCD56C" w14:textId="77777777" w:rsidR="00D457FC" w:rsidRPr="00C702D7" w:rsidRDefault="00D457FC" w:rsidP="00B718EA">
            <w:pPr>
              <w:widowControl/>
              <w:spacing w:line="240" w:lineRule="auto"/>
              <w:ind w:firstLineChars="0" w:firstLine="0"/>
              <w:jc w:val="center"/>
              <w:rPr>
                <w:rFonts w:eastAsia="等线" w:cs="Times New Roman"/>
                <w:sz w:val="16"/>
                <w:szCs w:val="16"/>
              </w:rPr>
            </w:pPr>
          </w:p>
        </w:tc>
        <w:tc>
          <w:tcPr>
            <w:tcW w:w="598" w:type="pct"/>
            <w:vMerge/>
            <w:tcBorders>
              <w:left w:val="nil"/>
              <w:bottom w:val="nil"/>
              <w:right w:val="nil"/>
            </w:tcBorders>
            <w:vAlign w:val="center"/>
          </w:tcPr>
          <w:p w14:paraId="63546042" w14:textId="77777777" w:rsidR="00D457FC" w:rsidRPr="00C702D7" w:rsidRDefault="00D457FC" w:rsidP="00B718EA">
            <w:pPr>
              <w:widowControl/>
              <w:spacing w:line="240" w:lineRule="auto"/>
              <w:ind w:firstLineChars="0" w:firstLine="0"/>
              <w:jc w:val="center"/>
              <w:rPr>
                <w:rFonts w:eastAsia="等线" w:cs="Times New Roman"/>
                <w:sz w:val="16"/>
                <w:szCs w:val="16"/>
              </w:rPr>
            </w:pPr>
          </w:p>
        </w:tc>
        <w:tc>
          <w:tcPr>
            <w:tcW w:w="598" w:type="pct"/>
            <w:vMerge/>
            <w:tcBorders>
              <w:left w:val="nil"/>
              <w:bottom w:val="nil"/>
              <w:right w:val="nil"/>
            </w:tcBorders>
            <w:vAlign w:val="center"/>
          </w:tcPr>
          <w:p w14:paraId="36FD9D84" w14:textId="77777777" w:rsidR="00D457FC" w:rsidRPr="00C702D7" w:rsidRDefault="00D457FC" w:rsidP="00B718EA">
            <w:pPr>
              <w:widowControl/>
              <w:spacing w:line="240" w:lineRule="auto"/>
              <w:ind w:firstLineChars="0" w:firstLine="0"/>
              <w:jc w:val="center"/>
              <w:rPr>
                <w:rFonts w:eastAsia="等线" w:cs="Times New Roman"/>
                <w:sz w:val="16"/>
                <w:szCs w:val="16"/>
              </w:rPr>
            </w:pPr>
          </w:p>
        </w:tc>
        <w:tc>
          <w:tcPr>
            <w:tcW w:w="512" w:type="pct"/>
            <w:vMerge/>
            <w:tcBorders>
              <w:left w:val="nil"/>
              <w:bottom w:val="nil"/>
              <w:right w:val="nil"/>
            </w:tcBorders>
            <w:vAlign w:val="center"/>
          </w:tcPr>
          <w:p w14:paraId="3A90AD1E" w14:textId="77777777" w:rsidR="00D457FC" w:rsidRPr="00C702D7" w:rsidRDefault="00D457FC" w:rsidP="00B718EA">
            <w:pPr>
              <w:widowControl/>
              <w:spacing w:line="240" w:lineRule="auto"/>
              <w:ind w:firstLineChars="0" w:firstLine="0"/>
              <w:jc w:val="center"/>
              <w:rPr>
                <w:rFonts w:eastAsia="等线" w:cs="Times New Roman"/>
                <w:sz w:val="16"/>
                <w:szCs w:val="16"/>
              </w:rPr>
            </w:pPr>
          </w:p>
        </w:tc>
      </w:tr>
      <w:tr w:rsidR="00C702D7" w:rsidRPr="00C702D7" w14:paraId="0A5E7C88" w14:textId="77777777" w:rsidTr="00B718EA">
        <w:trPr>
          <w:trHeight w:val="280"/>
          <w:jc w:val="center"/>
        </w:trPr>
        <w:tc>
          <w:tcPr>
            <w:tcW w:w="569" w:type="pct"/>
            <w:vMerge w:val="restart"/>
            <w:tcBorders>
              <w:top w:val="nil"/>
              <w:right w:val="nil"/>
            </w:tcBorders>
            <w:shd w:val="clear" w:color="auto" w:fill="auto"/>
            <w:noWrap/>
            <w:vAlign w:val="center"/>
          </w:tcPr>
          <w:p w14:paraId="5E7E57DF" w14:textId="77777777" w:rsidR="00D457FC" w:rsidRPr="00C702D7" w:rsidRDefault="00D457FC" w:rsidP="00B718EA">
            <w:pPr>
              <w:widowControl/>
              <w:spacing w:line="240" w:lineRule="auto"/>
              <w:ind w:firstLineChars="0" w:firstLine="0"/>
              <w:jc w:val="center"/>
              <w:rPr>
                <w:rFonts w:cs="Times New Roman"/>
                <w:i/>
                <w:iCs/>
                <w:kern w:val="0"/>
                <w:sz w:val="16"/>
                <w:szCs w:val="16"/>
              </w:rPr>
            </w:pPr>
            <w:proofErr w:type="spellStart"/>
            <w:r w:rsidRPr="00C702D7">
              <w:rPr>
                <w:rFonts w:cs="Times New Roman" w:hint="eastAsia"/>
                <w:i/>
                <w:iCs/>
                <w:kern w:val="0"/>
                <w:sz w:val="16"/>
                <w:szCs w:val="16"/>
              </w:rPr>
              <w:t>C</w:t>
            </w:r>
            <w:r w:rsidRPr="00C702D7">
              <w:rPr>
                <w:rFonts w:cs="Times New Roman"/>
                <w:i/>
                <w:iCs/>
                <w:kern w:val="0"/>
                <w:sz w:val="16"/>
                <w:szCs w:val="16"/>
              </w:rPr>
              <w:t>miss_se</w:t>
            </w:r>
            <w:proofErr w:type="spellEnd"/>
          </w:p>
        </w:tc>
        <w:tc>
          <w:tcPr>
            <w:tcW w:w="563" w:type="pct"/>
            <w:vMerge w:val="restart"/>
            <w:tcBorders>
              <w:top w:val="nil"/>
              <w:left w:val="nil"/>
              <w:right w:val="nil"/>
            </w:tcBorders>
            <w:vAlign w:val="center"/>
          </w:tcPr>
          <w:p w14:paraId="2FFDDFDA"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w:t>
            </w:r>
          </w:p>
        </w:tc>
        <w:tc>
          <w:tcPr>
            <w:tcW w:w="586" w:type="pct"/>
            <w:vMerge w:val="restart"/>
            <w:tcBorders>
              <w:top w:val="nil"/>
              <w:left w:val="nil"/>
              <w:right w:val="nil"/>
            </w:tcBorders>
            <w:shd w:val="clear" w:color="auto" w:fill="auto"/>
            <w:noWrap/>
            <w:vAlign w:val="center"/>
          </w:tcPr>
          <w:p w14:paraId="39817FDE"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w:t>
            </w:r>
          </w:p>
        </w:tc>
        <w:tc>
          <w:tcPr>
            <w:tcW w:w="513" w:type="pct"/>
            <w:tcBorders>
              <w:top w:val="nil"/>
              <w:left w:val="nil"/>
              <w:bottom w:val="nil"/>
              <w:right w:val="nil"/>
            </w:tcBorders>
            <w:vAlign w:val="center"/>
          </w:tcPr>
          <w:p w14:paraId="3813410A"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-0.1146</w:t>
            </w:r>
            <w:r w:rsidRPr="00C702D7">
              <w:rPr>
                <w:rFonts w:eastAsia="等线" w:cs="Times New Roman" w:hint="eastAsia"/>
                <w:sz w:val="16"/>
                <w:szCs w:val="16"/>
                <w:vertAlign w:val="superscript"/>
              </w:rPr>
              <w:t>**</w:t>
            </w:r>
          </w:p>
        </w:tc>
        <w:tc>
          <w:tcPr>
            <w:tcW w:w="548" w:type="pct"/>
            <w:tcBorders>
              <w:top w:val="nil"/>
              <w:left w:val="nil"/>
              <w:bottom w:val="nil"/>
              <w:right w:val="nil"/>
            </w:tcBorders>
            <w:vAlign w:val="center"/>
          </w:tcPr>
          <w:p w14:paraId="55B2EADB"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-0.0847</w:t>
            </w:r>
            <w:r w:rsidRPr="00C702D7">
              <w:rPr>
                <w:rFonts w:eastAsia="等线" w:cs="Times New Roman" w:hint="eastAsia"/>
                <w:sz w:val="16"/>
                <w:szCs w:val="16"/>
                <w:vertAlign w:val="superscript"/>
              </w:rPr>
              <w:t>**</w:t>
            </w:r>
          </w:p>
        </w:tc>
        <w:tc>
          <w:tcPr>
            <w:tcW w:w="513" w:type="pct"/>
            <w:tcBorders>
              <w:top w:val="nil"/>
              <w:left w:val="nil"/>
              <w:bottom w:val="nil"/>
              <w:right w:val="nil"/>
            </w:tcBorders>
            <w:vAlign w:val="center"/>
          </w:tcPr>
          <w:p w14:paraId="4BE8C5AD"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-0.1244</w:t>
            </w:r>
          </w:p>
        </w:tc>
        <w:tc>
          <w:tcPr>
            <w:tcW w:w="598" w:type="pct"/>
            <w:tcBorders>
              <w:top w:val="nil"/>
              <w:left w:val="nil"/>
              <w:bottom w:val="nil"/>
              <w:right w:val="nil"/>
            </w:tcBorders>
            <w:vAlign w:val="center"/>
          </w:tcPr>
          <w:p w14:paraId="3BF449D3"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-0.4461</w:t>
            </w:r>
            <w:r w:rsidRPr="00C702D7">
              <w:rPr>
                <w:rFonts w:eastAsia="等线" w:cs="Times New Roman" w:hint="eastAsia"/>
                <w:sz w:val="16"/>
                <w:szCs w:val="16"/>
                <w:vertAlign w:val="superscript"/>
              </w:rPr>
              <w:t>***</w:t>
            </w:r>
          </w:p>
        </w:tc>
        <w:tc>
          <w:tcPr>
            <w:tcW w:w="598" w:type="pct"/>
            <w:tcBorders>
              <w:top w:val="nil"/>
              <w:left w:val="nil"/>
              <w:bottom w:val="nil"/>
              <w:right w:val="nil"/>
            </w:tcBorders>
            <w:vAlign w:val="center"/>
          </w:tcPr>
          <w:p w14:paraId="25C10489"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-0.4552</w:t>
            </w:r>
            <w:r w:rsidRPr="00C702D7">
              <w:rPr>
                <w:rFonts w:eastAsia="等线" w:cs="Times New Roman" w:hint="eastAsia"/>
                <w:sz w:val="16"/>
                <w:szCs w:val="16"/>
                <w:vertAlign w:val="superscript"/>
              </w:rPr>
              <w:t>***</w:t>
            </w:r>
          </w:p>
        </w:tc>
        <w:tc>
          <w:tcPr>
            <w:tcW w:w="512" w:type="pct"/>
            <w:tcBorders>
              <w:top w:val="nil"/>
              <w:left w:val="nil"/>
              <w:bottom w:val="nil"/>
              <w:right w:val="nil"/>
            </w:tcBorders>
            <w:vAlign w:val="center"/>
          </w:tcPr>
          <w:p w14:paraId="78D7D049"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-0.1368</w:t>
            </w:r>
          </w:p>
        </w:tc>
      </w:tr>
      <w:tr w:rsidR="00C702D7" w:rsidRPr="00C702D7" w14:paraId="15AEDD38" w14:textId="77777777" w:rsidTr="00B718EA">
        <w:trPr>
          <w:trHeight w:val="280"/>
          <w:jc w:val="center"/>
        </w:trPr>
        <w:tc>
          <w:tcPr>
            <w:tcW w:w="569" w:type="pct"/>
            <w:vMerge/>
            <w:tcBorders>
              <w:bottom w:val="nil"/>
              <w:right w:val="nil"/>
            </w:tcBorders>
            <w:shd w:val="clear" w:color="auto" w:fill="auto"/>
            <w:noWrap/>
            <w:vAlign w:val="center"/>
          </w:tcPr>
          <w:p w14:paraId="65DC1232" w14:textId="77777777" w:rsidR="00D457FC" w:rsidRPr="00C702D7" w:rsidRDefault="00D457FC" w:rsidP="00B718EA">
            <w:pPr>
              <w:widowControl/>
              <w:spacing w:line="240" w:lineRule="auto"/>
              <w:ind w:firstLineChars="0" w:firstLine="0"/>
              <w:jc w:val="center"/>
              <w:rPr>
                <w:rFonts w:cs="Times New Roman"/>
                <w:i/>
                <w:iCs/>
                <w:kern w:val="0"/>
                <w:sz w:val="16"/>
                <w:szCs w:val="16"/>
              </w:rPr>
            </w:pPr>
          </w:p>
        </w:tc>
        <w:tc>
          <w:tcPr>
            <w:tcW w:w="563" w:type="pct"/>
            <w:vMerge/>
            <w:tcBorders>
              <w:left w:val="nil"/>
              <w:bottom w:val="nil"/>
              <w:right w:val="nil"/>
            </w:tcBorders>
            <w:vAlign w:val="center"/>
          </w:tcPr>
          <w:p w14:paraId="46B2E91F" w14:textId="77777777" w:rsidR="00D457FC" w:rsidRPr="00C702D7" w:rsidRDefault="00D457FC" w:rsidP="00B718EA">
            <w:pPr>
              <w:widowControl/>
              <w:spacing w:line="240" w:lineRule="auto"/>
              <w:ind w:firstLineChars="0" w:firstLine="0"/>
              <w:jc w:val="center"/>
              <w:rPr>
                <w:rFonts w:eastAsia="等线" w:cs="Times New Roman"/>
                <w:sz w:val="16"/>
                <w:szCs w:val="16"/>
              </w:rPr>
            </w:pPr>
          </w:p>
        </w:tc>
        <w:tc>
          <w:tcPr>
            <w:tcW w:w="586" w:type="pct"/>
            <w:vMerge/>
            <w:tcBorders>
              <w:left w:val="nil"/>
              <w:bottom w:val="nil"/>
              <w:right w:val="nil"/>
            </w:tcBorders>
            <w:shd w:val="clear" w:color="auto" w:fill="auto"/>
            <w:noWrap/>
            <w:vAlign w:val="center"/>
          </w:tcPr>
          <w:p w14:paraId="58A625BF" w14:textId="77777777" w:rsidR="00D457FC" w:rsidRPr="00C702D7" w:rsidRDefault="00D457FC" w:rsidP="00B718EA">
            <w:pPr>
              <w:widowControl/>
              <w:spacing w:line="240" w:lineRule="auto"/>
              <w:ind w:firstLineChars="0" w:firstLine="0"/>
              <w:jc w:val="center"/>
              <w:rPr>
                <w:rFonts w:eastAsia="等线" w:cs="Times New Roman"/>
                <w:sz w:val="16"/>
                <w:szCs w:val="16"/>
              </w:rPr>
            </w:pPr>
          </w:p>
        </w:tc>
        <w:tc>
          <w:tcPr>
            <w:tcW w:w="513" w:type="pct"/>
            <w:tcBorders>
              <w:top w:val="nil"/>
              <w:left w:val="nil"/>
              <w:bottom w:val="nil"/>
              <w:right w:val="nil"/>
            </w:tcBorders>
            <w:vAlign w:val="center"/>
          </w:tcPr>
          <w:p w14:paraId="79030845"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(-2.9678)</w:t>
            </w:r>
          </w:p>
        </w:tc>
        <w:tc>
          <w:tcPr>
            <w:tcW w:w="548" w:type="pct"/>
            <w:tcBorders>
              <w:top w:val="nil"/>
              <w:left w:val="nil"/>
              <w:bottom w:val="nil"/>
              <w:right w:val="nil"/>
            </w:tcBorders>
            <w:vAlign w:val="center"/>
          </w:tcPr>
          <w:p w14:paraId="046130E3"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(-2.2096)</w:t>
            </w:r>
          </w:p>
        </w:tc>
        <w:tc>
          <w:tcPr>
            <w:tcW w:w="513" w:type="pct"/>
            <w:tcBorders>
              <w:top w:val="nil"/>
              <w:left w:val="nil"/>
              <w:bottom w:val="nil"/>
              <w:right w:val="nil"/>
            </w:tcBorders>
            <w:vAlign w:val="center"/>
          </w:tcPr>
          <w:p w14:paraId="1F9D24A5"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(-1.0966)</w:t>
            </w:r>
          </w:p>
        </w:tc>
        <w:tc>
          <w:tcPr>
            <w:tcW w:w="598" w:type="pct"/>
            <w:tcBorders>
              <w:top w:val="nil"/>
              <w:left w:val="nil"/>
              <w:bottom w:val="nil"/>
              <w:right w:val="nil"/>
            </w:tcBorders>
            <w:vAlign w:val="center"/>
          </w:tcPr>
          <w:p w14:paraId="6A939FE9"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(-27.7155)</w:t>
            </w:r>
          </w:p>
        </w:tc>
        <w:tc>
          <w:tcPr>
            <w:tcW w:w="598" w:type="pct"/>
            <w:tcBorders>
              <w:top w:val="nil"/>
              <w:left w:val="nil"/>
              <w:bottom w:val="nil"/>
              <w:right w:val="nil"/>
            </w:tcBorders>
            <w:vAlign w:val="center"/>
          </w:tcPr>
          <w:p w14:paraId="3C6AA2E8"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(-28.7948)</w:t>
            </w:r>
          </w:p>
        </w:tc>
        <w:tc>
          <w:tcPr>
            <w:tcW w:w="512" w:type="pct"/>
            <w:tcBorders>
              <w:top w:val="nil"/>
              <w:left w:val="nil"/>
              <w:bottom w:val="nil"/>
              <w:right w:val="nil"/>
            </w:tcBorders>
            <w:vAlign w:val="center"/>
          </w:tcPr>
          <w:p w14:paraId="61F88262"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(-1.4926)</w:t>
            </w:r>
          </w:p>
        </w:tc>
      </w:tr>
      <w:tr w:rsidR="00C702D7" w:rsidRPr="00C702D7" w14:paraId="6EFCFE38" w14:textId="77777777" w:rsidTr="00B718EA">
        <w:trPr>
          <w:trHeight w:val="280"/>
          <w:jc w:val="center"/>
        </w:trPr>
        <w:tc>
          <w:tcPr>
            <w:tcW w:w="569" w:type="pct"/>
            <w:tcBorders>
              <w:top w:val="nil"/>
              <w:bottom w:val="nil"/>
              <w:right w:val="nil"/>
            </w:tcBorders>
            <w:shd w:val="clear" w:color="auto" w:fill="auto"/>
            <w:noWrap/>
            <w:vAlign w:val="center"/>
            <w:hideMark/>
          </w:tcPr>
          <w:p w14:paraId="70696B3B" w14:textId="77777777" w:rsidR="00D457FC" w:rsidRPr="00C702D7" w:rsidRDefault="00D457FC" w:rsidP="00B718EA">
            <w:pPr>
              <w:widowControl/>
              <w:spacing w:line="240" w:lineRule="auto"/>
              <w:ind w:firstLineChars="0" w:firstLine="0"/>
              <w:jc w:val="center"/>
              <w:rPr>
                <w:rFonts w:cs="Times New Roman"/>
                <w:i/>
                <w:iCs/>
                <w:kern w:val="0"/>
                <w:sz w:val="16"/>
                <w:szCs w:val="16"/>
              </w:rPr>
            </w:pPr>
            <w:r w:rsidRPr="00C702D7">
              <w:rPr>
                <w:rFonts w:cs="Times New Roman" w:hint="eastAsia"/>
                <w:kern w:val="0"/>
                <w:sz w:val="16"/>
                <w:szCs w:val="16"/>
              </w:rPr>
              <w:t>控制变量</w:t>
            </w:r>
          </w:p>
        </w:tc>
        <w:tc>
          <w:tcPr>
            <w:tcW w:w="563" w:type="pct"/>
            <w:tcBorders>
              <w:top w:val="nil"/>
              <w:left w:val="nil"/>
              <w:bottom w:val="nil"/>
              <w:right w:val="nil"/>
            </w:tcBorders>
            <w:vAlign w:val="center"/>
          </w:tcPr>
          <w:p w14:paraId="1743B7FD"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Yes</w:t>
            </w:r>
          </w:p>
        </w:tc>
        <w:tc>
          <w:tcPr>
            <w:tcW w:w="586" w:type="pct"/>
            <w:tcBorders>
              <w:top w:val="nil"/>
              <w:left w:val="nil"/>
              <w:bottom w:val="nil"/>
              <w:right w:val="nil"/>
            </w:tcBorders>
            <w:shd w:val="clear" w:color="auto" w:fill="auto"/>
            <w:noWrap/>
            <w:vAlign w:val="center"/>
          </w:tcPr>
          <w:p w14:paraId="1BF61AA3"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Yes</w:t>
            </w:r>
          </w:p>
        </w:tc>
        <w:tc>
          <w:tcPr>
            <w:tcW w:w="513" w:type="pct"/>
            <w:tcBorders>
              <w:top w:val="nil"/>
              <w:left w:val="nil"/>
              <w:bottom w:val="nil"/>
              <w:right w:val="nil"/>
            </w:tcBorders>
            <w:vAlign w:val="center"/>
          </w:tcPr>
          <w:p w14:paraId="4B689BC2"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Yes</w:t>
            </w:r>
          </w:p>
        </w:tc>
        <w:tc>
          <w:tcPr>
            <w:tcW w:w="548" w:type="pct"/>
            <w:tcBorders>
              <w:top w:val="nil"/>
              <w:left w:val="nil"/>
              <w:bottom w:val="nil"/>
              <w:right w:val="nil"/>
            </w:tcBorders>
            <w:vAlign w:val="center"/>
          </w:tcPr>
          <w:p w14:paraId="072C3254"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Yes</w:t>
            </w:r>
          </w:p>
        </w:tc>
        <w:tc>
          <w:tcPr>
            <w:tcW w:w="513" w:type="pct"/>
            <w:tcBorders>
              <w:top w:val="nil"/>
              <w:left w:val="nil"/>
              <w:bottom w:val="nil"/>
              <w:right w:val="nil"/>
            </w:tcBorders>
            <w:vAlign w:val="center"/>
          </w:tcPr>
          <w:p w14:paraId="4593739E"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Yes</w:t>
            </w:r>
          </w:p>
        </w:tc>
        <w:tc>
          <w:tcPr>
            <w:tcW w:w="598" w:type="pct"/>
            <w:tcBorders>
              <w:top w:val="nil"/>
              <w:left w:val="nil"/>
              <w:bottom w:val="nil"/>
              <w:right w:val="nil"/>
            </w:tcBorders>
            <w:vAlign w:val="center"/>
          </w:tcPr>
          <w:p w14:paraId="44C74998"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Yes</w:t>
            </w:r>
          </w:p>
        </w:tc>
        <w:tc>
          <w:tcPr>
            <w:tcW w:w="598" w:type="pct"/>
            <w:tcBorders>
              <w:top w:val="nil"/>
              <w:left w:val="nil"/>
              <w:bottom w:val="nil"/>
              <w:right w:val="nil"/>
            </w:tcBorders>
            <w:vAlign w:val="center"/>
          </w:tcPr>
          <w:p w14:paraId="2C5F13DA"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Yes</w:t>
            </w:r>
          </w:p>
        </w:tc>
        <w:tc>
          <w:tcPr>
            <w:tcW w:w="512" w:type="pct"/>
            <w:tcBorders>
              <w:top w:val="nil"/>
              <w:left w:val="nil"/>
              <w:bottom w:val="nil"/>
              <w:right w:val="nil"/>
            </w:tcBorders>
            <w:vAlign w:val="center"/>
          </w:tcPr>
          <w:p w14:paraId="56895E8C"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Yes</w:t>
            </w:r>
          </w:p>
        </w:tc>
      </w:tr>
      <w:tr w:rsidR="00C702D7" w:rsidRPr="00C702D7" w14:paraId="79993724" w14:textId="77777777" w:rsidTr="00B718EA">
        <w:trPr>
          <w:trHeight w:val="280"/>
          <w:jc w:val="center"/>
        </w:trPr>
        <w:tc>
          <w:tcPr>
            <w:tcW w:w="569" w:type="pct"/>
            <w:tcBorders>
              <w:top w:val="nil"/>
              <w:bottom w:val="nil"/>
              <w:right w:val="nil"/>
            </w:tcBorders>
            <w:shd w:val="clear" w:color="auto" w:fill="auto"/>
            <w:noWrap/>
            <w:vAlign w:val="center"/>
          </w:tcPr>
          <w:p w14:paraId="7AB1909E" w14:textId="77777777" w:rsidR="00D457FC" w:rsidRPr="00C702D7" w:rsidRDefault="00D457FC" w:rsidP="00B718EA">
            <w:pPr>
              <w:widowControl/>
              <w:spacing w:line="240" w:lineRule="auto"/>
              <w:ind w:firstLineChars="0" w:firstLine="0"/>
              <w:jc w:val="center"/>
              <w:rPr>
                <w:rFonts w:cs="Times New Roman"/>
                <w:kern w:val="0"/>
                <w:sz w:val="16"/>
                <w:szCs w:val="16"/>
              </w:rPr>
            </w:pPr>
            <w:r w:rsidRPr="00C702D7">
              <w:rPr>
                <w:rFonts w:cs="Times New Roman"/>
                <w:kern w:val="0"/>
                <w:sz w:val="16"/>
                <w:szCs w:val="16"/>
              </w:rPr>
              <w:t>年度</w:t>
            </w:r>
            <w:r w:rsidRPr="00C702D7">
              <w:rPr>
                <w:rFonts w:cs="Times New Roman" w:hint="eastAsia"/>
                <w:kern w:val="0"/>
                <w:sz w:val="16"/>
                <w:szCs w:val="16"/>
              </w:rPr>
              <w:t>/</w:t>
            </w:r>
            <w:r w:rsidRPr="00C702D7">
              <w:rPr>
                <w:rFonts w:cs="Times New Roman" w:hint="eastAsia"/>
                <w:kern w:val="0"/>
                <w:sz w:val="16"/>
                <w:szCs w:val="16"/>
              </w:rPr>
              <w:t>行业</w:t>
            </w:r>
          </w:p>
          <w:p w14:paraId="0905FB5B" w14:textId="77777777" w:rsidR="00D457FC" w:rsidRPr="00C702D7" w:rsidRDefault="00D457FC" w:rsidP="00B718EA">
            <w:pPr>
              <w:widowControl/>
              <w:spacing w:line="240" w:lineRule="auto"/>
              <w:ind w:firstLineChars="0" w:firstLine="0"/>
              <w:jc w:val="center"/>
              <w:rPr>
                <w:rFonts w:cs="Times New Roman"/>
                <w:kern w:val="0"/>
                <w:sz w:val="16"/>
                <w:szCs w:val="16"/>
              </w:rPr>
            </w:pPr>
            <w:r w:rsidRPr="00C702D7">
              <w:rPr>
                <w:rFonts w:cs="Times New Roman"/>
                <w:kern w:val="0"/>
                <w:sz w:val="16"/>
                <w:szCs w:val="16"/>
              </w:rPr>
              <w:t>固定效应</w:t>
            </w:r>
          </w:p>
        </w:tc>
        <w:tc>
          <w:tcPr>
            <w:tcW w:w="563" w:type="pct"/>
            <w:tcBorders>
              <w:top w:val="nil"/>
              <w:left w:val="nil"/>
              <w:bottom w:val="nil"/>
              <w:right w:val="nil"/>
            </w:tcBorders>
            <w:vAlign w:val="center"/>
          </w:tcPr>
          <w:p w14:paraId="45889292"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Yes</w:t>
            </w:r>
          </w:p>
        </w:tc>
        <w:tc>
          <w:tcPr>
            <w:tcW w:w="586" w:type="pct"/>
            <w:tcBorders>
              <w:top w:val="nil"/>
              <w:left w:val="nil"/>
              <w:bottom w:val="nil"/>
              <w:right w:val="nil"/>
            </w:tcBorders>
            <w:shd w:val="clear" w:color="auto" w:fill="auto"/>
            <w:noWrap/>
            <w:vAlign w:val="center"/>
          </w:tcPr>
          <w:p w14:paraId="236BD3F1"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Yes</w:t>
            </w:r>
          </w:p>
        </w:tc>
        <w:tc>
          <w:tcPr>
            <w:tcW w:w="513" w:type="pct"/>
            <w:tcBorders>
              <w:top w:val="nil"/>
              <w:left w:val="nil"/>
              <w:bottom w:val="nil"/>
              <w:right w:val="nil"/>
            </w:tcBorders>
            <w:vAlign w:val="center"/>
          </w:tcPr>
          <w:p w14:paraId="7AAE836A"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Yes</w:t>
            </w:r>
          </w:p>
        </w:tc>
        <w:tc>
          <w:tcPr>
            <w:tcW w:w="548" w:type="pct"/>
            <w:tcBorders>
              <w:top w:val="nil"/>
              <w:left w:val="nil"/>
              <w:bottom w:val="nil"/>
              <w:right w:val="nil"/>
            </w:tcBorders>
            <w:vAlign w:val="center"/>
          </w:tcPr>
          <w:p w14:paraId="13F4628F"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Yes</w:t>
            </w:r>
          </w:p>
        </w:tc>
        <w:tc>
          <w:tcPr>
            <w:tcW w:w="513" w:type="pct"/>
            <w:tcBorders>
              <w:top w:val="nil"/>
              <w:left w:val="nil"/>
              <w:bottom w:val="nil"/>
              <w:right w:val="nil"/>
            </w:tcBorders>
            <w:vAlign w:val="center"/>
          </w:tcPr>
          <w:p w14:paraId="2175D4E7"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Yes</w:t>
            </w:r>
          </w:p>
        </w:tc>
        <w:tc>
          <w:tcPr>
            <w:tcW w:w="598" w:type="pct"/>
            <w:tcBorders>
              <w:top w:val="nil"/>
              <w:left w:val="nil"/>
              <w:bottom w:val="nil"/>
              <w:right w:val="nil"/>
            </w:tcBorders>
            <w:vAlign w:val="center"/>
          </w:tcPr>
          <w:p w14:paraId="40756A4D"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Yes</w:t>
            </w:r>
          </w:p>
        </w:tc>
        <w:tc>
          <w:tcPr>
            <w:tcW w:w="598" w:type="pct"/>
            <w:tcBorders>
              <w:top w:val="nil"/>
              <w:left w:val="nil"/>
              <w:bottom w:val="nil"/>
              <w:right w:val="nil"/>
            </w:tcBorders>
            <w:vAlign w:val="center"/>
          </w:tcPr>
          <w:p w14:paraId="737BD147"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Yes</w:t>
            </w:r>
          </w:p>
        </w:tc>
        <w:tc>
          <w:tcPr>
            <w:tcW w:w="512" w:type="pct"/>
            <w:tcBorders>
              <w:top w:val="nil"/>
              <w:left w:val="nil"/>
              <w:bottom w:val="nil"/>
              <w:right w:val="nil"/>
            </w:tcBorders>
            <w:vAlign w:val="center"/>
          </w:tcPr>
          <w:p w14:paraId="701891AB"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Yes</w:t>
            </w:r>
          </w:p>
        </w:tc>
      </w:tr>
      <w:tr w:rsidR="00C702D7" w:rsidRPr="00C702D7" w14:paraId="6B57E389" w14:textId="77777777" w:rsidTr="00B718EA">
        <w:trPr>
          <w:trHeight w:val="280"/>
          <w:jc w:val="center"/>
        </w:trPr>
        <w:tc>
          <w:tcPr>
            <w:tcW w:w="569" w:type="pct"/>
            <w:tcBorders>
              <w:top w:val="nil"/>
              <w:bottom w:val="nil"/>
              <w:right w:val="nil"/>
            </w:tcBorders>
            <w:shd w:val="clear" w:color="auto" w:fill="auto"/>
            <w:noWrap/>
            <w:vAlign w:val="center"/>
          </w:tcPr>
          <w:p w14:paraId="05E5612F" w14:textId="77777777" w:rsidR="00D457FC" w:rsidRPr="00C702D7" w:rsidRDefault="00D457FC" w:rsidP="00B718EA">
            <w:pPr>
              <w:widowControl/>
              <w:spacing w:line="240" w:lineRule="auto"/>
              <w:ind w:firstLineChars="0" w:firstLine="0"/>
              <w:jc w:val="center"/>
              <w:rPr>
                <w:rFonts w:cs="Times New Roman"/>
                <w:kern w:val="0"/>
                <w:sz w:val="16"/>
                <w:szCs w:val="16"/>
              </w:rPr>
            </w:pPr>
            <w:r w:rsidRPr="00C702D7">
              <w:rPr>
                <w:rFonts w:cs="Times New Roman" w:hint="eastAsia"/>
                <w:kern w:val="0"/>
                <w:sz w:val="18"/>
                <w:szCs w:val="18"/>
              </w:rPr>
              <w:t>样本量</w:t>
            </w:r>
          </w:p>
        </w:tc>
        <w:tc>
          <w:tcPr>
            <w:tcW w:w="563" w:type="pct"/>
            <w:tcBorders>
              <w:top w:val="nil"/>
              <w:left w:val="nil"/>
              <w:bottom w:val="nil"/>
              <w:right w:val="nil"/>
            </w:tcBorders>
            <w:vAlign w:val="center"/>
          </w:tcPr>
          <w:p w14:paraId="4BCDFA5A"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sz w:val="16"/>
                <w:szCs w:val="16"/>
              </w:rPr>
              <w:t>6896</w:t>
            </w:r>
          </w:p>
        </w:tc>
        <w:tc>
          <w:tcPr>
            <w:tcW w:w="586" w:type="pct"/>
            <w:tcBorders>
              <w:top w:val="nil"/>
              <w:left w:val="nil"/>
              <w:bottom w:val="nil"/>
              <w:right w:val="nil"/>
            </w:tcBorders>
            <w:shd w:val="clear" w:color="auto" w:fill="auto"/>
            <w:noWrap/>
            <w:vAlign w:val="center"/>
          </w:tcPr>
          <w:p w14:paraId="380A23F7" w14:textId="77777777" w:rsidR="00D457FC" w:rsidRPr="00C702D7" w:rsidRDefault="00D457FC" w:rsidP="00B718EA">
            <w:pPr>
              <w:widowControl/>
              <w:spacing w:line="240" w:lineRule="auto"/>
              <w:ind w:firstLineChars="0" w:firstLine="0"/>
              <w:jc w:val="center"/>
              <w:rPr>
                <w:rFonts w:eastAsia="等线" w:cs="Times New Roman"/>
                <w:sz w:val="16"/>
                <w:szCs w:val="16"/>
                <w:highlight w:val="yellow"/>
              </w:rPr>
            </w:pPr>
            <w:r w:rsidRPr="00C702D7">
              <w:rPr>
                <w:rFonts w:eastAsia="等线" w:cs="Times New Roman" w:hint="eastAsia"/>
                <w:sz w:val="16"/>
                <w:szCs w:val="16"/>
              </w:rPr>
              <w:t>6896</w:t>
            </w:r>
          </w:p>
        </w:tc>
        <w:tc>
          <w:tcPr>
            <w:tcW w:w="513" w:type="pct"/>
            <w:tcBorders>
              <w:top w:val="nil"/>
              <w:left w:val="nil"/>
              <w:bottom w:val="nil"/>
              <w:right w:val="nil"/>
            </w:tcBorders>
            <w:vAlign w:val="center"/>
          </w:tcPr>
          <w:p w14:paraId="78128954"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sz w:val="16"/>
                <w:szCs w:val="16"/>
              </w:rPr>
              <w:t>6896</w:t>
            </w:r>
          </w:p>
        </w:tc>
        <w:tc>
          <w:tcPr>
            <w:tcW w:w="548" w:type="pct"/>
            <w:tcBorders>
              <w:top w:val="nil"/>
              <w:left w:val="nil"/>
              <w:bottom w:val="nil"/>
              <w:right w:val="nil"/>
            </w:tcBorders>
            <w:vAlign w:val="center"/>
          </w:tcPr>
          <w:p w14:paraId="7A2B4A1B"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6247</w:t>
            </w:r>
          </w:p>
        </w:tc>
        <w:tc>
          <w:tcPr>
            <w:tcW w:w="513" w:type="pct"/>
            <w:tcBorders>
              <w:top w:val="nil"/>
              <w:left w:val="nil"/>
              <w:bottom w:val="nil"/>
              <w:right w:val="nil"/>
            </w:tcBorders>
            <w:vAlign w:val="center"/>
          </w:tcPr>
          <w:p w14:paraId="69C6F1E8"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649</w:t>
            </w:r>
          </w:p>
        </w:tc>
        <w:tc>
          <w:tcPr>
            <w:tcW w:w="598" w:type="pct"/>
            <w:tcBorders>
              <w:top w:val="nil"/>
              <w:left w:val="nil"/>
              <w:bottom w:val="nil"/>
              <w:right w:val="nil"/>
            </w:tcBorders>
            <w:vAlign w:val="center"/>
          </w:tcPr>
          <w:p w14:paraId="103B341D"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sz w:val="16"/>
                <w:szCs w:val="16"/>
              </w:rPr>
              <w:t>6896</w:t>
            </w:r>
          </w:p>
        </w:tc>
        <w:tc>
          <w:tcPr>
            <w:tcW w:w="598" w:type="pct"/>
            <w:tcBorders>
              <w:top w:val="nil"/>
              <w:left w:val="nil"/>
              <w:bottom w:val="nil"/>
              <w:right w:val="nil"/>
            </w:tcBorders>
            <w:vAlign w:val="center"/>
          </w:tcPr>
          <w:p w14:paraId="4A4B066A"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6247</w:t>
            </w:r>
          </w:p>
        </w:tc>
        <w:tc>
          <w:tcPr>
            <w:tcW w:w="512" w:type="pct"/>
            <w:tcBorders>
              <w:top w:val="nil"/>
              <w:left w:val="nil"/>
              <w:bottom w:val="nil"/>
              <w:right w:val="nil"/>
            </w:tcBorders>
            <w:vAlign w:val="center"/>
          </w:tcPr>
          <w:p w14:paraId="3B41EE18"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649</w:t>
            </w:r>
          </w:p>
        </w:tc>
      </w:tr>
      <w:tr w:rsidR="00C702D7" w:rsidRPr="00C702D7" w14:paraId="6F6F8555" w14:textId="77777777" w:rsidTr="00B718EA">
        <w:trPr>
          <w:trHeight w:val="280"/>
          <w:jc w:val="center"/>
        </w:trPr>
        <w:tc>
          <w:tcPr>
            <w:tcW w:w="569" w:type="pct"/>
            <w:tcBorders>
              <w:top w:val="nil"/>
              <w:bottom w:val="single" w:sz="12" w:space="0" w:color="auto"/>
              <w:right w:val="nil"/>
            </w:tcBorders>
            <w:shd w:val="clear" w:color="auto" w:fill="auto"/>
            <w:noWrap/>
            <w:vAlign w:val="center"/>
          </w:tcPr>
          <w:p w14:paraId="25C0F04A" w14:textId="77777777" w:rsidR="00D457FC" w:rsidRPr="00C702D7" w:rsidRDefault="00D457FC" w:rsidP="00B718EA">
            <w:pPr>
              <w:widowControl/>
              <w:spacing w:line="240" w:lineRule="auto"/>
              <w:ind w:firstLineChars="0" w:firstLine="0"/>
              <w:jc w:val="center"/>
              <w:rPr>
                <w:rFonts w:cs="Times New Roman"/>
                <w:i/>
                <w:iCs/>
                <w:kern w:val="0"/>
                <w:sz w:val="16"/>
                <w:szCs w:val="16"/>
              </w:rPr>
            </w:pPr>
            <w:r w:rsidRPr="00C702D7">
              <w:rPr>
                <w:rFonts w:cs="Times New Roman"/>
                <w:i/>
                <w:iCs/>
                <w:kern w:val="0"/>
                <w:sz w:val="16"/>
                <w:szCs w:val="16"/>
              </w:rPr>
              <w:t>R</w:t>
            </w:r>
            <w:r w:rsidRPr="00C702D7">
              <w:rPr>
                <w:rFonts w:cs="Times New Roman"/>
                <w:i/>
                <w:iCs/>
                <w:kern w:val="0"/>
                <w:sz w:val="16"/>
                <w:szCs w:val="16"/>
                <w:vertAlign w:val="superscript"/>
              </w:rPr>
              <w:t>2</w:t>
            </w:r>
          </w:p>
        </w:tc>
        <w:tc>
          <w:tcPr>
            <w:tcW w:w="563" w:type="pct"/>
            <w:tcBorders>
              <w:top w:val="nil"/>
              <w:left w:val="nil"/>
              <w:bottom w:val="single" w:sz="12" w:space="0" w:color="auto"/>
              <w:right w:val="nil"/>
            </w:tcBorders>
            <w:vAlign w:val="center"/>
          </w:tcPr>
          <w:p w14:paraId="75CF018C"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sz w:val="16"/>
                <w:szCs w:val="16"/>
              </w:rPr>
              <w:t>0.549</w:t>
            </w:r>
          </w:p>
        </w:tc>
        <w:tc>
          <w:tcPr>
            <w:tcW w:w="586" w:type="pct"/>
            <w:tcBorders>
              <w:top w:val="nil"/>
              <w:left w:val="nil"/>
              <w:bottom w:val="single" w:sz="12" w:space="0" w:color="auto"/>
              <w:right w:val="nil"/>
            </w:tcBorders>
            <w:shd w:val="clear" w:color="auto" w:fill="auto"/>
            <w:noWrap/>
            <w:vAlign w:val="center"/>
          </w:tcPr>
          <w:p w14:paraId="217B60AE" w14:textId="77777777" w:rsidR="00D457FC" w:rsidRPr="00C702D7" w:rsidRDefault="00D457FC" w:rsidP="00B718EA">
            <w:pPr>
              <w:widowControl/>
              <w:spacing w:line="240" w:lineRule="auto"/>
              <w:ind w:firstLineChars="0" w:firstLine="0"/>
              <w:jc w:val="center"/>
              <w:rPr>
                <w:rFonts w:eastAsia="等线" w:cs="Times New Roman"/>
                <w:sz w:val="16"/>
                <w:szCs w:val="16"/>
                <w:highlight w:val="yellow"/>
              </w:rPr>
            </w:pPr>
            <w:r w:rsidRPr="00C702D7">
              <w:rPr>
                <w:rFonts w:eastAsia="等线" w:cs="Times New Roman" w:hint="eastAsia"/>
                <w:sz w:val="16"/>
                <w:szCs w:val="16"/>
              </w:rPr>
              <w:t>0.551</w:t>
            </w:r>
          </w:p>
        </w:tc>
        <w:tc>
          <w:tcPr>
            <w:tcW w:w="513" w:type="pct"/>
            <w:tcBorders>
              <w:top w:val="nil"/>
              <w:left w:val="nil"/>
              <w:bottom w:val="single" w:sz="12" w:space="0" w:color="auto"/>
              <w:right w:val="nil"/>
            </w:tcBorders>
            <w:vAlign w:val="center"/>
          </w:tcPr>
          <w:p w14:paraId="1538C0C4"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sz w:val="16"/>
                <w:szCs w:val="16"/>
              </w:rPr>
              <w:t>0.053</w:t>
            </w:r>
          </w:p>
        </w:tc>
        <w:tc>
          <w:tcPr>
            <w:tcW w:w="548" w:type="pct"/>
            <w:tcBorders>
              <w:top w:val="nil"/>
              <w:left w:val="nil"/>
              <w:bottom w:val="single" w:sz="12" w:space="0" w:color="auto"/>
              <w:right w:val="nil"/>
            </w:tcBorders>
            <w:vAlign w:val="center"/>
          </w:tcPr>
          <w:p w14:paraId="3D47D29B"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0</w:t>
            </w:r>
            <w:r w:rsidRPr="00C702D7">
              <w:rPr>
                <w:rFonts w:eastAsia="等线" w:cs="Times New Roman"/>
                <w:sz w:val="16"/>
                <w:szCs w:val="16"/>
              </w:rPr>
              <w:t>.144</w:t>
            </w:r>
          </w:p>
        </w:tc>
        <w:tc>
          <w:tcPr>
            <w:tcW w:w="513" w:type="pct"/>
            <w:tcBorders>
              <w:top w:val="nil"/>
              <w:left w:val="nil"/>
              <w:bottom w:val="single" w:sz="12" w:space="0" w:color="auto"/>
              <w:right w:val="nil"/>
            </w:tcBorders>
            <w:vAlign w:val="center"/>
          </w:tcPr>
          <w:p w14:paraId="07674F04"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0.007</w:t>
            </w:r>
          </w:p>
        </w:tc>
        <w:tc>
          <w:tcPr>
            <w:tcW w:w="598" w:type="pct"/>
            <w:tcBorders>
              <w:top w:val="nil"/>
              <w:left w:val="nil"/>
              <w:bottom w:val="single" w:sz="12" w:space="0" w:color="auto"/>
              <w:right w:val="nil"/>
            </w:tcBorders>
            <w:vAlign w:val="center"/>
          </w:tcPr>
          <w:p w14:paraId="214F039A"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0.043</w:t>
            </w:r>
          </w:p>
        </w:tc>
        <w:tc>
          <w:tcPr>
            <w:tcW w:w="598" w:type="pct"/>
            <w:tcBorders>
              <w:top w:val="nil"/>
              <w:left w:val="nil"/>
              <w:bottom w:val="single" w:sz="12" w:space="0" w:color="auto"/>
              <w:right w:val="nil"/>
            </w:tcBorders>
            <w:vAlign w:val="center"/>
          </w:tcPr>
          <w:p w14:paraId="6F49F8CB"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0.005</w:t>
            </w:r>
          </w:p>
        </w:tc>
        <w:tc>
          <w:tcPr>
            <w:tcW w:w="512" w:type="pct"/>
            <w:tcBorders>
              <w:top w:val="nil"/>
              <w:left w:val="nil"/>
              <w:bottom w:val="single" w:sz="12" w:space="0" w:color="auto"/>
              <w:right w:val="nil"/>
            </w:tcBorders>
            <w:vAlign w:val="center"/>
          </w:tcPr>
          <w:p w14:paraId="03DA7963" w14:textId="77777777" w:rsidR="00D457FC" w:rsidRPr="00C702D7" w:rsidRDefault="00D457FC" w:rsidP="00B718EA">
            <w:pPr>
              <w:widowControl/>
              <w:spacing w:line="240" w:lineRule="auto"/>
              <w:ind w:firstLineChars="0" w:firstLine="0"/>
              <w:jc w:val="center"/>
              <w:rPr>
                <w:rFonts w:eastAsia="等线" w:cs="Times New Roman"/>
                <w:sz w:val="16"/>
                <w:szCs w:val="16"/>
              </w:rPr>
            </w:pPr>
            <w:r w:rsidRPr="00C702D7">
              <w:rPr>
                <w:rFonts w:eastAsia="等线" w:cs="Times New Roman" w:hint="eastAsia"/>
                <w:sz w:val="16"/>
                <w:szCs w:val="16"/>
              </w:rPr>
              <w:t>0.032</w:t>
            </w:r>
          </w:p>
        </w:tc>
      </w:tr>
    </w:tbl>
    <w:bookmarkEnd w:id="9"/>
    <w:p w14:paraId="245AFAD4" w14:textId="77777777" w:rsidR="00D457FC" w:rsidRPr="00C702D7" w:rsidRDefault="00D457FC" w:rsidP="00D457FC">
      <w:pPr>
        <w:spacing w:line="400" w:lineRule="exact"/>
        <w:ind w:firstLine="420"/>
        <w:rPr>
          <w:rFonts w:cs="Times New Roman"/>
          <w:szCs w:val="21"/>
        </w:rPr>
      </w:pPr>
      <w:r w:rsidRPr="00C702D7">
        <w:rPr>
          <w:rFonts w:cs="Times New Roman" w:hint="eastAsia"/>
          <w:szCs w:val="21"/>
        </w:rPr>
        <w:t>在不同的竞争程度及行业不确定性下，企业间溢出传导效应将存在差异。对此，本文进一步区分行业竞争程度及行业不确定性，探讨机构投资者绿色关注影响企业碳减排的溢出效应及其传导机制是否在不同竞争程度及不确定性情况下存在差异。本研究借鉴陆蓉等（</w:t>
      </w:r>
      <w:r w:rsidRPr="00C702D7">
        <w:rPr>
          <w:rFonts w:cs="Times New Roman" w:hint="eastAsia"/>
          <w:szCs w:val="21"/>
        </w:rPr>
        <w:t>2</w:t>
      </w:r>
      <w:r w:rsidRPr="00C702D7">
        <w:rPr>
          <w:rFonts w:cs="Times New Roman"/>
          <w:szCs w:val="21"/>
        </w:rPr>
        <w:t>017</w:t>
      </w:r>
      <w:r w:rsidRPr="00C702D7">
        <w:rPr>
          <w:rFonts w:cs="Times New Roman" w:hint="eastAsia"/>
          <w:szCs w:val="21"/>
        </w:rPr>
        <w:t>）的研究方法，采用赫芬达尔指数区分不同行业竞争程度，采用销售波动率区分不同行业不确定性。具体而言，若行业年度赫芬达尔指数高于年度中位数，则划入低竞争行业分组，否则归为高竞争行业分组。若行业年度销售波动率高于年度中位数，则划入高不确定性分组，否则定义为低不确定性分组。</w:t>
      </w:r>
    </w:p>
    <w:p w14:paraId="51554EB0" w14:textId="77777777" w:rsidR="00D457FC" w:rsidRPr="00C702D7" w:rsidRDefault="00D457FC" w:rsidP="00D457FC">
      <w:pPr>
        <w:spacing w:line="400" w:lineRule="exact"/>
        <w:ind w:firstLine="420"/>
        <w:rPr>
          <w:rFonts w:cs="Times New Roman"/>
          <w:szCs w:val="21"/>
        </w:rPr>
      </w:pPr>
      <w:r w:rsidRPr="00C702D7">
        <w:rPr>
          <w:rFonts w:cs="Times New Roman" w:hint="eastAsia"/>
          <w:szCs w:val="21"/>
        </w:rPr>
        <w:t>据表</w:t>
      </w:r>
      <w:r w:rsidRPr="00C702D7">
        <w:rPr>
          <w:rFonts w:cs="Times New Roman" w:hint="eastAsia"/>
          <w:szCs w:val="21"/>
        </w:rPr>
        <w:t>5</w:t>
      </w:r>
      <w:r w:rsidRPr="00C702D7">
        <w:rPr>
          <w:rFonts w:cs="Times New Roman" w:hint="eastAsia"/>
          <w:szCs w:val="21"/>
        </w:rPr>
        <w:t>所示，</w:t>
      </w:r>
      <w:r w:rsidRPr="00C702D7">
        <w:rPr>
          <w:rFonts w:cs="Times New Roman" w:hint="eastAsia"/>
          <w:szCs w:val="21"/>
        </w:rPr>
        <w:t>Panel</w:t>
      </w:r>
      <w:r w:rsidR="0079696E" w:rsidRPr="00C702D7">
        <w:rPr>
          <w:rFonts w:cs="Times New Roman"/>
          <w:szCs w:val="21"/>
        </w:rPr>
        <w:t xml:space="preserve"> </w:t>
      </w:r>
      <w:r w:rsidRPr="00C702D7">
        <w:rPr>
          <w:rFonts w:cs="Times New Roman" w:hint="eastAsia"/>
          <w:szCs w:val="21"/>
        </w:rPr>
        <w:t>A</w:t>
      </w:r>
      <w:r w:rsidRPr="00C702D7">
        <w:rPr>
          <w:rFonts w:cs="Times New Roman" w:hint="eastAsia"/>
          <w:szCs w:val="21"/>
        </w:rPr>
        <w:t>中第（</w:t>
      </w:r>
      <w:r w:rsidRPr="00C702D7">
        <w:rPr>
          <w:rFonts w:cs="Times New Roman" w:hint="eastAsia"/>
          <w:szCs w:val="21"/>
        </w:rPr>
        <w:t>1</w:t>
      </w:r>
      <w:r w:rsidRPr="00C702D7">
        <w:rPr>
          <w:rFonts w:cs="Times New Roman" w:hint="eastAsia"/>
          <w:szCs w:val="21"/>
        </w:rPr>
        <w:t>）、（</w:t>
      </w:r>
      <w:r w:rsidRPr="00C702D7">
        <w:rPr>
          <w:rFonts w:cs="Times New Roman" w:hint="eastAsia"/>
          <w:szCs w:val="21"/>
        </w:rPr>
        <w:t>2</w:t>
      </w:r>
      <w:r w:rsidRPr="00C702D7">
        <w:rPr>
          <w:rFonts w:cs="Times New Roman" w:hint="eastAsia"/>
          <w:szCs w:val="21"/>
        </w:rPr>
        <w:t>）列展示了不同行业竞争程度下机构投资者绿色关注驱动同一行业其他企业碳减排的溢出效应检验结果。第（</w:t>
      </w:r>
      <w:r w:rsidRPr="00C702D7">
        <w:rPr>
          <w:rFonts w:cs="Times New Roman" w:hint="eastAsia"/>
          <w:szCs w:val="21"/>
        </w:rPr>
        <w:t>1</w:t>
      </w:r>
      <w:r w:rsidRPr="00C702D7">
        <w:rPr>
          <w:rFonts w:cs="Times New Roman" w:hint="eastAsia"/>
          <w:szCs w:val="21"/>
        </w:rPr>
        <w:t>）列的高竞争行业样本分组中</w:t>
      </w:r>
      <w:r w:rsidRPr="00C702D7">
        <w:rPr>
          <w:rFonts w:ascii="宋体" w:hAnsi="宋体" w:cs="Times New Roman" w:hint="eastAsia"/>
          <w:bCs/>
          <w:szCs w:val="21"/>
        </w:rPr>
        <w:lastRenderedPageBreak/>
        <w:t>机构投资者绿色关注度（</w:t>
      </w:r>
      <w:r w:rsidRPr="00C702D7">
        <w:rPr>
          <w:rFonts w:cs="Times New Roman"/>
          <w:bCs/>
          <w:i/>
          <w:iCs/>
          <w:szCs w:val="21"/>
        </w:rPr>
        <w:t>G</w:t>
      </w:r>
      <w:r w:rsidRPr="00C702D7">
        <w:rPr>
          <w:rFonts w:cs="Times New Roman" w:hint="eastAsia"/>
          <w:bCs/>
          <w:i/>
          <w:iCs/>
          <w:szCs w:val="21"/>
        </w:rPr>
        <w:t>a</w:t>
      </w:r>
      <w:r w:rsidRPr="00C702D7">
        <w:rPr>
          <w:rFonts w:cs="Times New Roman"/>
          <w:bCs/>
          <w:i/>
          <w:iCs/>
          <w:szCs w:val="21"/>
        </w:rPr>
        <w:t>tten</w:t>
      </w:r>
      <w:r w:rsidRPr="00C702D7">
        <w:rPr>
          <w:rFonts w:cs="Times New Roman" w:hint="eastAsia"/>
          <w:bCs/>
          <w:szCs w:val="21"/>
        </w:rPr>
        <w:t>）</w:t>
      </w:r>
      <w:r w:rsidRPr="00C702D7">
        <w:rPr>
          <w:rFonts w:cs="Times New Roman" w:hint="eastAsia"/>
          <w:szCs w:val="21"/>
        </w:rPr>
        <w:t>对行业碳排放强度</w:t>
      </w:r>
      <w:r w:rsidRPr="00C702D7">
        <w:rPr>
          <w:rFonts w:hint="eastAsia"/>
        </w:rPr>
        <w:t>（</w:t>
      </w:r>
      <w:proofErr w:type="spellStart"/>
      <w:r w:rsidRPr="00C702D7">
        <w:rPr>
          <w:rFonts w:hint="eastAsia"/>
          <w:i/>
          <w:iCs/>
        </w:rPr>
        <w:t>C</w:t>
      </w:r>
      <w:r w:rsidRPr="00C702D7">
        <w:rPr>
          <w:i/>
          <w:iCs/>
        </w:rPr>
        <w:t>miss_ind</w:t>
      </w:r>
      <w:proofErr w:type="spellEnd"/>
      <w:r w:rsidRPr="00C702D7">
        <w:rPr>
          <w:rFonts w:hint="eastAsia"/>
        </w:rPr>
        <w:t>）</w:t>
      </w:r>
      <w:r w:rsidRPr="00C702D7">
        <w:rPr>
          <w:rFonts w:cs="Times New Roman" w:hint="eastAsia"/>
          <w:szCs w:val="21"/>
        </w:rPr>
        <w:t>的回归系数为</w:t>
      </w:r>
      <w:r w:rsidRPr="00C702D7">
        <w:rPr>
          <w:rFonts w:cs="Times New Roman"/>
          <w:szCs w:val="21"/>
        </w:rPr>
        <w:t>-1.7163</w:t>
      </w:r>
      <w:r w:rsidRPr="00C702D7">
        <w:rPr>
          <w:rFonts w:cs="Times New Roman" w:hint="eastAsia"/>
          <w:szCs w:val="21"/>
        </w:rPr>
        <w:t>，并在</w:t>
      </w:r>
      <w:r w:rsidRPr="00C702D7">
        <w:rPr>
          <w:rFonts w:cs="Times New Roman"/>
          <w:szCs w:val="21"/>
        </w:rPr>
        <w:t>10%</w:t>
      </w:r>
      <w:r w:rsidRPr="00C702D7">
        <w:rPr>
          <w:rFonts w:cs="Times New Roman" w:hint="eastAsia"/>
          <w:szCs w:val="21"/>
        </w:rPr>
        <w:t>水平下显著。第（</w:t>
      </w:r>
      <w:r w:rsidRPr="00C702D7">
        <w:rPr>
          <w:rFonts w:cs="Times New Roman" w:hint="eastAsia"/>
          <w:szCs w:val="21"/>
        </w:rPr>
        <w:t>2</w:t>
      </w:r>
      <w:r w:rsidRPr="00C702D7">
        <w:rPr>
          <w:rFonts w:cs="Times New Roman" w:hint="eastAsia"/>
          <w:szCs w:val="21"/>
        </w:rPr>
        <w:t>）列低竞争行业样本组中，</w:t>
      </w:r>
      <w:r w:rsidRPr="00C702D7">
        <w:rPr>
          <w:rFonts w:ascii="宋体" w:hAnsi="宋体" w:cs="Times New Roman" w:hint="eastAsia"/>
          <w:bCs/>
          <w:szCs w:val="21"/>
        </w:rPr>
        <w:t>机构投资者绿色关注度（</w:t>
      </w:r>
      <w:r w:rsidRPr="00C702D7">
        <w:rPr>
          <w:rFonts w:cs="Times New Roman"/>
          <w:bCs/>
          <w:i/>
          <w:iCs/>
          <w:szCs w:val="21"/>
        </w:rPr>
        <w:t>G</w:t>
      </w:r>
      <w:r w:rsidRPr="00C702D7">
        <w:rPr>
          <w:rFonts w:cs="Times New Roman" w:hint="eastAsia"/>
          <w:bCs/>
          <w:i/>
          <w:iCs/>
          <w:szCs w:val="21"/>
        </w:rPr>
        <w:t>a</w:t>
      </w:r>
      <w:r w:rsidRPr="00C702D7">
        <w:rPr>
          <w:rFonts w:cs="Times New Roman"/>
          <w:bCs/>
          <w:i/>
          <w:iCs/>
          <w:szCs w:val="21"/>
        </w:rPr>
        <w:t>tten</w:t>
      </w:r>
      <w:r w:rsidRPr="00C702D7">
        <w:rPr>
          <w:rFonts w:cs="Times New Roman" w:hint="eastAsia"/>
          <w:bCs/>
          <w:szCs w:val="21"/>
        </w:rPr>
        <w:t>）</w:t>
      </w:r>
      <w:r w:rsidRPr="00C702D7">
        <w:rPr>
          <w:rFonts w:cs="Times New Roman" w:hint="eastAsia"/>
          <w:szCs w:val="21"/>
        </w:rPr>
        <w:t>的回归系数为</w:t>
      </w:r>
      <w:r w:rsidRPr="00C702D7">
        <w:rPr>
          <w:rFonts w:cs="Times New Roman"/>
          <w:szCs w:val="21"/>
        </w:rPr>
        <w:t>0.7727</w:t>
      </w:r>
      <w:r w:rsidRPr="00C702D7">
        <w:rPr>
          <w:rFonts w:cs="Times New Roman" w:hint="eastAsia"/>
          <w:szCs w:val="21"/>
        </w:rPr>
        <w:t>，但并不显著。这说明当行业竞争程度较为激烈时，机构投资者绿色关注的碳减排溢出效应更强。表</w:t>
      </w:r>
      <w:r w:rsidRPr="00C702D7">
        <w:rPr>
          <w:rFonts w:cs="Times New Roman" w:hint="eastAsia"/>
          <w:szCs w:val="21"/>
        </w:rPr>
        <w:t>5</w:t>
      </w:r>
      <w:r w:rsidRPr="00C702D7">
        <w:rPr>
          <w:rFonts w:cs="Times New Roman" w:hint="eastAsia"/>
          <w:szCs w:val="21"/>
        </w:rPr>
        <w:t>的</w:t>
      </w:r>
      <w:r w:rsidRPr="00C702D7">
        <w:rPr>
          <w:rFonts w:cs="Times New Roman" w:hint="eastAsia"/>
          <w:szCs w:val="21"/>
        </w:rPr>
        <w:t>Panel</w:t>
      </w:r>
      <w:r w:rsidRPr="00C702D7">
        <w:rPr>
          <w:rFonts w:cs="Times New Roman"/>
          <w:szCs w:val="21"/>
        </w:rPr>
        <w:t xml:space="preserve"> </w:t>
      </w:r>
      <w:r w:rsidRPr="00C702D7">
        <w:rPr>
          <w:rFonts w:cs="Times New Roman" w:hint="eastAsia"/>
          <w:szCs w:val="21"/>
        </w:rPr>
        <w:t>A</w:t>
      </w:r>
      <w:r w:rsidRPr="00C702D7">
        <w:rPr>
          <w:rFonts w:cs="Times New Roman" w:hint="eastAsia"/>
          <w:szCs w:val="21"/>
        </w:rPr>
        <w:t>中第（</w:t>
      </w:r>
      <w:r w:rsidRPr="00C702D7">
        <w:rPr>
          <w:rFonts w:cs="Times New Roman" w:hint="eastAsia"/>
          <w:szCs w:val="21"/>
        </w:rPr>
        <w:t>3</w:t>
      </w:r>
      <w:r w:rsidRPr="00C702D7">
        <w:rPr>
          <w:rFonts w:cs="Times New Roman" w:hint="eastAsia"/>
          <w:szCs w:val="21"/>
        </w:rPr>
        <w:t>）至（</w:t>
      </w:r>
      <w:r w:rsidRPr="00C702D7">
        <w:rPr>
          <w:rFonts w:cs="Times New Roman"/>
          <w:szCs w:val="21"/>
        </w:rPr>
        <w:t>6</w:t>
      </w:r>
      <w:r w:rsidRPr="00C702D7">
        <w:rPr>
          <w:rFonts w:cs="Times New Roman" w:hint="eastAsia"/>
          <w:szCs w:val="21"/>
        </w:rPr>
        <w:t>）列，汇报了不同行业竞争程度下机构投资者绿色关注减排的溢出传导效应检验结果，其中</w:t>
      </w:r>
      <w:r w:rsidRPr="00C702D7">
        <w:rPr>
          <w:rFonts w:hint="eastAsia"/>
        </w:rPr>
        <w:t>第（</w:t>
      </w:r>
      <w:r w:rsidRPr="00C702D7">
        <w:t>3</w:t>
      </w:r>
      <w:r w:rsidRPr="00C702D7">
        <w:rPr>
          <w:rFonts w:hint="eastAsia"/>
        </w:rPr>
        <w:t>）、（</w:t>
      </w:r>
      <w:r w:rsidRPr="00C702D7">
        <w:t>4</w:t>
      </w:r>
      <w:r w:rsidRPr="00C702D7">
        <w:rPr>
          <w:rFonts w:hint="eastAsia"/>
        </w:rPr>
        <w:t>）列为以碳排放强度衡量企业碳排放的回归结果，第（</w:t>
      </w:r>
      <w:r w:rsidRPr="00C702D7">
        <w:t>5</w:t>
      </w:r>
      <w:r w:rsidRPr="00C702D7">
        <w:rPr>
          <w:rFonts w:hint="eastAsia"/>
        </w:rPr>
        <w:t>）、（</w:t>
      </w:r>
      <w:r w:rsidRPr="00C702D7">
        <w:t>6</w:t>
      </w:r>
      <w:r w:rsidRPr="00C702D7">
        <w:rPr>
          <w:rFonts w:hint="eastAsia"/>
        </w:rPr>
        <w:t>）列为以碳排放增量衡量企业碳排放的回归结果。</w:t>
      </w:r>
      <w:r w:rsidRPr="00C702D7">
        <w:rPr>
          <w:rFonts w:cs="Times New Roman" w:hint="eastAsia"/>
          <w:szCs w:val="21"/>
        </w:rPr>
        <w:t>可以看到，第（</w:t>
      </w:r>
      <w:r w:rsidRPr="00C702D7">
        <w:rPr>
          <w:rFonts w:cs="Times New Roman" w:hint="eastAsia"/>
          <w:szCs w:val="21"/>
        </w:rPr>
        <w:t>3</w:t>
      </w:r>
      <w:r w:rsidRPr="00C702D7">
        <w:rPr>
          <w:rFonts w:cs="Times New Roman" w:hint="eastAsia"/>
          <w:szCs w:val="21"/>
        </w:rPr>
        <w:t>）列高竞争行业样本组中，</w:t>
      </w:r>
      <w:proofErr w:type="spellStart"/>
      <w:r w:rsidRPr="00C702D7">
        <w:rPr>
          <w:rFonts w:cs="Times New Roman"/>
          <w:i/>
          <w:iCs/>
          <w:szCs w:val="21"/>
        </w:rPr>
        <w:t>Cmiss_se</w:t>
      </w:r>
      <w:proofErr w:type="spellEnd"/>
      <w:r w:rsidRPr="00C702D7">
        <w:rPr>
          <w:rFonts w:cs="Times New Roman" w:hint="eastAsia"/>
          <w:szCs w:val="21"/>
        </w:rPr>
        <w:t>对</w:t>
      </w:r>
      <w:r w:rsidRPr="00C702D7">
        <w:rPr>
          <w:rFonts w:hint="eastAsia"/>
        </w:rPr>
        <w:t>碳排放强度（</w:t>
      </w:r>
      <w:proofErr w:type="spellStart"/>
      <w:r w:rsidRPr="00C702D7">
        <w:rPr>
          <w:rFonts w:cs="Times New Roman" w:hint="eastAsia"/>
          <w:i/>
          <w:iCs/>
          <w:szCs w:val="21"/>
        </w:rPr>
        <w:t>Cmiss_total</w:t>
      </w:r>
      <w:proofErr w:type="spellEnd"/>
      <w:r w:rsidRPr="00C702D7">
        <w:rPr>
          <w:rFonts w:cs="Times New Roman" w:hint="eastAsia"/>
          <w:szCs w:val="21"/>
        </w:rPr>
        <w:t>）的回归系数为</w:t>
      </w:r>
      <w:r w:rsidRPr="00C702D7">
        <w:rPr>
          <w:rFonts w:cs="Times New Roman"/>
          <w:szCs w:val="21"/>
        </w:rPr>
        <w:t>-0.0822</w:t>
      </w:r>
      <w:r w:rsidRPr="00C702D7">
        <w:rPr>
          <w:rFonts w:cs="Times New Roman" w:hint="eastAsia"/>
          <w:szCs w:val="21"/>
        </w:rPr>
        <w:t>，且在</w:t>
      </w:r>
      <w:r w:rsidRPr="00C702D7">
        <w:rPr>
          <w:rFonts w:cs="Times New Roman"/>
          <w:szCs w:val="21"/>
        </w:rPr>
        <w:t>5%</w:t>
      </w:r>
      <w:r w:rsidRPr="00C702D7">
        <w:rPr>
          <w:rFonts w:cs="Times New Roman" w:hint="eastAsia"/>
          <w:szCs w:val="21"/>
        </w:rPr>
        <w:t>水平下显著，而第（</w:t>
      </w:r>
      <w:r w:rsidRPr="00C702D7">
        <w:rPr>
          <w:rFonts w:cs="Times New Roman" w:hint="eastAsia"/>
          <w:szCs w:val="21"/>
        </w:rPr>
        <w:t>4</w:t>
      </w:r>
      <w:r w:rsidRPr="00C702D7">
        <w:rPr>
          <w:rFonts w:cs="Times New Roman" w:hint="eastAsia"/>
          <w:szCs w:val="21"/>
        </w:rPr>
        <w:t>）列低竞争行业样本组中</w:t>
      </w:r>
      <w:proofErr w:type="spellStart"/>
      <w:r w:rsidRPr="00C702D7">
        <w:rPr>
          <w:rFonts w:cs="Times New Roman"/>
          <w:i/>
          <w:iCs/>
          <w:szCs w:val="21"/>
        </w:rPr>
        <w:t>Cmiss_se</w:t>
      </w:r>
      <w:proofErr w:type="spellEnd"/>
      <w:r w:rsidRPr="00C702D7">
        <w:rPr>
          <w:rFonts w:cs="Times New Roman" w:hint="eastAsia"/>
          <w:szCs w:val="21"/>
        </w:rPr>
        <w:t>的回归系数为</w:t>
      </w:r>
      <w:r w:rsidRPr="00C702D7">
        <w:rPr>
          <w:rFonts w:cs="Times New Roman"/>
          <w:szCs w:val="21"/>
        </w:rPr>
        <w:t>-0.0801</w:t>
      </w:r>
      <w:r w:rsidRPr="00C702D7">
        <w:rPr>
          <w:rFonts w:cs="Times New Roman" w:hint="eastAsia"/>
          <w:szCs w:val="21"/>
        </w:rPr>
        <w:t>并不显著。第（</w:t>
      </w:r>
      <w:r w:rsidRPr="00C702D7">
        <w:rPr>
          <w:rFonts w:cs="Times New Roman" w:hint="eastAsia"/>
          <w:szCs w:val="21"/>
        </w:rPr>
        <w:t>5</w:t>
      </w:r>
      <w:r w:rsidRPr="00C702D7">
        <w:rPr>
          <w:rFonts w:cs="Times New Roman" w:hint="eastAsia"/>
          <w:szCs w:val="21"/>
        </w:rPr>
        <w:t>）、（</w:t>
      </w:r>
      <w:r w:rsidRPr="00C702D7">
        <w:rPr>
          <w:rFonts w:cs="Times New Roman" w:hint="eastAsia"/>
          <w:szCs w:val="21"/>
        </w:rPr>
        <w:t>6</w:t>
      </w:r>
      <w:r w:rsidRPr="00C702D7">
        <w:rPr>
          <w:rFonts w:cs="Times New Roman" w:hint="eastAsia"/>
          <w:szCs w:val="21"/>
        </w:rPr>
        <w:t>）列基于企业碳排放增量的回归结果也显示，</w:t>
      </w:r>
      <w:proofErr w:type="spellStart"/>
      <w:r w:rsidRPr="00C702D7">
        <w:rPr>
          <w:rFonts w:cs="Times New Roman"/>
          <w:i/>
          <w:iCs/>
          <w:szCs w:val="21"/>
        </w:rPr>
        <w:t>Cmiss_se</w:t>
      </w:r>
      <w:proofErr w:type="spellEnd"/>
      <w:r w:rsidRPr="00C702D7">
        <w:rPr>
          <w:rFonts w:cs="Times New Roman" w:hint="eastAsia"/>
          <w:szCs w:val="21"/>
        </w:rPr>
        <w:t>的回归系数仅在高竞争样本分组中显著为负。这说明在竞争程度较激烈的情况下，企业碳排放更容易经由同群效应传导而受到机构投资者绿色关注的溢出影响。其原因可能在于，企业在竞争较为激烈时更关注并可能模仿同行业企业行为，此时机构投资者对行业的绿色关注更容易基于行业内同群效应传导，进而影响企业碳排放。</w:t>
      </w:r>
    </w:p>
    <w:p w14:paraId="50B88E34" w14:textId="77777777" w:rsidR="00D457FC" w:rsidRPr="00C702D7" w:rsidRDefault="00D457FC" w:rsidP="00D457FC">
      <w:pPr>
        <w:spacing w:line="400" w:lineRule="exact"/>
        <w:ind w:firstLine="420"/>
        <w:rPr>
          <w:rFonts w:cs="Times New Roman"/>
          <w:szCs w:val="21"/>
        </w:rPr>
      </w:pPr>
      <w:r w:rsidRPr="00C702D7">
        <w:rPr>
          <w:rFonts w:cs="Times New Roman" w:hint="eastAsia"/>
          <w:szCs w:val="21"/>
        </w:rPr>
        <w:t>表</w:t>
      </w:r>
      <w:r w:rsidRPr="00C702D7">
        <w:rPr>
          <w:rFonts w:cs="Times New Roman"/>
          <w:szCs w:val="21"/>
        </w:rPr>
        <w:t>5</w:t>
      </w:r>
      <w:r w:rsidRPr="00C702D7">
        <w:rPr>
          <w:rFonts w:cs="Times New Roman" w:hint="eastAsia"/>
          <w:szCs w:val="21"/>
        </w:rPr>
        <w:t>的</w:t>
      </w:r>
      <w:proofErr w:type="spellStart"/>
      <w:r w:rsidRPr="00C702D7">
        <w:rPr>
          <w:rFonts w:cs="Times New Roman" w:hint="eastAsia"/>
          <w:szCs w:val="21"/>
        </w:rPr>
        <w:t>PanelB</w:t>
      </w:r>
      <w:proofErr w:type="spellEnd"/>
      <w:r w:rsidRPr="00C702D7">
        <w:rPr>
          <w:rFonts w:cs="Times New Roman" w:hint="eastAsia"/>
          <w:szCs w:val="21"/>
        </w:rPr>
        <w:t>中第（</w:t>
      </w:r>
      <w:r w:rsidRPr="00C702D7">
        <w:rPr>
          <w:rFonts w:cs="Times New Roman" w:hint="eastAsia"/>
          <w:szCs w:val="21"/>
        </w:rPr>
        <w:t>1</w:t>
      </w:r>
      <w:r w:rsidRPr="00C702D7">
        <w:rPr>
          <w:rFonts w:cs="Times New Roman" w:hint="eastAsia"/>
          <w:szCs w:val="21"/>
        </w:rPr>
        <w:t>）、（</w:t>
      </w:r>
      <w:r w:rsidRPr="00C702D7">
        <w:rPr>
          <w:rFonts w:cs="Times New Roman" w:hint="eastAsia"/>
          <w:szCs w:val="21"/>
        </w:rPr>
        <w:t>2</w:t>
      </w:r>
      <w:r w:rsidRPr="00C702D7">
        <w:rPr>
          <w:rFonts w:cs="Times New Roman" w:hint="eastAsia"/>
          <w:szCs w:val="21"/>
        </w:rPr>
        <w:t>）列汇报了行业不确定性差异下机构投资者绿色关注对行业内其他企业碳减排的溢出效应检验结果，第（</w:t>
      </w:r>
      <w:r w:rsidRPr="00C702D7">
        <w:rPr>
          <w:rFonts w:cs="Times New Roman" w:hint="eastAsia"/>
          <w:szCs w:val="21"/>
        </w:rPr>
        <w:t>1</w:t>
      </w:r>
      <w:r w:rsidRPr="00C702D7">
        <w:rPr>
          <w:rFonts w:cs="Times New Roman" w:hint="eastAsia"/>
          <w:szCs w:val="21"/>
        </w:rPr>
        <w:t>）列的行业不确定性较高样本分组中，</w:t>
      </w:r>
      <w:r w:rsidRPr="00C702D7">
        <w:rPr>
          <w:rFonts w:ascii="宋体" w:hAnsi="宋体" w:cs="Times New Roman" w:hint="eastAsia"/>
          <w:bCs/>
          <w:szCs w:val="21"/>
        </w:rPr>
        <w:t>机构投资者绿色关注度（</w:t>
      </w:r>
      <w:r w:rsidRPr="00C702D7">
        <w:rPr>
          <w:rFonts w:cs="Times New Roman"/>
          <w:bCs/>
          <w:i/>
          <w:iCs/>
          <w:szCs w:val="21"/>
        </w:rPr>
        <w:t>G</w:t>
      </w:r>
      <w:r w:rsidRPr="00C702D7">
        <w:rPr>
          <w:rFonts w:cs="Times New Roman" w:hint="eastAsia"/>
          <w:bCs/>
          <w:i/>
          <w:iCs/>
          <w:szCs w:val="21"/>
        </w:rPr>
        <w:t>a</w:t>
      </w:r>
      <w:r w:rsidRPr="00C702D7">
        <w:rPr>
          <w:rFonts w:cs="Times New Roman"/>
          <w:bCs/>
          <w:i/>
          <w:iCs/>
          <w:szCs w:val="21"/>
        </w:rPr>
        <w:t>tten</w:t>
      </w:r>
      <w:r w:rsidRPr="00C702D7">
        <w:rPr>
          <w:rFonts w:cs="Times New Roman" w:hint="eastAsia"/>
          <w:bCs/>
          <w:szCs w:val="21"/>
        </w:rPr>
        <w:t>）</w:t>
      </w:r>
      <w:r w:rsidRPr="00C702D7">
        <w:rPr>
          <w:rFonts w:cs="Times New Roman" w:hint="eastAsia"/>
          <w:szCs w:val="21"/>
        </w:rPr>
        <w:t>对</w:t>
      </w:r>
      <w:proofErr w:type="spellStart"/>
      <w:r w:rsidRPr="00C702D7">
        <w:rPr>
          <w:rFonts w:cs="Times New Roman" w:hint="eastAsia"/>
          <w:i/>
          <w:iCs/>
          <w:szCs w:val="21"/>
        </w:rPr>
        <w:t>Cmiss_ind</w:t>
      </w:r>
      <w:proofErr w:type="spellEnd"/>
      <w:r w:rsidRPr="00C702D7">
        <w:rPr>
          <w:rFonts w:cs="Times New Roman" w:hint="eastAsia"/>
          <w:szCs w:val="21"/>
        </w:rPr>
        <w:t>的回归系数为</w:t>
      </w:r>
      <w:r w:rsidRPr="00C702D7">
        <w:rPr>
          <w:rFonts w:cs="Times New Roman"/>
          <w:szCs w:val="21"/>
        </w:rPr>
        <w:t>-1.0129</w:t>
      </w:r>
      <w:r w:rsidRPr="00C702D7">
        <w:rPr>
          <w:rFonts w:cs="Times New Roman" w:hint="eastAsia"/>
          <w:szCs w:val="21"/>
        </w:rPr>
        <w:t>，并在</w:t>
      </w:r>
      <w:r w:rsidRPr="00C702D7">
        <w:rPr>
          <w:rFonts w:cs="Times New Roman"/>
          <w:szCs w:val="21"/>
        </w:rPr>
        <w:t>10%</w:t>
      </w:r>
      <w:r w:rsidRPr="00C702D7">
        <w:rPr>
          <w:rFonts w:cs="Times New Roman" w:hint="eastAsia"/>
          <w:szCs w:val="21"/>
        </w:rPr>
        <w:t>水平下显著，而第（</w:t>
      </w:r>
      <w:r w:rsidRPr="00C702D7">
        <w:rPr>
          <w:rFonts w:cs="Times New Roman" w:hint="eastAsia"/>
          <w:szCs w:val="21"/>
        </w:rPr>
        <w:t>2</w:t>
      </w:r>
      <w:r w:rsidRPr="00C702D7">
        <w:rPr>
          <w:rFonts w:cs="Times New Roman" w:hint="eastAsia"/>
          <w:szCs w:val="21"/>
        </w:rPr>
        <w:t>）列行业不确定性较低样本组中</w:t>
      </w:r>
      <w:r w:rsidRPr="00C702D7">
        <w:rPr>
          <w:rFonts w:cs="Times New Roman"/>
          <w:bCs/>
          <w:i/>
          <w:iCs/>
          <w:szCs w:val="21"/>
        </w:rPr>
        <w:t>G</w:t>
      </w:r>
      <w:r w:rsidRPr="00C702D7">
        <w:rPr>
          <w:rFonts w:cs="Times New Roman" w:hint="eastAsia"/>
          <w:bCs/>
          <w:i/>
          <w:iCs/>
          <w:szCs w:val="21"/>
        </w:rPr>
        <w:t>a</w:t>
      </w:r>
      <w:r w:rsidRPr="00C702D7">
        <w:rPr>
          <w:rFonts w:cs="Times New Roman"/>
          <w:bCs/>
          <w:i/>
          <w:iCs/>
          <w:szCs w:val="21"/>
        </w:rPr>
        <w:t>tten</w:t>
      </w:r>
      <w:r w:rsidRPr="00C702D7">
        <w:rPr>
          <w:rFonts w:cs="Times New Roman" w:hint="eastAsia"/>
          <w:szCs w:val="21"/>
        </w:rPr>
        <w:t>的回归系数为</w:t>
      </w:r>
      <w:r w:rsidRPr="00C702D7">
        <w:rPr>
          <w:rFonts w:cs="Times New Roman"/>
          <w:szCs w:val="21"/>
        </w:rPr>
        <w:t>-0.5224</w:t>
      </w:r>
      <w:r w:rsidRPr="00C702D7">
        <w:rPr>
          <w:rFonts w:cs="Times New Roman" w:hint="eastAsia"/>
          <w:szCs w:val="21"/>
        </w:rPr>
        <w:t>并不显著。</w:t>
      </w:r>
      <w:r w:rsidRPr="00C702D7">
        <w:rPr>
          <w:rFonts w:cs="Times New Roman" w:hint="eastAsia"/>
          <w:szCs w:val="21"/>
        </w:rPr>
        <w:t>Panel</w:t>
      </w:r>
      <w:r w:rsidR="0079696E" w:rsidRPr="00C702D7">
        <w:rPr>
          <w:rFonts w:cs="Times New Roman"/>
          <w:szCs w:val="21"/>
        </w:rPr>
        <w:t xml:space="preserve"> </w:t>
      </w:r>
      <w:r w:rsidRPr="00C702D7">
        <w:rPr>
          <w:rFonts w:cs="Times New Roman" w:hint="eastAsia"/>
          <w:szCs w:val="21"/>
        </w:rPr>
        <w:t>B</w:t>
      </w:r>
      <w:r w:rsidRPr="00C702D7">
        <w:rPr>
          <w:rFonts w:cs="Times New Roman" w:hint="eastAsia"/>
          <w:szCs w:val="21"/>
        </w:rPr>
        <w:t>中第（</w:t>
      </w:r>
      <w:r w:rsidRPr="00C702D7">
        <w:rPr>
          <w:rFonts w:cs="Times New Roman" w:hint="eastAsia"/>
          <w:szCs w:val="21"/>
        </w:rPr>
        <w:t>3</w:t>
      </w:r>
      <w:r w:rsidRPr="00C702D7">
        <w:rPr>
          <w:rFonts w:cs="Times New Roman" w:hint="eastAsia"/>
          <w:szCs w:val="21"/>
        </w:rPr>
        <w:t>）至（</w:t>
      </w:r>
      <w:r w:rsidRPr="00C702D7">
        <w:rPr>
          <w:rFonts w:cs="Times New Roman"/>
          <w:szCs w:val="21"/>
        </w:rPr>
        <w:t>6</w:t>
      </w:r>
      <w:r w:rsidRPr="00C702D7">
        <w:rPr>
          <w:rFonts w:cs="Times New Roman" w:hint="eastAsia"/>
          <w:szCs w:val="21"/>
        </w:rPr>
        <w:t>）列展示了区分行业不确定性的碳减排溢出传导效应检验结果，其中</w:t>
      </w:r>
      <w:r w:rsidRPr="00C702D7">
        <w:rPr>
          <w:rFonts w:hint="eastAsia"/>
        </w:rPr>
        <w:t>第（</w:t>
      </w:r>
      <w:r w:rsidRPr="00C702D7">
        <w:t>3</w:t>
      </w:r>
      <w:r w:rsidRPr="00C702D7">
        <w:rPr>
          <w:rFonts w:hint="eastAsia"/>
        </w:rPr>
        <w:t>）、（</w:t>
      </w:r>
      <w:r w:rsidRPr="00C702D7">
        <w:t>4</w:t>
      </w:r>
      <w:r w:rsidRPr="00C702D7">
        <w:rPr>
          <w:rFonts w:hint="eastAsia"/>
        </w:rPr>
        <w:t>）列为以排放强度衡量企业碳排放的回归结果，第（</w:t>
      </w:r>
      <w:r w:rsidRPr="00C702D7">
        <w:t>5</w:t>
      </w:r>
      <w:r w:rsidRPr="00C702D7">
        <w:rPr>
          <w:rFonts w:hint="eastAsia"/>
        </w:rPr>
        <w:t>）、（</w:t>
      </w:r>
      <w:r w:rsidRPr="00C702D7">
        <w:t>6</w:t>
      </w:r>
      <w:r w:rsidRPr="00C702D7">
        <w:rPr>
          <w:rFonts w:hint="eastAsia"/>
        </w:rPr>
        <w:t>）列为以排放增量衡量企业碳排放的回归结果。</w:t>
      </w:r>
      <w:r w:rsidRPr="00C702D7">
        <w:rPr>
          <w:rFonts w:cs="Times New Roman" w:hint="eastAsia"/>
          <w:szCs w:val="21"/>
        </w:rPr>
        <w:t>可以看到，在第（</w:t>
      </w:r>
      <w:r w:rsidRPr="00C702D7">
        <w:rPr>
          <w:rFonts w:cs="Times New Roman" w:hint="eastAsia"/>
          <w:szCs w:val="21"/>
        </w:rPr>
        <w:t>3</w:t>
      </w:r>
      <w:r w:rsidRPr="00C702D7">
        <w:rPr>
          <w:rFonts w:cs="Times New Roman" w:hint="eastAsia"/>
          <w:szCs w:val="21"/>
        </w:rPr>
        <w:t>）列行业不确定性较高样本组中</w:t>
      </w:r>
      <w:r w:rsidRPr="00C702D7">
        <w:rPr>
          <w:rFonts w:cs="Times New Roman"/>
          <w:i/>
          <w:iCs/>
          <w:szCs w:val="21"/>
        </w:rPr>
        <w:t xml:space="preserve"> </w:t>
      </w:r>
      <w:proofErr w:type="spellStart"/>
      <w:r w:rsidRPr="00C702D7">
        <w:rPr>
          <w:rFonts w:cs="Times New Roman"/>
          <w:i/>
          <w:iCs/>
          <w:szCs w:val="21"/>
        </w:rPr>
        <w:t>Cmiss_se</w:t>
      </w:r>
      <w:proofErr w:type="spellEnd"/>
      <w:r w:rsidRPr="00C702D7">
        <w:rPr>
          <w:rFonts w:cs="Times New Roman" w:hint="eastAsia"/>
          <w:szCs w:val="21"/>
        </w:rPr>
        <w:t>对</w:t>
      </w:r>
      <w:proofErr w:type="spellStart"/>
      <w:r w:rsidRPr="00C702D7">
        <w:rPr>
          <w:rFonts w:cs="Times New Roman" w:hint="eastAsia"/>
          <w:i/>
          <w:iCs/>
          <w:szCs w:val="21"/>
        </w:rPr>
        <w:t>Cmiss_total</w:t>
      </w:r>
      <w:proofErr w:type="spellEnd"/>
      <w:r w:rsidRPr="00C702D7">
        <w:rPr>
          <w:rFonts w:cs="Times New Roman" w:hint="eastAsia"/>
          <w:szCs w:val="21"/>
        </w:rPr>
        <w:t>的回归系数为</w:t>
      </w:r>
      <w:r w:rsidRPr="00C702D7">
        <w:rPr>
          <w:rFonts w:cs="Times New Roman"/>
          <w:szCs w:val="21"/>
        </w:rPr>
        <w:t>-0.2356</w:t>
      </w:r>
      <w:r w:rsidRPr="00C702D7">
        <w:rPr>
          <w:rFonts w:cs="Times New Roman" w:hint="eastAsia"/>
          <w:szCs w:val="21"/>
        </w:rPr>
        <w:t>并在</w:t>
      </w:r>
      <w:r w:rsidRPr="00C702D7">
        <w:rPr>
          <w:rFonts w:cs="Times New Roman"/>
          <w:szCs w:val="21"/>
        </w:rPr>
        <w:t>5%</w:t>
      </w:r>
      <w:r w:rsidRPr="00C702D7">
        <w:rPr>
          <w:rFonts w:cs="Times New Roman" w:hint="eastAsia"/>
          <w:szCs w:val="21"/>
        </w:rPr>
        <w:t>水平下显著，而第（</w:t>
      </w:r>
      <w:r w:rsidRPr="00C702D7">
        <w:rPr>
          <w:rFonts w:cs="Times New Roman" w:hint="eastAsia"/>
          <w:szCs w:val="21"/>
        </w:rPr>
        <w:t>4</w:t>
      </w:r>
      <w:r w:rsidRPr="00C702D7">
        <w:rPr>
          <w:rFonts w:cs="Times New Roman" w:hint="eastAsia"/>
          <w:szCs w:val="21"/>
        </w:rPr>
        <w:t>）列行业不确定性较低样本组中</w:t>
      </w:r>
      <w:proofErr w:type="spellStart"/>
      <w:r w:rsidRPr="00C702D7">
        <w:rPr>
          <w:rFonts w:cs="Times New Roman"/>
          <w:i/>
          <w:iCs/>
          <w:szCs w:val="21"/>
        </w:rPr>
        <w:t>Cmiss_se</w:t>
      </w:r>
      <w:proofErr w:type="spellEnd"/>
      <w:r w:rsidRPr="00C702D7">
        <w:rPr>
          <w:rFonts w:cs="Times New Roman" w:hint="eastAsia"/>
          <w:szCs w:val="21"/>
        </w:rPr>
        <w:t>的回归系数为</w:t>
      </w:r>
      <w:r w:rsidRPr="00C702D7">
        <w:rPr>
          <w:rFonts w:cs="Times New Roman"/>
          <w:szCs w:val="21"/>
        </w:rPr>
        <w:t>0.0071</w:t>
      </w:r>
      <w:r w:rsidRPr="00C702D7">
        <w:rPr>
          <w:rFonts w:cs="Times New Roman" w:hint="eastAsia"/>
          <w:szCs w:val="21"/>
        </w:rPr>
        <w:t>并不显著。第（</w:t>
      </w:r>
      <w:r w:rsidRPr="00C702D7">
        <w:rPr>
          <w:rFonts w:cs="Times New Roman" w:hint="eastAsia"/>
          <w:szCs w:val="21"/>
        </w:rPr>
        <w:t>5</w:t>
      </w:r>
      <w:r w:rsidRPr="00C702D7">
        <w:rPr>
          <w:rFonts w:cs="Times New Roman" w:hint="eastAsia"/>
          <w:szCs w:val="21"/>
        </w:rPr>
        <w:t>）、（</w:t>
      </w:r>
      <w:r w:rsidRPr="00C702D7">
        <w:rPr>
          <w:rFonts w:cs="Times New Roman" w:hint="eastAsia"/>
          <w:szCs w:val="21"/>
        </w:rPr>
        <w:t>6</w:t>
      </w:r>
      <w:r w:rsidRPr="00C702D7">
        <w:rPr>
          <w:rFonts w:cs="Times New Roman" w:hint="eastAsia"/>
          <w:szCs w:val="21"/>
        </w:rPr>
        <w:t>）列基于企业碳排放增量的回归结果也显示，</w:t>
      </w:r>
      <w:proofErr w:type="spellStart"/>
      <w:r w:rsidRPr="00C702D7">
        <w:rPr>
          <w:rFonts w:cs="Times New Roman"/>
          <w:i/>
          <w:iCs/>
          <w:szCs w:val="21"/>
        </w:rPr>
        <w:t>Cmiss_se</w:t>
      </w:r>
      <w:proofErr w:type="spellEnd"/>
      <w:r w:rsidRPr="00C702D7">
        <w:rPr>
          <w:rFonts w:cs="Times New Roman" w:hint="eastAsia"/>
          <w:szCs w:val="21"/>
        </w:rPr>
        <w:t>的回归系数仅在行业不确定性较高样本组中显著为负。上述结果表明，不确定性较高时，企业为缓解决策模糊性将更加关注同行业其他企业行为，此时在行业整体层面上，机构投资者绿色关注更容易</w:t>
      </w:r>
      <w:r w:rsidR="0079696E" w:rsidRPr="00C702D7">
        <w:rPr>
          <w:rFonts w:cs="Times New Roman" w:hint="eastAsia"/>
          <w:szCs w:val="21"/>
        </w:rPr>
        <w:t>利用</w:t>
      </w:r>
      <w:r w:rsidRPr="00C702D7">
        <w:rPr>
          <w:rFonts w:cs="Times New Roman" w:hint="eastAsia"/>
          <w:szCs w:val="21"/>
        </w:rPr>
        <w:t>行业内同群效应传导，影响</w:t>
      </w:r>
      <w:r w:rsidR="0079696E" w:rsidRPr="00C702D7">
        <w:rPr>
          <w:rFonts w:cs="Times New Roman" w:hint="eastAsia"/>
          <w:szCs w:val="21"/>
        </w:rPr>
        <w:t>微观</w:t>
      </w:r>
      <w:r w:rsidRPr="00C702D7">
        <w:rPr>
          <w:rFonts w:cs="Times New Roman" w:hint="eastAsia"/>
          <w:szCs w:val="21"/>
        </w:rPr>
        <w:t>企业碳排放</w:t>
      </w:r>
      <w:r w:rsidR="0079696E" w:rsidRPr="00C702D7">
        <w:rPr>
          <w:rFonts w:cs="Times New Roman" w:hint="eastAsia"/>
          <w:szCs w:val="21"/>
        </w:rPr>
        <w:t>水平</w:t>
      </w:r>
      <w:r w:rsidRPr="00C702D7">
        <w:rPr>
          <w:rFonts w:cs="Times New Roman" w:hint="eastAsia"/>
          <w:szCs w:val="21"/>
        </w:rPr>
        <w:t>。</w:t>
      </w:r>
    </w:p>
    <w:p w14:paraId="533439AE" w14:textId="77777777" w:rsidR="00D457FC" w:rsidRPr="00C702D7" w:rsidRDefault="00D457FC" w:rsidP="00D457FC">
      <w:pPr>
        <w:spacing w:line="400" w:lineRule="exact"/>
        <w:ind w:firstLineChars="0" w:firstLine="0"/>
        <w:jc w:val="center"/>
        <w:rPr>
          <w:rFonts w:ascii="黑体" w:eastAsia="黑体" w:hAnsi="黑体" w:cs="Times New Roman"/>
          <w:bCs/>
          <w:szCs w:val="21"/>
        </w:rPr>
      </w:pPr>
      <w:r w:rsidRPr="00C702D7">
        <w:rPr>
          <w:rFonts w:ascii="黑体" w:eastAsia="黑体" w:hAnsi="黑体" w:cs="Times New Roman" w:hint="eastAsia"/>
          <w:bCs/>
          <w:szCs w:val="21"/>
        </w:rPr>
        <w:t>表</w:t>
      </w:r>
      <w:r w:rsidRPr="00C702D7">
        <w:rPr>
          <w:rFonts w:ascii="黑体" w:eastAsia="黑体" w:hAnsi="黑体" w:cs="Times New Roman"/>
          <w:bCs/>
          <w:szCs w:val="21"/>
        </w:rPr>
        <w:t>5</w:t>
      </w:r>
      <w:r w:rsidRPr="00C702D7">
        <w:rPr>
          <w:rFonts w:ascii="黑体" w:eastAsia="黑体" w:hAnsi="黑体" w:cs="Times New Roman" w:hint="eastAsia"/>
          <w:bCs/>
          <w:szCs w:val="21"/>
        </w:rPr>
        <w:t>溢出效应及传导机制的差异性检验结果</w:t>
      </w:r>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53"/>
        <w:gridCol w:w="1002"/>
        <w:gridCol w:w="1275"/>
        <w:gridCol w:w="1104"/>
        <w:gridCol w:w="1104"/>
        <w:gridCol w:w="1145"/>
        <w:gridCol w:w="1139"/>
      </w:tblGrid>
      <w:tr w:rsidR="00C702D7" w:rsidRPr="00C702D7" w14:paraId="29DDEE3B" w14:textId="77777777" w:rsidTr="00B718EA">
        <w:trPr>
          <w:trHeight w:val="280"/>
          <w:jc w:val="center"/>
        </w:trPr>
        <w:tc>
          <w:tcPr>
            <w:tcW w:w="5000" w:type="pct"/>
            <w:gridSpan w:val="7"/>
            <w:tcBorders>
              <w:top w:val="single" w:sz="12" w:space="0" w:color="auto"/>
              <w:bottom w:val="single" w:sz="12" w:space="0" w:color="auto"/>
              <w:right w:val="nil"/>
            </w:tcBorders>
            <w:shd w:val="clear" w:color="auto" w:fill="auto"/>
            <w:noWrap/>
            <w:vAlign w:val="center"/>
          </w:tcPr>
          <w:p w14:paraId="1595AB6B" w14:textId="77777777" w:rsidR="00D457FC" w:rsidRPr="00C702D7" w:rsidRDefault="00D457FC" w:rsidP="00B718EA">
            <w:pPr>
              <w:widowControl/>
              <w:spacing w:line="240" w:lineRule="auto"/>
              <w:ind w:firstLineChars="0" w:firstLine="0"/>
              <w:jc w:val="left"/>
              <w:rPr>
                <w:rFonts w:cs="Times New Roman"/>
                <w:sz w:val="18"/>
                <w:szCs w:val="18"/>
              </w:rPr>
            </w:pPr>
            <w:proofErr w:type="spellStart"/>
            <w:r w:rsidRPr="00C702D7">
              <w:rPr>
                <w:rFonts w:cs="Times New Roman" w:hint="eastAsia"/>
                <w:sz w:val="18"/>
                <w:szCs w:val="18"/>
              </w:rPr>
              <w:t>PanelA</w:t>
            </w:r>
            <w:proofErr w:type="spellEnd"/>
            <w:r w:rsidRPr="00C702D7">
              <w:rPr>
                <w:rFonts w:cs="Times New Roman" w:hint="eastAsia"/>
                <w:sz w:val="18"/>
                <w:szCs w:val="18"/>
              </w:rPr>
              <w:t>：区分不同竞争程度的差异性检验结果</w:t>
            </w:r>
          </w:p>
        </w:tc>
      </w:tr>
      <w:tr w:rsidR="00C702D7" w:rsidRPr="00C702D7" w14:paraId="78080FF3" w14:textId="77777777" w:rsidTr="00B718EA">
        <w:trPr>
          <w:trHeight w:val="280"/>
          <w:jc w:val="center"/>
        </w:trPr>
        <w:tc>
          <w:tcPr>
            <w:tcW w:w="1028" w:type="pct"/>
            <w:vMerge w:val="restart"/>
            <w:tcBorders>
              <w:top w:val="single" w:sz="12" w:space="0" w:color="auto"/>
              <w:right w:val="nil"/>
            </w:tcBorders>
            <w:shd w:val="clear" w:color="auto" w:fill="auto"/>
            <w:noWrap/>
            <w:vAlign w:val="center"/>
          </w:tcPr>
          <w:p w14:paraId="4209166A" w14:textId="77777777" w:rsidR="00D457FC" w:rsidRPr="00C702D7" w:rsidRDefault="00D457FC" w:rsidP="00B718EA">
            <w:pPr>
              <w:widowControl/>
              <w:spacing w:line="240" w:lineRule="auto"/>
              <w:ind w:firstLineChars="0" w:firstLine="0"/>
              <w:jc w:val="center"/>
              <w:rPr>
                <w:rFonts w:cs="Times New Roman"/>
                <w:kern w:val="0"/>
                <w:sz w:val="18"/>
                <w:szCs w:val="18"/>
              </w:rPr>
            </w:pPr>
            <w:r w:rsidRPr="00C702D7">
              <w:rPr>
                <w:rFonts w:cs="Times New Roman" w:hint="eastAsia"/>
                <w:kern w:val="0"/>
                <w:sz w:val="18"/>
                <w:szCs w:val="18"/>
              </w:rPr>
              <w:t>变量</w:t>
            </w:r>
          </w:p>
        </w:tc>
        <w:tc>
          <w:tcPr>
            <w:tcW w:w="588" w:type="pct"/>
            <w:tcBorders>
              <w:top w:val="single" w:sz="12" w:space="0" w:color="auto"/>
              <w:left w:val="nil"/>
              <w:bottom w:val="single" w:sz="4" w:space="0" w:color="auto"/>
              <w:right w:val="nil"/>
            </w:tcBorders>
            <w:vAlign w:val="center"/>
          </w:tcPr>
          <w:p w14:paraId="71ADB732"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w:t>
            </w:r>
            <w:r w:rsidRPr="00C702D7">
              <w:rPr>
                <w:rFonts w:eastAsia="等线" w:cs="Times New Roman"/>
                <w:sz w:val="18"/>
                <w:szCs w:val="18"/>
              </w:rPr>
              <w:t>1)</w:t>
            </w:r>
          </w:p>
        </w:tc>
        <w:tc>
          <w:tcPr>
            <w:tcW w:w="748" w:type="pct"/>
            <w:tcBorders>
              <w:top w:val="single" w:sz="12" w:space="0" w:color="auto"/>
              <w:left w:val="nil"/>
              <w:bottom w:val="single" w:sz="4" w:space="0" w:color="auto"/>
              <w:right w:val="nil"/>
            </w:tcBorders>
            <w:shd w:val="clear" w:color="auto" w:fill="auto"/>
            <w:noWrap/>
            <w:vAlign w:val="center"/>
          </w:tcPr>
          <w:p w14:paraId="3059FF70"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w:t>
            </w:r>
            <w:r w:rsidRPr="00C702D7">
              <w:rPr>
                <w:rFonts w:eastAsia="等线" w:cs="Times New Roman"/>
                <w:sz w:val="18"/>
                <w:szCs w:val="18"/>
              </w:rPr>
              <w:t>2)</w:t>
            </w:r>
          </w:p>
        </w:tc>
        <w:tc>
          <w:tcPr>
            <w:tcW w:w="648" w:type="pct"/>
            <w:tcBorders>
              <w:top w:val="single" w:sz="12" w:space="0" w:color="auto"/>
              <w:left w:val="nil"/>
              <w:bottom w:val="single" w:sz="4" w:space="0" w:color="auto"/>
              <w:right w:val="nil"/>
            </w:tcBorders>
            <w:vAlign w:val="center"/>
          </w:tcPr>
          <w:p w14:paraId="07A93259"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w:t>
            </w:r>
            <w:r w:rsidRPr="00C702D7">
              <w:rPr>
                <w:rFonts w:eastAsia="等线" w:cs="Times New Roman"/>
                <w:sz w:val="18"/>
                <w:szCs w:val="18"/>
              </w:rPr>
              <w:t>3)</w:t>
            </w:r>
          </w:p>
        </w:tc>
        <w:tc>
          <w:tcPr>
            <w:tcW w:w="648" w:type="pct"/>
            <w:tcBorders>
              <w:top w:val="single" w:sz="12" w:space="0" w:color="auto"/>
              <w:left w:val="nil"/>
              <w:bottom w:val="single" w:sz="4" w:space="0" w:color="auto"/>
              <w:right w:val="nil"/>
            </w:tcBorders>
            <w:vAlign w:val="center"/>
          </w:tcPr>
          <w:p w14:paraId="00FD3ED4"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w:t>
            </w:r>
            <w:r w:rsidRPr="00C702D7">
              <w:rPr>
                <w:rFonts w:eastAsia="等线" w:cs="Times New Roman"/>
                <w:sz w:val="18"/>
                <w:szCs w:val="18"/>
              </w:rPr>
              <w:t>4)</w:t>
            </w:r>
          </w:p>
        </w:tc>
        <w:tc>
          <w:tcPr>
            <w:tcW w:w="672" w:type="pct"/>
            <w:tcBorders>
              <w:top w:val="single" w:sz="12" w:space="0" w:color="auto"/>
              <w:left w:val="nil"/>
              <w:bottom w:val="single" w:sz="4" w:space="0" w:color="auto"/>
              <w:right w:val="nil"/>
            </w:tcBorders>
          </w:tcPr>
          <w:p w14:paraId="0E5FEADD"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w:t>
            </w:r>
            <w:r w:rsidRPr="00C702D7">
              <w:rPr>
                <w:rFonts w:eastAsia="等线" w:cs="Times New Roman"/>
                <w:sz w:val="18"/>
                <w:szCs w:val="18"/>
              </w:rPr>
              <w:t>5)</w:t>
            </w:r>
          </w:p>
        </w:tc>
        <w:tc>
          <w:tcPr>
            <w:tcW w:w="668" w:type="pct"/>
            <w:tcBorders>
              <w:top w:val="single" w:sz="12" w:space="0" w:color="auto"/>
              <w:left w:val="nil"/>
              <w:bottom w:val="single" w:sz="4" w:space="0" w:color="auto"/>
              <w:right w:val="nil"/>
            </w:tcBorders>
          </w:tcPr>
          <w:p w14:paraId="10C1DB55"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w:t>
            </w:r>
            <w:r w:rsidRPr="00C702D7">
              <w:rPr>
                <w:rFonts w:eastAsia="等线" w:cs="Times New Roman"/>
                <w:sz w:val="18"/>
                <w:szCs w:val="18"/>
              </w:rPr>
              <w:t>6)</w:t>
            </w:r>
          </w:p>
        </w:tc>
      </w:tr>
      <w:tr w:rsidR="00C702D7" w:rsidRPr="00C702D7" w14:paraId="481838D2" w14:textId="77777777" w:rsidTr="00B718EA">
        <w:trPr>
          <w:trHeight w:val="280"/>
          <w:jc w:val="center"/>
        </w:trPr>
        <w:tc>
          <w:tcPr>
            <w:tcW w:w="1028" w:type="pct"/>
            <w:vMerge/>
            <w:tcBorders>
              <w:bottom w:val="single" w:sz="4" w:space="0" w:color="auto"/>
              <w:right w:val="nil"/>
            </w:tcBorders>
            <w:shd w:val="clear" w:color="auto" w:fill="auto"/>
            <w:noWrap/>
            <w:vAlign w:val="center"/>
          </w:tcPr>
          <w:p w14:paraId="6858CB15" w14:textId="77777777" w:rsidR="00D457FC" w:rsidRPr="00C702D7" w:rsidRDefault="00D457FC" w:rsidP="00B718EA">
            <w:pPr>
              <w:widowControl/>
              <w:spacing w:line="240" w:lineRule="auto"/>
              <w:ind w:firstLineChars="0" w:firstLine="0"/>
              <w:jc w:val="center"/>
              <w:rPr>
                <w:rFonts w:cs="Times New Roman"/>
                <w:kern w:val="0"/>
                <w:sz w:val="18"/>
                <w:szCs w:val="18"/>
              </w:rPr>
            </w:pPr>
          </w:p>
        </w:tc>
        <w:tc>
          <w:tcPr>
            <w:tcW w:w="588" w:type="pct"/>
            <w:tcBorders>
              <w:top w:val="single" w:sz="4" w:space="0" w:color="auto"/>
              <w:left w:val="nil"/>
              <w:bottom w:val="single" w:sz="4" w:space="0" w:color="auto"/>
              <w:right w:val="nil"/>
            </w:tcBorders>
            <w:vAlign w:val="center"/>
          </w:tcPr>
          <w:p w14:paraId="3173D925" w14:textId="77777777" w:rsidR="00D457FC" w:rsidRPr="00C702D7" w:rsidRDefault="00D457FC" w:rsidP="00B718EA">
            <w:pPr>
              <w:widowControl/>
              <w:spacing w:line="240" w:lineRule="auto"/>
              <w:ind w:firstLineChars="0" w:firstLine="0"/>
              <w:jc w:val="center"/>
              <w:rPr>
                <w:rFonts w:eastAsia="等线" w:cs="Times New Roman"/>
                <w:sz w:val="18"/>
                <w:szCs w:val="18"/>
              </w:rPr>
            </w:pPr>
            <w:proofErr w:type="spellStart"/>
            <w:r w:rsidRPr="00C702D7">
              <w:rPr>
                <w:i/>
                <w:iCs/>
                <w:sz w:val="18"/>
                <w:szCs w:val="18"/>
              </w:rPr>
              <w:t>Cmiss_</w:t>
            </w:r>
            <w:r w:rsidRPr="00C702D7">
              <w:rPr>
                <w:rFonts w:hint="eastAsia"/>
                <w:i/>
                <w:iCs/>
                <w:sz w:val="18"/>
                <w:szCs w:val="18"/>
              </w:rPr>
              <w:t>ind</w:t>
            </w:r>
            <w:proofErr w:type="spellEnd"/>
          </w:p>
        </w:tc>
        <w:tc>
          <w:tcPr>
            <w:tcW w:w="748" w:type="pct"/>
            <w:tcBorders>
              <w:top w:val="single" w:sz="4" w:space="0" w:color="auto"/>
              <w:left w:val="nil"/>
              <w:bottom w:val="single" w:sz="4" w:space="0" w:color="auto"/>
              <w:right w:val="nil"/>
            </w:tcBorders>
            <w:shd w:val="clear" w:color="auto" w:fill="auto"/>
            <w:noWrap/>
            <w:vAlign w:val="center"/>
          </w:tcPr>
          <w:p w14:paraId="445E253A" w14:textId="77777777" w:rsidR="00D457FC" w:rsidRPr="00C702D7" w:rsidRDefault="00D457FC" w:rsidP="00B718EA">
            <w:pPr>
              <w:widowControl/>
              <w:spacing w:line="240" w:lineRule="auto"/>
              <w:ind w:firstLineChars="0" w:firstLine="0"/>
              <w:jc w:val="center"/>
              <w:rPr>
                <w:rFonts w:eastAsia="等线" w:cs="Times New Roman"/>
                <w:sz w:val="18"/>
                <w:szCs w:val="18"/>
              </w:rPr>
            </w:pPr>
            <w:proofErr w:type="spellStart"/>
            <w:r w:rsidRPr="00C702D7">
              <w:rPr>
                <w:i/>
                <w:iCs/>
                <w:sz w:val="18"/>
                <w:szCs w:val="18"/>
              </w:rPr>
              <w:t>Cmiss_ind</w:t>
            </w:r>
            <w:proofErr w:type="spellEnd"/>
          </w:p>
        </w:tc>
        <w:tc>
          <w:tcPr>
            <w:tcW w:w="648" w:type="pct"/>
            <w:tcBorders>
              <w:top w:val="single" w:sz="4" w:space="0" w:color="auto"/>
              <w:left w:val="nil"/>
              <w:bottom w:val="single" w:sz="4" w:space="0" w:color="auto"/>
              <w:right w:val="nil"/>
            </w:tcBorders>
            <w:vAlign w:val="center"/>
          </w:tcPr>
          <w:p w14:paraId="6AC6F22B" w14:textId="77777777" w:rsidR="00D457FC" w:rsidRPr="00C702D7" w:rsidRDefault="00D457FC" w:rsidP="00B718EA">
            <w:pPr>
              <w:widowControl/>
              <w:spacing w:line="240" w:lineRule="auto"/>
              <w:ind w:firstLineChars="0" w:firstLine="0"/>
              <w:jc w:val="center"/>
              <w:rPr>
                <w:rFonts w:eastAsia="等线" w:cs="Times New Roman"/>
                <w:sz w:val="18"/>
                <w:szCs w:val="18"/>
              </w:rPr>
            </w:pPr>
            <w:proofErr w:type="spellStart"/>
            <w:r w:rsidRPr="00C702D7">
              <w:rPr>
                <w:i/>
                <w:iCs/>
                <w:sz w:val="18"/>
                <w:szCs w:val="18"/>
              </w:rPr>
              <w:t>Cmiss_</w:t>
            </w:r>
            <w:r w:rsidRPr="00C702D7">
              <w:rPr>
                <w:rFonts w:hint="eastAsia"/>
                <w:i/>
                <w:iCs/>
                <w:sz w:val="18"/>
                <w:szCs w:val="18"/>
              </w:rPr>
              <w:t>total</w:t>
            </w:r>
            <w:proofErr w:type="spellEnd"/>
          </w:p>
        </w:tc>
        <w:tc>
          <w:tcPr>
            <w:tcW w:w="648" w:type="pct"/>
            <w:tcBorders>
              <w:top w:val="single" w:sz="4" w:space="0" w:color="auto"/>
              <w:left w:val="nil"/>
              <w:bottom w:val="single" w:sz="4" w:space="0" w:color="auto"/>
              <w:right w:val="nil"/>
            </w:tcBorders>
            <w:vAlign w:val="center"/>
          </w:tcPr>
          <w:p w14:paraId="6D453C20" w14:textId="77777777" w:rsidR="00D457FC" w:rsidRPr="00C702D7" w:rsidRDefault="00D457FC" w:rsidP="00B718EA">
            <w:pPr>
              <w:widowControl/>
              <w:spacing w:line="240" w:lineRule="auto"/>
              <w:ind w:firstLineChars="0" w:firstLine="0"/>
              <w:jc w:val="center"/>
              <w:rPr>
                <w:rFonts w:eastAsia="等线" w:cs="Times New Roman"/>
                <w:sz w:val="18"/>
                <w:szCs w:val="18"/>
              </w:rPr>
            </w:pPr>
            <w:proofErr w:type="spellStart"/>
            <w:r w:rsidRPr="00C702D7">
              <w:rPr>
                <w:i/>
                <w:iCs/>
                <w:sz w:val="18"/>
                <w:szCs w:val="18"/>
              </w:rPr>
              <w:t>Cmiss_</w:t>
            </w:r>
            <w:r w:rsidRPr="00C702D7">
              <w:rPr>
                <w:rFonts w:hint="eastAsia"/>
                <w:i/>
                <w:iCs/>
                <w:sz w:val="18"/>
                <w:szCs w:val="18"/>
              </w:rPr>
              <w:t>total</w:t>
            </w:r>
            <w:proofErr w:type="spellEnd"/>
          </w:p>
        </w:tc>
        <w:tc>
          <w:tcPr>
            <w:tcW w:w="672" w:type="pct"/>
            <w:tcBorders>
              <w:top w:val="single" w:sz="4" w:space="0" w:color="auto"/>
              <w:left w:val="nil"/>
              <w:bottom w:val="single" w:sz="4" w:space="0" w:color="auto"/>
              <w:right w:val="nil"/>
            </w:tcBorders>
          </w:tcPr>
          <w:p w14:paraId="14209608" w14:textId="77777777" w:rsidR="00D457FC" w:rsidRPr="00C702D7" w:rsidRDefault="00D457FC" w:rsidP="00B718EA">
            <w:pPr>
              <w:widowControl/>
              <w:spacing w:line="240" w:lineRule="auto"/>
              <w:ind w:firstLineChars="0" w:firstLine="0"/>
              <w:jc w:val="center"/>
              <w:rPr>
                <w:i/>
                <w:iCs/>
                <w:sz w:val="18"/>
                <w:szCs w:val="18"/>
              </w:rPr>
            </w:pPr>
            <w:proofErr w:type="spellStart"/>
            <w:r w:rsidRPr="00C702D7">
              <w:rPr>
                <w:i/>
                <w:iCs/>
                <w:sz w:val="18"/>
                <w:szCs w:val="18"/>
              </w:rPr>
              <w:t>dCmiss</w:t>
            </w:r>
            <w:proofErr w:type="spellEnd"/>
          </w:p>
        </w:tc>
        <w:tc>
          <w:tcPr>
            <w:tcW w:w="668" w:type="pct"/>
            <w:tcBorders>
              <w:top w:val="single" w:sz="4" w:space="0" w:color="auto"/>
              <w:left w:val="nil"/>
              <w:bottom w:val="single" w:sz="4" w:space="0" w:color="auto"/>
              <w:right w:val="nil"/>
            </w:tcBorders>
          </w:tcPr>
          <w:p w14:paraId="412874DE" w14:textId="77777777" w:rsidR="00D457FC" w:rsidRPr="00C702D7" w:rsidRDefault="00D457FC" w:rsidP="00B718EA">
            <w:pPr>
              <w:widowControl/>
              <w:spacing w:line="240" w:lineRule="auto"/>
              <w:ind w:firstLineChars="0" w:firstLine="0"/>
              <w:jc w:val="center"/>
              <w:rPr>
                <w:i/>
                <w:iCs/>
                <w:sz w:val="18"/>
                <w:szCs w:val="18"/>
              </w:rPr>
            </w:pPr>
            <w:proofErr w:type="spellStart"/>
            <w:r w:rsidRPr="00C702D7">
              <w:rPr>
                <w:i/>
                <w:iCs/>
                <w:sz w:val="18"/>
                <w:szCs w:val="18"/>
              </w:rPr>
              <w:t>dCmiss</w:t>
            </w:r>
            <w:proofErr w:type="spellEnd"/>
          </w:p>
        </w:tc>
      </w:tr>
      <w:tr w:rsidR="00C702D7" w:rsidRPr="00C702D7" w14:paraId="370B411E" w14:textId="77777777" w:rsidTr="00B718EA">
        <w:trPr>
          <w:trHeight w:val="280"/>
          <w:jc w:val="center"/>
        </w:trPr>
        <w:tc>
          <w:tcPr>
            <w:tcW w:w="1028" w:type="pct"/>
            <w:vMerge w:val="restart"/>
            <w:tcBorders>
              <w:top w:val="single" w:sz="4" w:space="0" w:color="auto"/>
              <w:right w:val="nil"/>
            </w:tcBorders>
            <w:shd w:val="clear" w:color="auto" w:fill="auto"/>
            <w:noWrap/>
            <w:vAlign w:val="center"/>
          </w:tcPr>
          <w:p w14:paraId="6448B7C3" w14:textId="77777777" w:rsidR="00D457FC" w:rsidRPr="00C702D7" w:rsidRDefault="00D457FC" w:rsidP="00B718EA">
            <w:pPr>
              <w:widowControl/>
              <w:spacing w:line="240" w:lineRule="auto"/>
              <w:ind w:firstLineChars="0" w:firstLine="0"/>
              <w:jc w:val="center"/>
              <w:rPr>
                <w:rFonts w:cs="Times New Roman"/>
                <w:kern w:val="0"/>
                <w:sz w:val="18"/>
                <w:szCs w:val="18"/>
              </w:rPr>
            </w:pPr>
            <w:r w:rsidRPr="00C702D7">
              <w:rPr>
                <w:rFonts w:cs="Times New Roman"/>
                <w:bCs/>
                <w:i/>
                <w:iCs/>
                <w:sz w:val="18"/>
                <w:szCs w:val="18"/>
              </w:rPr>
              <w:t>G</w:t>
            </w:r>
            <w:r w:rsidRPr="00C702D7">
              <w:rPr>
                <w:rFonts w:cs="Times New Roman" w:hint="eastAsia"/>
                <w:bCs/>
                <w:i/>
                <w:iCs/>
                <w:sz w:val="18"/>
                <w:szCs w:val="18"/>
              </w:rPr>
              <w:t>a</w:t>
            </w:r>
            <w:r w:rsidRPr="00C702D7">
              <w:rPr>
                <w:rFonts w:cs="Times New Roman"/>
                <w:bCs/>
                <w:i/>
                <w:iCs/>
                <w:sz w:val="18"/>
                <w:szCs w:val="18"/>
              </w:rPr>
              <w:t>tten</w:t>
            </w:r>
          </w:p>
        </w:tc>
        <w:tc>
          <w:tcPr>
            <w:tcW w:w="588" w:type="pct"/>
            <w:tcBorders>
              <w:top w:val="single" w:sz="4" w:space="0" w:color="auto"/>
              <w:left w:val="nil"/>
              <w:bottom w:val="nil"/>
              <w:right w:val="nil"/>
            </w:tcBorders>
            <w:vAlign w:val="bottom"/>
          </w:tcPr>
          <w:p w14:paraId="54BEAE1F"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-1.7163</w:t>
            </w:r>
            <w:r w:rsidRPr="00C702D7">
              <w:rPr>
                <w:rFonts w:eastAsia="等线" w:cs="Times New Roman" w:hint="eastAsia"/>
                <w:sz w:val="18"/>
                <w:szCs w:val="18"/>
                <w:vertAlign w:val="superscript"/>
              </w:rPr>
              <w:t>*</w:t>
            </w:r>
          </w:p>
        </w:tc>
        <w:tc>
          <w:tcPr>
            <w:tcW w:w="748" w:type="pct"/>
            <w:tcBorders>
              <w:top w:val="single" w:sz="4" w:space="0" w:color="auto"/>
              <w:left w:val="nil"/>
              <w:bottom w:val="nil"/>
              <w:right w:val="nil"/>
            </w:tcBorders>
            <w:shd w:val="clear" w:color="auto" w:fill="auto"/>
            <w:noWrap/>
            <w:vAlign w:val="bottom"/>
          </w:tcPr>
          <w:p w14:paraId="322AC5E3"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0.7727</w:t>
            </w:r>
          </w:p>
        </w:tc>
        <w:tc>
          <w:tcPr>
            <w:tcW w:w="648" w:type="pct"/>
            <w:vMerge w:val="restart"/>
            <w:tcBorders>
              <w:top w:val="single" w:sz="4" w:space="0" w:color="auto"/>
              <w:left w:val="nil"/>
              <w:right w:val="nil"/>
            </w:tcBorders>
            <w:vAlign w:val="center"/>
          </w:tcPr>
          <w:p w14:paraId="2DF65B26"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w:t>
            </w:r>
          </w:p>
        </w:tc>
        <w:tc>
          <w:tcPr>
            <w:tcW w:w="648" w:type="pct"/>
            <w:vMerge w:val="restart"/>
            <w:tcBorders>
              <w:top w:val="single" w:sz="4" w:space="0" w:color="auto"/>
              <w:left w:val="nil"/>
              <w:right w:val="nil"/>
            </w:tcBorders>
            <w:vAlign w:val="center"/>
          </w:tcPr>
          <w:p w14:paraId="5F1397CB"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w:t>
            </w:r>
          </w:p>
        </w:tc>
        <w:tc>
          <w:tcPr>
            <w:tcW w:w="672" w:type="pct"/>
            <w:vMerge w:val="restart"/>
            <w:tcBorders>
              <w:top w:val="single" w:sz="4" w:space="0" w:color="auto"/>
              <w:left w:val="nil"/>
              <w:right w:val="nil"/>
            </w:tcBorders>
            <w:vAlign w:val="center"/>
          </w:tcPr>
          <w:p w14:paraId="0DB34288"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w:t>
            </w:r>
          </w:p>
        </w:tc>
        <w:tc>
          <w:tcPr>
            <w:tcW w:w="668" w:type="pct"/>
            <w:vMerge w:val="restart"/>
            <w:tcBorders>
              <w:top w:val="single" w:sz="4" w:space="0" w:color="auto"/>
              <w:left w:val="nil"/>
              <w:right w:val="nil"/>
            </w:tcBorders>
            <w:vAlign w:val="center"/>
          </w:tcPr>
          <w:p w14:paraId="310C1195"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w:t>
            </w:r>
          </w:p>
        </w:tc>
      </w:tr>
      <w:tr w:rsidR="00C702D7" w:rsidRPr="00C702D7" w14:paraId="7A8F2A8B" w14:textId="77777777" w:rsidTr="00B718EA">
        <w:trPr>
          <w:trHeight w:val="280"/>
          <w:jc w:val="center"/>
        </w:trPr>
        <w:tc>
          <w:tcPr>
            <w:tcW w:w="1028" w:type="pct"/>
            <w:vMerge/>
            <w:tcBorders>
              <w:bottom w:val="nil"/>
              <w:right w:val="nil"/>
            </w:tcBorders>
            <w:shd w:val="clear" w:color="auto" w:fill="auto"/>
            <w:noWrap/>
            <w:vAlign w:val="center"/>
          </w:tcPr>
          <w:p w14:paraId="45CDFA62" w14:textId="77777777" w:rsidR="00D457FC" w:rsidRPr="00C702D7" w:rsidRDefault="00D457FC" w:rsidP="00B718EA">
            <w:pPr>
              <w:widowControl/>
              <w:spacing w:line="240" w:lineRule="auto"/>
              <w:ind w:firstLineChars="0" w:firstLine="0"/>
              <w:jc w:val="center"/>
              <w:rPr>
                <w:rFonts w:cs="Times New Roman"/>
                <w:kern w:val="0"/>
                <w:sz w:val="18"/>
                <w:szCs w:val="18"/>
              </w:rPr>
            </w:pPr>
          </w:p>
        </w:tc>
        <w:tc>
          <w:tcPr>
            <w:tcW w:w="588" w:type="pct"/>
            <w:tcBorders>
              <w:top w:val="nil"/>
              <w:left w:val="nil"/>
              <w:bottom w:val="nil"/>
              <w:right w:val="nil"/>
            </w:tcBorders>
            <w:vAlign w:val="bottom"/>
          </w:tcPr>
          <w:p w14:paraId="0A0B5D51"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(-1.9636)</w:t>
            </w:r>
          </w:p>
        </w:tc>
        <w:tc>
          <w:tcPr>
            <w:tcW w:w="748" w:type="pct"/>
            <w:tcBorders>
              <w:top w:val="nil"/>
              <w:left w:val="nil"/>
              <w:bottom w:val="nil"/>
              <w:right w:val="nil"/>
            </w:tcBorders>
            <w:shd w:val="clear" w:color="auto" w:fill="auto"/>
            <w:noWrap/>
            <w:vAlign w:val="bottom"/>
          </w:tcPr>
          <w:p w14:paraId="7107AC7D"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(0.6616)</w:t>
            </w:r>
          </w:p>
        </w:tc>
        <w:tc>
          <w:tcPr>
            <w:tcW w:w="648" w:type="pct"/>
            <w:vMerge/>
            <w:tcBorders>
              <w:left w:val="nil"/>
              <w:bottom w:val="nil"/>
              <w:right w:val="nil"/>
            </w:tcBorders>
            <w:vAlign w:val="center"/>
          </w:tcPr>
          <w:p w14:paraId="4E711CDD"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648" w:type="pct"/>
            <w:vMerge/>
            <w:tcBorders>
              <w:left w:val="nil"/>
              <w:bottom w:val="nil"/>
              <w:right w:val="nil"/>
            </w:tcBorders>
            <w:vAlign w:val="center"/>
          </w:tcPr>
          <w:p w14:paraId="646D2206"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672" w:type="pct"/>
            <w:vMerge/>
            <w:tcBorders>
              <w:left w:val="nil"/>
              <w:bottom w:val="nil"/>
              <w:right w:val="nil"/>
            </w:tcBorders>
            <w:vAlign w:val="center"/>
          </w:tcPr>
          <w:p w14:paraId="49BF34EB"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668" w:type="pct"/>
            <w:vMerge/>
            <w:tcBorders>
              <w:left w:val="nil"/>
              <w:bottom w:val="nil"/>
              <w:right w:val="nil"/>
            </w:tcBorders>
            <w:vAlign w:val="center"/>
          </w:tcPr>
          <w:p w14:paraId="475DF50F" w14:textId="77777777" w:rsidR="00D457FC" w:rsidRPr="00C702D7" w:rsidRDefault="00D457FC" w:rsidP="00B718EA">
            <w:pPr>
              <w:widowControl/>
              <w:spacing w:line="240" w:lineRule="auto"/>
              <w:ind w:firstLineChars="0" w:firstLine="0"/>
              <w:jc w:val="center"/>
              <w:rPr>
                <w:rFonts w:eastAsia="等线" w:cs="Times New Roman"/>
                <w:sz w:val="18"/>
                <w:szCs w:val="18"/>
              </w:rPr>
            </w:pPr>
          </w:p>
        </w:tc>
      </w:tr>
      <w:tr w:rsidR="00C702D7" w:rsidRPr="00C702D7" w14:paraId="7F129772" w14:textId="77777777" w:rsidTr="00B718EA">
        <w:trPr>
          <w:trHeight w:val="280"/>
          <w:jc w:val="center"/>
        </w:trPr>
        <w:tc>
          <w:tcPr>
            <w:tcW w:w="1028" w:type="pct"/>
            <w:vMerge w:val="restart"/>
            <w:tcBorders>
              <w:top w:val="nil"/>
              <w:right w:val="nil"/>
            </w:tcBorders>
            <w:shd w:val="clear" w:color="auto" w:fill="auto"/>
            <w:noWrap/>
            <w:vAlign w:val="center"/>
          </w:tcPr>
          <w:p w14:paraId="61601E7D" w14:textId="77777777" w:rsidR="00D457FC" w:rsidRPr="00C702D7" w:rsidRDefault="00D457FC" w:rsidP="00B718EA">
            <w:pPr>
              <w:widowControl/>
              <w:spacing w:line="240" w:lineRule="auto"/>
              <w:ind w:firstLineChars="0" w:firstLine="0"/>
              <w:jc w:val="center"/>
              <w:rPr>
                <w:rFonts w:cs="Times New Roman"/>
                <w:kern w:val="0"/>
                <w:sz w:val="18"/>
                <w:szCs w:val="18"/>
              </w:rPr>
            </w:pPr>
            <w:proofErr w:type="spellStart"/>
            <w:r w:rsidRPr="00C702D7">
              <w:rPr>
                <w:rFonts w:cs="Times New Roman" w:hint="eastAsia"/>
                <w:i/>
                <w:iCs/>
                <w:sz w:val="18"/>
                <w:szCs w:val="18"/>
              </w:rPr>
              <w:t>C</w:t>
            </w:r>
            <w:r w:rsidRPr="00C702D7">
              <w:rPr>
                <w:rFonts w:cs="Times New Roman"/>
                <w:i/>
                <w:iCs/>
                <w:sz w:val="18"/>
                <w:szCs w:val="18"/>
              </w:rPr>
              <w:t>miss_se</w:t>
            </w:r>
            <w:proofErr w:type="spellEnd"/>
          </w:p>
        </w:tc>
        <w:tc>
          <w:tcPr>
            <w:tcW w:w="588" w:type="pct"/>
            <w:vMerge w:val="restart"/>
            <w:tcBorders>
              <w:top w:val="nil"/>
              <w:left w:val="nil"/>
              <w:right w:val="nil"/>
            </w:tcBorders>
            <w:vAlign w:val="center"/>
          </w:tcPr>
          <w:p w14:paraId="3F7E9553"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w:t>
            </w:r>
          </w:p>
        </w:tc>
        <w:tc>
          <w:tcPr>
            <w:tcW w:w="748" w:type="pct"/>
            <w:vMerge w:val="restart"/>
            <w:tcBorders>
              <w:top w:val="nil"/>
              <w:left w:val="nil"/>
              <w:right w:val="nil"/>
            </w:tcBorders>
            <w:shd w:val="clear" w:color="auto" w:fill="auto"/>
            <w:noWrap/>
            <w:vAlign w:val="center"/>
          </w:tcPr>
          <w:p w14:paraId="76336AEA"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w:t>
            </w:r>
          </w:p>
        </w:tc>
        <w:tc>
          <w:tcPr>
            <w:tcW w:w="648" w:type="pct"/>
            <w:tcBorders>
              <w:top w:val="nil"/>
              <w:left w:val="nil"/>
              <w:bottom w:val="nil"/>
              <w:right w:val="nil"/>
            </w:tcBorders>
            <w:vAlign w:val="bottom"/>
          </w:tcPr>
          <w:p w14:paraId="2D998413"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-0.0822</w:t>
            </w:r>
            <w:r w:rsidRPr="00C702D7">
              <w:rPr>
                <w:rFonts w:eastAsia="等线" w:cs="Times New Roman" w:hint="eastAsia"/>
                <w:sz w:val="18"/>
                <w:szCs w:val="18"/>
                <w:vertAlign w:val="superscript"/>
              </w:rPr>
              <w:t>**</w:t>
            </w:r>
          </w:p>
        </w:tc>
        <w:tc>
          <w:tcPr>
            <w:tcW w:w="648" w:type="pct"/>
            <w:tcBorders>
              <w:top w:val="nil"/>
              <w:left w:val="nil"/>
              <w:bottom w:val="nil"/>
              <w:right w:val="nil"/>
            </w:tcBorders>
            <w:vAlign w:val="bottom"/>
          </w:tcPr>
          <w:p w14:paraId="756CAA7C"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-0.0801</w:t>
            </w:r>
          </w:p>
        </w:tc>
        <w:tc>
          <w:tcPr>
            <w:tcW w:w="672" w:type="pct"/>
            <w:tcBorders>
              <w:top w:val="nil"/>
              <w:left w:val="nil"/>
              <w:bottom w:val="nil"/>
              <w:right w:val="nil"/>
            </w:tcBorders>
            <w:vAlign w:val="bottom"/>
          </w:tcPr>
          <w:p w14:paraId="64D5523A"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-0.5765</w:t>
            </w:r>
            <w:r w:rsidRPr="00C702D7">
              <w:rPr>
                <w:rFonts w:eastAsia="等线" w:cs="Times New Roman" w:hint="eastAsia"/>
                <w:sz w:val="18"/>
                <w:szCs w:val="18"/>
                <w:vertAlign w:val="superscript"/>
              </w:rPr>
              <w:t>***</w:t>
            </w:r>
          </w:p>
        </w:tc>
        <w:tc>
          <w:tcPr>
            <w:tcW w:w="668" w:type="pct"/>
            <w:tcBorders>
              <w:top w:val="nil"/>
              <w:left w:val="nil"/>
              <w:bottom w:val="nil"/>
              <w:right w:val="nil"/>
            </w:tcBorders>
            <w:vAlign w:val="bottom"/>
          </w:tcPr>
          <w:p w14:paraId="66C06C96"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-0.0947</w:t>
            </w:r>
          </w:p>
        </w:tc>
      </w:tr>
      <w:tr w:rsidR="00C702D7" w:rsidRPr="00C702D7" w14:paraId="03E69909" w14:textId="77777777" w:rsidTr="00B718EA">
        <w:trPr>
          <w:trHeight w:val="280"/>
          <w:jc w:val="center"/>
        </w:trPr>
        <w:tc>
          <w:tcPr>
            <w:tcW w:w="1028" w:type="pct"/>
            <w:vMerge/>
            <w:tcBorders>
              <w:bottom w:val="nil"/>
              <w:right w:val="nil"/>
            </w:tcBorders>
            <w:shd w:val="clear" w:color="auto" w:fill="auto"/>
            <w:noWrap/>
            <w:vAlign w:val="center"/>
          </w:tcPr>
          <w:p w14:paraId="0748F245" w14:textId="77777777" w:rsidR="00D457FC" w:rsidRPr="00C702D7" w:rsidRDefault="00D457FC" w:rsidP="00B718EA">
            <w:pPr>
              <w:widowControl/>
              <w:spacing w:line="240" w:lineRule="auto"/>
              <w:ind w:firstLineChars="0" w:firstLine="0"/>
              <w:jc w:val="center"/>
              <w:rPr>
                <w:rFonts w:cs="Times New Roman"/>
                <w:kern w:val="0"/>
                <w:sz w:val="18"/>
                <w:szCs w:val="18"/>
              </w:rPr>
            </w:pPr>
          </w:p>
        </w:tc>
        <w:tc>
          <w:tcPr>
            <w:tcW w:w="588" w:type="pct"/>
            <w:vMerge/>
            <w:tcBorders>
              <w:left w:val="nil"/>
              <w:bottom w:val="nil"/>
              <w:right w:val="nil"/>
            </w:tcBorders>
            <w:vAlign w:val="center"/>
          </w:tcPr>
          <w:p w14:paraId="1482EC4E"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748" w:type="pct"/>
            <w:vMerge/>
            <w:tcBorders>
              <w:left w:val="nil"/>
              <w:bottom w:val="nil"/>
              <w:right w:val="nil"/>
            </w:tcBorders>
            <w:shd w:val="clear" w:color="auto" w:fill="auto"/>
            <w:noWrap/>
            <w:vAlign w:val="center"/>
          </w:tcPr>
          <w:p w14:paraId="7DB01864"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648" w:type="pct"/>
            <w:tcBorders>
              <w:top w:val="nil"/>
              <w:left w:val="nil"/>
              <w:bottom w:val="nil"/>
              <w:right w:val="nil"/>
            </w:tcBorders>
            <w:vAlign w:val="bottom"/>
          </w:tcPr>
          <w:p w14:paraId="67A4AD09"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(-2.1920)</w:t>
            </w:r>
          </w:p>
        </w:tc>
        <w:tc>
          <w:tcPr>
            <w:tcW w:w="648" w:type="pct"/>
            <w:tcBorders>
              <w:top w:val="nil"/>
              <w:left w:val="nil"/>
              <w:bottom w:val="nil"/>
              <w:right w:val="nil"/>
            </w:tcBorders>
            <w:vAlign w:val="bottom"/>
          </w:tcPr>
          <w:p w14:paraId="338F2416"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(-0.7708)</w:t>
            </w:r>
          </w:p>
        </w:tc>
        <w:tc>
          <w:tcPr>
            <w:tcW w:w="672" w:type="pct"/>
            <w:tcBorders>
              <w:top w:val="nil"/>
              <w:left w:val="nil"/>
              <w:bottom w:val="nil"/>
              <w:right w:val="nil"/>
            </w:tcBorders>
            <w:vAlign w:val="bottom"/>
          </w:tcPr>
          <w:p w14:paraId="15683676"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(-32.1404)</w:t>
            </w:r>
          </w:p>
        </w:tc>
        <w:tc>
          <w:tcPr>
            <w:tcW w:w="668" w:type="pct"/>
            <w:tcBorders>
              <w:top w:val="nil"/>
              <w:left w:val="nil"/>
              <w:bottom w:val="nil"/>
              <w:right w:val="nil"/>
            </w:tcBorders>
            <w:vAlign w:val="bottom"/>
          </w:tcPr>
          <w:p w14:paraId="59FE17DF"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(-1.2394)</w:t>
            </w:r>
          </w:p>
        </w:tc>
      </w:tr>
      <w:tr w:rsidR="00C702D7" w:rsidRPr="00C702D7" w14:paraId="4F5A644B" w14:textId="77777777" w:rsidTr="00B718EA">
        <w:trPr>
          <w:trHeight w:val="280"/>
          <w:jc w:val="center"/>
        </w:trPr>
        <w:tc>
          <w:tcPr>
            <w:tcW w:w="1028" w:type="pct"/>
            <w:tcBorders>
              <w:top w:val="nil"/>
              <w:bottom w:val="nil"/>
              <w:right w:val="nil"/>
            </w:tcBorders>
            <w:shd w:val="clear" w:color="auto" w:fill="auto"/>
            <w:noWrap/>
            <w:vAlign w:val="center"/>
          </w:tcPr>
          <w:p w14:paraId="4089ABA3" w14:textId="77777777" w:rsidR="00D457FC" w:rsidRPr="00C702D7" w:rsidRDefault="00D457FC" w:rsidP="00B718EA">
            <w:pPr>
              <w:widowControl/>
              <w:spacing w:line="240" w:lineRule="auto"/>
              <w:ind w:firstLineChars="0" w:firstLine="0"/>
              <w:jc w:val="center"/>
              <w:rPr>
                <w:rFonts w:cs="Times New Roman"/>
                <w:kern w:val="0"/>
                <w:sz w:val="18"/>
                <w:szCs w:val="18"/>
              </w:rPr>
            </w:pPr>
            <w:r w:rsidRPr="00C702D7">
              <w:rPr>
                <w:rFonts w:cs="Times New Roman" w:hint="eastAsia"/>
                <w:kern w:val="0"/>
                <w:sz w:val="18"/>
                <w:szCs w:val="18"/>
              </w:rPr>
              <w:t>控制变量</w:t>
            </w:r>
          </w:p>
        </w:tc>
        <w:tc>
          <w:tcPr>
            <w:tcW w:w="588" w:type="pct"/>
            <w:tcBorders>
              <w:top w:val="nil"/>
              <w:left w:val="nil"/>
              <w:bottom w:val="nil"/>
              <w:right w:val="nil"/>
            </w:tcBorders>
            <w:vAlign w:val="center"/>
          </w:tcPr>
          <w:p w14:paraId="7C8A5CFC"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Yes</w:t>
            </w:r>
          </w:p>
        </w:tc>
        <w:tc>
          <w:tcPr>
            <w:tcW w:w="748" w:type="pct"/>
            <w:tcBorders>
              <w:top w:val="nil"/>
              <w:left w:val="nil"/>
              <w:bottom w:val="nil"/>
              <w:right w:val="nil"/>
            </w:tcBorders>
            <w:shd w:val="clear" w:color="auto" w:fill="auto"/>
            <w:noWrap/>
            <w:vAlign w:val="center"/>
          </w:tcPr>
          <w:p w14:paraId="631E2868"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Yes</w:t>
            </w:r>
          </w:p>
        </w:tc>
        <w:tc>
          <w:tcPr>
            <w:tcW w:w="648" w:type="pct"/>
            <w:tcBorders>
              <w:top w:val="nil"/>
              <w:left w:val="nil"/>
              <w:bottom w:val="nil"/>
              <w:right w:val="nil"/>
            </w:tcBorders>
            <w:vAlign w:val="center"/>
          </w:tcPr>
          <w:p w14:paraId="1700F72C"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Yes</w:t>
            </w:r>
          </w:p>
        </w:tc>
        <w:tc>
          <w:tcPr>
            <w:tcW w:w="648" w:type="pct"/>
            <w:tcBorders>
              <w:top w:val="nil"/>
              <w:left w:val="nil"/>
              <w:bottom w:val="nil"/>
              <w:right w:val="nil"/>
            </w:tcBorders>
            <w:vAlign w:val="center"/>
          </w:tcPr>
          <w:p w14:paraId="1B172136"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Yes</w:t>
            </w:r>
          </w:p>
        </w:tc>
        <w:tc>
          <w:tcPr>
            <w:tcW w:w="672" w:type="pct"/>
            <w:tcBorders>
              <w:top w:val="nil"/>
              <w:left w:val="nil"/>
              <w:bottom w:val="nil"/>
              <w:right w:val="nil"/>
            </w:tcBorders>
          </w:tcPr>
          <w:p w14:paraId="6161E05E"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Yes</w:t>
            </w:r>
          </w:p>
        </w:tc>
        <w:tc>
          <w:tcPr>
            <w:tcW w:w="668" w:type="pct"/>
            <w:tcBorders>
              <w:top w:val="nil"/>
              <w:left w:val="nil"/>
              <w:bottom w:val="nil"/>
              <w:right w:val="nil"/>
            </w:tcBorders>
          </w:tcPr>
          <w:p w14:paraId="02E9687E"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Yes</w:t>
            </w:r>
          </w:p>
        </w:tc>
      </w:tr>
      <w:tr w:rsidR="00C702D7" w:rsidRPr="00C702D7" w14:paraId="4BCC3A2A" w14:textId="77777777" w:rsidTr="00B718EA">
        <w:trPr>
          <w:trHeight w:val="280"/>
          <w:jc w:val="center"/>
        </w:trPr>
        <w:tc>
          <w:tcPr>
            <w:tcW w:w="1028" w:type="pct"/>
            <w:tcBorders>
              <w:top w:val="nil"/>
              <w:bottom w:val="nil"/>
              <w:right w:val="nil"/>
            </w:tcBorders>
            <w:shd w:val="clear" w:color="auto" w:fill="auto"/>
            <w:noWrap/>
            <w:vAlign w:val="center"/>
          </w:tcPr>
          <w:p w14:paraId="59C665C4" w14:textId="77777777" w:rsidR="00D457FC" w:rsidRPr="00C702D7" w:rsidRDefault="00D457FC" w:rsidP="00B718EA">
            <w:pPr>
              <w:widowControl/>
              <w:spacing w:line="240" w:lineRule="auto"/>
              <w:ind w:firstLineChars="0" w:firstLine="0"/>
              <w:jc w:val="center"/>
              <w:rPr>
                <w:rFonts w:cs="Times New Roman"/>
                <w:kern w:val="0"/>
                <w:sz w:val="18"/>
                <w:szCs w:val="18"/>
              </w:rPr>
            </w:pPr>
            <w:r w:rsidRPr="00C702D7">
              <w:rPr>
                <w:rFonts w:cs="Times New Roman"/>
                <w:kern w:val="0"/>
                <w:sz w:val="18"/>
                <w:szCs w:val="18"/>
              </w:rPr>
              <w:t>年度</w:t>
            </w:r>
            <w:r w:rsidRPr="00C702D7">
              <w:rPr>
                <w:rFonts w:cs="Times New Roman" w:hint="eastAsia"/>
                <w:kern w:val="0"/>
                <w:sz w:val="18"/>
                <w:szCs w:val="18"/>
              </w:rPr>
              <w:t>/</w:t>
            </w:r>
            <w:r w:rsidRPr="00C702D7">
              <w:rPr>
                <w:rFonts w:cs="Times New Roman" w:hint="eastAsia"/>
                <w:kern w:val="0"/>
                <w:sz w:val="18"/>
                <w:szCs w:val="18"/>
              </w:rPr>
              <w:t>行业</w:t>
            </w:r>
            <w:r w:rsidRPr="00C702D7">
              <w:rPr>
                <w:rFonts w:cs="Times New Roman"/>
                <w:kern w:val="0"/>
                <w:sz w:val="18"/>
                <w:szCs w:val="18"/>
              </w:rPr>
              <w:t>固定效应</w:t>
            </w:r>
          </w:p>
        </w:tc>
        <w:tc>
          <w:tcPr>
            <w:tcW w:w="588" w:type="pct"/>
            <w:tcBorders>
              <w:top w:val="nil"/>
              <w:left w:val="nil"/>
              <w:bottom w:val="nil"/>
              <w:right w:val="nil"/>
            </w:tcBorders>
            <w:vAlign w:val="center"/>
          </w:tcPr>
          <w:p w14:paraId="2B3AFCDA"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Yes</w:t>
            </w:r>
          </w:p>
        </w:tc>
        <w:tc>
          <w:tcPr>
            <w:tcW w:w="748" w:type="pct"/>
            <w:tcBorders>
              <w:top w:val="nil"/>
              <w:left w:val="nil"/>
              <w:bottom w:val="nil"/>
              <w:right w:val="nil"/>
            </w:tcBorders>
            <w:shd w:val="clear" w:color="auto" w:fill="auto"/>
            <w:noWrap/>
            <w:vAlign w:val="center"/>
          </w:tcPr>
          <w:p w14:paraId="1102F936"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Yes</w:t>
            </w:r>
          </w:p>
        </w:tc>
        <w:tc>
          <w:tcPr>
            <w:tcW w:w="648" w:type="pct"/>
            <w:tcBorders>
              <w:top w:val="nil"/>
              <w:left w:val="nil"/>
              <w:bottom w:val="nil"/>
              <w:right w:val="nil"/>
            </w:tcBorders>
            <w:vAlign w:val="center"/>
          </w:tcPr>
          <w:p w14:paraId="3A1F4111"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Yes</w:t>
            </w:r>
          </w:p>
        </w:tc>
        <w:tc>
          <w:tcPr>
            <w:tcW w:w="648" w:type="pct"/>
            <w:tcBorders>
              <w:top w:val="nil"/>
              <w:left w:val="nil"/>
              <w:bottom w:val="nil"/>
              <w:right w:val="nil"/>
            </w:tcBorders>
            <w:vAlign w:val="center"/>
          </w:tcPr>
          <w:p w14:paraId="5C1008B5"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Yes</w:t>
            </w:r>
          </w:p>
        </w:tc>
        <w:tc>
          <w:tcPr>
            <w:tcW w:w="672" w:type="pct"/>
            <w:tcBorders>
              <w:top w:val="nil"/>
              <w:left w:val="nil"/>
              <w:bottom w:val="nil"/>
              <w:right w:val="nil"/>
            </w:tcBorders>
          </w:tcPr>
          <w:p w14:paraId="6E2AF84B"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Yes</w:t>
            </w:r>
          </w:p>
        </w:tc>
        <w:tc>
          <w:tcPr>
            <w:tcW w:w="668" w:type="pct"/>
            <w:tcBorders>
              <w:top w:val="nil"/>
              <w:left w:val="nil"/>
              <w:bottom w:val="nil"/>
              <w:right w:val="nil"/>
            </w:tcBorders>
          </w:tcPr>
          <w:p w14:paraId="01844EB6"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Yes</w:t>
            </w:r>
          </w:p>
        </w:tc>
      </w:tr>
      <w:tr w:rsidR="00C702D7" w:rsidRPr="00C702D7" w14:paraId="6EBFD0E0" w14:textId="77777777" w:rsidTr="00B718EA">
        <w:trPr>
          <w:trHeight w:val="280"/>
          <w:jc w:val="center"/>
        </w:trPr>
        <w:tc>
          <w:tcPr>
            <w:tcW w:w="1028" w:type="pct"/>
            <w:tcBorders>
              <w:top w:val="nil"/>
              <w:bottom w:val="nil"/>
              <w:right w:val="nil"/>
            </w:tcBorders>
            <w:shd w:val="clear" w:color="auto" w:fill="auto"/>
            <w:noWrap/>
            <w:vAlign w:val="center"/>
          </w:tcPr>
          <w:p w14:paraId="74E030E0" w14:textId="77777777" w:rsidR="00D457FC" w:rsidRPr="00C702D7" w:rsidRDefault="00D457FC" w:rsidP="00B718EA">
            <w:pPr>
              <w:widowControl/>
              <w:spacing w:line="240" w:lineRule="auto"/>
              <w:ind w:firstLineChars="0" w:firstLine="0"/>
              <w:jc w:val="center"/>
              <w:rPr>
                <w:rFonts w:cs="Times New Roman"/>
                <w:kern w:val="0"/>
                <w:sz w:val="18"/>
                <w:szCs w:val="18"/>
              </w:rPr>
            </w:pPr>
            <w:r w:rsidRPr="00C702D7">
              <w:rPr>
                <w:rFonts w:cs="Times New Roman" w:hint="eastAsia"/>
                <w:kern w:val="0"/>
                <w:sz w:val="18"/>
                <w:szCs w:val="18"/>
              </w:rPr>
              <w:t>样本量</w:t>
            </w:r>
          </w:p>
        </w:tc>
        <w:tc>
          <w:tcPr>
            <w:tcW w:w="588" w:type="pct"/>
            <w:tcBorders>
              <w:top w:val="nil"/>
              <w:left w:val="nil"/>
              <w:bottom w:val="nil"/>
              <w:right w:val="nil"/>
            </w:tcBorders>
            <w:vAlign w:val="bottom"/>
          </w:tcPr>
          <w:p w14:paraId="57C001F3"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3535</w:t>
            </w:r>
          </w:p>
        </w:tc>
        <w:tc>
          <w:tcPr>
            <w:tcW w:w="748" w:type="pct"/>
            <w:tcBorders>
              <w:top w:val="nil"/>
              <w:left w:val="nil"/>
              <w:bottom w:val="nil"/>
              <w:right w:val="nil"/>
            </w:tcBorders>
            <w:shd w:val="clear" w:color="auto" w:fill="auto"/>
            <w:noWrap/>
            <w:vAlign w:val="bottom"/>
          </w:tcPr>
          <w:p w14:paraId="7C17BBCA"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3361</w:t>
            </w:r>
          </w:p>
        </w:tc>
        <w:tc>
          <w:tcPr>
            <w:tcW w:w="648" w:type="pct"/>
            <w:tcBorders>
              <w:top w:val="nil"/>
              <w:left w:val="nil"/>
              <w:bottom w:val="nil"/>
              <w:right w:val="nil"/>
            </w:tcBorders>
            <w:vAlign w:val="bottom"/>
          </w:tcPr>
          <w:p w14:paraId="358C1F88"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3535</w:t>
            </w:r>
          </w:p>
        </w:tc>
        <w:tc>
          <w:tcPr>
            <w:tcW w:w="648" w:type="pct"/>
            <w:tcBorders>
              <w:top w:val="nil"/>
              <w:left w:val="nil"/>
              <w:bottom w:val="nil"/>
              <w:right w:val="nil"/>
            </w:tcBorders>
            <w:vAlign w:val="bottom"/>
          </w:tcPr>
          <w:p w14:paraId="5BA274A7"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3361</w:t>
            </w:r>
          </w:p>
        </w:tc>
        <w:tc>
          <w:tcPr>
            <w:tcW w:w="672" w:type="pct"/>
            <w:tcBorders>
              <w:top w:val="nil"/>
              <w:left w:val="nil"/>
              <w:bottom w:val="nil"/>
              <w:right w:val="nil"/>
            </w:tcBorders>
            <w:vAlign w:val="bottom"/>
          </w:tcPr>
          <w:p w14:paraId="0262191E"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3535</w:t>
            </w:r>
          </w:p>
        </w:tc>
        <w:tc>
          <w:tcPr>
            <w:tcW w:w="668" w:type="pct"/>
            <w:tcBorders>
              <w:top w:val="nil"/>
              <w:left w:val="nil"/>
              <w:bottom w:val="nil"/>
              <w:right w:val="nil"/>
            </w:tcBorders>
            <w:vAlign w:val="bottom"/>
          </w:tcPr>
          <w:p w14:paraId="086A3D56"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3361</w:t>
            </w:r>
          </w:p>
        </w:tc>
      </w:tr>
      <w:tr w:rsidR="00C702D7" w:rsidRPr="00C702D7" w14:paraId="2AE348E0" w14:textId="77777777" w:rsidTr="00B718EA">
        <w:trPr>
          <w:trHeight w:val="280"/>
          <w:jc w:val="center"/>
        </w:trPr>
        <w:tc>
          <w:tcPr>
            <w:tcW w:w="1028" w:type="pct"/>
            <w:tcBorders>
              <w:top w:val="nil"/>
              <w:bottom w:val="single" w:sz="12" w:space="0" w:color="auto"/>
              <w:right w:val="nil"/>
            </w:tcBorders>
            <w:shd w:val="clear" w:color="auto" w:fill="auto"/>
            <w:noWrap/>
            <w:vAlign w:val="center"/>
          </w:tcPr>
          <w:p w14:paraId="4FBD20E5" w14:textId="77777777" w:rsidR="00D457FC" w:rsidRPr="00C702D7" w:rsidRDefault="00D457FC" w:rsidP="00B718EA">
            <w:pPr>
              <w:widowControl/>
              <w:spacing w:line="240" w:lineRule="auto"/>
              <w:ind w:firstLineChars="0" w:firstLine="0"/>
              <w:jc w:val="center"/>
              <w:rPr>
                <w:rFonts w:cs="Times New Roman"/>
                <w:i/>
                <w:iCs/>
                <w:kern w:val="0"/>
                <w:sz w:val="18"/>
                <w:szCs w:val="18"/>
              </w:rPr>
            </w:pPr>
            <w:r w:rsidRPr="00C702D7">
              <w:rPr>
                <w:rFonts w:cs="Times New Roman"/>
                <w:i/>
                <w:iCs/>
                <w:kern w:val="0"/>
                <w:sz w:val="18"/>
                <w:szCs w:val="18"/>
              </w:rPr>
              <w:lastRenderedPageBreak/>
              <w:t>R</w:t>
            </w:r>
            <w:r w:rsidRPr="00C702D7">
              <w:rPr>
                <w:rFonts w:cs="Times New Roman"/>
                <w:i/>
                <w:iCs/>
                <w:kern w:val="0"/>
                <w:sz w:val="18"/>
                <w:szCs w:val="18"/>
                <w:vertAlign w:val="superscript"/>
              </w:rPr>
              <w:t>2</w:t>
            </w:r>
          </w:p>
        </w:tc>
        <w:tc>
          <w:tcPr>
            <w:tcW w:w="588" w:type="pct"/>
            <w:tcBorders>
              <w:top w:val="nil"/>
              <w:left w:val="nil"/>
              <w:bottom w:val="single" w:sz="12" w:space="0" w:color="auto"/>
              <w:right w:val="nil"/>
            </w:tcBorders>
            <w:vAlign w:val="bottom"/>
          </w:tcPr>
          <w:p w14:paraId="25A3C1BE"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0.528</w:t>
            </w:r>
          </w:p>
        </w:tc>
        <w:tc>
          <w:tcPr>
            <w:tcW w:w="748" w:type="pct"/>
            <w:tcBorders>
              <w:top w:val="nil"/>
              <w:left w:val="nil"/>
              <w:bottom w:val="single" w:sz="12" w:space="0" w:color="auto"/>
              <w:right w:val="nil"/>
            </w:tcBorders>
            <w:shd w:val="clear" w:color="auto" w:fill="auto"/>
            <w:noWrap/>
            <w:vAlign w:val="bottom"/>
          </w:tcPr>
          <w:p w14:paraId="164C539E"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0.583</w:t>
            </w:r>
          </w:p>
        </w:tc>
        <w:tc>
          <w:tcPr>
            <w:tcW w:w="648" w:type="pct"/>
            <w:tcBorders>
              <w:top w:val="nil"/>
              <w:left w:val="nil"/>
              <w:bottom w:val="single" w:sz="12" w:space="0" w:color="auto"/>
              <w:right w:val="nil"/>
            </w:tcBorders>
            <w:vAlign w:val="bottom"/>
          </w:tcPr>
          <w:p w14:paraId="093093B7"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0.004</w:t>
            </w:r>
          </w:p>
        </w:tc>
        <w:tc>
          <w:tcPr>
            <w:tcW w:w="648" w:type="pct"/>
            <w:tcBorders>
              <w:top w:val="nil"/>
              <w:left w:val="nil"/>
              <w:bottom w:val="single" w:sz="12" w:space="0" w:color="auto"/>
              <w:right w:val="nil"/>
            </w:tcBorders>
            <w:vAlign w:val="bottom"/>
          </w:tcPr>
          <w:p w14:paraId="279F999D"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0.011</w:t>
            </w:r>
          </w:p>
        </w:tc>
        <w:tc>
          <w:tcPr>
            <w:tcW w:w="672" w:type="pct"/>
            <w:tcBorders>
              <w:top w:val="nil"/>
              <w:left w:val="nil"/>
              <w:bottom w:val="single" w:sz="12" w:space="0" w:color="auto"/>
              <w:right w:val="nil"/>
            </w:tcBorders>
            <w:vAlign w:val="bottom"/>
          </w:tcPr>
          <w:p w14:paraId="30D4F67A"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0.002</w:t>
            </w:r>
          </w:p>
        </w:tc>
        <w:tc>
          <w:tcPr>
            <w:tcW w:w="668" w:type="pct"/>
            <w:tcBorders>
              <w:top w:val="nil"/>
              <w:left w:val="nil"/>
              <w:bottom w:val="single" w:sz="12" w:space="0" w:color="auto"/>
              <w:right w:val="nil"/>
            </w:tcBorders>
            <w:vAlign w:val="bottom"/>
          </w:tcPr>
          <w:p w14:paraId="75006302"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0.011</w:t>
            </w:r>
          </w:p>
        </w:tc>
      </w:tr>
      <w:tr w:rsidR="00C702D7" w:rsidRPr="00C702D7" w14:paraId="0E27C566" w14:textId="77777777" w:rsidTr="00B718EA">
        <w:trPr>
          <w:trHeight w:val="280"/>
          <w:jc w:val="center"/>
        </w:trPr>
        <w:tc>
          <w:tcPr>
            <w:tcW w:w="5000" w:type="pct"/>
            <w:gridSpan w:val="7"/>
            <w:tcBorders>
              <w:top w:val="single" w:sz="12" w:space="0" w:color="auto"/>
              <w:bottom w:val="single" w:sz="12" w:space="0" w:color="auto"/>
              <w:right w:val="nil"/>
            </w:tcBorders>
            <w:shd w:val="clear" w:color="auto" w:fill="auto"/>
            <w:noWrap/>
            <w:vAlign w:val="center"/>
          </w:tcPr>
          <w:p w14:paraId="6C6F8AAB" w14:textId="77777777" w:rsidR="00D457FC" w:rsidRPr="00C702D7" w:rsidRDefault="00D457FC" w:rsidP="00B718EA">
            <w:pPr>
              <w:widowControl/>
              <w:spacing w:line="240" w:lineRule="auto"/>
              <w:ind w:firstLineChars="0" w:firstLine="0"/>
              <w:jc w:val="left"/>
              <w:rPr>
                <w:sz w:val="18"/>
                <w:szCs w:val="20"/>
              </w:rPr>
            </w:pPr>
            <w:proofErr w:type="spellStart"/>
            <w:r w:rsidRPr="00C702D7">
              <w:rPr>
                <w:rFonts w:hint="eastAsia"/>
                <w:sz w:val="18"/>
                <w:szCs w:val="20"/>
              </w:rPr>
              <w:t>PanelB</w:t>
            </w:r>
            <w:proofErr w:type="spellEnd"/>
            <w:r w:rsidRPr="00C702D7">
              <w:rPr>
                <w:rFonts w:hint="eastAsia"/>
                <w:sz w:val="18"/>
                <w:szCs w:val="20"/>
              </w:rPr>
              <w:t>：区分不同行业不确定性的差异性检验结果</w:t>
            </w:r>
          </w:p>
        </w:tc>
      </w:tr>
      <w:tr w:rsidR="00C702D7" w:rsidRPr="00C702D7" w14:paraId="52043A39" w14:textId="77777777" w:rsidTr="00B718EA">
        <w:trPr>
          <w:trHeight w:val="280"/>
          <w:jc w:val="center"/>
        </w:trPr>
        <w:tc>
          <w:tcPr>
            <w:tcW w:w="1028" w:type="pct"/>
            <w:vMerge w:val="restart"/>
            <w:tcBorders>
              <w:top w:val="single" w:sz="12" w:space="0" w:color="auto"/>
              <w:right w:val="nil"/>
            </w:tcBorders>
            <w:shd w:val="clear" w:color="auto" w:fill="auto"/>
            <w:noWrap/>
            <w:vAlign w:val="center"/>
          </w:tcPr>
          <w:p w14:paraId="26CC9686" w14:textId="77777777" w:rsidR="00D457FC" w:rsidRPr="00C702D7" w:rsidRDefault="00D457FC" w:rsidP="00B718EA">
            <w:pPr>
              <w:widowControl/>
              <w:spacing w:line="240" w:lineRule="auto"/>
              <w:ind w:firstLineChars="0" w:firstLine="0"/>
              <w:jc w:val="center"/>
              <w:rPr>
                <w:rFonts w:cs="Times New Roman"/>
                <w:kern w:val="0"/>
                <w:sz w:val="18"/>
                <w:szCs w:val="18"/>
              </w:rPr>
            </w:pPr>
            <w:r w:rsidRPr="00C702D7">
              <w:rPr>
                <w:rFonts w:cs="Times New Roman" w:hint="eastAsia"/>
                <w:kern w:val="0"/>
                <w:sz w:val="18"/>
                <w:szCs w:val="18"/>
              </w:rPr>
              <w:t>变量</w:t>
            </w:r>
          </w:p>
        </w:tc>
        <w:tc>
          <w:tcPr>
            <w:tcW w:w="588" w:type="pct"/>
            <w:tcBorders>
              <w:top w:val="single" w:sz="12" w:space="0" w:color="auto"/>
              <w:left w:val="nil"/>
              <w:bottom w:val="single" w:sz="4" w:space="0" w:color="auto"/>
              <w:right w:val="nil"/>
            </w:tcBorders>
            <w:vAlign w:val="center"/>
          </w:tcPr>
          <w:p w14:paraId="11B75C90"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w:t>
            </w:r>
            <w:r w:rsidRPr="00C702D7">
              <w:rPr>
                <w:rFonts w:eastAsia="等线" w:cs="Times New Roman"/>
                <w:sz w:val="18"/>
                <w:szCs w:val="18"/>
              </w:rPr>
              <w:t>1)</w:t>
            </w:r>
          </w:p>
        </w:tc>
        <w:tc>
          <w:tcPr>
            <w:tcW w:w="748" w:type="pct"/>
            <w:tcBorders>
              <w:top w:val="single" w:sz="12" w:space="0" w:color="auto"/>
              <w:left w:val="nil"/>
              <w:bottom w:val="single" w:sz="4" w:space="0" w:color="auto"/>
              <w:right w:val="nil"/>
            </w:tcBorders>
            <w:shd w:val="clear" w:color="auto" w:fill="auto"/>
            <w:noWrap/>
            <w:vAlign w:val="center"/>
          </w:tcPr>
          <w:p w14:paraId="4266B789"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w:t>
            </w:r>
            <w:r w:rsidRPr="00C702D7">
              <w:rPr>
                <w:rFonts w:eastAsia="等线" w:cs="Times New Roman"/>
                <w:sz w:val="18"/>
                <w:szCs w:val="18"/>
              </w:rPr>
              <w:t>2)</w:t>
            </w:r>
          </w:p>
        </w:tc>
        <w:tc>
          <w:tcPr>
            <w:tcW w:w="648" w:type="pct"/>
            <w:tcBorders>
              <w:top w:val="single" w:sz="12" w:space="0" w:color="auto"/>
              <w:left w:val="nil"/>
              <w:bottom w:val="single" w:sz="4" w:space="0" w:color="auto"/>
              <w:right w:val="nil"/>
            </w:tcBorders>
            <w:vAlign w:val="center"/>
          </w:tcPr>
          <w:p w14:paraId="799BD796" w14:textId="77777777" w:rsidR="00D457FC" w:rsidRPr="00C702D7" w:rsidRDefault="00D457FC" w:rsidP="00B718EA">
            <w:pPr>
              <w:widowControl/>
              <w:spacing w:line="240" w:lineRule="auto"/>
              <w:ind w:firstLineChars="0" w:firstLine="0"/>
              <w:jc w:val="center"/>
              <w:rPr>
                <w:sz w:val="18"/>
                <w:szCs w:val="20"/>
              </w:rPr>
            </w:pPr>
            <w:r w:rsidRPr="00C702D7">
              <w:rPr>
                <w:rFonts w:eastAsia="等线" w:cs="Times New Roman" w:hint="eastAsia"/>
                <w:sz w:val="18"/>
                <w:szCs w:val="18"/>
              </w:rPr>
              <w:t>(</w:t>
            </w:r>
            <w:r w:rsidRPr="00C702D7">
              <w:rPr>
                <w:rFonts w:eastAsia="等线" w:cs="Times New Roman"/>
                <w:sz w:val="18"/>
                <w:szCs w:val="18"/>
              </w:rPr>
              <w:t>3)</w:t>
            </w:r>
          </w:p>
        </w:tc>
        <w:tc>
          <w:tcPr>
            <w:tcW w:w="648" w:type="pct"/>
            <w:tcBorders>
              <w:top w:val="single" w:sz="12" w:space="0" w:color="auto"/>
              <w:left w:val="nil"/>
              <w:bottom w:val="single" w:sz="4" w:space="0" w:color="auto"/>
              <w:right w:val="nil"/>
            </w:tcBorders>
            <w:vAlign w:val="center"/>
          </w:tcPr>
          <w:p w14:paraId="6AAA8702" w14:textId="77777777" w:rsidR="00D457FC" w:rsidRPr="00C702D7" w:rsidRDefault="00D457FC" w:rsidP="00B718EA">
            <w:pPr>
              <w:widowControl/>
              <w:spacing w:line="240" w:lineRule="auto"/>
              <w:ind w:firstLineChars="0" w:firstLine="0"/>
              <w:jc w:val="center"/>
              <w:rPr>
                <w:sz w:val="18"/>
                <w:szCs w:val="20"/>
              </w:rPr>
            </w:pPr>
            <w:r w:rsidRPr="00C702D7">
              <w:rPr>
                <w:rFonts w:eastAsia="等线" w:cs="Times New Roman" w:hint="eastAsia"/>
                <w:sz w:val="18"/>
                <w:szCs w:val="18"/>
              </w:rPr>
              <w:t>(</w:t>
            </w:r>
            <w:r w:rsidRPr="00C702D7">
              <w:rPr>
                <w:rFonts w:eastAsia="等线" w:cs="Times New Roman"/>
                <w:sz w:val="18"/>
                <w:szCs w:val="18"/>
              </w:rPr>
              <w:t>4)</w:t>
            </w:r>
          </w:p>
        </w:tc>
        <w:tc>
          <w:tcPr>
            <w:tcW w:w="672" w:type="pct"/>
            <w:tcBorders>
              <w:top w:val="single" w:sz="12" w:space="0" w:color="auto"/>
              <w:left w:val="nil"/>
              <w:bottom w:val="single" w:sz="4" w:space="0" w:color="auto"/>
              <w:right w:val="nil"/>
            </w:tcBorders>
          </w:tcPr>
          <w:p w14:paraId="2B0A38C3"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w:t>
            </w:r>
            <w:r w:rsidRPr="00C702D7">
              <w:rPr>
                <w:rFonts w:eastAsia="等线" w:cs="Times New Roman"/>
                <w:sz w:val="18"/>
                <w:szCs w:val="18"/>
              </w:rPr>
              <w:t>5)</w:t>
            </w:r>
          </w:p>
        </w:tc>
        <w:tc>
          <w:tcPr>
            <w:tcW w:w="668" w:type="pct"/>
            <w:tcBorders>
              <w:top w:val="single" w:sz="12" w:space="0" w:color="auto"/>
              <w:left w:val="nil"/>
              <w:bottom w:val="single" w:sz="4" w:space="0" w:color="auto"/>
              <w:right w:val="nil"/>
            </w:tcBorders>
          </w:tcPr>
          <w:p w14:paraId="42304CEF"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w:t>
            </w:r>
            <w:r w:rsidRPr="00C702D7">
              <w:rPr>
                <w:rFonts w:eastAsia="等线" w:cs="Times New Roman"/>
                <w:sz w:val="18"/>
                <w:szCs w:val="18"/>
              </w:rPr>
              <w:t>6)</w:t>
            </w:r>
          </w:p>
        </w:tc>
      </w:tr>
      <w:tr w:rsidR="00C702D7" w:rsidRPr="00C702D7" w14:paraId="067951A4" w14:textId="77777777" w:rsidTr="00B718EA">
        <w:trPr>
          <w:trHeight w:val="280"/>
          <w:jc w:val="center"/>
        </w:trPr>
        <w:tc>
          <w:tcPr>
            <w:tcW w:w="1028" w:type="pct"/>
            <w:vMerge/>
            <w:tcBorders>
              <w:top w:val="single" w:sz="4" w:space="0" w:color="auto"/>
              <w:bottom w:val="single" w:sz="4" w:space="0" w:color="auto"/>
              <w:right w:val="nil"/>
            </w:tcBorders>
            <w:shd w:val="clear" w:color="auto" w:fill="auto"/>
            <w:noWrap/>
            <w:vAlign w:val="center"/>
          </w:tcPr>
          <w:p w14:paraId="073A8EE7" w14:textId="77777777" w:rsidR="00D457FC" w:rsidRPr="00C702D7" w:rsidRDefault="00D457FC" w:rsidP="00B718EA">
            <w:pPr>
              <w:widowControl/>
              <w:spacing w:line="240" w:lineRule="auto"/>
              <w:ind w:firstLineChars="0" w:firstLine="0"/>
              <w:jc w:val="center"/>
              <w:rPr>
                <w:rFonts w:cs="Times New Roman"/>
                <w:kern w:val="0"/>
                <w:sz w:val="18"/>
                <w:szCs w:val="18"/>
              </w:rPr>
            </w:pPr>
          </w:p>
        </w:tc>
        <w:tc>
          <w:tcPr>
            <w:tcW w:w="588" w:type="pct"/>
            <w:tcBorders>
              <w:top w:val="single" w:sz="4" w:space="0" w:color="auto"/>
              <w:left w:val="nil"/>
              <w:bottom w:val="single" w:sz="4" w:space="0" w:color="auto"/>
              <w:right w:val="nil"/>
            </w:tcBorders>
            <w:vAlign w:val="center"/>
          </w:tcPr>
          <w:p w14:paraId="6C88E07F" w14:textId="77777777" w:rsidR="00D457FC" w:rsidRPr="00C702D7" w:rsidRDefault="00D457FC" w:rsidP="00B718EA">
            <w:pPr>
              <w:widowControl/>
              <w:spacing w:line="240" w:lineRule="auto"/>
              <w:ind w:firstLineChars="0" w:firstLine="0"/>
              <w:jc w:val="center"/>
              <w:rPr>
                <w:rFonts w:eastAsia="等线" w:cs="Times New Roman"/>
                <w:sz w:val="18"/>
                <w:szCs w:val="18"/>
              </w:rPr>
            </w:pPr>
            <w:proofErr w:type="spellStart"/>
            <w:r w:rsidRPr="00C702D7">
              <w:rPr>
                <w:i/>
                <w:iCs/>
                <w:sz w:val="18"/>
                <w:szCs w:val="18"/>
              </w:rPr>
              <w:t>Cmiss_ind</w:t>
            </w:r>
            <w:proofErr w:type="spellEnd"/>
          </w:p>
        </w:tc>
        <w:tc>
          <w:tcPr>
            <w:tcW w:w="748" w:type="pct"/>
            <w:tcBorders>
              <w:top w:val="single" w:sz="4" w:space="0" w:color="auto"/>
              <w:left w:val="nil"/>
              <w:bottom w:val="single" w:sz="4" w:space="0" w:color="auto"/>
              <w:right w:val="nil"/>
            </w:tcBorders>
            <w:shd w:val="clear" w:color="auto" w:fill="auto"/>
            <w:noWrap/>
            <w:vAlign w:val="center"/>
          </w:tcPr>
          <w:p w14:paraId="5A196B43" w14:textId="77777777" w:rsidR="00D457FC" w:rsidRPr="00C702D7" w:rsidRDefault="00D457FC" w:rsidP="00B718EA">
            <w:pPr>
              <w:widowControl/>
              <w:spacing w:line="240" w:lineRule="auto"/>
              <w:ind w:firstLineChars="0" w:firstLine="0"/>
              <w:jc w:val="center"/>
              <w:rPr>
                <w:rFonts w:eastAsia="等线" w:cs="Times New Roman"/>
                <w:sz w:val="18"/>
                <w:szCs w:val="18"/>
              </w:rPr>
            </w:pPr>
            <w:proofErr w:type="spellStart"/>
            <w:r w:rsidRPr="00C702D7">
              <w:rPr>
                <w:i/>
                <w:iCs/>
                <w:sz w:val="18"/>
                <w:szCs w:val="18"/>
              </w:rPr>
              <w:t>Cmiss_ind</w:t>
            </w:r>
            <w:proofErr w:type="spellEnd"/>
          </w:p>
        </w:tc>
        <w:tc>
          <w:tcPr>
            <w:tcW w:w="648" w:type="pct"/>
            <w:tcBorders>
              <w:top w:val="single" w:sz="4" w:space="0" w:color="auto"/>
              <w:left w:val="nil"/>
              <w:bottom w:val="single" w:sz="4" w:space="0" w:color="auto"/>
              <w:right w:val="nil"/>
            </w:tcBorders>
            <w:vAlign w:val="center"/>
          </w:tcPr>
          <w:p w14:paraId="1C34BE63" w14:textId="77777777" w:rsidR="00D457FC" w:rsidRPr="00C702D7" w:rsidRDefault="00D457FC" w:rsidP="00B718EA">
            <w:pPr>
              <w:widowControl/>
              <w:spacing w:line="240" w:lineRule="auto"/>
              <w:ind w:firstLineChars="0" w:firstLine="0"/>
              <w:jc w:val="center"/>
              <w:rPr>
                <w:sz w:val="18"/>
                <w:szCs w:val="20"/>
              </w:rPr>
            </w:pPr>
            <w:proofErr w:type="spellStart"/>
            <w:r w:rsidRPr="00C702D7">
              <w:rPr>
                <w:i/>
                <w:iCs/>
                <w:sz w:val="18"/>
                <w:szCs w:val="18"/>
              </w:rPr>
              <w:t>Cmiss_</w:t>
            </w:r>
            <w:r w:rsidRPr="00C702D7">
              <w:rPr>
                <w:rFonts w:hint="eastAsia"/>
                <w:i/>
                <w:iCs/>
                <w:sz w:val="18"/>
                <w:szCs w:val="18"/>
              </w:rPr>
              <w:t>total</w:t>
            </w:r>
            <w:proofErr w:type="spellEnd"/>
          </w:p>
        </w:tc>
        <w:tc>
          <w:tcPr>
            <w:tcW w:w="648" w:type="pct"/>
            <w:tcBorders>
              <w:top w:val="single" w:sz="4" w:space="0" w:color="auto"/>
              <w:left w:val="nil"/>
              <w:bottom w:val="single" w:sz="4" w:space="0" w:color="auto"/>
              <w:right w:val="nil"/>
            </w:tcBorders>
            <w:vAlign w:val="center"/>
          </w:tcPr>
          <w:p w14:paraId="2E7895A9" w14:textId="77777777" w:rsidR="00D457FC" w:rsidRPr="00C702D7" w:rsidRDefault="00D457FC" w:rsidP="00B718EA">
            <w:pPr>
              <w:widowControl/>
              <w:spacing w:line="240" w:lineRule="auto"/>
              <w:ind w:firstLineChars="0" w:firstLine="0"/>
              <w:jc w:val="center"/>
              <w:rPr>
                <w:sz w:val="18"/>
                <w:szCs w:val="20"/>
              </w:rPr>
            </w:pPr>
            <w:proofErr w:type="spellStart"/>
            <w:r w:rsidRPr="00C702D7">
              <w:rPr>
                <w:i/>
                <w:iCs/>
                <w:sz w:val="18"/>
                <w:szCs w:val="18"/>
              </w:rPr>
              <w:t>Cmiss_</w:t>
            </w:r>
            <w:r w:rsidRPr="00C702D7">
              <w:rPr>
                <w:rFonts w:hint="eastAsia"/>
                <w:i/>
                <w:iCs/>
                <w:sz w:val="18"/>
                <w:szCs w:val="18"/>
              </w:rPr>
              <w:t>total</w:t>
            </w:r>
            <w:proofErr w:type="spellEnd"/>
          </w:p>
        </w:tc>
        <w:tc>
          <w:tcPr>
            <w:tcW w:w="672" w:type="pct"/>
            <w:tcBorders>
              <w:top w:val="single" w:sz="4" w:space="0" w:color="auto"/>
              <w:left w:val="nil"/>
              <w:bottom w:val="single" w:sz="4" w:space="0" w:color="auto"/>
              <w:right w:val="nil"/>
            </w:tcBorders>
          </w:tcPr>
          <w:p w14:paraId="631248FD" w14:textId="77777777" w:rsidR="00D457FC" w:rsidRPr="00C702D7" w:rsidRDefault="00D457FC" w:rsidP="00B718EA">
            <w:pPr>
              <w:widowControl/>
              <w:spacing w:line="240" w:lineRule="auto"/>
              <w:ind w:firstLineChars="0" w:firstLine="0"/>
              <w:jc w:val="center"/>
              <w:rPr>
                <w:i/>
                <w:iCs/>
                <w:sz w:val="18"/>
                <w:szCs w:val="18"/>
              </w:rPr>
            </w:pPr>
            <w:proofErr w:type="spellStart"/>
            <w:r w:rsidRPr="00C702D7">
              <w:rPr>
                <w:i/>
                <w:iCs/>
                <w:sz w:val="18"/>
                <w:szCs w:val="18"/>
              </w:rPr>
              <w:t>dCmiss</w:t>
            </w:r>
            <w:proofErr w:type="spellEnd"/>
          </w:p>
        </w:tc>
        <w:tc>
          <w:tcPr>
            <w:tcW w:w="668" w:type="pct"/>
            <w:tcBorders>
              <w:top w:val="single" w:sz="4" w:space="0" w:color="auto"/>
              <w:left w:val="nil"/>
              <w:bottom w:val="single" w:sz="4" w:space="0" w:color="auto"/>
              <w:right w:val="nil"/>
            </w:tcBorders>
          </w:tcPr>
          <w:p w14:paraId="4F86EE85" w14:textId="77777777" w:rsidR="00D457FC" w:rsidRPr="00C702D7" w:rsidRDefault="00D457FC" w:rsidP="00B718EA">
            <w:pPr>
              <w:widowControl/>
              <w:spacing w:line="240" w:lineRule="auto"/>
              <w:ind w:firstLineChars="0" w:firstLine="0"/>
              <w:jc w:val="center"/>
              <w:rPr>
                <w:i/>
                <w:iCs/>
                <w:sz w:val="18"/>
                <w:szCs w:val="18"/>
              </w:rPr>
            </w:pPr>
            <w:proofErr w:type="spellStart"/>
            <w:r w:rsidRPr="00C702D7">
              <w:rPr>
                <w:i/>
                <w:iCs/>
                <w:sz w:val="18"/>
                <w:szCs w:val="18"/>
              </w:rPr>
              <w:t>dCmiss</w:t>
            </w:r>
            <w:proofErr w:type="spellEnd"/>
          </w:p>
        </w:tc>
      </w:tr>
      <w:tr w:rsidR="00C702D7" w:rsidRPr="00C702D7" w14:paraId="476441FF" w14:textId="77777777" w:rsidTr="00B718EA">
        <w:trPr>
          <w:trHeight w:val="280"/>
          <w:jc w:val="center"/>
        </w:trPr>
        <w:tc>
          <w:tcPr>
            <w:tcW w:w="1028" w:type="pct"/>
            <w:vMerge w:val="restart"/>
            <w:tcBorders>
              <w:top w:val="single" w:sz="4" w:space="0" w:color="auto"/>
              <w:right w:val="nil"/>
            </w:tcBorders>
            <w:shd w:val="clear" w:color="auto" w:fill="auto"/>
            <w:noWrap/>
            <w:vAlign w:val="center"/>
          </w:tcPr>
          <w:p w14:paraId="773DB493" w14:textId="77777777" w:rsidR="00D457FC" w:rsidRPr="00C702D7" w:rsidRDefault="00D457FC" w:rsidP="00B718EA">
            <w:pPr>
              <w:widowControl/>
              <w:spacing w:line="240" w:lineRule="auto"/>
              <w:ind w:firstLineChars="0" w:firstLine="0"/>
              <w:jc w:val="center"/>
              <w:rPr>
                <w:rFonts w:cs="Times New Roman"/>
                <w:kern w:val="0"/>
                <w:sz w:val="18"/>
                <w:szCs w:val="18"/>
              </w:rPr>
            </w:pPr>
            <w:r w:rsidRPr="00C702D7">
              <w:rPr>
                <w:rFonts w:cs="Times New Roman"/>
                <w:bCs/>
                <w:i/>
                <w:iCs/>
                <w:sz w:val="18"/>
                <w:szCs w:val="18"/>
              </w:rPr>
              <w:t>G</w:t>
            </w:r>
            <w:r w:rsidRPr="00C702D7">
              <w:rPr>
                <w:rFonts w:cs="Times New Roman" w:hint="eastAsia"/>
                <w:bCs/>
                <w:i/>
                <w:iCs/>
                <w:sz w:val="18"/>
                <w:szCs w:val="18"/>
              </w:rPr>
              <w:t>a</w:t>
            </w:r>
            <w:r w:rsidRPr="00C702D7">
              <w:rPr>
                <w:rFonts w:cs="Times New Roman"/>
                <w:bCs/>
                <w:i/>
                <w:iCs/>
                <w:sz w:val="18"/>
                <w:szCs w:val="18"/>
              </w:rPr>
              <w:t>tten</w:t>
            </w:r>
          </w:p>
        </w:tc>
        <w:tc>
          <w:tcPr>
            <w:tcW w:w="588" w:type="pct"/>
            <w:tcBorders>
              <w:top w:val="single" w:sz="4" w:space="0" w:color="auto"/>
              <w:left w:val="nil"/>
              <w:bottom w:val="nil"/>
              <w:right w:val="nil"/>
            </w:tcBorders>
            <w:vAlign w:val="bottom"/>
          </w:tcPr>
          <w:p w14:paraId="15456DDB"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-1.0129</w:t>
            </w:r>
            <w:r w:rsidRPr="00C702D7">
              <w:rPr>
                <w:rFonts w:eastAsia="等线" w:cs="Times New Roman" w:hint="eastAsia"/>
                <w:sz w:val="18"/>
                <w:szCs w:val="18"/>
                <w:vertAlign w:val="superscript"/>
              </w:rPr>
              <w:t>*</w:t>
            </w:r>
          </w:p>
        </w:tc>
        <w:tc>
          <w:tcPr>
            <w:tcW w:w="748" w:type="pct"/>
            <w:tcBorders>
              <w:top w:val="single" w:sz="4" w:space="0" w:color="auto"/>
              <w:left w:val="nil"/>
              <w:bottom w:val="nil"/>
              <w:right w:val="nil"/>
            </w:tcBorders>
            <w:shd w:val="clear" w:color="auto" w:fill="auto"/>
            <w:noWrap/>
            <w:vAlign w:val="bottom"/>
          </w:tcPr>
          <w:p w14:paraId="2394272D"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-0.5224</w:t>
            </w:r>
          </w:p>
        </w:tc>
        <w:tc>
          <w:tcPr>
            <w:tcW w:w="648" w:type="pct"/>
            <w:vMerge w:val="restart"/>
            <w:tcBorders>
              <w:top w:val="single" w:sz="4" w:space="0" w:color="auto"/>
              <w:left w:val="nil"/>
              <w:right w:val="nil"/>
            </w:tcBorders>
            <w:vAlign w:val="center"/>
          </w:tcPr>
          <w:p w14:paraId="05AFC12B"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w:t>
            </w:r>
          </w:p>
        </w:tc>
        <w:tc>
          <w:tcPr>
            <w:tcW w:w="648" w:type="pct"/>
            <w:vMerge w:val="restart"/>
            <w:tcBorders>
              <w:top w:val="single" w:sz="4" w:space="0" w:color="auto"/>
              <w:left w:val="nil"/>
              <w:right w:val="nil"/>
            </w:tcBorders>
            <w:vAlign w:val="center"/>
          </w:tcPr>
          <w:p w14:paraId="42923D9A"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w:t>
            </w:r>
          </w:p>
        </w:tc>
        <w:tc>
          <w:tcPr>
            <w:tcW w:w="672" w:type="pct"/>
            <w:vMerge w:val="restart"/>
            <w:tcBorders>
              <w:top w:val="single" w:sz="4" w:space="0" w:color="auto"/>
              <w:left w:val="nil"/>
              <w:right w:val="nil"/>
            </w:tcBorders>
            <w:vAlign w:val="center"/>
          </w:tcPr>
          <w:p w14:paraId="7F521283"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w:t>
            </w:r>
          </w:p>
        </w:tc>
        <w:tc>
          <w:tcPr>
            <w:tcW w:w="668" w:type="pct"/>
            <w:vMerge w:val="restart"/>
            <w:tcBorders>
              <w:top w:val="single" w:sz="4" w:space="0" w:color="auto"/>
              <w:left w:val="nil"/>
              <w:right w:val="nil"/>
            </w:tcBorders>
            <w:vAlign w:val="center"/>
          </w:tcPr>
          <w:p w14:paraId="0A9D1611"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w:t>
            </w:r>
          </w:p>
        </w:tc>
      </w:tr>
      <w:tr w:rsidR="00C702D7" w:rsidRPr="00C702D7" w14:paraId="527ACFED" w14:textId="77777777" w:rsidTr="00B718EA">
        <w:trPr>
          <w:trHeight w:val="280"/>
          <w:jc w:val="center"/>
        </w:trPr>
        <w:tc>
          <w:tcPr>
            <w:tcW w:w="1028" w:type="pct"/>
            <w:vMerge/>
            <w:tcBorders>
              <w:bottom w:val="nil"/>
              <w:right w:val="nil"/>
            </w:tcBorders>
            <w:shd w:val="clear" w:color="auto" w:fill="auto"/>
            <w:noWrap/>
            <w:vAlign w:val="center"/>
          </w:tcPr>
          <w:p w14:paraId="6C44B9D6" w14:textId="77777777" w:rsidR="00D457FC" w:rsidRPr="00C702D7" w:rsidRDefault="00D457FC" w:rsidP="00B718EA">
            <w:pPr>
              <w:widowControl/>
              <w:spacing w:line="240" w:lineRule="auto"/>
              <w:ind w:firstLineChars="0" w:firstLine="0"/>
              <w:jc w:val="center"/>
              <w:rPr>
                <w:rFonts w:cs="Times New Roman"/>
                <w:kern w:val="0"/>
                <w:sz w:val="18"/>
                <w:szCs w:val="18"/>
              </w:rPr>
            </w:pPr>
          </w:p>
        </w:tc>
        <w:tc>
          <w:tcPr>
            <w:tcW w:w="588" w:type="pct"/>
            <w:tcBorders>
              <w:top w:val="nil"/>
              <w:left w:val="nil"/>
              <w:bottom w:val="nil"/>
              <w:right w:val="nil"/>
            </w:tcBorders>
            <w:vAlign w:val="bottom"/>
          </w:tcPr>
          <w:p w14:paraId="239A3DA8"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(-2.0167)</w:t>
            </w:r>
          </w:p>
        </w:tc>
        <w:tc>
          <w:tcPr>
            <w:tcW w:w="748" w:type="pct"/>
            <w:tcBorders>
              <w:top w:val="nil"/>
              <w:left w:val="nil"/>
              <w:bottom w:val="nil"/>
              <w:right w:val="nil"/>
            </w:tcBorders>
            <w:shd w:val="clear" w:color="auto" w:fill="auto"/>
            <w:noWrap/>
            <w:vAlign w:val="bottom"/>
          </w:tcPr>
          <w:p w14:paraId="6F3C13B2"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(-0.8339)</w:t>
            </w:r>
          </w:p>
        </w:tc>
        <w:tc>
          <w:tcPr>
            <w:tcW w:w="648" w:type="pct"/>
            <w:vMerge/>
            <w:tcBorders>
              <w:left w:val="nil"/>
              <w:bottom w:val="nil"/>
              <w:right w:val="nil"/>
            </w:tcBorders>
            <w:vAlign w:val="center"/>
          </w:tcPr>
          <w:p w14:paraId="6ECC804F"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648" w:type="pct"/>
            <w:vMerge/>
            <w:tcBorders>
              <w:left w:val="nil"/>
              <w:bottom w:val="nil"/>
              <w:right w:val="nil"/>
            </w:tcBorders>
            <w:vAlign w:val="center"/>
          </w:tcPr>
          <w:p w14:paraId="36633F3A"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672" w:type="pct"/>
            <w:vMerge/>
            <w:tcBorders>
              <w:left w:val="nil"/>
              <w:bottom w:val="nil"/>
              <w:right w:val="nil"/>
            </w:tcBorders>
          </w:tcPr>
          <w:p w14:paraId="187D5689"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668" w:type="pct"/>
            <w:vMerge/>
            <w:tcBorders>
              <w:left w:val="nil"/>
              <w:bottom w:val="nil"/>
              <w:right w:val="nil"/>
            </w:tcBorders>
          </w:tcPr>
          <w:p w14:paraId="1B6D7DAB" w14:textId="77777777" w:rsidR="00D457FC" w:rsidRPr="00C702D7" w:rsidRDefault="00D457FC" w:rsidP="00B718EA">
            <w:pPr>
              <w:widowControl/>
              <w:spacing w:line="240" w:lineRule="auto"/>
              <w:ind w:firstLineChars="0" w:firstLine="0"/>
              <w:jc w:val="center"/>
              <w:rPr>
                <w:rFonts w:eastAsia="等线" w:cs="Times New Roman"/>
                <w:sz w:val="18"/>
                <w:szCs w:val="18"/>
              </w:rPr>
            </w:pPr>
          </w:p>
        </w:tc>
      </w:tr>
      <w:tr w:rsidR="00C702D7" w:rsidRPr="00C702D7" w14:paraId="022D107E" w14:textId="77777777" w:rsidTr="00B718EA">
        <w:trPr>
          <w:trHeight w:val="280"/>
          <w:jc w:val="center"/>
        </w:trPr>
        <w:tc>
          <w:tcPr>
            <w:tcW w:w="1028" w:type="pct"/>
            <w:vMerge w:val="restart"/>
            <w:tcBorders>
              <w:top w:val="nil"/>
              <w:right w:val="nil"/>
            </w:tcBorders>
            <w:shd w:val="clear" w:color="auto" w:fill="auto"/>
            <w:noWrap/>
            <w:vAlign w:val="center"/>
          </w:tcPr>
          <w:p w14:paraId="4C87A9E3" w14:textId="77777777" w:rsidR="00D457FC" w:rsidRPr="00C702D7" w:rsidRDefault="00D457FC" w:rsidP="00B718EA">
            <w:pPr>
              <w:widowControl/>
              <w:spacing w:line="240" w:lineRule="auto"/>
              <w:ind w:firstLineChars="0" w:firstLine="0"/>
              <w:jc w:val="center"/>
              <w:rPr>
                <w:rFonts w:cs="Times New Roman"/>
                <w:kern w:val="0"/>
                <w:sz w:val="18"/>
                <w:szCs w:val="18"/>
              </w:rPr>
            </w:pPr>
            <w:proofErr w:type="spellStart"/>
            <w:r w:rsidRPr="00C702D7">
              <w:rPr>
                <w:rFonts w:cs="Times New Roman" w:hint="eastAsia"/>
                <w:i/>
                <w:iCs/>
                <w:sz w:val="18"/>
                <w:szCs w:val="18"/>
              </w:rPr>
              <w:t>C</w:t>
            </w:r>
            <w:r w:rsidRPr="00C702D7">
              <w:rPr>
                <w:rFonts w:cs="Times New Roman"/>
                <w:i/>
                <w:iCs/>
                <w:sz w:val="18"/>
                <w:szCs w:val="18"/>
              </w:rPr>
              <w:t>miss_se</w:t>
            </w:r>
            <w:proofErr w:type="spellEnd"/>
          </w:p>
        </w:tc>
        <w:tc>
          <w:tcPr>
            <w:tcW w:w="588" w:type="pct"/>
            <w:vMerge w:val="restart"/>
            <w:tcBorders>
              <w:top w:val="nil"/>
              <w:left w:val="nil"/>
              <w:right w:val="nil"/>
            </w:tcBorders>
            <w:vAlign w:val="center"/>
          </w:tcPr>
          <w:p w14:paraId="0B8D4DCC"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w:t>
            </w:r>
          </w:p>
        </w:tc>
        <w:tc>
          <w:tcPr>
            <w:tcW w:w="748" w:type="pct"/>
            <w:vMerge w:val="restart"/>
            <w:tcBorders>
              <w:top w:val="nil"/>
              <w:left w:val="nil"/>
              <w:right w:val="nil"/>
            </w:tcBorders>
            <w:shd w:val="clear" w:color="auto" w:fill="auto"/>
            <w:noWrap/>
            <w:vAlign w:val="center"/>
          </w:tcPr>
          <w:p w14:paraId="46EE46E7"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w:t>
            </w:r>
          </w:p>
        </w:tc>
        <w:tc>
          <w:tcPr>
            <w:tcW w:w="648" w:type="pct"/>
            <w:tcBorders>
              <w:top w:val="nil"/>
              <w:left w:val="nil"/>
              <w:bottom w:val="nil"/>
              <w:right w:val="nil"/>
            </w:tcBorders>
            <w:vAlign w:val="bottom"/>
          </w:tcPr>
          <w:p w14:paraId="3E22E3CF"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-0.2356</w:t>
            </w:r>
            <w:r w:rsidRPr="00C702D7">
              <w:rPr>
                <w:rFonts w:eastAsia="等线" w:cs="Times New Roman" w:hint="eastAsia"/>
                <w:sz w:val="18"/>
                <w:szCs w:val="18"/>
                <w:vertAlign w:val="superscript"/>
              </w:rPr>
              <w:t>**</w:t>
            </w:r>
          </w:p>
        </w:tc>
        <w:tc>
          <w:tcPr>
            <w:tcW w:w="648" w:type="pct"/>
            <w:tcBorders>
              <w:top w:val="nil"/>
              <w:left w:val="nil"/>
              <w:bottom w:val="nil"/>
              <w:right w:val="nil"/>
            </w:tcBorders>
            <w:vAlign w:val="bottom"/>
          </w:tcPr>
          <w:p w14:paraId="5B8A5882"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0.0071</w:t>
            </w:r>
          </w:p>
        </w:tc>
        <w:tc>
          <w:tcPr>
            <w:tcW w:w="672" w:type="pct"/>
            <w:tcBorders>
              <w:top w:val="nil"/>
              <w:left w:val="nil"/>
              <w:bottom w:val="nil"/>
              <w:right w:val="nil"/>
            </w:tcBorders>
            <w:vAlign w:val="bottom"/>
          </w:tcPr>
          <w:p w14:paraId="65726B09"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-0.7094</w:t>
            </w:r>
            <w:r w:rsidRPr="00C702D7">
              <w:rPr>
                <w:rFonts w:eastAsia="等线" w:cs="Times New Roman" w:hint="eastAsia"/>
                <w:sz w:val="18"/>
                <w:szCs w:val="18"/>
                <w:vertAlign w:val="superscript"/>
              </w:rPr>
              <w:t>**</w:t>
            </w:r>
          </w:p>
        </w:tc>
        <w:tc>
          <w:tcPr>
            <w:tcW w:w="668" w:type="pct"/>
            <w:tcBorders>
              <w:top w:val="nil"/>
              <w:left w:val="nil"/>
              <w:bottom w:val="nil"/>
              <w:right w:val="nil"/>
            </w:tcBorders>
            <w:vAlign w:val="bottom"/>
          </w:tcPr>
          <w:p w14:paraId="7181231D"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-0.7361</w:t>
            </w:r>
          </w:p>
        </w:tc>
      </w:tr>
      <w:tr w:rsidR="00C702D7" w:rsidRPr="00C702D7" w14:paraId="41FD55AB" w14:textId="77777777" w:rsidTr="00B718EA">
        <w:trPr>
          <w:trHeight w:val="280"/>
          <w:jc w:val="center"/>
        </w:trPr>
        <w:tc>
          <w:tcPr>
            <w:tcW w:w="1028" w:type="pct"/>
            <w:vMerge/>
            <w:tcBorders>
              <w:bottom w:val="nil"/>
              <w:right w:val="nil"/>
            </w:tcBorders>
            <w:shd w:val="clear" w:color="auto" w:fill="auto"/>
            <w:noWrap/>
            <w:vAlign w:val="center"/>
          </w:tcPr>
          <w:p w14:paraId="15DE561E" w14:textId="77777777" w:rsidR="00D457FC" w:rsidRPr="00C702D7" w:rsidRDefault="00D457FC" w:rsidP="00B718EA">
            <w:pPr>
              <w:widowControl/>
              <w:spacing w:line="240" w:lineRule="auto"/>
              <w:ind w:firstLineChars="0" w:firstLine="0"/>
              <w:jc w:val="center"/>
              <w:rPr>
                <w:rFonts w:cs="Times New Roman"/>
                <w:kern w:val="0"/>
                <w:sz w:val="18"/>
                <w:szCs w:val="18"/>
              </w:rPr>
            </w:pPr>
          </w:p>
        </w:tc>
        <w:tc>
          <w:tcPr>
            <w:tcW w:w="588" w:type="pct"/>
            <w:vMerge/>
            <w:tcBorders>
              <w:left w:val="nil"/>
              <w:bottom w:val="nil"/>
              <w:right w:val="nil"/>
            </w:tcBorders>
            <w:vAlign w:val="center"/>
          </w:tcPr>
          <w:p w14:paraId="0D9A740D"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748" w:type="pct"/>
            <w:vMerge/>
            <w:tcBorders>
              <w:left w:val="nil"/>
              <w:bottom w:val="nil"/>
              <w:right w:val="nil"/>
            </w:tcBorders>
            <w:shd w:val="clear" w:color="auto" w:fill="auto"/>
            <w:noWrap/>
            <w:vAlign w:val="center"/>
          </w:tcPr>
          <w:p w14:paraId="7962D536" w14:textId="77777777" w:rsidR="00D457FC" w:rsidRPr="00C702D7" w:rsidRDefault="00D457FC" w:rsidP="00B718EA">
            <w:pPr>
              <w:widowControl/>
              <w:spacing w:line="240" w:lineRule="auto"/>
              <w:ind w:firstLineChars="0" w:firstLine="0"/>
              <w:jc w:val="center"/>
              <w:rPr>
                <w:rFonts w:eastAsia="等线" w:cs="Times New Roman"/>
                <w:sz w:val="18"/>
                <w:szCs w:val="18"/>
              </w:rPr>
            </w:pPr>
          </w:p>
        </w:tc>
        <w:tc>
          <w:tcPr>
            <w:tcW w:w="648" w:type="pct"/>
            <w:tcBorders>
              <w:top w:val="nil"/>
              <w:left w:val="nil"/>
              <w:bottom w:val="nil"/>
              <w:right w:val="nil"/>
            </w:tcBorders>
            <w:vAlign w:val="bottom"/>
          </w:tcPr>
          <w:p w14:paraId="5F9A6530"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(-2.2352)</w:t>
            </w:r>
          </w:p>
        </w:tc>
        <w:tc>
          <w:tcPr>
            <w:tcW w:w="648" w:type="pct"/>
            <w:tcBorders>
              <w:top w:val="nil"/>
              <w:left w:val="nil"/>
              <w:bottom w:val="nil"/>
              <w:right w:val="nil"/>
            </w:tcBorders>
            <w:vAlign w:val="bottom"/>
          </w:tcPr>
          <w:p w14:paraId="4128C3EB"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(0.0912)</w:t>
            </w:r>
          </w:p>
        </w:tc>
        <w:tc>
          <w:tcPr>
            <w:tcW w:w="672" w:type="pct"/>
            <w:tcBorders>
              <w:top w:val="nil"/>
              <w:left w:val="nil"/>
              <w:bottom w:val="nil"/>
              <w:right w:val="nil"/>
            </w:tcBorders>
            <w:vAlign w:val="bottom"/>
          </w:tcPr>
          <w:p w14:paraId="53F0F446"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(-2.8115)</w:t>
            </w:r>
          </w:p>
        </w:tc>
        <w:tc>
          <w:tcPr>
            <w:tcW w:w="668" w:type="pct"/>
            <w:tcBorders>
              <w:top w:val="nil"/>
              <w:left w:val="nil"/>
              <w:bottom w:val="nil"/>
              <w:right w:val="nil"/>
            </w:tcBorders>
            <w:vAlign w:val="bottom"/>
          </w:tcPr>
          <w:p w14:paraId="5DD7FC77"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(-1.1409)</w:t>
            </w:r>
          </w:p>
        </w:tc>
      </w:tr>
      <w:tr w:rsidR="00C702D7" w:rsidRPr="00C702D7" w14:paraId="1ED99C59" w14:textId="77777777" w:rsidTr="00B718EA">
        <w:trPr>
          <w:trHeight w:val="280"/>
          <w:jc w:val="center"/>
        </w:trPr>
        <w:tc>
          <w:tcPr>
            <w:tcW w:w="1028" w:type="pct"/>
            <w:tcBorders>
              <w:top w:val="nil"/>
              <w:bottom w:val="nil"/>
              <w:right w:val="nil"/>
            </w:tcBorders>
            <w:shd w:val="clear" w:color="auto" w:fill="auto"/>
            <w:noWrap/>
            <w:vAlign w:val="center"/>
          </w:tcPr>
          <w:p w14:paraId="2ECC654D" w14:textId="77777777" w:rsidR="00D457FC" w:rsidRPr="00C702D7" w:rsidRDefault="00D457FC" w:rsidP="00B718EA">
            <w:pPr>
              <w:widowControl/>
              <w:spacing w:line="240" w:lineRule="auto"/>
              <w:ind w:firstLineChars="0" w:firstLine="0"/>
              <w:jc w:val="center"/>
              <w:rPr>
                <w:rFonts w:cs="Times New Roman"/>
                <w:kern w:val="0"/>
                <w:sz w:val="18"/>
                <w:szCs w:val="18"/>
              </w:rPr>
            </w:pPr>
            <w:r w:rsidRPr="00C702D7">
              <w:rPr>
                <w:rFonts w:cs="Times New Roman" w:hint="eastAsia"/>
                <w:kern w:val="0"/>
                <w:sz w:val="18"/>
                <w:szCs w:val="18"/>
              </w:rPr>
              <w:t>控制变量</w:t>
            </w:r>
          </w:p>
        </w:tc>
        <w:tc>
          <w:tcPr>
            <w:tcW w:w="588" w:type="pct"/>
            <w:tcBorders>
              <w:top w:val="nil"/>
              <w:left w:val="nil"/>
              <w:bottom w:val="nil"/>
              <w:right w:val="nil"/>
            </w:tcBorders>
            <w:vAlign w:val="center"/>
          </w:tcPr>
          <w:p w14:paraId="72570F30"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Yes</w:t>
            </w:r>
          </w:p>
        </w:tc>
        <w:tc>
          <w:tcPr>
            <w:tcW w:w="748" w:type="pct"/>
            <w:tcBorders>
              <w:top w:val="nil"/>
              <w:left w:val="nil"/>
              <w:bottom w:val="nil"/>
              <w:right w:val="nil"/>
            </w:tcBorders>
            <w:shd w:val="clear" w:color="auto" w:fill="auto"/>
            <w:noWrap/>
            <w:vAlign w:val="center"/>
          </w:tcPr>
          <w:p w14:paraId="10EEAAF0"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Yes</w:t>
            </w:r>
          </w:p>
        </w:tc>
        <w:tc>
          <w:tcPr>
            <w:tcW w:w="648" w:type="pct"/>
            <w:tcBorders>
              <w:top w:val="nil"/>
              <w:left w:val="nil"/>
              <w:bottom w:val="nil"/>
              <w:right w:val="nil"/>
            </w:tcBorders>
            <w:vAlign w:val="center"/>
          </w:tcPr>
          <w:p w14:paraId="2F206E76" w14:textId="77777777" w:rsidR="00D457FC" w:rsidRPr="00C702D7" w:rsidRDefault="00D457FC" w:rsidP="00B718EA">
            <w:pPr>
              <w:widowControl/>
              <w:spacing w:line="240" w:lineRule="auto"/>
              <w:ind w:firstLineChars="0" w:firstLine="0"/>
              <w:jc w:val="center"/>
              <w:rPr>
                <w:sz w:val="18"/>
                <w:szCs w:val="20"/>
              </w:rPr>
            </w:pPr>
            <w:r w:rsidRPr="00C702D7">
              <w:rPr>
                <w:rFonts w:eastAsia="等线" w:cs="Times New Roman" w:hint="eastAsia"/>
                <w:sz w:val="18"/>
                <w:szCs w:val="18"/>
              </w:rPr>
              <w:t>Yes</w:t>
            </w:r>
          </w:p>
        </w:tc>
        <w:tc>
          <w:tcPr>
            <w:tcW w:w="648" w:type="pct"/>
            <w:tcBorders>
              <w:top w:val="nil"/>
              <w:left w:val="nil"/>
              <w:bottom w:val="nil"/>
              <w:right w:val="nil"/>
            </w:tcBorders>
            <w:vAlign w:val="center"/>
          </w:tcPr>
          <w:p w14:paraId="0A3A8454" w14:textId="77777777" w:rsidR="00D457FC" w:rsidRPr="00C702D7" w:rsidRDefault="00D457FC" w:rsidP="00B718EA">
            <w:pPr>
              <w:widowControl/>
              <w:spacing w:line="240" w:lineRule="auto"/>
              <w:ind w:firstLineChars="0" w:firstLine="0"/>
              <w:jc w:val="center"/>
              <w:rPr>
                <w:sz w:val="18"/>
                <w:szCs w:val="20"/>
              </w:rPr>
            </w:pPr>
            <w:r w:rsidRPr="00C702D7">
              <w:rPr>
                <w:rFonts w:eastAsia="等线" w:cs="Times New Roman" w:hint="eastAsia"/>
                <w:sz w:val="18"/>
                <w:szCs w:val="18"/>
              </w:rPr>
              <w:t>Yes</w:t>
            </w:r>
          </w:p>
        </w:tc>
        <w:tc>
          <w:tcPr>
            <w:tcW w:w="672" w:type="pct"/>
            <w:tcBorders>
              <w:top w:val="nil"/>
              <w:left w:val="nil"/>
              <w:bottom w:val="nil"/>
              <w:right w:val="nil"/>
            </w:tcBorders>
          </w:tcPr>
          <w:p w14:paraId="01F34DBB"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Yes</w:t>
            </w:r>
          </w:p>
        </w:tc>
        <w:tc>
          <w:tcPr>
            <w:tcW w:w="668" w:type="pct"/>
            <w:tcBorders>
              <w:top w:val="nil"/>
              <w:left w:val="nil"/>
              <w:bottom w:val="nil"/>
              <w:right w:val="nil"/>
            </w:tcBorders>
          </w:tcPr>
          <w:p w14:paraId="6DF9AFC9"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Yes</w:t>
            </w:r>
          </w:p>
        </w:tc>
      </w:tr>
      <w:tr w:rsidR="00C702D7" w:rsidRPr="00C702D7" w14:paraId="19FB34B4" w14:textId="77777777" w:rsidTr="00B718EA">
        <w:trPr>
          <w:trHeight w:val="280"/>
          <w:jc w:val="center"/>
        </w:trPr>
        <w:tc>
          <w:tcPr>
            <w:tcW w:w="1028" w:type="pct"/>
            <w:tcBorders>
              <w:top w:val="nil"/>
              <w:bottom w:val="nil"/>
              <w:right w:val="nil"/>
            </w:tcBorders>
            <w:shd w:val="clear" w:color="auto" w:fill="auto"/>
            <w:noWrap/>
            <w:vAlign w:val="center"/>
          </w:tcPr>
          <w:p w14:paraId="1D4FC326" w14:textId="77777777" w:rsidR="00D457FC" w:rsidRPr="00C702D7" w:rsidRDefault="00D457FC" w:rsidP="00B718EA">
            <w:pPr>
              <w:widowControl/>
              <w:spacing w:line="240" w:lineRule="auto"/>
              <w:ind w:firstLineChars="0" w:firstLine="0"/>
              <w:jc w:val="center"/>
              <w:rPr>
                <w:rFonts w:cs="Times New Roman"/>
                <w:kern w:val="0"/>
                <w:sz w:val="18"/>
                <w:szCs w:val="18"/>
              </w:rPr>
            </w:pPr>
            <w:r w:rsidRPr="00C702D7">
              <w:rPr>
                <w:rFonts w:cs="Times New Roman"/>
                <w:kern w:val="0"/>
                <w:sz w:val="18"/>
                <w:szCs w:val="18"/>
              </w:rPr>
              <w:t>年度</w:t>
            </w:r>
            <w:r w:rsidRPr="00C702D7">
              <w:rPr>
                <w:rFonts w:cs="Times New Roman" w:hint="eastAsia"/>
                <w:kern w:val="0"/>
                <w:sz w:val="18"/>
                <w:szCs w:val="18"/>
              </w:rPr>
              <w:t>/</w:t>
            </w:r>
            <w:r w:rsidRPr="00C702D7">
              <w:rPr>
                <w:rFonts w:cs="Times New Roman" w:hint="eastAsia"/>
                <w:kern w:val="0"/>
                <w:sz w:val="18"/>
                <w:szCs w:val="18"/>
              </w:rPr>
              <w:t>行业</w:t>
            </w:r>
            <w:r w:rsidRPr="00C702D7">
              <w:rPr>
                <w:rFonts w:cs="Times New Roman"/>
                <w:kern w:val="0"/>
                <w:sz w:val="18"/>
                <w:szCs w:val="18"/>
              </w:rPr>
              <w:t>固定效应</w:t>
            </w:r>
          </w:p>
        </w:tc>
        <w:tc>
          <w:tcPr>
            <w:tcW w:w="588" w:type="pct"/>
            <w:tcBorders>
              <w:top w:val="nil"/>
              <w:left w:val="nil"/>
              <w:bottom w:val="nil"/>
              <w:right w:val="nil"/>
            </w:tcBorders>
            <w:vAlign w:val="center"/>
          </w:tcPr>
          <w:p w14:paraId="17FE40DB"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Yes</w:t>
            </w:r>
          </w:p>
        </w:tc>
        <w:tc>
          <w:tcPr>
            <w:tcW w:w="748" w:type="pct"/>
            <w:tcBorders>
              <w:top w:val="nil"/>
              <w:left w:val="nil"/>
              <w:bottom w:val="nil"/>
              <w:right w:val="nil"/>
            </w:tcBorders>
            <w:shd w:val="clear" w:color="auto" w:fill="auto"/>
            <w:noWrap/>
            <w:vAlign w:val="center"/>
          </w:tcPr>
          <w:p w14:paraId="100ABFF1"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Yes</w:t>
            </w:r>
          </w:p>
        </w:tc>
        <w:tc>
          <w:tcPr>
            <w:tcW w:w="648" w:type="pct"/>
            <w:tcBorders>
              <w:top w:val="nil"/>
              <w:left w:val="nil"/>
              <w:bottom w:val="nil"/>
              <w:right w:val="nil"/>
            </w:tcBorders>
            <w:vAlign w:val="center"/>
          </w:tcPr>
          <w:p w14:paraId="077244BD" w14:textId="77777777" w:rsidR="00D457FC" w:rsidRPr="00C702D7" w:rsidRDefault="00D457FC" w:rsidP="00B718EA">
            <w:pPr>
              <w:widowControl/>
              <w:spacing w:line="240" w:lineRule="auto"/>
              <w:ind w:firstLineChars="0" w:firstLine="0"/>
              <w:jc w:val="center"/>
              <w:rPr>
                <w:sz w:val="18"/>
                <w:szCs w:val="20"/>
              </w:rPr>
            </w:pPr>
            <w:r w:rsidRPr="00C702D7">
              <w:rPr>
                <w:rFonts w:eastAsia="等线" w:cs="Times New Roman" w:hint="eastAsia"/>
                <w:sz w:val="18"/>
                <w:szCs w:val="18"/>
              </w:rPr>
              <w:t>Yes</w:t>
            </w:r>
          </w:p>
        </w:tc>
        <w:tc>
          <w:tcPr>
            <w:tcW w:w="648" w:type="pct"/>
            <w:tcBorders>
              <w:top w:val="nil"/>
              <w:left w:val="nil"/>
              <w:bottom w:val="nil"/>
              <w:right w:val="nil"/>
            </w:tcBorders>
            <w:vAlign w:val="center"/>
          </w:tcPr>
          <w:p w14:paraId="45C3C560" w14:textId="77777777" w:rsidR="00D457FC" w:rsidRPr="00C702D7" w:rsidRDefault="00D457FC" w:rsidP="00B718EA">
            <w:pPr>
              <w:widowControl/>
              <w:spacing w:line="240" w:lineRule="auto"/>
              <w:ind w:firstLineChars="0" w:firstLine="0"/>
              <w:jc w:val="center"/>
              <w:rPr>
                <w:sz w:val="18"/>
                <w:szCs w:val="20"/>
              </w:rPr>
            </w:pPr>
            <w:r w:rsidRPr="00C702D7">
              <w:rPr>
                <w:rFonts w:eastAsia="等线" w:cs="Times New Roman" w:hint="eastAsia"/>
                <w:sz w:val="18"/>
                <w:szCs w:val="18"/>
              </w:rPr>
              <w:t>Yes</w:t>
            </w:r>
          </w:p>
        </w:tc>
        <w:tc>
          <w:tcPr>
            <w:tcW w:w="672" w:type="pct"/>
            <w:tcBorders>
              <w:top w:val="nil"/>
              <w:left w:val="nil"/>
              <w:bottom w:val="nil"/>
              <w:right w:val="nil"/>
            </w:tcBorders>
          </w:tcPr>
          <w:p w14:paraId="0277CEFE"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Yes</w:t>
            </w:r>
          </w:p>
        </w:tc>
        <w:tc>
          <w:tcPr>
            <w:tcW w:w="668" w:type="pct"/>
            <w:tcBorders>
              <w:top w:val="nil"/>
              <w:left w:val="nil"/>
              <w:bottom w:val="nil"/>
              <w:right w:val="nil"/>
            </w:tcBorders>
          </w:tcPr>
          <w:p w14:paraId="494C94F4"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Yes</w:t>
            </w:r>
          </w:p>
        </w:tc>
      </w:tr>
      <w:tr w:rsidR="00C702D7" w:rsidRPr="00C702D7" w14:paraId="2F34F899" w14:textId="77777777" w:rsidTr="00B718EA">
        <w:trPr>
          <w:trHeight w:val="280"/>
          <w:jc w:val="center"/>
        </w:trPr>
        <w:tc>
          <w:tcPr>
            <w:tcW w:w="1028" w:type="pct"/>
            <w:tcBorders>
              <w:top w:val="nil"/>
              <w:bottom w:val="nil"/>
              <w:right w:val="nil"/>
            </w:tcBorders>
            <w:shd w:val="clear" w:color="auto" w:fill="auto"/>
            <w:noWrap/>
            <w:vAlign w:val="center"/>
          </w:tcPr>
          <w:p w14:paraId="5521A2A0" w14:textId="77777777" w:rsidR="00D457FC" w:rsidRPr="00C702D7" w:rsidRDefault="00D457FC" w:rsidP="00B718EA">
            <w:pPr>
              <w:widowControl/>
              <w:spacing w:line="240" w:lineRule="auto"/>
              <w:ind w:firstLineChars="0" w:firstLine="0"/>
              <w:jc w:val="center"/>
              <w:rPr>
                <w:rFonts w:cs="Times New Roman"/>
                <w:kern w:val="0"/>
                <w:sz w:val="18"/>
                <w:szCs w:val="18"/>
              </w:rPr>
            </w:pPr>
            <w:r w:rsidRPr="00C702D7">
              <w:rPr>
                <w:rFonts w:cs="Times New Roman" w:hint="eastAsia"/>
                <w:kern w:val="0"/>
                <w:sz w:val="18"/>
                <w:szCs w:val="18"/>
              </w:rPr>
              <w:t>样本量</w:t>
            </w:r>
          </w:p>
        </w:tc>
        <w:tc>
          <w:tcPr>
            <w:tcW w:w="588" w:type="pct"/>
            <w:tcBorders>
              <w:top w:val="nil"/>
              <w:left w:val="nil"/>
              <w:bottom w:val="nil"/>
              <w:right w:val="nil"/>
            </w:tcBorders>
            <w:vAlign w:val="bottom"/>
          </w:tcPr>
          <w:p w14:paraId="0668A7AD"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3636</w:t>
            </w:r>
          </w:p>
        </w:tc>
        <w:tc>
          <w:tcPr>
            <w:tcW w:w="748" w:type="pct"/>
            <w:tcBorders>
              <w:top w:val="nil"/>
              <w:left w:val="nil"/>
              <w:bottom w:val="nil"/>
              <w:right w:val="nil"/>
            </w:tcBorders>
            <w:shd w:val="clear" w:color="auto" w:fill="auto"/>
            <w:noWrap/>
            <w:vAlign w:val="bottom"/>
          </w:tcPr>
          <w:p w14:paraId="77F53943"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3260</w:t>
            </w:r>
          </w:p>
        </w:tc>
        <w:tc>
          <w:tcPr>
            <w:tcW w:w="648" w:type="pct"/>
            <w:tcBorders>
              <w:top w:val="nil"/>
              <w:left w:val="nil"/>
              <w:bottom w:val="nil"/>
              <w:right w:val="nil"/>
            </w:tcBorders>
            <w:vAlign w:val="bottom"/>
          </w:tcPr>
          <w:p w14:paraId="15A2BFFF"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3636</w:t>
            </w:r>
          </w:p>
        </w:tc>
        <w:tc>
          <w:tcPr>
            <w:tcW w:w="648" w:type="pct"/>
            <w:tcBorders>
              <w:top w:val="nil"/>
              <w:left w:val="nil"/>
              <w:bottom w:val="nil"/>
              <w:right w:val="nil"/>
            </w:tcBorders>
            <w:vAlign w:val="bottom"/>
          </w:tcPr>
          <w:p w14:paraId="1FAC4878"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3260</w:t>
            </w:r>
          </w:p>
        </w:tc>
        <w:tc>
          <w:tcPr>
            <w:tcW w:w="672" w:type="pct"/>
            <w:tcBorders>
              <w:top w:val="nil"/>
              <w:left w:val="nil"/>
              <w:bottom w:val="nil"/>
              <w:right w:val="nil"/>
            </w:tcBorders>
            <w:vAlign w:val="bottom"/>
          </w:tcPr>
          <w:p w14:paraId="2F64EB3A"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3636</w:t>
            </w:r>
          </w:p>
        </w:tc>
        <w:tc>
          <w:tcPr>
            <w:tcW w:w="668" w:type="pct"/>
            <w:tcBorders>
              <w:top w:val="nil"/>
              <w:left w:val="nil"/>
              <w:bottom w:val="nil"/>
              <w:right w:val="nil"/>
            </w:tcBorders>
            <w:vAlign w:val="bottom"/>
          </w:tcPr>
          <w:p w14:paraId="4DA0DC6C"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3260</w:t>
            </w:r>
          </w:p>
        </w:tc>
      </w:tr>
      <w:tr w:rsidR="00C702D7" w:rsidRPr="00C702D7" w14:paraId="4D6AF53D" w14:textId="77777777" w:rsidTr="00B718EA">
        <w:trPr>
          <w:trHeight w:val="280"/>
          <w:jc w:val="center"/>
        </w:trPr>
        <w:tc>
          <w:tcPr>
            <w:tcW w:w="1028" w:type="pct"/>
            <w:tcBorders>
              <w:top w:val="nil"/>
              <w:bottom w:val="single" w:sz="12" w:space="0" w:color="auto"/>
              <w:right w:val="nil"/>
            </w:tcBorders>
            <w:shd w:val="clear" w:color="auto" w:fill="auto"/>
            <w:noWrap/>
            <w:vAlign w:val="center"/>
          </w:tcPr>
          <w:p w14:paraId="1E31C580" w14:textId="77777777" w:rsidR="00D457FC" w:rsidRPr="00C702D7" w:rsidRDefault="00D457FC" w:rsidP="00B718EA">
            <w:pPr>
              <w:widowControl/>
              <w:spacing w:line="240" w:lineRule="auto"/>
              <w:ind w:firstLineChars="0" w:firstLine="0"/>
              <w:jc w:val="center"/>
              <w:rPr>
                <w:rFonts w:cs="Times New Roman"/>
                <w:i/>
                <w:iCs/>
                <w:kern w:val="0"/>
                <w:sz w:val="18"/>
                <w:szCs w:val="18"/>
              </w:rPr>
            </w:pPr>
            <w:r w:rsidRPr="00C702D7">
              <w:rPr>
                <w:rFonts w:cs="Times New Roman"/>
                <w:i/>
                <w:iCs/>
                <w:kern w:val="0"/>
                <w:sz w:val="18"/>
                <w:szCs w:val="18"/>
              </w:rPr>
              <w:t>R</w:t>
            </w:r>
            <w:r w:rsidRPr="00C702D7">
              <w:rPr>
                <w:rFonts w:cs="Times New Roman"/>
                <w:i/>
                <w:iCs/>
                <w:kern w:val="0"/>
                <w:sz w:val="18"/>
                <w:szCs w:val="18"/>
                <w:vertAlign w:val="superscript"/>
              </w:rPr>
              <w:t>2</w:t>
            </w:r>
          </w:p>
        </w:tc>
        <w:tc>
          <w:tcPr>
            <w:tcW w:w="588" w:type="pct"/>
            <w:tcBorders>
              <w:top w:val="nil"/>
              <w:left w:val="nil"/>
              <w:bottom w:val="single" w:sz="12" w:space="0" w:color="auto"/>
              <w:right w:val="nil"/>
            </w:tcBorders>
            <w:vAlign w:val="bottom"/>
          </w:tcPr>
          <w:p w14:paraId="767270A6"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0.559</w:t>
            </w:r>
          </w:p>
        </w:tc>
        <w:tc>
          <w:tcPr>
            <w:tcW w:w="748" w:type="pct"/>
            <w:tcBorders>
              <w:top w:val="nil"/>
              <w:left w:val="nil"/>
              <w:bottom w:val="single" w:sz="12" w:space="0" w:color="auto"/>
              <w:right w:val="nil"/>
            </w:tcBorders>
            <w:shd w:val="clear" w:color="auto" w:fill="auto"/>
            <w:noWrap/>
            <w:vAlign w:val="bottom"/>
          </w:tcPr>
          <w:p w14:paraId="1F589681"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0.502</w:t>
            </w:r>
          </w:p>
        </w:tc>
        <w:tc>
          <w:tcPr>
            <w:tcW w:w="648" w:type="pct"/>
            <w:tcBorders>
              <w:top w:val="nil"/>
              <w:left w:val="nil"/>
              <w:bottom w:val="single" w:sz="12" w:space="0" w:color="auto"/>
              <w:right w:val="nil"/>
            </w:tcBorders>
            <w:vAlign w:val="bottom"/>
          </w:tcPr>
          <w:p w14:paraId="249292A1"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0.009</w:t>
            </w:r>
          </w:p>
        </w:tc>
        <w:tc>
          <w:tcPr>
            <w:tcW w:w="648" w:type="pct"/>
            <w:tcBorders>
              <w:top w:val="nil"/>
              <w:left w:val="nil"/>
              <w:bottom w:val="single" w:sz="12" w:space="0" w:color="auto"/>
              <w:right w:val="nil"/>
            </w:tcBorders>
            <w:vAlign w:val="bottom"/>
          </w:tcPr>
          <w:p w14:paraId="260FF412"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0.008</w:t>
            </w:r>
          </w:p>
        </w:tc>
        <w:tc>
          <w:tcPr>
            <w:tcW w:w="672" w:type="pct"/>
            <w:tcBorders>
              <w:top w:val="nil"/>
              <w:left w:val="nil"/>
              <w:bottom w:val="single" w:sz="12" w:space="0" w:color="auto"/>
              <w:right w:val="nil"/>
            </w:tcBorders>
            <w:vAlign w:val="bottom"/>
          </w:tcPr>
          <w:p w14:paraId="4D131840"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0.209</w:t>
            </w:r>
          </w:p>
        </w:tc>
        <w:tc>
          <w:tcPr>
            <w:tcW w:w="668" w:type="pct"/>
            <w:tcBorders>
              <w:top w:val="nil"/>
              <w:left w:val="nil"/>
              <w:bottom w:val="single" w:sz="12" w:space="0" w:color="auto"/>
              <w:right w:val="nil"/>
            </w:tcBorders>
            <w:vAlign w:val="bottom"/>
          </w:tcPr>
          <w:p w14:paraId="7096348D" w14:textId="77777777" w:rsidR="00D457FC" w:rsidRPr="00C702D7" w:rsidRDefault="00D457FC" w:rsidP="00B718EA">
            <w:pPr>
              <w:widowControl/>
              <w:spacing w:line="240" w:lineRule="auto"/>
              <w:ind w:firstLineChars="0" w:firstLine="0"/>
              <w:jc w:val="center"/>
              <w:rPr>
                <w:rFonts w:eastAsia="等线" w:cs="Times New Roman"/>
                <w:sz w:val="18"/>
                <w:szCs w:val="18"/>
              </w:rPr>
            </w:pPr>
            <w:r w:rsidRPr="00C702D7">
              <w:rPr>
                <w:rFonts w:eastAsia="等线" w:cs="Times New Roman" w:hint="eastAsia"/>
                <w:sz w:val="18"/>
                <w:szCs w:val="18"/>
              </w:rPr>
              <w:t>0.004</w:t>
            </w:r>
          </w:p>
        </w:tc>
      </w:tr>
    </w:tbl>
    <w:p w14:paraId="1B4F1448" w14:textId="77777777" w:rsidR="00D457FC" w:rsidRPr="00C702D7" w:rsidRDefault="00D457FC" w:rsidP="009F2FCC">
      <w:pPr>
        <w:spacing w:line="400" w:lineRule="exact"/>
        <w:ind w:firstLine="420"/>
        <w:outlineLvl w:val="0"/>
        <w:rPr>
          <w:rFonts w:ascii="楷体" w:eastAsia="楷体" w:hAnsi="楷体" w:cs="Times New Roman"/>
          <w:bCs/>
          <w:szCs w:val="21"/>
        </w:rPr>
      </w:pPr>
      <w:r w:rsidRPr="00C702D7">
        <w:rPr>
          <w:rFonts w:ascii="楷体" w:eastAsia="楷体" w:hAnsi="楷体" w:cs="Times New Roman" w:hint="eastAsia"/>
          <w:bCs/>
          <w:szCs w:val="21"/>
        </w:rPr>
        <w:t>（四）稳健性检验</w:t>
      </w:r>
    </w:p>
    <w:p w14:paraId="43C9CFF2" w14:textId="77777777" w:rsidR="00D457FC" w:rsidRPr="00C702D7" w:rsidRDefault="00D457FC" w:rsidP="00D457FC">
      <w:pPr>
        <w:spacing w:line="400" w:lineRule="exact"/>
        <w:ind w:firstLine="420"/>
      </w:pPr>
      <w:r w:rsidRPr="00C702D7">
        <w:rPr>
          <w:rFonts w:hint="eastAsia"/>
        </w:rPr>
        <w:t>1</w:t>
      </w:r>
      <w:r w:rsidRPr="00C702D7">
        <w:t>.</w:t>
      </w:r>
      <w:r w:rsidR="0079696E" w:rsidRPr="00C702D7">
        <w:t xml:space="preserve"> </w:t>
      </w:r>
      <w:r w:rsidRPr="00C702D7">
        <w:rPr>
          <w:rFonts w:hint="eastAsia"/>
        </w:rPr>
        <w:t>PSM</w:t>
      </w:r>
      <w:r w:rsidRPr="00C702D7">
        <w:rPr>
          <w:rFonts w:hint="eastAsia"/>
        </w:rPr>
        <w:t>倾向得分匹配</w:t>
      </w:r>
    </w:p>
    <w:p w14:paraId="303B3CD3" w14:textId="77777777" w:rsidR="00D457FC" w:rsidRPr="00C702D7" w:rsidRDefault="00D457FC" w:rsidP="00D457FC">
      <w:pPr>
        <w:spacing w:line="400" w:lineRule="exact"/>
        <w:ind w:firstLine="420"/>
      </w:pPr>
      <w:r w:rsidRPr="00C702D7">
        <w:rPr>
          <w:rFonts w:hint="eastAsia"/>
        </w:rPr>
        <w:t>前述回归中，本文为缓解内生性问题，采用</w:t>
      </w:r>
      <w:r w:rsidRPr="00C702D7">
        <w:rPr>
          <w:rFonts w:hint="eastAsia"/>
        </w:rPr>
        <w:t>t</w:t>
      </w:r>
      <w:r w:rsidRPr="00C702D7">
        <w:t>+1</w:t>
      </w:r>
      <w:r w:rsidRPr="00C702D7">
        <w:rPr>
          <w:rFonts w:hint="eastAsia"/>
        </w:rPr>
        <w:t>期企业碳排放指标作为被解释变量，与</w:t>
      </w:r>
      <w:r w:rsidRPr="00C702D7">
        <w:rPr>
          <w:rFonts w:hint="eastAsia"/>
        </w:rPr>
        <w:t>t</w:t>
      </w:r>
      <w:r w:rsidRPr="00C702D7">
        <w:rPr>
          <w:rFonts w:hint="eastAsia"/>
        </w:rPr>
        <w:t>期绿色关注度指标、</w:t>
      </w:r>
      <w:r w:rsidRPr="00C702D7">
        <w:rPr>
          <w:rFonts w:cs="Times New Roman" w:hint="eastAsia"/>
          <w:szCs w:val="21"/>
        </w:rPr>
        <w:t>同行业企业碳排放指标等解释变量及相应控制变量进行回归。为进一步避免</w:t>
      </w:r>
      <w:r w:rsidRPr="00C702D7">
        <w:rPr>
          <w:rFonts w:hint="eastAsia"/>
        </w:rPr>
        <w:t>选择性偏误，本文对企业层面数据根据是否受绿色关注采用</w:t>
      </w:r>
      <w:r w:rsidRPr="00C702D7">
        <w:rPr>
          <w:rFonts w:hint="eastAsia"/>
        </w:rPr>
        <w:t>PSM</w:t>
      </w:r>
      <w:r w:rsidRPr="00C702D7">
        <w:rPr>
          <w:rFonts w:hint="eastAsia"/>
        </w:rPr>
        <w:t>倾向得分匹配处理，再次代入模型（</w:t>
      </w:r>
      <w:r w:rsidRPr="00C702D7">
        <w:rPr>
          <w:rFonts w:hint="eastAsia"/>
        </w:rPr>
        <w:t>1</w:t>
      </w:r>
      <w:r w:rsidRPr="00C702D7">
        <w:rPr>
          <w:rFonts w:hint="eastAsia"/>
        </w:rPr>
        <w:t>）、（</w:t>
      </w:r>
      <w:r w:rsidRPr="00C702D7">
        <w:rPr>
          <w:rFonts w:hint="eastAsia"/>
        </w:rPr>
        <w:t>2</w:t>
      </w:r>
      <w:r w:rsidRPr="00C702D7">
        <w:rPr>
          <w:rFonts w:hint="eastAsia"/>
        </w:rPr>
        <w:t>）、（</w:t>
      </w:r>
      <w:r w:rsidRPr="00C702D7">
        <w:t>3</w:t>
      </w:r>
      <w:r w:rsidRPr="00C702D7">
        <w:rPr>
          <w:rFonts w:hint="eastAsia"/>
        </w:rPr>
        <w:t>）中进行回归，所得结果汇总于表</w:t>
      </w:r>
      <w:r w:rsidRPr="00C702D7">
        <w:t>6</w:t>
      </w:r>
      <w:r w:rsidRPr="00C702D7">
        <w:rPr>
          <w:rFonts w:hint="eastAsia"/>
        </w:rPr>
        <w:t>的</w:t>
      </w:r>
      <w:proofErr w:type="spellStart"/>
      <w:r w:rsidRPr="00C702D7">
        <w:rPr>
          <w:rFonts w:hint="eastAsia"/>
        </w:rPr>
        <w:t>PanelA</w:t>
      </w:r>
      <w:proofErr w:type="spellEnd"/>
      <w:r w:rsidRPr="00C702D7">
        <w:rPr>
          <w:rFonts w:hint="eastAsia"/>
        </w:rPr>
        <w:t>。从第（</w:t>
      </w:r>
      <w:r w:rsidRPr="00C702D7">
        <w:rPr>
          <w:rFonts w:hint="eastAsia"/>
        </w:rPr>
        <w:t>1</w:t>
      </w:r>
      <w:r w:rsidRPr="00C702D7">
        <w:rPr>
          <w:rFonts w:hint="eastAsia"/>
        </w:rPr>
        <w:t>）列可以看到，机构投资者绿色关注度（</w:t>
      </w:r>
      <w:r w:rsidRPr="00C702D7">
        <w:rPr>
          <w:rFonts w:hint="eastAsia"/>
          <w:i/>
          <w:iCs/>
        </w:rPr>
        <w:t>G</w:t>
      </w:r>
      <w:r w:rsidRPr="00C702D7">
        <w:rPr>
          <w:i/>
          <w:iCs/>
        </w:rPr>
        <w:t>atten</w:t>
      </w:r>
      <w:r w:rsidRPr="00C702D7">
        <w:rPr>
          <w:rFonts w:hint="eastAsia"/>
        </w:rPr>
        <w:t>）对企业碳排放强度（</w:t>
      </w:r>
      <w:proofErr w:type="spellStart"/>
      <w:r w:rsidRPr="00C702D7">
        <w:rPr>
          <w:rFonts w:hint="eastAsia"/>
          <w:i/>
          <w:iCs/>
        </w:rPr>
        <w:t>C</w:t>
      </w:r>
      <w:r w:rsidRPr="00C702D7">
        <w:rPr>
          <w:i/>
          <w:iCs/>
        </w:rPr>
        <w:t>miss_total</w:t>
      </w:r>
      <w:proofErr w:type="spellEnd"/>
      <w:r w:rsidRPr="00C702D7">
        <w:rPr>
          <w:rFonts w:hint="eastAsia"/>
        </w:rPr>
        <w:t>）的回归系数仍然显著为负，与前文表</w:t>
      </w:r>
      <w:r w:rsidRPr="00C702D7">
        <w:rPr>
          <w:rFonts w:hint="eastAsia"/>
        </w:rPr>
        <w:t>3</w:t>
      </w:r>
      <w:r w:rsidRPr="00C702D7">
        <w:rPr>
          <w:rFonts w:hint="eastAsia"/>
        </w:rPr>
        <w:t>第（</w:t>
      </w:r>
      <w:r w:rsidRPr="00C702D7">
        <w:rPr>
          <w:rFonts w:hint="eastAsia"/>
        </w:rPr>
        <w:t>1</w:t>
      </w:r>
      <w:r w:rsidRPr="00C702D7">
        <w:rPr>
          <w:rFonts w:hint="eastAsia"/>
        </w:rPr>
        <w:t>）列结果基本一致。</w:t>
      </w:r>
    </w:p>
    <w:p w14:paraId="6B99302F" w14:textId="77777777" w:rsidR="00D457FC" w:rsidRPr="00C702D7" w:rsidRDefault="00D457FC" w:rsidP="00D457FC">
      <w:pPr>
        <w:spacing w:line="400" w:lineRule="exact"/>
        <w:ind w:firstLine="420"/>
      </w:pPr>
      <w:r w:rsidRPr="00C702D7">
        <w:rPr>
          <w:rFonts w:hint="eastAsia"/>
        </w:rPr>
        <w:t>我们也使用企业碳排放增量（</w:t>
      </w:r>
      <w:proofErr w:type="spellStart"/>
      <w:r w:rsidRPr="00C702D7">
        <w:rPr>
          <w:rFonts w:hint="eastAsia"/>
          <w:i/>
          <w:iCs/>
        </w:rPr>
        <w:t>dC</w:t>
      </w:r>
      <w:r w:rsidRPr="00C702D7">
        <w:rPr>
          <w:i/>
          <w:iCs/>
        </w:rPr>
        <w:t>miss</w:t>
      </w:r>
      <w:proofErr w:type="spellEnd"/>
      <w:r w:rsidRPr="00C702D7">
        <w:rPr>
          <w:rFonts w:hint="eastAsia"/>
        </w:rPr>
        <w:t>）量化企业碳排放对</w:t>
      </w:r>
      <w:r w:rsidRPr="00C702D7">
        <w:rPr>
          <w:rFonts w:hint="eastAsia"/>
        </w:rPr>
        <w:t>PSM</w:t>
      </w:r>
      <w:r w:rsidRPr="00C702D7">
        <w:rPr>
          <w:rFonts w:hint="eastAsia"/>
        </w:rPr>
        <w:t>处理后样本进行回归，所得结果列于表</w:t>
      </w:r>
      <w:r w:rsidRPr="00C702D7">
        <w:rPr>
          <w:rFonts w:hint="eastAsia"/>
        </w:rPr>
        <w:t>6</w:t>
      </w:r>
      <w:r w:rsidRPr="00C702D7">
        <w:rPr>
          <w:rFonts w:hint="eastAsia"/>
        </w:rPr>
        <w:t>第（</w:t>
      </w:r>
      <w:r w:rsidRPr="00C702D7">
        <w:rPr>
          <w:rFonts w:hint="eastAsia"/>
        </w:rPr>
        <w:t>2</w:t>
      </w:r>
      <w:r w:rsidRPr="00C702D7">
        <w:rPr>
          <w:rFonts w:hint="eastAsia"/>
        </w:rPr>
        <w:t>）列，其中机构投资者绿色关注度（</w:t>
      </w:r>
      <w:r w:rsidRPr="00C702D7">
        <w:rPr>
          <w:rFonts w:hint="eastAsia"/>
          <w:i/>
          <w:iCs/>
        </w:rPr>
        <w:t>G</w:t>
      </w:r>
      <w:r w:rsidRPr="00C702D7">
        <w:rPr>
          <w:i/>
          <w:iCs/>
        </w:rPr>
        <w:t>atten</w:t>
      </w:r>
      <w:r w:rsidRPr="00C702D7">
        <w:rPr>
          <w:rFonts w:hint="eastAsia"/>
        </w:rPr>
        <w:t>）的回归系数仍显著为负，与前文相比未发生实质变化。第（</w:t>
      </w:r>
      <w:r w:rsidRPr="00C702D7">
        <w:t>3</w:t>
      </w:r>
      <w:r w:rsidRPr="00C702D7">
        <w:rPr>
          <w:rFonts w:hint="eastAsia"/>
        </w:rPr>
        <w:t>）列汇报了机构投资者绿色关注对行业碳排放影响的稳健性检验结果，其中机构投资者绿色关注度（</w:t>
      </w:r>
      <w:r w:rsidRPr="00C702D7">
        <w:rPr>
          <w:rFonts w:hint="eastAsia"/>
          <w:i/>
          <w:iCs/>
        </w:rPr>
        <w:t>G</w:t>
      </w:r>
      <w:r w:rsidRPr="00C702D7">
        <w:rPr>
          <w:i/>
          <w:iCs/>
        </w:rPr>
        <w:t>atten</w:t>
      </w:r>
      <w:r w:rsidRPr="00C702D7">
        <w:rPr>
          <w:rFonts w:hint="eastAsia"/>
        </w:rPr>
        <w:t>）对行业碳排放（</w:t>
      </w:r>
      <w:proofErr w:type="spellStart"/>
      <w:r w:rsidRPr="00C702D7">
        <w:rPr>
          <w:rFonts w:hint="eastAsia"/>
          <w:i/>
          <w:iCs/>
        </w:rPr>
        <w:t>C</w:t>
      </w:r>
      <w:r w:rsidRPr="00C702D7">
        <w:rPr>
          <w:i/>
          <w:iCs/>
        </w:rPr>
        <w:t>miss_</w:t>
      </w:r>
      <w:r w:rsidRPr="00C702D7">
        <w:rPr>
          <w:rFonts w:hint="eastAsia"/>
          <w:i/>
          <w:iCs/>
        </w:rPr>
        <w:t>ind</w:t>
      </w:r>
      <w:proofErr w:type="spellEnd"/>
      <w:r w:rsidRPr="00C702D7">
        <w:rPr>
          <w:rFonts w:hint="eastAsia"/>
        </w:rPr>
        <w:t>）的回归系数显著为负，与表</w:t>
      </w:r>
      <w:r w:rsidRPr="00C702D7">
        <w:rPr>
          <w:rFonts w:hint="eastAsia"/>
        </w:rPr>
        <w:t>4</w:t>
      </w:r>
      <w:r w:rsidRPr="00C702D7">
        <w:rPr>
          <w:rFonts w:hint="eastAsia"/>
        </w:rPr>
        <w:t>第（</w:t>
      </w:r>
      <w:r w:rsidRPr="00C702D7">
        <w:rPr>
          <w:rFonts w:hint="eastAsia"/>
        </w:rPr>
        <w:t>1</w:t>
      </w:r>
      <w:r w:rsidRPr="00C702D7">
        <w:rPr>
          <w:rFonts w:hint="eastAsia"/>
        </w:rPr>
        <w:t>）列结果一致。第（</w:t>
      </w:r>
      <w:r w:rsidRPr="00C702D7">
        <w:t>4</w:t>
      </w:r>
      <w:r w:rsidRPr="00C702D7">
        <w:rPr>
          <w:rFonts w:hint="eastAsia"/>
        </w:rPr>
        <w:t>）、（</w:t>
      </w:r>
      <w:r w:rsidRPr="00C702D7">
        <w:rPr>
          <w:rFonts w:hint="eastAsia"/>
        </w:rPr>
        <w:t>5</w:t>
      </w:r>
      <w:r w:rsidRPr="00C702D7">
        <w:rPr>
          <w:rFonts w:hint="eastAsia"/>
        </w:rPr>
        <w:t>）列展示了基于模型（</w:t>
      </w:r>
      <w:r w:rsidRPr="00C702D7">
        <w:rPr>
          <w:rFonts w:hint="eastAsia"/>
        </w:rPr>
        <w:t>3</w:t>
      </w:r>
      <w:r w:rsidRPr="00C702D7">
        <w:rPr>
          <w:rFonts w:hint="eastAsia"/>
        </w:rPr>
        <w:t>）考察机构投资者绿色关注溢出效应的稳健性检验结果，其中</w:t>
      </w:r>
      <w:proofErr w:type="spellStart"/>
      <w:r w:rsidRPr="00C702D7">
        <w:rPr>
          <w:rFonts w:hint="eastAsia"/>
          <w:i/>
          <w:iCs/>
        </w:rPr>
        <w:t>Cmiss_se</w:t>
      </w:r>
      <w:proofErr w:type="spellEnd"/>
      <w:r w:rsidRPr="00C702D7">
        <w:rPr>
          <w:rFonts w:hint="eastAsia"/>
        </w:rPr>
        <w:t>对企业碳排放强度（</w:t>
      </w:r>
      <w:proofErr w:type="spellStart"/>
      <w:r w:rsidRPr="00C702D7">
        <w:rPr>
          <w:rFonts w:hint="eastAsia"/>
          <w:i/>
          <w:iCs/>
        </w:rPr>
        <w:t>C</w:t>
      </w:r>
      <w:r w:rsidRPr="00C702D7">
        <w:rPr>
          <w:i/>
          <w:iCs/>
        </w:rPr>
        <w:t>miss_total</w:t>
      </w:r>
      <w:proofErr w:type="spellEnd"/>
      <w:r w:rsidRPr="00C702D7">
        <w:rPr>
          <w:rFonts w:hint="eastAsia"/>
        </w:rPr>
        <w:t>）及碳排放增量（</w:t>
      </w:r>
      <w:proofErr w:type="spellStart"/>
      <w:r w:rsidRPr="00C702D7">
        <w:rPr>
          <w:rFonts w:hint="eastAsia"/>
          <w:i/>
          <w:iCs/>
        </w:rPr>
        <w:t>dC</w:t>
      </w:r>
      <w:r w:rsidRPr="00C702D7">
        <w:rPr>
          <w:i/>
          <w:iCs/>
        </w:rPr>
        <w:t>miss</w:t>
      </w:r>
      <w:proofErr w:type="spellEnd"/>
      <w:r w:rsidRPr="00C702D7">
        <w:rPr>
          <w:rFonts w:hint="eastAsia"/>
        </w:rPr>
        <w:t>）的回归系数均显著为负，与表</w:t>
      </w:r>
      <w:r w:rsidRPr="00C702D7">
        <w:rPr>
          <w:rFonts w:hint="eastAsia"/>
        </w:rPr>
        <w:t>4</w:t>
      </w:r>
      <w:r w:rsidRPr="00C702D7">
        <w:rPr>
          <w:rFonts w:hint="eastAsia"/>
        </w:rPr>
        <w:t>中第（</w:t>
      </w:r>
      <w:r w:rsidRPr="00C702D7">
        <w:t>3</w:t>
      </w:r>
      <w:r w:rsidRPr="00C702D7">
        <w:rPr>
          <w:rFonts w:hint="eastAsia"/>
        </w:rPr>
        <w:t>）、（</w:t>
      </w:r>
      <w:r w:rsidRPr="00C702D7">
        <w:rPr>
          <w:rFonts w:hint="eastAsia"/>
        </w:rPr>
        <w:t>6</w:t>
      </w:r>
      <w:r w:rsidRPr="00C702D7">
        <w:rPr>
          <w:rFonts w:hint="eastAsia"/>
        </w:rPr>
        <w:t>）列结果一致。</w:t>
      </w:r>
    </w:p>
    <w:p w14:paraId="6EDA6A7D" w14:textId="77777777" w:rsidR="00D457FC" w:rsidRPr="00C702D7" w:rsidRDefault="00D457FC" w:rsidP="00D457FC">
      <w:pPr>
        <w:spacing w:line="400" w:lineRule="exact"/>
        <w:ind w:firstLine="420"/>
      </w:pPr>
      <w:r w:rsidRPr="00C702D7">
        <w:rPr>
          <w:rFonts w:hint="eastAsia"/>
        </w:rPr>
        <w:t>2</w:t>
      </w:r>
      <w:r w:rsidRPr="00C702D7">
        <w:t>.</w:t>
      </w:r>
      <w:r w:rsidR="00CC5A48" w:rsidRPr="00C702D7">
        <w:t xml:space="preserve"> </w:t>
      </w:r>
      <w:r w:rsidRPr="00C702D7">
        <w:rPr>
          <w:rFonts w:hint="eastAsia"/>
        </w:rPr>
        <w:t>替换关键变量</w:t>
      </w:r>
    </w:p>
    <w:p w14:paraId="4C344182" w14:textId="77777777" w:rsidR="00D457FC" w:rsidRPr="00C702D7" w:rsidRDefault="00D457FC" w:rsidP="00D457FC">
      <w:pPr>
        <w:spacing w:line="400" w:lineRule="exact"/>
        <w:ind w:firstLine="420"/>
      </w:pPr>
      <w:r w:rsidRPr="00C702D7">
        <w:rPr>
          <w:rFonts w:hint="eastAsia"/>
        </w:rPr>
        <w:t>稳健性检验中，本文还使用绿色投资者虚拟变量（</w:t>
      </w:r>
      <w:proofErr w:type="spellStart"/>
      <w:r w:rsidRPr="00C702D7">
        <w:rPr>
          <w:rFonts w:hint="eastAsia"/>
          <w:i/>
          <w:iCs/>
        </w:rPr>
        <w:t>GreenInv</w:t>
      </w:r>
      <w:proofErr w:type="spellEnd"/>
      <w:r w:rsidRPr="00C702D7">
        <w:rPr>
          <w:rFonts w:hint="eastAsia"/>
        </w:rPr>
        <w:t>）作为机构投资者绿色关注度的替代变量对企业碳排放进行回归，所得结果于汇总于表</w:t>
      </w:r>
      <w:r w:rsidRPr="00C702D7">
        <w:rPr>
          <w:rFonts w:hint="eastAsia"/>
        </w:rPr>
        <w:t>6</w:t>
      </w:r>
      <w:r w:rsidRPr="00C702D7">
        <w:rPr>
          <w:rFonts w:hint="eastAsia"/>
        </w:rPr>
        <w:t>中</w:t>
      </w:r>
      <w:r w:rsidRPr="00C702D7">
        <w:rPr>
          <w:rFonts w:hint="eastAsia"/>
        </w:rPr>
        <w:t>Panel</w:t>
      </w:r>
      <w:r w:rsidR="00CC5A48" w:rsidRPr="00C702D7">
        <w:t xml:space="preserve"> </w:t>
      </w:r>
      <w:r w:rsidRPr="00C702D7">
        <w:rPr>
          <w:rFonts w:hint="eastAsia"/>
        </w:rPr>
        <w:t>B</w:t>
      </w:r>
      <w:r w:rsidRPr="00C702D7">
        <w:rPr>
          <w:rFonts w:hint="eastAsia"/>
        </w:rPr>
        <w:t>的第（</w:t>
      </w:r>
      <w:r w:rsidRPr="00C702D7">
        <w:rPr>
          <w:rFonts w:hint="eastAsia"/>
        </w:rPr>
        <w:t>1</w:t>
      </w:r>
      <w:r w:rsidRPr="00C702D7">
        <w:rPr>
          <w:rFonts w:hint="eastAsia"/>
        </w:rPr>
        <w:t>）、（</w:t>
      </w:r>
      <w:r w:rsidRPr="00C702D7">
        <w:rPr>
          <w:rFonts w:hint="eastAsia"/>
        </w:rPr>
        <w:t>2</w:t>
      </w:r>
      <w:r w:rsidRPr="00C702D7">
        <w:rPr>
          <w:rFonts w:hint="eastAsia"/>
        </w:rPr>
        <w:t>）列。可以看到，绿色投资者虚拟变量（</w:t>
      </w:r>
      <w:proofErr w:type="spellStart"/>
      <w:r w:rsidRPr="00C702D7">
        <w:rPr>
          <w:rFonts w:hint="eastAsia"/>
          <w:i/>
          <w:iCs/>
        </w:rPr>
        <w:t>GreenInv</w:t>
      </w:r>
      <w:proofErr w:type="spellEnd"/>
      <w:r w:rsidRPr="00C702D7">
        <w:rPr>
          <w:rFonts w:hint="eastAsia"/>
        </w:rPr>
        <w:t>）对</w:t>
      </w:r>
      <w:proofErr w:type="spellStart"/>
      <w:r w:rsidRPr="00C702D7">
        <w:rPr>
          <w:rFonts w:hint="eastAsia"/>
          <w:i/>
          <w:iCs/>
        </w:rPr>
        <w:t>C</w:t>
      </w:r>
      <w:r w:rsidRPr="00C702D7">
        <w:rPr>
          <w:i/>
          <w:iCs/>
        </w:rPr>
        <w:t>miss_total</w:t>
      </w:r>
      <w:proofErr w:type="spellEnd"/>
      <w:r w:rsidRPr="00C702D7">
        <w:rPr>
          <w:rFonts w:hint="eastAsia"/>
        </w:rPr>
        <w:t>及</w:t>
      </w:r>
      <w:proofErr w:type="spellStart"/>
      <w:r w:rsidRPr="00C702D7">
        <w:rPr>
          <w:rFonts w:hint="eastAsia"/>
          <w:i/>
          <w:iCs/>
        </w:rPr>
        <w:t>dC</w:t>
      </w:r>
      <w:r w:rsidRPr="00C702D7">
        <w:rPr>
          <w:i/>
          <w:iCs/>
        </w:rPr>
        <w:t>miss</w:t>
      </w:r>
      <w:proofErr w:type="spellEnd"/>
      <w:r w:rsidRPr="00C702D7">
        <w:rPr>
          <w:rFonts w:hint="eastAsia"/>
        </w:rPr>
        <w:t>的回归系数均在</w:t>
      </w:r>
      <w:r w:rsidRPr="00C702D7">
        <w:rPr>
          <w:rFonts w:hint="eastAsia"/>
        </w:rPr>
        <w:t>1</w:t>
      </w:r>
      <w:r w:rsidRPr="00C702D7">
        <w:t>%</w:t>
      </w:r>
      <w:r w:rsidRPr="00C702D7">
        <w:rPr>
          <w:rFonts w:hint="eastAsia"/>
        </w:rPr>
        <w:t>的水平下显著为负，说明替换绿色关注度指标后，仍然得到机构投资者绿色关注对企业具有碳减排治理作用的结果。本文进一步将企业层面</w:t>
      </w:r>
      <w:r w:rsidR="00CC5A48" w:rsidRPr="00C702D7">
        <w:rPr>
          <w:rFonts w:hint="eastAsia"/>
        </w:rPr>
        <w:t>的</w:t>
      </w:r>
      <w:r w:rsidRPr="00C702D7">
        <w:rPr>
          <w:rFonts w:hint="eastAsia"/>
        </w:rPr>
        <w:t>绿色投资者持股虚拟变量加权平均，测算出行业层面绿色关注度指标，进而构建衡量行业层面绿色关注度与行业碳排放交互影响的指标</w:t>
      </w:r>
      <w:r w:rsidRPr="00C702D7">
        <w:rPr>
          <w:rFonts w:hint="eastAsia"/>
          <w:i/>
          <w:iCs/>
        </w:rPr>
        <w:t>Cmiss</w:t>
      </w:r>
      <w:r w:rsidRPr="00C702D7">
        <w:rPr>
          <w:i/>
          <w:iCs/>
        </w:rPr>
        <w:t>_s</w:t>
      </w:r>
      <w:r w:rsidRPr="00C702D7">
        <w:rPr>
          <w:rFonts w:hint="eastAsia"/>
          <w:i/>
          <w:iCs/>
        </w:rPr>
        <w:t>e</w:t>
      </w:r>
      <w:r w:rsidRPr="00C702D7">
        <w:rPr>
          <w:i/>
          <w:iCs/>
        </w:rPr>
        <w:t>2</w:t>
      </w:r>
      <w:r w:rsidRPr="00C702D7">
        <w:rPr>
          <w:rFonts w:hint="eastAsia"/>
        </w:rPr>
        <w:t>，发现第（</w:t>
      </w:r>
      <w:r w:rsidRPr="00C702D7">
        <w:rPr>
          <w:rFonts w:hint="eastAsia"/>
        </w:rPr>
        <w:t>3</w:t>
      </w:r>
      <w:r w:rsidRPr="00C702D7">
        <w:rPr>
          <w:rFonts w:hint="eastAsia"/>
        </w:rPr>
        <w:t>）列中绿色投资者虚拟变量（</w:t>
      </w:r>
      <w:proofErr w:type="spellStart"/>
      <w:r w:rsidRPr="00C702D7">
        <w:rPr>
          <w:rFonts w:hint="eastAsia"/>
          <w:i/>
          <w:iCs/>
        </w:rPr>
        <w:t>GreenInv</w:t>
      </w:r>
      <w:proofErr w:type="spellEnd"/>
      <w:r w:rsidRPr="00C702D7">
        <w:rPr>
          <w:rFonts w:hint="eastAsia"/>
        </w:rPr>
        <w:t>）对行业其他企业碳排放</w:t>
      </w:r>
      <w:proofErr w:type="spellStart"/>
      <w:r w:rsidRPr="00C702D7">
        <w:rPr>
          <w:rFonts w:hint="eastAsia"/>
          <w:i/>
          <w:iCs/>
        </w:rPr>
        <w:t>Cmiss</w:t>
      </w:r>
      <w:r w:rsidRPr="00C702D7">
        <w:rPr>
          <w:i/>
          <w:iCs/>
        </w:rPr>
        <w:t>_</w:t>
      </w:r>
      <w:r w:rsidRPr="00C702D7">
        <w:rPr>
          <w:rFonts w:hint="eastAsia"/>
          <w:i/>
          <w:iCs/>
        </w:rPr>
        <w:t>ind</w:t>
      </w:r>
      <w:proofErr w:type="spellEnd"/>
      <w:r w:rsidRPr="00C702D7">
        <w:rPr>
          <w:rFonts w:hint="eastAsia"/>
        </w:rPr>
        <w:t>的回归系数仍然显著为负，并且第（</w:t>
      </w:r>
      <w:r w:rsidRPr="00C702D7">
        <w:rPr>
          <w:rFonts w:hint="eastAsia"/>
        </w:rPr>
        <w:t>4</w:t>
      </w:r>
      <w:r w:rsidRPr="00C702D7">
        <w:rPr>
          <w:rFonts w:hint="eastAsia"/>
        </w:rPr>
        <w:t>）列中</w:t>
      </w:r>
      <w:r w:rsidRPr="00C702D7">
        <w:rPr>
          <w:rFonts w:hint="eastAsia"/>
          <w:i/>
          <w:iCs/>
        </w:rPr>
        <w:t>Cmiss</w:t>
      </w:r>
      <w:r w:rsidRPr="00C702D7">
        <w:rPr>
          <w:i/>
          <w:iCs/>
        </w:rPr>
        <w:t>_s</w:t>
      </w:r>
      <w:r w:rsidRPr="00C702D7">
        <w:rPr>
          <w:rFonts w:hint="eastAsia"/>
          <w:i/>
          <w:iCs/>
        </w:rPr>
        <w:t>e</w:t>
      </w:r>
      <w:r w:rsidRPr="00C702D7">
        <w:rPr>
          <w:i/>
          <w:iCs/>
        </w:rPr>
        <w:t>2</w:t>
      </w:r>
      <w:r w:rsidRPr="00C702D7">
        <w:rPr>
          <w:rFonts w:hint="eastAsia"/>
        </w:rPr>
        <w:t>对企业碳排放</w:t>
      </w:r>
      <w:proofErr w:type="spellStart"/>
      <w:r w:rsidRPr="00C702D7">
        <w:rPr>
          <w:rFonts w:hint="eastAsia"/>
          <w:i/>
          <w:iCs/>
        </w:rPr>
        <w:lastRenderedPageBreak/>
        <w:t>Cmiss</w:t>
      </w:r>
      <w:r w:rsidRPr="00C702D7">
        <w:rPr>
          <w:i/>
          <w:iCs/>
        </w:rPr>
        <w:t>_</w:t>
      </w:r>
      <w:r w:rsidRPr="00C702D7">
        <w:rPr>
          <w:rFonts w:hint="eastAsia"/>
          <w:i/>
          <w:iCs/>
        </w:rPr>
        <w:t>ind</w:t>
      </w:r>
      <w:proofErr w:type="spellEnd"/>
      <w:r w:rsidRPr="00C702D7">
        <w:rPr>
          <w:rFonts w:hint="eastAsia"/>
        </w:rPr>
        <w:t>的回归系数同样显著为负，与前文结果基本一致，未发生实质的变化。</w:t>
      </w:r>
    </w:p>
    <w:p w14:paraId="0BC1FB0F" w14:textId="77777777" w:rsidR="00D457FC" w:rsidRPr="00C702D7" w:rsidRDefault="00D457FC" w:rsidP="00D457FC">
      <w:pPr>
        <w:spacing w:line="400" w:lineRule="exact"/>
        <w:ind w:firstLine="420"/>
      </w:pPr>
      <w:r w:rsidRPr="00C702D7">
        <w:rPr>
          <w:rFonts w:hint="eastAsia"/>
        </w:rPr>
        <w:t>同时，我们还采用和讯网</w:t>
      </w:r>
      <w:r w:rsidRPr="00C702D7">
        <w:rPr>
          <w:rFonts w:hint="eastAsia"/>
        </w:rPr>
        <w:t>ESG</w:t>
      </w:r>
      <w:r w:rsidRPr="00C702D7">
        <w:rPr>
          <w:rFonts w:hint="eastAsia"/>
        </w:rPr>
        <w:t>评分中环境评分作为企业碳排放的替代指标（</w:t>
      </w:r>
      <w:proofErr w:type="spellStart"/>
      <w:r w:rsidRPr="00C702D7">
        <w:rPr>
          <w:rFonts w:hint="eastAsia"/>
          <w:i/>
          <w:iCs/>
        </w:rPr>
        <w:t>Cmiss_E</w:t>
      </w:r>
      <w:proofErr w:type="spellEnd"/>
      <w:r w:rsidRPr="00C702D7">
        <w:rPr>
          <w:rFonts w:hint="eastAsia"/>
        </w:rPr>
        <w:t>），并进一步构建衡量行业层面绿色关注度与行业碳排放交互影响的指标</w:t>
      </w:r>
      <w:r w:rsidRPr="00C702D7">
        <w:rPr>
          <w:rFonts w:hint="eastAsia"/>
          <w:i/>
          <w:iCs/>
        </w:rPr>
        <w:t>Cmiss</w:t>
      </w:r>
      <w:r w:rsidRPr="00C702D7">
        <w:rPr>
          <w:i/>
          <w:iCs/>
        </w:rPr>
        <w:t>_s</w:t>
      </w:r>
      <w:r w:rsidRPr="00C702D7">
        <w:rPr>
          <w:rFonts w:hint="eastAsia"/>
          <w:i/>
          <w:iCs/>
        </w:rPr>
        <w:t>e</w:t>
      </w:r>
      <w:r w:rsidRPr="00C702D7">
        <w:rPr>
          <w:i/>
          <w:iCs/>
        </w:rPr>
        <w:t>3</w:t>
      </w:r>
      <w:r w:rsidRPr="00C702D7">
        <w:rPr>
          <w:rFonts w:hint="eastAsia"/>
        </w:rPr>
        <w:t>，回归所得结果汇总于表</w:t>
      </w:r>
      <w:r w:rsidRPr="00C702D7">
        <w:t>6</w:t>
      </w:r>
      <w:r w:rsidRPr="00C702D7">
        <w:rPr>
          <w:rFonts w:hint="eastAsia"/>
        </w:rPr>
        <w:t>中</w:t>
      </w:r>
      <w:r w:rsidRPr="00C702D7">
        <w:rPr>
          <w:rFonts w:hint="eastAsia"/>
        </w:rPr>
        <w:t>Panel</w:t>
      </w:r>
      <w:r w:rsidRPr="00C702D7">
        <w:t xml:space="preserve"> </w:t>
      </w:r>
      <w:r w:rsidRPr="00C702D7">
        <w:rPr>
          <w:rFonts w:hint="eastAsia"/>
        </w:rPr>
        <w:t>B</w:t>
      </w:r>
      <w:r w:rsidRPr="00C702D7">
        <w:rPr>
          <w:rFonts w:hint="eastAsia"/>
        </w:rPr>
        <w:t>第（</w:t>
      </w:r>
      <w:r w:rsidRPr="00C702D7">
        <w:rPr>
          <w:rFonts w:hint="eastAsia"/>
        </w:rPr>
        <w:t>5</w:t>
      </w:r>
      <w:r w:rsidRPr="00C702D7">
        <w:rPr>
          <w:rFonts w:hint="eastAsia"/>
        </w:rPr>
        <w:t>）、（</w:t>
      </w:r>
      <w:r w:rsidRPr="00C702D7">
        <w:rPr>
          <w:rFonts w:hint="eastAsia"/>
        </w:rPr>
        <w:t>6</w:t>
      </w:r>
      <w:r w:rsidRPr="00C702D7">
        <w:rPr>
          <w:rFonts w:hint="eastAsia"/>
        </w:rPr>
        <w:t>）列。其中，</w:t>
      </w:r>
      <w:r w:rsidRPr="00C702D7">
        <w:rPr>
          <w:rFonts w:hint="eastAsia"/>
          <w:i/>
          <w:iCs/>
        </w:rPr>
        <w:t xml:space="preserve"> G</w:t>
      </w:r>
      <w:r w:rsidRPr="00C702D7">
        <w:rPr>
          <w:i/>
          <w:iCs/>
        </w:rPr>
        <w:t>atten</w:t>
      </w:r>
      <w:r w:rsidRPr="00C702D7">
        <w:rPr>
          <w:rFonts w:hint="eastAsia"/>
        </w:rPr>
        <w:t>和</w:t>
      </w:r>
      <w:r w:rsidRPr="00C702D7">
        <w:rPr>
          <w:rFonts w:hint="eastAsia"/>
          <w:i/>
          <w:iCs/>
        </w:rPr>
        <w:t>Cmiss</w:t>
      </w:r>
      <w:r w:rsidRPr="00C702D7">
        <w:rPr>
          <w:i/>
          <w:iCs/>
        </w:rPr>
        <w:t>_s</w:t>
      </w:r>
      <w:r w:rsidRPr="00C702D7">
        <w:rPr>
          <w:rFonts w:hint="eastAsia"/>
          <w:i/>
          <w:iCs/>
        </w:rPr>
        <w:t>e</w:t>
      </w:r>
      <w:r w:rsidRPr="00C702D7">
        <w:rPr>
          <w:i/>
          <w:iCs/>
        </w:rPr>
        <w:t>3</w:t>
      </w:r>
      <w:r w:rsidRPr="00C702D7">
        <w:rPr>
          <w:rFonts w:hint="eastAsia"/>
        </w:rPr>
        <w:t>的回归系数均显著为正，说明企业环境评分不仅会由于机构投资者绿色关注度的提高</w:t>
      </w:r>
      <w:r w:rsidR="00CC5A48" w:rsidRPr="00C702D7">
        <w:rPr>
          <w:rFonts w:hint="eastAsia"/>
        </w:rPr>
        <w:t>而</w:t>
      </w:r>
      <w:r w:rsidRPr="00C702D7">
        <w:rPr>
          <w:rFonts w:hint="eastAsia"/>
        </w:rPr>
        <w:t>提升，还可能由于绿色关注引致同一行业内其他企业环境评分升高而有所改善，再次印证了机构投资者绿色关注的减排治理作用及溢出效应。</w:t>
      </w:r>
    </w:p>
    <w:p w14:paraId="2BC93854" w14:textId="77777777" w:rsidR="00D457FC" w:rsidRPr="00C702D7" w:rsidRDefault="00D457FC" w:rsidP="00D457FC">
      <w:pPr>
        <w:spacing w:line="400" w:lineRule="exact"/>
        <w:ind w:firstLine="420"/>
      </w:pPr>
      <w:r w:rsidRPr="00C702D7">
        <w:t>3.</w:t>
      </w:r>
      <w:r w:rsidR="00CC5A48" w:rsidRPr="00C702D7">
        <w:t xml:space="preserve"> </w:t>
      </w:r>
      <w:r w:rsidRPr="00C702D7">
        <w:rPr>
          <w:rFonts w:hint="eastAsia"/>
        </w:rPr>
        <w:t>其他稳健性检验</w:t>
      </w:r>
    </w:p>
    <w:p w14:paraId="6182CC19" w14:textId="77777777" w:rsidR="00D457FC" w:rsidRPr="00C702D7" w:rsidRDefault="00D457FC" w:rsidP="00D457FC">
      <w:pPr>
        <w:spacing w:line="400" w:lineRule="exact"/>
        <w:ind w:firstLine="420"/>
      </w:pPr>
      <w:r w:rsidRPr="00C702D7">
        <w:rPr>
          <w:rFonts w:hint="eastAsia"/>
        </w:rPr>
        <w:t>此外，我们还使用机构投资者绿色关注度不为</w:t>
      </w:r>
      <w:r w:rsidRPr="00C702D7">
        <w:rPr>
          <w:rFonts w:hint="eastAsia"/>
        </w:rPr>
        <w:t>0</w:t>
      </w:r>
      <w:r w:rsidRPr="00C702D7">
        <w:rPr>
          <w:rFonts w:hint="eastAsia"/>
        </w:rPr>
        <w:t>的样本企业进行限定样本检验，以及采用内插法和外推法对企业碳排放数据缺失值进行补值处理，所得回归结果均并未发生明显改变，相应检验结果受篇幅所限未在文中展示。总体而言，上述检验表明，前文实证检验结果较为稳健。</w:t>
      </w:r>
    </w:p>
    <w:p w14:paraId="71DCD643" w14:textId="77777777" w:rsidR="00D457FC" w:rsidRPr="00C702D7" w:rsidRDefault="00D457FC" w:rsidP="00D457FC">
      <w:pPr>
        <w:spacing w:line="400" w:lineRule="exact"/>
        <w:ind w:firstLineChars="0" w:firstLine="0"/>
        <w:jc w:val="center"/>
        <w:rPr>
          <w:rFonts w:ascii="黑体" w:eastAsia="黑体" w:hAnsi="黑体" w:cs="Times New Roman"/>
          <w:bCs/>
          <w:sz w:val="18"/>
          <w:szCs w:val="18"/>
        </w:rPr>
      </w:pPr>
      <w:r w:rsidRPr="00C702D7">
        <w:rPr>
          <w:rFonts w:ascii="黑体" w:eastAsia="黑体" w:hAnsi="黑体" w:cs="Times New Roman" w:hint="eastAsia"/>
          <w:bCs/>
          <w:szCs w:val="21"/>
        </w:rPr>
        <w:t>表</w:t>
      </w:r>
      <w:r w:rsidRPr="00C702D7">
        <w:rPr>
          <w:rFonts w:eastAsia="黑体" w:cs="Times New Roman"/>
          <w:b/>
          <w:szCs w:val="21"/>
        </w:rPr>
        <w:t>6</w:t>
      </w:r>
      <w:r w:rsidRPr="00C702D7">
        <w:rPr>
          <w:rFonts w:ascii="黑体" w:eastAsia="黑体" w:hAnsi="黑体" w:cs="Times New Roman" w:hint="eastAsia"/>
          <w:bCs/>
          <w:szCs w:val="21"/>
        </w:rPr>
        <w:t>稳健性检验结果</w:t>
      </w:r>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28"/>
        <w:gridCol w:w="1159"/>
        <w:gridCol w:w="1014"/>
        <w:gridCol w:w="433"/>
        <w:gridCol w:w="602"/>
        <w:gridCol w:w="815"/>
        <w:gridCol w:w="326"/>
        <w:gridCol w:w="1089"/>
        <w:gridCol w:w="240"/>
        <w:gridCol w:w="1016"/>
      </w:tblGrid>
      <w:tr w:rsidR="00C702D7" w:rsidRPr="00C702D7" w14:paraId="762AE796" w14:textId="77777777" w:rsidTr="00B718EA">
        <w:trPr>
          <w:trHeight w:val="280"/>
          <w:jc w:val="center"/>
        </w:trPr>
        <w:tc>
          <w:tcPr>
            <w:tcW w:w="5000" w:type="pct"/>
            <w:gridSpan w:val="10"/>
            <w:tcBorders>
              <w:top w:val="single" w:sz="12" w:space="0" w:color="auto"/>
              <w:right w:val="nil"/>
            </w:tcBorders>
            <w:vAlign w:val="center"/>
          </w:tcPr>
          <w:p w14:paraId="4014B9DB" w14:textId="77777777" w:rsidR="00D457FC" w:rsidRPr="00C702D7" w:rsidRDefault="00D457FC" w:rsidP="00B718EA">
            <w:pPr>
              <w:widowControl/>
              <w:spacing w:line="240" w:lineRule="auto"/>
              <w:ind w:firstLineChars="0" w:firstLine="0"/>
              <w:jc w:val="left"/>
              <w:rPr>
                <w:rFonts w:cs="Times New Roman"/>
                <w:kern w:val="0"/>
                <w:sz w:val="16"/>
                <w:szCs w:val="16"/>
              </w:rPr>
            </w:pPr>
            <w:r w:rsidRPr="00C702D7">
              <w:rPr>
                <w:rFonts w:cs="Times New Roman" w:hint="eastAsia"/>
                <w:kern w:val="0"/>
                <w:sz w:val="16"/>
                <w:szCs w:val="16"/>
              </w:rPr>
              <w:t>P</w:t>
            </w:r>
            <w:r w:rsidRPr="00C702D7">
              <w:rPr>
                <w:rFonts w:cs="Times New Roman"/>
                <w:kern w:val="0"/>
                <w:sz w:val="16"/>
                <w:szCs w:val="16"/>
              </w:rPr>
              <w:t>anel A</w:t>
            </w:r>
            <w:r w:rsidRPr="00C702D7">
              <w:rPr>
                <w:rFonts w:cs="Times New Roman" w:hint="eastAsia"/>
                <w:kern w:val="0"/>
                <w:sz w:val="16"/>
                <w:szCs w:val="16"/>
              </w:rPr>
              <w:t>：基于</w:t>
            </w:r>
            <w:r w:rsidRPr="00C702D7">
              <w:rPr>
                <w:rFonts w:cs="Times New Roman" w:hint="eastAsia"/>
                <w:kern w:val="0"/>
                <w:sz w:val="16"/>
                <w:szCs w:val="16"/>
              </w:rPr>
              <w:t>PSM</w:t>
            </w:r>
            <w:r w:rsidRPr="00C702D7">
              <w:rPr>
                <w:rFonts w:cs="Times New Roman" w:hint="eastAsia"/>
                <w:kern w:val="0"/>
                <w:sz w:val="16"/>
                <w:szCs w:val="16"/>
              </w:rPr>
              <w:t>的稳健性检验结果</w:t>
            </w:r>
          </w:p>
        </w:tc>
      </w:tr>
      <w:tr w:rsidR="00C702D7" w:rsidRPr="00C702D7" w14:paraId="06618536" w14:textId="77777777" w:rsidTr="00B718EA">
        <w:trPr>
          <w:trHeight w:val="280"/>
          <w:jc w:val="center"/>
        </w:trPr>
        <w:tc>
          <w:tcPr>
            <w:tcW w:w="1073" w:type="pct"/>
            <w:vMerge w:val="restart"/>
            <w:tcBorders>
              <w:top w:val="single" w:sz="12" w:space="0" w:color="auto"/>
              <w:right w:val="nil"/>
            </w:tcBorders>
            <w:shd w:val="clear" w:color="auto" w:fill="auto"/>
            <w:noWrap/>
            <w:vAlign w:val="center"/>
            <w:hideMark/>
          </w:tcPr>
          <w:p w14:paraId="67036E4F" w14:textId="77777777" w:rsidR="00D457FC" w:rsidRPr="00C702D7" w:rsidRDefault="00D457FC" w:rsidP="00B718EA">
            <w:pPr>
              <w:spacing w:line="240" w:lineRule="auto"/>
              <w:ind w:firstLineChars="0" w:firstLine="0"/>
              <w:jc w:val="center"/>
              <w:rPr>
                <w:rFonts w:cs="Times New Roman"/>
                <w:kern w:val="0"/>
                <w:sz w:val="16"/>
                <w:szCs w:val="16"/>
              </w:rPr>
            </w:pPr>
            <w:r w:rsidRPr="00C702D7">
              <w:rPr>
                <w:rFonts w:cs="Times New Roman"/>
                <w:kern w:val="0"/>
                <w:sz w:val="16"/>
                <w:szCs w:val="16"/>
              </w:rPr>
              <w:t>变量</w:t>
            </w:r>
          </w:p>
        </w:tc>
        <w:tc>
          <w:tcPr>
            <w:tcW w:w="680" w:type="pct"/>
            <w:tcBorders>
              <w:top w:val="single" w:sz="12" w:space="0" w:color="auto"/>
              <w:left w:val="nil"/>
              <w:right w:val="nil"/>
            </w:tcBorders>
            <w:vAlign w:val="center"/>
          </w:tcPr>
          <w:p w14:paraId="09ABC09E" w14:textId="77777777" w:rsidR="00D457FC" w:rsidRPr="00C702D7" w:rsidRDefault="00D457FC" w:rsidP="00B718EA">
            <w:pPr>
              <w:widowControl/>
              <w:spacing w:line="240" w:lineRule="auto"/>
              <w:ind w:firstLineChars="0" w:firstLine="0"/>
              <w:jc w:val="center"/>
              <w:rPr>
                <w:rFonts w:cs="Times New Roman"/>
                <w:kern w:val="0"/>
                <w:sz w:val="16"/>
                <w:szCs w:val="16"/>
              </w:rPr>
            </w:pPr>
            <w:r w:rsidRPr="00C702D7">
              <w:rPr>
                <w:rFonts w:cs="Times New Roman" w:hint="eastAsia"/>
                <w:kern w:val="0"/>
                <w:sz w:val="16"/>
                <w:szCs w:val="16"/>
              </w:rPr>
              <w:t>(</w:t>
            </w:r>
            <w:r w:rsidRPr="00C702D7">
              <w:rPr>
                <w:rFonts w:cs="Times New Roman"/>
                <w:kern w:val="0"/>
                <w:sz w:val="16"/>
                <w:szCs w:val="16"/>
              </w:rPr>
              <w:t>1)</w:t>
            </w:r>
          </w:p>
        </w:tc>
        <w:tc>
          <w:tcPr>
            <w:tcW w:w="849" w:type="pct"/>
            <w:gridSpan w:val="2"/>
            <w:tcBorders>
              <w:top w:val="single" w:sz="12" w:space="0" w:color="auto"/>
              <w:left w:val="nil"/>
              <w:right w:val="nil"/>
            </w:tcBorders>
            <w:vAlign w:val="center"/>
          </w:tcPr>
          <w:p w14:paraId="1D0920CD" w14:textId="77777777" w:rsidR="00D457FC" w:rsidRPr="00C702D7" w:rsidRDefault="00D457FC" w:rsidP="00B718EA">
            <w:pPr>
              <w:widowControl/>
              <w:spacing w:line="240" w:lineRule="auto"/>
              <w:ind w:firstLineChars="0" w:firstLine="0"/>
              <w:jc w:val="center"/>
              <w:rPr>
                <w:rFonts w:cs="Times New Roman"/>
                <w:kern w:val="0"/>
                <w:sz w:val="16"/>
                <w:szCs w:val="16"/>
              </w:rPr>
            </w:pPr>
            <w:r w:rsidRPr="00C702D7">
              <w:rPr>
                <w:rFonts w:cs="Times New Roman" w:hint="eastAsia"/>
                <w:kern w:val="0"/>
                <w:sz w:val="16"/>
                <w:szCs w:val="16"/>
              </w:rPr>
              <w:t>(</w:t>
            </w:r>
            <w:r w:rsidRPr="00C702D7">
              <w:rPr>
                <w:rFonts w:cs="Times New Roman"/>
                <w:kern w:val="0"/>
                <w:sz w:val="16"/>
                <w:szCs w:val="16"/>
              </w:rPr>
              <w:t>2)</w:t>
            </w:r>
          </w:p>
        </w:tc>
        <w:tc>
          <w:tcPr>
            <w:tcW w:w="831" w:type="pct"/>
            <w:gridSpan w:val="2"/>
            <w:tcBorders>
              <w:top w:val="single" w:sz="12" w:space="0" w:color="auto"/>
              <w:left w:val="nil"/>
              <w:right w:val="nil"/>
            </w:tcBorders>
            <w:vAlign w:val="center"/>
          </w:tcPr>
          <w:p w14:paraId="023C232E" w14:textId="77777777" w:rsidR="00D457FC" w:rsidRPr="00C702D7" w:rsidRDefault="00D457FC" w:rsidP="00B718EA">
            <w:pPr>
              <w:widowControl/>
              <w:spacing w:line="240" w:lineRule="auto"/>
              <w:ind w:firstLineChars="0" w:firstLine="0"/>
              <w:jc w:val="center"/>
              <w:rPr>
                <w:rFonts w:cs="Times New Roman"/>
                <w:kern w:val="0"/>
                <w:sz w:val="16"/>
                <w:szCs w:val="16"/>
              </w:rPr>
            </w:pPr>
            <w:r w:rsidRPr="00C702D7">
              <w:rPr>
                <w:rFonts w:cs="Times New Roman"/>
                <w:kern w:val="0"/>
                <w:sz w:val="16"/>
                <w:szCs w:val="16"/>
              </w:rPr>
              <w:t>(3)</w:t>
            </w:r>
          </w:p>
        </w:tc>
        <w:tc>
          <w:tcPr>
            <w:tcW w:w="830" w:type="pct"/>
            <w:gridSpan w:val="2"/>
            <w:tcBorders>
              <w:top w:val="single" w:sz="12" w:space="0" w:color="auto"/>
              <w:left w:val="nil"/>
              <w:bottom w:val="single" w:sz="4" w:space="0" w:color="auto"/>
              <w:right w:val="nil"/>
            </w:tcBorders>
            <w:vAlign w:val="center"/>
          </w:tcPr>
          <w:p w14:paraId="581E52DB" w14:textId="77777777" w:rsidR="00D457FC" w:rsidRPr="00C702D7" w:rsidRDefault="00D457FC" w:rsidP="00B718EA">
            <w:pPr>
              <w:widowControl/>
              <w:spacing w:line="240" w:lineRule="auto"/>
              <w:ind w:firstLineChars="0" w:firstLine="0"/>
              <w:jc w:val="center"/>
              <w:rPr>
                <w:rFonts w:cs="Times New Roman"/>
                <w:kern w:val="0"/>
                <w:sz w:val="16"/>
                <w:szCs w:val="16"/>
              </w:rPr>
            </w:pPr>
            <w:r w:rsidRPr="00C702D7">
              <w:rPr>
                <w:rFonts w:cs="Times New Roman"/>
                <w:kern w:val="0"/>
                <w:sz w:val="16"/>
                <w:szCs w:val="16"/>
              </w:rPr>
              <w:t>(4)</w:t>
            </w:r>
          </w:p>
        </w:tc>
        <w:tc>
          <w:tcPr>
            <w:tcW w:w="739" w:type="pct"/>
            <w:gridSpan w:val="2"/>
            <w:tcBorders>
              <w:top w:val="single" w:sz="12" w:space="0" w:color="auto"/>
              <w:left w:val="nil"/>
              <w:bottom w:val="single" w:sz="4" w:space="0" w:color="auto"/>
              <w:right w:val="nil"/>
            </w:tcBorders>
            <w:vAlign w:val="center"/>
          </w:tcPr>
          <w:p w14:paraId="1E5D8FC7" w14:textId="77777777" w:rsidR="00D457FC" w:rsidRPr="00C702D7" w:rsidRDefault="00D457FC" w:rsidP="00B718EA">
            <w:pPr>
              <w:widowControl/>
              <w:spacing w:line="240" w:lineRule="auto"/>
              <w:ind w:firstLineChars="0" w:firstLine="0"/>
              <w:jc w:val="center"/>
              <w:rPr>
                <w:rFonts w:cs="Times New Roman"/>
                <w:kern w:val="0"/>
                <w:sz w:val="16"/>
                <w:szCs w:val="16"/>
              </w:rPr>
            </w:pPr>
            <w:r w:rsidRPr="00C702D7">
              <w:rPr>
                <w:rFonts w:cs="Times New Roman" w:hint="eastAsia"/>
                <w:kern w:val="0"/>
                <w:sz w:val="16"/>
                <w:szCs w:val="16"/>
              </w:rPr>
              <w:t>(</w:t>
            </w:r>
            <w:r w:rsidRPr="00C702D7">
              <w:rPr>
                <w:rFonts w:cs="Times New Roman"/>
                <w:kern w:val="0"/>
                <w:sz w:val="16"/>
                <w:szCs w:val="16"/>
              </w:rPr>
              <w:t>5)</w:t>
            </w:r>
          </w:p>
        </w:tc>
      </w:tr>
      <w:tr w:rsidR="00C702D7" w:rsidRPr="00C702D7" w14:paraId="0FDE01CE" w14:textId="77777777" w:rsidTr="00B718EA">
        <w:trPr>
          <w:trHeight w:val="280"/>
          <w:jc w:val="center"/>
        </w:trPr>
        <w:tc>
          <w:tcPr>
            <w:tcW w:w="1073" w:type="pct"/>
            <w:vMerge/>
            <w:tcBorders>
              <w:bottom w:val="single" w:sz="4" w:space="0" w:color="auto"/>
              <w:right w:val="nil"/>
            </w:tcBorders>
            <w:shd w:val="clear" w:color="auto" w:fill="auto"/>
            <w:noWrap/>
            <w:vAlign w:val="center"/>
            <w:hideMark/>
          </w:tcPr>
          <w:p w14:paraId="664019C5" w14:textId="77777777" w:rsidR="00D457FC" w:rsidRPr="00C702D7" w:rsidRDefault="00D457FC" w:rsidP="00B718EA">
            <w:pPr>
              <w:widowControl/>
              <w:spacing w:line="240" w:lineRule="auto"/>
              <w:ind w:firstLineChars="0" w:firstLine="0"/>
              <w:jc w:val="center"/>
              <w:rPr>
                <w:rFonts w:cs="Times New Roman"/>
                <w:kern w:val="0"/>
                <w:sz w:val="16"/>
                <w:szCs w:val="16"/>
              </w:rPr>
            </w:pPr>
          </w:p>
        </w:tc>
        <w:tc>
          <w:tcPr>
            <w:tcW w:w="680" w:type="pct"/>
            <w:tcBorders>
              <w:left w:val="nil"/>
              <w:bottom w:val="single" w:sz="4" w:space="0" w:color="auto"/>
              <w:right w:val="nil"/>
            </w:tcBorders>
            <w:vAlign w:val="center"/>
          </w:tcPr>
          <w:p w14:paraId="44297A66" w14:textId="77777777" w:rsidR="00D457FC" w:rsidRPr="00C702D7" w:rsidRDefault="00D457FC" w:rsidP="00B718EA">
            <w:pPr>
              <w:widowControl/>
              <w:spacing w:line="240" w:lineRule="auto"/>
              <w:ind w:firstLineChars="0" w:firstLine="0"/>
              <w:jc w:val="center"/>
              <w:rPr>
                <w:rFonts w:cs="Times New Roman"/>
                <w:kern w:val="0"/>
                <w:sz w:val="16"/>
                <w:szCs w:val="16"/>
              </w:rPr>
            </w:pPr>
            <w:proofErr w:type="spellStart"/>
            <w:r w:rsidRPr="00C702D7">
              <w:rPr>
                <w:i/>
                <w:iCs/>
                <w:sz w:val="16"/>
                <w:szCs w:val="16"/>
              </w:rPr>
              <w:t>Cmiss_total</w:t>
            </w:r>
            <w:proofErr w:type="spellEnd"/>
          </w:p>
        </w:tc>
        <w:tc>
          <w:tcPr>
            <w:tcW w:w="849" w:type="pct"/>
            <w:gridSpan w:val="2"/>
            <w:tcBorders>
              <w:left w:val="nil"/>
              <w:bottom w:val="single" w:sz="4" w:space="0" w:color="auto"/>
              <w:right w:val="nil"/>
            </w:tcBorders>
            <w:vAlign w:val="center"/>
          </w:tcPr>
          <w:p w14:paraId="0649811C" w14:textId="77777777" w:rsidR="00D457FC" w:rsidRPr="00C702D7" w:rsidRDefault="00D457FC" w:rsidP="00B718EA">
            <w:pPr>
              <w:widowControl/>
              <w:spacing w:line="240" w:lineRule="auto"/>
              <w:ind w:firstLineChars="0" w:firstLine="0"/>
              <w:jc w:val="center"/>
              <w:rPr>
                <w:i/>
                <w:iCs/>
                <w:sz w:val="16"/>
                <w:szCs w:val="16"/>
              </w:rPr>
            </w:pPr>
            <w:proofErr w:type="spellStart"/>
            <w:r w:rsidRPr="00C702D7">
              <w:rPr>
                <w:i/>
                <w:iCs/>
                <w:sz w:val="16"/>
                <w:szCs w:val="16"/>
              </w:rPr>
              <w:t>d</w:t>
            </w:r>
            <w:r w:rsidRPr="00C702D7">
              <w:rPr>
                <w:rFonts w:hint="eastAsia"/>
                <w:i/>
                <w:iCs/>
                <w:sz w:val="16"/>
                <w:szCs w:val="16"/>
              </w:rPr>
              <w:t>Cmiss</w:t>
            </w:r>
            <w:proofErr w:type="spellEnd"/>
          </w:p>
        </w:tc>
        <w:tc>
          <w:tcPr>
            <w:tcW w:w="831" w:type="pct"/>
            <w:gridSpan w:val="2"/>
            <w:tcBorders>
              <w:left w:val="nil"/>
              <w:bottom w:val="single" w:sz="4" w:space="0" w:color="auto"/>
              <w:right w:val="nil"/>
            </w:tcBorders>
            <w:vAlign w:val="center"/>
          </w:tcPr>
          <w:p w14:paraId="4CEAD1C8" w14:textId="77777777" w:rsidR="00D457FC" w:rsidRPr="00C702D7" w:rsidRDefault="00D457FC" w:rsidP="00B718EA">
            <w:pPr>
              <w:widowControl/>
              <w:spacing w:line="240" w:lineRule="auto"/>
              <w:ind w:firstLineChars="0" w:firstLine="0"/>
              <w:jc w:val="center"/>
              <w:rPr>
                <w:rFonts w:cs="Times New Roman"/>
                <w:kern w:val="0"/>
                <w:sz w:val="16"/>
                <w:szCs w:val="16"/>
              </w:rPr>
            </w:pPr>
            <w:proofErr w:type="spellStart"/>
            <w:r w:rsidRPr="00C702D7">
              <w:rPr>
                <w:i/>
                <w:iCs/>
                <w:sz w:val="16"/>
                <w:szCs w:val="16"/>
              </w:rPr>
              <w:t>Cmiss_</w:t>
            </w:r>
            <w:r w:rsidRPr="00C702D7">
              <w:rPr>
                <w:rFonts w:hint="eastAsia"/>
                <w:i/>
                <w:iCs/>
                <w:sz w:val="16"/>
                <w:szCs w:val="16"/>
              </w:rPr>
              <w:t>ind</w:t>
            </w:r>
            <w:proofErr w:type="spellEnd"/>
          </w:p>
        </w:tc>
        <w:tc>
          <w:tcPr>
            <w:tcW w:w="830" w:type="pct"/>
            <w:gridSpan w:val="2"/>
            <w:tcBorders>
              <w:left w:val="nil"/>
              <w:bottom w:val="single" w:sz="4" w:space="0" w:color="auto"/>
              <w:right w:val="nil"/>
            </w:tcBorders>
            <w:vAlign w:val="center"/>
          </w:tcPr>
          <w:p w14:paraId="677ED1DA" w14:textId="77777777" w:rsidR="00D457FC" w:rsidRPr="00C702D7" w:rsidRDefault="00D457FC" w:rsidP="00B718EA">
            <w:pPr>
              <w:widowControl/>
              <w:spacing w:line="240" w:lineRule="auto"/>
              <w:ind w:firstLineChars="0" w:firstLine="0"/>
              <w:jc w:val="center"/>
              <w:rPr>
                <w:rFonts w:cs="Times New Roman"/>
                <w:i/>
                <w:iCs/>
                <w:sz w:val="16"/>
                <w:szCs w:val="16"/>
              </w:rPr>
            </w:pPr>
            <w:proofErr w:type="spellStart"/>
            <w:r w:rsidRPr="00C702D7">
              <w:rPr>
                <w:i/>
                <w:iCs/>
                <w:sz w:val="16"/>
                <w:szCs w:val="16"/>
              </w:rPr>
              <w:t>Cmiss_total</w:t>
            </w:r>
            <w:proofErr w:type="spellEnd"/>
          </w:p>
        </w:tc>
        <w:tc>
          <w:tcPr>
            <w:tcW w:w="739" w:type="pct"/>
            <w:gridSpan w:val="2"/>
            <w:tcBorders>
              <w:left w:val="nil"/>
              <w:bottom w:val="single" w:sz="4" w:space="0" w:color="auto"/>
              <w:right w:val="nil"/>
            </w:tcBorders>
            <w:vAlign w:val="center"/>
          </w:tcPr>
          <w:p w14:paraId="07457D21" w14:textId="77777777" w:rsidR="00D457FC" w:rsidRPr="00C702D7" w:rsidRDefault="00D457FC" w:rsidP="00B718EA">
            <w:pPr>
              <w:widowControl/>
              <w:spacing w:line="240" w:lineRule="auto"/>
              <w:ind w:firstLineChars="0" w:firstLine="0"/>
              <w:jc w:val="center"/>
              <w:rPr>
                <w:i/>
                <w:iCs/>
                <w:sz w:val="16"/>
                <w:szCs w:val="16"/>
              </w:rPr>
            </w:pPr>
            <w:proofErr w:type="spellStart"/>
            <w:r w:rsidRPr="00C702D7">
              <w:rPr>
                <w:i/>
                <w:iCs/>
                <w:sz w:val="16"/>
                <w:szCs w:val="16"/>
              </w:rPr>
              <w:t>d</w:t>
            </w:r>
            <w:r w:rsidRPr="00C702D7">
              <w:rPr>
                <w:rFonts w:hint="eastAsia"/>
                <w:i/>
                <w:iCs/>
                <w:sz w:val="16"/>
                <w:szCs w:val="16"/>
              </w:rPr>
              <w:t>Cmiss</w:t>
            </w:r>
            <w:proofErr w:type="spellEnd"/>
          </w:p>
        </w:tc>
      </w:tr>
      <w:tr w:rsidR="00C702D7" w:rsidRPr="00C702D7" w14:paraId="4751C1F2" w14:textId="77777777" w:rsidTr="00B718EA">
        <w:trPr>
          <w:trHeight w:val="280"/>
          <w:jc w:val="center"/>
        </w:trPr>
        <w:tc>
          <w:tcPr>
            <w:tcW w:w="1073" w:type="pct"/>
            <w:vMerge w:val="restart"/>
            <w:tcBorders>
              <w:top w:val="nil"/>
              <w:right w:val="nil"/>
            </w:tcBorders>
            <w:shd w:val="clear" w:color="auto" w:fill="auto"/>
            <w:noWrap/>
            <w:vAlign w:val="center"/>
          </w:tcPr>
          <w:p w14:paraId="52F7F2C2" w14:textId="77777777" w:rsidR="00D457FC" w:rsidRPr="00C702D7" w:rsidRDefault="00D457FC" w:rsidP="00B718EA">
            <w:pPr>
              <w:widowControl/>
              <w:spacing w:line="240" w:lineRule="auto"/>
              <w:ind w:firstLineChars="0" w:firstLine="0"/>
              <w:jc w:val="center"/>
              <w:rPr>
                <w:rFonts w:cs="Times New Roman"/>
                <w:i/>
                <w:iCs/>
                <w:kern w:val="0"/>
                <w:sz w:val="16"/>
                <w:szCs w:val="16"/>
              </w:rPr>
            </w:pPr>
            <w:r w:rsidRPr="00C702D7">
              <w:rPr>
                <w:rFonts w:cs="Times New Roman" w:hint="eastAsia"/>
                <w:i/>
                <w:iCs/>
                <w:kern w:val="0"/>
                <w:sz w:val="16"/>
                <w:szCs w:val="16"/>
              </w:rPr>
              <w:t>G</w:t>
            </w:r>
            <w:r w:rsidRPr="00C702D7">
              <w:rPr>
                <w:rFonts w:cs="Times New Roman"/>
                <w:i/>
                <w:iCs/>
                <w:kern w:val="0"/>
                <w:sz w:val="16"/>
                <w:szCs w:val="16"/>
              </w:rPr>
              <w:t>atten</w:t>
            </w:r>
          </w:p>
        </w:tc>
        <w:tc>
          <w:tcPr>
            <w:tcW w:w="680" w:type="pct"/>
            <w:tcBorders>
              <w:top w:val="nil"/>
              <w:left w:val="nil"/>
              <w:bottom w:val="nil"/>
              <w:right w:val="nil"/>
            </w:tcBorders>
            <w:vAlign w:val="center"/>
          </w:tcPr>
          <w:p w14:paraId="0D28DBCA"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sz w:val="16"/>
                <w:szCs w:val="16"/>
              </w:rPr>
              <w:t>-0.0246</w:t>
            </w:r>
            <w:r w:rsidRPr="00C702D7">
              <w:rPr>
                <w:sz w:val="16"/>
                <w:szCs w:val="16"/>
                <w:vertAlign w:val="superscript"/>
              </w:rPr>
              <w:t>***</w:t>
            </w:r>
          </w:p>
        </w:tc>
        <w:tc>
          <w:tcPr>
            <w:tcW w:w="849" w:type="pct"/>
            <w:gridSpan w:val="2"/>
            <w:tcBorders>
              <w:top w:val="single" w:sz="4" w:space="0" w:color="auto"/>
              <w:left w:val="nil"/>
              <w:bottom w:val="nil"/>
              <w:right w:val="nil"/>
            </w:tcBorders>
            <w:vAlign w:val="center"/>
          </w:tcPr>
          <w:p w14:paraId="738489A7" w14:textId="77777777" w:rsidR="00D457FC" w:rsidRPr="00C702D7" w:rsidRDefault="00D457FC" w:rsidP="00B718EA">
            <w:pPr>
              <w:widowControl/>
              <w:spacing w:line="240" w:lineRule="auto"/>
              <w:ind w:firstLineChars="0" w:firstLine="0"/>
              <w:jc w:val="center"/>
              <w:rPr>
                <w:sz w:val="16"/>
                <w:szCs w:val="16"/>
              </w:rPr>
            </w:pPr>
            <w:r w:rsidRPr="00C702D7">
              <w:rPr>
                <w:rFonts w:hint="eastAsia"/>
                <w:sz w:val="16"/>
                <w:szCs w:val="16"/>
              </w:rPr>
              <w:t>-0.0059</w:t>
            </w:r>
            <w:r w:rsidRPr="00C702D7">
              <w:rPr>
                <w:rFonts w:hint="eastAsia"/>
                <w:sz w:val="16"/>
                <w:szCs w:val="16"/>
                <w:vertAlign w:val="superscript"/>
              </w:rPr>
              <w:t>***</w:t>
            </w:r>
          </w:p>
        </w:tc>
        <w:tc>
          <w:tcPr>
            <w:tcW w:w="831" w:type="pct"/>
            <w:gridSpan w:val="2"/>
            <w:tcBorders>
              <w:top w:val="single" w:sz="4" w:space="0" w:color="auto"/>
              <w:left w:val="nil"/>
              <w:bottom w:val="nil"/>
              <w:right w:val="nil"/>
            </w:tcBorders>
            <w:vAlign w:val="center"/>
          </w:tcPr>
          <w:p w14:paraId="3EA1D17E"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-2.9252</w:t>
            </w:r>
            <w:r w:rsidRPr="00C702D7">
              <w:rPr>
                <w:rFonts w:cs="Times New Roman" w:hint="eastAsia"/>
                <w:sz w:val="16"/>
                <w:szCs w:val="16"/>
                <w:vertAlign w:val="superscript"/>
              </w:rPr>
              <w:t>*</w:t>
            </w:r>
          </w:p>
        </w:tc>
        <w:tc>
          <w:tcPr>
            <w:tcW w:w="830" w:type="pct"/>
            <w:gridSpan w:val="2"/>
            <w:vMerge w:val="restart"/>
            <w:tcBorders>
              <w:top w:val="nil"/>
              <w:left w:val="nil"/>
              <w:right w:val="nil"/>
            </w:tcBorders>
            <w:shd w:val="clear" w:color="auto" w:fill="auto"/>
            <w:noWrap/>
            <w:vAlign w:val="center"/>
          </w:tcPr>
          <w:p w14:paraId="60EE9222"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w:t>
            </w:r>
          </w:p>
        </w:tc>
        <w:tc>
          <w:tcPr>
            <w:tcW w:w="739" w:type="pct"/>
            <w:gridSpan w:val="2"/>
            <w:vMerge w:val="restart"/>
            <w:tcBorders>
              <w:top w:val="single" w:sz="4" w:space="0" w:color="auto"/>
              <w:left w:val="nil"/>
              <w:right w:val="nil"/>
            </w:tcBorders>
            <w:vAlign w:val="center"/>
          </w:tcPr>
          <w:p w14:paraId="3B690781"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w:t>
            </w:r>
          </w:p>
        </w:tc>
      </w:tr>
      <w:tr w:rsidR="00C702D7" w:rsidRPr="00C702D7" w14:paraId="48F5AC9A" w14:textId="77777777" w:rsidTr="00B718EA">
        <w:trPr>
          <w:trHeight w:val="280"/>
          <w:jc w:val="center"/>
        </w:trPr>
        <w:tc>
          <w:tcPr>
            <w:tcW w:w="1073" w:type="pct"/>
            <w:vMerge/>
            <w:tcBorders>
              <w:bottom w:val="nil"/>
              <w:right w:val="nil"/>
            </w:tcBorders>
            <w:shd w:val="clear" w:color="auto" w:fill="auto"/>
            <w:noWrap/>
            <w:vAlign w:val="center"/>
          </w:tcPr>
          <w:p w14:paraId="268A31D7" w14:textId="77777777" w:rsidR="00D457FC" w:rsidRPr="00C702D7" w:rsidRDefault="00D457FC" w:rsidP="00B718EA">
            <w:pPr>
              <w:widowControl/>
              <w:spacing w:line="240" w:lineRule="auto"/>
              <w:ind w:firstLineChars="0" w:firstLine="0"/>
              <w:jc w:val="center"/>
              <w:rPr>
                <w:rFonts w:cs="Times New Roman"/>
                <w:i/>
                <w:iCs/>
                <w:kern w:val="0"/>
                <w:sz w:val="16"/>
                <w:szCs w:val="16"/>
              </w:rPr>
            </w:pPr>
          </w:p>
        </w:tc>
        <w:tc>
          <w:tcPr>
            <w:tcW w:w="680" w:type="pct"/>
            <w:tcBorders>
              <w:top w:val="nil"/>
              <w:left w:val="nil"/>
              <w:bottom w:val="nil"/>
              <w:right w:val="nil"/>
            </w:tcBorders>
            <w:vAlign w:val="center"/>
          </w:tcPr>
          <w:p w14:paraId="1EA6BF2D"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sz w:val="16"/>
                <w:szCs w:val="16"/>
              </w:rPr>
              <w:t>(-5.6103)</w:t>
            </w:r>
          </w:p>
        </w:tc>
        <w:tc>
          <w:tcPr>
            <w:tcW w:w="849" w:type="pct"/>
            <w:gridSpan w:val="2"/>
            <w:tcBorders>
              <w:top w:val="nil"/>
              <w:left w:val="nil"/>
              <w:bottom w:val="nil"/>
              <w:right w:val="nil"/>
            </w:tcBorders>
            <w:vAlign w:val="center"/>
          </w:tcPr>
          <w:p w14:paraId="7E00F26B" w14:textId="77777777" w:rsidR="00D457FC" w:rsidRPr="00C702D7" w:rsidRDefault="00D457FC" w:rsidP="00B718EA">
            <w:pPr>
              <w:widowControl/>
              <w:spacing w:line="240" w:lineRule="auto"/>
              <w:ind w:firstLineChars="0" w:firstLine="0"/>
              <w:jc w:val="center"/>
              <w:rPr>
                <w:sz w:val="16"/>
                <w:szCs w:val="16"/>
              </w:rPr>
            </w:pPr>
            <w:r w:rsidRPr="00C702D7">
              <w:rPr>
                <w:rFonts w:hint="eastAsia"/>
                <w:sz w:val="16"/>
                <w:szCs w:val="16"/>
              </w:rPr>
              <w:t>(-4.4630)</w:t>
            </w:r>
          </w:p>
        </w:tc>
        <w:tc>
          <w:tcPr>
            <w:tcW w:w="831" w:type="pct"/>
            <w:gridSpan w:val="2"/>
            <w:tcBorders>
              <w:top w:val="nil"/>
              <w:left w:val="nil"/>
              <w:bottom w:val="nil"/>
              <w:right w:val="nil"/>
            </w:tcBorders>
            <w:vAlign w:val="center"/>
          </w:tcPr>
          <w:p w14:paraId="0560E13F"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(-2.0783)</w:t>
            </w:r>
          </w:p>
        </w:tc>
        <w:tc>
          <w:tcPr>
            <w:tcW w:w="830" w:type="pct"/>
            <w:gridSpan w:val="2"/>
            <w:vMerge/>
            <w:tcBorders>
              <w:left w:val="nil"/>
              <w:bottom w:val="nil"/>
              <w:right w:val="nil"/>
            </w:tcBorders>
            <w:shd w:val="clear" w:color="auto" w:fill="auto"/>
            <w:noWrap/>
            <w:vAlign w:val="center"/>
          </w:tcPr>
          <w:p w14:paraId="70ADD06D" w14:textId="77777777" w:rsidR="00D457FC" w:rsidRPr="00C702D7" w:rsidRDefault="00D457FC" w:rsidP="00B718EA">
            <w:pPr>
              <w:widowControl/>
              <w:spacing w:line="240" w:lineRule="auto"/>
              <w:ind w:firstLineChars="0" w:firstLine="0"/>
              <w:jc w:val="center"/>
              <w:rPr>
                <w:rFonts w:cs="Times New Roman"/>
                <w:sz w:val="16"/>
                <w:szCs w:val="16"/>
              </w:rPr>
            </w:pPr>
          </w:p>
        </w:tc>
        <w:tc>
          <w:tcPr>
            <w:tcW w:w="739" w:type="pct"/>
            <w:gridSpan w:val="2"/>
            <w:vMerge/>
            <w:tcBorders>
              <w:left w:val="nil"/>
              <w:bottom w:val="nil"/>
              <w:right w:val="nil"/>
            </w:tcBorders>
            <w:vAlign w:val="center"/>
          </w:tcPr>
          <w:p w14:paraId="5721DBAF" w14:textId="77777777" w:rsidR="00D457FC" w:rsidRPr="00C702D7" w:rsidRDefault="00D457FC" w:rsidP="00B718EA">
            <w:pPr>
              <w:widowControl/>
              <w:spacing w:line="240" w:lineRule="auto"/>
              <w:ind w:firstLineChars="0" w:firstLine="0"/>
              <w:jc w:val="center"/>
              <w:rPr>
                <w:rFonts w:cs="Times New Roman"/>
                <w:sz w:val="16"/>
                <w:szCs w:val="16"/>
              </w:rPr>
            </w:pPr>
          </w:p>
        </w:tc>
      </w:tr>
      <w:tr w:rsidR="00C702D7" w:rsidRPr="00C702D7" w14:paraId="328ED363" w14:textId="77777777" w:rsidTr="00B718EA">
        <w:trPr>
          <w:trHeight w:val="280"/>
          <w:jc w:val="center"/>
        </w:trPr>
        <w:tc>
          <w:tcPr>
            <w:tcW w:w="1073" w:type="pct"/>
            <w:vMerge w:val="restart"/>
            <w:tcBorders>
              <w:top w:val="nil"/>
              <w:right w:val="nil"/>
            </w:tcBorders>
            <w:shd w:val="clear" w:color="auto" w:fill="auto"/>
            <w:noWrap/>
            <w:vAlign w:val="center"/>
          </w:tcPr>
          <w:p w14:paraId="13EB7C98" w14:textId="77777777" w:rsidR="00D457FC" w:rsidRPr="00C702D7" w:rsidRDefault="00D457FC" w:rsidP="00B718EA">
            <w:pPr>
              <w:widowControl/>
              <w:spacing w:line="240" w:lineRule="auto"/>
              <w:ind w:firstLineChars="0" w:firstLine="0"/>
              <w:jc w:val="center"/>
              <w:rPr>
                <w:rFonts w:cs="Times New Roman"/>
                <w:i/>
                <w:iCs/>
                <w:kern w:val="0"/>
                <w:sz w:val="16"/>
                <w:szCs w:val="16"/>
              </w:rPr>
            </w:pPr>
            <w:proofErr w:type="spellStart"/>
            <w:r w:rsidRPr="00C702D7">
              <w:rPr>
                <w:rFonts w:cs="Times New Roman"/>
                <w:i/>
                <w:iCs/>
                <w:kern w:val="0"/>
                <w:sz w:val="16"/>
                <w:szCs w:val="16"/>
              </w:rPr>
              <w:t>Cmiss_se</w:t>
            </w:r>
            <w:proofErr w:type="spellEnd"/>
          </w:p>
        </w:tc>
        <w:tc>
          <w:tcPr>
            <w:tcW w:w="680" w:type="pct"/>
            <w:vMerge w:val="restart"/>
            <w:tcBorders>
              <w:top w:val="nil"/>
              <w:left w:val="nil"/>
              <w:right w:val="nil"/>
            </w:tcBorders>
            <w:vAlign w:val="center"/>
          </w:tcPr>
          <w:p w14:paraId="4C17953B"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w:t>
            </w:r>
          </w:p>
        </w:tc>
        <w:tc>
          <w:tcPr>
            <w:tcW w:w="849" w:type="pct"/>
            <w:gridSpan w:val="2"/>
            <w:vMerge w:val="restart"/>
            <w:tcBorders>
              <w:top w:val="nil"/>
              <w:left w:val="nil"/>
              <w:right w:val="nil"/>
            </w:tcBorders>
            <w:vAlign w:val="center"/>
          </w:tcPr>
          <w:p w14:paraId="3FC4D33F"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w:t>
            </w:r>
          </w:p>
        </w:tc>
        <w:tc>
          <w:tcPr>
            <w:tcW w:w="831" w:type="pct"/>
            <w:gridSpan w:val="2"/>
            <w:vMerge w:val="restart"/>
            <w:tcBorders>
              <w:top w:val="nil"/>
              <w:left w:val="nil"/>
              <w:right w:val="nil"/>
            </w:tcBorders>
            <w:vAlign w:val="center"/>
          </w:tcPr>
          <w:p w14:paraId="7CE8F76B"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w:t>
            </w:r>
          </w:p>
        </w:tc>
        <w:tc>
          <w:tcPr>
            <w:tcW w:w="830" w:type="pct"/>
            <w:gridSpan w:val="2"/>
            <w:tcBorders>
              <w:top w:val="nil"/>
              <w:left w:val="nil"/>
              <w:bottom w:val="nil"/>
              <w:right w:val="nil"/>
            </w:tcBorders>
            <w:shd w:val="clear" w:color="auto" w:fill="auto"/>
            <w:noWrap/>
            <w:vAlign w:val="center"/>
          </w:tcPr>
          <w:p w14:paraId="1068B46B"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-0.4731</w:t>
            </w:r>
            <w:r w:rsidRPr="00C702D7">
              <w:rPr>
                <w:rFonts w:cs="Times New Roman" w:hint="eastAsia"/>
                <w:sz w:val="16"/>
                <w:szCs w:val="16"/>
                <w:vertAlign w:val="superscript"/>
              </w:rPr>
              <w:t>***</w:t>
            </w:r>
          </w:p>
        </w:tc>
        <w:tc>
          <w:tcPr>
            <w:tcW w:w="739" w:type="pct"/>
            <w:gridSpan w:val="2"/>
            <w:tcBorders>
              <w:top w:val="nil"/>
              <w:left w:val="nil"/>
              <w:bottom w:val="nil"/>
              <w:right w:val="nil"/>
            </w:tcBorders>
            <w:vAlign w:val="center"/>
          </w:tcPr>
          <w:p w14:paraId="1BDE19C1"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-0.4458</w:t>
            </w:r>
            <w:r w:rsidRPr="00C702D7">
              <w:rPr>
                <w:rFonts w:cs="Times New Roman" w:hint="eastAsia"/>
                <w:sz w:val="16"/>
                <w:szCs w:val="16"/>
                <w:vertAlign w:val="superscript"/>
              </w:rPr>
              <w:t>***</w:t>
            </w:r>
          </w:p>
        </w:tc>
      </w:tr>
      <w:tr w:rsidR="00C702D7" w:rsidRPr="00C702D7" w14:paraId="060D1610" w14:textId="77777777" w:rsidTr="00B718EA">
        <w:trPr>
          <w:trHeight w:val="280"/>
          <w:jc w:val="center"/>
        </w:trPr>
        <w:tc>
          <w:tcPr>
            <w:tcW w:w="1073" w:type="pct"/>
            <w:vMerge/>
            <w:tcBorders>
              <w:bottom w:val="nil"/>
              <w:right w:val="nil"/>
            </w:tcBorders>
            <w:shd w:val="clear" w:color="auto" w:fill="auto"/>
            <w:noWrap/>
            <w:vAlign w:val="center"/>
          </w:tcPr>
          <w:p w14:paraId="2C504160" w14:textId="77777777" w:rsidR="00D457FC" w:rsidRPr="00C702D7" w:rsidRDefault="00D457FC" w:rsidP="00B718EA">
            <w:pPr>
              <w:widowControl/>
              <w:spacing w:line="240" w:lineRule="auto"/>
              <w:ind w:firstLineChars="0" w:firstLine="0"/>
              <w:jc w:val="center"/>
              <w:rPr>
                <w:rFonts w:cs="Times New Roman"/>
                <w:i/>
                <w:iCs/>
                <w:kern w:val="0"/>
                <w:sz w:val="16"/>
                <w:szCs w:val="16"/>
              </w:rPr>
            </w:pPr>
          </w:p>
        </w:tc>
        <w:tc>
          <w:tcPr>
            <w:tcW w:w="680" w:type="pct"/>
            <w:vMerge/>
            <w:tcBorders>
              <w:left w:val="nil"/>
              <w:bottom w:val="nil"/>
              <w:right w:val="nil"/>
            </w:tcBorders>
            <w:vAlign w:val="center"/>
          </w:tcPr>
          <w:p w14:paraId="1DE8D37F" w14:textId="77777777" w:rsidR="00D457FC" w:rsidRPr="00C702D7" w:rsidRDefault="00D457FC" w:rsidP="00B718EA">
            <w:pPr>
              <w:widowControl/>
              <w:spacing w:line="240" w:lineRule="auto"/>
              <w:ind w:firstLineChars="0" w:firstLine="0"/>
              <w:jc w:val="center"/>
              <w:rPr>
                <w:rFonts w:cs="Times New Roman"/>
                <w:sz w:val="16"/>
                <w:szCs w:val="16"/>
              </w:rPr>
            </w:pPr>
          </w:p>
        </w:tc>
        <w:tc>
          <w:tcPr>
            <w:tcW w:w="849" w:type="pct"/>
            <w:gridSpan w:val="2"/>
            <w:vMerge/>
            <w:tcBorders>
              <w:left w:val="nil"/>
              <w:bottom w:val="nil"/>
              <w:right w:val="nil"/>
            </w:tcBorders>
            <w:vAlign w:val="center"/>
          </w:tcPr>
          <w:p w14:paraId="08067DE4" w14:textId="77777777" w:rsidR="00D457FC" w:rsidRPr="00C702D7" w:rsidRDefault="00D457FC" w:rsidP="00B718EA">
            <w:pPr>
              <w:widowControl/>
              <w:spacing w:line="240" w:lineRule="auto"/>
              <w:ind w:firstLineChars="0" w:firstLine="0"/>
              <w:jc w:val="center"/>
              <w:rPr>
                <w:rFonts w:cs="Times New Roman"/>
                <w:sz w:val="16"/>
                <w:szCs w:val="16"/>
              </w:rPr>
            </w:pPr>
          </w:p>
        </w:tc>
        <w:tc>
          <w:tcPr>
            <w:tcW w:w="831" w:type="pct"/>
            <w:gridSpan w:val="2"/>
            <w:vMerge/>
            <w:tcBorders>
              <w:left w:val="nil"/>
              <w:bottom w:val="nil"/>
              <w:right w:val="nil"/>
            </w:tcBorders>
            <w:vAlign w:val="center"/>
          </w:tcPr>
          <w:p w14:paraId="7C1843A1" w14:textId="77777777" w:rsidR="00D457FC" w:rsidRPr="00C702D7" w:rsidRDefault="00D457FC" w:rsidP="00B718EA">
            <w:pPr>
              <w:widowControl/>
              <w:spacing w:line="240" w:lineRule="auto"/>
              <w:ind w:firstLineChars="0" w:firstLine="0"/>
              <w:jc w:val="center"/>
              <w:rPr>
                <w:rFonts w:cs="Times New Roman"/>
                <w:sz w:val="16"/>
                <w:szCs w:val="16"/>
              </w:rPr>
            </w:pPr>
          </w:p>
        </w:tc>
        <w:tc>
          <w:tcPr>
            <w:tcW w:w="830" w:type="pct"/>
            <w:gridSpan w:val="2"/>
            <w:tcBorders>
              <w:top w:val="nil"/>
              <w:left w:val="nil"/>
              <w:bottom w:val="nil"/>
              <w:right w:val="nil"/>
            </w:tcBorders>
            <w:shd w:val="clear" w:color="auto" w:fill="auto"/>
            <w:noWrap/>
            <w:vAlign w:val="center"/>
          </w:tcPr>
          <w:p w14:paraId="49E77358"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(-3.7828)</w:t>
            </w:r>
          </w:p>
        </w:tc>
        <w:tc>
          <w:tcPr>
            <w:tcW w:w="739" w:type="pct"/>
            <w:gridSpan w:val="2"/>
            <w:tcBorders>
              <w:top w:val="nil"/>
              <w:left w:val="nil"/>
              <w:bottom w:val="nil"/>
              <w:right w:val="nil"/>
            </w:tcBorders>
            <w:vAlign w:val="center"/>
          </w:tcPr>
          <w:p w14:paraId="4F40DA8C"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(-3.8872)</w:t>
            </w:r>
          </w:p>
        </w:tc>
      </w:tr>
      <w:tr w:rsidR="00C702D7" w:rsidRPr="00C702D7" w14:paraId="1D58EE8C" w14:textId="77777777" w:rsidTr="00B718EA">
        <w:trPr>
          <w:trHeight w:val="280"/>
          <w:jc w:val="center"/>
        </w:trPr>
        <w:tc>
          <w:tcPr>
            <w:tcW w:w="1073" w:type="pct"/>
            <w:tcBorders>
              <w:top w:val="nil"/>
              <w:bottom w:val="nil"/>
              <w:right w:val="nil"/>
            </w:tcBorders>
            <w:shd w:val="clear" w:color="auto" w:fill="auto"/>
            <w:noWrap/>
            <w:vAlign w:val="center"/>
          </w:tcPr>
          <w:p w14:paraId="3F141830" w14:textId="77777777" w:rsidR="00D457FC" w:rsidRPr="00C702D7" w:rsidRDefault="00D457FC" w:rsidP="00B718EA">
            <w:pPr>
              <w:widowControl/>
              <w:spacing w:line="240" w:lineRule="auto"/>
              <w:ind w:firstLineChars="0" w:firstLine="0"/>
              <w:jc w:val="center"/>
              <w:rPr>
                <w:rFonts w:cs="Times New Roman"/>
                <w:kern w:val="0"/>
                <w:sz w:val="16"/>
                <w:szCs w:val="16"/>
              </w:rPr>
            </w:pPr>
            <w:r w:rsidRPr="00C702D7">
              <w:rPr>
                <w:rFonts w:cs="Times New Roman" w:hint="eastAsia"/>
                <w:kern w:val="0"/>
                <w:sz w:val="16"/>
                <w:szCs w:val="16"/>
              </w:rPr>
              <w:t>控制变量</w:t>
            </w:r>
          </w:p>
        </w:tc>
        <w:tc>
          <w:tcPr>
            <w:tcW w:w="680" w:type="pct"/>
            <w:tcBorders>
              <w:top w:val="nil"/>
              <w:left w:val="nil"/>
              <w:bottom w:val="nil"/>
              <w:right w:val="nil"/>
            </w:tcBorders>
            <w:vAlign w:val="center"/>
          </w:tcPr>
          <w:p w14:paraId="00F0C202"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Yes</w:t>
            </w:r>
          </w:p>
        </w:tc>
        <w:tc>
          <w:tcPr>
            <w:tcW w:w="849" w:type="pct"/>
            <w:gridSpan w:val="2"/>
            <w:tcBorders>
              <w:top w:val="nil"/>
              <w:left w:val="nil"/>
              <w:bottom w:val="nil"/>
              <w:right w:val="nil"/>
            </w:tcBorders>
            <w:vAlign w:val="center"/>
          </w:tcPr>
          <w:p w14:paraId="2F4F6EAA"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Yes</w:t>
            </w:r>
          </w:p>
        </w:tc>
        <w:tc>
          <w:tcPr>
            <w:tcW w:w="831" w:type="pct"/>
            <w:gridSpan w:val="2"/>
            <w:tcBorders>
              <w:top w:val="nil"/>
              <w:left w:val="nil"/>
              <w:bottom w:val="nil"/>
              <w:right w:val="nil"/>
            </w:tcBorders>
            <w:vAlign w:val="center"/>
          </w:tcPr>
          <w:p w14:paraId="1555427C"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Yes</w:t>
            </w:r>
          </w:p>
        </w:tc>
        <w:tc>
          <w:tcPr>
            <w:tcW w:w="830" w:type="pct"/>
            <w:gridSpan w:val="2"/>
            <w:tcBorders>
              <w:top w:val="nil"/>
              <w:left w:val="nil"/>
              <w:bottom w:val="nil"/>
              <w:right w:val="nil"/>
            </w:tcBorders>
            <w:shd w:val="clear" w:color="auto" w:fill="auto"/>
            <w:noWrap/>
            <w:vAlign w:val="center"/>
          </w:tcPr>
          <w:p w14:paraId="02E43C0C"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Yes</w:t>
            </w:r>
          </w:p>
        </w:tc>
        <w:tc>
          <w:tcPr>
            <w:tcW w:w="739" w:type="pct"/>
            <w:gridSpan w:val="2"/>
            <w:tcBorders>
              <w:top w:val="nil"/>
              <w:left w:val="nil"/>
              <w:bottom w:val="nil"/>
              <w:right w:val="nil"/>
            </w:tcBorders>
            <w:vAlign w:val="center"/>
          </w:tcPr>
          <w:p w14:paraId="08E03B8B"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Yes</w:t>
            </w:r>
          </w:p>
        </w:tc>
      </w:tr>
      <w:tr w:rsidR="00C702D7" w:rsidRPr="00C702D7" w14:paraId="4B1C68BF" w14:textId="77777777" w:rsidTr="00B718EA">
        <w:trPr>
          <w:trHeight w:val="280"/>
          <w:jc w:val="center"/>
        </w:trPr>
        <w:tc>
          <w:tcPr>
            <w:tcW w:w="1073" w:type="pct"/>
            <w:tcBorders>
              <w:top w:val="nil"/>
              <w:bottom w:val="nil"/>
              <w:right w:val="nil"/>
            </w:tcBorders>
            <w:shd w:val="clear" w:color="auto" w:fill="auto"/>
            <w:noWrap/>
            <w:vAlign w:val="center"/>
          </w:tcPr>
          <w:p w14:paraId="77C435AB" w14:textId="77777777" w:rsidR="00D457FC" w:rsidRPr="00C702D7" w:rsidRDefault="00D457FC" w:rsidP="00B718EA">
            <w:pPr>
              <w:widowControl/>
              <w:spacing w:line="240" w:lineRule="auto"/>
              <w:ind w:firstLineChars="0" w:firstLine="0"/>
              <w:jc w:val="center"/>
              <w:rPr>
                <w:rFonts w:cs="Times New Roman"/>
                <w:kern w:val="0"/>
                <w:sz w:val="16"/>
                <w:szCs w:val="16"/>
              </w:rPr>
            </w:pPr>
            <w:r w:rsidRPr="00C702D7">
              <w:rPr>
                <w:rFonts w:cs="Times New Roman" w:hint="eastAsia"/>
                <w:kern w:val="0"/>
                <w:sz w:val="16"/>
                <w:szCs w:val="16"/>
              </w:rPr>
              <w:t>年度</w:t>
            </w:r>
            <w:r w:rsidRPr="00C702D7">
              <w:rPr>
                <w:rFonts w:cs="Times New Roman" w:hint="eastAsia"/>
                <w:kern w:val="0"/>
                <w:sz w:val="16"/>
                <w:szCs w:val="16"/>
              </w:rPr>
              <w:t>/</w:t>
            </w:r>
            <w:r w:rsidRPr="00C702D7">
              <w:rPr>
                <w:rFonts w:cs="Times New Roman" w:hint="eastAsia"/>
                <w:kern w:val="0"/>
                <w:sz w:val="16"/>
                <w:szCs w:val="16"/>
              </w:rPr>
              <w:t>行业</w:t>
            </w:r>
            <w:r w:rsidRPr="00C702D7">
              <w:rPr>
                <w:rFonts w:cs="Times New Roman"/>
                <w:kern w:val="0"/>
                <w:sz w:val="16"/>
                <w:szCs w:val="16"/>
              </w:rPr>
              <w:t>固定效应</w:t>
            </w:r>
          </w:p>
        </w:tc>
        <w:tc>
          <w:tcPr>
            <w:tcW w:w="680" w:type="pct"/>
            <w:tcBorders>
              <w:top w:val="nil"/>
              <w:left w:val="nil"/>
              <w:bottom w:val="nil"/>
              <w:right w:val="nil"/>
            </w:tcBorders>
            <w:vAlign w:val="center"/>
          </w:tcPr>
          <w:p w14:paraId="3D4BDF00"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Yes</w:t>
            </w:r>
          </w:p>
        </w:tc>
        <w:tc>
          <w:tcPr>
            <w:tcW w:w="849" w:type="pct"/>
            <w:gridSpan w:val="2"/>
            <w:tcBorders>
              <w:top w:val="nil"/>
              <w:left w:val="nil"/>
              <w:bottom w:val="nil"/>
              <w:right w:val="nil"/>
            </w:tcBorders>
            <w:vAlign w:val="center"/>
          </w:tcPr>
          <w:p w14:paraId="22B6E2D6"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Yes</w:t>
            </w:r>
          </w:p>
        </w:tc>
        <w:tc>
          <w:tcPr>
            <w:tcW w:w="831" w:type="pct"/>
            <w:gridSpan w:val="2"/>
            <w:tcBorders>
              <w:top w:val="nil"/>
              <w:left w:val="nil"/>
              <w:bottom w:val="nil"/>
              <w:right w:val="nil"/>
            </w:tcBorders>
            <w:vAlign w:val="center"/>
          </w:tcPr>
          <w:p w14:paraId="5D28EB6E"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Yes</w:t>
            </w:r>
          </w:p>
        </w:tc>
        <w:tc>
          <w:tcPr>
            <w:tcW w:w="830" w:type="pct"/>
            <w:gridSpan w:val="2"/>
            <w:tcBorders>
              <w:top w:val="nil"/>
              <w:left w:val="nil"/>
              <w:bottom w:val="nil"/>
              <w:right w:val="nil"/>
            </w:tcBorders>
            <w:shd w:val="clear" w:color="auto" w:fill="auto"/>
            <w:noWrap/>
            <w:vAlign w:val="center"/>
          </w:tcPr>
          <w:p w14:paraId="05DCC3F0"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Yes</w:t>
            </w:r>
          </w:p>
        </w:tc>
        <w:tc>
          <w:tcPr>
            <w:tcW w:w="739" w:type="pct"/>
            <w:gridSpan w:val="2"/>
            <w:tcBorders>
              <w:top w:val="nil"/>
              <w:left w:val="nil"/>
              <w:bottom w:val="nil"/>
              <w:right w:val="nil"/>
            </w:tcBorders>
            <w:vAlign w:val="center"/>
          </w:tcPr>
          <w:p w14:paraId="01559406"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Yes</w:t>
            </w:r>
          </w:p>
        </w:tc>
      </w:tr>
      <w:tr w:rsidR="00C702D7" w:rsidRPr="00C702D7" w14:paraId="2A58A97E" w14:textId="77777777" w:rsidTr="00B718EA">
        <w:trPr>
          <w:trHeight w:val="280"/>
          <w:jc w:val="center"/>
        </w:trPr>
        <w:tc>
          <w:tcPr>
            <w:tcW w:w="1073" w:type="pct"/>
            <w:tcBorders>
              <w:top w:val="nil"/>
              <w:bottom w:val="nil"/>
              <w:right w:val="nil"/>
            </w:tcBorders>
            <w:shd w:val="clear" w:color="auto" w:fill="auto"/>
            <w:noWrap/>
            <w:vAlign w:val="center"/>
          </w:tcPr>
          <w:p w14:paraId="1BEB3491" w14:textId="77777777" w:rsidR="00D457FC" w:rsidRPr="00C702D7" w:rsidRDefault="00D457FC" w:rsidP="00B718EA">
            <w:pPr>
              <w:widowControl/>
              <w:spacing w:line="240" w:lineRule="auto"/>
              <w:ind w:firstLineChars="0" w:firstLine="0"/>
              <w:jc w:val="center"/>
              <w:rPr>
                <w:rFonts w:cs="Times New Roman"/>
                <w:kern w:val="0"/>
                <w:sz w:val="16"/>
                <w:szCs w:val="16"/>
              </w:rPr>
            </w:pPr>
            <w:r w:rsidRPr="00C702D7">
              <w:rPr>
                <w:rFonts w:cs="Times New Roman" w:hint="eastAsia"/>
                <w:kern w:val="0"/>
                <w:sz w:val="18"/>
                <w:szCs w:val="18"/>
              </w:rPr>
              <w:t>样本量</w:t>
            </w:r>
          </w:p>
        </w:tc>
        <w:tc>
          <w:tcPr>
            <w:tcW w:w="680" w:type="pct"/>
            <w:tcBorders>
              <w:top w:val="nil"/>
              <w:left w:val="nil"/>
              <w:bottom w:val="nil"/>
              <w:right w:val="nil"/>
            </w:tcBorders>
            <w:vAlign w:val="center"/>
          </w:tcPr>
          <w:p w14:paraId="294C6110"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1</w:t>
            </w:r>
            <w:r w:rsidRPr="00C702D7">
              <w:rPr>
                <w:rFonts w:cs="Times New Roman"/>
                <w:sz w:val="16"/>
                <w:szCs w:val="16"/>
              </w:rPr>
              <w:t xml:space="preserve"> 29</w:t>
            </w:r>
            <w:r w:rsidRPr="00C702D7">
              <w:rPr>
                <w:rFonts w:cs="Times New Roman" w:hint="eastAsia"/>
                <w:sz w:val="16"/>
                <w:szCs w:val="16"/>
              </w:rPr>
              <w:t>8</w:t>
            </w:r>
          </w:p>
        </w:tc>
        <w:tc>
          <w:tcPr>
            <w:tcW w:w="849" w:type="pct"/>
            <w:gridSpan w:val="2"/>
            <w:tcBorders>
              <w:top w:val="nil"/>
              <w:left w:val="nil"/>
              <w:bottom w:val="nil"/>
              <w:right w:val="nil"/>
            </w:tcBorders>
            <w:vAlign w:val="center"/>
          </w:tcPr>
          <w:p w14:paraId="72347A1A"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1</w:t>
            </w:r>
            <w:r w:rsidRPr="00C702D7">
              <w:rPr>
                <w:rFonts w:cs="Times New Roman"/>
                <w:sz w:val="16"/>
                <w:szCs w:val="16"/>
              </w:rPr>
              <w:t xml:space="preserve"> 29</w:t>
            </w:r>
            <w:r w:rsidRPr="00C702D7">
              <w:rPr>
                <w:rFonts w:cs="Times New Roman" w:hint="eastAsia"/>
                <w:sz w:val="16"/>
                <w:szCs w:val="16"/>
              </w:rPr>
              <w:t>8</w:t>
            </w:r>
          </w:p>
        </w:tc>
        <w:tc>
          <w:tcPr>
            <w:tcW w:w="831" w:type="pct"/>
            <w:gridSpan w:val="2"/>
            <w:tcBorders>
              <w:top w:val="nil"/>
              <w:left w:val="nil"/>
              <w:bottom w:val="nil"/>
              <w:right w:val="nil"/>
            </w:tcBorders>
            <w:vAlign w:val="center"/>
          </w:tcPr>
          <w:p w14:paraId="623D28BC"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1</w:t>
            </w:r>
            <w:r w:rsidRPr="00C702D7">
              <w:rPr>
                <w:rFonts w:cs="Times New Roman"/>
                <w:sz w:val="16"/>
                <w:szCs w:val="16"/>
              </w:rPr>
              <w:t xml:space="preserve"> 29</w:t>
            </w:r>
            <w:r w:rsidRPr="00C702D7">
              <w:rPr>
                <w:rFonts w:cs="Times New Roman" w:hint="eastAsia"/>
                <w:sz w:val="16"/>
                <w:szCs w:val="16"/>
              </w:rPr>
              <w:t>8</w:t>
            </w:r>
          </w:p>
        </w:tc>
        <w:tc>
          <w:tcPr>
            <w:tcW w:w="830" w:type="pct"/>
            <w:gridSpan w:val="2"/>
            <w:tcBorders>
              <w:top w:val="nil"/>
              <w:left w:val="nil"/>
              <w:bottom w:val="nil"/>
              <w:right w:val="nil"/>
            </w:tcBorders>
            <w:shd w:val="clear" w:color="auto" w:fill="auto"/>
            <w:noWrap/>
            <w:vAlign w:val="center"/>
          </w:tcPr>
          <w:p w14:paraId="5F50A6B6" w14:textId="77777777" w:rsidR="00D457FC" w:rsidRPr="00C702D7" w:rsidRDefault="00D457FC" w:rsidP="00B718EA">
            <w:pPr>
              <w:widowControl/>
              <w:spacing w:line="240" w:lineRule="auto"/>
              <w:ind w:firstLineChars="0" w:firstLine="0"/>
              <w:jc w:val="center"/>
              <w:rPr>
                <w:sz w:val="16"/>
                <w:szCs w:val="16"/>
              </w:rPr>
            </w:pPr>
            <w:r w:rsidRPr="00C702D7">
              <w:rPr>
                <w:rFonts w:cs="Times New Roman" w:hint="eastAsia"/>
                <w:sz w:val="16"/>
                <w:szCs w:val="16"/>
              </w:rPr>
              <w:t>1</w:t>
            </w:r>
            <w:r w:rsidRPr="00C702D7">
              <w:rPr>
                <w:rFonts w:cs="Times New Roman"/>
                <w:sz w:val="16"/>
                <w:szCs w:val="16"/>
              </w:rPr>
              <w:t xml:space="preserve"> 29</w:t>
            </w:r>
            <w:r w:rsidRPr="00C702D7">
              <w:rPr>
                <w:rFonts w:cs="Times New Roman" w:hint="eastAsia"/>
                <w:sz w:val="16"/>
                <w:szCs w:val="16"/>
              </w:rPr>
              <w:t>8</w:t>
            </w:r>
          </w:p>
        </w:tc>
        <w:tc>
          <w:tcPr>
            <w:tcW w:w="739" w:type="pct"/>
            <w:gridSpan w:val="2"/>
            <w:tcBorders>
              <w:top w:val="nil"/>
              <w:left w:val="nil"/>
              <w:bottom w:val="nil"/>
              <w:right w:val="nil"/>
            </w:tcBorders>
            <w:vAlign w:val="center"/>
          </w:tcPr>
          <w:p w14:paraId="34187BF8"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1</w:t>
            </w:r>
            <w:r w:rsidRPr="00C702D7">
              <w:rPr>
                <w:rFonts w:cs="Times New Roman"/>
                <w:sz w:val="16"/>
                <w:szCs w:val="16"/>
              </w:rPr>
              <w:t xml:space="preserve"> 29</w:t>
            </w:r>
            <w:r w:rsidRPr="00C702D7">
              <w:rPr>
                <w:rFonts w:cs="Times New Roman" w:hint="eastAsia"/>
                <w:sz w:val="16"/>
                <w:szCs w:val="16"/>
              </w:rPr>
              <w:t>8</w:t>
            </w:r>
          </w:p>
        </w:tc>
      </w:tr>
      <w:tr w:rsidR="00C702D7" w:rsidRPr="00C702D7" w14:paraId="05D0201C" w14:textId="77777777" w:rsidTr="00B718EA">
        <w:trPr>
          <w:trHeight w:val="280"/>
          <w:jc w:val="center"/>
        </w:trPr>
        <w:tc>
          <w:tcPr>
            <w:tcW w:w="1073" w:type="pct"/>
            <w:tcBorders>
              <w:top w:val="nil"/>
              <w:bottom w:val="single" w:sz="12" w:space="0" w:color="auto"/>
              <w:right w:val="nil"/>
            </w:tcBorders>
            <w:shd w:val="clear" w:color="auto" w:fill="auto"/>
            <w:noWrap/>
            <w:vAlign w:val="center"/>
          </w:tcPr>
          <w:p w14:paraId="266B1CCB" w14:textId="77777777" w:rsidR="00D457FC" w:rsidRPr="00C702D7" w:rsidRDefault="00D457FC" w:rsidP="00B718EA">
            <w:pPr>
              <w:widowControl/>
              <w:spacing w:line="240" w:lineRule="auto"/>
              <w:ind w:firstLineChars="0" w:firstLine="0"/>
              <w:jc w:val="center"/>
              <w:rPr>
                <w:rFonts w:cs="Times New Roman"/>
                <w:i/>
                <w:iCs/>
                <w:kern w:val="0"/>
                <w:sz w:val="16"/>
                <w:szCs w:val="16"/>
              </w:rPr>
            </w:pPr>
            <w:r w:rsidRPr="00C702D7">
              <w:rPr>
                <w:rFonts w:cs="Times New Roman"/>
                <w:i/>
                <w:iCs/>
                <w:kern w:val="0"/>
                <w:sz w:val="16"/>
                <w:szCs w:val="16"/>
              </w:rPr>
              <w:t>R</w:t>
            </w:r>
            <w:r w:rsidRPr="00C702D7">
              <w:rPr>
                <w:rFonts w:cs="Times New Roman"/>
                <w:i/>
                <w:iCs/>
                <w:kern w:val="0"/>
                <w:sz w:val="16"/>
                <w:szCs w:val="16"/>
                <w:vertAlign w:val="superscript"/>
              </w:rPr>
              <w:t>2</w:t>
            </w:r>
          </w:p>
        </w:tc>
        <w:tc>
          <w:tcPr>
            <w:tcW w:w="680" w:type="pct"/>
            <w:tcBorders>
              <w:top w:val="nil"/>
              <w:left w:val="nil"/>
              <w:bottom w:val="single" w:sz="12" w:space="0" w:color="auto"/>
              <w:right w:val="nil"/>
            </w:tcBorders>
            <w:vAlign w:val="center"/>
          </w:tcPr>
          <w:p w14:paraId="763C5F4D"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0.02</w:t>
            </w:r>
            <w:r w:rsidRPr="00C702D7">
              <w:rPr>
                <w:rFonts w:cs="Times New Roman"/>
                <w:sz w:val="16"/>
                <w:szCs w:val="16"/>
              </w:rPr>
              <w:t>4</w:t>
            </w:r>
          </w:p>
        </w:tc>
        <w:tc>
          <w:tcPr>
            <w:tcW w:w="849" w:type="pct"/>
            <w:gridSpan w:val="2"/>
            <w:tcBorders>
              <w:top w:val="nil"/>
              <w:left w:val="nil"/>
              <w:bottom w:val="single" w:sz="12" w:space="0" w:color="auto"/>
              <w:right w:val="nil"/>
            </w:tcBorders>
            <w:vAlign w:val="center"/>
          </w:tcPr>
          <w:p w14:paraId="0520F8B9" w14:textId="77777777" w:rsidR="00D457FC" w:rsidRPr="00C702D7" w:rsidRDefault="00D457FC" w:rsidP="00B718EA">
            <w:pPr>
              <w:widowControl/>
              <w:spacing w:line="240" w:lineRule="auto"/>
              <w:ind w:firstLineChars="0" w:firstLine="0"/>
              <w:jc w:val="center"/>
              <w:rPr>
                <w:rFonts w:ascii="等线" w:eastAsia="等线" w:hAnsi="等线"/>
                <w:sz w:val="16"/>
                <w:szCs w:val="16"/>
              </w:rPr>
            </w:pPr>
            <w:r w:rsidRPr="00C702D7">
              <w:rPr>
                <w:rFonts w:cs="Times New Roman" w:hint="eastAsia"/>
                <w:sz w:val="16"/>
                <w:szCs w:val="16"/>
              </w:rPr>
              <w:t>0.021</w:t>
            </w:r>
          </w:p>
        </w:tc>
        <w:tc>
          <w:tcPr>
            <w:tcW w:w="831" w:type="pct"/>
            <w:gridSpan w:val="2"/>
            <w:tcBorders>
              <w:top w:val="nil"/>
              <w:left w:val="nil"/>
              <w:bottom w:val="single" w:sz="12" w:space="0" w:color="auto"/>
              <w:right w:val="nil"/>
            </w:tcBorders>
            <w:vAlign w:val="center"/>
          </w:tcPr>
          <w:p w14:paraId="5CF28C79"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0.</w:t>
            </w:r>
            <w:r w:rsidRPr="00C702D7">
              <w:rPr>
                <w:rFonts w:cs="Times New Roman"/>
                <w:sz w:val="16"/>
                <w:szCs w:val="16"/>
              </w:rPr>
              <w:t>639</w:t>
            </w:r>
          </w:p>
        </w:tc>
        <w:tc>
          <w:tcPr>
            <w:tcW w:w="830" w:type="pct"/>
            <w:gridSpan w:val="2"/>
            <w:tcBorders>
              <w:top w:val="nil"/>
              <w:left w:val="nil"/>
              <w:bottom w:val="single" w:sz="12" w:space="0" w:color="auto"/>
              <w:right w:val="nil"/>
            </w:tcBorders>
            <w:shd w:val="clear" w:color="auto" w:fill="auto"/>
            <w:noWrap/>
            <w:vAlign w:val="center"/>
          </w:tcPr>
          <w:p w14:paraId="6003F1CB"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0.025</w:t>
            </w:r>
          </w:p>
        </w:tc>
        <w:tc>
          <w:tcPr>
            <w:tcW w:w="739" w:type="pct"/>
            <w:gridSpan w:val="2"/>
            <w:tcBorders>
              <w:top w:val="nil"/>
              <w:left w:val="nil"/>
              <w:bottom w:val="single" w:sz="12" w:space="0" w:color="auto"/>
              <w:right w:val="nil"/>
            </w:tcBorders>
            <w:vAlign w:val="center"/>
          </w:tcPr>
          <w:p w14:paraId="125FF1E9"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0.021</w:t>
            </w:r>
          </w:p>
        </w:tc>
      </w:tr>
      <w:tr w:rsidR="00C702D7" w:rsidRPr="00C702D7" w14:paraId="0ACE7D4A" w14:textId="77777777" w:rsidTr="00B718EA">
        <w:trPr>
          <w:trHeight w:val="280"/>
          <w:jc w:val="center"/>
        </w:trPr>
        <w:tc>
          <w:tcPr>
            <w:tcW w:w="5000" w:type="pct"/>
            <w:gridSpan w:val="10"/>
            <w:tcBorders>
              <w:top w:val="single" w:sz="12" w:space="0" w:color="auto"/>
              <w:bottom w:val="single" w:sz="12" w:space="0" w:color="auto"/>
              <w:right w:val="nil"/>
            </w:tcBorders>
            <w:vAlign w:val="center"/>
          </w:tcPr>
          <w:p w14:paraId="1C6C88F2" w14:textId="77777777" w:rsidR="00D457FC" w:rsidRPr="00C702D7" w:rsidRDefault="00D457FC" w:rsidP="00B718EA">
            <w:pPr>
              <w:widowControl/>
              <w:spacing w:line="240" w:lineRule="auto"/>
              <w:ind w:firstLineChars="0" w:firstLine="0"/>
              <w:jc w:val="left"/>
              <w:rPr>
                <w:rFonts w:cs="Times New Roman"/>
                <w:sz w:val="16"/>
                <w:szCs w:val="16"/>
              </w:rPr>
            </w:pPr>
            <w:r w:rsidRPr="00C702D7">
              <w:rPr>
                <w:rFonts w:cs="Times New Roman" w:hint="eastAsia"/>
                <w:sz w:val="16"/>
                <w:szCs w:val="16"/>
              </w:rPr>
              <w:t>P</w:t>
            </w:r>
            <w:r w:rsidRPr="00C702D7">
              <w:rPr>
                <w:rFonts w:cs="Times New Roman"/>
                <w:sz w:val="16"/>
                <w:szCs w:val="16"/>
              </w:rPr>
              <w:t>anel B</w:t>
            </w:r>
            <w:r w:rsidRPr="00C702D7">
              <w:rPr>
                <w:rFonts w:cs="Times New Roman" w:hint="eastAsia"/>
                <w:sz w:val="16"/>
                <w:szCs w:val="16"/>
              </w:rPr>
              <w:t>：替换关键变量的稳健性检验结果</w:t>
            </w:r>
          </w:p>
        </w:tc>
      </w:tr>
      <w:tr w:rsidR="00C702D7" w:rsidRPr="00C702D7" w14:paraId="18DF4BBA" w14:textId="77777777" w:rsidTr="00B718EA">
        <w:trPr>
          <w:trHeight w:val="280"/>
          <w:jc w:val="center"/>
        </w:trPr>
        <w:tc>
          <w:tcPr>
            <w:tcW w:w="1073" w:type="pct"/>
            <w:vMerge w:val="restart"/>
            <w:tcBorders>
              <w:top w:val="single" w:sz="12" w:space="0" w:color="auto"/>
              <w:right w:val="nil"/>
            </w:tcBorders>
            <w:shd w:val="clear" w:color="auto" w:fill="auto"/>
            <w:noWrap/>
            <w:vAlign w:val="center"/>
          </w:tcPr>
          <w:p w14:paraId="2EA93D66" w14:textId="77777777" w:rsidR="00D457FC" w:rsidRPr="00C702D7" w:rsidRDefault="00D457FC" w:rsidP="00B718EA">
            <w:pPr>
              <w:widowControl/>
              <w:spacing w:line="240" w:lineRule="auto"/>
              <w:ind w:firstLineChars="0" w:firstLine="0"/>
              <w:jc w:val="center"/>
              <w:rPr>
                <w:rFonts w:cs="Times New Roman"/>
                <w:kern w:val="0"/>
                <w:sz w:val="16"/>
                <w:szCs w:val="16"/>
              </w:rPr>
            </w:pPr>
            <w:r w:rsidRPr="00C702D7">
              <w:rPr>
                <w:rFonts w:cs="Times New Roman"/>
                <w:kern w:val="0"/>
                <w:sz w:val="16"/>
                <w:szCs w:val="16"/>
              </w:rPr>
              <w:t>变量</w:t>
            </w:r>
          </w:p>
        </w:tc>
        <w:tc>
          <w:tcPr>
            <w:tcW w:w="680" w:type="pct"/>
            <w:tcBorders>
              <w:top w:val="single" w:sz="12" w:space="0" w:color="auto"/>
              <w:left w:val="nil"/>
              <w:bottom w:val="single" w:sz="4" w:space="0" w:color="auto"/>
              <w:right w:val="nil"/>
            </w:tcBorders>
            <w:vAlign w:val="center"/>
          </w:tcPr>
          <w:p w14:paraId="2DA550C4"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kern w:val="0"/>
                <w:sz w:val="16"/>
                <w:szCs w:val="16"/>
              </w:rPr>
              <w:t>(</w:t>
            </w:r>
            <w:r w:rsidRPr="00C702D7">
              <w:rPr>
                <w:rFonts w:cs="Times New Roman"/>
                <w:kern w:val="0"/>
                <w:sz w:val="16"/>
                <w:szCs w:val="16"/>
              </w:rPr>
              <w:t>1)</w:t>
            </w:r>
          </w:p>
        </w:tc>
        <w:tc>
          <w:tcPr>
            <w:tcW w:w="595" w:type="pct"/>
            <w:tcBorders>
              <w:top w:val="single" w:sz="12" w:space="0" w:color="auto"/>
              <w:left w:val="nil"/>
              <w:bottom w:val="single" w:sz="4" w:space="0" w:color="auto"/>
              <w:right w:val="nil"/>
            </w:tcBorders>
            <w:vAlign w:val="center"/>
          </w:tcPr>
          <w:p w14:paraId="3A183975" w14:textId="77777777" w:rsidR="00D457FC" w:rsidRPr="00C702D7" w:rsidRDefault="00D457FC" w:rsidP="00B718EA">
            <w:pPr>
              <w:widowControl/>
              <w:spacing w:line="240" w:lineRule="auto"/>
              <w:ind w:firstLineChars="0" w:firstLine="0"/>
              <w:jc w:val="center"/>
              <w:rPr>
                <w:rFonts w:cs="Times New Roman"/>
                <w:kern w:val="0"/>
                <w:sz w:val="16"/>
                <w:szCs w:val="16"/>
              </w:rPr>
            </w:pPr>
            <w:r w:rsidRPr="00C702D7">
              <w:rPr>
                <w:rFonts w:cs="Times New Roman" w:hint="eastAsia"/>
                <w:kern w:val="0"/>
                <w:sz w:val="16"/>
                <w:szCs w:val="16"/>
              </w:rPr>
              <w:t>(</w:t>
            </w:r>
            <w:r w:rsidRPr="00C702D7">
              <w:rPr>
                <w:rFonts w:cs="Times New Roman"/>
                <w:kern w:val="0"/>
                <w:sz w:val="16"/>
                <w:szCs w:val="16"/>
              </w:rPr>
              <w:t>2)</w:t>
            </w:r>
          </w:p>
        </w:tc>
        <w:tc>
          <w:tcPr>
            <w:tcW w:w="607" w:type="pct"/>
            <w:gridSpan w:val="2"/>
            <w:tcBorders>
              <w:top w:val="single" w:sz="12" w:space="0" w:color="auto"/>
              <w:left w:val="nil"/>
              <w:bottom w:val="single" w:sz="4" w:space="0" w:color="auto"/>
              <w:right w:val="nil"/>
            </w:tcBorders>
            <w:vAlign w:val="center"/>
          </w:tcPr>
          <w:p w14:paraId="4E611791"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w:t>
            </w:r>
            <w:r w:rsidRPr="00C702D7">
              <w:rPr>
                <w:rFonts w:cs="Times New Roman"/>
                <w:sz w:val="16"/>
                <w:szCs w:val="16"/>
              </w:rPr>
              <w:t>3)</w:t>
            </w:r>
          </w:p>
        </w:tc>
        <w:tc>
          <w:tcPr>
            <w:tcW w:w="669" w:type="pct"/>
            <w:gridSpan w:val="2"/>
            <w:tcBorders>
              <w:top w:val="single" w:sz="12" w:space="0" w:color="auto"/>
              <w:left w:val="nil"/>
              <w:bottom w:val="single" w:sz="4" w:space="0" w:color="auto"/>
              <w:right w:val="nil"/>
            </w:tcBorders>
            <w:vAlign w:val="center"/>
          </w:tcPr>
          <w:p w14:paraId="7DD1FC40"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kern w:val="0"/>
                <w:sz w:val="16"/>
                <w:szCs w:val="16"/>
              </w:rPr>
              <w:t>(4)</w:t>
            </w:r>
          </w:p>
        </w:tc>
        <w:tc>
          <w:tcPr>
            <w:tcW w:w="780" w:type="pct"/>
            <w:gridSpan w:val="2"/>
            <w:tcBorders>
              <w:top w:val="single" w:sz="12" w:space="0" w:color="auto"/>
              <w:left w:val="nil"/>
              <w:bottom w:val="single" w:sz="4" w:space="0" w:color="auto"/>
              <w:right w:val="nil"/>
            </w:tcBorders>
            <w:shd w:val="clear" w:color="auto" w:fill="auto"/>
            <w:noWrap/>
            <w:vAlign w:val="center"/>
          </w:tcPr>
          <w:p w14:paraId="7BC716A3"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kern w:val="0"/>
                <w:sz w:val="16"/>
                <w:szCs w:val="16"/>
              </w:rPr>
              <w:t>(5)</w:t>
            </w:r>
          </w:p>
        </w:tc>
        <w:tc>
          <w:tcPr>
            <w:tcW w:w="596" w:type="pct"/>
            <w:tcBorders>
              <w:top w:val="single" w:sz="12" w:space="0" w:color="auto"/>
              <w:left w:val="nil"/>
              <w:bottom w:val="single" w:sz="4" w:space="0" w:color="auto"/>
              <w:right w:val="nil"/>
            </w:tcBorders>
            <w:vAlign w:val="center"/>
          </w:tcPr>
          <w:p w14:paraId="1FBC60EE" w14:textId="77777777" w:rsidR="00D457FC" w:rsidRPr="00C702D7" w:rsidRDefault="00D457FC" w:rsidP="00B718EA">
            <w:pPr>
              <w:widowControl/>
              <w:spacing w:line="240" w:lineRule="auto"/>
              <w:ind w:firstLineChars="0" w:firstLine="0"/>
              <w:jc w:val="center"/>
              <w:rPr>
                <w:rFonts w:cs="Times New Roman"/>
                <w:kern w:val="0"/>
                <w:sz w:val="16"/>
                <w:szCs w:val="16"/>
              </w:rPr>
            </w:pPr>
            <w:r w:rsidRPr="00C702D7">
              <w:rPr>
                <w:rFonts w:cs="Times New Roman" w:hint="eastAsia"/>
                <w:kern w:val="0"/>
                <w:sz w:val="16"/>
                <w:szCs w:val="16"/>
              </w:rPr>
              <w:t>(</w:t>
            </w:r>
            <w:r w:rsidRPr="00C702D7">
              <w:rPr>
                <w:rFonts w:cs="Times New Roman"/>
                <w:kern w:val="0"/>
                <w:sz w:val="16"/>
                <w:szCs w:val="16"/>
              </w:rPr>
              <w:t>6)</w:t>
            </w:r>
          </w:p>
        </w:tc>
      </w:tr>
      <w:tr w:rsidR="00C702D7" w:rsidRPr="00C702D7" w14:paraId="09E8632A" w14:textId="77777777" w:rsidTr="00B718EA">
        <w:trPr>
          <w:trHeight w:val="280"/>
          <w:jc w:val="center"/>
        </w:trPr>
        <w:tc>
          <w:tcPr>
            <w:tcW w:w="1073" w:type="pct"/>
            <w:vMerge/>
            <w:tcBorders>
              <w:bottom w:val="single" w:sz="4" w:space="0" w:color="auto"/>
              <w:right w:val="nil"/>
            </w:tcBorders>
            <w:shd w:val="clear" w:color="auto" w:fill="auto"/>
            <w:noWrap/>
            <w:vAlign w:val="center"/>
          </w:tcPr>
          <w:p w14:paraId="4968DA10" w14:textId="77777777" w:rsidR="00D457FC" w:rsidRPr="00C702D7" w:rsidRDefault="00D457FC" w:rsidP="00B718EA">
            <w:pPr>
              <w:widowControl/>
              <w:spacing w:line="240" w:lineRule="auto"/>
              <w:ind w:firstLineChars="0" w:firstLine="0"/>
              <w:jc w:val="center"/>
              <w:rPr>
                <w:rFonts w:cs="Times New Roman"/>
                <w:kern w:val="0"/>
                <w:sz w:val="16"/>
                <w:szCs w:val="16"/>
              </w:rPr>
            </w:pPr>
          </w:p>
        </w:tc>
        <w:tc>
          <w:tcPr>
            <w:tcW w:w="680" w:type="pct"/>
            <w:tcBorders>
              <w:top w:val="single" w:sz="4" w:space="0" w:color="auto"/>
              <w:left w:val="nil"/>
              <w:bottom w:val="single" w:sz="4" w:space="0" w:color="auto"/>
              <w:right w:val="nil"/>
            </w:tcBorders>
            <w:vAlign w:val="center"/>
          </w:tcPr>
          <w:p w14:paraId="56827A31" w14:textId="77777777" w:rsidR="00D457FC" w:rsidRPr="00C702D7" w:rsidRDefault="00D457FC" w:rsidP="00B718EA">
            <w:pPr>
              <w:widowControl/>
              <w:spacing w:line="240" w:lineRule="auto"/>
              <w:ind w:firstLineChars="0" w:firstLine="0"/>
              <w:jc w:val="center"/>
              <w:rPr>
                <w:rFonts w:cs="Times New Roman"/>
                <w:sz w:val="16"/>
                <w:szCs w:val="16"/>
              </w:rPr>
            </w:pPr>
            <w:proofErr w:type="spellStart"/>
            <w:r w:rsidRPr="00C702D7">
              <w:rPr>
                <w:i/>
                <w:iCs/>
                <w:sz w:val="16"/>
                <w:szCs w:val="16"/>
              </w:rPr>
              <w:t>Cmiss_total</w:t>
            </w:r>
            <w:proofErr w:type="spellEnd"/>
          </w:p>
        </w:tc>
        <w:tc>
          <w:tcPr>
            <w:tcW w:w="595" w:type="pct"/>
            <w:tcBorders>
              <w:top w:val="single" w:sz="4" w:space="0" w:color="auto"/>
              <w:left w:val="nil"/>
              <w:bottom w:val="single" w:sz="4" w:space="0" w:color="auto"/>
              <w:right w:val="nil"/>
            </w:tcBorders>
            <w:vAlign w:val="center"/>
          </w:tcPr>
          <w:p w14:paraId="66969698" w14:textId="77777777" w:rsidR="00D457FC" w:rsidRPr="00C702D7" w:rsidRDefault="00D457FC" w:rsidP="00B718EA">
            <w:pPr>
              <w:widowControl/>
              <w:spacing w:line="240" w:lineRule="auto"/>
              <w:ind w:firstLineChars="0" w:firstLine="0"/>
              <w:jc w:val="center"/>
              <w:rPr>
                <w:i/>
                <w:iCs/>
                <w:sz w:val="16"/>
                <w:szCs w:val="16"/>
              </w:rPr>
            </w:pPr>
            <w:proofErr w:type="spellStart"/>
            <w:r w:rsidRPr="00C702D7">
              <w:rPr>
                <w:rFonts w:hint="eastAsia"/>
                <w:i/>
                <w:iCs/>
                <w:sz w:val="16"/>
                <w:szCs w:val="16"/>
              </w:rPr>
              <w:t>dCmiss</w:t>
            </w:r>
            <w:proofErr w:type="spellEnd"/>
          </w:p>
        </w:tc>
        <w:tc>
          <w:tcPr>
            <w:tcW w:w="607" w:type="pct"/>
            <w:gridSpan w:val="2"/>
            <w:tcBorders>
              <w:top w:val="single" w:sz="4" w:space="0" w:color="auto"/>
              <w:left w:val="nil"/>
              <w:bottom w:val="single" w:sz="4" w:space="0" w:color="auto"/>
              <w:right w:val="nil"/>
            </w:tcBorders>
            <w:vAlign w:val="center"/>
          </w:tcPr>
          <w:p w14:paraId="3A1C3B88" w14:textId="77777777" w:rsidR="00D457FC" w:rsidRPr="00C702D7" w:rsidRDefault="00D457FC" w:rsidP="00B718EA">
            <w:pPr>
              <w:widowControl/>
              <w:spacing w:line="240" w:lineRule="auto"/>
              <w:ind w:firstLineChars="0" w:firstLine="0"/>
              <w:jc w:val="center"/>
              <w:rPr>
                <w:rFonts w:cs="Times New Roman"/>
                <w:i/>
                <w:iCs/>
                <w:sz w:val="16"/>
                <w:szCs w:val="16"/>
              </w:rPr>
            </w:pPr>
            <w:proofErr w:type="spellStart"/>
            <w:r w:rsidRPr="00C702D7">
              <w:rPr>
                <w:rFonts w:cs="Times New Roman" w:hint="eastAsia"/>
                <w:i/>
                <w:iCs/>
                <w:sz w:val="16"/>
                <w:szCs w:val="16"/>
              </w:rPr>
              <w:t>C</w:t>
            </w:r>
            <w:r w:rsidRPr="00C702D7">
              <w:rPr>
                <w:rFonts w:cs="Times New Roman"/>
                <w:i/>
                <w:iCs/>
                <w:sz w:val="16"/>
                <w:szCs w:val="16"/>
              </w:rPr>
              <w:t>miss_ind</w:t>
            </w:r>
            <w:proofErr w:type="spellEnd"/>
          </w:p>
        </w:tc>
        <w:tc>
          <w:tcPr>
            <w:tcW w:w="669" w:type="pct"/>
            <w:gridSpan w:val="2"/>
            <w:tcBorders>
              <w:top w:val="single" w:sz="4" w:space="0" w:color="auto"/>
              <w:left w:val="nil"/>
              <w:bottom w:val="single" w:sz="4" w:space="0" w:color="auto"/>
              <w:right w:val="nil"/>
            </w:tcBorders>
            <w:vAlign w:val="center"/>
          </w:tcPr>
          <w:p w14:paraId="6824A2FA" w14:textId="77777777" w:rsidR="00D457FC" w:rsidRPr="00C702D7" w:rsidRDefault="00D457FC" w:rsidP="00B718EA">
            <w:pPr>
              <w:widowControl/>
              <w:spacing w:line="240" w:lineRule="auto"/>
              <w:ind w:firstLineChars="0" w:firstLine="0"/>
              <w:jc w:val="center"/>
              <w:rPr>
                <w:rFonts w:cs="Times New Roman"/>
                <w:sz w:val="16"/>
                <w:szCs w:val="16"/>
              </w:rPr>
            </w:pPr>
            <w:proofErr w:type="spellStart"/>
            <w:r w:rsidRPr="00C702D7">
              <w:rPr>
                <w:i/>
                <w:iCs/>
                <w:sz w:val="16"/>
                <w:szCs w:val="16"/>
              </w:rPr>
              <w:t>Cmiss_total</w:t>
            </w:r>
            <w:proofErr w:type="spellEnd"/>
          </w:p>
        </w:tc>
        <w:tc>
          <w:tcPr>
            <w:tcW w:w="780" w:type="pct"/>
            <w:gridSpan w:val="2"/>
            <w:tcBorders>
              <w:top w:val="single" w:sz="4" w:space="0" w:color="auto"/>
              <w:left w:val="nil"/>
              <w:bottom w:val="single" w:sz="4" w:space="0" w:color="auto"/>
              <w:right w:val="nil"/>
            </w:tcBorders>
            <w:shd w:val="clear" w:color="auto" w:fill="auto"/>
            <w:noWrap/>
            <w:vAlign w:val="center"/>
          </w:tcPr>
          <w:p w14:paraId="608D311A" w14:textId="77777777" w:rsidR="00D457FC" w:rsidRPr="00C702D7" w:rsidRDefault="00D457FC" w:rsidP="00B718EA">
            <w:pPr>
              <w:widowControl/>
              <w:spacing w:line="240" w:lineRule="auto"/>
              <w:ind w:firstLineChars="0" w:firstLine="0"/>
              <w:jc w:val="center"/>
              <w:rPr>
                <w:rFonts w:cs="Times New Roman"/>
                <w:sz w:val="16"/>
                <w:szCs w:val="16"/>
              </w:rPr>
            </w:pPr>
            <w:proofErr w:type="spellStart"/>
            <w:r w:rsidRPr="00C702D7">
              <w:rPr>
                <w:i/>
                <w:iCs/>
                <w:sz w:val="16"/>
                <w:szCs w:val="16"/>
              </w:rPr>
              <w:t>Cmiss_E</w:t>
            </w:r>
            <w:proofErr w:type="spellEnd"/>
          </w:p>
        </w:tc>
        <w:tc>
          <w:tcPr>
            <w:tcW w:w="596" w:type="pct"/>
            <w:tcBorders>
              <w:top w:val="single" w:sz="4" w:space="0" w:color="auto"/>
              <w:left w:val="nil"/>
              <w:bottom w:val="single" w:sz="4" w:space="0" w:color="auto"/>
              <w:right w:val="nil"/>
            </w:tcBorders>
            <w:vAlign w:val="center"/>
          </w:tcPr>
          <w:p w14:paraId="23A19BF2" w14:textId="77777777" w:rsidR="00D457FC" w:rsidRPr="00C702D7" w:rsidRDefault="00D457FC" w:rsidP="00B718EA">
            <w:pPr>
              <w:widowControl/>
              <w:spacing w:line="240" w:lineRule="auto"/>
              <w:ind w:firstLineChars="0" w:firstLine="0"/>
              <w:jc w:val="center"/>
              <w:rPr>
                <w:i/>
                <w:iCs/>
                <w:sz w:val="16"/>
                <w:szCs w:val="16"/>
              </w:rPr>
            </w:pPr>
            <w:proofErr w:type="spellStart"/>
            <w:r w:rsidRPr="00C702D7">
              <w:rPr>
                <w:i/>
                <w:iCs/>
                <w:sz w:val="16"/>
                <w:szCs w:val="16"/>
              </w:rPr>
              <w:t>Cmiss_E</w:t>
            </w:r>
            <w:proofErr w:type="spellEnd"/>
          </w:p>
        </w:tc>
      </w:tr>
      <w:tr w:rsidR="00C702D7" w:rsidRPr="00C702D7" w14:paraId="212FCF56" w14:textId="77777777" w:rsidTr="00B718EA">
        <w:trPr>
          <w:trHeight w:val="280"/>
          <w:jc w:val="center"/>
        </w:trPr>
        <w:tc>
          <w:tcPr>
            <w:tcW w:w="1073" w:type="pct"/>
            <w:vMerge w:val="restart"/>
            <w:tcBorders>
              <w:top w:val="single" w:sz="4" w:space="0" w:color="auto"/>
              <w:right w:val="nil"/>
            </w:tcBorders>
            <w:shd w:val="clear" w:color="auto" w:fill="auto"/>
            <w:noWrap/>
            <w:vAlign w:val="center"/>
          </w:tcPr>
          <w:p w14:paraId="33310A57" w14:textId="77777777" w:rsidR="00D457FC" w:rsidRPr="00C702D7" w:rsidRDefault="00D457FC" w:rsidP="00B718EA">
            <w:pPr>
              <w:widowControl/>
              <w:spacing w:line="240" w:lineRule="auto"/>
              <w:ind w:firstLineChars="0" w:firstLine="0"/>
              <w:jc w:val="center"/>
              <w:rPr>
                <w:rFonts w:cs="Times New Roman"/>
                <w:kern w:val="0"/>
                <w:sz w:val="16"/>
                <w:szCs w:val="16"/>
              </w:rPr>
            </w:pPr>
            <w:proofErr w:type="spellStart"/>
            <w:r w:rsidRPr="00C702D7">
              <w:rPr>
                <w:rFonts w:cs="Times New Roman"/>
                <w:i/>
                <w:iCs/>
                <w:kern w:val="0"/>
                <w:sz w:val="16"/>
                <w:szCs w:val="16"/>
              </w:rPr>
              <w:t>GreenInv</w:t>
            </w:r>
            <w:proofErr w:type="spellEnd"/>
          </w:p>
        </w:tc>
        <w:tc>
          <w:tcPr>
            <w:tcW w:w="680" w:type="pct"/>
            <w:tcBorders>
              <w:top w:val="single" w:sz="4" w:space="0" w:color="auto"/>
              <w:left w:val="nil"/>
              <w:bottom w:val="nil"/>
              <w:right w:val="nil"/>
            </w:tcBorders>
            <w:vAlign w:val="center"/>
          </w:tcPr>
          <w:p w14:paraId="7B667B67"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-0.0010</w:t>
            </w:r>
            <w:r w:rsidRPr="00C702D7">
              <w:rPr>
                <w:rFonts w:cs="Times New Roman" w:hint="eastAsia"/>
                <w:sz w:val="16"/>
                <w:szCs w:val="16"/>
                <w:vertAlign w:val="superscript"/>
              </w:rPr>
              <w:t>***</w:t>
            </w:r>
          </w:p>
        </w:tc>
        <w:tc>
          <w:tcPr>
            <w:tcW w:w="595" w:type="pct"/>
            <w:tcBorders>
              <w:top w:val="single" w:sz="4" w:space="0" w:color="auto"/>
              <w:left w:val="nil"/>
              <w:bottom w:val="nil"/>
              <w:right w:val="nil"/>
            </w:tcBorders>
            <w:vAlign w:val="center"/>
          </w:tcPr>
          <w:p w14:paraId="2599096B"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-0.0006</w:t>
            </w:r>
            <w:r w:rsidRPr="00C702D7">
              <w:rPr>
                <w:rFonts w:cs="Times New Roman" w:hint="eastAsia"/>
                <w:sz w:val="16"/>
                <w:szCs w:val="16"/>
                <w:vertAlign w:val="superscript"/>
              </w:rPr>
              <w:t>***</w:t>
            </w:r>
          </w:p>
        </w:tc>
        <w:tc>
          <w:tcPr>
            <w:tcW w:w="607" w:type="pct"/>
            <w:gridSpan w:val="2"/>
            <w:tcBorders>
              <w:top w:val="single" w:sz="4" w:space="0" w:color="auto"/>
              <w:left w:val="nil"/>
              <w:bottom w:val="nil"/>
              <w:right w:val="nil"/>
            </w:tcBorders>
            <w:vAlign w:val="center"/>
          </w:tcPr>
          <w:p w14:paraId="7B0B1008"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-0.0291</w:t>
            </w:r>
            <w:r w:rsidRPr="00C702D7">
              <w:rPr>
                <w:rFonts w:cs="Times New Roman" w:hint="eastAsia"/>
                <w:sz w:val="16"/>
                <w:szCs w:val="16"/>
                <w:vertAlign w:val="superscript"/>
              </w:rPr>
              <w:t>***</w:t>
            </w:r>
          </w:p>
        </w:tc>
        <w:tc>
          <w:tcPr>
            <w:tcW w:w="669" w:type="pct"/>
            <w:gridSpan w:val="2"/>
            <w:vMerge w:val="restart"/>
            <w:tcBorders>
              <w:top w:val="single" w:sz="4" w:space="0" w:color="auto"/>
              <w:left w:val="nil"/>
              <w:right w:val="nil"/>
            </w:tcBorders>
            <w:vAlign w:val="center"/>
          </w:tcPr>
          <w:p w14:paraId="7272EBA7"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w:t>
            </w:r>
          </w:p>
        </w:tc>
        <w:tc>
          <w:tcPr>
            <w:tcW w:w="780" w:type="pct"/>
            <w:gridSpan w:val="2"/>
            <w:vMerge w:val="restart"/>
            <w:tcBorders>
              <w:top w:val="single" w:sz="4" w:space="0" w:color="auto"/>
              <w:left w:val="nil"/>
              <w:right w:val="nil"/>
            </w:tcBorders>
            <w:shd w:val="clear" w:color="auto" w:fill="auto"/>
            <w:noWrap/>
            <w:vAlign w:val="center"/>
          </w:tcPr>
          <w:p w14:paraId="3DC76379"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w:t>
            </w:r>
          </w:p>
        </w:tc>
        <w:tc>
          <w:tcPr>
            <w:tcW w:w="596" w:type="pct"/>
            <w:vMerge w:val="restart"/>
            <w:tcBorders>
              <w:top w:val="single" w:sz="4" w:space="0" w:color="auto"/>
              <w:left w:val="nil"/>
              <w:right w:val="nil"/>
            </w:tcBorders>
            <w:vAlign w:val="center"/>
          </w:tcPr>
          <w:p w14:paraId="253FF1E6"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w:t>
            </w:r>
          </w:p>
        </w:tc>
      </w:tr>
      <w:tr w:rsidR="00C702D7" w:rsidRPr="00C702D7" w14:paraId="1BF76C95" w14:textId="77777777" w:rsidTr="00B718EA">
        <w:trPr>
          <w:trHeight w:val="280"/>
          <w:jc w:val="center"/>
        </w:trPr>
        <w:tc>
          <w:tcPr>
            <w:tcW w:w="1073" w:type="pct"/>
            <w:vMerge/>
            <w:tcBorders>
              <w:bottom w:val="nil"/>
              <w:right w:val="nil"/>
            </w:tcBorders>
            <w:shd w:val="clear" w:color="auto" w:fill="auto"/>
            <w:noWrap/>
            <w:vAlign w:val="center"/>
          </w:tcPr>
          <w:p w14:paraId="4231D45C" w14:textId="77777777" w:rsidR="00D457FC" w:rsidRPr="00C702D7" w:rsidRDefault="00D457FC" w:rsidP="00B718EA">
            <w:pPr>
              <w:widowControl/>
              <w:spacing w:line="240" w:lineRule="auto"/>
              <w:ind w:firstLineChars="0" w:firstLine="0"/>
              <w:jc w:val="center"/>
              <w:rPr>
                <w:rFonts w:cs="Times New Roman"/>
                <w:kern w:val="0"/>
                <w:sz w:val="16"/>
                <w:szCs w:val="16"/>
              </w:rPr>
            </w:pPr>
          </w:p>
        </w:tc>
        <w:tc>
          <w:tcPr>
            <w:tcW w:w="680" w:type="pct"/>
            <w:tcBorders>
              <w:top w:val="nil"/>
              <w:left w:val="nil"/>
              <w:bottom w:val="nil"/>
              <w:right w:val="nil"/>
            </w:tcBorders>
            <w:vAlign w:val="center"/>
          </w:tcPr>
          <w:p w14:paraId="0CAC9728"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(-3.9742)</w:t>
            </w:r>
          </w:p>
        </w:tc>
        <w:tc>
          <w:tcPr>
            <w:tcW w:w="595" w:type="pct"/>
            <w:tcBorders>
              <w:top w:val="nil"/>
              <w:left w:val="nil"/>
              <w:bottom w:val="nil"/>
              <w:right w:val="nil"/>
            </w:tcBorders>
            <w:vAlign w:val="center"/>
          </w:tcPr>
          <w:p w14:paraId="542F82D1"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(-6.7563)</w:t>
            </w:r>
          </w:p>
        </w:tc>
        <w:tc>
          <w:tcPr>
            <w:tcW w:w="607" w:type="pct"/>
            <w:gridSpan w:val="2"/>
            <w:tcBorders>
              <w:top w:val="nil"/>
              <w:left w:val="nil"/>
              <w:bottom w:val="nil"/>
              <w:right w:val="nil"/>
            </w:tcBorders>
            <w:vAlign w:val="center"/>
          </w:tcPr>
          <w:p w14:paraId="3DBA68FD"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(-3.1242)</w:t>
            </w:r>
          </w:p>
        </w:tc>
        <w:tc>
          <w:tcPr>
            <w:tcW w:w="669" w:type="pct"/>
            <w:gridSpan w:val="2"/>
            <w:vMerge/>
            <w:tcBorders>
              <w:left w:val="nil"/>
              <w:bottom w:val="nil"/>
              <w:right w:val="nil"/>
            </w:tcBorders>
            <w:vAlign w:val="center"/>
          </w:tcPr>
          <w:p w14:paraId="335A7C51" w14:textId="77777777" w:rsidR="00D457FC" w:rsidRPr="00C702D7" w:rsidRDefault="00D457FC" w:rsidP="00B718EA">
            <w:pPr>
              <w:widowControl/>
              <w:spacing w:line="240" w:lineRule="auto"/>
              <w:ind w:firstLineChars="0" w:firstLine="0"/>
              <w:jc w:val="center"/>
              <w:rPr>
                <w:rFonts w:cs="Times New Roman"/>
                <w:sz w:val="16"/>
                <w:szCs w:val="16"/>
              </w:rPr>
            </w:pPr>
          </w:p>
        </w:tc>
        <w:tc>
          <w:tcPr>
            <w:tcW w:w="780" w:type="pct"/>
            <w:gridSpan w:val="2"/>
            <w:vMerge/>
            <w:tcBorders>
              <w:left w:val="nil"/>
              <w:bottom w:val="nil"/>
              <w:right w:val="nil"/>
            </w:tcBorders>
            <w:shd w:val="clear" w:color="auto" w:fill="auto"/>
            <w:noWrap/>
            <w:vAlign w:val="center"/>
          </w:tcPr>
          <w:p w14:paraId="315FF110" w14:textId="77777777" w:rsidR="00D457FC" w:rsidRPr="00C702D7" w:rsidRDefault="00D457FC" w:rsidP="00B718EA">
            <w:pPr>
              <w:widowControl/>
              <w:spacing w:line="240" w:lineRule="auto"/>
              <w:ind w:firstLineChars="0" w:firstLine="0"/>
              <w:jc w:val="center"/>
              <w:rPr>
                <w:rFonts w:cs="Times New Roman"/>
                <w:sz w:val="16"/>
                <w:szCs w:val="16"/>
              </w:rPr>
            </w:pPr>
          </w:p>
        </w:tc>
        <w:tc>
          <w:tcPr>
            <w:tcW w:w="596" w:type="pct"/>
            <w:vMerge/>
            <w:tcBorders>
              <w:left w:val="nil"/>
              <w:bottom w:val="nil"/>
              <w:right w:val="nil"/>
            </w:tcBorders>
            <w:vAlign w:val="center"/>
          </w:tcPr>
          <w:p w14:paraId="48AFD126" w14:textId="77777777" w:rsidR="00D457FC" w:rsidRPr="00C702D7" w:rsidRDefault="00D457FC" w:rsidP="00B718EA">
            <w:pPr>
              <w:widowControl/>
              <w:spacing w:line="240" w:lineRule="auto"/>
              <w:ind w:firstLineChars="0" w:firstLine="0"/>
              <w:jc w:val="center"/>
              <w:rPr>
                <w:rFonts w:cs="Times New Roman"/>
                <w:sz w:val="16"/>
                <w:szCs w:val="16"/>
              </w:rPr>
            </w:pPr>
          </w:p>
        </w:tc>
      </w:tr>
      <w:tr w:rsidR="00C702D7" w:rsidRPr="00C702D7" w14:paraId="20319CB4" w14:textId="77777777" w:rsidTr="00B718EA">
        <w:trPr>
          <w:trHeight w:val="560"/>
          <w:jc w:val="center"/>
        </w:trPr>
        <w:tc>
          <w:tcPr>
            <w:tcW w:w="1073" w:type="pct"/>
            <w:tcBorders>
              <w:top w:val="nil"/>
              <w:bottom w:val="nil"/>
              <w:right w:val="nil"/>
            </w:tcBorders>
            <w:shd w:val="clear" w:color="auto" w:fill="auto"/>
            <w:noWrap/>
            <w:vAlign w:val="center"/>
          </w:tcPr>
          <w:p w14:paraId="7E0D586E" w14:textId="77777777" w:rsidR="00D457FC" w:rsidRPr="00C702D7" w:rsidRDefault="00D457FC" w:rsidP="00B718EA">
            <w:pPr>
              <w:widowControl/>
              <w:spacing w:line="240" w:lineRule="auto"/>
              <w:ind w:firstLineChars="0" w:firstLine="0"/>
              <w:jc w:val="center"/>
              <w:rPr>
                <w:rFonts w:cs="Times New Roman"/>
                <w:kern w:val="0"/>
                <w:sz w:val="16"/>
                <w:szCs w:val="16"/>
              </w:rPr>
            </w:pPr>
            <w:r w:rsidRPr="00C702D7">
              <w:rPr>
                <w:rFonts w:cs="Times New Roman"/>
                <w:i/>
                <w:iCs/>
                <w:kern w:val="0"/>
                <w:sz w:val="16"/>
                <w:szCs w:val="16"/>
              </w:rPr>
              <w:t>Cmiss_se2</w:t>
            </w:r>
          </w:p>
        </w:tc>
        <w:tc>
          <w:tcPr>
            <w:tcW w:w="680" w:type="pct"/>
            <w:tcBorders>
              <w:top w:val="nil"/>
              <w:left w:val="nil"/>
              <w:bottom w:val="nil"/>
              <w:right w:val="nil"/>
            </w:tcBorders>
            <w:vAlign w:val="center"/>
          </w:tcPr>
          <w:p w14:paraId="61067F07"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w:t>
            </w:r>
          </w:p>
        </w:tc>
        <w:tc>
          <w:tcPr>
            <w:tcW w:w="595" w:type="pct"/>
            <w:tcBorders>
              <w:top w:val="nil"/>
              <w:left w:val="nil"/>
              <w:bottom w:val="nil"/>
              <w:right w:val="nil"/>
            </w:tcBorders>
            <w:vAlign w:val="center"/>
          </w:tcPr>
          <w:p w14:paraId="51440E2D"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w:t>
            </w:r>
          </w:p>
        </w:tc>
        <w:tc>
          <w:tcPr>
            <w:tcW w:w="607" w:type="pct"/>
            <w:gridSpan w:val="2"/>
            <w:tcBorders>
              <w:top w:val="nil"/>
              <w:left w:val="nil"/>
              <w:bottom w:val="nil"/>
              <w:right w:val="nil"/>
            </w:tcBorders>
            <w:vAlign w:val="center"/>
          </w:tcPr>
          <w:p w14:paraId="3AE0BDFF"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w:t>
            </w:r>
          </w:p>
        </w:tc>
        <w:tc>
          <w:tcPr>
            <w:tcW w:w="669" w:type="pct"/>
            <w:gridSpan w:val="2"/>
            <w:tcBorders>
              <w:top w:val="nil"/>
              <w:left w:val="nil"/>
              <w:bottom w:val="nil"/>
              <w:right w:val="nil"/>
            </w:tcBorders>
            <w:vAlign w:val="center"/>
          </w:tcPr>
          <w:p w14:paraId="5AE5BDD2"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-0.0012</w:t>
            </w:r>
            <w:r w:rsidRPr="00C702D7">
              <w:rPr>
                <w:rFonts w:cs="Times New Roman" w:hint="eastAsia"/>
                <w:sz w:val="16"/>
                <w:szCs w:val="16"/>
                <w:vertAlign w:val="superscript"/>
              </w:rPr>
              <w:t>***</w:t>
            </w:r>
          </w:p>
          <w:p w14:paraId="3AB0077E"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(-6.2144)</w:t>
            </w:r>
          </w:p>
        </w:tc>
        <w:tc>
          <w:tcPr>
            <w:tcW w:w="780" w:type="pct"/>
            <w:gridSpan w:val="2"/>
            <w:tcBorders>
              <w:top w:val="nil"/>
              <w:left w:val="nil"/>
              <w:bottom w:val="nil"/>
              <w:right w:val="nil"/>
            </w:tcBorders>
            <w:shd w:val="clear" w:color="auto" w:fill="auto"/>
            <w:noWrap/>
            <w:vAlign w:val="center"/>
          </w:tcPr>
          <w:p w14:paraId="0E1C3D53"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w:t>
            </w:r>
          </w:p>
        </w:tc>
        <w:tc>
          <w:tcPr>
            <w:tcW w:w="596" w:type="pct"/>
            <w:tcBorders>
              <w:top w:val="nil"/>
              <w:left w:val="nil"/>
              <w:bottom w:val="nil"/>
              <w:right w:val="nil"/>
            </w:tcBorders>
            <w:vAlign w:val="center"/>
          </w:tcPr>
          <w:p w14:paraId="6C6956BE"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w:t>
            </w:r>
          </w:p>
        </w:tc>
      </w:tr>
      <w:tr w:rsidR="00C702D7" w:rsidRPr="00C702D7" w14:paraId="01763934" w14:textId="77777777" w:rsidTr="00B718EA">
        <w:trPr>
          <w:trHeight w:val="560"/>
          <w:jc w:val="center"/>
        </w:trPr>
        <w:tc>
          <w:tcPr>
            <w:tcW w:w="1073" w:type="pct"/>
            <w:tcBorders>
              <w:top w:val="nil"/>
              <w:bottom w:val="nil"/>
              <w:right w:val="nil"/>
            </w:tcBorders>
            <w:shd w:val="clear" w:color="auto" w:fill="auto"/>
            <w:noWrap/>
            <w:vAlign w:val="center"/>
          </w:tcPr>
          <w:p w14:paraId="2A556B9A" w14:textId="77777777" w:rsidR="00D457FC" w:rsidRPr="00C702D7" w:rsidRDefault="00D457FC" w:rsidP="00B718EA">
            <w:pPr>
              <w:widowControl/>
              <w:spacing w:line="240" w:lineRule="auto"/>
              <w:ind w:firstLineChars="0" w:firstLine="0"/>
              <w:jc w:val="center"/>
              <w:rPr>
                <w:rFonts w:cs="Times New Roman"/>
                <w:kern w:val="0"/>
                <w:sz w:val="16"/>
                <w:szCs w:val="16"/>
              </w:rPr>
            </w:pPr>
            <w:r w:rsidRPr="00C702D7">
              <w:rPr>
                <w:rFonts w:cs="Times New Roman" w:hint="eastAsia"/>
                <w:i/>
                <w:iCs/>
                <w:kern w:val="0"/>
                <w:sz w:val="16"/>
                <w:szCs w:val="16"/>
              </w:rPr>
              <w:t>G</w:t>
            </w:r>
            <w:r w:rsidRPr="00C702D7">
              <w:rPr>
                <w:rFonts w:cs="Times New Roman"/>
                <w:i/>
                <w:iCs/>
                <w:kern w:val="0"/>
                <w:sz w:val="16"/>
                <w:szCs w:val="16"/>
              </w:rPr>
              <w:t>atten</w:t>
            </w:r>
          </w:p>
        </w:tc>
        <w:tc>
          <w:tcPr>
            <w:tcW w:w="680" w:type="pct"/>
            <w:tcBorders>
              <w:top w:val="nil"/>
              <w:left w:val="nil"/>
              <w:bottom w:val="nil"/>
              <w:right w:val="nil"/>
            </w:tcBorders>
            <w:vAlign w:val="center"/>
          </w:tcPr>
          <w:p w14:paraId="2A0DADFE"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w:t>
            </w:r>
          </w:p>
        </w:tc>
        <w:tc>
          <w:tcPr>
            <w:tcW w:w="595" w:type="pct"/>
            <w:tcBorders>
              <w:top w:val="nil"/>
              <w:left w:val="nil"/>
              <w:bottom w:val="nil"/>
              <w:right w:val="nil"/>
            </w:tcBorders>
            <w:vAlign w:val="center"/>
          </w:tcPr>
          <w:p w14:paraId="69D8A1D8"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w:t>
            </w:r>
          </w:p>
        </w:tc>
        <w:tc>
          <w:tcPr>
            <w:tcW w:w="607" w:type="pct"/>
            <w:gridSpan w:val="2"/>
            <w:tcBorders>
              <w:top w:val="nil"/>
              <w:left w:val="nil"/>
              <w:bottom w:val="nil"/>
              <w:right w:val="nil"/>
            </w:tcBorders>
            <w:vAlign w:val="center"/>
          </w:tcPr>
          <w:p w14:paraId="36C5BAA1"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w:t>
            </w:r>
          </w:p>
        </w:tc>
        <w:tc>
          <w:tcPr>
            <w:tcW w:w="669" w:type="pct"/>
            <w:gridSpan w:val="2"/>
            <w:tcBorders>
              <w:top w:val="nil"/>
              <w:left w:val="nil"/>
              <w:bottom w:val="nil"/>
              <w:right w:val="nil"/>
            </w:tcBorders>
            <w:vAlign w:val="center"/>
          </w:tcPr>
          <w:p w14:paraId="5A958030"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w:t>
            </w:r>
          </w:p>
        </w:tc>
        <w:tc>
          <w:tcPr>
            <w:tcW w:w="780" w:type="pct"/>
            <w:gridSpan w:val="2"/>
            <w:tcBorders>
              <w:top w:val="nil"/>
              <w:left w:val="nil"/>
              <w:bottom w:val="nil"/>
              <w:right w:val="nil"/>
            </w:tcBorders>
            <w:shd w:val="clear" w:color="auto" w:fill="auto"/>
            <w:noWrap/>
            <w:vAlign w:val="center"/>
          </w:tcPr>
          <w:tbl>
            <w:tblPr>
              <w:tblW w:w="1080" w:type="dxa"/>
              <w:tblLook w:val="04A0" w:firstRow="1" w:lastRow="0" w:firstColumn="1" w:lastColumn="0" w:noHBand="0" w:noVBand="1"/>
            </w:tblPr>
            <w:tblGrid>
              <w:gridCol w:w="1080"/>
            </w:tblGrid>
            <w:tr w:rsidR="00C702D7" w:rsidRPr="00C702D7" w14:paraId="6BF6BC8A" w14:textId="77777777" w:rsidTr="00B718EA">
              <w:trPr>
                <w:trHeight w:val="285"/>
              </w:trPr>
              <w:tc>
                <w:tcPr>
                  <w:tcW w:w="1080" w:type="dxa"/>
                  <w:tcBorders>
                    <w:top w:val="nil"/>
                    <w:left w:val="nil"/>
                    <w:bottom w:val="nil"/>
                    <w:right w:val="nil"/>
                  </w:tcBorders>
                  <w:shd w:val="clear" w:color="auto" w:fill="auto"/>
                  <w:noWrap/>
                  <w:vAlign w:val="bottom"/>
                  <w:hideMark/>
                </w:tcPr>
                <w:p w14:paraId="34639924"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1.2999</w:t>
                  </w:r>
                  <w:r w:rsidRPr="00C702D7">
                    <w:rPr>
                      <w:rFonts w:cs="Times New Roman" w:hint="eastAsia"/>
                      <w:sz w:val="16"/>
                      <w:szCs w:val="16"/>
                      <w:vertAlign w:val="superscript"/>
                    </w:rPr>
                    <w:t>**</w:t>
                  </w:r>
                </w:p>
              </w:tc>
            </w:tr>
            <w:tr w:rsidR="00C702D7" w:rsidRPr="00C702D7" w14:paraId="229961A7" w14:textId="77777777" w:rsidTr="00B718EA">
              <w:trPr>
                <w:trHeight w:val="285"/>
              </w:trPr>
              <w:tc>
                <w:tcPr>
                  <w:tcW w:w="1080" w:type="dxa"/>
                  <w:tcBorders>
                    <w:top w:val="nil"/>
                    <w:left w:val="nil"/>
                    <w:bottom w:val="nil"/>
                    <w:right w:val="nil"/>
                  </w:tcBorders>
                  <w:shd w:val="clear" w:color="auto" w:fill="auto"/>
                  <w:noWrap/>
                  <w:vAlign w:val="bottom"/>
                  <w:hideMark/>
                </w:tcPr>
                <w:p w14:paraId="73ABD864"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(2.5254)</w:t>
                  </w:r>
                </w:p>
              </w:tc>
            </w:tr>
          </w:tbl>
          <w:p w14:paraId="7143F7BE" w14:textId="77777777" w:rsidR="00D457FC" w:rsidRPr="00C702D7" w:rsidRDefault="00D457FC" w:rsidP="00B718EA">
            <w:pPr>
              <w:widowControl/>
              <w:spacing w:line="240" w:lineRule="auto"/>
              <w:ind w:firstLineChars="0" w:firstLine="0"/>
              <w:jc w:val="center"/>
              <w:rPr>
                <w:rFonts w:cs="Times New Roman"/>
                <w:sz w:val="16"/>
                <w:szCs w:val="16"/>
              </w:rPr>
            </w:pPr>
          </w:p>
        </w:tc>
        <w:tc>
          <w:tcPr>
            <w:tcW w:w="596" w:type="pct"/>
            <w:tcBorders>
              <w:top w:val="nil"/>
              <w:left w:val="nil"/>
              <w:bottom w:val="nil"/>
              <w:right w:val="nil"/>
            </w:tcBorders>
            <w:vAlign w:val="center"/>
          </w:tcPr>
          <w:p w14:paraId="57841714"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w:t>
            </w:r>
          </w:p>
        </w:tc>
      </w:tr>
      <w:tr w:rsidR="00C702D7" w:rsidRPr="00C702D7" w14:paraId="5D09E57B" w14:textId="77777777" w:rsidTr="00B718EA">
        <w:trPr>
          <w:trHeight w:val="280"/>
          <w:jc w:val="center"/>
        </w:trPr>
        <w:tc>
          <w:tcPr>
            <w:tcW w:w="1073" w:type="pct"/>
            <w:vMerge w:val="restart"/>
            <w:tcBorders>
              <w:top w:val="nil"/>
              <w:right w:val="nil"/>
            </w:tcBorders>
            <w:shd w:val="clear" w:color="auto" w:fill="auto"/>
            <w:noWrap/>
            <w:vAlign w:val="center"/>
          </w:tcPr>
          <w:p w14:paraId="2F7D38B0" w14:textId="77777777" w:rsidR="00D457FC" w:rsidRPr="00C702D7" w:rsidRDefault="00D457FC" w:rsidP="00B718EA">
            <w:pPr>
              <w:widowControl/>
              <w:spacing w:line="240" w:lineRule="auto"/>
              <w:ind w:firstLineChars="0" w:firstLine="0"/>
              <w:jc w:val="center"/>
              <w:rPr>
                <w:rFonts w:cs="Times New Roman"/>
                <w:kern w:val="0"/>
                <w:sz w:val="16"/>
                <w:szCs w:val="16"/>
              </w:rPr>
            </w:pPr>
            <w:r w:rsidRPr="00C702D7">
              <w:rPr>
                <w:rFonts w:cs="Times New Roman"/>
                <w:i/>
                <w:iCs/>
                <w:kern w:val="0"/>
                <w:sz w:val="16"/>
                <w:szCs w:val="16"/>
              </w:rPr>
              <w:t>Cmiss_se3</w:t>
            </w:r>
          </w:p>
        </w:tc>
        <w:tc>
          <w:tcPr>
            <w:tcW w:w="680" w:type="pct"/>
            <w:vMerge w:val="restart"/>
            <w:tcBorders>
              <w:top w:val="nil"/>
              <w:left w:val="nil"/>
              <w:right w:val="nil"/>
            </w:tcBorders>
            <w:vAlign w:val="center"/>
          </w:tcPr>
          <w:p w14:paraId="71F485A3"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w:t>
            </w:r>
          </w:p>
        </w:tc>
        <w:tc>
          <w:tcPr>
            <w:tcW w:w="595" w:type="pct"/>
            <w:vMerge w:val="restart"/>
            <w:tcBorders>
              <w:top w:val="nil"/>
              <w:left w:val="nil"/>
              <w:right w:val="nil"/>
            </w:tcBorders>
            <w:vAlign w:val="center"/>
          </w:tcPr>
          <w:p w14:paraId="4CB7B16B"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w:t>
            </w:r>
          </w:p>
        </w:tc>
        <w:tc>
          <w:tcPr>
            <w:tcW w:w="607" w:type="pct"/>
            <w:gridSpan w:val="2"/>
            <w:vMerge w:val="restart"/>
            <w:tcBorders>
              <w:top w:val="nil"/>
              <w:left w:val="nil"/>
              <w:right w:val="nil"/>
            </w:tcBorders>
            <w:vAlign w:val="center"/>
          </w:tcPr>
          <w:p w14:paraId="3E1E2705"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w:t>
            </w:r>
          </w:p>
        </w:tc>
        <w:tc>
          <w:tcPr>
            <w:tcW w:w="669" w:type="pct"/>
            <w:gridSpan w:val="2"/>
            <w:vMerge w:val="restart"/>
            <w:tcBorders>
              <w:top w:val="nil"/>
              <w:left w:val="nil"/>
              <w:right w:val="nil"/>
            </w:tcBorders>
            <w:vAlign w:val="center"/>
          </w:tcPr>
          <w:p w14:paraId="25CBB9CB"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w:t>
            </w:r>
          </w:p>
        </w:tc>
        <w:tc>
          <w:tcPr>
            <w:tcW w:w="780" w:type="pct"/>
            <w:gridSpan w:val="2"/>
            <w:vMerge w:val="restart"/>
            <w:tcBorders>
              <w:top w:val="nil"/>
              <w:left w:val="nil"/>
              <w:right w:val="nil"/>
            </w:tcBorders>
            <w:shd w:val="clear" w:color="auto" w:fill="auto"/>
            <w:noWrap/>
            <w:vAlign w:val="center"/>
          </w:tcPr>
          <w:p w14:paraId="13A36575"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w:t>
            </w:r>
          </w:p>
        </w:tc>
        <w:tc>
          <w:tcPr>
            <w:tcW w:w="596" w:type="pct"/>
            <w:tcBorders>
              <w:top w:val="nil"/>
              <w:left w:val="nil"/>
              <w:bottom w:val="nil"/>
              <w:right w:val="nil"/>
            </w:tcBorders>
            <w:vAlign w:val="bottom"/>
          </w:tcPr>
          <w:p w14:paraId="7E7802A1"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1.0740</w:t>
            </w:r>
            <w:r w:rsidRPr="00C702D7">
              <w:rPr>
                <w:rFonts w:cs="Times New Roman" w:hint="eastAsia"/>
                <w:sz w:val="16"/>
                <w:szCs w:val="16"/>
                <w:vertAlign w:val="superscript"/>
              </w:rPr>
              <w:t>***</w:t>
            </w:r>
          </w:p>
        </w:tc>
      </w:tr>
      <w:tr w:rsidR="00C702D7" w:rsidRPr="00C702D7" w14:paraId="379C95A0" w14:textId="77777777" w:rsidTr="00B718EA">
        <w:trPr>
          <w:trHeight w:val="280"/>
          <w:jc w:val="center"/>
        </w:trPr>
        <w:tc>
          <w:tcPr>
            <w:tcW w:w="1073" w:type="pct"/>
            <w:vMerge/>
            <w:tcBorders>
              <w:bottom w:val="nil"/>
              <w:right w:val="nil"/>
            </w:tcBorders>
            <w:shd w:val="clear" w:color="auto" w:fill="auto"/>
            <w:noWrap/>
            <w:vAlign w:val="center"/>
          </w:tcPr>
          <w:p w14:paraId="5FB5776C" w14:textId="77777777" w:rsidR="00D457FC" w:rsidRPr="00C702D7" w:rsidRDefault="00D457FC" w:rsidP="00B718EA">
            <w:pPr>
              <w:widowControl/>
              <w:spacing w:line="240" w:lineRule="auto"/>
              <w:ind w:firstLineChars="0" w:firstLine="0"/>
              <w:jc w:val="center"/>
              <w:rPr>
                <w:rFonts w:cs="Times New Roman"/>
                <w:kern w:val="0"/>
                <w:sz w:val="16"/>
                <w:szCs w:val="16"/>
              </w:rPr>
            </w:pPr>
          </w:p>
        </w:tc>
        <w:tc>
          <w:tcPr>
            <w:tcW w:w="680" w:type="pct"/>
            <w:vMerge/>
            <w:tcBorders>
              <w:left w:val="nil"/>
              <w:bottom w:val="nil"/>
              <w:right w:val="nil"/>
            </w:tcBorders>
            <w:vAlign w:val="center"/>
          </w:tcPr>
          <w:p w14:paraId="4FB35EF9" w14:textId="77777777" w:rsidR="00D457FC" w:rsidRPr="00C702D7" w:rsidRDefault="00D457FC" w:rsidP="00B718EA">
            <w:pPr>
              <w:widowControl/>
              <w:spacing w:line="240" w:lineRule="auto"/>
              <w:ind w:firstLineChars="0" w:firstLine="0"/>
              <w:jc w:val="center"/>
              <w:rPr>
                <w:rFonts w:cs="Times New Roman"/>
                <w:sz w:val="16"/>
                <w:szCs w:val="16"/>
              </w:rPr>
            </w:pPr>
          </w:p>
        </w:tc>
        <w:tc>
          <w:tcPr>
            <w:tcW w:w="595" w:type="pct"/>
            <w:vMerge/>
            <w:tcBorders>
              <w:left w:val="nil"/>
              <w:bottom w:val="nil"/>
              <w:right w:val="nil"/>
            </w:tcBorders>
            <w:vAlign w:val="center"/>
          </w:tcPr>
          <w:p w14:paraId="2F4F5026" w14:textId="77777777" w:rsidR="00D457FC" w:rsidRPr="00C702D7" w:rsidRDefault="00D457FC" w:rsidP="00B718EA">
            <w:pPr>
              <w:widowControl/>
              <w:spacing w:line="240" w:lineRule="auto"/>
              <w:ind w:firstLineChars="0" w:firstLine="0"/>
              <w:jc w:val="center"/>
              <w:rPr>
                <w:rFonts w:cs="Times New Roman"/>
                <w:sz w:val="16"/>
                <w:szCs w:val="16"/>
              </w:rPr>
            </w:pPr>
          </w:p>
        </w:tc>
        <w:tc>
          <w:tcPr>
            <w:tcW w:w="607" w:type="pct"/>
            <w:gridSpan w:val="2"/>
            <w:vMerge/>
            <w:tcBorders>
              <w:left w:val="nil"/>
              <w:bottom w:val="nil"/>
              <w:right w:val="nil"/>
            </w:tcBorders>
            <w:vAlign w:val="center"/>
          </w:tcPr>
          <w:p w14:paraId="10C2858B" w14:textId="77777777" w:rsidR="00D457FC" w:rsidRPr="00C702D7" w:rsidRDefault="00D457FC" w:rsidP="00B718EA">
            <w:pPr>
              <w:widowControl/>
              <w:spacing w:line="240" w:lineRule="auto"/>
              <w:ind w:firstLineChars="0" w:firstLine="0"/>
              <w:jc w:val="center"/>
              <w:rPr>
                <w:rFonts w:cs="Times New Roman"/>
                <w:sz w:val="16"/>
                <w:szCs w:val="16"/>
              </w:rPr>
            </w:pPr>
          </w:p>
        </w:tc>
        <w:tc>
          <w:tcPr>
            <w:tcW w:w="669" w:type="pct"/>
            <w:gridSpan w:val="2"/>
            <w:vMerge/>
            <w:tcBorders>
              <w:left w:val="nil"/>
              <w:bottom w:val="nil"/>
              <w:right w:val="nil"/>
            </w:tcBorders>
            <w:vAlign w:val="center"/>
          </w:tcPr>
          <w:p w14:paraId="1189E0C4" w14:textId="77777777" w:rsidR="00D457FC" w:rsidRPr="00C702D7" w:rsidRDefault="00D457FC" w:rsidP="00B718EA">
            <w:pPr>
              <w:widowControl/>
              <w:spacing w:line="240" w:lineRule="auto"/>
              <w:ind w:firstLineChars="0" w:firstLine="0"/>
              <w:jc w:val="center"/>
              <w:rPr>
                <w:rFonts w:cs="Times New Roman"/>
                <w:sz w:val="16"/>
                <w:szCs w:val="16"/>
              </w:rPr>
            </w:pPr>
          </w:p>
        </w:tc>
        <w:tc>
          <w:tcPr>
            <w:tcW w:w="780" w:type="pct"/>
            <w:gridSpan w:val="2"/>
            <w:vMerge/>
            <w:tcBorders>
              <w:left w:val="nil"/>
              <w:bottom w:val="nil"/>
              <w:right w:val="nil"/>
            </w:tcBorders>
            <w:shd w:val="clear" w:color="auto" w:fill="auto"/>
            <w:noWrap/>
            <w:vAlign w:val="center"/>
          </w:tcPr>
          <w:p w14:paraId="71808CAD" w14:textId="77777777" w:rsidR="00D457FC" w:rsidRPr="00C702D7" w:rsidRDefault="00D457FC" w:rsidP="00B718EA">
            <w:pPr>
              <w:widowControl/>
              <w:spacing w:line="240" w:lineRule="auto"/>
              <w:ind w:firstLineChars="0" w:firstLine="0"/>
              <w:jc w:val="center"/>
              <w:rPr>
                <w:rFonts w:cs="Times New Roman"/>
                <w:sz w:val="16"/>
                <w:szCs w:val="16"/>
              </w:rPr>
            </w:pPr>
          </w:p>
        </w:tc>
        <w:tc>
          <w:tcPr>
            <w:tcW w:w="596" w:type="pct"/>
            <w:tcBorders>
              <w:top w:val="nil"/>
              <w:left w:val="nil"/>
              <w:bottom w:val="nil"/>
              <w:right w:val="nil"/>
            </w:tcBorders>
            <w:vAlign w:val="bottom"/>
          </w:tcPr>
          <w:p w14:paraId="6BA1C201"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(3.0768)</w:t>
            </w:r>
          </w:p>
        </w:tc>
      </w:tr>
      <w:tr w:rsidR="00C702D7" w:rsidRPr="00C702D7" w14:paraId="5D1C5676" w14:textId="77777777" w:rsidTr="00B718EA">
        <w:trPr>
          <w:trHeight w:val="280"/>
          <w:jc w:val="center"/>
        </w:trPr>
        <w:tc>
          <w:tcPr>
            <w:tcW w:w="1073" w:type="pct"/>
            <w:tcBorders>
              <w:top w:val="nil"/>
              <w:bottom w:val="nil"/>
              <w:right w:val="nil"/>
            </w:tcBorders>
            <w:shd w:val="clear" w:color="auto" w:fill="auto"/>
            <w:noWrap/>
            <w:vAlign w:val="center"/>
          </w:tcPr>
          <w:p w14:paraId="0D24FF4F" w14:textId="77777777" w:rsidR="00D457FC" w:rsidRPr="00C702D7" w:rsidRDefault="00D457FC" w:rsidP="00B718EA">
            <w:pPr>
              <w:widowControl/>
              <w:spacing w:line="240" w:lineRule="auto"/>
              <w:ind w:firstLineChars="0" w:firstLine="0"/>
              <w:jc w:val="center"/>
              <w:rPr>
                <w:rFonts w:cs="Times New Roman"/>
                <w:kern w:val="0"/>
                <w:sz w:val="16"/>
                <w:szCs w:val="16"/>
              </w:rPr>
            </w:pPr>
            <w:r w:rsidRPr="00C702D7">
              <w:rPr>
                <w:rFonts w:cs="Times New Roman" w:hint="eastAsia"/>
                <w:kern w:val="0"/>
                <w:sz w:val="16"/>
                <w:szCs w:val="16"/>
              </w:rPr>
              <w:t>控制变量</w:t>
            </w:r>
          </w:p>
        </w:tc>
        <w:tc>
          <w:tcPr>
            <w:tcW w:w="680" w:type="pct"/>
            <w:tcBorders>
              <w:top w:val="nil"/>
              <w:left w:val="nil"/>
              <w:bottom w:val="nil"/>
              <w:right w:val="nil"/>
            </w:tcBorders>
            <w:vAlign w:val="center"/>
          </w:tcPr>
          <w:p w14:paraId="5F63278E"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Yes</w:t>
            </w:r>
          </w:p>
        </w:tc>
        <w:tc>
          <w:tcPr>
            <w:tcW w:w="595" w:type="pct"/>
            <w:tcBorders>
              <w:top w:val="nil"/>
              <w:left w:val="nil"/>
              <w:bottom w:val="nil"/>
              <w:right w:val="nil"/>
            </w:tcBorders>
            <w:vAlign w:val="center"/>
          </w:tcPr>
          <w:p w14:paraId="79F152B7"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Yes</w:t>
            </w:r>
          </w:p>
        </w:tc>
        <w:tc>
          <w:tcPr>
            <w:tcW w:w="607" w:type="pct"/>
            <w:gridSpan w:val="2"/>
            <w:tcBorders>
              <w:top w:val="nil"/>
              <w:left w:val="nil"/>
              <w:bottom w:val="nil"/>
              <w:right w:val="nil"/>
            </w:tcBorders>
            <w:vAlign w:val="center"/>
          </w:tcPr>
          <w:p w14:paraId="39FF3868"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Yes</w:t>
            </w:r>
          </w:p>
        </w:tc>
        <w:tc>
          <w:tcPr>
            <w:tcW w:w="669" w:type="pct"/>
            <w:gridSpan w:val="2"/>
            <w:tcBorders>
              <w:top w:val="nil"/>
              <w:left w:val="nil"/>
              <w:bottom w:val="nil"/>
              <w:right w:val="nil"/>
            </w:tcBorders>
            <w:vAlign w:val="center"/>
          </w:tcPr>
          <w:p w14:paraId="0F23C66D"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Yes</w:t>
            </w:r>
          </w:p>
        </w:tc>
        <w:tc>
          <w:tcPr>
            <w:tcW w:w="780" w:type="pct"/>
            <w:gridSpan w:val="2"/>
            <w:tcBorders>
              <w:top w:val="nil"/>
              <w:left w:val="nil"/>
              <w:bottom w:val="nil"/>
              <w:right w:val="nil"/>
            </w:tcBorders>
            <w:shd w:val="clear" w:color="auto" w:fill="auto"/>
            <w:noWrap/>
            <w:vAlign w:val="center"/>
          </w:tcPr>
          <w:p w14:paraId="6A7FF280"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Yes</w:t>
            </w:r>
          </w:p>
        </w:tc>
        <w:tc>
          <w:tcPr>
            <w:tcW w:w="596" w:type="pct"/>
            <w:tcBorders>
              <w:top w:val="nil"/>
              <w:left w:val="nil"/>
              <w:bottom w:val="nil"/>
              <w:right w:val="nil"/>
            </w:tcBorders>
            <w:vAlign w:val="center"/>
          </w:tcPr>
          <w:p w14:paraId="49870D76"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Yes</w:t>
            </w:r>
          </w:p>
        </w:tc>
      </w:tr>
      <w:tr w:rsidR="00C702D7" w:rsidRPr="00C702D7" w14:paraId="73B27541" w14:textId="77777777" w:rsidTr="00B718EA">
        <w:trPr>
          <w:trHeight w:val="280"/>
          <w:jc w:val="center"/>
        </w:trPr>
        <w:tc>
          <w:tcPr>
            <w:tcW w:w="1073" w:type="pct"/>
            <w:tcBorders>
              <w:top w:val="nil"/>
              <w:bottom w:val="nil"/>
              <w:right w:val="nil"/>
            </w:tcBorders>
            <w:shd w:val="clear" w:color="auto" w:fill="auto"/>
            <w:noWrap/>
            <w:vAlign w:val="center"/>
          </w:tcPr>
          <w:p w14:paraId="232DCA9B" w14:textId="77777777" w:rsidR="00D457FC" w:rsidRPr="00C702D7" w:rsidRDefault="00D457FC" w:rsidP="00B718EA">
            <w:pPr>
              <w:widowControl/>
              <w:spacing w:line="240" w:lineRule="auto"/>
              <w:ind w:firstLineChars="0" w:firstLine="0"/>
              <w:jc w:val="center"/>
              <w:rPr>
                <w:rFonts w:cs="Times New Roman"/>
                <w:kern w:val="0"/>
                <w:sz w:val="16"/>
                <w:szCs w:val="16"/>
              </w:rPr>
            </w:pPr>
            <w:r w:rsidRPr="00C702D7">
              <w:rPr>
                <w:rFonts w:cs="Times New Roman" w:hint="eastAsia"/>
                <w:kern w:val="0"/>
                <w:sz w:val="16"/>
                <w:szCs w:val="16"/>
              </w:rPr>
              <w:t>年度</w:t>
            </w:r>
            <w:r w:rsidRPr="00C702D7">
              <w:rPr>
                <w:rFonts w:cs="Times New Roman" w:hint="eastAsia"/>
                <w:kern w:val="0"/>
                <w:sz w:val="16"/>
                <w:szCs w:val="16"/>
              </w:rPr>
              <w:t>/</w:t>
            </w:r>
            <w:r w:rsidRPr="00C702D7">
              <w:rPr>
                <w:rFonts w:cs="Times New Roman" w:hint="eastAsia"/>
                <w:kern w:val="0"/>
                <w:sz w:val="16"/>
                <w:szCs w:val="16"/>
              </w:rPr>
              <w:t>行业</w:t>
            </w:r>
            <w:r w:rsidRPr="00C702D7">
              <w:rPr>
                <w:rFonts w:cs="Times New Roman"/>
                <w:kern w:val="0"/>
                <w:sz w:val="16"/>
                <w:szCs w:val="16"/>
              </w:rPr>
              <w:t>固定效应</w:t>
            </w:r>
          </w:p>
        </w:tc>
        <w:tc>
          <w:tcPr>
            <w:tcW w:w="680" w:type="pct"/>
            <w:tcBorders>
              <w:top w:val="nil"/>
              <w:left w:val="nil"/>
              <w:bottom w:val="nil"/>
              <w:right w:val="nil"/>
            </w:tcBorders>
            <w:vAlign w:val="center"/>
          </w:tcPr>
          <w:p w14:paraId="2EC258B4"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Yes</w:t>
            </w:r>
          </w:p>
        </w:tc>
        <w:tc>
          <w:tcPr>
            <w:tcW w:w="595" w:type="pct"/>
            <w:tcBorders>
              <w:top w:val="nil"/>
              <w:left w:val="nil"/>
              <w:bottom w:val="nil"/>
              <w:right w:val="nil"/>
            </w:tcBorders>
            <w:vAlign w:val="center"/>
          </w:tcPr>
          <w:p w14:paraId="70D1B44D"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Yes</w:t>
            </w:r>
          </w:p>
        </w:tc>
        <w:tc>
          <w:tcPr>
            <w:tcW w:w="607" w:type="pct"/>
            <w:gridSpan w:val="2"/>
            <w:tcBorders>
              <w:top w:val="nil"/>
              <w:left w:val="nil"/>
              <w:bottom w:val="nil"/>
              <w:right w:val="nil"/>
            </w:tcBorders>
            <w:vAlign w:val="center"/>
          </w:tcPr>
          <w:p w14:paraId="37FECFAE"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Yes</w:t>
            </w:r>
          </w:p>
        </w:tc>
        <w:tc>
          <w:tcPr>
            <w:tcW w:w="669" w:type="pct"/>
            <w:gridSpan w:val="2"/>
            <w:tcBorders>
              <w:top w:val="nil"/>
              <w:left w:val="nil"/>
              <w:bottom w:val="nil"/>
              <w:right w:val="nil"/>
            </w:tcBorders>
            <w:vAlign w:val="center"/>
          </w:tcPr>
          <w:p w14:paraId="45721AA8"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Yes</w:t>
            </w:r>
          </w:p>
        </w:tc>
        <w:tc>
          <w:tcPr>
            <w:tcW w:w="780" w:type="pct"/>
            <w:gridSpan w:val="2"/>
            <w:tcBorders>
              <w:top w:val="nil"/>
              <w:left w:val="nil"/>
              <w:bottom w:val="nil"/>
              <w:right w:val="nil"/>
            </w:tcBorders>
            <w:shd w:val="clear" w:color="auto" w:fill="auto"/>
            <w:noWrap/>
            <w:vAlign w:val="center"/>
          </w:tcPr>
          <w:p w14:paraId="45756DB5"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Yes</w:t>
            </w:r>
          </w:p>
        </w:tc>
        <w:tc>
          <w:tcPr>
            <w:tcW w:w="596" w:type="pct"/>
            <w:tcBorders>
              <w:top w:val="nil"/>
              <w:left w:val="nil"/>
              <w:bottom w:val="nil"/>
              <w:right w:val="nil"/>
            </w:tcBorders>
            <w:vAlign w:val="center"/>
          </w:tcPr>
          <w:p w14:paraId="44FE87F4"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Yes</w:t>
            </w:r>
          </w:p>
        </w:tc>
      </w:tr>
      <w:tr w:rsidR="00C702D7" w:rsidRPr="00C702D7" w14:paraId="33277D8B" w14:textId="77777777" w:rsidTr="00B718EA">
        <w:trPr>
          <w:trHeight w:val="280"/>
          <w:jc w:val="center"/>
        </w:trPr>
        <w:tc>
          <w:tcPr>
            <w:tcW w:w="1073" w:type="pct"/>
            <w:tcBorders>
              <w:top w:val="nil"/>
              <w:bottom w:val="nil"/>
              <w:right w:val="nil"/>
            </w:tcBorders>
            <w:shd w:val="clear" w:color="auto" w:fill="auto"/>
            <w:noWrap/>
            <w:vAlign w:val="center"/>
          </w:tcPr>
          <w:p w14:paraId="204921BF" w14:textId="77777777" w:rsidR="00D457FC" w:rsidRPr="00C702D7" w:rsidRDefault="00D457FC" w:rsidP="00B718EA">
            <w:pPr>
              <w:widowControl/>
              <w:spacing w:line="240" w:lineRule="auto"/>
              <w:ind w:firstLineChars="0" w:firstLine="0"/>
              <w:jc w:val="center"/>
              <w:rPr>
                <w:rFonts w:cs="Times New Roman"/>
                <w:kern w:val="0"/>
                <w:sz w:val="16"/>
                <w:szCs w:val="16"/>
              </w:rPr>
            </w:pPr>
            <w:r w:rsidRPr="00C702D7">
              <w:rPr>
                <w:rFonts w:cs="Times New Roman" w:hint="eastAsia"/>
                <w:kern w:val="0"/>
                <w:sz w:val="18"/>
                <w:szCs w:val="18"/>
              </w:rPr>
              <w:t>样本量</w:t>
            </w:r>
          </w:p>
        </w:tc>
        <w:tc>
          <w:tcPr>
            <w:tcW w:w="680" w:type="pct"/>
            <w:tcBorders>
              <w:top w:val="nil"/>
              <w:left w:val="nil"/>
              <w:bottom w:val="nil"/>
              <w:right w:val="nil"/>
            </w:tcBorders>
            <w:vAlign w:val="center"/>
          </w:tcPr>
          <w:p w14:paraId="30A05BDA"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6</w:t>
            </w:r>
            <w:r w:rsidRPr="00C702D7">
              <w:rPr>
                <w:rFonts w:cs="Times New Roman"/>
                <w:sz w:val="16"/>
                <w:szCs w:val="16"/>
              </w:rPr>
              <w:t xml:space="preserve"> 896</w:t>
            </w:r>
          </w:p>
        </w:tc>
        <w:tc>
          <w:tcPr>
            <w:tcW w:w="595" w:type="pct"/>
            <w:tcBorders>
              <w:top w:val="nil"/>
              <w:left w:val="nil"/>
              <w:bottom w:val="nil"/>
              <w:right w:val="nil"/>
            </w:tcBorders>
            <w:vAlign w:val="center"/>
          </w:tcPr>
          <w:p w14:paraId="12F08E45"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6</w:t>
            </w:r>
            <w:r w:rsidRPr="00C702D7">
              <w:rPr>
                <w:rFonts w:cs="Times New Roman"/>
                <w:sz w:val="16"/>
                <w:szCs w:val="16"/>
              </w:rPr>
              <w:t xml:space="preserve"> 896</w:t>
            </w:r>
          </w:p>
        </w:tc>
        <w:tc>
          <w:tcPr>
            <w:tcW w:w="607" w:type="pct"/>
            <w:gridSpan w:val="2"/>
            <w:tcBorders>
              <w:top w:val="nil"/>
              <w:left w:val="nil"/>
              <w:bottom w:val="nil"/>
              <w:right w:val="nil"/>
            </w:tcBorders>
            <w:vAlign w:val="center"/>
          </w:tcPr>
          <w:p w14:paraId="318E98E7"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6</w:t>
            </w:r>
            <w:r w:rsidRPr="00C702D7">
              <w:rPr>
                <w:rFonts w:cs="Times New Roman"/>
                <w:sz w:val="16"/>
                <w:szCs w:val="16"/>
              </w:rPr>
              <w:t xml:space="preserve"> 896</w:t>
            </w:r>
          </w:p>
        </w:tc>
        <w:tc>
          <w:tcPr>
            <w:tcW w:w="669" w:type="pct"/>
            <w:gridSpan w:val="2"/>
            <w:tcBorders>
              <w:top w:val="nil"/>
              <w:left w:val="nil"/>
              <w:bottom w:val="nil"/>
              <w:right w:val="nil"/>
            </w:tcBorders>
            <w:vAlign w:val="center"/>
          </w:tcPr>
          <w:p w14:paraId="468C935C"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6</w:t>
            </w:r>
            <w:r w:rsidRPr="00C702D7">
              <w:rPr>
                <w:rFonts w:cs="Times New Roman"/>
                <w:sz w:val="16"/>
                <w:szCs w:val="16"/>
              </w:rPr>
              <w:t xml:space="preserve"> 896</w:t>
            </w:r>
          </w:p>
        </w:tc>
        <w:tc>
          <w:tcPr>
            <w:tcW w:w="780" w:type="pct"/>
            <w:gridSpan w:val="2"/>
            <w:tcBorders>
              <w:top w:val="nil"/>
              <w:left w:val="nil"/>
              <w:bottom w:val="nil"/>
              <w:right w:val="nil"/>
            </w:tcBorders>
            <w:shd w:val="clear" w:color="auto" w:fill="auto"/>
            <w:noWrap/>
            <w:vAlign w:val="center"/>
          </w:tcPr>
          <w:p w14:paraId="19FE082A"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6</w:t>
            </w:r>
            <w:r w:rsidRPr="00C702D7">
              <w:rPr>
                <w:rFonts w:cs="Times New Roman"/>
                <w:sz w:val="16"/>
                <w:szCs w:val="16"/>
              </w:rPr>
              <w:t xml:space="preserve"> 896</w:t>
            </w:r>
          </w:p>
        </w:tc>
        <w:tc>
          <w:tcPr>
            <w:tcW w:w="596" w:type="pct"/>
            <w:tcBorders>
              <w:top w:val="nil"/>
              <w:left w:val="nil"/>
              <w:bottom w:val="nil"/>
              <w:right w:val="nil"/>
            </w:tcBorders>
            <w:vAlign w:val="center"/>
          </w:tcPr>
          <w:p w14:paraId="418C01A2"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6</w:t>
            </w:r>
            <w:r w:rsidRPr="00C702D7">
              <w:rPr>
                <w:rFonts w:cs="Times New Roman"/>
                <w:sz w:val="16"/>
                <w:szCs w:val="16"/>
              </w:rPr>
              <w:t xml:space="preserve"> 896</w:t>
            </w:r>
          </w:p>
        </w:tc>
      </w:tr>
      <w:tr w:rsidR="00C702D7" w:rsidRPr="00C702D7" w14:paraId="5CBD5D25" w14:textId="77777777" w:rsidTr="00B718EA">
        <w:trPr>
          <w:trHeight w:val="186"/>
          <w:jc w:val="center"/>
        </w:trPr>
        <w:tc>
          <w:tcPr>
            <w:tcW w:w="1073" w:type="pct"/>
            <w:tcBorders>
              <w:top w:val="nil"/>
              <w:bottom w:val="single" w:sz="12" w:space="0" w:color="auto"/>
              <w:right w:val="nil"/>
            </w:tcBorders>
            <w:shd w:val="clear" w:color="auto" w:fill="auto"/>
            <w:noWrap/>
            <w:vAlign w:val="center"/>
          </w:tcPr>
          <w:p w14:paraId="0D08013C" w14:textId="77777777" w:rsidR="00D457FC" w:rsidRPr="00C702D7" w:rsidRDefault="00D457FC" w:rsidP="00B718EA">
            <w:pPr>
              <w:widowControl/>
              <w:spacing w:line="240" w:lineRule="auto"/>
              <w:ind w:firstLineChars="0" w:firstLine="0"/>
              <w:jc w:val="center"/>
              <w:rPr>
                <w:rFonts w:cs="Times New Roman"/>
                <w:i/>
                <w:iCs/>
                <w:kern w:val="0"/>
                <w:sz w:val="16"/>
                <w:szCs w:val="16"/>
              </w:rPr>
            </w:pPr>
            <w:r w:rsidRPr="00C702D7">
              <w:rPr>
                <w:rFonts w:cs="Times New Roman"/>
                <w:i/>
                <w:iCs/>
                <w:kern w:val="0"/>
                <w:sz w:val="16"/>
                <w:szCs w:val="16"/>
              </w:rPr>
              <w:t>R</w:t>
            </w:r>
            <w:r w:rsidRPr="00C702D7">
              <w:rPr>
                <w:rFonts w:cs="Times New Roman"/>
                <w:i/>
                <w:iCs/>
                <w:kern w:val="0"/>
                <w:sz w:val="16"/>
                <w:szCs w:val="16"/>
                <w:vertAlign w:val="superscript"/>
              </w:rPr>
              <w:t>2</w:t>
            </w:r>
          </w:p>
        </w:tc>
        <w:tc>
          <w:tcPr>
            <w:tcW w:w="680" w:type="pct"/>
            <w:tcBorders>
              <w:top w:val="nil"/>
              <w:left w:val="nil"/>
              <w:bottom w:val="single" w:sz="12" w:space="0" w:color="auto"/>
              <w:right w:val="nil"/>
            </w:tcBorders>
            <w:vAlign w:val="center"/>
          </w:tcPr>
          <w:p w14:paraId="07241612"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0</w:t>
            </w:r>
            <w:r w:rsidRPr="00C702D7">
              <w:rPr>
                <w:rFonts w:cs="Times New Roman"/>
                <w:sz w:val="16"/>
                <w:szCs w:val="16"/>
              </w:rPr>
              <w:t>.006</w:t>
            </w:r>
          </w:p>
        </w:tc>
        <w:tc>
          <w:tcPr>
            <w:tcW w:w="595" w:type="pct"/>
            <w:tcBorders>
              <w:top w:val="nil"/>
              <w:left w:val="nil"/>
              <w:bottom w:val="single" w:sz="12" w:space="0" w:color="auto"/>
              <w:right w:val="nil"/>
            </w:tcBorders>
            <w:vAlign w:val="center"/>
          </w:tcPr>
          <w:p w14:paraId="0E6F57A8" w14:textId="77777777" w:rsidR="00D457FC" w:rsidRPr="00C702D7" w:rsidRDefault="00D457FC" w:rsidP="00B718EA">
            <w:pPr>
              <w:widowControl/>
              <w:spacing w:line="240" w:lineRule="auto"/>
              <w:ind w:firstLineChars="0" w:firstLine="0"/>
              <w:jc w:val="center"/>
              <w:rPr>
                <w:rFonts w:ascii="等线" w:eastAsia="等线" w:hAnsi="等线"/>
                <w:sz w:val="22"/>
              </w:rPr>
            </w:pPr>
            <w:r w:rsidRPr="00C702D7">
              <w:rPr>
                <w:rFonts w:cs="Times New Roman" w:hint="eastAsia"/>
                <w:sz w:val="16"/>
                <w:szCs w:val="16"/>
              </w:rPr>
              <w:t>0.124</w:t>
            </w:r>
          </w:p>
        </w:tc>
        <w:tc>
          <w:tcPr>
            <w:tcW w:w="607" w:type="pct"/>
            <w:gridSpan w:val="2"/>
            <w:tcBorders>
              <w:top w:val="nil"/>
              <w:left w:val="nil"/>
              <w:bottom w:val="single" w:sz="12" w:space="0" w:color="auto"/>
              <w:right w:val="nil"/>
            </w:tcBorders>
            <w:vAlign w:val="center"/>
          </w:tcPr>
          <w:p w14:paraId="60827476"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0</w:t>
            </w:r>
            <w:r w:rsidRPr="00C702D7">
              <w:rPr>
                <w:rFonts w:cs="Times New Roman"/>
                <w:sz w:val="16"/>
                <w:szCs w:val="16"/>
              </w:rPr>
              <w:t>.650</w:t>
            </w:r>
          </w:p>
        </w:tc>
        <w:tc>
          <w:tcPr>
            <w:tcW w:w="669" w:type="pct"/>
            <w:gridSpan w:val="2"/>
            <w:tcBorders>
              <w:top w:val="nil"/>
              <w:left w:val="nil"/>
              <w:bottom w:val="single" w:sz="12" w:space="0" w:color="auto"/>
              <w:right w:val="nil"/>
            </w:tcBorders>
            <w:vAlign w:val="center"/>
          </w:tcPr>
          <w:p w14:paraId="07BAC80F"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0</w:t>
            </w:r>
            <w:r w:rsidRPr="00C702D7">
              <w:rPr>
                <w:rFonts w:cs="Times New Roman"/>
                <w:sz w:val="16"/>
                <w:szCs w:val="16"/>
              </w:rPr>
              <w:t>.006</w:t>
            </w:r>
          </w:p>
        </w:tc>
        <w:tc>
          <w:tcPr>
            <w:tcW w:w="780" w:type="pct"/>
            <w:gridSpan w:val="2"/>
            <w:tcBorders>
              <w:top w:val="nil"/>
              <w:left w:val="nil"/>
              <w:bottom w:val="single" w:sz="12" w:space="0" w:color="auto"/>
              <w:right w:val="nil"/>
            </w:tcBorders>
            <w:shd w:val="clear" w:color="auto" w:fill="auto"/>
            <w:noWrap/>
            <w:vAlign w:val="bottom"/>
          </w:tcPr>
          <w:p w14:paraId="23999E39"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0.122</w:t>
            </w:r>
          </w:p>
        </w:tc>
        <w:tc>
          <w:tcPr>
            <w:tcW w:w="596" w:type="pct"/>
            <w:tcBorders>
              <w:top w:val="nil"/>
              <w:left w:val="nil"/>
              <w:bottom w:val="single" w:sz="12" w:space="0" w:color="auto"/>
              <w:right w:val="nil"/>
            </w:tcBorders>
            <w:vAlign w:val="bottom"/>
          </w:tcPr>
          <w:p w14:paraId="5757C214" w14:textId="77777777" w:rsidR="00D457FC" w:rsidRPr="00C702D7" w:rsidRDefault="00D457FC" w:rsidP="00B718EA">
            <w:pPr>
              <w:widowControl/>
              <w:spacing w:line="240" w:lineRule="auto"/>
              <w:ind w:firstLineChars="0" w:firstLine="0"/>
              <w:jc w:val="center"/>
              <w:rPr>
                <w:rFonts w:cs="Times New Roman"/>
                <w:sz w:val="16"/>
                <w:szCs w:val="16"/>
              </w:rPr>
            </w:pPr>
            <w:r w:rsidRPr="00C702D7">
              <w:rPr>
                <w:rFonts w:cs="Times New Roman" w:hint="eastAsia"/>
                <w:sz w:val="16"/>
                <w:szCs w:val="16"/>
              </w:rPr>
              <w:t>0.122</w:t>
            </w:r>
          </w:p>
        </w:tc>
      </w:tr>
    </w:tbl>
    <w:p w14:paraId="67AB3326" w14:textId="77777777" w:rsidR="00D457FC" w:rsidRPr="00C702D7" w:rsidRDefault="00D457FC" w:rsidP="00776687">
      <w:pPr>
        <w:spacing w:beforeLines="50" w:before="156" w:afterLines="50" w:after="156" w:line="400" w:lineRule="exact"/>
        <w:ind w:firstLineChars="0" w:firstLine="0"/>
        <w:jc w:val="center"/>
        <w:outlineLvl w:val="0"/>
        <w:rPr>
          <w:rFonts w:ascii="黑体" w:eastAsia="黑体" w:hAnsi="黑体"/>
          <w:sz w:val="24"/>
          <w:szCs w:val="28"/>
        </w:rPr>
      </w:pPr>
      <w:r w:rsidRPr="00C702D7">
        <w:rPr>
          <w:rFonts w:ascii="黑体" w:eastAsia="黑体" w:hAnsi="黑体" w:hint="eastAsia"/>
          <w:sz w:val="24"/>
          <w:szCs w:val="28"/>
        </w:rPr>
        <w:t>六、进一步分析：机构投资者绿色关注的区域碳减排效应</w:t>
      </w:r>
    </w:p>
    <w:p w14:paraId="2DD6296C" w14:textId="77777777" w:rsidR="00D457FC" w:rsidRPr="00C702D7" w:rsidRDefault="00D457FC" w:rsidP="009F2FCC">
      <w:pPr>
        <w:spacing w:line="400" w:lineRule="exact"/>
        <w:ind w:firstLine="420"/>
        <w:outlineLvl w:val="0"/>
        <w:rPr>
          <w:rFonts w:ascii="楷体" w:eastAsia="楷体" w:hAnsi="楷体" w:cs="Times New Roman"/>
          <w:bCs/>
          <w:szCs w:val="21"/>
        </w:rPr>
      </w:pPr>
      <w:r w:rsidRPr="00C702D7">
        <w:rPr>
          <w:rFonts w:ascii="楷体" w:eastAsia="楷体" w:hAnsi="楷体" w:cs="Times New Roman" w:hint="eastAsia"/>
          <w:bCs/>
          <w:szCs w:val="21"/>
        </w:rPr>
        <w:t>（一）供应链协同、机构投资者绿色关注与区域碳减排</w:t>
      </w:r>
    </w:p>
    <w:p w14:paraId="0BFFEE4D" w14:textId="77777777" w:rsidR="00D457FC" w:rsidRPr="00C702D7" w:rsidRDefault="00D457FC" w:rsidP="00D457FC">
      <w:pPr>
        <w:spacing w:line="400" w:lineRule="exact"/>
        <w:ind w:firstLine="420"/>
      </w:pPr>
      <w:bookmarkStart w:id="11" w:name="_Hlk146660837"/>
      <w:r w:rsidRPr="00C702D7">
        <w:rPr>
          <w:rFonts w:hint="eastAsia"/>
        </w:rPr>
        <w:lastRenderedPageBreak/>
        <w:t>机构投资者绿色关注的碳减排治理效果还可能通过行业溢出效应、同群效应等，督促供应链上下游企业共享绿色发展战略信息，通过降低能耗和提升供应链的绿色环保标准，构建绿色环保的供应链体系，实现减排</w:t>
      </w:r>
      <w:r w:rsidR="00CC5A48" w:rsidRPr="00C702D7">
        <w:rPr>
          <w:rFonts w:hint="eastAsia"/>
        </w:rPr>
        <w:t>目标</w:t>
      </w:r>
      <w:r w:rsidRPr="00C702D7">
        <w:rPr>
          <w:rFonts w:hint="eastAsia"/>
        </w:rPr>
        <w:t>。当同一地区供应链集中度更高时，以核心企业为中心逐层传递</w:t>
      </w:r>
      <w:bookmarkStart w:id="12" w:name="_Hlk129951049"/>
      <w:r w:rsidRPr="00C702D7">
        <w:rPr>
          <w:rFonts w:hint="eastAsia"/>
        </w:rPr>
        <w:t>的减碳治理将具有更显著的地区碳减排溢出效应。</w:t>
      </w:r>
      <w:bookmarkEnd w:id="11"/>
      <w:bookmarkEnd w:id="12"/>
      <w:r w:rsidRPr="00C702D7">
        <w:rPr>
          <w:rFonts w:hint="eastAsia"/>
        </w:rPr>
        <w:t>为检验机构投资者绿色关注的减碳治理效应在地区层面的溢出作用，本文进一步考察不同供应链集中度下机构投资者绿色关注与地区碳排放强度的关系。借鉴张璇等（</w:t>
      </w:r>
      <w:r w:rsidRPr="00C702D7">
        <w:rPr>
          <w:rFonts w:hint="eastAsia"/>
        </w:rPr>
        <w:t>2022</w:t>
      </w:r>
      <w:r w:rsidRPr="00C702D7">
        <w:rPr>
          <w:rFonts w:hint="eastAsia"/>
        </w:rPr>
        <w:t>）的做法，企业供应链集中度的测算方法为计算企业供应链地理距离，获得与企业处于同一地区的供应商数量占企业总供应商数量的比例，再按其年度行业中位数将样本企业划分为不同供应链集中度的分组样本。同时，我们还采用中国碳核算数据库（</w:t>
      </w:r>
      <w:r w:rsidRPr="00C702D7">
        <w:rPr>
          <w:rFonts w:hint="eastAsia"/>
        </w:rPr>
        <w:t>CEADs</w:t>
      </w:r>
      <w:r w:rsidRPr="00C702D7">
        <w:rPr>
          <w:rFonts w:hint="eastAsia"/>
        </w:rPr>
        <w:t>）披露的地级市碳排放量与人均</w:t>
      </w:r>
      <w:r w:rsidRPr="00C702D7">
        <w:rPr>
          <w:rFonts w:hint="eastAsia"/>
        </w:rPr>
        <w:t>GDP</w:t>
      </w:r>
      <w:r w:rsidRPr="00C702D7">
        <w:rPr>
          <w:rFonts w:hint="eastAsia"/>
        </w:rPr>
        <w:t>比值度量地区碳排放强度（</w:t>
      </w:r>
      <w:proofErr w:type="spellStart"/>
      <w:r w:rsidRPr="00C702D7">
        <w:rPr>
          <w:rFonts w:hint="eastAsia"/>
          <w:i/>
          <w:iCs/>
        </w:rPr>
        <w:t>Cmiss_city</w:t>
      </w:r>
      <w:proofErr w:type="spellEnd"/>
      <w:r w:rsidRPr="00C702D7">
        <w:rPr>
          <w:rFonts w:hint="eastAsia"/>
        </w:rPr>
        <w:t>）。</w:t>
      </w:r>
    </w:p>
    <w:p w14:paraId="7465C02F" w14:textId="77777777" w:rsidR="00D457FC" w:rsidRPr="00C702D7" w:rsidRDefault="00D457FC" w:rsidP="00D457FC">
      <w:pPr>
        <w:spacing w:line="400" w:lineRule="exact"/>
        <w:ind w:firstLine="420"/>
      </w:pPr>
      <w:r w:rsidRPr="00C702D7">
        <w:rPr>
          <w:rFonts w:hint="eastAsia"/>
        </w:rPr>
        <w:t>表</w:t>
      </w:r>
      <w:r w:rsidRPr="00C702D7">
        <w:t>7</w:t>
      </w:r>
      <w:r w:rsidRPr="00C702D7">
        <w:rPr>
          <w:rFonts w:hint="eastAsia"/>
        </w:rPr>
        <w:t>中第（</w:t>
      </w:r>
      <w:r w:rsidRPr="00C702D7">
        <w:rPr>
          <w:rFonts w:hint="eastAsia"/>
        </w:rPr>
        <w:t>1</w:t>
      </w:r>
      <w:r w:rsidRPr="00C702D7">
        <w:rPr>
          <w:rFonts w:hint="eastAsia"/>
        </w:rPr>
        <w:t>）列示了基于全样本的机构投资者绿色关注与地区碳排放强度关系检验结果。据表</w:t>
      </w:r>
      <w:r w:rsidRPr="00C702D7">
        <w:rPr>
          <w:rFonts w:hint="eastAsia"/>
        </w:rPr>
        <w:t>7</w:t>
      </w:r>
      <w:r w:rsidRPr="00C702D7">
        <w:rPr>
          <w:rFonts w:hint="eastAsia"/>
        </w:rPr>
        <w:t>显示，机构投资者绿色关注度（</w:t>
      </w:r>
      <w:r w:rsidRPr="00C702D7">
        <w:rPr>
          <w:rFonts w:hint="eastAsia"/>
          <w:i/>
          <w:iCs/>
        </w:rPr>
        <w:t>G</w:t>
      </w:r>
      <w:r w:rsidRPr="00C702D7">
        <w:rPr>
          <w:i/>
          <w:iCs/>
        </w:rPr>
        <w:t>atten</w:t>
      </w:r>
      <w:r w:rsidRPr="00C702D7">
        <w:rPr>
          <w:rFonts w:hint="eastAsia"/>
        </w:rPr>
        <w:t>）对地区碳排放强度（</w:t>
      </w:r>
      <w:proofErr w:type="spellStart"/>
      <w:r w:rsidRPr="00C702D7">
        <w:rPr>
          <w:rFonts w:hint="eastAsia"/>
          <w:i/>
          <w:iCs/>
        </w:rPr>
        <w:t>Cmiss_city</w:t>
      </w:r>
      <w:proofErr w:type="spellEnd"/>
      <w:r w:rsidRPr="00C702D7">
        <w:rPr>
          <w:rFonts w:hint="eastAsia"/>
        </w:rPr>
        <w:t>）的回归系数为</w:t>
      </w:r>
      <w:r w:rsidRPr="00C702D7">
        <w:t>-0.1171</w:t>
      </w:r>
      <w:r w:rsidRPr="00C702D7">
        <w:rPr>
          <w:rFonts w:hint="eastAsia"/>
        </w:rPr>
        <w:t>，且在</w:t>
      </w:r>
      <w:r w:rsidRPr="00C702D7">
        <w:rPr>
          <w:rFonts w:hint="eastAsia"/>
        </w:rPr>
        <w:t>5</w:t>
      </w:r>
      <w:r w:rsidRPr="00C702D7">
        <w:t>%</w:t>
      </w:r>
      <w:r w:rsidRPr="00C702D7">
        <w:rPr>
          <w:rFonts w:hint="eastAsia"/>
        </w:rPr>
        <w:t>水平下显著，说明机构投资者对企业绿色关注度升高一定程度上降低了企业所在地区的碳排放强度。表</w:t>
      </w:r>
      <w:r w:rsidRPr="00C702D7">
        <w:rPr>
          <w:rFonts w:hint="eastAsia"/>
        </w:rPr>
        <w:t>7</w:t>
      </w:r>
      <w:r w:rsidRPr="00C702D7">
        <w:rPr>
          <w:rFonts w:hint="eastAsia"/>
        </w:rPr>
        <w:t>第（</w:t>
      </w:r>
      <w:r w:rsidRPr="00C702D7">
        <w:rPr>
          <w:rFonts w:hint="eastAsia"/>
        </w:rPr>
        <w:t>2</w:t>
      </w:r>
      <w:r w:rsidRPr="00C702D7">
        <w:rPr>
          <w:rFonts w:hint="eastAsia"/>
        </w:rPr>
        <w:t>）列为供应链集中度较高分组的回归结果，机构投资者绿色关注度（</w:t>
      </w:r>
      <w:r w:rsidRPr="00C702D7">
        <w:rPr>
          <w:rFonts w:hint="eastAsia"/>
          <w:i/>
          <w:iCs/>
        </w:rPr>
        <w:t>G</w:t>
      </w:r>
      <w:r w:rsidRPr="00C702D7">
        <w:rPr>
          <w:i/>
          <w:iCs/>
        </w:rPr>
        <w:t>atten</w:t>
      </w:r>
      <w:r w:rsidRPr="00C702D7">
        <w:rPr>
          <w:rFonts w:hint="eastAsia"/>
        </w:rPr>
        <w:t>）对地区碳排放强度（</w:t>
      </w:r>
      <w:proofErr w:type="spellStart"/>
      <w:r w:rsidRPr="00C702D7">
        <w:rPr>
          <w:rFonts w:hint="eastAsia"/>
          <w:i/>
          <w:iCs/>
        </w:rPr>
        <w:t>Cmiss_city</w:t>
      </w:r>
      <w:proofErr w:type="spellEnd"/>
      <w:r w:rsidRPr="00C702D7">
        <w:rPr>
          <w:rFonts w:hint="eastAsia"/>
        </w:rPr>
        <w:t>）的回归系数为</w:t>
      </w:r>
      <w:r w:rsidRPr="00C702D7">
        <w:t>-0.4677</w:t>
      </w:r>
      <w:r w:rsidRPr="00C702D7">
        <w:rPr>
          <w:rFonts w:hint="eastAsia"/>
        </w:rPr>
        <w:t>，且在</w:t>
      </w:r>
      <w:r w:rsidRPr="00C702D7">
        <w:rPr>
          <w:rFonts w:hint="eastAsia"/>
        </w:rPr>
        <w:t>1</w:t>
      </w:r>
      <w:r w:rsidRPr="00C702D7">
        <w:t>%</w:t>
      </w:r>
      <w:r w:rsidRPr="00C702D7">
        <w:rPr>
          <w:rFonts w:hint="eastAsia"/>
        </w:rPr>
        <w:t>水平下显著。但是表</w:t>
      </w:r>
      <w:r w:rsidRPr="00C702D7">
        <w:rPr>
          <w:rFonts w:hint="eastAsia"/>
        </w:rPr>
        <w:t>7</w:t>
      </w:r>
      <w:r w:rsidRPr="00C702D7">
        <w:rPr>
          <w:rFonts w:hint="eastAsia"/>
        </w:rPr>
        <w:t>第（</w:t>
      </w:r>
      <w:r w:rsidRPr="00C702D7">
        <w:rPr>
          <w:rFonts w:hint="eastAsia"/>
        </w:rPr>
        <w:t>3</w:t>
      </w:r>
      <w:r w:rsidRPr="00C702D7">
        <w:rPr>
          <w:rFonts w:hint="eastAsia"/>
        </w:rPr>
        <w:t>）列供应链集中度较低样本的回归结果中，机构投资者绿色关注度（</w:t>
      </w:r>
      <w:r w:rsidRPr="00C702D7">
        <w:rPr>
          <w:rFonts w:hint="eastAsia"/>
          <w:i/>
          <w:iCs/>
        </w:rPr>
        <w:t>G</w:t>
      </w:r>
      <w:r w:rsidRPr="00C702D7">
        <w:rPr>
          <w:i/>
          <w:iCs/>
        </w:rPr>
        <w:t>atten</w:t>
      </w:r>
      <w:r w:rsidRPr="00C702D7">
        <w:rPr>
          <w:rFonts w:hint="eastAsia"/>
        </w:rPr>
        <w:t>）对地区碳排放强度（</w:t>
      </w:r>
      <w:proofErr w:type="spellStart"/>
      <w:r w:rsidRPr="00C702D7">
        <w:rPr>
          <w:rFonts w:hint="eastAsia"/>
          <w:i/>
          <w:iCs/>
        </w:rPr>
        <w:t>Cmiss_city</w:t>
      </w:r>
      <w:proofErr w:type="spellEnd"/>
      <w:r w:rsidRPr="00C702D7">
        <w:rPr>
          <w:rFonts w:hint="eastAsia"/>
        </w:rPr>
        <w:t>）的回归系数为</w:t>
      </w:r>
      <w:r w:rsidRPr="00C702D7">
        <w:t>-0.0191</w:t>
      </w:r>
      <w:r w:rsidRPr="00C702D7">
        <w:rPr>
          <w:rFonts w:hint="eastAsia"/>
        </w:rPr>
        <w:t>，且并不显著。这说明，相比地区供应链集中度较低的情况，机构投资者对企业绿色关注的地区溢出效应仅在地区供应链集中度较高的地区发挥作用。</w:t>
      </w:r>
    </w:p>
    <w:p w14:paraId="7E8ABE76" w14:textId="77777777" w:rsidR="00D457FC" w:rsidRPr="00C702D7" w:rsidRDefault="00D457FC" w:rsidP="00D457FC">
      <w:pPr>
        <w:spacing w:line="400" w:lineRule="exact"/>
        <w:ind w:firstLineChars="0" w:firstLine="0"/>
        <w:jc w:val="center"/>
        <w:rPr>
          <w:rFonts w:ascii="黑体" w:eastAsia="黑体" w:hAnsi="黑体" w:cs="Times New Roman"/>
          <w:bCs/>
          <w:sz w:val="18"/>
          <w:szCs w:val="18"/>
        </w:rPr>
      </w:pPr>
      <w:r w:rsidRPr="00C702D7">
        <w:rPr>
          <w:rFonts w:ascii="黑体" w:eastAsia="黑体" w:hAnsi="黑体" w:cs="Times New Roman" w:hint="eastAsia"/>
          <w:bCs/>
          <w:szCs w:val="21"/>
        </w:rPr>
        <w:t>表</w:t>
      </w:r>
      <w:r w:rsidRPr="00C702D7">
        <w:rPr>
          <w:rFonts w:eastAsia="黑体" w:cs="Times New Roman"/>
          <w:b/>
          <w:szCs w:val="21"/>
        </w:rPr>
        <w:t>7</w:t>
      </w:r>
      <w:r w:rsidRPr="00C702D7">
        <w:rPr>
          <w:rFonts w:ascii="黑体" w:eastAsia="黑体" w:hAnsi="黑体" w:cs="Times New Roman" w:hint="eastAsia"/>
          <w:bCs/>
          <w:szCs w:val="21"/>
        </w:rPr>
        <w:t>不同供应链集中度下机构投资者绿色关注与地区碳排放强度的检验结果</w:t>
      </w:r>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72"/>
        <w:gridCol w:w="1950"/>
        <w:gridCol w:w="1952"/>
        <w:gridCol w:w="1948"/>
      </w:tblGrid>
      <w:tr w:rsidR="00C702D7" w:rsidRPr="00C702D7" w14:paraId="4961E8F0" w14:textId="77777777" w:rsidTr="00B718EA">
        <w:trPr>
          <w:trHeight w:val="280"/>
          <w:jc w:val="center"/>
        </w:trPr>
        <w:tc>
          <w:tcPr>
            <w:tcW w:w="1568" w:type="pct"/>
            <w:vMerge w:val="restart"/>
            <w:tcBorders>
              <w:top w:val="single" w:sz="12" w:space="0" w:color="auto"/>
              <w:right w:val="nil"/>
            </w:tcBorders>
            <w:shd w:val="clear" w:color="auto" w:fill="auto"/>
            <w:noWrap/>
            <w:vAlign w:val="center"/>
            <w:hideMark/>
          </w:tcPr>
          <w:p w14:paraId="2BB9AA95" w14:textId="77777777" w:rsidR="00D457FC" w:rsidRPr="00C702D7" w:rsidRDefault="00D457FC" w:rsidP="00B718EA">
            <w:pPr>
              <w:spacing w:line="240" w:lineRule="auto"/>
              <w:ind w:firstLineChars="0" w:firstLine="357"/>
              <w:jc w:val="center"/>
              <w:rPr>
                <w:rFonts w:cs="Times New Roman"/>
                <w:kern w:val="0"/>
                <w:sz w:val="18"/>
                <w:szCs w:val="18"/>
              </w:rPr>
            </w:pPr>
            <w:r w:rsidRPr="00C702D7">
              <w:rPr>
                <w:rFonts w:cs="Times New Roman"/>
                <w:kern w:val="0"/>
                <w:sz w:val="18"/>
                <w:szCs w:val="18"/>
              </w:rPr>
              <w:t>变量</w:t>
            </w:r>
          </w:p>
        </w:tc>
        <w:tc>
          <w:tcPr>
            <w:tcW w:w="1144" w:type="pct"/>
            <w:tcBorders>
              <w:top w:val="single" w:sz="12" w:space="0" w:color="auto"/>
              <w:left w:val="nil"/>
              <w:right w:val="nil"/>
            </w:tcBorders>
            <w:vAlign w:val="center"/>
          </w:tcPr>
          <w:p w14:paraId="0CD1D765" w14:textId="77777777" w:rsidR="00D457FC" w:rsidRPr="00C702D7" w:rsidRDefault="00D457FC" w:rsidP="00B718EA">
            <w:pPr>
              <w:widowControl/>
              <w:spacing w:line="240" w:lineRule="auto"/>
              <w:ind w:firstLineChars="0" w:firstLine="357"/>
              <w:jc w:val="center"/>
              <w:rPr>
                <w:sz w:val="18"/>
                <w:szCs w:val="20"/>
              </w:rPr>
            </w:pPr>
            <w:r w:rsidRPr="00C702D7">
              <w:rPr>
                <w:rFonts w:hint="eastAsia"/>
                <w:sz w:val="18"/>
                <w:szCs w:val="20"/>
              </w:rPr>
              <w:t>(</w:t>
            </w:r>
            <w:r w:rsidRPr="00C702D7">
              <w:rPr>
                <w:sz w:val="18"/>
                <w:szCs w:val="20"/>
              </w:rPr>
              <w:t>1)</w:t>
            </w:r>
          </w:p>
        </w:tc>
        <w:tc>
          <w:tcPr>
            <w:tcW w:w="1145" w:type="pct"/>
            <w:tcBorders>
              <w:top w:val="single" w:sz="12" w:space="0" w:color="auto"/>
              <w:left w:val="nil"/>
              <w:right w:val="nil"/>
            </w:tcBorders>
            <w:vAlign w:val="center"/>
          </w:tcPr>
          <w:p w14:paraId="6940F92F" w14:textId="77777777" w:rsidR="00D457FC" w:rsidRPr="00C702D7" w:rsidRDefault="00D457FC" w:rsidP="00B718EA">
            <w:pPr>
              <w:widowControl/>
              <w:spacing w:line="240" w:lineRule="auto"/>
              <w:ind w:firstLineChars="0" w:firstLine="357"/>
              <w:jc w:val="center"/>
              <w:rPr>
                <w:rFonts w:cs="Times New Roman"/>
                <w:kern w:val="0"/>
                <w:sz w:val="18"/>
                <w:szCs w:val="20"/>
              </w:rPr>
            </w:pPr>
            <w:r w:rsidRPr="00C702D7">
              <w:rPr>
                <w:rFonts w:cs="Times New Roman" w:hint="eastAsia"/>
                <w:kern w:val="0"/>
                <w:sz w:val="18"/>
                <w:szCs w:val="20"/>
              </w:rPr>
              <w:t>(</w:t>
            </w:r>
            <w:r w:rsidRPr="00C702D7">
              <w:rPr>
                <w:rFonts w:cs="Times New Roman"/>
                <w:kern w:val="0"/>
                <w:sz w:val="18"/>
                <w:szCs w:val="20"/>
              </w:rPr>
              <w:t>2)</w:t>
            </w:r>
          </w:p>
        </w:tc>
        <w:tc>
          <w:tcPr>
            <w:tcW w:w="1143" w:type="pct"/>
            <w:tcBorders>
              <w:top w:val="single" w:sz="12" w:space="0" w:color="auto"/>
              <w:left w:val="nil"/>
              <w:bottom w:val="single" w:sz="4" w:space="0" w:color="auto"/>
              <w:right w:val="nil"/>
            </w:tcBorders>
            <w:vAlign w:val="center"/>
          </w:tcPr>
          <w:p w14:paraId="7CA46274" w14:textId="77777777" w:rsidR="00D457FC" w:rsidRPr="00C702D7" w:rsidRDefault="00D457FC" w:rsidP="00B718EA">
            <w:pPr>
              <w:widowControl/>
              <w:spacing w:line="240" w:lineRule="auto"/>
              <w:ind w:firstLineChars="0" w:firstLine="357"/>
              <w:jc w:val="center"/>
              <w:rPr>
                <w:rFonts w:cs="Times New Roman"/>
                <w:kern w:val="0"/>
                <w:sz w:val="18"/>
                <w:szCs w:val="20"/>
              </w:rPr>
            </w:pPr>
            <w:r w:rsidRPr="00C702D7">
              <w:rPr>
                <w:rFonts w:cs="Times New Roman" w:hint="eastAsia"/>
                <w:kern w:val="0"/>
                <w:sz w:val="18"/>
                <w:szCs w:val="20"/>
              </w:rPr>
              <w:t>(</w:t>
            </w:r>
            <w:r w:rsidRPr="00C702D7">
              <w:rPr>
                <w:rFonts w:cs="Times New Roman"/>
                <w:kern w:val="0"/>
                <w:sz w:val="18"/>
                <w:szCs w:val="20"/>
              </w:rPr>
              <w:t>3)</w:t>
            </w:r>
          </w:p>
        </w:tc>
      </w:tr>
      <w:tr w:rsidR="00C702D7" w:rsidRPr="00C702D7" w14:paraId="5EBD81B4" w14:textId="77777777" w:rsidTr="00B718EA">
        <w:trPr>
          <w:trHeight w:val="280"/>
          <w:jc w:val="center"/>
        </w:trPr>
        <w:tc>
          <w:tcPr>
            <w:tcW w:w="1568" w:type="pct"/>
            <w:vMerge/>
            <w:tcBorders>
              <w:bottom w:val="single" w:sz="4" w:space="0" w:color="auto"/>
              <w:right w:val="nil"/>
            </w:tcBorders>
            <w:shd w:val="clear" w:color="auto" w:fill="auto"/>
            <w:noWrap/>
            <w:vAlign w:val="center"/>
            <w:hideMark/>
          </w:tcPr>
          <w:p w14:paraId="4C320F23" w14:textId="77777777" w:rsidR="00D457FC" w:rsidRPr="00C702D7" w:rsidRDefault="00D457FC" w:rsidP="00B718EA">
            <w:pPr>
              <w:widowControl/>
              <w:spacing w:line="240" w:lineRule="auto"/>
              <w:ind w:firstLineChars="0" w:firstLine="357"/>
              <w:jc w:val="center"/>
              <w:rPr>
                <w:rFonts w:cs="Times New Roman"/>
                <w:kern w:val="0"/>
                <w:sz w:val="18"/>
                <w:szCs w:val="18"/>
              </w:rPr>
            </w:pPr>
          </w:p>
        </w:tc>
        <w:tc>
          <w:tcPr>
            <w:tcW w:w="1144" w:type="pct"/>
            <w:tcBorders>
              <w:left w:val="nil"/>
              <w:bottom w:val="single" w:sz="4" w:space="0" w:color="auto"/>
              <w:right w:val="nil"/>
            </w:tcBorders>
            <w:vAlign w:val="center"/>
          </w:tcPr>
          <w:p w14:paraId="377B8449" w14:textId="77777777" w:rsidR="00D457FC" w:rsidRPr="00C702D7" w:rsidRDefault="00D457FC" w:rsidP="00B718EA">
            <w:pPr>
              <w:widowControl/>
              <w:spacing w:line="240" w:lineRule="auto"/>
              <w:ind w:firstLineChars="0" w:firstLine="357"/>
              <w:jc w:val="center"/>
              <w:rPr>
                <w:sz w:val="18"/>
                <w:szCs w:val="18"/>
              </w:rPr>
            </w:pPr>
            <w:proofErr w:type="spellStart"/>
            <w:r w:rsidRPr="00C702D7">
              <w:rPr>
                <w:i/>
                <w:iCs/>
                <w:sz w:val="18"/>
                <w:szCs w:val="20"/>
              </w:rPr>
              <w:t>Cmiss_</w:t>
            </w:r>
            <w:r w:rsidRPr="00C702D7">
              <w:rPr>
                <w:rFonts w:hint="eastAsia"/>
                <w:i/>
                <w:iCs/>
                <w:sz w:val="18"/>
                <w:szCs w:val="20"/>
              </w:rPr>
              <w:t>city</w:t>
            </w:r>
            <w:proofErr w:type="spellEnd"/>
          </w:p>
        </w:tc>
        <w:tc>
          <w:tcPr>
            <w:tcW w:w="1145" w:type="pct"/>
            <w:tcBorders>
              <w:left w:val="nil"/>
              <w:bottom w:val="single" w:sz="4" w:space="0" w:color="auto"/>
              <w:right w:val="nil"/>
            </w:tcBorders>
            <w:vAlign w:val="center"/>
          </w:tcPr>
          <w:p w14:paraId="188EC4CE" w14:textId="77777777" w:rsidR="00D457FC" w:rsidRPr="00C702D7" w:rsidRDefault="00D457FC" w:rsidP="00B718EA">
            <w:pPr>
              <w:widowControl/>
              <w:spacing w:line="240" w:lineRule="auto"/>
              <w:ind w:firstLineChars="0" w:firstLine="357"/>
              <w:jc w:val="center"/>
              <w:rPr>
                <w:rFonts w:cs="Times New Roman"/>
                <w:kern w:val="0"/>
                <w:sz w:val="18"/>
                <w:szCs w:val="18"/>
              </w:rPr>
            </w:pPr>
            <w:proofErr w:type="spellStart"/>
            <w:r w:rsidRPr="00C702D7">
              <w:rPr>
                <w:i/>
                <w:iCs/>
                <w:sz w:val="18"/>
                <w:szCs w:val="20"/>
              </w:rPr>
              <w:t>Cmiss_</w:t>
            </w:r>
            <w:r w:rsidRPr="00C702D7">
              <w:rPr>
                <w:rFonts w:hint="eastAsia"/>
                <w:i/>
                <w:iCs/>
                <w:sz w:val="18"/>
                <w:szCs w:val="20"/>
              </w:rPr>
              <w:t>city</w:t>
            </w:r>
            <w:proofErr w:type="spellEnd"/>
          </w:p>
        </w:tc>
        <w:tc>
          <w:tcPr>
            <w:tcW w:w="1143" w:type="pct"/>
            <w:tcBorders>
              <w:left w:val="nil"/>
              <w:bottom w:val="single" w:sz="4" w:space="0" w:color="auto"/>
              <w:right w:val="nil"/>
            </w:tcBorders>
            <w:vAlign w:val="center"/>
          </w:tcPr>
          <w:p w14:paraId="3820D5F9" w14:textId="77777777" w:rsidR="00D457FC" w:rsidRPr="00C702D7" w:rsidRDefault="00D457FC" w:rsidP="00B718EA">
            <w:pPr>
              <w:widowControl/>
              <w:spacing w:line="240" w:lineRule="auto"/>
              <w:ind w:firstLineChars="0" w:firstLine="357"/>
              <w:jc w:val="center"/>
              <w:rPr>
                <w:rFonts w:cs="Times New Roman"/>
                <w:i/>
                <w:iCs/>
                <w:kern w:val="0"/>
                <w:sz w:val="18"/>
                <w:szCs w:val="18"/>
              </w:rPr>
            </w:pPr>
            <w:proofErr w:type="spellStart"/>
            <w:r w:rsidRPr="00C702D7">
              <w:rPr>
                <w:i/>
                <w:iCs/>
                <w:sz w:val="18"/>
                <w:szCs w:val="20"/>
              </w:rPr>
              <w:t>Cmiss_</w:t>
            </w:r>
            <w:r w:rsidRPr="00C702D7">
              <w:rPr>
                <w:rFonts w:hint="eastAsia"/>
                <w:i/>
                <w:iCs/>
                <w:sz w:val="18"/>
                <w:szCs w:val="20"/>
              </w:rPr>
              <w:t>city</w:t>
            </w:r>
            <w:proofErr w:type="spellEnd"/>
          </w:p>
        </w:tc>
      </w:tr>
      <w:tr w:rsidR="00C702D7" w:rsidRPr="00C702D7" w14:paraId="0BA8466B" w14:textId="77777777" w:rsidTr="00B718EA">
        <w:trPr>
          <w:trHeight w:val="280"/>
          <w:jc w:val="center"/>
        </w:trPr>
        <w:tc>
          <w:tcPr>
            <w:tcW w:w="1568" w:type="pct"/>
            <w:vMerge w:val="restart"/>
            <w:tcBorders>
              <w:top w:val="nil"/>
              <w:right w:val="nil"/>
            </w:tcBorders>
            <w:shd w:val="clear" w:color="auto" w:fill="auto"/>
            <w:noWrap/>
            <w:vAlign w:val="center"/>
          </w:tcPr>
          <w:p w14:paraId="2725C4D6" w14:textId="77777777" w:rsidR="00D457FC" w:rsidRPr="00C702D7" w:rsidRDefault="00D457FC" w:rsidP="00B718EA">
            <w:pPr>
              <w:widowControl/>
              <w:spacing w:line="240" w:lineRule="auto"/>
              <w:ind w:firstLineChars="0" w:firstLine="357"/>
              <w:jc w:val="center"/>
              <w:rPr>
                <w:rFonts w:cs="Times New Roman"/>
                <w:i/>
                <w:iCs/>
                <w:kern w:val="0"/>
                <w:sz w:val="18"/>
                <w:szCs w:val="18"/>
              </w:rPr>
            </w:pPr>
            <w:r w:rsidRPr="00C702D7">
              <w:rPr>
                <w:rFonts w:cs="Times New Roman"/>
                <w:i/>
                <w:iCs/>
                <w:kern w:val="0"/>
                <w:sz w:val="18"/>
                <w:szCs w:val="18"/>
              </w:rPr>
              <w:t>Gatten</w:t>
            </w:r>
          </w:p>
        </w:tc>
        <w:tc>
          <w:tcPr>
            <w:tcW w:w="1144" w:type="pct"/>
            <w:tcBorders>
              <w:top w:val="nil"/>
              <w:left w:val="nil"/>
              <w:bottom w:val="nil"/>
              <w:right w:val="nil"/>
            </w:tcBorders>
            <w:vAlign w:val="center"/>
          </w:tcPr>
          <w:p w14:paraId="6EFD158A" w14:textId="77777777" w:rsidR="00D457FC" w:rsidRPr="00C702D7" w:rsidRDefault="00D457FC" w:rsidP="00B718EA">
            <w:pPr>
              <w:widowControl/>
              <w:spacing w:line="240" w:lineRule="auto"/>
              <w:ind w:firstLineChars="0" w:firstLine="357"/>
              <w:jc w:val="center"/>
              <w:rPr>
                <w:rFonts w:cs="Times New Roman"/>
                <w:sz w:val="18"/>
                <w:szCs w:val="18"/>
              </w:rPr>
            </w:pPr>
            <w:r w:rsidRPr="00C702D7">
              <w:rPr>
                <w:rFonts w:cs="Times New Roman"/>
                <w:sz w:val="18"/>
                <w:szCs w:val="18"/>
              </w:rPr>
              <w:t>-0.1171</w:t>
            </w:r>
            <w:r w:rsidRPr="00C702D7">
              <w:rPr>
                <w:rFonts w:cs="Times New Roman"/>
                <w:sz w:val="18"/>
                <w:szCs w:val="18"/>
                <w:vertAlign w:val="superscript"/>
              </w:rPr>
              <w:t>**</w:t>
            </w:r>
          </w:p>
        </w:tc>
        <w:tc>
          <w:tcPr>
            <w:tcW w:w="1145" w:type="pct"/>
            <w:tcBorders>
              <w:top w:val="nil"/>
              <w:left w:val="nil"/>
              <w:bottom w:val="nil"/>
              <w:right w:val="nil"/>
            </w:tcBorders>
            <w:vAlign w:val="center"/>
          </w:tcPr>
          <w:p w14:paraId="7E303A20" w14:textId="77777777" w:rsidR="00D457FC" w:rsidRPr="00C702D7" w:rsidRDefault="00D457FC" w:rsidP="00B718EA">
            <w:pPr>
              <w:widowControl/>
              <w:spacing w:line="240" w:lineRule="auto"/>
              <w:ind w:firstLineChars="0" w:firstLine="357"/>
              <w:jc w:val="center"/>
              <w:rPr>
                <w:rFonts w:cs="Times New Roman"/>
                <w:sz w:val="18"/>
                <w:szCs w:val="18"/>
              </w:rPr>
            </w:pPr>
            <w:r w:rsidRPr="00C702D7">
              <w:rPr>
                <w:rFonts w:cs="Times New Roman"/>
                <w:sz w:val="18"/>
                <w:szCs w:val="18"/>
              </w:rPr>
              <w:t>-0.4677</w:t>
            </w:r>
            <w:r w:rsidRPr="00C702D7">
              <w:rPr>
                <w:rFonts w:cs="Times New Roman"/>
                <w:sz w:val="18"/>
                <w:szCs w:val="18"/>
                <w:vertAlign w:val="superscript"/>
              </w:rPr>
              <w:t>***</w:t>
            </w:r>
          </w:p>
        </w:tc>
        <w:tc>
          <w:tcPr>
            <w:tcW w:w="1143" w:type="pct"/>
            <w:tcBorders>
              <w:top w:val="nil"/>
              <w:left w:val="nil"/>
              <w:bottom w:val="nil"/>
              <w:right w:val="nil"/>
            </w:tcBorders>
            <w:shd w:val="clear" w:color="auto" w:fill="auto"/>
            <w:noWrap/>
            <w:vAlign w:val="center"/>
          </w:tcPr>
          <w:p w14:paraId="1B32EC84" w14:textId="77777777" w:rsidR="00D457FC" w:rsidRPr="00C702D7" w:rsidRDefault="00D457FC" w:rsidP="00B718EA">
            <w:pPr>
              <w:widowControl/>
              <w:spacing w:line="240" w:lineRule="auto"/>
              <w:ind w:firstLineChars="0" w:firstLine="357"/>
              <w:jc w:val="center"/>
              <w:rPr>
                <w:rFonts w:cs="Times New Roman"/>
                <w:sz w:val="18"/>
                <w:szCs w:val="18"/>
              </w:rPr>
            </w:pPr>
            <w:r w:rsidRPr="00C702D7">
              <w:rPr>
                <w:rFonts w:cs="Times New Roman"/>
                <w:sz w:val="18"/>
                <w:szCs w:val="18"/>
              </w:rPr>
              <w:t>-0.0191</w:t>
            </w:r>
          </w:p>
        </w:tc>
      </w:tr>
      <w:tr w:rsidR="00C702D7" w:rsidRPr="00C702D7" w14:paraId="5B745321" w14:textId="77777777" w:rsidTr="00B718EA">
        <w:trPr>
          <w:trHeight w:val="280"/>
          <w:jc w:val="center"/>
        </w:trPr>
        <w:tc>
          <w:tcPr>
            <w:tcW w:w="1568" w:type="pct"/>
            <w:vMerge/>
            <w:tcBorders>
              <w:bottom w:val="nil"/>
              <w:right w:val="nil"/>
            </w:tcBorders>
            <w:shd w:val="clear" w:color="auto" w:fill="auto"/>
            <w:noWrap/>
            <w:vAlign w:val="center"/>
          </w:tcPr>
          <w:p w14:paraId="51A22EC4" w14:textId="77777777" w:rsidR="00D457FC" w:rsidRPr="00C702D7" w:rsidRDefault="00D457FC" w:rsidP="00B718EA">
            <w:pPr>
              <w:widowControl/>
              <w:spacing w:line="240" w:lineRule="auto"/>
              <w:ind w:firstLineChars="0" w:firstLine="357"/>
              <w:jc w:val="center"/>
              <w:rPr>
                <w:rFonts w:cs="Times New Roman"/>
                <w:i/>
                <w:iCs/>
                <w:kern w:val="0"/>
                <w:sz w:val="18"/>
                <w:szCs w:val="18"/>
              </w:rPr>
            </w:pPr>
          </w:p>
        </w:tc>
        <w:tc>
          <w:tcPr>
            <w:tcW w:w="1144" w:type="pct"/>
            <w:tcBorders>
              <w:top w:val="nil"/>
              <w:left w:val="nil"/>
              <w:bottom w:val="nil"/>
              <w:right w:val="nil"/>
            </w:tcBorders>
            <w:vAlign w:val="center"/>
          </w:tcPr>
          <w:p w14:paraId="55E9025F" w14:textId="77777777" w:rsidR="00D457FC" w:rsidRPr="00C702D7" w:rsidRDefault="00D457FC" w:rsidP="00B718EA">
            <w:pPr>
              <w:widowControl/>
              <w:spacing w:line="240" w:lineRule="auto"/>
              <w:ind w:firstLineChars="0" w:firstLine="357"/>
              <w:jc w:val="center"/>
              <w:rPr>
                <w:rFonts w:cs="Times New Roman"/>
                <w:sz w:val="18"/>
                <w:szCs w:val="18"/>
              </w:rPr>
            </w:pPr>
            <w:r w:rsidRPr="00C702D7">
              <w:rPr>
                <w:rFonts w:cs="Times New Roman"/>
                <w:sz w:val="18"/>
                <w:szCs w:val="18"/>
              </w:rPr>
              <w:t>(-2.5014)</w:t>
            </w:r>
          </w:p>
        </w:tc>
        <w:tc>
          <w:tcPr>
            <w:tcW w:w="1145" w:type="pct"/>
            <w:tcBorders>
              <w:top w:val="nil"/>
              <w:left w:val="nil"/>
              <w:bottom w:val="nil"/>
              <w:right w:val="nil"/>
            </w:tcBorders>
            <w:vAlign w:val="center"/>
          </w:tcPr>
          <w:p w14:paraId="670CE94D" w14:textId="77777777" w:rsidR="00D457FC" w:rsidRPr="00C702D7" w:rsidRDefault="00D457FC" w:rsidP="00B718EA">
            <w:pPr>
              <w:widowControl/>
              <w:spacing w:line="240" w:lineRule="auto"/>
              <w:ind w:firstLineChars="0" w:firstLine="357"/>
              <w:jc w:val="center"/>
              <w:rPr>
                <w:rFonts w:cs="Times New Roman"/>
                <w:sz w:val="18"/>
                <w:szCs w:val="18"/>
              </w:rPr>
            </w:pPr>
            <w:r w:rsidRPr="00C702D7">
              <w:rPr>
                <w:rFonts w:cs="Times New Roman"/>
                <w:sz w:val="18"/>
                <w:szCs w:val="18"/>
              </w:rPr>
              <w:t>(-3.1844)</w:t>
            </w:r>
          </w:p>
        </w:tc>
        <w:tc>
          <w:tcPr>
            <w:tcW w:w="1143" w:type="pct"/>
            <w:tcBorders>
              <w:top w:val="nil"/>
              <w:left w:val="nil"/>
              <w:bottom w:val="nil"/>
              <w:right w:val="nil"/>
            </w:tcBorders>
            <w:shd w:val="clear" w:color="auto" w:fill="auto"/>
            <w:noWrap/>
            <w:vAlign w:val="center"/>
          </w:tcPr>
          <w:p w14:paraId="755F134C" w14:textId="77777777" w:rsidR="00D457FC" w:rsidRPr="00C702D7" w:rsidRDefault="00D457FC" w:rsidP="00B718EA">
            <w:pPr>
              <w:widowControl/>
              <w:spacing w:line="240" w:lineRule="auto"/>
              <w:ind w:firstLineChars="0" w:firstLine="357"/>
              <w:jc w:val="center"/>
              <w:rPr>
                <w:rFonts w:cs="Times New Roman"/>
                <w:sz w:val="18"/>
                <w:szCs w:val="18"/>
              </w:rPr>
            </w:pPr>
            <w:r w:rsidRPr="00C702D7">
              <w:rPr>
                <w:rFonts w:cs="Times New Roman"/>
                <w:sz w:val="18"/>
                <w:szCs w:val="18"/>
              </w:rPr>
              <w:t>(-0.4795)</w:t>
            </w:r>
          </w:p>
        </w:tc>
      </w:tr>
      <w:tr w:rsidR="00C702D7" w:rsidRPr="00C702D7" w14:paraId="09EEA8EC" w14:textId="77777777" w:rsidTr="00B718EA">
        <w:trPr>
          <w:trHeight w:val="280"/>
          <w:jc w:val="center"/>
        </w:trPr>
        <w:tc>
          <w:tcPr>
            <w:tcW w:w="1568" w:type="pct"/>
            <w:tcBorders>
              <w:top w:val="nil"/>
              <w:bottom w:val="nil"/>
              <w:right w:val="nil"/>
            </w:tcBorders>
            <w:shd w:val="clear" w:color="auto" w:fill="auto"/>
            <w:noWrap/>
            <w:vAlign w:val="center"/>
            <w:hideMark/>
          </w:tcPr>
          <w:p w14:paraId="18A5F108" w14:textId="77777777" w:rsidR="00D457FC" w:rsidRPr="00C702D7" w:rsidRDefault="00D457FC" w:rsidP="00B718EA">
            <w:pPr>
              <w:widowControl/>
              <w:spacing w:line="240" w:lineRule="auto"/>
              <w:ind w:firstLineChars="0" w:firstLine="357"/>
              <w:jc w:val="center"/>
              <w:rPr>
                <w:rFonts w:cs="Times New Roman"/>
                <w:kern w:val="0"/>
                <w:sz w:val="18"/>
                <w:szCs w:val="18"/>
              </w:rPr>
            </w:pPr>
            <w:r w:rsidRPr="00C702D7">
              <w:rPr>
                <w:rFonts w:cs="Times New Roman" w:hint="eastAsia"/>
                <w:kern w:val="0"/>
                <w:sz w:val="18"/>
                <w:szCs w:val="18"/>
              </w:rPr>
              <w:t>控制变量</w:t>
            </w:r>
          </w:p>
        </w:tc>
        <w:tc>
          <w:tcPr>
            <w:tcW w:w="1144" w:type="pct"/>
            <w:tcBorders>
              <w:top w:val="nil"/>
              <w:left w:val="nil"/>
              <w:bottom w:val="nil"/>
              <w:right w:val="nil"/>
            </w:tcBorders>
            <w:vAlign w:val="center"/>
          </w:tcPr>
          <w:p w14:paraId="311C83CB" w14:textId="77777777" w:rsidR="00D457FC" w:rsidRPr="00C702D7" w:rsidRDefault="00D457FC" w:rsidP="00B718EA">
            <w:pPr>
              <w:widowControl/>
              <w:spacing w:line="240" w:lineRule="auto"/>
              <w:ind w:firstLineChars="0" w:firstLine="357"/>
              <w:jc w:val="center"/>
              <w:rPr>
                <w:rFonts w:cs="Times New Roman"/>
                <w:sz w:val="18"/>
                <w:szCs w:val="18"/>
              </w:rPr>
            </w:pPr>
            <w:r w:rsidRPr="00C702D7">
              <w:rPr>
                <w:rFonts w:cs="Times New Roman" w:hint="eastAsia"/>
                <w:sz w:val="18"/>
                <w:szCs w:val="18"/>
              </w:rPr>
              <w:t>Yes</w:t>
            </w:r>
          </w:p>
        </w:tc>
        <w:tc>
          <w:tcPr>
            <w:tcW w:w="1145" w:type="pct"/>
            <w:tcBorders>
              <w:top w:val="nil"/>
              <w:left w:val="nil"/>
              <w:bottom w:val="nil"/>
              <w:right w:val="nil"/>
            </w:tcBorders>
            <w:vAlign w:val="center"/>
          </w:tcPr>
          <w:p w14:paraId="2DF8CBF4" w14:textId="77777777" w:rsidR="00D457FC" w:rsidRPr="00C702D7" w:rsidRDefault="00D457FC" w:rsidP="00B718EA">
            <w:pPr>
              <w:widowControl/>
              <w:spacing w:line="240" w:lineRule="auto"/>
              <w:ind w:firstLineChars="0" w:firstLine="357"/>
              <w:jc w:val="center"/>
              <w:rPr>
                <w:rFonts w:cs="Times New Roman"/>
                <w:sz w:val="18"/>
                <w:szCs w:val="18"/>
              </w:rPr>
            </w:pPr>
            <w:r w:rsidRPr="00C702D7">
              <w:rPr>
                <w:rFonts w:cs="Times New Roman" w:hint="eastAsia"/>
                <w:sz w:val="18"/>
                <w:szCs w:val="18"/>
              </w:rPr>
              <w:t>Yes</w:t>
            </w:r>
          </w:p>
        </w:tc>
        <w:tc>
          <w:tcPr>
            <w:tcW w:w="1143" w:type="pct"/>
            <w:tcBorders>
              <w:top w:val="nil"/>
              <w:left w:val="nil"/>
              <w:bottom w:val="nil"/>
              <w:right w:val="nil"/>
            </w:tcBorders>
            <w:shd w:val="clear" w:color="auto" w:fill="auto"/>
            <w:noWrap/>
            <w:vAlign w:val="center"/>
          </w:tcPr>
          <w:p w14:paraId="3CB514E0" w14:textId="77777777" w:rsidR="00D457FC" w:rsidRPr="00C702D7" w:rsidRDefault="00D457FC" w:rsidP="00B718EA">
            <w:pPr>
              <w:widowControl/>
              <w:spacing w:line="240" w:lineRule="auto"/>
              <w:ind w:firstLineChars="0" w:firstLine="357"/>
              <w:jc w:val="center"/>
              <w:rPr>
                <w:rFonts w:cs="Times New Roman"/>
                <w:sz w:val="18"/>
                <w:szCs w:val="18"/>
              </w:rPr>
            </w:pPr>
            <w:r w:rsidRPr="00C702D7">
              <w:rPr>
                <w:rFonts w:cs="Times New Roman" w:hint="eastAsia"/>
                <w:sz w:val="18"/>
                <w:szCs w:val="18"/>
              </w:rPr>
              <w:t>Yes</w:t>
            </w:r>
          </w:p>
        </w:tc>
      </w:tr>
      <w:tr w:rsidR="00C702D7" w:rsidRPr="00C702D7" w14:paraId="24D49AC9" w14:textId="77777777" w:rsidTr="00B718EA">
        <w:trPr>
          <w:trHeight w:val="280"/>
          <w:jc w:val="center"/>
        </w:trPr>
        <w:tc>
          <w:tcPr>
            <w:tcW w:w="1568" w:type="pct"/>
            <w:tcBorders>
              <w:top w:val="nil"/>
              <w:bottom w:val="nil"/>
              <w:right w:val="nil"/>
            </w:tcBorders>
            <w:shd w:val="clear" w:color="auto" w:fill="auto"/>
            <w:noWrap/>
            <w:vAlign w:val="center"/>
          </w:tcPr>
          <w:p w14:paraId="23D32D85" w14:textId="77777777" w:rsidR="00D457FC" w:rsidRPr="00C702D7" w:rsidRDefault="00D457FC" w:rsidP="00B718EA">
            <w:pPr>
              <w:widowControl/>
              <w:spacing w:line="240" w:lineRule="auto"/>
              <w:ind w:firstLineChars="0" w:firstLine="357"/>
              <w:jc w:val="center"/>
              <w:rPr>
                <w:rFonts w:cs="Times New Roman"/>
                <w:kern w:val="0"/>
                <w:sz w:val="18"/>
                <w:szCs w:val="18"/>
              </w:rPr>
            </w:pPr>
            <w:r w:rsidRPr="00C702D7">
              <w:rPr>
                <w:rFonts w:cs="Times New Roman"/>
                <w:kern w:val="0"/>
                <w:sz w:val="18"/>
                <w:szCs w:val="18"/>
              </w:rPr>
              <w:t>年度</w:t>
            </w:r>
            <w:r w:rsidRPr="00C702D7">
              <w:rPr>
                <w:rFonts w:cs="Times New Roman" w:hint="eastAsia"/>
                <w:kern w:val="0"/>
                <w:sz w:val="18"/>
                <w:szCs w:val="18"/>
              </w:rPr>
              <w:t>/</w:t>
            </w:r>
            <w:r w:rsidRPr="00C702D7">
              <w:rPr>
                <w:rFonts w:cs="Times New Roman" w:hint="eastAsia"/>
                <w:kern w:val="0"/>
                <w:sz w:val="18"/>
                <w:szCs w:val="18"/>
              </w:rPr>
              <w:t>行业</w:t>
            </w:r>
            <w:r w:rsidRPr="00C702D7">
              <w:rPr>
                <w:rFonts w:cs="Times New Roman" w:hint="eastAsia"/>
                <w:kern w:val="0"/>
                <w:sz w:val="18"/>
                <w:szCs w:val="18"/>
              </w:rPr>
              <w:t>/</w:t>
            </w:r>
            <w:r w:rsidRPr="00C702D7">
              <w:rPr>
                <w:rFonts w:cs="Times New Roman" w:hint="eastAsia"/>
                <w:kern w:val="0"/>
                <w:sz w:val="18"/>
                <w:szCs w:val="18"/>
              </w:rPr>
              <w:t>地区</w:t>
            </w:r>
            <w:r w:rsidRPr="00C702D7">
              <w:rPr>
                <w:rFonts w:cs="Times New Roman"/>
                <w:kern w:val="0"/>
                <w:sz w:val="18"/>
                <w:szCs w:val="18"/>
              </w:rPr>
              <w:t>固定效应</w:t>
            </w:r>
          </w:p>
        </w:tc>
        <w:tc>
          <w:tcPr>
            <w:tcW w:w="1144" w:type="pct"/>
            <w:tcBorders>
              <w:top w:val="nil"/>
              <w:left w:val="nil"/>
              <w:bottom w:val="nil"/>
              <w:right w:val="nil"/>
            </w:tcBorders>
            <w:vAlign w:val="center"/>
          </w:tcPr>
          <w:p w14:paraId="7785FB3D" w14:textId="77777777" w:rsidR="00D457FC" w:rsidRPr="00C702D7" w:rsidRDefault="00D457FC" w:rsidP="00B718EA">
            <w:pPr>
              <w:widowControl/>
              <w:spacing w:line="240" w:lineRule="auto"/>
              <w:ind w:firstLineChars="0" w:firstLine="357"/>
              <w:jc w:val="center"/>
              <w:rPr>
                <w:rFonts w:cs="Times New Roman"/>
                <w:sz w:val="18"/>
                <w:szCs w:val="18"/>
              </w:rPr>
            </w:pPr>
            <w:r w:rsidRPr="00C702D7">
              <w:rPr>
                <w:rFonts w:cs="Times New Roman" w:hint="eastAsia"/>
                <w:sz w:val="18"/>
                <w:szCs w:val="18"/>
              </w:rPr>
              <w:t>Yes</w:t>
            </w:r>
          </w:p>
        </w:tc>
        <w:tc>
          <w:tcPr>
            <w:tcW w:w="1145" w:type="pct"/>
            <w:tcBorders>
              <w:top w:val="nil"/>
              <w:left w:val="nil"/>
              <w:bottom w:val="nil"/>
              <w:right w:val="nil"/>
            </w:tcBorders>
            <w:vAlign w:val="center"/>
          </w:tcPr>
          <w:p w14:paraId="6A044EA4" w14:textId="77777777" w:rsidR="00D457FC" w:rsidRPr="00C702D7" w:rsidRDefault="00D457FC" w:rsidP="00B718EA">
            <w:pPr>
              <w:widowControl/>
              <w:spacing w:line="240" w:lineRule="auto"/>
              <w:ind w:firstLineChars="0" w:firstLine="357"/>
              <w:jc w:val="center"/>
              <w:rPr>
                <w:rFonts w:cs="Times New Roman"/>
                <w:sz w:val="18"/>
                <w:szCs w:val="18"/>
              </w:rPr>
            </w:pPr>
            <w:r w:rsidRPr="00C702D7">
              <w:rPr>
                <w:rFonts w:cs="Times New Roman" w:hint="eastAsia"/>
                <w:sz w:val="18"/>
                <w:szCs w:val="18"/>
              </w:rPr>
              <w:t>Yes</w:t>
            </w:r>
          </w:p>
        </w:tc>
        <w:tc>
          <w:tcPr>
            <w:tcW w:w="1143" w:type="pct"/>
            <w:tcBorders>
              <w:top w:val="nil"/>
              <w:left w:val="nil"/>
              <w:bottom w:val="nil"/>
              <w:right w:val="nil"/>
            </w:tcBorders>
            <w:shd w:val="clear" w:color="auto" w:fill="auto"/>
            <w:noWrap/>
            <w:vAlign w:val="center"/>
          </w:tcPr>
          <w:p w14:paraId="4249D09B" w14:textId="77777777" w:rsidR="00D457FC" w:rsidRPr="00C702D7" w:rsidRDefault="00D457FC" w:rsidP="00B718EA">
            <w:pPr>
              <w:widowControl/>
              <w:spacing w:line="240" w:lineRule="auto"/>
              <w:ind w:firstLineChars="0" w:firstLine="357"/>
              <w:jc w:val="center"/>
              <w:rPr>
                <w:rFonts w:cs="Times New Roman"/>
                <w:sz w:val="18"/>
                <w:szCs w:val="18"/>
              </w:rPr>
            </w:pPr>
            <w:r w:rsidRPr="00C702D7">
              <w:rPr>
                <w:rFonts w:cs="Times New Roman" w:hint="eastAsia"/>
                <w:sz w:val="18"/>
                <w:szCs w:val="18"/>
              </w:rPr>
              <w:t>Yes</w:t>
            </w:r>
          </w:p>
        </w:tc>
      </w:tr>
      <w:tr w:rsidR="00C702D7" w:rsidRPr="00C702D7" w14:paraId="7CA928E0" w14:textId="77777777" w:rsidTr="00B718EA">
        <w:trPr>
          <w:trHeight w:val="280"/>
          <w:jc w:val="center"/>
        </w:trPr>
        <w:tc>
          <w:tcPr>
            <w:tcW w:w="1568" w:type="pct"/>
            <w:tcBorders>
              <w:top w:val="nil"/>
              <w:bottom w:val="nil"/>
              <w:right w:val="nil"/>
            </w:tcBorders>
            <w:shd w:val="clear" w:color="auto" w:fill="auto"/>
            <w:noWrap/>
            <w:vAlign w:val="center"/>
          </w:tcPr>
          <w:p w14:paraId="0B42C7A5" w14:textId="77777777" w:rsidR="00D457FC" w:rsidRPr="00C702D7" w:rsidRDefault="00D457FC" w:rsidP="00B718EA">
            <w:pPr>
              <w:widowControl/>
              <w:spacing w:line="240" w:lineRule="auto"/>
              <w:ind w:firstLineChars="0" w:firstLine="357"/>
              <w:jc w:val="center"/>
              <w:rPr>
                <w:rFonts w:cs="Times New Roman"/>
                <w:kern w:val="0"/>
                <w:sz w:val="18"/>
                <w:szCs w:val="18"/>
              </w:rPr>
            </w:pPr>
            <w:r w:rsidRPr="00C702D7">
              <w:rPr>
                <w:rFonts w:cs="Times New Roman" w:hint="eastAsia"/>
                <w:kern w:val="0"/>
                <w:sz w:val="18"/>
                <w:szCs w:val="18"/>
              </w:rPr>
              <w:t>样本量</w:t>
            </w:r>
          </w:p>
        </w:tc>
        <w:tc>
          <w:tcPr>
            <w:tcW w:w="1144" w:type="pct"/>
            <w:tcBorders>
              <w:top w:val="nil"/>
              <w:left w:val="nil"/>
              <w:bottom w:val="nil"/>
              <w:right w:val="nil"/>
            </w:tcBorders>
            <w:vAlign w:val="center"/>
          </w:tcPr>
          <w:p w14:paraId="1BF1C861" w14:textId="77777777" w:rsidR="00D457FC" w:rsidRPr="00C702D7" w:rsidRDefault="00D457FC" w:rsidP="00B718EA">
            <w:pPr>
              <w:widowControl/>
              <w:spacing w:line="240" w:lineRule="auto"/>
              <w:ind w:firstLineChars="0" w:firstLine="357"/>
              <w:jc w:val="center"/>
              <w:rPr>
                <w:rFonts w:cs="Times New Roman"/>
                <w:sz w:val="18"/>
                <w:szCs w:val="18"/>
              </w:rPr>
            </w:pPr>
            <w:r w:rsidRPr="00C702D7">
              <w:rPr>
                <w:rFonts w:cs="Times New Roman" w:hint="eastAsia"/>
                <w:sz w:val="18"/>
                <w:szCs w:val="18"/>
              </w:rPr>
              <w:t>5</w:t>
            </w:r>
            <w:r w:rsidRPr="00C702D7">
              <w:rPr>
                <w:rFonts w:cs="Times New Roman"/>
                <w:sz w:val="18"/>
                <w:szCs w:val="18"/>
              </w:rPr>
              <w:t>126</w:t>
            </w:r>
          </w:p>
        </w:tc>
        <w:tc>
          <w:tcPr>
            <w:tcW w:w="1145" w:type="pct"/>
            <w:tcBorders>
              <w:top w:val="nil"/>
              <w:left w:val="nil"/>
              <w:bottom w:val="nil"/>
              <w:right w:val="nil"/>
            </w:tcBorders>
            <w:vAlign w:val="center"/>
          </w:tcPr>
          <w:p w14:paraId="25A0F700" w14:textId="77777777" w:rsidR="00D457FC" w:rsidRPr="00C702D7" w:rsidRDefault="00D457FC" w:rsidP="00B718EA">
            <w:pPr>
              <w:widowControl/>
              <w:spacing w:line="240" w:lineRule="auto"/>
              <w:ind w:firstLineChars="0" w:firstLine="357"/>
              <w:jc w:val="center"/>
              <w:rPr>
                <w:rFonts w:cs="Times New Roman"/>
                <w:sz w:val="18"/>
                <w:szCs w:val="18"/>
              </w:rPr>
            </w:pPr>
            <w:r w:rsidRPr="00C702D7">
              <w:rPr>
                <w:rFonts w:cs="Times New Roman"/>
                <w:sz w:val="18"/>
                <w:szCs w:val="18"/>
              </w:rPr>
              <w:t>678</w:t>
            </w:r>
          </w:p>
        </w:tc>
        <w:tc>
          <w:tcPr>
            <w:tcW w:w="1143" w:type="pct"/>
            <w:tcBorders>
              <w:top w:val="nil"/>
              <w:left w:val="nil"/>
              <w:bottom w:val="nil"/>
              <w:right w:val="nil"/>
            </w:tcBorders>
            <w:shd w:val="clear" w:color="auto" w:fill="auto"/>
            <w:noWrap/>
            <w:vAlign w:val="center"/>
          </w:tcPr>
          <w:p w14:paraId="2B307299" w14:textId="77777777" w:rsidR="00D457FC" w:rsidRPr="00C702D7" w:rsidRDefault="00D457FC" w:rsidP="00B718EA">
            <w:pPr>
              <w:widowControl/>
              <w:spacing w:line="240" w:lineRule="auto"/>
              <w:ind w:firstLineChars="0" w:firstLine="357"/>
              <w:jc w:val="center"/>
              <w:rPr>
                <w:rFonts w:cs="Times New Roman"/>
                <w:sz w:val="18"/>
                <w:szCs w:val="18"/>
              </w:rPr>
            </w:pPr>
            <w:r w:rsidRPr="00C702D7">
              <w:rPr>
                <w:rFonts w:cs="Times New Roman"/>
                <w:sz w:val="18"/>
                <w:szCs w:val="18"/>
              </w:rPr>
              <w:t>4448</w:t>
            </w:r>
          </w:p>
        </w:tc>
      </w:tr>
      <w:tr w:rsidR="00C702D7" w:rsidRPr="00C702D7" w14:paraId="4DE162AF" w14:textId="77777777" w:rsidTr="00B718EA">
        <w:trPr>
          <w:trHeight w:val="280"/>
          <w:jc w:val="center"/>
        </w:trPr>
        <w:tc>
          <w:tcPr>
            <w:tcW w:w="1568" w:type="pct"/>
            <w:tcBorders>
              <w:top w:val="nil"/>
              <w:bottom w:val="single" w:sz="12" w:space="0" w:color="auto"/>
              <w:right w:val="nil"/>
            </w:tcBorders>
            <w:shd w:val="clear" w:color="auto" w:fill="auto"/>
            <w:noWrap/>
            <w:vAlign w:val="center"/>
          </w:tcPr>
          <w:p w14:paraId="00921CA7" w14:textId="77777777" w:rsidR="00D457FC" w:rsidRPr="00C702D7" w:rsidRDefault="00D457FC" w:rsidP="00B718EA">
            <w:pPr>
              <w:widowControl/>
              <w:spacing w:line="240" w:lineRule="auto"/>
              <w:ind w:firstLineChars="0" w:firstLine="357"/>
              <w:jc w:val="center"/>
              <w:rPr>
                <w:rFonts w:cs="Times New Roman"/>
                <w:i/>
                <w:iCs/>
                <w:kern w:val="0"/>
                <w:sz w:val="18"/>
                <w:szCs w:val="18"/>
              </w:rPr>
            </w:pPr>
            <w:r w:rsidRPr="00C702D7">
              <w:rPr>
                <w:rFonts w:cs="Times New Roman"/>
                <w:i/>
                <w:iCs/>
                <w:kern w:val="0"/>
                <w:sz w:val="18"/>
                <w:szCs w:val="18"/>
              </w:rPr>
              <w:t>R</w:t>
            </w:r>
            <w:r w:rsidRPr="00C702D7">
              <w:rPr>
                <w:rFonts w:cs="Times New Roman"/>
                <w:i/>
                <w:iCs/>
                <w:kern w:val="0"/>
                <w:sz w:val="18"/>
                <w:szCs w:val="18"/>
                <w:vertAlign w:val="superscript"/>
              </w:rPr>
              <w:t>2</w:t>
            </w:r>
          </w:p>
        </w:tc>
        <w:tc>
          <w:tcPr>
            <w:tcW w:w="1144" w:type="pct"/>
            <w:tcBorders>
              <w:top w:val="nil"/>
              <w:left w:val="nil"/>
              <w:bottom w:val="single" w:sz="12" w:space="0" w:color="auto"/>
              <w:right w:val="nil"/>
            </w:tcBorders>
            <w:vAlign w:val="center"/>
          </w:tcPr>
          <w:p w14:paraId="0061EF24" w14:textId="77777777" w:rsidR="00D457FC" w:rsidRPr="00C702D7" w:rsidRDefault="00D457FC" w:rsidP="00B718EA">
            <w:pPr>
              <w:widowControl/>
              <w:spacing w:line="240" w:lineRule="auto"/>
              <w:ind w:firstLineChars="0" w:firstLine="357"/>
              <w:jc w:val="center"/>
              <w:rPr>
                <w:rFonts w:cs="Times New Roman"/>
                <w:sz w:val="18"/>
                <w:szCs w:val="18"/>
              </w:rPr>
            </w:pPr>
            <w:r w:rsidRPr="00C702D7">
              <w:rPr>
                <w:rFonts w:cs="Times New Roman" w:hint="eastAsia"/>
                <w:sz w:val="18"/>
                <w:szCs w:val="18"/>
              </w:rPr>
              <w:t>0</w:t>
            </w:r>
            <w:r w:rsidRPr="00C702D7">
              <w:rPr>
                <w:rFonts w:cs="Times New Roman"/>
                <w:sz w:val="18"/>
                <w:szCs w:val="18"/>
              </w:rPr>
              <w:t>.258</w:t>
            </w:r>
          </w:p>
        </w:tc>
        <w:tc>
          <w:tcPr>
            <w:tcW w:w="1145" w:type="pct"/>
            <w:tcBorders>
              <w:top w:val="nil"/>
              <w:left w:val="nil"/>
              <w:bottom w:val="single" w:sz="12" w:space="0" w:color="auto"/>
              <w:right w:val="nil"/>
            </w:tcBorders>
            <w:vAlign w:val="center"/>
          </w:tcPr>
          <w:p w14:paraId="481FDB98" w14:textId="77777777" w:rsidR="00D457FC" w:rsidRPr="00C702D7" w:rsidRDefault="00D457FC" w:rsidP="00B718EA">
            <w:pPr>
              <w:widowControl/>
              <w:spacing w:line="240" w:lineRule="auto"/>
              <w:ind w:firstLineChars="0" w:firstLine="357"/>
              <w:jc w:val="center"/>
              <w:rPr>
                <w:rFonts w:cs="Times New Roman"/>
                <w:sz w:val="18"/>
                <w:szCs w:val="18"/>
              </w:rPr>
            </w:pPr>
            <w:r w:rsidRPr="00C702D7">
              <w:rPr>
                <w:rFonts w:cs="Times New Roman"/>
                <w:sz w:val="18"/>
                <w:szCs w:val="18"/>
              </w:rPr>
              <w:t>0.282</w:t>
            </w:r>
          </w:p>
        </w:tc>
        <w:tc>
          <w:tcPr>
            <w:tcW w:w="1143" w:type="pct"/>
            <w:tcBorders>
              <w:top w:val="nil"/>
              <w:left w:val="nil"/>
              <w:bottom w:val="single" w:sz="12" w:space="0" w:color="auto"/>
              <w:right w:val="nil"/>
            </w:tcBorders>
            <w:shd w:val="clear" w:color="auto" w:fill="auto"/>
            <w:noWrap/>
            <w:vAlign w:val="center"/>
          </w:tcPr>
          <w:p w14:paraId="09383F4F" w14:textId="77777777" w:rsidR="00D457FC" w:rsidRPr="00C702D7" w:rsidRDefault="00D457FC" w:rsidP="00B718EA">
            <w:pPr>
              <w:widowControl/>
              <w:spacing w:line="240" w:lineRule="auto"/>
              <w:ind w:firstLineChars="0" w:firstLine="357"/>
              <w:jc w:val="center"/>
              <w:rPr>
                <w:rFonts w:cs="Times New Roman"/>
                <w:sz w:val="18"/>
                <w:szCs w:val="18"/>
              </w:rPr>
            </w:pPr>
            <w:r w:rsidRPr="00C702D7">
              <w:rPr>
                <w:rFonts w:cs="Times New Roman" w:hint="eastAsia"/>
                <w:sz w:val="18"/>
                <w:szCs w:val="18"/>
              </w:rPr>
              <w:t>0</w:t>
            </w:r>
            <w:r w:rsidRPr="00C702D7">
              <w:rPr>
                <w:rFonts w:cs="Times New Roman"/>
                <w:sz w:val="18"/>
                <w:szCs w:val="18"/>
              </w:rPr>
              <w:t>.289</w:t>
            </w:r>
          </w:p>
        </w:tc>
      </w:tr>
    </w:tbl>
    <w:p w14:paraId="5A93BB20" w14:textId="77777777" w:rsidR="00D457FC" w:rsidRPr="00C702D7" w:rsidRDefault="00D457FC" w:rsidP="00D457FC">
      <w:pPr>
        <w:spacing w:line="240" w:lineRule="auto"/>
        <w:ind w:firstLine="360"/>
      </w:pPr>
      <w:r w:rsidRPr="00C702D7">
        <w:rPr>
          <w:rFonts w:hint="eastAsia"/>
          <w:sz w:val="18"/>
          <w:szCs w:val="20"/>
        </w:rPr>
        <w:t>注：中国碳核算数据库（</w:t>
      </w:r>
      <w:r w:rsidRPr="00C702D7">
        <w:rPr>
          <w:rFonts w:hint="eastAsia"/>
          <w:sz w:val="18"/>
          <w:szCs w:val="20"/>
        </w:rPr>
        <w:t>CEADs</w:t>
      </w:r>
      <w:r w:rsidRPr="00C702D7">
        <w:rPr>
          <w:rFonts w:hint="eastAsia"/>
          <w:sz w:val="18"/>
          <w:szCs w:val="20"/>
        </w:rPr>
        <w:t>）仅统计截至</w:t>
      </w:r>
      <w:r w:rsidRPr="00C702D7">
        <w:rPr>
          <w:rFonts w:hint="eastAsia"/>
          <w:sz w:val="18"/>
          <w:szCs w:val="20"/>
        </w:rPr>
        <w:t>2</w:t>
      </w:r>
      <w:r w:rsidRPr="00C702D7">
        <w:rPr>
          <w:sz w:val="18"/>
          <w:szCs w:val="20"/>
        </w:rPr>
        <w:t>019</w:t>
      </w:r>
      <w:r w:rsidRPr="00C702D7">
        <w:rPr>
          <w:rFonts w:hint="eastAsia"/>
          <w:sz w:val="18"/>
          <w:szCs w:val="20"/>
        </w:rPr>
        <w:t>年地级市碳排放强度数据，故样本量较前文有所差异。</w:t>
      </w:r>
    </w:p>
    <w:p w14:paraId="707E9583" w14:textId="77777777" w:rsidR="00D457FC" w:rsidRPr="00C702D7" w:rsidRDefault="00D457FC" w:rsidP="009F2FCC">
      <w:pPr>
        <w:spacing w:line="400" w:lineRule="exact"/>
        <w:ind w:firstLine="420"/>
        <w:outlineLvl w:val="0"/>
        <w:rPr>
          <w:rFonts w:ascii="楷体" w:eastAsia="楷体" w:hAnsi="楷体" w:cs="Times New Roman"/>
          <w:bCs/>
          <w:szCs w:val="21"/>
        </w:rPr>
      </w:pPr>
      <w:r w:rsidRPr="00C702D7">
        <w:rPr>
          <w:rFonts w:ascii="楷体" w:eastAsia="楷体" w:hAnsi="楷体" w:cs="Times New Roman" w:hint="eastAsia"/>
          <w:bCs/>
          <w:szCs w:val="21"/>
        </w:rPr>
        <w:t>（二）基于碳转移的差异性分析</w:t>
      </w:r>
    </w:p>
    <w:p w14:paraId="433AA918" w14:textId="77777777" w:rsidR="00D457FC" w:rsidRPr="00C702D7" w:rsidRDefault="00D457FC" w:rsidP="00D457FC">
      <w:pPr>
        <w:spacing w:line="400" w:lineRule="exact"/>
        <w:ind w:firstLine="420"/>
      </w:pPr>
      <w:r w:rsidRPr="00C702D7">
        <w:rPr>
          <w:rFonts w:hint="eastAsia"/>
        </w:rPr>
        <w:t>近年来，随着产业结构转型以及环境规制要求不断加强，越来越多研究表明我国不同地区间存在碳转移现象，即由于地区间产品贸易以及产业转移，部分东部沿海省份碳责任逐渐转入中部、西北地区。那么，根据前文的分析结果，机构投资者绿色关注呈现的行业及地区的减碳治理溢出效应是否在碳转入地区和碳转出地区呈现差异性的减碳效果？能否有助于</w:t>
      </w:r>
      <w:bookmarkStart w:id="13" w:name="_Hlk117461037"/>
      <w:r w:rsidRPr="00C702D7">
        <w:rPr>
          <w:rFonts w:hint="eastAsia"/>
        </w:rPr>
        <w:t>缓解东西部的“污染天堂”效应</w:t>
      </w:r>
      <w:bookmarkEnd w:id="13"/>
      <w:r w:rsidRPr="00C702D7">
        <w:rPr>
          <w:rFonts w:hint="eastAsia"/>
        </w:rPr>
        <w:t>？对此，本文在王育宝和何宇鹏（</w:t>
      </w:r>
      <w:r w:rsidRPr="00C702D7">
        <w:rPr>
          <w:rFonts w:hint="eastAsia"/>
        </w:rPr>
        <w:t>2</w:t>
      </w:r>
      <w:r w:rsidRPr="00C702D7">
        <w:t>021</w:t>
      </w:r>
      <w:r w:rsidRPr="00C702D7">
        <w:rPr>
          <w:rFonts w:hint="eastAsia"/>
        </w:rPr>
        <w:t>）利用我国区域投入产出数据和</w:t>
      </w:r>
      <w:r w:rsidRPr="00C702D7">
        <w:rPr>
          <w:rFonts w:hint="eastAsia"/>
        </w:rPr>
        <w:t xml:space="preserve"> MRIO </w:t>
      </w:r>
      <w:r w:rsidRPr="00C702D7">
        <w:rPr>
          <w:rFonts w:hint="eastAsia"/>
        </w:rPr>
        <w:t>模型测算的</w:t>
      </w:r>
      <w:r w:rsidRPr="00C702D7">
        <w:t>省域净碳转移量</w:t>
      </w:r>
      <w:r w:rsidRPr="00C702D7">
        <w:rPr>
          <w:rFonts w:hint="eastAsia"/>
        </w:rPr>
        <w:t>结果的基础上，区分净碳转入地区</w:t>
      </w:r>
      <w:r w:rsidRPr="00C702D7">
        <w:rPr>
          <w:rFonts w:hint="eastAsia"/>
        </w:rPr>
        <w:lastRenderedPageBreak/>
        <w:t>和净碳转出地区，以考察碳转移对机构投资者绿色关注</w:t>
      </w:r>
      <w:r w:rsidR="00887877" w:rsidRPr="00C702D7">
        <w:rPr>
          <w:rFonts w:hint="eastAsia"/>
        </w:rPr>
        <w:t>减排效应</w:t>
      </w:r>
      <w:r w:rsidRPr="00C702D7">
        <w:rPr>
          <w:rFonts w:hint="eastAsia"/>
        </w:rPr>
        <w:t>的差异影响，</w:t>
      </w:r>
      <w:r w:rsidR="00AC3B62" w:rsidRPr="00C702D7">
        <w:rPr>
          <w:rFonts w:hint="eastAsia"/>
        </w:rPr>
        <w:t>具体见</w:t>
      </w:r>
      <w:r w:rsidRPr="00C702D7">
        <w:rPr>
          <w:rFonts w:hint="eastAsia"/>
        </w:rPr>
        <w:t>表</w:t>
      </w:r>
      <w:r w:rsidRPr="00C702D7">
        <w:t>8</w:t>
      </w:r>
      <w:r w:rsidRPr="00C702D7">
        <w:rPr>
          <w:rFonts w:hint="eastAsia"/>
        </w:rPr>
        <w:t>。</w:t>
      </w:r>
    </w:p>
    <w:p w14:paraId="3C75C3C7" w14:textId="77777777" w:rsidR="00D457FC" w:rsidRPr="00C702D7" w:rsidRDefault="00D457FC" w:rsidP="00D457FC">
      <w:pPr>
        <w:spacing w:line="400" w:lineRule="exact"/>
        <w:ind w:firstLine="420"/>
        <w:rPr>
          <w:rFonts w:cs="Times New Roman"/>
          <w:szCs w:val="21"/>
        </w:rPr>
      </w:pPr>
      <w:r w:rsidRPr="00C702D7">
        <w:rPr>
          <w:rFonts w:hint="eastAsia"/>
        </w:rPr>
        <w:t>表</w:t>
      </w:r>
      <w:r w:rsidRPr="00C702D7">
        <w:t>8</w:t>
      </w:r>
      <w:r w:rsidRPr="00C702D7">
        <w:rPr>
          <w:rFonts w:hint="eastAsia"/>
        </w:rPr>
        <w:t>汇报了基于碳转移的分组回归结果，其中第（</w:t>
      </w:r>
      <w:r w:rsidRPr="00C702D7">
        <w:rPr>
          <w:rFonts w:hint="eastAsia"/>
        </w:rPr>
        <w:t>1</w:t>
      </w:r>
      <w:r w:rsidRPr="00C702D7">
        <w:rPr>
          <w:rFonts w:hint="eastAsia"/>
        </w:rPr>
        <w:t>）列为净碳转入地区分组的回归结果，</w:t>
      </w:r>
      <w:r w:rsidRPr="00C702D7">
        <w:rPr>
          <w:rFonts w:cs="Times New Roman" w:hint="eastAsia"/>
          <w:szCs w:val="21"/>
        </w:rPr>
        <w:t>第（</w:t>
      </w:r>
      <w:r w:rsidRPr="00C702D7">
        <w:rPr>
          <w:rFonts w:cs="Times New Roman" w:hint="eastAsia"/>
          <w:szCs w:val="21"/>
        </w:rPr>
        <w:t>2</w:t>
      </w:r>
      <w:r w:rsidRPr="00C702D7">
        <w:rPr>
          <w:rFonts w:cs="Times New Roman" w:hint="eastAsia"/>
          <w:szCs w:val="21"/>
        </w:rPr>
        <w:t>）列为净碳转出地区分组的回归结果。据表</w:t>
      </w:r>
      <w:r w:rsidRPr="00C702D7">
        <w:rPr>
          <w:rFonts w:cs="Times New Roman" w:hint="eastAsia"/>
          <w:szCs w:val="21"/>
        </w:rPr>
        <w:t>8</w:t>
      </w:r>
      <w:r w:rsidRPr="00C702D7">
        <w:rPr>
          <w:rFonts w:cs="Times New Roman" w:hint="eastAsia"/>
          <w:szCs w:val="21"/>
        </w:rPr>
        <w:t>第（</w:t>
      </w:r>
      <w:r w:rsidRPr="00C702D7">
        <w:rPr>
          <w:rFonts w:cs="Times New Roman" w:hint="eastAsia"/>
          <w:szCs w:val="21"/>
        </w:rPr>
        <w:t>1</w:t>
      </w:r>
      <w:r w:rsidRPr="00C702D7">
        <w:rPr>
          <w:rFonts w:cs="Times New Roman" w:hint="eastAsia"/>
          <w:szCs w:val="21"/>
        </w:rPr>
        <w:t>）列所示，</w:t>
      </w:r>
      <w:r w:rsidRPr="00C702D7">
        <w:rPr>
          <w:rFonts w:hint="eastAsia"/>
        </w:rPr>
        <w:t>机构投资者绿色关注度（</w:t>
      </w:r>
      <w:r w:rsidRPr="00C702D7">
        <w:rPr>
          <w:rFonts w:hint="eastAsia"/>
          <w:i/>
          <w:iCs/>
        </w:rPr>
        <w:t>G</w:t>
      </w:r>
      <w:r w:rsidRPr="00C702D7">
        <w:rPr>
          <w:i/>
          <w:iCs/>
        </w:rPr>
        <w:t>atten</w:t>
      </w:r>
      <w:r w:rsidRPr="00C702D7">
        <w:rPr>
          <w:rFonts w:hint="eastAsia"/>
        </w:rPr>
        <w:t>）对地区碳排放强度（</w:t>
      </w:r>
      <w:proofErr w:type="spellStart"/>
      <w:r w:rsidRPr="00C702D7">
        <w:rPr>
          <w:rFonts w:hint="eastAsia"/>
          <w:i/>
          <w:iCs/>
        </w:rPr>
        <w:t>Cmiss_city</w:t>
      </w:r>
      <w:proofErr w:type="spellEnd"/>
      <w:r w:rsidRPr="00C702D7">
        <w:rPr>
          <w:rFonts w:hint="eastAsia"/>
        </w:rPr>
        <w:t>）</w:t>
      </w:r>
      <w:r w:rsidRPr="00C702D7">
        <w:rPr>
          <w:rFonts w:cs="Times New Roman" w:hint="eastAsia"/>
          <w:szCs w:val="21"/>
        </w:rPr>
        <w:t>的回归系数为</w:t>
      </w:r>
      <w:r w:rsidRPr="00C702D7">
        <w:rPr>
          <w:rFonts w:cs="Times New Roman" w:hint="eastAsia"/>
          <w:szCs w:val="21"/>
        </w:rPr>
        <w:t>-</w:t>
      </w:r>
      <w:r w:rsidRPr="00C702D7">
        <w:rPr>
          <w:rFonts w:cs="Times New Roman"/>
          <w:szCs w:val="21"/>
        </w:rPr>
        <w:t>0.1196</w:t>
      </w:r>
      <w:r w:rsidRPr="00C702D7">
        <w:rPr>
          <w:rFonts w:cs="Times New Roman" w:hint="eastAsia"/>
          <w:szCs w:val="21"/>
        </w:rPr>
        <w:t>，在</w:t>
      </w:r>
      <w:r w:rsidRPr="00C702D7">
        <w:rPr>
          <w:rFonts w:cs="Times New Roman" w:hint="eastAsia"/>
          <w:szCs w:val="21"/>
        </w:rPr>
        <w:t>5</w:t>
      </w:r>
      <w:r w:rsidRPr="00C702D7">
        <w:rPr>
          <w:rFonts w:cs="Times New Roman"/>
          <w:szCs w:val="21"/>
        </w:rPr>
        <w:t>%</w:t>
      </w:r>
      <w:r w:rsidRPr="00C702D7">
        <w:rPr>
          <w:rFonts w:cs="Times New Roman" w:hint="eastAsia"/>
          <w:szCs w:val="21"/>
        </w:rPr>
        <w:t>的水平下显著。第（</w:t>
      </w:r>
      <w:r w:rsidRPr="00C702D7">
        <w:rPr>
          <w:rFonts w:cs="Times New Roman" w:hint="eastAsia"/>
          <w:szCs w:val="21"/>
        </w:rPr>
        <w:t>2</w:t>
      </w:r>
      <w:r w:rsidRPr="00C702D7">
        <w:rPr>
          <w:rFonts w:cs="Times New Roman" w:hint="eastAsia"/>
          <w:szCs w:val="21"/>
        </w:rPr>
        <w:t>）列为净碳转出地区分组的回归结果中，</w:t>
      </w:r>
      <w:r w:rsidRPr="00C702D7">
        <w:rPr>
          <w:rFonts w:hint="eastAsia"/>
        </w:rPr>
        <w:t>机构投资者绿色关注度（</w:t>
      </w:r>
      <w:r w:rsidRPr="00C702D7">
        <w:rPr>
          <w:rFonts w:hint="eastAsia"/>
          <w:i/>
          <w:iCs/>
        </w:rPr>
        <w:t>G</w:t>
      </w:r>
      <w:r w:rsidRPr="00C702D7">
        <w:rPr>
          <w:i/>
          <w:iCs/>
        </w:rPr>
        <w:t>atten</w:t>
      </w:r>
      <w:r w:rsidRPr="00C702D7">
        <w:rPr>
          <w:rFonts w:hint="eastAsia"/>
        </w:rPr>
        <w:t>）对地区碳排放强度（</w:t>
      </w:r>
      <w:proofErr w:type="spellStart"/>
      <w:r w:rsidRPr="00C702D7">
        <w:rPr>
          <w:rFonts w:hint="eastAsia"/>
          <w:i/>
          <w:iCs/>
        </w:rPr>
        <w:t>Cmiss_city</w:t>
      </w:r>
      <w:proofErr w:type="spellEnd"/>
      <w:r w:rsidRPr="00C702D7">
        <w:rPr>
          <w:rFonts w:hint="eastAsia"/>
        </w:rPr>
        <w:t>）</w:t>
      </w:r>
      <w:r w:rsidRPr="00C702D7">
        <w:rPr>
          <w:rFonts w:cs="Times New Roman" w:hint="eastAsia"/>
          <w:szCs w:val="21"/>
        </w:rPr>
        <w:t>的回归系数为</w:t>
      </w:r>
      <w:r w:rsidRPr="00C702D7">
        <w:rPr>
          <w:rFonts w:cs="Times New Roman"/>
          <w:szCs w:val="21"/>
        </w:rPr>
        <w:t>0.0059</w:t>
      </w:r>
      <w:r w:rsidRPr="00C702D7">
        <w:rPr>
          <w:rFonts w:cs="Times New Roman" w:hint="eastAsia"/>
          <w:szCs w:val="21"/>
        </w:rPr>
        <w:t>，并不显著。上述结果表明，相比净碳转出地区，机构投资者绿色关注在净碳转入地区发挥了更为显著的</w:t>
      </w:r>
      <w:r w:rsidR="00887877" w:rsidRPr="00C702D7">
        <w:rPr>
          <w:rFonts w:cs="Times New Roman" w:hint="eastAsia"/>
          <w:szCs w:val="21"/>
        </w:rPr>
        <w:t>减排效应</w:t>
      </w:r>
      <w:r w:rsidRPr="00C702D7">
        <w:rPr>
          <w:rFonts w:cs="Times New Roman" w:hint="eastAsia"/>
          <w:szCs w:val="21"/>
        </w:rPr>
        <w:t>，有助于缓解对于碳转入地区的“污染天堂”效应。</w:t>
      </w:r>
    </w:p>
    <w:p w14:paraId="0CE47CC4" w14:textId="77777777" w:rsidR="00D457FC" w:rsidRPr="00C702D7" w:rsidRDefault="00D457FC" w:rsidP="00D457FC">
      <w:pPr>
        <w:spacing w:line="400" w:lineRule="exact"/>
        <w:ind w:firstLineChars="0" w:firstLine="0"/>
        <w:jc w:val="center"/>
        <w:rPr>
          <w:rFonts w:ascii="黑体" w:eastAsia="黑体" w:hAnsi="黑体" w:cs="Times New Roman"/>
          <w:bCs/>
          <w:sz w:val="18"/>
          <w:szCs w:val="18"/>
        </w:rPr>
      </w:pPr>
      <w:r w:rsidRPr="00C702D7">
        <w:rPr>
          <w:rFonts w:ascii="黑体" w:eastAsia="黑体" w:hAnsi="黑体" w:cs="Times New Roman" w:hint="eastAsia"/>
          <w:bCs/>
          <w:szCs w:val="21"/>
        </w:rPr>
        <w:t>表</w:t>
      </w:r>
      <w:r w:rsidRPr="00C702D7">
        <w:rPr>
          <w:rFonts w:eastAsia="黑体" w:cs="Times New Roman"/>
          <w:b/>
          <w:szCs w:val="21"/>
        </w:rPr>
        <w:t>8</w:t>
      </w:r>
      <w:r w:rsidRPr="00C702D7">
        <w:rPr>
          <w:rFonts w:ascii="黑体" w:eastAsia="黑体" w:hAnsi="黑体" w:cs="Times New Roman" w:hint="eastAsia"/>
          <w:bCs/>
          <w:szCs w:val="21"/>
        </w:rPr>
        <w:t>基于碳转移的差异性分析结果</w:t>
      </w:r>
    </w:p>
    <w:tbl>
      <w:tblPr>
        <w:tblW w:w="4794"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72"/>
        <w:gridCol w:w="3273"/>
        <w:gridCol w:w="2226"/>
      </w:tblGrid>
      <w:tr w:rsidR="00C702D7" w:rsidRPr="00C702D7" w14:paraId="097E8918" w14:textId="77777777" w:rsidTr="00B718EA">
        <w:trPr>
          <w:trHeight w:val="280"/>
          <w:jc w:val="center"/>
        </w:trPr>
        <w:tc>
          <w:tcPr>
            <w:tcW w:w="1635" w:type="pct"/>
            <w:vMerge w:val="restart"/>
            <w:tcBorders>
              <w:top w:val="single" w:sz="12" w:space="0" w:color="auto"/>
              <w:right w:val="nil"/>
            </w:tcBorders>
            <w:shd w:val="clear" w:color="auto" w:fill="auto"/>
            <w:noWrap/>
            <w:vAlign w:val="center"/>
            <w:hideMark/>
          </w:tcPr>
          <w:p w14:paraId="34932C04" w14:textId="77777777" w:rsidR="00D457FC" w:rsidRPr="00C702D7" w:rsidRDefault="00D457FC" w:rsidP="00B718EA">
            <w:pPr>
              <w:spacing w:line="240" w:lineRule="auto"/>
              <w:ind w:firstLineChars="0" w:firstLine="357"/>
              <w:jc w:val="center"/>
              <w:rPr>
                <w:rFonts w:cs="Times New Roman"/>
                <w:kern w:val="0"/>
                <w:sz w:val="18"/>
                <w:szCs w:val="18"/>
              </w:rPr>
            </w:pPr>
            <w:r w:rsidRPr="00C702D7">
              <w:rPr>
                <w:rFonts w:cs="Times New Roman"/>
                <w:kern w:val="0"/>
                <w:sz w:val="18"/>
                <w:szCs w:val="18"/>
              </w:rPr>
              <w:t>变量</w:t>
            </w:r>
          </w:p>
        </w:tc>
        <w:tc>
          <w:tcPr>
            <w:tcW w:w="2003" w:type="pct"/>
            <w:tcBorders>
              <w:top w:val="single" w:sz="12" w:space="0" w:color="auto"/>
              <w:left w:val="nil"/>
              <w:bottom w:val="single" w:sz="4" w:space="0" w:color="auto"/>
              <w:right w:val="nil"/>
            </w:tcBorders>
            <w:vAlign w:val="center"/>
          </w:tcPr>
          <w:p w14:paraId="0D0C73DE" w14:textId="77777777" w:rsidR="00D457FC" w:rsidRPr="00C702D7" w:rsidRDefault="00D457FC" w:rsidP="00B718EA">
            <w:pPr>
              <w:widowControl/>
              <w:spacing w:line="240" w:lineRule="auto"/>
              <w:ind w:firstLineChars="0" w:firstLine="357"/>
              <w:jc w:val="center"/>
              <w:rPr>
                <w:rFonts w:cs="Times New Roman"/>
                <w:kern w:val="0"/>
                <w:sz w:val="18"/>
                <w:szCs w:val="18"/>
              </w:rPr>
            </w:pPr>
            <w:r w:rsidRPr="00C702D7">
              <w:rPr>
                <w:rFonts w:cs="Times New Roman" w:hint="eastAsia"/>
                <w:kern w:val="0"/>
                <w:sz w:val="18"/>
                <w:szCs w:val="18"/>
              </w:rPr>
              <w:t>(</w:t>
            </w:r>
            <w:r w:rsidRPr="00C702D7">
              <w:rPr>
                <w:rFonts w:cs="Times New Roman"/>
                <w:kern w:val="0"/>
                <w:sz w:val="18"/>
                <w:szCs w:val="18"/>
              </w:rPr>
              <w:t>1)</w:t>
            </w:r>
          </w:p>
        </w:tc>
        <w:tc>
          <w:tcPr>
            <w:tcW w:w="1362" w:type="pct"/>
            <w:tcBorders>
              <w:top w:val="single" w:sz="12" w:space="0" w:color="auto"/>
              <w:left w:val="nil"/>
              <w:bottom w:val="single" w:sz="4" w:space="0" w:color="auto"/>
              <w:right w:val="nil"/>
            </w:tcBorders>
            <w:vAlign w:val="center"/>
          </w:tcPr>
          <w:p w14:paraId="31C5BA08" w14:textId="77777777" w:rsidR="00D457FC" w:rsidRPr="00C702D7" w:rsidRDefault="00D457FC" w:rsidP="00B718EA">
            <w:pPr>
              <w:widowControl/>
              <w:spacing w:line="240" w:lineRule="auto"/>
              <w:ind w:firstLineChars="0" w:firstLine="357"/>
              <w:jc w:val="center"/>
              <w:rPr>
                <w:rFonts w:cs="Times New Roman"/>
                <w:kern w:val="0"/>
                <w:sz w:val="18"/>
                <w:szCs w:val="18"/>
              </w:rPr>
            </w:pPr>
            <w:r w:rsidRPr="00C702D7">
              <w:rPr>
                <w:rFonts w:cs="Times New Roman" w:hint="eastAsia"/>
                <w:kern w:val="0"/>
                <w:sz w:val="18"/>
                <w:szCs w:val="18"/>
              </w:rPr>
              <w:t>(</w:t>
            </w:r>
            <w:r w:rsidRPr="00C702D7">
              <w:rPr>
                <w:rFonts w:cs="Times New Roman"/>
                <w:kern w:val="0"/>
                <w:sz w:val="18"/>
                <w:szCs w:val="18"/>
              </w:rPr>
              <w:t>2)</w:t>
            </w:r>
          </w:p>
        </w:tc>
      </w:tr>
      <w:tr w:rsidR="00C702D7" w:rsidRPr="00C702D7" w14:paraId="765FA010" w14:textId="77777777" w:rsidTr="00B718EA">
        <w:trPr>
          <w:trHeight w:val="280"/>
          <w:jc w:val="center"/>
        </w:trPr>
        <w:tc>
          <w:tcPr>
            <w:tcW w:w="1635" w:type="pct"/>
            <w:vMerge/>
            <w:tcBorders>
              <w:right w:val="nil"/>
            </w:tcBorders>
            <w:shd w:val="clear" w:color="auto" w:fill="auto"/>
            <w:noWrap/>
            <w:vAlign w:val="center"/>
          </w:tcPr>
          <w:p w14:paraId="565E1C6F" w14:textId="77777777" w:rsidR="00D457FC" w:rsidRPr="00C702D7" w:rsidRDefault="00D457FC" w:rsidP="00B718EA">
            <w:pPr>
              <w:spacing w:line="240" w:lineRule="auto"/>
              <w:ind w:firstLineChars="0" w:firstLine="357"/>
              <w:jc w:val="center"/>
              <w:rPr>
                <w:rFonts w:cs="Times New Roman"/>
                <w:kern w:val="0"/>
                <w:sz w:val="18"/>
                <w:szCs w:val="18"/>
              </w:rPr>
            </w:pPr>
          </w:p>
        </w:tc>
        <w:tc>
          <w:tcPr>
            <w:tcW w:w="2003" w:type="pct"/>
            <w:tcBorders>
              <w:top w:val="single" w:sz="4" w:space="0" w:color="auto"/>
              <w:left w:val="nil"/>
              <w:right w:val="nil"/>
            </w:tcBorders>
            <w:vAlign w:val="center"/>
          </w:tcPr>
          <w:p w14:paraId="7375A96F" w14:textId="77777777" w:rsidR="00D457FC" w:rsidRPr="00C702D7" w:rsidRDefault="00D457FC" w:rsidP="00B718EA">
            <w:pPr>
              <w:widowControl/>
              <w:spacing w:line="240" w:lineRule="auto"/>
              <w:ind w:firstLineChars="0" w:firstLine="357"/>
              <w:jc w:val="center"/>
              <w:rPr>
                <w:sz w:val="18"/>
                <w:szCs w:val="18"/>
              </w:rPr>
            </w:pPr>
            <w:proofErr w:type="spellStart"/>
            <w:r w:rsidRPr="00C702D7">
              <w:rPr>
                <w:i/>
                <w:iCs/>
                <w:sz w:val="18"/>
                <w:szCs w:val="18"/>
              </w:rPr>
              <w:t>Cmiss_city</w:t>
            </w:r>
            <w:proofErr w:type="spellEnd"/>
          </w:p>
        </w:tc>
        <w:tc>
          <w:tcPr>
            <w:tcW w:w="1362" w:type="pct"/>
            <w:tcBorders>
              <w:top w:val="single" w:sz="4" w:space="0" w:color="auto"/>
              <w:left w:val="nil"/>
              <w:bottom w:val="single" w:sz="4" w:space="0" w:color="auto"/>
              <w:right w:val="nil"/>
            </w:tcBorders>
            <w:vAlign w:val="center"/>
          </w:tcPr>
          <w:p w14:paraId="03F202BC" w14:textId="77777777" w:rsidR="00D457FC" w:rsidRPr="00C702D7" w:rsidRDefault="00D457FC" w:rsidP="00B718EA">
            <w:pPr>
              <w:widowControl/>
              <w:spacing w:line="240" w:lineRule="auto"/>
              <w:ind w:firstLineChars="0" w:firstLine="357"/>
              <w:jc w:val="center"/>
              <w:rPr>
                <w:sz w:val="18"/>
                <w:szCs w:val="18"/>
              </w:rPr>
            </w:pPr>
            <w:proofErr w:type="spellStart"/>
            <w:r w:rsidRPr="00C702D7">
              <w:rPr>
                <w:i/>
                <w:iCs/>
                <w:sz w:val="18"/>
                <w:szCs w:val="18"/>
              </w:rPr>
              <w:t>Cmiss_city</w:t>
            </w:r>
            <w:proofErr w:type="spellEnd"/>
          </w:p>
        </w:tc>
      </w:tr>
      <w:tr w:rsidR="00C702D7" w:rsidRPr="00C702D7" w14:paraId="7053021F" w14:textId="77777777" w:rsidTr="00B718EA">
        <w:trPr>
          <w:trHeight w:val="280"/>
          <w:jc w:val="center"/>
        </w:trPr>
        <w:tc>
          <w:tcPr>
            <w:tcW w:w="1635" w:type="pct"/>
            <w:vMerge/>
            <w:tcBorders>
              <w:right w:val="nil"/>
            </w:tcBorders>
            <w:shd w:val="clear" w:color="auto" w:fill="auto"/>
            <w:noWrap/>
            <w:vAlign w:val="center"/>
          </w:tcPr>
          <w:p w14:paraId="4D8C87BD" w14:textId="77777777" w:rsidR="00D457FC" w:rsidRPr="00C702D7" w:rsidRDefault="00D457FC" w:rsidP="00B718EA">
            <w:pPr>
              <w:spacing w:line="240" w:lineRule="auto"/>
              <w:ind w:firstLineChars="0" w:firstLine="357"/>
              <w:jc w:val="center"/>
              <w:rPr>
                <w:rFonts w:cs="Times New Roman"/>
                <w:kern w:val="0"/>
                <w:sz w:val="18"/>
                <w:szCs w:val="18"/>
              </w:rPr>
            </w:pPr>
          </w:p>
        </w:tc>
        <w:tc>
          <w:tcPr>
            <w:tcW w:w="2003" w:type="pct"/>
            <w:tcBorders>
              <w:top w:val="single" w:sz="4" w:space="0" w:color="auto"/>
              <w:left w:val="nil"/>
              <w:right w:val="nil"/>
            </w:tcBorders>
            <w:vAlign w:val="center"/>
          </w:tcPr>
          <w:p w14:paraId="2340364D" w14:textId="77777777" w:rsidR="00D457FC" w:rsidRPr="00C702D7" w:rsidRDefault="00D457FC" w:rsidP="00B718EA">
            <w:pPr>
              <w:widowControl/>
              <w:spacing w:line="240" w:lineRule="auto"/>
              <w:ind w:firstLineChars="0" w:firstLine="357"/>
              <w:jc w:val="center"/>
              <w:rPr>
                <w:sz w:val="18"/>
                <w:szCs w:val="18"/>
              </w:rPr>
            </w:pPr>
            <w:r w:rsidRPr="00C702D7">
              <w:rPr>
                <w:rFonts w:hint="eastAsia"/>
                <w:sz w:val="18"/>
                <w:szCs w:val="18"/>
              </w:rPr>
              <w:t>净碳转入地区</w:t>
            </w:r>
          </w:p>
        </w:tc>
        <w:tc>
          <w:tcPr>
            <w:tcW w:w="1362" w:type="pct"/>
            <w:tcBorders>
              <w:top w:val="single" w:sz="4" w:space="0" w:color="auto"/>
              <w:left w:val="nil"/>
              <w:bottom w:val="single" w:sz="4" w:space="0" w:color="auto"/>
              <w:right w:val="nil"/>
            </w:tcBorders>
            <w:vAlign w:val="center"/>
          </w:tcPr>
          <w:p w14:paraId="716FFD3D" w14:textId="77777777" w:rsidR="00D457FC" w:rsidRPr="00C702D7" w:rsidRDefault="00D457FC" w:rsidP="00B718EA">
            <w:pPr>
              <w:widowControl/>
              <w:spacing w:line="240" w:lineRule="auto"/>
              <w:ind w:firstLineChars="0" w:firstLine="357"/>
              <w:jc w:val="center"/>
              <w:rPr>
                <w:sz w:val="18"/>
                <w:szCs w:val="18"/>
              </w:rPr>
            </w:pPr>
            <w:r w:rsidRPr="00C702D7">
              <w:rPr>
                <w:rFonts w:hint="eastAsia"/>
                <w:sz w:val="18"/>
                <w:szCs w:val="18"/>
              </w:rPr>
              <w:t>净碳转出地区</w:t>
            </w:r>
          </w:p>
        </w:tc>
      </w:tr>
      <w:tr w:rsidR="00C702D7" w:rsidRPr="00C702D7" w14:paraId="5FF72B5E" w14:textId="77777777" w:rsidTr="00B718EA">
        <w:trPr>
          <w:trHeight w:val="280"/>
          <w:jc w:val="center"/>
        </w:trPr>
        <w:tc>
          <w:tcPr>
            <w:tcW w:w="1635" w:type="pct"/>
            <w:vMerge w:val="restart"/>
            <w:tcBorders>
              <w:top w:val="nil"/>
              <w:right w:val="nil"/>
            </w:tcBorders>
            <w:shd w:val="clear" w:color="auto" w:fill="auto"/>
            <w:noWrap/>
            <w:vAlign w:val="center"/>
          </w:tcPr>
          <w:p w14:paraId="3B854DEE" w14:textId="77777777" w:rsidR="00D457FC" w:rsidRPr="00C702D7" w:rsidRDefault="00D457FC" w:rsidP="00B718EA">
            <w:pPr>
              <w:widowControl/>
              <w:spacing w:line="240" w:lineRule="auto"/>
              <w:ind w:firstLineChars="0" w:firstLine="357"/>
              <w:jc w:val="center"/>
              <w:rPr>
                <w:rFonts w:cs="Times New Roman"/>
                <w:i/>
                <w:iCs/>
                <w:kern w:val="0"/>
                <w:sz w:val="18"/>
                <w:szCs w:val="20"/>
              </w:rPr>
            </w:pPr>
            <w:r w:rsidRPr="00C702D7">
              <w:rPr>
                <w:rFonts w:hint="eastAsia"/>
                <w:i/>
                <w:iCs/>
                <w:sz w:val="18"/>
                <w:szCs w:val="20"/>
              </w:rPr>
              <w:t>G</w:t>
            </w:r>
            <w:r w:rsidRPr="00C702D7">
              <w:rPr>
                <w:i/>
                <w:iCs/>
                <w:sz w:val="18"/>
                <w:szCs w:val="20"/>
              </w:rPr>
              <w:t>atten</w:t>
            </w:r>
          </w:p>
        </w:tc>
        <w:tc>
          <w:tcPr>
            <w:tcW w:w="2003" w:type="pct"/>
            <w:tcBorders>
              <w:top w:val="nil"/>
              <w:left w:val="nil"/>
              <w:bottom w:val="nil"/>
              <w:right w:val="nil"/>
            </w:tcBorders>
            <w:vAlign w:val="bottom"/>
          </w:tcPr>
          <w:p w14:paraId="040B883E" w14:textId="77777777" w:rsidR="00D457FC" w:rsidRPr="00C702D7" w:rsidRDefault="00D457FC" w:rsidP="00B718EA">
            <w:pPr>
              <w:widowControl/>
              <w:spacing w:line="240" w:lineRule="auto"/>
              <w:ind w:firstLineChars="0" w:firstLine="357"/>
              <w:jc w:val="center"/>
              <w:rPr>
                <w:rFonts w:cs="Times New Roman"/>
                <w:sz w:val="18"/>
                <w:szCs w:val="18"/>
              </w:rPr>
            </w:pPr>
            <w:r w:rsidRPr="00C702D7">
              <w:rPr>
                <w:rFonts w:cs="Times New Roman" w:hint="eastAsia"/>
                <w:sz w:val="18"/>
                <w:szCs w:val="18"/>
              </w:rPr>
              <w:t>-0.1196</w:t>
            </w:r>
            <w:r w:rsidRPr="00C702D7">
              <w:rPr>
                <w:rFonts w:cs="Times New Roman" w:hint="eastAsia"/>
                <w:sz w:val="18"/>
                <w:szCs w:val="18"/>
                <w:vertAlign w:val="superscript"/>
              </w:rPr>
              <w:t>**</w:t>
            </w:r>
          </w:p>
        </w:tc>
        <w:tc>
          <w:tcPr>
            <w:tcW w:w="1362" w:type="pct"/>
            <w:tcBorders>
              <w:top w:val="nil"/>
              <w:left w:val="nil"/>
              <w:bottom w:val="nil"/>
              <w:right w:val="nil"/>
            </w:tcBorders>
            <w:shd w:val="clear" w:color="auto" w:fill="auto"/>
            <w:noWrap/>
            <w:vAlign w:val="bottom"/>
          </w:tcPr>
          <w:p w14:paraId="497671C3" w14:textId="77777777" w:rsidR="00D457FC" w:rsidRPr="00C702D7" w:rsidRDefault="00D457FC" w:rsidP="00B718EA">
            <w:pPr>
              <w:widowControl/>
              <w:spacing w:line="240" w:lineRule="auto"/>
              <w:ind w:firstLineChars="0" w:firstLine="357"/>
              <w:jc w:val="center"/>
              <w:rPr>
                <w:rFonts w:cs="Times New Roman"/>
                <w:sz w:val="18"/>
                <w:szCs w:val="18"/>
              </w:rPr>
            </w:pPr>
            <w:r w:rsidRPr="00C702D7">
              <w:rPr>
                <w:rFonts w:cs="Times New Roman" w:hint="eastAsia"/>
                <w:sz w:val="18"/>
                <w:szCs w:val="18"/>
              </w:rPr>
              <w:t>0.0059</w:t>
            </w:r>
          </w:p>
        </w:tc>
      </w:tr>
      <w:tr w:rsidR="00C702D7" w:rsidRPr="00C702D7" w14:paraId="0D976B52" w14:textId="77777777" w:rsidTr="00B718EA">
        <w:trPr>
          <w:trHeight w:val="280"/>
          <w:jc w:val="center"/>
        </w:trPr>
        <w:tc>
          <w:tcPr>
            <w:tcW w:w="1635" w:type="pct"/>
            <w:vMerge/>
            <w:tcBorders>
              <w:bottom w:val="nil"/>
              <w:right w:val="nil"/>
            </w:tcBorders>
            <w:shd w:val="clear" w:color="auto" w:fill="auto"/>
            <w:noWrap/>
            <w:vAlign w:val="center"/>
          </w:tcPr>
          <w:p w14:paraId="284793B6" w14:textId="77777777" w:rsidR="00D457FC" w:rsidRPr="00C702D7" w:rsidRDefault="00D457FC" w:rsidP="00B718EA">
            <w:pPr>
              <w:widowControl/>
              <w:spacing w:line="240" w:lineRule="auto"/>
              <w:ind w:firstLineChars="0" w:firstLine="357"/>
              <w:jc w:val="center"/>
              <w:rPr>
                <w:rFonts w:cs="Times New Roman"/>
                <w:i/>
                <w:iCs/>
                <w:kern w:val="0"/>
                <w:sz w:val="18"/>
                <w:szCs w:val="20"/>
              </w:rPr>
            </w:pPr>
          </w:p>
        </w:tc>
        <w:tc>
          <w:tcPr>
            <w:tcW w:w="2003" w:type="pct"/>
            <w:tcBorders>
              <w:top w:val="nil"/>
              <w:left w:val="nil"/>
              <w:bottom w:val="nil"/>
              <w:right w:val="nil"/>
            </w:tcBorders>
            <w:vAlign w:val="bottom"/>
          </w:tcPr>
          <w:p w14:paraId="5CFA696F" w14:textId="77777777" w:rsidR="00D457FC" w:rsidRPr="00C702D7" w:rsidRDefault="00D457FC" w:rsidP="00B718EA">
            <w:pPr>
              <w:widowControl/>
              <w:spacing w:line="240" w:lineRule="auto"/>
              <w:ind w:firstLineChars="0" w:firstLine="357"/>
              <w:jc w:val="center"/>
              <w:rPr>
                <w:rFonts w:cs="Times New Roman"/>
                <w:sz w:val="18"/>
                <w:szCs w:val="18"/>
              </w:rPr>
            </w:pPr>
            <w:r w:rsidRPr="00C702D7">
              <w:rPr>
                <w:rFonts w:cs="Times New Roman" w:hint="eastAsia"/>
                <w:sz w:val="18"/>
                <w:szCs w:val="18"/>
              </w:rPr>
              <w:t>(-2.3846)</w:t>
            </w:r>
          </w:p>
        </w:tc>
        <w:tc>
          <w:tcPr>
            <w:tcW w:w="1362" w:type="pct"/>
            <w:tcBorders>
              <w:top w:val="nil"/>
              <w:left w:val="nil"/>
              <w:bottom w:val="nil"/>
              <w:right w:val="nil"/>
            </w:tcBorders>
            <w:shd w:val="clear" w:color="auto" w:fill="auto"/>
            <w:noWrap/>
            <w:vAlign w:val="bottom"/>
          </w:tcPr>
          <w:p w14:paraId="0DABA9A2" w14:textId="77777777" w:rsidR="00D457FC" w:rsidRPr="00C702D7" w:rsidRDefault="00D457FC" w:rsidP="00B718EA">
            <w:pPr>
              <w:widowControl/>
              <w:spacing w:line="240" w:lineRule="auto"/>
              <w:ind w:firstLineChars="0" w:firstLine="357"/>
              <w:jc w:val="center"/>
              <w:rPr>
                <w:rFonts w:cs="Times New Roman"/>
                <w:sz w:val="18"/>
                <w:szCs w:val="18"/>
              </w:rPr>
            </w:pPr>
            <w:r w:rsidRPr="00C702D7">
              <w:rPr>
                <w:rFonts w:cs="Times New Roman" w:hint="eastAsia"/>
                <w:sz w:val="18"/>
                <w:szCs w:val="18"/>
              </w:rPr>
              <w:t>(0.3708)</w:t>
            </w:r>
          </w:p>
        </w:tc>
      </w:tr>
      <w:tr w:rsidR="00C702D7" w:rsidRPr="00C702D7" w14:paraId="394A8951" w14:textId="77777777" w:rsidTr="00B718EA">
        <w:trPr>
          <w:trHeight w:val="280"/>
          <w:jc w:val="center"/>
        </w:trPr>
        <w:tc>
          <w:tcPr>
            <w:tcW w:w="1635" w:type="pct"/>
            <w:tcBorders>
              <w:top w:val="nil"/>
              <w:bottom w:val="nil"/>
              <w:right w:val="nil"/>
            </w:tcBorders>
            <w:shd w:val="clear" w:color="auto" w:fill="auto"/>
            <w:noWrap/>
            <w:vAlign w:val="center"/>
          </w:tcPr>
          <w:p w14:paraId="04FCD680" w14:textId="77777777" w:rsidR="00D457FC" w:rsidRPr="00C702D7" w:rsidRDefault="00D457FC" w:rsidP="00B718EA">
            <w:pPr>
              <w:widowControl/>
              <w:spacing w:line="240" w:lineRule="auto"/>
              <w:ind w:firstLineChars="0" w:firstLine="357"/>
              <w:jc w:val="center"/>
              <w:rPr>
                <w:rFonts w:cs="Times New Roman"/>
                <w:kern w:val="0"/>
                <w:sz w:val="18"/>
                <w:szCs w:val="18"/>
              </w:rPr>
            </w:pPr>
            <w:r w:rsidRPr="00C702D7">
              <w:rPr>
                <w:rFonts w:cs="Times New Roman" w:hint="eastAsia"/>
                <w:kern w:val="0"/>
                <w:sz w:val="18"/>
                <w:szCs w:val="18"/>
              </w:rPr>
              <w:t>控制变量</w:t>
            </w:r>
          </w:p>
        </w:tc>
        <w:tc>
          <w:tcPr>
            <w:tcW w:w="2003" w:type="pct"/>
            <w:tcBorders>
              <w:top w:val="nil"/>
              <w:left w:val="nil"/>
              <w:bottom w:val="nil"/>
              <w:right w:val="nil"/>
            </w:tcBorders>
            <w:vAlign w:val="center"/>
          </w:tcPr>
          <w:p w14:paraId="72BD9855" w14:textId="77777777" w:rsidR="00D457FC" w:rsidRPr="00C702D7" w:rsidRDefault="00D457FC" w:rsidP="00B718EA">
            <w:pPr>
              <w:widowControl/>
              <w:spacing w:line="240" w:lineRule="auto"/>
              <w:ind w:firstLineChars="0" w:firstLine="357"/>
              <w:jc w:val="center"/>
              <w:rPr>
                <w:rFonts w:cs="Times New Roman"/>
                <w:sz w:val="18"/>
                <w:szCs w:val="18"/>
              </w:rPr>
            </w:pPr>
            <w:r w:rsidRPr="00C702D7">
              <w:rPr>
                <w:rFonts w:cs="Times New Roman" w:hint="eastAsia"/>
                <w:sz w:val="18"/>
                <w:szCs w:val="18"/>
              </w:rPr>
              <w:t>Yes</w:t>
            </w:r>
          </w:p>
        </w:tc>
        <w:tc>
          <w:tcPr>
            <w:tcW w:w="1362" w:type="pct"/>
            <w:tcBorders>
              <w:top w:val="nil"/>
              <w:left w:val="nil"/>
              <w:bottom w:val="nil"/>
              <w:right w:val="nil"/>
            </w:tcBorders>
            <w:shd w:val="clear" w:color="auto" w:fill="auto"/>
            <w:noWrap/>
            <w:vAlign w:val="center"/>
          </w:tcPr>
          <w:p w14:paraId="6E89D8AE" w14:textId="77777777" w:rsidR="00D457FC" w:rsidRPr="00C702D7" w:rsidRDefault="00D457FC" w:rsidP="00B718EA">
            <w:pPr>
              <w:widowControl/>
              <w:spacing w:line="240" w:lineRule="auto"/>
              <w:ind w:firstLineChars="0" w:firstLine="357"/>
              <w:jc w:val="center"/>
              <w:rPr>
                <w:rFonts w:cs="Times New Roman"/>
                <w:sz w:val="18"/>
                <w:szCs w:val="18"/>
              </w:rPr>
            </w:pPr>
            <w:r w:rsidRPr="00C702D7">
              <w:rPr>
                <w:rFonts w:cs="Times New Roman" w:hint="eastAsia"/>
                <w:sz w:val="18"/>
                <w:szCs w:val="18"/>
              </w:rPr>
              <w:t>Yes</w:t>
            </w:r>
          </w:p>
        </w:tc>
      </w:tr>
      <w:tr w:rsidR="00C702D7" w:rsidRPr="00C702D7" w14:paraId="404247D9" w14:textId="77777777" w:rsidTr="00B718EA">
        <w:trPr>
          <w:trHeight w:val="280"/>
          <w:jc w:val="center"/>
        </w:trPr>
        <w:tc>
          <w:tcPr>
            <w:tcW w:w="1635" w:type="pct"/>
            <w:tcBorders>
              <w:top w:val="nil"/>
              <w:bottom w:val="nil"/>
              <w:right w:val="nil"/>
            </w:tcBorders>
            <w:shd w:val="clear" w:color="auto" w:fill="auto"/>
            <w:noWrap/>
            <w:vAlign w:val="center"/>
          </w:tcPr>
          <w:p w14:paraId="7B82B6DF" w14:textId="77777777" w:rsidR="00D457FC" w:rsidRPr="00C702D7" w:rsidRDefault="00D457FC" w:rsidP="00B718EA">
            <w:pPr>
              <w:widowControl/>
              <w:spacing w:line="240" w:lineRule="auto"/>
              <w:ind w:firstLineChars="0" w:firstLine="357"/>
              <w:jc w:val="center"/>
              <w:rPr>
                <w:rFonts w:cs="Times New Roman"/>
                <w:kern w:val="0"/>
                <w:sz w:val="18"/>
                <w:szCs w:val="18"/>
              </w:rPr>
            </w:pPr>
            <w:r w:rsidRPr="00C702D7">
              <w:rPr>
                <w:rFonts w:cs="Times New Roman"/>
                <w:kern w:val="0"/>
                <w:sz w:val="18"/>
                <w:szCs w:val="18"/>
              </w:rPr>
              <w:t>年度</w:t>
            </w:r>
            <w:r w:rsidRPr="00C702D7">
              <w:rPr>
                <w:rFonts w:cs="Times New Roman" w:hint="eastAsia"/>
                <w:kern w:val="0"/>
                <w:sz w:val="18"/>
                <w:szCs w:val="18"/>
              </w:rPr>
              <w:t>/</w:t>
            </w:r>
            <w:r w:rsidRPr="00C702D7">
              <w:rPr>
                <w:rFonts w:cs="Times New Roman" w:hint="eastAsia"/>
                <w:kern w:val="0"/>
                <w:sz w:val="18"/>
                <w:szCs w:val="18"/>
              </w:rPr>
              <w:t>行业</w:t>
            </w:r>
            <w:r w:rsidRPr="00C702D7">
              <w:rPr>
                <w:rFonts w:cs="Times New Roman" w:hint="eastAsia"/>
                <w:kern w:val="0"/>
                <w:sz w:val="18"/>
                <w:szCs w:val="18"/>
              </w:rPr>
              <w:t>/</w:t>
            </w:r>
            <w:r w:rsidRPr="00C702D7">
              <w:rPr>
                <w:rFonts w:cs="Times New Roman" w:hint="eastAsia"/>
                <w:kern w:val="0"/>
                <w:sz w:val="18"/>
                <w:szCs w:val="18"/>
              </w:rPr>
              <w:t>地区</w:t>
            </w:r>
            <w:r w:rsidRPr="00C702D7">
              <w:rPr>
                <w:rFonts w:cs="Times New Roman"/>
                <w:kern w:val="0"/>
                <w:sz w:val="18"/>
                <w:szCs w:val="18"/>
              </w:rPr>
              <w:t>固定效应</w:t>
            </w:r>
          </w:p>
        </w:tc>
        <w:tc>
          <w:tcPr>
            <w:tcW w:w="2003" w:type="pct"/>
            <w:tcBorders>
              <w:top w:val="nil"/>
              <w:left w:val="nil"/>
              <w:bottom w:val="nil"/>
              <w:right w:val="nil"/>
            </w:tcBorders>
            <w:vAlign w:val="center"/>
          </w:tcPr>
          <w:p w14:paraId="60AE9008" w14:textId="77777777" w:rsidR="00D457FC" w:rsidRPr="00C702D7" w:rsidRDefault="00D457FC" w:rsidP="00B718EA">
            <w:pPr>
              <w:widowControl/>
              <w:spacing w:line="240" w:lineRule="auto"/>
              <w:ind w:firstLineChars="0" w:firstLine="357"/>
              <w:jc w:val="center"/>
              <w:rPr>
                <w:rFonts w:cs="Times New Roman"/>
                <w:sz w:val="18"/>
                <w:szCs w:val="18"/>
              </w:rPr>
            </w:pPr>
            <w:r w:rsidRPr="00C702D7">
              <w:rPr>
                <w:rFonts w:cs="Times New Roman" w:hint="eastAsia"/>
                <w:sz w:val="18"/>
                <w:szCs w:val="18"/>
              </w:rPr>
              <w:t>Yes</w:t>
            </w:r>
          </w:p>
        </w:tc>
        <w:tc>
          <w:tcPr>
            <w:tcW w:w="1362" w:type="pct"/>
            <w:tcBorders>
              <w:top w:val="nil"/>
              <w:left w:val="nil"/>
              <w:bottom w:val="nil"/>
              <w:right w:val="nil"/>
            </w:tcBorders>
            <w:shd w:val="clear" w:color="auto" w:fill="auto"/>
            <w:noWrap/>
            <w:vAlign w:val="center"/>
          </w:tcPr>
          <w:p w14:paraId="23D86909" w14:textId="77777777" w:rsidR="00D457FC" w:rsidRPr="00C702D7" w:rsidRDefault="00D457FC" w:rsidP="00B718EA">
            <w:pPr>
              <w:widowControl/>
              <w:spacing w:line="240" w:lineRule="auto"/>
              <w:ind w:firstLineChars="0" w:firstLine="357"/>
              <w:jc w:val="center"/>
              <w:rPr>
                <w:rFonts w:cs="Times New Roman"/>
                <w:sz w:val="18"/>
                <w:szCs w:val="18"/>
              </w:rPr>
            </w:pPr>
            <w:r w:rsidRPr="00C702D7">
              <w:rPr>
                <w:rFonts w:cs="Times New Roman" w:hint="eastAsia"/>
                <w:sz w:val="18"/>
                <w:szCs w:val="18"/>
              </w:rPr>
              <w:t>Yes</w:t>
            </w:r>
          </w:p>
        </w:tc>
      </w:tr>
      <w:tr w:rsidR="00C702D7" w:rsidRPr="00C702D7" w14:paraId="5B1AF27C" w14:textId="77777777" w:rsidTr="00B718EA">
        <w:trPr>
          <w:trHeight w:val="280"/>
          <w:jc w:val="center"/>
        </w:trPr>
        <w:tc>
          <w:tcPr>
            <w:tcW w:w="1635" w:type="pct"/>
            <w:tcBorders>
              <w:top w:val="nil"/>
              <w:bottom w:val="nil"/>
              <w:right w:val="nil"/>
            </w:tcBorders>
            <w:shd w:val="clear" w:color="auto" w:fill="auto"/>
            <w:noWrap/>
            <w:vAlign w:val="center"/>
          </w:tcPr>
          <w:p w14:paraId="49CB37E8" w14:textId="77777777" w:rsidR="00D457FC" w:rsidRPr="00C702D7" w:rsidRDefault="00D457FC" w:rsidP="00B718EA">
            <w:pPr>
              <w:widowControl/>
              <w:spacing w:line="240" w:lineRule="auto"/>
              <w:ind w:firstLineChars="0" w:firstLine="357"/>
              <w:jc w:val="center"/>
              <w:rPr>
                <w:rFonts w:cs="Times New Roman"/>
                <w:kern w:val="0"/>
                <w:sz w:val="18"/>
                <w:szCs w:val="18"/>
              </w:rPr>
            </w:pPr>
            <w:r w:rsidRPr="00C702D7">
              <w:rPr>
                <w:rFonts w:cs="Times New Roman" w:hint="eastAsia"/>
                <w:kern w:val="0"/>
                <w:sz w:val="18"/>
                <w:szCs w:val="18"/>
              </w:rPr>
              <w:t>样本量</w:t>
            </w:r>
          </w:p>
        </w:tc>
        <w:tc>
          <w:tcPr>
            <w:tcW w:w="2003" w:type="pct"/>
            <w:tcBorders>
              <w:top w:val="nil"/>
              <w:left w:val="nil"/>
              <w:bottom w:val="nil"/>
              <w:right w:val="nil"/>
            </w:tcBorders>
            <w:vAlign w:val="bottom"/>
          </w:tcPr>
          <w:p w14:paraId="142CA496" w14:textId="77777777" w:rsidR="00D457FC" w:rsidRPr="00C702D7" w:rsidRDefault="00D457FC" w:rsidP="00B718EA">
            <w:pPr>
              <w:widowControl/>
              <w:spacing w:line="240" w:lineRule="auto"/>
              <w:ind w:firstLineChars="0" w:firstLine="357"/>
              <w:jc w:val="center"/>
              <w:rPr>
                <w:rFonts w:cs="Times New Roman"/>
                <w:sz w:val="18"/>
                <w:szCs w:val="18"/>
              </w:rPr>
            </w:pPr>
            <w:r w:rsidRPr="00C702D7">
              <w:rPr>
                <w:rFonts w:cs="Times New Roman" w:hint="eastAsia"/>
                <w:sz w:val="18"/>
                <w:szCs w:val="18"/>
              </w:rPr>
              <w:t>1593</w:t>
            </w:r>
          </w:p>
        </w:tc>
        <w:tc>
          <w:tcPr>
            <w:tcW w:w="1362" w:type="pct"/>
            <w:tcBorders>
              <w:top w:val="nil"/>
              <w:left w:val="nil"/>
              <w:bottom w:val="nil"/>
              <w:right w:val="nil"/>
            </w:tcBorders>
            <w:shd w:val="clear" w:color="auto" w:fill="auto"/>
            <w:noWrap/>
            <w:vAlign w:val="bottom"/>
          </w:tcPr>
          <w:p w14:paraId="0FB2D826" w14:textId="77777777" w:rsidR="00D457FC" w:rsidRPr="00C702D7" w:rsidRDefault="00D457FC" w:rsidP="00B718EA">
            <w:pPr>
              <w:widowControl/>
              <w:spacing w:line="240" w:lineRule="auto"/>
              <w:ind w:firstLineChars="0" w:firstLine="357"/>
              <w:jc w:val="center"/>
              <w:rPr>
                <w:rFonts w:cs="Times New Roman"/>
                <w:sz w:val="18"/>
                <w:szCs w:val="18"/>
              </w:rPr>
            </w:pPr>
            <w:r w:rsidRPr="00C702D7">
              <w:rPr>
                <w:rFonts w:cs="Times New Roman" w:hint="eastAsia"/>
                <w:sz w:val="18"/>
                <w:szCs w:val="18"/>
              </w:rPr>
              <w:t>3533</w:t>
            </w:r>
          </w:p>
        </w:tc>
      </w:tr>
      <w:tr w:rsidR="00C702D7" w:rsidRPr="00C702D7" w14:paraId="311903E8" w14:textId="77777777" w:rsidTr="00B718EA">
        <w:trPr>
          <w:trHeight w:val="280"/>
          <w:jc w:val="center"/>
        </w:trPr>
        <w:tc>
          <w:tcPr>
            <w:tcW w:w="1635" w:type="pct"/>
            <w:tcBorders>
              <w:top w:val="nil"/>
              <w:bottom w:val="single" w:sz="12" w:space="0" w:color="auto"/>
              <w:right w:val="nil"/>
            </w:tcBorders>
            <w:shd w:val="clear" w:color="auto" w:fill="auto"/>
            <w:noWrap/>
            <w:vAlign w:val="center"/>
          </w:tcPr>
          <w:p w14:paraId="33D5603B" w14:textId="77777777" w:rsidR="00D457FC" w:rsidRPr="00C702D7" w:rsidRDefault="00D457FC" w:rsidP="00B718EA">
            <w:pPr>
              <w:widowControl/>
              <w:spacing w:line="240" w:lineRule="auto"/>
              <w:ind w:firstLineChars="0" w:firstLine="357"/>
              <w:jc w:val="center"/>
              <w:rPr>
                <w:rFonts w:cs="Times New Roman"/>
                <w:i/>
                <w:iCs/>
                <w:kern w:val="0"/>
                <w:sz w:val="18"/>
                <w:szCs w:val="18"/>
              </w:rPr>
            </w:pPr>
            <w:r w:rsidRPr="00C702D7">
              <w:rPr>
                <w:rFonts w:cs="Times New Roman"/>
                <w:i/>
                <w:iCs/>
                <w:kern w:val="0"/>
                <w:sz w:val="18"/>
                <w:szCs w:val="18"/>
              </w:rPr>
              <w:t>R</w:t>
            </w:r>
            <w:r w:rsidRPr="00C702D7">
              <w:rPr>
                <w:rFonts w:cs="Times New Roman"/>
                <w:i/>
                <w:iCs/>
                <w:kern w:val="0"/>
                <w:sz w:val="18"/>
                <w:szCs w:val="18"/>
                <w:vertAlign w:val="superscript"/>
              </w:rPr>
              <w:t>2</w:t>
            </w:r>
          </w:p>
        </w:tc>
        <w:tc>
          <w:tcPr>
            <w:tcW w:w="2003" w:type="pct"/>
            <w:tcBorders>
              <w:top w:val="nil"/>
              <w:left w:val="nil"/>
              <w:bottom w:val="single" w:sz="12" w:space="0" w:color="auto"/>
              <w:right w:val="nil"/>
            </w:tcBorders>
            <w:vAlign w:val="center"/>
          </w:tcPr>
          <w:p w14:paraId="1BD98177" w14:textId="77777777" w:rsidR="00D457FC" w:rsidRPr="00C702D7" w:rsidRDefault="00D457FC" w:rsidP="00B718EA">
            <w:pPr>
              <w:widowControl/>
              <w:spacing w:line="240" w:lineRule="auto"/>
              <w:ind w:firstLineChars="0" w:firstLine="357"/>
              <w:jc w:val="center"/>
              <w:rPr>
                <w:rFonts w:cs="Times New Roman"/>
                <w:sz w:val="18"/>
                <w:szCs w:val="18"/>
              </w:rPr>
            </w:pPr>
            <w:r w:rsidRPr="00C702D7">
              <w:rPr>
                <w:rFonts w:cs="Times New Roman" w:hint="eastAsia"/>
                <w:sz w:val="18"/>
                <w:szCs w:val="18"/>
              </w:rPr>
              <w:t>0</w:t>
            </w:r>
            <w:r w:rsidRPr="00C702D7">
              <w:rPr>
                <w:rFonts w:cs="Times New Roman"/>
                <w:sz w:val="18"/>
                <w:szCs w:val="18"/>
              </w:rPr>
              <w:t>.074</w:t>
            </w:r>
          </w:p>
        </w:tc>
        <w:tc>
          <w:tcPr>
            <w:tcW w:w="1362" w:type="pct"/>
            <w:tcBorders>
              <w:top w:val="nil"/>
              <w:left w:val="nil"/>
              <w:bottom w:val="single" w:sz="12" w:space="0" w:color="auto"/>
              <w:right w:val="nil"/>
            </w:tcBorders>
            <w:shd w:val="clear" w:color="auto" w:fill="auto"/>
            <w:noWrap/>
            <w:vAlign w:val="center"/>
          </w:tcPr>
          <w:p w14:paraId="02487765" w14:textId="77777777" w:rsidR="00D457FC" w:rsidRPr="00C702D7" w:rsidRDefault="00D457FC" w:rsidP="00B718EA">
            <w:pPr>
              <w:widowControl/>
              <w:spacing w:line="240" w:lineRule="auto"/>
              <w:ind w:firstLineChars="0" w:firstLine="357"/>
              <w:jc w:val="center"/>
              <w:rPr>
                <w:rFonts w:cs="Times New Roman"/>
                <w:sz w:val="18"/>
                <w:szCs w:val="18"/>
              </w:rPr>
            </w:pPr>
            <w:r w:rsidRPr="00C702D7">
              <w:rPr>
                <w:rFonts w:cs="Times New Roman" w:hint="eastAsia"/>
                <w:sz w:val="18"/>
                <w:szCs w:val="18"/>
              </w:rPr>
              <w:t>0</w:t>
            </w:r>
            <w:r w:rsidRPr="00C702D7">
              <w:rPr>
                <w:rFonts w:cs="Times New Roman"/>
                <w:sz w:val="18"/>
                <w:szCs w:val="18"/>
              </w:rPr>
              <w:t>.158</w:t>
            </w:r>
          </w:p>
        </w:tc>
      </w:tr>
    </w:tbl>
    <w:p w14:paraId="27B7A730" w14:textId="77777777" w:rsidR="00D457FC" w:rsidRPr="00C702D7" w:rsidRDefault="00D457FC" w:rsidP="009F2FCC">
      <w:pPr>
        <w:spacing w:line="400" w:lineRule="exact"/>
        <w:ind w:firstLine="420"/>
        <w:outlineLvl w:val="0"/>
        <w:rPr>
          <w:rFonts w:ascii="楷体" w:eastAsia="楷体" w:hAnsi="楷体" w:cs="Times New Roman"/>
          <w:bCs/>
          <w:szCs w:val="21"/>
        </w:rPr>
      </w:pPr>
      <w:r w:rsidRPr="00C702D7">
        <w:rPr>
          <w:rFonts w:ascii="楷体" w:eastAsia="楷体" w:hAnsi="楷体" w:cs="Times New Roman" w:hint="eastAsia"/>
          <w:bCs/>
          <w:szCs w:val="21"/>
        </w:rPr>
        <w:t>（三）低碳城市试点政策评估</w:t>
      </w:r>
    </w:p>
    <w:p w14:paraId="4B95A6FE" w14:textId="77777777" w:rsidR="00D457FC" w:rsidRPr="00C702D7" w:rsidRDefault="00D457FC" w:rsidP="00D457FC">
      <w:pPr>
        <w:spacing w:line="400" w:lineRule="exact"/>
        <w:ind w:firstLine="420"/>
      </w:pPr>
      <w:bookmarkStart w:id="14" w:name="_Hlk146661021"/>
      <w:r w:rsidRPr="00C702D7">
        <w:rPr>
          <w:rFonts w:hint="eastAsia"/>
        </w:rPr>
        <w:t>环境规制等推出引起的企业外部环境变化，将会影响机构投资者对企业绿色经营活动的关注度。为了确保达到“双碳”目标，国家发改委于</w:t>
      </w:r>
      <w:r w:rsidRPr="00C702D7">
        <w:rPr>
          <w:rFonts w:hint="eastAsia"/>
        </w:rPr>
        <w:t>2010</w:t>
      </w:r>
      <w:r w:rsidRPr="00C702D7">
        <w:rPr>
          <w:rFonts w:hint="eastAsia"/>
        </w:rPr>
        <w:t>年启动我国低碳省区和城市试点工作，并于</w:t>
      </w:r>
      <w:r w:rsidRPr="00C702D7">
        <w:rPr>
          <w:rFonts w:hint="eastAsia"/>
        </w:rPr>
        <w:t>2012</w:t>
      </w:r>
      <w:r w:rsidRPr="00C702D7">
        <w:rPr>
          <w:rFonts w:hint="eastAsia"/>
        </w:rPr>
        <w:t>年、</w:t>
      </w:r>
      <w:r w:rsidRPr="00C702D7">
        <w:rPr>
          <w:rFonts w:hint="eastAsia"/>
        </w:rPr>
        <w:t>2017</w:t>
      </w:r>
      <w:r w:rsidRPr="00C702D7">
        <w:rPr>
          <w:rFonts w:hint="eastAsia"/>
        </w:rPr>
        <w:t>年进一步扩大试点范围，目前已形成包括</w:t>
      </w:r>
      <w:r w:rsidRPr="00C702D7">
        <w:rPr>
          <w:rFonts w:hint="eastAsia"/>
        </w:rPr>
        <w:t>6</w:t>
      </w:r>
      <w:r w:rsidRPr="00C702D7">
        <w:rPr>
          <w:rFonts w:hint="eastAsia"/>
        </w:rPr>
        <w:t>个省份、</w:t>
      </w:r>
      <w:r w:rsidRPr="00C702D7">
        <w:rPr>
          <w:rFonts w:hint="eastAsia"/>
        </w:rPr>
        <w:t>8</w:t>
      </w:r>
      <w:r w:rsidRPr="00C702D7">
        <w:t>0</w:t>
      </w:r>
      <w:r w:rsidRPr="00C702D7">
        <w:rPr>
          <w:rFonts w:hint="eastAsia"/>
        </w:rPr>
        <w:t>个城市以及</w:t>
      </w:r>
      <w:r w:rsidRPr="00C702D7">
        <w:rPr>
          <w:rFonts w:hint="eastAsia"/>
        </w:rPr>
        <w:t>1</w:t>
      </w:r>
      <w:r w:rsidRPr="00C702D7">
        <w:rPr>
          <w:rFonts w:hint="eastAsia"/>
        </w:rPr>
        <w:t>个地区的国家低碳试点区域。低碳试点的实行证实了</w:t>
      </w:r>
      <w:r w:rsidRPr="00C702D7">
        <w:rPr>
          <w:rFonts w:cs="Times New Roman" w:hint="eastAsia"/>
        </w:rPr>
        <w:t>国家层面对于低碳试点项目</w:t>
      </w:r>
      <w:r w:rsidR="00CC5A48" w:rsidRPr="00C702D7">
        <w:rPr>
          <w:rFonts w:cs="Times New Roman" w:hint="eastAsia"/>
        </w:rPr>
        <w:t>和</w:t>
      </w:r>
      <w:r w:rsidRPr="00C702D7">
        <w:rPr>
          <w:rFonts w:cs="Times New Roman" w:hint="eastAsia"/>
        </w:rPr>
        <w:t>区域绿色发展的</w:t>
      </w:r>
      <w:r w:rsidR="00CC5A48" w:rsidRPr="00C702D7">
        <w:rPr>
          <w:rFonts w:cs="Times New Roman" w:hint="eastAsia"/>
        </w:rPr>
        <w:t>高度</w:t>
      </w:r>
      <w:r w:rsidRPr="00C702D7">
        <w:rPr>
          <w:rFonts w:cs="Times New Roman" w:hint="eastAsia"/>
        </w:rPr>
        <w:t>关注。拥有</w:t>
      </w:r>
      <w:r w:rsidRPr="00C702D7">
        <w:rPr>
          <w:rFonts w:cs="Times New Roman"/>
        </w:rPr>
        <w:t>专业的信息收集分析</w:t>
      </w:r>
      <w:r w:rsidRPr="00C702D7">
        <w:rPr>
          <w:rFonts w:cs="Times New Roman" w:hint="eastAsia"/>
        </w:rPr>
        <w:t>能力的</w:t>
      </w:r>
      <w:r w:rsidRPr="00C702D7">
        <w:rPr>
          <w:rFonts w:cs="Times New Roman"/>
        </w:rPr>
        <w:t>机构投资者具有较高的政策敏感度，将会因为政府低碳试点</w:t>
      </w:r>
      <w:r w:rsidRPr="00C702D7">
        <w:rPr>
          <w:rFonts w:cs="Times New Roman" w:hint="eastAsia"/>
        </w:rPr>
        <w:t>而</w:t>
      </w:r>
      <w:r w:rsidRPr="00C702D7">
        <w:rPr>
          <w:rFonts w:cs="Times New Roman"/>
        </w:rPr>
        <w:t>增加对于区域内企业的绿色关注，</w:t>
      </w:r>
      <w:r w:rsidRPr="00C702D7">
        <w:rPr>
          <w:rFonts w:cs="Times New Roman" w:hint="eastAsia"/>
        </w:rPr>
        <w:t>形成</w:t>
      </w:r>
      <w:r w:rsidRPr="00C702D7">
        <w:rPr>
          <w:rFonts w:cs="Times New Roman"/>
        </w:rPr>
        <w:t>资本市场绿色治理和绿色低碳试点政策协同</w:t>
      </w:r>
      <w:r w:rsidRPr="00C702D7">
        <w:rPr>
          <w:rFonts w:cs="Times New Roman" w:hint="eastAsia"/>
        </w:rPr>
        <w:t>作用的</w:t>
      </w:r>
      <w:r w:rsidRPr="00C702D7">
        <w:rPr>
          <w:rFonts w:cs="Times New Roman"/>
        </w:rPr>
        <w:t>机制。机构投资者绿色关注</w:t>
      </w:r>
      <w:r w:rsidRPr="00C702D7">
        <w:rPr>
          <w:rFonts w:cs="Times New Roman" w:hint="eastAsia"/>
        </w:rPr>
        <w:t>度的提升还会</w:t>
      </w:r>
      <w:r w:rsidRPr="00C702D7">
        <w:rPr>
          <w:rFonts w:cs="Times New Roman"/>
        </w:rPr>
        <w:t>进一步通过供应链核心企业等</w:t>
      </w:r>
      <w:r w:rsidRPr="00C702D7">
        <w:rPr>
          <w:rFonts w:cs="Times New Roman" w:hint="eastAsia"/>
        </w:rPr>
        <w:t>的</w:t>
      </w:r>
      <w:r w:rsidRPr="00C702D7">
        <w:rPr>
          <w:rFonts w:cs="Times New Roman"/>
        </w:rPr>
        <w:t>同群效应</w:t>
      </w:r>
      <w:r w:rsidRPr="00C702D7">
        <w:rPr>
          <w:rFonts w:cs="Times New Roman" w:hint="eastAsia"/>
        </w:rPr>
        <w:t>，</w:t>
      </w:r>
      <w:r w:rsidRPr="00C702D7">
        <w:rPr>
          <w:rFonts w:cs="Times New Roman"/>
        </w:rPr>
        <w:t>传递至绿色关注企业和未被绿色关注的其他行业内企业，产生</w:t>
      </w:r>
      <w:r w:rsidRPr="00C702D7">
        <w:rPr>
          <w:rFonts w:cs="Times New Roman" w:hint="eastAsia"/>
        </w:rPr>
        <w:t>绿色环境</w:t>
      </w:r>
      <w:r w:rsidRPr="00C702D7">
        <w:rPr>
          <w:rFonts w:cs="Times New Roman"/>
        </w:rPr>
        <w:t>政策激励、微观企业同群效应模仿</w:t>
      </w:r>
      <w:r w:rsidRPr="00C702D7">
        <w:rPr>
          <w:rFonts w:cs="Times New Roman" w:hint="eastAsia"/>
        </w:rPr>
        <w:t>和</w:t>
      </w:r>
      <w:r w:rsidRPr="00C702D7">
        <w:rPr>
          <w:rFonts w:cs="Times New Roman"/>
        </w:rPr>
        <w:t>供应链集中传递等的协同机制，最终降低地区碳排放</w:t>
      </w:r>
      <w:r w:rsidRPr="00C702D7">
        <w:rPr>
          <w:rFonts w:cs="Times New Roman" w:hint="eastAsia"/>
        </w:rPr>
        <w:t>。</w:t>
      </w:r>
      <w:r w:rsidRPr="00C702D7">
        <w:rPr>
          <w:rFonts w:hint="eastAsia"/>
        </w:rPr>
        <w:t>对此，本文借鉴徐佳和崔静波（</w:t>
      </w:r>
      <w:r w:rsidRPr="00C702D7">
        <w:rPr>
          <w:rFonts w:hint="eastAsia"/>
        </w:rPr>
        <w:t>2</w:t>
      </w:r>
      <w:r w:rsidRPr="00C702D7">
        <w:t>020</w:t>
      </w:r>
      <w:r w:rsidRPr="00C702D7">
        <w:rPr>
          <w:rFonts w:hint="eastAsia"/>
        </w:rPr>
        <w:t>）的做法，以扩大试点范围的</w:t>
      </w:r>
      <w:r w:rsidRPr="00C702D7">
        <w:rPr>
          <w:rFonts w:hint="eastAsia"/>
        </w:rPr>
        <w:t>2012</w:t>
      </w:r>
      <w:r w:rsidRPr="00C702D7">
        <w:rPr>
          <w:rFonts w:hint="eastAsia"/>
        </w:rPr>
        <w:t>年作为低碳城市试点政策的时间节点，区分属于低碳试点范围的地区和非低碳试点地区，考察机构投资者绿色关注的碳减排治理效应，所得结果汇总于表</w:t>
      </w:r>
      <w:r w:rsidRPr="00C702D7">
        <w:t>9</w:t>
      </w:r>
      <w:r w:rsidRPr="00C702D7">
        <w:rPr>
          <w:rFonts w:hint="eastAsia"/>
        </w:rPr>
        <w:t>。</w:t>
      </w:r>
    </w:p>
    <w:bookmarkEnd w:id="14"/>
    <w:p w14:paraId="47342DD9" w14:textId="77777777" w:rsidR="00D457FC" w:rsidRPr="00C702D7" w:rsidRDefault="00D457FC" w:rsidP="00D457FC">
      <w:pPr>
        <w:spacing w:line="400" w:lineRule="exact"/>
        <w:ind w:firstLine="420"/>
      </w:pPr>
      <w:r w:rsidRPr="00C702D7">
        <w:rPr>
          <w:rFonts w:hint="eastAsia"/>
        </w:rPr>
        <w:t>表</w:t>
      </w:r>
      <w:r w:rsidRPr="00C702D7">
        <w:t>9</w:t>
      </w:r>
      <w:r w:rsidRPr="00C702D7">
        <w:rPr>
          <w:rFonts w:hint="eastAsia"/>
        </w:rPr>
        <w:t>第（</w:t>
      </w:r>
      <w:r w:rsidRPr="00C702D7">
        <w:rPr>
          <w:rFonts w:hint="eastAsia"/>
        </w:rPr>
        <w:t>1</w:t>
      </w:r>
      <w:r w:rsidRPr="00C702D7">
        <w:rPr>
          <w:rFonts w:hint="eastAsia"/>
        </w:rPr>
        <w:t>）、（</w:t>
      </w:r>
      <w:r w:rsidRPr="00C702D7">
        <w:rPr>
          <w:rFonts w:hint="eastAsia"/>
        </w:rPr>
        <w:t>2</w:t>
      </w:r>
      <w:r w:rsidRPr="00C702D7">
        <w:rPr>
          <w:rFonts w:hint="eastAsia"/>
        </w:rPr>
        <w:t>）列汇报了机构投资者绿色关注度与企业碳排放强度的回归结果，可见在低碳试点样本分组中，机构投资者绿色关注度（</w:t>
      </w:r>
      <w:r w:rsidRPr="00C702D7">
        <w:rPr>
          <w:rFonts w:hint="eastAsia"/>
          <w:i/>
          <w:iCs/>
        </w:rPr>
        <w:t>G</w:t>
      </w:r>
      <w:r w:rsidRPr="00C702D7">
        <w:rPr>
          <w:i/>
          <w:iCs/>
        </w:rPr>
        <w:t>atten</w:t>
      </w:r>
      <w:r w:rsidRPr="00C702D7">
        <w:rPr>
          <w:rFonts w:hint="eastAsia"/>
        </w:rPr>
        <w:t>）对企业碳排放强度（</w:t>
      </w:r>
      <w:proofErr w:type="spellStart"/>
      <w:r w:rsidRPr="00C702D7">
        <w:rPr>
          <w:rFonts w:hint="eastAsia"/>
          <w:i/>
          <w:iCs/>
        </w:rPr>
        <w:t>C</w:t>
      </w:r>
      <w:r w:rsidRPr="00C702D7">
        <w:rPr>
          <w:i/>
          <w:iCs/>
        </w:rPr>
        <w:t>miss_total</w:t>
      </w:r>
      <w:proofErr w:type="spellEnd"/>
      <w:r w:rsidRPr="00C702D7">
        <w:rPr>
          <w:rFonts w:hint="eastAsia"/>
        </w:rPr>
        <w:t>）的回归系数</w:t>
      </w:r>
      <w:r w:rsidRPr="00C702D7">
        <w:rPr>
          <w:rFonts w:hint="eastAsia"/>
        </w:rPr>
        <w:t>-</w:t>
      </w:r>
      <w:r w:rsidRPr="00C702D7">
        <w:t>0.0145</w:t>
      </w:r>
      <w:r w:rsidRPr="00C702D7">
        <w:rPr>
          <w:rFonts w:hint="eastAsia"/>
        </w:rPr>
        <w:t>在</w:t>
      </w:r>
      <w:r w:rsidRPr="00C702D7">
        <w:rPr>
          <w:rFonts w:hint="eastAsia"/>
        </w:rPr>
        <w:t>1</w:t>
      </w:r>
      <w:r w:rsidRPr="00C702D7">
        <w:t>%</w:t>
      </w:r>
      <w:r w:rsidRPr="00C702D7">
        <w:rPr>
          <w:rFonts w:hint="eastAsia"/>
        </w:rPr>
        <w:t>的水平下显著，而非试点样本分组中机构投资者绿色关注度（</w:t>
      </w:r>
      <w:r w:rsidRPr="00C702D7">
        <w:rPr>
          <w:rFonts w:hint="eastAsia"/>
          <w:i/>
          <w:iCs/>
        </w:rPr>
        <w:t>G</w:t>
      </w:r>
      <w:r w:rsidRPr="00C702D7">
        <w:rPr>
          <w:i/>
          <w:iCs/>
        </w:rPr>
        <w:t>atten</w:t>
      </w:r>
      <w:r w:rsidRPr="00C702D7">
        <w:rPr>
          <w:rFonts w:hint="eastAsia"/>
        </w:rPr>
        <w:t>）对企业碳排放强度（</w:t>
      </w:r>
      <w:proofErr w:type="spellStart"/>
      <w:r w:rsidRPr="00C702D7">
        <w:rPr>
          <w:rFonts w:hint="eastAsia"/>
          <w:i/>
          <w:iCs/>
        </w:rPr>
        <w:t>C</w:t>
      </w:r>
      <w:r w:rsidRPr="00C702D7">
        <w:rPr>
          <w:i/>
          <w:iCs/>
        </w:rPr>
        <w:t>miss_total</w:t>
      </w:r>
      <w:proofErr w:type="spellEnd"/>
      <w:r w:rsidRPr="00C702D7">
        <w:rPr>
          <w:rFonts w:hint="eastAsia"/>
        </w:rPr>
        <w:t>）的回归系数</w:t>
      </w:r>
      <w:r w:rsidRPr="00C702D7">
        <w:rPr>
          <w:rFonts w:hint="eastAsia"/>
        </w:rPr>
        <w:t>0</w:t>
      </w:r>
      <w:r w:rsidRPr="00C702D7">
        <w:t>.0058</w:t>
      </w:r>
      <w:r w:rsidRPr="00C702D7">
        <w:rPr>
          <w:rFonts w:hint="eastAsia"/>
        </w:rPr>
        <w:t>并不显著。这说明，机构投资者绿色关注主要对低碳城市试点地区的企业碳减排发挥作用。表</w:t>
      </w:r>
      <w:r w:rsidRPr="00C702D7">
        <w:rPr>
          <w:rFonts w:hint="eastAsia"/>
        </w:rPr>
        <w:t>9</w:t>
      </w:r>
      <w:r w:rsidRPr="00C702D7">
        <w:rPr>
          <w:rFonts w:hint="eastAsia"/>
        </w:rPr>
        <w:t>中第（</w:t>
      </w:r>
      <w:r w:rsidRPr="00C702D7">
        <w:rPr>
          <w:rFonts w:hint="eastAsia"/>
        </w:rPr>
        <w:t>3</w:t>
      </w:r>
      <w:r w:rsidRPr="00C702D7">
        <w:rPr>
          <w:rFonts w:hint="eastAsia"/>
        </w:rPr>
        <w:t>）、（</w:t>
      </w:r>
      <w:r w:rsidRPr="00C702D7">
        <w:rPr>
          <w:rFonts w:hint="eastAsia"/>
        </w:rPr>
        <w:t>4</w:t>
      </w:r>
      <w:r w:rsidRPr="00C702D7">
        <w:rPr>
          <w:rFonts w:hint="eastAsia"/>
        </w:rPr>
        <w:t>）列为基于模型（</w:t>
      </w:r>
      <w:r w:rsidRPr="00C702D7">
        <w:rPr>
          <w:rFonts w:hint="eastAsia"/>
        </w:rPr>
        <w:t>3</w:t>
      </w:r>
      <w:r w:rsidRPr="00C702D7">
        <w:rPr>
          <w:rFonts w:hint="eastAsia"/>
        </w:rPr>
        <w:t>）考察机构投资者绿色关注溢出影响的回归结果。其中，</w:t>
      </w:r>
      <w:r w:rsidRPr="00C702D7">
        <w:rPr>
          <w:rFonts w:hint="eastAsia"/>
          <w:i/>
          <w:iCs/>
        </w:rPr>
        <w:t xml:space="preserve"> </w:t>
      </w:r>
      <w:proofErr w:type="spellStart"/>
      <w:r w:rsidRPr="00C702D7">
        <w:rPr>
          <w:rFonts w:hint="eastAsia"/>
          <w:i/>
          <w:iCs/>
        </w:rPr>
        <w:lastRenderedPageBreak/>
        <w:t>Cmiss_</w:t>
      </w:r>
      <w:r w:rsidRPr="00C702D7">
        <w:rPr>
          <w:i/>
          <w:iCs/>
        </w:rPr>
        <w:t>se</w:t>
      </w:r>
      <w:proofErr w:type="spellEnd"/>
      <w:r w:rsidRPr="00C702D7">
        <w:rPr>
          <w:rFonts w:hint="eastAsia"/>
        </w:rPr>
        <w:t>为区分低碳试点及非试点地区样本后计算得到的行业层面绿色关注度与行业内其他企业碳排放的交互项。可以看到，</w:t>
      </w:r>
      <w:proofErr w:type="spellStart"/>
      <w:r w:rsidRPr="00C702D7">
        <w:rPr>
          <w:rFonts w:hint="eastAsia"/>
          <w:i/>
          <w:iCs/>
        </w:rPr>
        <w:t>Cmiss_</w:t>
      </w:r>
      <w:r w:rsidRPr="00C702D7">
        <w:rPr>
          <w:i/>
          <w:iCs/>
        </w:rPr>
        <w:t>se</w:t>
      </w:r>
      <w:proofErr w:type="spellEnd"/>
      <w:r w:rsidRPr="00C702D7">
        <w:rPr>
          <w:rFonts w:hint="eastAsia"/>
        </w:rPr>
        <w:t>的回归系数在第（</w:t>
      </w:r>
      <w:r w:rsidRPr="00C702D7">
        <w:t>3</w:t>
      </w:r>
      <w:r w:rsidRPr="00C702D7">
        <w:rPr>
          <w:rFonts w:hint="eastAsia"/>
        </w:rPr>
        <w:t>）列试点地区样本分组结果中显著为负，而在第（</w:t>
      </w:r>
      <w:r w:rsidRPr="00C702D7">
        <w:rPr>
          <w:rFonts w:hint="eastAsia"/>
        </w:rPr>
        <w:t>4</w:t>
      </w:r>
      <w:r w:rsidRPr="00C702D7">
        <w:rPr>
          <w:rFonts w:hint="eastAsia"/>
        </w:rPr>
        <w:t>）列非试点地区样本分组中不显著，说明机构投资者绿色关注的碳减排溢出效应在低碳试点地区更为强烈。表</w:t>
      </w:r>
      <w:r w:rsidRPr="00C702D7">
        <w:t>9</w:t>
      </w:r>
      <w:r w:rsidRPr="00C702D7">
        <w:rPr>
          <w:rFonts w:hint="eastAsia"/>
        </w:rPr>
        <w:t>第（</w:t>
      </w:r>
      <w:r w:rsidRPr="00C702D7">
        <w:rPr>
          <w:rFonts w:hint="eastAsia"/>
        </w:rPr>
        <w:t>5</w:t>
      </w:r>
      <w:r w:rsidRPr="00C702D7">
        <w:rPr>
          <w:rFonts w:hint="eastAsia"/>
        </w:rPr>
        <w:t>）、（</w:t>
      </w:r>
      <w:r w:rsidRPr="00C702D7">
        <w:rPr>
          <w:rFonts w:hint="eastAsia"/>
        </w:rPr>
        <w:t>6</w:t>
      </w:r>
      <w:r w:rsidRPr="00C702D7">
        <w:rPr>
          <w:rFonts w:hint="eastAsia"/>
        </w:rPr>
        <w:t>）列为机构投资者绿色关注与地区碳排放强度的回归结果，可以看到机构投资者绿色关注度（</w:t>
      </w:r>
      <w:r w:rsidRPr="00C702D7">
        <w:rPr>
          <w:rFonts w:hint="eastAsia"/>
          <w:i/>
          <w:iCs/>
        </w:rPr>
        <w:t>G</w:t>
      </w:r>
      <w:r w:rsidRPr="00C702D7">
        <w:rPr>
          <w:i/>
          <w:iCs/>
        </w:rPr>
        <w:t>atten</w:t>
      </w:r>
      <w:r w:rsidRPr="00C702D7">
        <w:rPr>
          <w:rFonts w:hint="eastAsia"/>
        </w:rPr>
        <w:t>）对地区碳排放强度（</w:t>
      </w:r>
      <w:proofErr w:type="spellStart"/>
      <w:r w:rsidRPr="00C702D7">
        <w:rPr>
          <w:rFonts w:hint="eastAsia"/>
          <w:i/>
          <w:iCs/>
        </w:rPr>
        <w:t>Cmiss_city</w:t>
      </w:r>
      <w:proofErr w:type="spellEnd"/>
      <w:r w:rsidRPr="00C702D7">
        <w:rPr>
          <w:rFonts w:hint="eastAsia"/>
        </w:rPr>
        <w:t>）的回归系数仅在低碳试点地区样本中显著为负，而在非试点地区样本中不显著。以上回归结果表明，当企业所处地区为低碳试点地区时，机构投资者绿色关注才能够一定程度上降低地区碳排放强度，而当企业处于非试点地区时，机构投资者绿色关注对区域碳减排的作用有限。</w:t>
      </w:r>
      <w:bookmarkStart w:id="15" w:name="_Hlk146661147"/>
      <w:r w:rsidRPr="00C702D7">
        <w:rPr>
          <w:rFonts w:hint="eastAsia"/>
        </w:rPr>
        <w:t>总体而言，上述结果一定程度上证实低碳试点政策会激发机构投资者对企业绿色活动的关注，增强机构投资者绿色关注的碳减排治理作用及其溢出效应。这对于如何更好将有效市场和有为政府有机结合，共同促进我国绿色经济转型提供了一定政策借鉴。</w:t>
      </w:r>
      <w:bookmarkEnd w:id="15"/>
    </w:p>
    <w:p w14:paraId="37CFB3ED" w14:textId="77777777" w:rsidR="00D457FC" w:rsidRPr="00C702D7" w:rsidRDefault="00D457FC" w:rsidP="00D457FC">
      <w:pPr>
        <w:spacing w:line="400" w:lineRule="exact"/>
        <w:ind w:firstLineChars="0" w:firstLine="0"/>
        <w:jc w:val="center"/>
        <w:rPr>
          <w:rFonts w:ascii="黑体" w:eastAsia="黑体" w:hAnsi="黑体" w:cs="Times New Roman"/>
          <w:bCs/>
          <w:sz w:val="18"/>
          <w:szCs w:val="18"/>
        </w:rPr>
      </w:pPr>
      <w:r w:rsidRPr="00C702D7">
        <w:rPr>
          <w:rFonts w:ascii="黑体" w:eastAsia="黑体" w:hAnsi="黑体" w:cs="Times New Roman" w:hint="eastAsia"/>
          <w:bCs/>
          <w:szCs w:val="21"/>
        </w:rPr>
        <w:t>表</w:t>
      </w:r>
      <w:r w:rsidRPr="00C702D7">
        <w:rPr>
          <w:rFonts w:eastAsia="黑体" w:cs="Times New Roman"/>
          <w:b/>
          <w:szCs w:val="21"/>
        </w:rPr>
        <w:t>9</w:t>
      </w:r>
      <w:r w:rsidRPr="00C702D7">
        <w:rPr>
          <w:rFonts w:ascii="黑体" w:eastAsia="黑体" w:hAnsi="黑体" w:cs="Times New Roman" w:hint="eastAsia"/>
          <w:bCs/>
          <w:szCs w:val="21"/>
        </w:rPr>
        <w:t>低碳城市试点政策影响的检验结果</w:t>
      </w:r>
    </w:p>
    <w:tbl>
      <w:tblPr>
        <w:tblW w:w="5120" w:type="pct"/>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1165"/>
        <w:gridCol w:w="1165"/>
        <w:gridCol w:w="1162"/>
        <w:gridCol w:w="1164"/>
        <w:gridCol w:w="1255"/>
        <w:gridCol w:w="1218"/>
      </w:tblGrid>
      <w:tr w:rsidR="00C702D7" w:rsidRPr="00C702D7" w14:paraId="75C441E0" w14:textId="77777777" w:rsidTr="00B718EA">
        <w:trPr>
          <w:trHeight w:val="280"/>
          <w:jc w:val="center"/>
        </w:trPr>
        <w:tc>
          <w:tcPr>
            <w:tcW w:w="915" w:type="pct"/>
            <w:vMerge w:val="restart"/>
            <w:tcBorders>
              <w:top w:val="single" w:sz="12" w:space="0" w:color="auto"/>
              <w:right w:val="nil"/>
            </w:tcBorders>
            <w:shd w:val="clear" w:color="auto" w:fill="auto"/>
            <w:noWrap/>
            <w:vAlign w:val="center"/>
            <w:hideMark/>
          </w:tcPr>
          <w:p w14:paraId="363659A0" w14:textId="77777777" w:rsidR="00D457FC" w:rsidRPr="00C702D7" w:rsidRDefault="00D457FC" w:rsidP="00B718EA">
            <w:pPr>
              <w:spacing w:line="240" w:lineRule="auto"/>
              <w:ind w:firstLineChars="0" w:firstLine="0"/>
              <w:jc w:val="center"/>
              <w:rPr>
                <w:rFonts w:cs="Times New Roman"/>
                <w:kern w:val="0"/>
                <w:sz w:val="18"/>
                <w:szCs w:val="18"/>
              </w:rPr>
            </w:pPr>
            <w:r w:rsidRPr="00C702D7">
              <w:rPr>
                <w:rFonts w:cs="Times New Roman"/>
                <w:kern w:val="0"/>
                <w:sz w:val="18"/>
                <w:szCs w:val="18"/>
              </w:rPr>
              <w:t>变量</w:t>
            </w:r>
          </w:p>
        </w:tc>
        <w:tc>
          <w:tcPr>
            <w:tcW w:w="667" w:type="pct"/>
            <w:tcBorders>
              <w:top w:val="single" w:sz="12" w:space="0" w:color="auto"/>
              <w:left w:val="nil"/>
              <w:bottom w:val="single" w:sz="4" w:space="0" w:color="auto"/>
              <w:right w:val="nil"/>
            </w:tcBorders>
            <w:vAlign w:val="center"/>
          </w:tcPr>
          <w:p w14:paraId="5E191063" w14:textId="77777777" w:rsidR="00D457FC" w:rsidRPr="00C702D7" w:rsidRDefault="00D457FC" w:rsidP="00B718EA">
            <w:pPr>
              <w:widowControl/>
              <w:spacing w:line="240" w:lineRule="auto"/>
              <w:ind w:firstLineChars="0" w:firstLine="0"/>
              <w:jc w:val="center"/>
              <w:rPr>
                <w:rFonts w:cs="Times New Roman"/>
                <w:kern w:val="0"/>
                <w:sz w:val="18"/>
                <w:szCs w:val="18"/>
              </w:rPr>
            </w:pPr>
            <w:r w:rsidRPr="00C702D7">
              <w:rPr>
                <w:rFonts w:cs="Times New Roman"/>
                <w:kern w:val="0"/>
                <w:sz w:val="18"/>
                <w:szCs w:val="18"/>
              </w:rPr>
              <w:t>(1)</w:t>
            </w:r>
          </w:p>
        </w:tc>
        <w:tc>
          <w:tcPr>
            <w:tcW w:w="667" w:type="pct"/>
            <w:tcBorders>
              <w:top w:val="single" w:sz="12" w:space="0" w:color="auto"/>
              <w:left w:val="nil"/>
              <w:bottom w:val="single" w:sz="4" w:space="0" w:color="auto"/>
              <w:right w:val="nil"/>
            </w:tcBorders>
            <w:vAlign w:val="center"/>
          </w:tcPr>
          <w:p w14:paraId="029687D3" w14:textId="77777777" w:rsidR="00D457FC" w:rsidRPr="00C702D7" w:rsidRDefault="00D457FC" w:rsidP="00B718EA">
            <w:pPr>
              <w:widowControl/>
              <w:spacing w:line="240" w:lineRule="auto"/>
              <w:ind w:firstLineChars="0" w:firstLine="0"/>
              <w:jc w:val="center"/>
              <w:rPr>
                <w:rFonts w:cs="Times New Roman"/>
                <w:kern w:val="0"/>
                <w:sz w:val="18"/>
                <w:szCs w:val="18"/>
              </w:rPr>
            </w:pPr>
            <w:r w:rsidRPr="00C702D7">
              <w:rPr>
                <w:rFonts w:cs="Times New Roman"/>
                <w:kern w:val="0"/>
                <w:sz w:val="18"/>
                <w:szCs w:val="18"/>
              </w:rPr>
              <w:t>(2)</w:t>
            </w:r>
          </w:p>
        </w:tc>
        <w:tc>
          <w:tcPr>
            <w:tcW w:w="666" w:type="pct"/>
            <w:tcBorders>
              <w:top w:val="single" w:sz="12" w:space="0" w:color="auto"/>
              <w:left w:val="nil"/>
              <w:bottom w:val="single" w:sz="4" w:space="0" w:color="auto"/>
              <w:right w:val="nil"/>
            </w:tcBorders>
            <w:vAlign w:val="center"/>
          </w:tcPr>
          <w:p w14:paraId="63E565AB"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sz w:val="18"/>
                <w:szCs w:val="18"/>
              </w:rPr>
              <w:t>(3)</w:t>
            </w:r>
          </w:p>
        </w:tc>
        <w:tc>
          <w:tcPr>
            <w:tcW w:w="667" w:type="pct"/>
            <w:tcBorders>
              <w:top w:val="single" w:sz="12" w:space="0" w:color="auto"/>
              <w:left w:val="nil"/>
              <w:bottom w:val="single" w:sz="4" w:space="0" w:color="auto"/>
              <w:right w:val="nil"/>
            </w:tcBorders>
            <w:vAlign w:val="center"/>
          </w:tcPr>
          <w:p w14:paraId="727A3DEB"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sz w:val="18"/>
                <w:szCs w:val="18"/>
              </w:rPr>
              <w:t>(4)</w:t>
            </w:r>
          </w:p>
        </w:tc>
        <w:tc>
          <w:tcPr>
            <w:tcW w:w="719" w:type="pct"/>
            <w:tcBorders>
              <w:top w:val="single" w:sz="12" w:space="0" w:color="auto"/>
              <w:left w:val="nil"/>
              <w:bottom w:val="single" w:sz="4" w:space="0" w:color="auto"/>
              <w:right w:val="nil"/>
            </w:tcBorders>
            <w:vAlign w:val="center"/>
          </w:tcPr>
          <w:p w14:paraId="56A64752"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sz w:val="18"/>
                <w:szCs w:val="18"/>
              </w:rPr>
              <w:t>(5)</w:t>
            </w:r>
          </w:p>
        </w:tc>
        <w:tc>
          <w:tcPr>
            <w:tcW w:w="698" w:type="pct"/>
            <w:tcBorders>
              <w:top w:val="single" w:sz="12" w:space="0" w:color="auto"/>
              <w:left w:val="nil"/>
              <w:bottom w:val="single" w:sz="4" w:space="0" w:color="auto"/>
              <w:right w:val="nil"/>
            </w:tcBorders>
            <w:vAlign w:val="center"/>
          </w:tcPr>
          <w:p w14:paraId="440B04CF"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sz w:val="18"/>
                <w:szCs w:val="18"/>
              </w:rPr>
              <w:t>(6)</w:t>
            </w:r>
          </w:p>
        </w:tc>
      </w:tr>
      <w:tr w:rsidR="00C702D7" w:rsidRPr="00C702D7" w14:paraId="6C54EE5E" w14:textId="77777777" w:rsidTr="00B718EA">
        <w:trPr>
          <w:trHeight w:val="280"/>
          <w:jc w:val="center"/>
        </w:trPr>
        <w:tc>
          <w:tcPr>
            <w:tcW w:w="915" w:type="pct"/>
            <w:vMerge/>
            <w:tcBorders>
              <w:bottom w:val="single" w:sz="4" w:space="0" w:color="auto"/>
              <w:right w:val="nil"/>
            </w:tcBorders>
            <w:shd w:val="clear" w:color="auto" w:fill="auto"/>
            <w:noWrap/>
            <w:vAlign w:val="center"/>
          </w:tcPr>
          <w:p w14:paraId="052035ED" w14:textId="77777777" w:rsidR="00D457FC" w:rsidRPr="00C702D7" w:rsidRDefault="00D457FC" w:rsidP="00B718EA">
            <w:pPr>
              <w:widowControl/>
              <w:spacing w:line="240" w:lineRule="auto"/>
              <w:ind w:firstLineChars="0" w:firstLine="0"/>
              <w:jc w:val="center"/>
              <w:rPr>
                <w:rFonts w:cs="Times New Roman"/>
                <w:kern w:val="0"/>
                <w:sz w:val="18"/>
                <w:szCs w:val="18"/>
              </w:rPr>
            </w:pPr>
          </w:p>
        </w:tc>
        <w:tc>
          <w:tcPr>
            <w:tcW w:w="667" w:type="pct"/>
            <w:tcBorders>
              <w:top w:val="single" w:sz="4" w:space="0" w:color="auto"/>
              <w:left w:val="nil"/>
              <w:right w:val="nil"/>
            </w:tcBorders>
            <w:vAlign w:val="center"/>
          </w:tcPr>
          <w:p w14:paraId="3FC168D7" w14:textId="77777777" w:rsidR="00D457FC" w:rsidRPr="00C702D7" w:rsidRDefault="00D457FC" w:rsidP="00B718EA">
            <w:pPr>
              <w:widowControl/>
              <w:spacing w:line="240" w:lineRule="auto"/>
              <w:ind w:firstLineChars="0" w:firstLine="0"/>
              <w:jc w:val="center"/>
              <w:rPr>
                <w:rFonts w:cs="Times New Roman"/>
                <w:sz w:val="18"/>
                <w:szCs w:val="18"/>
              </w:rPr>
            </w:pPr>
            <w:proofErr w:type="spellStart"/>
            <w:r w:rsidRPr="00C702D7">
              <w:rPr>
                <w:rFonts w:cs="Times New Roman"/>
                <w:i/>
                <w:iCs/>
                <w:sz w:val="18"/>
                <w:szCs w:val="18"/>
              </w:rPr>
              <w:t>Cmiss_total</w:t>
            </w:r>
            <w:proofErr w:type="spellEnd"/>
          </w:p>
        </w:tc>
        <w:tc>
          <w:tcPr>
            <w:tcW w:w="667" w:type="pct"/>
            <w:tcBorders>
              <w:top w:val="single" w:sz="4" w:space="0" w:color="auto"/>
              <w:left w:val="nil"/>
              <w:bottom w:val="single" w:sz="4" w:space="0" w:color="auto"/>
              <w:right w:val="nil"/>
            </w:tcBorders>
            <w:vAlign w:val="center"/>
          </w:tcPr>
          <w:p w14:paraId="79DFCC3B" w14:textId="77777777" w:rsidR="00D457FC" w:rsidRPr="00C702D7" w:rsidRDefault="00D457FC" w:rsidP="00B718EA">
            <w:pPr>
              <w:widowControl/>
              <w:spacing w:line="240" w:lineRule="auto"/>
              <w:ind w:firstLineChars="0" w:firstLine="0"/>
              <w:jc w:val="center"/>
              <w:rPr>
                <w:rFonts w:cs="Times New Roman"/>
                <w:sz w:val="18"/>
                <w:szCs w:val="18"/>
              </w:rPr>
            </w:pPr>
            <w:proofErr w:type="spellStart"/>
            <w:r w:rsidRPr="00C702D7">
              <w:rPr>
                <w:rFonts w:cs="Times New Roman"/>
                <w:i/>
                <w:iCs/>
                <w:sz w:val="18"/>
                <w:szCs w:val="18"/>
              </w:rPr>
              <w:t>Cmiss_total</w:t>
            </w:r>
            <w:proofErr w:type="spellEnd"/>
          </w:p>
        </w:tc>
        <w:tc>
          <w:tcPr>
            <w:tcW w:w="666" w:type="pct"/>
            <w:tcBorders>
              <w:top w:val="single" w:sz="4" w:space="0" w:color="auto"/>
              <w:left w:val="nil"/>
              <w:bottom w:val="single" w:sz="4" w:space="0" w:color="auto"/>
              <w:right w:val="nil"/>
            </w:tcBorders>
            <w:vAlign w:val="center"/>
          </w:tcPr>
          <w:p w14:paraId="19AAE241" w14:textId="77777777" w:rsidR="00D457FC" w:rsidRPr="00C702D7" w:rsidRDefault="00D457FC" w:rsidP="00B718EA">
            <w:pPr>
              <w:widowControl/>
              <w:spacing w:line="240" w:lineRule="auto"/>
              <w:ind w:firstLineChars="0" w:firstLine="0"/>
              <w:jc w:val="center"/>
              <w:rPr>
                <w:rFonts w:cs="Times New Roman"/>
                <w:i/>
                <w:iCs/>
                <w:sz w:val="18"/>
                <w:szCs w:val="18"/>
              </w:rPr>
            </w:pPr>
            <w:proofErr w:type="spellStart"/>
            <w:r w:rsidRPr="00C702D7">
              <w:rPr>
                <w:rFonts w:cs="Times New Roman"/>
                <w:i/>
                <w:iCs/>
                <w:sz w:val="18"/>
                <w:szCs w:val="18"/>
              </w:rPr>
              <w:t>Cmiss_total</w:t>
            </w:r>
            <w:proofErr w:type="spellEnd"/>
          </w:p>
        </w:tc>
        <w:tc>
          <w:tcPr>
            <w:tcW w:w="667" w:type="pct"/>
            <w:tcBorders>
              <w:top w:val="single" w:sz="4" w:space="0" w:color="auto"/>
              <w:left w:val="nil"/>
              <w:bottom w:val="single" w:sz="4" w:space="0" w:color="auto"/>
              <w:right w:val="nil"/>
            </w:tcBorders>
            <w:vAlign w:val="center"/>
          </w:tcPr>
          <w:p w14:paraId="4BB6A3F7" w14:textId="77777777" w:rsidR="00D457FC" w:rsidRPr="00C702D7" w:rsidRDefault="00D457FC" w:rsidP="00B718EA">
            <w:pPr>
              <w:widowControl/>
              <w:spacing w:line="240" w:lineRule="auto"/>
              <w:ind w:firstLineChars="0" w:firstLine="0"/>
              <w:jc w:val="center"/>
              <w:rPr>
                <w:rFonts w:cs="Times New Roman"/>
                <w:i/>
                <w:iCs/>
                <w:sz w:val="18"/>
                <w:szCs w:val="18"/>
              </w:rPr>
            </w:pPr>
            <w:proofErr w:type="spellStart"/>
            <w:r w:rsidRPr="00C702D7">
              <w:rPr>
                <w:rFonts w:cs="Times New Roman"/>
                <w:i/>
                <w:iCs/>
                <w:sz w:val="18"/>
                <w:szCs w:val="18"/>
              </w:rPr>
              <w:t>Cmiss_total</w:t>
            </w:r>
            <w:proofErr w:type="spellEnd"/>
          </w:p>
        </w:tc>
        <w:tc>
          <w:tcPr>
            <w:tcW w:w="719" w:type="pct"/>
            <w:tcBorders>
              <w:top w:val="single" w:sz="4" w:space="0" w:color="auto"/>
              <w:left w:val="nil"/>
              <w:bottom w:val="single" w:sz="4" w:space="0" w:color="auto"/>
              <w:right w:val="nil"/>
            </w:tcBorders>
            <w:vAlign w:val="center"/>
          </w:tcPr>
          <w:p w14:paraId="38BD1818" w14:textId="77777777" w:rsidR="00D457FC" w:rsidRPr="00C702D7" w:rsidRDefault="00D457FC" w:rsidP="00B718EA">
            <w:pPr>
              <w:widowControl/>
              <w:spacing w:line="240" w:lineRule="auto"/>
              <w:ind w:firstLineChars="0" w:firstLine="0"/>
              <w:jc w:val="center"/>
              <w:rPr>
                <w:rFonts w:cs="Times New Roman"/>
                <w:sz w:val="18"/>
                <w:szCs w:val="18"/>
              </w:rPr>
            </w:pPr>
            <w:proofErr w:type="spellStart"/>
            <w:r w:rsidRPr="00C702D7">
              <w:rPr>
                <w:rFonts w:cs="Times New Roman"/>
                <w:i/>
                <w:iCs/>
                <w:sz w:val="18"/>
                <w:szCs w:val="18"/>
              </w:rPr>
              <w:t>Cmiss_city</w:t>
            </w:r>
            <w:proofErr w:type="spellEnd"/>
          </w:p>
        </w:tc>
        <w:tc>
          <w:tcPr>
            <w:tcW w:w="698" w:type="pct"/>
            <w:tcBorders>
              <w:top w:val="single" w:sz="4" w:space="0" w:color="auto"/>
              <w:left w:val="nil"/>
              <w:bottom w:val="single" w:sz="4" w:space="0" w:color="auto"/>
              <w:right w:val="nil"/>
            </w:tcBorders>
            <w:vAlign w:val="center"/>
          </w:tcPr>
          <w:p w14:paraId="495210A2" w14:textId="77777777" w:rsidR="00D457FC" w:rsidRPr="00C702D7" w:rsidRDefault="00D457FC" w:rsidP="00B718EA">
            <w:pPr>
              <w:widowControl/>
              <w:spacing w:line="240" w:lineRule="auto"/>
              <w:ind w:firstLineChars="0" w:firstLine="0"/>
              <w:jc w:val="center"/>
              <w:rPr>
                <w:rFonts w:cs="Times New Roman"/>
                <w:sz w:val="18"/>
                <w:szCs w:val="18"/>
              </w:rPr>
            </w:pPr>
            <w:proofErr w:type="spellStart"/>
            <w:r w:rsidRPr="00C702D7">
              <w:rPr>
                <w:rFonts w:cs="Times New Roman"/>
                <w:i/>
                <w:iCs/>
                <w:sz w:val="18"/>
                <w:szCs w:val="18"/>
              </w:rPr>
              <w:t>Cmiss_city</w:t>
            </w:r>
            <w:proofErr w:type="spellEnd"/>
          </w:p>
        </w:tc>
      </w:tr>
      <w:tr w:rsidR="00C702D7" w:rsidRPr="00C702D7" w14:paraId="5EE96850" w14:textId="77777777" w:rsidTr="00B718EA">
        <w:trPr>
          <w:trHeight w:val="280"/>
          <w:jc w:val="center"/>
        </w:trPr>
        <w:tc>
          <w:tcPr>
            <w:tcW w:w="915" w:type="pct"/>
            <w:vMerge/>
            <w:tcBorders>
              <w:bottom w:val="single" w:sz="4" w:space="0" w:color="auto"/>
              <w:right w:val="nil"/>
            </w:tcBorders>
            <w:shd w:val="clear" w:color="auto" w:fill="auto"/>
            <w:noWrap/>
            <w:vAlign w:val="center"/>
            <w:hideMark/>
          </w:tcPr>
          <w:p w14:paraId="11496BFC" w14:textId="77777777" w:rsidR="00D457FC" w:rsidRPr="00C702D7" w:rsidRDefault="00D457FC" w:rsidP="00B718EA">
            <w:pPr>
              <w:widowControl/>
              <w:spacing w:line="240" w:lineRule="auto"/>
              <w:ind w:firstLineChars="0" w:firstLine="0"/>
              <w:jc w:val="center"/>
              <w:rPr>
                <w:rFonts w:cs="Times New Roman"/>
                <w:kern w:val="0"/>
                <w:sz w:val="18"/>
                <w:szCs w:val="18"/>
              </w:rPr>
            </w:pPr>
          </w:p>
        </w:tc>
        <w:tc>
          <w:tcPr>
            <w:tcW w:w="667" w:type="pct"/>
            <w:tcBorders>
              <w:left w:val="nil"/>
              <w:bottom w:val="single" w:sz="4" w:space="0" w:color="auto"/>
              <w:right w:val="nil"/>
            </w:tcBorders>
            <w:vAlign w:val="center"/>
          </w:tcPr>
          <w:p w14:paraId="48C06250" w14:textId="77777777" w:rsidR="00D457FC" w:rsidRPr="00C702D7" w:rsidRDefault="00D457FC" w:rsidP="00B718EA">
            <w:pPr>
              <w:widowControl/>
              <w:spacing w:line="240" w:lineRule="auto"/>
              <w:ind w:firstLineChars="0" w:firstLine="0"/>
              <w:jc w:val="center"/>
              <w:rPr>
                <w:rFonts w:cs="Times New Roman"/>
                <w:kern w:val="0"/>
                <w:sz w:val="18"/>
                <w:szCs w:val="18"/>
              </w:rPr>
            </w:pPr>
            <w:r w:rsidRPr="00C702D7">
              <w:rPr>
                <w:rFonts w:cs="Times New Roman"/>
                <w:sz w:val="18"/>
                <w:szCs w:val="18"/>
              </w:rPr>
              <w:t>低碳试点地区</w:t>
            </w:r>
          </w:p>
        </w:tc>
        <w:tc>
          <w:tcPr>
            <w:tcW w:w="667" w:type="pct"/>
            <w:tcBorders>
              <w:left w:val="nil"/>
              <w:bottom w:val="single" w:sz="4" w:space="0" w:color="auto"/>
              <w:right w:val="nil"/>
            </w:tcBorders>
            <w:vAlign w:val="center"/>
          </w:tcPr>
          <w:p w14:paraId="178860A5"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sz w:val="18"/>
                <w:szCs w:val="18"/>
              </w:rPr>
              <w:t>非试点地区</w:t>
            </w:r>
          </w:p>
        </w:tc>
        <w:tc>
          <w:tcPr>
            <w:tcW w:w="666" w:type="pct"/>
            <w:tcBorders>
              <w:left w:val="nil"/>
              <w:bottom w:val="single" w:sz="4" w:space="0" w:color="auto"/>
              <w:right w:val="nil"/>
            </w:tcBorders>
            <w:vAlign w:val="center"/>
          </w:tcPr>
          <w:p w14:paraId="65F05BA7"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sz w:val="18"/>
                <w:szCs w:val="18"/>
              </w:rPr>
              <w:t>低碳试点地区</w:t>
            </w:r>
          </w:p>
        </w:tc>
        <w:tc>
          <w:tcPr>
            <w:tcW w:w="667" w:type="pct"/>
            <w:tcBorders>
              <w:left w:val="nil"/>
              <w:bottom w:val="single" w:sz="4" w:space="0" w:color="auto"/>
              <w:right w:val="nil"/>
            </w:tcBorders>
            <w:vAlign w:val="center"/>
          </w:tcPr>
          <w:p w14:paraId="50F8FAF8"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sz w:val="18"/>
                <w:szCs w:val="18"/>
              </w:rPr>
              <w:t>非试点地区</w:t>
            </w:r>
          </w:p>
        </w:tc>
        <w:tc>
          <w:tcPr>
            <w:tcW w:w="719" w:type="pct"/>
            <w:tcBorders>
              <w:left w:val="nil"/>
              <w:bottom w:val="single" w:sz="4" w:space="0" w:color="auto"/>
              <w:right w:val="nil"/>
            </w:tcBorders>
            <w:vAlign w:val="center"/>
          </w:tcPr>
          <w:p w14:paraId="7AC0EC1C"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sz w:val="18"/>
                <w:szCs w:val="18"/>
              </w:rPr>
              <w:t>低碳试点地区</w:t>
            </w:r>
          </w:p>
        </w:tc>
        <w:tc>
          <w:tcPr>
            <w:tcW w:w="698" w:type="pct"/>
            <w:tcBorders>
              <w:left w:val="nil"/>
              <w:bottom w:val="single" w:sz="4" w:space="0" w:color="auto"/>
              <w:right w:val="nil"/>
            </w:tcBorders>
            <w:vAlign w:val="center"/>
          </w:tcPr>
          <w:p w14:paraId="562EDD37"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sz w:val="18"/>
                <w:szCs w:val="18"/>
              </w:rPr>
              <w:t>非试点地区</w:t>
            </w:r>
          </w:p>
        </w:tc>
      </w:tr>
      <w:tr w:rsidR="00C702D7" w:rsidRPr="00C702D7" w14:paraId="2719EC7B" w14:textId="77777777" w:rsidTr="00B718EA">
        <w:trPr>
          <w:trHeight w:val="280"/>
          <w:jc w:val="center"/>
        </w:trPr>
        <w:tc>
          <w:tcPr>
            <w:tcW w:w="915" w:type="pct"/>
            <w:vMerge w:val="restart"/>
            <w:tcBorders>
              <w:top w:val="nil"/>
              <w:right w:val="nil"/>
            </w:tcBorders>
            <w:shd w:val="clear" w:color="auto" w:fill="auto"/>
            <w:noWrap/>
            <w:vAlign w:val="center"/>
          </w:tcPr>
          <w:p w14:paraId="3B539D07" w14:textId="77777777" w:rsidR="00D457FC" w:rsidRPr="00C702D7" w:rsidRDefault="00D457FC" w:rsidP="00B718EA">
            <w:pPr>
              <w:widowControl/>
              <w:spacing w:line="240" w:lineRule="auto"/>
              <w:ind w:firstLineChars="0" w:firstLine="0"/>
              <w:jc w:val="center"/>
              <w:rPr>
                <w:rFonts w:cs="Times New Roman"/>
                <w:i/>
                <w:iCs/>
                <w:kern w:val="0"/>
                <w:sz w:val="18"/>
                <w:szCs w:val="18"/>
              </w:rPr>
            </w:pPr>
            <w:r w:rsidRPr="00C702D7">
              <w:rPr>
                <w:rFonts w:cs="Times New Roman"/>
                <w:i/>
                <w:iCs/>
                <w:kern w:val="0"/>
                <w:sz w:val="18"/>
                <w:szCs w:val="18"/>
              </w:rPr>
              <w:t>Gatten</w:t>
            </w:r>
          </w:p>
        </w:tc>
        <w:tc>
          <w:tcPr>
            <w:tcW w:w="667" w:type="pct"/>
            <w:tcBorders>
              <w:top w:val="nil"/>
              <w:left w:val="nil"/>
              <w:bottom w:val="nil"/>
              <w:right w:val="nil"/>
            </w:tcBorders>
            <w:vAlign w:val="bottom"/>
          </w:tcPr>
          <w:p w14:paraId="11BBF8D3"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-0.0145</w:t>
            </w:r>
            <w:r w:rsidRPr="00C702D7">
              <w:rPr>
                <w:rFonts w:cs="Times New Roman" w:hint="eastAsia"/>
                <w:sz w:val="18"/>
                <w:szCs w:val="18"/>
                <w:vertAlign w:val="superscript"/>
              </w:rPr>
              <w:t>***</w:t>
            </w:r>
          </w:p>
        </w:tc>
        <w:tc>
          <w:tcPr>
            <w:tcW w:w="667" w:type="pct"/>
            <w:tcBorders>
              <w:top w:val="nil"/>
              <w:left w:val="nil"/>
              <w:bottom w:val="nil"/>
              <w:right w:val="nil"/>
            </w:tcBorders>
            <w:shd w:val="clear" w:color="auto" w:fill="auto"/>
            <w:noWrap/>
            <w:vAlign w:val="bottom"/>
          </w:tcPr>
          <w:p w14:paraId="734583FA"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0.0058</w:t>
            </w:r>
          </w:p>
        </w:tc>
        <w:tc>
          <w:tcPr>
            <w:tcW w:w="666" w:type="pct"/>
            <w:vMerge w:val="restart"/>
            <w:tcBorders>
              <w:top w:val="nil"/>
              <w:left w:val="nil"/>
              <w:right w:val="nil"/>
            </w:tcBorders>
            <w:vAlign w:val="center"/>
          </w:tcPr>
          <w:p w14:paraId="4CE4F90B"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w:t>
            </w:r>
          </w:p>
        </w:tc>
        <w:tc>
          <w:tcPr>
            <w:tcW w:w="667" w:type="pct"/>
            <w:vMerge w:val="restart"/>
            <w:tcBorders>
              <w:top w:val="nil"/>
              <w:left w:val="nil"/>
              <w:right w:val="nil"/>
            </w:tcBorders>
            <w:vAlign w:val="center"/>
          </w:tcPr>
          <w:p w14:paraId="0732F224"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w:t>
            </w:r>
          </w:p>
        </w:tc>
        <w:tc>
          <w:tcPr>
            <w:tcW w:w="719" w:type="pct"/>
            <w:tcBorders>
              <w:top w:val="nil"/>
              <w:left w:val="nil"/>
              <w:bottom w:val="nil"/>
              <w:right w:val="nil"/>
            </w:tcBorders>
            <w:vAlign w:val="center"/>
          </w:tcPr>
          <w:p w14:paraId="48800C12"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sz w:val="18"/>
                <w:szCs w:val="18"/>
              </w:rPr>
              <w:t>-0.1284</w:t>
            </w:r>
            <w:r w:rsidRPr="00C702D7">
              <w:rPr>
                <w:rFonts w:cs="Times New Roman"/>
                <w:sz w:val="18"/>
                <w:szCs w:val="18"/>
                <w:vertAlign w:val="superscript"/>
              </w:rPr>
              <w:t>*</w:t>
            </w:r>
          </w:p>
        </w:tc>
        <w:tc>
          <w:tcPr>
            <w:tcW w:w="698" w:type="pct"/>
            <w:tcBorders>
              <w:top w:val="nil"/>
              <w:left w:val="nil"/>
              <w:bottom w:val="nil"/>
              <w:right w:val="nil"/>
            </w:tcBorders>
            <w:vAlign w:val="center"/>
          </w:tcPr>
          <w:p w14:paraId="735BE2D5"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sz w:val="18"/>
                <w:szCs w:val="18"/>
              </w:rPr>
              <w:t>-0.1159</w:t>
            </w:r>
          </w:p>
        </w:tc>
      </w:tr>
      <w:tr w:rsidR="00C702D7" w:rsidRPr="00C702D7" w14:paraId="145A48DD" w14:textId="77777777" w:rsidTr="00B718EA">
        <w:trPr>
          <w:trHeight w:val="280"/>
          <w:jc w:val="center"/>
        </w:trPr>
        <w:tc>
          <w:tcPr>
            <w:tcW w:w="915" w:type="pct"/>
            <w:vMerge/>
            <w:tcBorders>
              <w:bottom w:val="nil"/>
              <w:right w:val="nil"/>
            </w:tcBorders>
            <w:shd w:val="clear" w:color="auto" w:fill="auto"/>
            <w:noWrap/>
            <w:vAlign w:val="center"/>
          </w:tcPr>
          <w:p w14:paraId="28920220" w14:textId="77777777" w:rsidR="00D457FC" w:rsidRPr="00C702D7" w:rsidRDefault="00D457FC" w:rsidP="00B718EA">
            <w:pPr>
              <w:widowControl/>
              <w:spacing w:line="240" w:lineRule="auto"/>
              <w:ind w:firstLineChars="0" w:firstLine="0"/>
              <w:jc w:val="center"/>
              <w:rPr>
                <w:rFonts w:cs="Times New Roman"/>
                <w:i/>
                <w:iCs/>
                <w:kern w:val="0"/>
                <w:sz w:val="18"/>
                <w:szCs w:val="18"/>
              </w:rPr>
            </w:pPr>
          </w:p>
        </w:tc>
        <w:tc>
          <w:tcPr>
            <w:tcW w:w="667" w:type="pct"/>
            <w:tcBorders>
              <w:top w:val="nil"/>
              <w:left w:val="nil"/>
              <w:bottom w:val="nil"/>
              <w:right w:val="nil"/>
            </w:tcBorders>
            <w:vAlign w:val="bottom"/>
          </w:tcPr>
          <w:p w14:paraId="04685E7E"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(-3.7715)</w:t>
            </w:r>
          </w:p>
        </w:tc>
        <w:tc>
          <w:tcPr>
            <w:tcW w:w="667" w:type="pct"/>
            <w:tcBorders>
              <w:top w:val="nil"/>
              <w:left w:val="nil"/>
              <w:bottom w:val="nil"/>
              <w:right w:val="nil"/>
            </w:tcBorders>
            <w:shd w:val="clear" w:color="auto" w:fill="auto"/>
            <w:noWrap/>
            <w:vAlign w:val="bottom"/>
          </w:tcPr>
          <w:p w14:paraId="32FDCB96"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(1.3474)</w:t>
            </w:r>
          </w:p>
        </w:tc>
        <w:tc>
          <w:tcPr>
            <w:tcW w:w="666" w:type="pct"/>
            <w:vMerge/>
            <w:tcBorders>
              <w:left w:val="nil"/>
              <w:bottom w:val="nil"/>
              <w:right w:val="nil"/>
            </w:tcBorders>
            <w:vAlign w:val="center"/>
          </w:tcPr>
          <w:p w14:paraId="4D77FBBA" w14:textId="77777777" w:rsidR="00D457FC" w:rsidRPr="00C702D7" w:rsidRDefault="00D457FC" w:rsidP="00B718EA">
            <w:pPr>
              <w:widowControl/>
              <w:spacing w:line="240" w:lineRule="auto"/>
              <w:ind w:firstLineChars="0" w:firstLine="0"/>
              <w:jc w:val="center"/>
              <w:rPr>
                <w:rFonts w:cs="Times New Roman"/>
                <w:sz w:val="18"/>
                <w:szCs w:val="18"/>
              </w:rPr>
            </w:pPr>
          </w:p>
        </w:tc>
        <w:tc>
          <w:tcPr>
            <w:tcW w:w="667" w:type="pct"/>
            <w:vMerge/>
            <w:tcBorders>
              <w:left w:val="nil"/>
              <w:bottom w:val="nil"/>
              <w:right w:val="nil"/>
            </w:tcBorders>
            <w:vAlign w:val="center"/>
          </w:tcPr>
          <w:p w14:paraId="0F00FE4B" w14:textId="77777777" w:rsidR="00D457FC" w:rsidRPr="00C702D7" w:rsidRDefault="00D457FC" w:rsidP="00B718EA">
            <w:pPr>
              <w:widowControl/>
              <w:spacing w:line="240" w:lineRule="auto"/>
              <w:ind w:firstLineChars="0" w:firstLine="0"/>
              <w:jc w:val="center"/>
              <w:rPr>
                <w:rFonts w:cs="Times New Roman"/>
                <w:sz w:val="18"/>
                <w:szCs w:val="18"/>
              </w:rPr>
            </w:pPr>
          </w:p>
        </w:tc>
        <w:tc>
          <w:tcPr>
            <w:tcW w:w="719" w:type="pct"/>
            <w:tcBorders>
              <w:top w:val="nil"/>
              <w:left w:val="nil"/>
              <w:bottom w:val="nil"/>
              <w:right w:val="nil"/>
            </w:tcBorders>
            <w:vAlign w:val="center"/>
          </w:tcPr>
          <w:p w14:paraId="3428300E"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sz w:val="18"/>
                <w:szCs w:val="18"/>
              </w:rPr>
              <w:t>(-1.7708)</w:t>
            </w:r>
          </w:p>
        </w:tc>
        <w:tc>
          <w:tcPr>
            <w:tcW w:w="698" w:type="pct"/>
            <w:tcBorders>
              <w:top w:val="nil"/>
              <w:left w:val="nil"/>
              <w:bottom w:val="nil"/>
              <w:right w:val="nil"/>
            </w:tcBorders>
            <w:vAlign w:val="center"/>
          </w:tcPr>
          <w:p w14:paraId="04C85465"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sz w:val="18"/>
                <w:szCs w:val="18"/>
              </w:rPr>
              <w:t>(-1.1957)</w:t>
            </w:r>
          </w:p>
        </w:tc>
      </w:tr>
      <w:tr w:rsidR="00C702D7" w:rsidRPr="00C702D7" w14:paraId="0B394D58" w14:textId="77777777" w:rsidTr="00B718EA">
        <w:trPr>
          <w:trHeight w:val="280"/>
          <w:jc w:val="center"/>
        </w:trPr>
        <w:tc>
          <w:tcPr>
            <w:tcW w:w="915" w:type="pct"/>
            <w:vMerge w:val="restart"/>
            <w:tcBorders>
              <w:top w:val="nil"/>
              <w:right w:val="nil"/>
            </w:tcBorders>
            <w:shd w:val="clear" w:color="auto" w:fill="auto"/>
            <w:noWrap/>
            <w:vAlign w:val="center"/>
          </w:tcPr>
          <w:p w14:paraId="66A9F32A" w14:textId="77777777" w:rsidR="00D457FC" w:rsidRPr="00C702D7" w:rsidRDefault="00D457FC" w:rsidP="00B718EA">
            <w:pPr>
              <w:widowControl/>
              <w:spacing w:line="240" w:lineRule="auto"/>
              <w:ind w:firstLineChars="0" w:firstLine="0"/>
              <w:jc w:val="center"/>
              <w:rPr>
                <w:rFonts w:cs="Times New Roman"/>
                <w:i/>
                <w:iCs/>
                <w:kern w:val="0"/>
                <w:sz w:val="18"/>
                <w:szCs w:val="18"/>
              </w:rPr>
            </w:pPr>
            <w:proofErr w:type="spellStart"/>
            <w:r w:rsidRPr="00C702D7">
              <w:rPr>
                <w:rFonts w:cs="Times New Roman" w:hint="eastAsia"/>
                <w:i/>
                <w:iCs/>
                <w:kern w:val="0"/>
                <w:sz w:val="18"/>
                <w:szCs w:val="18"/>
              </w:rPr>
              <w:t>Cmiss_se</w:t>
            </w:r>
            <w:proofErr w:type="spellEnd"/>
          </w:p>
        </w:tc>
        <w:tc>
          <w:tcPr>
            <w:tcW w:w="667" w:type="pct"/>
            <w:vMerge w:val="restart"/>
            <w:tcBorders>
              <w:top w:val="nil"/>
              <w:left w:val="nil"/>
              <w:right w:val="nil"/>
            </w:tcBorders>
            <w:vAlign w:val="center"/>
          </w:tcPr>
          <w:p w14:paraId="20E28AE5"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w:t>
            </w:r>
          </w:p>
        </w:tc>
        <w:tc>
          <w:tcPr>
            <w:tcW w:w="667" w:type="pct"/>
            <w:vMerge w:val="restart"/>
            <w:tcBorders>
              <w:top w:val="nil"/>
              <w:left w:val="nil"/>
              <w:right w:val="nil"/>
            </w:tcBorders>
            <w:shd w:val="clear" w:color="auto" w:fill="auto"/>
            <w:noWrap/>
            <w:vAlign w:val="center"/>
          </w:tcPr>
          <w:p w14:paraId="2DF7379A"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w:t>
            </w:r>
          </w:p>
        </w:tc>
        <w:tc>
          <w:tcPr>
            <w:tcW w:w="666" w:type="pct"/>
            <w:tcBorders>
              <w:top w:val="nil"/>
              <w:left w:val="nil"/>
              <w:bottom w:val="nil"/>
              <w:right w:val="nil"/>
            </w:tcBorders>
            <w:vAlign w:val="bottom"/>
          </w:tcPr>
          <w:p w14:paraId="001CE292"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-0.0026</w:t>
            </w:r>
            <w:r w:rsidRPr="00C702D7">
              <w:rPr>
                <w:rFonts w:cs="Times New Roman" w:hint="eastAsia"/>
                <w:sz w:val="18"/>
                <w:szCs w:val="18"/>
                <w:vertAlign w:val="superscript"/>
              </w:rPr>
              <w:t>**</w:t>
            </w:r>
          </w:p>
        </w:tc>
        <w:tc>
          <w:tcPr>
            <w:tcW w:w="667" w:type="pct"/>
            <w:tcBorders>
              <w:top w:val="nil"/>
              <w:left w:val="nil"/>
              <w:bottom w:val="nil"/>
              <w:right w:val="nil"/>
            </w:tcBorders>
            <w:vAlign w:val="bottom"/>
          </w:tcPr>
          <w:p w14:paraId="6F2CA36C"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0.0037</w:t>
            </w:r>
          </w:p>
        </w:tc>
        <w:tc>
          <w:tcPr>
            <w:tcW w:w="719" w:type="pct"/>
            <w:vMerge w:val="restart"/>
            <w:tcBorders>
              <w:top w:val="nil"/>
              <w:left w:val="nil"/>
              <w:right w:val="nil"/>
            </w:tcBorders>
            <w:vAlign w:val="center"/>
          </w:tcPr>
          <w:p w14:paraId="1E8662C5"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w:t>
            </w:r>
          </w:p>
        </w:tc>
        <w:tc>
          <w:tcPr>
            <w:tcW w:w="698" w:type="pct"/>
            <w:vMerge w:val="restart"/>
            <w:tcBorders>
              <w:top w:val="nil"/>
              <w:left w:val="nil"/>
              <w:right w:val="nil"/>
            </w:tcBorders>
            <w:vAlign w:val="center"/>
          </w:tcPr>
          <w:p w14:paraId="2487DD16"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w:t>
            </w:r>
          </w:p>
        </w:tc>
      </w:tr>
      <w:tr w:rsidR="00C702D7" w:rsidRPr="00C702D7" w14:paraId="54C65920" w14:textId="77777777" w:rsidTr="00B718EA">
        <w:trPr>
          <w:trHeight w:val="280"/>
          <w:jc w:val="center"/>
        </w:trPr>
        <w:tc>
          <w:tcPr>
            <w:tcW w:w="915" w:type="pct"/>
            <w:vMerge/>
            <w:tcBorders>
              <w:bottom w:val="nil"/>
              <w:right w:val="nil"/>
            </w:tcBorders>
            <w:shd w:val="clear" w:color="auto" w:fill="auto"/>
            <w:noWrap/>
            <w:vAlign w:val="center"/>
          </w:tcPr>
          <w:p w14:paraId="3058CCDC" w14:textId="77777777" w:rsidR="00D457FC" w:rsidRPr="00C702D7" w:rsidRDefault="00D457FC" w:rsidP="00B718EA">
            <w:pPr>
              <w:widowControl/>
              <w:spacing w:line="240" w:lineRule="auto"/>
              <w:ind w:firstLineChars="0" w:firstLine="0"/>
              <w:jc w:val="center"/>
              <w:rPr>
                <w:rFonts w:cs="Times New Roman"/>
                <w:i/>
                <w:iCs/>
                <w:kern w:val="0"/>
                <w:sz w:val="18"/>
                <w:szCs w:val="18"/>
              </w:rPr>
            </w:pPr>
          </w:p>
        </w:tc>
        <w:tc>
          <w:tcPr>
            <w:tcW w:w="667" w:type="pct"/>
            <w:vMerge/>
            <w:tcBorders>
              <w:left w:val="nil"/>
              <w:bottom w:val="nil"/>
              <w:right w:val="nil"/>
            </w:tcBorders>
            <w:vAlign w:val="center"/>
          </w:tcPr>
          <w:p w14:paraId="59B7EDFC" w14:textId="77777777" w:rsidR="00D457FC" w:rsidRPr="00C702D7" w:rsidRDefault="00D457FC" w:rsidP="00B718EA">
            <w:pPr>
              <w:widowControl/>
              <w:spacing w:line="240" w:lineRule="auto"/>
              <w:ind w:firstLineChars="0" w:firstLine="0"/>
              <w:jc w:val="center"/>
              <w:rPr>
                <w:rFonts w:cs="Times New Roman"/>
                <w:sz w:val="18"/>
                <w:szCs w:val="18"/>
              </w:rPr>
            </w:pPr>
          </w:p>
        </w:tc>
        <w:tc>
          <w:tcPr>
            <w:tcW w:w="667" w:type="pct"/>
            <w:vMerge/>
            <w:tcBorders>
              <w:left w:val="nil"/>
              <w:bottom w:val="nil"/>
              <w:right w:val="nil"/>
            </w:tcBorders>
            <w:shd w:val="clear" w:color="auto" w:fill="auto"/>
            <w:noWrap/>
            <w:vAlign w:val="center"/>
          </w:tcPr>
          <w:p w14:paraId="0031C321" w14:textId="77777777" w:rsidR="00D457FC" w:rsidRPr="00C702D7" w:rsidRDefault="00D457FC" w:rsidP="00B718EA">
            <w:pPr>
              <w:widowControl/>
              <w:spacing w:line="240" w:lineRule="auto"/>
              <w:ind w:firstLineChars="0" w:firstLine="0"/>
              <w:jc w:val="center"/>
              <w:rPr>
                <w:rFonts w:cs="Times New Roman"/>
                <w:sz w:val="18"/>
                <w:szCs w:val="18"/>
              </w:rPr>
            </w:pPr>
          </w:p>
        </w:tc>
        <w:tc>
          <w:tcPr>
            <w:tcW w:w="666" w:type="pct"/>
            <w:tcBorders>
              <w:top w:val="nil"/>
              <w:left w:val="nil"/>
              <w:bottom w:val="nil"/>
              <w:right w:val="nil"/>
            </w:tcBorders>
            <w:vAlign w:val="bottom"/>
          </w:tcPr>
          <w:p w14:paraId="10176FA8"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(-2.3540)</w:t>
            </w:r>
          </w:p>
        </w:tc>
        <w:tc>
          <w:tcPr>
            <w:tcW w:w="667" w:type="pct"/>
            <w:tcBorders>
              <w:top w:val="nil"/>
              <w:left w:val="nil"/>
              <w:bottom w:val="nil"/>
              <w:right w:val="nil"/>
            </w:tcBorders>
            <w:vAlign w:val="bottom"/>
          </w:tcPr>
          <w:p w14:paraId="6E232904"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(1.6919)</w:t>
            </w:r>
          </w:p>
        </w:tc>
        <w:tc>
          <w:tcPr>
            <w:tcW w:w="719" w:type="pct"/>
            <w:vMerge/>
            <w:tcBorders>
              <w:left w:val="nil"/>
              <w:bottom w:val="nil"/>
              <w:right w:val="nil"/>
            </w:tcBorders>
            <w:vAlign w:val="center"/>
          </w:tcPr>
          <w:p w14:paraId="55E9745F" w14:textId="77777777" w:rsidR="00D457FC" w:rsidRPr="00C702D7" w:rsidRDefault="00D457FC" w:rsidP="00B718EA">
            <w:pPr>
              <w:widowControl/>
              <w:spacing w:line="240" w:lineRule="auto"/>
              <w:ind w:firstLineChars="0" w:firstLine="0"/>
              <w:jc w:val="center"/>
              <w:rPr>
                <w:rFonts w:cs="Times New Roman"/>
                <w:sz w:val="18"/>
                <w:szCs w:val="18"/>
              </w:rPr>
            </w:pPr>
          </w:p>
        </w:tc>
        <w:tc>
          <w:tcPr>
            <w:tcW w:w="698" w:type="pct"/>
            <w:vMerge/>
            <w:tcBorders>
              <w:left w:val="nil"/>
              <w:bottom w:val="nil"/>
              <w:right w:val="nil"/>
            </w:tcBorders>
            <w:vAlign w:val="center"/>
          </w:tcPr>
          <w:p w14:paraId="78223E8B" w14:textId="77777777" w:rsidR="00D457FC" w:rsidRPr="00C702D7" w:rsidRDefault="00D457FC" w:rsidP="00B718EA">
            <w:pPr>
              <w:widowControl/>
              <w:spacing w:line="240" w:lineRule="auto"/>
              <w:ind w:firstLineChars="0" w:firstLine="0"/>
              <w:jc w:val="center"/>
              <w:rPr>
                <w:rFonts w:cs="Times New Roman"/>
                <w:sz w:val="18"/>
                <w:szCs w:val="18"/>
              </w:rPr>
            </w:pPr>
          </w:p>
        </w:tc>
      </w:tr>
      <w:tr w:rsidR="00C702D7" w:rsidRPr="00C702D7" w14:paraId="6DAD2E75" w14:textId="77777777" w:rsidTr="00B718EA">
        <w:trPr>
          <w:trHeight w:val="280"/>
          <w:jc w:val="center"/>
        </w:trPr>
        <w:tc>
          <w:tcPr>
            <w:tcW w:w="915" w:type="pct"/>
            <w:tcBorders>
              <w:top w:val="nil"/>
              <w:bottom w:val="nil"/>
              <w:right w:val="nil"/>
            </w:tcBorders>
            <w:shd w:val="clear" w:color="auto" w:fill="auto"/>
            <w:noWrap/>
            <w:vAlign w:val="center"/>
          </w:tcPr>
          <w:p w14:paraId="5855F990" w14:textId="77777777" w:rsidR="00D457FC" w:rsidRPr="00C702D7" w:rsidRDefault="00D457FC" w:rsidP="00B718EA">
            <w:pPr>
              <w:widowControl/>
              <w:spacing w:line="240" w:lineRule="auto"/>
              <w:ind w:firstLineChars="0" w:firstLine="0"/>
              <w:jc w:val="center"/>
              <w:rPr>
                <w:rFonts w:cs="Times New Roman"/>
                <w:kern w:val="0"/>
                <w:sz w:val="18"/>
                <w:szCs w:val="18"/>
              </w:rPr>
            </w:pPr>
            <w:r w:rsidRPr="00C702D7">
              <w:rPr>
                <w:rFonts w:cs="Times New Roman"/>
                <w:kern w:val="0"/>
                <w:sz w:val="18"/>
                <w:szCs w:val="18"/>
              </w:rPr>
              <w:t>控制变量</w:t>
            </w:r>
          </w:p>
        </w:tc>
        <w:tc>
          <w:tcPr>
            <w:tcW w:w="667" w:type="pct"/>
            <w:tcBorders>
              <w:top w:val="nil"/>
              <w:left w:val="nil"/>
              <w:bottom w:val="nil"/>
              <w:right w:val="nil"/>
            </w:tcBorders>
            <w:vAlign w:val="center"/>
          </w:tcPr>
          <w:p w14:paraId="7553FA74"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sz w:val="18"/>
                <w:szCs w:val="18"/>
              </w:rPr>
              <w:t>Yes</w:t>
            </w:r>
          </w:p>
        </w:tc>
        <w:tc>
          <w:tcPr>
            <w:tcW w:w="667" w:type="pct"/>
            <w:tcBorders>
              <w:top w:val="nil"/>
              <w:left w:val="nil"/>
              <w:bottom w:val="nil"/>
              <w:right w:val="nil"/>
            </w:tcBorders>
            <w:shd w:val="clear" w:color="auto" w:fill="auto"/>
            <w:noWrap/>
            <w:vAlign w:val="center"/>
          </w:tcPr>
          <w:p w14:paraId="31BC189F"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sz w:val="18"/>
                <w:szCs w:val="18"/>
              </w:rPr>
              <w:t>Yes</w:t>
            </w:r>
          </w:p>
        </w:tc>
        <w:tc>
          <w:tcPr>
            <w:tcW w:w="666" w:type="pct"/>
            <w:tcBorders>
              <w:top w:val="nil"/>
              <w:left w:val="nil"/>
              <w:bottom w:val="nil"/>
              <w:right w:val="nil"/>
            </w:tcBorders>
            <w:vAlign w:val="center"/>
          </w:tcPr>
          <w:p w14:paraId="18095592"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sz w:val="18"/>
                <w:szCs w:val="18"/>
              </w:rPr>
              <w:t>Yes</w:t>
            </w:r>
          </w:p>
        </w:tc>
        <w:tc>
          <w:tcPr>
            <w:tcW w:w="667" w:type="pct"/>
            <w:tcBorders>
              <w:top w:val="nil"/>
              <w:left w:val="nil"/>
              <w:bottom w:val="nil"/>
              <w:right w:val="nil"/>
            </w:tcBorders>
            <w:vAlign w:val="center"/>
          </w:tcPr>
          <w:p w14:paraId="3924724B"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sz w:val="18"/>
                <w:szCs w:val="18"/>
              </w:rPr>
              <w:t>Yes</w:t>
            </w:r>
          </w:p>
        </w:tc>
        <w:tc>
          <w:tcPr>
            <w:tcW w:w="719" w:type="pct"/>
            <w:tcBorders>
              <w:top w:val="nil"/>
              <w:left w:val="nil"/>
              <w:bottom w:val="nil"/>
              <w:right w:val="nil"/>
            </w:tcBorders>
            <w:vAlign w:val="center"/>
          </w:tcPr>
          <w:p w14:paraId="46418030"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sz w:val="18"/>
                <w:szCs w:val="18"/>
              </w:rPr>
              <w:t>Yes</w:t>
            </w:r>
          </w:p>
        </w:tc>
        <w:tc>
          <w:tcPr>
            <w:tcW w:w="698" w:type="pct"/>
            <w:tcBorders>
              <w:top w:val="nil"/>
              <w:left w:val="nil"/>
              <w:bottom w:val="nil"/>
              <w:right w:val="nil"/>
            </w:tcBorders>
            <w:vAlign w:val="center"/>
          </w:tcPr>
          <w:p w14:paraId="59DF7C37"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sz w:val="18"/>
                <w:szCs w:val="18"/>
              </w:rPr>
              <w:t>Yes</w:t>
            </w:r>
          </w:p>
        </w:tc>
      </w:tr>
      <w:tr w:rsidR="00C702D7" w:rsidRPr="00C702D7" w14:paraId="66FD42FD" w14:textId="77777777" w:rsidTr="00B718EA">
        <w:trPr>
          <w:trHeight w:val="280"/>
          <w:jc w:val="center"/>
        </w:trPr>
        <w:tc>
          <w:tcPr>
            <w:tcW w:w="915" w:type="pct"/>
            <w:tcBorders>
              <w:top w:val="nil"/>
              <w:bottom w:val="nil"/>
              <w:right w:val="nil"/>
            </w:tcBorders>
            <w:shd w:val="clear" w:color="auto" w:fill="auto"/>
            <w:noWrap/>
            <w:vAlign w:val="center"/>
          </w:tcPr>
          <w:p w14:paraId="27DC2E99" w14:textId="77777777" w:rsidR="00D457FC" w:rsidRPr="00C702D7" w:rsidRDefault="00D457FC" w:rsidP="00B718EA">
            <w:pPr>
              <w:widowControl/>
              <w:spacing w:line="240" w:lineRule="auto"/>
              <w:ind w:firstLineChars="0" w:firstLine="0"/>
              <w:jc w:val="center"/>
              <w:rPr>
                <w:rFonts w:cs="Times New Roman"/>
                <w:kern w:val="0"/>
                <w:sz w:val="18"/>
                <w:szCs w:val="18"/>
              </w:rPr>
            </w:pPr>
            <w:r w:rsidRPr="00C702D7">
              <w:rPr>
                <w:rFonts w:cs="Times New Roman"/>
                <w:kern w:val="0"/>
                <w:sz w:val="18"/>
                <w:szCs w:val="18"/>
              </w:rPr>
              <w:t>年度</w:t>
            </w:r>
            <w:r w:rsidRPr="00C702D7">
              <w:rPr>
                <w:rFonts w:cs="Times New Roman" w:hint="eastAsia"/>
                <w:kern w:val="0"/>
                <w:sz w:val="18"/>
                <w:szCs w:val="18"/>
              </w:rPr>
              <w:t>/</w:t>
            </w:r>
            <w:r w:rsidRPr="00C702D7">
              <w:rPr>
                <w:rFonts w:cs="Times New Roman" w:hint="eastAsia"/>
                <w:kern w:val="0"/>
                <w:sz w:val="18"/>
                <w:szCs w:val="18"/>
              </w:rPr>
              <w:t>地区</w:t>
            </w:r>
            <w:r w:rsidRPr="00C702D7">
              <w:rPr>
                <w:rFonts w:cs="Times New Roman" w:hint="eastAsia"/>
                <w:kern w:val="0"/>
                <w:sz w:val="18"/>
                <w:szCs w:val="18"/>
              </w:rPr>
              <w:t>/</w:t>
            </w:r>
            <w:r w:rsidRPr="00C702D7">
              <w:rPr>
                <w:rFonts w:cs="Times New Roman" w:hint="eastAsia"/>
                <w:kern w:val="0"/>
                <w:sz w:val="18"/>
                <w:szCs w:val="18"/>
              </w:rPr>
              <w:t>行业固定</w:t>
            </w:r>
            <w:r w:rsidRPr="00C702D7">
              <w:rPr>
                <w:rFonts w:cs="Times New Roman"/>
                <w:kern w:val="0"/>
                <w:sz w:val="18"/>
                <w:szCs w:val="18"/>
              </w:rPr>
              <w:t>效应</w:t>
            </w:r>
          </w:p>
        </w:tc>
        <w:tc>
          <w:tcPr>
            <w:tcW w:w="667" w:type="pct"/>
            <w:tcBorders>
              <w:top w:val="nil"/>
              <w:left w:val="nil"/>
              <w:bottom w:val="nil"/>
              <w:right w:val="nil"/>
            </w:tcBorders>
            <w:vAlign w:val="center"/>
          </w:tcPr>
          <w:p w14:paraId="44F4733B"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sz w:val="18"/>
                <w:szCs w:val="18"/>
              </w:rPr>
              <w:t>Yes</w:t>
            </w:r>
          </w:p>
        </w:tc>
        <w:tc>
          <w:tcPr>
            <w:tcW w:w="667" w:type="pct"/>
            <w:tcBorders>
              <w:top w:val="nil"/>
              <w:left w:val="nil"/>
              <w:bottom w:val="nil"/>
              <w:right w:val="nil"/>
            </w:tcBorders>
            <w:shd w:val="clear" w:color="auto" w:fill="auto"/>
            <w:noWrap/>
            <w:vAlign w:val="center"/>
          </w:tcPr>
          <w:p w14:paraId="70F57B7E"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sz w:val="18"/>
                <w:szCs w:val="18"/>
              </w:rPr>
              <w:t>Yes</w:t>
            </w:r>
          </w:p>
        </w:tc>
        <w:tc>
          <w:tcPr>
            <w:tcW w:w="666" w:type="pct"/>
            <w:tcBorders>
              <w:top w:val="nil"/>
              <w:left w:val="nil"/>
              <w:bottom w:val="nil"/>
              <w:right w:val="nil"/>
            </w:tcBorders>
            <w:vAlign w:val="center"/>
          </w:tcPr>
          <w:p w14:paraId="148F818B"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sz w:val="18"/>
                <w:szCs w:val="18"/>
              </w:rPr>
              <w:t>Yes</w:t>
            </w:r>
          </w:p>
        </w:tc>
        <w:tc>
          <w:tcPr>
            <w:tcW w:w="667" w:type="pct"/>
            <w:tcBorders>
              <w:top w:val="nil"/>
              <w:left w:val="nil"/>
              <w:bottom w:val="nil"/>
              <w:right w:val="nil"/>
            </w:tcBorders>
            <w:vAlign w:val="center"/>
          </w:tcPr>
          <w:p w14:paraId="60697335"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sz w:val="18"/>
                <w:szCs w:val="18"/>
              </w:rPr>
              <w:t>Yes</w:t>
            </w:r>
          </w:p>
        </w:tc>
        <w:tc>
          <w:tcPr>
            <w:tcW w:w="719" w:type="pct"/>
            <w:tcBorders>
              <w:top w:val="nil"/>
              <w:left w:val="nil"/>
              <w:bottom w:val="nil"/>
              <w:right w:val="nil"/>
            </w:tcBorders>
            <w:vAlign w:val="center"/>
          </w:tcPr>
          <w:p w14:paraId="48759D8F"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sz w:val="18"/>
                <w:szCs w:val="18"/>
              </w:rPr>
              <w:t>Yes</w:t>
            </w:r>
          </w:p>
        </w:tc>
        <w:tc>
          <w:tcPr>
            <w:tcW w:w="698" w:type="pct"/>
            <w:tcBorders>
              <w:top w:val="nil"/>
              <w:left w:val="nil"/>
              <w:bottom w:val="nil"/>
              <w:right w:val="nil"/>
            </w:tcBorders>
            <w:vAlign w:val="center"/>
          </w:tcPr>
          <w:p w14:paraId="632A409A"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sz w:val="18"/>
                <w:szCs w:val="18"/>
              </w:rPr>
              <w:t>Yes</w:t>
            </w:r>
          </w:p>
        </w:tc>
      </w:tr>
      <w:tr w:rsidR="00C702D7" w:rsidRPr="00C702D7" w14:paraId="0911D11B" w14:textId="77777777" w:rsidTr="00B718EA">
        <w:trPr>
          <w:trHeight w:val="280"/>
          <w:jc w:val="center"/>
        </w:trPr>
        <w:tc>
          <w:tcPr>
            <w:tcW w:w="915" w:type="pct"/>
            <w:tcBorders>
              <w:top w:val="nil"/>
              <w:bottom w:val="nil"/>
              <w:right w:val="nil"/>
            </w:tcBorders>
            <w:shd w:val="clear" w:color="auto" w:fill="auto"/>
            <w:noWrap/>
            <w:vAlign w:val="center"/>
          </w:tcPr>
          <w:p w14:paraId="1CFFC518" w14:textId="77777777" w:rsidR="00D457FC" w:rsidRPr="00C702D7" w:rsidRDefault="00D457FC" w:rsidP="00B718EA">
            <w:pPr>
              <w:widowControl/>
              <w:spacing w:line="240" w:lineRule="auto"/>
              <w:ind w:firstLineChars="0" w:firstLine="0"/>
              <w:jc w:val="center"/>
              <w:rPr>
                <w:rFonts w:cs="Times New Roman"/>
                <w:kern w:val="0"/>
                <w:sz w:val="18"/>
                <w:szCs w:val="18"/>
              </w:rPr>
            </w:pPr>
            <w:r w:rsidRPr="00C702D7">
              <w:rPr>
                <w:rFonts w:cs="Times New Roman" w:hint="eastAsia"/>
                <w:kern w:val="0"/>
                <w:sz w:val="18"/>
                <w:szCs w:val="18"/>
              </w:rPr>
              <w:t>样本量</w:t>
            </w:r>
          </w:p>
        </w:tc>
        <w:tc>
          <w:tcPr>
            <w:tcW w:w="667" w:type="pct"/>
            <w:tcBorders>
              <w:top w:val="nil"/>
              <w:left w:val="nil"/>
              <w:bottom w:val="nil"/>
              <w:right w:val="nil"/>
            </w:tcBorders>
            <w:vAlign w:val="center"/>
          </w:tcPr>
          <w:p w14:paraId="1B38F3C0"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3361</w:t>
            </w:r>
          </w:p>
        </w:tc>
        <w:tc>
          <w:tcPr>
            <w:tcW w:w="667" w:type="pct"/>
            <w:tcBorders>
              <w:top w:val="nil"/>
              <w:left w:val="nil"/>
              <w:bottom w:val="nil"/>
              <w:right w:val="nil"/>
            </w:tcBorders>
            <w:shd w:val="clear" w:color="auto" w:fill="auto"/>
            <w:noWrap/>
            <w:vAlign w:val="center"/>
          </w:tcPr>
          <w:p w14:paraId="72EBD1E8"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3535</w:t>
            </w:r>
          </w:p>
        </w:tc>
        <w:tc>
          <w:tcPr>
            <w:tcW w:w="666" w:type="pct"/>
            <w:tcBorders>
              <w:top w:val="nil"/>
              <w:left w:val="nil"/>
              <w:bottom w:val="nil"/>
              <w:right w:val="nil"/>
            </w:tcBorders>
            <w:vAlign w:val="center"/>
          </w:tcPr>
          <w:p w14:paraId="5BE0A438"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3361</w:t>
            </w:r>
          </w:p>
        </w:tc>
        <w:tc>
          <w:tcPr>
            <w:tcW w:w="667" w:type="pct"/>
            <w:tcBorders>
              <w:top w:val="nil"/>
              <w:left w:val="nil"/>
              <w:bottom w:val="nil"/>
              <w:right w:val="nil"/>
            </w:tcBorders>
            <w:vAlign w:val="center"/>
          </w:tcPr>
          <w:p w14:paraId="5408EAC2"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3535</w:t>
            </w:r>
          </w:p>
        </w:tc>
        <w:tc>
          <w:tcPr>
            <w:tcW w:w="719" w:type="pct"/>
            <w:tcBorders>
              <w:top w:val="nil"/>
              <w:left w:val="nil"/>
              <w:bottom w:val="nil"/>
              <w:right w:val="nil"/>
            </w:tcBorders>
            <w:vAlign w:val="center"/>
          </w:tcPr>
          <w:p w14:paraId="7522FC53"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2708</w:t>
            </w:r>
          </w:p>
        </w:tc>
        <w:tc>
          <w:tcPr>
            <w:tcW w:w="698" w:type="pct"/>
            <w:tcBorders>
              <w:top w:val="nil"/>
              <w:left w:val="nil"/>
              <w:bottom w:val="nil"/>
              <w:right w:val="nil"/>
            </w:tcBorders>
            <w:vAlign w:val="center"/>
          </w:tcPr>
          <w:p w14:paraId="5A36F2EA"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2418</w:t>
            </w:r>
          </w:p>
        </w:tc>
      </w:tr>
      <w:tr w:rsidR="00C702D7" w:rsidRPr="00C702D7" w14:paraId="3227B6E1" w14:textId="77777777" w:rsidTr="00B718EA">
        <w:trPr>
          <w:trHeight w:val="299"/>
          <w:jc w:val="center"/>
        </w:trPr>
        <w:tc>
          <w:tcPr>
            <w:tcW w:w="915" w:type="pct"/>
            <w:tcBorders>
              <w:top w:val="nil"/>
              <w:bottom w:val="single" w:sz="12" w:space="0" w:color="auto"/>
              <w:right w:val="nil"/>
            </w:tcBorders>
            <w:shd w:val="clear" w:color="auto" w:fill="auto"/>
            <w:noWrap/>
            <w:vAlign w:val="center"/>
          </w:tcPr>
          <w:p w14:paraId="0B8FA0F9" w14:textId="77777777" w:rsidR="00D457FC" w:rsidRPr="00C702D7" w:rsidRDefault="00D457FC" w:rsidP="00B718EA">
            <w:pPr>
              <w:widowControl/>
              <w:spacing w:line="240" w:lineRule="auto"/>
              <w:ind w:firstLineChars="0" w:firstLine="0"/>
              <w:jc w:val="center"/>
              <w:rPr>
                <w:rFonts w:cs="Times New Roman"/>
                <w:i/>
                <w:iCs/>
                <w:kern w:val="0"/>
                <w:sz w:val="18"/>
                <w:szCs w:val="18"/>
              </w:rPr>
            </w:pPr>
            <w:r w:rsidRPr="00C702D7">
              <w:rPr>
                <w:rFonts w:cs="Times New Roman"/>
                <w:i/>
                <w:iCs/>
                <w:kern w:val="0"/>
                <w:sz w:val="18"/>
                <w:szCs w:val="18"/>
              </w:rPr>
              <w:t>R</w:t>
            </w:r>
            <w:r w:rsidRPr="00C702D7">
              <w:rPr>
                <w:rFonts w:cs="Times New Roman"/>
                <w:i/>
                <w:iCs/>
                <w:kern w:val="0"/>
                <w:sz w:val="18"/>
                <w:szCs w:val="18"/>
                <w:vertAlign w:val="superscript"/>
              </w:rPr>
              <w:t>2</w:t>
            </w:r>
          </w:p>
        </w:tc>
        <w:tc>
          <w:tcPr>
            <w:tcW w:w="667" w:type="pct"/>
            <w:tcBorders>
              <w:top w:val="nil"/>
              <w:left w:val="nil"/>
              <w:bottom w:val="single" w:sz="12" w:space="0" w:color="auto"/>
              <w:right w:val="nil"/>
            </w:tcBorders>
            <w:vAlign w:val="bottom"/>
          </w:tcPr>
          <w:p w14:paraId="201F31B9"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0.169</w:t>
            </w:r>
          </w:p>
        </w:tc>
        <w:tc>
          <w:tcPr>
            <w:tcW w:w="667" w:type="pct"/>
            <w:tcBorders>
              <w:top w:val="nil"/>
              <w:left w:val="nil"/>
              <w:bottom w:val="single" w:sz="12" w:space="0" w:color="auto"/>
              <w:right w:val="nil"/>
            </w:tcBorders>
            <w:vAlign w:val="bottom"/>
          </w:tcPr>
          <w:p w14:paraId="67C341B3"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0.233</w:t>
            </w:r>
          </w:p>
        </w:tc>
        <w:tc>
          <w:tcPr>
            <w:tcW w:w="666" w:type="pct"/>
            <w:tcBorders>
              <w:top w:val="nil"/>
              <w:left w:val="nil"/>
              <w:bottom w:val="single" w:sz="12" w:space="0" w:color="auto"/>
              <w:right w:val="nil"/>
            </w:tcBorders>
            <w:vAlign w:val="bottom"/>
          </w:tcPr>
          <w:p w14:paraId="48BC5268"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0.014</w:t>
            </w:r>
          </w:p>
        </w:tc>
        <w:tc>
          <w:tcPr>
            <w:tcW w:w="667" w:type="pct"/>
            <w:tcBorders>
              <w:top w:val="nil"/>
              <w:left w:val="nil"/>
              <w:bottom w:val="single" w:sz="12" w:space="0" w:color="auto"/>
              <w:right w:val="nil"/>
            </w:tcBorders>
            <w:vAlign w:val="bottom"/>
          </w:tcPr>
          <w:p w14:paraId="7BB24C93"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hint="eastAsia"/>
                <w:sz w:val="18"/>
                <w:szCs w:val="18"/>
              </w:rPr>
              <w:t>0.009</w:t>
            </w:r>
          </w:p>
        </w:tc>
        <w:tc>
          <w:tcPr>
            <w:tcW w:w="719" w:type="pct"/>
            <w:tcBorders>
              <w:top w:val="nil"/>
              <w:left w:val="nil"/>
              <w:bottom w:val="single" w:sz="12" w:space="0" w:color="auto"/>
              <w:right w:val="nil"/>
            </w:tcBorders>
            <w:vAlign w:val="center"/>
          </w:tcPr>
          <w:p w14:paraId="023099B8"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sz w:val="18"/>
                <w:szCs w:val="18"/>
              </w:rPr>
              <w:t>0.364</w:t>
            </w:r>
          </w:p>
        </w:tc>
        <w:tc>
          <w:tcPr>
            <w:tcW w:w="698" w:type="pct"/>
            <w:tcBorders>
              <w:top w:val="nil"/>
              <w:left w:val="nil"/>
              <w:bottom w:val="single" w:sz="12" w:space="0" w:color="auto"/>
              <w:right w:val="nil"/>
            </w:tcBorders>
            <w:vAlign w:val="center"/>
          </w:tcPr>
          <w:p w14:paraId="1D85D421" w14:textId="77777777" w:rsidR="00D457FC" w:rsidRPr="00C702D7" w:rsidRDefault="00D457FC" w:rsidP="00B718EA">
            <w:pPr>
              <w:widowControl/>
              <w:spacing w:line="240" w:lineRule="auto"/>
              <w:ind w:firstLineChars="0" w:firstLine="0"/>
              <w:jc w:val="center"/>
              <w:rPr>
                <w:rFonts w:cs="Times New Roman"/>
                <w:sz w:val="18"/>
                <w:szCs w:val="18"/>
              </w:rPr>
            </w:pPr>
            <w:r w:rsidRPr="00C702D7">
              <w:rPr>
                <w:rFonts w:cs="Times New Roman"/>
                <w:sz w:val="18"/>
                <w:szCs w:val="18"/>
              </w:rPr>
              <w:t>0.096</w:t>
            </w:r>
          </w:p>
        </w:tc>
      </w:tr>
    </w:tbl>
    <w:p w14:paraId="389FABC2" w14:textId="77777777" w:rsidR="00D457FC" w:rsidRPr="00C702D7" w:rsidRDefault="00D457FC" w:rsidP="00776687">
      <w:pPr>
        <w:spacing w:beforeLines="50" w:before="156" w:afterLines="50" w:after="156" w:line="400" w:lineRule="exact"/>
        <w:ind w:firstLineChars="0" w:firstLine="0"/>
        <w:jc w:val="center"/>
        <w:outlineLvl w:val="0"/>
        <w:rPr>
          <w:rFonts w:ascii="黑体" w:eastAsia="黑体" w:hAnsi="黑体"/>
          <w:sz w:val="24"/>
          <w:szCs w:val="28"/>
        </w:rPr>
      </w:pPr>
      <w:r w:rsidRPr="00C702D7">
        <w:rPr>
          <w:rFonts w:ascii="黑体" w:eastAsia="黑体" w:hAnsi="黑体" w:hint="eastAsia"/>
          <w:sz w:val="24"/>
          <w:szCs w:val="28"/>
        </w:rPr>
        <w:t>七、结论和建议</w:t>
      </w:r>
    </w:p>
    <w:p w14:paraId="608CF908" w14:textId="77777777" w:rsidR="00D457FC" w:rsidRPr="00C702D7" w:rsidRDefault="00D457FC" w:rsidP="00D457FC">
      <w:pPr>
        <w:spacing w:line="400" w:lineRule="exact"/>
        <w:ind w:firstLine="420"/>
        <w:rPr>
          <w:szCs w:val="21"/>
        </w:rPr>
      </w:pPr>
      <w:r w:rsidRPr="00C702D7">
        <w:rPr>
          <w:rFonts w:hint="eastAsia"/>
        </w:rPr>
        <w:t>推动经济社会发展全面绿色转型是</w:t>
      </w:r>
      <w:r w:rsidR="00AC3B62" w:rsidRPr="00C702D7">
        <w:rPr>
          <w:rFonts w:hint="eastAsia"/>
        </w:rPr>
        <w:t>我国</w:t>
      </w:r>
      <w:r w:rsidRPr="00C702D7">
        <w:rPr>
          <w:rFonts w:hint="eastAsia"/>
        </w:rPr>
        <w:t>“十四五”时期的重要工作，面对“</w:t>
      </w:r>
      <w:r w:rsidRPr="00C702D7">
        <w:rPr>
          <w:rFonts w:hint="eastAsia"/>
        </w:rPr>
        <w:t xml:space="preserve">2030 </w:t>
      </w:r>
      <w:r w:rsidRPr="00C702D7">
        <w:rPr>
          <w:rFonts w:hint="eastAsia"/>
        </w:rPr>
        <w:t>年前碳达峰”的目标，需要进一步驱动微观企业作为排放主体的碳减排内生动力，推动发展方式转型，突破高碳发展惯性制约（申广军、马红旗，</w:t>
      </w:r>
      <w:r w:rsidRPr="00C702D7">
        <w:rPr>
          <w:rFonts w:hint="eastAsia"/>
        </w:rPr>
        <w:t>2</w:t>
      </w:r>
      <w:r w:rsidRPr="00C702D7">
        <w:t>023</w:t>
      </w:r>
      <w:r w:rsidRPr="00C702D7">
        <w:rPr>
          <w:rFonts w:hint="eastAsia"/>
        </w:rPr>
        <w:t>）。机构投资者作为企业绿色治理重要参与主体，可以通过绿色关注影响企业碳排放，并将</w:t>
      </w:r>
      <w:r w:rsidR="00887877" w:rsidRPr="00C702D7">
        <w:rPr>
          <w:rFonts w:hint="eastAsia"/>
        </w:rPr>
        <w:t>减排效应</w:t>
      </w:r>
      <w:r w:rsidRPr="00C702D7">
        <w:rPr>
          <w:rFonts w:hint="eastAsia"/>
        </w:rPr>
        <w:t>进一步传导至同行业或同地区内的其他企业，从而促进碳排放控制。本文使用机构投资者实地调研数据构建绿色关注指标，考察机构投资者绿色关注的减碳作用及其溢出效应。研究发现，机构投资者绿色关注度的提高可以显著降低企业碳排放强度和排放增量，且存在行业碳减排治理的溢出效应，对行业整体形成协同减排</w:t>
      </w:r>
      <w:r w:rsidR="00AC3B62" w:rsidRPr="00C702D7">
        <w:rPr>
          <w:rFonts w:hint="eastAsia"/>
        </w:rPr>
        <w:t>作用</w:t>
      </w:r>
      <w:r w:rsidRPr="00C702D7">
        <w:rPr>
          <w:rFonts w:hint="eastAsia"/>
        </w:rPr>
        <w:t>。结合行业溢出效应的传导路径检验发现，企业碳减排存在模仿同行业</w:t>
      </w:r>
      <w:r w:rsidR="00AC3B62" w:rsidRPr="00C702D7">
        <w:rPr>
          <w:rFonts w:hint="eastAsia"/>
        </w:rPr>
        <w:t>其他</w:t>
      </w:r>
      <w:r w:rsidRPr="00C702D7">
        <w:rPr>
          <w:rFonts w:hint="eastAsia"/>
        </w:rPr>
        <w:t>企业行为的同群效应，使得机构投资者绿色关注的行业减排作用还会进一步影响企业实施碳减排。结合行业特征的研究发现，在</w:t>
      </w:r>
      <w:r w:rsidRPr="00C702D7">
        <w:rPr>
          <w:rFonts w:hint="eastAsia"/>
          <w:szCs w:val="21"/>
        </w:rPr>
        <w:t>竞争程度较高或不确定性较</w:t>
      </w:r>
      <w:r w:rsidRPr="00C702D7">
        <w:rPr>
          <w:rFonts w:hint="eastAsia"/>
          <w:szCs w:val="21"/>
        </w:rPr>
        <w:lastRenderedPageBreak/>
        <w:t>大的行业中，机构投资者绿色关注和同一行业其他企业的减排行为对于企业碳排放水平度影响更加显著。</w:t>
      </w:r>
    </w:p>
    <w:p w14:paraId="1B3A93A8" w14:textId="77777777" w:rsidR="00D457FC" w:rsidRPr="00C702D7" w:rsidRDefault="00D457FC" w:rsidP="00D457FC">
      <w:pPr>
        <w:spacing w:line="400" w:lineRule="exact"/>
        <w:ind w:firstLine="420"/>
        <w:rPr>
          <w:szCs w:val="21"/>
        </w:rPr>
      </w:pPr>
      <w:r w:rsidRPr="00C702D7">
        <w:rPr>
          <w:rFonts w:hint="eastAsia"/>
          <w:szCs w:val="21"/>
        </w:rPr>
        <w:t>进一步研究中，本文从区域层面探讨了机构投资者绿色关注的碳减排地区溢出效应。研究发现，当区域供应链集中度较高时，机构投资者绿色关注对于地区碳减排具有一定的积极影响。</w:t>
      </w:r>
      <w:r w:rsidRPr="00C702D7">
        <w:rPr>
          <w:rFonts w:hint="eastAsia"/>
        </w:rPr>
        <w:t>结合产业结构转型以及环境规制要求不断加强的现实背景，本文还探讨了碳转移现象中机构投资者绿色关注对“污染天堂”效应的治理作用，检验发现机构投资者绿色关注在净碳转入地区发挥了更为显著的</w:t>
      </w:r>
      <w:r w:rsidR="00887877" w:rsidRPr="00C702D7">
        <w:rPr>
          <w:rFonts w:hint="eastAsia"/>
        </w:rPr>
        <w:t>减排效应</w:t>
      </w:r>
      <w:r w:rsidRPr="00C702D7">
        <w:rPr>
          <w:rFonts w:hint="eastAsia"/>
        </w:rPr>
        <w:t>，有助于缓解碳转移对于碳转入地区的“污染天堂”效应。此外，本文结合低碳城市试点政策，考察了国家低碳政策与机构投资者绿色关注对于企业和地区碳排放的交互影响，发现机构投资者绿色关注的减碳溢出效应在低碳试点地区可以发挥更加显著作用。结合本文主要研究结论，我们提出如下政策建议：</w:t>
      </w:r>
    </w:p>
    <w:p w14:paraId="313F4F27" w14:textId="77777777" w:rsidR="00D457FC" w:rsidRPr="00C702D7" w:rsidRDefault="00D457FC" w:rsidP="00D457FC">
      <w:pPr>
        <w:spacing w:line="400" w:lineRule="exact"/>
        <w:ind w:firstLine="420"/>
        <w:rPr>
          <w:rFonts w:cs="Times New Roman"/>
          <w:szCs w:val="21"/>
        </w:rPr>
      </w:pPr>
      <w:r w:rsidRPr="00C702D7">
        <w:rPr>
          <w:rFonts w:cs="Times New Roman" w:hint="eastAsia"/>
          <w:szCs w:val="21"/>
        </w:rPr>
        <w:t>第一，增强机构投资者环境责任承担意识，推动实地调研和信息披露等环境治理渠道建设。机构投资者作为资本市场主体之一，是传统公司治理体系的替代机制之一，可以在促进碳减排，减弱碳转移中的</w:t>
      </w:r>
      <w:r w:rsidR="00AF1536" w:rsidRPr="00C702D7">
        <w:rPr>
          <w:rFonts w:cs="Times New Roman" w:hint="eastAsia"/>
          <w:szCs w:val="21"/>
        </w:rPr>
        <w:t>碳泄漏</w:t>
      </w:r>
      <w:r w:rsidRPr="00C702D7">
        <w:rPr>
          <w:rFonts w:cs="Times New Roman" w:hint="eastAsia"/>
          <w:szCs w:val="21"/>
        </w:rPr>
        <w:t>现象，促进环境规制政策等方面发挥绿色治理监督作用。本文的研究结果表明，机构投资者通过实地调研过程中的绿色关注，可以成功促进企业碳减排，且存在对邻近企业的溢出效应。因此，相关监管部门需要重视机构投资者作为内生型绿色治理主体的作用，通过鼓励并促进投资者与企业信息沟通，增大实地调研投资者关系的信息披露范围，建设“双碳”目标下特色调研自愿披露制度等，丰富上市公司绿色发展信息披露质量，优化机构投资者绿色关注的</w:t>
      </w:r>
      <w:r w:rsidR="00887877" w:rsidRPr="00C702D7">
        <w:rPr>
          <w:rFonts w:cs="Times New Roman" w:hint="eastAsia"/>
          <w:szCs w:val="21"/>
        </w:rPr>
        <w:t>减排效应</w:t>
      </w:r>
      <w:r w:rsidRPr="00C702D7">
        <w:rPr>
          <w:rFonts w:cs="Times New Roman" w:hint="eastAsia"/>
          <w:szCs w:val="21"/>
        </w:rPr>
        <w:t>等绿色治理机制设计。同时，本文的研究说明，机构投资者绿色关注也能显著提升企业</w:t>
      </w:r>
      <w:r w:rsidRPr="00C702D7">
        <w:rPr>
          <w:rFonts w:cs="Times New Roman"/>
          <w:szCs w:val="21"/>
        </w:rPr>
        <w:t>ESG</w:t>
      </w:r>
      <w:r w:rsidRPr="00C702D7">
        <w:rPr>
          <w:rFonts w:cs="Times New Roman" w:hint="eastAsia"/>
          <w:szCs w:val="21"/>
        </w:rPr>
        <w:t>表现</w:t>
      </w:r>
      <w:r w:rsidR="00AC3B62" w:rsidRPr="00C702D7">
        <w:rPr>
          <w:rFonts w:cs="Times New Roman" w:hint="eastAsia"/>
          <w:szCs w:val="21"/>
        </w:rPr>
        <w:t>。相关监管部门可以设计</w:t>
      </w:r>
      <w:r w:rsidRPr="00C702D7">
        <w:rPr>
          <w:rFonts w:cs="Times New Roman" w:hint="eastAsia"/>
          <w:szCs w:val="21"/>
        </w:rPr>
        <w:t>机构投资者绿色关注的</w:t>
      </w:r>
      <w:r w:rsidR="00AC3B62" w:rsidRPr="00C702D7">
        <w:rPr>
          <w:rFonts w:cs="Times New Roman" w:hint="eastAsia"/>
          <w:szCs w:val="21"/>
        </w:rPr>
        <w:t>企业</w:t>
      </w:r>
      <w:r w:rsidRPr="00C702D7">
        <w:rPr>
          <w:rFonts w:cs="Times New Roman" w:hint="eastAsia"/>
          <w:szCs w:val="21"/>
        </w:rPr>
        <w:t>自愿信息披露制度，</w:t>
      </w:r>
      <w:r w:rsidR="00C221C5" w:rsidRPr="00C702D7">
        <w:rPr>
          <w:rFonts w:cs="Times New Roman" w:hint="eastAsia"/>
          <w:szCs w:val="21"/>
        </w:rPr>
        <w:t>并与</w:t>
      </w:r>
      <w:r w:rsidRPr="00C702D7">
        <w:rPr>
          <w:rFonts w:cs="Times New Roman" w:hint="eastAsia"/>
          <w:szCs w:val="21"/>
        </w:rPr>
        <w:t>E</w:t>
      </w:r>
      <w:r w:rsidRPr="00C702D7">
        <w:rPr>
          <w:rFonts w:cs="Times New Roman"/>
          <w:szCs w:val="21"/>
        </w:rPr>
        <w:t>SG</w:t>
      </w:r>
      <w:r w:rsidRPr="00C702D7">
        <w:rPr>
          <w:rFonts w:cs="Times New Roman" w:hint="eastAsia"/>
          <w:szCs w:val="21"/>
        </w:rPr>
        <w:t>相关信息披露相结合，形成绿色信息披露的新标准与</w:t>
      </w:r>
      <w:r w:rsidR="00C221C5" w:rsidRPr="00C702D7">
        <w:rPr>
          <w:rFonts w:cs="Times New Roman" w:hint="eastAsia"/>
          <w:szCs w:val="21"/>
        </w:rPr>
        <w:t>完整</w:t>
      </w:r>
      <w:r w:rsidRPr="00C702D7">
        <w:rPr>
          <w:rFonts w:cs="Times New Roman" w:hint="eastAsia"/>
          <w:szCs w:val="21"/>
        </w:rPr>
        <w:t>体系。</w:t>
      </w:r>
    </w:p>
    <w:p w14:paraId="64CC4AB5" w14:textId="77777777" w:rsidR="00D457FC" w:rsidRPr="00C702D7" w:rsidRDefault="00D457FC" w:rsidP="00D457FC">
      <w:pPr>
        <w:spacing w:line="400" w:lineRule="exact"/>
        <w:ind w:firstLine="420"/>
        <w:rPr>
          <w:rFonts w:cs="Times New Roman"/>
          <w:szCs w:val="21"/>
        </w:rPr>
      </w:pPr>
      <w:r w:rsidRPr="00C702D7">
        <w:rPr>
          <w:rFonts w:cs="Times New Roman" w:hint="eastAsia"/>
          <w:szCs w:val="21"/>
        </w:rPr>
        <w:t>第二，推动跨地区市场内生型监测机制建设，增强机构投资者在绿色发展顶层政策设计中的作用。我国“双碳”目标的实现需要各地区、各行业共同优化治理机制，抑制跨地区的碳转移、碳</w:t>
      </w:r>
      <w:r w:rsidR="00AF1536" w:rsidRPr="00C702D7">
        <w:rPr>
          <w:rFonts w:cs="Times New Roman" w:hint="eastAsia"/>
          <w:szCs w:val="21"/>
        </w:rPr>
        <w:t>泄漏</w:t>
      </w:r>
      <w:r w:rsidRPr="00C702D7">
        <w:rPr>
          <w:rFonts w:cs="Times New Roman" w:hint="eastAsia"/>
          <w:szCs w:val="21"/>
        </w:rPr>
        <w:t>等产生的污染效应。结合机构投资者的绿色关注可以抑制碳转入地区的碳排放的作用，相关监管部门可以推动跨地区市场驱动型环境监测机制的建设，引入机构投资者等市场主体加入环境监测体系，使得拥有专业信息获取渠道、信息分析能力和资本市场影响力的机构投资者可以更好的发挥对于地区碳排放的抑制作用。同时，低碳试点政策的实施可以增强机构投资者绿色关注的</w:t>
      </w:r>
      <w:r w:rsidR="00887877" w:rsidRPr="00C702D7">
        <w:rPr>
          <w:rFonts w:cs="Times New Roman" w:hint="eastAsia"/>
          <w:szCs w:val="21"/>
        </w:rPr>
        <w:t>减排效应</w:t>
      </w:r>
      <w:r w:rsidRPr="00C702D7">
        <w:rPr>
          <w:rFonts w:cs="Times New Roman" w:hint="eastAsia"/>
          <w:szCs w:val="21"/>
        </w:rPr>
        <w:t>，意味着相关监管部门可以通过机构投资者绿色关注偏好，在相关绿色发展试点政策中考虑探索机构投资者绿色介入的激励效应。监管部门在绿色发展试点等区域绿色发展政策制定时，应充分考虑资本市场绿色激励效应，协同谋划有效市场和有为政府更好结合的绿色经济转型模式，统筹协调政府政策、机构投资者和企业等主体的相互影响</w:t>
      </w:r>
      <w:r w:rsidR="00C221C5" w:rsidRPr="00C702D7">
        <w:rPr>
          <w:rFonts w:cs="Times New Roman" w:hint="eastAsia"/>
          <w:szCs w:val="21"/>
        </w:rPr>
        <w:t>，以</w:t>
      </w:r>
      <w:r w:rsidRPr="00C702D7">
        <w:rPr>
          <w:rFonts w:cs="Times New Roman" w:hint="eastAsia"/>
          <w:szCs w:val="21"/>
        </w:rPr>
        <w:t>构建现代环境治理体系。</w:t>
      </w:r>
    </w:p>
    <w:p w14:paraId="0C5ADCCC" w14:textId="77777777" w:rsidR="00D457FC" w:rsidRPr="00C702D7" w:rsidRDefault="00D457FC" w:rsidP="00D457FC">
      <w:pPr>
        <w:spacing w:line="400" w:lineRule="exact"/>
        <w:ind w:firstLine="420"/>
        <w:rPr>
          <w:rFonts w:cs="Times New Roman"/>
          <w:szCs w:val="21"/>
        </w:rPr>
      </w:pPr>
      <w:r w:rsidRPr="00C702D7">
        <w:rPr>
          <w:rFonts w:cs="Times New Roman" w:hint="eastAsia"/>
          <w:szCs w:val="21"/>
        </w:rPr>
        <w:t>第三，积极促进并优化“企业—行业及供应链—地区”的减排降碳协同机制。本文研究还表明，机构投资者绿色关注产生的企业减排效应还能够通过行业内其他企业的模仿和</w:t>
      </w:r>
      <w:r w:rsidRPr="00C702D7">
        <w:rPr>
          <w:rFonts w:cs="Times New Roman" w:hint="eastAsia"/>
          <w:szCs w:val="21"/>
        </w:rPr>
        <w:lastRenderedPageBreak/>
        <w:t>供应链集中协同传导而产生溢出效应。因此，相关监管部门应当充分鼓励行业内龙头企业和供应链链主企业积极树立绿色低碳规范和相应标准，</w:t>
      </w:r>
      <w:r w:rsidR="0080519E" w:rsidRPr="00C702D7">
        <w:rPr>
          <w:rFonts w:cs="Times New Roman" w:hint="eastAsia"/>
          <w:szCs w:val="21"/>
        </w:rPr>
        <w:t>基于</w:t>
      </w:r>
      <w:r w:rsidRPr="00C702D7">
        <w:rPr>
          <w:rFonts w:cs="Times New Roman" w:hint="eastAsia"/>
          <w:szCs w:val="21"/>
        </w:rPr>
        <w:t>长三角一体化</w:t>
      </w:r>
      <w:r w:rsidR="0080519E" w:rsidRPr="00C702D7">
        <w:rPr>
          <w:rFonts w:cs="Times New Roman" w:hint="eastAsia"/>
          <w:szCs w:val="21"/>
        </w:rPr>
        <w:t>等国家战略规划下的</w:t>
      </w:r>
      <w:r w:rsidRPr="00C702D7">
        <w:rPr>
          <w:rFonts w:cs="Times New Roman" w:hint="eastAsia"/>
          <w:szCs w:val="21"/>
        </w:rPr>
        <w:t>区域协同创新</w:t>
      </w:r>
      <w:r w:rsidR="0080519E" w:rsidRPr="00C702D7">
        <w:rPr>
          <w:rFonts w:cs="Times New Roman" w:hint="eastAsia"/>
          <w:szCs w:val="21"/>
        </w:rPr>
        <w:t>，</w:t>
      </w:r>
      <w:r w:rsidRPr="00C702D7">
        <w:rPr>
          <w:rFonts w:cs="Times New Roman" w:hint="eastAsia"/>
          <w:szCs w:val="21"/>
        </w:rPr>
        <w:t>进行供应链优化分工布局的顶层设计。此时，相关机构投资者绿色关注的减排绿色转型战略将向邻近关联企业传导，并利用市场机制促进绿色治理水平较高的企业进入市场</w:t>
      </w:r>
      <w:r w:rsidR="0080519E" w:rsidRPr="00C702D7">
        <w:rPr>
          <w:rFonts w:cs="Times New Roman" w:hint="eastAsia"/>
          <w:szCs w:val="21"/>
        </w:rPr>
        <w:t>，</w:t>
      </w:r>
      <w:r w:rsidRPr="00C702D7">
        <w:rPr>
          <w:rFonts w:cs="Times New Roman" w:hint="eastAsia"/>
          <w:szCs w:val="21"/>
        </w:rPr>
        <w:t>淘汰高能耗、高污染企业，以推进发展方式绿色转型。</w:t>
      </w:r>
    </w:p>
    <w:p w14:paraId="14D525D3" w14:textId="77777777" w:rsidR="00B47252" w:rsidRPr="00C702D7" w:rsidRDefault="00D457FC" w:rsidP="006D6099">
      <w:pPr>
        <w:spacing w:line="400" w:lineRule="exact"/>
        <w:ind w:firstLine="420"/>
        <w:rPr>
          <w:szCs w:val="21"/>
        </w:rPr>
      </w:pPr>
      <w:r w:rsidRPr="00C702D7">
        <w:rPr>
          <w:rFonts w:hint="eastAsia"/>
          <w:szCs w:val="21"/>
        </w:rPr>
        <w:t>本文</w:t>
      </w:r>
      <w:r w:rsidR="00C221C5" w:rsidRPr="00C702D7">
        <w:rPr>
          <w:rFonts w:hint="eastAsia"/>
          <w:szCs w:val="21"/>
        </w:rPr>
        <w:t>从</w:t>
      </w:r>
      <w:r w:rsidRPr="00C702D7">
        <w:rPr>
          <w:rFonts w:hint="eastAsia"/>
          <w:szCs w:val="21"/>
        </w:rPr>
        <w:t>资本市场机构投资者</w:t>
      </w:r>
      <w:r w:rsidR="00C221C5" w:rsidRPr="00C702D7">
        <w:rPr>
          <w:rFonts w:hint="eastAsia"/>
          <w:szCs w:val="21"/>
        </w:rPr>
        <w:t>视角，丰富了构建减排治理体系的</w:t>
      </w:r>
      <w:r w:rsidRPr="00C702D7">
        <w:rPr>
          <w:rFonts w:hint="eastAsia"/>
          <w:szCs w:val="21"/>
        </w:rPr>
        <w:t>绿色治理</w:t>
      </w:r>
      <w:r w:rsidR="00C221C5" w:rsidRPr="00C702D7">
        <w:rPr>
          <w:rFonts w:hint="eastAsia"/>
          <w:szCs w:val="21"/>
        </w:rPr>
        <w:t>相关</w:t>
      </w:r>
      <w:r w:rsidRPr="00C702D7">
        <w:rPr>
          <w:rFonts w:hint="eastAsia"/>
          <w:szCs w:val="21"/>
        </w:rPr>
        <w:t>研究，通过明晰机构投资者关注的微观</w:t>
      </w:r>
      <w:r w:rsidR="00887877" w:rsidRPr="00C702D7">
        <w:rPr>
          <w:rFonts w:hint="eastAsia"/>
          <w:szCs w:val="21"/>
        </w:rPr>
        <w:t>减排效应</w:t>
      </w:r>
      <w:r w:rsidR="00AF1536" w:rsidRPr="00C702D7">
        <w:rPr>
          <w:rFonts w:hint="eastAsia"/>
          <w:szCs w:val="21"/>
        </w:rPr>
        <w:t>及对行业、地区的溢出效应，为我国抑制地区间碳泄漏</w:t>
      </w:r>
      <w:r w:rsidRPr="00C702D7">
        <w:rPr>
          <w:rFonts w:hint="eastAsia"/>
          <w:szCs w:val="21"/>
        </w:rPr>
        <w:t>和加强低碳试点政策等提供了一定的经验证据</w:t>
      </w:r>
      <w:r w:rsidR="006D6099" w:rsidRPr="00C702D7">
        <w:rPr>
          <w:rFonts w:hint="eastAsia"/>
          <w:szCs w:val="21"/>
        </w:rPr>
        <w:t>；</w:t>
      </w:r>
      <w:r w:rsidRPr="00C702D7">
        <w:rPr>
          <w:rFonts w:hint="eastAsia"/>
          <w:szCs w:val="21"/>
        </w:rPr>
        <w:t>但本文仍存在一定的局限和不足，例如，机构投资者实地调研的数据和企业披露的排放数据相对有限，并且企业碳排放测算与监督尚未形成科学统一的标准，还需要</w:t>
      </w:r>
      <w:r w:rsidR="006D6099" w:rsidRPr="00C702D7">
        <w:rPr>
          <w:rFonts w:hint="eastAsia"/>
          <w:szCs w:val="21"/>
        </w:rPr>
        <w:t>在</w:t>
      </w:r>
      <w:r w:rsidRPr="00C702D7">
        <w:rPr>
          <w:rFonts w:hint="eastAsia"/>
          <w:szCs w:val="21"/>
        </w:rPr>
        <w:t>后续</w:t>
      </w:r>
      <w:r w:rsidR="006D6099" w:rsidRPr="00C702D7">
        <w:rPr>
          <w:rFonts w:hint="eastAsia"/>
          <w:szCs w:val="21"/>
        </w:rPr>
        <w:t>研究中结合</w:t>
      </w:r>
      <w:r w:rsidRPr="00C702D7">
        <w:rPr>
          <w:rFonts w:hint="eastAsia"/>
          <w:szCs w:val="21"/>
        </w:rPr>
        <w:t>政策标准和数据</w:t>
      </w:r>
      <w:r w:rsidR="006D6099" w:rsidRPr="00C702D7">
        <w:rPr>
          <w:rFonts w:hint="eastAsia"/>
          <w:szCs w:val="21"/>
        </w:rPr>
        <w:t>可获得性进行拓展</w:t>
      </w:r>
      <w:r w:rsidRPr="00C702D7">
        <w:rPr>
          <w:rFonts w:hint="eastAsia"/>
          <w:szCs w:val="21"/>
        </w:rPr>
        <w:t>研究</w:t>
      </w:r>
      <w:r w:rsidR="00C221C5" w:rsidRPr="00C702D7">
        <w:rPr>
          <w:rFonts w:hint="eastAsia"/>
          <w:szCs w:val="21"/>
        </w:rPr>
        <w:t>。</w:t>
      </w:r>
      <w:bookmarkEnd w:id="7"/>
      <w:bookmarkEnd w:id="8"/>
    </w:p>
    <w:p w14:paraId="5018CD78" w14:textId="77777777" w:rsidR="00B47252" w:rsidRPr="00C702D7" w:rsidRDefault="00B47252" w:rsidP="00395E8E">
      <w:pPr>
        <w:ind w:firstLine="420"/>
        <w:rPr>
          <w:szCs w:val="21"/>
        </w:rPr>
      </w:pPr>
    </w:p>
    <w:p w14:paraId="628F48D0" w14:textId="77777777" w:rsidR="006D049C" w:rsidRPr="00C702D7" w:rsidRDefault="006D049C" w:rsidP="004C61B0">
      <w:pPr>
        <w:ind w:firstLineChars="0" w:firstLine="0"/>
        <w:rPr>
          <w:szCs w:val="21"/>
        </w:rPr>
      </w:pPr>
    </w:p>
    <w:p w14:paraId="2DE933B2" w14:textId="77777777" w:rsidR="00823D83" w:rsidRPr="00C702D7" w:rsidRDefault="00823D83" w:rsidP="009F2FCC">
      <w:pPr>
        <w:ind w:firstLineChars="0" w:firstLine="0"/>
        <w:rPr>
          <w:rFonts w:ascii="黑体" w:eastAsia="黑体" w:hAnsi="黑体"/>
          <w:szCs w:val="21"/>
        </w:rPr>
      </w:pPr>
      <w:r w:rsidRPr="00C702D7">
        <w:rPr>
          <w:rFonts w:ascii="黑体" w:eastAsia="黑体" w:hAnsi="黑体" w:hint="eastAsia"/>
          <w:szCs w:val="21"/>
        </w:rPr>
        <w:t>参考文献</w:t>
      </w:r>
      <w:r w:rsidR="009F2FCC" w:rsidRPr="00C702D7">
        <w:rPr>
          <w:rFonts w:ascii="黑体" w:eastAsia="黑体" w:hAnsi="黑体" w:hint="eastAsia"/>
          <w:szCs w:val="21"/>
        </w:rPr>
        <w:t>：</w:t>
      </w:r>
    </w:p>
    <w:p w14:paraId="66710F39" w14:textId="77777777" w:rsidR="00EC4072" w:rsidRPr="00C702D7" w:rsidRDefault="00EC4072" w:rsidP="00C4197D">
      <w:pPr>
        <w:ind w:firstLine="420"/>
      </w:pPr>
      <w:r w:rsidRPr="00C702D7">
        <w:t>岑维</w:t>
      </w:r>
      <w:r w:rsidRPr="00C702D7">
        <w:t xml:space="preserve"> </w:t>
      </w:r>
      <w:r w:rsidRPr="00C702D7">
        <w:t>童娜琼</w:t>
      </w:r>
      <w:r w:rsidRPr="00C702D7">
        <w:t xml:space="preserve"> </w:t>
      </w:r>
      <w:r w:rsidRPr="00C702D7">
        <w:t>郭奇林</w:t>
      </w:r>
      <w:r w:rsidRPr="00C702D7">
        <w:t>, 2017:</w:t>
      </w:r>
      <w:r w:rsidRPr="00C702D7">
        <w:rPr>
          <w:rFonts w:hint="eastAsia"/>
        </w:rPr>
        <w:t>《</w:t>
      </w:r>
      <w:r w:rsidRPr="00C702D7">
        <w:t>机构投资者关注度和企业非效率投资</w:t>
      </w:r>
      <w:r w:rsidRPr="00C702D7">
        <w:t>——</w:t>
      </w:r>
      <w:r w:rsidRPr="00C702D7">
        <w:t>基于深交所</w:t>
      </w:r>
      <w:r w:rsidRPr="00C702D7">
        <w:rPr>
          <w:rFonts w:ascii="宋体" w:hAnsi="宋体"/>
        </w:rPr>
        <w:t>“互动易”</w:t>
      </w:r>
      <w:r w:rsidRPr="00C702D7">
        <w:t>平台数据的实证研究》</w:t>
      </w:r>
      <w:r w:rsidRPr="00C702D7">
        <w:t>,</w:t>
      </w:r>
      <w:r w:rsidRPr="00C702D7">
        <w:t>《证券市场导报</w:t>
      </w:r>
      <w:r w:rsidRPr="00C702D7">
        <w:rPr>
          <w:rFonts w:hint="eastAsia"/>
        </w:rPr>
        <w:t>》</w:t>
      </w:r>
      <w:r w:rsidRPr="00C702D7">
        <w:t>第</w:t>
      </w:r>
      <w:r w:rsidRPr="00C702D7">
        <w:t>10</w:t>
      </w:r>
      <w:r w:rsidRPr="00C702D7">
        <w:t>期。</w:t>
      </w:r>
    </w:p>
    <w:p w14:paraId="1A61FC90" w14:textId="77777777" w:rsidR="00EC4072" w:rsidRPr="00C702D7" w:rsidRDefault="00EC4072" w:rsidP="00C4197D">
      <w:pPr>
        <w:ind w:firstLine="420"/>
      </w:pPr>
      <w:r w:rsidRPr="00C702D7">
        <w:rPr>
          <w:rFonts w:hint="eastAsia"/>
        </w:rPr>
        <w:t>陈菡</w:t>
      </w:r>
      <w:r w:rsidRPr="00C702D7">
        <w:t xml:space="preserve"> </w:t>
      </w:r>
      <w:r w:rsidRPr="00C702D7">
        <w:rPr>
          <w:rFonts w:hint="eastAsia"/>
        </w:rPr>
        <w:t>陈文颖</w:t>
      </w:r>
      <w:r w:rsidRPr="00C702D7">
        <w:t xml:space="preserve"> </w:t>
      </w:r>
      <w:r w:rsidRPr="00C702D7">
        <w:rPr>
          <w:rFonts w:hint="eastAsia"/>
        </w:rPr>
        <w:t>何建坤</w:t>
      </w:r>
      <w:r w:rsidRPr="00C702D7">
        <w:rPr>
          <w:rFonts w:hint="eastAsia"/>
        </w:rPr>
        <w:t>,</w:t>
      </w:r>
      <w:r w:rsidRPr="00C702D7">
        <w:t xml:space="preserve"> 2020</w:t>
      </w:r>
      <w:r w:rsidRPr="00C702D7">
        <w:rPr>
          <w:rFonts w:hint="eastAsia"/>
        </w:rPr>
        <w:t>:</w:t>
      </w:r>
      <w:r w:rsidRPr="00C702D7">
        <w:rPr>
          <w:rFonts w:hint="eastAsia"/>
        </w:rPr>
        <w:t>《实现碳排放达峰和空气质量达标的协同治理路径》</w:t>
      </w:r>
      <w:r w:rsidRPr="00C702D7">
        <w:rPr>
          <w:rFonts w:hint="eastAsia"/>
        </w:rPr>
        <w:t>,</w:t>
      </w:r>
      <w:r w:rsidRPr="00C702D7">
        <w:rPr>
          <w:rFonts w:hint="eastAsia"/>
        </w:rPr>
        <w:t>《中国人口·资源与环境》</w:t>
      </w:r>
      <w:r w:rsidRPr="00C702D7">
        <w:rPr>
          <w:rFonts w:hint="eastAsia"/>
        </w:rPr>
        <w:t xml:space="preserve"> </w:t>
      </w:r>
      <w:r w:rsidRPr="00C702D7">
        <w:rPr>
          <w:rFonts w:hint="eastAsia"/>
        </w:rPr>
        <w:t>第</w:t>
      </w:r>
      <w:r w:rsidRPr="00C702D7">
        <w:rPr>
          <w:rFonts w:hint="eastAsia"/>
        </w:rPr>
        <w:t>10</w:t>
      </w:r>
      <w:r w:rsidRPr="00C702D7">
        <w:rPr>
          <w:rFonts w:hint="eastAsia"/>
        </w:rPr>
        <w:t>期。</w:t>
      </w:r>
    </w:p>
    <w:p w14:paraId="3C22E7A5" w14:textId="77777777" w:rsidR="00EC4072" w:rsidRPr="00C702D7" w:rsidRDefault="00EC4072" w:rsidP="00C4197D">
      <w:pPr>
        <w:ind w:firstLine="420"/>
      </w:pPr>
      <w:r w:rsidRPr="00C702D7">
        <w:rPr>
          <w:rFonts w:hint="eastAsia"/>
        </w:rPr>
        <w:t>方先明</w:t>
      </w:r>
      <w:r w:rsidRPr="00C702D7">
        <w:t xml:space="preserve"> </w:t>
      </w:r>
      <w:r w:rsidRPr="00C702D7">
        <w:rPr>
          <w:rFonts w:hint="eastAsia"/>
        </w:rPr>
        <w:t>那晋领</w:t>
      </w:r>
      <w:r w:rsidRPr="00C702D7">
        <w:t>, 2020:</w:t>
      </w:r>
      <w:r w:rsidRPr="00C702D7">
        <w:rPr>
          <w:rFonts w:hint="eastAsia"/>
        </w:rPr>
        <w:t>《创业板上市公司绿色创新溢酬研究》</w:t>
      </w:r>
      <w:r w:rsidRPr="00C702D7">
        <w:rPr>
          <w:rFonts w:hint="eastAsia"/>
        </w:rPr>
        <w:t>,</w:t>
      </w:r>
      <w:r w:rsidRPr="00C702D7">
        <w:rPr>
          <w:rFonts w:hint="eastAsia"/>
        </w:rPr>
        <w:t>《经济研究》第</w:t>
      </w:r>
      <w:r w:rsidRPr="00C702D7">
        <w:rPr>
          <w:rFonts w:hint="eastAsia"/>
        </w:rPr>
        <w:t>1</w:t>
      </w:r>
      <w:r w:rsidRPr="00C702D7">
        <w:t>0</w:t>
      </w:r>
      <w:r w:rsidRPr="00C702D7">
        <w:rPr>
          <w:rFonts w:hint="eastAsia"/>
        </w:rPr>
        <w:t>期。</w:t>
      </w:r>
    </w:p>
    <w:p w14:paraId="221D7BC9" w14:textId="77777777" w:rsidR="00EC4072" w:rsidRPr="00C702D7" w:rsidRDefault="00EC4072" w:rsidP="00C4197D">
      <w:pPr>
        <w:ind w:firstLine="420"/>
      </w:pPr>
      <w:r w:rsidRPr="00C702D7">
        <w:t>韩超</w:t>
      </w:r>
      <w:r w:rsidRPr="00C702D7">
        <w:t xml:space="preserve"> </w:t>
      </w:r>
      <w:r w:rsidRPr="00C702D7">
        <w:t>陈震</w:t>
      </w:r>
      <w:r w:rsidRPr="00C702D7">
        <w:t xml:space="preserve"> </w:t>
      </w:r>
      <w:r w:rsidRPr="00C702D7">
        <w:t>王震</w:t>
      </w:r>
      <w:r w:rsidRPr="00C702D7">
        <w:t>, 2020:</w:t>
      </w:r>
      <w:r w:rsidRPr="00C702D7">
        <w:rPr>
          <w:rFonts w:hint="eastAsia"/>
        </w:rPr>
        <w:t>《</w:t>
      </w:r>
      <w:r w:rsidRPr="00C702D7">
        <w:t>节能目标约束下企业污染减排效应的机制研究》</w:t>
      </w:r>
      <w:r w:rsidRPr="00C702D7">
        <w:t>,</w:t>
      </w:r>
      <w:r w:rsidRPr="00C702D7">
        <w:t>《中国工业经济</w:t>
      </w:r>
      <w:r w:rsidRPr="00C702D7">
        <w:rPr>
          <w:rFonts w:hint="eastAsia"/>
        </w:rPr>
        <w:t>》</w:t>
      </w:r>
      <w:r w:rsidRPr="00C702D7">
        <w:t>第</w:t>
      </w:r>
      <w:r w:rsidRPr="00C702D7">
        <w:t>10</w:t>
      </w:r>
      <w:r w:rsidRPr="00C702D7">
        <w:t>期。</w:t>
      </w:r>
    </w:p>
    <w:p w14:paraId="60229580" w14:textId="77777777" w:rsidR="00EC4072" w:rsidRPr="00C702D7" w:rsidRDefault="00EC4072" w:rsidP="00C4197D">
      <w:pPr>
        <w:ind w:firstLine="420"/>
      </w:pPr>
      <w:r w:rsidRPr="00C702D7">
        <w:t>韩立岩</w:t>
      </w:r>
      <w:r w:rsidRPr="00C702D7">
        <w:t xml:space="preserve"> </w:t>
      </w:r>
      <w:r w:rsidRPr="00C702D7">
        <w:t>蔡立新</w:t>
      </w:r>
      <w:r w:rsidRPr="00C702D7">
        <w:t xml:space="preserve"> </w:t>
      </w:r>
      <w:r w:rsidRPr="00C702D7">
        <w:t>尹力博</w:t>
      </w:r>
      <w:r w:rsidRPr="00C702D7">
        <w:t>, 2017:</w:t>
      </w:r>
      <w:r w:rsidRPr="00C702D7">
        <w:rPr>
          <w:rFonts w:hint="eastAsia"/>
        </w:rPr>
        <w:t>《</w:t>
      </w:r>
      <w:r w:rsidRPr="00C702D7">
        <w:t>中国证券市场的绿色激励</w:t>
      </w:r>
      <w:r w:rsidRPr="00C702D7">
        <w:t>:</w:t>
      </w:r>
      <w:r w:rsidRPr="00C702D7">
        <w:t>一个四因素模型》</w:t>
      </w:r>
      <w:r w:rsidRPr="00C702D7">
        <w:t>,</w:t>
      </w:r>
      <w:r w:rsidRPr="00C702D7">
        <w:t>《金融研究</w:t>
      </w:r>
      <w:r w:rsidRPr="00C702D7">
        <w:rPr>
          <w:rFonts w:hint="eastAsia"/>
        </w:rPr>
        <w:t>》</w:t>
      </w:r>
      <w:r w:rsidRPr="00C702D7">
        <w:t>第</w:t>
      </w:r>
      <w:r w:rsidRPr="00C702D7">
        <w:t>1</w:t>
      </w:r>
      <w:r w:rsidRPr="00C702D7">
        <w:t>期。</w:t>
      </w:r>
    </w:p>
    <w:p w14:paraId="29CE3448" w14:textId="77777777" w:rsidR="00EC4072" w:rsidRPr="00C702D7" w:rsidRDefault="00EC4072" w:rsidP="00C4197D">
      <w:pPr>
        <w:ind w:firstLine="420"/>
      </w:pPr>
      <w:r w:rsidRPr="00C702D7">
        <w:t>何玉</w:t>
      </w:r>
      <w:r w:rsidRPr="00C702D7">
        <w:t xml:space="preserve"> </w:t>
      </w:r>
      <w:r w:rsidRPr="00C702D7">
        <w:t>唐清亮</w:t>
      </w:r>
      <w:r w:rsidRPr="00C702D7">
        <w:t xml:space="preserve"> </w:t>
      </w:r>
      <w:r w:rsidRPr="00C702D7">
        <w:t>王开田</w:t>
      </w:r>
      <w:r w:rsidRPr="00C702D7">
        <w:t>, 2014:</w:t>
      </w:r>
      <w:r w:rsidRPr="00C702D7">
        <w:rPr>
          <w:rFonts w:hint="eastAsia"/>
        </w:rPr>
        <w:t>《</w:t>
      </w:r>
      <w:r w:rsidRPr="00C702D7">
        <w:t>碳信息披露、碳业绩与资本成本》</w:t>
      </w:r>
      <w:r w:rsidRPr="00C702D7">
        <w:t>,</w:t>
      </w:r>
      <w:r w:rsidRPr="00C702D7">
        <w:t>《会计研究</w:t>
      </w:r>
      <w:r w:rsidRPr="00C702D7">
        <w:rPr>
          <w:rFonts w:hint="eastAsia"/>
        </w:rPr>
        <w:t>》</w:t>
      </w:r>
      <w:r w:rsidRPr="00C702D7">
        <w:t>第</w:t>
      </w:r>
      <w:r w:rsidRPr="00C702D7">
        <w:t>1</w:t>
      </w:r>
      <w:r w:rsidRPr="00C702D7">
        <w:t>期。</w:t>
      </w:r>
    </w:p>
    <w:p w14:paraId="66B86D65" w14:textId="77777777" w:rsidR="00EC4072" w:rsidRPr="00C702D7" w:rsidRDefault="00EC4072" w:rsidP="00C4197D">
      <w:pPr>
        <w:ind w:firstLine="420"/>
      </w:pPr>
      <w:r w:rsidRPr="00C702D7">
        <w:t>何玉</w:t>
      </w:r>
      <w:r w:rsidRPr="00C702D7">
        <w:t xml:space="preserve"> </w:t>
      </w:r>
      <w:r w:rsidRPr="00C702D7">
        <w:t>唐清亮</w:t>
      </w:r>
      <w:r w:rsidRPr="00C702D7">
        <w:t xml:space="preserve"> </w:t>
      </w:r>
      <w:r w:rsidRPr="00C702D7">
        <w:t>王开田</w:t>
      </w:r>
      <w:r w:rsidRPr="00C702D7">
        <w:t>, 2017:</w:t>
      </w:r>
      <w:r w:rsidRPr="00C702D7">
        <w:rPr>
          <w:rFonts w:hint="eastAsia"/>
        </w:rPr>
        <w:t>《</w:t>
      </w:r>
      <w:r w:rsidRPr="00C702D7">
        <w:t>碳绩效与财务绩效》</w:t>
      </w:r>
      <w:r w:rsidRPr="00C702D7">
        <w:t>,</w:t>
      </w:r>
      <w:r w:rsidRPr="00C702D7">
        <w:t>《会计研究</w:t>
      </w:r>
      <w:r w:rsidRPr="00C702D7">
        <w:rPr>
          <w:rFonts w:hint="eastAsia"/>
        </w:rPr>
        <w:t>》</w:t>
      </w:r>
      <w:r w:rsidRPr="00C702D7">
        <w:t>第</w:t>
      </w:r>
      <w:r w:rsidRPr="00C702D7">
        <w:t>2</w:t>
      </w:r>
      <w:r w:rsidRPr="00C702D7">
        <w:t>期。</w:t>
      </w:r>
    </w:p>
    <w:p w14:paraId="4C49A138" w14:textId="77777777" w:rsidR="00EC4072" w:rsidRPr="00C702D7" w:rsidRDefault="00EC4072" w:rsidP="00C4197D">
      <w:pPr>
        <w:ind w:firstLine="420"/>
      </w:pPr>
      <w:bookmarkStart w:id="16" w:name="_Hlk146662880"/>
      <w:r w:rsidRPr="00C702D7">
        <w:rPr>
          <w:rFonts w:hint="eastAsia"/>
        </w:rPr>
        <w:t>贾智杰</w:t>
      </w:r>
      <w:r w:rsidRPr="00C702D7">
        <w:t xml:space="preserve"> </w:t>
      </w:r>
      <w:r w:rsidRPr="00C702D7">
        <w:rPr>
          <w:rFonts w:hint="eastAsia"/>
        </w:rPr>
        <w:t>林伯强</w:t>
      </w:r>
      <w:r w:rsidRPr="00C702D7">
        <w:t xml:space="preserve"> </w:t>
      </w:r>
      <w:r w:rsidRPr="00C702D7">
        <w:rPr>
          <w:rFonts w:hint="eastAsia"/>
        </w:rPr>
        <w:t>温师燕</w:t>
      </w:r>
      <w:r w:rsidRPr="00C702D7">
        <w:rPr>
          <w:rFonts w:hint="eastAsia"/>
        </w:rPr>
        <w:t>,</w:t>
      </w:r>
      <w:r w:rsidRPr="00C702D7">
        <w:t xml:space="preserve"> 2023:</w:t>
      </w:r>
      <w:r w:rsidRPr="00C702D7">
        <w:rPr>
          <w:rFonts w:hint="eastAsia"/>
        </w:rPr>
        <w:t>《碳排放权交易试点与全要素生产率——兼论波特假说、技术溢出与污染天堂》</w:t>
      </w:r>
      <w:r w:rsidRPr="00C702D7">
        <w:rPr>
          <w:rFonts w:hint="eastAsia"/>
        </w:rPr>
        <w:t>,</w:t>
      </w:r>
      <w:r w:rsidRPr="00C702D7">
        <w:rPr>
          <w:rFonts w:hint="eastAsia"/>
        </w:rPr>
        <w:t>《经济学动态》第</w:t>
      </w:r>
      <w:r w:rsidRPr="00C702D7">
        <w:rPr>
          <w:rFonts w:hint="eastAsia"/>
        </w:rPr>
        <w:t>3</w:t>
      </w:r>
      <w:r w:rsidRPr="00C702D7">
        <w:rPr>
          <w:rFonts w:hint="eastAsia"/>
        </w:rPr>
        <w:t>期。</w:t>
      </w:r>
    </w:p>
    <w:bookmarkEnd w:id="16"/>
    <w:p w14:paraId="3FBABFE7" w14:textId="77777777" w:rsidR="00EC4072" w:rsidRPr="00C702D7" w:rsidRDefault="00EC4072" w:rsidP="00C4197D">
      <w:pPr>
        <w:ind w:firstLine="420"/>
      </w:pPr>
      <w:r w:rsidRPr="00C702D7">
        <w:t>姜广省</w:t>
      </w:r>
      <w:r w:rsidRPr="00C702D7">
        <w:t xml:space="preserve"> </w:t>
      </w:r>
      <w:r w:rsidRPr="00C702D7">
        <w:t>卢建词</w:t>
      </w:r>
      <w:r w:rsidRPr="00C702D7">
        <w:t xml:space="preserve"> </w:t>
      </w:r>
      <w:r w:rsidRPr="00C702D7">
        <w:t>李维安</w:t>
      </w:r>
      <w:r w:rsidRPr="00C702D7">
        <w:t>, 2021:</w:t>
      </w:r>
      <w:r w:rsidRPr="00C702D7">
        <w:rPr>
          <w:rFonts w:hint="eastAsia"/>
        </w:rPr>
        <w:t>《</w:t>
      </w:r>
      <w:r w:rsidRPr="00C702D7">
        <w:t>绿色投资者发挥作用吗</w:t>
      </w:r>
      <w:r w:rsidRPr="00C702D7">
        <w:t>?——</w:t>
      </w:r>
      <w:r w:rsidRPr="00C702D7">
        <w:t>来自企业参与绿色治理的经验研究》</w:t>
      </w:r>
      <w:r w:rsidRPr="00C702D7">
        <w:t>,</w:t>
      </w:r>
      <w:r w:rsidRPr="00C702D7">
        <w:t>《金融研究</w:t>
      </w:r>
      <w:r w:rsidRPr="00C702D7">
        <w:rPr>
          <w:rFonts w:hint="eastAsia"/>
        </w:rPr>
        <w:t>》</w:t>
      </w:r>
      <w:r w:rsidRPr="00C702D7">
        <w:t>第</w:t>
      </w:r>
      <w:r w:rsidRPr="00C702D7">
        <w:t>5</w:t>
      </w:r>
      <w:r w:rsidRPr="00C702D7">
        <w:t>期。</w:t>
      </w:r>
    </w:p>
    <w:p w14:paraId="7A60E398" w14:textId="77777777" w:rsidR="00EC4072" w:rsidRPr="00C702D7" w:rsidRDefault="00EC4072" w:rsidP="00C4197D">
      <w:pPr>
        <w:ind w:firstLine="420"/>
      </w:pPr>
      <w:r w:rsidRPr="00C702D7">
        <w:t>黎文靖</w:t>
      </w:r>
      <w:r w:rsidRPr="00C702D7">
        <w:t xml:space="preserve"> </w:t>
      </w:r>
      <w:r w:rsidRPr="00C702D7">
        <w:t>路晓燕</w:t>
      </w:r>
      <w:r w:rsidRPr="00C702D7">
        <w:t>, 2015:</w:t>
      </w:r>
      <w:r w:rsidRPr="00C702D7">
        <w:rPr>
          <w:rFonts w:hint="eastAsia"/>
        </w:rPr>
        <w:t>《</w:t>
      </w:r>
      <w:r w:rsidRPr="00C702D7">
        <w:t>机构投资者关注企业的环境绩效吗</w:t>
      </w:r>
      <w:r w:rsidRPr="00C702D7">
        <w:t>?——</w:t>
      </w:r>
      <w:r w:rsidRPr="00C702D7">
        <w:t>来自我国重污染行业上市公司的经验证据》</w:t>
      </w:r>
      <w:r w:rsidRPr="00C702D7">
        <w:t>,</w:t>
      </w:r>
      <w:r w:rsidRPr="00C702D7">
        <w:t>《金融研究</w:t>
      </w:r>
      <w:r w:rsidRPr="00C702D7">
        <w:rPr>
          <w:rFonts w:hint="eastAsia"/>
        </w:rPr>
        <w:t>》</w:t>
      </w:r>
      <w:r w:rsidRPr="00C702D7">
        <w:t>第</w:t>
      </w:r>
      <w:r w:rsidRPr="00C702D7">
        <w:t>12</w:t>
      </w:r>
      <w:r w:rsidRPr="00C702D7">
        <w:t>期。</w:t>
      </w:r>
    </w:p>
    <w:p w14:paraId="720846E3" w14:textId="77777777" w:rsidR="00EC4072" w:rsidRPr="00C702D7" w:rsidRDefault="00EC4072" w:rsidP="00C4197D">
      <w:pPr>
        <w:ind w:firstLine="420"/>
      </w:pPr>
      <w:r w:rsidRPr="00C702D7">
        <w:rPr>
          <w:rFonts w:hint="eastAsia"/>
        </w:rPr>
        <w:t>李培功</w:t>
      </w:r>
      <w:r w:rsidRPr="00C702D7">
        <w:t xml:space="preserve"> </w:t>
      </w:r>
      <w:r w:rsidRPr="00C702D7">
        <w:rPr>
          <w:rFonts w:hint="eastAsia"/>
        </w:rPr>
        <w:t>沈艺峰</w:t>
      </w:r>
      <w:r w:rsidRPr="00C702D7">
        <w:rPr>
          <w:rFonts w:hint="eastAsia"/>
        </w:rPr>
        <w:t>,</w:t>
      </w:r>
      <w:r w:rsidRPr="00C702D7">
        <w:t xml:space="preserve"> 2011</w:t>
      </w:r>
      <w:r w:rsidRPr="00C702D7">
        <w:rPr>
          <w:rFonts w:hint="eastAsia"/>
        </w:rPr>
        <w:t>:</w:t>
      </w:r>
      <w:r w:rsidRPr="00C702D7">
        <w:rPr>
          <w:rFonts w:hint="eastAsia"/>
        </w:rPr>
        <w:t>《社会规范、资本市场与环境治理</w:t>
      </w:r>
      <w:r w:rsidRPr="00C702D7">
        <w:rPr>
          <w:rFonts w:hint="eastAsia"/>
        </w:rPr>
        <w:t>:</w:t>
      </w:r>
      <w:r w:rsidRPr="00C702D7">
        <w:rPr>
          <w:rFonts w:hint="eastAsia"/>
        </w:rPr>
        <w:t>基于机构投资者视角的经验证据》</w:t>
      </w:r>
      <w:r w:rsidRPr="00C702D7">
        <w:rPr>
          <w:rFonts w:hint="eastAsia"/>
        </w:rPr>
        <w:t>,</w:t>
      </w:r>
      <w:r w:rsidRPr="00C702D7">
        <w:rPr>
          <w:rFonts w:hint="eastAsia"/>
        </w:rPr>
        <w:t>《世界经济》第</w:t>
      </w:r>
      <w:r w:rsidRPr="00C702D7">
        <w:rPr>
          <w:rFonts w:hint="eastAsia"/>
        </w:rPr>
        <w:t>6</w:t>
      </w:r>
      <w:r w:rsidRPr="00C702D7">
        <w:rPr>
          <w:rFonts w:hint="eastAsia"/>
        </w:rPr>
        <w:t>期。</w:t>
      </w:r>
    </w:p>
    <w:p w14:paraId="4294584B" w14:textId="77777777" w:rsidR="00EC4072" w:rsidRPr="00C702D7" w:rsidRDefault="00EC4072" w:rsidP="00C4197D">
      <w:pPr>
        <w:ind w:firstLine="420"/>
      </w:pPr>
      <w:r w:rsidRPr="00C702D7">
        <w:rPr>
          <w:rFonts w:hint="eastAsia"/>
        </w:rPr>
        <w:t>李维安</w:t>
      </w:r>
      <w:r w:rsidRPr="00C702D7">
        <w:t xml:space="preserve"> </w:t>
      </w:r>
      <w:r w:rsidRPr="00C702D7">
        <w:rPr>
          <w:rFonts w:hint="eastAsia"/>
        </w:rPr>
        <w:t>张耀伟</w:t>
      </w:r>
      <w:r w:rsidRPr="00C702D7">
        <w:t xml:space="preserve"> </w:t>
      </w:r>
      <w:r w:rsidRPr="00C702D7">
        <w:rPr>
          <w:rFonts w:hint="eastAsia"/>
        </w:rPr>
        <w:t>郑敏娜</w:t>
      </w:r>
      <w:r w:rsidRPr="00C702D7">
        <w:t xml:space="preserve"> </w:t>
      </w:r>
      <w:r w:rsidRPr="00C702D7">
        <w:rPr>
          <w:rFonts w:hint="eastAsia"/>
        </w:rPr>
        <w:t>李晓琳</w:t>
      </w:r>
      <w:r w:rsidRPr="00C702D7">
        <w:t xml:space="preserve"> </w:t>
      </w:r>
      <w:r w:rsidRPr="00C702D7">
        <w:rPr>
          <w:rFonts w:hint="eastAsia"/>
        </w:rPr>
        <w:t>崔光耀</w:t>
      </w:r>
      <w:r w:rsidRPr="00C702D7">
        <w:t xml:space="preserve"> </w:t>
      </w:r>
      <w:r w:rsidRPr="00C702D7">
        <w:rPr>
          <w:rFonts w:hint="eastAsia"/>
        </w:rPr>
        <w:t>李惠</w:t>
      </w:r>
      <w:r w:rsidRPr="00C702D7">
        <w:rPr>
          <w:rFonts w:hint="eastAsia"/>
        </w:rPr>
        <w:t>,</w:t>
      </w:r>
      <w:r w:rsidRPr="00C702D7">
        <w:t xml:space="preserve"> 2019</w:t>
      </w:r>
      <w:r w:rsidRPr="00C702D7">
        <w:rPr>
          <w:rFonts w:hint="eastAsia"/>
        </w:rPr>
        <w:t>《中国上市公司绿色治理及其评价研究》</w:t>
      </w:r>
      <w:r w:rsidRPr="00C702D7">
        <w:rPr>
          <w:rFonts w:hint="eastAsia"/>
        </w:rPr>
        <w:t>,</w:t>
      </w:r>
      <w:r w:rsidRPr="00C702D7">
        <w:rPr>
          <w:rFonts w:hint="eastAsia"/>
        </w:rPr>
        <w:t>《管理世界》第</w:t>
      </w:r>
      <w:r w:rsidRPr="00C702D7">
        <w:rPr>
          <w:rFonts w:hint="eastAsia"/>
        </w:rPr>
        <w:t>5</w:t>
      </w:r>
      <w:r w:rsidRPr="00C702D7">
        <w:rPr>
          <w:rFonts w:hint="eastAsia"/>
        </w:rPr>
        <w:t>期。</w:t>
      </w:r>
    </w:p>
    <w:p w14:paraId="500C0964" w14:textId="77777777" w:rsidR="00EC4072" w:rsidRPr="00C702D7" w:rsidRDefault="00EC4072" w:rsidP="00C4197D">
      <w:pPr>
        <w:ind w:firstLine="420"/>
      </w:pPr>
      <w:r w:rsidRPr="00C702D7">
        <w:rPr>
          <w:rFonts w:hint="eastAsia"/>
        </w:rPr>
        <w:t>李哲</w:t>
      </w:r>
      <w:r w:rsidRPr="00C702D7">
        <w:rPr>
          <w:rFonts w:hint="eastAsia"/>
        </w:rPr>
        <w:t>,</w:t>
      </w:r>
      <w:r w:rsidR="0080519E" w:rsidRPr="00C702D7">
        <w:t xml:space="preserve"> </w:t>
      </w:r>
      <w:r w:rsidRPr="00C702D7">
        <w:rPr>
          <w:rFonts w:hint="eastAsia"/>
        </w:rPr>
        <w:t>2</w:t>
      </w:r>
      <w:r w:rsidRPr="00C702D7">
        <w:t>018</w:t>
      </w:r>
      <w:r w:rsidRPr="00C702D7">
        <w:rPr>
          <w:rFonts w:hint="eastAsia"/>
        </w:rPr>
        <w:t>:</w:t>
      </w:r>
      <w:r w:rsidRPr="00C702D7">
        <w:rPr>
          <w:rFonts w:hint="eastAsia"/>
        </w:rPr>
        <w:t>《多言寡行”的环境披露模式是否会被信息使用者摒弃》</w:t>
      </w:r>
      <w:r w:rsidRPr="00C702D7">
        <w:rPr>
          <w:rFonts w:hint="eastAsia"/>
        </w:rPr>
        <w:t>,</w:t>
      </w:r>
      <w:r w:rsidRPr="00C702D7">
        <w:rPr>
          <w:rFonts w:hint="eastAsia"/>
        </w:rPr>
        <w:t>《世界经济》第</w:t>
      </w:r>
      <w:r w:rsidRPr="00C702D7">
        <w:rPr>
          <w:rFonts w:hint="eastAsia"/>
        </w:rPr>
        <w:t>12</w:t>
      </w:r>
      <w:r w:rsidRPr="00C702D7">
        <w:rPr>
          <w:rFonts w:hint="eastAsia"/>
        </w:rPr>
        <w:t>期。</w:t>
      </w:r>
    </w:p>
    <w:p w14:paraId="78D11A7D" w14:textId="77777777" w:rsidR="00EC4072" w:rsidRPr="00C702D7" w:rsidRDefault="00EC4072" w:rsidP="00C4197D">
      <w:pPr>
        <w:ind w:firstLine="420"/>
      </w:pPr>
      <w:r w:rsidRPr="00C702D7">
        <w:rPr>
          <w:rFonts w:hint="eastAsia"/>
        </w:rPr>
        <w:lastRenderedPageBreak/>
        <w:t>林伯强</w:t>
      </w:r>
      <w:r w:rsidRPr="00C702D7">
        <w:rPr>
          <w:rFonts w:hint="eastAsia"/>
        </w:rPr>
        <w:t>,</w:t>
      </w:r>
      <w:r w:rsidRPr="00C702D7">
        <w:t xml:space="preserve"> 2022:</w:t>
      </w:r>
      <w:r w:rsidRPr="00C702D7">
        <w:rPr>
          <w:rFonts w:hint="eastAsia"/>
        </w:rPr>
        <w:t>《碳中和进程中的中国经济高质量增长》</w:t>
      </w:r>
      <w:r w:rsidRPr="00C702D7">
        <w:rPr>
          <w:rFonts w:hint="eastAsia"/>
        </w:rPr>
        <w:t>,</w:t>
      </w:r>
      <w:r w:rsidRPr="00C702D7">
        <w:rPr>
          <w:rFonts w:hint="eastAsia"/>
        </w:rPr>
        <w:t>《经济研究》第</w:t>
      </w:r>
      <w:r w:rsidRPr="00C702D7">
        <w:rPr>
          <w:rFonts w:hint="eastAsia"/>
        </w:rPr>
        <w:t>1</w:t>
      </w:r>
      <w:r w:rsidRPr="00C702D7">
        <w:rPr>
          <w:rFonts w:hint="eastAsia"/>
        </w:rPr>
        <w:t>期。</w:t>
      </w:r>
    </w:p>
    <w:p w14:paraId="08F23376" w14:textId="77777777" w:rsidR="00EC4072" w:rsidRPr="00C702D7" w:rsidRDefault="00EC4072" w:rsidP="00C4197D">
      <w:pPr>
        <w:ind w:firstLine="420"/>
      </w:pPr>
      <w:r w:rsidRPr="00C702D7">
        <w:rPr>
          <w:rFonts w:hint="eastAsia"/>
        </w:rPr>
        <w:t>陆蓉</w:t>
      </w:r>
      <w:r w:rsidRPr="00C702D7">
        <w:t xml:space="preserve"> </w:t>
      </w:r>
      <w:r w:rsidRPr="00C702D7">
        <w:rPr>
          <w:rFonts w:hint="eastAsia"/>
        </w:rPr>
        <w:t>王策</w:t>
      </w:r>
      <w:r w:rsidRPr="00C702D7">
        <w:t xml:space="preserve"> </w:t>
      </w:r>
      <w:r w:rsidRPr="00C702D7">
        <w:rPr>
          <w:rFonts w:hint="eastAsia"/>
        </w:rPr>
        <w:t>邓鸣茂</w:t>
      </w:r>
      <w:r w:rsidRPr="00C702D7">
        <w:t>, 2017:</w:t>
      </w:r>
      <w:r w:rsidRPr="00C702D7">
        <w:rPr>
          <w:rFonts w:hint="eastAsia"/>
        </w:rPr>
        <w:t>《我国上市公司资本结构“同群效应”研究》</w:t>
      </w:r>
      <w:r w:rsidRPr="00C702D7">
        <w:rPr>
          <w:rFonts w:hint="eastAsia"/>
        </w:rPr>
        <w:t>,</w:t>
      </w:r>
      <w:r w:rsidRPr="00C702D7">
        <w:rPr>
          <w:rFonts w:hint="eastAsia"/>
        </w:rPr>
        <w:t>《经济管理》第</w:t>
      </w:r>
      <w:r w:rsidRPr="00C702D7">
        <w:rPr>
          <w:rFonts w:hint="eastAsia"/>
        </w:rPr>
        <w:t>1</w:t>
      </w:r>
      <w:r w:rsidRPr="00C702D7">
        <w:rPr>
          <w:rFonts w:hint="eastAsia"/>
        </w:rPr>
        <w:t>期。</w:t>
      </w:r>
    </w:p>
    <w:p w14:paraId="4EACE7B2" w14:textId="77777777" w:rsidR="00EC4072" w:rsidRPr="00C702D7" w:rsidRDefault="00EC4072" w:rsidP="00C4197D">
      <w:pPr>
        <w:ind w:firstLine="420"/>
      </w:pPr>
      <w:r w:rsidRPr="00C702D7">
        <w:t>任晓松</w:t>
      </w:r>
      <w:r w:rsidRPr="00C702D7">
        <w:t xml:space="preserve"> </w:t>
      </w:r>
      <w:r w:rsidRPr="00C702D7">
        <w:t>刘宇佳</w:t>
      </w:r>
      <w:r w:rsidRPr="00C702D7">
        <w:t xml:space="preserve"> </w:t>
      </w:r>
      <w:r w:rsidRPr="00C702D7">
        <w:t>赵国浩</w:t>
      </w:r>
      <w:r w:rsidRPr="00C702D7">
        <w:t>, 2020:</w:t>
      </w:r>
      <w:r w:rsidRPr="00C702D7">
        <w:rPr>
          <w:rFonts w:hint="eastAsia"/>
        </w:rPr>
        <w:t>《</w:t>
      </w:r>
      <w:r w:rsidRPr="00C702D7">
        <w:t>经济集聚对碳排放强度的影响及传导机制》</w:t>
      </w:r>
      <w:r w:rsidRPr="00C702D7">
        <w:t>,</w:t>
      </w:r>
      <w:r w:rsidRPr="00C702D7">
        <w:t>《中国人口</w:t>
      </w:r>
      <w:r w:rsidRPr="00C702D7">
        <w:t>·</w:t>
      </w:r>
      <w:r w:rsidRPr="00C702D7">
        <w:t>资源与环境</w:t>
      </w:r>
      <w:r w:rsidRPr="00C702D7">
        <w:rPr>
          <w:rFonts w:hint="eastAsia"/>
        </w:rPr>
        <w:t>》</w:t>
      </w:r>
      <w:r w:rsidRPr="00C702D7">
        <w:t>第</w:t>
      </w:r>
      <w:r w:rsidRPr="00C702D7">
        <w:t>4</w:t>
      </w:r>
      <w:r w:rsidRPr="00C702D7">
        <w:t>期。</w:t>
      </w:r>
    </w:p>
    <w:p w14:paraId="5A41697C" w14:textId="77777777" w:rsidR="00EC4072" w:rsidRPr="00C702D7" w:rsidRDefault="00EC4072" w:rsidP="00C4197D">
      <w:pPr>
        <w:ind w:firstLine="420"/>
      </w:pPr>
      <w:bookmarkStart w:id="17" w:name="_Hlk146662885"/>
      <w:r w:rsidRPr="00C702D7">
        <w:rPr>
          <w:rFonts w:hint="eastAsia"/>
        </w:rPr>
        <w:t>申广军</w:t>
      </w:r>
      <w:r w:rsidRPr="00C702D7">
        <w:t xml:space="preserve"> </w:t>
      </w:r>
      <w:r w:rsidRPr="00C702D7">
        <w:rPr>
          <w:rFonts w:hint="eastAsia"/>
        </w:rPr>
        <w:t>马红旗</w:t>
      </w:r>
      <w:r w:rsidRPr="00C702D7">
        <w:t>, 2023:</w:t>
      </w:r>
      <w:r w:rsidRPr="00C702D7">
        <w:rPr>
          <w:rFonts w:hint="eastAsia"/>
        </w:rPr>
        <w:t>《企业债务期限与环境责任履行——基于中国钢铁企业的实证研究》</w:t>
      </w:r>
      <w:r w:rsidRPr="00C702D7">
        <w:rPr>
          <w:rFonts w:hint="eastAsia"/>
        </w:rPr>
        <w:t>,</w:t>
      </w:r>
      <w:r w:rsidRPr="00C702D7">
        <w:rPr>
          <w:rFonts w:hint="eastAsia"/>
        </w:rPr>
        <w:t>《经济学动态》第</w:t>
      </w:r>
      <w:r w:rsidRPr="00C702D7">
        <w:rPr>
          <w:rFonts w:hint="eastAsia"/>
        </w:rPr>
        <w:t>5</w:t>
      </w:r>
      <w:r w:rsidRPr="00C702D7">
        <w:rPr>
          <w:rFonts w:hint="eastAsia"/>
        </w:rPr>
        <w:t>期。</w:t>
      </w:r>
    </w:p>
    <w:bookmarkEnd w:id="17"/>
    <w:p w14:paraId="1A78A160" w14:textId="77777777" w:rsidR="00EC4072" w:rsidRPr="00C702D7" w:rsidRDefault="00EC4072" w:rsidP="00C4197D">
      <w:pPr>
        <w:ind w:firstLine="420"/>
      </w:pPr>
      <w:r w:rsidRPr="00C702D7">
        <w:rPr>
          <w:rFonts w:hint="eastAsia"/>
          <w:szCs w:val="21"/>
        </w:rPr>
        <w:t>王博</w:t>
      </w:r>
      <w:r w:rsidRPr="00C702D7">
        <w:rPr>
          <w:szCs w:val="21"/>
        </w:rPr>
        <w:t xml:space="preserve"> </w:t>
      </w:r>
      <w:r w:rsidRPr="00C702D7">
        <w:rPr>
          <w:rFonts w:hint="eastAsia"/>
          <w:szCs w:val="21"/>
        </w:rPr>
        <w:t>宋玉峰</w:t>
      </w:r>
      <w:r w:rsidRPr="00C702D7">
        <w:rPr>
          <w:rFonts w:hint="eastAsia"/>
          <w:szCs w:val="21"/>
        </w:rPr>
        <w:t>,</w:t>
      </w:r>
      <w:r w:rsidRPr="00C702D7">
        <w:rPr>
          <w:szCs w:val="21"/>
        </w:rPr>
        <w:t xml:space="preserve"> 2020</w:t>
      </w:r>
      <w:r w:rsidRPr="00C702D7">
        <w:rPr>
          <w:rFonts w:hint="eastAsia"/>
          <w:szCs w:val="21"/>
        </w:rPr>
        <w:t>:</w:t>
      </w:r>
      <w:r w:rsidRPr="00C702D7">
        <w:rPr>
          <w:rFonts w:hint="eastAsia"/>
          <w:szCs w:val="21"/>
        </w:rPr>
        <w:t>《气候变化的转型风险对宏观经济和金融稳定的影响——基于存量流量一致性模型视角》</w:t>
      </w:r>
      <w:r w:rsidRPr="00C702D7">
        <w:rPr>
          <w:rFonts w:hint="eastAsia"/>
          <w:szCs w:val="21"/>
        </w:rPr>
        <w:t>,</w:t>
      </w:r>
      <w:r w:rsidRPr="00C702D7">
        <w:rPr>
          <w:rFonts w:hint="eastAsia"/>
          <w:szCs w:val="21"/>
        </w:rPr>
        <w:t>《经济学动态》第</w:t>
      </w:r>
      <w:r w:rsidRPr="00C702D7">
        <w:rPr>
          <w:rFonts w:hint="eastAsia"/>
          <w:szCs w:val="21"/>
        </w:rPr>
        <w:t>11</w:t>
      </w:r>
      <w:r w:rsidRPr="00C702D7">
        <w:rPr>
          <w:rFonts w:hint="eastAsia"/>
          <w:szCs w:val="21"/>
        </w:rPr>
        <w:t>期。</w:t>
      </w:r>
    </w:p>
    <w:p w14:paraId="20D3A5DC" w14:textId="77777777" w:rsidR="00EC4072" w:rsidRPr="00C702D7" w:rsidRDefault="00EC4072" w:rsidP="00C4197D">
      <w:pPr>
        <w:ind w:firstLine="420"/>
      </w:pPr>
      <w:r w:rsidRPr="00C702D7">
        <w:rPr>
          <w:rFonts w:hint="eastAsia"/>
        </w:rPr>
        <w:t>王垒</w:t>
      </w:r>
      <w:r w:rsidRPr="00C702D7">
        <w:t xml:space="preserve"> </w:t>
      </w:r>
      <w:r w:rsidRPr="00C702D7">
        <w:rPr>
          <w:rFonts w:hint="eastAsia"/>
        </w:rPr>
        <w:t>曲晶</w:t>
      </w:r>
      <w:r w:rsidRPr="00C702D7">
        <w:t xml:space="preserve"> </w:t>
      </w:r>
      <w:r w:rsidRPr="00C702D7">
        <w:rPr>
          <w:rFonts w:hint="eastAsia"/>
        </w:rPr>
        <w:t>刘新民</w:t>
      </w:r>
      <w:r w:rsidRPr="00C702D7">
        <w:rPr>
          <w:rFonts w:hint="eastAsia"/>
        </w:rPr>
        <w:t>,</w:t>
      </w:r>
      <w:r w:rsidRPr="00C702D7">
        <w:t xml:space="preserve"> 2019:</w:t>
      </w:r>
      <w:r w:rsidRPr="00C702D7">
        <w:rPr>
          <w:rFonts w:hint="eastAsia"/>
        </w:rPr>
        <w:t>《异质机构投资者投资组合、环境信息披露与企业价值》</w:t>
      </w:r>
      <w:r w:rsidRPr="00C702D7">
        <w:rPr>
          <w:rFonts w:hint="eastAsia"/>
        </w:rPr>
        <w:t>,</w:t>
      </w:r>
      <w:r w:rsidRPr="00C702D7">
        <w:rPr>
          <w:rFonts w:hint="eastAsia"/>
        </w:rPr>
        <w:t>《管理科学》第</w:t>
      </w:r>
      <w:r w:rsidRPr="00C702D7">
        <w:rPr>
          <w:rFonts w:hint="eastAsia"/>
        </w:rPr>
        <w:t>4</w:t>
      </w:r>
      <w:r w:rsidRPr="00C702D7">
        <w:rPr>
          <w:rFonts w:hint="eastAsia"/>
        </w:rPr>
        <w:t>期。</w:t>
      </w:r>
    </w:p>
    <w:p w14:paraId="728EB56C" w14:textId="77777777" w:rsidR="00EC4072" w:rsidRPr="00C702D7" w:rsidRDefault="00EC4072" w:rsidP="00C4197D">
      <w:pPr>
        <w:ind w:firstLine="420"/>
      </w:pPr>
      <w:r w:rsidRPr="00C702D7">
        <w:rPr>
          <w:rFonts w:hint="eastAsia"/>
        </w:rPr>
        <w:t>王馨</w:t>
      </w:r>
      <w:r w:rsidRPr="00C702D7">
        <w:t xml:space="preserve"> </w:t>
      </w:r>
      <w:r w:rsidRPr="00C702D7">
        <w:rPr>
          <w:rFonts w:hint="eastAsia"/>
        </w:rPr>
        <w:t>王营</w:t>
      </w:r>
      <w:r w:rsidRPr="00C702D7">
        <w:rPr>
          <w:rFonts w:hint="eastAsia"/>
        </w:rPr>
        <w:t>,</w:t>
      </w:r>
      <w:r w:rsidRPr="00C702D7">
        <w:t xml:space="preserve"> 2021</w:t>
      </w:r>
      <w:r w:rsidRPr="00C702D7">
        <w:rPr>
          <w:rFonts w:hint="eastAsia"/>
        </w:rPr>
        <w:t>:</w:t>
      </w:r>
      <w:r w:rsidRPr="00C702D7">
        <w:rPr>
          <w:rFonts w:hint="eastAsia"/>
        </w:rPr>
        <w:t>《绿色信贷政策增进绿色创新研究》</w:t>
      </w:r>
      <w:r w:rsidRPr="00C702D7">
        <w:rPr>
          <w:rFonts w:hint="eastAsia"/>
        </w:rPr>
        <w:t>,</w:t>
      </w:r>
      <w:r w:rsidRPr="00C702D7">
        <w:rPr>
          <w:rFonts w:hint="eastAsia"/>
        </w:rPr>
        <w:t>《管理世界》第</w:t>
      </w:r>
      <w:r w:rsidRPr="00C702D7">
        <w:rPr>
          <w:rFonts w:hint="eastAsia"/>
        </w:rPr>
        <w:t>6</w:t>
      </w:r>
      <w:r w:rsidRPr="00C702D7">
        <w:rPr>
          <w:rFonts w:hint="eastAsia"/>
        </w:rPr>
        <w:t>期。</w:t>
      </w:r>
    </w:p>
    <w:p w14:paraId="67D2DB88" w14:textId="77777777" w:rsidR="00EC4072" w:rsidRPr="00C702D7" w:rsidRDefault="00EC4072" w:rsidP="00C4197D">
      <w:pPr>
        <w:ind w:firstLine="420"/>
      </w:pPr>
      <w:r w:rsidRPr="00C702D7">
        <w:rPr>
          <w:rFonts w:hint="eastAsia"/>
        </w:rPr>
        <w:t>王宇哲</w:t>
      </w:r>
      <w:r w:rsidRPr="00C702D7">
        <w:t xml:space="preserve"> </w:t>
      </w:r>
      <w:r w:rsidRPr="00C702D7">
        <w:rPr>
          <w:rFonts w:hint="eastAsia"/>
        </w:rPr>
        <w:t>赵静</w:t>
      </w:r>
      <w:r w:rsidRPr="00C702D7">
        <w:rPr>
          <w:rFonts w:hint="eastAsia"/>
        </w:rPr>
        <w:t>,</w:t>
      </w:r>
      <w:r w:rsidRPr="00C702D7">
        <w:t xml:space="preserve"> 2018:</w:t>
      </w:r>
      <w:r w:rsidRPr="00C702D7">
        <w:rPr>
          <w:rFonts w:hint="eastAsia"/>
        </w:rPr>
        <w:t>《“用钱投票”：公众环境关注度对不同产业资产价格的影响》</w:t>
      </w:r>
      <w:r w:rsidRPr="00C702D7">
        <w:rPr>
          <w:rFonts w:hint="eastAsia"/>
        </w:rPr>
        <w:t>,</w:t>
      </w:r>
      <w:r w:rsidRPr="00C702D7">
        <w:rPr>
          <w:rFonts w:hint="eastAsia"/>
        </w:rPr>
        <w:t>《管理世界》</w:t>
      </w:r>
      <w:r w:rsidRPr="00C702D7">
        <w:t>第</w:t>
      </w:r>
      <w:r w:rsidRPr="00C702D7">
        <w:t>9</w:t>
      </w:r>
      <w:r w:rsidRPr="00C702D7">
        <w:t>期。</w:t>
      </w:r>
    </w:p>
    <w:p w14:paraId="1F3CCE72" w14:textId="77777777" w:rsidR="00EC4072" w:rsidRPr="00C702D7" w:rsidRDefault="00EC4072" w:rsidP="00C4197D">
      <w:pPr>
        <w:ind w:firstLine="420"/>
      </w:pPr>
      <w:r w:rsidRPr="00C702D7">
        <w:t>王育宝</w:t>
      </w:r>
      <w:r w:rsidRPr="00C702D7">
        <w:t xml:space="preserve"> </w:t>
      </w:r>
      <w:r w:rsidRPr="00C702D7">
        <w:t>何宇鹏</w:t>
      </w:r>
      <w:r w:rsidRPr="00C702D7">
        <w:t>, 2021:</w:t>
      </w:r>
      <w:r w:rsidRPr="00C702D7">
        <w:rPr>
          <w:rFonts w:hint="eastAsia"/>
        </w:rPr>
        <w:t>《</w:t>
      </w:r>
      <w:r w:rsidRPr="00C702D7">
        <w:t>增加值视角下中国省域净碳转移权责分配》</w:t>
      </w:r>
      <w:r w:rsidRPr="00C702D7">
        <w:t>,</w:t>
      </w:r>
      <w:r w:rsidRPr="00C702D7">
        <w:t>《中国人口</w:t>
      </w:r>
      <w:r w:rsidRPr="00C702D7">
        <w:t>·</w:t>
      </w:r>
      <w:r w:rsidRPr="00C702D7">
        <w:t>资源与环境</w:t>
      </w:r>
      <w:r w:rsidRPr="00C702D7">
        <w:rPr>
          <w:rFonts w:hint="eastAsia"/>
        </w:rPr>
        <w:t>》</w:t>
      </w:r>
      <w:r w:rsidRPr="00C702D7">
        <w:t>第</w:t>
      </w:r>
      <w:r w:rsidRPr="00C702D7">
        <w:t>1</w:t>
      </w:r>
      <w:r w:rsidRPr="00C702D7">
        <w:t>期。</w:t>
      </w:r>
    </w:p>
    <w:p w14:paraId="7AC89D50" w14:textId="77777777" w:rsidR="00EC4072" w:rsidRPr="00C702D7" w:rsidRDefault="00EC4072" w:rsidP="00C4197D">
      <w:pPr>
        <w:ind w:firstLine="420"/>
      </w:pPr>
      <w:r w:rsidRPr="00C702D7">
        <w:rPr>
          <w:rFonts w:hint="eastAsia"/>
        </w:rPr>
        <w:t>王云</w:t>
      </w:r>
      <w:r w:rsidRPr="00C702D7">
        <w:t xml:space="preserve"> </w:t>
      </w:r>
      <w:r w:rsidRPr="00C702D7">
        <w:rPr>
          <w:rFonts w:hint="eastAsia"/>
        </w:rPr>
        <w:t>李延喜</w:t>
      </w:r>
      <w:r w:rsidRPr="00C702D7">
        <w:t xml:space="preserve"> </w:t>
      </w:r>
      <w:r w:rsidRPr="00C702D7">
        <w:rPr>
          <w:rFonts w:hint="eastAsia"/>
        </w:rPr>
        <w:t>马壮</w:t>
      </w:r>
      <w:r w:rsidRPr="00C702D7">
        <w:t xml:space="preserve"> </w:t>
      </w:r>
      <w:r w:rsidRPr="00C702D7">
        <w:rPr>
          <w:rFonts w:hint="eastAsia"/>
        </w:rPr>
        <w:t>宋金波</w:t>
      </w:r>
      <w:r w:rsidRPr="00C702D7">
        <w:t>, 2017:</w:t>
      </w:r>
      <w:r w:rsidRPr="00C702D7">
        <w:rPr>
          <w:rFonts w:hint="eastAsia"/>
        </w:rPr>
        <w:t>《媒体关注、环境规制与企业环保投资》</w:t>
      </w:r>
      <w:r w:rsidRPr="00C702D7">
        <w:rPr>
          <w:rFonts w:hint="eastAsia"/>
        </w:rPr>
        <w:t>,</w:t>
      </w:r>
      <w:r w:rsidRPr="00C702D7">
        <w:rPr>
          <w:rFonts w:hint="eastAsia"/>
        </w:rPr>
        <w:t>《南开管理评论》第</w:t>
      </w:r>
      <w:r w:rsidRPr="00C702D7">
        <w:rPr>
          <w:rFonts w:hint="eastAsia"/>
        </w:rPr>
        <w:t>6</w:t>
      </w:r>
      <w:r w:rsidRPr="00C702D7">
        <w:rPr>
          <w:rFonts w:hint="eastAsia"/>
        </w:rPr>
        <w:t>期。</w:t>
      </w:r>
    </w:p>
    <w:p w14:paraId="7D480536" w14:textId="77777777" w:rsidR="00EC4072" w:rsidRPr="00C702D7" w:rsidRDefault="00EC4072" w:rsidP="00C4197D">
      <w:pPr>
        <w:ind w:firstLine="420"/>
      </w:pPr>
      <w:r w:rsidRPr="00C702D7">
        <w:t>吴茵茵</w:t>
      </w:r>
      <w:r w:rsidRPr="00C702D7">
        <w:t xml:space="preserve"> </w:t>
      </w:r>
      <w:r w:rsidRPr="00C702D7">
        <w:t>齐杰</w:t>
      </w:r>
      <w:r w:rsidRPr="00C702D7">
        <w:t xml:space="preserve"> </w:t>
      </w:r>
      <w:r w:rsidRPr="00C702D7">
        <w:t>鲜琴</w:t>
      </w:r>
      <w:r w:rsidRPr="00C702D7">
        <w:t xml:space="preserve"> </w:t>
      </w:r>
      <w:r w:rsidRPr="00C702D7">
        <w:t>陈建东</w:t>
      </w:r>
      <w:r w:rsidRPr="00C702D7">
        <w:t>, 2021:</w:t>
      </w:r>
      <w:r w:rsidRPr="00C702D7">
        <w:rPr>
          <w:rFonts w:hint="eastAsia"/>
        </w:rPr>
        <w:t>《</w:t>
      </w:r>
      <w:r w:rsidRPr="00C702D7">
        <w:t>中国碳市场的碳减排效应研究</w:t>
      </w:r>
      <w:r w:rsidRPr="00C702D7">
        <w:t>——</w:t>
      </w:r>
      <w:r w:rsidRPr="00C702D7">
        <w:t>基于市场机制与行政干预的协同作用视角》</w:t>
      </w:r>
      <w:r w:rsidRPr="00C702D7">
        <w:t>,</w:t>
      </w:r>
      <w:r w:rsidRPr="00C702D7">
        <w:t>《中国工业经济</w:t>
      </w:r>
      <w:r w:rsidRPr="00C702D7">
        <w:rPr>
          <w:rFonts w:hint="eastAsia"/>
        </w:rPr>
        <w:t>》</w:t>
      </w:r>
      <w:r w:rsidRPr="00C702D7">
        <w:t>第</w:t>
      </w:r>
      <w:r w:rsidRPr="00C702D7">
        <w:t>8</w:t>
      </w:r>
      <w:r w:rsidRPr="00C702D7">
        <w:t>期。</w:t>
      </w:r>
    </w:p>
    <w:p w14:paraId="4EFCF243" w14:textId="77777777" w:rsidR="00EC4072" w:rsidRPr="00C702D7" w:rsidRDefault="00EC4072" w:rsidP="00C4197D">
      <w:pPr>
        <w:ind w:firstLine="420"/>
      </w:pPr>
      <w:r w:rsidRPr="00C702D7">
        <w:t>夏良杰</w:t>
      </w:r>
      <w:r w:rsidRPr="00C702D7">
        <w:t xml:space="preserve"> </w:t>
      </w:r>
      <w:r w:rsidRPr="00C702D7">
        <w:t>孔清逸</w:t>
      </w:r>
      <w:r w:rsidRPr="00C702D7">
        <w:t xml:space="preserve"> </w:t>
      </w:r>
      <w:r w:rsidRPr="00C702D7">
        <w:t>李友东</w:t>
      </w:r>
      <w:r w:rsidRPr="00C702D7">
        <w:t xml:space="preserve"> </w:t>
      </w:r>
      <w:r w:rsidRPr="00C702D7">
        <w:t>徐春秋</w:t>
      </w:r>
      <w:r w:rsidRPr="00C702D7">
        <w:t>, 2021:</w:t>
      </w:r>
      <w:r w:rsidRPr="00C702D7">
        <w:rPr>
          <w:rFonts w:hint="eastAsia"/>
        </w:rPr>
        <w:t>《</w:t>
      </w:r>
      <w:r w:rsidRPr="00C702D7">
        <w:t>考虑交叉持股的低碳供应链减排与定价决策研究》</w:t>
      </w:r>
      <w:r w:rsidRPr="00C702D7">
        <w:t>,</w:t>
      </w:r>
      <w:r w:rsidRPr="00C702D7">
        <w:t>《中国管理科学</w:t>
      </w:r>
      <w:r w:rsidRPr="00C702D7">
        <w:rPr>
          <w:rFonts w:hint="eastAsia"/>
        </w:rPr>
        <w:t>》</w:t>
      </w:r>
      <w:r w:rsidRPr="00C702D7">
        <w:t>第</w:t>
      </w:r>
      <w:r w:rsidRPr="00C702D7">
        <w:t>4</w:t>
      </w:r>
      <w:r w:rsidRPr="00C702D7">
        <w:t>期。</w:t>
      </w:r>
    </w:p>
    <w:p w14:paraId="58E6C1BD" w14:textId="77777777" w:rsidR="00EC4072" w:rsidRPr="00C702D7" w:rsidRDefault="00EC4072" w:rsidP="00C4197D">
      <w:pPr>
        <w:ind w:firstLine="420"/>
      </w:pPr>
      <w:r w:rsidRPr="00C702D7">
        <w:rPr>
          <w:rFonts w:hint="eastAsia"/>
          <w:szCs w:val="21"/>
        </w:rPr>
        <w:t>肖红军</w:t>
      </w:r>
      <w:r w:rsidRPr="00C702D7">
        <w:rPr>
          <w:szCs w:val="21"/>
        </w:rPr>
        <w:t xml:space="preserve"> </w:t>
      </w:r>
      <w:r w:rsidRPr="00C702D7">
        <w:rPr>
          <w:rFonts w:hint="eastAsia"/>
          <w:szCs w:val="21"/>
        </w:rPr>
        <w:t>阳镇</w:t>
      </w:r>
      <w:r w:rsidRPr="00C702D7">
        <w:rPr>
          <w:szCs w:val="21"/>
        </w:rPr>
        <w:t xml:space="preserve"> </w:t>
      </w:r>
      <w:r w:rsidRPr="00C702D7">
        <w:rPr>
          <w:rFonts w:hint="eastAsia"/>
          <w:szCs w:val="21"/>
        </w:rPr>
        <w:t>凌鸿程</w:t>
      </w:r>
      <w:r w:rsidRPr="00C702D7">
        <w:rPr>
          <w:rFonts w:hint="eastAsia"/>
          <w:szCs w:val="21"/>
        </w:rPr>
        <w:t>,</w:t>
      </w:r>
      <w:r w:rsidRPr="00C702D7">
        <w:rPr>
          <w:szCs w:val="21"/>
        </w:rPr>
        <w:t xml:space="preserve"> 2022:</w:t>
      </w:r>
      <w:r w:rsidRPr="00C702D7">
        <w:rPr>
          <w:rFonts w:hint="eastAsia"/>
          <w:szCs w:val="21"/>
        </w:rPr>
        <w:t>《企业社会责任具有绿色创新效应吗》</w:t>
      </w:r>
      <w:r w:rsidRPr="00C702D7">
        <w:rPr>
          <w:rFonts w:hint="eastAsia"/>
          <w:szCs w:val="21"/>
        </w:rPr>
        <w:t>,</w:t>
      </w:r>
      <w:r w:rsidRPr="00C702D7">
        <w:rPr>
          <w:rFonts w:hint="eastAsia"/>
          <w:szCs w:val="21"/>
        </w:rPr>
        <w:t>《经济学动态》第</w:t>
      </w:r>
      <w:r w:rsidRPr="00C702D7">
        <w:rPr>
          <w:rFonts w:hint="eastAsia"/>
          <w:szCs w:val="21"/>
        </w:rPr>
        <w:t>8</w:t>
      </w:r>
      <w:r w:rsidRPr="00C702D7">
        <w:rPr>
          <w:rFonts w:hint="eastAsia"/>
          <w:szCs w:val="21"/>
        </w:rPr>
        <w:t>期。</w:t>
      </w:r>
    </w:p>
    <w:p w14:paraId="27A361DA" w14:textId="77777777" w:rsidR="00EC4072" w:rsidRPr="00C702D7" w:rsidRDefault="00EC4072" w:rsidP="00C4197D">
      <w:pPr>
        <w:ind w:firstLine="420"/>
      </w:pPr>
      <w:r w:rsidRPr="00C702D7">
        <w:t>谢鑫鹏</w:t>
      </w:r>
      <w:r w:rsidRPr="00C702D7">
        <w:t xml:space="preserve"> </w:t>
      </w:r>
      <w:r w:rsidRPr="00C702D7">
        <w:t>赵道致</w:t>
      </w:r>
      <w:r w:rsidRPr="00C702D7">
        <w:t>, 2013:</w:t>
      </w:r>
      <w:r w:rsidRPr="00C702D7">
        <w:rPr>
          <w:rFonts w:hint="eastAsia"/>
        </w:rPr>
        <w:t>《</w:t>
      </w:r>
      <w:r w:rsidRPr="00C702D7">
        <w:t>低碳供应链企业减排合作策略研究》</w:t>
      </w:r>
      <w:r w:rsidRPr="00C702D7">
        <w:t>,</w:t>
      </w:r>
      <w:r w:rsidRPr="00C702D7">
        <w:t>《管理科学</w:t>
      </w:r>
      <w:r w:rsidRPr="00C702D7">
        <w:rPr>
          <w:rFonts w:hint="eastAsia"/>
        </w:rPr>
        <w:t>》</w:t>
      </w:r>
      <w:r w:rsidRPr="00C702D7">
        <w:t>第</w:t>
      </w:r>
      <w:r w:rsidRPr="00C702D7">
        <w:t>3</w:t>
      </w:r>
      <w:r w:rsidRPr="00C702D7">
        <w:t>期。</w:t>
      </w:r>
    </w:p>
    <w:p w14:paraId="41EDBB24" w14:textId="77777777" w:rsidR="00EC4072" w:rsidRPr="00C702D7" w:rsidRDefault="00EC4072" w:rsidP="00C4197D">
      <w:pPr>
        <w:ind w:firstLine="420"/>
      </w:pPr>
      <w:r w:rsidRPr="00C702D7">
        <w:t>杨涛</w:t>
      </w:r>
      <w:r w:rsidRPr="00C702D7">
        <w:t xml:space="preserve"> </w:t>
      </w:r>
      <w:r w:rsidRPr="00C702D7">
        <w:t>郭萌萌</w:t>
      </w:r>
      <w:r w:rsidRPr="00C702D7">
        <w:t>, 2019:</w:t>
      </w:r>
      <w:r w:rsidRPr="00C702D7">
        <w:rPr>
          <w:rFonts w:hint="eastAsia"/>
        </w:rPr>
        <w:t>《</w:t>
      </w:r>
      <w:r w:rsidRPr="00C702D7">
        <w:t>投资者关注度与股票市场</w:t>
      </w:r>
      <w:r w:rsidRPr="00C702D7">
        <w:t>——</w:t>
      </w:r>
      <w:r w:rsidRPr="00C702D7">
        <w:t>以</w:t>
      </w:r>
      <w:r w:rsidRPr="00C702D7">
        <w:t>PM2.5</w:t>
      </w:r>
      <w:r w:rsidRPr="00C702D7">
        <w:t>概念股为例》</w:t>
      </w:r>
      <w:r w:rsidRPr="00C702D7">
        <w:t>,</w:t>
      </w:r>
      <w:r w:rsidRPr="00C702D7">
        <w:t>《金融研究</w:t>
      </w:r>
      <w:r w:rsidRPr="00C702D7">
        <w:rPr>
          <w:rFonts w:hint="eastAsia"/>
        </w:rPr>
        <w:t>》</w:t>
      </w:r>
      <w:r w:rsidRPr="00C702D7">
        <w:t>第</w:t>
      </w:r>
      <w:r w:rsidRPr="00C702D7">
        <w:t>5</w:t>
      </w:r>
      <w:r w:rsidRPr="00C702D7">
        <w:t>期。</w:t>
      </w:r>
    </w:p>
    <w:p w14:paraId="583130D7" w14:textId="77777777" w:rsidR="00EC4072" w:rsidRPr="00C702D7" w:rsidRDefault="00EC4072" w:rsidP="00C4197D">
      <w:pPr>
        <w:ind w:firstLine="420"/>
      </w:pPr>
      <w:r w:rsidRPr="00C702D7">
        <w:t>禹湘</w:t>
      </w:r>
      <w:r w:rsidRPr="00C702D7">
        <w:t xml:space="preserve"> </w:t>
      </w:r>
      <w:r w:rsidRPr="00C702D7">
        <w:t>陈楠</w:t>
      </w:r>
      <w:r w:rsidRPr="00C702D7">
        <w:t xml:space="preserve"> </w:t>
      </w:r>
      <w:r w:rsidRPr="00C702D7">
        <w:t>李曼琪</w:t>
      </w:r>
      <w:r w:rsidRPr="00C702D7">
        <w:t>, 2020:</w:t>
      </w:r>
      <w:r w:rsidRPr="00C702D7">
        <w:rPr>
          <w:rFonts w:hint="eastAsia"/>
        </w:rPr>
        <w:t>《</w:t>
      </w:r>
      <w:r w:rsidRPr="00C702D7">
        <w:t>中国低碳试点城市的碳排放特征与碳减排路径研究》</w:t>
      </w:r>
      <w:r w:rsidRPr="00C702D7">
        <w:t>,</w:t>
      </w:r>
      <w:r w:rsidRPr="00C702D7">
        <w:t>《中国人口</w:t>
      </w:r>
      <w:r w:rsidRPr="00C702D7">
        <w:t>·</w:t>
      </w:r>
      <w:r w:rsidRPr="00C702D7">
        <w:t>资源与环境</w:t>
      </w:r>
      <w:r w:rsidRPr="00C702D7">
        <w:rPr>
          <w:rFonts w:hint="eastAsia"/>
        </w:rPr>
        <w:t>》</w:t>
      </w:r>
      <w:r w:rsidRPr="00C702D7">
        <w:t>第</w:t>
      </w:r>
      <w:r w:rsidRPr="00C702D7">
        <w:t>7</w:t>
      </w:r>
      <w:r w:rsidRPr="00C702D7">
        <w:t>期。</w:t>
      </w:r>
    </w:p>
    <w:p w14:paraId="722B7CFF" w14:textId="77777777" w:rsidR="00EC4072" w:rsidRPr="00C702D7" w:rsidRDefault="00EC4072" w:rsidP="00C4197D">
      <w:pPr>
        <w:ind w:firstLine="420"/>
      </w:pPr>
      <w:r w:rsidRPr="00C702D7">
        <w:t>张宏</w:t>
      </w:r>
      <w:r w:rsidRPr="00C702D7">
        <w:t xml:space="preserve"> </w:t>
      </w:r>
      <w:r w:rsidRPr="00C702D7">
        <w:t>蔡淑琳</w:t>
      </w:r>
      <w:r w:rsidRPr="00C702D7">
        <w:t>, 2022:</w:t>
      </w:r>
      <w:r w:rsidRPr="00C702D7">
        <w:rPr>
          <w:rFonts w:hint="eastAsia"/>
        </w:rPr>
        <w:t>《</w:t>
      </w:r>
      <w:r w:rsidRPr="00C702D7">
        <w:t>异质性企业环境责任与碳绩效的关系研究：媒体关注和环境规制的联合调节效应》</w:t>
      </w:r>
      <w:r w:rsidRPr="00C702D7">
        <w:t>,</w:t>
      </w:r>
      <w:r w:rsidRPr="00C702D7">
        <w:t>《中国环境管理</w:t>
      </w:r>
      <w:r w:rsidRPr="00C702D7">
        <w:rPr>
          <w:rFonts w:hint="eastAsia"/>
        </w:rPr>
        <w:t>》</w:t>
      </w:r>
      <w:r w:rsidRPr="00C702D7">
        <w:t>第</w:t>
      </w:r>
      <w:r w:rsidRPr="00C702D7">
        <w:t>2</w:t>
      </w:r>
      <w:r w:rsidRPr="00C702D7">
        <w:t>期。</w:t>
      </w:r>
    </w:p>
    <w:p w14:paraId="09673B20" w14:textId="77777777" w:rsidR="00EC4072" w:rsidRPr="00C702D7" w:rsidRDefault="00EC4072" w:rsidP="00C4197D">
      <w:pPr>
        <w:ind w:firstLine="420"/>
      </w:pPr>
      <w:r w:rsidRPr="00C702D7">
        <w:t>张宁</w:t>
      </w:r>
      <w:r w:rsidRPr="00C702D7">
        <w:t>,</w:t>
      </w:r>
      <w:r w:rsidR="0080519E" w:rsidRPr="00C702D7">
        <w:t xml:space="preserve"> </w:t>
      </w:r>
      <w:r w:rsidRPr="00C702D7">
        <w:t>2022</w:t>
      </w:r>
      <w:r w:rsidRPr="00C702D7">
        <w:rPr>
          <w:rFonts w:hint="eastAsia"/>
        </w:rPr>
        <w:t>:</w:t>
      </w:r>
      <w:r w:rsidRPr="00C702D7">
        <w:rPr>
          <w:rFonts w:hint="eastAsia"/>
        </w:rPr>
        <w:t>《</w:t>
      </w:r>
      <w:r w:rsidRPr="00C702D7">
        <w:t>碳全要素生产率、低碳技术创新和节能减排效率追赶</w:t>
      </w:r>
      <w:r w:rsidRPr="00C702D7">
        <w:t>——</w:t>
      </w:r>
      <w:r w:rsidRPr="00C702D7">
        <w:t>来自中国火力发电企业的证据》</w:t>
      </w:r>
      <w:r w:rsidRPr="00C702D7">
        <w:t>,</w:t>
      </w:r>
      <w:r w:rsidRPr="00C702D7">
        <w:t>《经济研究</w:t>
      </w:r>
      <w:r w:rsidRPr="00C702D7">
        <w:rPr>
          <w:rFonts w:hint="eastAsia"/>
        </w:rPr>
        <w:t>》</w:t>
      </w:r>
      <w:r w:rsidRPr="00C702D7">
        <w:t>第</w:t>
      </w:r>
      <w:r w:rsidRPr="00C702D7">
        <w:t>2</w:t>
      </w:r>
      <w:r w:rsidRPr="00C702D7">
        <w:t>期。</w:t>
      </w:r>
    </w:p>
    <w:p w14:paraId="5853F119" w14:textId="77777777" w:rsidR="00EC4072" w:rsidRPr="00C702D7" w:rsidRDefault="00EC4072" w:rsidP="00C4197D">
      <w:pPr>
        <w:ind w:firstLine="420"/>
      </w:pPr>
      <w:r w:rsidRPr="00C702D7">
        <w:rPr>
          <w:rFonts w:hint="eastAsia"/>
        </w:rPr>
        <w:t>张璇</w:t>
      </w:r>
      <w:r w:rsidRPr="00C702D7">
        <w:t xml:space="preserve"> </w:t>
      </w:r>
      <w:r w:rsidRPr="00C702D7">
        <w:rPr>
          <w:rFonts w:hint="eastAsia"/>
        </w:rPr>
        <w:t>孙雪丽</w:t>
      </w:r>
      <w:r w:rsidRPr="00C702D7">
        <w:t xml:space="preserve"> </w:t>
      </w:r>
      <w:r w:rsidRPr="00C702D7">
        <w:rPr>
          <w:rFonts w:hint="eastAsia"/>
        </w:rPr>
        <w:t>薛原</w:t>
      </w:r>
      <w:r w:rsidRPr="00C702D7">
        <w:t xml:space="preserve"> </w:t>
      </w:r>
      <w:r w:rsidRPr="00C702D7">
        <w:rPr>
          <w:rFonts w:hint="eastAsia"/>
        </w:rPr>
        <w:t>李春涛</w:t>
      </w:r>
      <w:r w:rsidRPr="00C702D7">
        <w:rPr>
          <w:rFonts w:hint="eastAsia"/>
        </w:rPr>
        <w:t>,</w:t>
      </w:r>
      <w:r w:rsidRPr="00C702D7">
        <w:t xml:space="preserve"> 2022</w:t>
      </w:r>
      <w:r w:rsidRPr="00C702D7">
        <w:rPr>
          <w:rFonts w:hint="eastAsia"/>
        </w:rPr>
        <w:t>:</w:t>
      </w:r>
      <w:r w:rsidRPr="00C702D7">
        <w:rPr>
          <w:rFonts w:hint="eastAsia"/>
        </w:rPr>
        <w:t>《卖空机制与食品安全——基于溢出效应的视角》</w:t>
      </w:r>
      <w:r w:rsidRPr="00C702D7">
        <w:rPr>
          <w:rFonts w:hint="eastAsia"/>
        </w:rPr>
        <w:t>,</w:t>
      </w:r>
      <w:r w:rsidRPr="00C702D7">
        <w:rPr>
          <w:rFonts w:hint="eastAsia"/>
        </w:rPr>
        <w:t>《金融研究》第</w:t>
      </w:r>
      <w:r w:rsidRPr="00C702D7">
        <w:rPr>
          <w:rFonts w:hint="eastAsia"/>
        </w:rPr>
        <w:t>3</w:t>
      </w:r>
      <w:r w:rsidRPr="00C702D7">
        <w:rPr>
          <w:rFonts w:hint="eastAsia"/>
        </w:rPr>
        <w:t>期。</w:t>
      </w:r>
    </w:p>
    <w:p w14:paraId="275527F2" w14:textId="77777777" w:rsidR="00D62763" w:rsidRPr="00C702D7" w:rsidRDefault="00D62763" w:rsidP="00C4197D">
      <w:pPr>
        <w:ind w:firstLine="420"/>
      </w:pPr>
      <w:r w:rsidRPr="00C702D7">
        <w:rPr>
          <w:rFonts w:hint="eastAsia"/>
        </w:rPr>
        <w:t>张云</w:t>
      </w:r>
      <w:r w:rsidRPr="00C702D7">
        <w:t xml:space="preserve"> </w:t>
      </w:r>
      <w:r w:rsidRPr="00C702D7">
        <w:rPr>
          <w:rFonts w:hint="eastAsia"/>
        </w:rPr>
        <w:t>杨凌霄</w:t>
      </w:r>
      <w:r w:rsidRPr="00C702D7">
        <w:t xml:space="preserve"> </w:t>
      </w:r>
      <w:r w:rsidRPr="00C702D7">
        <w:rPr>
          <w:rFonts w:hint="eastAsia"/>
        </w:rPr>
        <w:t>张紫婷</w:t>
      </w:r>
      <w:r w:rsidRPr="00C702D7">
        <w:rPr>
          <w:rFonts w:hint="eastAsia"/>
        </w:rPr>
        <w:t>,</w:t>
      </w:r>
      <w:r w:rsidRPr="00C702D7">
        <w:t xml:space="preserve"> 2022:</w:t>
      </w:r>
      <w:r w:rsidRPr="00C702D7">
        <w:rPr>
          <w:rFonts w:hint="eastAsia"/>
        </w:rPr>
        <w:t>《股权质押、融资约束与企业绿色技术创新》，《华东师范大学学报</w:t>
      </w:r>
      <w:r w:rsidRPr="00C702D7">
        <w:rPr>
          <w:rFonts w:hint="eastAsia"/>
        </w:rPr>
        <w:t>(</w:t>
      </w:r>
      <w:r w:rsidRPr="00C702D7">
        <w:rPr>
          <w:rFonts w:hint="eastAsia"/>
        </w:rPr>
        <w:t>哲学社会科学版</w:t>
      </w:r>
      <w:r w:rsidRPr="00C702D7">
        <w:rPr>
          <w:rFonts w:hint="eastAsia"/>
        </w:rPr>
        <w:t xml:space="preserve">) </w:t>
      </w:r>
      <w:r w:rsidRPr="00C702D7">
        <w:rPr>
          <w:rFonts w:hint="eastAsia"/>
        </w:rPr>
        <w:t>》第</w:t>
      </w:r>
      <w:r w:rsidRPr="00C702D7">
        <w:rPr>
          <w:rFonts w:hint="eastAsia"/>
        </w:rPr>
        <w:t>5</w:t>
      </w:r>
      <w:r w:rsidRPr="00C702D7">
        <w:rPr>
          <w:rFonts w:hint="eastAsia"/>
        </w:rPr>
        <w:t>期。</w:t>
      </w:r>
    </w:p>
    <w:p w14:paraId="08EA3CEB" w14:textId="77777777" w:rsidR="00EC4072" w:rsidRPr="00C702D7" w:rsidRDefault="00EC4072" w:rsidP="00C4197D">
      <w:pPr>
        <w:ind w:firstLine="420"/>
      </w:pPr>
      <w:r w:rsidRPr="00C702D7">
        <w:t>赵阳</w:t>
      </w:r>
      <w:r w:rsidRPr="00C702D7">
        <w:t xml:space="preserve"> </w:t>
      </w:r>
      <w:r w:rsidRPr="00C702D7">
        <w:t>沈洪涛</w:t>
      </w:r>
      <w:r w:rsidRPr="00C702D7">
        <w:t xml:space="preserve"> </w:t>
      </w:r>
      <w:r w:rsidRPr="00C702D7">
        <w:t>周艳坤</w:t>
      </w:r>
      <w:r w:rsidRPr="00C702D7">
        <w:t>, 2019</w:t>
      </w:r>
      <w:r w:rsidRPr="00C702D7">
        <w:rPr>
          <w:rFonts w:hint="eastAsia"/>
        </w:rPr>
        <w:t>:</w:t>
      </w:r>
      <w:r w:rsidRPr="00C702D7">
        <w:rPr>
          <w:rFonts w:hint="eastAsia"/>
        </w:rPr>
        <w:t>《</w:t>
      </w:r>
      <w:r w:rsidRPr="00C702D7">
        <w:t>环境信息不对称、机构投资者实地调研与企业环境治理》</w:t>
      </w:r>
      <w:r w:rsidRPr="00C702D7">
        <w:t>,</w:t>
      </w:r>
      <w:r w:rsidRPr="00C702D7">
        <w:lastRenderedPageBreak/>
        <w:t>《统计研究</w:t>
      </w:r>
      <w:r w:rsidRPr="00C702D7">
        <w:rPr>
          <w:rFonts w:hint="eastAsia"/>
        </w:rPr>
        <w:t>》</w:t>
      </w:r>
      <w:r w:rsidRPr="00C702D7">
        <w:t>第</w:t>
      </w:r>
      <w:r w:rsidRPr="00C702D7">
        <w:t>7</w:t>
      </w:r>
      <w:r w:rsidRPr="00C702D7">
        <w:t>期。</w:t>
      </w:r>
    </w:p>
    <w:p w14:paraId="1D2FBA39" w14:textId="77777777" w:rsidR="00A224C8" w:rsidRPr="00C702D7" w:rsidRDefault="00EC4072" w:rsidP="00C4197D">
      <w:pPr>
        <w:ind w:firstLine="420"/>
      </w:pPr>
      <w:r w:rsidRPr="00C702D7">
        <w:t>祝敏</w:t>
      </w:r>
      <w:r w:rsidRPr="00C702D7">
        <w:t xml:space="preserve"> </w:t>
      </w:r>
      <w:r w:rsidRPr="00C702D7">
        <w:t>宁金辉</w:t>
      </w:r>
      <w:r w:rsidRPr="00C702D7">
        <w:t xml:space="preserve"> </w:t>
      </w:r>
      <w:r w:rsidRPr="00C702D7">
        <w:t>苑泽明</w:t>
      </w:r>
      <w:r w:rsidRPr="00C702D7">
        <w:t>, 2019</w:t>
      </w:r>
      <w:r w:rsidRPr="00C702D7">
        <w:rPr>
          <w:rFonts w:hint="eastAsia"/>
        </w:rPr>
        <w:t>:</w:t>
      </w:r>
      <w:r w:rsidRPr="00C702D7">
        <w:rPr>
          <w:rFonts w:hint="eastAsia"/>
        </w:rPr>
        <w:t>《</w:t>
      </w:r>
      <w:r w:rsidRPr="00C702D7">
        <w:t>机构投资者异质性、环境规制与企业环保投资》</w:t>
      </w:r>
      <w:r w:rsidRPr="00C702D7">
        <w:t>,</w:t>
      </w:r>
      <w:r w:rsidRPr="00C702D7">
        <w:t>《金融发展研究</w:t>
      </w:r>
      <w:r w:rsidRPr="00C702D7">
        <w:rPr>
          <w:rFonts w:hint="eastAsia"/>
        </w:rPr>
        <w:t>》</w:t>
      </w:r>
      <w:r w:rsidRPr="00C702D7">
        <w:t>第</w:t>
      </w:r>
      <w:r w:rsidRPr="00C702D7">
        <w:t>7</w:t>
      </w:r>
      <w:r w:rsidRPr="00C702D7">
        <w:t>期。</w:t>
      </w:r>
    </w:p>
    <w:p w14:paraId="4B07CEAF" w14:textId="77777777" w:rsidR="000D28CE" w:rsidRPr="00C702D7" w:rsidRDefault="000D28CE" w:rsidP="00C4197D">
      <w:pPr>
        <w:ind w:firstLine="420"/>
      </w:pPr>
      <w:r w:rsidRPr="00C702D7">
        <w:rPr>
          <w:rFonts w:hint="eastAsia"/>
        </w:rPr>
        <w:t>Alcott,</w:t>
      </w:r>
      <w:r w:rsidR="00E5129E" w:rsidRPr="00C702D7">
        <w:t xml:space="preserve"> </w:t>
      </w:r>
      <w:r w:rsidRPr="00C702D7">
        <w:rPr>
          <w:rFonts w:hint="eastAsia"/>
        </w:rPr>
        <w:t>B.</w:t>
      </w:r>
      <w:r w:rsidRPr="00C702D7">
        <w:t xml:space="preserve"> (2005), “</w:t>
      </w:r>
      <w:r w:rsidRPr="00C702D7">
        <w:rPr>
          <w:rFonts w:hint="eastAsia"/>
        </w:rPr>
        <w:t>Jevons</w:t>
      </w:r>
      <w:r w:rsidRPr="00C702D7">
        <w:t xml:space="preserve">’ </w:t>
      </w:r>
      <w:r w:rsidRPr="00C702D7">
        <w:rPr>
          <w:rFonts w:hint="eastAsia"/>
        </w:rPr>
        <w:t>paradox</w:t>
      </w:r>
      <w:r w:rsidRPr="00C702D7">
        <w:t xml:space="preserve">”, </w:t>
      </w:r>
      <w:r w:rsidRPr="00C702D7">
        <w:rPr>
          <w:rFonts w:hint="eastAsia"/>
          <w:i/>
          <w:iCs/>
        </w:rPr>
        <w:t>Ecological Economics</w:t>
      </w:r>
      <w:r w:rsidRPr="00C702D7">
        <w:t xml:space="preserve"> 54</w:t>
      </w:r>
      <w:r w:rsidRPr="00C702D7">
        <w:rPr>
          <w:rFonts w:hint="eastAsia"/>
        </w:rPr>
        <w:t>(1)</w:t>
      </w:r>
      <w:r w:rsidRPr="00C702D7">
        <w:t>: 9-21.</w:t>
      </w:r>
    </w:p>
    <w:p w14:paraId="0590EF56" w14:textId="77777777" w:rsidR="000D28CE" w:rsidRPr="00C702D7" w:rsidRDefault="009F2FCC" w:rsidP="00C4197D">
      <w:pPr>
        <w:ind w:firstLine="420"/>
      </w:pPr>
      <w:r w:rsidRPr="00C702D7">
        <w:t>Andrew, R. M. &amp; G. P. Peters</w:t>
      </w:r>
      <w:r w:rsidR="000D28CE" w:rsidRPr="00C702D7">
        <w:t>(2013), “A multi-region input-output table based on the global trade analysis project database (GTAP-MRIO)”,</w:t>
      </w:r>
      <w:r w:rsidR="00EC4072" w:rsidRPr="00C702D7">
        <w:t xml:space="preserve"> </w:t>
      </w:r>
      <w:r w:rsidR="000D28CE" w:rsidRPr="00C702D7">
        <w:rPr>
          <w:i/>
          <w:iCs/>
        </w:rPr>
        <w:t>Economic Systems Research</w:t>
      </w:r>
      <w:r w:rsidR="000D28CE" w:rsidRPr="00C702D7">
        <w:t xml:space="preserve"> 25(1): 99-121.</w:t>
      </w:r>
    </w:p>
    <w:p w14:paraId="243A6EF7" w14:textId="77777777" w:rsidR="000D28CE" w:rsidRPr="00C702D7" w:rsidRDefault="000D28CE" w:rsidP="00C4197D">
      <w:pPr>
        <w:ind w:firstLine="420"/>
      </w:pPr>
      <w:r w:rsidRPr="00C702D7">
        <w:rPr>
          <w:rFonts w:hint="eastAsia"/>
        </w:rPr>
        <w:t>Azar,</w:t>
      </w:r>
      <w:r w:rsidR="00E5129E" w:rsidRPr="00C702D7">
        <w:t xml:space="preserve"> </w:t>
      </w:r>
      <w:r w:rsidRPr="00C702D7">
        <w:rPr>
          <w:rFonts w:hint="eastAsia"/>
        </w:rPr>
        <w:t>J.</w:t>
      </w:r>
      <w:r w:rsidR="00E5129E" w:rsidRPr="00C702D7">
        <w:t xml:space="preserve"> </w:t>
      </w:r>
      <w:r w:rsidRPr="00C702D7">
        <w:rPr>
          <w:rFonts w:hint="eastAsia"/>
        </w:rPr>
        <w:t>et al(2021),</w:t>
      </w:r>
      <w:r w:rsidRPr="00C702D7">
        <w:t xml:space="preserve"> “</w:t>
      </w:r>
      <w:r w:rsidRPr="00C702D7">
        <w:rPr>
          <w:rFonts w:hint="eastAsia"/>
        </w:rPr>
        <w:t>The big three and corporate carbon emissions around the world</w:t>
      </w:r>
      <w:r w:rsidRPr="00C702D7">
        <w:t>”</w:t>
      </w:r>
      <w:r w:rsidRPr="00C702D7">
        <w:rPr>
          <w:rFonts w:hint="eastAsia"/>
        </w:rPr>
        <w:t>,</w:t>
      </w:r>
      <w:r w:rsidR="00E5129E" w:rsidRPr="00C702D7">
        <w:t xml:space="preserve"> </w:t>
      </w:r>
      <w:r w:rsidRPr="00C702D7">
        <w:rPr>
          <w:rFonts w:hint="eastAsia"/>
          <w:i/>
          <w:iCs/>
        </w:rPr>
        <w:t>Journal of Financial Economics</w:t>
      </w:r>
      <w:r w:rsidRPr="00C702D7">
        <w:rPr>
          <w:rFonts w:hint="eastAsia"/>
        </w:rPr>
        <w:t xml:space="preserve"> 142(2):</w:t>
      </w:r>
      <w:r w:rsidR="0080519E" w:rsidRPr="00C702D7">
        <w:t xml:space="preserve"> </w:t>
      </w:r>
      <w:r w:rsidRPr="00C702D7">
        <w:rPr>
          <w:rFonts w:hint="eastAsia"/>
        </w:rPr>
        <w:t>674-696.</w:t>
      </w:r>
    </w:p>
    <w:p w14:paraId="70BFC076" w14:textId="77777777" w:rsidR="000D28CE" w:rsidRPr="00C702D7" w:rsidRDefault="009F2FCC" w:rsidP="00C4197D">
      <w:pPr>
        <w:ind w:firstLine="420"/>
      </w:pPr>
      <w:r w:rsidRPr="00C702D7">
        <w:t xml:space="preserve">Bolton, P. &amp; M. </w:t>
      </w:r>
      <w:proofErr w:type="spellStart"/>
      <w:r w:rsidRPr="00C702D7">
        <w:t>Kacperczyk</w:t>
      </w:r>
      <w:proofErr w:type="spellEnd"/>
      <w:r w:rsidR="000D28CE" w:rsidRPr="00C702D7">
        <w:t>(2021), “Do investors care about carbon risk</w:t>
      </w:r>
      <w:r w:rsidR="00107C57" w:rsidRPr="00C702D7">
        <w:rPr>
          <w:rFonts w:hint="eastAsia"/>
        </w:rPr>
        <w:t>？</w:t>
      </w:r>
      <w:r w:rsidR="000D28CE" w:rsidRPr="00C702D7">
        <w:t xml:space="preserve">”, </w:t>
      </w:r>
      <w:r w:rsidR="000D28CE" w:rsidRPr="00C702D7">
        <w:rPr>
          <w:i/>
          <w:iCs/>
        </w:rPr>
        <w:t>Journal of Financial Economics</w:t>
      </w:r>
      <w:r w:rsidR="000D28CE" w:rsidRPr="00C702D7">
        <w:t xml:space="preserve"> 142(2): 517-549.</w:t>
      </w:r>
    </w:p>
    <w:p w14:paraId="07475AB1" w14:textId="77777777" w:rsidR="000D28CE" w:rsidRPr="00C702D7" w:rsidRDefault="000D28CE" w:rsidP="00C4197D">
      <w:pPr>
        <w:ind w:firstLine="420"/>
      </w:pPr>
      <w:r w:rsidRPr="00C702D7">
        <w:t>Ca</w:t>
      </w:r>
      <w:r w:rsidR="009F2FCC" w:rsidRPr="00C702D7">
        <w:t>pelle-</w:t>
      </w:r>
      <w:proofErr w:type="spellStart"/>
      <w:r w:rsidR="009F2FCC" w:rsidRPr="00C702D7">
        <w:t>Blancard</w:t>
      </w:r>
      <w:proofErr w:type="spellEnd"/>
      <w:r w:rsidR="009F2FCC" w:rsidRPr="00C702D7">
        <w:t xml:space="preserve">, G. &amp; M. </w:t>
      </w:r>
      <w:proofErr w:type="spellStart"/>
      <w:r w:rsidR="009F2FCC" w:rsidRPr="00C702D7">
        <w:t>Laguns</w:t>
      </w:r>
      <w:proofErr w:type="spellEnd"/>
      <w:r w:rsidRPr="00C702D7">
        <w:t>(2010), “How does the stock market respond to chemical disasters”,</w:t>
      </w:r>
      <w:r w:rsidR="00E5129E" w:rsidRPr="00C702D7">
        <w:t xml:space="preserve"> </w:t>
      </w:r>
      <w:r w:rsidRPr="00C702D7">
        <w:rPr>
          <w:i/>
          <w:iCs/>
        </w:rPr>
        <w:t>Journal of Environmental Economics and Management</w:t>
      </w:r>
      <w:r w:rsidRPr="00C702D7">
        <w:t xml:space="preserve"> 59(2): 192-205.</w:t>
      </w:r>
    </w:p>
    <w:p w14:paraId="576EFA76" w14:textId="77777777" w:rsidR="000D28CE" w:rsidRPr="00C702D7" w:rsidRDefault="000D28CE" w:rsidP="00C4197D">
      <w:pPr>
        <w:ind w:firstLine="420"/>
      </w:pPr>
      <w:proofErr w:type="spellStart"/>
      <w:r w:rsidRPr="00C702D7">
        <w:rPr>
          <w:rFonts w:hint="eastAsia"/>
        </w:rPr>
        <w:t>Chia,C</w:t>
      </w:r>
      <w:proofErr w:type="spellEnd"/>
      <w:r w:rsidRPr="00C702D7">
        <w:rPr>
          <w:rFonts w:hint="eastAsia"/>
        </w:rPr>
        <w:t xml:space="preserve">. </w:t>
      </w:r>
      <w:r w:rsidR="00C364C8" w:rsidRPr="00C702D7">
        <w:t>et al</w:t>
      </w:r>
      <w:r w:rsidRPr="00C702D7">
        <w:rPr>
          <w:rFonts w:hint="eastAsia"/>
        </w:rPr>
        <w:t xml:space="preserve"> </w:t>
      </w:r>
      <w:r w:rsidRPr="00C702D7">
        <w:t>(</w:t>
      </w:r>
      <w:r w:rsidRPr="00C702D7">
        <w:rPr>
          <w:rFonts w:hint="eastAsia"/>
        </w:rPr>
        <w:t>2009</w:t>
      </w:r>
      <w:r w:rsidRPr="00C702D7">
        <w:t>), “</w:t>
      </w:r>
      <w:r w:rsidRPr="00C702D7">
        <w:rPr>
          <w:rFonts w:hint="eastAsia"/>
        </w:rPr>
        <w:t xml:space="preserve">Is </w:t>
      </w:r>
      <w:r w:rsidR="0080519E" w:rsidRPr="00C702D7">
        <w:t>there a green fac</w:t>
      </w:r>
      <w:r w:rsidRPr="00C702D7">
        <w:rPr>
          <w:rFonts w:hint="eastAsia"/>
        </w:rPr>
        <w:t>tor?</w:t>
      </w:r>
      <w:r w:rsidRPr="00C702D7">
        <w:t xml:space="preserve">” </w:t>
      </w:r>
      <w:r w:rsidRPr="00C702D7">
        <w:rPr>
          <w:rFonts w:hint="eastAsia"/>
          <w:i/>
          <w:iCs/>
        </w:rPr>
        <w:t>Journal of Portfolio Management</w:t>
      </w:r>
      <w:r w:rsidRPr="00C702D7">
        <w:rPr>
          <w:rFonts w:hint="eastAsia"/>
        </w:rPr>
        <w:t>35(3):</w:t>
      </w:r>
      <w:r w:rsidR="0080519E" w:rsidRPr="00C702D7">
        <w:t xml:space="preserve"> </w:t>
      </w:r>
      <w:r w:rsidRPr="00C702D7">
        <w:rPr>
          <w:rFonts w:hint="eastAsia"/>
        </w:rPr>
        <w:t>34.</w:t>
      </w:r>
    </w:p>
    <w:p w14:paraId="578B699E" w14:textId="77777777" w:rsidR="000D28CE" w:rsidRPr="00C702D7" w:rsidRDefault="000D28CE" w:rsidP="00C4197D">
      <w:pPr>
        <w:ind w:firstLine="420"/>
      </w:pPr>
      <w:r w:rsidRPr="00C702D7">
        <w:t xml:space="preserve">Cox, P. et al (2004), “An </w:t>
      </w:r>
      <w:r w:rsidR="00107C57" w:rsidRPr="00C702D7">
        <w:t>empirical examination of institutional investor preferences for corporate social performanc</w:t>
      </w:r>
      <w:r w:rsidRPr="00C702D7">
        <w:t xml:space="preserve">e”. </w:t>
      </w:r>
      <w:r w:rsidRPr="00C702D7">
        <w:rPr>
          <w:i/>
          <w:iCs/>
        </w:rPr>
        <w:t>Journal of Business Ethics</w:t>
      </w:r>
      <w:r w:rsidRPr="00C702D7">
        <w:t xml:space="preserve"> 52: 27-43.</w:t>
      </w:r>
    </w:p>
    <w:p w14:paraId="1A5FA9B1" w14:textId="77777777" w:rsidR="000D28CE" w:rsidRPr="00C702D7" w:rsidRDefault="009F2FCC" w:rsidP="00C4197D">
      <w:pPr>
        <w:ind w:firstLine="420"/>
      </w:pPr>
      <w:r w:rsidRPr="00C702D7">
        <w:t>Cox, P. &amp; P. G. Wicks</w:t>
      </w:r>
      <w:r w:rsidR="000D28CE" w:rsidRPr="00C702D7">
        <w:t>(2011), “Inst</w:t>
      </w:r>
      <w:r w:rsidR="00107C57" w:rsidRPr="00C702D7">
        <w:t>itutional interest in corporate responsibility:</w:t>
      </w:r>
      <w:r w:rsidR="000D28CE" w:rsidRPr="00C702D7">
        <w:t xml:space="preserve"> Portfolio </w:t>
      </w:r>
      <w:r w:rsidR="00107C57" w:rsidRPr="00C702D7">
        <w:t>evidence and ethical explanation”</w:t>
      </w:r>
      <w:r w:rsidR="000D28CE" w:rsidRPr="00C702D7">
        <w:t xml:space="preserve">. </w:t>
      </w:r>
      <w:r w:rsidR="000D28CE" w:rsidRPr="00C702D7">
        <w:rPr>
          <w:i/>
          <w:iCs/>
        </w:rPr>
        <w:t>Journal of Business Ethics</w:t>
      </w:r>
      <w:r w:rsidR="000D28CE" w:rsidRPr="00C702D7">
        <w:t xml:space="preserve"> 103: 143-165.</w:t>
      </w:r>
    </w:p>
    <w:p w14:paraId="62FDB63A" w14:textId="77777777" w:rsidR="000D28CE" w:rsidRPr="00C702D7" w:rsidRDefault="000D28CE" w:rsidP="00C4197D">
      <w:pPr>
        <w:ind w:firstLine="420"/>
      </w:pPr>
      <w:r w:rsidRPr="00C702D7">
        <w:rPr>
          <w:rFonts w:hint="eastAsia"/>
        </w:rPr>
        <w:t>Hong,</w:t>
      </w:r>
      <w:r w:rsidR="00E5129E" w:rsidRPr="00C702D7">
        <w:t xml:space="preserve"> </w:t>
      </w:r>
      <w:r w:rsidRPr="00C702D7">
        <w:rPr>
          <w:rFonts w:hint="eastAsia"/>
        </w:rPr>
        <w:t xml:space="preserve">H. </w:t>
      </w:r>
      <w:r w:rsidRPr="00C702D7">
        <w:t>&amp;</w:t>
      </w:r>
      <w:r w:rsidRPr="00C702D7">
        <w:rPr>
          <w:rFonts w:hint="eastAsia"/>
        </w:rPr>
        <w:t xml:space="preserve"> I. </w:t>
      </w:r>
      <w:proofErr w:type="spellStart"/>
      <w:r w:rsidRPr="00C702D7">
        <w:rPr>
          <w:rFonts w:hint="eastAsia"/>
        </w:rPr>
        <w:t>Kostovetsky</w:t>
      </w:r>
      <w:proofErr w:type="spellEnd"/>
      <w:r w:rsidRPr="00C702D7">
        <w:t>(</w:t>
      </w:r>
      <w:r w:rsidRPr="00C702D7">
        <w:rPr>
          <w:rFonts w:hint="eastAsia"/>
        </w:rPr>
        <w:t>2012</w:t>
      </w:r>
      <w:r w:rsidRPr="00C702D7">
        <w:t>), “</w:t>
      </w:r>
      <w:r w:rsidRPr="00C702D7">
        <w:rPr>
          <w:rFonts w:hint="eastAsia"/>
        </w:rPr>
        <w:t xml:space="preserve">Red </w:t>
      </w:r>
      <w:r w:rsidR="00107C57" w:rsidRPr="00C702D7">
        <w:t>and blue investin</w:t>
      </w:r>
      <w:r w:rsidRPr="00C702D7">
        <w:rPr>
          <w:rFonts w:hint="eastAsia"/>
        </w:rPr>
        <w:t xml:space="preserve">g: </w:t>
      </w:r>
      <w:r w:rsidR="0080519E" w:rsidRPr="00C702D7">
        <w:t>values and fi</w:t>
      </w:r>
      <w:r w:rsidRPr="00C702D7">
        <w:rPr>
          <w:rFonts w:hint="eastAsia"/>
        </w:rPr>
        <w:t>nance</w:t>
      </w:r>
      <w:r w:rsidRPr="00C702D7">
        <w:t>”</w:t>
      </w:r>
      <w:r w:rsidRPr="00C702D7">
        <w:rPr>
          <w:rFonts w:hint="eastAsia"/>
        </w:rPr>
        <w:t xml:space="preserve">, </w:t>
      </w:r>
      <w:r w:rsidRPr="00C702D7">
        <w:rPr>
          <w:rFonts w:hint="eastAsia"/>
          <w:i/>
          <w:iCs/>
        </w:rPr>
        <w:t xml:space="preserve">Journal of Financial </w:t>
      </w:r>
      <w:r w:rsidRPr="00C702D7">
        <w:rPr>
          <w:i/>
          <w:iCs/>
        </w:rPr>
        <w:t>Economics</w:t>
      </w:r>
      <w:r w:rsidRPr="00C702D7">
        <w:t xml:space="preserve"> 103(1): 1-19.</w:t>
      </w:r>
    </w:p>
    <w:p w14:paraId="3A44C17D" w14:textId="77777777" w:rsidR="000D28CE" w:rsidRPr="00C702D7" w:rsidRDefault="000D28CE" w:rsidP="00C4197D">
      <w:pPr>
        <w:ind w:firstLine="420"/>
      </w:pPr>
      <w:r w:rsidRPr="00C702D7">
        <w:rPr>
          <w:rFonts w:hint="eastAsia"/>
        </w:rPr>
        <w:t>Hu, Y.</w:t>
      </w:r>
      <w:r w:rsidRPr="00C702D7">
        <w:t xml:space="preserve"> </w:t>
      </w:r>
      <w:r w:rsidR="00C364C8" w:rsidRPr="00C702D7">
        <w:t>et al</w:t>
      </w:r>
      <w:r w:rsidRPr="00C702D7">
        <w:t xml:space="preserve"> (2020),</w:t>
      </w:r>
      <w:r w:rsidR="00E5129E" w:rsidRPr="00C702D7">
        <w:t xml:space="preserve"> </w:t>
      </w:r>
      <w:r w:rsidRPr="00C702D7">
        <w:t>“</w:t>
      </w:r>
      <w:r w:rsidRPr="00C702D7">
        <w:rPr>
          <w:rFonts w:hint="eastAsia"/>
        </w:rPr>
        <w:t xml:space="preserve">Can </w:t>
      </w:r>
      <w:r w:rsidRPr="00C702D7">
        <w:t>carbon emission trading scheme achieve energy conservation and emission redu</w:t>
      </w:r>
      <w:r w:rsidRPr="00C702D7">
        <w:rPr>
          <w:rFonts w:hint="eastAsia"/>
        </w:rPr>
        <w:t>ction? Evidence from th</w:t>
      </w:r>
      <w:r w:rsidRPr="00C702D7">
        <w:t>e industrial sec</w:t>
      </w:r>
      <w:r w:rsidRPr="00C702D7">
        <w:rPr>
          <w:rFonts w:hint="eastAsia"/>
        </w:rPr>
        <w:t>tor in China</w:t>
      </w:r>
      <w:r w:rsidRPr="00C702D7">
        <w:t>”</w:t>
      </w:r>
      <w:r w:rsidRPr="00C702D7">
        <w:rPr>
          <w:rFonts w:hint="eastAsia"/>
        </w:rPr>
        <w:t xml:space="preserve">, </w:t>
      </w:r>
      <w:r w:rsidRPr="00C702D7">
        <w:rPr>
          <w:rFonts w:hint="eastAsia"/>
          <w:i/>
          <w:iCs/>
        </w:rPr>
        <w:t>Energy Economics</w:t>
      </w:r>
      <w:r w:rsidRPr="00C702D7">
        <w:rPr>
          <w:rFonts w:hint="eastAsia"/>
        </w:rPr>
        <w:t xml:space="preserve">, </w:t>
      </w:r>
      <w:r w:rsidRPr="00C702D7">
        <w:t>(85): 104590.</w:t>
      </w:r>
    </w:p>
    <w:p w14:paraId="7ABF99E5" w14:textId="77777777" w:rsidR="000D28CE" w:rsidRPr="00C702D7" w:rsidRDefault="000D28CE" w:rsidP="00C4197D">
      <w:pPr>
        <w:ind w:firstLine="420"/>
      </w:pPr>
      <w:r w:rsidRPr="00C702D7">
        <w:t xml:space="preserve">Kim, H. D. et al (2019), “Do </w:t>
      </w:r>
      <w:r w:rsidR="00107C57" w:rsidRPr="00C702D7">
        <w:t>long-term institutional investors promote corporate social responsibility activitie</w:t>
      </w:r>
      <w:r w:rsidRPr="00C702D7">
        <w:t xml:space="preserve">s?” </w:t>
      </w:r>
      <w:r w:rsidRPr="00C702D7">
        <w:rPr>
          <w:i/>
          <w:iCs/>
        </w:rPr>
        <w:t>Journal of Banking &amp; Finance</w:t>
      </w:r>
      <w:r w:rsidRPr="00C702D7">
        <w:t xml:space="preserve"> 101: 256-269.</w:t>
      </w:r>
    </w:p>
    <w:p w14:paraId="237FDCF4" w14:textId="77777777" w:rsidR="000D28CE" w:rsidRPr="00C702D7" w:rsidRDefault="009F2FCC" w:rsidP="00C4197D">
      <w:pPr>
        <w:ind w:firstLine="420"/>
      </w:pPr>
      <w:r w:rsidRPr="00C702D7">
        <w:t>Labatt, S. &amp; R. R. White</w:t>
      </w:r>
      <w:r w:rsidR="000D28CE" w:rsidRPr="00C702D7">
        <w:t xml:space="preserve">(2007), </w:t>
      </w:r>
      <w:r w:rsidR="00107C57" w:rsidRPr="00C702D7">
        <w:t>“</w:t>
      </w:r>
      <w:r w:rsidR="000D28CE" w:rsidRPr="00C702D7">
        <w:rPr>
          <w:i/>
          <w:iCs/>
        </w:rPr>
        <w:t xml:space="preserve">Carbon </w:t>
      </w:r>
      <w:r w:rsidR="00107C57" w:rsidRPr="00C702D7">
        <w:rPr>
          <w:i/>
          <w:iCs/>
        </w:rPr>
        <w:t>fin</w:t>
      </w:r>
      <w:r w:rsidR="000D28CE" w:rsidRPr="00C702D7">
        <w:rPr>
          <w:i/>
          <w:iCs/>
        </w:rPr>
        <w:t>ance: The financial implications of climate change</w:t>
      </w:r>
      <w:r w:rsidR="00107C57" w:rsidRPr="00C702D7">
        <w:rPr>
          <w:i/>
          <w:iCs/>
        </w:rPr>
        <w:t>”</w:t>
      </w:r>
      <w:r w:rsidR="000D28CE" w:rsidRPr="00C702D7">
        <w:t>, John Wiley &amp; Sons.</w:t>
      </w:r>
    </w:p>
    <w:p w14:paraId="7B4C52BB" w14:textId="77777777" w:rsidR="000D28CE" w:rsidRPr="00C702D7" w:rsidRDefault="00AB1ED3" w:rsidP="00C4197D">
      <w:pPr>
        <w:ind w:firstLine="420"/>
      </w:pPr>
      <w:r w:rsidRPr="00C702D7">
        <w:t>Leary, M. T. &amp; M. R. Roberts</w:t>
      </w:r>
      <w:r w:rsidR="000D28CE" w:rsidRPr="00C702D7">
        <w:t>(2014), “Do peer firms affect corporate financial policy</w:t>
      </w:r>
      <w:r w:rsidR="00107C57" w:rsidRPr="00C702D7">
        <w:t>？</w:t>
      </w:r>
      <w:r w:rsidR="000D28CE" w:rsidRPr="00C702D7">
        <w:t xml:space="preserve">”, </w:t>
      </w:r>
      <w:r w:rsidR="000D28CE" w:rsidRPr="00C702D7">
        <w:rPr>
          <w:i/>
          <w:iCs/>
        </w:rPr>
        <w:t>Journal of Finance</w:t>
      </w:r>
      <w:r w:rsidR="000D28CE" w:rsidRPr="00C702D7">
        <w:t xml:space="preserve"> 69(1): 139-178.</w:t>
      </w:r>
    </w:p>
    <w:p w14:paraId="3A0EC4D3" w14:textId="77777777" w:rsidR="000D28CE" w:rsidRPr="00C702D7" w:rsidRDefault="000D28CE" w:rsidP="00C4197D">
      <w:pPr>
        <w:ind w:firstLine="420"/>
      </w:pPr>
      <w:r w:rsidRPr="00C702D7">
        <w:t xml:space="preserve">Levit, D. (2019) “Soft shareholder activism”, </w:t>
      </w:r>
      <w:r w:rsidRPr="00C702D7">
        <w:rPr>
          <w:i/>
          <w:iCs/>
        </w:rPr>
        <w:t>Review of Financial Studies</w:t>
      </w:r>
      <w:r w:rsidRPr="00C702D7">
        <w:t xml:space="preserve"> 32(7): 2775-2808.</w:t>
      </w:r>
    </w:p>
    <w:p w14:paraId="63A193EA" w14:textId="77777777" w:rsidR="000D28CE" w:rsidRPr="00C702D7" w:rsidRDefault="000D28CE" w:rsidP="00C4197D">
      <w:pPr>
        <w:ind w:firstLine="420"/>
      </w:pPr>
      <w:r w:rsidRPr="00C702D7">
        <w:rPr>
          <w:rFonts w:hint="eastAsia"/>
        </w:rPr>
        <w:t>Lewis,</w:t>
      </w:r>
      <w:r w:rsidR="00E5129E" w:rsidRPr="00C702D7">
        <w:t xml:space="preserve"> </w:t>
      </w:r>
      <w:r w:rsidRPr="00C702D7">
        <w:rPr>
          <w:rFonts w:hint="eastAsia"/>
        </w:rPr>
        <w:t xml:space="preserve">A. </w:t>
      </w:r>
      <w:r w:rsidRPr="00C702D7">
        <w:t>&amp;</w:t>
      </w:r>
      <w:r w:rsidRPr="00C702D7">
        <w:rPr>
          <w:rFonts w:hint="eastAsia"/>
        </w:rPr>
        <w:t xml:space="preserve"> C. Mackenzie</w:t>
      </w:r>
      <w:r w:rsidRPr="00C702D7">
        <w:t>, (</w:t>
      </w:r>
      <w:r w:rsidRPr="00C702D7">
        <w:rPr>
          <w:rFonts w:hint="eastAsia"/>
        </w:rPr>
        <w:t>2000</w:t>
      </w:r>
      <w:r w:rsidRPr="00C702D7">
        <w:t>), “</w:t>
      </w:r>
      <w:r w:rsidRPr="00C702D7">
        <w:rPr>
          <w:rFonts w:hint="eastAsia"/>
        </w:rPr>
        <w:t xml:space="preserve">Support for </w:t>
      </w:r>
      <w:r w:rsidR="00107C57" w:rsidRPr="00C702D7">
        <w:t>investor acti</w:t>
      </w:r>
      <w:r w:rsidRPr="00C702D7">
        <w:rPr>
          <w:rFonts w:hint="eastAsia"/>
        </w:rPr>
        <w:t xml:space="preserve">vism among UK Ethical </w:t>
      </w:r>
      <w:r w:rsidR="00107C57" w:rsidRPr="00C702D7">
        <w:t>invest</w:t>
      </w:r>
      <w:r w:rsidRPr="00C702D7">
        <w:rPr>
          <w:rFonts w:hint="eastAsia"/>
        </w:rPr>
        <w:t>ors</w:t>
      </w:r>
      <w:r w:rsidRPr="00C702D7">
        <w:t>”</w:t>
      </w:r>
      <w:r w:rsidRPr="00C702D7">
        <w:rPr>
          <w:rFonts w:hint="eastAsia"/>
        </w:rPr>
        <w:t>,</w:t>
      </w:r>
      <w:r w:rsidR="00E5129E" w:rsidRPr="00C702D7">
        <w:t xml:space="preserve"> </w:t>
      </w:r>
      <w:r w:rsidRPr="00C702D7">
        <w:rPr>
          <w:rFonts w:hint="eastAsia"/>
          <w:i/>
          <w:iCs/>
        </w:rPr>
        <w:t>Journal of BusinessEthics</w:t>
      </w:r>
      <w:r w:rsidRPr="00C702D7">
        <w:rPr>
          <w:rFonts w:hint="eastAsia"/>
        </w:rPr>
        <w:t>24(3):215</w:t>
      </w:r>
      <w:r w:rsidRPr="00C702D7">
        <w:t>-</w:t>
      </w:r>
      <w:r w:rsidRPr="00C702D7">
        <w:rPr>
          <w:rFonts w:hint="eastAsia"/>
        </w:rPr>
        <w:t>222.</w:t>
      </w:r>
    </w:p>
    <w:p w14:paraId="48B459DD" w14:textId="77777777" w:rsidR="000D28CE" w:rsidRPr="00C702D7" w:rsidRDefault="000D28CE" w:rsidP="00C4197D">
      <w:pPr>
        <w:ind w:firstLine="420"/>
      </w:pPr>
      <w:r w:rsidRPr="00C702D7">
        <w:rPr>
          <w:rFonts w:hint="eastAsia"/>
        </w:rPr>
        <w:t>Manski,</w:t>
      </w:r>
      <w:r w:rsidR="00E5129E" w:rsidRPr="00C702D7">
        <w:t xml:space="preserve"> </w:t>
      </w:r>
      <w:r w:rsidRPr="00C702D7">
        <w:rPr>
          <w:rFonts w:hint="eastAsia"/>
        </w:rPr>
        <w:t>C.</w:t>
      </w:r>
      <w:r w:rsidR="00E5129E" w:rsidRPr="00C702D7">
        <w:t xml:space="preserve"> </w:t>
      </w:r>
      <w:r w:rsidRPr="00C702D7">
        <w:rPr>
          <w:rFonts w:hint="eastAsia"/>
        </w:rPr>
        <w:t>F.</w:t>
      </w:r>
      <w:r w:rsidRPr="00C702D7">
        <w:t xml:space="preserve"> (2000), “</w:t>
      </w:r>
      <w:r w:rsidRPr="00C702D7">
        <w:rPr>
          <w:rFonts w:hint="eastAsia"/>
        </w:rPr>
        <w:t>Economic analysis of social interactions</w:t>
      </w:r>
      <w:r w:rsidRPr="00C702D7">
        <w:t>”</w:t>
      </w:r>
      <w:r w:rsidRPr="00C702D7">
        <w:rPr>
          <w:rFonts w:hint="eastAsia"/>
        </w:rPr>
        <w:t>,</w:t>
      </w:r>
      <w:r w:rsidR="00E5129E" w:rsidRPr="00C702D7">
        <w:t xml:space="preserve"> </w:t>
      </w:r>
      <w:r w:rsidRPr="00C702D7">
        <w:rPr>
          <w:rFonts w:hint="eastAsia"/>
          <w:i/>
          <w:iCs/>
        </w:rPr>
        <w:t>Journal of Economic Perspectives</w:t>
      </w:r>
      <w:r w:rsidRPr="00C702D7">
        <w:t xml:space="preserve"> 14(3): 115-136.</w:t>
      </w:r>
    </w:p>
    <w:p w14:paraId="49E855AA" w14:textId="77777777" w:rsidR="000D28CE" w:rsidRPr="00C702D7" w:rsidRDefault="000D28CE" w:rsidP="00C4197D">
      <w:pPr>
        <w:ind w:firstLine="420"/>
      </w:pPr>
      <w:proofErr w:type="spellStart"/>
      <w:r w:rsidRPr="00C702D7">
        <w:t>McCahery</w:t>
      </w:r>
      <w:proofErr w:type="spellEnd"/>
      <w:r w:rsidRPr="00C702D7">
        <w:t>, J</w:t>
      </w:r>
      <w:r w:rsidRPr="00C702D7">
        <w:rPr>
          <w:rFonts w:hint="eastAsia"/>
        </w:rPr>
        <w:t>.</w:t>
      </w:r>
      <w:r w:rsidRPr="00C702D7">
        <w:t xml:space="preserve"> A. </w:t>
      </w:r>
      <w:r w:rsidR="00C364C8" w:rsidRPr="00C702D7">
        <w:t>et al</w:t>
      </w:r>
      <w:r w:rsidRPr="00C702D7">
        <w:t xml:space="preserve"> (2016), “The corporate governance preferences of institutional investors”, </w:t>
      </w:r>
      <w:r w:rsidRPr="00C702D7">
        <w:rPr>
          <w:i/>
          <w:iCs/>
        </w:rPr>
        <w:t>Journal of Finance</w:t>
      </w:r>
      <w:r w:rsidRPr="00C702D7">
        <w:t xml:space="preserve"> 71(6): 2905-2932.</w:t>
      </w:r>
    </w:p>
    <w:p w14:paraId="712B478D" w14:textId="77777777" w:rsidR="000D28CE" w:rsidRPr="00C702D7" w:rsidRDefault="000D28CE" w:rsidP="00C4197D">
      <w:pPr>
        <w:ind w:firstLine="420"/>
      </w:pPr>
      <w:r w:rsidRPr="00C702D7">
        <w:t>Merton, R. C. (1987), “A simple model of capital market equilibrium with incomplete information”,</w:t>
      </w:r>
      <w:r w:rsidR="00E5129E" w:rsidRPr="00C702D7">
        <w:t xml:space="preserve"> </w:t>
      </w:r>
      <w:r w:rsidRPr="00C702D7">
        <w:rPr>
          <w:i/>
          <w:iCs/>
        </w:rPr>
        <w:t>Journal of Finance</w:t>
      </w:r>
      <w:r w:rsidRPr="00C702D7">
        <w:t xml:space="preserve"> 42 (3): 483-510. </w:t>
      </w:r>
    </w:p>
    <w:p w14:paraId="2464E289" w14:textId="77777777" w:rsidR="000D28CE" w:rsidRPr="00C702D7" w:rsidRDefault="000D28CE" w:rsidP="00C4197D">
      <w:pPr>
        <w:ind w:firstLine="420"/>
      </w:pPr>
      <w:r w:rsidRPr="00C702D7">
        <w:t xml:space="preserve">Reboredo, J. C </w:t>
      </w:r>
      <w:r w:rsidRPr="00C702D7">
        <w:rPr>
          <w:rFonts w:hint="eastAsia"/>
        </w:rPr>
        <w:t>et</w:t>
      </w:r>
      <w:r w:rsidRPr="00C702D7">
        <w:t xml:space="preserve">. </w:t>
      </w:r>
      <w:r w:rsidRPr="00C702D7">
        <w:rPr>
          <w:rFonts w:hint="eastAsia"/>
        </w:rPr>
        <w:t>al</w:t>
      </w:r>
      <w:r w:rsidRPr="00C702D7">
        <w:t xml:space="preserve"> (2017), “Do investors pay a premium for going green? Evidence from </w:t>
      </w:r>
      <w:r w:rsidRPr="00C702D7">
        <w:lastRenderedPageBreak/>
        <w:t xml:space="preserve">alternative energy mutual funds”, </w:t>
      </w:r>
      <w:r w:rsidRPr="00C702D7">
        <w:rPr>
          <w:i/>
          <w:iCs/>
        </w:rPr>
        <w:t>Renewable &amp; Sustainable Energy Reviews</w:t>
      </w:r>
      <w:r w:rsidRPr="00C702D7">
        <w:t xml:space="preserve"> 73: 512-520.</w:t>
      </w:r>
    </w:p>
    <w:p w14:paraId="4D53746A" w14:textId="77777777" w:rsidR="000D28CE" w:rsidRPr="00C702D7" w:rsidRDefault="000D28CE" w:rsidP="00C4197D">
      <w:pPr>
        <w:ind w:firstLine="420"/>
      </w:pPr>
      <w:r w:rsidRPr="00C702D7">
        <w:t xml:space="preserve">U-Din, S. et al (2022), “The climate change and stock market: Catastrophes of the Canadian weather”, </w:t>
      </w:r>
      <w:r w:rsidRPr="00C702D7">
        <w:rPr>
          <w:i/>
          <w:iCs/>
        </w:rPr>
        <w:t>Environmental Science and Pollution Research</w:t>
      </w:r>
      <w:r w:rsidRPr="00C702D7">
        <w:t xml:space="preserve"> (29): 44806–44818.</w:t>
      </w:r>
    </w:p>
    <w:p w14:paraId="15A5EDC3" w14:textId="77777777" w:rsidR="000D28CE" w:rsidRPr="00C702D7" w:rsidRDefault="000D28CE" w:rsidP="00C4197D">
      <w:pPr>
        <w:ind w:firstLine="420"/>
      </w:pPr>
      <w:r w:rsidRPr="00C702D7">
        <w:t xml:space="preserve">York, R. et al (2003), “STIRPAT, IPAT and </w:t>
      </w:r>
      <w:proofErr w:type="spellStart"/>
      <w:r w:rsidRPr="00C702D7">
        <w:t>ImPACT</w:t>
      </w:r>
      <w:proofErr w:type="spellEnd"/>
      <w:r w:rsidRPr="00C702D7">
        <w:t>: analytic tools for unpacking the driving forces of environmental impacts”,</w:t>
      </w:r>
      <w:r w:rsidR="00EC4072" w:rsidRPr="00C702D7">
        <w:t xml:space="preserve"> </w:t>
      </w:r>
      <w:r w:rsidRPr="00C702D7">
        <w:rPr>
          <w:i/>
          <w:iCs/>
        </w:rPr>
        <w:t>Ecological Economics</w:t>
      </w:r>
      <w:r w:rsidRPr="00C702D7">
        <w:t xml:space="preserve"> (3): 351-365.</w:t>
      </w:r>
    </w:p>
    <w:p w14:paraId="199F10DB" w14:textId="77777777" w:rsidR="000D28CE" w:rsidRPr="00C702D7" w:rsidRDefault="000D28CE" w:rsidP="00C4197D">
      <w:pPr>
        <w:ind w:firstLine="420"/>
      </w:pPr>
      <w:r w:rsidRPr="00C702D7">
        <w:t xml:space="preserve">Zhang, Y. et al (2017), “Can environmental innovation facilitate carbon emissions reduction? Evidence from China”, </w:t>
      </w:r>
      <w:r w:rsidRPr="00C702D7">
        <w:rPr>
          <w:i/>
          <w:iCs/>
        </w:rPr>
        <w:t>Energy Policy</w:t>
      </w:r>
      <w:r w:rsidRPr="00C702D7">
        <w:t xml:space="preserve"> (100)</w:t>
      </w:r>
      <w:r w:rsidRPr="00C702D7">
        <w:rPr>
          <w:rFonts w:hint="eastAsia"/>
        </w:rPr>
        <w:t>:</w:t>
      </w:r>
      <w:r w:rsidRPr="00C702D7">
        <w:t xml:space="preserve"> 18-28.</w:t>
      </w:r>
    </w:p>
    <w:p w14:paraId="0656722F" w14:textId="77777777" w:rsidR="00CF4891" w:rsidRPr="00C702D7" w:rsidRDefault="00CF4891" w:rsidP="00CF4891">
      <w:pPr>
        <w:widowControl/>
        <w:spacing w:line="240" w:lineRule="auto"/>
        <w:ind w:firstLineChars="0" w:firstLine="0"/>
        <w:jc w:val="left"/>
        <w:rPr>
          <w:rFonts w:cs="Times New Roman"/>
          <w:b/>
          <w:bCs/>
          <w:sz w:val="32"/>
          <w:szCs w:val="36"/>
        </w:rPr>
      </w:pPr>
    </w:p>
    <w:p w14:paraId="3D6739A2" w14:textId="77777777" w:rsidR="00FF26AF" w:rsidRPr="00C702D7" w:rsidRDefault="00FF26AF" w:rsidP="00CF4891">
      <w:pPr>
        <w:widowControl/>
        <w:spacing w:line="240" w:lineRule="auto"/>
        <w:ind w:firstLineChars="0" w:firstLine="0"/>
        <w:jc w:val="left"/>
        <w:rPr>
          <w:rFonts w:cs="Times New Roman"/>
          <w:b/>
          <w:bCs/>
          <w:sz w:val="32"/>
          <w:szCs w:val="36"/>
        </w:rPr>
      </w:pPr>
      <w:r w:rsidRPr="00C702D7">
        <w:rPr>
          <w:rFonts w:cs="Times New Roman"/>
          <w:b/>
          <w:bCs/>
          <w:sz w:val="32"/>
          <w:szCs w:val="36"/>
        </w:rPr>
        <w:t>Emission Reduction  and Spillover Effects of Institutional Investors' Green Attention</w:t>
      </w:r>
    </w:p>
    <w:p w14:paraId="3C1ADD69" w14:textId="77777777" w:rsidR="009067C7" w:rsidRPr="00C702D7" w:rsidRDefault="009067C7" w:rsidP="009067C7">
      <w:pPr>
        <w:spacing w:line="240" w:lineRule="auto"/>
        <w:ind w:firstLineChars="0" w:firstLine="0"/>
        <w:jc w:val="center"/>
        <w:rPr>
          <w:rFonts w:eastAsia="楷体" w:cs="Times New Roman"/>
          <w:szCs w:val="21"/>
        </w:rPr>
      </w:pPr>
    </w:p>
    <w:p w14:paraId="6DACCBA6" w14:textId="77777777" w:rsidR="009067C7" w:rsidRPr="00C702D7" w:rsidRDefault="009067C7" w:rsidP="009067C7">
      <w:pPr>
        <w:spacing w:line="240" w:lineRule="auto"/>
        <w:ind w:firstLineChars="0" w:firstLine="0"/>
        <w:jc w:val="center"/>
        <w:rPr>
          <w:rFonts w:eastAsia="楷体" w:cs="Times New Roman"/>
          <w:szCs w:val="21"/>
        </w:rPr>
      </w:pPr>
      <w:r w:rsidRPr="00C702D7">
        <w:rPr>
          <w:rFonts w:eastAsia="楷体" w:cs="Times New Roman"/>
          <w:szCs w:val="21"/>
        </w:rPr>
        <w:t>ZHANG Yun</w:t>
      </w:r>
      <w:r w:rsidRPr="00C702D7">
        <w:rPr>
          <w:rFonts w:eastAsia="楷体" w:cs="Times New Roman"/>
          <w:szCs w:val="21"/>
          <w:vertAlign w:val="superscript"/>
        </w:rPr>
        <w:t>1</w:t>
      </w:r>
      <w:r w:rsidRPr="00C702D7">
        <w:rPr>
          <w:rFonts w:eastAsia="楷体" w:cs="Times New Roman"/>
          <w:szCs w:val="21"/>
        </w:rPr>
        <w:t xml:space="preserve">   </w:t>
      </w:r>
      <w:r w:rsidR="00AB1ED3" w:rsidRPr="00C702D7">
        <w:rPr>
          <w:rFonts w:eastAsia="楷体" w:cs="Times New Roman"/>
          <w:szCs w:val="21"/>
        </w:rPr>
        <w:t>HAN Yun</w:t>
      </w:r>
      <w:r w:rsidR="00AB1ED3" w:rsidRPr="00C702D7">
        <w:rPr>
          <w:rFonts w:eastAsia="楷体" w:cs="Times New Roman" w:hint="eastAsia"/>
          <w:szCs w:val="21"/>
          <w:vertAlign w:val="superscript"/>
        </w:rPr>
        <w:t>1</w:t>
      </w:r>
      <w:r w:rsidRPr="00C702D7">
        <w:rPr>
          <w:rFonts w:eastAsia="楷体" w:cs="Times New Roman"/>
          <w:szCs w:val="21"/>
        </w:rPr>
        <w:t xml:space="preserve">   </w:t>
      </w:r>
      <w:r w:rsidRPr="00C702D7">
        <w:rPr>
          <w:rFonts w:eastAsia="楷体" w:cs="Times New Roman" w:hint="eastAsia"/>
          <w:szCs w:val="21"/>
        </w:rPr>
        <w:t>L</w:t>
      </w:r>
      <w:r w:rsidRPr="00C702D7">
        <w:rPr>
          <w:rFonts w:eastAsia="楷体" w:cs="Times New Roman"/>
          <w:szCs w:val="21"/>
        </w:rPr>
        <w:t>V Qian</w:t>
      </w:r>
      <w:r w:rsidRPr="00C702D7">
        <w:rPr>
          <w:rFonts w:eastAsia="楷体" w:cs="Times New Roman"/>
          <w:szCs w:val="21"/>
          <w:vertAlign w:val="superscript"/>
        </w:rPr>
        <w:t>2</w:t>
      </w:r>
      <w:r w:rsidRPr="00C702D7">
        <w:rPr>
          <w:rFonts w:eastAsia="楷体" w:cs="Times New Roman"/>
          <w:szCs w:val="21"/>
        </w:rPr>
        <w:t xml:space="preserve">     </w:t>
      </w:r>
    </w:p>
    <w:p w14:paraId="190D9C96" w14:textId="77777777" w:rsidR="009067C7" w:rsidRPr="00C702D7" w:rsidRDefault="009067C7" w:rsidP="009067C7">
      <w:pPr>
        <w:spacing w:line="240" w:lineRule="auto"/>
        <w:ind w:firstLine="420"/>
        <w:rPr>
          <w:rFonts w:cs="Times New Roman"/>
          <w:szCs w:val="21"/>
        </w:rPr>
      </w:pPr>
      <w:r w:rsidRPr="00C702D7">
        <w:rPr>
          <w:rFonts w:cs="Times New Roman"/>
          <w:szCs w:val="21"/>
        </w:rPr>
        <w:t>(</w:t>
      </w:r>
      <w:r w:rsidRPr="00C702D7">
        <w:rPr>
          <w:rFonts w:cs="Times New Roman" w:hint="eastAsia"/>
          <w:szCs w:val="21"/>
        </w:rPr>
        <w:t xml:space="preserve">1. </w:t>
      </w:r>
      <w:r w:rsidRPr="00C702D7">
        <w:rPr>
          <w:rFonts w:cs="Times New Roman"/>
          <w:szCs w:val="21"/>
        </w:rPr>
        <w:t xml:space="preserve">Shanghai Lixin University of Accounting and Finance, </w:t>
      </w:r>
      <w:r w:rsidRPr="00C702D7">
        <w:rPr>
          <w:rFonts w:cs="Times New Roman" w:hint="eastAsia"/>
          <w:szCs w:val="21"/>
        </w:rPr>
        <w:t>Shanghai</w:t>
      </w:r>
      <w:r w:rsidRPr="00C702D7">
        <w:rPr>
          <w:rFonts w:cs="Times New Roman"/>
          <w:szCs w:val="21"/>
        </w:rPr>
        <w:t>, China</w:t>
      </w:r>
      <w:r w:rsidRPr="00C702D7">
        <w:rPr>
          <w:rFonts w:cs="Times New Roman" w:hint="eastAsia"/>
          <w:szCs w:val="21"/>
        </w:rPr>
        <w:t>；</w:t>
      </w:r>
    </w:p>
    <w:p w14:paraId="3A3CF4F1" w14:textId="77777777" w:rsidR="009067C7" w:rsidRPr="00C702D7" w:rsidRDefault="009067C7" w:rsidP="009067C7">
      <w:pPr>
        <w:spacing w:line="240" w:lineRule="auto"/>
        <w:ind w:firstLine="420"/>
        <w:rPr>
          <w:rFonts w:eastAsia="楷体" w:cs="Times New Roman"/>
          <w:szCs w:val="21"/>
        </w:rPr>
      </w:pPr>
      <w:r w:rsidRPr="00C702D7">
        <w:rPr>
          <w:rFonts w:cs="Times New Roman" w:hint="eastAsia"/>
          <w:szCs w:val="21"/>
        </w:rPr>
        <w:t xml:space="preserve">2. </w:t>
      </w:r>
      <w:r w:rsidRPr="00C702D7">
        <w:rPr>
          <w:rFonts w:cs="Times New Roman"/>
          <w:szCs w:val="21"/>
        </w:rPr>
        <w:t xml:space="preserve">South-Central </w:t>
      </w:r>
      <w:proofErr w:type="spellStart"/>
      <w:r w:rsidRPr="00C702D7">
        <w:rPr>
          <w:rFonts w:cs="Times New Roman"/>
          <w:szCs w:val="21"/>
        </w:rPr>
        <w:t>Minzu</w:t>
      </w:r>
      <w:proofErr w:type="spellEnd"/>
      <w:r w:rsidRPr="00C702D7">
        <w:rPr>
          <w:rFonts w:cs="Times New Roman"/>
          <w:szCs w:val="21"/>
        </w:rPr>
        <w:t xml:space="preserve"> University, Wuhan, China</w:t>
      </w:r>
      <w:r w:rsidRPr="00C702D7">
        <w:rPr>
          <w:rFonts w:cs="Times New Roman" w:hint="eastAsia"/>
          <w:szCs w:val="21"/>
        </w:rPr>
        <w:t>)</w:t>
      </w:r>
    </w:p>
    <w:p w14:paraId="4F8DA235" w14:textId="77777777" w:rsidR="00127A1E" w:rsidRPr="00C702D7" w:rsidRDefault="00127A1E" w:rsidP="00127A1E">
      <w:pPr>
        <w:ind w:firstLineChars="0" w:firstLine="0"/>
        <w:jc w:val="center"/>
        <w:rPr>
          <w:rFonts w:ascii="宋体" w:hAnsi="宋体"/>
          <w:b/>
          <w:bCs/>
          <w:sz w:val="32"/>
          <w:szCs w:val="36"/>
        </w:rPr>
      </w:pPr>
    </w:p>
    <w:p w14:paraId="0794B13C" w14:textId="77777777" w:rsidR="00377204" w:rsidRPr="00C702D7" w:rsidRDefault="006751F1" w:rsidP="00377204">
      <w:pPr>
        <w:ind w:firstLine="422"/>
        <w:rPr>
          <w:szCs w:val="21"/>
        </w:rPr>
      </w:pPr>
      <w:r w:rsidRPr="00C702D7">
        <w:rPr>
          <w:b/>
          <w:bCs/>
          <w:szCs w:val="21"/>
        </w:rPr>
        <w:t>Abstract</w:t>
      </w:r>
      <w:r w:rsidR="00127A1E" w:rsidRPr="00C702D7">
        <w:rPr>
          <w:b/>
          <w:bCs/>
          <w:szCs w:val="21"/>
        </w:rPr>
        <w:t xml:space="preserve">: </w:t>
      </w:r>
      <w:r w:rsidR="00F417BC" w:rsidRPr="00C702D7">
        <w:rPr>
          <w:szCs w:val="21"/>
        </w:rPr>
        <w:t xml:space="preserve">To achieve the goals of carbon peaking and carbon neutrality, enhancing firms' intrinsic motivation for carbon </w:t>
      </w:r>
      <w:r w:rsidR="005C3039" w:rsidRPr="00C702D7">
        <w:rPr>
          <w:rFonts w:hint="eastAsia"/>
          <w:szCs w:val="21"/>
        </w:rPr>
        <w:t>emission</w:t>
      </w:r>
      <w:r w:rsidR="00EC4072" w:rsidRPr="00C702D7">
        <w:rPr>
          <w:szCs w:val="21"/>
        </w:rPr>
        <w:t xml:space="preserve"> </w:t>
      </w:r>
      <w:r w:rsidR="00F417BC" w:rsidRPr="00C702D7">
        <w:rPr>
          <w:szCs w:val="21"/>
        </w:rPr>
        <w:t>reduction is essential. And institutional investors' green attention has become an important governance instrument for addressing this issue.</w:t>
      </w:r>
      <w:r w:rsidR="00377204" w:rsidRPr="00C702D7">
        <w:rPr>
          <w:szCs w:val="21"/>
        </w:rPr>
        <w:t xml:space="preserve"> This article analyzes the green monitoring role of institutional investors and the transmission mechanism of industry peer effects, elucidating the theoretical logic of how the institutional investors’ green attention promoting carbon reduction and the spillover effects. By constructing a green attention index from textual data obtained through field research, we verify the carbon reduction effect of institutional investors' green attention and its spillover effects. Our research finds that the increase in institutional investors' green attention significantly reduces firms' carbon emission intensity and incremental emissions, and helps to control the carbon emissions of peer firms in the industry, which forms a carbon reduction spillover effect. The mechanism analysis shows that there is a peer effect of carbon emission control among firms, especially in highly competitive industries </w:t>
      </w:r>
      <w:r w:rsidR="00107C57" w:rsidRPr="00C702D7">
        <w:rPr>
          <w:szCs w:val="21"/>
        </w:rPr>
        <w:t>or</w:t>
      </w:r>
      <w:r w:rsidR="00EC4072" w:rsidRPr="00C702D7">
        <w:rPr>
          <w:szCs w:val="21"/>
        </w:rPr>
        <w:t xml:space="preserve"> </w:t>
      </w:r>
      <w:r w:rsidR="00107C57" w:rsidRPr="00C702D7">
        <w:rPr>
          <w:szCs w:val="21"/>
        </w:rPr>
        <w:t xml:space="preserve">highly </w:t>
      </w:r>
      <w:r w:rsidR="00377204" w:rsidRPr="00C702D7">
        <w:rPr>
          <w:szCs w:val="21"/>
        </w:rPr>
        <w:t>uncertainty</w:t>
      </w:r>
      <w:r w:rsidR="00107C57" w:rsidRPr="00C702D7">
        <w:rPr>
          <w:szCs w:val="21"/>
        </w:rPr>
        <w:t xml:space="preserve"> industries</w:t>
      </w:r>
      <w:r w:rsidR="00377204" w:rsidRPr="00C702D7">
        <w:rPr>
          <w:szCs w:val="21"/>
        </w:rPr>
        <w:t>, where the transmission effect of industry imitation is more pronounced. Furthermore, when the regional supply chain is concentrated, institutional investors' green attention can help to control regional carbon emissions to a certain extent, mitigating the pollution transfer effects of net carbon importing regions. In addition, the implementation of low-carbon pilot policies enhances the carbon reduction effect of institutional investors' green attention. As a result, strengthening institutional investors' awareness of environmental responsibility and enhancing their role in top-level policy design for green development are of great practical significance for promoting the achievement of carbon peaking and carbon neutrality goals and promoting high-quality, sustainable economic and social development in China.</w:t>
      </w:r>
    </w:p>
    <w:p w14:paraId="6E600670" w14:textId="77777777" w:rsidR="00127A1E" w:rsidRPr="00C702D7" w:rsidRDefault="00127A1E" w:rsidP="00127A1E">
      <w:pPr>
        <w:ind w:firstLine="422"/>
        <w:rPr>
          <w:szCs w:val="21"/>
        </w:rPr>
      </w:pPr>
      <w:r w:rsidRPr="00C702D7">
        <w:rPr>
          <w:rFonts w:hint="eastAsia"/>
          <w:b/>
          <w:bCs/>
          <w:szCs w:val="21"/>
        </w:rPr>
        <w:lastRenderedPageBreak/>
        <w:t>K</w:t>
      </w:r>
      <w:r w:rsidRPr="00C702D7">
        <w:rPr>
          <w:b/>
          <w:bCs/>
          <w:szCs w:val="21"/>
        </w:rPr>
        <w:t>eywords</w:t>
      </w:r>
      <w:r w:rsidRPr="00C702D7">
        <w:rPr>
          <w:rFonts w:hint="eastAsia"/>
          <w:b/>
          <w:bCs/>
          <w:szCs w:val="21"/>
        </w:rPr>
        <w:t>:</w:t>
      </w:r>
      <w:r w:rsidR="0080519E" w:rsidRPr="00C702D7">
        <w:rPr>
          <w:b/>
          <w:bCs/>
          <w:szCs w:val="21"/>
        </w:rPr>
        <w:t xml:space="preserve"> </w:t>
      </w:r>
      <w:r w:rsidR="00377204" w:rsidRPr="00C702D7">
        <w:rPr>
          <w:szCs w:val="21"/>
        </w:rPr>
        <w:t xml:space="preserve">Institutional </w:t>
      </w:r>
      <w:r w:rsidR="006D4155" w:rsidRPr="00C702D7">
        <w:rPr>
          <w:szCs w:val="21"/>
        </w:rPr>
        <w:t>I</w:t>
      </w:r>
      <w:r w:rsidR="00377204" w:rsidRPr="00C702D7">
        <w:rPr>
          <w:szCs w:val="21"/>
        </w:rPr>
        <w:t xml:space="preserve">nvestors; </w:t>
      </w:r>
      <w:r w:rsidRPr="00C702D7">
        <w:rPr>
          <w:szCs w:val="21"/>
        </w:rPr>
        <w:t xml:space="preserve">Green </w:t>
      </w:r>
      <w:r w:rsidR="006D4155" w:rsidRPr="00C702D7">
        <w:rPr>
          <w:szCs w:val="21"/>
        </w:rPr>
        <w:t>A</w:t>
      </w:r>
      <w:r w:rsidRPr="00C702D7">
        <w:rPr>
          <w:szCs w:val="21"/>
        </w:rPr>
        <w:t>ttention</w:t>
      </w:r>
      <w:r w:rsidR="00C76135" w:rsidRPr="00C702D7">
        <w:rPr>
          <w:szCs w:val="21"/>
        </w:rPr>
        <w:t>s</w:t>
      </w:r>
      <w:r w:rsidRPr="00C702D7">
        <w:rPr>
          <w:szCs w:val="21"/>
        </w:rPr>
        <w:t xml:space="preserve">; Carbon </w:t>
      </w:r>
      <w:r w:rsidR="006D4155" w:rsidRPr="00C702D7">
        <w:rPr>
          <w:szCs w:val="21"/>
        </w:rPr>
        <w:t>E</w:t>
      </w:r>
      <w:r w:rsidRPr="00C702D7">
        <w:rPr>
          <w:szCs w:val="21"/>
        </w:rPr>
        <w:t xml:space="preserve">mission </w:t>
      </w:r>
      <w:r w:rsidR="006D4155" w:rsidRPr="00C702D7">
        <w:rPr>
          <w:szCs w:val="21"/>
        </w:rPr>
        <w:t>R</w:t>
      </w:r>
      <w:r w:rsidRPr="00C702D7">
        <w:rPr>
          <w:szCs w:val="21"/>
        </w:rPr>
        <w:t xml:space="preserve">eduction; Spillover </w:t>
      </w:r>
      <w:r w:rsidR="006D4155" w:rsidRPr="00C702D7">
        <w:rPr>
          <w:szCs w:val="21"/>
        </w:rPr>
        <w:t>E</w:t>
      </w:r>
      <w:r w:rsidRPr="00C702D7">
        <w:rPr>
          <w:szCs w:val="21"/>
        </w:rPr>
        <w:t>ffects</w:t>
      </w:r>
      <w:r w:rsidR="00455E7E" w:rsidRPr="00C702D7">
        <w:rPr>
          <w:szCs w:val="21"/>
        </w:rPr>
        <w:t xml:space="preserve">; Peer </w:t>
      </w:r>
      <w:r w:rsidR="006D4155" w:rsidRPr="00C702D7">
        <w:rPr>
          <w:szCs w:val="21"/>
        </w:rPr>
        <w:t>E</w:t>
      </w:r>
      <w:r w:rsidR="00455E7E" w:rsidRPr="00C702D7">
        <w:rPr>
          <w:szCs w:val="21"/>
        </w:rPr>
        <w:t>ffects</w:t>
      </w:r>
    </w:p>
    <w:p w14:paraId="74E3E701" w14:textId="77777777" w:rsidR="00127A1E" w:rsidRPr="00C702D7" w:rsidRDefault="00127A1E" w:rsidP="00127A1E">
      <w:pPr>
        <w:spacing w:line="240" w:lineRule="auto"/>
        <w:ind w:firstLineChars="0"/>
        <w:rPr>
          <w:rFonts w:cs="Times New Roman"/>
        </w:rPr>
      </w:pPr>
    </w:p>
    <w:sectPr w:rsidR="00127A1E" w:rsidRPr="00C702D7" w:rsidSect="0079696E">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56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0350F" w14:textId="77777777" w:rsidR="00C17EF7" w:rsidRDefault="00C17EF7" w:rsidP="0093171C">
      <w:pPr>
        <w:spacing w:line="240" w:lineRule="auto"/>
        <w:ind w:firstLine="420"/>
      </w:pPr>
      <w:r>
        <w:separator/>
      </w:r>
    </w:p>
  </w:endnote>
  <w:endnote w:type="continuationSeparator" w:id="0">
    <w:p w14:paraId="7282EF81" w14:textId="77777777" w:rsidR="00C17EF7" w:rsidRDefault="00C17EF7" w:rsidP="0093171C">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94AB" w14:textId="77777777" w:rsidR="009F2FCC" w:rsidRDefault="009F2F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471378"/>
      <w:docPartObj>
        <w:docPartGallery w:val="Page Numbers (Bottom of Page)"/>
        <w:docPartUnique/>
      </w:docPartObj>
    </w:sdtPr>
    <w:sdtContent>
      <w:p w14:paraId="5A606F03" w14:textId="77777777" w:rsidR="009F2FCC" w:rsidRDefault="00D666F3">
        <w:pPr>
          <w:pStyle w:val="a5"/>
          <w:ind w:firstLine="420"/>
          <w:jc w:val="center"/>
        </w:pPr>
        <w:r>
          <w:fldChar w:fldCharType="begin"/>
        </w:r>
        <w:r w:rsidR="000E564A">
          <w:instrText>PAGE   \* MERGEFORMAT</w:instrText>
        </w:r>
        <w:r>
          <w:fldChar w:fldCharType="separate"/>
        </w:r>
        <w:r w:rsidR="00776687" w:rsidRPr="00776687">
          <w:rPr>
            <w:noProof/>
            <w:lang w:val="zh-CN"/>
          </w:rPr>
          <w:t>1</w:t>
        </w:r>
        <w:r>
          <w:rPr>
            <w:noProof/>
            <w:lang w:val="zh-CN"/>
          </w:rPr>
          <w:fldChar w:fldCharType="end"/>
        </w:r>
      </w:p>
    </w:sdtContent>
  </w:sdt>
  <w:p w14:paraId="408FB9A1" w14:textId="77777777" w:rsidR="009F2FCC" w:rsidRDefault="009F2FC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3191" w14:textId="77777777" w:rsidR="009F2FCC" w:rsidRDefault="009F2F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2BED6" w14:textId="77777777" w:rsidR="00C17EF7" w:rsidRDefault="00C17EF7" w:rsidP="0093171C">
      <w:pPr>
        <w:spacing w:line="240" w:lineRule="auto"/>
        <w:ind w:firstLine="420"/>
      </w:pPr>
      <w:r>
        <w:separator/>
      </w:r>
    </w:p>
  </w:footnote>
  <w:footnote w:type="continuationSeparator" w:id="0">
    <w:p w14:paraId="597AF3FB" w14:textId="77777777" w:rsidR="00C17EF7" w:rsidRDefault="00C17EF7" w:rsidP="0093171C">
      <w:pPr>
        <w:spacing w:line="240" w:lineRule="auto"/>
        <w:ind w:firstLine="420"/>
      </w:pPr>
      <w:r>
        <w:continuationSeparator/>
      </w:r>
    </w:p>
  </w:footnote>
  <w:footnote w:id="1">
    <w:p w14:paraId="1F136E8E" w14:textId="77777777" w:rsidR="009F2FCC" w:rsidRPr="009067C7" w:rsidRDefault="009F2FCC" w:rsidP="009F2FCC">
      <w:pPr>
        <w:spacing w:line="240" w:lineRule="auto"/>
        <w:ind w:firstLine="420"/>
        <w:rPr>
          <w:rFonts w:eastAsia="楷体" w:cs="Times New Roman"/>
          <w:color w:val="000000" w:themeColor="text1"/>
          <w:szCs w:val="21"/>
        </w:rPr>
      </w:pPr>
      <w:r>
        <w:rPr>
          <w:rStyle w:val="af5"/>
        </w:rPr>
        <w:footnoteRef/>
      </w:r>
      <w:r w:rsidRPr="009067C7">
        <w:rPr>
          <w:rFonts w:eastAsia="楷体" w:cs="Times New Roman"/>
          <w:color w:val="000000" w:themeColor="text1"/>
          <w:szCs w:val="21"/>
        </w:rPr>
        <w:t>张云</w:t>
      </w:r>
      <w:r>
        <w:rPr>
          <w:rFonts w:eastAsia="楷体" w:cs="Times New Roman"/>
          <w:color w:val="000000" w:themeColor="text1"/>
          <w:szCs w:val="21"/>
        </w:rPr>
        <w:t>、</w:t>
      </w:r>
      <w:r w:rsidRPr="009067C7">
        <w:rPr>
          <w:rFonts w:ascii="楷体" w:eastAsia="楷体" w:hAnsi="楷体" w:cs="Times New Roman"/>
          <w:color w:val="000000" w:themeColor="text1"/>
          <w:szCs w:val="21"/>
        </w:rPr>
        <w:t>韩</w:t>
      </w:r>
      <w:r w:rsidRPr="001377AD">
        <w:rPr>
          <w:rFonts w:ascii="楷体" w:eastAsia="楷体" w:hAnsi="楷体" w:cs="Times New Roman"/>
          <w:color w:val="000000" w:themeColor="text1"/>
          <w:szCs w:val="21"/>
        </w:rPr>
        <w:t>云</w:t>
      </w:r>
      <w:r w:rsidRPr="001377AD">
        <w:rPr>
          <w:rFonts w:ascii="楷体" w:eastAsia="楷体" w:hAnsi="楷体" w:cs="Times New Roman" w:hint="eastAsia"/>
          <w:color w:val="000000" w:themeColor="text1"/>
          <w:szCs w:val="21"/>
        </w:rPr>
        <w:t>（通讯作者）</w:t>
      </w:r>
      <w:r w:rsidRPr="009067C7">
        <w:rPr>
          <w:rFonts w:eastAsia="楷体" w:cs="Times New Roman"/>
          <w:color w:val="000000" w:themeColor="text1"/>
          <w:szCs w:val="21"/>
        </w:rPr>
        <w:t>，上海立信会计金融学院金融学院</w:t>
      </w:r>
      <w:r w:rsidRPr="009067C7">
        <w:rPr>
          <w:rFonts w:eastAsia="楷体" w:cs="Times New Roman" w:hint="eastAsia"/>
          <w:color w:val="000000" w:themeColor="text1"/>
          <w:szCs w:val="21"/>
        </w:rPr>
        <w:t>，</w:t>
      </w:r>
      <w:r w:rsidRPr="009067C7">
        <w:rPr>
          <w:rFonts w:eastAsia="楷体" w:cs="Times New Roman"/>
          <w:color w:val="000000" w:themeColor="text1"/>
          <w:szCs w:val="21"/>
        </w:rPr>
        <w:t>邮政编码：</w:t>
      </w:r>
      <w:r w:rsidRPr="009067C7">
        <w:rPr>
          <w:rFonts w:eastAsia="楷体" w:cs="Times New Roman"/>
          <w:color w:val="000000" w:themeColor="text1"/>
          <w:szCs w:val="21"/>
        </w:rPr>
        <w:t>201209</w:t>
      </w:r>
      <w:r w:rsidRPr="009067C7">
        <w:rPr>
          <w:rFonts w:eastAsia="楷体" w:cs="Times New Roman" w:hint="eastAsia"/>
          <w:color w:val="000000" w:themeColor="text1"/>
          <w:szCs w:val="21"/>
        </w:rPr>
        <w:t>，</w:t>
      </w:r>
      <w:r w:rsidRPr="009067C7">
        <w:rPr>
          <w:rFonts w:eastAsia="楷体" w:cs="Times New Roman"/>
          <w:color w:val="000000" w:themeColor="text1"/>
          <w:szCs w:val="21"/>
        </w:rPr>
        <w:t>电子邮箱：</w:t>
      </w:r>
      <w:hyperlink r:id="rId1" w:history="1">
        <w:r w:rsidRPr="009067C7">
          <w:rPr>
            <w:rFonts w:eastAsia="楷体"/>
            <w:color w:val="000000" w:themeColor="text1"/>
            <w:szCs w:val="21"/>
          </w:rPr>
          <w:t>zhacloud@163.com</w:t>
        </w:r>
      </w:hyperlink>
      <w:r>
        <w:t>，</w:t>
      </w:r>
      <w:hyperlink r:id="rId2" w:history="1">
        <w:r w:rsidRPr="00D953F8">
          <w:rPr>
            <w:rStyle w:val="af"/>
            <w:rFonts w:eastAsia="楷体"/>
            <w:szCs w:val="21"/>
          </w:rPr>
          <w:t>hanyun@whu.edu.cn</w:t>
        </w:r>
      </w:hyperlink>
      <w:r w:rsidRPr="009067C7">
        <w:rPr>
          <w:rFonts w:eastAsia="楷体" w:cs="Times New Roman" w:hint="eastAsia"/>
          <w:color w:val="000000" w:themeColor="text1"/>
          <w:szCs w:val="21"/>
        </w:rPr>
        <w:t>；</w:t>
      </w:r>
      <w:r w:rsidRPr="009067C7">
        <w:rPr>
          <w:rFonts w:ascii="楷体" w:eastAsia="楷体" w:hAnsi="楷体" w:cs="Times New Roman" w:hint="eastAsia"/>
          <w:color w:val="000000" w:themeColor="text1"/>
          <w:szCs w:val="21"/>
        </w:rPr>
        <w:t>吕纤</w:t>
      </w:r>
      <w:r>
        <w:rPr>
          <w:rFonts w:eastAsia="楷体" w:cs="Times New Roman" w:hint="eastAsia"/>
          <w:color w:val="000000" w:themeColor="text1"/>
          <w:szCs w:val="21"/>
        </w:rPr>
        <w:t>，</w:t>
      </w:r>
      <w:r w:rsidRPr="009067C7">
        <w:rPr>
          <w:rFonts w:eastAsia="楷体" w:cs="Times New Roman"/>
          <w:color w:val="000000" w:themeColor="text1"/>
          <w:szCs w:val="21"/>
        </w:rPr>
        <w:t>中南民族大学管理学院，邮政编码：</w:t>
      </w:r>
      <w:r w:rsidRPr="009067C7">
        <w:rPr>
          <w:rFonts w:eastAsia="楷体" w:cs="Times New Roman"/>
          <w:color w:val="000000" w:themeColor="text1"/>
          <w:szCs w:val="21"/>
        </w:rPr>
        <w:t>430074</w:t>
      </w:r>
      <w:r w:rsidRPr="009067C7">
        <w:rPr>
          <w:rFonts w:eastAsia="楷体" w:cs="Times New Roman" w:hint="eastAsia"/>
          <w:color w:val="000000" w:themeColor="text1"/>
          <w:szCs w:val="21"/>
        </w:rPr>
        <w:t>，</w:t>
      </w:r>
      <w:r w:rsidRPr="009067C7">
        <w:rPr>
          <w:rFonts w:eastAsia="楷体" w:cs="Times New Roman"/>
          <w:color w:val="000000" w:themeColor="text1"/>
          <w:szCs w:val="21"/>
        </w:rPr>
        <w:t>电子邮箱：</w:t>
      </w:r>
      <w:hyperlink r:id="rId3" w:history="1">
        <w:r w:rsidRPr="009067C7">
          <w:rPr>
            <w:rFonts w:eastAsia="楷体" w:cs="Times New Roman" w:hint="eastAsia"/>
            <w:color w:val="000000" w:themeColor="text1"/>
            <w:szCs w:val="21"/>
          </w:rPr>
          <w:t>fengyushenshan@</w:t>
        </w:r>
        <w:r w:rsidRPr="009067C7">
          <w:rPr>
            <w:rFonts w:eastAsia="楷体" w:cs="Times New Roman"/>
            <w:color w:val="000000" w:themeColor="text1"/>
            <w:szCs w:val="21"/>
          </w:rPr>
          <w:t>163.</w:t>
        </w:r>
        <w:r w:rsidRPr="009067C7">
          <w:rPr>
            <w:rFonts w:eastAsia="楷体" w:cs="Times New Roman" w:hint="eastAsia"/>
            <w:color w:val="000000" w:themeColor="text1"/>
            <w:szCs w:val="21"/>
          </w:rPr>
          <w:t>com</w:t>
        </w:r>
      </w:hyperlink>
      <w:r w:rsidRPr="009067C7">
        <w:rPr>
          <w:rFonts w:eastAsia="楷体" w:cs="Times New Roman"/>
          <w:color w:val="000000" w:themeColor="text1"/>
          <w:szCs w:val="21"/>
        </w:rPr>
        <w:t>。</w:t>
      </w:r>
      <w:r w:rsidRPr="009067C7">
        <w:rPr>
          <w:rFonts w:ascii="宋体" w:hAnsi="宋体" w:cs="宋体"/>
          <w:b/>
          <w:bCs/>
          <w:color w:val="000000" w:themeColor="text1"/>
          <w:szCs w:val="21"/>
        </w:rPr>
        <w:t>基金项目</w:t>
      </w:r>
      <w:r w:rsidRPr="009067C7">
        <w:rPr>
          <w:rFonts w:ascii="宋体" w:hAnsi="宋体" w:cs="宋体" w:hint="eastAsia"/>
          <w:b/>
          <w:bCs/>
          <w:color w:val="000000" w:themeColor="text1"/>
          <w:szCs w:val="21"/>
        </w:rPr>
        <w:t>：</w:t>
      </w:r>
      <w:r w:rsidRPr="009067C7">
        <w:rPr>
          <w:rFonts w:eastAsia="楷体" w:cs="Times New Roman" w:hint="eastAsia"/>
          <w:color w:val="000000" w:themeColor="text1"/>
        </w:rPr>
        <w:t>国家社科基金重点项目“碳中和目标下国际碳泄漏效应与减排合作中国方案研究”（</w:t>
      </w:r>
      <w:r w:rsidRPr="009067C7">
        <w:rPr>
          <w:rFonts w:eastAsia="楷体" w:cs="Times New Roman" w:hint="eastAsia"/>
          <w:color w:val="000000" w:themeColor="text1"/>
        </w:rPr>
        <w:t>22AJY021</w:t>
      </w:r>
      <w:r w:rsidRPr="009067C7">
        <w:rPr>
          <w:rFonts w:eastAsia="楷体" w:cs="Times New Roman" w:hint="eastAsia"/>
          <w:color w:val="000000" w:themeColor="text1"/>
        </w:rPr>
        <w:t>）。感谢匿名审稿专家修改建议，文责自负。</w:t>
      </w:r>
    </w:p>
    <w:p w14:paraId="47850DC2" w14:textId="77777777" w:rsidR="009F2FCC" w:rsidRDefault="009F2FCC" w:rsidP="009F2FCC">
      <w:pPr>
        <w:pStyle w:val="af3"/>
        <w:ind w:firstLine="36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ED43" w14:textId="77777777" w:rsidR="009F2FCC" w:rsidRDefault="009F2F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EAF8" w14:textId="77777777" w:rsidR="009F2FCC" w:rsidRDefault="009F2FCC" w:rsidP="00AD73F3">
    <w:pPr>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B53D" w14:textId="77777777" w:rsidR="009F2FCC" w:rsidRDefault="009F2FC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F5E67"/>
    <w:multiLevelType w:val="hybridMultilevel"/>
    <w:tmpl w:val="C6704D9C"/>
    <w:lvl w:ilvl="0" w:tplc="822C582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DBC2FFA"/>
    <w:multiLevelType w:val="hybridMultilevel"/>
    <w:tmpl w:val="FF86682E"/>
    <w:lvl w:ilvl="0" w:tplc="323EE5F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68567248">
    <w:abstractNumId w:val="0"/>
  </w:num>
  <w:num w:numId="2" w16cid:durableId="697706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20D0B"/>
    <w:rsid w:val="0000157B"/>
    <w:rsid w:val="00005F36"/>
    <w:rsid w:val="00006154"/>
    <w:rsid w:val="00006A18"/>
    <w:rsid w:val="0001274F"/>
    <w:rsid w:val="00015186"/>
    <w:rsid w:val="0001521A"/>
    <w:rsid w:val="00017ECF"/>
    <w:rsid w:val="00022365"/>
    <w:rsid w:val="0002261B"/>
    <w:rsid w:val="00024A5F"/>
    <w:rsid w:val="000254EA"/>
    <w:rsid w:val="00026C59"/>
    <w:rsid w:val="00027C72"/>
    <w:rsid w:val="000308D1"/>
    <w:rsid w:val="00030DA2"/>
    <w:rsid w:val="00031AD6"/>
    <w:rsid w:val="00031F45"/>
    <w:rsid w:val="00032B93"/>
    <w:rsid w:val="00033570"/>
    <w:rsid w:val="00042BB5"/>
    <w:rsid w:val="00042FF9"/>
    <w:rsid w:val="00043216"/>
    <w:rsid w:val="00043632"/>
    <w:rsid w:val="000436CB"/>
    <w:rsid w:val="00046FBB"/>
    <w:rsid w:val="00047416"/>
    <w:rsid w:val="00047A5E"/>
    <w:rsid w:val="00050091"/>
    <w:rsid w:val="00056318"/>
    <w:rsid w:val="000568AF"/>
    <w:rsid w:val="00060016"/>
    <w:rsid w:val="000628AB"/>
    <w:rsid w:val="00064245"/>
    <w:rsid w:val="000655BB"/>
    <w:rsid w:val="00067064"/>
    <w:rsid w:val="00067272"/>
    <w:rsid w:val="00067A66"/>
    <w:rsid w:val="0007011F"/>
    <w:rsid w:val="0007154E"/>
    <w:rsid w:val="0007185A"/>
    <w:rsid w:val="00071B92"/>
    <w:rsid w:val="00072A30"/>
    <w:rsid w:val="00075297"/>
    <w:rsid w:val="00076155"/>
    <w:rsid w:val="00076F17"/>
    <w:rsid w:val="0008231B"/>
    <w:rsid w:val="000827B8"/>
    <w:rsid w:val="0009157C"/>
    <w:rsid w:val="000927EA"/>
    <w:rsid w:val="00093D52"/>
    <w:rsid w:val="000A0821"/>
    <w:rsid w:val="000A0F30"/>
    <w:rsid w:val="000A2277"/>
    <w:rsid w:val="000A2ECB"/>
    <w:rsid w:val="000A32A7"/>
    <w:rsid w:val="000A3C4B"/>
    <w:rsid w:val="000A436B"/>
    <w:rsid w:val="000A475D"/>
    <w:rsid w:val="000A49A1"/>
    <w:rsid w:val="000A4FCD"/>
    <w:rsid w:val="000B05CB"/>
    <w:rsid w:val="000B0BE6"/>
    <w:rsid w:val="000B3553"/>
    <w:rsid w:val="000B430F"/>
    <w:rsid w:val="000B675E"/>
    <w:rsid w:val="000B7902"/>
    <w:rsid w:val="000C0D14"/>
    <w:rsid w:val="000C189C"/>
    <w:rsid w:val="000C2511"/>
    <w:rsid w:val="000C272B"/>
    <w:rsid w:val="000C6E07"/>
    <w:rsid w:val="000C74EB"/>
    <w:rsid w:val="000C7D40"/>
    <w:rsid w:val="000D01C2"/>
    <w:rsid w:val="000D024D"/>
    <w:rsid w:val="000D046B"/>
    <w:rsid w:val="000D15DF"/>
    <w:rsid w:val="000D28CE"/>
    <w:rsid w:val="000D2EC3"/>
    <w:rsid w:val="000D2EE2"/>
    <w:rsid w:val="000D4EDD"/>
    <w:rsid w:val="000D5B0A"/>
    <w:rsid w:val="000D6035"/>
    <w:rsid w:val="000E3A6C"/>
    <w:rsid w:val="000E564A"/>
    <w:rsid w:val="000F08A8"/>
    <w:rsid w:val="000F14C4"/>
    <w:rsid w:val="000F32E6"/>
    <w:rsid w:val="000F41D1"/>
    <w:rsid w:val="000F6A57"/>
    <w:rsid w:val="000F7625"/>
    <w:rsid w:val="00101BEB"/>
    <w:rsid w:val="00104BDE"/>
    <w:rsid w:val="001056D1"/>
    <w:rsid w:val="00105D23"/>
    <w:rsid w:val="001061B4"/>
    <w:rsid w:val="001074EB"/>
    <w:rsid w:val="00107C57"/>
    <w:rsid w:val="001105B1"/>
    <w:rsid w:val="001119FF"/>
    <w:rsid w:val="0011554A"/>
    <w:rsid w:val="0011734E"/>
    <w:rsid w:val="0011746F"/>
    <w:rsid w:val="00117BA7"/>
    <w:rsid w:val="00121335"/>
    <w:rsid w:val="00124BFC"/>
    <w:rsid w:val="00127A1E"/>
    <w:rsid w:val="00127CDC"/>
    <w:rsid w:val="00130A31"/>
    <w:rsid w:val="00131A1F"/>
    <w:rsid w:val="00131FFC"/>
    <w:rsid w:val="00135D3A"/>
    <w:rsid w:val="00136924"/>
    <w:rsid w:val="001377AD"/>
    <w:rsid w:val="0014108A"/>
    <w:rsid w:val="00141CD4"/>
    <w:rsid w:val="00144317"/>
    <w:rsid w:val="00144506"/>
    <w:rsid w:val="001458E6"/>
    <w:rsid w:val="00150B25"/>
    <w:rsid w:val="001517CC"/>
    <w:rsid w:val="001531B2"/>
    <w:rsid w:val="001533A2"/>
    <w:rsid w:val="00153645"/>
    <w:rsid w:val="00154A93"/>
    <w:rsid w:val="0015526C"/>
    <w:rsid w:val="001564B8"/>
    <w:rsid w:val="0015702A"/>
    <w:rsid w:val="001614D3"/>
    <w:rsid w:val="0016337A"/>
    <w:rsid w:val="001634A3"/>
    <w:rsid w:val="00163CF6"/>
    <w:rsid w:val="001659D4"/>
    <w:rsid w:val="00171C82"/>
    <w:rsid w:val="00172AD2"/>
    <w:rsid w:val="0017310C"/>
    <w:rsid w:val="0017460C"/>
    <w:rsid w:val="00174F47"/>
    <w:rsid w:val="001800BF"/>
    <w:rsid w:val="0018106D"/>
    <w:rsid w:val="00182D05"/>
    <w:rsid w:val="0018334D"/>
    <w:rsid w:val="0018354B"/>
    <w:rsid w:val="001838F7"/>
    <w:rsid w:val="001852F7"/>
    <w:rsid w:val="00186DAD"/>
    <w:rsid w:val="00187642"/>
    <w:rsid w:val="001876DE"/>
    <w:rsid w:val="001A20DD"/>
    <w:rsid w:val="001A24D8"/>
    <w:rsid w:val="001A2EEC"/>
    <w:rsid w:val="001A4AE5"/>
    <w:rsid w:val="001A71E6"/>
    <w:rsid w:val="001A758F"/>
    <w:rsid w:val="001B0C09"/>
    <w:rsid w:val="001B2FE2"/>
    <w:rsid w:val="001B60AD"/>
    <w:rsid w:val="001B63AD"/>
    <w:rsid w:val="001B6425"/>
    <w:rsid w:val="001B679D"/>
    <w:rsid w:val="001C49D7"/>
    <w:rsid w:val="001C633B"/>
    <w:rsid w:val="001D01F8"/>
    <w:rsid w:val="001D0597"/>
    <w:rsid w:val="001D2535"/>
    <w:rsid w:val="001D389B"/>
    <w:rsid w:val="001D44BB"/>
    <w:rsid w:val="001E078C"/>
    <w:rsid w:val="001E4394"/>
    <w:rsid w:val="001E585E"/>
    <w:rsid w:val="001E5CF2"/>
    <w:rsid w:val="001E75AF"/>
    <w:rsid w:val="001F0D60"/>
    <w:rsid w:val="001F1542"/>
    <w:rsid w:val="001F2302"/>
    <w:rsid w:val="001F429E"/>
    <w:rsid w:val="001F72D4"/>
    <w:rsid w:val="00200CC5"/>
    <w:rsid w:val="00200DA1"/>
    <w:rsid w:val="00200E52"/>
    <w:rsid w:val="00200F6D"/>
    <w:rsid w:val="00203047"/>
    <w:rsid w:val="00204594"/>
    <w:rsid w:val="00204F4D"/>
    <w:rsid w:val="00206BC8"/>
    <w:rsid w:val="002105C3"/>
    <w:rsid w:val="002110BE"/>
    <w:rsid w:val="00211E99"/>
    <w:rsid w:val="00212D87"/>
    <w:rsid w:val="00214E79"/>
    <w:rsid w:val="0021524F"/>
    <w:rsid w:val="00216F20"/>
    <w:rsid w:val="00217B5D"/>
    <w:rsid w:val="00220B32"/>
    <w:rsid w:val="002216DC"/>
    <w:rsid w:val="002217C9"/>
    <w:rsid w:val="002231F8"/>
    <w:rsid w:val="0022361D"/>
    <w:rsid w:val="00223D1F"/>
    <w:rsid w:val="002253BE"/>
    <w:rsid w:val="002260A9"/>
    <w:rsid w:val="00226911"/>
    <w:rsid w:val="00231297"/>
    <w:rsid w:val="00231DEB"/>
    <w:rsid w:val="00232108"/>
    <w:rsid w:val="00233D3E"/>
    <w:rsid w:val="00233D4B"/>
    <w:rsid w:val="002345F7"/>
    <w:rsid w:val="00234785"/>
    <w:rsid w:val="00234F16"/>
    <w:rsid w:val="00235459"/>
    <w:rsid w:val="00235AF7"/>
    <w:rsid w:val="0024080C"/>
    <w:rsid w:val="002417B4"/>
    <w:rsid w:val="00241C88"/>
    <w:rsid w:val="00241CE9"/>
    <w:rsid w:val="00242B78"/>
    <w:rsid w:val="00243E8E"/>
    <w:rsid w:val="0024443B"/>
    <w:rsid w:val="002444CB"/>
    <w:rsid w:val="00245258"/>
    <w:rsid w:val="0024574A"/>
    <w:rsid w:val="00246BB1"/>
    <w:rsid w:val="00251773"/>
    <w:rsid w:val="0025431C"/>
    <w:rsid w:val="00254B48"/>
    <w:rsid w:val="0025505B"/>
    <w:rsid w:val="00255A9B"/>
    <w:rsid w:val="002564F8"/>
    <w:rsid w:val="0025729B"/>
    <w:rsid w:val="002575AA"/>
    <w:rsid w:val="00266375"/>
    <w:rsid w:val="00266E2A"/>
    <w:rsid w:val="00270211"/>
    <w:rsid w:val="00270F4B"/>
    <w:rsid w:val="00273D64"/>
    <w:rsid w:val="002744D8"/>
    <w:rsid w:val="002773CF"/>
    <w:rsid w:val="002803EB"/>
    <w:rsid w:val="0029060E"/>
    <w:rsid w:val="00293229"/>
    <w:rsid w:val="0029395F"/>
    <w:rsid w:val="002967BD"/>
    <w:rsid w:val="00297248"/>
    <w:rsid w:val="002A0143"/>
    <w:rsid w:val="002A28A9"/>
    <w:rsid w:val="002A4172"/>
    <w:rsid w:val="002A44C0"/>
    <w:rsid w:val="002A7B0E"/>
    <w:rsid w:val="002B025C"/>
    <w:rsid w:val="002B3175"/>
    <w:rsid w:val="002B370D"/>
    <w:rsid w:val="002B6F14"/>
    <w:rsid w:val="002B725C"/>
    <w:rsid w:val="002C35EC"/>
    <w:rsid w:val="002C5AEA"/>
    <w:rsid w:val="002C693D"/>
    <w:rsid w:val="002D0BF6"/>
    <w:rsid w:val="002D1CAF"/>
    <w:rsid w:val="002D2CF7"/>
    <w:rsid w:val="002D31F5"/>
    <w:rsid w:val="002D6159"/>
    <w:rsid w:val="002D6A6B"/>
    <w:rsid w:val="002E0305"/>
    <w:rsid w:val="002E067B"/>
    <w:rsid w:val="002E07E8"/>
    <w:rsid w:val="002E1D73"/>
    <w:rsid w:val="002E4737"/>
    <w:rsid w:val="002E5859"/>
    <w:rsid w:val="002E5E7C"/>
    <w:rsid w:val="002E6767"/>
    <w:rsid w:val="002E7A67"/>
    <w:rsid w:val="002F2F96"/>
    <w:rsid w:val="002F4704"/>
    <w:rsid w:val="002F539E"/>
    <w:rsid w:val="00300066"/>
    <w:rsid w:val="003014D6"/>
    <w:rsid w:val="003016AC"/>
    <w:rsid w:val="00301E44"/>
    <w:rsid w:val="00302AF1"/>
    <w:rsid w:val="003045AF"/>
    <w:rsid w:val="00305AFD"/>
    <w:rsid w:val="00307AF1"/>
    <w:rsid w:val="00310342"/>
    <w:rsid w:val="0031063A"/>
    <w:rsid w:val="0031542A"/>
    <w:rsid w:val="0031795A"/>
    <w:rsid w:val="00317BA1"/>
    <w:rsid w:val="003235B4"/>
    <w:rsid w:val="003239E9"/>
    <w:rsid w:val="0032414E"/>
    <w:rsid w:val="00326663"/>
    <w:rsid w:val="00326E79"/>
    <w:rsid w:val="00332733"/>
    <w:rsid w:val="0033331C"/>
    <w:rsid w:val="00333EDA"/>
    <w:rsid w:val="00334236"/>
    <w:rsid w:val="00336224"/>
    <w:rsid w:val="003370A8"/>
    <w:rsid w:val="00341924"/>
    <w:rsid w:val="00343390"/>
    <w:rsid w:val="003438B1"/>
    <w:rsid w:val="003452E1"/>
    <w:rsid w:val="00353D23"/>
    <w:rsid w:val="00354871"/>
    <w:rsid w:val="00355D6B"/>
    <w:rsid w:val="00355EB1"/>
    <w:rsid w:val="003608CD"/>
    <w:rsid w:val="0036159B"/>
    <w:rsid w:val="00362496"/>
    <w:rsid w:val="00362DD4"/>
    <w:rsid w:val="00364B9C"/>
    <w:rsid w:val="00366CF4"/>
    <w:rsid w:val="00366FC9"/>
    <w:rsid w:val="003670EB"/>
    <w:rsid w:val="00367A96"/>
    <w:rsid w:val="00377204"/>
    <w:rsid w:val="00381572"/>
    <w:rsid w:val="00382349"/>
    <w:rsid w:val="00382784"/>
    <w:rsid w:val="00382DCE"/>
    <w:rsid w:val="0038634D"/>
    <w:rsid w:val="00386F91"/>
    <w:rsid w:val="00387477"/>
    <w:rsid w:val="00390638"/>
    <w:rsid w:val="003957CD"/>
    <w:rsid w:val="00395A36"/>
    <w:rsid w:val="00395E8E"/>
    <w:rsid w:val="003972BF"/>
    <w:rsid w:val="003A1F72"/>
    <w:rsid w:val="003A2255"/>
    <w:rsid w:val="003A3335"/>
    <w:rsid w:val="003A47BD"/>
    <w:rsid w:val="003B1452"/>
    <w:rsid w:val="003B156C"/>
    <w:rsid w:val="003B1AF5"/>
    <w:rsid w:val="003B3739"/>
    <w:rsid w:val="003B3D7A"/>
    <w:rsid w:val="003B4B67"/>
    <w:rsid w:val="003C07A9"/>
    <w:rsid w:val="003C11DF"/>
    <w:rsid w:val="003C14DB"/>
    <w:rsid w:val="003C7006"/>
    <w:rsid w:val="003C75C3"/>
    <w:rsid w:val="003C7C85"/>
    <w:rsid w:val="003D0146"/>
    <w:rsid w:val="003D051B"/>
    <w:rsid w:val="003D1C78"/>
    <w:rsid w:val="003D22FE"/>
    <w:rsid w:val="003D2AD1"/>
    <w:rsid w:val="003D37AB"/>
    <w:rsid w:val="003D5138"/>
    <w:rsid w:val="003D5BC9"/>
    <w:rsid w:val="003E2643"/>
    <w:rsid w:val="003E53D3"/>
    <w:rsid w:val="003E6F41"/>
    <w:rsid w:val="003E77FE"/>
    <w:rsid w:val="003F028A"/>
    <w:rsid w:val="003F068A"/>
    <w:rsid w:val="003F334A"/>
    <w:rsid w:val="00400DFA"/>
    <w:rsid w:val="00403CC8"/>
    <w:rsid w:val="0040416D"/>
    <w:rsid w:val="004041A8"/>
    <w:rsid w:val="00404D7E"/>
    <w:rsid w:val="00405637"/>
    <w:rsid w:val="00405D0F"/>
    <w:rsid w:val="00405F95"/>
    <w:rsid w:val="004076D6"/>
    <w:rsid w:val="00410153"/>
    <w:rsid w:val="0041022B"/>
    <w:rsid w:val="00410A6B"/>
    <w:rsid w:val="00411EF7"/>
    <w:rsid w:val="00412003"/>
    <w:rsid w:val="00412C53"/>
    <w:rsid w:val="00412E3A"/>
    <w:rsid w:val="004149C8"/>
    <w:rsid w:val="0041629C"/>
    <w:rsid w:val="00416854"/>
    <w:rsid w:val="004173EB"/>
    <w:rsid w:val="00420E65"/>
    <w:rsid w:val="00421CFD"/>
    <w:rsid w:val="0042646A"/>
    <w:rsid w:val="004266BA"/>
    <w:rsid w:val="00427D98"/>
    <w:rsid w:val="0043041D"/>
    <w:rsid w:val="00431C70"/>
    <w:rsid w:val="00435D3B"/>
    <w:rsid w:val="004401A5"/>
    <w:rsid w:val="00450168"/>
    <w:rsid w:val="00452233"/>
    <w:rsid w:val="00452B2E"/>
    <w:rsid w:val="00454821"/>
    <w:rsid w:val="00454CC3"/>
    <w:rsid w:val="00454D51"/>
    <w:rsid w:val="00455E7E"/>
    <w:rsid w:val="00457ECF"/>
    <w:rsid w:val="00461CEA"/>
    <w:rsid w:val="00464684"/>
    <w:rsid w:val="00464DEC"/>
    <w:rsid w:val="00466C51"/>
    <w:rsid w:val="0047307C"/>
    <w:rsid w:val="004750FC"/>
    <w:rsid w:val="004761DC"/>
    <w:rsid w:val="00476F44"/>
    <w:rsid w:val="00477F50"/>
    <w:rsid w:val="0048008D"/>
    <w:rsid w:val="00480220"/>
    <w:rsid w:val="0048038F"/>
    <w:rsid w:val="0048292D"/>
    <w:rsid w:val="00482B7A"/>
    <w:rsid w:val="004845DA"/>
    <w:rsid w:val="0048513C"/>
    <w:rsid w:val="004854EB"/>
    <w:rsid w:val="00485789"/>
    <w:rsid w:val="0049246A"/>
    <w:rsid w:val="00494C46"/>
    <w:rsid w:val="0049522D"/>
    <w:rsid w:val="004965B8"/>
    <w:rsid w:val="00496687"/>
    <w:rsid w:val="00497B59"/>
    <w:rsid w:val="004A0645"/>
    <w:rsid w:val="004A2386"/>
    <w:rsid w:val="004A2FD7"/>
    <w:rsid w:val="004A3227"/>
    <w:rsid w:val="004A33BD"/>
    <w:rsid w:val="004A3D86"/>
    <w:rsid w:val="004A5BF8"/>
    <w:rsid w:val="004B0977"/>
    <w:rsid w:val="004B3931"/>
    <w:rsid w:val="004B4A90"/>
    <w:rsid w:val="004B57E7"/>
    <w:rsid w:val="004B5C6D"/>
    <w:rsid w:val="004B66A6"/>
    <w:rsid w:val="004C1A92"/>
    <w:rsid w:val="004C2AD6"/>
    <w:rsid w:val="004C3A70"/>
    <w:rsid w:val="004C4B88"/>
    <w:rsid w:val="004C61B0"/>
    <w:rsid w:val="004C6ED5"/>
    <w:rsid w:val="004C7BD4"/>
    <w:rsid w:val="004D065E"/>
    <w:rsid w:val="004D20E9"/>
    <w:rsid w:val="004D210B"/>
    <w:rsid w:val="004D2368"/>
    <w:rsid w:val="004D3A03"/>
    <w:rsid w:val="004D4683"/>
    <w:rsid w:val="004D47D2"/>
    <w:rsid w:val="004E42EE"/>
    <w:rsid w:val="004E4C05"/>
    <w:rsid w:val="004E5177"/>
    <w:rsid w:val="004E5CE3"/>
    <w:rsid w:val="004E60A8"/>
    <w:rsid w:val="004E6FEE"/>
    <w:rsid w:val="004E79D9"/>
    <w:rsid w:val="004F1BBA"/>
    <w:rsid w:val="004F2F68"/>
    <w:rsid w:val="004F3553"/>
    <w:rsid w:val="004F37EB"/>
    <w:rsid w:val="004F4085"/>
    <w:rsid w:val="004F6468"/>
    <w:rsid w:val="004F6BEE"/>
    <w:rsid w:val="004F798D"/>
    <w:rsid w:val="00500498"/>
    <w:rsid w:val="00501D73"/>
    <w:rsid w:val="0050355B"/>
    <w:rsid w:val="00503956"/>
    <w:rsid w:val="005048B0"/>
    <w:rsid w:val="005049B4"/>
    <w:rsid w:val="00504C2D"/>
    <w:rsid w:val="005063D1"/>
    <w:rsid w:val="005100F0"/>
    <w:rsid w:val="00512E9E"/>
    <w:rsid w:val="00513362"/>
    <w:rsid w:val="00514BF2"/>
    <w:rsid w:val="005162F4"/>
    <w:rsid w:val="0051687C"/>
    <w:rsid w:val="00517583"/>
    <w:rsid w:val="00517984"/>
    <w:rsid w:val="00517B47"/>
    <w:rsid w:val="00521B97"/>
    <w:rsid w:val="005236F3"/>
    <w:rsid w:val="00524108"/>
    <w:rsid w:val="00524A4C"/>
    <w:rsid w:val="00524E78"/>
    <w:rsid w:val="00526038"/>
    <w:rsid w:val="00526D27"/>
    <w:rsid w:val="0053037C"/>
    <w:rsid w:val="00531287"/>
    <w:rsid w:val="00534B97"/>
    <w:rsid w:val="0053607B"/>
    <w:rsid w:val="00536A2D"/>
    <w:rsid w:val="005375CF"/>
    <w:rsid w:val="00537716"/>
    <w:rsid w:val="0054406C"/>
    <w:rsid w:val="005444D0"/>
    <w:rsid w:val="0054501F"/>
    <w:rsid w:val="0054623B"/>
    <w:rsid w:val="0055344C"/>
    <w:rsid w:val="005545C5"/>
    <w:rsid w:val="00555F27"/>
    <w:rsid w:val="00555FD2"/>
    <w:rsid w:val="00556FEA"/>
    <w:rsid w:val="005600D7"/>
    <w:rsid w:val="0056141C"/>
    <w:rsid w:val="00566258"/>
    <w:rsid w:val="00566AA8"/>
    <w:rsid w:val="00574020"/>
    <w:rsid w:val="00576133"/>
    <w:rsid w:val="00577940"/>
    <w:rsid w:val="00582280"/>
    <w:rsid w:val="00584399"/>
    <w:rsid w:val="00591C9E"/>
    <w:rsid w:val="005967A5"/>
    <w:rsid w:val="005A1300"/>
    <w:rsid w:val="005A34C5"/>
    <w:rsid w:val="005A3AA0"/>
    <w:rsid w:val="005A3C63"/>
    <w:rsid w:val="005A3F54"/>
    <w:rsid w:val="005A566C"/>
    <w:rsid w:val="005A697A"/>
    <w:rsid w:val="005B0F9A"/>
    <w:rsid w:val="005B20B3"/>
    <w:rsid w:val="005B23C1"/>
    <w:rsid w:val="005B4965"/>
    <w:rsid w:val="005B6777"/>
    <w:rsid w:val="005B6E54"/>
    <w:rsid w:val="005C2AB2"/>
    <w:rsid w:val="005C3039"/>
    <w:rsid w:val="005C3D4A"/>
    <w:rsid w:val="005C4AA8"/>
    <w:rsid w:val="005C528B"/>
    <w:rsid w:val="005D219F"/>
    <w:rsid w:val="005D2B9B"/>
    <w:rsid w:val="005E0260"/>
    <w:rsid w:val="005E02FB"/>
    <w:rsid w:val="005E2474"/>
    <w:rsid w:val="005E2B7A"/>
    <w:rsid w:val="005E31AF"/>
    <w:rsid w:val="005E39D4"/>
    <w:rsid w:val="005E3FF1"/>
    <w:rsid w:val="005E495E"/>
    <w:rsid w:val="005E5208"/>
    <w:rsid w:val="005E59FF"/>
    <w:rsid w:val="005E5C26"/>
    <w:rsid w:val="005E7A9E"/>
    <w:rsid w:val="005F093C"/>
    <w:rsid w:val="005F1536"/>
    <w:rsid w:val="005F1924"/>
    <w:rsid w:val="005F2EA5"/>
    <w:rsid w:val="005F3A1B"/>
    <w:rsid w:val="005F61C7"/>
    <w:rsid w:val="00600760"/>
    <w:rsid w:val="00600E94"/>
    <w:rsid w:val="006010CD"/>
    <w:rsid w:val="00605026"/>
    <w:rsid w:val="00605980"/>
    <w:rsid w:val="00605AB3"/>
    <w:rsid w:val="00605EA3"/>
    <w:rsid w:val="0061081A"/>
    <w:rsid w:val="006117B9"/>
    <w:rsid w:val="00612F45"/>
    <w:rsid w:val="0061346A"/>
    <w:rsid w:val="00615DD8"/>
    <w:rsid w:val="00617AA2"/>
    <w:rsid w:val="00617AD7"/>
    <w:rsid w:val="0062051F"/>
    <w:rsid w:val="00620543"/>
    <w:rsid w:val="00620751"/>
    <w:rsid w:val="00622143"/>
    <w:rsid w:val="00622CB7"/>
    <w:rsid w:val="00623F26"/>
    <w:rsid w:val="006251FC"/>
    <w:rsid w:val="00625334"/>
    <w:rsid w:val="00625AC1"/>
    <w:rsid w:val="00630098"/>
    <w:rsid w:val="00632217"/>
    <w:rsid w:val="00633285"/>
    <w:rsid w:val="00637699"/>
    <w:rsid w:val="006408EF"/>
    <w:rsid w:val="0064432E"/>
    <w:rsid w:val="00644D95"/>
    <w:rsid w:val="00645A6A"/>
    <w:rsid w:val="006469C1"/>
    <w:rsid w:val="006610C9"/>
    <w:rsid w:val="00661346"/>
    <w:rsid w:val="00662009"/>
    <w:rsid w:val="00663234"/>
    <w:rsid w:val="00663857"/>
    <w:rsid w:val="006641CA"/>
    <w:rsid w:val="00664676"/>
    <w:rsid w:val="00671390"/>
    <w:rsid w:val="00673633"/>
    <w:rsid w:val="006749B0"/>
    <w:rsid w:val="00674C04"/>
    <w:rsid w:val="006751F1"/>
    <w:rsid w:val="0068028B"/>
    <w:rsid w:val="006815D5"/>
    <w:rsid w:val="006858F1"/>
    <w:rsid w:val="00687043"/>
    <w:rsid w:val="00690013"/>
    <w:rsid w:val="006922CE"/>
    <w:rsid w:val="00697D7B"/>
    <w:rsid w:val="006A0868"/>
    <w:rsid w:val="006A3710"/>
    <w:rsid w:val="006A59B3"/>
    <w:rsid w:val="006A5B98"/>
    <w:rsid w:val="006A61A3"/>
    <w:rsid w:val="006B1507"/>
    <w:rsid w:val="006B1ADB"/>
    <w:rsid w:val="006B4246"/>
    <w:rsid w:val="006B520D"/>
    <w:rsid w:val="006B623D"/>
    <w:rsid w:val="006C0190"/>
    <w:rsid w:val="006C08A2"/>
    <w:rsid w:val="006C38B5"/>
    <w:rsid w:val="006C38CF"/>
    <w:rsid w:val="006C4940"/>
    <w:rsid w:val="006C4D88"/>
    <w:rsid w:val="006C4FF8"/>
    <w:rsid w:val="006D049C"/>
    <w:rsid w:val="006D0632"/>
    <w:rsid w:val="006D1D62"/>
    <w:rsid w:val="006D4063"/>
    <w:rsid w:val="006D408F"/>
    <w:rsid w:val="006D4155"/>
    <w:rsid w:val="006D55F1"/>
    <w:rsid w:val="006D5A3D"/>
    <w:rsid w:val="006D6099"/>
    <w:rsid w:val="006D65A3"/>
    <w:rsid w:val="006D7534"/>
    <w:rsid w:val="006D7F55"/>
    <w:rsid w:val="006E2178"/>
    <w:rsid w:val="006E3CA7"/>
    <w:rsid w:val="006E5555"/>
    <w:rsid w:val="006E5C7B"/>
    <w:rsid w:val="006E6B5C"/>
    <w:rsid w:val="006F0495"/>
    <w:rsid w:val="006F4D91"/>
    <w:rsid w:val="006F6232"/>
    <w:rsid w:val="006F7EC7"/>
    <w:rsid w:val="007001F2"/>
    <w:rsid w:val="0070048B"/>
    <w:rsid w:val="00703823"/>
    <w:rsid w:val="00703C36"/>
    <w:rsid w:val="0070729E"/>
    <w:rsid w:val="007078E2"/>
    <w:rsid w:val="00707DB8"/>
    <w:rsid w:val="00710486"/>
    <w:rsid w:val="007106D6"/>
    <w:rsid w:val="007115DF"/>
    <w:rsid w:val="007120D6"/>
    <w:rsid w:val="0071564D"/>
    <w:rsid w:val="00716BAA"/>
    <w:rsid w:val="00717B19"/>
    <w:rsid w:val="0072199E"/>
    <w:rsid w:val="00723E5F"/>
    <w:rsid w:val="00725FCD"/>
    <w:rsid w:val="00727F1D"/>
    <w:rsid w:val="00734BBF"/>
    <w:rsid w:val="0073519D"/>
    <w:rsid w:val="007373CA"/>
    <w:rsid w:val="007379EA"/>
    <w:rsid w:val="00744418"/>
    <w:rsid w:val="00744C7F"/>
    <w:rsid w:val="00744E6D"/>
    <w:rsid w:val="0074536F"/>
    <w:rsid w:val="0074642E"/>
    <w:rsid w:val="00746781"/>
    <w:rsid w:val="00746E52"/>
    <w:rsid w:val="0075463E"/>
    <w:rsid w:val="00755874"/>
    <w:rsid w:val="0076703C"/>
    <w:rsid w:val="00770EC4"/>
    <w:rsid w:val="007736E3"/>
    <w:rsid w:val="00776687"/>
    <w:rsid w:val="00776A33"/>
    <w:rsid w:val="00780B1D"/>
    <w:rsid w:val="007813EB"/>
    <w:rsid w:val="0078292D"/>
    <w:rsid w:val="00782DDF"/>
    <w:rsid w:val="00782FA3"/>
    <w:rsid w:val="00786563"/>
    <w:rsid w:val="007865ED"/>
    <w:rsid w:val="00791137"/>
    <w:rsid w:val="00792508"/>
    <w:rsid w:val="00792710"/>
    <w:rsid w:val="00795735"/>
    <w:rsid w:val="007960F7"/>
    <w:rsid w:val="0079696E"/>
    <w:rsid w:val="00796D6A"/>
    <w:rsid w:val="007A0E13"/>
    <w:rsid w:val="007A4860"/>
    <w:rsid w:val="007A5E67"/>
    <w:rsid w:val="007A63FD"/>
    <w:rsid w:val="007A7B36"/>
    <w:rsid w:val="007A7F26"/>
    <w:rsid w:val="007B068B"/>
    <w:rsid w:val="007B3C6F"/>
    <w:rsid w:val="007B4A05"/>
    <w:rsid w:val="007B6D35"/>
    <w:rsid w:val="007C1788"/>
    <w:rsid w:val="007C2BBE"/>
    <w:rsid w:val="007C5B0B"/>
    <w:rsid w:val="007C619B"/>
    <w:rsid w:val="007C6EB3"/>
    <w:rsid w:val="007D2167"/>
    <w:rsid w:val="007D28D3"/>
    <w:rsid w:val="007D7ECB"/>
    <w:rsid w:val="007E14D6"/>
    <w:rsid w:val="007E41AD"/>
    <w:rsid w:val="007E5827"/>
    <w:rsid w:val="007E5B2C"/>
    <w:rsid w:val="007F1BF1"/>
    <w:rsid w:val="007F1D84"/>
    <w:rsid w:val="007F392B"/>
    <w:rsid w:val="007F542D"/>
    <w:rsid w:val="007F65DA"/>
    <w:rsid w:val="00800BFF"/>
    <w:rsid w:val="00801BA9"/>
    <w:rsid w:val="008032A8"/>
    <w:rsid w:val="00803569"/>
    <w:rsid w:val="00804FA9"/>
    <w:rsid w:val="0080519E"/>
    <w:rsid w:val="008064A7"/>
    <w:rsid w:val="008105B8"/>
    <w:rsid w:val="00810DEF"/>
    <w:rsid w:val="00812837"/>
    <w:rsid w:val="008134F5"/>
    <w:rsid w:val="00814D18"/>
    <w:rsid w:val="00820CDF"/>
    <w:rsid w:val="00820D0B"/>
    <w:rsid w:val="00821956"/>
    <w:rsid w:val="00821DE1"/>
    <w:rsid w:val="00823D83"/>
    <w:rsid w:val="008253A3"/>
    <w:rsid w:val="00827236"/>
    <w:rsid w:val="00830BBA"/>
    <w:rsid w:val="00831D05"/>
    <w:rsid w:val="00832036"/>
    <w:rsid w:val="00832EC0"/>
    <w:rsid w:val="00832F28"/>
    <w:rsid w:val="00836063"/>
    <w:rsid w:val="00836579"/>
    <w:rsid w:val="00837518"/>
    <w:rsid w:val="00837B84"/>
    <w:rsid w:val="00840A46"/>
    <w:rsid w:val="00841FB3"/>
    <w:rsid w:val="0085091F"/>
    <w:rsid w:val="00852BBB"/>
    <w:rsid w:val="0085512E"/>
    <w:rsid w:val="0086011B"/>
    <w:rsid w:val="0086099C"/>
    <w:rsid w:val="00860CEA"/>
    <w:rsid w:val="00860FFD"/>
    <w:rsid w:val="008618F8"/>
    <w:rsid w:val="0086494B"/>
    <w:rsid w:val="008649AD"/>
    <w:rsid w:val="00864FDC"/>
    <w:rsid w:val="0086666E"/>
    <w:rsid w:val="008675A5"/>
    <w:rsid w:val="00872083"/>
    <w:rsid w:val="008806D3"/>
    <w:rsid w:val="00882063"/>
    <w:rsid w:val="0088210A"/>
    <w:rsid w:val="00883805"/>
    <w:rsid w:val="00883B52"/>
    <w:rsid w:val="00883FD8"/>
    <w:rsid w:val="0088424D"/>
    <w:rsid w:val="0088464D"/>
    <w:rsid w:val="00885618"/>
    <w:rsid w:val="008862C2"/>
    <w:rsid w:val="008865D0"/>
    <w:rsid w:val="00886B3A"/>
    <w:rsid w:val="00887877"/>
    <w:rsid w:val="00892FF1"/>
    <w:rsid w:val="008945AA"/>
    <w:rsid w:val="00897242"/>
    <w:rsid w:val="008A0174"/>
    <w:rsid w:val="008A03D2"/>
    <w:rsid w:val="008A055B"/>
    <w:rsid w:val="008A0ABD"/>
    <w:rsid w:val="008A0FEF"/>
    <w:rsid w:val="008A24A8"/>
    <w:rsid w:val="008A3CD2"/>
    <w:rsid w:val="008A428F"/>
    <w:rsid w:val="008A5E22"/>
    <w:rsid w:val="008A7188"/>
    <w:rsid w:val="008A7729"/>
    <w:rsid w:val="008B219D"/>
    <w:rsid w:val="008C043E"/>
    <w:rsid w:val="008C0B05"/>
    <w:rsid w:val="008C1535"/>
    <w:rsid w:val="008C15C4"/>
    <w:rsid w:val="008C1719"/>
    <w:rsid w:val="008C237E"/>
    <w:rsid w:val="008C3405"/>
    <w:rsid w:val="008C5538"/>
    <w:rsid w:val="008C67A4"/>
    <w:rsid w:val="008C6DDD"/>
    <w:rsid w:val="008D1332"/>
    <w:rsid w:val="008D14A4"/>
    <w:rsid w:val="008D6B9C"/>
    <w:rsid w:val="008E0041"/>
    <w:rsid w:val="008E2C5D"/>
    <w:rsid w:val="008E604A"/>
    <w:rsid w:val="008E61EE"/>
    <w:rsid w:val="008E66FE"/>
    <w:rsid w:val="008F05AF"/>
    <w:rsid w:val="008F4D7E"/>
    <w:rsid w:val="008F53E1"/>
    <w:rsid w:val="008F6F99"/>
    <w:rsid w:val="009026FC"/>
    <w:rsid w:val="00902736"/>
    <w:rsid w:val="009032F3"/>
    <w:rsid w:val="009052BC"/>
    <w:rsid w:val="009067C7"/>
    <w:rsid w:val="00906B04"/>
    <w:rsid w:val="00906E40"/>
    <w:rsid w:val="00915864"/>
    <w:rsid w:val="00915DF6"/>
    <w:rsid w:val="009164AE"/>
    <w:rsid w:val="009165AA"/>
    <w:rsid w:val="00916999"/>
    <w:rsid w:val="00916DE5"/>
    <w:rsid w:val="00917120"/>
    <w:rsid w:val="0091763C"/>
    <w:rsid w:val="00921BF0"/>
    <w:rsid w:val="00926675"/>
    <w:rsid w:val="00926C5F"/>
    <w:rsid w:val="00927085"/>
    <w:rsid w:val="009273AC"/>
    <w:rsid w:val="00927BB9"/>
    <w:rsid w:val="009309DC"/>
    <w:rsid w:val="0093129A"/>
    <w:rsid w:val="0093171C"/>
    <w:rsid w:val="0093216B"/>
    <w:rsid w:val="00935AB0"/>
    <w:rsid w:val="009365B3"/>
    <w:rsid w:val="009371E4"/>
    <w:rsid w:val="00937F45"/>
    <w:rsid w:val="00940B2B"/>
    <w:rsid w:val="0094267D"/>
    <w:rsid w:val="00943123"/>
    <w:rsid w:val="00944462"/>
    <w:rsid w:val="009454A8"/>
    <w:rsid w:val="009504C1"/>
    <w:rsid w:val="00950513"/>
    <w:rsid w:val="009511A1"/>
    <w:rsid w:val="009524E1"/>
    <w:rsid w:val="009535F5"/>
    <w:rsid w:val="00955B3F"/>
    <w:rsid w:val="00960DB8"/>
    <w:rsid w:val="0096240C"/>
    <w:rsid w:val="00975DDC"/>
    <w:rsid w:val="00977071"/>
    <w:rsid w:val="0097713E"/>
    <w:rsid w:val="009802D6"/>
    <w:rsid w:val="0098205F"/>
    <w:rsid w:val="00986C7D"/>
    <w:rsid w:val="00986F5E"/>
    <w:rsid w:val="0099223E"/>
    <w:rsid w:val="00994E4F"/>
    <w:rsid w:val="00995C07"/>
    <w:rsid w:val="00996DDF"/>
    <w:rsid w:val="0099789D"/>
    <w:rsid w:val="00997CD8"/>
    <w:rsid w:val="009A09F1"/>
    <w:rsid w:val="009A3142"/>
    <w:rsid w:val="009A4584"/>
    <w:rsid w:val="009A49CE"/>
    <w:rsid w:val="009A4A95"/>
    <w:rsid w:val="009A7AA3"/>
    <w:rsid w:val="009B1071"/>
    <w:rsid w:val="009B16D2"/>
    <w:rsid w:val="009B441E"/>
    <w:rsid w:val="009B5614"/>
    <w:rsid w:val="009B777D"/>
    <w:rsid w:val="009B79FE"/>
    <w:rsid w:val="009C0F9D"/>
    <w:rsid w:val="009C780E"/>
    <w:rsid w:val="009D0565"/>
    <w:rsid w:val="009D3FBA"/>
    <w:rsid w:val="009D6669"/>
    <w:rsid w:val="009D71C2"/>
    <w:rsid w:val="009E0080"/>
    <w:rsid w:val="009E142C"/>
    <w:rsid w:val="009E1AF4"/>
    <w:rsid w:val="009E4739"/>
    <w:rsid w:val="009E4ED8"/>
    <w:rsid w:val="009E5122"/>
    <w:rsid w:val="009E5377"/>
    <w:rsid w:val="009E543E"/>
    <w:rsid w:val="009E6AD1"/>
    <w:rsid w:val="009E6EB2"/>
    <w:rsid w:val="009F0ED3"/>
    <w:rsid w:val="009F2D2B"/>
    <w:rsid w:val="009F2D80"/>
    <w:rsid w:val="009F2FCC"/>
    <w:rsid w:val="009F33F5"/>
    <w:rsid w:val="009F38FD"/>
    <w:rsid w:val="009F4256"/>
    <w:rsid w:val="009F50B9"/>
    <w:rsid w:val="009F6574"/>
    <w:rsid w:val="00A01EE4"/>
    <w:rsid w:val="00A03BF8"/>
    <w:rsid w:val="00A051A1"/>
    <w:rsid w:val="00A07504"/>
    <w:rsid w:val="00A07E23"/>
    <w:rsid w:val="00A111B0"/>
    <w:rsid w:val="00A115AE"/>
    <w:rsid w:val="00A16AE7"/>
    <w:rsid w:val="00A203E2"/>
    <w:rsid w:val="00A20F19"/>
    <w:rsid w:val="00A224C8"/>
    <w:rsid w:val="00A22CB0"/>
    <w:rsid w:val="00A2468E"/>
    <w:rsid w:val="00A24934"/>
    <w:rsid w:val="00A24B9E"/>
    <w:rsid w:val="00A25294"/>
    <w:rsid w:val="00A253D2"/>
    <w:rsid w:val="00A26BAD"/>
    <w:rsid w:val="00A27F3E"/>
    <w:rsid w:val="00A30240"/>
    <w:rsid w:val="00A31A56"/>
    <w:rsid w:val="00A357F9"/>
    <w:rsid w:val="00A35FBA"/>
    <w:rsid w:val="00A36C83"/>
    <w:rsid w:val="00A37110"/>
    <w:rsid w:val="00A42954"/>
    <w:rsid w:val="00A44586"/>
    <w:rsid w:val="00A44EB3"/>
    <w:rsid w:val="00A45437"/>
    <w:rsid w:val="00A45AE4"/>
    <w:rsid w:val="00A516C1"/>
    <w:rsid w:val="00A51BCD"/>
    <w:rsid w:val="00A52529"/>
    <w:rsid w:val="00A53A8A"/>
    <w:rsid w:val="00A544DD"/>
    <w:rsid w:val="00A545CC"/>
    <w:rsid w:val="00A55097"/>
    <w:rsid w:val="00A55991"/>
    <w:rsid w:val="00A55F68"/>
    <w:rsid w:val="00A561EC"/>
    <w:rsid w:val="00A5731D"/>
    <w:rsid w:val="00A62BEB"/>
    <w:rsid w:val="00A6494E"/>
    <w:rsid w:val="00A67C84"/>
    <w:rsid w:val="00A70986"/>
    <w:rsid w:val="00A7315E"/>
    <w:rsid w:val="00A73B50"/>
    <w:rsid w:val="00A75164"/>
    <w:rsid w:val="00A75C21"/>
    <w:rsid w:val="00A774C1"/>
    <w:rsid w:val="00A775C3"/>
    <w:rsid w:val="00A77F4C"/>
    <w:rsid w:val="00A82B9C"/>
    <w:rsid w:val="00A83268"/>
    <w:rsid w:val="00A83432"/>
    <w:rsid w:val="00A83E45"/>
    <w:rsid w:val="00A852E9"/>
    <w:rsid w:val="00A85DD9"/>
    <w:rsid w:val="00A873BA"/>
    <w:rsid w:val="00A87A56"/>
    <w:rsid w:val="00A91B77"/>
    <w:rsid w:val="00A939DA"/>
    <w:rsid w:val="00A965AE"/>
    <w:rsid w:val="00AA25D2"/>
    <w:rsid w:val="00AA2946"/>
    <w:rsid w:val="00AA2DE4"/>
    <w:rsid w:val="00AA4994"/>
    <w:rsid w:val="00AA54E5"/>
    <w:rsid w:val="00AB17A5"/>
    <w:rsid w:val="00AB1ED3"/>
    <w:rsid w:val="00AB4120"/>
    <w:rsid w:val="00AB566A"/>
    <w:rsid w:val="00AB63BC"/>
    <w:rsid w:val="00AB7C30"/>
    <w:rsid w:val="00AC36C4"/>
    <w:rsid w:val="00AC3B62"/>
    <w:rsid w:val="00AC4E99"/>
    <w:rsid w:val="00AD1197"/>
    <w:rsid w:val="00AD4EB5"/>
    <w:rsid w:val="00AD5615"/>
    <w:rsid w:val="00AD5DAF"/>
    <w:rsid w:val="00AD73F3"/>
    <w:rsid w:val="00AE0DBB"/>
    <w:rsid w:val="00AE1A71"/>
    <w:rsid w:val="00AE4EB4"/>
    <w:rsid w:val="00AE6C56"/>
    <w:rsid w:val="00AF0180"/>
    <w:rsid w:val="00AF1536"/>
    <w:rsid w:val="00AF240A"/>
    <w:rsid w:val="00AF2A13"/>
    <w:rsid w:val="00AF2BBC"/>
    <w:rsid w:val="00AF4BB3"/>
    <w:rsid w:val="00AF4EB4"/>
    <w:rsid w:val="00AF50E3"/>
    <w:rsid w:val="00AF52D8"/>
    <w:rsid w:val="00AF7B5F"/>
    <w:rsid w:val="00B0104A"/>
    <w:rsid w:val="00B02EEE"/>
    <w:rsid w:val="00B033CE"/>
    <w:rsid w:val="00B1310B"/>
    <w:rsid w:val="00B14093"/>
    <w:rsid w:val="00B143E5"/>
    <w:rsid w:val="00B21041"/>
    <w:rsid w:val="00B2140A"/>
    <w:rsid w:val="00B22652"/>
    <w:rsid w:val="00B23CC1"/>
    <w:rsid w:val="00B23FCB"/>
    <w:rsid w:val="00B25CA4"/>
    <w:rsid w:val="00B2687C"/>
    <w:rsid w:val="00B26B2B"/>
    <w:rsid w:val="00B272C7"/>
    <w:rsid w:val="00B274B7"/>
    <w:rsid w:val="00B27BDD"/>
    <w:rsid w:val="00B34925"/>
    <w:rsid w:val="00B36919"/>
    <w:rsid w:val="00B4053A"/>
    <w:rsid w:val="00B42EA3"/>
    <w:rsid w:val="00B43AF0"/>
    <w:rsid w:val="00B440DA"/>
    <w:rsid w:val="00B4417C"/>
    <w:rsid w:val="00B44721"/>
    <w:rsid w:val="00B44BD7"/>
    <w:rsid w:val="00B47252"/>
    <w:rsid w:val="00B47A96"/>
    <w:rsid w:val="00B50A0B"/>
    <w:rsid w:val="00B519F6"/>
    <w:rsid w:val="00B55372"/>
    <w:rsid w:val="00B55F45"/>
    <w:rsid w:val="00B57A42"/>
    <w:rsid w:val="00B57CFD"/>
    <w:rsid w:val="00B60B5B"/>
    <w:rsid w:val="00B62CF2"/>
    <w:rsid w:val="00B651C0"/>
    <w:rsid w:val="00B664F7"/>
    <w:rsid w:val="00B66CFA"/>
    <w:rsid w:val="00B70EF6"/>
    <w:rsid w:val="00B70F21"/>
    <w:rsid w:val="00B718EA"/>
    <w:rsid w:val="00B73115"/>
    <w:rsid w:val="00B74F3F"/>
    <w:rsid w:val="00B756C3"/>
    <w:rsid w:val="00B77C4F"/>
    <w:rsid w:val="00B83C52"/>
    <w:rsid w:val="00B84678"/>
    <w:rsid w:val="00B854F5"/>
    <w:rsid w:val="00B864BE"/>
    <w:rsid w:val="00B92B3C"/>
    <w:rsid w:val="00B94ABC"/>
    <w:rsid w:val="00B96C53"/>
    <w:rsid w:val="00B9725D"/>
    <w:rsid w:val="00BA0E8A"/>
    <w:rsid w:val="00BA20F4"/>
    <w:rsid w:val="00BA3A98"/>
    <w:rsid w:val="00BA65FA"/>
    <w:rsid w:val="00BB02F4"/>
    <w:rsid w:val="00BB1293"/>
    <w:rsid w:val="00BB4575"/>
    <w:rsid w:val="00BB4CC2"/>
    <w:rsid w:val="00BB5B60"/>
    <w:rsid w:val="00BB6B88"/>
    <w:rsid w:val="00BC06A5"/>
    <w:rsid w:val="00BC12C6"/>
    <w:rsid w:val="00BC495E"/>
    <w:rsid w:val="00BC57AA"/>
    <w:rsid w:val="00BC57CB"/>
    <w:rsid w:val="00BC6857"/>
    <w:rsid w:val="00BD253B"/>
    <w:rsid w:val="00BD34B9"/>
    <w:rsid w:val="00BD450F"/>
    <w:rsid w:val="00BD4E99"/>
    <w:rsid w:val="00BD70C4"/>
    <w:rsid w:val="00BD7D3E"/>
    <w:rsid w:val="00BD7FFE"/>
    <w:rsid w:val="00BE1AEC"/>
    <w:rsid w:val="00BF1801"/>
    <w:rsid w:val="00BF185A"/>
    <w:rsid w:val="00BF3616"/>
    <w:rsid w:val="00BF3BF3"/>
    <w:rsid w:val="00BF7908"/>
    <w:rsid w:val="00C00761"/>
    <w:rsid w:val="00C032D0"/>
    <w:rsid w:val="00C045DC"/>
    <w:rsid w:val="00C100A3"/>
    <w:rsid w:val="00C11C8C"/>
    <w:rsid w:val="00C132AF"/>
    <w:rsid w:val="00C15C08"/>
    <w:rsid w:val="00C16782"/>
    <w:rsid w:val="00C16ACD"/>
    <w:rsid w:val="00C17EF7"/>
    <w:rsid w:val="00C21AA6"/>
    <w:rsid w:val="00C21B89"/>
    <w:rsid w:val="00C221C5"/>
    <w:rsid w:val="00C2311A"/>
    <w:rsid w:val="00C25F37"/>
    <w:rsid w:val="00C26050"/>
    <w:rsid w:val="00C27BC9"/>
    <w:rsid w:val="00C30086"/>
    <w:rsid w:val="00C30A37"/>
    <w:rsid w:val="00C30CE2"/>
    <w:rsid w:val="00C313AF"/>
    <w:rsid w:val="00C338B1"/>
    <w:rsid w:val="00C35C3D"/>
    <w:rsid w:val="00C364C8"/>
    <w:rsid w:val="00C36A44"/>
    <w:rsid w:val="00C4019D"/>
    <w:rsid w:val="00C413E0"/>
    <w:rsid w:val="00C4197D"/>
    <w:rsid w:val="00C5311B"/>
    <w:rsid w:val="00C53760"/>
    <w:rsid w:val="00C542B2"/>
    <w:rsid w:val="00C55C25"/>
    <w:rsid w:val="00C55D45"/>
    <w:rsid w:val="00C56315"/>
    <w:rsid w:val="00C631DE"/>
    <w:rsid w:val="00C653BE"/>
    <w:rsid w:val="00C66124"/>
    <w:rsid w:val="00C668F3"/>
    <w:rsid w:val="00C702D7"/>
    <w:rsid w:val="00C7033E"/>
    <w:rsid w:val="00C744B2"/>
    <w:rsid w:val="00C745C5"/>
    <w:rsid w:val="00C74CDA"/>
    <w:rsid w:val="00C753A5"/>
    <w:rsid w:val="00C76135"/>
    <w:rsid w:val="00C770EC"/>
    <w:rsid w:val="00C7759F"/>
    <w:rsid w:val="00C778C0"/>
    <w:rsid w:val="00C81732"/>
    <w:rsid w:val="00C81B23"/>
    <w:rsid w:val="00C827E0"/>
    <w:rsid w:val="00C84490"/>
    <w:rsid w:val="00C84898"/>
    <w:rsid w:val="00C85858"/>
    <w:rsid w:val="00C870F9"/>
    <w:rsid w:val="00C875C2"/>
    <w:rsid w:val="00C950B5"/>
    <w:rsid w:val="00C95928"/>
    <w:rsid w:val="00C95C4C"/>
    <w:rsid w:val="00C96994"/>
    <w:rsid w:val="00C96A36"/>
    <w:rsid w:val="00C97E1A"/>
    <w:rsid w:val="00CA0065"/>
    <w:rsid w:val="00CA2421"/>
    <w:rsid w:val="00CA2608"/>
    <w:rsid w:val="00CA2925"/>
    <w:rsid w:val="00CA339C"/>
    <w:rsid w:val="00CA356F"/>
    <w:rsid w:val="00CA544B"/>
    <w:rsid w:val="00CA6C44"/>
    <w:rsid w:val="00CB3E53"/>
    <w:rsid w:val="00CB532A"/>
    <w:rsid w:val="00CB576C"/>
    <w:rsid w:val="00CB6118"/>
    <w:rsid w:val="00CB6262"/>
    <w:rsid w:val="00CB67C2"/>
    <w:rsid w:val="00CB69CF"/>
    <w:rsid w:val="00CB69E9"/>
    <w:rsid w:val="00CC2D26"/>
    <w:rsid w:val="00CC3AAE"/>
    <w:rsid w:val="00CC3F7C"/>
    <w:rsid w:val="00CC4196"/>
    <w:rsid w:val="00CC56BE"/>
    <w:rsid w:val="00CC5A48"/>
    <w:rsid w:val="00CC5F67"/>
    <w:rsid w:val="00CC65CD"/>
    <w:rsid w:val="00CC661C"/>
    <w:rsid w:val="00CD0DAE"/>
    <w:rsid w:val="00CD2019"/>
    <w:rsid w:val="00CD21E7"/>
    <w:rsid w:val="00CD49BB"/>
    <w:rsid w:val="00CD70E7"/>
    <w:rsid w:val="00CE197D"/>
    <w:rsid w:val="00CE31F1"/>
    <w:rsid w:val="00CE4391"/>
    <w:rsid w:val="00CE4E47"/>
    <w:rsid w:val="00CE7FF5"/>
    <w:rsid w:val="00CF1D62"/>
    <w:rsid w:val="00CF4891"/>
    <w:rsid w:val="00CF5E0B"/>
    <w:rsid w:val="00CF6630"/>
    <w:rsid w:val="00CF6F97"/>
    <w:rsid w:val="00D022EF"/>
    <w:rsid w:val="00D03463"/>
    <w:rsid w:val="00D03D11"/>
    <w:rsid w:val="00D0785C"/>
    <w:rsid w:val="00D10191"/>
    <w:rsid w:val="00D10474"/>
    <w:rsid w:val="00D10F38"/>
    <w:rsid w:val="00D10F3E"/>
    <w:rsid w:val="00D12187"/>
    <w:rsid w:val="00D13D94"/>
    <w:rsid w:val="00D148C1"/>
    <w:rsid w:val="00D16480"/>
    <w:rsid w:val="00D16AAB"/>
    <w:rsid w:val="00D16D6C"/>
    <w:rsid w:val="00D177E8"/>
    <w:rsid w:val="00D17C12"/>
    <w:rsid w:val="00D21D71"/>
    <w:rsid w:val="00D2498A"/>
    <w:rsid w:val="00D24AF3"/>
    <w:rsid w:val="00D24E42"/>
    <w:rsid w:val="00D2504D"/>
    <w:rsid w:val="00D258DD"/>
    <w:rsid w:val="00D26397"/>
    <w:rsid w:val="00D27D57"/>
    <w:rsid w:val="00D31231"/>
    <w:rsid w:val="00D31E60"/>
    <w:rsid w:val="00D34F7E"/>
    <w:rsid w:val="00D35525"/>
    <w:rsid w:val="00D41158"/>
    <w:rsid w:val="00D44F5A"/>
    <w:rsid w:val="00D450DB"/>
    <w:rsid w:val="00D457FC"/>
    <w:rsid w:val="00D4644B"/>
    <w:rsid w:val="00D46F6F"/>
    <w:rsid w:val="00D47536"/>
    <w:rsid w:val="00D47B48"/>
    <w:rsid w:val="00D50D9F"/>
    <w:rsid w:val="00D51927"/>
    <w:rsid w:val="00D52E8E"/>
    <w:rsid w:val="00D53CC9"/>
    <w:rsid w:val="00D54374"/>
    <w:rsid w:val="00D5631C"/>
    <w:rsid w:val="00D56974"/>
    <w:rsid w:val="00D57F98"/>
    <w:rsid w:val="00D60986"/>
    <w:rsid w:val="00D60BC4"/>
    <w:rsid w:val="00D6158D"/>
    <w:rsid w:val="00D62763"/>
    <w:rsid w:val="00D628B7"/>
    <w:rsid w:val="00D62F25"/>
    <w:rsid w:val="00D666F3"/>
    <w:rsid w:val="00D66903"/>
    <w:rsid w:val="00D7084B"/>
    <w:rsid w:val="00D71BD0"/>
    <w:rsid w:val="00D71E0D"/>
    <w:rsid w:val="00D72353"/>
    <w:rsid w:val="00D723C0"/>
    <w:rsid w:val="00D779AE"/>
    <w:rsid w:val="00D81C6A"/>
    <w:rsid w:val="00D830EF"/>
    <w:rsid w:val="00D83E51"/>
    <w:rsid w:val="00D83E69"/>
    <w:rsid w:val="00D86691"/>
    <w:rsid w:val="00D90A1C"/>
    <w:rsid w:val="00D910CD"/>
    <w:rsid w:val="00D91A88"/>
    <w:rsid w:val="00D92CA8"/>
    <w:rsid w:val="00D935B5"/>
    <w:rsid w:val="00D958F5"/>
    <w:rsid w:val="00D95EED"/>
    <w:rsid w:val="00DA0B08"/>
    <w:rsid w:val="00DA1134"/>
    <w:rsid w:val="00DA50A5"/>
    <w:rsid w:val="00DA50E0"/>
    <w:rsid w:val="00DA6B41"/>
    <w:rsid w:val="00DB1BE5"/>
    <w:rsid w:val="00DB2ED5"/>
    <w:rsid w:val="00DB3064"/>
    <w:rsid w:val="00DB40F7"/>
    <w:rsid w:val="00DB4C2F"/>
    <w:rsid w:val="00DC0010"/>
    <w:rsid w:val="00DC280F"/>
    <w:rsid w:val="00DC3627"/>
    <w:rsid w:val="00DD2222"/>
    <w:rsid w:val="00DD4600"/>
    <w:rsid w:val="00DD6CDA"/>
    <w:rsid w:val="00DE0F10"/>
    <w:rsid w:val="00DE19F7"/>
    <w:rsid w:val="00DE39A7"/>
    <w:rsid w:val="00DE563E"/>
    <w:rsid w:val="00DE73FB"/>
    <w:rsid w:val="00DF0486"/>
    <w:rsid w:val="00DF0C5F"/>
    <w:rsid w:val="00DF52E4"/>
    <w:rsid w:val="00DF6DBC"/>
    <w:rsid w:val="00DF789B"/>
    <w:rsid w:val="00E014A1"/>
    <w:rsid w:val="00E02ED0"/>
    <w:rsid w:val="00E03D6D"/>
    <w:rsid w:val="00E0657A"/>
    <w:rsid w:val="00E07324"/>
    <w:rsid w:val="00E10510"/>
    <w:rsid w:val="00E13FBD"/>
    <w:rsid w:val="00E14DBD"/>
    <w:rsid w:val="00E15DA7"/>
    <w:rsid w:val="00E16D06"/>
    <w:rsid w:val="00E17B72"/>
    <w:rsid w:val="00E17F88"/>
    <w:rsid w:val="00E17FAB"/>
    <w:rsid w:val="00E205FC"/>
    <w:rsid w:val="00E209B5"/>
    <w:rsid w:val="00E21C9F"/>
    <w:rsid w:val="00E23A6F"/>
    <w:rsid w:val="00E23C85"/>
    <w:rsid w:val="00E27172"/>
    <w:rsid w:val="00E27745"/>
    <w:rsid w:val="00E27C1C"/>
    <w:rsid w:val="00E314A8"/>
    <w:rsid w:val="00E32E53"/>
    <w:rsid w:val="00E33D0B"/>
    <w:rsid w:val="00E34899"/>
    <w:rsid w:val="00E42B66"/>
    <w:rsid w:val="00E43CC6"/>
    <w:rsid w:val="00E447BE"/>
    <w:rsid w:val="00E4497C"/>
    <w:rsid w:val="00E45A1C"/>
    <w:rsid w:val="00E471DA"/>
    <w:rsid w:val="00E5129E"/>
    <w:rsid w:val="00E515EA"/>
    <w:rsid w:val="00E5215E"/>
    <w:rsid w:val="00E52D62"/>
    <w:rsid w:val="00E537C2"/>
    <w:rsid w:val="00E53D74"/>
    <w:rsid w:val="00E53F37"/>
    <w:rsid w:val="00E54766"/>
    <w:rsid w:val="00E55911"/>
    <w:rsid w:val="00E61E5B"/>
    <w:rsid w:val="00E62E68"/>
    <w:rsid w:val="00E70969"/>
    <w:rsid w:val="00E73063"/>
    <w:rsid w:val="00E74A0E"/>
    <w:rsid w:val="00E77A74"/>
    <w:rsid w:val="00E80932"/>
    <w:rsid w:val="00E80F98"/>
    <w:rsid w:val="00E82D24"/>
    <w:rsid w:val="00E8300E"/>
    <w:rsid w:val="00E83C0E"/>
    <w:rsid w:val="00E83F58"/>
    <w:rsid w:val="00E8480B"/>
    <w:rsid w:val="00E8490D"/>
    <w:rsid w:val="00E86533"/>
    <w:rsid w:val="00E866DE"/>
    <w:rsid w:val="00E87B4D"/>
    <w:rsid w:val="00E91AA9"/>
    <w:rsid w:val="00E936AE"/>
    <w:rsid w:val="00E9471A"/>
    <w:rsid w:val="00E94DDD"/>
    <w:rsid w:val="00E95DD2"/>
    <w:rsid w:val="00E9654F"/>
    <w:rsid w:val="00E9688A"/>
    <w:rsid w:val="00EA1346"/>
    <w:rsid w:val="00EA13FF"/>
    <w:rsid w:val="00EA505E"/>
    <w:rsid w:val="00EA51E4"/>
    <w:rsid w:val="00EB0C6B"/>
    <w:rsid w:val="00EB3C59"/>
    <w:rsid w:val="00EB490F"/>
    <w:rsid w:val="00EC0FD0"/>
    <w:rsid w:val="00EC1890"/>
    <w:rsid w:val="00EC264C"/>
    <w:rsid w:val="00EC4072"/>
    <w:rsid w:val="00EC76DD"/>
    <w:rsid w:val="00ED2A7A"/>
    <w:rsid w:val="00ED5494"/>
    <w:rsid w:val="00EE011E"/>
    <w:rsid w:val="00EE1886"/>
    <w:rsid w:val="00EE2E4A"/>
    <w:rsid w:val="00EE34FC"/>
    <w:rsid w:val="00EF01ED"/>
    <w:rsid w:val="00EF0270"/>
    <w:rsid w:val="00EF06B1"/>
    <w:rsid w:val="00EF3DEF"/>
    <w:rsid w:val="00EF4FD2"/>
    <w:rsid w:val="00EF6BD5"/>
    <w:rsid w:val="00F03B22"/>
    <w:rsid w:val="00F03C1F"/>
    <w:rsid w:val="00F0437A"/>
    <w:rsid w:val="00F04EB2"/>
    <w:rsid w:val="00F071BF"/>
    <w:rsid w:val="00F10A03"/>
    <w:rsid w:val="00F13BB6"/>
    <w:rsid w:val="00F153A0"/>
    <w:rsid w:val="00F15560"/>
    <w:rsid w:val="00F1749B"/>
    <w:rsid w:val="00F21708"/>
    <w:rsid w:val="00F21E88"/>
    <w:rsid w:val="00F24FB1"/>
    <w:rsid w:val="00F26645"/>
    <w:rsid w:val="00F274C8"/>
    <w:rsid w:val="00F27DA0"/>
    <w:rsid w:val="00F27E60"/>
    <w:rsid w:val="00F305E7"/>
    <w:rsid w:val="00F31939"/>
    <w:rsid w:val="00F324C9"/>
    <w:rsid w:val="00F34E0D"/>
    <w:rsid w:val="00F365F9"/>
    <w:rsid w:val="00F37C95"/>
    <w:rsid w:val="00F410A0"/>
    <w:rsid w:val="00F41590"/>
    <w:rsid w:val="00F417BC"/>
    <w:rsid w:val="00F51094"/>
    <w:rsid w:val="00F53CC4"/>
    <w:rsid w:val="00F53EF4"/>
    <w:rsid w:val="00F5589D"/>
    <w:rsid w:val="00F57CEF"/>
    <w:rsid w:val="00F60DE4"/>
    <w:rsid w:val="00F64AE4"/>
    <w:rsid w:val="00F6600E"/>
    <w:rsid w:val="00F660C3"/>
    <w:rsid w:val="00F6675E"/>
    <w:rsid w:val="00F66C51"/>
    <w:rsid w:val="00F73C7C"/>
    <w:rsid w:val="00F749A9"/>
    <w:rsid w:val="00F74AEA"/>
    <w:rsid w:val="00F755D3"/>
    <w:rsid w:val="00F76ABB"/>
    <w:rsid w:val="00F77409"/>
    <w:rsid w:val="00F80B3E"/>
    <w:rsid w:val="00F82E10"/>
    <w:rsid w:val="00F82EEB"/>
    <w:rsid w:val="00F839FF"/>
    <w:rsid w:val="00F84545"/>
    <w:rsid w:val="00F86C89"/>
    <w:rsid w:val="00F909BF"/>
    <w:rsid w:val="00F92508"/>
    <w:rsid w:val="00F95952"/>
    <w:rsid w:val="00F95CBF"/>
    <w:rsid w:val="00FA181D"/>
    <w:rsid w:val="00FA1E79"/>
    <w:rsid w:val="00FA48B0"/>
    <w:rsid w:val="00FA6A51"/>
    <w:rsid w:val="00FA7291"/>
    <w:rsid w:val="00FB2742"/>
    <w:rsid w:val="00FB4C27"/>
    <w:rsid w:val="00FB540C"/>
    <w:rsid w:val="00FB614D"/>
    <w:rsid w:val="00FC02EB"/>
    <w:rsid w:val="00FC107D"/>
    <w:rsid w:val="00FC4547"/>
    <w:rsid w:val="00FC615B"/>
    <w:rsid w:val="00FC6A55"/>
    <w:rsid w:val="00FC6B0E"/>
    <w:rsid w:val="00FC70FD"/>
    <w:rsid w:val="00FC767B"/>
    <w:rsid w:val="00FD07FD"/>
    <w:rsid w:val="00FD0A41"/>
    <w:rsid w:val="00FD1382"/>
    <w:rsid w:val="00FD1A45"/>
    <w:rsid w:val="00FD1C11"/>
    <w:rsid w:val="00FD413C"/>
    <w:rsid w:val="00FD6F26"/>
    <w:rsid w:val="00FE0097"/>
    <w:rsid w:val="00FE1090"/>
    <w:rsid w:val="00FE249D"/>
    <w:rsid w:val="00FE2CFF"/>
    <w:rsid w:val="00FE3762"/>
    <w:rsid w:val="00FE3F94"/>
    <w:rsid w:val="00FE5AFE"/>
    <w:rsid w:val="00FE6286"/>
    <w:rsid w:val="00FF079B"/>
    <w:rsid w:val="00FF192C"/>
    <w:rsid w:val="00FF26AF"/>
    <w:rsid w:val="00FF2ED0"/>
    <w:rsid w:val="00FF461D"/>
    <w:rsid w:val="00FF6D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6E92"/>
  <w15:docId w15:val="{BE64B476-E0A6-40CB-80F2-AF07E7B0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0DB"/>
    <w:pPr>
      <w:widowControl w:val="0"/>
      <w:spacing w:line="360" w:lineRule="exact"/>
      <w:ind w:firstLineChars="200" w:firstLine="200"/>
      <w:jc w:val="both"/>
    </w:pPr>
    <w:rPr>
      <w:rFonts w:ascii="Times New Roman" w:eastAsia="宋体"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171C"/>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sz w:val="18"/>
      <w:szCs w:val="18"/>
    </w:rPr>
  </w:style>
  <w:style w:type="character" w:customStyle="1" w:styleId="a4">
    <w:name w:val="页眉 字符"/>
    <w:basedOn w:val="a0"/>
    <w:link w:val="a3"/>
    <w:uiPriority w:val="99"/>
    <w:rsid w:val="0093171C"/>
    <w:rPr>
      <w:sz w:val="18"/>
      <w:szCs w:val="18"/>
    </w:rPr>
  </w:style>
  <w:style w:type="paragraph" w:styleId="a5">
    <w:name w:val="footer"/>
    <w:basedOn w:val="a"/>
    <w:link w:val="a6"/>
    <w:uiPriority w:val="99"/>
    <w:unhideWhenUsed/>
    <w:rsid w:val="0093171C"/>
    <w:pPr>
      <w:tabs>
        <w:tab w:val="center" w:pos="4153"/>
        <w:tab w:val="right" w:pos="8306"/>
      </w:tabs>
      <w:snapToGrid w:val="0"/>
      <w:spacing w:line="240" w:lineRule="auto"/>
      <w:ind w:firstLineChars="0" w:firstLine="0"/>
      <w:jc w:val="left"/>
    </w:pPr>
    <w:rPr>
      <w:rFonts w:asciiTheme="minorHAnsi" w:eastAsiaTheme="minorEastAsia" w:hAnsiTheme="minorHAnsi"/>
      <w:sz w:val="18"/>
      <w:szCs w:val="18"/>
    </w:rPr>
  </w:style>
  <w:style w:type="character" w:customStyle="1" w:styleId="a6">
    <w:name w:val="页脚 字符"/>
    <w:basedOn w:val="a0"/>
    <w:link w:val="a5"/>
    <w:uiPriority w:val="99"/>
    <w:rsid w:val="0093171C"/>
    <w:rPr>
      <w:sz w:val="18"/>
      <w:szCs w:val="18"/>
    </w:rPr>
  </w:style>
  <w:style w:type="table" w:styleId="a7">
    <w:name w:val="Table Grid"/>
    <w:basedOn w:val="a1"/>
    <w:uiPriority w:val="39"/>
    <w:rsid w:val="00454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90013"/>
    <w:pPr>
      <w:ind w:firstLine="420"/>
    </w:pPr>
  </w:style>
  <w:style w:type="character" w:styleId="a9">
    <w:name w:val="annotation reference"/>
    <w:basedOn w:val="a0"/>
    <w:uiPriority w:val="99"/>
    <w:semiHidden/>
    <w:unhideWhenUsed/>
    <w:rsid w:val="00EF0270"/>
    <w:rPr>
      <w:sz w:val="21"/>
      <w:szCs w:val="21"/>
    </w:rPr>
  </w:style>
  <w:style w:type="paragraph" w:styleId="aa">
    <w:name w:val="annotation text"/>
    <w:basedOn w:val="a"/>
    <w:link w:val="ab"/>
    <w:uiPriority w:val="99"/>
    <w:unhideWhenUsed/>
    <w:rsid w:val="00EF0270"/>
    <w:pPr>
      <w:jc w:val="left"/>
    </w:pPr>
  </w:style>
  <w:style w:type="character" w:customStyle="1" w:styleId="ab">
    <w:name w:val="批注文字 字符"/>
    <w:basedOn w:val="a0"/>
    <w:link w:val="aa"/>
    <w:uiPriority w:val="99"/>
    <w:rsid w:val="00EF0270"/>
    <w:rPr>
      <w:rFonts w:ascii="Times New Roman" w:eastAsia="宋体" w:hAnsi="Times New Roman"/>
    </w:rPr>
  </w:style>
  <w:style w:type="paragraph" w:styleId="ac">
    <w:name w:val="annotation subject"/>
    <w:basedOn w:val="aa"/>
    <w:next w:val="aa"/>
    <w:link w:val="ad"/>
    <w:uiPriority w:val="99"/>
    <w:semiHidden/>
    <w:unhideWhenUsed/>
    <w:rsid w:val="00EF0270"/>
    <w:rPr>
      <w:b/>
      <w:bCs/>
    </w:rPr>
  </w:style>
  <w:style w:type="character" w:customStyle="1" w:styleId="ad">
    <w:name w:val="批注主题 字符"/>
    <w:basedOn w:val="ab"/>
    <w:link w:val="ac"/>
    <w:uiPriority w:val="99"/>
    <w:semiHidden/>
    <w:rsid w:val="00EF0270"/>
    <w:rPr>
      <w:rFonts w:ascii="Times New Roman" w:eastAsia="宋体" w:hAnsi="Times New Roman"/>
      <w:b/>
      <w:bCs/>
    </w:rPr>
  </w:style>
  <w:style w:type="character" w:styleId="ae">
    <w:name w:val="Emphasis"/>
    <w:basedOn w:val="a0"/>
    <w:uiPriority w:val="20"/>
    <w:qFormat/>
    <w:rsid w:val="00F03C1F"/>
    <w:rPr>
      <w:i/>
      <w:iCs/>
    </w:rPr>
  </w:style>
  <w:style w:type="character" w:styleId="af">
    <w:name w:val="Hyperlink"/>
    <w:uiPriority w:val="99"/>
    <w:qFormat/>
    <w:rsid w:val="00DA50E0"/>
    <w:rPr>
      <w:rFonts w:cs="Times New Roman"/>
      <w:color w:val="333333"/>
      <w:u w:val="none"/>
    </w:rPr>
  </w:style>
  <w:style w:type="paragraph" w:styleId="af0">
    <w:name w:val="Revision"/>
    <w:hidden/>
    <w:uiPriority w:val="99"/>
    <w:semiHidden/>
    <w:rsid w:val="005967A5"/>
    <w:rPr>
      <w:rFonts w:ascii="Times New Roman" w:eastAsia="宋体" w:hAnsi="Times New Roman"/>
    </w:rPr>
  </w:style>
  <w:style w:type="paragraph" w:styleId="af1">
    <w:name w:val="Balloon Text"/>
    <w:basedOn w:val="a"/>
    <w:link w:val="af2"/>
    <w:uiPriority w:val="99"/>
    <w:semiHidden/>
    <w:unhideWhenUsed/>
    <w:rsid w:val="008F53E1"/>
    <w:pPr>
      <w:spacing w:line="240" w:lineRule="auto"/>
    </w:pPr>
    <w:rPr>
      <w:sz w:val="18"/>
      <w:szCs w:val="18"/>
    </w:rPr>
  </w:style>
  <w:style w:type="character" w:customStyle="1" w:styleId="af2">
    <w:name w:val="批注框文本 字符"/>
    <w:basedOn w:val="a0"/>
    <w:link w:val="af1"/>
    <w:uiPriority w:val="99"/>
    <w:semiHidden/>
    <w:rsid w:val="008F53E1"/>
    <w:rPr>
      <w:rFonts w:ascii="Times New Roman" w:eastAsia="宋体" w:hAnsi="Times New Roman"/>
      <w:sz w:val="18"/>
      <w:szCs w:val="18"/>
    </w:rPr>
  </w:style>
  <w:style w:type="paragraph" w:styleId="af3">
    <w:name w:val="footnote text"/>
    <w:basedOn w:val="a"/>
    <w:link w:val="af4"/>
    <w:uiPriority w:val="99"/>
    <w:semiHidden/>
    <w:unhideWhenUsed/>
    <w:rsid w:val="00AA2946"/>
    <w:pPr>
      <w:snapToGrid w:val="0"/>
      <w:jc w:val="left"/>
    </w:pPr>
    <w:rPr>
      <w:sz w:val="18"/>
      <w:szCs w:val="18"/>
    </w:rPr>
  </w:style>
  <w:style w:type="character" w:customStyle="1" w:styleId="af4">
    <w:name w:val="脚注文本 字符"/>
    <w:basedOn w:val="a0"/>
    <w:link w:val="af3"/>
    <w:uiPriority w:val="99"/>
    <w:semiHidden/>
    <w:rsid w:val="00AA2946"/>
    <w:rPr>
      <w:rFonts w:ascii="Times New Roman" w:eastAsia="宋体" w:hAnsi="Times New Roman"/>
      <w:sz w:val="18"/>
      <w:szCs w:val="18"/>
    </w:rPr>
  </w:style>
  <w:style w:type="character" w:styleId="af5">
    <w:name w:val="footnote reference"/>
    <w:basedOn w:val="a0"/>
    <w:uiPriority w:val="99"/>
    <w:semiHidden/>
    <w:unhideWhenUsed/>
    <w:rsid w:val="00AA2946"/>
    <w:rPr>
      <w:vertAlign w:val="superscript"/>
    </w:rPr>
  </w:style>
  <w:style w:type="character" w:styleId="af6">
    <w:name w:val="FollowedHyperlink"/>
    <w:basedOn w:val="a0"/>
    <w:uiPriority w:val="99"/>
    <w:semiHidden/>
    <w:unhideWhenUsed/>
    <w:rsid w:val="00D457FC"/>
    <w:rPr>
      <w:color w:val="954F72" w:themeColor="followedHyperlink"/>
      <w:u w:val="single"/>
    </w:rPr>
  </w:style>
  <w:style w:type="paragraph" w:styleId="af7">
    <w:name w:val="Document Map"/>
    <w:basedOn w:val="a"/>
    <w:link w:val="af8"/>
    <w:uiPriority w:val="99"/>
    <w:semiHidden/>
    <w:unhideWhenUsed/>
    <w:rsid w:val="009F2FCC"/>
    <w:rPr>
      <w:rFonts w:ascii="宋体"/>
      <w:sz w:val="18"/>
      <w:szCs w:val="18"/>
    </w:rPr>
  </w:style>
  <w:style w:type="character" w:customStyle="1" w:styleId="af8">
    <w:name w:val="文档结构图 字符"/>
    <w:basedOn w:val="a0"/>
    <w:link w:val="af7"/>
    <w:uiPriority w:val="99"/>
    <w:semiHidden/>
    <w:rsid w:val="009F2FCC"/>
    <w:rPr>
      <w:rFonts w:ascii="宋体"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7121">
      <w:bodyDiv w:val="1"/>
      <w:marLeft w:val="0"/>
      <w:marRight w:val="0"/>
      <w:marTop w:val="0"/>
      <w:marBottom w:val="0"/>
      <w:divBdr>
        <w:top w:val="none" w:sz="0" w:space="0" w:color="auto"/>
        <w:left w:val="none" w:sz="0" w:space="0" w:color="auto"/>
        <w:bottom w:val="none" w:sz="0" w:space="0" w:color="auto"/>
        <w:right w:val="none" w:sz="0" w:space="0" w:color="auto"/>
      </w:divBdr>
    </w:div>
    <w:div w:id="377752402">
      <w:bodyDiv w:val="1"/>
      <w:marLeft w:val="0"/>
      <w:marRight w:val="0"/>
      <w:marTop w:val="0"/>
      <w:marBottom w:val="0"/>
      <w:divBdr>
        <w:top w:val="none" w:sz="0" w:space="0" w:color="auto"/>
        <w:left w:val="none" w:sz="0" w:space="0" w:color="auto"/>
        <w:bottom w:val="none" w:sz="0" w:space="0" w:color="auto"/>
        <w:right w:val="none" w:sz="0" w:space="0" w:color="auto"/>
      </w:divBdr>
    </w:div>
    <w:div w:id="770590693">
      <w:bodyDiv w:val="1"/>
      <w:marLeft w:val="0"/>
      <w:marRight w:val="0"/>
      <w:marTop w:val="0"/>
      <w:marBottom w:val="0"/>
      <w:divBdr>
        <w:top w:val="none" w:sz="0" w:space="0" w:color="auto"/>
        <w:left w:val="none" w:sz="0" w:space="0" w:color="auto"/>
        <w:bottom w:val="none" w:sz="0" w:space="0" w:color="auto"/>
        <w:right w:val="none" w:sz="0" w:space="0" w:color="auto"/>
      </w:divBdr>
    </w:div>
    <w:div w:id="932978183">
      <w:bodyDiv w:val="1"/>
      <w:marLeft w:val="0"/>
      <w:marRight w:val="0"/>
      <w:marTop w:val="0"/>
      <w:marBottom w:val="0"/>
      <w:divBdr>
        <w:top w:val="none" w:sz="0" w:space="0" w:color="auto"/>
        <w:left w:val="none" w:sz="0" w:space="0" w:color="auto"/>
        <w:bottom w:val="none" w:sz="0" w:space="0" w:color="auto"/>
        <w:right w:val="none" w:sz="0" w:space="0" w:color="auto"/>
      </w:divBdr>
    </w:div>
    <w:div w:id="1095855976">
      <w:bodyDiv w:val="1"/>
      <w:marLeft w:val="0"/>
      <w:marRight w:val="0"/>
      <w:marTop w:val="0"/>
      <w:marBottom w:val="0"/>
      <w:divBdr>
        <w:top w:val="none" w:sz="0" w:space="0" w:color="auto"/>
        <w:left w:val="none" w:sz="0" w:space="0" w:color="auto"/>
        <w:bottom w:val="none" w:sz="0" w:space="0" w:color="auto"/>
        <w:right w:val="none" w:sz="0" w:space="0" w:color="auto"/>
      </w:divBdr>
    </w:div>
    <w:div w:id="1173446411">
      <w:bodyDiv w:val="1"/>
      <w:marLeft w:val="0"/>
      <w:marRight w:val="0"/>
      <w:marTop w:val="0"/>
      <w:marBottom w:val="0"/>
      <w:divBdr>
        <w:top w:val="none" w:sz="0" w:space="0" w:color="auto"/>
        <w:left w:val="none" w:sz="0" w:space="0" w:color="auto"/>
        <w:bottom w:val="none" w:sz="0" w:space="0" w:color="auto"/>
        <w:right w:val="none" w:sz="0" w:space="0" w:color="auto"/>
      </w:divBdr>
    </w:div>
    <w:div w:id="1179927880">
      <w:bodyDiv w:val="1"/>
      <w:marLeft w:val="0"/>
      <w:marRight w:val="0"/>
      <w:marTop w:val="0"/>
      <w:marBottom w:val="0"/>
      <w:divBdr>
        <w:top w:val="none" w:sz="0" w:space="0" w:color="auto"/>
        <w:left w:val="none" w:sz="0" w:space="0" w:color="auto"/>
        <w:bottom w:val="none" w:sz="0" w:space="0" w:color="auto"/>
        <w:right w:val="none" w:sz="0" w:space="0" w:color="auto"/>
      </w:divBdr>
    </w:div>
    <w:div w:id="1820683315">
      <w:bodyDiv w:val="1"/>
      <w:marLeft w:val="0"/>
      <w:marRight w:val="0"/>
      <w:marTop w:val="0"/>
      <w:marBottom w:val="0"/>
      <w:divBdr>
        <w:top w:val="none" w:sz="0" w:space="0" w:color="auto"/>
        <w:left w:val="none" w:sz="0" w:space="0" w:color="auto"/>
        <w:bottom w:val="none" w:sz="0" w:space="0" w:color="auto"/>
        <w:right w:val="none" w:sz="0" w:space="0" w:color="auto"/>
      </w:divBdr>
    </w:div>
    <w:div w:id="2071924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fengyushenshan@163.com" TargetMode="External"/><Relationship Id="rId2" Type="http://schemas.openxmlformats.org/officeDocument/2006/relationships/hyperlink" Target="mailto:hanyun@whu.edu.cn" TargetMode="External"/><Relationship Id="rId1" Type="http://schemas.openxmlformats.org/officeDocument/2006/relationships/hyperlink" Target="mailto:zhacloud@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8FE34-6A2F-47B1-AB08-431DF3E7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4995</Words>
  <Characters>28473</Characters>
  <Application>Microsoft Office Word</Application>
  <DocSecurity>0</DocSecurity>
  <Lines>237</Lines>
  <Paragraphs>66</Paragraphs>
  <ScaleCrop>false</ScaleCrop>
  <Company/>
  <LinksUpToDate>false</LinksUpToDate>
  <CharactersWithSpaces>33402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吕纤</dc:creator>
  <cp:lastModifiedBy>He Wei</cp:lastModifiedBy>
  <cp:revision>4</cp:revision>
  <cp:lastPrinted>2023-09-27T10:46:00Z</cp:lastPrinted>
  <dcterms:created xsi:type="dcterms:W3CDTF">2023-10-26T05:28:00Z</dcterms:created>
  <dcterms:modified xsi:type="dcterms:W3CDTF">2023-10-30T04:30:00Z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