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7180" w14:textId="77777777" w:rsidR="00501C7E" w:rsidRDefault="00EC5712">
      <w:pPr>
        <w:jc w:val="center"/>
        <w:rPr>
          <w:rFonts w:ascii="Times New Roman" w:hAnsi="Times New Roman"/>
          <w:sz w:val="44"/>
          <w:szCs w:val="44"/>
        </w:rPr>
      </w:pPr>
      <w:r>
        <w:rPr>
          <w:rFonts w:ascii="Times New Roman" w:hAnsi="Times New Roman"/>
          <w:sz w:val="44"/>
          <w:szCs w:val="44"/>
        </w:rPr>
        <w:t>申诉者在国际贸易</w:t>
      </w:r>
      <w:r w:rsidR="00277E1C" w:rsidRPr="00277E1C">
        <w:rPr>
          <w:rFonts w:ascii="Times New Roman" w:hAnsi="Times New Roman" w:hint="eastAsia"/>
          <w:sz w:val="44"/>
          <w:szCs w:val="44"/>
        </w:rPr>
        <w:t>争端</w:t>
      </w:r>
      <w:r>
        <w:rPr>
          <w:rFonts w:ascii="Times New Roman" w:hAnsi="Times New Roman"/>
          <w:sz w:val="44"/>
          <w:szCs w:val="44"/>
        </w:rPr>
        <w:t>中的作用研究</w:t>
      </w:r>
      <w:r>
        <w:rPr>
          <w:rStyle w:val="aa"/>
          <w:rFonts w:ascii="Times New Roman" w:hAnsi="Times New Roman"/>
          <w:sz w:val="44"/>
          <w:szCs w:val="44"/>
        </w:rPr>
        <w:footnoteReference w:customMarkFollows="1" w:id="1"/>
        <w:t>*</w:t>
      </w:r>
    </w:p>
    <w:p w14:paraId="64FF12F0" w14:textId="77777777" w:rsidR="00501C7E" w:rsidRDefault="00EC5712">
      <w:pPr>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来自案件层面的微观经验证据</w:t>
      </w:r>
    </w:p>
    <w:p w14:paraId="2886806B" w14:textId="77777777" w:rsidR="00501C7E" w:rsidRDefault="00EC5712" w:rsidP="00FE1FDC">
      <w:pPr>
        <w:spacing w:beforeLines="100" w:before="312" w:afterLines="100" w:after="312"/>
        <w:jc w:val="center"/>
        <w:rPr>
          <w:rFonts w:ascii="Times New Roman" w:hAnsi="Times New Roman"/>
          <w:szCs w:val="21"/>
        </w:rPr>
      </w:pPr>
      <w:r>
        <w:rPr>
          <w:rFonts w:ascii="Times New Roman" w:hAnsi="Times New Roman"/>
          <w:szCs w:val="21"/>
        </w:rPr>
        <w:t>王孝松</w:t>
      </w:r>
      <w:r>
        <w:rPr>
          <w:rFonts w:ascii="Times New Roman" w:hAnsi="Times New Roman"/>
          <w:szCs w:val="21"/>
        </w:rPr>
        <w:t xml:space="preserve"> </w:t>
      </w:r>
      <w:r>
        <w:rPr>
          <w:rFonts w:ascii="Times New Roman" w:hAnsi="Times New Roman"/>
          <w:szCs w:val="21"/>
        </w:rPr>
        <w:t>王艳艳</w:t>
      </w:r>
    </w:p>
    <w:p w14:paraId="4AF94CAE" w14:textId="77777777" w:rsidR="00501C7E" w:rsidRDefault="00EC5712">
      <w:pPr>
        <w:ind w:firstLine="420"/>
        <w:rPr>
          <w:rFonts w:ascii="Times New Roman" w:eastAsia="楷体" w:hAnsi="Times New Roman"/>
          <w:kern w:val="0"/>
          <w:szCs w:val="21"/>
        </w:rPr>
      </w:pPr>
      <w:r>
        <w:rPr>
          <w:rFonts w:ascii="黑体" w:eastAsia="黑体" w:hAnsi="黑体" w:cs="黑体" w:hint="eastAsia"/>
          <w:kern w:val="0"/>
          <w:szCs w:val="21"/>
        </w:rPr>
        <w:t>摘要</w:t>
      </w:r>
      <w:r>
        <w:rPr>
          <w:rFonts w:ascii="黑体" w:eastAsia="黑体" w:hAnsi="黑体" w:cs="黑体" w:hint="eastAsia"/>
          <w:sz w:val="24"/>
        </w:rPr>
        <w:t>：</w:t>
      </w:r>
      <w:r>
        <w:rPr>
          <w:rFonts w:ascii="Times New Roman" w:eastAsia="楷体" w:hAnsi="Times New Roman" w:hint="eastAsia"/>
          <w:kern w:val="0"/>
          <w:szCs w:val="21"/>
        </w:rPr>
        <w:t>在国际贸易争端中，以利益集团为代表的申诉者能对反倾销裁定结果及税率的高低施加影响，因此有必要研究反倾销申诉者在国际贸易中所发挥的作用</w:t>
      </w:r>
      <w:r w:rsidR="00277E1C">
        <w:rPr>
          <w:rFonts w:ascii="Times New Roman" w:eastAsia="楷体" w:hAnsi="Times New Roman" w:hint="eastAsia"/>
          <w:kern w:val="0"/>
          <w:szCs w:val="21"/>
        </w:rPr>
        <w:t>。本文</w:t>
      </w:r>
      <w:r>
        <w:rPr>
          <w:rFonts w:ascii="Times New Roman" w:eastAsia="楷体" w:hAnsi="Times New Roman"/>
          <w:kern w:val="0"/>
          <w:szCs w:val="21"/>
        </w:rPr>
        <w:t>依托</w:t>
      </w:r>
      <w:r>
        <w:rPr>
          <w:rFonts w:ascii="Times New Roman" w:eastAsia="楷体" w:hAnsi="Times New Roman" w:hint="eastAsia"/>
          <w:kern w:val="0"/>
          <w:szCs w:val="21"/>
        </w:rPr>
        <w:t>国际贸易理论中</w:t>
      </w:r>
      <w:r>
        <w:rPr>
          <w:rFonts w:ascii="Times New Roman" w:eastAsia="楷体" w:hAnsi="Times New Roman"/>
          <w:kern w:val="0"/>
          <w:szCs w:val="21"/>
        </w:rPr>
        <w:t>经典的</w:t>
      </w:r>
      <w:r>
        <w:rPr>
          <w:rFonts w:ascii="Times New Roman" w:eastAsia="楷体" w:hAnsi="Times New Roman" w:hint="eastAsia"/>
          <w:kern w:val="0"/>
          <w:szCs w:val="21"/>
        </w:rPr>
        <w:t>“</w:t>
      </w:r>
      <w:r>
        <w:rPr>
          <w:rFonts w:ascii="Times New Roman" w:eastAsia="楷体" w:hAnsi="Times New Roman"/>
          <w:kern w:val="0"/>
          <w:szCs w:val="21"/>
        </w:rPr>
        <w:t>保护待售</w:t>
      </w:r>
      <w:r>
        <w:rPr>
          <w:rFonts w:ascii="Times New Roman" w:eastAsia="楷体" w:hAnsi="Times New Roman" w:hint="eastAsia"/>
          <w:kern w:val="0"/>
          <w:szCs w:val="21"/>
        </w:rPr>
        <w:t>”</w:t>
      </w:r>
      <w:r>
        <w:rPr>
          <w:rFonts w:ascii="Times New Roman" w:eastAsia="楷体" w:hAnsi="Times New Roman"/>
          <w:kern w:val="0"/>
          <w:szCs w:val="21"/>
        </w:rPr>
        <w:t>模型，</w:t>
      </w:r>
      <w:r w:rsidR="00277E1C">
        <w:rPr>
          <w:rFonts w:ascii="Times New Roman" w:eastAsia="楷体" w:hAnsi="Times New Roman" w:hint="eastAsia"/>
          <w:kern w:val="0"/>
          <w:szCs w:val="21"/>
        </w:rPr>
        <w:t>以欧盟对华反倾销为例</w:t>
      </w:r>
      <w:r>
        <w:rPr>
          <w:rFonts w:ascii="Times New Roman" w:eastAsia="楷体" w:hAnsi="Times New Roman"/>
          <w:kern w:val="0"/>
          <w:szCs w:val="21"/>
        </w:rPr>
        <w:t>定量分析</w:t>
      </w:r>
      <w:r w:rsidR="00277E1C">
        <w:rPr>
          <w:rFonts w:ascii="Times New Roman" w:eastAsia="楷体" w:hAnsi="Times New Roman"/>
          <w:kern w:val="0"/>
          <w:szCs w:val="21"/>
        </w:rPr>
        <w:t>反倾销税率</w:t>
      </w:r>
      <w:r>
        <w:rPr>
          <w:rFonts w:ascii="Times New Roman" w:eastAsia="楷体" w:hAnsi="Times New Roman"/>
          <w:kern w:val="0"/>
          <w:szCs w:val="21"/>
        </w:rPr>
        <w:t>的影响因素，特别考察</w:t>
      </w:r>
      <w:r>
        <w:rPr>
          <w:rFonts w:ascii="Times New Roman" w:eastAsia="楷体" w:hAnsi="Times New Roman" w:hint="eastAsia"/>
          <w:kern w:val="0"/>
          <w:szCs w:val="21"/>
        </w:rPr>
        <w:t>以</w:t>
      </w:r>
      <w:r>
        <w:rPr>
          <w:rFonts w:ascii="Times New Roman" w:eastAsia="楷体" w:hAnsi="Times New Roman"/>
          <w:kern w:val="0"/>
          <w:szCs w:val="21"/>
        </w:rPr>
        <w:t>申诉者性质和厂商代表性</w:t>
      </w:r>
      <w:r w:rsidR="00277E1C">
        <w:rPr>
          <w:rFonts w:ascii="Times New Roman" w:eastAsia="楷体" w:hAnsi="Times New Roman" w:hint="eastAsia"/>
          <w:kern w:val="0"/>
          <w:szCs w:val="21"/>
        </w:rPr>
        <w:t>测度的申诉者</w:t>
      </w:r>
      <w:r>
        <w:rPr>
          <w:rFonts w:ascii="Times New Roman" w:eastAsia="楷体" w:hAnsi="Times New Roman" w:hint="eastAsia"/>
          <w:kern w:val="0"/>
          <w:szCs w:val="21"/>
        </w:rPr>
        <w:t>势力</w:t>
      </w:r>
      <w:r>
        <w:rPr>
          <w:rFonts w:ascii="Times New Roman" w:eastAsia="楷体" w:hAnsi="Times New Roman"/>
          <w:kern w:val="0"/>
          <w:szCs w:val="21"/>
        </w:rPr>
        <w:t>对</w:t>
      </w:r>
      <w:r w:rsidR="00277E1C">
        <w:rPr>
          <w:rFonts w:ascii="Times New Roman" w:eastAsia="楷体" w:hAnsi="Times New Roman"/>
          <w:kern w:val="0"/>
          <w:szCs w:val="21"/>
        </w:rPr>
        <w:t>反倾销</w:t>
      </w:r>
      <w:r>
        <w:rPr>
          <w:rFonts w:ascii="Times New Roman" w:eastAsia="楷体" w:hAnsi="Times New Roman"/>
          <w:kern w:val="0"/>
          <w:szCs w:val="21"/>
        </w:rPr>
        <w:t>裁定</w:t>
      </w:r>
      <w:r w:rsidR="00277E1C">
        <w:rPr>
          <w:rFonts w:ascii="Times New Roman" w:eastAsia="楷体" w:hAnsi="Times New Roman"/>
          <w:kern w:val="0"/>
          <w:szCs w:val="21"/>
        </w:rPr>
        <w:t>税率的影响</w:t>
      </w:r>
      <w:r>
        <w:rPr>
          <w:rFonts w:ascii="Times New Roman" w:eastAsia="楷体" w:hAnsi="Times New Roman"/>
          <w:kern w:val="0"/>
          <w:szCs w:val="21"/>
        </w:rPr>
        <w:t>。实证结果表明，在考察期内，</w:t>
      </w:r>
      <w:r>
        <w:rPr>
          <w:rFonts w:ascii="Times New Roman" w:eastAsia="楷体" w:hAnsi="Times New Roman" w:hint="eastAsia"/>
          <w:kern w:val="0"/>
          <w:szCs w:val="21"/>
        </w:rPr>
        <w:t>各种</w:t>
      </w:r>
      <w:r>
        <w:rPr>
          <w:rFonts w:ascii="Times New Roman" w:eastAsia="楷体" w:hAnsi="Times New Roman"/>
          <w:kern w:val="0"/>
          <w:szCs w:val="21"/>
        </w:rPr>
        <w:t>政治经济因素</w:t>
      </w:r>
      <w:r>
        <w:rPr>
          <w:rFonts w:ascii="Times New Roman" w:eastAsia="楷体" w:hAnsi="Times New Roman" w:hint="eastAsia"/>
          <w:kern w:val="0"/>
          <w:szCs w:val="21"/>
        </w:rPr>
        <w:t>的</w:t>
      </w:r>
      <w:r>
        <w:rPr>
          <w:rFonts w:ascii="Times New Roman" w:eastAsia="楷体" w:hAnsi="Times New Roman"/>
          <w:kern w:val="0"/>
          <w:szCs w:val="21"/>
        </w:rPr>
        <w:t>互动最终决定了欧盟对华反倾销税的裁定结果。申诉者</w:t>
      </w:r>
      <w:r>
        <w:rPr>
          <w:rFonts w:ascii="Times New Roman" w:eastAsia="楷体" w:hAnsi="Times New Roman" w:hint="eastAsia"/>
          <w:kern w:val="0"/>
          <w:szCs w:val="21"/>
        </w:rPr>
        <w:t>势力</w:t>
      </w:r>
      <w:r>
        <w:rPr>
          <w:rFonts w:ascii="Times New Roman" w:eastAsia="楷体" w:hAnsi="Times New Roman"/>
          <w:kern w:val="0"/>
          <w:szCs w:val="21"/>
        </w:rPr>
        <w:t>会显著</w:t>
      </w:r>
      <w:r>
        <w:rPr>
          <w:rFonts w:ascii="Times New Roman" w:eastAsia="楷体" w:hAnsi="Times New Roman" w:hint="eastAsia"/>
          <w:kern w:val="0"/>
          <w:szCs w:val="21"/>
        </w:rPr>
        <w:t>影响反倾销案</w:t>
      </w:r>
      <w:r w:rsidR="00185A37">
        <w:rPr>
          <w:rFonts w:ascii="Times New Roman" w:eastAsia="楷体" w:hAnsi="Times New Roman" w:hint="eastAsia"/>
          <w:kern w:val="0"/>
          <w:szCs w:val="21"/>
        </w:rPr>
        <w:t>件的裁定结果从而对双边贸易</w:t>
      </w:r>
      <w:r>
        <w:rPr>
          <w:rFonts w:ascii="Times New Roman" w:eastAsia="楷体" w:hAnsi="Times New Roman" w:hint="eastAsia"/>
          <w:kern w:val="0"/>
          <w:szCs w:val="21"/>
        </w:rPr>
        <w:t>产生影响</w:t>
      </w:r>
      <w:r>
        <w:rPr>
          <w:rFonts w:ascii="Times New Roman" w:eastAsia="楷体" w:hAnsi="Times New Roman"/>
          <w:kern w:val="0"/>
          <w:szCs w:val="21"/>
        </w:rPr>
        <w:t>，申诉者的部分行业特征也会对反倾销税率裁定产生影响，终裁税率对</w:t>
      </w:r>
      <w:r>
        <w:rPr>
          <w:rFonts w:ascii="Times New Roman" w:eastAsia="楷体" w:hAnsi="Times New Roman" w:hint="eastAsia"/>
          <w:kern w:val="0"/>
          <w:szCs w:val="21"/>
        </w:rPr>
        <w:t>“</w:t>
      </w:r>
      <w:r>
        <w:rPr>
          <w:rFonts w:ascii="Times New Roman" w:eastAsia="楷体" w:hAnsi="Times New Roman"/>
          <w:kern w:val="0"/>
          <w:szCs w:val="21"/>
        </w:rPr>
        <w:t>保护待售</w:t>
      </w:r>
      <w:r>
        <w:rPr>
          <w:rFonts w:ascii="Times New Roman" w:eastAsia="楷体" w:hAnsi="Times New Roman" w:hint="eastAsia"/>
          <w:kern w:val="0"/>
          <w:szCs w:val="21"/>
        </w:rPr>
        <w:t>”</w:t>
      </w:r>
      <w:r>
        <w:rPr>
          <w:rFonts w:ascii="Times New Roman" w:eastAsia="楷体" w:hAnsi="Times New Roman"/>
          <w:kern w:val="0"/>
          <w:szCs w:val="21"/>
        </w:rPr>
        <w:t>模型的适用性强于初裁税率。本文扩展了</w:t>
      </w:r>
      <w:r>
        <w:rPr>
          <w:rFonts w:ascii="Times New Roman" w:eastAsia="楷体" w:hAnsi="Times New Roman" w:hint="eastAsia"/>
          <w:kern w:val="0"/>
          <w:szCs w:val="21"/>
        </w:rPr>
        <w:t>“</w:t>
      </w:r>
      <w:r>
        <w:rPr>
          <w:rFonts w:ascii="Times New Roman" w:eastAsia="楷体" w:hAnsi="Times New Roman"/>
          <w:kern w:val="0"/>
          <w:szCs w:val="21"/>
        </w:rPr>
        <w:t>保护待售</w:t>
      </w:r>
      <w:r>
        <w:rPr>
          <w:rFonts w:ascii="Times New Roman" w:eastAsia="楷体" w:hAnsi="Times New Roman" w:hint="eastAsia"/>
          <w:kern w:val="0"/>
          <w:szCs w:val="21"/>
        </w:rPr>
        <w:t>”</w:t>
      </w:r>
      <w:r>
        <w:rPr>
          <w:rFonts w:ascii="Times New Roman" w:eastAsia="楷体" w:hAnsi="Times New Roman"/>
          <w:kern w:val="0"/>
          <w:szCs w:val="21"/>
        </w:rPr>
        <w:t>模型的应用范围，并</w:t>
      </w:r>
      <w:r w:rsidR="00185A37">
        <w:rPr>
          <w:rFonts w:ascii="Times New Roman" w:eastAsia="楷体" w:hAnsi="Times New Roman" w:hint="eastAsia"/>
          <w:kern w:val="0"/>
          <w:szCs w:val="21"/>
        </w:rPr>
        <w:t>从申诉者特征这一新</w:t>
      </w:r>
      <w:r>
        <w:rPr>
          <w:rFonts w:ascii="Times New Roman" w:eastAsia="楷体" w:hAnsi="Times New Roman" w:hint="eastAsia"/>
          <w:kern w:val="0"/>
          <w:szCs w:val="21"/>
        </w:rPr>
        <w:t>视角</w:t>
      </w:r>
      <w:r>
        <w:rPr>
          <w:rFonts w:ascii="Times New Roman" w:eastAsia="楷体" w:hAnsi="Times New Roman"/>
          <w:kern w:val="0"/>
          <w:szCs w:val="21"/>
        </w:rPr>
        <w:t>为中国</w:t>
      </w:r>
      <w:r>
        <w:rPr>
          <w:rFonts w:ascii="Times New Roman" w:eastAsia="楷体" w:hAnsi="Times New Roman" w:hint="eastAsia"/>
          <w:kern w:val="0"/>
          <w:szCs w:val="21"/>
        </w:rPr>
        <w:t>各界应对贸易伙伴的限制性措施、促进对外贸易的健康发展</w:t>
      </w:r>
      <w:r>
        <w:rPr>
          <w:rFonts w:ascii="Times New Roman" w:eastAsia="楷体" w:hAnsi="Times New Roman"/>
          <w:kern w:val="0"/>
          <w:szCs w:val="21"/>
        </w:rPr>
        <w:t>提供了</w:t>
      </w:r>
      <w:r>
        <w:rPr>
          <w:rFonts w:ascii="Times New Roman" w:eastAsia="楷体" w:hAnsi="Times New Roman" w:hint="eastAsia"/>
          <w:kern w:val="0"/>
          <w:szCs w:val="21"/>
        </w:rPr>
        <w:t>洞察和启示</w:t>
      </w:r>
      <w:r>
        <w:rPr>
          <w:rFonts w:ascii="Times New Roman" w:eastAsia="楷体" w:hAnsi="Times New Roman"/>
          <w:kern w:val="0"/>
          <w:szCs w:val="21"/>
        </w:rPr>
        <w:t>。</w:t>
      </w:r>
    </w:p>
    <w:p w14:paraId="58FF97CF" w14:textId="77777777" w:rsidR="00501C7E" w:rsidRDefault="00EC5712">
      <w:pPr>
        <w:ind w:firstLine="482"/>
        <w:rPr>
          <w:rFonts w:ascii="Times New Roman" w:eastAsia="EU-FZ" w:hAnsi="Times New Roman"/>
          <w:b/>
          <w:bCs/>
        </w:rPr>
      </w:pPr>
      <w:r>
        <w:rPr>
          <w:rFonts w:ascii="黑体" w:eastAsia="黑体" w:hAnsi="黑体" w:cs="黑体" w:hint="eastAsia"/>
          <w:kern w:val="0"/>
          <w:szCs w:val="21"/>
        </w:rPr>
        <w:t>关键词</w:t>
      </w:r>
      <w:r>
        <w:rPr>
          <w:rFonts w:ascii="黑体" w:eastAsia="黑体" w:hAnsi="黑体" w:cs="黑体" w:hint="eastAsia"/>
          <w:sz w:val="24"/>
        </w:rPr>
        <w:t>：</w:t>
      </w:r>
      <w:r>
        <w:rPr>
          <w:rFonts w:ascii="Times New Roman" w:eastAsia="楷体" w:hAnsi="Times New Roman" w:hint="eastAsia"/>
          <w:kern w:val="0"/>
          <w:szCs w:val="21"/>
        </w:rPr>
        <w:t>申诉者</w:t>
      </w:r>
      <w:r>
        <w:rPr>
          <w:rFonts w:ascii="Times New Roman" w:eastAsia="楷体" w:hAnsi="Times New Roman" w:hint="eastAsia"/>
          <w:kern w:val="0"/>
          <w:szCs w:val="21"/>
        </w:rPr>
        <w:t xml:space="preserve"> </w:t>
      </w:r>
      <w:r w:rsidR="00185A37">
        <w:rPr>
          <w:rFonts w:ascii="Times New Roman" w:eastAsia="楷体" w:hAnsi="Times New Roman" w:hint="eastAsia"/>
          <w:kern w:val="0"/>
          <w:szCs w:val="21"/>
        </w:rPr>
        <w:t xml:space="preserve"> </w:t>
      </w:r>
      <w:r w:rsidR="00185A37">
        <w:rPr>
          <w:rFonts w:ascii="Times New Roman" w:eastAsia="楷体" w:hAnsi="Times New Roman"/>
          <w:kern w:val="0"/>
          <w:szCs w:val="21"/>
        </w:rPr>
        <w:t>反倾销</w:t>
      </w:r>
      <w:r w:rsidR="00185A37">
        <w:rPr>
          <w:rFonts w:ascii="Times New Roman" w:eastAsia="楷体" w:hAnsi="Times New Roman" w:hint="eastAsia"/>
          <w:kern w:val="0"/>
          <w:szCs w:val="21"/>
        </w:rPr>
        <w:t xml:space="preserve">  </w:t>
      </w:r>
      <w:r>
        <w:rPr>
          <w:rFonts w:ascii="Times New Roman" w:eastAsia="楷体" w:hAnsi="Times New Roman"/>
          <w:kern w:val="0"/>
          <w:szCs w:val="21"/>
        </w:rPr>
        <w:t>保护待售模型</w:t>
      </w:r>
      <w:r>
        <w:rPr>
          <w:rFonts w:ascii="Times New Roman" w:eastAsia="楷体" w:hAnsi="Times New Roman"/>
          <w:kern w:val="0"/>
          <w:szCs w:val="21"/>
        </w:rPr>
        <w:t xml:space="preserve"> </w:t>
      </w:r>
      <w:r w:rsidR="00185A37">
        <w:rPr>
          <w:rFonts w:ascii="Times New Roman" w:eastAsia="楷体" w:hAnsi="Times New Roman" w:hint="eastAsia"/>
          <w:kern w:val="0"/>
          <w:szCs w:val="21"/>
        </w:rPr>
        <w:t xml:space="preserve">  </w:t>
      </w:r>
      <w:r>
        <w:rPr>
          <w:rFonts w:ascii="Times New Roman" w:eastAsia="楷体" w:hAnsi="Times New Roman"/>
          <w:kern w:val="0"/>
          <w:szCs w:val="21"/>
        </w:rPr>
        <w:t>行业协会</w:t>
      </w:r>
      <w:r>
        <w:rPr>
          <w:rFonts w:ascii="Times New Roman" w:eastAsia="楷体" w:hAnsi="Times New Roman"/>
          <w:kern w:val="0"/>
          <w:szCs w:val="21"/>
        </w:rPr>
        <w:t xml:space="preserve"> </w:t>
      </w:r>
    </w:p>
    <w:p w14:paraId="606FCFEA" w14:textId="77777777" w:rsidR="00501C7E" w:rsidRDefault="00EC5712" w:rsidP="00FE1FDC">
      <w:pPr>
        <w:numPr>
          <w:ilvl w:val="0"/>
          <w:numId w:val="1"/>
        </w:numPr>
        <w:spacing w:beforeLines="100" w:before="312" w:afterLines="100" w:after="312"/>
        <w:jc w:val="center"/>
        <w:rPr>
          <w:rStyle w:val="a9"/>
          <w:rFonts w:ascii="Times New Roman" w:eastAsia="黑体" w:hAnsi="Times New Roman"/>
          <w:sz w:val="28"/>
          <w:szCs w:val="28"/>
        </w:rPr>
      </w:pPr>
      <w:r>
        <w:rPr>
          <w:rFonts w:ascii="Times New Roman" w:eastAsia="黑体" w:hAnsi="Times New Roman"/>
          <w:b/>
          <w:bCs/>
          <w:sz w:val="28"/>
          <w:szCs w:val="28"/>
        </w:rPr>
        <w:t>引言</w:t>
      </w:r>
    </w:p>
    <w:p w14:paraId="3C883D8B" w14:textId="77777777" w:rsidR="00501C7E" w:rsidRDefault="00EC5712" w:rsidP="00957528">
      <w:pPr>
        <w:ind w:firstLine="420"/>
        <w:rPr>
          <w:rFonts w:ascii="Times New Roman" w:hAnsi="Times New Roman"/>
          <w:szCs w:val="21"/>
        </w:rPr>
      </w:pPr>
      <w:r>
        <w:rPr>
          <w:rFonts w:ascii="Times New Roman" w:hAnsi="Times New Roman"/>
          <w:szCs w:val="21"/>
        </w:rPr>
        <w:t>在国际贸易争端中，众多国家规定反倾销案件的申诉者需要满足一定条件，即提起反倾销申诉具有一定门槛，如美国和欧盟反倾销法案都规定，反倾销申诉者必须代表至少</w:t>
      </w:r>
      <w:r>
        <w:rPr>
          <w:rFonts w:ascii="Times New Roman" w:hAnsi="Times New Roman"/>
          <w:szCs w:val="21"/>
        </w:rPr>
        <w:t>25%</w:t>
      </w:r>
      <w:r>
        <w:rPr>
          <w:rFonts w:ascii="Times New Roman" w:hAnsi="Times New Roman"/>
          <w:szCs w:val="21"/>
        </w:rPr>
        <w:t>的国内相同产品份额。在反倾销申请中，申诉者的性质、所属行业、厂商代表性和市场影响力等特征会对反倾销裁定与否及裁定税率高低产生影响。一般来说，由于调查过程中存在联合诉讼费用，申诉者需为此负担较高费用，因此规模和市场影响力较大的企业或者行业协会更有动机和能力成为反倾销申诉者</w:t>
      </w:r>
      <w:r w:rsidR="00957528">
        <w:rPr>
          <w:rFonts w:ascii="Times New Roman" w:hAnsi="Times New Roman" w:hint="eastAsia"/>
          <w:szCs w:val="21"/>
        </w:rPr>
        <w:t>。</w:t>
      </w:r>
      <w:r w:rsidR="00957528">
        <w:rPr>
          <w:rFonts w:ascii="Times New Roman" w:hAnsi="Times New Roman"/>
          <w:szCs w:val="21"/>
        </w:rPr>
        <w:t>例如，</w:t>
      </w:r>
      <w:r w:rsidR="005614A0">
        <w:rPr>
          <w:rFonts w:ascii="Times New Roman" w:hAnsi="Times New Roman"/>
          <w:szCs w:val="21"/>
        </w:rPr>
        <w:t>钢铁和化工行业的申诉者一般容易提起反倾销申诉，</w:t>
      </w:r>
      <w:r>
        <w:rPr>
          <w:rFonts w:ascii="Times New Roman" w:hAnsi="Times New Roman"/>
          <w:szCs w:val="21"/>
        </w:rPr>
        <w:t>这些行业发展历史较长，在解决就业方面贡献了重要力量</w:t>
      </w:r>
      <w:r w:rsidR="005614A0">
        <w:rPr>
          <w:rFonts w:ascii="Times New Roman" w:hAnsi="Times New Roman" w:hint="eastAsia"/>
          <w:szCs w:val="21"/>
        </w:rPr>
        <w:t>。</w:t>
      </w:r>
      <w:r>
        <w:rPr>
          <w:rFonts w:ascii="Times New Roman" w:hAnsi="Times New Roman"/>
          <w:szCs w:val="21"/>
        </w:rPr>
        <w:t>同时，这些行业的工会组织也发展较为完善，更容易集结起来进行反倾销申诉</w:t>
      </w:r>
      <w:r w:rsidR="005614A0">
        <w:rPr>
          <w:rFonts w:ascii="Times New Roman" w:hAnsi="Times New Roman" w:hint="eastAsia"/>
          <w:szCs w:val="21"/>
        </w:rPr>
        <w:t>。</w:t>
      </w:r>
      <w:r>
        <w:rPr>
          <w:rFonts w:ascii="Times New Roman" w:hAnsi="Times New Roman"/>
          <w:szCs w:val="21"/>
        </w:rPr>
        <w:t>此外，由于贸易政策决策的示范效应和累计效应，过去发起过反倾销的传统申诉</w:t>
      </w:r>
      <w:r w:rsidR="00480BCB">
        <w:rPr>
          <w:rFonts w:ascii="Times New Roman" w:hAnsi="Times New Roman"/>
          <w:szCs w:val="21"/>
        </w:rPr>
        <w:t>者也更有可能发起反倾销申诉</w:t>
      </w:r>
      <w:r>
        <w:rPr>
          <w:rFonts w:ascii="Times New Roman" w:hAnsi="Times New Roman"/>
          <w:szCs w:val="21"/>
        </w:rPr>
        <w:t>。由此可见，在国际贸易往来中，以利益集团为代表的申诉者的作用不容小觑，申诉者能对反倾销的裁定及裁定税率的高低施加影响。因此，有必要研究反倾销申诉者在</w:t>
      </w:r>
      <w:r w:rsidR="00480BCB">
        <w:rPr>
          <w:rFonts w:ascii="Times New Roman" w:hAnsi="Times New Roman"/>
          <w:szCs w:val="21"/>
        </w:rPr>
        <w:t>国际贸易中发挥的作用，本文将以欧盟对华反倾销作为研究对象进行经验</w:t>
      </w:r>
      <w:r>
        <w:rPr>
          <w:rFonts w:ascii="Times New Roman" w:hAnsi="Times New Roman"/>
          <w:szCs w:val="21"/>
        </w:rPr>
        <w:t>分析。</w:t>
      </w:r>
    </w:p>
    <w:p w14:paraId="51ADC8CC" w14:textId="77777777" w:rsidR="00501C7E" w:rsidRDefault="00EC5712">
      <w:pPr>
        <w:ind w:firstLine="420"/>
        <w:rPr>
          <w:rFonts w:ascii="Times New Roman" w:hAnsi="Times New Roman"/>
          <w:szCs w:val="21"/>
        </w:rPr>
      </w:pPr>
      <w:r>
        <w:rPr>
          <w:rFonts w:ascii="Times New Roman" w:hAnsi="Times New Roman"/>
          <w:szCs w:val="21"/>
        </w:rPr>
        <w:t>欧盟是中国最重要的贸易伙伴之一</w:t>
      </w:r>
      <w:r w:rsidR="00480BCB">
        <w:rPr>
          <w:rFonts w:ascii="Times New Roman" w:hAnsi="Times New Roman" w:hint="eastAsia"/>
          <w:szCs w:val="21"/>
        </w:rPr>
        <w:t>，</w:t>
      </w:r>
      <w:r w:rsidR="00480BCB">
        <w:rPr>
          <w:rFonts w:ascii="Times New Roman" w:hAnsi="Times New Roman"/>
          <w:szCs w:val="21"/>
        </w:rPr>
        <w:t>在欧盟对华反倾销案件中，申诉者多是具有较大</w:t>
      </w:r>
      <w:r>
        <w:rPr>
          <w:rFonts w:ascii="Times New Roman" w:hAnsi="Times New Roman"/>
          <w:szCs w:val="21"/>
        </w:rPr>
        <w:t>影响力的行业协会。</w:t>
      </w:r>
      <w:r>
        <w:rPr>
          <w:rFonts w:ascii="Times New Roman" w:hAnsi="Times New Roman"/>
          <w:szCs w:val="21"/>
        </w:rPr>
        <w:t>1988</w:t>
      </w:r>
      <w:r w:rsidR="00480BCB">
        <w:rPr>
          <w:rFonts w:ascii="Times New Roman" w:hAnsi="Times New Roman"/>
          <w:szCs w:val="21"/>
        </w:rPr>
        <w:t>—</w:t>
      </w:r>
      <w:r>
        <w:rPr>
          <w:rFonts w:ascii="Times New Roman" w:hAnsi="Times New Roman"/>
          <w:szCs w:val="21"/>
        </w:rPr>
        <w:t>2020</w:t>
      </w:r>
      <w:r>
        <w:rPr>
          <w:rFonts w:ascii="Times New Roman" w:hAnsi="Times New Roman"/>
          <w:szCs w:val="21"/>
        </w:rPr>
        <w:t>年</w:t>
      </w:r>
      <w:r w:rsidR="00480BCB">
        <w:rPr>
          <w:rFonts w:ascii="Times New Roman" w:hAnsi="Times New Roman"/>
          <w:szCs w:val="21"/>
        </w:rPr>
        <w:t>间，</w:t>
      </w:r>
      <w:r>
        <w:rPr>
          <w:rFonts w:ascii="Times New Roman" w:hAnsi="Times New Roman"/>
          <w:szCs w:val="21"/>
        </w:rPr>
        <w:t>欧盟对华反倾销案件最终裁定征税的共有</w:t>
      </w:r>
      <w:r>
        <w:rPr>
          <w:rFonts w:ascii="Times New Roman" w:hAnsi="Times New Roman"/>
          <w:szCs w:val="21"/>
        </w:rPr>
        <w:t>80</w:t>
      </w:r>
      <w:r>
        <w:rPr>
          <w:rFonts w:ascii="Times New Roman" w:hAnsi="Times New Roman"/>
          <w:szCs w:val="21"/>
        </w:rPr>
        <w:t>件，其中行业协会发起</w:t>
      </w:r>
      <w:r>
        <w:rPr>
          <w:rFonts w:ascii="Times New Roman" w:hAnsi="Times New Roman"/>
          <w:szCs w:val="21"/>
        </w:rPr>
        <w:t>61</w:t>
      </w:r>
      <w:r>
        <w:rPr>
          <w:rFonts w:ascii="Times New Roman" w:hAnsi="Times New Roman"/>
          <w:szCs w:val="21"/>
        </w:rPr>
        <w:t>件，占比高达</w:t>
      </w:r>
      <w:r>
        <w:rPr>
          <w:rFonts w:ascii="Times New Roman" w:hAnsi="Times New Roman"/>
          <w:szCs w:val="21"/>
        </w:rPr>
        <w:t>76.25%</w:t>
      </w:r>
      <w:r w:rsidR="005614A0">
        <w:rPr>
          <w:rFonts w:ascii="Times New Roman" w:hAnsi="Times New Roman" w:hint="eastAsia"/>
          <w:szCs w:val="21"/>
        </w:rPr>
        <w:t>。</w:t>
      </w:r>
      <w:r>
        <w:rPr>
          <w:rFonts w:ascii="Times New Roman" w:hAnsi="Times New Roman"/>
          <w:szCs w:val="21"/>
        </w:rPr>
        <w:t>在行业协会发起的案件中，有</w:t>
      </w:r>
      <w:r>
        <w:rPr>
          <w:rFonts w:ascii="Times New Roman" w:hAnsi="Times New Roman"/>
          <w:szCs w:val="21"/>
        </w:rPr>
        <w:t>41</w:t>
      </w:r>
      <w:r>
        <w:rPr>
          <w:rFonts w:ascii="Times New Roman" w:hAnsi="Times New Roman"/>
          <w:szCs w:val="21"/>
        </w:rPr>
        <w:t>件是欧盟层面的超国家利益集团，</w:t>
      </w:r>
      <w:r>
        <w:rPr>
          <w:rFonts w:ascii="Times New Roman" w:hAnsi="Times New Roman"/>
          <w:szCs w:val="21"/>
        </w:rPr>
        <w:t>19</w:t>
      </w:r>
      <w:r>
        <w:rPr>
          <w:rFonts w:ascii="Times New Roman" w:hAnsi="Times New Roman"/>
          <w:szCs w:val="21"/>
        </w:rPr>
        <w:t>件是全球层面的行业协会，</w:t>
      </w:r>
      <w:r>
        <w:rPr>
          <w:rFonts w:ascii="Times New Roman" w:hAnsi="Times New Roman"/>
          <w:szCs w:val="21"/>
        </w:rPr>
        <w:t>1</w:t>
      </w:r>
      <w:r>
        <w:rPr>
          <w:rFonts w:ascii="Times New Roman" w:hAnsi="Times New Roman"/>
          <w:szCs w:val="21"/>
        </w:rPr>
        <w:t>件是国家层面的行业协会，超国家利益集团在其中发挥主要作用。这种现象出现，其一是因为欧盟作为超主权国家联盟，通过利益集团汇集公众意愿和要求，提高其决策透明度和民众参与性的需要；其二是因为欧盟贸易政策的制定机制，欧盟委员会、部长理事会和贸易救济措施委员会在征询、起草和决定三个阶段发挥不同的作用，为利益集团的活动提供了一定的空间；其三是因为欧盟是多个主权国家的联盟，谋求</w:t>
      </w:r>
      <w:r>
        <w:rPr>
          <w:rFonts w:ascii="Times New Roman" w:hAnsi="Times New Roman" w:hint="eastAsia"/>
          <w:szCs w:val="21"/>
        </w:rPr>
        <w:t>“</w:t>
      </w:r>
      <w:r>
        <w:rPr>
          <w:rFonts w:ascii="Times New Roman" w:hAnsi="Times New Roman"/>
          <w:szCs w:val="21"/>
        </w:rPr>
        <w:t>抱团取暖</w:t>
      </w:r>
      <w:r>
        <w:rPr>
          <w:rFonts w:ascii="Times New Roman" w:hAnsi="Times New Roman" w:hint="eastAsia"/>
          <w:szCs w:val="21"/>
        </w:rPr>
        <w:t>”</w:t>
      </w:r>
      <w:r>
        <w:rPr>
          <w:rFonts w:ascii="Times New Roman" w:hAnsi="Times New Roman"/>
          <w:szCs w:val="21"/>
        </w:rPr>
        <w:t>，合作维护国家的</w:t>
      </w:r>
      <w:r w:rsidR="00480BCB">
        <w:rPr>
          <w:rFonts w:ascii="Times New Roman" w:hAnsi="Times New Roman"/>
          <w:szCs w:val="21"/>
        </w:rPr>
        <w:lastRenderedPageBreak/>
        <w:t>政治和经济安全，在利用贸易救济维护自身安全方面</w:t>
      </w:r>
      <w:r>
        <w:rPr>
          <w:rFonts w:ascii="Times New Roman" w:hAnsi="Times New Roman"/>
          <w:szCs w:val="21"/>
        </w:rPr>
        <w:t>相对积极务实，超国家利益集团相比传统利益集团在贸易救济措施的裁定过程中更能对裁定部门施加压力。</w:t>
      </w:r>
    </w:p>
    <w:p w14:paraId="12FD2902" w14:textId="77777777" w:rsidR="00501C7E" w:rsidRDefault="00EC5712">
      <w:pPr>
        <w:ind w:firstLine="420"/>
        <w:rPr>
          <w:rFonts w:ascii="Times New Roman" w:hAnsi="Times New Roman"/>
          <w:bCs/>
        </w:rPr>
      </w:pPr>
      <w:r>
        <w:rPr>
          <w:rFonts w:ascii="Times New Roman" w:hAnsi="Times New Roman"/>
          <w:bCs/>
        </w:rPr>
        <w:t>商业利益集团在中欧贸易利益博弈中发挥着重要作用，能够影响反倾销案件的裁决结果。以</w:t>
      </w:r>
      <w:r>
        <w:rPr>
          <w:rFonts w:ascii="Times New Roman" w:hAnsi="Times New Roman"/>
          <w:bCs/>
        </w:rPr>
        <w:t>2005</w:t>
      </w:r>
      <w:r>
        <w:rPr>
          <w:rFonts w:ascii="Times New Roman" w:hAnsi="Times New Roman"/>
          <w:bCs/>
        </w:rPr>
        <w:t>年开始的欧盟对中国皮面鞋靴反倾销案为例，欧洲鞋工业联盟为了说服欧盟委员会对中国鞋制品进行制裁，长期雇请游说集团对布鲁塞尔的政治机构进行游说，最终在</w:t>
      </w:r>
      <w:r>
        <w:rPr>
          <w:rFonts w:ascii="Times New Roman" w:hAnsi="Times New Roman"/>
          <w:bCs/>
        </w:rPr>
        <w:t>2006</w:t>
      </w:r>
      <w:r w:rsidR="005C6172">
        <w:rPr>
          <w:rFonts w:ascii="Times New Roman" w:hAnsi="Times New Roman"/>
          <w:bCs/>
        </w:rPr>
        <w:t>年欧盟对此案做出最终裁定：</w:t>
      </w:r>
      <w:r>
        <w:rPr>
          <w:rFonts w:ascii="Times New Roman" w:hAnsi="Times New Roman"/>
          <w:bCs/>
        </w:rPr>
        <w:t>对中国企业征收</w:t>
      </w:r>
      <w:r>
        <w:rPr>
          <w:rFonts w:ascii="Times New Roman" w:hAnsi="Times New Roman"/>
          <w:bCs/>
        </w:rPr>
        <w:t>9.7%~16.5%</w:t>
      </w:r>
      <w:r>
        <w:rPr>
          <w:rFonts w:ascii="Times New Roman" w:hAnsi="Times New Roman"/>
          <w:bCs/>
        </w:rPr>
        <w:t>的反倾销税</w:t>
      </w:r>
      <w:r w:rsidR="005C6172">
        <w:rPr>
          <w:rFonts w:ascii="Times New Roman" w:hAnsi="Times New Roman"/>
          <w:bCs/>
        </w:rPr>
        <w:t>。</w:t>
      </w:r>
      <w:r>
        <w:rPr>
          <w:rStyle w:val="aa"/>
          <w:rFonts w:ascii="Times New Roman" w:hAnsi="Times New Roman"/>
          <w:bCs/>
        </w:rPr>
        <w:footnoteReference w:id="2"/>
      </w:r>
      <w:r>
        <w:rPr>
          <w:rFonts w:ascii="Times New Roman" w:hAnsi="Times New Roman"/>
          <w:bCs/>
        </w:rPr>
        <w:t>此外，中欧双方最大规模的贸易诉讼案</w:t>
      </w:r>
      <w:r>
        <w:rPr>
          <w:rFonts w:ascii="Times New Roman" w:hAnsi="Times New Roman"/>
          <w:bCs/>
        </w:rPr>
        <w:t>——</w:t>
      </w:r>
      <w:r>
        <w:rPr>
          <w:rFonts w:ascii="Times New Roman" w:hAnsi="Times New Roman"/>
          <w:bCs/>
        </w:rPr>
        <w:t>欧盟对华光伏反倾销案件，最初由德国的</w:t>
      </w:r>
      <w:r>
        <w:rPr>
          <w:rFonts w:ascii="Times New Roman" w:hAnsi="Times New Roman"/>
          <w:bCs/>
        </w:rPr>
        <w:t>Solar World</w:t>
      </w:r>
      <w:r w:rsidR="00440A57">
        <w:rPr>
          <w:rFonts w:ascii="Times New Roman" w:hAnsi="Times New Roman"/>
          <w:bCs/>
        </w:rPr>
        <w:t>公司</w:t>
      </w:r>
      <w:r>
        <w:rPr>
          <w:rFonts w:ascii="Times New Roman" w:hAnsi="Times New Roman"/>
          <w:bCs/>
        </w:rPr>
        <w:t>提出反倾销申诉，但由于没有达到欧盟对于反倾销申诉者</w:t>
      </w:r>
      <w:r>
        <w:rPr>
          <w:rFonts w:ascii="Times New Roman" w:hAnsi="Times New Roman" w:hint="eastAsia"/>
          <w:bCs/>
        </w:rPr>
        <w:t>“</w:t>
      </w:r>
      <w:r>
        <w:rPr>
          <w:rFonts w:ascii="Times New Roman" w:hAnsi="Times New Roman"/>
          <w:bCs/>
        </w:rPr>
        <w:t>代表行业四分之一及以上企业</w:t>
      </w:r>
      <w:r>
        <w:rPr>
          <w:rFonts w:ascii="Times New Roman" w:hAnsi="Times New Roman" w:hint="eastAsia"/>
          <w:szCs w:val="21"/>
        </w:rPr>
        <w:t>”</w:t>
      </w:r>
      <w:r w:rsidR="00440A57">
        <w:rPr>
          <w:rFonts w:ascii="Times New Roman" w:hAnsi="Times New Roman"/>
          <w:bCs/>
        </w:rPr>
        <w:t>的要求，该企业又召集二十多家欧盟光伏企业</w:t>
      </w:r>
      <w:r>
        <w:rPr>
          <w:rFonts w:ascii="Times New Roman" w:hAnsi="Times New Roman"/>
          <w:bCs/>
        </w:rPr>
        <w:t>向欧委会施加更大压力，并组建了欧盟光伏玻璃生产商协会（</w:t>
      </w:r>
      <w:r>
        <w:rPr>
          <w:rFonts w:ascii="Times New Roman" w:hAnsi="Times New Roman"/>
          <w:bCs/>
        </w:rPr>
        <w:t>EU ProSun</w:t>
      </w:r>
      <w:r>
        <w:rPr>
          <w:rFonts w:ascii="Times New Roman" w:hAnsi="Times New Roman"/>
          <w:bCs/>
        </w:rPr>
        <w:t>）。</w:t>
      </w:r>
      <w:r>
        <w:rPr>
          <w:rFonts w:ascii="Times New Roman" w:hAnsi="Times New Roman"/>
          <w:bCs/>
        </w:rPr>
        <w:t>2013</w:t>
      </w:r>
      <w:r>
        <w:rPr>
          <w:rFonts w:ascii="Times New Roman" w:hAnsi="Times New Roman"/>
          <w:bCs/>
        </w:rPr>
        <w:t>年</w:t>
      </w:r>
      <w:r>
        <w:rPr>
          <w:rFonts w:ascii="Times New Roman" w:hAnsi="Times New Roman"/>
          <w:bCs/>
        </w:rPr>
        <w:t>12</w:t>
      </w:r>
      <w:r>
        <w:rPr>
          <w:rFonts w:ascii="Times New Roman" w:hAnsi="Times New Roman"/>
          <w:bCs/>
        </w:rPr>
        <w:t>月，欧盟对该案件作出最终裁定，要求涉案中国企业普遍缴纳</w:t>
      </w:r>
      <w:r>
        <w:rPr>
          <w:rFonts w:ascii="Times New Roman" w:hAnsi="Times New Roman"/>
          <w:bCs/>
        </w:rPr>
        <w:t>53.4%</w:t>
      </w:r>
      <w:r>
        <w:rPr>
          <w:rFonts w:ascii="Times New Roman" w:hAnsi="Times New Roman"/>
          <w:bCs/>
        </w:rPr>
        <w:t>的反倾销税</w:t>
      </w:r>
      <w:r w:rsidR="00440A57">
        <w:rPr>
          <w:rFonts w:ascii="Times New Roman" w:hAnsi="Times New Roman"/>
          <w:bCs/>
        </w:rPr>
        <w:t>。</w:t>
      </w:r>
      <w:r>
        <w:rPr>
          <w:rStyle w:val="aa"/>
          <w:rFonts w:ascii="Times New Roman" w:hAnsi="Times New Roman"/>
          <w:bCs/>
        </w:rPr>
        <w:footnoteReference w:id="3"/>
      </w:r>
      <w:r w:rsidR="00440A57">
        <w:rPr>
          <w:rFonts w:ascii="Times New Roman" w:hAnsi="Times New Roman"/>
          <w:bCs/>
        </w:rPr>
        <w:t>由此可见，申诉者</w:t>
      </w:r>
      <w:r>
        <w:rPr>
          <w:rFonts w:ascii="Times New Roman" w:hAnsi="Times New Roman"/>
          <w:bCs/>
        </w:rPr>
        <w:t>势力越大，越有可能对欧盟施加更大压力，启动对华反倾销调查，提高对华反倾销裁定税率，因此中方需要高度重视以商业利益集团为主的申诉者对于中欧经贸关系的影响。</w:t>
      </w:r>
    </w:p>
    <w:p w14:paraId="151ADE9D" w14:textId="77777777" w:rsidR="00501C7E" w:rsidRDefault="005614A0">
      <w:pPr>
        <w:ind w:firstLine="420"/>
        <w:rPr>
          <w:rFonts w:ascii="Times New Roman" w:hAnsi="Times New Roman"/>
          <w:bCs/>
        </w:rPr>
      </w:pPr>
      <w:r>
        <w:rPr>
          <w:rFonts w:ascii="Times New Roman" w:hAnsi="Times New Roman"/>
        </w:rPr>
        <w:t>申诉者</w:t>
      </w:r>
      <w:r w:rsidR="00EC5712">
        <w:rPr>
          <w:rFonts w:ascii="Times New Roman" w:hAnsi="Times New Roman"/>
        </w:rPr>
        <w:t>势力是衡量申诉者所属的利益集团掌握社会资源多寡的衡量标准，是申诉者参与贸易决策的基础，欧盟要求反倾销申诉者能够代表行业</w:t>
      </w:r>
      <w:r w:rsidR="00EC5712">
        <w:rPr>
          <w:rFonts w:ascii="Times New Roman" w:hAnsi="Times New Roman"/>
        </w:rPr>
        <w:t>25%</w:t>
      </w:r>
      <w:r w:rsidR="00EC5712">
        <w:rPr>
          <w:rFonts w:ascii="Times New Roman" w:hAnsi="Times New Roman"/>
        </w:rPr>
        <w:t>及以上</w:t>
      </w:r>
      <w:r w:rsidR="00EC5712">
        <w:rPr>
          <w:rFonts w:ascii="Times New Roman" w:hAnsi="Times New Roman" w:hint="eastAsia"/>
        </w:rPr>
        <w:t>的</w:t>
      </w:r>
      <w:r w:rsidR="00E01319">
        <w:rPr>
          <w:rFonts w:ascii="Times New Roman" w:hAnsi="Times New Roman"/>
        </w:rPr>
        <w:t>企业。申诉者的行业代表性越高</w:t>
      </w:r>
      <w:r>
        <w:rPr>
          <w:rFonts w:ascii="Times New Roman" w:hAnsi="Times New Roman"/>
        </w:rPr>
        <w:t>，成员越多，就越具备</w:t>
      </w:r>
      <w:r w:rsidR="00EC5712">
        <w:rPr>
          <w:rFonts w:ascii="Times New Roman" w:hAnsi="Times New Roman"/>
        </w:rPr>
        <w:t>势力，这是申诉者最有力量的资源。一方面，具有较高势力的申诉者可以利用其在行业内累积的专业知识和一手信息为决策者服务，申诉者对于所在行业的市场结构、对于特定政策的意向以及可能出现的政策结</w:t>
      </w:r>
      <w:r w:rsidR="00E01319">
        <w:rPr>
          <w:rFonts w:ascii="Times New Roman" w:hAnsi="Times New Roman"/>
        </w:rPr>
        <w:t>果具有较多了解，可以为决策机构预判一项贸易政策的可行性提供参考。</w:t>
      </w:r>
      <w:r w:rsidR="00EC5712">
        <w:rPr>
          <w:rFonts w:ascii="Times New Roman" w:hAnsi="Times New Roman"/>
        </w:rPr>
        <w:t>申诉者势力对于贸易政策结果的影响力取决于申诉者能够提供资源的能力以及政治家对于这些资源的需求量。另一方面，具有较高势力的申诉者也可以利用自身掌控的资源向决策机构施加压力，调动行业力量和公众情绪来影响决策过程。</w:t>
      </w:r>
    </w:p>
    <w:p w14:paraId="42DAD8F1" w14:textId="77777777" w:rsidR="00501C7E" w:rsidRDefault="005614A0">
      <w:pPr>
        <w:numPr>
          <w:ilvl w:val="255"/>
          <w:numId w:val="0"/>
        </w:numPr>
        <w:ind w:firstLine="420"/>
        <w:jc w:val="left"/>
        <w:rPr>
          <w:rFonts w:ascii="Times New Roman" w:eastAsia="黑体" w:hAnsi="Times New Roman"/>
          <w:sz w:val="28"/>
          <w:szCs w:val="28"/>
        </w:rPr>
      </w:pPr>
      <w:r>
        <w:rPr>
          <w:rFonts w:ascii="Times New Roman" w:hAnsi="Times New Roman"/>
          <w:szCs w:val="21"/>
        </w:rPr>
        <w:t>本文旨在考察以商业利益集团为主的申诉者</w:t>
      </w:r>
      <w:r w:rsidR="00EC5712">
        <w:rPr>
          <w:rFonts w:ascii="Times New Roman" w:hAnsi="Times New Roman" w:hint="eastAsia"/>
          <w:szCs w:val="21"/>
        </w:rPr>
        <w:t>势力</w:t>
      </w:r>
      <w:r>
        <w:rPr>
          <w:rFonts w:ascii="Times New Roman" w:hAnsi="Times New Roman"/>
          <w:szCs w:val="21"/>
        </w:rPr>
        <w:t>在国际贸易中的作用</w:t>
      </w:r>
      <w:r w:rsidR="00EC5712">
        <w:rPr>
          <w:rFonts w:ascii="Times New Roman" w:hAnsi="Times New Roman"/>
          <w:szCs w:val="21"/>
        </w:rPr>
        <w:t>，为此本文搜集整理了</w:t>
      </w:r>
      <w:r w:rsidR="00EC5712">
        <w:rPr>
          <w:rFonts w:ascii="Times New Roman" w:hAnsi="Times New Roman"/>
          <w:szCs w:val="21"/>
        </w:rPr>
        <w:t>1988</w:t>
      </w:r>
      <w:r w:rsidR="00E01319">
        <w:rPr>
          <w:rFonts w:ascii="Times New Roman" w:hAnsi="Times New Roman"/>
          <w:szCs w:val="21"/>
        </w:rPr>
        <w:t>—</w:t>
      </w:r>
      <w:r w:rsidR="00EC5712">
        <w:rPr>
          <w:rFonts w:ascii="Times New Roman" w:hAnsi="Times New Roman"/>
          <w:szCs w:val="21"/>
        </w:rPr>
        <w:t>2020</w:t>
      </w:r>
      <w:r w:rsidR="00EC5712">
        <w:rPr>
          <w:rFonts w:ascii="Times New Roman" w:hAnsi="Times New Roman"/>
          <w:szCs w:val="21"/>
        </w:rPr>
        <w:t>年</w:t>
      </w:r>
      <w:r w:rsidR="00E01319">
        <w:rPr>
          <w:rFonts w:ascii="Times New Roman" w:hAnsi="Times New Roman"/>
          <w:szCs w:val="21"/>
        </w:rPr>
        <w:t>间</w:t>
      </w:r>
      <w:r w:rsidR="00EC5712">
        <w:rPr>
          <w:rFonts w:ascii="Times New Roman" w:hAnsi="Times New Roman"/>
          <w:szCs w:val="21"/>
        </w:rPr>
        <w:t>欧盟对华反倾销案件的相关信息和数据。本文的核心理论框架是</w:t>
      </w:r>
      <w:r w:rsidR="00E01319">
        <w:rPr>
          <w:rFonts w:ascii="Times New Roman" w:hAnsi="Times New Roman"/>
          <w:szCs w:val="21"/>
        </w:rPr>
        <w:t>Grossman</w:t>
      </w:r>
      <w:r w:rsidR="00E01319">
        <w:rPr>
          <w:rFonts w:ascii="Times New Roman" w:hAnsi="Times New Roman" w:hint="eastAsia"/>
          <w:szCs w:val="21"/>
        </w:rPr>
        <w:t xml:space="preserve"> </w:t>
      </w:r>
      <w:r w:rsidR="00EC5712">
        <w:rPr>
          <w:rFonts w:ascii="Times New Roman" w:hAnsi="Times New Roman"/>
          <w:szCs w:val="21"/>
        </w:rPr>
        <w:t>&amp; Helpman</w:t>
      </w:r>
      <w:r w:rsidR="00EC5712">
        <w:rPr>
          <w:rFonts w:ascii="Times New Roman" w:hAnsi="Times New Roman"/>
          <w:szCs w:val="21"/>
        </w:rPr>
        <w:t>（</w:t>
      </w:r>
      <w:r w:rsidR="00EC5712">
        <w:rPr>
          <w:rFonts w:ascii="Times New Roman" w:hAnsi="Times New Roman"/>
          <w:szCs w:val="21"/>
        </w:rPr>
        <w:t>1994</w:t>
      </w:r>
      <w:r w:rsidR="00EC5712">
        <w:rPr>
          <w:rFonts w:ascii="Times New Roman" w:hAnsi="Times New Roman"/>
          <w:szCs w:val="21"/>
        </w:rPr>
        <w:t>）的</w:t>
      </w:r>
      <w:r w:rsidR="00EC5712">
        <w:rPr>
          <w:rFonts w:ascii="Times New Roman" w:hAnsi="Times New Roman" w:hint="eastAsia"/>
          <w:szCs w:val="21"/>
        </w:rPr>
        <w:t>“</w:t>
      </w:r>
      <w:r w:rsidR="00EC5712">
        <w:rPr>
          <w:rFonts w:ascii="Times New Roman" w:hAnsi="Times New Roman"/>
          <w:szCs w:val="21"/>
        </w:rPr>
        <w:t>保护待售</w:t>
      </w:r>
      <w:r w:rsidR="00EC5712">
        <w:rPr>
          <w:rFonts w:ascii="Times New Roman" w:hAnsi="Times New Roman" w:hint="eastAsia"/>
          <w:szCs w:val="21"/>
        </w:rPr>
        <w:t>”</w:t>
      </w:r>
      <w:r>
        <w:rPr>
          <w:rFonts w:ascii="Times New Roman" w:hAnsi="Times New Roman"/>
          <w:szCs w:val="21"/>
        </w:rPr>
        <w:t>模型，并据此研究欧盟对华反倾销税率裁定同相关政治</w:t>
      </w:r>
      <w:r w:rsidR="00EC5712">
        <w:rPr>
          <w:rFonts w:ascii="Times New Roman" w:hAnsi="Times New Roman"/>
          <w:szCs w:val="21"/>
        </w:rPr>
        <w:t>经济因素的关系。本文的结构安排如下：第二部分主要介绍欧盟反倾销相关裁定程序，并对已有的相关文献进行评述；第三部分简要介绍</w:t>
      </w:r>
      <w:r w:rsidR="00EC5712">
        <w:rPr>
          <w:rFonts w:ascii="Times New Roman" w:hAnsi="Times New Roman" w:hint="eastAsia"/>
          <w:szCs w:val="21"/>
        </w:rPr>
        <w:t>“</w:t>
      </w:r>
      <w:r w:rsidR="00EC5712">
        <w:rPr>
          <w:rFonts w:ascii="Times New Roman" w:hAnsi="Times New Roman"/>
          <w:szCs w:val="21"/>
        </w:rPr>
        <w:t>保护待售</w:t>
      </w:r>
      <w:r w:rsidR="00EC5712">
        <w:rPr>
          <w:rFonts w:ascii="Times New Roman" w:hAnsi="Times New Roman" w:hint="eastAsia"/>
          <w:szCs w:val="21"/>
        </w:rPr>
        <w:t>”</w:t>
      </w:r>
      <w:r w:rsidR="00EC5712">
        <w:rPr>
          <w:rFonts w:ascii="Times New Roman" w:hAnsi="Times New Roman"/>
          <w:szCs w:val="21"/>
        </w:rPr>
        <w:t>模型；第四部分介绍计量方法与数据</w:t>
      </w:r>
      <w:bookmarkStart w:id="0" w:name="_Hlk85360239"/>
      <w:r w:rsidR="00EC5712">
        <w:rPr>
          <w:rFonts w:ascii="Times New Roman" w:hAnsi="Times New Roman"/>
          <w:szCs w:val="21"/>
        </w:rPr>
        <w:t>；第五部分汇报实证分析结果</w:t>
      </w:r>
      <w:bookmarkEnd w:id="0"/>
      <w:r w:rsidR="00EC5712">
        <w:rPr>
          <w:rFonts w:ascii="Times New Roman" w:hAnsi="Times New Roman"/>
          <w:szCs w:val="21"/>
        </w:rPr>
        <w:t>；第六部分总结全文结论并提出政策建议。</w:t>
      </w:r>
    </w:p>
    <w:p w14:paraId="60C18052" w14:textId="77777777" w:rsidR="00501C7E" w:rsidRDefault="00EC5712" w:rsidP="00FE1FDC">
      <w:pPr>
        <w:numPr>
          <w:ilvl w:val="0"/>
          <w:numId w:val="1"/>
        </w:numPr>
        <w:tabs>
          <w:tab w:val="left" w:pos="0"/>
        </w:tabs>
        <w:spacing w:beforeLines="100" w:before="312" w:afterLines="100" w:after="312"/>
        <w:jc w:val="center"/>
        <w:rPr>
          <w:rFonts w:ascii="Times New Roman" w:eastAsia="黑体" w:hAnsi="Times New Roman"/>
          <w:sz w:val="28"/>
          <w:szCs w:val="28"/>
        </w:rPr>
      </w:pPr>
      <w:r>
        <w:rPr>
          <w:rFonts w:ascii="Times New Roman" w:eastAsia="黑体" w:hAnsi="Times New Roman"/>
          <w:sz w:val="28"/>
          <w:szCs w:val="28"/>
        </w:rPr>
        <w:t>相关背景和文献评述</w:t>
      </w:r>
    </w:p>
    <w:p w14:paraId="7A64C3C5" w14:textId="77777777" w:rsidR="00501C7E" w:rsidRDefault="005614A0">
      <w:pPr>
        <w:numPr>
          <w:ilvl w:val="0"/>
          <w:numId w:val="2"/>
        </w:numPr>
        <w:ind w:leftChars="200" w:left="420"/>
        <w:outlineLvl w:val="0"/>
        <w:rPr>
          <w:rFonts w:ascii="黑体" w:eastAsia="黑体" w:hAnsi="黑体" w:cs="黑体"/>
          <w:szCs w:val="21"/>
        </w:rPr>
      </w:pPr>
      <w:r>
        <w:rPr>
          <w:rFonts w:ascii="黑体" w:eastAsia="黑体" w:hAnsi="黑体" w:cs="黑体" w:hint="eastAsia"/>
          <w:szCs w:val="21"/>
        </w:rPr>
        <w:t>申诉者与</w:t>
      </w:r>
      <w:r w:rsidR="00EC5712">
        <w:rPr>
          <w:rFonts w:ascii="黑体" w:eastAsia="黑体" w:hAnsi="黑体" w:cs="黑体" w:hint="eastAsia"/>
          <w:szCs w:val="21"/>
        </w:rPr>
        <w:t>反倾销案件裁定程序</w:t>
      </w:r>
    </w:p>
    <w:p w14:paraId="06B751AF" w14:textId="77777777" w:rsidR="00501C7E" w:rsidRDefault="00EC5712">
      <w:pPr>
        <w:ind w:firstLine="420"/>
        <w:outlineLvl w:val="0"/>
        <w:rPr>
          <w:rFonts w:ascii="Times New Roman" w:hAnsi="Times New Roman"/>
          <w:szCs w:val="21"/>
        </w:rPr>
      </w:pPr>
      <w:r>
        <w:rPr>
          <w:rFonts w:ascii="Times New Roman" w:hAnsi="Times New Roman"/>
          <w:szCs w:val="21"/>
        </w:rPr>
        <w:t>以利益集团为代表的申诉者在</w:t>
      </w:r>
      <w:r>
        <w:rPr>
          <w:rFonts w:ascii="Times New Roman" w:hAnsi="Times New Roman" w:hint="eastAsia"/>
          <w:szCs w:val="21"/>
        </w:rPr>
        <w:t>贸易救济措施裁定</w:t>
      </w:r>
      <w:r>
        <w:rPr>
          <w:rFonts w:ascii="Times New Roman" w:hAnsi="Times New Roman"/>
          <w:szCs w:val="21"/>
        </w:rPr>
        <w:t>中具有重要作用，具体体现在以下方面：</w:t>
      </w:r>
      <w:r>
        <w:rPr>
          <w:rFonts w:ascii="Times New Roman" w:hAnsi="Times New Roman" w:hint="eastAsia"/>
          <w:szCs w:val="21"/>
        </w:rPr>
        <w:t>一是</w:t>
      </w:r>
      <w:r>
        <w:rPr>
          <w:rFonts w:ascii="Times New Roman" w:hAnsi="Times New Roman"/>
          <w:szCs w:val="21"/>
        </w:rPr>
        <w:t>在贸易政策的筹备和执行阶段，为决策者提供专业信息和人才；</w:t>
      </w:r>
      <w:r>
        <w:rPr>
          <w:rFonts w:ascii="Times New Roman" w:hAnsi="Times New Roman" w:hint="eastAsia"/>
          <w:szCs w:val="21"/>
        </w:rPr>
        <w:t>二是</w:t>
      </w:r>
      <w:r>
        <w:rPr>
          <w:rFonts w:ascii="Times New Roman" w:hAnsi="Times New Roman"/>
          <w:szCs w:val="21"/>
        </w:rPr>
        <w:t>作为政府和民众联系的桥梁与纽带，将公众的意见汇聚和传达给决策者；</w:t>
      </w:r>
      <w:r>
        <w:rPr>
          <w:rFonts w:ascii="Times New Roman" w:hAnsi="Times New Roman" w:hint="eastAsia"/>
          <w:szCs w:val="21"/>
        </w:rPr>
        <w:t>三是</w:t>
      </w:r>
      <w:r>
        <w:rPr>
          <w:rFonts w:ascii="Times New Roman" w:hAnsi="Times New Roman"/>
          <w:szCs w:val="21"/>
        </w:rPr>
        <w:t>促进政策共识点的达成，在庞杂交织的利益网络中，利益集团可以汇聚共同利益，推动政策共识点的达成。以利益集团为代表的申诉者和贸易政策的决策者形成了一种相互依赖的</w:t>
      </w:r>
      <w:r>
        <w:rPr>
          <w:rFonts w:ascii="Times New Roman" w:hAnsi="Times New Roman" w:hint="eastAsia"/>
          <w:szCs w:val="21"/>
        </w:rPr>
        <w:t>“</w:t>
      </w:r>
      <w:r>
        <w:rPr>
          <w:rFonts w:ascii="Times New Roman" w:hAnsi="Times New Roman"/>
          <w:szCs w:val="21"/>
        </w:rPr>
        <w:t>共栖</w:t>
      </w:r>
      <w:r>
        <w:rPr>
          <w:rFonts w:ascii="Times New Roman" w:hAnsi="Times New Roman" w:hint="eastAsia"/>
          <w:szCs w:val="21"/>
        </w:rPr>
        <w:t>”</w:t>
      </w:r>
      <w:r w:rsidR="00B337A0">
        <w:rPr>
          <w:rFonts w:ascii="Times New Roman" w:hAnsi="Times New Roman"/>
          <w:szCs w:val="21"/>
        </w:rPr>
        <w:t>现象：</w:t>
      </w:r>
      <w:r>
        <w:rPr>
          <w:rFonts w:ascii="Times New Roman" w:hAnsi="Times New Roman"/>
          <w:szCs w:val="21"/>
        </w:rPr>
        <w:t>一方面，利益集团可以为贸易政策的决策者提供信息和资源，提高决策的民主参与度；另一方面，贸易决策者为利益集团表达自己的利益诉求提供了渠道和机制</w:t>
      </w:r>
      <w:r>
        <w:rPr>
          <w:rFonts w:ascii="Times New Roman" w:hAnsi="Times New Roman"/>
        </w:rPr>
        <w:t>。</w:t>
      </w:r>
    </w:p>
    <w:p w14:paraId="41C55674" w14:textId="77777777" w:rsidR="00501C7E" w:rsidRDefault="00EC5712">
      <w:pPr>
        <w:tabs>
          <w:tab w:val="left" w:pos="0"/>
        </w:tabs>
        <w:ind w:firstLineChars="200" w:firstLine="420"/>
        <w:rPr>
          <w:rFonts w:ascii="Times New Roman" w:hAnsi="Times New Roman"/>
          <w:szCs w:val="21"/>
        </w:rPr>
      </w:pPr>
      <w:r>
        <w:rPr>
          <w:rFonts w:ascii="Times New Roman" w:hAnsi="Times New Roman"/>
          <w:szCs w:val="21"/>
        </w:rPr>
        <w:t>从</w:t>
      </w:r>
      <w:r>
        <w:rPr>
          <w:rFonts w:ascii="Times New Roman" w:hAnsi="Times New Roman" w:hint="eastAsia"/>
          <w:szCs w:val="21"/>
        </w:rPr>
        <w:t>欧盟</w:t>
      </w:r>
      <w:r>
        <w:rPr>
          <w:rFonts w:ascii="Times New Roman" w:hAnsi="Times New Roman"/>
          <w:szCs w:val="21"/>
        </w:rPr>
        <w:t>贸易救济措施的具体</w:t>
      </w:r>
      <w:r>
        <w:rPr>
          <w:rFonts w:ascii="Times New Roman" w:hAnsi="Times New Roman" w:hint="eastAsia"/>
          <w:szCs w:val="21"/>
        </w:rPr>
        <w:t>政策</w:t>
      </w:r>
      <w:r>
        <w:rPr>
          <w:rFonts w:ascii="Times New Roman" w:hAnsi="Times New Roman"/>
          <w:szCs w:val="21"/>
        </w:rPr>
        <w:t>来看，反倾销的裁定是欧盟共同贸易政策的重要组成部分，共同贸易政策属于欧盟机构的专属权，由欧盟机构制定且成员国的相关法规必须符合共同贸易政策，是欧盟成员国完全让渡或基本让渡国家主权的欧盟统一政策。随着欧洲一体化的深入，无论</w:t>
      </w:r>
      <w:r>
        <w:rPr>
          <w:rFonts w:ascii="Times New Roman" w:hAnsi="Times New Roman"/>
          <w:szCs w:val="21"/>
        </w:rPr>
        <w:lastRenderedPageBreak/>
        <w:t>是政治决策还是经贸政策的制定，选举、政党政治等传统主权国家政治内涵的重要性有所下降，价值的权威分配</w:t>
      </w:r>
      <w:r>
        <w:rPr>
          <w:rFonts w:ascii="Times New Roman" w:hAnsi="Times New Roman" w:hint="eastAsia"/>
          <w:szCs w:val="21"/>
        </w:rPr>
        <w:t>越来越转向</w:t>
      </w:r>
      <w:r>
        <w:rPr>
          <w:rFonts w:ascii="Times New Roman" w:hAnsi="Times New Roman"/>
          <w:szCs w:val="21"/>
        </w:rPr>
        <w:t>政策网络和谈判网络，利益集团在欧盟政治生态中的地位正在上升。</w:t>
      </w:r>
    </w:p>
    <w:p w14:paraId="4A927C9A" w14:textId="77777777" w:rsidR="00501C7E" w:rsidRDefault="00EC5712">
      <w:pPr>
        <w:tabs>
          <w:tab w:val="left" w:pos="0"/>
        </w:tabs>
        <w:ind w:firstLineChars="200" w:firstLine="420"/>
        <w:rPr>
          <w:rFonts w:ascii="Times New Roman" w:hAnsi="Times New Roman"/>
          <w:szCs w:val="21"/>
        </w:rPr>
      </w:pPr>
      <w:r>
        <w:rPr>
          <w:rFonts w:ascii="Times New Roman" w:hAnsi="Times New Roman"/>
          <w:szCs w:val="21"/>
        </w:rPr>
        <w:t>从</w:t>
      </w:r>
      <w:r>
        <w:rPr>
          <w:rFonts w:ascii="Times New Roman" w:hAnsi="Times New Roman" w:hint="eastAsia"/>
          <w:szCs w:val="21"/>
        </w:rPr>
        <w:t>欧盟</w:t>
      </w:r>
      <w:r>
        <w:rPr>
          <w:rFonts w:ascii="Times New Roman" w:hAnsi="Times New Roman"/>
          <w:szCs w:val="21"/>
        </w:rPr>
        <w:t>贸易救济措施的具体实践来看，欧盟委员会、反倾销咨询委员会和欧盟部长理事会这三大机构分别主管调查、咨询与监督和决策的不同阶段。具体来看，欧盟反倾销基本法规定的反倾销程序主要包括</w:t>
      </w:r>
      <w:r>
        <w:rPr>
          <w:rFonts w:ascii="Times New Roman" w:hAnsi="Times New Roman"/>
          <w:szCs w:val="21"/>
        </w:rPr>
        <w:t>8</w:t>
      </w:r>
      <w:r>
        <w:rPr>
          <w:rFonts w:ascii="Times New Roman" w:hAnsi="Times New Roman"/>
          <w:szCs w:val="21"/>
        </w:rPr>
        <w:t>个步骤：一是申诉者向欧盟委员会申请，欧盟委员会需要在一个半月之内对调查与否做出决策；二是欧盟委员会发布调查问卷；三是初裁，欧委会在征求咨询委员会的意见后，一般要在案件确立的</w:t>
      </w:r>
      <w:r>
        <w:rPr>
          <w:rFonts w:ascii="Times New Roman" w:hAnsi="Times New Roman"/>
          <w:szCs w:val="21"/>
        </w:rPr>
        <w:t>2-9</w:t>
      </w:r>
      <w:r>
        <w:rPr>
          <w:rFonts w:ascii="Times New Roman" w:hAnsi="Times New Roman"/>
          <w:szCs w:val="21"/>
        </w:rPr>
        <w:t>个月内做出初次裁决；四是欧盟委员会征收临时反倾销税；五是欧盟委员会、咨询委员会和部长理事会决定接受价格承诺与否；六是欧盟委员会、咨询委员会和部长理事会决策终止调查与否；七是终裁，在欧盟委员会发布提案后，部长理事会通常要在一年的期限内据此决定征收不多于</w:t>
      </w:r>
      <w:r>
        <w:rPr>
          <w:rFonts w:ascii="Times New Roman" w:hAnsi="Times New Roman"/>
          <w:szCs w:val="21"/>
        </w:rPr>
        <w:t>5</w:t>
      </w:r>
      <w:r>
        <w:rPr>
          <w:rFonts w:ascii="Times New Roman" w:hAnsi="Times New Roman"/>
          <w:szCs w:val="21"/>
        </w:rPr>
        <w:t>年的最终反倾销税；八是司法调查，被告者有权向欧洲法院提起诉讼，法院要在两年内做出裁决</w:t>
      </w:r>
      <w:r>
        <w:rPr>
          <w:rStyle w:val="aa"/>
          <w:rFonts w:ascii="Times New Roman" w:hAnsi="Times New Roman"/>
          <w:szCs w:val="21"/>
        </w:rPr>
        <w:footnoteReference w:id="4"/>
      </w:r>
      <w:r>
        <w:rPr>
          <w:rFonts w:ascii="Times New Roman" w:hAnsi="Times New Roman"/>
          <w:szCs w:val="21"/>
        </w:rPr>
        <w:t>。</w:t>
      </w:r>
    </w:p>
    <w:p w14:paraId="70C2FF54" w14:textId="77777777" w:rsidR="00501C7E" w:rsidRDefault="00EC5712">
      <w:pPr>
        <w:tabs>
          <w:tab w:val="left" w:pos="0"/>
        </w:tabs>
        <w:ind w:firstLineChars="200" w:firstLine="420"/>
        <w:rPr>
          <w:rFonts w:ascii="Times New Roman" w:hAnsi="Times New Roman"/>
          <w:szCs w:val="21"/>
        </w:rPr>
      </w:pPr>
      <w:r>
        <w:rPr>
          <w:rFonts w:ascii="Times New Roman" w:hAnsi="Times New Roman"/>
          <w:szCs w:val="21"/>
        </w:rPr>
        <w:t>通过欧盟反倾销案件裁定程序可以看出，</w:t>
      </w:r>
      <w:r>
        <w:rPr>
          <w:rFonts w:ascii="Times New Roman" w:hAnsi="Times New Roman"/>
        </w:rPr>
        <w:t>欧盟贸易救济决策是一个复杂、多层次的过程，</w:t>
      </w:r>
      <w:r>
        <w:rPr>
          <w:rFonts w:ascii="Times New Roman" w:hAnsi="Times New Roman"/>
          <w:szCs w:val="21"/>
        </w:rPr>
        <w:t>为利益集团把握可以发挥影响的环节进行游说提供了机会；在欧盟反倾销裁定过程中，欧盟委员会、反倾销咨询委员会和欧盟部长理事会这三大机构在不同阶段发挥着不同作用，</w:t>
      </w:r>
      <w:r>
        <w:rPr>
          <w:rFonts w:ascii="Times New Roman" w:hAnsi="Times New Roman"/>
        </w:rPr>
        <w:t>涉及欧盟和成员国多主体之间的博弈，</w:t>
      </w:r>
      <w:r>
        <w:rPr>
          <w:rFonts w:ascii="Times New Roman" w:hAnsi="Times New Roman"/>
          <w:szCs w:val="21"/>
        </w:rPr>
        <w:t>为利益集团从多渠道进行游说提供了可能。同时可以发现，反倾销初裁结果主要经由申诉者申请和欧委会决策，而终裁结果经由申诉者、欧委会、咨询委员会和部长理事会多主体参与，受到了更多利益主体的影响。</w:t>
      </w:r>
    </w:p>
    <w:p w14:paraId="03CA1C20" w14:textId="77777777" w:rsidR="00501C7E" w:rsidRDefault="00EC5712">
      <w:pPr>
        <w:numPr>
          <w:ilvl w:val="0"/>
          <w:numId w:val="2"/>
        </w:numPr>
        <w:ind w:leftChars="200" w:left="420"/>
        <w:outlineLvl w:val="0"/>
        <w:rPr>
          <w:rFonts w:ascii="黑体" w:eastAsia="黑体" w:hAnsi="黑体" w:cs="黑体"/>
          <w:szCs w:val="21"/>
        </w:rPr>
      </w:pPr>
      <w:r>
        <w:rPr>
          <w:rFonts w:ascii="黑体" w:eastAsia="黑体" w:hAnsi="黑体" w:cs="黑体" w:hint="eastAsia"/>
          <w:szCs w:val="21"/>
        </w:rPr>
        <w:t>相关文献评述</w:t>
      </w:r>
    </w:p>
    <w:p w14:paraId="7BA5AC99" w14:textId="77777777" w:rsidR="00501C7E" w:rsidRDefault="00EC5712">
      <w:pPr>
        <w:ind w:firstLine="420"/>
        <w:rPr>
          <w:rFonts w:ascii="Times New Roman" w:hAnsi="Times New Roman"/>
        </w:rPr>
      </w:pPr>
      <w:r>
        <w:rPr>
          <w:rFonts w:ascii="Times New Roman" w:hAnsi="Times New Roman"/>
        </w:rPr>
        <w:t>在文献评述部分，我们分别梳理了与本文主题密切相关的三支研究，即：关于反倾销动因的文献研究</w:t>
      </w:r>
      <w:r w:rsidR="00B337A0">
        <w:rPr>
          <w:rFonts w:ascii="Times New Roman" w:hAnsi="Times New Roman" w:hint="eastAsia"/>
        </w:rPr>
        <w:t>，</w:t>
      </w:r>
      <w:r>
        <w:rPr>
          <w:rFonts w:ascii="Times New Roman" w:hAnsi="Times New Roman"/>
        </w:rPr>
        <w:t>关于申诉者性质对反倾销税率裁定影响的文献研究</w:t>
      </w:r>
      <w:r w:rsidR="00B337A0">
        <w:rPr>
          <w:rFonts w:ascii="Times New Roman" w:hAnsi="Times New Roman"/>
        </w:rPr>
        <w:t>，</w:t>
      </w:r>
      <w:r>
        <w:rPr>
          <w:rFonts w:ascii="Times New Roman" w:hAnsi="Times New Roman"/>
        </w:rPr>
        <w:t>以及关于保护待售模型的文献研究。</w:t>
      </w:r>
    </w:p>
    <w:p w14:paraId="1DDB5388" w14:textId="77777777" w:rsidR="00501C7E" w:rsidRPr="00B337A0" w:rsidRDefault="00EC5712" w:rsidP="00B337A0">
      <w:pPr>
        <w:ind w:firstLine="420"/>
        <w:outlineLvl w:val="0"/>
        <w:rPr>
          <w:rFonts w:ascii="Times New Roman" w:eastAsia="楷体" w:hAnsi="Times New Roman"/>
          <w:szCs w:val="21"/>
        </w:rPr>
      </w:pPr>
      <w:r>
        <w:rPr>
          <w:rFonts w:ascii="Times New Roman" w:eastAsia="楷体" w:hAnsi="Times New Roman"/>
          <w:szCs w:val="21"/>
        </w:rPr>
        <w:t>1.</w:t>
      </w:r>
      <w:r>
        <w:rPr>
          <w:rFonts w:ascii="Times New Roman" w:eastAsia="楷体" w:hAnsi="Times New Roman"/>
          <w:szCs w:val="21"/>
        </w:rPr>
        <w:t>关于反倾销动因的文献研究</w:t>
      </w:r>
      <w:r w:rsidR="00B337A0">
        <w:rPr>
          <w:rFonts w:ascii="Times New Roman" w:eastAsia="楷体" w:hAnsi="Times New Roman"/>
          <w:szCs w:val="21"/>
        </w:rPr>
        <w:t>。</w:t>
      </w:r>
      <w:bookmarkStart w:id="1" w:name="_Hlk110933456"/>
      <w:r>
        <w:rPr>
          <w:rFonts w:ascii="Times New Roman" w:hAnsi="Times New Roman"/>
        </w:rPr>
        <w:t>反倾销的独特性及其高使用率使其成为众多贸易理论和政治经济模型的研究对象，国内外学者关于反倾销已经展开过诸多研究，</w:t>
      </w:r>
      <w:r>
        <w:rPr>
          <w:rFonts w:ascii="Times New Roman" w:hAnsi="Times New Roman"/>
        </w:rPr>
        <w:t>Blonigen &amp; Prusa</w:t>
      </w:r>
      <w:r>
        <w:rPr>
          <w:rFonts w:ascii="Times New Roman" w:hAnsi="Times New Roman"/>
        </w:rPr>
        <w:t>（</w:t>
      </w:r>
      <w:r>
        <w:rPr>
          <w:rFonts w:ascii="Times New Roman" w:hAnsi="Times New Roman"/>
        </w:rPr>
        <w:t>2016</w:t>
      </w:r>
      <w:r w:rsidR="00B337A0">
        <w:rPr>
          <w:rFonts w:ascii="Times New Roman" w:hAnsi="Times New Roman"/>
        </w:rPr>
        <w:t>）对于反倾销的经济学文献的演变和最新贡献做了详细梳理。对于反倾销的影响因素</w:t>
      </w:r>
      <w:r>
        <w:rPr>
          <w:rFonts w:ascii="Times New Roman" w:hAnsi="Times New Roman"/>
        </w:rPr>
        <w:t>，主要有市场结构（</w:t>
      </w:r>
      <w:r>
        <w:rPr>
          <w:rFonts w:ascii="Times New Roman" w:hAnsi="Times New Roman"/>
        </w:rPr>
        <w:t>Staiger &amp; Wolak</w:t>
      </w:r>
      <w:r>
        <w:rPr>
          <w:rFonts w:ascii="Times New Roman" w:hAnsi="Times New Roman"/>
        </w:rPr>
        <w:t>，</w:t>
      </w:r>
      <w:r>
        <w:rPr>
          <w:rFonts w:ascii="Times New Roman" w:hAnsi="Times New Roman"/>
        </w:rPr>
        <w:t>1992</w:t>
      </w:r>
      <w:r>
        <w:rPr>
          <w:rFonts w:ascii="Times New Roman" w:hAnsi="Times New Roman" w:hint="eastAsia"/>
        </w:rPr>
        <w:t>；</w:t>
      </w:r>
      <w:r>
        <w:rPr>
          <w:rFonts w:ascii="Times New Roman" w:hAnsi="Times New Roman"/>
        </w:rPr>
        <w:t>Hartigan</w:t>
      </w:r>
      <w:r>
        <w:rPr>
          <w:rFonts w:ascii="Times New Roman" w:hAnsi="Times New Roman"/>
        </w:rPr>
        <w:t>，</w:t>
      </w:r>
      <w:r>
        <w:rPr>
          <w:rFonts w:ascii="Times New Roman" w:hAnsi="Times New Roman"/>
        </w:rPr>
        <w:t>1994</w:t>
      </w:r>
      <w:r>
        <w:rPr>
          <w:rFonts w:ascii="Times New Roman" w:hAnsi="Times New Roman"/>
        </w:rPr>
        <w:t>；</w:t>
      </w:r>
      <w:r>
        <w:rPr>
          <w:rFonts w:ascii="Times New Roman" w:hAnsi="Times New Roman"/>
        </w:rPr>
        <w:t>Hartigan</w:t>
      </w:r>
      <w:r>
        <w:rPr>
          <w:rFonts w:ascii="Times New Roman" w:hAnsi="Times New Roman"/>
        </w:rPr>
        <w:t>，</w:t>
      </w:r>
      <w:r>
        <w:rPr>
          <w:rFonts w:ascii="Times New Roman" w:hAnsi="Times New Roman"/>
        </w:rPr>
        <w:t>1996</w:t>
      </w:r>
      <w:r>
        <w:rPr>
          <w:rFonts w:ascii="Times New Roman" w:hAnsi="Times New Roman"/>
        </w:rPr>
        <w:t>）、反倾销法的支持（</w:t>
      </w:r>
      <w:r>
        <w:rPr>
          <w:rFonts w:ascii="Times New Roman" w:hAnsi="Times New Roman"/>
        </w:rPr>
        <w:t>Staiger &amp;Wolak</w:t>
      </w:r>
      <w:r>
        <w:rPr>
          <w:rFonts w:ascii="Times New Roman" w:hAnsi="Times New Roman"/>
        </w:rPr>
        <w:t>，</w:t>
      </w:r>
      <w:r>
        <w:rPr>
          <w:rFonts w:ascii="Times New Roman" w:hAnsi="Times New Roman"/>
        </w:rPr>
        <w:t>1989</w:t>
      </w:r>
      <w:r>
        <w:rPr>
          <w:rFonts w:ascii="Times New Roman" w:hAnsi="Times New Roman"/>
        </w:rPr>
        <w:t>；</w:t>
      </w:r>
      <w:r>
        <w:rPr>
          <w:rFonts w:ascii="Times New Roman" w:hAnsi="Times New Roman"/>
        </w:rPr>
        <w:t>Prusa</w:t>
      </w:r>
      <w:r>
        <w:rPr>
          <w:rFonts w:ascii="Times New Roman" w:hAnsi="Times New Roman"/>
        </w:rPr>
        <w:t>，</w:t>
      </w:r>
      <w:r>
        <w:rPr>
          <w:rFonts w:ascii="Times New Roman" w:hAnsi="Times New Roman"/>
        </w:rPr>
        <w:t>1992</w:t>
      </w:r>
      <w:r>
        <w:rPr>
          <w:rFonts w:ascii="Times New Roman" w:hAnsi="Times New Roman"/>
        </w:rPr>
        <w:t>；</w:t>
      </w:r>
      <w:r>
        <w:rPr>
          <w:rFonts w:ascii="Times New Roman" w:hAnsi="Times New Roman"/>
        </w:rPr>
        <w:t>Panagariya &amp; Gupta</w:t>
      </w:r>
      <w:r>
        <w:rPr>
          <w:rFonts w:ascii="Times New Roman" w:hAnsi="Times New Roman"/>
        </w:rPr>
        <w:t>，</w:t>
      </w:r>
      <w:r>
        <w:rPr>
          <w:rFonts w:ascii="Times New Roman" w:hAnsi="Times New Roman"/>
        </w:rPr>
        <w:t>1998</w:t>
      </w:r>
      <w:r>
        <w:rPr>
          <w:rFonts w:ascii="Times New Roman" w:hAnsi="Times New Roman"/>
        </w:rPr>
        <w:t>；</w:t>
      </w:r>
      <w:r>
        <w:rPr>
          <w:rFonts w:ascii="Times New Roman" w:hAnsi="Times New Roman"/>
        </w:rPr>
        <w:t>Veugelers &amp; Vandenbussche</w:t>
      </w:r>
      <w:r>
        <w:rPr>
          <w:rFonts w:ascii="Times New Roman" w:hAnsi="Times New Roman"/>
        </w:rPr>
        <w:t>，</w:t>
      </w:r>
      <w:r>
        <w:rPr>
          <w:rFonts w:ascii="Times New Roman" w:hAnsi="Times New Roman"/>
        </w:rPr>
        <w:t>1999</w:t>
      </w:r>
      <w:r>
        <w:rPr>
          <w:rFonts w:ascii="Times New Roman" w:hAnsi="Times New Roman"/>
        </w:rPr>
        <w:t>；</w:t>
      </w:r>
      <w:r>
        <w:rPr>
          <w:rFonts w:ascii="Times New Roman" w:hAnsi="Times New Roman"/>
        </w:rPr>
        <w:t xml:space="preserve"> Zanardi</w:t>
      </w:r>
      <w:r>
        <w:rPr>
          <w:rFonts w:ascii="Times New Roman" w:hAnsi="Times New Roman"/>
        </w:rPr>
        <w:t>，</w:t>
      </w:r>
      <w:r>
        <w:rPr>
          <w:rFonts w:ascii="Times New Roman" w:hAnsi="Times New Roman"/>
        </w:rPr>
        <w:t>2004</w:t>
      </w:r>
      <w:r>
        <w:rPr>
          <w:rFonts w:ascii="Times New Roman" w:hAnsi="Times New Roman"/>
        </w:rPr>
        <w:t>；</w:t>
      </w:r>
      <w:r>
        <w:rPr>
          <w:rFonts w:ascii="Times New Roman" w:hAnsi="Times New Roman"/>
        </w:rPr>
        <w:t>Davies &amp; Liebman</w:t>
      </w:r>
      <w:r>
        <w:rPr>
          <w:rFonts w:ascii="Times New Roman" w:hAnsi="Times New Roman"/>
        </w:rPr>
        <w:t>，</w:t>
      </w:r>
      <w:r>
        <w:rPr>
          <w:rFonts w:ascii="Times New Roman" w:hAnsi="Times New Roman"/>
        </w:rPr>
        <w:t>2006</w:t>
      </w:r>
      <w:r>
        <w:rPr>
          <w:rFonts w:ascii="Times New Roman" w:hAnsi="Times New Roman" w:hint="eastAsia"/>
        </w:rPr>
        <w:t>）</w:t>
      </w:r>
      <w:r>
        <w:rPr>
          <w:rFonts w:ascii="Times New Roman" w:hAnsi="Times New Roman"/>
        </w:rPr>
        <w:t>等相关理论。即便出口公司并没有反倾销行为，政府也可能发起反倾销调查，反倾销可能作为贸易保护的工具（</w:t>
      </w:r>
      <w:r>
        <w:rPr>
          <w:rFonts w:ascii="Times New Roman" w:hAnsi="Times New Roman"/>
        </w:rPr>
        <w:t>Herander &amp; Schwartz</w:t>
      </w:r>
      <w:r>
        <w:rPr>
          <w:rFonts w:ascii="Times New Roman" w:hAnsi="Times New Roman"/>
        </w:rPr>
        <w:t>，</w:t>
      </w:r>
      <w:r>
        <w:rPr>
          <w:rFonts w:ascii="Times New Roman" w:hAnsi="Times New Roman"/>
        </w:rPr>
        <w:t>1984</w:t>
      </w:r>
      <w:r>
        <w:rPr>
          <w:rFonts w:ascii="Times New Roman" w:hAnsi="Times New Roman"/>
        </w:rPr>
        <w:t>；</w:t>
      </w:r>
      <w:r>
        <w:rPr>
          <w:rFonts w:ascii="Times New Roman" w:hAnsi="Times New Roman"/>
        </w:rPr>
        <w:t>Kolev &amp; Prusa</w:t>
      </w:r>
      <w:r>
        <w:rPr>
          <w:rFonts w:ascii="Times New Roman" w:hAnsi="Times New Roman"/>
        </w:rPr>
        <w:t>，</w:t>
      </w:r>
      <w:r>
        <w:rPr>
          <w:rFonts w:ascii="Times New Roman" w:hAnsi="Times New Roman"/>
        </w:rPr>
        <w:t>2002</w:t>
      </w:r>
      <w:r>
        <w:rPr>
          <w:rFonts w:ascii="Times New Roman" w:hAnsi="Times New Roman"/>
        </w:rPr>
        <w:t>），反倾销标准的削弱和机构自由裁量权的增强使得当局更容易增加反倾销调查和裁决。</w:t>
      </w:r>
    </w:p>
    <w:p w14:paraId="02205C41" w14:textId="77777777" w:rsidR="00501C7E" w:rsidRDefault="00EC5712">
      <w:pPr>
        <w:ind w:firstLine="420"/>
        <w:rPr>
          <w:rFonts w:ascii="Times New Roman" w:hAnsi="Times New Roman"/>
          <w:szCs w:val="21"/>
        </w:rPr>
      </w:pPr>
      <w:r>
        <w:rPr>
          <w:rFonts w:ascii="Times New Roman" w:hAnsi="Times New Roman"/>
          <w:szCs w:val="21"/>
        </w:rPr>
        <w:t>近年来，由于中国成为</w:t>
      </w:r>
      <w:r w:rsidR="00B337A0">
        <w:rPr>
          <w:rFonts w:ascii="Times New Roman" w:hAnsi="Times New Roman"/>
          <w:szCs w:val="21"/>
        </w:rPr>
        <w:t>其他国家反倾销的主要</w:t>
      </w:r>
      <w:r>
        <w:rPr>
          <w:rFonts w:ascii="Times New Roman" w:hAnsi="Times New Roman"/>
          <w:szCs w:val="21"/>
        </w:rPr>
        <w:t>目标，因而越来越多的国内学者从政</w:t>
      </w:r>
      <w:r w:rsidR="00B337A0">
        <w:rPr>
          <w:rFonts w:ascii="Times New Roman" w:hAnsi="Times New Roman"/>
          <w:szCs w:val="21"/>
        </w:rPr>
        <w:t>治经济因素互动视角来探究中国商品遭遇反倾销的成因。从宏观层面上</w:t>
      </w:r>
      <w:r>
        <w:rPr>
          <w:rFonts w:ascii="Times New Roman" w:hAnsi="Times New Roman"/>
          <w:szCs w:val="21"/>
        </w:rPr>
        <w:t>看，中美政治联系会显著影响美国对华反倾销数量，中美政治交好将减少中美在贸易领域的冲突（谢建国，</w:t>
      </w:r>
      <w:r>
        <w:rPr>
          <w:rFonts w:ascii="Times New Roman" w:hAnsi="Times New Roman"/>
          <w:szCs w:val="21"/>
        </w:rPr>
        <w:t>2006</w:t>
      </w:r>
      <w:r>
        <w:rPr>
          <w:rFonts w:ascii="Times New Roman" w:hAnsi="Times New Roman"/>
          <w:szCs w:val="21"/>
        </w:rPr>
        <w:t>）</w:t>
      </w:r>
      <w:r w:rsidR="00B337A0">
        <w:rPr>
          <w:rFonts w:ascii="Times New Roman" w:hAnsi="Times New Roman" w:hint="eastAsia"/>
          <w:szCs w:val="21"/>
        </w:rPr>
        <w:t>。</w:t>
      </w:r>
      <w:r w:rsidR="00B337A0">
        <w:rPr>
          <w:rFonts w:ascii="Times New Roman" w:hAnsi="Times New Roman"/>
          <w:szCs w:val="21"/>
        </w:rPr>
        <w:t>世界贸易组织（</w:t>
      </w:r>
      <w:r>
        <w:rPr>
          <w:rFonts w:ascii="Times New Roman" w:hAnsi="Times New Roman"/>
          <w:szCs w:val="21"/>
        </w:rPr>
        <w:t>WTO</w:t>
      </w:r>
      <w:r w:rsidR="00B337A0">
        <w:rPr>
          <w:rFonts w:ascii="Times New Roman" w:hAnsi="Times New Roman"/>
          <w:szCs w:val="21"/>
        </w:rPr>
        <w:t>）也是其他国家</w:t>
      </w:r>
      <w:r>
        <w:rPr>
          <w:rFonts w:ascii="Times New Roman" w:hAnsi="Times New Roman"/>
          <w:szCs w:val="21"/>
        </w:rPr>
        <w:t>对中国反倾销政策的重要影响因素，中国加入</w:t>
      </w:r>
      <w:r>
        <w:rPr>
          <w:rFonts w:ascii="Times New Roman" w:hAnsi="Times New Roman"/>
          <w:szCs w:val="21"/>
        </w:rPr>
        <w:t>WTO</w:t>
      </w:r>
      <w:r w:rsidR="00B337A0">
        <w:rPr>
          <w:rFonts w:ascii="Times New Roman" w:hAnsi="Times New Roman"/>
          <w:szCs w:val="21"/>
        </w:rPr>
        <w:t>显著地增加了他国</w:t>
      </w:r>
      <w:r>
        <w:rPr>
          <w:rFonts w:ascii="Times New Roman" w:hAnsi="Times New Roman"/>
          <w:szCs w:val="21"/>
        </w:rPr>
        <w:t>对华反倾销调查的数量（杨艳红，</w:t>
      </w:r>
      <w:r>
        <w:rPr>
          <w:rFonts w:ascii="Times New Roman" w:hAnsi="Times New Roman"/>
          <w:szCs w:val="21"/>
        </w:rPr>
        <w:t>2009</w:t>
      </w:r>
      <w:r>
        <w:rPr>
          <w:rFonts w:ascii="Times New Roman" w:hAnsi="Times New Roman"/>
          <w:szCs w:val="21"/>
        </w:rPr>
        <w:t>；王晓磊、沈瑶，</w:t>
      </w:r>
      <w:r>
        <w:rPr>
          <w:rFonts w:ascii="Times New Roman" w:hAnsi="Times New Roman"/>
          <w:szCs w:val="21"/>
        </w:rPr>
        <w:t>2018</w:t>
      </w:r>
      <w:r>
        <w:rPr>
          <w:rFonts w:ascii="Times New Roman" w:hAnsi="Times New Roman"/>
          <w:szCs w:val="21"/>
        </w:rPr>
        <w:t>）</w:t>
      </w:r>
      <w:r w:rsidR="00B337A0">
        <w:rPr>
          <w:rFonts w:ascii="Times New Roman" w:hAnsi="Times New Roman" w:hint="eastAsia"/>
          <w:szCs w:val="21"/>
        </w:rPr>
        <w:t>。</w:t>
      </w:r>
      <w:r>
        <w:rPr>
          <w:rFonts w:ascii="Times New Roman" w:hAnsi="Times New Roman"/>
          <w:szCs w:val="21"/>
        </w:rPr>
        <w:t>反倾销的非传统使用国有更大可能性发起对华反倾销，且其确认倾销和损害的数量更多（王孝松、谢申祥，</w:t>
      </w:r>
      <w:r>
        <w:rPr>
          <w:rFonts w:ascii="Times New Roman" w:hAnsi="Times New Roman"/>
          <w:szCs w:val="21"/>
        </w:rPr>
        <w:t>2009</w:t>
      </w:r>
      <w:r>
        <w:rPr>
          <w:rFonts w:ascii="Times New Roman" w:hAnsi="Times New Roman"/>
          <w:szCs w:val="21"/>
        </w:rPr>
        <w:t>）</w:t>
      </w:r>
      <w:r w:rsidR="00B337A0">
        <w:rPr>
          <w:rFonts w:ascii="Times New Roman" w:hAnsi="Times New Roman" w:hint="eastAsia"/>
          <w:szCs w:val="21"/>
        </w:rPr>
        <w:t>。</w:t>
      </w:r>
      <w:r>
        <w:rPr>
          <w:rFonts w:ascii="Times New Roman" w:hAnsi="Times New Roman"/>
          <w:szCs w:val="21"/>
        </w:rPr>
        <w:t>从影响国际反倾销的制度性因素来看，申诉国选举制度、社会福利制度、机构独立性等因素也会对各国对华反倾销产生显著影响，政治和社会制度还通过调节宏观经济变量的作用程度间接调节各国对华反倾销行为（王晰，</w:t>
      </w:r>
      <w:r>
        <w:rPr>
          <w:rFonts w:ascii="Times New Roman" w:hAnsi="Times New Roman"/>
          <w:szCs w:val="21"/>
        </w:rPr>
        <w:t>2010</w:t>
      </w:r>
      <w:r>
        <w:rPr>
          <w:rFonts w:ascii="Times New Roman" w:hAnsi="Times New Roman"/>
          <w:szCs w:val="21"/>
        </w:rPr>
        <w:t>）</w:t>
      </w:r>
      <w:r w:rsidR="00B337A0">
        <w:rPr>
          <w:rFonts w:ascii="Times New Roman" w:hAnsi="Times New Roman" w:hint="eastAsia"/>
          <w:szCs w:val="21"/>
        </w:rPr>
        <w:t>。</w:t>
      </w:r>
      <w:r>
        <w:rPr>
          <w:rFonts w:ascii="Times New Roman" w:hAnsi="Times New Roman"/>
          <w:szCs w:val="21"/>
        </w:rPr>
        <w:t>此外，从反倾销的国别来看，发达国家对华反倾销相比发展中国家更具歧视性，倾向于在贸易伙伴国报复能力较弱的时候发起更多的反倾销诉讼（鲍晓华，</w:t>
      </w:r>
      <w:r>
        <w:rPr>
          <w:rFonts w:ascii="Times New Roman" w:hAnsi="Times New Roman"/>
          <w:szCs w:val="21"/>
        </w:rPr>
        <w:t>2011</w:t>
      </w:r>
      <w:r w:rsidR="00B337A0">
        <w:rPr>
          <w:rFonts w:ascii="Times New Roman" w:hAnsi="Times New Roman"/>
          <w:szCs w:val="21"/>
        </w:rPr>
        <w:t>）。从微观层面</w:t>
      </w:r>
      <w:r>
        <w:rPr>
          <w:rFonts w:ascii="Times New Roman" w:hAnsi="Times New Roman"/>
          <w:szCs w:val="21"/>
        </w:rPr>
        <w:t>看，美国对华反倾销税率是在国会、决策机构和利益集团的博弈下产生的均衡结果，申诉者提供的政治捐资对反倾销案件税率的裁定结果具有显著影响（李坤望、王孝松，</w:t>
      </w:r>
      <w:r>
        <w:rPr>
          <w:rFonts w:ascii="Times New Roman" w:hAnsi="Times New Roman"/>
          <w:szCs w:val="21"/>
        </w:rPr>
        <w:t>2008</w:t>
      </w:r>
      <w:r>
        <w:rPr>
          <w:rFonts w:ascii="Times New Roman" w:hAnsi="Times New Roman"/>
          <w:szCs w:val="21"/>
        </w:rPr>
        <w:t>）</w:t>
      </w:r>
      <w:r w:rsidR="00B337A0">
        <w:rPr>
          <w:rFonts w:ascii="Times New Roman" w:hAnsi="Times New Roman" w:hint="eastAsia"/>
          <w:szCs w:val="21"/>
        </w:rPr>
        <w:t>。</w:t>
      </w:r>
      <w:r>
        <w:rPr>
          <w:rFonts w:ascii="Times New Roman" w:hAnsi="Times New Roman"/>
          <w:szCs w:val="21"/>
        </w:rPr>
        <w:t>印度对华反倾销申诉者的政治势力会显著影响最终裁定的税率水平，化工行业的申诉者在反倾销裁定中更能获得较高的反倾销税率（王孝松、谢申祥，</w:t>
      </w:r>
      <w:r>
        <w:rPr>
          <w:rFonts w:ascii="Times New Roman" w:hAnsi="Times New Roman"/>
          <w:szCs w:val="21"/>
        </w:rPr>
        <w:t>2013</w:t>
      </w:r>
      <w:r>
        <w:rPr>
          <w:rFonts w:ascii="Times New Roman" w:hAnsi="Times New Roman"/>
          <w:szCs w:val="21"/>
        </w:rPr>
        <w:t>）。</w:t>
      </w:r>
    </w:p>
    <w:p w14:paraId="2E7FE6E8" w14:textId="77777777" w:rsidR="00501C7E" w:rsidRPr="00B337A0" w:rsidRDefault="00EC5712" w:rsidP="00B337A0">
      <w:pPr>
        <w:tabs>
          <w:tab w:val="left" w:pos="312"/>
        </w:tabs>
        <w:outlineLvl w:val="0"/>
        <w:rPr>
          <w:rFonts w:ascii="Times New Roman" w:eastAsia="楷体" w:hAnsi="Times New Roman"/>
          <w:szCs w:val="21"/>
        </w:rPr>
      </w:pPr>
      <w:r>
        <w:rPr>
          <w:rFonts w:ascii="Times New Roman" w:eastAsia="楷体" w:hAnsi="Times New Roman" w:hint="eastAsia"/>
          <w:szCs w:val="21"/>
        </w:rPr>
        <w:lastRenderedPageBreak/>
        <w:tab/>
      </w:r>
      <w:r>
        <w:rPr>
          <w:rFonts w:ascii="Times New Roman" w:eastAsia="楷体" w:hAnsi="Times New Roman" w:hint="eastAsia"/>
          <w:szCs w:val="21"/>
        </w:rPr>
        <w:tab/>
        <w:t>2.</w:t>
      </w:r>
      <w:r>
        <w:rPr>
          <w:rFonts w:ascii="Times New Roman" w:eastAsia="楷体" w:hAnsi="Times New Roman"/>
          <w:szCs w:val="21"/>
        </w:rPr>
        <w:t>关于申诉者性质对反倾销税率裁定影响的文献研究</w:t>
      </w:r>
      <w:r w:rsidR="00B337A0">
        <w:rPr>
          <w:rFonts w:ascii="Times New Roman" w:eastAsia="楷体" w:hAnsi="Times New Roman"/>
          <w:szCs w:val="21"/>
        </w:rPr>
        <w:t>。</w:t>
      </w:r>
      <w:r>
        <w:rPr>
          <w:rFonts w:ascii="Times New Roman" w:hAnsi="Times New Roman"/>
          <w:szCs w:val="21"/>
        </w:rPr>
        <w:t>在反倾销的裁定过程中，申诉者的政治经济特征将会对裁定结果构成显著的影响</w:t>
      </w:r>
      <w:r w:rsidR="00B337A0">
        <w:rPr>
          <w:rFonts w:ascii="Times New Roman" w:hAnsi="Times New Roman" w:hint="eastAsia"/>
          <w:szCs w:val="21"/>
        </w:rPr>
        <w:t>。</w:t>
      </w:r>
      <w:r>
        <w:rPr>
          <w:rFonts w:ascii="Times New Roman" w:hAnsi="Times New Roman"/>
          <w:szCs w:val="21"/>
        </w:rPr>
        <w:t>因而在探究影响因素时，学者们除考察申诉者及其所属行业的经济特征之外，还将政治特征作为重要的考察对象（</w:t>
      </w:r>
      <w:r>
        <w:rPr>
          <w:rFonts w:ascii="Times New Roman" w:hAnsi="Times New Roman"/>
          <w:szCs w:val="21"/>
        </w:rPr>
        <w:t>Blonigen &amp; Prusa</w:t>
      </w:r>
      <w:r>
        <w:rPr>
          <w:rFonts w:ascii="Times New Roman" w:hAnsi="Times New Roman"/>
          <w:szCs w:val="21"/>
        </w:rPr>
        <w:t>，</w:t>
      </w:r>
      <w:r>
        <w:rPr>
          <w:rFonts w:ascii="Times New Roman" w:hAnsi="Times New Roman"/>
          <w:szCs w:val="21"/>
        </w:rPr>
        <w:t>201</w:t>
      </w:r>
      <w:r>
        <w:rPr>
          <w:rFonts w:ascii="Times New Roman" w:hAnsi="Times New Roman" w:hint="eastAsia"/>
          <w:szCs w:val="21"/>
        </w:rPr>
        <w:t>6</w:t>
      </w:r>
      <w:r>
        <w:rPr>
          <w:rFonts w:ascii="Times New Roman" w:hAnsi="Times New Roman"/>
          <w:szCs w:val="21"/>
        </w:rPr>
        <w:t>）。在早期的研究中，</w:t>
      </w:r>
      <w:r>
        <w:rPr>
          <w:rFonts w:ascii="Times New Roman" w:hAnsi="Times New Roman"/>
          <w:szCs w:val="21"/>
        </w:rPr>
        <w:t>Finger et al</w:t>
      </w:r>
      <w:r>
        <w:rPr>
          <w:rFonts w:ascii="Times New Roman" w:hAnsi="Times New Roman"/>
          <w:szCs w:val="21"/>
        </w:rPr>
        <w:t>（</w:t>
      </w:r>
      <w:r>
        <w:rPr>
          <w:rFonts w:ascii="Times New Roman" w:hAnsi="Times New Roman"/>
          <w:szCs w:val="21"/>
        </w:rPr>
        <w:t>1982</w:t>
      </w:r>
      <w:r>
        <w:rPr>
          <w:rFonts w:ascii="Times New Roman" w:hAnsi="Times New Roman"/>
          <w:szCs w:val="21"/>
        </w:rPr>
        <w:t>）和</w:t>
      </w:r>
      <w:r>
        <w:rPr>
          <w:rFonts w:ascii="Times New Roman" w:hAnsi="Times New Roman"/>
          <w:szCs w:val="21"/>
        </w:rPr>
        <w:t>Baldwin</w:t>
      </w:r>
      <w:r>
        <w:rPr>
          <w:rFonts w:ascii="Times New Roman" w:hAnsi="Times New Roman"/>
          <w:szCs w:val="21"/>
        </w:rPr>
        <w:t>（</w:t>
      </w:r>
      <w:r>
        <w:rPr>
          <w:rFonts w:ascii="Times New Roman" w:hAnsi="Times New Roman"/>
          <w:szCs w:val="21"/>
        </w:rPr>
        <w:t>1985</w:t>
      </w:r>
      <w:r>
        <w:rPr>
          <w:rFonts w:ascii="Times New Roman" w:hAnsi="Times New Roman"/>
          <w:szCs w:val="21"/>
        </w:rPr>
        <w:t>）率先对影响美国国际贸易委员会（</w:t>
      </w:r>
      <w:r>
        <w:rPr>
          <w:rFonts w:ascii="Times New Roman" w:hAnsi="Times New Roman"/>
          <w:szCs w:val="21"/>
        </w:rPr>
        <w:t>ITC</w:t>
      </w:r>
      <w:r>
        <w:rPr>
          <w:rFonts w:ascii="Times New Roman" w:hAnsi="Times New Roman"/>
          <w:szCs w:val="21"/>
        </w:rPr>
        <w:t>）裁定是否存在损害的政治经济因素进行了经验检验</w:t>
      </w:r>
      <w:r w:rsidR="00B337A0">
        <w:rPr>
          <w:rFonts w:ascii="Times New Roman" w:hAnsi="Times New Roman" w:hint="eastAsia"/>
          <w:szCs w:val="21"/>
        </w:rPr>
        <w:t>。</w:t>
      </w:r>
      <w:r>
        <w:rPr>
          <w:rFonts w:ascii="Times New Roman" w:hAnsi="Times New Roman"/>
          <w:szCs w:val="21"/>
        </w:rPr>
        <w:t>他们指出在</w:t>
      </w:r>
      <w:r>
        <w:rPr>
          <w:rFonts w:ascii="Times New Roman" w:hAnsi="Times New Roman"/>
          <w:szCs w:val="21"/>
        </w:rPr>
        <w:t>ITC</w:t>
      </w:r>
      <w:r>
        <w:rPr>
          <w:rFonts w:ascii="Times New Roman" w:hAnsi="Times New Roman"/>
          <w:szCs w:val="21"/>
        </w:rPr>
        <w:t>的裁定过程中，不仅经济因素会对裁定结果产生影响，而且来自行业的政治压力也会对裁定结果产生显著的影响。</w:t>
      </w:r>
    </w:p>
    <w:p w14:paraId="7BCA1C16" w14:textId="77777777" w:rsidR="00501C7E" w:rsidRDefault="00EC5712">
      <w:pPr>
        <w:ind w:firstLine="420"/>
        <w:rPr>
          <w:rFonts w:ascii="Times New Roman" w:hAnsi="Times New Roman"/>
          <w:szCs w:val="21"/>
        </w:rPr>
      </w:pPr>
      <w:r>
        <w:rPr>
          <w:rFonts w:ascii="Times New Roman" w:hAnsi="Times New Roman"/>
          <w:szCs w:val="21"/>
        </w:rPr>
        <w:t>此后，</w:t>
      </w:r>
      <w:r>
        <w:rPr>
          <w:rFonts w:ascii="Times New Roman" w:hAnsi="Times New Roman"/>
          <w:szCs w:val="21"/>
        </w:rPr>
        <w:t>Anderson</w:t>
      </w:r>
      <w:r>
        <w:rPr>
          <w:rFonts w:ascii="Times New Roman" w:hAnsi="Times New Roman"/>
          <w:szCs w:val="21"/>
        </w:rPr>
        <w:t>（</w:t>
      </w:r>
      <w:r>
        <w:rPr>
          <w:rFonts w:ascii="Times New Roman" w:hAnsi="Times New Roman"/>
          <w:szCs w:val="21"/>
        </w:rPr>
        <w:t>1993</w:t>
      </w:r>
      <w:r>
        <w:rPr>
          <w:rFonts w:ascii="Times New Roman" w:hAnsi="Times New Roman"/>
          <w:szCs w:val="21"/>
        </w:rPr>
        <w:t>）、</w:t>
      </w:r>
      <w:r>
        <w:rPr>
          <w:rFonts w:ascii="Times New Roman" w:hAnsi="Times New Roman"/>
          <w:szCs w:val="21"/>
        </w:rPr>
        <w:t>Devault</w:t>
      </w:r>
      <w:r>
        <w:rPr>
          <w:rFonts w:ascii="Times New Roman" w:hAnsi="Times New Roman"/>
          <w:szCs w:val="21"/>
        </w:rPr>
        <w:t>（</w:t>
      </w:r>
      <w:r>
        <w:rPr>
          <w:rFonts w:ascii="Times New Roman" w:hAnsi="Times New Roman"/>
          <w:szCs w:val="21"/>
        </w:rPr>
        <w:t>1993</w:t>
      </w:r>
      <w:r>
        <w:rPr>
          <w:rFonts w:ascii="Times New Roman" w:hAnsi="Times New Roman"/>
          <w:szCs w:val="21"/>
        </w:rPr>
        <w:t>）以及</w:t>
      </w:r>
      <w:r>
        <w:rPr>
          <w:rFonts w:ascii="Times New Roman" w:hAnsi="Times New Roman"/>
        </w:rPr>
        <w:t xml:space="preserve"> Baldwin &amp; Steagall</w:t>
      </w:r>
      <w:r>
        <w:rPr>
          <w:rFonts w:ascii="Times New Roman" w:hAnsi="Times New Roman"/>
          <w:szCs w:val="21"/>
        </w:rPr>
        <w:t>（</w:t>
      </w:r>
      <w:r>
        <w:rPr>
          <w:rFonts w:ascii="Times New Roman" w:hAnsi="Times New Roman"/>
          <w:szCs w:val="21"/>
        </w:rPr>
        <w:t>1994</w:t>
      </w:r>
      <w:r>
        <w:rPr>
          <w:rFonts w:ascii="Times New Roman" w:hAnsi="Times New Roman"/>
          <w:szCs w:val="21"/>
        </w:rPr>
        <w:t>）使用</w:t>
      </w:r>
      <w:r>
        <w:rPr>
          <w:rFonts w:ascii="Times New Roman" w:hAnsi="Times New Roman"/>
          <w:szCs w:val="21"/>
        </w:rPr>
        <w:t>ITC</w:t>
      </w:r>
      <w:r>
        <w:rPr>
          <w:rFonts w:ascii="Times New Roman" w:hAnsi="Times New Roman"/>
          <w:szCs w:val="21"/>
        </w:rPr>
        <w:t>公开报告中的数据，对影响</w:t>
      </w:r>
      <w:r>
        <w:rPr>
          <w:rFonts w:ascii="Times New Roman" w:hAnsi="Times New Roman"/>
          <w:szCs w:val="21"/>
        </w:rPr>
        <w:t>ITC</w:t>
      </w:r>
      <w:r>
        <w:rPr>
          <w:rFonts w:ascii="Times New Roman" w:hAnsi="Times New Roman"/>
          <w:szCs w:val="21"/>
        </w:rPr>
        <w:t>裁定结果的因素进行检验，他们的估计结果与</w:t>
      </w:r>
      <w:r>
        <w:rPr>
          <w:rFonts w:ascii="Times New Roman" w:hAnsi="Times New Roman"/>
          <w:szCs w:val="21"/>
        </w:rPr>
        <w:t>Finger et al</w:t>
      </w:r>
      <w:r>
        <w:rPr>
          <w:rFonts w:ascii="Times New Roman" w:hAnsi="Times New Roman"/>
          <w:szCs w:val="21"/>
        </w:rPr>
        <w:t>（</w:t>
      </w:r>
      <w:r>
        <w:rPr>
          <w:rFonts w:ascii="Times New Roman" w:hAnsi="Times New Roman"/>
          <w:szCs w:val="21"/>
        </w:rPr>
        <w:t>1982</w:t>
      </w:r>
      <w:r>
        <w:rPr>
          <w:rFonts w:ascii="Times New Roman" w:hAnsi="Times New Roman"/>
          <w:szCs w:val="21"/>
        </w:rPr>
        <w:t>）和</w:t>
      </w:r>
      <w:r>
        <w:rPr>
          <w:rFonts w:ascii="Times New Roman" w:hAnsi="Times New Roman"/>
          <w:szCs w:val="21"/>
        </w:rPr>
        <w:t>Baldwin</w:t>
      </w:r>
      <w:r>
        <w:rPr>
          <w:rFonts w:ascii="Times New Roman" w:hAnsi="Times New Roman"/>
          <w:szCs w:val="21"/>
        </w:rPr>
        <w:t>（</w:t>
      </w:r>
      <w:r>
        <w:rPr>
          <w:rFonts w:ascii="Times New Roman" w:hAnsi="Times New Roman"/>
          <w:szCs w:val="21"/>
        </w:rPr>
        <w:t>1985</w:t>
      </w:r>
      <w:r>
        <w:rPr>
          <w:rFonts w:ascii="Times New Roman" w:hAnsi="Times New Roman"/>
          <w:szCs w:val="21"/>
        </w:rPr>
        <w:t>）的结论并不一致，都认为政治压力对</w:t>
      </w:r>
      <w:r>
        <w:rPr>
          <w:rFonts w:ascii="Times New Roman" w:hAnsi="Times New Roman"/>
          <w:szCs w:val="21"/>
        </w:rPr>
        <w:t>ITC</w:t>
      </w:r>
      <w:r>
        <w:rPr>
          <w:rFonts w:ascii="Times New Roman" w:hAnsi="Times New Roman"/>
          <w:szCs w:val="21"/>
        </w:rPr>
        <w:t>裁定结果几乎没有影响。</w:t>
      </w:r>
      <w:r>
        <w:rPr>
          <w:rFonts w:ascii="Times New Roman" w:hAnsi="Times New Roman"/>
        </w:rPr>
        <w:t>Hansen &amp; Prusa</w:t>
      </w:r>
      <w:r>
        <w:rPr>
          <w:rFonts w:ascii="Times New Roman" w:hAnsi="Times New Roman"/>
          <w:szCs w:val="21"/>
        </w:rPr>
        <w:t>（</w:t>
      </w:r>
      <w:r>
        <w:rPr>
          <w:rFonts w:ascii="Times New Roman" w:hAnsi="Times New Roman"/>
          <w:szCs w:val="21"/>
        </w:rPr>
        <w:t>1996</w:t>
      </w:r>
      <w:r>
        <w:rPr>
          <w:rFonts w:ascii="Times New Roman" w:hAnsi="Times New Roman"/>
          <w:szCs w:val="21"/>
        </w:rPr>
        <w:t>，</w:t>
      </w:r>
      <w:r>
        <w:rPr>
          <w:rFonts w:ascii="Times New Roman" w:hAnsi="Times New Roman"/>
          <w:szCs w:val="21"/>
        </w:rPr>
        <w:t>1997</w:t>
      </w:r>
      <w:r>
        <w:rPr>
          <w:rFonts w:ascii="Times New Roman" w:hAnsi="Times New Roman"/>
          <w:szCs w:val="21"/>
        </w:rPr>
        <w:t>）和</w:t>
      </w:r>
      <w:r>
        <w:rPr>
          <w:rFonts w:ascii="Times New Roman" w:hAnsi="Times New Roman"/>
          <w:szCs w:val="21"/>
        </w:rPr>
        <w:t>Prusa</w:t>
      </w:r>
      <w:r>
        <w:rPr>
          <w:rFonts w:ascii="Times New Roman" w:hAnsi="Times New Roman"/>
          <w:szCs w:val="21"/>
        </w:rPr>
        <w:t>（</w:t>
      </w:r>
      <w:r>
        <w:rPr>
          <w:rFonts w:ascii="Times New Roman" w:hAnsi="Times New Roman"/>
          <w:szCs w:val="21"/>
        </w:rPr>
        <w:t>1998</w:t>
      </w:r>
      <w:r>
        <w:rPr>
          <w:rFonts w:ascii="Times New Roman" w:hAnsi="Times New Roman"/>
          <w:szCs w:val="21"/>
        </w:rPr>
        <w:t>）扩展了考察对象，对</w:t>
      </w:r>
      <w:r>
        <w:rPr>
          <w:rFonts w:ascii="Times New Roman" w:hAnsi="Times New Roman"/>
          <w:szCs w:val="21"/>
        </w:rPr>
        <w:t>ITC</w:t>
      </w:r>
      <w:r>
        <w:rPr>
          <w:rFonts w:ascii="Times New Roman" w:hAnsi="Times New Roman"/>
          <w:szCs w:val="21"/>
        </w:rPr>
        <w:t>裁定的全部案件进行分析，结果表明，经济因素和政治压力都会对</w:t>
      </w:r>
      <w:r>
        <w:rPr>
          <w:rFonts w:ascii="Times New Roman" w:hAnsi="Times New Roman"/>
          <w:szCs w:val="21"/>
        </w:rPr>
        <w:t>ITC</w:t>
      </w:r>
      <w:r>
        <w:rPr>
          <w:rFonts w:ascii="Times New Roman" w:hAnsi="Times New Roman"/>
          <w:szCs w:val="21"/>
        </w:rPr>
        <w:t>裁定是否损害的结果构成显著影响。</w:t>
      </w:r>
      <w:r>
        <w:rPr>
          <w:rFonts w:ascii="Times New Roman" w:hAnsi="Times New Roman"/>
          <w:szCs w:val="21"/>
        </w:rPr>
        <w:t>Aggarwal</w:t>
      </w:r>
      <w:r>
        <w:rPr>
          <w:rFonts w:ascii="Times New Roman" w:hAnsi="Times New Roman"/>
          <w:szCs w:val="21"/>
        </w:rPr>
        <w:t>（</w:t>
      </w:r>
      <w:r>
        <w:rPr>
          <w:rFonts w:ascii="Times New Roman" w:hAnsi="Times New Roman"/>
          <w:szCs w:val="21"/>
        </w:rPr>
        <w:t>2004</w:t>
      </w:r>
      <w:r>
        <w:rPr>
          <w:rFonts w:ascii="Times New Roman" w:hAnsi="Times New Roman"/>
          <w:szCs w:val="21"/>
        </w:rPr>
        <w:t>）总结已有的研究时指出，单纯的经济驱动很难促使进口国的企业或利益集团发起反倾销，而政治力量是发起反倾销不可或缺的动因之一。</w:t>
      </w:r>
    </w:p>
    <w:p w14:paraId="13A4659E" w14:textId="77777777" w:rsidR="00501C7E" w:rsidRDefault="00EC5712">
      <w:pPr>
        <w:ind w:firstLine="420"/>
        <w:rPr>
          <w:rFonts w:ascii="Times New Roman" w:hAnsi="Times New Roman"/>
          <w:szCs w:val="21"/>
        </w:rPr>
      </w:pPr>
      <w:r>
        <w:rPr>
          <w:rFonts w:ascii="Times New Roman" w:hAnsi="Times New Roman" w:hint="eastAsia"/>
        </w:rPr>
        <w:t>国内</w:t>
      </w:r>
      <w:r>
        <w:rPr>
          <w:rFonts w:ascii="Times New Roman" w:hAnsi="Times New Roman"/>
        </w:rPr>
        <w:t>的一些文献</w:t>
      </w:r>
      <w:r>
        <w:rPr>
          <w:rFonts w:ascii="Times New Roman" w:hAnsi="Times New Roman" w:hint="eastAsia"/>
        </w:rPr>
        <w:t>也</w:t>
      </w:r>
      <w:r>
        <w:rPr>
          <w:rFonts w:ascii="Times New Roman" w:hAnsi="Times New Roman"/>
        </w:rPr>
        <w:t>研究了申诉者性质对反倾销税率裁定的影响。杨仕辉和肖德（</w:t>
      </w:r>
      <w:r>
        <w:rPr>
          <w:rFonts w:ascii="Times New Roman" w:hAnsi="Times New Roman"/>
        </w:rPr>
        <w:t>2000</w:t>
      </w:r>
      <w:r>
        <w:rPr>
          <w:rFonts w:ascii="Times New Roman" w:hAnsi="Times New Roman"/>
        </w:rPr>
        <w:t>）研究了在国际反倾销浪潮中我国对外反倾销申诉者较少的成因，主要是</w:t>
      </w:r>
      <w:r>
        <w:rPr>
          <w:rFonts w:ascii="Times New Roman" w:hAnsi="Times New Roman" w:hint="eastAsia"/>
        </w:rPr>
        <w:t>专业管理</w:t>
      </w:r>
      <w:r>
        <w:rPr>
          <w:rFonts w:ascii="Times New Roman" w:hAnsi="Times New Roman"/>
        </w:rPr>
        <w:t>投入不足、产业集中度低和反倾销博弈</w:t>
      </w:r>
      <w:r>
        <w:rPr>
          <w:rFonts w:ascii="Times New Roman" w:hAnsi="Times New Roman" w:hint="eastAsia"/>
        </w:rPr>
        <w:t>知识缺乏</w:t>
      </w:r>
      <w:r>
        <w:rPr>
          <w:rFonts w:ascii="Times New Roman" w:hAnsi="Times New Roman"/>
        </w:rPr>
        <w:t>等</w:t>
      </w:r>
      <w:r w:rsidR="00B337A0">
        <w:rPr>
          <w:rFonts w:ascii="Times New Roman" w:hAnsi="Times New Roman" w:hint="eastAsia"/>
        </w:rPr>
        <w:t>。</w:t>
      </w:r>
      <w:r>
        <w:rPr>
          <w:rFonts w:ascii="Times New Roman" w:hAnsi="Times New Roman"/>
        </w:rPr>
        <w:t>胡丹婷等（</w:t>
      </w:r>
      <w:r>
        <w:rPr>
          <w:rFonts w:ascii="Times New Roman" w:hAnsi="Times New Roman"/>
        </w:rPr>
        <w:t>2006</w:t>
      </w:r>
      <w:r>
        <w:rPr>
          <w:rFonts w:ascii="Times New Roman" w:hAnsi="Times New Roman"/>
        </w:rPr>
        <w:t>）研究发现，申诉者提起反倾销申诉的概率与总申诉成本收益比</w:t>
      </w:r>
      <w:r>
        <w:rPr>
          <w:rFonts w:ascii="Times New Roman" w:hAnsi="Times New Roman" w:hint="eastAsia"/>
        </w:rPr>
        <w:t>和厂商数量</w:t>
      </w:r>
      <w:r>
        <w:rPr>
          <w:rFonts w:ascii="Times New Roman" w:hAnsi="Times New Roman"/>
        </w:rPr>
        <w:t>成反比关系</w:t>
      </w:r>
      <w:r w:rsidR="00B337A0">
        <w:rPr>
          <w:rFonts w:ascii="Times New Roman" w:hAnsi="Times New Roman" w:hint="eastAsia"/>
        </w:rPr>
        <w:t>。</w:t>
      </w:r>
      <w:r>
        <w:rPr>
          <w:rFonts w:ascii="Times New Roman" w:hAnsi="Times New Roman"/>
        </w:rPr>
        <w:t>郭守亭（</w:t>
      </w:r>
      <w:r>
        <w:rPr>
          <w:rFonts w:ascii="Times New Roman" w:hAnsi="Times New Roman"/>
        </w:rPr>
        <w:t>2006</w:t>
      </w:r>
      <w:r>
        <w:rPr>
          <w:rFonts w:ascii="Times New Roman" w:hAnsi="Times New Roman"/>
        </w:rPr>
        <w:t>）基于信号博弈模型分析</w:t>
      </w:r>
      <w:r>
        <w:rPr>
          <w:rFonts w:ascii="Times New Roman" w:hAnsi="Times New Roman" w:hint="eastAsia"/>
        </w:rPr>
        <w:t>了在</w:t>
      </w:r>
      <w:r>
        <w:rPr>
          <w:rFonts w:ascii="Times New Roman" w:hAnsi="Times New Roman"/>
        </w:rPr>
        <w:t>反倾销</w:t>
      </w:r>
      <w:r>
        <w:rPr>
          <w:rFonts w:ascii="Times New Roman" w:hAnsi="Times New Roman" w:hint="eastAsia"/>
        </w:rPr>
        <w:t>裁定</w:t>
      </w:r>
      <w:r>
        <w:rPr>
          <w:rFonts w:ascii="Times New Roman" w:hAnsi="Times New Roman"/>
        </w:rPr>
        <w:t>中，进口国生产厂商之间在对外反倾销申诉问题上的微妙关系</w:t>
      </w:r>
      <w:r w:rsidR="00B337A0">
        <w:rPr>
          <w:rFonts w:ascii="Times New Roman" w:hAnsi="Times New Roman" w:hint="eastAsia"/>
        </w:rPr>
        <w:t>。</w:t>
      </w:r>
      <w:r>
        <w:rPr>
          <w:rFonts w:ascii="Times New Roman" w:hAnsi="Times New Roman"/>
        </w:rPr>
        <w:t>焦知岳和冯宗宪（</w:t>
      </w:r>
      <w:r>
        <w:rPr>
          <w:rFonts w:ascii="Times New Roman" w:hAnsi="Times New Roman"/>
        </w:rPr>
        <w:t>2008</w:t>
      </w:r>
      <w:r>
        <w:rPr>
          <w:rFonts w:ascii="Times New Roman" w:hAnsi="Times New Roman"/>
        </w:rPr>
        <w:t>）研究发现，当存在跨越关税壁垒的外国直接投资的可能时</w:t>
      </w:r>
      <w:r>
        <w:rPr>
          <w:rFonts w:ascii="Times New Roman" w:hAnsi="Times New Roman" w:hint="eastAsia"/>
        </w:rPr>
        <w:t>，</w:t>
      </w:r>
      <w:r>
        <w:rPr>
          <w:rFonts w:ascii="Times New Roman" w:hAnsi="Times New Roman"/>
        </w:rPr>
        <w:t>国内进口竞争企业一定程度上会减少反倾销申诉</w:t>
      </w:r>
      <w:r>
        <w:rPr>
          <w:rFonts w:ascii="Times New Roman" w:hAnsi="Times New Roman" w:hint="eastAsia"/>
        </w:rPr>
        <w:t>，</w:t>
      </w:r>
      <w:r>
        <w:rPr>
          <w:rFonts w:ascii="Times New Roman" w:hAnsi="Times New Roman"/>
        </w:rPr>
        <w:t>以降低外国企业直接投资的可能</w:t>
      </w:r>
      <w:r w:rsidR="00B337A0">
        <w:rPr>
          <w:rFonts w:ascii="Times New Roman" w:hAnsi="Times New Roman" w:hint="eastAsia"/>
        </w:rPr>
        <w:t>。</w:t>
      </w:r>
      <w:r>
        <w:rPr>
          <w:rFonts w:ascii="Times New Roman" w:hAnsi="Times New Roman"/>
        </w:rPr>
        <w:t>李坤望和王孝松（</w:t>
      </w:r>
      <w:r>
        <w:rPr>
          <w:rFonts w:ascii="Times New Roman" w:hAnsi="Times New Roman"/>
        </w:rPr>
        <w:t>2008</w:t>
      </w:r>
      <w:r>
        <w:rPr>
          <w:rFonts w:ascii="Times New Roman" w:hAnsi="Times New Roman"/>
        </w:rPr>
        <w:t>）研究发现，申诉者向美国国会提供的政治捐资会对反倾销税率产生重要影响</w:t>
      </w:r>
      <w:r w:rsidR="00B337A0">
        <w:rPr>
          <w:rFonts w:ascii="Times New Roman" w:hAnsi="Times New Roman" w:hint="eastAsia"/>
        </w:rPr>
        <w:t>。</w:t>
      </w:r>
      <w:r>
        <w:rPr>
          <w:rFonts w:ascii="Times New Roman" w:hAnsi="Times New Roman"/>
        </w:rPr>
        <w:t>李磊等（</w:t>
      </w:r>
      <w:r>
        <w:rPr>
          <w:rFonts w:ascii="Times New Roman" w:hAnsi="Times New Roman"/>
        </w:rPr>
        <w:t>2011</w:t>
      </w:r>
      <w:r>
        <w:rPr>
          <w:rFonts w:ascii="Times New Roman" w:hAnsi="Times New Roman"/>
        </w:rPr>
        <w:t>）研究发现，规模越大、沉没成本越高、对政府具有政治价值更大的申诉者越具有能力和动力提出反倾销申诉，同时越有可能得到政府的反倾销支持</w:t>
      </w:r>
      <w:r w:rsidR="00B337A0">
        <w:rPr>
          <w:rFonts w:ascii="Times New Roman" w:hAnsi="Times New Roman" w:hint="eastAsia"/>
        </w:rPr>
        <w:t>。</w:t>
      </w:r>
      <w:r>
        <w:rPr>
          <w:rFonts w:ascii="Times New Roman" w:hAnsi="Times New Roman"/>
        </w:rPr>
        <w:t>杨晓云和药朝诚（</w:t>
      </w:r>
      <w:r>
        <w:rPr>
          <w:rFonts w:ascii="Times New Roman" w:hAnsi="Times New Roman"/>
        </w:rPr>
        <w:t>2012</w:t>
      </w:r>
      <w:r>
        <w:rPr>
          <w:rFonts w:ascii="Times New Roman" w:hAnsi="Times New Roman"/>
        </w:rPr>
        <w:t>）提出申诉者所在行业的企业单位数、总资产密集度和进口渗透率是发起反倾销申诉的重要影响因素</w:t>
      </w:r>
      <w:r w:rsidR="00B337A0">
        <w:rPr>
          <w:rFonts w:ascii="Times New Roman" w:hAnsi="Times New Roman" w:hint="eastAsia"/>
        </w:rPr>
        <w:t>。</w:t>
      </w:r>
      <w:r>
        <w:rPr>
          <w:rFonts w:ascii="Times New Roman" w:hAnsi="Times New Roman"/>
        </w:rPr>
        <w:t>王孝松和谢申祥（</w:t>
      </w:r>
      <w:r>
        <w:rPr>
          <w:rFonts w:ascii="Times New Roman" w:hAnsi="Times New Roman"/>
        </w:rPr>
        <w:t>2013</w:t>
      </w:r>
      <w:r>
        <w:rPr>
          <w:rFonts w:ascii="Times New Roman" w:hAnsi="Times New Roman"/>
        </w:rPr>
        <w:t>）研究发现，印度化工行业的申诉者在反倾销税率裁定中具有较大优势。</w:t>
      </w:r>
    </w:p>
    <w:p w14:paraId="24DB07FC" w14:textId="77777777" w:rsidR="00501C7E" w:rsidRPr="00D80106" w:rsidRDefault="00EC5712" w:rsidP="00D80106">
      <w:pPr>
        <w:ind w:firstLine="420"/>
        <w:outlineLvl w:val="0"/>
        <w:rPr>
          <w:rFonts w:ascii="Times New Roman" w:eastAsia="楷体" w:hAnsi="Times New Roman"/>
          <w:szCs w:val="21"/>
        </w:rPr>
      </w:pPr>
      <w:r>
        <w:rPr>
          <w:rFonts w:ascii="Times New Roman" w:eastAsia="楷体" w:hAnsi="Times New Roman"/>
          <w:szCs w:val="21"/>
        </w:rPr>
        <w:t>3.</w:t>
      </w:r>
      <w:r>
        <w:rPr>
          <w:rFonts w:ascii="Times New Roman" w:eastAsia="楷体" w:hAnsi="Times New Roman"/>
          <w:szCs w:val="21"/>
        </w:rPr>
        <w:t>关于保护待售模型的文献研究</w:t>
      </w:r>
      <w:r w:rsidR="00D80106">
        <w:rPr>
          <w:rFonts w:ascii="Times New Roman" w:eastAsia="楷体" w:hAnsi="Times New Roman" w:hint="eastAsia"/>
          <w:szCs w:val="21"/>
        </w:rPr>
        <w:t>。</w:t>
      </w:r>
      <w:r>
        <w:rPr>
          <w:rFonts w:ascii="Times New Roman" w:hAnsi="Times New Roman"/>
          <w:szCs w:val="21"/>
        </w:rPr>
        <w:t>本文研究的理论基础是</w:t>
      </w:r>
      <w:r>
        <w:rPr>
          <w:rFonts w:ascii="Times New Roman" w:hAnsi="Times New Roman"/>
          <w:szCs w:val="21"/>
        </w:rPr>
        <w:t xml:space="preserve">Grossman </w:t>
      </w:r>
      <w:r>
        <w:rPr>
          <w:rFonts w:ascii="Times New Roman" w:hAnsi="Times New Roman"/>
        </w:rPr>
        <w:t>&amp;</w:t>
      </w:r>
      <w:r>
        <w:rPr>
          <w:rFonts w:ascii="Times New Roman" w:hAnsi="Times New Roman"/>
          <w:szCs w:val="21"/>
        </w:rPr>
        <w:t xml:space="preserve"> Helpman</w:t>
      </w:r>
      <w:r>
        <w:rPr>
          <w:rFonts w:ascii="Times New Roman" w:hAnsi="Times New Roman"/>
          <w:szCs w:val="21"/>
        </w:rPr>
        <w:t>（</w:t>
      </w:r>
      <w:r>
        <w:rPr>
          <w:rFonts w:ascii="Times New Roman" w:hAnsi="Times New Roman"/>
          <w:szCs w:val="21"/>
        </w:rPr>
        <w:t>1994</w:t>
      </w:r>
      <w:r>
        <w:rPr>
          <w:rFonts w:ascii="Times New Roman" w:hAnsi="Times New Roman"/>
          <w:szCs w:val="21"/>
        </w:rPr>
        <w:t>）的</w:t>
      </w:r>
      <w:r>
        <w:rPr>
          <w:rFonts w:ascii="Times New Roman" w:hAnsi="Times New Roman" w:hint="eastAsia"/>
          <w:szCs w:val="21"/>
        </w:rPr>
        <w:t>“</w:t>
      </w:r>
      <w:r>
        <w:rPr>
          <w:rFonts w:ascii="Times New Roman" w:hAnsi="Times New Roman"/>
          <w:szCs w:val="21"/>
        </w:rPr>
        <w:t>保护待售</w:t>
      </w:r>
      <w:r>
        <w:rPr>
          <w:rFonts w:ascii="Times New Roman" w:hAnsi="Times New Roman" w:hint="eastAsia"/>
          <w:szCs w:val="21"/>
        </w:rPr>
        <w:t>”</w:t>
      </w:r>
      <w:r>
        <w:rPr>
          <w:rFonts w:ascii="Times New Roman" w:hAnsi="Times New Roman"/>
          <w:szCs w:val="21"/>
        </w:rPr>
        <w:t>模型，该模型简洁清晰地揭示出政府和利益集团互动、最终决定贸易政策的机制，并且模型中不包含现实</w:t>
      </w:r>
      <w:r w:rsidR="00D80106">
        <w:rPr>
          <w:rFonts w:ascii="Times New Roman" w:hAnsi="Times New Roman"/>
          <w:szCs w:val="21"/>
        </w:rPr>
        <w:t>中</w:t>
      </w:r>
      <w:r>
        <w:rPr>
          <w:rFonts w:ascii="Times New Roman" w:hAnsi="Times New Roman"/>
          <w:szCs w:val="21"/>
        </w:rPr>
        <w:t>无法观测到的参数，因此引发了众多学者对其扩展并进行经验检验。</w:t>
      </w:r>
      <w:r>
        <w:rPr>
          <w:rFonts w:ascii="Times New Roman" w:hAnsi="Times New Roman"/>
          <w:szCs w:val="21"/>
        </w:rPr>
        <w:t xml:space="preserve">Goldberg </w:t>
      </w:r>
      <w:r>
        <w:rPr>
          <w:rFonts w:ascii="Times New Roman" w:hAnsi="Times New Roman"/>
        </w:rPr>
        <w:t>&amp;</w:t>
      </w:r>
      <w:r>
        <w:rPr>
          <w:rFonts w:ascii="Times New Roman" w:hAnsi="Times New Roman"/>
          <w:szCs w:val="21"/>
        </w:rPr>
        <w:t xml:space="preserve"> Maggi</w:t>
      </w:r>
      <w:r>
        <w:rPr>
          <w:rFonts w:ascii="Times New Roman" w:hAnsi="Times New Roman" w:hint="eastAsia"/>
          <w:szCs w:val="21"/>
        </w:rPr>
        <w:t>（</w:t>
      </w:r>
      <w:r>
        <w:rPr>
          <w:rFonts w:ascii="Times New Roman" w:hAnsi="Times New Roman"/>
          <w:szCs w:val="21"/>
        </w:rPr>
        <w:t>1999</w:t>
      </w:r>
      <w:r>
        <w:rPr>
          <w:rFonts w:ascii="Times New Roman" w:hAnsi="Times New Roman" w:hint="eastAsia"/>
          <w:szCs w:val="21"/>
        </w:rPr>
        <w:t>）</w:t>
      </w:r>
      <w:r>
        <w:rPr>
          <w:rFonts w:ascii="Times New Roman" w:hAnsi="Times New Roman"/>
          <w:szCs w:val="21"/>
        </w:rPr>
        <w:t>首次使用美国制造业的数据进行研究，计量结果为模型的适用性提供了有力支持。</w:t>
      </w:r>
    </w:p>
    <w:p w14:paraId="01CE211F" w14:textId="77777777" w:rsidR="00501C7E" w:rsidRDefault="00EC5712">
      <w:pPr>
        <w:ind w:firstLine="420"/>
        <w:rPr>
          <w:rFonts w:ascii="Times New Roman" w:hAnsi="Times New Roman"/>
          <w:szCs w:val="21"/>
        </w:rPr>
      </w:pPr>
      <w:r>
        <w:rPr>
          <w:rFonts w:ascii="Times New Roman" w:hAnsi="Times New Roman"/>
        </w:rPr>
        <w:t>此后，学者们对</w:t>
      </w:r>
      <w:r>
        <w:rPr>
          <w:rFonts w:ascii="Times New Roman" w:hAnsi="Times New Roman" w:hint="eastAsia"/>
        </w:rPr>
        <w:t>“</w:t>
      </w:r>
      <w:r>
        <w:rPr>
          <w:rFonts w:ascii="Times New Roman" w:hAnsi="Times New Roman"/>
        </w:rPr>
        <w:t>保护待售</w:t>
      </w:r>
      <w:r>
        <w:rPr>
          <w:rFonts w:ascii="Times New Roman" w:hAnsi="Times New Roman" w:hint="eastAsia"/>
          <w:szCs w:val="21"/>
        </w:rPr>
        <w:t>”</w:t>
      </w:r>
      <w:r>
        <w:rPr>
          <w:rFonts w:ascii="Times New Roman" w:hAnsi="Times New Roman"/>
        </w:rPr>
        <w:t>模型进行了扩展，将国际贸易领域的一系列重要问题纳入到模型当中，并分别进行了有针对性的检验。例如</w:t>
      </w:r>
      <w:r>
        <w:rPr>
          <w:rFonts w:ascii="Times New Roman" w:hAnsi="Times New Roman"/>
          <w:szCs w:val="21"/>
        </w:rPr>
        <w:t>Chang &amp; Lee</w:t>
      </w:r>
      <w:r>
        <w:rPr>
          <w:rFonts w:ascii="Times New Roman" w:hAnsi="Times New Roman"/>
        </w:rPr>
        <w:t>（</w:t>
      </w:r>
      <w:r>
        <w:rPr>
          <w:rFonts w:ascii="Times New Roman" w:hAnsi="Times New Roman"/>
        </w:rPr>
        <w:t>200</w:t>
      </w:r>
      <w:r>
        <w:rPr>
          <w:rFonts w:ascii="Times New Roman" w:hAnsi="Times New Roman" w:hint="eastAsia"/>
        </w:rPr>
        <w:t>5</w:t>
      </w:r>
      <w:r>
        <w:rPr>
          <w:rFonts w:ascii="Times New Roman" w:hAnsi="Times New Roman"/>
        </w:rPr>
        <w:t>）</w:t>
      </w:r>
      <w:r>
        <w:rPr>
          <w:rFonts w:ascii="Times New Roman" w:hAnsi="Times New Roman"/>
          <w:szCs w:val="21"/>
        </w:rPr>
        <w:t>的垄断竞争市场结构问题；</w:t>
      </w:r>
      <w:r>
        <w:rPr>
          <w:rFonts w:ascii="Times New Roman" w:hAnsi="Times New Roman"/>
          <w:kern w:val="0"/>
          <w:szCs w:val="21"/>
        </w:rPr>
        <w:t xml:space="preserve">Nunn </w:t>
      </w:r>
      <w:r>
        <w:rPr>
          <w:rFonts w:ascii="Times New Roman" w:hAnsi="Times New Roman"/>
        </w:rPr>
        <w:t>&amp;</w:t>
      </w:r>
      <w:r>
        <w:rPr>
          <w:rFonts w:ascii="Times New Roman" w:hAnsi="Times New Roman"/>
          <w:kern w:val="0"/>
          <w:szCs w:val="21"/>
        </w:rPr>
        <w:t xml:space="preserve"> Trefler</w:t>
      </w:r>
      <w:r>
        <w:rPr>
          <w:rFonts w:ascii="Times New Roman" w:hAnsi="Times New Roman"/>
          <w:kern w:val="0"/>
          <w:szCs w:val="21"/>
        </w:rPr>
        <w:t>（</w:t>
      </w:r>
      <w:r>
        <w:rPr>
          <w:rFonts w:ascii="Times New Roman" w:hAnsi="Times New Roman"/>
          <w:kern w:val="0"/>
          <w:szCs w:val="21"/>
        </w:rPr>
        <w:t>2006</w:t>
      </w:r>
      <w:r>
        <w:rPr>
          <w:rFonts w:ascii="Times New Roman" w:hAnsi="Times New Roman"/>
          <w:kern w:val="0"/>
          <w:szCs w:val="21"/>
        </w:rPr>
        <w:t>）的保护与经济增长问题</w:t>
      </w:r>
      <w:r>
        <w:rPr>
          <w:rFonts w:ascii="Times New Roman" w:hAnsi="Times New Roman" w:hint="eastAsia"/>
          <w:kern w:val="0"/>
          <w:szCs w:val="21"/>
        </w:rPr>
        <w:t>；</w:t>
      </w:r>
      <w:r>
        <w:rPr>
          <w:rFonts w:ascii="Times New Roman" w:hAnsi="Times New Roman"/>
        </w:rPr>
        <w:t>Matschke</w:t>
      </w:r>
      <w:r>
        <w:rPr>
          <w:rFonts w:ascii="Times New Roman" w:hAnsi="Times New Roman"/>
          <w:szCs w:val="21"/>
        </w:rPr>
        <w:t xml:space="preserve"> </w:t>
      </w:r>
      <w:r>
        <w:rPr>
          <w:rFonts w:ascii="Times New Roman" w:hAnsi="Times New Roman"/>
        </w:rPr>
        <w:t>&amp; Sherlund</w:t>
      </w:r>
      <w:r>
        <w:rPr>
          <w:rFonts w:ascii="Times New Roman" w:hAnsi="Times New Roman"/>
        </w:rPr>
        <w:t>（</w:t>
      </w:r>
      <w:r>
        <w:rPr>
          <w:rFonts w:ascii="Times New Roman" w:hAnsi="Times New Roman"/>
        </w:rPr>
        <w:t>2006</w:t>
      </w:r>
      <w:r>
        <w:rPr>
          <w:rFonts w:ascii="Times New Roman" w:hAnsi="Times New Roman"/>
        </w:rPr>
        <w:t>）的劳动力流动问题；</w:t>
      </w:r>
      <w:r>
        <w:rPr>
          <w:rFonts w:ascii="Times New Roman" w:hAnsi="Times New Roman"/>
        </w:rPr>
        <w:t>Facchini</w:t>
      </w:r>
      <w:r>
        <w:rPr>
          <w:rFonts w:ascii="Times New Roman" w:hAnsi="Times New Roman"/>
          <w:szCs w:val="21"/>
        </w:rPr>
        <w:t xml:space="preserve"> et al</w:t>
      </w:r>
      <w:r>
        <w:rPr>
          <w:rFonts w:ascii="Times New Roman" w:hAnsi="Times New Roman"/>
        </w:rPr>
        <w:t>（</w:t>
      </w:r>
      <w:r>
        <w:rPr>
          <w:rFonts w:ascii="Times New Roman" w:hAnsi="Times New Roman"/>
        </w:rPr>
        <w:t>2006</w:t>
      </w:r>
      <w:r>
        <w:rPr>
          <w:rFonts w:ascii="Times New Roman" w:hAnsi="Times New Roman"/>
        </w:rPr>
        <w:t>）</w:t>
      </w:r>
      <w:r>
        <w:rPr>
          <w:rFonts w:ascii="Times New Roman" w:hAnsi="Times New Roman"/>
          <w:szCs w:val="21"/>
        </w:rPr>
        <w:t>的租金不完全获得问题；</w:t>
      </w:r>
      <w:r>
        <w:rPr>
          <w:rFonts w:ascii="Times New Roman" w:hAnsi="Times New Roman"/>
        </w:rPr>
        <w:t>Gawande</w:t>
      </w:r>
      <w:r>
        <w:rPr>
          <w:rFonts w:ascii="Times New Roman" w:hAnsi="Times New Roman"/>
          <w:szCs w:val="21"/>
        </w:rPr>
        <w:t xml:space="preserve"> et al</w:t>
      </w:r>
      <w:r>
        <w:rPr>
          <w:rFonts w:ascii="Times New Roman" w:hAnsi="Times New Roman"/>
        </w:rPr>
        <w:t>（</w:t>
      </w:r>
      <w:r>
        <w:rPr>
          <w:rFonts w:ascii="Times New Roman" w:hAnsi="Times New Roman"/>
        </w:rPr>
        <w:t>2006</w:t>
      </w:r>
      <w:r>
        <w:rPr>
          <w:rFonts w:ascii="Times New Roman" w:hAnsi="Times New Roman"/>
        </w:rPr>
        <w:t>）的国外游说问题；</w:t>
      </w:r>
      <w:r>
        <w:rPr>
          <w:rFonts w:ascii="Times New Roman" w:hAnsi="Times New Roman"/>
        </w:rPr>
        <w:t>Bombardini</w:t>
      </w:r>
      <w:r>
        <w:rPr>
          <w:rFonts w:ascii="Times New Roman" w:hAnsi="Times New Roman"/>
        </w:rPr>
        <w:t>（</w:t>
      </w:r>
      <w:r>
        <w:rPr>
          <w:rFonts w:ascii="Times New Roman" w:hAnsi="Times New Roman"/>
        </w:rPr>
        <w:t>2008</w:t>
      </w:r>
      <w:r>
        <w:rPr>
          <w:rFonts w:ascii="Times New Roman" w:hAnsi="Times New Roman"/>
        </w:rPr>
        <w:t>）的厂商异质性问题</w:t>
      </w:r>
      <w:r>
        <w:rPr>
          <w:rFonts w:ascii="Times New Roman" w:hAnsi="Times New Roman" w:hint="eastAsia"/>
        </w:rPr>
        <w:t>；</w:t>
      </w:r>
      <w:r>
        <w:rPr>
          <w:rFonts w:ascii="Times New Roman" w:hAnsi="Times New Roman"/>
        </w:rPr>
        <w:t>Gawande</w:t>
      </w:r>
      <w:r>
        <w:rPr>
          <w:rFonts w:ascii="Times New Roman" w:hAnsi="Times New Roman"/>
          <w:szCs w:val="21"/>
        </w:rPr>
        <w:t xml:space="preserve"> et al</w:t>
      </w:r>
      <w:r>
        <w:rPr>
          <w:rFonts w:ascii="Times New Roman" w:hAnsi="Times New Roman"/>
        </w:rPr>
        <w:t>（</w:t>
      </w:r>
      <w:r>
        <w:rPr>
          <w:rFonts w:ascii="Times New Roman" w:hAnsi="Times New Roman"/>
        </w:rPr>
        <w:t>2012</w:t>
      </w:r>
      <w:r>
        <w:rPr>
          <w:rFonts w:ascii="Times New Roman" w:hAnsi="Times New Roman"/>
        </w:rPr>
        <w:t>）的游说竞争问题</w:t>
      </w:r>
      <w:r w:rsidR="00BA486E">
        <w:rPr>
          <w:rFonts w:ascii="Times New Roman" w:hAnsi="Times New Roman"/>
          <w:kern w:val="0"/>
          <w:szCs w:val="21"/>
        </w:rPr>
        <w:t>等</w:t>
      </w:r>
      <w:r>
        <w:rPr>
          <w:rFonts w:ascii="Times New Roman" w:hAnsi="Times New Roman"/>
          <w:kern w:val="0"/>
          <w:szCs w:val="21"/>
        </w:rPr>
        <w:t>。</w:t>
      </w:r>
      <w:r>
        <w:rPr>
          <w:rFonts w:ascii="Times New Roman" w:hAnsi="Times New Roman"/>
          <w:kern w:val="0"/>
          <w:szCs w:val="21"/>
        </w:rPr>
        <w:t>Paltseva</w:t>
      </w:r>
      <w:r>
        <w:rPr>
          <w:rFonts w:ascii="Times New Roman" w:hAnsi="Times New Roman"/>
          <w:szCs w:val="21"/>
        </w:rPr>
        <w:t>（</w:t>
      </w:r>
      <w:r>
        <w:rPr>
          <w:rFonts w:ascii="Times New Roman" w:hAnsi="Times New Roman"/>
          <w:szCs w:val="21"/>
        </w:rPr>
        <w:t>2014</w:t>
      </w:r>
      <w:r>
        <w:rPr>
          <w:rFonts w:ascii="Times New Roman" w:hAnsi="Times New Roman"/>
          <w:szCs w:val="21"/>
        </w:rPr>
        <w:t>）将需求关联和寡头竞争引入保护待售框架，以解决产品可替代性引发的游说者竞争问题。杨飞等（</w:t>
      </w:r>
      <w:r>
        <w:rPr>
          <w:rFonts w:ascii="Times New Roman" w:hAnsi="Times New Roman"/>
          <w:szCs w:val="21"/>
        </w:rPr>
        <w:t>2018</w:t>
      </w:r>
      <w:r>
        <w:rPr>
          <w:rFonts w:ascii="Times New Roman" w:hAnsi="Times New Roman"/>
          <w:szCs w:val="21"/>
        </w:rPr>
        <w:t>）通过保护待售模型研究发现，中国对美国的技术追赶会影响贸易逆差和政治捐资的相互作用，进而影响美国对华贸易政策。</w:t>
      </w:r>
      <w:r>
        <w:rPr>
          <w:rFonts w:ascii="Times New Roman" w:hAnsi="Times New Roman"/>
          <w:szCs w:val="21"/>
        </w:rPr>
        <w:t xml:space="preserve">Annicchiarico </w:t>
      </w:r>
      <w:r>
        <w:rPr>
          <w:rFonts w:ascii="Times New Roman" w:hAnsi="Times New Roman"/>
        </w:rPr>
        <w:t>&amp;</w:t>
      </w:r>
      <w:r>
        <w:rPr>
          <w:rFonts w:ascii="Times New Roman" w:hAnsi="Times New Roman"/>
          <w:szCs w:val="21"/>
        </w:rPr>
        <w:t xml:space="preserve"> Marvasi</w:t>
      </w:r>
      <w:r>
        <w:rPr>
          <w:rFonts w:ascii="Times New Roman" w:hAnsi="Times New Roman"/>
          <w:szCs w:val="21"/>
        </w:rPr>
        <w:t>（</w:t>
      </w:r>
      <w:r>
        <w:rPr>
          <w:rFonts w:ascii="Times New Roman" w:hAnsi="Times New Roman"/>
          <w:szCs w:val="21"/>
        </w:rPr>
        <w:t>2019</w:t>
      </w:r>
      <w:r>
        <w:rPr>
          <w:rFonts w:ascii="Times New Roman" w:hAnsi="Times New Roman"/>
          <w:szCs w:val="21"/>
        </w:rPr>
        <w:t>）将具有可变加价和不完全传递的垄断竞争模型引入保护待售理论框架。</w:t>
      </w:r>
    </w:p>
    <w:p w14:paraId="5BD95C2E" w14:textId="77777777" w:rsidR="00501C7E" w:rsidRDefault="00EC5712">
      <w:pPr>
        <w:ind w:firstLine="420"/>
        <w:rPr>
          <w:rFonts w:ascii="Times New Roman" w:hAnsi="Times New Roman"/>
          <w:szCs w:val="21"/>
        </w:rPr>
      </w:pPr>
      <w:r>
        <w:rPr>
          <w:rFonts w:ascii="Times New Roman" w:hAnsi="Times New Roman"/>
          <w:szCs w:val="21"/>
        </w:rPr>
        <w:t>此外，也有学者尝试将</w:t>
      </w:r>
      <w:r>
        <w:rPr>
          <w:rFonts w:ascii="Times New Roman" w:hAnsi="Times New Roman" w:hint="eastAsia"/>
          <w:szCs w:val="21"/>
        </w:rPr>
        <w:t>欧盟</w:t>
      </w:r>
      <w:r>
        <w:rPr>
          <w:rFonts w:ascii="Times New Roman" w:hAnsi="Times New Roman"/>
          <w:szCs w:val="21"/>
        </w:rPr>
        <w:t>贸易保护结构用于</w:t>
      </w:r>
      <w:r>
        <w:rPr>
          <w:rFonts w:ascii="Times New Roman" w:hAnsi="Times New Roman" w:hint="eastAsia"/>
          <w:szCs w:val="21"/>
        </w:rPr>
        <w:t>“</w:t>
      </w:r>
      <w:r>
        <w:rPr>
          <w:rFonts w:ascii="Times New Roman" w:hAnsi="Times New Roman"/>
          <w:szCs w:val="21"/>
        </w:rPr>
        <w:t>保护待售</w:t>
      </w:r>
      <w:r>
        <w:rPr>
          <w:rFonts w:ascii="Times New Roman" w:hAnsi="Times New Roman" w:hint="eastAsia"/>
          <w:szCs w:val="21"/>
        </w:rPr>
        <w:t>”</w:t>
      </w:r>
      <w:r>
        <w:rPr>
          <w:rFonts w:ascii="Times New Roman" w:hAnsi="Times New Roman"/>
          <w:szCs w:val="21"/>
        </w:rPr>
        <w:t>模型的检验。</w:t>
      </w:r>
      <w:r>
        <w:rPr>
          <w:rFonts w:ascii="Times New Roman" w:hAnsi="Times New Roman"/>
          <w:szCs w:val="21"/>
        </w:rPr>
        <w:t>Belloc</w:t>
      </w:r>
      <w:r>
        <w:rPr>
          <w:rFonts w:ascii="Times New Roman" w:hAnsi="Times New Roman" w:hint="eastAsia"/>
          <w:szCs w:val="21"/>
        </w:rPr>
        <w:t>（</w:t>
      </w:r>
      <w:r>
        <w:rPr>
          <w:rFonts w:ascii="Times New Roman" w:hAnsi="Times New Roman"/>
          <w:szCs w:val="21"/>
        </w:rPr>
        <w:t>2007</w:t>
      </w:r>
      <w:r>
        <w:rPr>
          <w:rFonts w:ascii="Times New Roman" w:hAnsi="Times New Roman" w:hint="eastAsia"/>
          <w:szCs w:val="21"/>
        </w:rPr>
        <w:t>）</w:t>
      </w:r>
      <w:r>
        <w:rPr>
          <w:rFonts w:ascii="Times New Roman" w:hAnsi="Times New Roman"/>
          <w:szCs w:val="21"/>
        </w:rPr>
        <w:t>采用量化的非关税壁垒和总体限制来测度贸易保护水平，以欧盟为考察对象对</w:t>
      </w:r>
      <w:r>
        <w:rPr>
          <w:rFonts w:ascii="Times New Roman" w:hAnsi="Times New Roman" w:hint="eastAsia"/>
          <w:szCs w:val="21"/>
        </w:rPr>
        <w:t>“</w:t>
      </w:r>
      <w:r>
        <w:rPr>
          <w:rFonts w:ascii="Times New Roman" w:hAnsi="Times New Roman"/>
          <w:szCs w:val="21"/>
        </w:rPr>
        <w:t>保护待售</w:t>
      </w:r>
      <w:r>
        <w:rPr>
          <w:rFonts w:ascii="Times New Roman" w:hAnsi="Times New Roman" w:hint="eastAsia"/>
          <w:szCs w:val="21"/>
        </w:rPr>
        <w:t>”</w:t>
      </w:r>
      <w:r>
        <w:rPr>
          <w:rFonts w:ascii="Times New Roman" w:hAnsi="Times New Roman"/>
          <w:szCs w:val="21"/>
        </w:rPr>
        <w:t>模型进行估计</w:t>
      </w:r>
      <w:r>
        <w:rPr>
          <w:rFonts w:ascii="Times New Roman" w:hAnsi="Times New Roman" w:hint="eastAsia"/>
          <w:szCs w:val="21"/>
        </w:rPr>
        <w:t>，</w:t>
      </w:r>
      <w:r>
        <w:rPr>
          <w:rFonts w:ascii="Times New Roman" w:hAnsi="Times New Roman"/>
          <w:szCs w:val="21"/>
        </w:rPr>
        <w:t>使用行业参与组织对话的数量来确定行业在政治上是否有组织，并证实了保护待售模型的基本结论。</w:t>
      </w:r>
      <w:r>
        <w:rPr>
          <w:rFonts w:ascii="Times New Roman" w:hAnsi="Times New Roman"/>
          <w:szCs w:val="21"/>
        </w:rPr>
        <w:t xml:space="preserve">Belloc </w:t>
      </w:r>
      <w:r>
        <w:rPr>
          <w:rFonts w:ascii="Times New Roman" w:hAnsi="Times New Roman"/>
        </w:rPr>
        <w:t>&amp;</w:t>
      </w:r>
      <w:r>
        <w:rPr>
          <w:rFonts w:ascii="Times New Roman" w:hAnsi="Times New Roman"/>
          <w:szCs w:val="21"/>
        </w:rPr>
        <w:t xml:space="preserve"> Guerrieri</w:t>
      </w:r>
      <w:r>
        <w:rPr>
          <w:rFonts w:ascii="Times New Roman" w:hAnsi="Times New Roman" w:hint="eastAsia"/>
          <w:szCs w:val="21"/>
        </w:rPr>
        <w:t>（</w:t>
      </w:r>
      <w:r>
        <w:rPr>
          <w:rFonts w:ascii="Times New Roman" w:hAnsi="Times New Roman"/>
          <w:szCs w:val="21"/>
        </w:rPr>
        <w:t>2008</w:t>
      </w:r>
      <w:r>
        <w:rPr>
          <w:rFonts w:ascii="Times New Roman" w:hAnsi="Times New Roman" w:hint="eastAsia"/>
          <w:szCs w:val="21"/>
        </w:rPr>
        <w:t>）</w:t>
      </w:r>
      <w:r>
        <w:rPr>
          <w:rFonts w:ascii="Times New Roman" w:hAnsi="Times New Roman"/>
          <w:szCs w:val="21"/>
          <w:vertAlign w:val="superscript"/>
        </w:rPr>
        <w:t xml:space="preserve"> </w:t>
      </w:r>
      <w:r>
        <w:rPr>
          <w:rFonts w:ascii="Times New Roman" w:hAnsi="Times New Roman"/>
          <w:szCs w:val="21"/>
        </w:rPr>
        <w:t>扩展了原始的</w:t>
      </w:r>
      <w:r>
        <w:rPr>
          <w:rFonts w:ascii="Times New Roman" w:hAnsi="Times New Roman" w:hint="eastAsia"/>
          <w:szCs w:val="21"/>
        </w:rPr>
        <w:t>“</w:t>
      </w:r>
      <w:r>
        <w:rPr>
          <w:rFonts w:ascii="Times New Roman" w:hAnsi="Times New Roman"/>
          <w:szCs w:val="21"/>
        </w:rPr>
        <w:t>保护待售</w:t>
      </w:r>
      <w:r>
        <w:rPr>
          <w:rFonts w:ascii="Times New Roman" w:hAnsi="Times New Roman" w:hint="eastAsia"/>
          <w:szCs w:val="21"/>
        </w:rPr>
        <w:t>”</w:t>
      </w:r>
      <w:r>
        <w:rPr>
          <w:rFonts w:ascii="Times New Roman" w:hAnsi="Times New Roman"/>
          <w:szCs w:val="21"/>
        </w:rPr>
        <w:t>模型，以适应欧盟超主权国家联盟的体制环境，一是拓宽了利益集团影响贸易政策的手段，二是在多部门、多国框架下建立了贸易政策形成的两阶段博弈模型。</w:t>
      </w:r>
    </w:p>
    <w:p w14:paraId="3CB23A36" w14:textId="77777777" w:rsidR="00501C7E" w:rsidRDefault="00EC5712">
      <w:pPr>
        <w:ind w:firstLine="420"/>
        <w:rPr>
          <w:rFonts w:ascii="Times New Roman" w:hAnsi="Times New Roman"/>
        </w:rPr>
      </w:pPr>
      <w:r>
        <w:rPr>
          <w:rFonts w:ascii="Times New Roman" w:hAnsi="Times New Roman"/>
          <w:szCs w:val="21"/>
        </w:rPr>
        <w:lastRenderedPageBreak/>
        <w:t>已有的相关文献从多个维度揭示了贸易伙伴对华反倾销的影响因素，为进一步研究分析提供了可资借鉴的范式，但目前还存在如下扩展空间</w:t>
      </w:r>
      <w:r>
        <w:rPr>
          <w:rFonts w:ascii="Times New Roman" w:hAnsi="Times New Roman" w:hint="eastAsia"/>
          <w:szCs w:val="21"/>
        </w:rPr>
        <w:t>：</w:t>
      </w:r>
      <w:r>
        <w:rPr>
          <w:rFonts w:ascii="Times New Roman" w:hAnsi="Times New Roman"/>
          <w:szCs w:val="21"/>
        </w:rPr>
        <w:t>一是研究对象集中在对华反倾销案件数量、反倾销认定与否以及非关税壁垒保护水平，而较少涉及到反倾销税率，且并未对反倾销初裁税率和终裁税率做区分研究；二是</w:t>
      </w:r>
      <w:r w:rsidR="00BA486E">
        <w:rPr>
          <w:rFonts w:ascii="Times New Roman" w:hAnsi="Times New Roman"/>
          <w:szCs w:val="21"/>
        </w:rPr>
        <w:t>在定量研究文献</w:t>
      </w:r>
      <w:r>
        <w:rPr>
          <w:rFonts w:ascii="Times New Roman" w:hAnsi="Times New Roman"/>
          <w:szCs w:val="21"/>
        </w:rPr>
        <w:t>中，研究宏观政治</w:t>
      </w:r>
      <w:r>
        <w:rPr>
          <w:rFonts w:ascii="Times New Roman" w:hAnsi="Times New Roman" w:hint="eastAsia"/>
          <w:szCs w:val="21"/>
        </w:rPr>
        <w:t>经济</w:t>
      </w:r>
      <w:r>
        <w:rPr>
          <w:rFonts w:ascii="Times New Roman" w:hAnsi="Times New Roman"/>
          <w:szCs w:val="21"/>
        </w:rPr>
        <w:t>因素对反倾销影响的文章较多，研究微观因素的文章相对较少；三是现有研究更多将影响因素聚焦到行业和国家层面，而未具体到与案件密切相关的申诉者层面。</w:t>
      </w:r>
    </w:p>
    <w:p w14:paraId="1C7010DF" w14:textId="77777777" w:rsidR="00501C7E" w:rsidRDefault="00BA486E">
      <w:pPr>
        <w:ind w:firstLine="420"/>
        <w:rPr>
          <w:rFonts w:ascii="Times New Roman" w:hAnsi="Times New Roman"/>
          <w:szCs w:val="21"/>
        </w:rPr>
      </w:pPr>
      <w:r>
        <w:rPr>
          <w:rFonts w:ascii="Times New Roman" w:hAnsi="Times New Roman"/>
          <w:szCs w:val="21"/>
        </w:rPr>
        <w:t>本文</w:t>
      </w:r>
      <w:r w:rsidR="00EC5712">
        <w:rPr>
          <w:rFonts w:ascii="Times New Roman" w:hAnsi="Times New Roman"/>
          <w:szCs w:val="21"/>
        </w:rPr>
        <w:t>旨在进一步揭示出</w:t>
      </w:r>
      <w:r w:rsidR="00EC5712">
        <w:rPr>
          <w:rFonts w:ascii="Times New Roman" w:hAnsi="Times New Roman" w:hint="eastAsia"/>
          <w:szCs w:val="21"/>
        </w:rPr>
        <w:t>贸易伙伴</w:t>
      </w:r>
      <w:r w:rsidR="00EC5712">
        <w:rPr>
          <w:rFonts w:ascii="Times New Roman" w:hAnsi="Times New Roman"/>
          <w:szCs w:val="21"/>
        </w:rPr>
        <w:t>对华反倾销的政治经济动因，</w:t>
      </w:r>
      <w:r w:rsidR="00EC5712">
        <w:rPr>
          <w:rFonts w:ascii="Times New Roman" w:hAnsi="Times New Roman" w:hint="eastAsia"/>
          <w:szCs w:val="21"/>
        </w:rPr>
        <w:t>特别考察进口国的申诉者在对华反倾销税率裁定中的作用。</w:t>
      </w:r>
      <w:r w:rsidR="00EC5712">
        <w:rPr>
          <w:rFonts w:ascii="Times New Roman" w:hAnsi="Times New Roman"/>
          <w:szCs w:val="21"/>
        </w:rPr>
        <w:t>相比于已有文献，本文的创新之处如下</w:t>
      </w:r>
      <w:r w:rsidR="00EC5712">
        <w:rPr>
          <w:rFonts w:ascii="Times New Roman" w:hAnsi="Times New Roman" w:hint="eastAsia"/>
          <w:szCs w:val="21"/>
        </w:rPr>
        <w:t>：</w:t>
      </w:r>
      <w:r>
        <w:rPr>
          <w:rFonts w:ascii="Times New Roman" w:hAnsi="Times New Roman"/>
          <w:szCs w:val="21"/>
        </w:rPr>
        <w:t>首先，本文</w:t>
      </w:r>
      <w:r w:rsidR="00EC5712">
        <w:rPr>
          <w:rFonts w:ascii="Times New Roman" w:hAnsi="Times New Roman"/>
          <w:szCs w:val="21"/>
        </w:rPr>
        <w:t>将研究对象具体到案件申诉者层面，考察企业或者协会层面的申诉者的</w:t>
      </w:r>
      <w:r w:rsidR="00EC5712">
        <w:rPr>
          <w:rFonts w:ascii="Times New Roman" w:hAnsi="Times New Roman" w:hint="eastAsia"/>
          <w:szCs w:val="21"/>
        </w:rPr>
        <w:t>影响力</w:t>
      </w:r>
      <w:r w:rsidR="00EC5712">
        <w:rPr>
          <w:rFonts w:ascii="Times New Roman" w:hAnsi="Times New Roman"/>
          <w:szCs w:val="21"/>
        </w:rPr>
        <w:t>对反倾销裁定税率高低的影响；第二，本文根据欧盟反倾销案件申诉者的特点，综合申诉者的地区性质、行业性质和厂商代表性，衡量其</w:t>
      </w:r>
      <w:r w:rsidR="00EC5712">
        <w:rPr>
          <w:rFonts w:ascii="Times New Roman" w:hAnsi="Times New Roman" w:hint="eastAsia"/>
          <w:szCs w:val="21"/>
        </w:rPr>
        <w:t>影响力</w:t>
      </w:r>
      <w:r w:rsidR="00EC5712">
        <w:rPr>
          <w:rFonts w:ascii="Times New Roman" w:hAnsi="Times New Roman"/>
          <w:szCs w:val="21"/>
        </w:rPr>
        <w:t>的大小；第三，本文在实证研究中将欧盟对华反倾销税率作为被解释变量，分别研究了反倾销初裁税率和终裁税率，拓宽了被解释变量的选择来源；最后，本文利用经典贸易政策模型研究政治因素对于欧盟反倾销税率裁定高低的影响，为我国企业预判欧盟反倾销案件走势提供了有效信息。</w:t>
      </w:r>
      <w:bookmarkEnd w:id="1"/>
    </w:p>
    <w:p w14:paraId="1243FA08" w14:textId="77777777" w:rsidR="00501C7E" w:rsidRDefault="00501C7E">
      <w:pPr>
        <w:rPr>
          <w:rFonts w:ascii="Times New Roman" w:hAnsi="Times New Roman"/>
          <w:szCs w:val="21"/>
        </w:rPr>
      </w:pPr>
    </w:p>
    <w:p w14:paraId="54DBAF2A" w14:textId="77777777" w:rsidR="00501C7E" w:rsidRDefault="00EC5712" w:rsidP="00FE1FDC">
      <w:pPr>
        <w:numPr>
          <w:ilvl w:val="0"/>
          <w:numId w:val="1"/>
        </w:numPr>
        <w:spacing w:beforeLines="100" w:before="312" w:afterLines="100" w:after="312"/>
        <w:jc w:val="center"/>
        <w:rPr>
          <w:rFonts w:ascii="Times New Roman" w:eastAsia="黑体" w:hAnsi="Times New Roman"/>
          <w:sz w:val="28"/>
          <w:szCs w:val="28"/>
        </w:rPr>
      </w:pPr>
      <w:r>
        <w:rPr>
          <w:rFonts w:ascii="Times New Roman" w:eastAsia="黑体" w:hAnsi="Times New Roman"/>
          <w:sz w:val="28"/>
          <w:szCs w:val="28"/>
        </w:rPr>
        <w:t>理论框架与计量模型设定</w:t>
      </w:r>
    </w:p>
    <w:p w14:paraId="0ADBC92F" w14:textId="77777777" w:rsidR="00501C7E" w:rsidRDefault="00EC5712">
      <w:pPr>
        <w:ind w:firstLine="420"/>
        <w:outlineLvl w:val="0"/>
        <w:rPr>
          <w:rFonts w:ascii="黑体" w:eastAsia="黑体" w:hAnsi="黑体" w:cs="黑体"/>
          <w:szCs w:val="21"/>
        </w:rPr>
      </w:pPr>
      <w:r>
        <w:rPr>
          <w:rFonts w:ascii="黑体" w:eastAsia="黑体" w:hAnsi="黑体" w:cs="黑体" w:hint="eastAsia"/>
          <w:szCs w:val="21"/>
        </w:rPr>
        <w:t>（一）申诉者影响贸易决策的理论机制研究</w:t>
      </w:r>
    </w:p>
    <w:p w14:paraId="2CC1CB45" w14:textId="77777777" w:rsidR="00501C7E" w:rsidRDefault="00EC5712">
      <w:pPr>
        <w:ind w:firstLineChars="200" w:firstLine="420"/>
        <w:rPr>
          <w:rFonts w:ascii="Times New Roman" w:hAnsi="Times New Roman"/>
        </w:rPr>
      </w:pPr>
      <w:r>
        <w:rPr>
          <w:rFonts w:ascii="Times New Roman" w:hAnsi="Times New Roman"/>
        </w:rPr>
        <w:t>以利益集团为代表的申诉者在国际贸易</w:t>
      </w:r>
      <w:r>
        <w:rPr>
          <w:rFonts w:ascii="Times New Roman" w:hAnsi="Times New Roman" w:hint="eastAsia"/>
        </w:rPr>
        <w:t>决策</w:t>
      </w:r>
      <w:r>
        <w:rPr>
          <w:rFonts w:ascii="Times New Roman" w:hAnsi="Times New Roman"/>
        </w:rPr>
        <w:t>中发挥作用的本质，是</w:t>
      </w:r>
      <w:r>
        <w:rPr>
          <w:rFonts w:ascii="Times New Roman" w:hAnsi="Times New Roman" w:hint="eastAsia"/>
        </w:rPr>
        <w:t>申诉者</w:t>
      </w:r>
      <w:r>
        <w:rPr>
          <w:rFonts w:ascii="Times New Roman" w:hAnsi="Times New Roman"/>
        </w:rPr>
        <w:t>将自己所掌控的基础资源转化为贸易政策决策者需要和认可的决策资源的过程</w:t>
      </w:r>
      <w:r>
        <w:rPr>
          <w:rFonts w:ascii="Times New Roman" w:hAnsi="Times New Roman" w:hint="eastAsia"/>
        </w:rPr>
        <w:t>（</w:t>
      </w:r>
      <w:r>
        <w:rPr>
          <w:rFonts w:ascii="Times New Roman" w:hAnsi="Times New Roman"/>
        </w:rPr>
        <w:t>张磊</w:t>
      </w:r>
      <w:r>
        <w:rPr>
          <w:rFonts w:ascii="Times New Roman" w:hAnsi="Times New Roman" w:hint="eastAsia"/>
        </w:rPr>
        <w:t>、</w:t>
      </w:r>
      <w:r>
        <w:rPr>
          <w:rFonts w:ascii="Times New Roman" w:hAnsi="Times New Roman"/>
        </w:rPr>
        <w:t>查海峰</w:t>
      </w:r>
      <w:r>
        <w:rPr>
          <w:rFonts w:ascii="Times New Roman" w:hAnsi="Times New Roman" w:hint="eastAsia"/>
        </w:rPr>
        <w:t>，</w:t>
      </w:r>
      <w:r>
        <w:rPr>
          <w:rFonts w:ascii="Times New Roman" w:hAnsi="Times New Roman"/>
        </w:rPr>
        <w:t>2018</w:t>
      </w:r>
      <w:r>
        <w:rPr>
          <w:rFonts w:ascii="Times New Roman" w:hAnsi="Times New Roman"/>
        </w:rPr>
        <w:t>）</w:t>
      </w:r>
      <w:r>
        <w:rPr>
          <w:rFonts w:ascii="Times New Roman" w:hAnsi="Times New Roman" w:hint="eastAsia"/>
        </w:rPr>
        <w:t>。</w:t>
      </w:r>
      <w:r>
        <w:rPr>
          <w:rFonts w:ascii="Times New Roman" w:hAnsi="Times New Roman"/>
        </w:rPr>
        <w:t>在此过程中，申诉者的代表性、游说途径</w:t>
      </w:r>
      <w:r>
        <w:rPr>
          <w:rFonts w:ascii="Times New Roman" w:hAnsi="Times New Roman" w:hint="eastAsia"/>
        </w:rPr>
        <w:t>及其与决策者目标契合度等</w:t>
      </w:r>
      <w:r>
        <w:rPr>
          <w:rFonts w:ascii="Times New Roman" w:hAnsi="Times New Roman"/>
        </w:rPr>
        <w:t>因素是影响国际贸易决策的重要因素。</w:t>
      </w:r>
    </w:p>
    <w:p w14:paraId="219FDC93" w14:textId="77777777" w:rsidR="00501C7E" w:rsidRDefault="00EC5712">
      <w:pPr>
        <w:ind w:firstLine="420"/>
        <w:rPr>
          <w:rFonts w:ascii="Times New Roman" w:hAnsi="Times New Roman"/>
        </w:rPr>
      </w:pPr>
      <w:r>
        <w:rPr>
          <w:rFonts w:ascii="Times New Roman" w:hAnsi="Times New Roman"/>
        </w:rPr>
        <w:t>申诉者代表性是衡量申诉者掌控社会资源多寡的能力，是申诉者参与贸易决策的基础，只有达到一定的门槛，申诉者才可能对国际贸易决策产生影响</w:t>
      </w:r>
      <w:r>
        <w:rPr>
          <w:rFonts w:ascii="Times New Roman" w:hAnsi="Times New Roman" w:hint="eastAsia"/>
        </w:rPr>
        <w:t>。</w:t>
      </w:r>
      <w:r>
        <w:rPr>
          <w:rFonts w:ascii="Times New Roman" w:hAnsi="Times New Roman"/>
        </w:rPr>
        <w:t>申诉者代表性既包括申诉者在所属行业内掌握资源的程度，也包括申诉者在行业之外的公共领域掌握资源的程度，即包括行业代表性和公共代表性。申诉者的行业代表性决定了申诉者在代表行业利益时影响贸易决策的上限，申诉者作为该行业的代言人，对于行业的发展诉求、发展机遇和发展困境有充分了解，能</w:t>
      </w:r>
      <w:r w:rsidR="00BA486E">
        <w:rPr>
          <w:rFonts w:ascii="Times New Roman" w:hAnsi="Times New Roman"/>
        </w:rPr>
        <w:t>够获取该领域的一手信息，是贸易决策者制定公共政策的重要参考依据。</w:t>
      </w:r>
      <w:r>
        <w:rPr>
          <w:rFonts w:ascii="Times New Roman" w:hAnsi="Times New Roman"/>
        </w:rPr>
        <w:t>申诉者的公共代表性</w:t>
      </w:r>
      <w:r w:rsidR="00BA486E">
        <w:rPr>
          <w:rFonts w:ascii="Times New Roman" w:hAnsi="Times New Roman"/>
        </w:rPr>
        <w:t>则</w:t>
      </w:r>
      <w:r>
        <w:rPr>
          <w:rFonts w:ascii="Times New Roman" w:hAnsi="Times New Roman"/>
        </w:rPr>
        <w:t>决定了申诉者调动公共资源影响贸易决策的上限，申诉者作为行业的发言人与政府进行贸易政策的利益协调。一方面，申诉者的代表性越大，申诉者越可以利用自己掌握的资源换取影响贸易政策制定的话语权，申诉者能够提供可供交换资源的能力决定了</w:t>
      </w:r>
      <w:r>
        <w:rPr>
          <w:rFonts w:ascii="Times New Roman" w:hAnsi="Times New Roman" w:hint="eastAsia"/>
        </w:rPr>
        <w:t>其</w:t>
      </w:r>
      <w:r>
        <w:rPr>
          <w:rFonts w:ascii="Times New Roman" w:hAnsi="Times New Roman"/>
        </w:rPr>
        <w:t>对政策结果的影响力大小；另一方面，除了资源交换之外，申诉者也可以通过调动公众力量、对决策者施压等途径</w:t>
      </w:r>
      <w:r>
        <w:rPr>
          <w:rFonts w:ascii="Times New Roman" w:hAnsi="Times New Roman" w:hint="eastAsia"/>
        </w:rPr>
        <w:t>影响</w:t>
      </w:r>
      <w:r>
        <w:rPr>
          <w:rFonts w:ascii="Times New Roman" w:hAnsi="Times New Roman"/>
        </w:rPr>
        <w:t>贸易政策制定过程。</w:t>
      </w:r>
    </w:p>
    <w:p w14:paraId="0CDDCA53" w14:textId="77777777" w:rsidR="00501C7E" w:rsidRDefault="00EC5712">
      <w:pPr>
        <w:ind w:firstLine="420"/>
        <w:rPr>
          <w:rFonts w:ascii="Times New Roman" w:hAnsi="Times New Roman"/>
        </w:rPr>
      </w:pPr>
      <w:r>
        <w:rPr>
          <w:rFonts w:ascii="Times New Roman" w:hAnsi="Times New Roman"/>
        </w:rPr>
        <w:t>游说途径是衡量申诉者对贸易决策影响的方式和策略选择的标准，游说途径有很多，包括面谈、听证会、咨询和请愿等方式</w:t>
      </w:r>
      <w:r w:rsidR="00BA486E">
        <w:rPr>
          <w:rFonts w:ascii="Times New Roman" w:hAnsi="Times New Roman" w:hint="eastAsia"/>
        </w:rPr>
        <w:t>。</w:t>
      </w:r>
      <w:r>
        <w:rPr>
          <w:rFonts w:ascii="Times New Roman" w:hAnsi="Times New Roman"/>
        </w:rPr>
        <w:t>申诉者通过这些方式，对贸</w:t>
      </w:r>
      <w:r w:rsidR="00BA486E">
        <w:rPr>
          <w:rFonts w:ascii="Times New Roman" w:hAnsi="Times New Roman"/>
        </w:rPr>
        <w:t>易决策者的决策行为施加影响，以期达成自己的利益诉求。从制度方式</w:t>
      </w:r>
      <w:r>
        <w:rPr>
          <w:rFonts w:ascii="Times New Roman" w:hAnsi="Times New Roman"/>
        </w:rPr>
        <w:t>看，申诉者的游说途径可以分为制度化方式和非制度化方式，制度化方式是指申诉者通过正规的贸易政策决策机构，参与相关政策咨询会议，提交相关申请，发布研究报告等</w:t>
      </w:r>
      <w:r>
        <w:rPr>
          <w:rFonts w:ascii="Times New Roman" w:hAnsi="Times New Roman" w:hint="eastAsia"/>
        </w:rPr>
        <w:t>参与的方式</w:t>
      </w:r>
      <w:r>
        <w:rPr>
          <w:rFonts w:ascii="Times New Roman" w:hAnsi="Times New Roman"/>
        </w:rPr>
        <w:t>；非制度化方式是指运用社会民众力量，通过请愿、游行和</w:t>
      </w:r>
      <w:r>
        <w:rPr>
          <w:rFonts w:ascii="Times New Roman" w:hAnsi="Times New Roman" w:hint="eastAsia"/>
        </w:rPr>
        <w:t>集会</w:t>
      </w:r>
      <w:r w:rsidR="00BA486E">
        <w:rPr>
          <w:rFonts w:ascii="Times New Roman" w:hAnsi="Times New Roman"/>
        </w:rPr>
        <w:t>等方式发动政治运动。从渠道方式</w:t>
      </w:r>
      <w:r>
        <w:rPr>
          <w:rFonts w:ascii="Times New Roman" w:hAnsi="Times New Roman"/>
        </w:rPr>
        <w:t>看，申诉者的游说途径可以分为直接渠道和间接渠道，如在欧盟国家，直接渠道即</w:t>
      </w:r>
      <w:r>
        <w:rPr>
          <w:rFonts w:ascii="Times New Roman" w:hAnsi="Times New Roman" w:hint="eastAsia"/>
        </w:rPr>
        <w:t>“</w:t>
      </w:r>
      <w:r>
        <w:rPr>
          <w:rFonts w:ascii="Times New Roman" w:hAnsi="Times New Roman"/>
        </w:rPr>
        <w:t>布鲁塞尔渠道</w:t>
      </w:r>
      <w:r>
        <w:rPr>
          <w:rFonts w:ascii="Times New Roman" w:hAnsi="Times New Roman" w:hint="eastAsia"/>
          <w:szCs w:val="21"/>
        </w:rPr>
        <w:t>”</w:t>
      </w:r>
      <w:r>
        <w:rPr>
          <w:rFonts w:ascii="Times New Roman" w:hAnsi="Times New Roman"/>
        </w:rPr>
        <w:t>，指申诉者通过官方途径对欧盟官方机构进行游说，间接渠道指通过主权国家进行游说的渠道。总之，在不同的贸易政策决策阶段，申诉者选择的游说途径可能有所不同，进而影响了申诉者对贸易政策施加的影响力。</w:t>
      </w:r>
    </w:p>
    <w:p w14:paraId="33A77A3D" w14:textId="77777777" w:rsidR="00501C7E" w:rsidRDefault="00EC5712">
      <w:pPr>
        <w:ind w:firstLine="420"/>
        <w:rPr>
          <w:rFonts w:ascii="Times New Roman" w:hAnsi="Times New Roman"/>
        </w:rPr>
      </w:pPr>
      <w:r>
        <w:rPr>
          <w:rFonts w:ascii="Times New Roman" w:hAnsi="Times New Roman" w:hint="eastAsia"/>
        </w:rPr>
        <w:t>申诉者所推举的贸易政策主张与决策者贸易政策目标的契合度是影响申诉者对国际贸易决策的重要因素。如果申诉者的政策主张与决策者的贸易政策目标相悖，那么即便申诉者达到了案件</w:t>
      </w:r>
      <w:r>
        <w:rPr>
          <w:rFonts w:ascii="Times New Roman" w:hAnsi="Times New Roman" w:hint="eastAsia"/>
        </w:rPr>
        <w:lastRenderedPageBreak/>
        <w:t>申诉的门槛，同时也具有较大的行业影响力和公共影响力，选择了正确的游说渠道进行游说，那么其申诉成功的可能性也并不大。在宏观经济形势较差的时候，贸易政策决策者一般会加强贸易保护来恢复国内经济，此时申诉者的反倾销裁定税率更容易通过</w:t>
      </w:r>
      <w:r w:rsidR="00BA486E">
        <w:rPr>
          <w:rFonts w:ascii="Times New Roman" w:hAnsi="Times New Roman" w:hint="eastAsia"/>
        </w:rPr>
        <w:t>。</w:t>
      </w:r>
      <w:r>
        <w:rPr>
          <w:rFonts w:ascii="Times New Roman" w:hAnsi="Times New Roman" w:hint="eastAsia"/>
        </w:rPr>
        <w:t>在两国政治形势交好的时候，贸易政策决策者一般会强化自由贸易来维护双边经贸关系，此时申诉者的反倾销申诉并不容易通过。因此，申诉者在推举贸易政策主张时，除了考虑本行业的利益诉求外，也要密切关注决策者的政策目标以及国家的宏观政治经济形势，提高其政策主张与决策者贸易政策目标的契合度。</w:t>
      </w:r>
    </w:p>
    <w:p w14:paraId="3B0956D1" w14:textId="77777777" w:rsidR="00501C7E" w:rsidRDefault="00EC5712">
      <w:pPr>
        <w:ind w:firstLine="420"/>
        <w:outlineLvl w:val="0"/>
        <w:rPr>
          <w:rFonts w:ascii="黑体" w:eastAsia="黑体" w:hAnsi="黑体" w:cs="黑体"/>
          <w:szCs w:val="21"/>
        </w:rPr>
      </w:pPr>
      <w:r>
        <w:rPr>
          <w:rFonts w:ascii="黑体" w:eastAsia="黑体" w:hAnsi="黑体" w:cs="黑体" w:hint="eastAsia"/>
          <w:szCs w:val="21"/>
        </w:rPr>
        <w:t>（二）申诉者影响贸易决策的理论框架</w:t>
      </w:r>
    </w:p>
    <w:p w14:paraId="705475E7" w14:textId="77777777" w:rsidR="00501C7E" w:rsidRDefault="00EC5712">
      <w:pPr>
        <w:ind w:firstLine="420"/>
        <w:rPr>
          <w:rFonts w:ascii="Times New Roman" w:hAnsi="Times New Roman"/>
          <w:szCs w:val="21"/>
        </w:rPr>
      </w:pPr>
      <w:r>
        <w:rPr>
          <w:rFonts w:ascii="Times New Roman" w:hAnsi="Times New Roman"/>
          <w:szCs w:val="21"/>
        </w:rPr>
        <w:t>本文旨在从政治经济因素互动的视角探究欧盟对华反倾销的影响因素，特别关注</w:t>
      </w:r>
      <w:r>
        <w:rPr>
          <w:rFonts w:ascii="Times New Roman" w:hAnsi="Times New Roman" w:hint="eastAsia"/>
          <w:szCs w:val="21"/>
        </w:rPr>
        <w:t>以</w:t>
      </w:r>
      <w:r>
        <w:rPr>
          <w:rFonts w:ascii="Times New Roman" w:hAnsi="Times New Roman"/>
          <w:szCs w:val="21"/>
        </w:rPr>
        <w:t>利益集团</w:t>
      </w:r>
      <w:r>
        <w:rPr>
          <w:rFonts w:ascii="Times New Roman" w:hAnsi="Times New Roman" w:hint="eastAsia"/>
          <w:szCs w:val="21"/>
        </w:rPr>
        <w:t>为代表的申诉者</w:t>
      </w:r>
      <w:r>
        <w:rPr>
          <w:rFonts w:ascii="Times New Roman" w:hAnsi="Times New Roman"/>
          <w:szCs w:val="21"/>
        </w:rPr>
        <w:t>在反倾销税率裁定过程中的影响。贸易政策</w:t>
      </w:r>
      <w:r w:rsidR="00BA486E">
        <w:rPr>
          <w:rFonts w:ascii="Times New Roman" w:hAnsi="Times New Roman"/>
          <w:szCs w:val="21"/>
        </w:rPr>
        <w:t>的政治经济学文献给本文</w:t>
      </w:r>
      <w:r>
        <w:rPr>
          <w:rFonts w:ascii="Times New Roman" w:hAnsi="Times New Roman"/>
          <w:szCs w:val="21"/>
        </w:rPr>
        <w:t>提供了坚实的理论基础，其中最具代表性的当属</w:t>
      </w:r>
      <w:r>
        <w:rPr>
          <w:rFonts w:ascii="Times New Roman" w:hAnsi="Times New Roman"/>
          <w:szCs w:val="21"/>
        </w:rPr>
        <w:t>Grossman &amp; Helpman</w:t>
      </w:r>
      <w:r>
        <w:rPr>
          <w:rFonts w:ascii="Times New Roman" w:hAnsi="Times New Roman" w:hint="eastAsia"/>
          <w:szCs w:val="21"/>
        </w:rPr>
        <w:t>（</w:t>
      </w:r>
      <w:r>
        <w:rPr>
          <w:rFonts w:ascii="Times New Roman" w:hAnsi="Times New Roman"/>
          <w:szCs w:val="21"/>
        </w:rPr>
        <w:t>1994</w:t>
      </w:r>
      <w:r>
        <w:rPr>
          <w:rFonts w:ascii="Times New Roman" w:hAnsi="Times New Roman" w:hint="eastAsia"/>
          <w:szCs w:val="21"/>
        </w:rPr>
        <w:t>）</w:t>
      </w:r>
      <w:r>
        <w:rPr>
          <w:rFonts w:ascii="Times New Roman" w:hAnsi="Times New Roman"/>
          <w:szCs w:val="21"/>
        </w:rPr>
        <w:t>的保护待售模型</w:t>
      </w:r>
      <w:r w:rsidR="00BA486E">
        <w:rPr>
          <w:rFonts w:ascii="Times New Roman" w:hAnsi="Times New Roman" w:hint="eastAsia"/>
          <w:szCs w:val="21"/>
        </w:rPr>
        <w:t>。</w:t>
      </w:r>
      <w:r>
        <w:rPr>
          <w:rFonts w:ascii="Times New Roman" w:hAnsi="Times New Roman"/>
          <w:szCs w:val="21"/>
        </w:rPr>
        <w:t>该模型最重要的贡献在于建立了政府与利益集团相互作用并决定贸易政策的微观基础，因而本文将依托保护待售模型，并扩展其应用范围，探究欧盟对华反倾销的决策和影响因素。</w:t>
      </w:r>
    </w:p>
    <w:p w14:paraId="733C00EC" w14:textId="77777777" w:rsidR="00501C7E" w:rsidRDefault="00EC5712">
      <w:pPr>
        <w:ind w:firstLine="420"/>
        <w:rPr>
          <w:rFonts w:ascii="Times New Roman" w:hAnsi="Times New Roman"/>
          <w:szCs w:val="21"/>
        </w:rPr>
      </w:pPr>
      <w:r>
        <w:rPr>
          <w:rFonts w:ascii="Times New Roman" w:hAnsi="Times New Roman"/>
          <w:szCs w:val="21"/>
        </w:rPr>
        <w:t>根据</w:t>
      </w:r>
      <w:r>
        <w:rPr>
          <w:rFonts w:ascii="Times New Roman" w:hAnsi="Times New Roman" w:hint="eastAsia"/>
          <w:szCs w:val="21"/>
        </w:rPr>
        <w:t>“</w:t>
      </w:r>
      <w:r>
        <w:rPr>
          <w:rFonts w:ascii="Times New Roman" w:hAnsi="Times New Roman"/>
          <w:szCs w:val="21"/>
        </w:rPr>
        <w:t>保护待售</w:t>
      </w:r>
      <w:r>
        <w:rPr>
          <w:rFonts w:ascii="Times New Roman" w:hAnsi="Times New Roman" w:hint="eastAsia"/>
          <w:szCs w:val="21"/>
        </w:rPr>
        <w:t>”</w:t>
      </w:r>
      <w:r>
        <w:rPr>
          <w:rFonts w:ascii="Times New Roman" w:hAnsi="Times New Roman"/>
          <w:szCs w:val="21"/>
        </w:rPr>
        <w:t>模型，一个国家的均衡关税水平是由多部门经济中政府和特殊利益集团之间的两阶段非合作博弈决定的</w:t>
      </w:r>
      <w:r w:rsidR="00BA486E">
        <w:rPr>
          <w:rFonts w:ascii="Times New Roman" w:hAnsi="Times New Roman" w:hint="eastAsia"/>
          <w:szCs w:val="21"/>
        </w:rPr>
        <w:t>。</w:t>
      </w:r>
      <w:r>
        <w:rPr>
          <w:rFonts w:ascii="Times New Roman" w:hAnsi="Times New Roman"/>
          <w:szCs w:val="21"/>
        </w:rPr>
        <w:t>在这种博弈中，双方都表现出追求效用最大化的策略性行为。</w:t>
      </w:r>
      <w:r>
        <w:rPr>
          <w:rFonts w:ascii="Times New Roman" w:hAnsi="Times New Roman" w:hint="eastAsia"/>
          <w:szCs w:val="21"/>
        </w:rPr>
        <w:t>首先，具有利益诉求的申诉者需要达到一定的行业代表性或者公共代表性门槛，即组成有效的利益集团，这是其参与贸易决策的基础</w:t>
      </w:r>
      <w:r w:rsidR="00BA486E">
        <w:rPr>
          <w:rFonts w:ascii="Times New Roman" w:hAnsi="Times New Roman" w:hint="eastAsia"/>
          <w:szCs w:val="21"/>
        </w:rPr>
        <w:t>。</w:t>
      </w:r>
      <w:r>
        <w:rPr>
          <w:rFonts w:ascii="Times New Roman" w:hAnsi="Times New Roman" w:hint="eastAsia"/>
          <w:szCs w:val="21"/>
        </w:rPr>
        <w:t>其次，</w:t>
      </w:r>
      <w:r>
        <w:rPr>
          <w:rFonts w:ascii="Times New Roman" w:hAnsi="Times New Roman"/>
          <w:szCs w:val="21"/>
        </w:rPr>
        <w:t>特殊利益集团根据它们所代表的部门的私人福利最大化原则，根据不同的关税水平</w:t>
      </w:r>
      <w:r>
        <w:rPr>
          <w:rFonts w:ascii="Times New Roman" w:hAnsi="Times New Roman" w:hint="eastAsia"/>
          <w:szCs w:val="21"/>
        </w:rPr>
        <w:t>诉求</w:t>
      </w:r>
      <w:r>
        <w:rPr>
          <w:rFonts w:ascii="Times New Roman" w:hAnsi="Times New Roman"/>
          <w:szCs w:val="21"/>
        </w:rPr>
        <w:t>决定政治贡献的水平</w:t>
      </w:r>
      <w:r>
        <w:rPr>
          <w:rFonts w:ascii="Times New Roman" w:hAnsi="Times New Roman" w:hint="eastAsia"/>
          <w:szCs w:val="21"/>
        </w:rPr>
        <w:t>，通过面谈、咨询和听证会等游说渠道对决策者施加压力</w:t>
      </w:r>
      <w:r w:rsidR="00BA486E">
        <w:rPr>
          <w:rFonts w:ascii="Times New Roman" w:hAnsi="Times New Roman" w:hint="eastAsia"/>
          <w:szCs w:val="21"/>
        </w:rPr>
        <w:t>。</w:t>
      </w:r>
      <w:r>
        <w:rPr>
          <w:rFonts w:ascii="Times New Roman" w:hAnsi="Times New Roman" w:hint="eastAsia"/>
          <w:szCs w:val="21"/>
        </w:rPr>
        <w:t>此外，</w:t>
      </w:r>
      <w:r>
        <w:rPr>
          <w:rFonts w:ascii="Times New Roman" w:hAnsi="Times New Roman" w:hint="eastAsia"/>
        </w:rPr>
        <w:t>申诉者所推举的贸易政策主张与决策者贸易政策目标的契合度</w:t>
      </w:r>
      <w:r>
        <w:rPr>
          <w:rFonts w:ascii="Times New Roman" w:hAnsi="Times New Roman" w:hint="eastAsia"/>
          <w:szCs w:val="21"/>
        </w:rPr>
        <w:t>决定了政府对利益集团参与决策的需要程度</w:t>
      </w:r>
      <w:r>
        <w:rPr>
          <w:rFonts w:ascii="Times New Roman" w:hAnsi="Times New Roman"/>
          <w:szCs w:val="21"/>
        </w:rPr>
        <w:t>。政府采</w:t>
      </w:r>
      <w:r w:rsidR="00466471">
        <w:rPr>
          <w:rFonts w:ascii="Times New Roman" w:hAnsi="Times New Roman"/>
          <w:szCs w:val="21"/>
        </w:rPr>
        <w:t>用一种关税结构，使其目标函数最大化，该目标函数是按利益集团</w:t>
      </w:r>
      <w:r>
        <w:rPr>
          <w:rFonts w:ascii="Times New Roman" w:hAnsi="Times New Roman"/>
          <w:szCs w:val="21"/>
        </w:rPr>
        <w:t>提供的政治贡献和社会福利总额的加权总和。双方博弈处于</w:t>
      </w:r>
      <w:r>
        <w:rPr>
          <w:rFonts w:ascii="Times New Roman" w:hAnsi="Times New Roman" w:hint="eastAsia"/>
          <w:szCs w:val="21"/>
        </w:rPr>
        <w:t>“</w:t>
      </w:r>
      <w:r>
        <w:rPr>
          <w:rFonts w:ascii="Times New Roman" w:hAnsi="Times New Roman"/>
          <w:szCs w:val="21"/>
        </w:rPr>
        <w:t>菜单拍卖</w:t>
      </w:r>
      <w:r>
        <w:rPr>
          <w:rFonts w:ascii="Times New Roman" w:hAnsi="Times New Roman" w:hint="eastAsia"/>
          <w:szCs w:val="21"/>
        </w:rPr>
        <w:t>”</w:t>
      </w:r>
      <w:r>
        <w:rPr>
          <w:rFonts w:ascii="Times New Roman" w:hAnsi="Times New Roman"/>
          <w:szCs w:val="21"/>
        </w:rPr>
        <w:t>模式，均衡状态下的贸易政策形式如下：</w:t>
      </w:r>
    </w:p>
    <w:p w14:paraId="5FFC4E0D" w14:textId="77777777" w:rsidR="00501C7E" w:rsidRDefault="00501C7E">
      <w:pPr>
        <w:rPr>
          <w:rFonts w:ascii="Times New Roman" w:hAnsi="Times New Roman"/>
          <w:szCs w:val="21"/>
        </w:rPr>
      </w:pPr>
    </w:p>
    <w:p w14:paraId="6D4B2D59" w14:textId="77777777" w:rsidR="00501C7E" w:rsidRDefault="00000000">
      <w:pPr>
        <w:ind w:firstLineChars="1700" w:firstLine="3570"/>
        <w:jc w:val="left"/>
        <w:rPr>
          <w:rFonts w:ascii="Times New Roman" w:hAnsi="Times New Roman"/>
          <w:i/>
          <w:szCs w:val="21"/>
        </w:rPr>
      </w:pPr>
      <m:oMath>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t</m:t>
                </m:r>
              </m:e>
              <m:sub>
                <m:r>
                  <w:rPr>
                    <w:rFonts w:ascii="Cambria Math" w:hAnsi="Cambria Math"/>
                    <w:szCs w:val="21"/>
                  </w:rPr>
                  <m:t>i</m:t>
                </m:r>
              </m:sub>
            </m:sSub>
          </m:num>
          <m:den>
            <m:r>
              <w:rPr>
                <w:rFonts w:ascii="Cambria Math" w:hAnsi="Cambria Math"/>
                <w:szCs w:val="21"/>
              </w:rPr>
              <m:t>1+</m:t>
            </m:r>
            <m:sSub>
              <m:sSubPr>
                <m:ctrlPr>
                  <w:rPr>
                    <w:rFonts w:ascii="Cambria Math" w:hAnsi="Cambria Math"/>
                    <w:i/>
                    <w:szCs w:val="21"/>
                  </w:rPr>
                </m:ctrlPr>
              </m:sSubPr>
              <m:e>
                <m:r>
                  <w:rPr>
                    <w:rFonts w:ascii="Cambria Math" w:hAnsi="Cambria Math"/>
                    <w:szCs w:val="21"/>
                  </w:rPr>
                  <m:t>t</m:t>
                </m:r>
              </m:e>
              <m:sub>
                <m:r>
                  <w:rPr>
                    <w:rFonts w:ascii="Cambria Math" w:hAnsi="Cambria Math"/>
                    <w:szCs w:val="21"/>
                  </w:rPr>
                  <m:t>i</m:t>
                </m:r>
              </m:sub>
            </m:sSub>
          </m:den>
        </m:f>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I</m:t>
                </m:r>
              </m:e>
              <m:sub>
                <m:r>
                  <w:rPr>
                    <w:rFonts w:ascii="Cambria Math" w:hAnsi="Cambria Math"/>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α</m:t>
                </m:r>
              </m:e>
              <m:sub>
                <m:r>
                  <w:rPr>
                    <w:rFonts w:ascii="Cambria Math" w:hAnsi="Cambria Math"/>
                    <w:szCs w:val="21"/>
                  </w:rPr>
                  <m:t>L</m:t>
                </m:r>
              </m:sub>
            </m:sSub>
          </m:num>
          <m:den>
            <m:r>
              <w:rPr>
                <w:rFonts w:ascii="Cambria Math" w:hAnsi="Cambria Math"/>
                <w:szCs w:val="21"/>
              </w:rPr>
              <m:t>a+</m:t>
            </m:r>
            <m:sSub>
              <m:sSubPr>
                <m:ctrlPr>
                  <w:rPr>
                    <w:rFonts w:ascii="Cambria Math" w:hAnsi="Cambria Math"/>
                    <w:i/>
                    <w:szCs w:val="21"/>
                  </w:rPr>
                </m:ctrlPr>
              </m:sSubPr>
              <m:e>
                <m:r>
                  <w:rPr>
                    <w:rFonts w:ascii="Cambria Math" w:hAnsi="Cambria Math"/>
                    <w:szCs w:val="21"/>
                  </w:rPr>
                  <m:t>α</m:t>
                </m:r>
              </m:e>
              <m:sub>
                <m:r>
                  <w:rPr>
                    <w:rFonts w:ascii="Cambria Math" w:hAnsi="Cambria Math"/>
                    <w:szCs w:val="21"/>
                  </w:rPr>
                  <m:t>L</m:t>
                </m:r>
              </m:sub>
            </m:sSub>
          </m:den>
        </m:f>
        <m:d>
          <m:dPr>
            <m:ctrlPr>
              <w:rPr>
                <w:rFonts w:ascii="Cambria Math" w:hAnsi="Cambria Math"/>
                <w:i/>
                <w:szCs w:val="21"/>
              </w:rPr>
            </m:ctrlPr>
          </m:dPr>
          <m:e>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z</m:t>
                    </m:r>
                  </m:e>
                  <m:sub>
                    <m:r>
                      <w:rPr>
                        <w:rFonts w:ascii="Cambria Math" w:hAnsi="Cambria Math"/>
                        <w:szCs w:val="21"/>
                      </w:rPr>
                      <m:t>i</m:t>
                    </m:r>
                  </m:sub>
                </m:sSub>
              </m:num>
              <m:den>
                <m:sSub>
                  <m:sSubPr>
                    <m:ctrlPr>
                      <w:rPr>
                        <w:rFonts w:ascii="Cambria Math" w:hAnsi="Cambria Math"/>
                        <w:i/>
                        <w:szCs w:val="21"/>
                      </w:rPr>
                    </m:ctrlPr>
                  </m:sSubPr>
                  <m:e>
                    <m:r>
                      <w:rPr>
                        <w:rFonts w:ascii="Cambria Math" w:hAnsi="Cambria Math"/>
                        <w:szCs w:val="21"/>
                      </w:rPr>
                      <m:t>e</m:t>
                    </m:r>
                  </m:e>
                  <m:sub>
                    <m:r>
                      <w:rPr>
                        <w:rFonts w:ascii="Cambria Math" w:hAnsi="Cambria Math"/>
                        <w:szCs w:val="21"/>
                      </w:rPr>
                      <m:t>i</m:t>
                    </m:r>
                  </m:sub>
                </m:sSub>
              </m:den>
            </m:f>
          </m:e>
        </m:d>
        <m:r>
          <w:rPr>
            <w:rFonts w:ascii="Cambria Math" w:hAnsi="Cambria Math"/>
            <w:szCs w:val="21"/>
          </w:rPr>
          <m:t>,i=1,2……n</m:t>
        </m:r>
      </m:oMath>
      <w:r w:rsidR="00EC5712">
        <w:rPr>
          <w:rFonts w:ascii="Times New Roman" w:hAnsi="Times New Roman"/>
          <w:sz w:val="24"/>
        </w:rPr>
        <w:t xml:space="preserve"> </w:t>
      </w:r>
      <w:r w:rsidR="00EC5712">
        <w:rPr>
          <w:rFonts w:ascii="Times New Roman" w:hAnsi="Times New Roman"/>
          <w:szCs w:val="21"/>
        </w:rPr>
        <w:t xml:space="preserve">                    </w:t>
      </w:r>
      <w:r w:rsidR="00EC5712">
        <w:rPr>
          <w:rFonts w:ascii="Times New Roman" w:hAnsi="Times New Roman"/>
          <w:sz w:val="24"/>
        </w:rPr>
        <w:t xml:space="preserve"> </w:t>
      </w:r>
      <w:r w:rsidR="00EC5712">
        <w:rPr>
          <w:rFonts w:ascii="Times New Roman" w:hAnsi="Times New Roman"/>
          <w:szCs w:val="21"/>
        </w:rPr>
        <w:t>（</w:t>
      </w:r>
      <w:r w:rsidR="00EC5712">
        <w:rPr>
          <w:rFonts w:ascii="Times New Roman" w:hAnsi="Times New Roman"/>
          <w:szCs w:val="21"/>
        </w:rPr>
        <w:t>1</w:t>
      </w:r>
      <w:r w:rsidR="00EC5712">
        <w:rPr>
          <w:rFonts w:ascii="Times New Roman" w:hAnsi="Times New Roman"/>
          <w:szCs w:val="21"/>
        </w:rPr>
        <w:t>）</w:t>
      </w:r>
      <w:r w:rsidR="00EC5712">
        <w:rPr>
          <w:rFonts w:ascii="Times New Roman" w:hAnsi="Times New Roman"/>
          <w:sz w:val="24"/>
        </w:rPr>
        <w:tab/>
        <w:t xml:space="preserve">              </w:t>
      </w:r>
      <w:r w:rsidR="00EC5712">
        <w:rPr>
          <w:rFonts w:ascii="Times New Roman" w:hAnsi="Times New Roman"/>
          <w:szCs w:val="21"/>
        </w:rPr>
        <w:t xml:space="preserve">                                                      </w:t>
      </w:r>
      <w:r w:rsidR="00EC5712">
        <w:rPr>
          <w:rFonts w:ascii="Times New Roman" w:hAnsi="Times New Roman"/>
          <w:i/>
          <w:iCs/>
          <w:szCs w:val="21"/>
        </w:rPr>
        <w:t xml:space="preserve">  </w:t>
      </w:r>
      <w:r w:rsidR="00EC5712">
        <w:rPr>
          <w:rFonts w:ascii="Times New Roman" w:hAnsi="Times New Roman"/>
          <w:szCs w:val="21"/>
        </w:rPr>
        <w:t xml:space="preserve">                    </w:t>
      </w:r>
    </w:p>
    <w:p w14:paraId="7817AD5C" w14:textId="77777777" w:rsidR="00501C7E" w:rsidRDefault="00EC5712">
      <w:pPr>
        <w:tabs>
          <w:tab w:val="left" w:pos="0"/>
        </w:tabs>
        <w:ind w:left="420"/>
        <w:rPr>
          <w:rFonts w:ascii="Times New Roman" w:hAnsi="Times New Roman"/>
        </w:rPr>
      </w:pPr>
      <w:r>
        <w:rPr>
          <w:rFonts w:ascii="Times New Roman" w:hAnsi="Times New Roman"/>
          <w:szCs w:val="21"/>
        </w:rPr>
        <w:t>表</w:t>
      </w:r>
      <w:r>
        <w:rPr>
          <w:rFonts w:ascii="Times New Roman" w:hAnsi="Times New Roman"/>
          <w:szCs w:val="21"/>
        </w:rPr>
        <w:t>1</w:t>
      </w:r>
      <w:r>
        <w:rPr>
          <w:rFonts w:ascii="Times New Roman" w:hAnsi="Times New Roman"/>
          <w:szCs w:val="21"/>
        </w:rPr>
        <w:t>对</w:t>
      </w:r>
      <w:r w:rsidR="00466471">
        <w:rPr>
          <w:rFonts w:ascii="Times New Roman" w:hAnsi="Times New Roman"/>
          <w:szCs w:val="21"/>
        </w:rPr>
        <w:t>式</w:t>
      </w:r>
      <w:r>
        <w:rPr>
          <w:rFonts w:ascii="Times New Roman" w:hAnsi="Times New Roman"/>
          <w:szCs w:val="21"/>
        </w:rPr>
        <w:t>（</w:t>
      </w:r>
      <w:r>
        <w:rPr>
          <w:rFonts w:ascii="Times New Roman" w:hAnsi="Times New Roman"/>
          <w:szCs w:val="21"/>
        </w:rPr>
        <w:t>1</w:t>
      </w:r>
      <w:r>
        <w:rPr>
          <w:rFonts w:ascii="Times New Roman" w:hAnsi="Times New Roman"/>
          <w:szCs w:val="21"/>
        </w:rPr>
        <w:t>）中各变量的具体含义进行了说明：</w:t>
      </w:r>
    </w:p>
    <w:p w14:paraId="3F629058" w14:textId="77777777" w:rsidR="00501C7E" w:rsidRDefault="00501C7E">
      <w:pPr>
        <w:tabs>
          <w:tab w:val="left" w:pos="0"/>
        </w:tabs>
        <w:rPr>
          <w:rFonts w:ascii="Times New Roman" w:eastAsia="黑体" w:hAnsi="Times New Roman"/>
          <w:szCs w:val="21"/>
        </w:rPr>
      </w:pPr>
    </w:p>
    <w:p w14:paraId="4348456D" w14:textId="77777777" w:rsidR="00501C7E" w:rsidRDefault="00EC5712">
      <w:pPr>
        <w:ind w:firstLineChars="200" w:firstLine="420"/>
        <w:jc w:val="center"/>
        <w:rPr>
          <w:rFonts w:ascii="Times New Roman" w:eastAsia="楷体" w:hAnsi="Times New Roman"/>
          <w:bCs/>
          <w:szCs w:val="21"/>
        </w:rPr>
      </w:pPr>
      <w:r>
        <w:rPr>
          <w:rFonts w:ascii="Times New Roman" w:eastAsia="楷体" w:hAnsi="Times New Roman"/>
          <w:bCs/>
          <w:szCs w:val="21"/>
        </w:rPr>
        <w:t>表</w:t>
      </w:r>
      <w:r>
        <w:rPr>
          <w:rFonts w:ascii="Times New Roman" w:eastAsia="楷体" w:hAnsi="Times New Roman"/>
          <w:bCs/>
          <w:szCs w:val="21"/>
        </w:rPr>
        <w:t>1</w:t>
      </w:r>
      <w:r>
        <w:rPr>
          <w:rFonts w:ascii="楷体" w:eastAsia="楷体" w:hAnsi="楷体" w:cs="黑体" w:hint="eastAsia"/>
          <w:bCs/>
          <w:szCs w:val="21"/>
        </w:rPr>
        <w:t xml:space="preserve">  </w:t>
      </w:r>
      <w:r>
        <w:rPr>
          <w:rFonts w:ascii="Times New Roman" w:eastAsia="楷体" w:hAnsi="Times New Roman"/>
          <w:bCs/>
          <w:szCs w:val="21"/>
        </w:rPr>
        <w:t>变量含义说明</w:t>
      </w:r>
    </w:p>
    <w:tbl>
      <w:tblPr>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8261"/>
      </w:tblGrid>
      <w:tr w:rsidR="00501C7E" w14:paraId="65487D7D" w14:textId="77777777">
        <w:trPr>
          <w:jc w:val="center"/>
        </w:trPr>
        <w:tc>
          <w:tcPr>
            <w:tcW w:w="766" w:type="dxa"/>
            <w:tcBorders>
              <w:tl2br w:val="nil"/>
              <w:tr2bl w:val="nil"/>
            </w:tcBorders>
          </w:tcPr>
          <w:p w14:paraId="469C4F0C" w14:textId="77777777" w:rsidR="00501C7E" w:rsidRDefault="00EC5712">
            <w:pPr>
              <w:jc w:val="center"/>
              <w:rPr>
                <w:rFonts w:ascii="Times New Roman" w:hAnsi="Times New Roman"/>
                <w:sz w:val="18"/>
                <w:szCs w:val="18"/>
              </w:rPr>
            </w:pPr>
            <w:r>
              <w:rPr>
                <w:rFonts w:ascii="Times New Roman" w:hAnsi="Times New Roman"/>
                <w:sz w:val="18"/>
                <w:szCs w:val="18"/>
              </w:rPr>
              <w:t>变量</w:t>
            </w:r>
          </w:p>
        </w:tc>
        <w:tc>
          <w:tcPr>
            <w:tcW w:w="8261" w:type="dxa"/>
            <w:tcBorders>
              <w:tl2br w:val="nil"/>
              <w:tr2bl w:val="nil"/>
            </w:tcBorders>
          </w:tcPr>
          <w:p w14:paraId="75916123" w14:textId="77777777" w:rsidR="00501C7E" w:rsidRDefault="00EC5712">
            <w:pPr>
              <w:jc w:val="center"/>
              <w:rPr>
                <w:rFonts w:ascii="Times New Roman" w:hAnsi="Times New Roman"/>
                <w:sz w:val="18"/>
                <w:szCs w:val="18"/>
              </w:rPr>
            </w:pPr>
            <w:r>
              <w:rPr>
                <w:rFonts w:ascii="Times New Roman" w:hAnsi="Times New Roman"/>
                <w:sz w:val="18"/>
                <w:szCs w:val="18"/>
              </w:rPr>
              <w:t>含义</w:t>
            </w:r>
          </w:p>
        </w:tc>
      </w:tr>
      <w:bookmarkStart w:id="2" w:name="_Hlk106982004"/>
      <w:tr w:rsidR="00501C7E" w14:paraId="5D5AD372" w14:textId="77777777">
        <w:trPr>
          <w:jc w:val="center"/>
        </w:trPr>
        <w:tc>
          <w:tcPr>
            <w:tcW w:w="766" w:type="dxa"/>
            <w:tcBorders>
              <w:tl2br w:val="nil"/>
              <w:tr2bl w:val="nil"/>
            </w:tcBorders>
          </w:tcPr>
          <w:p w14:paraId="29031554" w14:textId="77777777" w:rsidR="00501C7E" w:rsidRDefault="00000000">
            <w:pPr>
              <w:jc w:val="center"/>
              <w:rPr>
                <w:rFonts w:ascii="Times New Roman" w:hAnsi="Times New Roman"/>
                <w:iCs/>
                <w:sz w:val="18"/>
                <w:szCs w:val="18"/>
              </w:rPr>
            </w:pPr>
            <m:oMathPara>
              <m:oMathParaPr>
                <m:jc m:val="center"/>
              </m:oMathParaP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i</m:t>
                    </m:r>
                  </m:sub>
                </m:sSub>
              </m:oMath>
            </m:oMathPara>
          </w:p>
        </w:tc>
        <w:tc>
          <w:tcPr>
            <w:tcW w:w="8261" w:type="dxa"/>
            <w:tcBorders>
              <w:tl2br w:val="nil"/>
              <w:tr2bl w:val="nil"/>
            </w:tcBorders>
          </w:tcPr>
          <w:p w14:paraId="76560716" w14:textId="77777777" w:rsidR="00501C7E" w:rsidRDefault="00EC5712">
            <w:pPr>
              <w:jc w:val="center"/>
              <w:textAlignment w:val="center"/>
              <w:rPr>
                <w:rFonts w:ascii="Times New Roman" w:hAnsi="Times New Roman"/>
                <w:sz w:val="18"/>
                <w:szCs w:val="18"/>
              </w:rPr>
            </w:pPr>
            <w:r>
              <w:rPr>
                <w:rFonts w:ascii="Times New Roman" w:hAnsi="Times New Roman"/>
                <w:iCs/>
                <w:sz w:val="18"/>
                <w:szCs w:val="18"/>
              </w:rPr>
              <w:t>政府对</w:t>
            </w:r>
            <m:oMath>
              <m:r>
                <w:rPr>
                  <w:rFonts w:ascii="Cambria Math" w:hAnsi="Cambria Math"/>
                  <w:sz w:val="18"/>
                  <w:szCs w:val="18"/>
                </w:rPr>
                <m:t>i</m:t>
              </m:r>
            </m:oMath>
            <w:r>
              <w:rPr>
                <w:rFonts w:ascii="Times New Roman" w:hAnsi="Times New Roman"/>
                <w:iCs/>
                <w:sz w:val="18"/>
                <w:szCs w:val="18"/>
              </w:rPr>
              <w:t>行业的从价关税或补贴</w:t>
            </w:r>
          </w:p>
        </w:tc>
      </w:tr>
      <w:tr w:rsidR="00501C7E" w14:paraId="20A73F55" w14:textId="77777777">
        <w:trPr>
          <w:jc w:val="center"/>
        </w:trPr>
        <w:tc>
          <w:tcPr>
            <w:tcW w:w="766" w:type="dxa"/>
            <w:tcBorders>
              <w:tl2br w:val="nil"/>
              <w:tr2bl w:val="nil"/>
            </w:tcBorders>
          </w:tcPr>
          <w:p w14:paraId="006EB162" w14:textId="77777777" w:rsidR="00501C7E" w:rsidRDefault="00000000">
            <w:pPr>
              <w:jc w:val="center"/>
              <w:rPr>
                <w:rFonts w:ascii="Times New Roman" w:hAnsi="Times New Roman"/>
                <w:iCs/>
                <w:sz w:val="18"/>
                <w:szCs w:val="18"/>
              </w:rPr>
            </w:pPr>
            <m:oMathPara>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i</m:t>
                    </m:r>
                  </m:sub>
                </m:sSub>
              </m:oMath>
            </m:oMathPara>
          </w:p>
        </w:tc>
        <w:tc>
          <w:tcPr>
            <w:tcW w:w="8261" w:type="dxa"/>
            <w:tcBorders>
              <w:tl2br w:val="nil"/>
              <w:tr2bl w:val="nil"/>
            </w:tcBorders>
          </w:tcPr>
          <w:p w14:paraId="31979E78" w14:textId="77777777" w:rsidR="00501C7E" w:rsidRDefault="00EC5712">
            <w:pPr>
              <w:jc w:val="center"/>
              <w:textAlignment w:val="center"/>
              <w:rPr>
                <w:rFonts w:ascii="Times New Roman" w:hAnsi="Times New Roman"/>
                <w:sz w:val="18"/>
                <w:szCs w:val="18"/>
              </w:rPr>
            </w:pPr>
            <w:r>
              <w:rPr>
                <w:rFonts w:ascii="Times New Roman" w:hAnsi="Times New Roman"/>
                <w:iCs/>
                <w:sz w:val="18"/>
                <w:szCs w:val="18"/>
              </w:rPr>
              <w:t>当</w:t>
            </w:r>
            <w:r w:rsidRPr="00665402">
              <w:rPr>
                <w:rFonts w:ascii="Times New Roman" w:hAnsi="Times New Roman"/>
                <w:position w:val="-3"/>
                <w:sz w:val="18"/>
                <w:szCs w:val="18"/>
              </w:rPr>
              <w:object w:dxaOrig="75" w:dyaOrig="275" w14:anchorId="5122C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13.95pt" o:ole="" filled="t">
                  <v:fill color2="black"/>
                  <v:imagedata r:id="rId8" o:title=""/>
                </v:shape>
                <o:OLEObject Type="Embed" ProgID="Equation.3" ShapeID="_x0000_i1025" DrawAspect="Content" ObjectID="_1757427126" r:id="rId9"/>
              </w:object>
            </w:r>
            <w:r>
              <w:rPr>
                <w:rFonts w:ascii="Times New Roman" w:hAnsi="Times New Roman"/>
                <w:iCs/>
                <w:sz w:val="18"/>
                <w:szCs w:val="18"/>
              </w:rPr>
              <w:t>行业能组成有效的利益集团时，取值为</w:t>
            </w:r>
            <w:r>
              <w:rPr>
                <w:rFonts w:ascii="Times New Roman" w:hAnsi="Times New Roman"/>
                <w:iCs/>
                <w:sz w:val="18"/>
                <w:szCs w:val="18"/>
              </w:rPr>
              <w:t>1</w:t>
            </w:r>
            <w:r>
              <w:rPr>
                <w:rFonts w:ascii="Times New Roman" w:hAnsi="Times New Roman"/>
                <w:iCs/>
                <w:sz w:val="18"/>
                <w:szCs w:val="18"/>
              </w:rPr>
              <w:t>，否则为</w:t>
            </w:r>
            <w:r>
              <w:rPr>
                <w:rFonts w:ascii="Times New Roman" w:hAnsi="Times New Roman"/>
                <w:iCs/>
                <w:sz w:val="18"/>
                <w:szCs w:val="18"/>
              </w:rPr>
              <w:t>0</w:t>
            </w:r>
          </w:p>
        </w:tc>
      </w:tr>
      <w:tr w:rsidR="00501C7E" w14:paraId="1B15E592" w14:textId="77777777">
        <w:trPr>
          <w:jc w:val="center"/>
        </w:trPr>
        <w:tc>
          <w:tcPr>
            <w:tcW w:w="766" w:type="dxa"/>
            <w:tcBorders>
              <w:tl2br w:val="nil"/>
              <w:tr2bl w:val="nil"/>
            </w:tcBorders>
          </w:tcPr>
          <w:p w14:paraId="4B3567C6" w14:textId="77777777" w:rsidR="00501C7E" w:rsidRDefault="00000000">
            <w:pPr>
              <w:jc w:val="center"/>
              <w:rPr>
                <w:rFonts w:ascii="Times New Roman" w:hAnsi="Times New Roman"/>
                <w:iCs/>
                <w:sz w:val="18"/>
                <w:szCs w:val="18"/>
              </w:rPr>
            </w:pPr>
            <m:oMathPara>
              <m:oMath>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L</m:t>
                    </m:r>
                  </m:sub>
                </m:sSub>
              </m:oMath>
            </m:oMathPara>
          </w:p>
        </w:tc>
        <w:tc>
          <w:tcPr>
            <w:tcW w:w="8261" w:type="dxa"/>
            <w:tcBorders>
              <w:tl2br w:val="nil"/>
              <w:tr2bl w:val="nil"/>
            </w:tcBorders>
          </w:tcPr>
          <w:p w14:paraId="5ADAE87D" w14:textId="77777777" w:rsidR="00501C7E" w:rsidRDefault="00EC5712">
            <w:pPr>
              <w:jc w:val="center"/>
              <w:rPr>
                <w:rFonts w:ascii="Times New Roman" w:hAnsi="Times New Roman"/>
                <w:sz w:val="18"/>
                <w:szCs w:val="18"/>
              </w:rPr>
            </w:pPr>
            <w:r>
              <w:rPr>
                <w:rFonts w:ascii="Times New Roman" w:hAnsi="Times New Roman"/>
                <w:iCs/>
                <w:sz w:val="18"/>
                <w:szCs w:val="18"/>
              </w:rPr>
              <w:t>组成利益集团的人数占总人数的比例</w:t>
            </w:r>
          </w:p>
        </w:tc>
      </w:tr>
      <w:tr w:rsidR="00501C7E" w14:paraId="3C4B545C" w14:textId="77777777">
        <w:trPr>
          <w:jc w:val="center"/>
        </w:trPr>
        <w:tc>
          <w:tcPr>
            <w:tcW w:w="766" w:type="dxa"/>
            <w:tcBorders>
              <w:tl2br w:val="nil"/>
              <w:tr2bl w:val="nil"/>
            </w:tcBorders>
          </w:tcPr>
          <w:p w14:paraId="3214C391" w14:textId="77777777" w:rsidR="00501C7E" w:rsidRDefault="00EC5712">
            <w:pPr>
              <w:jc w:val="center"/>
              <w:rPr>
                <w:rFonts w:ascii="Times New Roman" w:hAnsi="Times New Roman"/>
                <w:iCs/>
                <w:sz w:val="18"/>
                <w:szCs w:val="18"/>
              </w:rPr>
            </w:pPr>
            <m:oMathPara>
              <m:oMath>
                <m:r>
                  <w:rPr>
                    <w:rFonts w:ascii="Cambria Math" w:hAnsi="Cambria Math"/>
                    <w:sz w:val="18"/>
                    <w:szCs w:val="18"/>
                  </w:rPr>
                  <m:t>a</m:t>
                </m:r>
              </m:oMath>
            </m:oMathPara>
          </w:p>
        </w:tc>
        <w:tc>
          <w:tcPr>
            <w:tcW w:w="8261" w:type="dxa"/>
            <w:tcBorders>
              <w:tl2br w:val="nil"/>
              <w:tr2bl w:val="nil"/>
            </w:tcBorders>
          </w:tcPr>
          <w:p w14:paraId="619F6DFC" w14:textId="77777777" w:rsidR="00501C7E" w:rsidRDefault="00EC5712">
            <w:pPr>
              <w:jc w:val="center"/>
              <w:rPr>
                <w:rFonts w:ascii="Times New Roman" w:hAnsi="Times New Roman"/>
                <w:sz w:val="18"/>
                <w:szCs w:val="18"/>
              </w:rPr>
            </w:pPr>
            <w:r>
              <w:rPr>
                <w:rFonts w:ascii="Times New Roman" w:hAnsi="Times New Roman"/>
                <w:iCs/>
                <w:sz w:val="18"/>
                <w:szCs w:val="18"/>
              </w:rPr>
              <w:t>政府对社会总体福利的重视程度</w:t>
            </w:r>
          </w:p>
        </w:tc>
      </w:tr>
      <w:tr w:rsidR="00501C7E" w14:paraId="64F8F4A3" w14:textId="77777777">
        <w:trPr>
          <w:jc w:val="center"/>
        </w:trPr>
        <w:tc>
          <w:tcPr>
            <w:tcW w:w="766" w:type="dxa"/>
            <w:tcBorders>
              <w:tl2br w:val="nil"/>
              <w:tr2bl w:val="nil"/>
            </w:tcBorders>
          </w:tcPr>
          <w:p w14:paraId="30F011E8" w14:textId="77777777" w:rsidR="00501C7E" w:rsidRDefault="00000000">
            <w:pPr>
              <w:jc w:val="center"/>
              <w:rPr>
                <w:rFonts w:ascii="Times New Roman" w:hAnsi="Times New Roman"/>
                <w:iCs/>
                <w:sz w:val="18"/>
                <w:szCs w:val="18"/>
              </w:rPr>
            </w:pPr>
            <m:oMathPara>
              <m:oMath>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i</m:t>
                    </m:r>
                  </m:sub>
                </m:sSub>
              </m:oMath>
            </m:oMathPara>
          </w:p>
        </w:tc>
        <w:tc>
          <w:tcPr>
            <w:tcW w:w="8261" w:type="dxa"/>
            <w:tcBorders>
              <w:tl2br w:val="nil"/>
              <w:tr2bl w:val="nil"/>
            </w:tcBorders>
          </w:tcPr>
          <w:p w14:paraId="04EBCBE0" w14:textId="77777777" w:rsidR="00501C7E" w:rsidRDefault="00EC5712">
            <w:pPr>
              <w:jc w:val="center"/>
              <w:rPr>
                <w:rFonts w:ascii="Times New Roman" w:hAnsi="Times New Roman"/>
                <w:sz w:val="18"/>
                <w:szCs w:val="18"/>
              </w:rPr>
            </w:pPr>
            <w:r>
              <w:rPr>
                <w:rFonts w:ascii="Times New Roman" w:hAnsi="Times New Roman"/>
                <w:iCs/>
                <w:sz w:val="18"/>
                <w:szCs w:val="18"/>
              </w:rPr>
              <w:t>进口渗透率的倒数，即国内产值与进口价值之比</w:t>
            </w:r>
          </w:p>
        </w:tc>
      </w:tr>
      <w:tr w:rsidR="00501C7E" w14:paraId="213705B3" w14:textId="77777777">
        <w:trPr>
          <w:jc w:val="center"/>
        </w:trPr>
        <w:tc>
          <w:tcPr>
            <w:tcW w:w="766" w:type="dxa"/>
            <w:tcBorders>
              <w:tl2br w:val="nil"/>
              <w:tr2bl w:val="nil"/>
            </w:tcBorders>
          </w:tcPr>
          <w:p w14:paraId="3DCE0E1F" w14:textId="77777777" w:rsidR="00501C7E" w:rsidRDefault="00000000">
            <w:pPr>
              <w:jc w:val="center"/>
              <w:rPr>
                <w:rFonts w:ascii="Times New Roman" w:hAnsi="Times New Roman"/>
                <w:iCs/>
                <w:sz w:val="18"/>
                <w:szCs w:val="18"/>
              </w:rPr>
            </w:pPr>
            <m:oMathPara>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i</m:t>
                    </m:r>
                  </m:sub>
                </m:sSub>
              </m:oMath>
            </m:oMathPara>
          </w:p>
        </w:tc>
        <w:tc>
          <w:tcPr>
            <w:tcW w:w="8261" w:type="dxa"/>
            <w:tcBorders>
              <w:tl2br w:val="nil"/>
              <w:tr2bl w:val="nil"/>
            </w:tcBorders>
          </w:tcPr>
          <w:p w14:paraId="25008D3C" w14:textId="77777777" w:rsidR="00501C7E" w:rsidRDefault="00EC5712">
            <w:pPr>
              <w:jc w:val="center"/>
              <w:rPr>
                <w:rFonts w:ascii="Times New Roman" w:hAnsi="Times New Roman"/>
                <w:sz w:val="18"/>
                <w:szCs w:val="18"/>
              </w:rPr>
            </w:pPr>
            <w:r>
              <w:rPr>
                <w:rFonts w:ascii="Times New Roman" w:hAnsi="Times New Roman"/>
                <w:iCs/>
                <w:sz w:val="18"/>
                <w:szCs w:val="18"/>
              </w:rPr>
              <w:t>进口需求弹性或出口供给弹性</w:t>
            </w:r>
          </w:p>
        </w:tc>
      </w:tr>
      <w:bookmarkEnd w:id="2"/>
    </w:tbl>
    <w:p w14:paraId="56E261C4" w14:textId="77777777" w:rsidR="00501C7E" w:rsidRDefault="00501C7E">
      <w:pPr>
        <w:jc w:val="left"/>
        <w:rPr>
          <w:rFonts w:ascii="Times New Roman" w:hAnsi="Times New Roman"/>
          <w:szCs w:val="21"/>
        </w:rPr>
      </w:pPr>
    </w:p>
    <w:p w14:paraId="45CD8FD1" w14:textId="77777777" w:rsidR="00501C7E" w:rsidRDefault="00EC5712">
      <w:pPr>
        <w:ind w:firstLine="420"/>
        <w:jc w:val="left"/>
        <w:rPr>
          <w:rFonts w:ascii="Times New Roman" w:hAnsi="Times New Roman"/>
          <w:szCs w:val="21"/>
        </w:rPr>
      </w:pPr>
      <w:r>
        <w:rPr>
          <w:rFonts w:ascii="Times New Roman" w:hAnsi="Times New Roman"/>
          <w:szCs w:val="21"/>
        </w:rPr>
        <w:t>对</w:t>
      </w:r>
      <w:r w:rsidR="00466471">
        <w:rPr>
          <w:rFonts w:ascii="Times New Roman" w:hAnsi="Times New Roman"/>
          <w:szCs w:val="21"/>
        </w:rPr>
        <w:t>式</w:t>
      </w:r>
      <w:r>
        <w:rPr>
          <w:rFonts w:ascii="Times New Roman" w:hAnsi="Times New Roman"/>
          <w:szCs w:val="21"/>
        </w:rPr>
        <w:t>（</w:t>
      </w:r>
      <w:r>
        <w:rPr>
          <w:rFonts w:ascii="Times New Roman" w:hAnsi="Times New Roman"/>
          <w:szCs w:val="21"/>
        </w:rPr>
        <w:t>1</w:t>
      </w:r>
      <w:r>
        <w:rPr>
          <w:rFonts w:ascii="Times New Roman" w:hAnsi="Times New Roman"/>
          <w:szCs w:val="21"/>
        </w:rPr>
        <w:t>）进行调整，可得到如下形式：</w:t>
      </w:r>
    </w:p>
    <w:p w14:paraId="7A13292D" w14:textId="77777777" w:rsidR="00501C7E" w:rsidRDefault="00501C7E">
      <w:pPr>
        <w:ind w:firstLine="420"/>
        <w:jc w:val="left"/>
        <w:rPr>
          <w:rFonts w:ascii="Times New Roman" w:hAnsi="Times New Roman"/>
          <w:szCs w:val="21"/>
        </w:rPr>
      </w:pPr>
    </w:p>
    <w:p w14:paraId="4C1FA4E6" w14:textId="77777777" w:rsidR="00501C7E" w:rsidRDefault="00000000">
      <w:pPr>
        <w:ind w:firstLineChars="1200" w:firstLine="2520"/>
        <w:jc w:val="left"/>
        <w:rPr>
          <w:rFonts w:ascii="Times New Roman" w:hAnsi="Times New Roman"/>
          <w:szCs w:val="21"/>
        </w:rPr>
      </w:pPr>
      <m:oMath>
        <m:f>
          <m:fPr>
            <m:ctrlPr>
              <w:rPr>
                <w:rFonts w:ascii="Cambria Math" w:hAnsi="Cambria Math"/>
                <w:i/>
                <w:szCs w:val="21"/>
              </w:rPr>
            </m:ctrlPr>
          </m:fPr>
          <m:num>
            <m:sSub>
              <m:sSubPr>
                <m:ctrlPr>
                  <w:rPr>
                    <w:rFonts w:ascii="Cambria Math" w:hAnsi="Cambria Math"/>
                    <w:i/>
                    <w:sz w:val="24"/>
                  </w:rPr>
                </m:ctrlPr>
              </m:sSubPr>
              <m:e>
                <m:r>
                  <w:rPr>
                    <w:rFonts w:ascii="Cambria Math" w:hAnsi="Cambria Math"/>
                    <w:sz w:val="24"/>
                  </w:rPr>
                  <m:t>t</m:t>
                </m:r>
              </m:e>
              <m:sub>
                <m:r>
                  <w:rPr>
                    <w:rFonts w:ascii="Cambria Math" w:hAnsi="Cambria Math"/>
                    <w:sz w:val="24"/>
                  </w:rPr>
                  <m:t>i</m:t>
                </m:r>
              </m:sub>
            </m:sSub>
          </m:num>
          <m:den>
            <m:r>
              <w:rPr>
                <w:rFonts w:ascii="Cambria Math" w:hAnsi="Cambria Math"/>
                <w:sz w:val="24"/>
              </w:rPr>
              <m:t>1+</m:t>
            </m:r>
            <m:sSub>
              <m:sSubPr>
                <m:ctrlPr>
                  <w:rPr>
                    <w:rFonts w:ascii="Cambria Math" w:hAnsi="Cambria Math"/>
                    <w:i/>
                    <w:sz w:val="24"/>
                  </w:rPr>
                </m:ctrlPr>
              </m:sSubPr>
              <m:e>
                <m:r>
                  <w:rPr>
                    <w:rFonts w:ascii="Cambria Math" w:hAnsi="Cambria Math"/>
                    <w:sz w:val="24"/>
                  </w:rPr>
                  <m:t>t</m:t>
                </m:r>
              </m:e>
              <m:sub>
                <m:r>
                  <w:rPr>
                    <w:rFonts w:ascii="Cambria Math" w:hAnsi="Cambria Math"/>
                    <w:sz w:val="24"/>
                  </w:rPr>
                  <m:t>i</m:t>
                </m:r>
              </m:sub>
            </m:sSub>
          </m:den>
        </m:f>
        <m:r>
          <w:rPr>
            <w:rFonts w:ascii="Cambria Math" w:hAnsi="Cambria Math"/>
            <w:szCs w:val="21"/>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α</m:t>
                </m:r>
              </m:e>
              <m:sub>
                <m:r>
                  <w:rPr>
                    <w:rFonts w:ascii="Cambria Math" w:hAnsi="Cambria Math"/>
                    <w:sz w:val="24"/>
                  </w:rPr>
                  <m:t>L</m:t>
                </m:r>
              </m:sub>
            </m:sSub>
          </m:num>
          <m:den>
            <m:r>
              <w:rPr>
                <w:rFonts w:ascii="Cambria Math" w:hAnsi="Cambria Math"/>
                <w:sz w:val="24"/>
              </w:rPr>
              <m:t>a+</m:t>
            </m:r>
            <m:sSub>
              <m:sSubPr>
                <m:ctrlPr>
                  <w:rPr>
                    <w:rFonts w:ascii="Cambria Math" w:hAnsi="Cambria Math"/>
                    <w:i/>
                    <w:sz w:val="24"/>
                  </w:rPr>
                </m:ctrlPr>
              </m:sSubPr>
              <m:e>
                <m:r>
                  <w:rPr>
                    <w:rFonts w:ascii="Cambria Math" w:hAnsi="Cambria Math"/>
                    <w:sz w:val="24"/>
                  </w:rPr>
                  <m:t>α</m:t>
                </m:r>
              </m:e>
              <m:sub>
                <m:r>
                  <w:rPr>
                    <w:rFonts w:ascii="Cambria Math" w:hAnsi="Cambria Math"/>
                    <w:sz w:val="24"/>
                  </w:rPr>
                  <m:t>L</m:t>
                </m:r>
              </m:sub>
            </m:sSub>
          </m:den>
        </m:f>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z</m:t>
                    </m:r>
                  </m:e>
                  <m:sub>
                    <m:r>
                      <w:rPr>
                        <w:rFonts w:ascii="Cambria Math" w:hAnsi="Cambria Math"/>
                        <w:sz w:val="24"/>
                      </w:rPr>
                      <m:t>i</m:t>
                    </m:r>
                  </m:sub>
                </m:sSub>
              </m:num>
              <m:den>
                <m:sSub>
                  <m:sSubPr>
                    <m:ctrlPr>
                      <w:rPr>
                        <w:rFonts w:ascii="Cambria Math" w:hAnsi="Cambria Math"/>
                        <w:i/>
                        <w:sz w:val="24"/>
                      </w:rPr>
                    </m:ctrlPr>
                  </m:sSubPr>
                  <m:e>
                    <m:r>
                      <w:rPr>
                        <w:rFonts w:ascii="Cambria Math" w:hAnsi="Cambria Math"/>
                        <w:sz w:val="24"/>
                      </w:rPr>
                      <m:t>e</m:t>
                    </m:r>
                  </m:e>
                  <m:sub>
                    <m:r>
                      <w:rPr>
                        <w:rFonts w:ascii="Cambria Math" w:hAnsi="Cambria Math"/>
                        <w:sz w:val="24"/>
                      </w:rPr>
                      <m:t>i</m:t>
                    </m:r>
                  </m:sub>
                </m:sSub>
              </m:den>
            </m:f>
          </m:e>
        </m:d>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a+</m:t>
            </m:r>
            <m:sSub>
              <m:sSubPr>
                <m:ctrlPr>
                  <w:rPr>
                    <w:rFonts w:ascii="Cambria Math" w:hAnsi="Cambria Math"/>
                    <w:i/>
                    <w:sz w:val="24"/>
                  </w:rPr>
                </m:ctrlPr>
              </m:sSubPr>
              <m:e>
                <m:r>
                  <w:rPr>
                    <w:rFonts w:ascii="Cambria Math" w:hAnsi="Cambria Math"/>
                    <w:sz w:val="24"/>
                  </w:rPr>
                  <m:t>α</m:t>
                </m:r>
              </m:e>
              <m:sub>
                <m:r>
                  <w:rPr>
                    <w:rFonts w:ascii="Cambria Math" w:hAnsi="Cambria Math"/>
                    <w:sz w:val="24"/>
                  </w:rPr>
                  <m:t>L</m:t>
                </m:r>
              </m:sub>
            </m:sSub>
          </m:den>
        </m:f>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I</m:t>
                </m:r>
              </m:e>
              <m:sub>
                <m:r>
                  <w:rPr>
                    <w:rFonts w:ascii="Cambria Math" w:hAnsi="Cambria Math"/>
                    <w:sz w:val="24"/>
                  </w:rPr>
                  <m:t>i</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z</m:t>
                    </m:r>
                  </m:e>
                  <m:sub>
                    <m:r>
                      <w:rPr>
                        <w:rFonts w:ascii="Cambria Math" w:hAnsi="Cambria Math"/>
                        <w:sz w:val="24"/>
                      </w:rPr>
                      <m:t>i</m:t>
                    </m:r>
                  </m:sub>
                </m:sSub>
              </m:num>
              <m:den>
                <m:sSub>
                  <m:sSubPr>
                    <m:ctrlPr>
                      <w:rPr>
                        <w:rFonts w:ascii="Cambria Math" w:hAnsi="Cambria Math"/>
                        <w:i/>
                        <w:sz w:val="24"/>
                      </w:rPr>
                    </m:ctrlPr>
                  </m:sSubPr>
                  <m:e>
                    <m:r>
                      <w:rPr>
                        <w:rFonts w:ascii="Cambria Math" w:hAnsi="Cambria Math"/>
                        <w:sz w:val="24"/>
                      </w:rPr>
                      <m:t>e</m:t>
                    </m:r>
                  </m:e>
                  <m:sub>
                    <m:r>
                      <w:rPr>
                        <w:rFonts w:ascii="Cambria Math" w:hAnsi="Cambria Math"/>
                        <w:sz w:val="24"/>
                      </w:rPr>
                      <m:t>i</m:t>
                    </m:r>
                  </m:sub>
                </m:sSub>
              </m:den>
            </m:f>
          </m:e>
        </m:d>
        <m:r>
          <w:rPr>
            <w:rFonts w:ascii="Cambria Math" w:hAnsi="Cambria Math"/>
            <w:sz w:val="24"/>
          </w:rPr>
          <m:t>,i=1,2……n</m:t>
        </m:r>
      </m:oMath>
      <w:r w:rsidR="00EC5712">
        <w:rPr>
          <w:rFonts w:ascii="Times New Roman" w:hAnsi="Times New Roman"/>
          <w:sz w:val="24"/>
        </w:rPr>
        <w:t xml:space="preserve">              </w:t>
      </w:r>
      <w:r w:rsidR="00EC5712">
        <w:rPr>
          <w:rFonts w:ascii="Times New Roman" w:hAnsi="Times New Roman"/>
          <w:szCs w:val="21"/>
        </w:rPr>
        <w:t>（</w:t>
      </w:r>
      <w:r w:rsidR="00EC5712">
        <w:rPr>
          <w:rFonts w:ascii="Times New Roman" w:hAnsi="Times New Roman"/>
          <w:szCs w:val="21"/>
        </w:rPr>
        <w:t>2</w:t>
      </w:r>
      <w:r w:rsidR="00EC5712">
        <w:rPr>
          <w:rFonts w:ascii="Times New Roman" w:hAnsi="Times New Roman"/>
          <w:szCs w:val="21"/>
        </w:rPr>
        <w:t>）</w:t>
      </w:r>
    </w:p>
    <w:p w14:paraId="7505E7A3" w14:textId="77777777" w:rsidR="00501C7E" w:rsidRDefault="00501C7E">
      <w:pPr>
        <w:tabs>
          <w:tab w:val="left" w:pos="7770"/>
        </w:tabs>
        <w:rPr>
          <w:rFonts w:ascii="Times New Roman" w:hAnsi="Times New Roman"/>
        </w:rPr>
      </w:pPr>
    </w:p>
    <w:p w14:paraId="7E94617B" w14:textId="77777777" w:rsidR="00501C7E" w:rsidRDefault="00EC5712">
      <w:pPr>
        <w:ind w:firstLine="420"/>
        <w:rPr>
          <w:rFonts w:ascii="Times New Roman" w:hAnsi="Times New Roman"/>
          <w:szCs w:val="21"/>
        </w:rPr>
      </w:pPr>
      <w:r>
        <w:rPr>
          <w:rFonts w:ascii="Times New Roman" w:hAnsi="Times New Roman"/>
          <w:szCs w:val="21"/>
        </w:rPr>
        <w:t>再用</w:t>
      </w:r>
      <m:oMath>
        <m:r>
          <w:rPr>
            <w:rFonts w:ascii="Cambria Math" w:hAnsi="Cambria Math"/>
            <w:szCs w:val="21"/>
          </w:rPr>
          <m:t>γ</m:t>
        </m:r>
      </m:oMath>
      <w:r>
        <w:rPr>
          <w:rFonts w:ascii="Times New Roman" w:hAnsi="Times New Roman"/>
          <w:szCs w:val="21"/>
        </w:rPr>
        <w:t>和</w:t>
      </w:r>
      <m:oMath>
        <m:r>
          <w:rPr>
            <w:rFonts w:ascii="Cambria Math" w:hAnsi="Cambria Math"/>
            <w:szCs w:val="21"/>
          </w:rPr>
          <m:t>δ</m:t>
        </m:r>
      </m:oMath>
      <w:r>
        <w:rPr>
          <w:rFonts w:ascii="Times New Roman" w:hAnsi="Times New Roman"/>
          <w:szCs w:val="21"/>
        </w:rPr>
        <w:t>替代系数</w:t>
      </w:r>
      <m:oMath>
        <m:r>
          <m:rPr>
            <m:sty m:val="p"/>
          </m:rP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α</m:t>
                </m:r>
              </m:e>
              <m:sub>
                <m:r>
                  <w:rPr>
                    <w:rFonts w:ascii="Cambria Math" w:hAnsi="Cambria Math"/>
                    <w:szCs w:val="21"/>
                  </w:rPr>
                  <m:t>L</m:t>
                </m:r>
              </m:sub>
            </m:sSub>
          </m:num>
          <m:den>
            <m:r>
              <w:rPr>
                <w:rFonts w:ascii="Cambria Math" w:hAnsi="Cambria Math"/>
                <w:szCs w:val="21"/>
              </w:rPr>
              <m:t>a+</m:t>
            </m:r>
            <m:sSub>
              <m:sSubPr>
                <m:ctrlPr>
                  <w:rPr>
                    <w:rFonts w:ascii="Cambria Math" w:hAnsi="Cambria Math"/>
                    <w:i/>
                    <w:szCs w:val="21"/>
                  </w:rPr>
                </m:ctrlPr>
              </m:sSubPr>
              <m:e>
                <m:r>
                  <w:rPr>
                    <w:rFonts w:ascii="Cambria Math" w:hAnsi="Cambria Math"/>
                    <w:szCs w:val="21"/>
                  </w:rPr>
                  <m:t>α</m:t>
                </m:r>
              </m:e>
              <m:sub>
                <m:r>
                  <w:rPr>
                    <w:rFonts w:ascii="Cambria Math" w:hAnsi="Cambria Math"/>
                    <w:szCs w:val="21"/>
                  </w:rPr>
                  <m:t>L</m:t>
                </m:r>
              </m:sub>
            </m:sSub>
          </m:den>
        </m:f>
      </m:oMath>
      <w:r>
        <w:rPr>
          <w:rFonts w:ascii="Times New Roman" w:hAnsi="Times New Roman"/>
          <w:szCs w:val="21"/>
        </w:rPr>
        <w:t>和</w:t>
      </w:r>
      <m:oMath>
        <m:f>
          <m:fPr>
            <m:ctrlPr>
              <w:rPr>
                <w:rFonts w:ascii="Cambria Math" w:hAnsi="Cambria Math"/>
                <w:i/>
                <w:szCs w:val="21"/>
              </w:rPr>
            </m:ctrlPr>
          </m:fPr>
          <m:num>
            <m:r>
              <w:rPr>
                <w:rFonts w:ascii="Cambria Math" w:hAnsi="Cambria Math"/>
                <w:szCs w:val="21"/>
              </w:rPr>
              <m:t>1</m:t>
            </m:r>
          </m:num>
          <m:den>
            <m:r>
              <w:rPr>
                <w:rFonts w:ascii="Cambria Math" w:hAnsi="Cambria Math"/>
                <w:szCs w:val="21"/>
              </w:rPr>
              <m:t>a+</m:t>
            </m:r>
            <m:sSub>
              <m:sSubPr>
                <m:ctrlPr>
                  <w:rPr>
                    <w:rFonts w:ascii="Cambria Math" w:hAnsi="Cambria Math"/>
                    <w:i/>
                    <w:szCs w:val="21"/>
                  </w:rPr>
                </m:ctrlPr>
              </m:sSubPr>
              <m:e>
                <m:r>
                  <w:rPr>
                    <w:rFonts w:ascii="Cambria Math" w:hAnsi="Cambria Math"/>
                    <w:szCs w:val="21"/>
                  </w:rPr>
                  <m:t>α</m:t>
                </m:r>
              </m:e>
              <m:sub>
                <m:r>
                  <w:rPr>
                    <w:rFonts w:ascii="Cambria Math" w:hAnsi="Cambria Math"/>
                    <w:szCs w:val="21"/>
                  </w:rPr>
                  <m:t>L</m:t>
                </m:r>
              </m:sub>
            </m:sSub>
          </m:den>
        </m:f>
      </m:oMath>
      <w:r>
        <w:rPr>
          <w:rFonts w:ascii="Times New Roman" w:hAnsi="Times New Roman"/>
          <w:szCs w:val="21"/>
        </w:rPr>
        <w:t>，可以得到如下形式：</w:t>
      </w:r>
    </w:p>
    <w:p w14:paraId="1D6CA2E6" w14:textId="77777777" w:rsidR="00501C7E" w:rsidRDefault="00EC5712">
      <w:pPr>
        <w:jc w:val="center"/>
        <w:rPr>
          <w:rFonts w:ascii="Times New Roman" w:hAnsi="Times New Roman"/>
          <w:sz w:val="24"/>
        </w:rPr>
      </w:pPr>
      <w:r>
        <w:rPr>
          <w:rFonts w:ascii="Times New Roman" w:hAnsi="Times New Roman"/>
          <w:sz w:val="30"/>
          <w:szCs w:val="30"/>
        </w:rPr>
        <w:lastRenderedPageBreak/>
        <w:t xml:space="preserve">                      </w:t>
      </w:r>
      <m:oMath>
        <m:f>
          <m:fPr>
            <m:ctrlPr>
              <w:rPr>
                <w:rFonts w:ascii="Cambria Math" w:hAnsi="Cambria Math"/>
                <w:i/>
                <w:szCs w:val="21"/>
              </w:rPr>
            </m:ctrlPr>
          </m:fPr>
          <m:num>
            <m:sSub>
              <m:sSubPr>
                <m:ctrlPr>
                  <w:rPr>
                    <w:rFonts w:ascii="Cambria Math" w:hAnsi="Cambria Math"/>
                    <w:i/>
                    <w:sz w:val="24"/>
                  </w:rPr>
                </m:ctrlPr>
              </m:sSubPr>
              <m:e>
                <m:r>
                  <w:rPr>
                    <w:rFonts w:ascii="Cambria Math" w:hAnsi="Cambria Math"/>
                    <w:sz w:val="24"/>
                  </w:rPr>
                  <m:t>t</m:t>
                </m:r>
              </m:e>
              <m:sub>
                <m:r>
                  <w:rPr>
                    <w:rFonts w:ascii="Cambria Math" w:hAnsi="Cambria Math"/>
                    <w:sz w:val="24"/>
                  </w:rPr>
                  <m:t>i</m:t>
                </m:r>
              </m:sub>
            </m:sSub>
          </m:num>
          <m:den>
            <m:r>
              <w:rPr>
                <w:rFonts w:ascii="Cambria Math" w:hAnsi="Cambria Math"/>
                <w:sz w:val="24"/>
              </w:rPr>
              <m:t>1+</m:t>
            </m:r>
            <m:sSub>
              <m:sSubPr>
                <m:ctrlPr>
                  <w:rPr>
                    <w:rFonts w:ascii="Cambria Math" w:hAnsi="Cambria Math"/>
                    <w:i/>
                    <w:sz w:val="24"/>
                  </w:rPr>
                </m:ctrlPr>
              </m:sSubPr>
              <m:e>
                <m:r>
                  <w:rPr>
                    <w:rFonts w:ascii="Cambria Math" w:hAnsi="Cambria Math"/>
                    <w:sz w:val="24"/>
                  </w:rPr>
                  <m:t>t</m:t>
                </m:r>
              </m:e>
              <m:sub>
                <m:r>
                  <w:rPr>
                    <w:rFonts w:ascii="Cambria Math" w:hAnsi="Cambria Math"/>
                    <w:sz w:val="24"/>
                  </w:rPr>
                  <m:t>i</m:t>
                </m:r>
              </m:sub>
            </m:sSub>
          </m:den>
        </m:f>
        <m:r>
          <w:rPr>
            <w:rFonts w:ascii="Cambria Math" w:hAnsi="Cambria Math"/>
            <w:szCs w:val="21"/>
          </w:rPr>
          <m:t>=γ</m:t>
        </m:r>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z</m:t>
                    </m:r>
                  </m:e>
                  <m:sub>
                    <m:r>
                      <w:rPr>
                        <w:rFonts w:ascii="Cambria Math" w:hAnsi="Cambria Math"/>
                        <w:sz w:val="24"/>
                      </w:rPr>
                      <m:t>i</m:t>
                    </m:r>
                  </m:sub>
                </m:sSub>
              </m:num>
              <m:den>
                <m:sSub>
                  <m:sSubPr>
                    <m:ctrlPr>
                      <w:rPr>
                        <w:rFonts w:ascii="Cambria Math" w:hAnsi="Cambria Math"/>
                        <w:i/>
                        <w:sz w:val="24"/>
                      </w:rPr>
                    </m:ctrlPr>
                  </m:sSubPr>
                  <m:e>
                    <m:r>
                      <w:rPr>
                        <w:rFonts w:ascii="Cambria Math" w:hAnsi="Cambria Math"/>
                        <w:sz w:val="24"/>
                      </w:rPr>
                      <m:t>e</m:t>
                    </m:r>
                  </m:e>
                  <m:sub>
                    <m:r>
                      <w:rPr>
                        <w:rFonts w:ascii="Cambria Math" w:hAnsi="Cambria Math"/>
                        <w:sz w:val="24"/>
                      </w:rPr>
                      <m:t>i</m:t>
                    </m:r>
                  </m:sub>
                </m:sSub>
              </m:den>
            </m:f>
          </m:e>
        </m:d>
        <m:r>
          <w:rPr>
            <w:rFonts w:ascii="Cambria Math" w:hAnsi="Cambria Math"/>
            <w:sz w:val="24"/>
          </w:rPr>
          <m:t>+</m:t>
        </m:r>
        <m:r>
          <w:rPr>
            <w:rFonts w:ascii="Cambria Math" w:hAnsi="Cambria Math"/>
            <w:szCs w:val="21"/>
          </w:rPr>
          <m:t>δ</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I</m:t>
                </m:r>
              </m:e>
              <m:sub>
                <m:r>
                  <w:rPr>
                    <w:rFonts w:ascii="Cambria Math" w:hAnsi="Cambria Math"/>
                    <w:sz w:val="24"/>
                  </w:rPr>
                  <m:t>i</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z</m:t>
                    </m:r>
                  </m:e>
                  <m:sub>
                    <m:r>
                      <w:rPr>
                        <w:rFonts w:ascii="Cambria Math" w:hAnsi="Cambria Math"/>
                        <w:sz w:val="24"/>
                      </w:rPr>
                      <m:t>i</m:t>
                    </m:r>
                  </m:sub>
                </m:sSub>
              </m:num>
              <m:den>
                <m:sSub>
                  <m:sSubPr>
                    <m:ctrlPr>
                      <w:rPr>
                        <w:rFonts w:ascii="Cambria Math" w:hAnsi="Cambria Math"/>
                        <w:i/>
                        <w:sz w:val="24"/>
                      </w:rPr>
                    </m:ctrlPr>
                  </m:sSubPr>
                  <m:e>
                    <m:r>
                      <w:rPr>
                        <w:rFonts w:ascii="Cambria Math" w:hAnsi="Cambria Math"/>
                        <w:sz w:val="24"/>
                      </w:rPr>
                      <m:t>e</m:t>
                    </m:r>
                  </m:e>
                  <m:sub>
                    <m:r>
                      <w:rPr>
                        <w:rFonts w:ascii="Cambria Math" w:hAnsi="Cambria Math"/>
                        <w:sz w:val="24"/>
                      </w:rPr>
                      <m:t>i</m:t>
                    </m:r>
                  </m:sub>
                </m:sSub>
              </m:den>
            </m:f>
          </m:e>
        </m:d>
      </m:oMath>
      <w:r>
        <w:rPr>
          <w:rFonts w:ascii="Times New Roman" w:hAnsi="Times New Roman"/>
          <w:i/>
          <w:iCs/>
          <w:szCs w:val="21"/>
        </w:rPr>
        <w:t xml:space="preserve"> </w:t>
      </w:r>
      <w:r>
        <w:rPr>
          <w:rFonts w:ascii="Times New Roman" w:hAnsi="Times New Roman"/>
          <w:szCs w:val="21"/>
        </w:rPr>
        <w:t xml:space="preserve">                           </w:t>
      </w:r>
      <w:r>
        <w:rPr>
          <w:rFonts w:ascii="Times New Roman" w:hAnsi="Times New Roman"/>
          <w:szCs w:val="21"/>
        </w:rPr>
        <w:t>（</w:t>
      </w:r>
      <w:r>
        <w:rPr>
          <w:rFonts w:ascii="Times New Roman" w:hAnsi="Times New Roman"/>
          <w:szCs w:val="21"/>
        </w:rPr>
        <w:t>3</w:t>
      </w:r>
      <w:r>
        <w:rPr>
          <w:rFonts w:ascii="Times New Roman" w:hAnsi="Times New Roman"/>
          <w:szCs w:val="21"/>
        </w:rPr>
        <w:t>）</w:t>
      </w:r>
    </w:p>
    <w:p w14:paraId="6BB204BA" w14:textId="77777777" w:rsidR="00501C7E" w:rsidRDefault="00501C7E">
      <w:pPr>
        <w:jc w:val="center"/>
        <w:rPr>
          <w:rFonts w:ascii="Times New Roman" w:hAnsi="Times New Roman"/>
          <w:sz w:val="24"/>
        </w:rPr>
      </w:pPr>
    </w:p>
    <w:p w14:paraId="276C5619" w14:textId="77777777" w:rsidR="00501C7E" w:rsidRDefault="00EC5712">
      <w:pPr>
        <w:ind w:firstLine="420"/>
        <w:rPr>
          <w:rFonts w:ascii="Times New Roman" w:hAnsi="Times New Roman"/>
          <w:szCs w:val="21"/>
        </w:rPr>
      </w:pPr>
      <w:r>
        <w:rPr>
          <w:rFonts w:ascii="Times New Roman" w:hAnsi="Times New Roman"/>
          <w:szCs w:val="21"/>
        </w:rPr>
        <w:t>由于</w:t>
      </w:r>
      <m:oMath>
        <m:sSub>
          <m:sSubPr>
            <m:ctrlPr>
              <w:rPr>
                <w:rFonts w:ascii="Cambria Math" w:hAnsi="Cambria Math"/>
                <w:i/>
                <w:szCs w:val="21"/>
              </w:rPr>
            </m:ctrlPr>
          </m:sSubPr>
          <m:e>
            <m:r>
              <w:rPr>
                <w:rFonts w:ascii="Cambria Math" w:hAnsi="Cambria Math"/>
                <w:szCs w:val="21"/>
              </w:rPr>
              <m:t>α</m:t>
            </m:r>
          </m:e>
          <m:sub>
            <m:r>
              <w:rPr>
                <w:rFonts w:ascii="Cambria Math" w:hAnsi="Cambria Math"/>
                <w:szCs w:val="21"/>
              </w:rPr>
              <m:t>L</m:t>
            </m:r>
          </m:sub>
        </m:sSub>
      </m:oMath>
      <w:r>
        <w:rPr>
          <w:rFonts w:ascii="Times New Roman" w:hAnsi="Times New Roman"/>
          <w:szCs w:val="21"/>
        </w:rPr>
        <w:t>代表组成利益集团的人数占总人数的比例，所以，</w:t>
      </w:r>
      <m:oMath>
        <m:sSub>
          <m:sSubPr>
            <m:ctrlPr>
              <w:rPr>
                <w:rFonts w:ascii="Cambria Math" w:hAnsi="Cambria Math"/>
                <w:i/>
                <w:szCs w:val="21"/>
              </w:rPr>
            </m:ctrlPr>
          </m:sSubPr>
          <m:e>
            <m:r>
              <w:rPr>
                <w:rFonts w:ascii="Cambria Math" w:hAnsi="Cambria Math"/>
                <w:szCs w:val="21"/>
              </w:rPr>
              <m:t>0≤α</m:t>
            </m:r>
          </m:e>
          <m:sub>
            <m:r>
              <w:rPr>
                <w:rFonts w:ascii="Cambria Math" w:hAnsi="Cambria Math"/>
                <w:szCs w:val="21"/>
              </w:rPr>
              <m:t>L</m:t>
            </m:r>
          </m:sub>
        </m:sSub>
        <m:r>
          <w:rPr>
            <w:rFonts w:ascii="Cambria Math" w:hAnsi="Cambria Math"/>
            <w:szCs w:val="21"/>
          </w:rPr>
          <m:t>≤1</m:t>
        </m:r>
      </m:oMath>
      <w:r>
        <w:rPr>
          <w:rFonts w:ascii="Times New Roman" w:hAnsi="Times New Roman"/>
          <w:szCs w:val="21"/>
        </w:rPr>
        <w:t>，</w:t>
      </w:r>
      <w:r>
        <w:rPr>
          <w:rFonts w:ascii="Times New Roman" w:hAnsi="Times New Roman"/>
          <w:szCs w:val="21"/>
        </w:rPr>
        <w:t xml:space="preserve"> </w:t>
      </w:r>
      <m:oMath>
        <m:r>
          <w:rPr>
            <w:rFonts w:ascii="Cambria Math" w:hAnsi="Cambria Math"/>
            <w:szCs w:val="21"/>
          </w:rPr>
          <m:t>a</m:t>
        </m:r>
      </m:oMath>
      <w:r>
        <w:rPr>
          <w:rFonts w:ascii="Times New Roman" w:hAnsi="Times New Roman"/>
          <w:szCs w:val="21"/>
        </w:rPr>
        <w:t>代表政府对社会总体福利的重视程度，</w:t>
      </w:r>
      <m:oMath>
        <m:r>
          <w:rPr>
            <w:rFonts w:ascii="Cambria Math" w:hAnsi="Cambria Math"/>
            <w:szCs w:val="21"/>
          </w:rPr>
          <m:t>a≥0</m:t>
        </m:r>
      </m:oMath>
      <w:r>
        <w:rPr>
          <w:rFonts w:ascii="Times New Roman" w:hAnsi="Times New Roman"/>
          <w:szCs w:val="21"/>
        </w:rPr>
        <w:t>。根据模型的结构参数设定，</w:t>
      </w:r>
      <w:r>
        <w:rPr>
          <w:rFonts w:ascii="Times New Roman" w:hAnsi="Times New Roman"/>
          <w:szCs w:val="21"/>
        </w:rPr>
        <w:t xml:space="preserve"> </w:t>
      </w:r>
      <m:oMath>
        <m:r>
          <w:rPr>
            <w:rFonts w:ascii="Cambria Math" w:hAnsi="Cambria Math"/>
            <w:szCs w:val="21"/>
          </w:rPr>
          <m:t>γ</m:t>
        </m:r>
      </m:oMath>
      <w:r>
        <w:rPr>
          <w:rFonts w:ascii="Times New Roman" w:hAnsi="Times New Roman"/>
          <w:szCs w:val="21"/>
        </w:rPr>
        <w:t>预期符号为负且显著，</w:t>
      </w:r>
      <m:oMath>
        <m:r>
          <w:rPr>
            <w:rFonts w:ascii="Cambria Math" w:hAnsi="Cambria Math"/>
            <w:szCs w:val="21"/>
          </w:rPr>
          <m:t>δ</m:t>
        </m:r>
      </m:oMath>
      <w:r>
        <w:rPr>
          <w:rFonts w:ascii="Times New Roman" w:hAnsi="Times New Roman"/>
          <w:szCs w:val="21"/>
        </w:rPr>
        <w:t>和</w:t>
      </w:r>
      <m:oMath>
        <m:r>
          <w:rPr>
            <w:rFonts w:ascii="Cambria Math" w:hAnsi="Cambria Math"/>
            <w:szCs w:val="21"/>
          </w:rPr>
          <m:t>γ+δ</m:t>
        </m:r>
      </m:oMath>
      <w:r>
        <w:rPr>
          <w:rFonts w:ascii="Times New Roman" w:hAnsi="Times New Roman"/>
          <w:szCs w:val="21"/>
        </w:rPr>
        <w:t>预期符号为正且显著，若检验结果符合上述设定，则意味着其贸易保护政策是</w:t>
      </w:r>
      <w:r>
        <w:rPr>
          <w:rFonts w:ascii="Times New Roman" w:hAnsi="Times New Roman" w:hint="eastAsia"/>
          <w:szCs w:val="21"/>
        </w:rPr>
        <w:t>“</w:t>
      </w:r>
      <w:r>
        <w:rPr>
          <w:rFonts w:ascii="Times New Roman" w:hAnsi="Times New Roman"/>
          <w:szCs w:val="21"/>
        </w:rPr>
        <w:t>待售</w:t>
      </w:r>
      <w:r>
        <w:rPr>
          <w:rFonts w:ascii="Times New Roman" w:hAnsi="Times New Roman" w:hint="eastAsia"/>
          <w:szCs w:val="21"/>
        </w:rPr>
        <w:t>”</w:t>
      </w:r>
      <w:r>
        <w:rPr>
          <w:rFonts w:ascii="Times New Roman" w:hAnsi="Times New Roman"/>
          <w:szCs w:val="21"/>
        </w:rPr>
        <w:t>的，一</w:t>
      </w:r>
      <w:r w:rsidR="00466471">
        <w:rPr>
          <w:rFonts w:ascii="Times New Roman" w:hAnsi="Times New Roman"/>
          <w:szCs w:val="21"/>
        </w:rPr>
        <w:t>个</w:t>
      </w:r>
      <w:r>
        <w:rPr>
          <w:rFonts w:ascii="Times New Roman" w:hAnsi="Times New Roman"/>
          <w:szCs w:val="21"/>
        </w:rPr>
        <w:t>行业能组成有效的利益集团，</w:t>
      </w:r>
      <w:r>
        <w:rPr>
          <w:rFonts w:ascii="Times New Roman" w:hAnsi="Times New Roman" w:hint="eastAsia"/>
          <w:szCs w:val="21"/>
        </w:rPr>
        <w:t>即申诉者能达到影响贸易政策决策的门槛水平，</w:t>
      </w:r>
      <w:r>
        <w:rPr>
          <w:rFonts w:ascii="Times New Roman" w:hAnsi="Times New Roman"/>
          <w:szCs w:val="21"/>
        </w:rPr>
        <w:t>则可以</w:t>
      </w:r>
      <w:r>
        <w:rPr>
          <w:rFonts w:ascii="Times New Roman" w:hAnsi="Times New Roman" w:hint="eastAsia"/>
          <w:szCs w:val="21"/>
        </w:rPr>
        <w:t>“</w:t>
      </w:r>
      <w:r>
        <w:rPr>
          <w:rFonts w:ascii="Times New Roman" w:hAnsi="Times New Roman"/>
          <w:szCs w:val="21"/>
        </w:rPr>
        <w:t>购买</w:t>
      </w:r>
      <w:r>
        <w:rPr>
          <w:rFonts w:ascii="Times New Roman" w:hAnsi="Times New Roman" w:hint="eastAsia"/>
          <w:szCs w:val="21"/>
        </w:rPr>
        <w:t>”</w:t>
      </w:r>
      <w:r>
        <w:rPr>
          <w:rFonts w:ascii="Times New Roman" w:hAnsi="Times New Roman"/>
          <w:szCs w:val="21"/>
        </w:rPr>
        <w:t>到政府</w:t>
      </w:r>
      <w:r>
        <w:rPr>
          <w:rFonts w:ascii="Times New Roman" w:hAnsi="Times New Roman" w:hint="eastAsia"/>
          <w:szCs w:val="21"/>
        </w:rPr>
        <w:t>“</w:t>
      </w:r>
      <w:r>
        <w:rPr>
          <w:rFonts w:ascii="Times New Roman" w:hAnsi="Times New Roman"/>
          <w:szCs w:val="21"/>
        </w:rPr>
        <w:t>出售</w:t>
      </w:r>
      <w:r>
        <w:rPr>
          <w:rFonts w:ascii="Times New Roman" w:hAnsi="Times New Roman" w:hint="eastAsia"/>
          <w:szCs w:val="21"/>
        </w:rPr>
        <w:t>”</w:t>
      </w:r>
      <w:r>
        <w:rPr>
          <w:rFonts w:ascii="Times New Roman" w:hAnsi="Times New Roman"/>
          <w:szCs w:val="21"/>
        </w:rPr>
        <w:t>的贸易保护政策；对能组成有效的利益集团的行业（即</w:t>
      </w:r>
      <m:oMath>
        <m:sSub>
          <m:sSubPr>
            <m:ctrlPr>
              <w:rPr>
                <w:rFonts w:ascii="Cambria Math" w:hAnsi="Cambria Math"/>
                <w:i/>
                <w:szCs w:val="21"/>
              </w:rPr>
            </m:ctrlPr>
          </m:sSubPr>
          <m:e>
            <m:r>
              <w:rPr>
                <w:rFonts w:ascii="Cambria Math" w:hAnsi="Cambria Math"/>
                <w:szCs w:val="21"/>
              </w:rPr>
              <m:t>I</m:t>
            </m:r>
          </m:e>
          <m:sub>
            <m:r>
              <w:rPr>
                <w:rFonts w:ascii="Cambria Math" w:hAnsi="Cambria Math"/>
                <w:szCs w:val="21"/>
              </w:rPr>
              <m:t>i</m:t>
            </m:r>
          </m:sub>
        </m:sSub>
        <m:r>
          <w:rPr>
            <w:rFonts w:ascii="Cambria Math" w:hAnsi="Cambria Math"/>
            <w:szCs w:val="21"/>
          </w:rPr>
          <m:t>=1</m:t>
        </m:r>
      </m:oMath>
      <w:r>
        <w:rPr>
          <w:rFonts w:ascii="Times New Roman" w:hAnsi="Times New Roman"/>
          <w:szCs w:val="21"/>
        </w:rPr>
        <w:t>），保护水平</w:t>
      </w:r>
      <m:oMath>
        <m:f>
          <m:fPr>
            <m:ctrlPr>
              <w:rPr>
                <w:rFonts w:ascii="Cambria Math" w:hAnsi="Cambria Math"/>
                <w:i/>
                <w:szCs w:val="21"/>
              </w:rPr>
            </m:ctrlPr>
          </m:fPr>
          <m:num>
            <m:sSub>
              <m:sSubPr>
                <m:ctrlPr>
                  <w:rPr>
                    <w:rFonts w:ascii="Cambria Math" w:hAnsi="Cambria Math"/>
                    <w:i/>
                    <w:sz w:val="24"/>
                  </w:rPr>
                </m:ctrlPr>
              </m:sSubPr>
              <m:e>
                <m:r>
                  <w:rPr>
                    <w:rFonts w:ascii="Cambria Math" w:hAnsi="Cambria Math"/>
                    <w:sz w:val="24"/>
                  </w:rPr>
                  <m:t>t</m:t>
                </m:r>
              </m:e>
              <m:sub>
                <m:r>
                  <w:rPr>
                    <w:rFonts w:ascii="Cambria Math" w:hAnsi="Cambria Math"/>
                    <w:sz w:val="24"/>
                  </w:rPr>
                  <m:t>i</m:t>
                </m:r>
              </m:sub>
            </m:sSub>
          </m:num>
          <m:den>
            <m:r>
              <w:rPr>
                <w:rFonts w:ascii="Cambria Math" w:hAnsi="Cambria Math"/>
                <w:sz w:val="24"/>
              </w:rPr>
              <m:t>1+</m:t>
            </m:r>
            <m:sSub>
              <m:sSubPr>
                <m:ctrlPr>
                  <w:rPr>
                    <w:rFonts w:ascii="Cambria Math" w:hAnsi="Cambria Math"/>
                    <w:i/>
                    <w:sz w:val="24"/>
                  </w:rPr>
                </m:ctrlPr>
              </m:sSubPr>
              <m:e>
                <m:r>
                  <w:rPr>
                    <w:rFonts w:ascii="Cambria Math" w:hAnsi="Cambria Math"/>
                    <w:sz w:val="24"/>
                  </w:rPr>
                  <m:t>t</m:t>
                </m:r>
              </m:e>
              <m:sub>
                <m:r>
                  <w:rPr>
                    <w:rFonts w:ascii="Cambria Math" w:hAnsi="Cambria Math"/>
                    <w:sz w:val="24"/>
                  </w:rPr>
                  <m:t>i</m:t>
                </m:r>
              </m:sub>
            </m:sSub>
          </m:den>
        </m:f>
      </m:oMath>
      <w:r>
        <w:rPr>
          <w:rFonts w:ascii="Times New Roman" w:hAnsi="Times New Roman"/>
          <w:szCs w:val="21"/>
        </w:rPr>
        <w:t>同进口渗透率</w:t>
      </w:r>
      <m:oMath>
        <m:sSub>
          <m:sSubPr>
            <m:ctrlPr>
              <w:rPr>
                <w:rFonts w:ascii="Cambria Math" w:hAnsi="Cambria Math"/>
                <w:i/>
                <w:sz w:val="24"/>
              </w:rPr>
            </m:ctrlPr>
          </m:sSubPr>
          <m:e>
            <m:r>
              <w:rPr>
                <w:rFonts w:ascii="Cambria Math" w:hAnsi="Cambria Math"/>
                <w:sz w:val="24"/>
              </w:rPr>
              <m:t>z</m:t>
            </m:r>
          </m:e>
          <m:sub>
            <m:r>
              <w:rPr>
                <w:rFonts w:ascii="Cambria Math" w:hAnsi="Cambria Math"/>
                <w:sz w:val="24"/>
              </w:rPr>
              <m:t>i</m:t>
            </m:r>
          </m:sub>
        </m:sSub>
      </m:oMath>
      <w:r>
        <w:rPr>
          <w:rFonts w:ascii="Times New Roman" w:hAnsi="Times New Roman"/>
          <w:szCs w:val="21"/>
        </w:rPr>
        <w:t>负相关，反之则正相关。</w:t>
      </w:r>
      <w:r>
        <w:rPr>
          <w:rFonts w:ascii="Times New Roman" w:hAnsi="Times New Roman"/>
          <w:szCs w:val="21"/>
        </w:rPr>
        <w:t xml:space="preserve">                       </w:t>
      </w:r>
    </w:p>
    <w:p w14:paraId="022FC0BF" w14:textId="77777777" w:rsidR="00501C7E" w:rsidRDefault="00EC5712">
      <w:pPr>
        <w:spacing w:line="300" w:lineRule="exact"/>
        <w:ind w:firstLine="420"/>
        <w:textAlignment w:val="bottom"/>
        <w:rPr>
          <w:rFonts w:ascii="Times New Roman" w:hAnsi="Times New Roman"/>
          <w:szCs w:val="21"/>
        </w:rPr>
      </w:pPr>
      <w:r>
        <w:rPr>
          <w:rFonts w:ascii="Times New Roman" w:hAnsi="Times New Roman"/>
          <w:szCs w:val="21"/>
        </w:rPr>
        <w:t>在</w:t>
      </w:r>
      <w:r w:rsidR="00466471">
        <w:rPr>
          <w:rFonts w:ascii="Times New Roman" w:hAnsi="Times New Roman"/>
          <w:szCs w:val="21"/>
        </w:rPr>
        <w:t>式</w:t>
      </w:r>
      <w:r>
        <w:rPr>
          <w:rFonts w:ascii="Times New Roman" w:hAnsi="Times New Roman"/>
          <w:szCs w:val="21"/>
        </w:rPr>
        <w:t>（</w:t>
      </w:r>
      <w:r>
        <w:rPr>
          <w:rFonts w:ascii="Times New Roman" w:hAnsi="Times New Roman"/>
          <w:szCs w:val="21"/>
        </w:rPr>
        <w:t>3</w:t>
      </w:r>
      <w:r>
        <w:rPr>
          <w:rFonts w:ascii="Times New Roman" w:hAnsi="Times New Roman"/>
          <w:szCs w:val="21"/>
        </w:rPr>
        <w:t>）中，解释变量</w:t>
      </w:r>
      <m:oMath>
        <m:sSub>
          <m:sSubPr>
            <m:ctrlPr>
              <w:rPr>
                <w:rFonts w:ascii="Cambria Math" w:hAnsi="Cambria Math"/>
                <w:i/>
                <w:szCs w:val="21"/>
              </w:rPr>
            </m:ctrlPr>
          </m:sSubPr>
          <m:e>
            <m:r>
              <w:rPr>
                <w:rFonts w:ascii="Cambria Math" w:hAnsi="Cambria Math"/>
                <w:szCs w:val="21"/>
              </w:rPr>
              <m:t>z</m:t>
            </m:r>
          </m:e>
          <m:sub>
            <m:r>
              <w:rPr>
                <w:rFonts w:ascii="Cambria Math" w:hAnsi="Cambria Math"/>
                <w:szCs w:val="21"/>
              </w:rPr>
              <m:t>i</m:t>
            </m:r>
          </m:sub>
        </m:sSub>
      </m:oMath>
      <w:r>
        <w:rPr>
          <w:rFonts w:ascii="Times New Roman" w:hAnsi="Times New Roman"/>
          <w:szCs w:val="21"/>
        </w:rPr>
        <w:t>和</w:t>
      </w:r>
      <m:oMath>
        <m:sSub>
          <m:sSubPr>
            <m:ctrlPr>
              <w:rPr>
                <w:rFonts w:ascii="Cambria Math" w:hAnsi="Cambria Math"/>
                <w:i/>
                <w:szCs w:val="21"/>
              </w:rPr>
            </m:ctrlPr>
          </m:sSubPr>
          <m:e>
            <m:r>
              <w:rPr>
                <w:rFonts w:ascii="Cambria Math" w:hAnsi="Cambria Math"/>
                <w:szCs w:val="21"/>
              </w:rPr>
              <m:t>I</m:t>
            </m:r>
          </m:e>
          <m:sub>
            <m:r>
              <w:rPr>
                <w:rFonts w:ascii="Cambria Math" w:hAnsi="Cambria Math"/>
                <w:szCs w:val="21"/>
              </w:rPr>
              <m:t>i</m:t>
            </m:r>
          </m:sub>
        </m:sSub>
        <m:sSub>
          <m:sSubPr>
            <m:ctrlPr>
              <w:rPr>
                <w:rFonts w:ascii="Cambria Math" w:hAnsi="Cambria Math"/>
                <w:i/>
                <w:szCs w:val="21"/>
              </w:rPr>
            </m:ctrlPr>
          </m:sSubPr>
          <m:e>
            <m:r>
              <w:rPr>
                <w:rFonts w:ascii="Cambria Math" w:hAnsi="Cambria Math"/>
                <w:szCs w:val="21"/>
              </w:rPr>
              <m:t>z</m:t>
            </m:r>
          </m:e>
          <m:sub>
            <m:r>
              <w:rPr>
                <w:rFonts w:ascii="Cambria Math" w:hAnsi="Cambria Math"/>
                <w:szCs w:val="21"/>
              </w:rPr>
              <m:t>i</m:t>
            </m:r>
          </m:sub>
        </m:sSub>
      </m:oMath>
      <w:r>
        <w:rPr>
          <w:rFonts w:ascii="Times New Roman" w:hAnsi="Times New Roman"/>
          <w:szCs w:val="21"/>
        </w:rPr>
        <w:t>可能会存在内生性问题。一方面，反倾销税率会对进口价值产生影响，进而影响</w:t>
      </w:r>
      <m:oMath>
        <m:sSub>
          <m:sSubPr>
            <m:ctrlPr>
              <w:rPr>
                <w:rFonts w:ascii="Cambria Math" w:hAnsi="Cambria Math"/>
                <w:i/>
                <w:szCs w:val="21"/>
              </w:rPr>
            </m:ctrlPr>
          </m:sSubPr>
          <m:e>
            <m:r>
              <w:rPr>
                <w:rFonts w:ascii="Cambria Math" w:hAnsi="Cambria Math"/>
                <w:szCs w:val="21"/>
              </w:rPr>
              <m:t>z</m:t>
            </m:r>
          </m:e>
          <m:sub>
            <m:r>
              <w:rPr>
                <w:rFonts w:ascii="Cambria Math" w:hAnsi="Cambria Math"/>
                <w:szCs w:val="21"/>
              </w:rPr>
              <m:t>i</m:t>
            </m:r>
          </m:sub>
        </m:sSub>
      </m:oMath>
      <w:r>
        <w:rPr>
          <w:rFonts w:ascii="Times New Roman" w:hAnsi="Times New Roman"/>
          <w:szCs w:val="21"/>
        </w:rPr>
        <w:t>；另一方面，反倾销税率可能会影响某一行业在政治上的组织情况</w:t>
      </w:r>
      <m:oMath>
        <m:sSub>
          <m:sSubPr>
            <m:ctrlPr>
              <w:rPr>
                <w:rFonts w:ascii="Cambria Math" w:hAnsi="Cambria Math"/>
                <w:i/>
                <w:szCs w:val="21"/>
              </w:rPr>
            </m:ctrlPr>
          </m:sSubPr>
          <m:e>
            <m:r>
              <w:rPr>
                <w:rFonts w:ascii="Cambria Math" w:hAnsi="Cambria Math"/>
                <w:szCs w:val="21"/>
              </w:rPr>
              <m:t>I</m:t>
            </m:r>
          </m:e>
          <m:sub>
            <m:r>
              <w:rPr>
                <w:rFonts w:ascii="Cambria Math" w:hAnsi="Cambria Math"/>
                <w:szCs w:val="21"/>
              </w:rPr>
              <m:t>i</m:t>
            </m:r>
          </m:sub>
        </m:sSub>
      </m:oMath>
      <w:r>
        <w:rPr>
          <w:rFonts w:ascii="Times New Roman" w:hAnsi="Times New Roman"/>
          <w:szCs w:val="21"/>
        </w:rPr>
        <w:t>，比如为寻求更高的贸易保护水平，多个企业往往会联合起来组建</w:t>
      </w:r>
      <w:r>
        <w:rPr>
          <w:rFonts w:ascii="Times New Roman" w:hAnsi="Times New Roman" w:hint="eastAsia"/>
          <w:szCs w:val="21"/>
        </w:rPr>
        <w:t>“</w:t>
      </w:r>
      <w:r>
        <w:rPr>
          <w:rFonts w:ascii="Times New Roman" w:hAnsi="Times New Roman"/>
          <w:szCs w:val="21"/>
        </w:rPr>
        <w:t>联盟</w:t>
      </w:r>
      <w:r>
        <w:rPr>
          <w:rFonts w:ascii="Times New Roman" w:hAnsi="Times New Roman" w:hint="eastAsia"/>
          <w:szCs w:val="21"/>
        </w:rPr>
        <w:t>“</w:t>
      </w:r>
      <w:r w:rsidR="00466471">
        <w:rPr>
          <w:rFonts w:ascii="Times New Roman" w:hAnsi="Times New Roman"/>
          <w:szCs w:val="21"/>
        </w:rPr>
        <w:t>以达成其目标。因此，为解决内生干扰，本文</w:t>
      </w:r>
      <w:r>
        <w:rPr>
          <w:rFonts w:ascii="Times New Roman" w:hAnsi="Times New Roman"/>
          <w:szCs w:val="21"/>
        </w:rPr>
        <w:t>将</w:t>
      </w:r>
      <m:oMath>
        <m:sSub>
          <m:sSubPr>
            <m:ctrlPr>
              <w:rPr>
                <w:rFonts w:ascii="Cambria Math" w:hAnsi="Cambria Math"/>
                <w:i/>
                <w:szCs w:val="21"/>
              </w:rPr>
            </m:ctrlPr>
          </m:sSubPr>
          <m:e>
            <m:r>
              <w:rPr>
                <w:rFonts w:ascii="Cambria Math" w:hAnsi="Cambria Math"/>
                <w:szCs w:val="21"/>
              </w:rPr>
              <m:t>z</m:t>
            </m:r>
          </m:e>
          <m:sub>
            <m:r>
              <w:rPr>
                <w:rFonts w:ascii="Cambria Math" w:hAnsi="Cambria Math"/>
                <w:szCs w:val="21"/>
              </w:rPr>
              <m:t>i</m:t>
            </m:r>
          </m:sub>
        </m:sSub>
      </m:oMath>
      <w:r>
        <w:rPr>
          <w:rFonts w:ascii="Times New Roman" w:hAnsi="Times New Roman"/>
          <w:szCs w:val="21"/>
        </w:rPr>
        <w:t>和</w:t>
      </w:r>
      <m:oMath>
        <m:sSub>
          <m:sSubPr>
            <m:ctrlPr>
              <w:rPr>
                <w:rFonts w:ascii="Cambria Math" w:hAnsi="Cambria Math"/>
                <w:i/>
                <w:szCs w:val="21"/>
              </w:rPr>
            </m:ctrlPr>
          </m:sSubPr>
          <m:e>
            <m:r>
              <w:rPr>
                <w:rFonts w:ascii="Cambria Math" w:hAnsi="Cambria Math"/>
                <w:szCs w:val="21"/>
              </w:rPr>
              <m:t>I</m:t>
            </m:r>
          </m:e>
          <m:sub>
            <m:r>
              <w:rPr>
                <w:rFonts w:ascii="Cambria Math" w:hAnsi="Cambria Math"/>
                <w:szCs w:val="21"/>
              </w:rPr>
              <m:t>i</m:t>
            </m:r>
          </m:sub>
        </m:sSub>
        <m:sSub>
          <m:sSubPr>
            <m:ctrlPr>
              <w:rPr>
                <w:rFonts w:ascii="Cambria Math" w:hAnsi="Cambria Math"/>
                <w:i/>
                <w:szCs w:val="21"/>
              </w:rPr>
            </m:ctrlPr>
          </m:sSubPr>
          <m:e>
            <m:r>
              <w:rPr>
                <w:rFonts w:ascii="Cambria Math" w:hAnsi="Cambria Math"/>
                <w:szCs w:val="21"/>
              </w:rPr>
              <m:t>z</m:t>
            </m:r>
          </m:e>
          <m:sub>
            <m:r>
              <w:rPr>
                <w:rFonts w:ascii="Cambria Math" w:hAnsi="Cambria Math"/>
                <w:szCs w:val="21"/>
              </w:rPr>
              <m:t>i</m:t>
            </m:r>
          </m:sub>
        </m:sSub>
      </m:oMath>
      <w:r>
        <w:rPr>
          <w:rFonts w:ascii="Times New Roman" w:hAnsi="Times New Roman"/>
          <w:szCs w:val="21"/>
        </w:rPr>
        <w:t>视为内生变量进行估计：</w:t>
      </w:r>
    </w:p>
    <w:p w14:paraId="7D0213AF" w14:textId="77777777" w:rsidR="00501C7E" w:rsidRDefault="00501C7E">
      <w:pPr>
        <w:spacing w:line="300" w:lineRule="exact"/>
        <w:textAlignment w:val="bottom"/>
        <w:rPr>
          <w:rFonts w:ascii="Times New Roman" w:hAnsi="Times New Roman"/>
          <w:szCs w:val="21"/>
        </w:rPr>
      </w:pPr>
    </w:p>
    <w:p w14:paraId="53BA1889" w14:textId="77777777" w:rsidR="00501C7E" w:rsidRDefault="00EC5712">
      <w:pPr>
        <w:spacing w:line="300" w:lineRule="exact"/>
        <w:textAlignment w:val="bottom"/>
        <w:rPr>
          <w:rFonts w:ascii="Times New Roman" w:hAnsi="Times New Roman"/>
          <w:szCs w:val="21"/>
        </w:rPr>
      </w:pPr>
      <w:r>
        <w:rPr>
          <w:rFonts w:ascii="Times New Roman" w:hAnsi="Times New Roman"/>
          <w:sz w:val="30"/>
          <w:szCs w:val="30"/>
        </w:rPr>
        <w:t xml:space="preserve">                          </w:t>
      </w:r>
      <m:oMath>
        <m:sSub>
          <m:sSubPr>
            <m:ctrlPr>
              <w:rPr>
                <w:rFonts w:ascii="Cambria Math" w:hAnsi="Cambria Math"/>
                <w:i/>
                <w:szCs w:val="21"/>
              </w:rPr>
            </m:ctrlPr>
          </m:sSubPr>
          <m:e>
            <m:r>
              <w:rPr>
                <w:rFonts w:ascii="Cambria Math" w:hAnsi="Cambria Math"/>
                <w:szCs w:val="21"/>
              </w:rPr>
              <m:t>z</m:t>
            </m:r>
          </m:e>
          <m:sub>
            <m:r>
              <w:rPr>
                <w:rFonts w:ascii="Cambria Math" w:hAnsi="Cambria Math"/>
                <w:szCs w:val="21"/>
              </w:rPr>
              <m:t>i</m:t>
            </m:r>
          </m:sub>
        </m:sSub>
        <m:r>
          <w:rPr>
            <w:rFonts w:ascii="Cambria Math" w:hAnsi="Cambria Math"/>
            <w:szCs w:val="21"/>
          </w:rPr>
          <m:t>=A</m:t>
        </m:r>
        <m:sSubSup>
          <m:sSubSupPr>
            <m:ctrlPr>
              <w:rPr>
                <w:rFonts w:ascii="Cambria Math" w:hAnsi="Cambria Math"/>
                <w:i/>
                <w:szCs w:val="21"/>
              </w:rPr>
            </m:ctrlPr>
          </m:sSubSupPr>
          <m:e>
            <m:r>
              <w:rPr>
                <w:rFonts w:ascii="Cambria Math" w:hAnsi="Cambria Math"/>
                <w:szCs w:val="21"/>
              </w:rPr>
              <m:t>X</m:t>
            </m:r>
          </m:e>
          <m:sub>
            <m:r>
              <w:rPr>
                <w:rFonts w:ascii="Cambria Math" w:hAnsi="Cambria Math"/>
                <w:szCs w:val="21"/>
              </w:rPr>
              <m:t>i</m:t>
            </m:r>
          </m:sub>
          <m:sup>
            <m:r>
              <w:rPr>
                <w:rFonts w:ascii="Cambria Math" w:hAnsi="Cambria Math"/>
                <w:szCs w:val="21"/>
              </w:rPr>
              <m:t>'</m:t>
            </m:r>
          </m:sup>
        </m:sSubSup>
        <m:r>
          <w:rPr>
            <w:rFonts w:ascii="Cambria Math" w:hAnsi="Cambria Math"/>
            <w:szCs w:val="21"/>
          </w:rPr>
          <m:t>+</m:t>
        </m:r>
        <m:sSub>
          <m:sSubPr>
            <m:ctrlPr>
              <w:rPr>
                <w:rFonts w:ascii="Cambria Math" w:hAnsi="Cambria Math"/>
                <w:i/>
                <w:szCs w:val="21"/>
              </w:rPr>
            </m:ctrlPr>
          </m:sSubPr>
          <m:e>
            <m:r>
              <w:rPr>
                <w:rFonts w:ascii="Cambria Math" w:hAnsi="Cambria Math"/>
                <w:szCs w:val="21"/>
              </w:rPr>
              <m:t>ε</m:t>
            </m:r>
          </m:e>
          <m:sub>
            <m:r>
              <w:rPr>
                <w:rFonts w:ascii="Cambria Math" w:hAnsi="Cambria Math"/>
                <w:szCs w:val="21"/>
              </w:rPr>
              <m:t>z</m:t>
            </m:r>
          </m:sub>
        </m:sSub>
      </m:oMath>
      <w:r>
        <w:rPr>
          <w:rFonts w:ascii="Times New Roman" w:hAnsi="Times New Roman"/>
          <w:szCs w:val="21"/>
        </w:rPr>
        <w:t xml:space="preserve">                                </w:t>
      </w:r>
      <w:r>
        <w:rPr>
          <w:rFonts w:ascii="Times New Roman" w:hAnsi="Times New Roman"/>
          <w:szCs w:val="21"/>
        </w:rPr>
        <w:t>（</w:t>
      </w:r>
      <w:r>
        <w:rPr>
          <w:rFonts w:ascii="Times New Roman" w:hAnsi="Times New Roman"/>
          <w:szCs w:val="21"/>
        </w:rPr>
        <w:t>4</w:t>
      </w:r>
      <w:r>
        <w:rPr>
          <w:rFonts w:ascii="Times New Roman" w:hAnsi="Times New Roman"/>
          <w:szCs w:val="21"/>
        </w:rPr>
        <w:t>）</w:t>
      </w:r>
    </w:p>
    <w:p w14:paraId="254C2932" w14:textId="77777777" w:rsidR="00501C7E" w:rsidRDefault="00501C7E">
      <w:pPr>
        <w:spacing w:line="300" w:lineRule="exact"/>
        <w:textAlignment w:val="bottom"/>
        <w:rPr>
          <w:rFonts w:ascii="Times New Roman" w:hAnsi="Times New Roman"/>
          <w:szCs w:val="21"/>
        </w:rPr>
      </w:pPr>
    </w:p>
    <w:p w14:paraId="75D52C71" w14:textId="77777777" w:rsidR="00501C7E" w:rsidRDefault="00EC5712">
      <w:pPr>
        <w:spacing w:line="300" w:lineRule="exact"/>
        <w:jc w:val="center"/>
        <w:textAlignment w:val="center"/>
        <w:rPr>
          <w:rFonts w:ascii="Times New Roman" w:hAnsi="Times New Roman"/>
          <w:szCs w:val="21"/>
        </w:rPr>
      </w:pPr>
      <w:r>
        <w:rPr>
          <w:rFonts w:ascii="Times New Roman" w:hAnsi="Times New Roman"/>
          <w:position w:val="-5"/>
          <w:szCs w:val="21"/>
        </w:rPr>
        <w:t xml:space="preserve">                                    </w:t>
      </w:r>
      <m:oMath>
        <m:sSub>
          <m:sSubPr>
            <m:ctrlPr>
              <w:rPr>
                <w:rFonts w:ascii="Cambria Math" w:hAnsi="Cambria Math"/>
                <w:i/>
                <w:szCs w:val="21"/>
              </w:rPr>
            </m:ctrlPr>
          </m:sSubPr>
          <m:e>
            <m:r>
              <w:rPr>
                <w:rFonts w:ascii="Cambria Math" w:hAnsi="Cambria Math"/>
                <w:szCs w:val="21"/>
              </w:rPr>
              <m:t>I</m:t>
            </m:r>
          </m:e>
          <m:sub>
            <m:r>
              <w:rPr>
                <w:rFonts w:ascii="Cambria Math" w:hAnsi="Cambria Math"/>
                <w:szCs w:val="21"/>
              </w:rPr>
              <m:t>i</m:t>
            </m:r>
          </m:sub>
        </m:sSub>
        <m:sSub>
          <m:sSubPr>
            <m:ctrlPr>
              <w:rPr>
                <w:rFonts w:ascii="Cambria Math" w:hAnsi="Cambria Math"/>
                <w:i/>
                <w:szCs w:val="21"/>
              </w:rPr>
            </m:ctrlPr>
          </m:sSubPr>
          <m:e>
            <m:r>
              <w:rPr>
                <w:rFonts w:ascii="Cambria Math" w:hAnsi="Cambria Math"/>
                <w:szCs w:val="21"/>
              </w:rPr>
              <m:t>z</m:t>
            </m:r>
          </m:e>
          <m:sub>
            <m:r>
              <w:rPr>
                <w:rFonts w:ascii="Cambria Math" w:hAnsi="Cambria Math"/>
                <w:szCs w:val="21"/>
              </w:rPr>
              <m:t>i</m:t>
            </m:r>
          </m:sub>
        </m:sSub>
        <m:r>
          <w:rPr>
            <w:rFonts w:ascii="Cambria Math" w:hAnsi="Cambria Math"/>
            <w:szCs w:val="21"/>
          </w:rPr>
          <m:t>=B</m:t>
        </m:r>
        <m:sSubSup>
          <m:sSubSupPr>
            <m:ctrlPr>
              <w:rPr>
                <w:rFonts w:ascii="Cambria Math" w:hAnsi="Cambria Math"/>
                <w:i/>
                <w:szCs w:val="21"/>
              </w:rPr>
            </m:ctrlPr>
          </m:sSubSupPr>
          <m:e>
            <m:r>
              <w:rPr>
                <w:rFonts w:ascii="Cambria Math" w:hAnsi="Cambria Math"/>
                <w:szCs w:val="21"/>
              </w:rPr>
              <m:t>Y</m:t>
            </m:r>
          </m:e>
          <m:sub>
            <m:r>
              <w:rPr>
                <w:rFonts w:ascii="Cambria Math" w:hAnsi="Cambria Math"/>
                <w:szCs w:val="21"/>
              </w:rPr>
              <m:t>i</m:t>
            </m:r>
          </m:sub>
          <m:sup>
            <m:r>
              <w:rPr>
                <w:rFonts w:ascii="Cambria Math" w:hAnsi="Cambria Math"/>
                <w:szCs w:val="21"/>
              </w:rPr>
              <m:t>'</m:t>
            </m:r>
          </m:sup>
        </m:sSubSup>
        <m:r>
          <w:rPr>
            <w:rFonts w:ascii="Cambria Math" w:hAnsi="Cambria Math"/>
            <w:szCs w:val="21"/>
          </w:rPr>
          <m:t>+</m:t>
        </m:r>
        <m:sSub>
          <m:sSubPr>
            <m:ctrlPr>
              <w:rPr>
                <w:rFonts w:ascii="Cambria Math" w:hAnsi="Cambria Math"/>
                <w:i/>
                <w:szCs w:val="21"/>
              </w:rPr>
            </m:ctrlPr>
          </m:sSubPr>
          <m:e>
            <m:r>
              <w:rPr>
                <w:rFonts w:ascii="Cambria Math" w:hAnsi="Cambria Math"/>
                <w:szCs w:val="21"/>
              </w:rPr>
              <m:t>ε</m:t>
            </m:r>
          </m:e>
          <m:sub>
            <m:r>
              <w:rPr>
                <w:rFonts w:ascii="Cambria Math" w:hAnsi="Cambria Math"/>
                <w:szCs w:val="21"/>
              </w:rPr>
              <m:t>I</m:t>
            </m:r>
          </m:sub>
        </m:sSub>
      </m:oMath>
      <w:r>
        <w:rPr>
          <w:rFonts w:ascii="Times New Roman" w:hAnsi="Times New Roman"/>
          <w:sz w:val="24"/>
        </w:rPr>
        <w:t xml:space="preserve"> </w:t>
      </w:r>
      <w:r>
        <w:rPr>
          <w:rFonts w:ascii="Times New Roman" w:hAnsi="Times New Roman"/>
          <w:sz w:val="30"/>
          <w:szCs w:val="30"/>
        </w:rPr>
        <w:t xml:space="preserve">                      </w:t>
      </w:r>
      <w:r>
        <w:rPr>
          <w:rFonts w:ascii="Times New Roman" w:hAnsi="Times New Roman"/>
          <w:szCs w:val="21"/>
        </w:rPr>
        <w:t>（</w:t>
      </w:r>
      <w:r>
        <w:rPr>
          <w:rFonts w:ascii="Times New Roman" w:hAnsi="Times New Roman"/>
          <w:szCs w:val="21"/>
        </w:rPr>
        <w:t>5</w:t>
      </w:r>
      <w:r>
        <w:rPr>
          <w:rFonts w:ascii="Times New Roman" w:hAnsi="Times New Roman"/>
          <w:szCs w:val="21"/>
        </w:rPr>
        <w:t>）</w:t>
      </w:r>
    </w:p>
    <w:p w14:paraId="0E16DD9F" w14:textId="77777777" w:rsidR="00501C7E" w:rsidRDefault="00EC5712">
      <w:pPr>
        <w:spacing w:line="300" w:lineRule="exact"/>
        <w:ind w:firstLine="420"/>
        <w:textAlignment w:val="bottom"/>
        <w:rPr>
          <w:rFonts w:ascii="Times New Roman" w:hAnsi="Times New Roman"/>
          <w:szCs w:val="21"/>
        </w:rPr>
      </w:pPr>
      <w:r>
        <w:rPr>
          <w:rFonts w:ascii="Times New Roman" w:hAnsi="Times New Roman"/>
          <w:szCs w:val="21"/>
        </w:rPr>
        <w:t>其中，</w:t>
      </w:r>
      <m:oMath>
        <m:r>
          <w:rPr>
            <w:rFonts w:ascii="Cambria Math" w:hAnsi="Cambria Math"/>
            <w:szCs w:val="21"/>
          </w:rPr>
          <m:t>A</m:t>
        </m:r>
      </m:oMath>
      <w:r>
        <w:rPr>
          <w:rFonts w:ascii="Times New Roman" w:hAnsi="Times New Roman"/>
          <w:szCs w:val="21"/>
        </w:rPr>
        <w:t>和</w:t>
      </w:r>
      <m:oMath>
        <m:r>
          <w:rPr>
            <w:rFonts w:ascii="Cambria Math" w:hAnsi="Cambria Math"/>
            <w:szCs w:val="21"/>
          </w:rPr>
          <m:t>B</m:t>
        </m:r>
      </m:oMath>
      <w:r>
        <w:rPr>
          <w:rFonts w:ascii="Times New Roman" w:hAnsi="Times New Roman"/>
          <w:szCs w:val="21"/>
        </w:rPr>
        <w:t>为系数矩阵，</w:t>
      </w:r>
      <m:oMath>
        <m:sSub>
          <m:sSubPr>
            <m:ctrlPr>
              <w:rPr>
                <w:rFonts w:ascii="Cambria Math" w:hAnsi="Cambria Math"/>
                <w:i/>
                <w:szCs w:val="21"/>
              </w:rPr>
            </m:ctrlPr>
          </m:sSubPr>
          <m:e>
            <m:r>
              <w:rPr>
                <w:rFonts w:ascii="Cambria Math" w:hAnsi="Cambria Math"/>
                <w:szCs w:val="21"/>
              </w:rPr>
              <m:t>ε</m:t>
            </m:r>
          </m:e>
          <m:sub>
            <m:r>
              <w:rPr>
                <w:rFonts w:ascii="Cambria Math" w:hAnsi="Cambria Math"/>
                <w:szCs w:val="21"/>
              </w:rPr>
              <m:t>z</m:t>
            </m:r>
          </m:sub>
        </m:sSub>
      </m:oMath>
      <w:r>
        <w:rPr>
          <w:rFonts w:ascii="Times New Roman" w:hAnsi="Times New Roman"/>
          <w:szCs w:val="21"/>
        </w:rPr>
        <w:t>和</w:t>
      </w:r>
      <m:oMath>
        <m:sSub>
          <m:sSubPr>
            <m:ctrlPr>
              <w:rPr>
                <w:rFonts w:ascii="Cambria Math" w:hAnsi="Cambria Math"/>
                <w:i/>
                <w:szCs w:val="21"/>
              </w:rPr>
            </m:ctrlPr>
          </m:sSubPr>
          <m:e>
            <m:r>
              <w:rPr>
                <w:rFonts w:ascii="Cambria Math" w:hAnsi="Cambria Math"/>
                <w:szCs w:val="21"/>
              </w:rPr>
              <m:t>ε</m:t>
            </m:r>
          </m:e>
          <m:sub>
            <m:r>
              <w:rPr>
                <w:rFonts w:ascii="Cambria Math" w:hAnsi="Cambria Math"/>
                <w:szCs w:val="21"/>
              </w:rPr>
              <m:t>I</m:t>
            </m:r>
          </m:sub>
        </m:sSub>
      </m:oMath>
      <w:r>
        <w:rPr>
          <w:rFonts w:ascii="Times New Roman" w:hAnsi="Times New Roman"/>
          <w:szCs w:val="21"/>
        </w:rPr>
        <w:t>为残差项，</w:t>
      </w:r>
      <m:oMath>
        <m:sSubSup>
          <m:sSubSupPr>
            <m:ctrlPr>
              <w:rPr>
                <w:rFonts w:ascii="Cambria Math" w:hAnsi="Cambria Math"/>
                <w:i/>
                <w:szCs w:val="21"/>
              </w:rPr>
            </m:ctrlPr>
          </m:sSubSupPr>
          <m:e>
            <m:r>
              <w:rPr>
                <w:rFonts w:ascii="Cambria Math" w:hAnsi="Cambria Math"/>
                <w:szCs w:val="21"/>
              </w:rPr>
              <m:t>X</m:t>
            </m:r>
          </m:e>
          <m:sub>
            <m:r>
              <w:rPr>
                <w:rFonts w:ascii="Cambria Math" w:hAnsi="Cambria Math"/>
                <w:szCs w:val="21"/>
              </w:rPr>
              <m:t>i</m:t>
            </m:r>
          </m:sub>
          <m:sup>
            <m:r>
              <w:rPr>
                <w:rFonts w:ascii="Cambria Math" w:hAnsi="Cambria Math"/>
                <w:szCs w:val="21"/>
              </w:rPr>
              <m:t>'</m:t>
            </m:r>
          </m:sup>
        </m:sSubSup>
      </m:oMath>
      <w:r>
        <w:rPr>
          <w:rFonts w:ascii="Times New Roman" w:hAnsi="Times New Roman"/>
          <w:position w:val="-3"/>
          <w:szCs w:val="21"/>
        </w:rPr>
        <w:t>和</w:t>
      </w:r>
      <m:oMath>
        <m:sSubSup>
          <m:sSubSupPr>
            <m:ctrlPr>
              <w:rPr>
                <w:rFonts w:ascii="Cambria Math" w:hAnsi="Cambria Math"/>
                <w:i/>
                <w:szCs w:val="21"/>
              </w:rPr>
            </m:ctrlPr>
          </m:sSubSupPr>
          <m:e>
            <m:r>
              <w:rPr>
                <w:rFonts w:ascii="Cambria Math" w:hAnsi="Cambria Math"/>
                <w:szCs w:val="21"/>
              </w:rPr>
              <m:t>Y</m:t>
            </m:r>
          </m:e>
          <m:sub>
            <m:r>
              <w:rPr>
                <w:rFonts w:ascii="Cambria Math" w:hAnsi="Cambria Math"/>
                <w:szCs w:val="21"/>
              </w:rPr>
              <m:t>i</m:t>
            </m:r>
          </m:sub>
          <m:sup>
            <m:r>
              <w:rPr>
                <w:rFonts w:ascii="Cambria Math" w:hAnsi="Cambria Math"/>
                <w:szCs w:val="21"/>
              </w:rPr>
              <m:t>'</m:t>
            </m:r>
          </m:sup>
        </m:sSubSup>
      </m:oMath>
      <w:r>
        <w:rPr>
          <w:rFonts w:ascii="Times New Roman" w:hAnsi="Times New Roman"/>
          <w:szCs w:val="21"/>
        </w:rPr>
        <w:t>分别是影响</w:t>
      </w:r>
      <m:oMath>
        <m:sSub>
          <m:sSubPr>
            <m:ctrlPr>
              <w:rPr>
                <w:rFonts w:ascii="Cambria Math" w:hAnsi="Cambria Math"/>
                <w:i/>
                <w:szCs w:val="21"/>
              </w:rPr>
            </m:ctrlPr>
          </m:sSubPr>
          <m:e>
            <m:r>
              <w:rPr>
                <w:rFonts w:ascii="Cambria Math" w:hAnsi="Cambria Math"/>
                <w:szCs w:val="21"/>
              </w:rPr>
              <m:t>z</m:t>
            </m:r>
          </m:e>
          <m:sub>
            <m:r>
              <w:rPr>
                <w:rFonts w:ascii="Cambria Math" w:hAnsi="Cambria Math"/>
                <w:szCs w:val="21"/>
              </w:rPr>
              <m:t>i</m:t>
            </m:r>
          </m:sub>
        </m:sSub>
      </m:oMath>
      <w:r>
        <w:rPr>
          <w:rFonts w:ascii="Times New Roman" w:hAnsi="Times New Roman"/>
          <w:szCs w:val="21"/>
        </w:rPr>
        <w:t>和</w:t>
      </w:r>
      <m:oMath>
        <m:sSub>
          <m:sSubPr>
            <m:ctrlPr>
              <w:rPr>
                <w:rFonts w:ascii="Cambria Math" w:hAnsi="Cambria Math"/>
                <w:i/>
                <w:szCs w:val="21"/>
              </w:rPr>
            </m:ctrlPr>
          </m:sSubPr>
          <m:e>
            <m:r>
              <w:rPr>
                <w:rFonts w:ascii="Cambria Math" w:hAnsi="Cambria Math"/>
                <w:szCs w:val="21"/>
              </w:rPr>
              <m:t>I</m:t>
            </m:r>
          </m:e>
          <m:sub>
            <m:r>
              <w:rPr>
                <w:rFonts w:ascii="Cambria Math" w:hAnsi="Cambria Math"/>
                <w:szCs w:val="21"/>
              </w:rPr>
              <m:t>i</m:t>
            </m:r>
          </m:sub>
        </m:sSub>
        <m:sSub>
          <m:sSubPr>
            <m:ctrlPr>
              <w:rPr>
                <w:rFonts w:ascii="Cambria Math" w:hAnsi="Cambria Math"/>
                <w:i/>
                <w:szCs w:val="21"/>
              </w:rPr>
            </m:ctrlPr>
          </m:sSubPr>
          <m:e>
            <m:r>
              <w:rPr>
                <w:rFonts w:ascii="Cambria Math" w:hAnsi="Cambria Math"/>
                <w:szCs w:val="21"/>
              </w:rPr>
              <m:t>z</m:t>
            </m:r>
          </m:e>
          <m:sub>
            <m:r>
              <w:rPr>
                <w:rFonts w:ascii="Cambria Math" w:hAnsi="Cambria Math"/>
                <w:szCs w:val="21"/>
              </w:rPr>
              <m:t>i</m:t>
            </m:r>
          </m:sub>
        </m:sSub>
      </m:oMath>
      <w:r>
        <w:rPr>
          <w:rFonts w:ascii="Times New Roman" w:hAnsi="Times New Roman"/>
          <w:szCs w:val="21"/>
        </w:rPr>
        <w:t>的变量。</w:t>
      </w:r>
    </w:p>
    <w:p w14:paraId="1E40C5E6" w14:textId="77777777" w:rsidR="00501C7E" w:rsidRDefault="00466471" w:rsidP="00466471">
      <w:pPr>
        <w:tabs>
          <w:tab w:val="left" w:pos="0"/>
        </w:tabs>
        <w:ind w:firstLineChars="200" w:firstLine="420"/>
        <w:rPr>
          <w:rFonts w:ascii="Times New Roman" w:hAnsi="Times New Roman"/>
        </w:rPr>
      </w:pPr>
      <w:r>
        <w:rPr>
          <w:rFonts w:ascii="Times New Roman" w:hAnsi="Times New Roman"/>
          <w:szCs w:val="21"/>
        </w:rPr>
        <w:t>式（</w:t>
      </w:r>
      <w:r>
        <w:rPr>
          <w:rFonts w:ascii="Times New Roman" w:hAnsi="Times New Roman" w:hint="eastAsia"/>
          <w:szCs w:val="21"/>
        </w:rPr>
        <w:t>1</w:t>
      </w:r>
      <w:r>
        <w:rPr>
          <w:rFonts w:ascii="Times New Roman" w:hAnsi="Times New Roman"/>
          <w:szCs w:val="21"/>
        </w:rPr>
        <w:t>）</w:t>
      </w:r>
      <w:r w:rsidR="00EC5712">
        <w:rPr>
          <w:rFonts w:ascii="Times New Roman" w:hAnsi="Times New Roman"/>
          <w:szCs w:val="21"/>
        </w:rPr>
        <w:t>中的被解释变量是反倾销税率，由于欧盟委员会提出的实施贸易救济措施的法规草案需要交由贸易救济措施委员会表决，据此来决定是否征</w:t>
      </w:r>
      <w:r>
        <w:rPr>
          <w:rFonts w:ascii="Times New Roman" w:hAnsi="Times New Roman"/>
          <w:szCs w:val="21"/>
        </w:rPr>
        <w:t>收反倾销税率，表决未通过的案件将被剔除。为克服样本选择问题，本文</w:t>
      </w:r>
      <w:r w:rsidR="00EC5712">
        <w:rPr>
          <w:rFonts w:ascii="Times New Roman" w:hAnsi="Times New Roman"/>
          <w:szCs w:val="21"/>
        </w:rPr>
        <w:t>先估计样本选择方程：</w:t>
      </w:r>
    </w:p>
    <w:p w14:paraId="35F4D7AE" w14:textId="77777777" w:rsidR="00501C7E" w:rsidRDefault="00EC5712">
      <w:pPr>
        <w:tabs>
          <w:tab w:val="left" w:pos="0"/>
        </w:tabs>
        <w:rPr>
          <w:rFonts w:ascii="Times New Roman" w:hAnsi="Times New Roman"/>
        </w:rPr>
      </w:pPr>
      <w:r>
        <w:rPr>
          <w:rFonts w:ascii="Times New Roman" w:hAnsi="Times New Roman"/>
        </w:rPr>
        <w:t xml:space="preserve"> </w:t>
      </w:r>
    </w:p>
    <w:p w14:paraId="0D0300DC" w14:textId="77777777" w:rsidR="00501C7E" w:rsidRDefault="00EC5712">
      <w:pPr>
        <w:tabs>
          <w:tab w:val="left" w:pos="0"/>
        </w:tabs>
        <w:jc w:val="center"/>
        <w:rPr>
          <w:rFonts w:ascii="Times New Roman" w:hAnsi="Times New Roman"/>
          <w:i/>
          <w:iCs/>
        </w:rPr>
      </w:pPr>
      <w:r>
        <w:rPr>
          <w:rFonts w:ascii="Times New Roman" w:hAnsi="Times New Roman"/>
          <w:szCs w:val="21"/>
        </w:rPr>
        <w:t xml:space="preserve">                               </w:t>
      </w:r>
      <m:oMath>
        <m:r>
          <w:rPr>
            <w:rFonts w:ascii="Cambria Math" w:hAnsi="Cambria Math"/>
            <w:szCs w:val="21"/>
          </w:rPr>
          <m:t>Dumping=k+K</m:t>
        </m:r>
        <m:sSubSup>
          <m:sSubSupPr>
            <m:ctrlPr>
              <w:rPr>
                <w:rFonts w:ascii="Cambria Math" w:hAnsi="Cambria Math"/>
                <w:i/>
                <w:iCs/>
                <w:szCs w:val="21"/>
              </w:rPr>
            </m:ctrlPr>
          </m:sSubSupPr>
          <m:e>
            <m:r>
              <w:rPr>
                <w:rFonts w:ascii="Cambria Math" w:hAnsi="Cambria Math"/>
                <w:szCs w:val="21"/>
              </w:rPr>
              <m:t>V</m:t>
            </m:r>
          </m:e>
          <m:sub>
            <m:r>
              <w:rPr>
                <w:rFonts w:ascii="Cambria Math" w:hAnsi="Cambria Math"/>
                <w:szCs w:val="21"/>
              </w:rPr>
              <m:t>i</m:t>
            </m:r>
          </m:sub>
          <m:sup>
            <m:r>
              <w:rPr>
                <w:rFonts w:ascii="Cambria Math" w:hAnsi="Cambria Math"/>
                <w:szCs w:val="21"/>
              </w:rPr>
              <m:t>'</m:t>
            </m:r>
          </m:sup>
        </m:sSubSup>
        <m:r>
          <w:rPr>
            <w:rFonts w:ascii="Cambria Math" w:hAnsi="Cambria Math"/>
            <w:szCs w:val="21"/>
          </w:rPr>
          <m:t>+</m:t>
        </m:r>
        <m:sSub>
          <m:sSubPr>
            <m:ctrlPr>
              <w:rPr>
                <w:rFonts w:ascii="Cambria Math" w:hAnsi="Cambria Math"/>
                <w:i/>
                <w:iCs/>
                <w:szCs w:val="21"/>
              </w:rPr>
            </m:ctrlPr>
          </m:sSubPr>
          <m:e>
            <m:r>
              <w:rPr>
                <w:rFonts w:ascii="Cambria Math" w:hAnsi="Cambria Math"/>
                <w:szCs w:val="21"/>
              </w:rPr>
              <m:t>φ</m:t>
            </m:r>
          </m:e>
          <m:sub>
            <m:r>
              <w:rPr>
                <w:rFonts w:ascii="Cambria Math" w:hAnsi="Cambria Math"/>
                <w:szCs w:val="21"/>
              </w:rPr>
              <m:t>i</m:t>
            </m:r>
          </m:sub>
        </m:sSub>
      </m:oMath>
      <w:r>
        <w:rPr>
          <w:rFonts w:ascii="Times New Roman" w:hAnsi="Times New Roman"/>
          <w:iCs/>
          <w:sz w:val="30"/>
          <w:szCs w:val="30"/>
        </w:rPr>
        <w:t xml:space="preserve"> </w:t>
      </w:r>
      <w:r>
        <w:rPr>
          <w:rFonts w:ascii="Times New Roman" w:hAnsi="Times New Roman"/>
          <w:iCs/>
        </w:rPr>
        <w:t xml:space="preserve">                          </w:t>
      </w:r>
      <w:r>
        <w:rPr>
          <w:rFonts w:ascii="Times New Roman" w:hAnsi="Times New Roman"/>
          <w:iCs/>
          <w:sz w:val="18"/>
          <w:szCs w:val="21"/>
        </w:rPr>
        <w:t xml:space="preserve"> </w:t>
      </w:r>
      <w:r>
        <w:rPr>
          <w:rFonts w:ascii="Times New Roman" w:hAnsi="Times New Roman"/>
          <w:szCs w:val="21"/>
        </w:rPr>
        <w:t>（</w:t>
      </w:r>
      <w:r>
        <w:rPr>
          <w:rFonts w:ascii="Times New Roman" w:hAnsi="Times New Roman"/>
          <w:szCs w:val="21"/>
        </w:rPr>
        <w:t>6</w:t>
      </w:r>
      <w:r>
        <w:rPr>
          <w:rFonts w:ascii="Times New Roman" w:hAnsi="Times New Roman"/>
          <w:szCs w:val="21"/>
        </w:rPr>
        <w:t>）</w:t>
      </w:r>
    </w:p>
    <w:p w14:paraId="4744B8CF" w14:textId="77777777" w:rsidR="00501C7E" w:rsidRDefault="00501C7E">
      <w:pPr>
        <w:spacing w:line="300" w:lineRule="exact"/>
        <w:jc w:val="left"/>
        <w:textAlignment w:val="center"/>
        <w:rPr>
          <w:rFonts w:ascii="Times New Roman" w:hAnsi="Times New Roman"/>
          <w:szCs w:val="21"/>
        </w:rPr>
      </w:pPr>
    </w:p>
    <w:p w14:paraId="3272C294" w14:textId="77777777" w:rsidR="00501C7E" w:rsidRDefault="00EC5712">
      <w:pPr>
        <w:spacing w:line="300" w:lineRule="exact"/>
        <w:ind w:firstLine="420"/>
        <w:jc w:val="left"/>
        <w:textAlignment w:val="center"/>
        <w:rPr>
          <w:rFonts w:ascii="Times New Roman" w:hAnsi="Times New Roman"/>
          <w:szCs w:val="21"/>
        </w:rPr>
      </w:pPr>
      <w:r>
        <w:rPr>
          <w:rFonts w:ascii="Times New Roman" w:hAnsi="Times New Roman"/>
          <w:szCs w:val="21"/>
        </w:rPr>
        <w:t>其中，</w:t>
      </w:r>
      <m:oMath>
        <m:r>
          <w:rPr>
            <w:rFonts w:ascii="Cambria Math" w:hAnsi="Cambria Math"/>
            <w:szCs w:val="21"/>
          </w:rPr>
          <m:t>Dumping</m:t>
        </m:r>
      </m:oMath>
      <w:r>
        <w:rPr>
          <w:rFonts w:ascii="Times New Roman" w:hAnsi="Times New Roman"/>
          <w:szCs w:val="21"/>
        </w:rPr>
        <w:t>是虚拟二值变量，若一起案件被征反倾销税则取１，否则取</w:t>
      </w:r>
      <w:r>
        <w:rPr>
          <w:rFonts w:ascii="Times New Roman" w:hAnsi="Times New Roman"/>
          <w:szCs w:val="21"/>
        </w:rPr>
        <w:t>0</w:t>
      </w:r>
      <w:r>
        <w:rPr>
          <w:rFonts w:ascii="Times New Roman" w:hAnsi="Times New Roman"/>
          <w:szCs w:val="21"/>
        </w:rPr>
        <w:t>。</w:t>
      </w:r>
      <m:oMath>
        <m:sSubSup>
          <m:sSubSupPr>
            <m:ctrlPr>
              <w:rPr>
                <w:rFonts w:ascii="Cambria Math" w:hAnsi="Cambria Math"/>
                <w:i/>
                <w:iCs/>
                <w:szCs w:val="21"/>
              </w:rPr>
            </m:ctrlPr>
          </m:sSubSupPr>
          <m:e>
            <m:r>
              <w:rPr>
                <w:rFonts w:ascii="Cambria Math" w:hAnsi="Cambria Math"/>
                <w:szCs w:val="21"/>
              </w:rPr>
              <m:t>V</m:t>
            </m:r>
          </m:e>
          <m:sub>
            <m:r>
              <w:rPr>
                <w:rFonts w:ascii="Cambria Math" w:hAnsi="Cambria Math"/>
                <w:szCs w:val="21"/>
              </w:rPr>
              <m:t>i</m:t>
            </m:r>
          </m:sub>
          <m:sup>
            <m:r>
              <w:rPr>
                <w:rFonts w:ascii="Cambria Math" w:hAnsi="Cambria Math"/>
                <w:szCs w:val="21"/>
              </w:rPr>
              <m:t>'</m:t>
            </m:r>
          </m:sup>
        </m:sSubSup>
      </m:oMath>
      <w:r>
        <w:rPr>
          <w:rFonts w:ascii="Times New Roman" w:hAnsi="Times New Roman"/>
          <w:szCs w:val="21"/>
        </w:rPr>
        <w:t>为可能影响反倾销税率裁定结果的因素，</w:t>
      </w:r>
      <m:oMath>
        <m:r>
          <w:rPr>
            <w:rFonts w:ascii="Cambria Math" w:hAnsi="Cambria Math"/>
            <w:szCs w:val="21"/>
          </w:rPr>
          <m:t>k</m:t>
        </m:r>
      </m:oMath>
      <w:r>
        <w:rPr>
          <w:rFonts w:ascii="Times New Roman" w:hAnsi="Times New Roman"/>
          <w:szCs w:val="21"/>
        </w:rPr>
        <w:t>为常量，</w:t>
      </w:r>
      <m:oMath>
        <m:r>
          <w:rPr>
            <w:rFonts w:ascii="Cambria Math" w:hAnsi="Cambria Math"/>
            <w:szCs w:val="21"/>
          </w:rPr>
          <m:t>K</m:t>
        </m:r>
      </m:oMath>
      <w:r>
        <w:rPr>
          <w:rFonts w:ascii="Times New Roman" w:hAnsi="Times New Roman"/>
          <w:szCs w:val="21"/>
        </w:rPr>
        <w:t>为系数矩阵，</w:t>
      </w:r>
      <m:oMath>
        <m:sSub>
          <m:sSubPr>
            <m:ctrlPr>
              <w:rPr>
                <w:rFonts w:ascii="Cambria Math" w:hAnsi="Cambria Math"/>
                <w:i/>
                <w:iCs/>
                <w:szCs w:val="21"/>
              </w:rPr>
            </m:ctrlPr>
          </m:sSubPr>
          <m:e>
            <m:r>
              <w:rPr>
                <w:rFonts w:ascii="Cambria Math" w:hAnsi="Cambria Math"/>
                <w:szCs w:val="21"/>
              </w:rPr>
              <m:t>φ</m:t>
            </m:r>
          </m:e>
          <m:sub>
            <m:r>
              <w:rPr>
                <w:rFonts w:ascii="Cambria Math" w:hAnsi="Cambria Math"/>
                <w:szCs w:val="21"/>
              </w:rPr>
              <m:t>i</m:t>
            </m:r>
          </m:sub>
        </m:sSub>
      </m:oMath>
      <w:r>
        <w:rPr>
          <w:rFonts w:ascii="Times New Roman" w:hAnsi="Times New Roman"/>
          <w:szCs w:val="21"/>
        </w:rPr>
        <w:t>为误差项。</w:t>
      </w:r>
    </w:p>
    <w:p w14:paraId="779F7863" w14:textId="77777777" w:rsidR="00501C7E" w:rsidRDefault="00EC5712">
      <w:pPr>
        <w:spacing w:line="300" w:lineRule="exact"/>
        <w:ind w:firstLine="420"/>
        <w:jc w:val="left"/>
        <w:textAlignment w:val="center"/>
        <w:rPr>
          <w:rFonts w:ascii="Times New Roman" w:hAnsi="Times New Roman"/>
          <w:szCs w:val="21"/>
        </w:rPr>
      </w:pPr>
      <w:r>
        <w:rPr>
          <w:rFonts w:ascii="Times New Roman" w:hAnsi="Times New Roman"/>
          <w:szCs w:val="21"/>
        </w:rPr>
        <w:t>用</w:t>
      </w:r>
      <w:r>
        <w:rPr>
          <w:rFonts w:ascii="Times New Roman" w:hAnsi="Times New Roman"/>
          <w:szCs w:val="21"/>
        </w:rPr>
        <w:t>Probit</w:t>
      </w:r>
      <w:r>
        <w:rPr>
          <w:rFonts w:ascii="Times New Roman" w:hAnsi="Times New Roman"/>
          <w:szCs w:val="21"/>
        </w:rPr>
        <w:t>方法对</w:t>
      </w:r>
      <w:r w:rsidR="00466471">
        <w:rPr>
          <w:rFonts w:ascii="Times New Roman" w:hAnsi="Times New Roman"/>
          <w:szCs w:val="21"/>
        </w:rPr>
        <w:t>式</w:t>
      </w:r>
      <w:r>
        <w:rPr>
          <w:rFonts w:ascii="Times New Roman" w:hAnsi="Times New Roman"/>
          <w:szCs w:val="21"/>
        </w:rPr>
        <w:t>（</w:t>
      </w:r>
      <w:r>
        <w:rPr>
          <w:rFonts w:ascii="Times New Roman" w:hAnsi="Times New Roman"/>
          <w:szCs w:val="21"/>
        </w:rPr>
        <w:t>6</w:t>
      </w:r>
      <w:r>
        <w:rPr>
          <w:rFonts w:ascii="Times New Roman" w:hAnsi="Times New Roman"/>
          <w:szCs w:val="21"/>
        </w:rPr>
        <w:t>）进行估计后取残差</w:t>
      </w: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i</m:t>
            </m:r>
          </m:sub>
        </m:sSub>
      </m:oMath>
      <w:r>
        <w:rPr>
          <w:rFonts w:ascii="Times New Roman" w:hAnsi="Times New Roman"/>
          <w:szCs w:val="21"/>
        </w:rPr>
        <w:t>，将其加入</w:t>
      </w:r>
      <w:r w:rsidR="00466471">
        <w:rPr>
          <w:rFonts w:ascii="Times New Roman" w:hAnsi="Times New Roman"/>
          <w:szCs w:val="21"/>
        </w:rPr>
        <w:t>式</w:t>
      </w:r>
      <w:r>
        <w:rPr>
          <w:rFonts w:ascii="Times New Roman" w:hAnsi="Times New Roman"/>
          <w:szCs w:val="21"/>
        </w:rPr>
        <w:t>（</w:t>
      </w:r>
      <w:r>
        <w:rPr>
          <w:rFonts w:ascii="Times New Roman" w:hAnsi="Times New Roman"/>
          <w:szCs w:val="21"/>
        </w:rPr>
        <w:t>3</w:t>
      </w:r>
      <w:r>
        <w:rPr>
          <w:rFonts w:ascii="Times New Roman" w:hAnsi="Times New Roman"/>
          <w:szCs w:val="21"/>
        </w:rPr>
        <w:t>）中可得：</w:t>
      </w:r>
      <w:r>
        <w:rPr>
          <w:rFonts w:ascii="Times New Roman" w:hAnsi="Times New Roman"/>
          <w:szCs w:val="21"/>
        </w:rPr>
        <w:t xml:space="preserve"> </w:t>
      </w:r>
    </w:p>
    <w:p w14:paraId="3BDA58E3" w14:textId="77777777" w:rsidR="00501C7E" w:rsidRDefault="00501C7E">
      <w:pPr>
        <w:spacing w:line="300" w:lineRule="exact"/>
        <w:jc w:val="left"/>
        <w:textAlignment w:val="center"/>
        <w:rPr>
          <w:rFonts w:ascii="Times New Roman" w:hAnsi="Times New Roman"/>
          <w:szCs w:val="21"/>
        </w:rPr>
      </w:pPr>
    </w:p>
    <w:p w14:paraId="4290DE19" w14:textId="77777777" w:rsidR="00501C7E" w:rsidRDefault="00000000">
      <w:pPr>
        <w:ind w:firstLineChars="1400" w:firstLine="2940"/>
        <w:textAlignment w:val="center"/>
        <w:rPr>
          <w:rFonts w:ascii="Times New Roman" w:hAnsi="Times New Roman"/>
        </w:rPr>
      </w:pPr>
      <m:oMath>
        <m:f>
          <m:fPr>
            <m:ctrlPr>
              <w:rPr>
                <w:rFonts w:ascii="Cambria Math" w:hAnsi="Cambria Math"/>
                <w:i/>
                <w:szCs w:val="21"/>
              </w:rPr>
            </m:ctrlPr>
          </m:fPr>
          <m:num>
            <m:sSub>
              <m:sSubPr>
                <m:ctrlPr>
                  <w:rPr>
                    <w:rFonts w:ascii="Cambria Math" w:hAnsi="Cambria Math"/>
                    <w:i/>
                    <w:sz w:val="24"/>
                  </w:rPr>
                </m:ctrlPr>
              </m:sSubPr>
              <m:e>
                <m:r>
                  <w:rPr>
                    <w:rFonts w:ascii="Cambria Math" w:hAnsi="Cambria Math"/>
                    <w:sz w:val="24"/>
                  </w:rPr>
                  <m:t>t</m:t>
                </m:r>
              </m:e>
              <m:sub>
                <m:r>
                  <w:rPr>
                    <w:rFonts w:ascii="Cambria Math" w:hAnsi="Cambria Math"/>
                    <w:sz w:val="24"/>
                  </w:rPr>
                  <m:t>i</m:t>
                </m:r>
              </m:sub>
            </m:sSub>
          </m:num>
          <m:den>
            <m:r>
              <w:rPr>
                <w:rFonts w:ascii="Cambria Math" w:hAnsi="Cambria Math"/>
                <w:sz w:val="24"/>
              </w:rPr>
              <m:t>1+</m:t>
            </m:r>
            <m:sSub>
              <m:sSubPr>
                <m:ctrlPr>
                  <w:rPr>
                    <w:rFonts w:ascii="Cambria Math" w:hAnsi="Cambria Math"/>
                    <w:i/>
                    <w:sz w:val="24"/>
                  </w:rPr>
                </m:ctrlPr>
              </m:sSubPr>
              <m:e>
                <m:r>
                  <w:rPr>
                    <w:rFonts w:ascii="Cambria Math" w:hAnsi="Cambria Math"/>
                    <w:sz w:val="24"/>
                  </w:rPr>
                  <m:t>t</m:t>
                </m:r>
              </m:e>
              <m:sub>
                <m:r>
                  <w:rPr>
                    <w:rFonts w:ascii="Cambria Math" w:hAnsi="Cambria Math"/>
                    <w:sz w:val="24"/>
                  </w:rPr>
                  <m:t>i</m:t>
                </m:r>
              </m:sub>
            </m:sSub>
          </m:den>
        </m:f>
        <m:r>
          <w:rPr>
            <w:rFonts w:ascii="Cambria Math" w:hAnsi="Cambria Math"/>
            <w:sz w:val="24"/>
          </w:rPr>
          <m:t>=γ</m:t>
        </m:r>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z</m:t>
                    </m:r>
                  </m:e>
                  <m:sub>
                    <m:r>
                      <w:rPr>
                        <w:rFonts w:ascii="Cambria Math" w:hAnsi="Cambria Math"/>
                        <w:sz w:val="24"/>
                      </w:rPr>
                      <m:t>i</m:t>
                    </m:r>
                  </m:sub>
                </m:sSub>
              </m:num>
              <m:den>
                <m:sSub>
                  <m:sSubPr>
                    <m:ctrlPr>
                      <w:rPr>
                        <w:rFonts w:ascii="Cambria Math" w:hAnsi="Cambria Math"/>
                        <w:i/>
                        <w:sz w:val="24"/>
                      </w:rPr>
                    </m:ctrlPr>
                  </m:sSubPr>
                  <m:e>
                    <m:r>
                      <w:rPr>
                        <w:rFonts w:ascii="Cambria Math" w:hAnsi="Cambria Math"/>
                        <w:sz w:val="24"/>
                      </w:rPr>
                      <m:t>e</m:t>
                    </m:r>
                  </m:e>
                  <m:sub>
                    <m:r>
                      <w:rPr>
                        <w:rFonts w:ascii="Cambria Math" w:hAnsi="Cambria Math"/>
                        <w:sz w:val="24"/>
                      </w:rPr>
                      <m:t>i</m:t>
                    </m:r>
                  </m:sub>
                </m:sSub>
              </m:den>
            </m:f>
          </m:e>
        </m:d>
        <m:r>
          <w:rPr>
            <w:rFonts w:ascii="Cambria Math" w:hAnsi="Cambria Math"/>
            <w:sz w:val="24"/>
          </w:rPr>
          <m:t>+δ</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I</m:t>
                </m:r>
              </m:e>
              <m:sub>
                <m:r>
                  <w:rPr>
                    <w:rFonts w:ascii="Cambria Math" w:hAnsi="Cambria Math"/>
                    <w:sz w:val="24"/>
                  </w:rPr>
                  <m:t>i</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z</m:t>
                    </m:r>
                  </m:e>
                  <m:sub>
                    <m:r>
                      <w:rPr>
                        <w:rFonts w:ascii="Cambria Math" w:hAnsi="Cambria Math"/>
                        <w:sz w:val="24"/>
                      </w:rPr>
                      <m:t>i</m:t>
                    </m:r>
                  </m:sub>
                </m:sSub>
              </m:num>
              <m:den>
                <m:sSub>
                  <m:sSubPr>
                    <m:ctrlPr>
                      <w:rPr>
                        <w:rFonts w:ascii="Cambria Math" w:hAnsi="Cambria Math"/>
                        <w:i/>
                        <w:sz w:val="24"/>
                      </w:rPr>
                    </m:ctrlPr>
                  </m:sSubPr>
                  <m:e>
                    <m:r>
                      <w:rPr>
                        <w:rFonts w:ascii="Cambria Math" w:hAnsi="Cambria Math"/>
                        <w:sz w:val="24"/>
                      </w:rPr>
                      <m:t>e</m:t>
                    </m:r>
                  </m:e>
                  <m:sub>
                    <m:r>
                      <w:rPr>
                        <w:rFonts w:ascii="Cambria Math" w:hAnsi="Cambria Math"/>
                        <w:sz w:val="24"/>
                      </w:rPr>
                      <m:t>i</m:t>
                    </m:r>
                  </m:sub>
                </m:sSub>
              </m:den>
            </m:f>
          </m:e>
        </m:d>
        <m:r>
          <w:rPr>
            <w:rFonts w:ascii="Cambria Math" w:hAnsi="Cambria Math"/>
            <w:sz w:val="24"/>
          </w:rPr>
          <m:t>+β</m:t>
        </m:r>
        <m:sSub>
          <m:sSubPr>
            <m:ctrlPr>
              <w:rPr>
                <w:rFonts w:ascii="Cambria Math" w:hAnsi="Cambria Math"/>
                <w:i/>
                <w:sz w:val="24"/>
              </w:rPr>
            </m:ctrlPr>
          </m:sSubPr>
          <m:e>
            <m:r>
              <w:rPr>
                <w:rFonts w:ascii="Cambria Math" w:hAnsi="Cambria Math"/>
                <w:sz w:val="24"/>
              </w:rPr>
              <m:t>M</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ε</m:t>
            </m:r>
          </m:e>
          <m:sub>
            <m:r>
              <w:rPr>
                <w:rFonts w:ascii="Cambria Math" w:hAnsi="Cambria Math"/>
                <w:sz w:val="24"/>
              </w:rPr>
              <m:t>i</m:t>
            </m:r>
          </m:sub>
        </m:sSub>
      </m:oMath>
      <w:r w:rsidR="00EC5712">
        <w:rPr>
          <w:rFonts w:ascii="Times New Roman" w:hAnsi="Times New Roman"/>
          <w:szCs w:val="21"/>
        </w:rPr>
        <w:t xml:space="preserve">                    </w:t>
      </w:r>
      <w:r w:rsidR="00EC5712">
        <w:rPr>
          <w:rFonts w:ascii="Times New Roman" w:hAnsi="Times New Roman"/>
          <w:szCs w:val="21"/>
        </w:rPr>
        <w:t>（</w:t>
      </w:r>
      <w:r w:rsidR="00EC5712">
        <w:rPr>
          <w:rFonts w:ascii="Times New Roman" w:hAnsi="Times New Roman"/>
          <w:szCs w:val="21"/>
        </w:rPr>
        <w:t>7</w:t>
      </w:r>
      <w:r w:rsidR="00EC5712">
        <w:rPr>
          <w:rFonts w:ascii="Times New Roman" w:hAnsi="Times New Roman"/>
          <w:szCs w:val="21"/>
        </w:rPr>
        <w:t>）</w:t>
      </w:r>
      <w:r w:rsidR="00EC5712">
        <w:rPr>
          <w:rFonts w:ascii="Times New Roman" w:hAnsi="Times New Roman"/>
          <w:szCs w:val="21"/>
        </w:rPr>
        <w:t xml:space="preserve">                      </w:t>
      </w:r>
    </w:p>
    <w:p w14:paraId="4AA5328F" w14:textId="77777777" w:rsidR="00501C7E" w:rsidRDefault="00501C7E">
      <w:pPr>
        <w:rPr>
          <w:rFonts w:ascii="Times New Roman" w:hAnsi="Times New Roman"/>
          <w:szCs w:val="21"/>
        </w:rPr>
      </w:pPr>
    </w:p>
    <w:p w14:paraId="3E916ABF" w14:textId="77777777" w:rsidR="00501C7E" w:rsidRDefault="005614A0">
      <w:pPr>
        <w:ind w:firstLine="420"/>
        <w:rPr>
          <w:rFonts w:ascii="Times New Roman" w:hAnsi="Times New Roman"/>
          <w:szCs w:val="21"/>
        </w:rPr>
      </w:pPr>
      <w:r>
        <w:rPr>
          <w:rFonts w:ascii="Times New Roman" w:hAnsi="Times New Roman" w:hint="eastAsia"/>
          <w:szCs w:val="21"/>
        </w:rPr>
        <w:t>式</w:t>
      </w:r>
      <w:r w:rsidR="00EC5712">
        <w:rPr>
          <w:rFonts w:ascii="Times New Roman" w:hAnsi="Times New Roman" w:hint="eastAsia"/>
          <w:szCs w:val="21"/>
        </w:rPr>
        <w:t>（</w:t>
      </w:r>
      <w:r w:rsidR="00EC5712">
        <w:rPr>
          <w:rFonts w:ascii="Times New Roman" w:hAnsi="Times New Roman" w:hint="eastAsia"/>
          <w:szCs w:val="21"/>
        </w:rPr>
        <w:t>7</w:t>
      </w:r>
      <w:r w:rsidR="00EC5712">
        <w:rPr>
          <w:rFonts w:ascii="Times New Roman" w:hAnsi="Times New Roman" w:hint="eastAsia"/>
          <w:szCs w:val="21"/>
        </w:rPr>
        <w:t>）即为本文的实证计量模型。</w:t>
      </w:r>
      <w:r w:rsidR="00EC5712">
        <w:rPr>
          <w:rFonts w:ascii="Times New Roman" w:hAnsi="Times New Roman"/>
          <w:szCs w:val="21"/>
        </w:rPr>
        <w:t>在接下来的研究中，本文将依据理论模型实证检验欧盟对华反倾销政策是否符合保护待售模型的设定，即</w:t>
      </w:r>
      <m:oMath>
        <m:r>
          <w:rPr>
            <w:rFonts w:ascii="Cambria Math" w:hAnsi="Cambria Math"/>
            <w:szCs w:val="21"/>
          </w:rPr>
          <m:t>γ</m:t>
        </m:r>
      </m:oMath>
      <w:r w:rsidR="00EC5712">
        <w:rPr>
          <w:rFonts w:ascii="Times New Roman" w:hAnsi="Times New Roman"/>
          <w:szCs w:val="21"/>
        </w:rPr>
        <w:t>的预期符号是否为负且显著，</w:t>
      </w:r>
      <m:oMath>
        <m:r>
          <w:rPr>
            <w:rFonts w:ascii="Cambria Math" w:hAnsi="Cambria Math"/>
            <w:szCs w:val="21"/>
          </w:rPr>
          <m:t>δ</m:t>
        </m:r>
      </m:oMath>
      <w:r w:rsidR="00EC5712">
        <w:rPr>
          <w:rFonts w:ascii="Times New Roman" w:hAnsi="Times New Roman"/>
          <w:szCs w:val="21"/>
        </w:rPr>
        <w:t>和</w:t>
      </w:r>
      <m:oMath>
        <m:r>
          <w:rPr>
            <w:rFonts w:ascii="Cambria Math" w:hAnsi="Cambria Math"/>
            <w:szCs w:val="21"/>
          </w:rPr>
          <m:t>γ+δ</m:t>
        </m:r>
      </m:oMath>
      <w:r w:rsidR="00466471">
        <w:rPr>
          <w:rFonts w:ascii="Times New Roman" w:hAnsi="Times New Roman"/>
          <w:szCs w:val="21"/>
        </w:rPr>
        <w:t>的</w:t>
      </w:r>
      <w:r w:rsidR="00EC5712">
        <w:rPr>
          <w:rFonts w:ascii="Times New Roman" w:hAnsi="Times New Roman"/>
          <w:szCs w:val="21"/>
        </w:rPr>
        <w:t>预期符号是否为正且显著。本文首先将以</w:t>
      </w:r>
      <w:r w:rsidR="00466471">
        <w:rPr>
          <w:rFonts w:ascii="Times New Roman" w:hAnsi="Times New Roman"/>
          <w:szCs w:val="21"/>
        </w:rPr>
        <w:t>式</w:t>
      </w:r>
      <w:r w:rsidR="00EC5712">
        <w:rPr>
          <w:rFonts w:ascii="Times New Roman" w:hAnsi="Times New Roman"/>
          <w:szCs w:val="21"/>
        </w:rPr>
        <w:t>（</w:t>
      </w:r>
      <w:r w:rsidR="00EC5712">
        <w:rPr>
          <w:rFonts w:ascii="Times New Roman" w:hAnsi="Times New Roman"/>
          <w:szCs w:val="21"/>
        </w:rPr>
        <w:t>7</w:t>
      </w:r>
      <w:r w:rsidR="00466471">
        <w:rPr>
          <w:rFonts w:ascii="Times New Roman" w:hAnsi="Times New Roman"/>
          <w:szCs w:val="21"/>
        </w:rPr>
        <w:t>）</w:t>
      </w:r>
      <w:r w:rsidR="00EC5712">
        <w:rPr>
          <w:rFonts w:ascii="Times New Roman" w:hAnsi="Times New Roman"/>
          <w:szCs w:val="21"/>
        </w:rPr>
        <w:t>为基础分别对反倾销初裁税率和终裁税率进行单方程</w:t>
      </w:r>
      <w:r w:rsidR="00EC5712">
        <w:rPr>
          <w:rFonts w:ascii="Times New Roman" w:hAnsi="Times New Roman"/>
          <w:szCs w:val="21"/>
        </w:rPr>
        <w:t>OLS</w:t>
      </w:r>
      <w:r w:rsidR="00EC5712">
        <w:rPr>
          <w:rFonts w:ascii="Times New Roman" w:hAnsi="Times New Roman"/>
          <w:szCs w:val="21"/>
        </w:rPr>
        <w:t>估计，之</w:t>
      </w:r>
      <w:r w:rsidR="00466471">
        <w:rPr>
          <w:rFonts w:ascii="Times New Roman" w:hAnsi="Times New Roman"/>
          <w:szCs w:val="21"/>
        </w:rPr>
        <w:t>后再加入模型之外的其他解释变量对反倾销税率裁定结果的影响因素进行</w:t>
      </w:r>
      <w:r w:rsidR="00EC5712">
        <w:rPr>
          <w:rFonts w:ascii="Times New Roman" w:hAnsi="Times New Roman"/>
          <w:szCs w:val="21"/>
        </w:rPr>
        <w:t>检验；其次，为解决内生性问题，本文将引入工具变量进行内生性检验；最后，为确保计量结果的稳健性和有效性，本文将依次进行克服样本选择偏差的检验、克服测量误差的检验和替换申诉者政治势力衡量指标的稳健性检验。</w:t>
      </w:r>
    </w:p>
    <w:p w14:paraId="6BB8F035" w14:textId="77777777" w:rsidR="00501C7E" w:rsidRDefault="00EC5712" w:rsidP="00FE1FDC">
      <w:pPr>
        <w:numPr>
          <w:ilvl w:val="0"/>
          <w:numId w:val="1"/>
        </w:numPr>
        <w:spacing w:beforeLines="100" w:before="312" w:afterLines="100" w:after="312"/>
        <w:jc w:val="center"/>
        <w:rPr>
          <w:rFonts w:ascii="Times New Roman" w:eastAsia="黑体" w:hAnsi="Times New Roman"/>
          <w:sz w:val="28"/>
          <w:szCs w:val="28"/>
        </w:rPr>
      </w:pPr>
      <w:r>
        <w:rPr>
          <w:rFonts w:ascii="Times New Roman" w:eastAsia="黑体" w:hAnsi="Times New Roman"/>
          <w:sz w:val="28"/>
          <w:szCs w:val="28"/>
        </w:rPr>
        <w:t>数据描述</w:t>
      </w:r>
    </w:p>
    <w:p w14:paraId="30E424C1" w14:textId="77777777" w:rsidR="00501C7E" w:rsidRDefault="00EC5712">
      <w:pPr>
        <w:ind w:firstLine="420"/>
        <w:outlineLvl w:val="0"/>
        <w:rPr>
          <w:rFonts w:ascii="黑体" w:eastAsia="黑体" w:hAnsi="黑体" w:cs="黑体"/>
          <w:szCs w:val="21"/>
        </w:rPr>
      </w:pPr>
      <w:r>
        <w:rPr>
          <w:rFonts w:ascii="黑体" w:eastAsia="黑体" w:hAnsi="黑体" w:cs="黑体" w:hint="eastAsia"/>
          <w:szCs w:val="21"/>
        </w:rPr>
        <w:t>（一）数据来源和数据描述</w:t>
      </w:r>
    </w:p>
    <w:p w14:paraId="3B62D190" w14:textId="77777777" w:rsidR="00501C7E" w:rsidRPr="00466471" w:rsidRDefault="00EC5712" w:rsidP="00466471">
      <w:pPr>
        <w:tabs>
          <w:tab w:val="left" w:pos="520"/>
        </w:tabs>
        <w:outlineLvl w:val="0"/>
        <w:rPr>
          <w:rFonts w:ascii="Times New Roman" w:eastAsia="楷体" w:hAnsi="Times New Roman"/>
          <w:szCs w:val="21"/>
        </w:rPr>
      </w:pPr>
      <w:r>
        <w:rPr>
          <w:rFonts w:ascii="Times New Roman" w:eastAsia="楷体" w:hAnsi="Times New Roman" w:hint="eastAsia"/>
          <w:szCs w:val="21"/>
        </w:rPr>
        <w:tab/>
        <w:t>1.</w:t>
      </w:r>
      <w:r>
        <w:rPr>
          <w:rFonts w:ascii="Times New Roman" w:eastAsia="楷体" w:hAnsi="Times New Roman"/>
          <w:szCs w:val="21"/>
        </w:rPr>
        <w:t>被解释变量</w:t>
      </w:r>
      <w:r w:rsidR="00466471">
        <w:rPr>
          <w:rFonts w:ascii="Times New Roman" w:eastAsia="楷体" w:hAnsi="Times New Roman"/>
          <w:szCs w:val="21"/>
        </w:rPr>
        <w:t>。</w:t>
      </w:r>
      <w:r>
        <w:rPr>
          <w:rFonts w:ascii="Times New Roman" w:hAnsi="Times New Roman"/>
          <w:szCs w:val="21"/>
        </w:rPr>
        <w:t>本文的核心被解释变量是欧盟委员会和贸易救济措施委员会裁定通过的反倾</w:t>
      </w:r>
      <w:r>
        <w:rPr>
          <w:rFonts w:ascii="Times New Roman" w:hAnsi="Times New Roman"/>
          <w:szCs w:val="21"/>
        </w:rPr>
        <w:lastRenderedPageBreak/>
        <w:t>销税率，由于初裁税率和终裁税率具有一定差异性，可能会影响模型的结果，因此本文将分别对其进行检验，以降低对计量结果的影响。本文根据</w:t>
      </w:r>
      <w:r>
        <w:rPr>
          <w:rFonts w:ascii="Times New Roman" w:hAnsi="Times New Roman" w:hint="eastAsia"/>
          <w:szCs w:val="21"/>
        </w:rPr>
        <w:t>“</w:t>
      </w:r>
      <w:r>
        <w:rPr>
          <w:rFonts w:ascii="Times New Roman" w:hAnsi="Times New Roman"/>
          <w:szCs w:val="21"/>
        </w:rPr>
        <w:t>保护待售</w:t>
      </w:r>
      <w:r>
        <w:rPr>
          <w:rFonts w:ascii="Times New Roman" w:hAnsi="Times New Roman" w:hint="eastAsia"/>
          <w:szCs w:val="21"/>
        </w:rPr>
        <w:t>”</w:t>
      </w:r>
      <w:r>
        <w:rPr>
          <w:rFonts w:ascii="Times New Roman" w:hAnsi="Times New Roman"/>
          <w:szCs w:val="21"/>
        </w:rPr>
        <w:t>模型的形式设定，取反倾销税率的标准化形式，即</w:t>
      </w:r>
      <m:oMath>
        <m:sSub>
          <m:sSubPr>
            <m:ctrlPr>
              <w:rPr>
                <w:rFonts w:ascii="Cambria Math" w:hAnsi="Cambria Math"/>
                <w:i/>
                <w:szCs w:val="21"/>
              </w:rPr>
            </m:ctrlPr>
          </m:sSubPr>
          <m:e>
            <m:r>
              <w:rPr>
                <w:rFonts w:ascii="Cambria Math" w:hAnsi="Cambria Math"/>
                <w:szCs w:val="21"/>
              </w:rPr>
              <m:t>t</m:t>
            </m:r>
          </m:e>
          <m:sub>
            <m:r>
              <w:rPr>
                <w:rFonts w:ascii="Cambria Math" w:hAnsi="Cambria Math"/>
                <w:szCs w:val="21"/>
              </w:rPr>
              <m:t>i</m:t>
            </m:r>
          </m:sub>
        </m:sSub>
        <m:r>
          <w:rPr>
            <w:rFonts w:ascii="Cambria Math" w:hAnsi="Cambria Math"/>
            <w:szCs w:val="21"/>
          </w:rPr>
          <m:t>/(1+</m:t>
        </m:r>
        <m:sSub>
          <m:sSubPr>
            <m:ctrlPr>
              <w:rPr>
                <w:rFonts w:ascii="Cambria Math" w:hAnsi="Cambria Math"/>
                <w:i/>
                <w:szCs w:val="21"/>
              </w:rPr>
            </m:ctrlPr>
          </m:sSubPr>
          <m:e>
            <m:r>
              <w:rPr>
                <w:rFonts w:ascii="Cambria Math" w:hAnsi="Cambria Math"/>
                <w:szCs w:val="21"/>
              </w:rPr>
              <m:t>t</m:t>
            </m:r>
          </m:e>
          <m:sub>
            <m:r>
              <w:rPr>
                <w:rFonts w:ascii="Cambria Math" w:hAnsi="Cambria Math"/>
                <w:szCs w:val="21"/>
              </w:rPr>
              <m:t>i</m:t>
            </m:r>
          </m:sub>
        </m:sSub>
        <m:r>
          <w:rPr>
            <w:rFonts w:ascii="Cambria Math" w:hAnsi="Cambria Math"/>
            <w:szCs w:val="21"/>
          </w:rPr>
          <m:t>)</m:t>
        </m:r>
      </m:oMath>
      <w:r>
        <w:rPr>
          <w:rFonts w:ascii="Times New Roman" w:hAnsi="Times New Roman"/>
          <w:szCs w:val="21"/>
        </w:rPr>
        <w:t>。此外，样本选择方程中的</w:t>
      </w:r>
      <m:oMath>
        <m:r>
          <w:rPr>
            <w:rFonts w:ascii="Cambria Math" w:hAnsi="Cambria Math"/>
            <w:szCs w:val="21"/>
          </w:rPr>
          <m:t>Dumping</m:t>
        </m:r>
      </m:oMath>
      <w:r>
        <w:rPr>
          <w:rFonts w:ascii="Times New Roman" w:hAnsi="Times New Roman"/>
          <w:szCs w:val="21"/>
        </w:rPr>
        <w:t>为</w:t>
      </w:r>
      <w:r>
        <w:rPr>
          <w:rFonts w:ascii="Times New Roman" w:hAnsi="Times New Roman"/>
          <w:szCs w:val="21"/>
        </w:rPr>
        <w:t>0-1</w:t>
      </w:r>
      <w:r>
        <w:rPr>
          <w:rFonts w:ascii="Times New Roman" w:hAnsi="Times New Roman"/>
          <w:szCs w:val="21"/>
        </w:rPr>
        <w:t>变量，</w:t>
      </w:r>
      <w:r>
        <w:rPr>
          <w:rFonts w:ascii="Times New Roman" w:hAnsi="Times New Roman"/>
          <w:szCs w:val="21"/>
        </w:rPr>
        <w:t>1988-2020</w:t>
      </w:r>
      <w:r>
        <w:rPr>
          <w:rFonts w:ascii="Times New Roman" w:hAnsi="Times New Roman"/>
          <w:szCs w:val="21"/>
        </w:rPr>
        <w:t>年</w:t>
      </w:r>
      <w:r w:rsidR="00466471">
        <w:rPr>
          <w:rFonts w:ascii="Times New Roman" w:hAnsi="Times New Roman"/>
          <w:szCs w:val="21"/>
        </w:rPr>
        <w:t>间</w:t>
      </w:r>
      <w:r>
        <w:rPr>
          <w:rFonts w:ascii="Times New Roman" w:hAnsi="Times New Roman"/>
          <w:szCs w:val="21"/>
        </w:rPr>
        <w:t>欧盟对华反倾销案件共有</w:t>
      </w:r>
      <w:r>
        <w:rPr>
          <w:rFonts w:ascii="Times New Roman" w:hAnsi="Times New Roman"/>
          <w:szCs w:val="21"/>
        </w:rPr>
        <w:t>122</w:t>
      </w:r>
      <w:r>
        <w:rPr>
          <w:rFonts w:ascii="Times New Roman" w:hAnsi="Times New Roman"/>
          <w:szCs w:val="21"/>
        </w:rPr>
        <w:t>件，在剔除从量税和残缺数据后，最终纳入的案件有</w:t>
      </w:r>
      <w:r>
        <w:rPr>
          <w:rFonts w:ascii="Times New Roman" w:hAnsi="Times New Roman"/>
          <w:szCs w:val="21"/>
        </w:rPr>
        <w:t>80</w:t>
      </w:r>
      <w:r>
        <w:rPr>
          <w:rFonts w:ascii="Times New Roman" w:hAnsi="Times New Roman"/>
          <w:szCs w:val="21"/>
        </w:rPr>
        <w:t>件。其中化学原料和制品工业</w:t>
      </w:r>
      <w:r>
        <w:rPr>
          <w:rFonts w:ascii="Times New Roman" w:hAnsi="Times New Roman"/>
          <w:szCs w:val="21"/>
        </w:rPr>
        <w:t>15</w:t>
      </w:r>
      <w:r>
        <w:rPr>
          <w:rFonts w:ascii="Times New Roman" w:hAnsi="Times New Roman"/>
          <w:szCs w:val="21"/>
        </w:rPr>
        <w:t>件，钢铁工业</w:t>
      </w:r>
      <w:r>
        <w:rPr>
          <w:rFonts w:ascii="Times New Roman" w:hAnsi="Times New Roman"/>
          <w:szCs w:val="21"/>
        </w:rPr>
        <w:t>14</w:t>
      </w:r>
      <w:r>
        <w:rPr>
          <w:rFonts w:ascii="Times New Roman" w:hAnsi="Times New Roman"/>
          <w:szCs w:val="21"/>
        </w:rPr>
        <w:t>件，金属制品工业</w:t>
      </w:r>
      <w:r>
        <w:rPr>
          <w:rFonts w:ascii="Times New Roman" w:hAnsi="Times New Roman"/>
          <w:szCs w:val="21"/>
        </w:rPr>
        <w:t>11</w:t>
      </w:r>
      <w:r>
        <w:rPr>
          <w:rFonts w:ascii="Times New Roman" w:hAnsi="Times New Roman"/>
          <w:szCs w:val="21"/>
        </w:rPr>
        <w:t>件，有色金属工业</w:t>
      </w:r>
      <w:r>
        <w:rPr>
          <w:rFonts w:ascii="Times New Roman" w:hAnsi="Times New Roman"/>
          <w:szCs w:val="21"/>
        </w:rPr>
        <w:t>8</w:t>
      </w:r>
      <w:r>
        <w:rPr>
          <w:rFonts w:ascii="Times New Roman" w:hAnsi="Times New Roman"/>
          <w:szCs w:val="21"/>
        </w:rPr>
        <w:t>件，非金属制品工业</w:t>
      </w:r>
      <w:r>
        <w:rPr>
          <w:rFonts w:ascii="Times New Roman" w:hAnsi="Times New Roman"/>
          <w:szCs w:val="21"/>
        </w:rPr>
        <w:t>5</w:t>
      </w:r>
      <w:r>
        <w:rPr>
          <w:rFonts w:ascii="Times New Roman" w:hAnsi="Times New Roman"/>
          <w:szCs w:val="21"/>
        </w:rPr>
        <w:t>件，皮革工业和通用设备</w:t>
      </w:r>
      <w:r>
        <w:rPr>
          <w:rFonts w:ascii="Times New Roman" w:hAnsi="Times New Roman"/>
          <w:szCs w:val="21"/>
        </w:rPr>
        <w:t>4</w:t>
      </w:r>
      <w:r>
        <w:rPr>
          <w:rFonts w:ascii="Times New Roman" w:hAnsi="Times New Roman"/>
          <w:szCs w:val="21"/>
        </w:rPr>
        <w:t>件，纺织工业、电气工业、食品工业和其他运输设备均为</w:t>
      </w:r>
      <w:r>
        <w:rPr>
          <w:rFonts w:ascii="Times New Roman" w:hAnsi="Times New Roman"/>
          <w:szCs w:val="21"/>
        </w:rPr>
        <w:t>3</w:t>
      </w:r>
      <w:r>
        <w:rPr>
          <w:rFonts w:ascii="Times New Roman" w:hAnsi="Times New Roman"/>
          <w:szCs w:val="21"/>
        </w:rPr>
        <w:t>件，汽车工业</w:t>
      </w:r>
      <w:r>
        <w:rPr>
          <w:rFonts w:ascii="Times New Roman" w:hAnsi="Times New Roman"/>
          <w:szCs w:val="21"/>
        </w:rPr>
        <w:t>2</w:t>
      </w:r>
      <w:r>
        <w:rPr>
          <w:rFonts w:ascii="Times New Roman" w:hAnsi="Times New Roman"/>
          <w:szCs w:val="21"/>
        </w:rPr>
        <w:t>件，家具工业、木材及制品工业、文体、工美和娱乐用品、仪器仪表工业、造纸工业均为</w:t>
      </w:r>
      <w:r>
        <w:rPr>
          <w:rFonts w:ascii="Times New Roman" w:hAnsi="Times New Roman"/>
          <w:szCs w:val="21"/>
        </w:rPr>
        <w:t>1</w:t>
      </w:r>
      <w:r>
        <w:rPr>
          <w:rFonts w:ascii="Times New Roman" w:hAnsi="Times New Roman"/>
          <w:szCs w:val="21"/>
        </w:rPr>
        <w:t>件。</w:t>
      </w:r>
      <w:r>
        <w:rPr>
          <w:rFonts w:ascii="Times New Roman" w:hAnsi="Times New Roman"/>
          <w:szCs w:val="21"/>
        </w:rPr>
        <w:t>1988-2015</w:t>
      </w:r>
      <w:r>
        <w:rPr>
          <w:rFonts w:ascii="Times New Roman" w:hAnsi="Times New Roman"/>
          <w:szCs w:val="21"/>
        </w:rPr>
        <w:t>年</w:t>
      </w:r>
      <w:r w:rsidR="00466471">
        <w:rPr>
          <w:rFonts w:ascii="Times New Roman" w:hAnsi="Times New Roman"/>
          <w:szCs w:val="21"/>
        </w:rPr>
        <w:t>间</w:t>
      </w:r>
      <w:r>
        <w:rPr>
          <w:rFonts w:ascii="Times New Roman" w:hAnsi="Times New Roman"/>
          <w:szCs w:val="21"/>
        </w:rPr>
        <w:t>的反倾销税率数据来源于世界银行反倾销数据库，</w:t>
      </w:r>
      <w:r>
        <w:rPr>
          <w:rFonts w:ascii="Times New Roman" w:hAnsi="Times New Roman"/>
          <w:szCs w:val="21"/>
        </w:rPr>
        <w:t>2015</w:t>
      </w:r>
      <w:r>
        <w:rPr>
          <w:rFonts w:ascii="Times New Roman" w:hAnsi="Times New Roman"/>
          <w:szCs w:val="21"/>
        </w:rPr>
        <w:t>年之后的数据提取自中国贸易救济信息网欧盟对华反倾销案例的公告。</w:t>
      </w:r>
    </w:p>
    <w:p w14:paraId="590E45CC" w14:textId="77777777" w:rsidR="00501C7E" w:rsidRPr="00466471" w:rsidRDefault="00EC5712" w:rsidP="00466471">
      <w:pPr>
        <w:tabs>
          <w:tab w:val="left" w:pos="520"/>
        </w:tabs>
        <w:outlineLvl w:val="0"/>
        <w:rPr>
          <w:rFonts w:ascii="Times New Roman" w:eastAsia="楷体" w:hAnsi="Times New Roman"/>
          <w:szCs w:val="21"/>
        </w:rPr>
      </w:pPr>
      <w:r>
        <w:rPr>
          <w:rFonts w:ascii="Times New Roman" w:eastAsia="楷体" w:hAnsi="Times New Roman" w:hint="eastAsia"/>
          <w:szCs w:val="21"/>
        </w:rPr>
        <w:tab/>
      </w:r>
      <w:r>
        <w:rPr>
          <w:rFonts w:ascii="Times New Roman" w:eastAsia="楷体" w:hAnsi="Times New Roman"/>
          <w:szCs w:val="21"/>
        </w:rPr>
        <w:t>2.</w:t>
      </w:r>
      <w:r>
        <w:rPr>
          <w:rFonts w:ascii="Times New Roman" w:eastAsia="楷体" w:hAnsi="Times New Roman"/>
          <w:szCs w:val="21"/>
        </w:rPr>
        <w:t>虚拟变量</w:t>
      </w:r>
      <w:r w:rsidR="00466471">
        <w:rPr>
          <w:rFonts w:ascii="Times New Roman" w:eastAsia="楷体" w:hAnsi="Times New Roman"/>
          <w:szCs w:val="21"/>
        </w:rPr>
        <w:t>。</w:t>
      </w:r>
      <w:r>
        <w:rPr>
          <w:rFonts w:ascii="Times New Roman" w:hAnsi="Times New Roman"/>
          <w:position w:val="-5"/>
        </w:rPr>
        <w:t>虚拟变量代表行业组成利益集团与否的情况，衡量申诉者政治势力的大小。李坤望和王孝松（</w:t>
      </w:r>
      <w:r>
        <w:rPr>
          <w:rFonts w:ascii="Times New Roman" w:hAnsi="Times New Roman"/>
          <w:position w:val="-5"/>
        </w:rPr>
        <w:t>2008</w:t>
      </w:r>
      <w:r>
        <w:rPr>
          <w:rFonts w:ascii="Times New Roman" w:hAnsi="Times New Roman"/>
          <w:position w:val="-5"/>
        </w:rPr>
        <w:t>）采用利益集团向国会提供的政治捐资衡量美国申诉者的政治势力</w:t>
      </w:r>
      <w:r w:rsidR="00466471">
        <w:rPr>
          <w:rFonts w:ascii="Times New Roman" w:hAnsi="Times New Roman" w:hint="eastAsia"/>
          <w:position w:val="-5"/>
        </w:rPr>
        <w:t>。</w:t>
      </w:r>
      <w:r>
        <w:rPr>
          <w:rFonts w:ascii="Times New Roman" w:hAnsi="Times New Roman"/>
          <w:position w:val="-5"/>
        </w:rPr>
        <w:t>王孝松和谢申祥（</w:t>
      </w:r>
      <w:r>
        <w:rPr>
          <w:rFonts w:ascii="Times New Roman" w:hAnsi="Times New Roman"/>
          <w:position w:val="-5"/>
        </w:rPr>
        <w:t>2013</w:t>
      </w:r>
      <w:r>
        <w:rPr>
          <w:rFonts w:ascii="Times New Roman" w:hAnsi="Times New Roman"/>
          <w:position w:val="-5"/>
        </w:rPr>
        <w:t>）在利用保护待售模型研究印度对华反倾销的影响因素时，对于申诉者政治势力的衡量采用的是行业属性，即申诉者所在的行业是否是化工行业。由于欧盟反倾销裁定与美国、印度的差异，使用捐资额不符合欧盟的现实情况，使用行业层面的变量去衡量企业或者协会层面的申诉者政治势力有一定偏差</w:t>
      </w:r>
      <w:r w:rsidR="00466471">
        <w:rPr>
          <w:rFonts w:ascii="Times New Roman" w:hAnsi="Times New Roman" w:hint="eastAsia"/>
          <w:position w:val="-5"/>
        </w:rPr>
        <w:t>。</w:t>
      </w:r>
      <w:r>
        <w:rPr>
          <w:rFonts w:ascii="Times New Roman" w:hAnsi="Times New Roman"/>
          <w:position w:val="-5"/>
        </w:rPr>
        <w:t>本文根据欧盟对华反倾销案件的特点，具体到案件层面去考察直接跟案件相关的申诉者，它们的组织情况与单个案件裁定情况密切关联。在保护待售模型中，虚拟变量在行业能组成有效的利益集团时取值为</w:t>
      </w:r>
      <w:r>
        <w:rPr>
          <w:rFonts w:ascii="Times New Roman" w:hAnsi="Times New Roman"/>
          <w:position w:val="-5"/>
        </w:rPr>
        <w:t>1</w:t>
      </w:r>
      <w:r>
        <w:rPr>
          <w:rFonts w:ascii="Times New Roman" w:hAnsi="Times New Roman"/>
          <w:position w:val="-5"/>
        </w:rPr>
        <w:t>，否则为</w:t>
      </w:r>
      <w:r>
        <w:rPr>
          <w:rFonts w:ascii="Times New Roman" w:hAnsi="Times New Roman"/>
          <w:position w:val="-5"/>
        </w:rPr>
        <w:t>0</w:t>
      </w:r>
      <w:r w:rsidR="00466471">
        <w:rPr>
          <w:rFonts w:ascii="Times New Roman" w:hAnsi="Times New Roman" w:hint="eastAsia"/>
          <w:position w:val="-5"/>
        </w:rPr>
        <w:t>。</w:t>
      </w:r>
      <w:r>
        <w:rPr>
          <w:rFonts w:ascii="Times New Roman" w:hAnsi="Times New Roman"/>
          <w:position w:val="-5"/>
        </w:rPr>
        <w:t>但是在欧盟对华反倾销案件裁定中，行业协会等利益集团申诉发起的案件有</w:t>
      </w:r>
      <w:r>
        <w:rPr>
          <w:rFonts w:ascii="Times New Roman" w:hAnsi="Times New Roman"/>
          <w:position w:val="-5"/>
        </w:rPr>
        <w:t>61</w:t>
      </w:r>
      <w:r>
        <w:rPr>
          <w:rFonts w:ascii="Times New Roman" w:hAnsi="Times New Roman"/>
          <w:position w:val="-5"/>
        </w:rPr>
        <w:t>件，占比高达</w:t>
      </w:r>
      <w:r>
        <w:rPr>
          <w:rFonts w:ascii="Times New Roman" w:hAnsi="Times New Roman"/>
          <w:position w:val="-5"/>
        </w:rPr>
        <w:t>76.25%</w:t>
      </w:r>
      <w:r>
        <w:rPr>
          <w:rFonts w:ascii="Times New Roman" w:hAnsi="Times New Roman"/>
          <w:position w:val="-5"/>
        </w:rPr>
        <w:t>，仅仅以是否组成利益集团设置虚拟变量并不能有效区分申诉者政治势力的大</w:t>
      </w:r>
      <w:r w:rsidR="00466471">
        <w:rPr>
          <w:rFonts w:ascii="Times New Roman" w:hAnsi="Times New Roman"/>
          <w:position w:val="-5"/>
        </w:rPr>
        <w:t>小，所以本文进一步区分了行业协会的性质和地位。在案件统计中，本文</w:t>
      </w:r>
      <w:r>
        <w:rPr>
          <w:rFonts w:ascii="Times New Roman" w:hAnsi="Times New Roman"/>
          <w:position w:val="-5"/>
        </w:rPr>
        <w:t>发现即使是同一个协会发起的反倾销申请，由于成员的进退和内部的分歧，其在不同年份能代表本行业的厂商比例也不相同，所以本文又将申诉者代表的厂商比例纳入申诉者</w:t>
      </w:r>
      <w:r>
        <w:rPr>
          <w:rFonts w:ascii="Times New Roman" w:hAnsi="Times New Roman" w:hint="eastAsia"/>
          <w:position w:val="-5"/>
        </w:rPr>
        <w:t>政治势力</w:t>
      </w:r>
      <w:r>
        <w:rPr>
          <w:rFonts w:ascii="Times New Roman" w:hAnsi="Times New Roman"/>
          <w:position w:val="-5"/>
        </w:rPr>
        <w:t>的衡量，设置排名。为检验结果的稳健性，本文分别设置不同的排名比例，即前</w:t>
      </w:r>
      <w:r>
        <w:rPr>
          <w:rFonts w:ascii="Times New Roman" w:hAnsi="Times New Roman"/>
          <w:position w:val="-5"/>
        </w:rPr>
        <w:t>30%</w:t>
      </w:r>
      <w:r>
        <w:rPr>
          <w:rFonts w:ascii="Times New Roman" w:hAnsi="Times New Roman"/>
          <w:position w:val="-5"/>
        </w:rPr>
        <w:t>、</w:t>
      </w:r>
      <w:r>
        <w:rPr>
          <w:rFonts w:ascii="Times New Roman" w:hAnsi="Times New Roman"/>
          <w:position w:val="-5"/>
        </w:rPr>
        <w:t>40%</w:t>
      </w:r>
      <w:r>
        <w:rPr>
          <w:rFonts w:ascii="Times New Roman" w:hAnsi="Times New Roman"/>
          <w:position w:val="-5"/>
        </w:rPr>
        <w:t>和</w:t>
      </w:r>
      <w:r>
        <w:rPr>
          <w:rFonts w:ascii="Times New Roman" w:hAnsi="Times New Roman"/>
          <w:position w:val="-5"/>
        </w:rPr>
        <w:t>50%</w:t>
      </w:r>
      <w:r>
        <w:rPr>
          <w:rFonts w:ascii="Times New Roman" w:hAnsi="Times New Roman"/>
          <w:position w:val="-5"/>
        </w:rPr>
        <w:t>的申诉者为政治上有组织的。</w:t>
      </w:r>
    </w:p>
    <w:p w14:paraId="13987DB3" w14:textId="77777777" w:rsidR="00501C7E" w:rsidRDefault="00EC5712">
      <w:pPr>
        <w:ind w:firstLine="420"/>
        <w:rPr>
          <w:rFonts w:ascii="Times New Roman" w:eastAsia="黑体" w:hAnsi="Times New Roman"/>
          <w:szCs w:val="21"/>
        </w:rPr>
      </w:pPr>
      <w:r>
        <w:rPr>
          <w:rFonts w:ascii="Times New Roman" w:hAnsi="Times New Roman"/>
          <w:szCs w:val="21"/>
        </w:rPr>
        <w:t>本文通过欧盟法律法规数据库</w:t>
      </w:r>
      <w:r>
        <w:rPr>
          <w:rFonts w:ascii="Times New Roman" w:hAnsi="Times New Roman" w:hint="eastAsia"/>
          <w:szCs w:val="21"/>
        </w:rPr>
        <w:t>（</w:t>
      </w:r>
      <w:r>
        <w:rPr>
          <w:rFonts w:ascii="Times New Roman" w:hAnsi="Times New Roman"/>
          <w:szCs w:val="21"/>
        </w:rPr>
        <w:t>Eur-lex</w:t>
      </w:r>
      <w:r>
        <w:rPr>
          <w:rFonts w:ascii="Times New Roman" w:hAnsi="Times New Roman" w:hint="eastAsia"/>
          <w:szCs w:val="21"/>
        </w:rPr>
        <w:t>）</w:t>
      </w:r>
      <w:r>
        <w:rPr>
          <w:rFonts w:ascii="Times New Roman" w:hAnsi="Times New Roman"/>
          <w:szCs w:val="21"/>
        </w:rPr>
        <w:t>的案件通告提取申诉者的相关信息，再根据欧盟</w:t>
      </w:r>
      <w:r>
        <w:rPr>
          <w:rFonts w:ascii="Times New Roman" w:hAnsi="Times New Roman" w:hint="eastAsia"/>
          <w:szCs w:val="21"/>
        </w:rPr>
        <w:t>“</w:t>
      </w:r>
      <w:r>
        <w:rPr>
          <w:rFonts w:ascii="Times New Roman" w:hAnsi="Times New Roman"/>
          <w:szCs w:val="21"/>
        </w:rPr>
        <w:t>透明度登记册</w:t>
      </w:r>
      <w:r>
        <w:rPr>
          <w:rStyle w:val="aa"/>
          <w:rFonts w:ascii="Times New Roman" w:hAnsi="Times New Roman"/>
          <w:szCs w:val="21"/>
        </w:rPr>
        <w:footnoteReference w:id="5"/>
      </w:r>
      <w:r>
        <w:rPr>
          <w:rFonts w:ascii="Times New Roman" w:hAnsi="Times New Roman" w:hint="eastAsia"/>
          <w:szCs w:val="21"/>
        </w:rPr>
        <w:t>”</w:t>
      </w:r>
      <w:r>
        <w:rPr>
          <w:rFonts w:ascii="Times New Roman" w:hAnsi="Times New Roman"/>
          <w:szCs w:val="21"/>
        </w:rPr>
        <w:t>的组织登记情况归类申诉者性质，按照影响力的大小依次归类为全球行业协会、欧盟行业总协会、欧盟行业分协会、国家协会和企业五种类型，在同等类型下再根据申诉者的厂商代表性</w:t>
      </w:r>
      <w:r>
        <w:rPr>
          <w:rStyle w:val="aa"/>
          <w:rFonts w:ascii="Times New Roman" w:hAnsi="Times New Roman"/>
          <w:szCs w:val="21"/>
        </w:rPr>
        <w:footnoteReference w:id="6"/>
      </w:r>
      <w:r>
        <w:rPr>
          <w:rFonts w:ascii="Times New Roman" w:hAnsi="Times New Roman"/>
          <w:szCs w:val="21"/>
        </w:rPr>
        <w:t>确定申诉者在所属行业内的排名，设置门槛值构造虚拟变量以反映申诉者</w:t>
      </w:r>
      <w:r>
        <w:rPr>
          <w:rFonts w:ascii="Times New Roman" w:hAnsi="Times New Roman" w:hint="eastAsia"/>
          <w:szCs w:val="21"/>
        </w:rPr>
        <w:t>政治势力的</w:t>
      </w:r>
      <w:r>
        <w:rPr>
          <w:rFonts w:ascii="Times New Roman" w:hAnsi="Times New Roman"/>
          <w:szCs w:val="21"/>
        </w:rPr>
        <w:t>大小。在表</w:t>
      </w:r>
      <w:r>
        <w:rPr>
          <w:rFonts w:ascii="Times New Roman" w:hAnsi="Times New Roman"/>
          <w:szCs w:val="21"/>
        </w:rPr>
        <w:t>2</w:t>
      </w:r>
      <w:r w:rsidR="00466471">
        <w:rPr>
          <w:rFonts w:ascii="Times New Roman" w:hAnsi="Times New Roman"/>
          <w:szCs w:val="21"/>
        </w:rPr>
        <w:t>中，本文</w:t>
      </w:r>
      <w:r>
        <w:rPr>
          <w:rFonts w:ascii="Times New Roman" w:hAnsi="Times New Roman"/>
          <w:szCs w:val="21"/>
        </w:rPr>
        <w:t>将以金属制品工业为例阐释虚拟变量的构造，金属制</w:t>
      </w:r>
      <w:r w:rsidR="00466471">
        <w:rPr>
          <w:rFonts w:ascii="Times New Roman" w:hAnsi="Times New Roman"/>
          <w:szCs w:val="21"/>
        </w:rPr>
        <w:t>品工业的申诉者分别属于全球性协会、欧盟行业分协会和企业三种类型。</w:t>
      </w:r>
      <w:r>
        <w:rPr>
          <w:rFonts w:ascii="Times New Roman" w:hAnsi="Times New Roman"/>
          <w:szCs w:val="21"/>
        </w:rPr>
        <w:t>在这三种类型下，再根据申诉者的厂商代表性确定其行业内排名，若规定排名比例在前</w:t>
      </w:r>
      <w:r>
        <w:rPr>
          <w:rFonts w:ascii="Times New Roman" w:hAnsi="Times New Roman"/>
          <w:szCs w:val="21"/>
        </w:rPr>
        <w:t>30%</w:t>
      </w:r>
      <w:r>
        <w:rPr>
          <w:rFonts w:ascii="Times New Roman" w:hAnsi="Times New Roman"/>
          <w:szCs w:val="21"/>
        </w:rPr>
        <w:t>的申诉者为</w:t>
      </w:r>
      <w:r>
        <w:rPr>
          <w:rFonts w:ascii="Times New Roman" w:hAnsi="Times New Roman" w:hint="eastAsia"/>
          <w:szCs w:val="21"/>
        </w:rPr>
        <w:t>具有较大政治势力</w:t>
      </w:r>
      <w:r>
        <w:rPr>
          <w:rFonts w:ascii="Times New Roman" w:hAnsi="Times New Roman"/>
          <w:szCs w:val="21"/>
        </w:rPr>
        <w:t>，则其虚拟变量值为</w:t>
      </w:r>
      <w:r>
        <w:rPr>
          <w:rFonts w:ascii="Times New Roman" w:hAnsi="Times New Roman"/>
          <w:szCs w:val="21"/>
        </w:rPr>
        <w:t>1</w:t>
      </w:r>
      <w:r>
        <w:rPr>
          <w:rFonts w:ascii="Times New Roman" w:hAnsi="Times New Roman"/>
          <w:szCs w:val="21"/>
        </w:rPr>
        <w:t>，其他为</w:t>
      </w:r>
      <w:r>
        <w:rPr>
          <w:rFonts w:ascii="Times New Roman" w:hAnsi="Times New Roman"/>
          <w:szCs w:val="21"/>
        </w:rPr>
        <w:t>0</w:t>
      </w:r>
      <w:r>
        <w:rPr>
          <w:rFonts w:ascii="Times New Roman" w:hAnsi="Times New Roman"/>
          <w:szCs w:val="21"/>
        </w:rPr>
        <w:t>。</w:t>
      </w:r>
    </w:p>
    <w:p w14:paraId="5C1B06A8" w14:textId="77777777" w:rsidR="00501C7E" w:rsidRDefault="00501C7E">
      <w:pPr>
        <w:rPr>
          <w:rFonts w:ascii="Times New Roman" w:eastAsia="黑体" w:hAnsi="Times New Roman"/>
          <w:szCs w:val="21"/>
        </w:rPr>
      </w:pPr>
    </w:p>
    <w:p w14:paraId="13DB3194" w14:textId="77777777" w:rsidR="00501C7E" w:rsidRDefault="00EC5712">
      <w:pPr>
        <w:ind w:firstLineChars="200" w:firstLine="420"/>
        <w:jc w:val="center"/>
        <w:rPr>
          <w:rFonts w:ascii="Times New Roman" w:eastAsia="楷体" w:hAnsi="Times New Roman"/>
          <w:bCs/>
          <w:szCs w:val="21"/>
        </w:rPr>
      </w:pPr>
      <w:r>
        <w:rPr>
          <w:rFonts w:ascii="Times New Roman" w:eastAsia="楷体" w:hAnsi="Times New Roman"/>
          <w:bCs/>
          <w:szCs w:val="21"/>
        </w:rPr>
        <w:t>表</w:t>
      </w:r>
      <w:r>
        <w:rPr>
          <w:rFonts w:ascii="Times New Roman" w:eastAsia="楷体" w:hAnsi="Times New Roman"/>
          <w:bCs/>
          <w:szCs w:val="21"/>
        </w:rPr>
        <w:t xml:space="preserve">2  </w:t>
      </w:r>
      <w:r>
        <w:rPr>
          <w:rFonts w:ascii="Times New Roman" w:eastAsia="楷体" w:hAnsi="Times New Roman"/>
          <w:bCs/>
          <w:szCs w:val="21"/>
        </w:rPr>
        <w:t>欧盟对华金属制品工业反倾销案件情况统计</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1175"/>
        <w:gridCol w:w="1294"/>
        <w:gridCol w:w="772"/>
        <w:gridCol w:w="616"/>
        <w:gridCol w:w="483"/>
        <w:gridCol w:w="961"/>
        <w:gridCol w:w="1041"/>
        <w:gridCol w:w="1041"/>
      </w:tblGrid>
      <w:tr w:rsidR="00501C7E" w14:paraId="6DB69DEF" w14:textId="77777777">
        <w:trPr>
          <w:trHeight w:val="315"/>
          <w:jc w:val="center"/>
        </w:trPr>
        <w:tc>
          <w:tcPr>
            <w:tcW w:w="950" w:type="pct"/>
            <w:tcBorders>
              <w:tl2br w:val="nil"/>
              <w:tr2bl w:val="nil"/>
            </w:tcBorders>
            <w:shd w:val="clear" w:color="auto" w:fill="auto"/>
            <w:vAlign w:val="center"/>
          </w:tcPr>
          <w:p w14:paraId="5B09A65F"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案件</w:t>
            </w:r>
          </w:p>
        </w:tc>
        <w:tc>
          <w:tcPr>
            <w:tcW w:w="643" w:type="pct"/>
            <w:tcBorders>
              <w:tl2br w:val="nil"/>
              <w:tr2bl w:val="nil"/>
            </w:tcBorders>
            <w:shd w:val="clear" w:color="auto" w:fill="auto"/>
            <w:vAlign w:val="center"/>
          </w:tcPr>
          <w:p w14:paraId="1C407FC7"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日期</w:t>
            </w:r>
          </w:p>
        </w:tc>
        <w:tc>
          <w:tcPr>
            <w:tcW w:w="708" w:type="pct"/>
            <w:tcBorders>
              <w:tl2br w:val="nil"/>
              <w:tr2bl w:val="nil"/>
            </w:tcBorders>
            <w:shd w:val="clear" w:color="auto" w:fill="auto"/>
            <w:vAlign w:val="center"/>
          </w:tcPr>
          <w:p w14:paraId="7172B308"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申诉者</w:t>
            </w:r>
          </w:p>
        </w:tc>
        <w:tc>
          <w:tcPr>
            <w:tcW w:w="423" w:type="pct"/>
            <w:tcBorders>
              <w:tl2br w:val="nil"/>
              <w:tr2bl w:val="nil"/>
            </w:tcBorders>
            <w:shd w:val="clear" w:color="auto" w:fill="auto"/>
            <w:vAlign w:val="center"/>
          </w:tcPr>
          <w:p w14:paraId="584B2D85"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类型</w:t>
            </w:r>
          </w:p>
        </w:tc>
        <w:tc>
          <w:tcPr>
            <w:tcW w:w="338" w:type="pct"/>
            <w:tcBorders>
              <w:tl2br w:val="nil"/>
              <w:tr2bl w:val="nil"/>
            </w:tcBorders>
            <w:shd w:val="clear" w:color="auto" w:fill="auto"/>
            <w:vAlign w:val="center"/>
          </w:tcPr>
          <w:p w14:paraId="571E2BA5"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代表性</w:t>
            </w:r>
          </w:p>
        </w:tc>
        <w:tc>
          <w:tcPr>
            <w:tcW w:w="265" w:type="pct"/>
            <w:tcBorders>
              <w:tl2br w:val="nil"/>
              <w:tr2bl w:val="nil"/>
            </w:tcBorders>
            <w:shd w:val="clear" w:color="auto" w:fill="auto"/>
            <w:vAlign w:val="center"/>
          </w:tcPr>
          <w:p w14:paraId="3B7D3B19"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排名</w:t>
            </w:r>
          </w:p>
        </w:tc>
        <w:tc>
          <w:tcPr>
            <w:tcW w:w="527" w:type="pct"/>
            <w:tcBorders>
              <w:tl2br w:val="nil"/>
              <w:tr2bl w:val="nil"/>
            </w:tcBorders>
            <w:shd w:val="clear" w:color="auto" w:fill="auto"/>
            <w:vAlign w:val="center"/>
          </w:tcPr>
          <w:p w14:paraId="4E5105F9"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排名比例在前</w:t>
            </w:r>
            <w:r>
              <w:rPr>
                <w:rFonts w:ascii="Times New Roman" w:hAnsi="Times New Roman"/>
                <w:kern w:val="0"/>
                <w:sz w:val="18"/>
                <w:szCs w:val="18"/>
              </w:rPr>
              <w:t>30%</w:t>
            </w:r>
          </w:p>
        </w:tc>
        <w:tc>
          <w:tcPr>
            <w:tcW w:w="571" w:type="pct"/>
            <w:tcBorders>
              <w:tl2br w:val="nil"/>
              <w:tr2bl w:val="nil"/>
            </w:tcBorders>
            <w:shd w:val="clear" w:color="auto" w:fill="auto"/>
            <w:vAlign w:val="center"/>
          </w:tcPr>
          <w:p w14:paraId="155EFDC6"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初裁税率（</w:t>
            </w:r>
            <w:r>
              <w:rPr>
                <w:rFonts w:ascii="Times New Roman" w:hAnsi="Times New Roman"/>
                <w:kern w:val="0"/>
                <w:sz w:val="18"/>
                <w:szCs w:val="18"/>
              </w:rPr>
              <w:t>%</w:t>
            </w:r>
            <w:r>
              <w:rPr>
                <w:rFonts w:ascii="Times New Roman" w:hAnsi="Times New Roman"/>
                <w:kern w:val="0"/>
                <w:sz w:val="18"/>
                <w:szCs w:val="18"/>
              </w:rPr>
              <w:t>）</w:t>
            </w:r>
          </w:p>
        </w:tc>
        <w:tc>
          <w:tcPr>
            <w:tcW w:w="571" w:type="pct"/>
            <w:tcBorders>
              <w:tl2br w:val="nil"/>
              <w:tr2bl w:val="nil"/>
            </w:tcBorders>
            <w:shd w:val="clear" w:color="auto" w:fill="auto"/>
            <w:vAlign w:val="center"/>
          </w:tcPr>
          <w:p w14:paraId="783A4003"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终裁税率（</w:t>
            </w:r>
            <w:r>
              <w:rPr>
                <w:rFonts w:ascii="Times New Roman" w:hAnsi="Times New Roman"/>
                <w:kern w:val="0"/>
                <w:sz w:val="18"/>
                <w:szCs w:val="18"/>
              </w:rPr>
              <w:t>%</w:t>
            </w:r>
            <w:r>
              <w:rPr>
                <w:rFonts w:ascii="Times New Roman" w:hAnsi="Times New Roman"/>
                <w:kern w:val="0"/>
                <w:sz w:val="18"/>
                <w:szCs w:val="18"/>
              </w:rPr>
              <w:t>）</w:t>
            </w:r>
          </w:p>
        </w:tc>
      </w:tr>
      <w:tr w:rsidR="00501C7E" w14:paraId="1981BDE0" w14:textId="77777777">
        <w:trPr>
          <w:trHeight w:val="690"/>
          <w:jc w:val="center"/>
        </w:trPr>
        <w:tc>
          <w:tcPr>
            <w:tcW w:w="950" w:type="pct"/>
            <w:tcBorders>
              <w:tl2br w:val="nil"/>
              <w:tr2bl w:val="nil"/>
            </w:tcBorders>
            <w:shd w:val="clear" w:color="auto" w:fill="auto"/>
            <w:vAlign w:val="center"/>
          </w:tcPr>
          <w:p w14:paraId="11D5DAEE"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欧盟对中国铝散热器反倾销案</w:t>
            </w:r>
          </w:p>
        </w:tc>
        <w:tc>
          <w:tcPr>
            <w:tcW w:w="643" w:type="pct"/>
            <w:tcBorders>
              <w:tl2br w:val="nil"/>
              <w:tr2bl w:val="nil"/>
            </w:tcBorders>
            <w:shd w:val="clear" w:color="auto" w:fill="auto"/>
            <w:vAlign w:val="center"/>
          </w:tcPr>
          <w:p w14:paraId="543C8EBD"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2011/08/12</w:t>
            </w:r>
          </w:p>
        </w:tc>
        <w:tc>
          <w:tcPr>
            <w:tcW w:w="708" w:type="pct"/>
            <w:tcBorders>
              <w:tl2br w:val="nil"/>
              <w:tr2bl w:val="nil"/>
            </w:tcBorders>
            <w:shd w:val="clear" w:color="auto" w:fill="auto"/>
            <w:vAlign w:val="center"/>
          </w:tcPr>
          <w:p w14:paraId="323CBDEE"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国际铝散热器生产商有限责任联盟</w:t>
            </w:r>
          </w:p>
        </w:tc>
        <w:tc>
          <w:tcPr>
            <w:tcW w:w="423" w:type="pct"/>
            <w:tcBorders>
              <w:tl2br w:val="nil"/>
              <w:tr2bl w:val="nil"/>
            </w:tcBorders>
            <w:shd w:val="clear" w:color="auto" w:fill="auto"/>
            <w:vAlign w:val="center"/>
          </w:tcPr>
          <w:p w14:paraId="5F4F220F"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全球性协会</w:t>
            </w:r>
          </w:p>
        </w:tc>
        <w:tc>
          <w:tcPr>
            <w:tcW w:w="338" w:type="pct"/>
            <w:tcBorders>
              <w:tl2br w:val="nil"/>
              <w:tr2bl w:val="nil"/>
            </w:tcBorders>
            <w:shd w:val="clear" w:color="auto" w:fill="auto"/>
            <w:vAlign w:val="center"/>
          </w:tcPr>
          <w:p w14:paraId="79DA880A"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25</w:t>
            </w:r>
          </w:p>
        </w:tc>
        <w:tc>
          <w:tcPr>
            <w:tcW w:w="265" w:type="pct"/>
            <w:tcBorders>
              <w:tl2br w:val="nil"/>
              <w:tr2bl w:val="nil"/>
            </w:tcBorders>
            <w:shd w:val="clear" w:color="auto" w:fill="auto"/>
            <w:vAlign w:val="center"/>
          </w:tcPr>
          <w:p w14:paraId="4FA1EBBB"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1</w:t>
            </w:r>
          </w:p>
        </w:tc>
        <w:tc>
          <w:tcPr>
            <w:tcW w:w="527" w:type="pct"/>
            <w:tcBorders>
              <w:tl2br w:val="nil"/>
              <w:tr2bl w:val="nil"/>
            </w:tcBorders>
            <w:shd w:val="clear" w:color="auto" w:fill="auto"/>
            <w:vAlign w:val="center"/>
          </w:tcPr>
          <w:p w14:paraId="11DD47C4"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是</w:t>
            </w:r>
          </w:p>
        </w:tc>
        <w:tc>
          <w:tcPr>
            <w:tcW w:w="571" w:type="pct"/>
            <w:tcBorders>
              <w:tl2br w:val="nil"/>
              <w:tr2bl w:val="nil"/>
            </w:tcBorders>
            <w:shd w:val="clear" w:color="auto" w:fill="auto"/>
            <w:vAlign w:val="center"/>
          </w:tcPr>
          <w:p w14:paraId="7116F414"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61.4</w:t>
            </w:r>
          </w:p>
        </w:tc>
        <w:tc>
          <w:tcPr>
            <w:tcW w:w="571" w:type="pct"/>
            <w:tcBorders>
              <w:tl2br w:val="nil"/>
              <w:tr2bl w:val="nil"/>
            </w:tcBorders>
            <w:shd w:val="clear" w:color="auto" w:fill="auto"/>
            <w:vAlign w:val="center"/>
          </w:tcPr>
          <w:p w14:paraId="189EA738"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61.4</w:t>
            </w:r>
          </w:p>
        </w:tc>
      </w:tr>
      <w:tr w:rsidR="00501C7E" w14:paraId="0AC96A59" w14:textId="77777777">
        <w:trPr>
          <w:trHeight w:val="1140"/>
          <w:jc w:val="center"/>
        </w:trPr>
        <w:tc>
          <w:tcPr>
            <w:tcW w:w="950" w:type="pct"/>
            <w:tcBorders>
              <w:tl2br w:val="nil"/>
              <w:tr2bl w:val="nil"/>
            </w:tcBorders>
            <w:shd w:val="clear" w:color="auto" w:fill="auto"/>
            <w:vAlign w:val="center"/>
          </w:tcPr>
          <w:p w14:paraId="215E0C80"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lastRenderedPageBreak/>
              <w:t>欧盟对中国可锻铸铁管件（马钢管件）反倾销案</w:t>
            </w:r>
          </w:p>
        </w:tc>
        <w:tc>
          <w:tcPr>
            <w:tcW w:w="643" w:type="pct"/>
            <w:tcBorders>
              <w:tl2br w:val="nil"/>
              <w:tr2bl w:val="nil"/>
            </w:tcBorders>
            <w:shd w:val="clear" w:color="auto" w:fill="auto"/>
            <w:vAlign w:val="center"/>
          </w:tcPr>
          <w:p w14:paraId="301240F9"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1999/05/29</w:t>
            </w:r>
          </w:p>
        </w:tc>
        <w:tc>
          <w:tcPr>
            <w:tcW w:w="708" w:type="pct"/>
            <w:tcBorders>
              <w:tl2br w:val="nil"/>
              <w:tr2bl w:val="nil"/>
            </w:tcBorders>
            <w:shd w:val="clear" w:color="auto" w:fill="auto"/>
            <w:vAlign w:val="center"/>
          </w:tcPr>
          <w:p w14:paraId="47536C52"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欧盟可锻铸铁管件部门国防委员会</w:t>
            </w:r>
          </w:p>
        </w:tc>
        <w:tc>
          <w:tcPr>
            <w:tcW w:w="423" w:type="pct"/>
            <w:tcBorders>
              <w:tl2br w:val="nil"/>
              <w:tr2bl w:val="nil"/>
            </w:tcBorders>
            <w:shd w:val="clear" w:color="auto" w:fill="auto"/>
            <w:vAlign w:val="center"/>
          </w:tcPr>
          <w:p w14:paraId="666F53CA"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欧盟行业分协会</w:t>
            </w:r>
          </w:p>
        </w:tc>
        <w:tc>
          <w:tcPr>
            <w:tcW w:w="338" w:type="pct"/>
            <w:tcBorders>
              <w:tl2br w:val="nil"/>
              <w:tr2bl w:val="nil"/>
            </w:tcBorders>
            <w:shd w:val="clear" w:color="auto" w:fill="auto"/>
            <w:vAlign w:val="center"/>
          </w:tcPr>
          <w:p w14:paraId="57EE4998"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100</w:t>
            </w:r>
          </w:p>
        </w:tc>
        <w:tc>
          <w:tcPr>
            <w:tcW w:w="265" w:type="pct"/>
            <w:tcBorders>
              <w:tl2br w:val="nil"/>
              <w:tr2bl w:val="nil"/>
            </w:tcBorders>
            <w:shd w:val="clear" w:color="auto" w:fill="auto"/>
            <w:vAlign w:val="center"/>
          </w:tcPr>
          <w:p w14:paraId="6B8A248F"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w:t>
            </w:r>
          </w:p>
        </w:tc>
        <w:tc>
          <w:tcPr>
            <w:tcW w:w="527" w:type="pct"/>
            <w:tcBorders>
              <w:tl2br w:val="nil"/>
              <w:tr2bl w:val="nil"/>
            </w:tcBorders>
            <w:shd w:val="clear" w:color="auto" w:fill="auto"/>
            <w:vAlign w:val="center"/>
          </w:tcPr>
          <w:p w14:paraId="2DA961B6"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是</w:t>
            </w:r>
          </w:p>
        </w:tc>
        <w:tc>
          <w:tcPr>
            <w:tcW w:w="571" w:type="pct"/>
            <w:tcBorders>
              <w:tl2br w:val="nil"/>
              <w:tr2bl w:val="nil"/>
            </w:tcBorders>
            <w:shd w:val="clear" w:color="auto" w:fill="auto"/>
            <w:vAlign w:val="center"/>
          </w:tcPr>
          <w:p w14:paraId="56163BFD"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49.4</w:t>
            </w:r>
          </w:p>
        </w:tc>
        <w:tc>
          <w:tcPr>
            <w:tcW w:w="571" w:type="pct"/>
            <w:tcBorders>
              <w:tl2br w:val="nil"/>
              <w:tr2bl w:val="nil"/>
            </w:tcBorders>
            <w:shd w:val="clear" w:color="auto" w:fill="auto"/>
            <w:vAlign w:val="center"/>
          </w:tcPr>
          <w:p w14:paraId="2E082D95"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49.4</w:t>
            </w:r>
          </w:p>
        </w:tc>
      </w:tr>
      <w:tr w:rsidR="00501C7E" w14:paraId="637F285A" w14:textId="77777777">
        <w:trPr>
          <w:trHeight w:val="690"/>
          <w:jc w:val="center"/>
        </w:trPr>
        <w:tc>
          <w:tcPr>
            <w:tcW w:w="950" w:type="pct"/>
            <w:tcBorders>
              <w:tl2br w:val="nil"/>
              <w:tr2bl w:val="nil"/>
            </w:tcBorders>
            <w:shd w:val="clear" w:color="auto" w:fill="auto"/>
            <w:vAlign w:val="center"/>
          </w:tcPr>
          <w:p w14:paraId="6C019B2A"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欧盟对华钢丝绳和钢缆反倾销案</w:t>
            </w:r>
          </w:p>
        </w:tc>
        <w:tc>
          <w:tcPr>
            <w:tcW w:w="643" w:type="pct"/>
            <w:tcBorders>
              <w:tl2br w:val="nil"/>
              <w:tr2bl w:val="nil"/>
            </w:tcBorders>
            <w:shd w:val="clear" w:color="auto" w:fill="auto"/>
            <w:vAlign w:val="center"/>
          </w:tcPr>
          <w:p w14:paraId="14AA9B5D"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1998/05/20</w:t>
            </w:r>
          </w:p>
        </w:tc>
        <w:tc>
          <w:tcPr>
            <w:tcW w:w="708" w:type="pct"/>
            <w:tcBorders>
              <w:tl2br w:val="nil"/>
              <w:tr2bl w:val="nil"/>
            </w:tcBorders>
            <w:shd w:val="clear" w:color="auto" w:fill="auto"/>
            <w:vAlign w:val="center"/>
          </w:tcPr>
          <w:p w14:paraId="7016F10F"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欧盟钢丝绳行业联络委员会</w:t>
            </w:r>
          </w:p>
        </w:tc>
        <w:tc>
          <w:tcPr>
            <w:tcW w:w="423" w:type="pct"/>
            <w:tcBorders>
              <w:tl2br w:val="nil"/>
              <w:tr2bl w:val="nil"/>
            </w:tcBorders>
            <w:shd w:val="clear" w:color="auto" w:fill="auto"/>
            <w:vAlign w:val="center"/>
          </w:tcPr>
          <w:p w14:paraId="3B2AC815"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欧盟行业分协会</w:t>
            </w:r>
          </w:p>
        </w:tc>
        <w:tc>
          <w:tcPr>
            <w:tcW w:w="338" w:type="pct"/>
            <w:tcBorders>
              <w:tl2br w:val="nil"/>
              <w:tr2bl w:val="nil"/>
            </w:tcBorders>
            <w:shd w:val="clear" w:color="auto" w:fill="auto"/>
            <w:vAlign w:val="center"/>
          </w:tcPr>
          <w:p w14:paraId="734A9C60"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100</w:t>
            </w:r>
          </w:p>
        </w:tc>
        <w:tc>
          <w:tcPr>
            <w:tcW w:w="265" w:type="pct"/>
            <w:tcBorders>
              <w:tl2br w:val="nil"/>
              <w:tr2bl w:val="nil"/>
            </w:tcBorders>
            <w:shd w:val="clear" w:color="auto" w:fill="auto"/>
            <w:vAlign w:val="center"/>
          </w:tcPr>
          <w:p w14:paraId="105E0B69"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w:t>
            </w:r>
          </w:p>
        </w:tc>
        <w:tc>
          <w:tcPr>
            <w:tcW w:w="527" w:type="pct"/>
            <w:tcBorders>
              <w:tl2br w:val="nil"/>
              <w:tr2bl w:val="nil"/>
            </w:tcBorders>
            <w:shd w:val="clear" w:color="auto" w:fill="auto"/>
            <w:vAlign w:val="center"/>
          </w:tcPr>
          <w:p w14:paraId="02E86A6E"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是</w:t>
            </w:r>
          </w:p>
        </w:tc>
        <w:tc>
          <w:tcPr>
            <w:tcW w:w="571" w:type="pct"/>
            <w:tcBorders>
              <w:tl2br w:val="nil"/>
              <w:tr2bl w:val="nil"/>
            </w:tcBorders>
            <w:shd w:val="clear" w:color="auto" w:fill="auto"/>
            <w:vAlign w:val="center"/>
          </w:tcPr>
          <w:p w14:paraId="2947A2AD"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74.8</w:t>
            </w:r>
          </w:p>
        </w:tc>
        <w:tc>
          <w:tcPr>
            <w:tcW w:w="571" w:type="pct"/>
            <w:tcBorders>
              <w:tl2br w:val="nil"/>
              <w:tr2bl w:val="nil"/>
            </w:tcBorders>
            <w:shd w:val="clear" w:color="auto" w:fill="auto"/>
            <w:vAlign w:val="center"/>
          </w:tcPr>
          <w:p w14:paraId="3C38A0D7"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60.4</w:t>
            </w:r>
          </w:p>
        </w:tc>
      </w:tr>
      <w:tr w:rsidR="00501C7E" w14:paraId="55668C5A" w14:textId="77777777">
        <w:trPr>
          <w:trHeight w:val="915"/>
          <w:jc w:val="center"/>
        </w:trPr>
        <w:tc>
          <w:tcPr>
            <w:tcW w:w="950" w:type="pct"/>
            <w:tcBorders>
              <w:tl2br w:val="nil"/>
              <w:tr2bl w:val="nil"/>
            </w:tcBorders>
            <w:shd w:val="clear" w:color="auto" w:fill="auto"/>
            <w:vAlign w:val="center"/>
          </w:tcPr>
          <w:p w14:paraId="203BF324"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欧盟对中国钢管反倾销案</w:t>
            </w:r>
          </w:p>
        </w:tc>
        <w:tc>
          <w:tcPr>
            <w:tcW w:w="643" w:type="pct"/>
            <w:tcBorders>
              <w:tl2br w:val="nil"/>
              <w:tr2bl w:val="nil"/>
            </w:tcBorders>
            <w:shd w:val="clear" w:color="auto" w:fill="auto"/>
            <w:vAlign w:val="center"/>
          </w:tcPr>
          <w:p w14:paraId="36EB7BE1"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1994/02/03</w:t>
            </w:r>
          </w:p>
        </w:tc>
        <w:tc>
          <w:tcPr>
            <w:tcW w:w="708" w:type="pct"/>
            <w:tcBorders>
              <w:tl2br w:val="nil"/>
              <w:tr2bl w:val="nil"/>
            </w:tcBorders>
            <w:shd w:val="clear" w:color="auto" w:fill="auto"/>
            <w:vAlign w:val="center"/>
          </w:tcPr>
          <w:p w14:paraId="02FC2B60"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欧洲经济共同体钢铁对焊配件委员会</w:t>
            </w:r>
          </w:p>
        </w:tc>
        <w:tc>
          <w:tcPr>
            <w:tcW w:w="423" w:type="pct"/>
            <w:tcBorders>
              <w:tl2br w:val="nil"/>
              <w:tr2bl w:val="nil"/>
            </w:tcBorders>
            <w:shd w:val="clear" w:color="auto" w:fill="auto"/>
            <w:vAlign w:val="center"/>
          </w:tcPr>
          <w:p w14:paraId="1F18C40A"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欧盟行业分协会</w:t>
            </w:r>
          </w:p>
        </w:tc>
        <w:tc>
          <w:tcPr>
            <w:tcW w:w="338" w:type="pct"/>
            <w:tcBorders>
              <w:tl2br w:val="nil"/>
              <w:tr2bl w:val="nil"/>
            </w:tcBorders>
            <w:shd w:val="clear" w:color="auto" w:fill="auto"/>
            <w:vAlign w:val="center"/>
          </w:tcPr>
          <w:p w14:paraId="14257606"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60</w:t>
            </w:r>
          </w:p>
        </w:tc>
        <w:tc>
          <w:tcPr>
            <w:tcW w:w="265" w:type="pct"/>
            <w:tcBorders>
              <w:tl2br w:val="nil"/>
              <w:tr2bl w:val="nil"/>
            </w:tcBorders>
            <w:shd w:val="clear" w:color="auto" w:fill="auto"/>
            <w:vAlign w:val="center"/>
          </w:tcPr>
          <w:p w14:paraId="7C2D8C1C"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4</w:t>
            </w:r>
          </w:p>
        </w:tc>
        <w:tc>
          <w:tcPr>
            <w:tcW w:w="527" w:type="pct"/>
            <w:tcBorders>
              <w:tl2br w:val="nil"/>
              <w:tr2bl w:val="nil"/>
            </w:tcBorders>
            <w:shd w:val="clear" w:color="auto" w:fill="auto"/>
            <w:vAlign w:val="center"/>
          </w:tcPr>
          <w:p w14:paraId="7A64F665"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否</w:t>
            </w:r>
          </w:p>
        </w:tc>
        <w:tc>
          <w:tcPr>
            <w:tcW w:w="571" w:type="pct"/>
            <w:tcBorders>
              <w:tl2br w:val="nil"/>
              <w:tr2bl w:val="nil"/>
            </w:tcBorders>
            <w:shd w:val="clear" w:color="auto" w:fill="auto"/>
            <w:vAlign w:val="center"/>
          </w:tcPr>
          <w:p w14:paraId="0E4D7402"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58.6</w:t>
            </w:r>
          </w:p>
        </w:tc>
        <w:tc>
          <w:tcPr>
            <w:tcW w:w="571" w:type="pct"/>
            <w:tcBorders>
              <w:tl2br w:val="nil"/>
              <w:tr2bl w:val="nil"/>
            </w:tcBorders>
            <w:shd w:val="clear" w:color="auto" w:fill="auto"/>
            <w:vAlign w:val="center"/>
          </w:tcPr>
          <w:p w14:paraId="4C68392F"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58.6</w:t>
            </w:r>
          </w:p>
        </w:tc>
      </w:tr>
      <w:tr w:rsidR="00501C7E" w14:paraId="39739BB4" w14:textId="77777777">
        <w:trPr>
          <w:trHeight w:val="915"/>
          <w:jc w:val="center"/>
        </w:trPr>
        <w:tc>
          <w:tcPr>
            <w:tcW w:w="950" w:type="pct"/>
            <w:tcBorders>
              <w:tl2br w:val="nil"/>
              <w:tr2bl w:val="nil"/>
            </w:tcBorders>
            <w:shd w:val="clear" w:color="auto" w:fill="auto"/>
            <w:vAlign w:val="center"/>
          </w:tcPr>
          <w:p w14:paraId="5A232F16"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欧盟对中国不锈钢无缝钢管反倾销案</w:t>
            </w:r>
          </w:p>
        </w:tc>
        <w:tc>
          <w:tcPr>
            <w:tcW w:w="643" w:type="pct"/>
            <w:tcBorders>
              <w:tl2br w:val="nil"/>
              <w:tr2bl w:val="nil"/>
            </w:tcBorders>
            <w:shd w:val="clear" w:color="auto" w:fill="auto"/>
            <w:vAlign w:val="center"/>
          </w:tcPr>
          <w:p w14:paraId="12D24965"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2010/09/30</w:t>
            </w:r>
          </w:p>
        </w:tc>
        <w:tc>
          <w:tcPr>
            <w:tcW w:w="708" w:type="pct"/>
            <w:tcBorders>
              <w:tl2br w:val="nil"/>
              <w:tr2bl w:val="nil"/>
            </w:tcBorders>
            <w:shd w:val="clear" w:color="auto" w:fill="auto"/>
            <w:vAlign w:val="center"/>
          </w:tcPr>
          <w:p w14:paraId="28565879"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欧盟无缝不锈钢管工业保护委员会</w:t>
            </w:r>
          </w:p>
        </w:tc>
        <w:tc>
          <w:tcPr>
            <w:tcW w:w="423" w:type="pct"/>
            <w:tcBorders>
              <w:tl2br w:val="nil"/>
              <w:tr2bl w:val="nil"/>
            </w:tcBorders>
            <w:shd w:val="clear" w:color="auto" w:fill="auto"/>
            <w:vAlign w:val="center"/>
          </w:tcPr>
          <w:p w14:paraId="138CD6F4"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欧盟行业分协会</w:t>
            </w:r>
          </w:p>
        </w:tc>
        <w:tc>
          <w:tcPr>
            <w:tcW w:w="338" w:type="pct"/>
            <w:tcBorders>
              <w:tl2br w:val="nil"/>
              <w:tr2bl w:val="nil"/>
            </w:tcBorders>
            <w:shd w:val="clear" w:color="auto" w:fill="auto"/>
            <w:vAlign w:val="center"/>
          </w:tcPr>
          <w:p w14:paraId="1D1EFC93"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50</w:t>
            </w:r>
          </w:p>
        </w:tc>
        <w:tc>
          <w:tcPr>
            <w:tcW w:w="265" w:type="pct"/>
            <w:tcBorders>
              <w:tl2br w:val="nil"/>
              <w:tr2bl w:val="nil"/>
            </w:tcBorders>
            <w:shd w:val="clear" w:color="auto" w:fill="auto"/>
            <w:vAlign w:val="center"/>
          </w:tcPr>
          <w:p w14:paraId="48CC5424"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5</w:t>
            </w:r>
          </w:p>
        </w:tc>
        <w:tc>
          <w:tcPr>
            <w:tcW w:w="527" w:type="pct"/>
            <w:tcBorders>
              <w:tl2br w:val="nil"/>
              <w:tr2bl w:val="nil"/>
            </w:tcBorders>
            <w:shd w:val="clear" w:color="auto" w:fill="auto"/>
            <w:vAlign w:val="center"/>
          </w:tcPr>
          <w:p w14:paraId="61C4C085"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否</w:t>
            </w:r>
          </w:p>
        </w:tc>
        <w:tc>
          <w:tcPr>
            <w:tcW w:w="571" w:type="pct"/>
            <w:tcBorders>
              <w:tl2br w:val="nil"/>
              <w:tr2bl w:val="nil"/>
            </w:tcBorders>
            <w:shd w:val="clear" w:color="auto" w:fill="auto"/>
            <w:vAlign w:val="center"/>
          </w:tcPr>
          <w:p w14:paraId="541A872E"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71.5</w:t>
            </w:r>
          </w:p>
        </w:tc>
        <w:tc>
          <w:tcPr>
            <w:tcW w:w="571" w:type="pct"/>
            <w:tcBorders>
              <w:tl2br w:val="nil"/>
              <w:tr2bl w:val="nil"/>
            </w:tcBorders>
            <w:shd w:val="clear" w:color="auto" w:fill="auto"/>
            <w:vAlign w:val="center"/>
          </w:tcPr>
          <w:p w14:paraId="18C0D9E3"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71.9</w:t>
            </w:r>
          </w:p>
        </w:tc>
      </w:tr>
      <w:tr w:rsidR="00501C7E" w14:paraId="37811B0D" w14:textId="77777777">
        <w:trPr>
          <w:trHeight w:val="690"/>
          <w:jc w:val="center"/>
        </w:trPr>
        <w:tc>
          <w:tcPr>
            <w:tcW w:w="950" w:type="pct"/>
            <w:tcBorders>
              <w:tl2br w:val="nil"/>
              <w:tr2bl w:val="nil"/>
            </w:tcBorders>
            <w:shd w:val="clear" w:color="auto" w:fill="auto"/>
            <w:vAlign w:val="center"/>
          </w:tcPr>
          <w:p w14:paraId="232911BF"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欧盟对中国无缝钢铁管反倾销案</w:t>
            </w:r>
          </w:p>
        </w:tc>
        <w:tc>
          <w:tcPr>
            <w:tcW w:w="643" w:type="pct"/>
            <w:tcBorders>
              <w:tl2br w:val="nil"/>
              <w:tr2bl w:val="nil"/>
            </w:tcBorders>
            <w:shd w:val="clear" w:color="auto" w:fill="auto"/>
            <w:vAlign w:val="center"/>
          </w:tcPr>
          <w:p w14:paraId="799A9F8E"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2008/07/09</w:t>
            </w:r>
          </w:p>
        </w:tc>
        <w:tc>
          <w:tcPr>
            <w:tcW w:w="708" w:type="pct"/>
            <w:tcBorders>
              <w:tl2br w:val="nil"/>
              <w:tr2bl w:val="nil"/>
            </w:tcBorders>
            <w:shd w:val="clear" w:color="auto" w:fill="auto"/>
            <w:vAlign w:val="center"/>
          </w:tcPr>
          <w:p w14:paraId="3BE7FC41"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欧盟不锈钢管产业保护委员会</w:t>
            </w:r>
          </w:p>
        </w:tc>
        <w:tc>
          <w:tcPr>
            <w:tcW w:w="423" w:type="pct"/>
            <w:tcBorders>
              <w:tl2br w:val="nil"/>
              <w:tr2bl w:val="nil"/>
            </w:tcBorders>
            <w:shd w:val="clear" w:color="auto" w:fill="auto"/>
            <w:vAlign w:val="center"/>
          </w:tcPr>
          <w:p w14:paraId="4DC51238"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欧盟行业分协会</w:t>
            </w:r>
          </w:p>
        </w:tc>
        <w:tc>
          <w:tcPr>
            <w:tcW w:w="338" w:type="pct"/>
            <w:tcBorders>
              <w:tl2br w:val="nil"/>
              <w:tr2bl w:val="nil"/>
            </w:tcBorders>
            <w:shd w:val="clear" w:color="auto" w:fill="auto"/>
            <w:vAlign w:val="center"/>
          </w:tcPr>
          <w:p w14:paraId="1C58C88F"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50</w:t>
            </w:r>
          </w:p>
        </w:tc>
        <w:tc>
          <w:tcPr>
            <w:tcW w:w="265" w:type="pct"/>
            <w:tcBorders>
              <w:tl2br w:val="nil"/>
              <w:tr2bl w:val="nil"/>
            </w:tcBorders>
            <w:shd w:val="clear" w:color="auto" w:fill="auto"/>
            <w:vAlign w:val="center"/>
          </w:tcPr>
          <w:p w14:paraId="1512E41A"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5</w:t>
            </w:r>
          </w:p>
        </w:tc>
        <w:tc>
          <w:tcPr>
            <w:tcW w:w="527" w:type="pct"/>
            <w:tcBorders>
              <w:tl2br w:val="nil"/>
              <w:tr2bl w:val="nil"/>
            </w:tcBorders>
            <w:shd w:val="clear" w:color="auto" w:fill="auto"/>
            <w:vAlign w:val="center"/>
          </w:tcPr>
          <w:p w14:paraId="10C57E3C"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否</w:t>
            </w:r>
          </w:p>
        </w:tc>
        <w:tc>
          <w:tcPr>
            <w:tcW w:w="571" w:type="pct"/>
            <w:tcBorders>
              <w:tl2br w:val="nil"/>
              <w:tr2bl w:val="nil"/>
            </w:tcBorders>
            <w:shd w:val="clear" w:color="auto" w:fill="auto"/>
            <w:vAlign w:val="center"/>
          </w:tcPr>
          <w:p w14:paraId="03886D89"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24.2</w:t>
            </w:r>
          </w:p>
        </w:tc>
        <w:tc>
          <w:tcPr>
            <w:tcW w:w="571" w:type="pct"/>
            <w:tcBorders>
              <w:tl2br w:val="nil"/>
              <w:tr2bl w:val="nil"/>
            </w:tcBorders>
            <w:shd w:val="clear" w:color="auto" w:fill="auto"/>
            <w:vAlign w:val="center"/>
          </w:tcPr>
          <w:p w14:paraId="23DEDAEA"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39.2</w:t>
            </w:r>
          </w:p>
        </w:tc>
      </w:tr>
      <w:tr w:rsidR="00501C7E" w14:paraId="0D116F9F" w14:textId="77777777">
        <w:trPr>
          <w:trHeight w:val="915"/>
          <w:jc w:val="center"/>
        </w:trPr>
        <w:tc>
          <w:tcPr>
            <w:tcW w:w="950" w:type="pct"/>
            <w:tcBorders>
              <w:tl2br w:val="nil"/>
              <w:tr2bl w:val="nil"/>
            </w:tcBorders>
            <w:shd w:val="clear" w:color="auto" w:fill="auto"/>
            <w:vAlign w:val="center"/>
          </w:tcPr>
          <w:p w14:paraId="6EF7859B"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欧盟对中国可锻铸铁螺纹管和接头反倾销案</w:t>
            </w:r>
          </w:p>
        </w:tc>
        <w:tc>
          <w:tcPr>
            <w:tcW w:w="643" w:type="pct"/>
            <w:tcBorders>
              <w:tl2br w:val="nil"/>
              <w:tr2bl w:val="nil"/>
            </w:tcBorders>
            <w:shd w:val="clear" w:color="auto" w:fill="auto"/>
            <w:vAlign w:val="center"/>
          </w:tcPr>
          <w:p w14:paraId="28CD7AE1"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2012/02/16</w:t>
            </w:r>
          </w:p>
        </w:tc>
        <w:tc>
          <w:tcPr>
            <w:tcW w:w="708" w:type="pct"/>
            <w:tcBorders>
              <w:tl2br w:val="nil"/>
              <w:tr2bl w:val="nil"/>
            </w:tcBorders>
            <w:shd w:val="clear" w:color="auto" w:fill="auto"/>
            <w:vAlign w:val="center"/>
          </w:tcPr>
          <w:p w14:paraId="6DEFCF0B"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欧盟不锈钢管产业保护委员会</w:t>
            </w:r>
          </w:p>
        </w:tc>
        <w:tc>
          <w:tcPr>
            <w:tcW w:w="423" w:type="pct"/>
            <w:tcBorders>
              <w:tl2br w:val="nil"/>
              <w:tr2bl w:val="nil"/>
            </w:tcBorders>
            <w:shd w:val="clear" w:color="auto" w:fill="auto"/>
            <w:vAlign w:val="center"/>
          </w:tcPr>
          <w:p w14:paraId="23E6D9E0"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欧盟行业分协会</w:t>
            </w:r>
          </w:p>
        </w:tc>
        <w:tc>
          <w:tcPr>
            <w:tcW w:w="338" w:type="pct"/>
            <w:tcBorders>
              <w:tl2br w:val="nil"/>
              <w:tr2bl w:val="nil"/>
            </w:tcBorders>
            <w:shd w:val="clear" w:color="auto" w:fill="auto"/>
            <w:vAlign w:val="center"/>
          </w:tcPr>
          <w:p w14:paraId="6A412A08"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50</w:t>
            </w:r>
          </w:p>
        </w:tc>
        <w:tc>
          <w:tcPr>
            <w:tcW w:w="265" w:type="pct"/>
            <w:tcBorders>
              <w:tl2br w:val="nil"/>
              <w:tr2bl w:val="nil"/>
            </w:tcBorders>
            <w:shd w:val="clear" w:color="auto" w:fill="auto"/>
            <w:vAlign w:val="center"/>
          </w:tcPr>
          <w:p w14:paraId="60F675EE"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5</w:t>
            </w:r>
          </w:p>
        </w:tc>
        <w:tc>
          <w:tcPr>
            <w:tcW w:w="527" w:type="pct"/>
            <w:tcBorders>
              <w:tl2br w:val="nil"/>
              <w:tr2bl w:val="nil"/>
            </w:tcBorders>
            <w:shd w:val="clear" w:color="auto" w:fill="auto"/>
            <w:vAlign w:val="center"/>
          </w:tcPr>
          <w:p w14:paraId="6A17236B"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否</w:t>
            </w:r>
          </w:p>
        </w:tc>
        <w:tc>
          <w:tcPr>
            <w:tcW w:w="571" w:type="pct"/>
            <w:tcBorders>
              <w:tl2br w:val="nil"/>
              <w:tr2bl w:val="nil"/>
            </w:tcBorders>
            <w:shd w:val="clear" w:color="auto" w:fill="auto"/>
            <w:vAlign w:val="center"/>
          </w:tcPr>
          <w:p w14:paraId="14B6B8A9"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67.8</w:t>
            </w:r>
          </w:p>
        </w:tc>
        <w:tc>
          <w:tcPr>
            <w:tcW w:w="571" w:type="pct"/>
            <w:tcBorders>
              <w:tl2br w:val="nil"/>
              <w:tr2bl w:val="nil"/>
            </w:tcBorders>
            <w:shd w:val="clear" w:color="auto" w:fill="auto"/>
            <w:vAlign w:val="center"/>
          </w:tcPr>
          <w:p w14:paraId="40D6D761"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57.8</w:t>
            </w:r>
          </w:p>
        </w:tc>
      </w:tr>
      <w:tr w:rsidR="00501C7E" w14:paraId="657D210C" w14:textId="77777777">
        <w:trPr>
          <w:trHeight w:val="690"/>
          <w:jc w:val="center"/>
        </w:trPr>
        <w:tc>
          <w:tcPr>
            <w:tcW w:w="950" w:type="pct"/>
            <w:tcBorders>
              <w:tl2br w:val="nil"/>
              <w:tr2bl w:val="nil"/>
            </w:tcBorders>
            <w:shd w:val="clear" w:color="auto" w:fill="auto"/>
            <w:vAlign w:val="center"/>
          </w:tcPr>
          <w:p w14:paraId="70F3CFE5"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欧盟对华钢铁管对焊件反倾销案</w:t>
            </w:r>
          </w:p>
        </w:tc>
        <w:tc>
          <w:tcPr>
            <w:tcW w:w="643" w:type="pct"/>
            <w:tcBorders>
              <w:tl2br w:val="nil"/>
              <w:tr2bl w:val="nil"/>
            </w:tcBorders>
            <w:shd w:val="clear" w:color="auto" w:fill="auto"/>
            <w:vAlign w:val="center"/>
          </w:tcPr>
          <w:p w14:paraId="547B79AE"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2015/10/29</w:t>
            </w:r>
          </w:p>
        </w:tc>
        <w:tc>
          <w:tcPr>
            <w:tcW w:w="708" w:type="pct"/>
            <w:tcBorders>
              <w:tl2br w:val="nil"/>
              <w:tr2bl w:val="nil"/>
            </w:tcBorders>
            <w:shd w:val="clear" w:color="auto" w:fill="auto"/>
            <w:vAlign w:val="center"/>
          </w:tcPr>
          <w:p w14:paraId="1FF7DADC"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欧盟不锈钢对焊件工业保护委员会</w:t>
            </w:r>
          </w:p>
        </w:tc>
        <w:tc>
          <w:tcPr>
            <w:tcW w:w="423" w:type="pct"/>
            <w:tcBorders>
              <w:tl2br w:val="nil"/>
              <w:tr2bl w:val="nil"/>
            </w:tcBorders>
            <w:shd w:val="clear" w:color="auto" w:fill="auto"/>
            <w:vAlign w:val="center"/>
          </w:tcPr>
          <w:p w14:paraId="0293EAD0"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欧盟行业分协会</w:t>
            </w:r>
          </w:p>
        </w:tc>
        <w:tc>
          <w:tcPr>
            <w:tcW w:w="338" w:type="pct"/>
            <w:tcBorders>
              <w:tl2br w:val="nil"/>
              <w:tr2bl w:val="nil"/>
            </w:tcBorders>
            <w:shd w:val="clear" w:color="auto" w:fill="auto"/>
            <w:vAlign w:val="center"/>
          </w:tcPr>
          <w:p w14:paraId="7FA3EC93"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40</w:t>
            </w:r>
          </w:p>
        </w:tc>
        <w:tc>
          <w:tcPr>
            <w:tcW w:w="265" w:type="pct"/>
            <w:tcBorders>
              <w:tl2br w:val="nil"/>
              <w:tr2bl w:val="nil"/>
            </w:tcBorders>
            <w:shd w:val="clear" w:color="auto" w:fill="auto"/>
            <w:vAlign w:val="center"/>
          </w:tcPr>
          <w:p w14:paraId="4EB7BA64"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8</w:t>
            </w:r>
          </w:p>
        </w:tc>
        <w:tc>
          <w:tcPr>
            <w:tcW w:w="527" w:type="pct"/>
            <w:tcBorders>
              <w:tl2br w:val="nil"/>
              <w:tr2bl w:val="nil"/>
            </w:tcBorders>
            <w:shd w:val="clear" w:color="auto" w:fill="auto"/>
            <w:vAlign w:val="center"/>
          </w:tcPr>
          <w:p w14:paraId="797669F6"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否</w:t>
            </w:r>
          </w:p>
        </w:tc>
        <w:tc>
          <w:tcPr>
            <w:tcW w:w="571" w:type="pct"/>
            <w:tcBorders>
              <w:tl2br w:val="nil"/>
              <w:tr2bl w:val="nil"/>
            </w:tcBorders>
            <w:shd w:val="clear" w:color="auto" w:fill="auto"/>
            <w:vAlign w:val="center"/>
          </w:tcPr>
          <w:p w14:paraId="4ECC0830"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64.9</w:t>
            </w:r>
          </w:p>
        </w:tc>
        <w:tc>
          <w:tcPr>
            <w:tcW w:w="571" w:type="pct"/>
            <w:tcBorders>
              <w:tl2br w:val="nil"/>
              <w:tr2bl w:val="nil"/>
            </w:tcBorders>
            <w:shd w:val="clear" w:color="auto" w:fill="auto"/>
            <w:vAlign w:val="center"/>
          </w:tcPr>
          <w:p w14:paraId="0463032A"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64.9</w:t>
            </w:r>
          </w:p>
        </w:tc>
      </w:tr>
      <w:tr w:rsidR="00501C7E" w14:paraId="2A1D0065" w14:textId="77777777">
        <w:trPr>
          <w:trHeight w:val="690"/>
          <w:jc w:val="center"/>
        </w:trPr>
        <w:tc>
          <w:tcPr>
            <w:tcW w:w="950" w:type="pct"/>
            <w:tcBorders>
              <w:tl2br w:val="nil"/>
              <w:tr2bl w:val="nil"/>
            </w:tcBorders>
            <w:shd w:val="clear" w:color="auto" w:fill="auto"/>
            <w:vAlign w:val="center"/>
          </w:tcPr>
          <w:p w14:paraId="0C69AB72"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欧盟对中国无缝钢铁管反倾销案</w:t>
            </w:r>
          </w:p>
        </w:tc>
        <w:tc>
          <w:tcPr>
            <w:tcW w:w="643" w:type="pct"/>
            <w:tcBorders>
              <w:tl2br w:val="nil"/>
              <w:tr2bl w:val="nil"/>
            </w:tcBorders>
            <w:shd w:val="clear" w:color="auto" w:fill="auto"/>
            <w:vAlign w:val="center"/>
          </w:tcPr>
          <w:p w14:paraId="4CE2DEF9"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2016/02/13</w:t>
            </w:r>
          </w:p>
        </w:tc>
        <w:tc>
          <w:tcPr>
            <w:tcW w:w="708" w:type="pct"/>
            <w:tcBorders>
              <w:tl2br w:val="nil"/>
              <w:tr2bl w:val="nil"/>
            </w:tcBorders>
            <w:shd w:val="clear" w:color="auto" w:fill="auto"/>
            <w:vAlign w:val="center"/>
          </w:tcPr>
          <w:p w14:paraId="3690D6E4"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欧盟不锈钢管产业保护委员会</w:t>
            </w:r>
          </w:p>
        </w:tc>
        <w:tc>
          <w:tcPr>
            <w:tcW w:w="423" w:type="pct"/>
            <w:tcBorders>
              <w:tl2br w:val="nil"/>
              <w:tr2bl w:val="nil"/>
            </w:tcBorders>
            <w:shd w:val="clear" w:color="auto" w:fill="auto"/>
            <w:vAlign w:val="center"/>
          </w:tcPr>
          <w:p w14:paraId="6D90B9E6"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欧盟行业分协会</w:t>
            </w:r>
          </w:p>
        </w:tc>
        <w:tc>
          <w:tcPr>
            <w:tcW w:w="338" w:type="pct"/>
            <w:tcBorders>
              <w:tl2br w:val="nil"/>
              <w:tr2bl w:val="nil"/>
            </w:tcBorders>
            <w:shd w:val="clear" w:color="auto" w:fill="auto"/>
            <w:vAlign w:val="center"/>
          </w:tcPr>
          <w:p w14:paraId="64389AEC"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25</w:t>
            </w:r>
          </w:p>
        </w:tc>
        <w:tc>
          <w:tcPr>
            <w:tcW w:w="265" w:type="pct"/>
            <w:tcBorders>
              <w:tl2br w:val="nil"/>
              <w:tr2bl w:val="nil"/>
            </w:tcBorders>
            <w:shd w:val="clear" w:color="auto" w:fill="auto"/>
            <w:vAlign w:val="center"/>
          </w:tcPr>
          <w:p w14:paraId="6A9C3F00"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9</w:t>
            </w:r>
          </w:p>
        </w:tc>
        <w:tc>
          <w:tcPr>
            <w:tcW w:w="527" w:type="pct"/>
            <w:tcBorders>
              <w:tl2br w:val="nil"/>
              <w:tr2bl w:val="nil"/>
            </w:tcBorders>
            <w:shd w:val="clear" w:color="auto" w:fill="auto"/>
            <w:vAlign w:val="center"/>
          </w:tcPr>
          <w:p w14:paraId="0729D917"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否</w:t>
            </w:r>
          </w:p>
        </w:tc>
        <w:tc>
          <w:tcPr>
            <w:tcW w:w="571" w:type="pct"/>
            <w:tcBorders>
              <w:tl2br w:val="nil"/>
              <w:tr2bl w:val="nil"/>
            </w:tcBorders>
            <w:shd w:val="clear" w:color="auto" w:fill="auto"/>
            <w:vAlign w:val="center"/>
          </w:tcPr>
          <w:p w14:paraId="6B7A0505"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81.1</w:t>
            </w:r>
          </w:p>
        </w:tc>
        <w:tc>
          <w:tcPr>
            <w:tcW w:w="571" w:type="pct"/>
            <w:tcBorders>
              <w:tl2br w:val="nil"/>
              <w:tr2bl w:val="nil"/>
            </w:tcBorders>
            <w:shd w:val="clear" w:color="auto" w:fill="auto"/>
            <w:vAlign w:val="center"/>
          </w:tcPr>
          <w:p w14:paraId="431F7D76"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54.9</w:t>
            </w:r>
          </w:p>
        </w:tc>
      </w:tr>
      <w:tr w:rsidR="00501C7E" w14:paraId="7E5AE91F" w14:textId="77777777">
        <w:trPr>
          <w:trHeight w:val="915"/>
          <w:jc w:val="center"/>
        </w:trPr>
        <w:tc>
          <w:tcPr>
            <w:tcW w:w="950" w:type="pct"/>
            <w:tcBorders>
              <w:tl2br w:val="nil"/>
              <w:tr2bl w:val="nil"/>
            </w:tcBorders>
            <w:shd w:val="clear" w:color="auto" w:fill="auto"/>
            <w:vAlign w:val="center"/>
          </w:tcPr>
          <w:p w14:paraId="35A4E514"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欧盟对华手动托盘车及其主要配件反倾销案</w:t>
            </w:r>
          </w:p>
        </w:tc>
        <w:tc>
          <w:tcPr>
            <w:tcW w:w="643" w:type="pct"/>
            <w:tcBorders>
              <w:tl2br w:val="nil"/>
              <w:tr2bl w:val="nil"/>
            </w:tcBorders>
            <w:shd w:val="clear" w:color="auto" w:fill="auto"/>
            <w:vAlign w:val="center"/>
          </w:tcPr>
          <w:p w14:paraId="11F5078F"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2004/04/29</w:t>
            </w:r>
          </w:p>
        </w:tc>
        <w:tc>
          <w:tcPr>
            <w:tcW w:w="708" w:type="pct"/>
            <w:tcBorders>
              <w:tl2br w:val="nil"/>
              <w:tr2bl w:val="nil"/>
            </w:tcBorders>
            <w:shd w:val="clear" w:color="auto" w:fill="auto"/>
            <w:vAlign w:val="center"/>
          </w:tcPr>
          <w:p w14:paraId="002FC3E2"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四家共同体生产商</w:t>
            </w:r>
          </w:p>
        </w:tc>
        <w:tc>
          <w:tcPr>
            <w:tcW w:w="423" w:type="pct"/>
            <w:tcBorders>
              <w:tl2br w:val="nil"/>
              <w:tr2bl w:val="nil"/>
            </w:tcBorders>
            <w:shd w:val="clear" w:color="auto" w:fill="auto"/>
            <w:vAlign w:val="center"/>
          </w:tcPr>
          <w:p w14:paraId="437A5ACA"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企业</w:t>
            </w:r>
          </w:p>
        </w:tc>
        <w:tc>
          <w:tcPr>
            <w:tcW w:w="338" w:type="pct"/>
            <w:tcBorders>
              <w:tl2br w:val="nil"/>
              <w:tr2bl w:val="nil"/>
            </w:tcBorders>
            <w:shd w:val="clear" w:color="auto" w:fill="auto"/>
            <w:vAlign w:val="center"/>
          </w:tcPr>
          <w:p w14:paraId="47F9DF3C"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60</w:t>
            </w:r>
          </w:p>
        </w:tc>
        <w:tc>
          <w:tcPr>
            <w:tcW w:w="265" w:type="pct"/>
            <w:tcBorders>
              <w:tl2br w:val="nil"/>
              <w:tr2bl w:val="nil"/>
            </w:tcBorders>
            <w:shd w:val="clear" w:color="auto" w:fill="auto"/>
            <w:vAlign w:val="center"/>
          </w:tcPr>
          <w:p w14:paraId="57F5DF94"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10</w:t>
            </w:r>
          </w:p>
        </w:tc>
        <w:tc>
          <w:tcPr>
            <w:tcW w:w="527" w:type="pct"/>
            <w:tcBorders>
              <w:tl2br w:val="nil"/>
              <w:tr2bl w:val="nil"/>
            </w:tcBorders>
            <w:shd w:val="clear" w:color="auto" w:fill="auto"/>
            <w:vAlign w:val="center"/>
          </w:tcPr>
          <w:p w14:paraId="0E8F285B"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否</w:t>
            </w:r>
          </w:p>
        </w:tc>
        <w:tc>
          <w:tcPr>
            <w:tcW w:w="571" w:type="pct"/>
            <w:tcBorders>
              <w:tl2br w:val="nil"/>
              <w:tr2bl w:val="nil"/>
            </w:tcBorders>
            <w:shd w:val="clear" w:color="auto" w:fill="auto"/>
            <w:vAlign w:val="center"/>
          </w:tcPr>
          <w:p w14:paraId="250BDAA4"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49.6</w:t>
            </w:r>
          </w:p>
        </w:tc>
        <w:tc>
          <w:tcPr>
            <w:tcW w:w="571" w:type="pct"/>
            <w:tcBorders>
              <w:tl2br w:val="nil"/>
              <w:tr2bl w:val="nil"/>
            </w:tcBorders>
            <w:shd w:val="clear" w:color="auto" w:fill="auto"/>
            <w:vAlign w:val="center"/>
          </w:tcPr>
          <w:p w14:paraId="52CF862A"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46.7</w:t>
            </w:r>
          </w:p>
        </w:tc>
      </w:tr>
      <w:tr w:rsidR="00501C7E" w14:paraId="30816A45" w14:textId="77777777">
        <w:trPr>
          <w:trHeight w:val="915"/>
          <w:jc w:val="center"/>
        </w:trPr>
        <w:tc>
          <w:tcPr>
            <w:tcW w:w="950" w:type="pct"/>
            <w:tcBorders>
              <w:tl2br w:val="nil"/>
              <w:tr2bl w:val="nil"/>
            </w:tcBorders>
            <w:shd w:val="clear" w:color="auto" w:fill="auto"/>
            <w:vAlign w:val="center"/>
          </w:tcPr>
          <w:p w14:paraId="00AE51BC"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欧盟对中国铸铁制品反倾销案</w:t>
            </w:r>
          </w:p>
        </w:tc>
        <w:tc>
          <w:tcPr>
            <w:tcW w:w="643" w:type="pct"/>
            <w:tcBorders>
              <w:tl2br w:val="nil"/>
              <w:tr2bl w:val="nil"/>
            </w:tcBorders>
            <w:shd w:val="clear" w:color="auto" w:fill="auto"/>
            <w:vAlign w:val="center"/>
          </w:tcPr>
          <w:p w14:paraId="3A825C5C"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2016/12/10</w:t>
            </w:r>
          </w:p>
        </w:tc>
        <w:tc>
          <w:tcPr>
            <w:tcW w:w="708" w:type="pct"/>
            <w:tcBorders>
              <w:tl2br w:val="nil"/>
              <w:tr2bl w:val="nil"/>
            </w:tcBorders>
            <w:shd w:val="clear" w:color="auto" w:fill="auto"/>
            <w:vAlign w:val="center"/>
          </w:tcPr>
          <w:p w14:paraId="361DFEB4"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七家欧盟生产商</w:t>
            </w:r>
          </w:p>
        </w:tc>
        <w:tc>
          <w:tcPr>
            <w:tcW w:w="423" w:type="pct"/>
            <w:tcBorders>
              <w:tl2br w:val="nil"/>
              <w:tr2bl w:val="nil"/>
            </w:tcBorders>
            <w:shd w:val="clear" w:color="auto" w:fill="auto"/>
            <w:vAlign w:val="center"/>
          </w:tcPr>
          <w:p w14:paraId="37C1170F"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企业</w:t>
            </w:r>
          </w:p>
        </w:tc>
        <w:tc>
          <w:tcPr>
            <w:tcW w:w="338" w:type="pct"/>
            <w:tcBorders>
              <w:tl2br w:val="nil"/>
              <w:tr2bl w:val="nil"/>
            </w:tcBorders>
            <w:shd w:val="clear" w:color="auto" w:fill="auto"/>
            <w:vAlign w:val="center"/>
          </w:tcPr>
          <w:p w14:paraId="059E61DC"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25</w:t>
            </w:r>
          </w:p>
        </w:tc>
        <w:tc>
          <w:tcPr>
            <w:tcW w:w="265" w:type="pct"/>
            <w:tcBorders>
              <w:tl2br w:val="nil"/>
              <w:tr2bl w:val="nil"/>
            </w:tcBorders>
            <w:shd w:val="clear" w:color="auto" w:fill="auto"/>
            <w:vAlign w:val="center"/>
          </w:tcPr>
          <w:p w14:paraId="281CEC5F"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11</w:t>
            </w:r>
          </w:p>
        </w:tc>
        <w:tc>
          <w:tcPr>
            <w:tcW w:w="527" w:type="pct"/>
            <w:tcBorders>
              <w:tl2br w:val="nil"/>
              <w:tr2bl w:val="nil"/>
            </w:tcBorders>
            <w:shd w:val="clear" w:color="auto" w:fill="auto"/>
            <w:vAlign w:val="center"/>
          </w:tcPr>
          <w:p w14:paraId="78A4BBDE"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否</w:t>
            </w:r>
          </w:p>
        </w:tc>
        <w:tc>
          <w:tcPr>
            <w:tcW w:w="571" w:type="pct"/>
            <w:tcBorders>
              <w:tl2br w:val="nil"/>
              <w:tr2bl w:val="nil"/>
            </w:tcBorders>
            <w:shd w:val="clear" w:color="auto" w:fill="auto"/>
            <w:vAlign w:val="center"/>
          </w:tcPr>
          <w:p w14:paraId="62C83F2A"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42.8</w:t>
            </w:r>
          </w:p>
        </w:tc>
        <w:tc>
          <w:tcPr>
            <w:tcW w:w="571" w:type="pct"/>
            <w:tcBorders>
              <w:tl2br w:val="nil"/>
              <w:tr2bl w:val="nil"/>
            </w:tcBorders>
            <w:shd w:val="clear" w:color="auto" w:fill="auto"/>
            <w:vAlign w:val="center"/>
          </w:tcPr>
          <w:p w14:paraId="372C107D"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38.1</w:t>
            </w:r>
          </w:p>
        </w:tc>
      </w:tr>
    </w:tbl>
    <w:p w14:paraId="6FD6B141" w14:textId="77777777" w:rsidR="00501C7E" w:rsidRDefault="00501C7E">
      <w:pPr>
        <w:rPr>
          <w:rFonts w:ascii="Times New Roman" w:eastAsia="黑体" w:hAnsi="Times New Roman"/>
          <w:szCs w:val="21"/>
        </w:rPr>
      </w:pPr>
    </w:p>
    <w:p w14:paraId="1A5B02CD" w14:textId="77777777" w:rsidR="00501C7E" w:rsidRPr="00466471" w:rsidRDefault="00EC5712" w:rsidP="00466471">
      <w:pPr>
        <w:ind w:firstLineChars="200" w:firstLine="420"/>
        <w:outlineLvl w:val="0"/>
        <w:rPr>
          <w:rFonts w:ascii="Times New Roman" w:eastAsia="楷体" w:hAnsi="Times New Roman"/>
          <w:szCs w:val="21"/>
        </w:rPr>
      </w:pPr>
      <w:r>
        <w:rPr>
          <w:rFonts w:ascii="Times New Roman" w:eastAsia="楷体" w:hAnsi="Times New Roman"/>
          <w:szCs w:val="21"/>
        </w:rPr>
        <w:t>3.</w:t>
      </w:r>
      <w:r>
        <w:rPr>
          <w:rFonts w:ascii="Times New Roman" w:eastAsia="楷体" w:hAnsi="Times New Roman"/>
          <w:szCs w:val="21"/>
        </w:rPr>
        <w:t>进口渗透率</w:t>
      </w:r>
      <w:r w:rsidR="00466471">
        <w:rPr>
          <w:rFonts w:ascii="Times New Roman" w:eastAsia="楷体" w:hAnsi="Times New Roman"/>
          <w:szCs w:val="21"/>
        </w:rPr>
        <w:t>。</w:t>
      </w:r>
      <w:r w:rsidR="00466471">
        <w:rPr>
          <w:rFonts w:ascii="Times New Roman" w:hAnsi="Times New Roman"/>
          <w:szCs w:val="21"/>
        </w:rPr>
        <w:t>进口渗透率指</w:t>
      </w:r>
      <w:r>
        <w:rPr>
          <w:rFonts w:ascii="Times New Roman" w:hAnsi="Times New Roman"/>
          <w:szCs w:val="21"/>
        </w:rPr>
        <w:t>一</w:t>
      </w:r>
      <w:r w:rsidR="00466471">
        <w:rPr>
          <w:rFonts w:ascii="Times New Roman" w:hAnsi="Times New Roman"/>
          <w:szCs w:val="21"/>
        </w:rPr>
        <w:t>个</w:t>
      </w:r>
      <w:r>
        <w:rPr>
          <w:rFonts w:ascii="Times New Roman" w:hAnsi="Times New Roman"/>
          <w:szCs w:val="21"/>
        </w:rPr>
        <w:t>行业进口价值与地区内产值之比，</w:t>
      </w:r>
      <m:oMath>
        <m:sSub>
          <m:sSubPr>
            <m:ctrlPr>
              <w:rPr>
                <w:rFonts w:ascii="Cambria Math" w:hAnsi="Cambria Math"/>
                <w:i/>
                <w:szCs w:val="21"/>
              </w:rPr>
            </m:ctrlPr>
          </m:sSubPr>
          <m:e>
            <m:r>
              <w:rPr>
                <w:rFonts w:ascii="Cambria Math" w:hAnsi="Cambria Math"/>
                <w:szCs w:val="21"/>
              </w:rPr>
              <m:t>z</m:t>
            </m:r>
          </m:e>
          <m:sub>
            <m:r>
              <w:rPr>
                <w:rFonts w:ascii="Cambria Math" w:hAnsi="Cambria Math"/>
                <w:szCs w:val="21"/>
              </w:rPr>
              <m:t>i</m:t>
            </m:r>
          </m:sub>
        </m:sSub>
      </m:oMath>
      <w:r>
        <w:rPr>
          <w:rFonts w:ascii="Times New Roman" w:hAnsi="Times New Roman"/>
          <w:iCs/>
          <w:szCs w:val="21"/>
        </w:rPr>
        <w:t>为进口渗透率的倒数。地区内产值和进口价值的数据都来自欧盟统计局数据库，欧盟统计局提供的数据从</w:t>
      </w:r>
      <w:r>
        <w:rPr>
          <w:rFonts w:ascii="Times New Roman" w:hAnsi="Times New Roman"/>
          <w:iCs/>
          <w:szCs w:val="21"/>
        </w:rPr>
        <w:t>2002</w:t>
      </w:r>
      <w:r>
        <w:rPr>
          <w:rFonts w:ascii="Times New Roman" w:hAnsi="Times New Roman"/>
          <w:iCs/>
          <w:szCs w:val="21"/>
        </w:rPr>
        <w:t>年开始，而样本中有少数</w:t>
      </w:r>
      <w:r>
        <w:rPr>
          <w:rFonts w:ascii="Times New Roman" w:hAnsi="Times New Roman"/>
          <w:iCs/>
          <w:szCs w:val="21"/>
        </w:rPr>
        <w:t>2002</w:t>
      </w:r>
      <w:r w:rsidR="00466471">
        <w:rPr>
          <w:rFonts w:ascii="Times New Roman" w:hAnsi="Times New Roman"/>
          <w:iCs/>
          <w:szCs w:val="21"/>
        </w:rPr>
        <w:t>年之前的数据，由于部分年份太早而出现数据缺失的情况，本文</w:t>
      </w:r>
      <w:r>
        <w:rPr>
          <w:rFonts w:ascii="Times New Roman" w:hAnsi="Times New Roman"/>
          <w:iCs/>
          <w:szCs w:val="21"/>
        </w:rPr>
        <w:t>采用最相近的年份</w:t>
      </w:r>
      <w:r>
        <w:rPr>
          <w:rFonts w:ascii="Times New Roman" w:hAnsi="Times New Roman"/>
          <w:iCs/>
          <w:szCs w:val="21"/>
        </w:rPr>
        <w:t>2002</w:t>
      </w:r>
      <w:r>
        <w:rPr>
          <w:rFonts w:ascii="Times New Roman" w:hAnsi="Times New Roman"/>
          <w:iCs/>
          <w:szCs w:val="21"/>
        </w:rPr>
        <w:t>年的数据进行替代。</w:t>
      </w:r>
    </w:p>
    <w:p w14:paraId="30873370" w14:textId="77777777" w:rsidR="00501C7E" w:rsidRPr="00466471" w:rsidRDefault="00EC5712" w:rsidP="00466471">
      <w:pPr>
        <w:tabs>
          <w:tab w:val="left" w:pos="520"/>
        </w:tabs>
        <w:outlineLvl w:val="0"/>
        <w:rPr>
          <w:rFonts w:ascii="Times New Roman" w:eastAsia="楷体" w:hAnsi="Times New Roman"/>
          <w:szCs w:val="21"/>
        </w:rPr>
      </w:pPr>
      <w:r>
        <w:rPr>
          <w:rFonts w:ascii="Times New Roman" w:eastAsia="楷体" w:hAnsi="Times New Roman" w:hint="eastAsia"/>
          <w:szCs w:val="21"/>
        </w:rPr>
        <w:tab/>
      </w:r>
      <w:r>
        <w:rPr>
          <w:rFonts w:ascii="Times New Roman" w:eastAsia="楷体" w:hAnsi="Times New Roman"/>
          <w:szCs w:val="21"/>
        </w:rPr>
        <w:t>4.</w:t>
      </w:r>
      <w:r>
        <w:rPr>
          <w:rFonts w:ascii="Times New Roman" w:eastAsia="楷体" w:hAnsi="Times New Roman"/>
          <w:szCs w:val="21"/>
        </w:rPr>
        <w:t>进口需求弹性</w:t>
      </w:r>
      <w:r w:rsidR="00466471">
        <w:rPr>
          <w:rFonts w:ascii="Times New Roman" w:eastAsia="楷体" w:hAnsi="Times New Roman"/>
          <w:szCs w:val="21"/>
        </w:rPr>
        <w:t>。</w:t>
      </w:r>
      <w:r w:rsidR="00466471">
        <w:rPr>
          <w:rFonts w:ascii="Times New Roman" w:hAnsi="Times New Roman"/>
          <w:szCs w:val="21"/>
        </w:rPr>
        <w:t>进口需求弹性指</w:t>
      </w:r>
      <w:r>
        <w:rPr>
          <w:rFonts w:ascii="Times New Roman" w:hAnsi="Times New Roman"/>
          <w:szCs w:val="21"/>
        </w:rPr>
        <w:t>进口相对价格变动的比率所引起的需求量变动的比率，进口需求弹性</w:t>
      </w: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i</m:t>
            </m:r>
          </m:sub>
        </m:sSub>
      </m:oMath>
      <w:r w:rsidR="00466471">
        <w:rPr>
          <w:rFonts w:ascii="Times New Roman" w:hAnsi="Times New Roman"/>
          <w:szCs w:val="21"/>
        </w:rPr>
        <w:t>的估计较为复杂。</w:t>
      </w:r>
      <w:r>
        <w:rPr>
          <w:rFonts w:ascii="Times New Roman" w:hAnsi="Times New Roman"/>
          <w:szCs w:val="21"/>
        </w:rPr>
        <w:t>Kee et al</w:t>
      </w:r>
      <w:r>
        <w:rPr>
          <w:rFonts w:ascii="Times New Roman" w:hAnsi="Times New Roman" w:hint="eastAsia"/>
          <w:szCs w:val="21"/>
        </w:rPr>
        <w:t>（</w:t>
      </w:r>
      <w:r>
        <w:rPr>
          <w:rFonts w:ascii="Times New Roman" w:hAnsi="Times New Roman"/>
          <w:szCs w:val="21"/>
        </w:rPr>
        <w:t>2008</w:t>
      </w:r>
      <w:r>
        <w:rPr>
          <w:rFonts w:ascii="Times New Roman" w:hAnsi="Times New Roman" w:hint="eastAsia"/>
          <w:szCs w:val="21"/>
        </w:rPr>
        <w:t>）</w:t>
      </w:r>
      <w:r>
        <w:rPr>
          <w:rFonts w:ascii="Times New Roman" w:hAnsi="Times New Roman"/>
          <w:szCs w:val="21"/>
        </w:rPr>
        <w:t>估计的多个国家产品的进口需求弹性被学者们广泛引用，但是由于距今较远可能会产生一定误差，所以本文采用了</w:t>
      </w:r>
      <w:r>
        <w:rPr>
          <w:rFonts w:ascii="Times New Roman" w:hAnsi="Times New Roman"/>
          <w:szCs w:val="21"/>
        </w:rPr>
        <w:t>Grübler et al</w:t>
      </w:r>
      <w:r>
        <w:rPr>
          <w:rFonts w:ascii="Times New Roman" w:hAnsi="Times New Roman" w:hint="eastAsia"/>
          <w:szCs w:val="21"/>
        </w:rPr>
        <w:t>（</w:t>
      </w:r>
      <w:r>
        <w:rPr>
          <w:rFonts w:ascii="Times New Roman" w:hAnsi="Times New Roman"/>
          <w:szCs w:val="21"/>
        </w:rPr>
        <w:t>2022</w:t>
      </w:r>
      <w:r>
        <w:rPr>
          <w:rFonts w:ascii="Times New Roman" w:hAnsi="Times New Roman" w:hint="eastAsia"/>
          <w:szCs w:val="21"/>
        </w:rPr>
        <w:t>）</w:t>
      </w:r>
      <w:r>
        <w:rPr>
          <w:rFonts w:ascii="Times New Roman" w:hAnsi="Times New Roman"/>
          <w:szCs w:val="21"/>
        </w:rPr>
        <w:t>依据</w:t>
      </w:r>
      <w:r>
        <w:rPr>
          <w:rFonts w:ascii="Times New Roman" w:hAnsi="Times New Roman"/>
          <w:szCs w:val="21"/>
        </w:rPr>
        <w:t>Kee et al</w:t>
      </w:r>
      <w:r>
        <w:rPr>
          <w:rFonts w:ascii="Times New Roman" w:hAnsi="Times New Roman" w:hint="eastAsia"/>
          <w:szCs w:val="21"/>
        </w:rPr>
        <w:t>（</w:t>
      </w:r>
      <w:r>
        <w:rPr>
          <w:rFonts w:ascii="Times New Roman" w:hAnsi="Times New Roman"/>
          <w:szCs w:val="21"/>
        </w:rPr>
        <w:t>2008</w:t>
      </w:r>
      <w:r>
        <w:rPr>
          <w:rFonts w:ascii="Times New Roman" w:hAnsi="Times New Roman" w:hint="eastAsia"/>
          <w:szCs w:val="21"/>
        </w:rPr>
        <w:t>）</w:t>
      </w:r>
      <w:r>
        <w:rPr>
          <w:rFonts w:ascii="Times New Roman" w:hAnsi="Times New Roman"/>
          <w:szCs w:val="21"/>
        </w:rPr>
        <w:t>的方法更新的数据，由于没有关于欧盟的直接统计结果，进口需求弹性取欧盟各成员国数据的均值。</w:t>
      </w:r>
    </w:p>
    <w:p w14:paraId="4DCD15AC" w14:textId="77777777" w:rsidR="00501C7E" w:rsidRPr="00466471" w:rsidRDefault="00EC5712" w:rsidP="00466471">
      <w:pPr>
        <w:tabs>
          <w:tab w:val="left" w:pos="520"/>
        </w:tabs>
        <w:outlineLvl w:val="0"/>
        <w:rPr>
          <w:rFonts w:ascii="Times New Roman" w:eastAsia="楷体" w:hAnsi="Times New Roman"/>
          <w:szCs w:val="21"/>
        </w:rPr>
      </w:pPr>
      <w:r>
        <w:rPr>
          <w:rFonts w:ascii="Times New Roman" w:eastAsia="楷体" w:hAnsi="Times New Roman" w:hint="eastAsia"/>
          <w:szCs w:val="21"/>
        </w:rPr>
        <w:tab/>
      </w:r>
      <w:r>
        <w:rPr>
          <w:rFonts w:ascii="Times New Roman" w:eastAsia="楷体" w:hAnsi="Times New Roman"/>
          <w:szCs w:val="21"/>
        </w:rPr>
        <w:t>5.</w:t>
      </w:r>
      <w:r>
        <w:rPr>
          <w:rFonts w:ascii="Times New Roman" w:eastAsia="楷体" w:hAnsi="Times New Roman"/>
          <w:szCs w:val="21"/>
        </w:rPr>
        <w:t>其他解释变量</w:t>
      </w:r>
      <w:r w:rsidR="00466471">
        <w:rPr>
          <w:rFonts w:ascii="Times New Roman" w:eastAsia="楷体" w:hAnsi="Times New Roman"/>
          <w:szCs w:val="21"/>
        </w:rPr>
        <w:t>。</w:t>
      </w:r>
      <w:r>
        <w:rPr>
          <w:rFonts w:ascii="Times New Roman" w:hAnsi="Times New Roman"/>
          <w:szCs w:val="21"/>
        </w:rPr>
        <w:t>行业的企业数量、产值、进口价值、增加值、营业盈余总额等指标均来自欧盟统计局</w:t>
      </w:r>
      <w:r>
        <w:rPr>
          <w:rFonts w:ascii="Times New Roman" w:hAnsi="Times New Roman"/>
          <w:szCs w:val="21"/>
        </w:rPr>
        <w:t>SBS</w:t>
      </w:r>
      <w:r>
        <w:rPr>
          <w:rFonts w:ascii="Times New Roman" w:hAnsi="Times New Roman"/>
          <w:szCs w:val="21"/>
        </w:rPr>
        <w:t>（</w:t>
      </w:r>
      <w:r>
        <w:rPr>
          <w:rFonts w:ascii="Times New Roman" w:hAnsi="Times New Roman"/>
          <w:szCs w:val="21"/>
        </w:rPr>
        <w:t>Structural business statistics</w:t>
      </w:r>
      <w:r>
        <w:rPr>
          <w:rFonts w:ascii="Times New Roman" w:hAnsi="Times New Roman"/>
          <w:szCs w:val="21"/>
        </w:rPr>
        <w:t>），欧盟成员国内部贸易值和行业进口价值来自欧盟</w:t>
      </w:r>
      <w:r>
        <w:rPr>
          <w:rFonts w:ascii="Times New Roman" w:hAnsi="Times New Roman"/>
          <w:szCs w:val="21"/>
        </w:rPr>
        <w:lastRenderedPageBreak/>
        <w:t>统计局的</w:t>
      </w:r>
      <w:r>
        <w:rPr>
          <w:rFonts w:ascii="Times New Roman" w:hAnsi="Times New Roman"/>
          <w:szCs w:val="21"/>
        </w:rPr>
        <w:t>Globalisation in business statistics</w:t>
      </w:r>
      <w:r>
        <w:rPr>
          <w:rFonts w:ascii="Times New Roman" w:hAnsi="Times New Roman"/>
          <w:szCs w:val="21"/>
        </w:rPr>
        <w:t>。此外，解释变量中还包含欧盟的就业率和中欧双边在案件申诉当年的贸易差额，数据分别来源于欧盟统计局和</w:t>
      </w:r>
      <w:r>
        <w:rPr>
          <w:rFonts w:ascii="Times New Roman" w:hAnsi="Times New Roman"/>
          <w:szCs w:val="21"/>
        </w:rPr>
        <w:t>UN Comtrade</w:t>
      </w:r>
      <w:r>
        <w:rPr>
          <w:rFonts w:ascii="Times New Roman" w:hAnsi="Times New Roman"/>
          <w:szCs w:val="21"/>
        </w:rPr>
        <w:t>数据库。根据欧盟统计局的数据统计概念和定义，其中企业数量是指在申诉当年活跃的企业数量；产值衡量该行业根据销售额实际生产的金额，包括库存变化以及商品和服务的转售；按要素成本计算的增加值是指经调整营业补贴和间接税后的营业活动总收入，不减去价值调整（如折旧）；人事费是指雇主支付给雇员（正式雇员和临时雇员以及家庭工人）的现金或实物报酬总额，以换取后者在报告期内完成的工作，包括税收和单位留存的员工社会保障缴款，以及雇主的强制性和自愿社会缴款；营业额包括该行业在申诉当年开具的发票总额，这相当于向第三方提供的货物或服务的市场销售额。</w:t>
      </w:r>
    </w:p>
    <w:p w14:paraId="4FC533FC" w14:textId="77777777" w:rsidR="00501C7E" w:rsidRDefault="00EC5712">
      <w:pPr>
        <w:ind w:firstLine="420"/>
        <w:rPr>
          <w:rFonts w:ascii="Times New Roman" w:hAnsi="Times New Roman"/>
          <w:szCs w:val="21"/>
        </w:rPr>
      </w:pPr>
      <w:r>
        <w:rPr>
          <w:rFonts w:ascii="Times New Roman" w:hAnsi="Times New Roman"/>
          <w:szCs w:val="21"/>
        </w:rPr>
        <w:t>本文的数据来自欧盟统计局、中国贸易救济信息网和全球反倾销数据库等不同渠道（详细来源见附表</w:t>
      </w:r>
      <w:r>
        <w:rPr>
          <w:rFonts w:ascii="Times New Roman" w:hAnsi="Times New Roman"/>
          <w:szCs w:val="21"/>
        </w:rPr>
        <w:t>1</w:t>
      </w:r>
      <w:r>
        <w:rPr>
          <w:rFonts w:ascii="Times New Roman" w:hAnsi="Times New Roman"/>
          <w:szCs w:val="21"/>
        </w:rPr>
        <w:t>），这涉及到不同行业分类数据的匹配问题</w:t>
      </w:r>
      <w:r w:rsidR="00466471">
        <w:rPr>
          <w:rFonts w:ascii="Times New Roman" w:hAnsi="Times New Roman" w:hint="eastAsia"/>
          <w:szCs w:val="21"/>
        </w:rPr>
        <w:t>。</w:t>
      </w:r>
      <w:r>
        <w:rPr>
          <w:rFonts w:ascii="Times New Roman" w:hAnsi="Times New Roman"/>
          <w:szCs w:val="21"/>
        </w:rPr>
        <w:t>中国贸易救济信息网的数据分类是中国国民经济行业分类，虽然中国贸</w:t>
      </w:r>
      <w:r w:rsidR="00466471">
        <w:rPr>
          <w:rFonts w:ascii="Times New Roman" w:hAnsi="Times New Roman"/>
          <w:szCs w:val="21"/>
        </w:rPr>
        <w:t>易救济信息网给出了涉案产品的行业分布，但没有具体税率的统计，本文</w:t>
      </w:r>
      <w:r>
        <w:rPr>
          <w:rFonts w:ascii="Times New Roman" w:hAnsi="Times New Roman"/>
          <w:szCs w:val="21"/>
        </w:rPr>
        <w:t>通过案件一一对应将全球反倾销数据库统计的欧盟对华反倾销税率匹配到各个涉案商品及其所在行业</w:t>
      </w:r>
      <w:r>
        <w:rPr>
          <w:rFonts w:ascii="Times New Roman" w:hAnsi="Times New Roman" w:hint="eastAsia"/>
          <w:szCs w:val="21"/>
        </w:rPr>
        <w:t>。</w:t>
      </w:r>
      <w:r>
        <w:rPr>
          <w:rFonts w:ascii="Times New Roman" w:hAnsi="Times New Roman"/>
          <w:szCs w:val="21"/>
        </w:rPr>
        <w:t>欧盟统计局的数据分类是</w:t>
      </w:r>
      <w:r>
        <w:rPr>
          <w:rFonts w:ascii="Times New Roman" w:hAnsi="Times New Roman"/>
          <w:szCs w:val="21"/>
        </w:rPr>
        <w:t>NACE Rev. 2</w:t>
      </w:r>
      <w:r>
        <w:rPr>
          <w:rFonts w:ascii="Times New Roman" w:hAnsi="Times New Roman"/>
          <w:szCs w:val="21"/>
        </w:rPr>
        <w:t>（</w:t>
      </w:r>
      <w:r>
        <w:rPr>
          <w:rFonts w:ascii="Times New Roman" w:hAnsi="Times New Roman"/>
          <w:szCs w:val="21"/>
        </w:rPr>
        <w:t xml:space="preserve">European Classification of Economic Activities </w:t>
      </w:r>
      <w:r>
        <w:rPr>
          <w:rFonts w:ascii="Times New Roman" w:hAnsi="Times New Roman"/>
          <w:szCs w:val="21"/>
        </w:rPr>
        <w:t>），行业进口价值的数据分类是</w:t>
      </w:r>
      <w:r>
        <w:rPr>
          <w:rFonts w:ascii="Times New Roman" w:hAnsi="Times New Roman"/>
          <w:szCs w:val="21"/>
        </w:rPr>
        <w:t>CPA</w:t>
      </w:r>
      <w:r>
        <w:rPr>
          <w:rFonts w:ascii="Times New Roman" w:hAnsi="Times New Roman"/>
          <w:szCs w:val="21"/>
        </w:rPr>
        <w:t>（</w:t>
      </w:r>
      <w:r>
        <w:rPr>
          <w:rFonts w:ascii="Times New Roman" w:hAnsi="Times New Roman"/>
          <w:szCs w:val="21"/>
        </w:rPr>
        <w:t>European Classification of Products by Activity</w:t>
      </w:r>
      <w:r>
        <w:rPr>
          <w:rFonts w:ascii="Times New Roman" w:hAnsi="Times New Roman"/>
          <w:szCs w:val="21"/>
        </w:rPr>
        <w:t>），进口需求弹性的数据分类是</w:t>
      </w:r>
      <w:r>
        <w:rPr>
          <w:rFonts w:ascii="Times New Roman" w:hAnsi="Times New Roman"/>
          <w:szCs w:val="21"/>
        </w:rPr>
        <w:t>HS</w:t>
      </w:r>
      <w:r>
        <w:rPr>
          <w:rFonts w:ascii="Times New Roman" w:hAnsi="Times New Roman"/>
          <w:szCs w:val="21"/>
        </w:rPr>
        <w:t>分类标准。由于经济活动的不同分类标准在行业划分上具有极大相似性，本文通过比较国民经济行业分类与其他行业分类标准在具体行业上</w:t>
      </w:r>
      <w:r w:rsidR="00466471">
        <w:rPr>
          <w:rFonts w:ascii="Times New Roman" w:hAnsi="Times New Roman"/>
          <w:szCs w:val="21"/>
        </w:rPr>
        <w:t>的划分来进行逐一</w:t>
      </w:r>
      <w:r>
        <w:rPr>
          <w:rFonts w:ascii="Times New Roman" w:hAnsi="Times New Roman"/>
          <w:szCs w:val="21"/>
        </w:rPr>
        <w:t>对应，完成了不同来源数据的匹配问题。</w:t>
      </w:r>
      <w:r>
        <w:rPr>
          <w:rFonts w:ascii="Times New Roman" w:hAnsi="Times New Roman" w:hint="eastAsia"/>
          <w:szCs w:val="21"/>
        </w:rPr>
        <w:t>此外，由于</w:t>
      </w:r>
      <w:r>
        <w:rPr>
          <w:rFonts w:ascii="Times New Roman" w:hAnsi="Times New Roman"/>
          <w:szCs w:val="21"/>
        </w:rPr>
        <w:t>欧盟统计局发布的行业数据和</w:t>
      </w:r>
      <w:r>
        <w:rPr>
          <w:rFonts w:ascii="Times New Roman" w:hAnsi="Times New Roman"/>
          <w:szCs w:val="21"/>
        </w:rPr>
        <w:t>UN Comtrade</w:t>
      </w:r>
      <w:r>
        <w:rPr>
          <w:rFonts w:ascii="Times New Roman" w:hAnsi="Times New Roman"/>
          <w:szCs w:val="21"/>
        </w:rPr>
        <w:t>中的数据分别以欧元和美元计价，</w:t>
      </w:r>
      <w:r>
        <w:rPr>
          <w:rFonts w:ascii="Times New Roman" w:hAnsi="Times New Roman" w:hint="eastAsia"/>
          <w:szCs w:val="21"/>
        </w:rPr>
        <w:t>本文</w:t>
      </w:r>
      <w:r>
        <w:rPr>
          <w:rFonts w:ascii="Times New Roman" w:hAnsi="Times New Roman"/>
          <w:szCs w:val="21"/>
        </w:rPr>
        <w:t>按照反倾销立案调查当年的汇率数据，将美元价值统一折算为欧元价值。</w:t>
      </w:r>
    </w:p>
    <w:p w14:paraId="5B6835D8" w14:textId="77777777" w:rsidR="00501C7E" w:rsidRDefault="00EC5712">
      <w:pPr>
        <w:ind w:firstLine="420"/>
        <w:rPr>
          <w:rFonts w:ascii="Times New Roman" w:hAnsi="Times New Roman"/>
          <w:szCs w:val="21"/>
        </w:rPr>
      </w:pPr>
      <w:r>
        <w:rPr>
          <w:rFonts w:ascii="Times New Roman" w:hAnsi="Times New Roman"/>
          <w:szCs w:val="21"/>
        </w:rPr>
        <w:t>1988-2020</w:t>
      </w:r>
      <w:r>
        <w:rPr>
          <w:rFonts w:ascii="Times New Roman" w:hAnsi="Times New Roman"/>
          <w:szCs w:val="21"/>
        </w:rPr>
        <w:t>年</w:t>
      </w:r>
      <w:r w:rsidR="00466471">
        <w:rPr>
          <w:rFonts w:ascii="Times New Roman" w:hAnsi="Times New Roman"/>
          <w:szCs w:val="21"/>
        </w:rPr>
        <w:t>间</w:t>
      </w:r>
      <w:r>
        <w:rPr>
          <w:rFonts w:ascii="Times New Roman" w:hAnsi="Times New Roman"/>
          <w:szCs w:val="21"/>
        </w:rPr>
        <w:t>欧盟对华反倾销案件共有</w:t>
      </w:r>
      <w:r>
        <w:rPr>
          <w:rFonts w:ascii="Times New Roman" w:hAnsi="Times New Roman"/>
          <w:szCs w:val="21"/>
        </w:rPr>
        <w:t>122</w:t>
      </w:r>
      <w:r>
        <w:rPr>
          <w:rFonts w:ascii="Times New Roman" w:hAnsi="Times New Roman"/>
          <w:szCs w:val="21"/>
        </w:rPr>
        <w:t>件，在剔除从量税和残缺数据后，最终纳入的案件有</w:t>
      </w:r>
      <w:r>
        <w:rPr>
          <w:rFonts w:ascii="Times New Roman" w:hAnsi="Times New Roman"/>
          <w:szCs w:val="21"/>
        </w:rPr>
        <w:t>80</w:t>
      </w:r>
      <w:r>
        <w:rPr>
          <w:rFonts w:ascii="Times New Roman" w:hAnsi="Times New Roman"/>
          <w:szCs w:val="21"/>
        </w:rPr>
        <w:t>件，因此本文样本的观测值为</w:t>
      </w:r>
      <w:r>
        <w:rPr>
          <w:rFonts w:ascii="Times New Roman" w:hAnsi="Times New Roman"/>
          <w:szCs w:val="21"/>
        </w:rPr>
        <w:t>80</w:t>
      </w:r>
      <w:r>
        <w:rPr>
          <w:rFonts w:ascii="Times New Roman" w:hAnsi="Times New Roman"/>
          <w:szCs w:val="21"/>
        </w:rPr>
        <w:t>，各变量的含义及其描述性统计如表</w:t>
      </w:r>
      <w:r>
        <w:rPr>
          <w:rFonts w:ascii="Times New Roman" w:hAnsi="Times New Roman"/>
          <w:szCs w:val="21"/>
        </w:rPr>
        <w:t>3</w:t>
      </w:r>
      <w:r>
        <w:rPr>
          <w:rFonts w:ascii="Times New Roman" w:hAnsi="Times New Roman"/>
          <w:szCs w:val="21"/>
        </w:rPr>
        <w:t>所示。</w:t>
      </w:r>
    </w:p>
    <w:p w14:paraId="47E67D81" w14:textId="77777777" w:rsidR="00501C7E" w:rsidRDefault="00501C7E">
      <w:pPr>
        <w:jc w:val="center"/>
        <w:rPr>
          <w:rFonts w:ascii="Times New Roman" w:eastAsia="楷体" w:hAnsi="Times New Roman"/>
          <w:bCs/>
          <w:szCs w:val="21"/>
        </w:rPr>
      </w:pPr>
    </w:p>
    <w:p w14:paraId="70699620" w14:textId="77777777" w:rsidR="00501C7E" w:rsidRDefault="00EC5712">
      <w:pPr>
        <w:jc w:val="center"/>
        <w:rPr>
          <w:rFonts w:ascii="Times New Roman" w:eastAsia="黑体" w:hAnsi="Times New Roman"/>
          <w:szCs w:val="21"/>
        </w:rPr>
      </w:pPr>
      <w:r>
        <w:rPr>
          <w:rFonts w:ascii="Times New Roman" w:eastAsia="楷体" w:hAnsi="Times New Roman"/>
          <w:bCs/>
          <w:szCs w:val="21"/>
        </w:rPr>
        <w:t>表</w:t>
      </w:r>
      <w:r>
        <w:rPr>
          <w:rFonts w:ascii="Times New Roman" w:eastAsia="楷体" w:hAnsi="Times New Roman"/>
          <w:bCs/>
          <w:szCs w:val="21"/>
        </w:rPr>
        <w:t xml:space="preserve">3  </w:t>
      </w:r>
      <w:r>
        <w:rPr>
          <w:rFonts w:ascii="Times New Roman" w:eastAsia="楷体" w:hAnsi="Times New Roman"/>
          <w:bCs/>
          <w:szCs w:val="21"/>
        </w:rPr>
        <w:t>描述性统计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1"/>
        <w:gridCol w:w="3276"/>
        <w:gridCol w:w="936"/>
        <w:gridCol w:w="1116"/>
        <w:gridCol w:w="891"/>
        <w:gridCol w:w="891"/>
      </w:tblGrid>
      <w:tr w:rsidR="00501C7E" w14:paraId="768CFE6E" w14:textId="77777777">
        <w:trPr>
          <w:trHeight w:val="90"/>
          <w:jc w:val="center"/>
        </w:trPr>
        <w:tc>
          <w:tcPr>
            <w:tcW w:w="0" w:type="auto"/>
            <w:tcBorders>
              <w:tl2br w:val="nil"/>
              <w:tr2bl w:val="nil"/>
            </w:tcBorders>
            <w:vAlign w:val="center"/>
          </w:tcPr>
          <w:p w14:paraId="1DB148C8" w14:textId="77777777" w:rsidR="00501C7E" w:rsidRDefault="00EC5712">
            <w:pPr>
              <w:jc w:val="center"/>
              <w:rPr>
                <w:rFonts w:ascii="Times New Roman" w:hAnsi="Times New Roman"/>
                <w:sz w:val="18"/>
                <w:szCs w:val="18"/>
              </w:rPr>
            </w:pPr>
            <w:r>
              <w:rPr>
                <w:rFonts w:ascii="Times New Roman" w:hAnsi="Times New Roman"/>
                <w:sz w:val="18"/>
                <w:szCs w:val="18"/>
              </w:rPr>
              <w:t>变量</w:t>
            </w:r>
          </w:p>
        </w:tc>
        <w:tc>
          <w:tcPr>
            <w:tcW w:w="0" w:type="auto"/>
            <w:tcBorders>
              <w:tl2br w:val="nil"/>
              <w:tr2bl w:val="nil"/>
            </w:tcBorders>
            <w:vAlign w:val="center"/>
          </w:tcPr>
          <w:p w14:paraId="3541DD93" w14:textId="77777777" w:rsidR="00501C7E" w:rsidRDefault="00EC5712">
            <w:pPr>
              <w:jc w:val="center"/>
              <w:rPr>
                <w:rFonts w:ascii="Times New Roman" w:hAnsi="Times New Roman"/>
                <w:sz w:val="18"/>
                <w:szCs w:val="18"/>
              </w:rPr>
            </w:pPr>
            <w:r>
              <w:rPr>
                <w:rFonts w:ascii="Times New Roman" w:hAnsi="Times New Roman"/>
                <w:sz w:val="18"/>
                <w:szCs w:val="18"/>
              </w:rPr>
              <w:t>含义</w:t>
            </w:r>
          </w:p>
        </w:tc>
        <w:tc>
          <w:tcPr>
            <w:tcW w:w="0" w:type="auto"/>
            <w:tcBorders>
              <w:tl2br w:val="nil"/>
              <w:tr2bl w:val="nil"/>
            </w:tcBorders>
            <w:vAlign w:val="center"/>
          </w:tcPr>
          <w:p w14:paraId="3ADE1DBB" w14:textId="77777777" w:rsidR="00501C7E" w:rsidRDefault="00EC5712">
            <w:pPr>
              <w:jc w:val="center"/>
              <w:rPr>
                <w:rFonts w:ascii="Times New Roman" w:hAnsi="Times New Roman"/>
                <w:sz w:val="18"/>
                <w:szCs w:val="18"/>
              </w:rPr>
            </w:pPr>
            <w:r>
              <w:rPr>
                <w:rFonts w:ascii="Times New Roman" w:hAnsi="Times New Roman"/>
                <w:sz w:val="18"/>
                <w:szCs w:val="18"/>
              </w:rPr>
              <w:t>样本均值</w:t>
            </w:r>
          </w:p>
        </w:tc>
        <w:tc>
          <w:tcPr>
            <w:tcW w:w="0" w:type="auto"/>
            <w:tcBorders>
              <w:tl2br w:val="nil"/>
              <w:tr2bl w:val="nil"/>
            </w:tcBorders>
            <w:vAlign w:val="center"/>
          </w:tcPr>
          <w:p w14:paraId="762753CA" w14:textId="77777777" w:rsidR="00501C7E" w:rsidRDefault="00EC5712">
            <w:pPr>
              <w:jc w:val="center"/>
              <w:rPr>
                <w:rFonts w:ascii="Times New Roman" w:hAnsi="Times New Roman"/>
                <w:sz w:val="18"/>
                <w:szCs w:val="18"/>
              </w:rPr>
            </w:pPr>
            <w:r>
              <w:rPr>
                <w:rFonts w:ascii="Times New Roman" w:hAnsi="Times New Roman"/>
                <w:sz w:val="18"/>
                <w:szCs w:val="18"/>
              </w:rPr>
              <w:t>样本标准差</w:t>
            </w:r>
          </w:p>
        </w:tc>
        <w:tc>
          <w:tcPr>
            <w:tcW w:w="0" w:type="auto"/>
            <w:tcBorders>
              <w:tl2br w:val="nil"/>
              <w:tr2bl w:val="nil"/>
            </w:tcBorders>
            <w:vAlign w:val="center"/>
          </w:tcPr>
          <w:p w14:paraId="5DC669D0" w14:textId="77777777" w:rsidR="00501C7E" w:rsidRDefault="00EC5712">
            <w:pPr>
              <w:jc w:val="center"/>
              <w:rPr>
                <w:rFonts w:ascii="Times New Roman" w:hAnsi="Times New Roman"/>
                <w:sz w:val="18"/>
                <w:szCs w:val="18"/>
              </w:rPr>
            </w:pPr>
            <w:r>
              <w:rPr>
                <w:rFonts w:ascii="Times New Roman" w:hAnsi="Times New Roman"/>
                <w:sz w:val="18"/>
                <w:szCs w:val="18"/>
              </w:rPr>
              <w:t>最小值</w:t>
            </w:r>
          </w:p>
        </w:tc>
        <w:tc>
          <w:tcPr>
            <w:tcW w:w="0" w:type="auto"/>
            <w:tcBorders>
              <w:tl2br w:val="nil"/>
              <w:tr2bl w:val="nil"/>
            </w:tcBorders>
            <w:vAlign w:val="center"/>
          </w:tcPr>
          <w:p w14:paraId="1FD62D1A" w14:textId="77777777" w:rsidR="00501C7E" w:rsidRDefault="00EC5712">
            <w:pPr>
              <w:jc w:val="center"/>
              <w:rPr>
                <w:rFonts w:ascii="Times New Roman" w:hAnsi="Times New Roman"/>
                <w:sz w:val="18"/>
                <w:szCs w:val="18"/>
              </w:rPr>
            </w:pPr>
            <w:r>
              <w:rPr>
                <w:rFonts w:ascii="Times New Roman" w:hAnsi="Times New Roman"/>
                <w:sz w:val="18"/>
                <w:szCs w:val="18"/>
              </w:rPr>
              <w:t>最大值</w:t>
            </w:r>
          </w:p>
        </w:tc>
      </w:tr>
      <w:tr w:rsidR="00501C7E" w14:paraId="603D86F1" w14:textId="77777777">
        <w:trPr>
          <w:trHeight w:val="280"/>
          <w:jc w:val="center"/>
        </w:trPr>
        <w:tc>
          <w:tcPr>
            <w:tcW w:w="0" w:type="auto"/>
            <w:tcBorders>
              <w:tl2br w:val="nil"/>
              <w:tr2bl w:val="nil"/>
            </w:tcBorders>
            <w:vAlign w:val="center"/>
          </w:tcPr>
          <w:p w14:paraId="1A09C6D0" w14:textId="77777777" w:rsidR="00501C7E" w:rsidRDefault="00EC5712">
            <w:pPr>
              <w:jc w:val="center"/>
              <w:textAlignment w:val="center"/>
              <w:rPr>
                <w:rFonts w:ascii="Times New Roman" w:hAnsi="Times New Roman"/>
                <w:sz w:val="18"/>
                <w:szCs w:val="18"/>
              </w:rPr>
            </w:pPr>
            <w:r>
              <w:rPr>
                <w:rFonts w:ascii="Times New Roman" w:hAnsi="Times New Roman"/>
                <w:sz w:val="18"/>
                <w:szCs w:val="18"/>
              </w:rPr>
              <w:t>被解释变量</w:t>
            </w:r>
          </w:p>
        </w:tc>
        <w:tc>
          <w:tcPr>
            <w:tcW w:w="0" w:type="auto"/>
            <w:gridSpan w:val="5"/>
            <w:tcBorders>
              <w:tl2br w:val="nil"/>
              <w:tr2bl w:val="nil"/>
            </w:tcBorders>
            <w:vAlign w:val="center"/>
          </w:tcPr>
          <w:p w14:paraId="041CCEFE" w14:textId="77777777" w:rsidR="00501C7E" w:rsidRDefault="00501C7E">
            <w:pPr>
              <w:jc w:val="center"/>
              <w:textAlignment w:val="center"/>
              <w:rPr>
                <w:rFonts w:ascii="Times New Roman" w:hAnsi="Times New Roman"/>
                <w:sz w:val="18"/>
                <w:szCs w:val="18"/>
              </w:rPr>
            </w:pPr>
          </w:p>
        </w:tc>
      </w:tr>
      <w:tr w:rsidR="00501C7E" w14:paraId="49117E9B" w14:textId="77777777">
        <w:trPr>
          <w:jc w:val="center"/>
        </w:trPr>
        <w:tc>
          <w:tcPr>
            <w:tcW w:w="0" w:type="auto"/>
            <w:tcBorders>
              <w:tl2br w:val="nil"/>
              <w:tr2bl w:val="nil"/>
            </w:tcBorders>
            <w:vAlign w:val="center"/>
          </w:tcPr>
          <w:p w14:paraId="336EACE2" w14:textId="77777777" w:rsidR="00501C7E" w:rsidRDefault="00EC5712">
            <w:pPr>
              <w:jc w:val="center"/>
              <w:rPr>
                <w:rFonts w:ascii="Times New Roman" w:hAnsi="Times New Roman"/>
                <w:sz w:val="18"/>
                <w:szCs w:val="18"/>
              </w:rPr>
            </w:pPr>
            <m:oMathPara>
              <m:oMathParaPr>
                <m:jc m:val="center"/>
              </m:oMathParaPr>
              <m:oMath>
                <m:r>
                  <w:rPr>
                    <w:rFonts w:ascii="Cambria Math" w:hAnsi="Cambria Math"/>
                    <w:sz w:val="18"/>
                    <w:szCs w:val="18"/>
                  </w:rPr>
                  <m:t>Dumping</m:t>
                </m:r>
              </m:oMath>
            </m:oMathPara>
          </w:p>
        </w:tc>
        <w:tc>
          <w:tcPr>
            <w:tcW w:w="0" w:type="auto"/>
            <w:tcBorders>
              <w:tl2br w:val="nil"/>
              <w:tr2bl w:val="nil"/>
            </w:tcBorders>
            <w:vAlign w:val="center"/>
          </w:tcPr>
          <w:p w14:paraId="37EB3211" w14:textId="77777777" w:rsidR="00501C7E" w:rsidRDefault="00EC5712">
            <w:pPr>
              <w:jc w:val="center"/>
              <w:rPr>
                <w:rFonts w:ascii="Times New Roman" w:hAnsi="Times New Roman"/>
                <w:sz w:val="18"/>
                <w:szCs w:val="18"/>
              </w:rPr>
            </w:pPr>
            <w:r>
              <w:rPr>
                <w:rFonts w:ascii="Times New Roman" w:hAnsi="Times New Roman"/>
                <w:sz w:val="18"/>
                <w:szCs w:val="18"/>
              </w:rPr>
              <w:t>案件是否裁定征税</w:t>
            </w:r>
          </w:p>
        </w:tc>
        <w:tc>
          <w:tcPr>
            <w:tcW w:w="0" w:type="auto"/>
            <w:tcBorders>
              <w:tl2br w:val="nil"/>
              <w:tr2bl w:val="nil"/>
            </w:tcBorders>
            <w:vAlign w:val="center"/>
          </w:tcPr>
          <w:p w14:paraId="54EC9974"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0.66</w:t>
            </w:r>
          </w:p>
        </w:tc>
        <w:tc>
          <w:tcPr>
            <w:tcW w:w="0" w:type="auto"/>
            <w:tcBorders>
              <w:tl2br w:val="nil"/>
              <w:tr2bl w:val="nil"/>
            </w:tcBorders>
            <w:vAlign w:val="center"/>
          </w:tcPr>
          <w:p w14:paraId="13C7EAD5"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0.48</w:t>
            </w:r>
          </w:p>
        </w:tc>
        <w:tc>
          <w:tcPr>
            <w:tcW w:w="0" w:type="auto"/>
            <w:tcBorders>
              <w:tl2br w:val="nil"/>
              <w:tr2bl w:val="nil"/>
            </w:tcBorders>
            <w:vAlign w:val="center"/>
          </w:tcPr>
          <w:p w14:paraId="7788B23C"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0</w:t>
            </w:r>
          </w:p>
        </w:tc>
        <w:tc>
          <w:tcPr>
            <w:tcW w:w="0" w:type="auto"/>
            <w:tcBorders>
              <w:tl2br w:val="nil"/>
              <w:tr2bl w:val="nil"/>
            </w:tcBorders>
            <w:vAlign w:val="center"/>
          </w:tcPr>
          <w:p w14:paraId="522AA53A"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1</w:t>
            </w:r>
          </w:p>
        </w:tc>
      </w:tr>
      <w:tr w:rsidR="00501C7E" w14:paraId="5DF3EAE2" w14:textId="77777777">
        <w:trPr>
          <w:jc w:val="center"/>
        </w:trPr>
        <w:tc>
          <w:tcPr>
            <w:tcW w:w="0" w:type="auto"/>
            <w:tcBorders>
              <w:tl2br w:val="nil"/>
              <w:tr2bl w:val="nil"/>
            </w:tcBorders>
            <w:vAlign w:val="center"/>
          </w:tcPr>
          <w:p w14:paraId="3F32E6A9" w14:textId="77777777" w:rsidR="00501C7E" w:rsidRDefault="00000000">
            <w:pPr>
              <w:jc w:val="center"/>
              <w:rPr>
                <w:rFonts w:ascii="Times New Roman" w:hAnsi="Times New Roman"/>
                <w:sz w:val="18"/>
                <w:szCs w:val="18"/>
              </w:rPr>
            </w:pPr>
            <m:oMathPara>
              <m:oMathParaPr>
                <m:jc m:val="center"/>
              </m:oMathParaP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i</m:t>
                    </m:r>
                  </m:sub>
                </m:sSub>
                <m:r>
                  <w:rPr>
                    <w:rFonts w:ascii="Cambria Math" w:hAnsi="Cambria Math"/>
                    <w:sz w:val="18"/>
                    <w:szCs w:val="18"/>
                  </w:rPr>
                  <m:t>/(1+</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i</m:t>
                    </m:r>
                  </m:sub>
                </m:sSub>
                <m:r>
                  <w:rPr>
                    <w:rFonts w:ascii="Cambria Math" w:hAnsi="Cambria Math"/>
                    <w:sz w:val="18"/>
                    <w:szCs w:val="18"/>
                  </w:rPr>
                  <m:t>)</m:t>
                </m:r>
              </m:oMath>
            </m:oMathPara>
          </w:p>
        </w:tc>
        <w:tc>
          <w:tcPr>
            <w:tcW w:w="0" w:type="auto"/>
            <w:tcBorders>
              <w:tl2br w:val="nil"/>
              <w:tr2bl w:val="nil"/>
            </w:tcBorders>
            <w:vAlign w:val="center"/>
          </w:tcPr>
          <w:p w14:paraId="1EC7BFE2" w14:textId="77777777" w:rsidR="00501C7E" w:rsidRDefault="00EC5712">
            <w:pPr>
              <w:jc w:val="center"/>
              <w:rPr>
                <w:rFonts w:ascii="Times New Roman" w:hAnsi="Times New Roman"/>
                <w:sz w:val="18"/>
                <w:szCs w:val="18"/>
              </w:rPr>
            </w:pPr>
            <w:r>
              <w:rPr>
                <w:rFonts w:ascii="Times New Roman" w:hAnsi="Times New Roman"/>
                <w:sz w:val="18"/>
                <w:szCs w:val="18"/>
              </w:rPr>
              <w:t>标准化的初裁</w:t>
            </w:r>
          </w:p>
          <w:p w14:paraId="7018F673" w14:textId="77777777" w:rsidR="00501C7E" w:rsidRDefault="00EC5712">
            <w:pPr>
              <w:jc w:val="center"/>
              <w:rPr>
                <w:rFonts w:ascii="Times New Roman" w:hAnsi="Times New Roman"/>
                <w:sz w:val="18"/>
                <w:szCs w:val="18"/>
              </w:rPr>
            </w:pPr>
            <w:r>
              <w:rPr>
                <w:rFonts w:ascii="Times New Roman" w:hAnsi="Times New Roman"/>
                <w:sz w:val="18"/>
                <w:szCs w:val="18"/>
              </w:rPr>
              <w:t>税率（</w:t>
            </w:r>
            <w:r>
              <w:rPr>
                <w:rFonts w:ascii="Times New Roman" w:hAnsi="Times New Roman"/>
                <w:sz w:val="18"/>
                <w:szCs w:val="18"/>
              </w:rPr>
              <w:t>%</w:t>
            </w:r>
            <w:r>
              <w:rPr>
                <w:rFonts w:ascii="Times New Roman" w:hAnsi="Times New Roman"/>
                <w:sz w:val="18"/>
                <w:szCs w:val="18"/>
              </w:rPr>
              <w:t>）</w:t>
            </w:r>
          </w:p>
        </w:tc>
        <w:tc>
          <w:tcPr>
            <w:tcW w:w="0" w:type="auto"/>
            <w:tcBorders>
              <w:tl2br w:val="nil"/>
              <w:tr2bl w:val="nil"/>
            </w:tcBorders>
            <w:vAlign w:val="center"/>
          </w:tcPr>
          <w:p w14:paraId="08B38035"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30.25</w:t>
            </w:r>
          </w:p>
        </w:tc>
        <w:tc>
          <w:tcPr>
            <w:tcW w:w="0" w:type="auto"/>
            <w:tcBorders>
              <w:tl2br w:val="nil"/>
              <w:tr2bl w:val="nil"/>
            </w:tcBorders>
            <w:vAlign w:val="center"/>
          </w:tcPr>
          <w:p w14:paraId="694A306B"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9.82</w:t>
            </w:r>
          </w:p>
        </w:tc>
        <w:tc>
          <w:tcPr>
            <w:tcW w:w="0" w:type="auto"/>
            <w:tcBorders>
              <w:tl2br w:val="nil"/>
              <w:tr2bl w:val="nil"/>
            </w:tcBorders>
            <w:vAlign w:val="center"/>
          </w:tcPr>
          <w:p w14:paraId="5E30576E"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8.51</w:t>
            </w:r>
          </w:p>
        </w:tc>
        <w:tc>
          <w:tcPr>
            <w:tcW w:w="0" w:type="auto"/>
            <w:tcBorders>
              <w:tl2br w:val="nil"/>
              <w:tr2bl w:val="nil"/>
            </w:tcBorders>
            <w:vAlign w:val="center"/>
          </w:tcPr>
          <w:p w14:paraId="7F96F9A3"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48.48</w:t>
            </w:r>
          </w:p>
        </w:tc>
      </w:tr>
      <w:tr w:rsidR="00501C7E" w14:paraId="37BDD094" w14:textId="77777777">
        <w:trPr>
          <w:trHeight w:val="90"/>
          <w:jc w:val="center"/>
        </w:trPr>
        <w:tc>
          <w:tcPr>
            <w:tcW w:w="0" w:type="auto"/>
            <w:tcBorders>
              <w:tl2br w:val="nil"/>
              <w:tr2bl w:val="nil"/>
            </w:tcBorders>
            <w:vAlign w:val="center"/>
          </w:tcPr>
          <w:p w14:paraId="7186C5ED" w14:textId="77777777" w:rsidR="00501C7E" w:rsidRDefault="00000000">
            <w:pPr>
              <w:jc w:val="center"/>
              <w:rPr>
                <w:rFonts w:ascii="Times New Roman" w:hAnsi="Times New Roman"/>
                <w:sz w:val="18"/>
                <w:szCs w:val="18"/>
              </w:rPr>
            </w:pPr>
            <m:oMathPara>
              <m:oMathParaPr>
                <m:jc m:val="center"/>
              </m:oMathParaP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i</m:t>
                    </m:r>
                  </m:sub>
                </m:sSub>
                <m:r>
                  <w:rPr>
                    <w:rFonts w:ascii="Cambria Math" w:hAnsi="Cambria Math"/>
                    <w:sz w:val="18"/>
                    <w:szCs w:val="18"/>
                  </w:rPr>
                  <m:t>/(1+</m:t>
                </m:r>
                <m:sSup>
                  <m:sSupPr>
                    <m:ctrlPr>
                      <w:rPr>
                        <w:rFonts w:ascii="Cambria Math" w:hAnsi="Cambria Math"/>
                        <w:i/>
                        <w:sz w:val="18"/>
                        <w:szCs w:val="18"/>
                      </w:rPr>
                    </m:ctrlPr>
                  </m:sSup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i</m:t>
                        </m:r>
                      </m:sub>
                    </m:sSub>
                    <m:r>
                      <w:rPr>
                        <w:rFonts w:ascii="Cambria Math" w:hAnsi="Cambria Math"/>
                        <w:sz w:val="18"/>
                        <w:szCs w:val="18"/>
                      </w:rPr>
                      <m:t>)</m:t>
                    </m:r>
                  </m:e>
                  <m:sup>
                    <m:r>
                      <w:rPr>
                        <w:rFonts w:ascii="Cambria Math" w:hAnsi="Cambria Math"/>
                        <w:sz w:val="18"/>
                        <w:szCs w:val="18"/>
                      </w:rPr>
                      <m:t>0</m:t>
                    </m:r>
                  </m:sup>
                </m:sSup>
              </m:oMath>
            </m:oMathPara>
          </w:p>
        </w:tc>
        <w:tc>
          <w:tcPr>
            <w:tcW w:w="0" w:type="auto"/>
            <w:tcBorders>
              <w:tl2br w:val="nil"/>
              <w:tr2bl w:val="nil"/>
            </w:tcBorders>
            <w:vAlign w:val="center"/>
          </w:tcPr>
          <w:p w14:paraId="5A640F87" w14:textId="77777777" w:rsidR="00501C7E" w:rsidRDefault="00EC5712">
            <w:pPr>
              <w:jc w:val="center"/>
              <w:rPr>
                <w:rFonts w:ascii="Times New Roman" w:hAnsi="Times New Roman"/>
                <w:sz w:val="18"/>
                <w:szCs w:val="18"/>
              </w:rPr>
            </w:pPr>
            <w:r>
              <w:rPr>
                <w:rFonts w:ascii="Times New Roman" w:hAnsi="Times New Roman"/>
                <w:sz w:val="18"/>
                <w:szCs w:val="18"/>
              </w:rPr>
              <w:t>标准化的终裁</w:t>
            </w:r>
          </w:p>
          <w:p w14:paraId="4BB4A6C1" w14:textId="77777777" w:rsidR="00501C7E" w:rsidRDefault="00EC5712">
            <w:pPr>
              <w:jc w:val="center"/>
              <w:rPr>
                <w:rFonts w:ascii="Times New Roman" w:hAnsi="Times New Roman"/>
                <w:sz w:val="18"/>
                <w:szCs w:val="18"/>
              </w:rPr>
            </w:pPr>
            <w:r>
              <w:rPr>
                <w:rFonts w:ascii="Times New Roman" w:hAnsi="Times New Roman"/>
                <w:sz w:val="18"/>
                <w:szCs w:val="18"/>
              </w:rPr>
              <w:t>税率（</w:t>
            </w:r>
            <w:r>
              <w:rPr>
                <w:rFonts w:ascii="Times New Roman" w:hAnsi="Times New Roman"/>
                <w:sz w:val="18"/>
                <w:szCs w:val="18"/>
              </w:rPr>
              <w:t>%</w:t>
            </w:r>
            <w:r>
              <w:rPr>
                <w:rFonts w:ascii="Times New Roman" w:hAnsi="Times New Roman"/>
                <w:sz w:val="18"/>
                <w:szCs w:val="18"/>
              </w:rPr>
              <w:t>）</w:t>
            </w:r>
          </w:p>
        </w:tc>
        <w:tc>
          <w:tcPr>
            <w:tcW w:w="0" w:type="auto"/>
            <w:tcBorders>
              <w:tl2br w:val="nil"/>
              <w:tr2bl w:val="nil"/>
            </w:tcBorders>
            <w:vAlign w:val="center"/>
          </w:tcPr>
          <w:p w14:paraId="6C6E057D"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28.11</w:t>
            </w:r>
          </w:p>
        </w:tc>
        <w:tc>
          <w:tcPr>
            <w:tcW w:w="0" w:type="auto"/>
            <w:tcBorders>
              <w:tl2br w:val="nil"/>
              <w:tr2bl w:val="nil"/>
            </w:tcBorders>
            <w:vAlign w:val="center"/>
          </w:tcPr>
          <w:p w14:paraId="53D58245"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9.23</w:t>
            </w:r>
          </w:p>
        </w:tc>
        <w:tc>
          <w:tcPr>
            <w:tcW w:w="0" w:type="auto"/>
            <w:tcBorders>
              <w:tl2br w:val="nil"/>
              <w:tr2bl w:val="nil"/>
            </w:tcBorders>
            <w:vAlign w:val="center"/>
          </w:tcPr>
          <w:p w14:paraId="40F386A1"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7.49</w:t>
            </w:r>
          </w:p>
        </w:tc>
        <w:tc>
          <w:tcPr>
            <w:tcW w:w="0" w:type="auto"/>
            <w:tcBorders>
              <w:tl2br w:val="nil"/>
              <w:tr2bl w:val="nil"/>
            </w:tcBorders>
            <w:vAlign w:val="center"/>
          </w:tcPr>
          <w:p w14:paraId="5980A81A"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42.76</w:t>
            </w:r>
          </w:p>
        </w:tc>
      </w:tr>
      <w:tr w:rsidR="00501C7E" w14:paraId="76B5012A" w14:textId="77777777">
        <w:trPr>
          <w:jc w:val="center"/>
        </w:trPr>
        <w:tc>
          <w:tcPr>
            <w:tcW w:w="0" w:type="auto"/>
            <w:tcBorders>
              <w:tl2br w:val="nil"/>
              <w:tr2bl w:val="nil"/>
            </w:tcBorders>
            <w:vAlign w:val="center"/>
          </w:tcPr>
          <w:p w14:paraId="07F77D29" w14:textId="77777777" w:rsidR="00501C7E" w:rsidRDefault="00EC5712">
            <w:pPr>
              <w:jc w:val="center"/>
              <w:rPr>
                <w:rFonts w:ascii="Times New Roman" w:hAnsi="Times New Roman"/>
                <w:sz w:val="18"/>
                <w:szCs w:val="18"/>
              </w:rPr>
            </w:pPr>
            <w:r>
              <w:rPr>
                <w:rFonts w:ascii="Times New Roman" w:hAnsi="Times New Roman"/>
                <w:sz w:val="18"/>
                <w:szCs w:val="18"/>
              </w:rPr>
              <w:t>解释变量</w:t>
            </w:r>
          </w:p>
        </w:tc>
        <w:tc>
          <w:tcPr>
            <w:tcW w:w="0" w:type="auto"/>
            <w:gridSpan w:val="5"/>
            <w:tcBorders>
              <w:tl2br w:val="nil"/>
              <w:tr2bl w:val="nil"/>
            </w:tcBorders>
            <w:vAlign w:val="center"/>
          </w:tcPr>
          <w:p w14:paraId="3C8934A2" w14:textId="77777777" w:rsidR="00501C7E" w:rsidRDefault="00501C7E">
            <w:pPr>
              <w:jc w:val="center"/>
              <w:rPr>
                <w:rFonts w:ascii="Times New Roman" w:hAnsi="Times New Roman"/>
                <w:sz w:val="18"/>
                <w:szCs w:val="18"/>
              </w:rPr>
            </w:pPr>
          </w:p>
        </w:tc>
      </w:tr>
      <w:tr w:rsidR="00501C7E" w14:paraId="2541B273" w14:textId="77777777">
        <w:trPr>
          <w:jc w:val="center"/>
        </w:trPr>
        <w:tc>
          <w:tcPr>
            <w:tcW w:w="0" w:type="auto"/>
            <w:tcBorders>
              <w:tl2br w:val="nil"/>
              <w:tr2bl w:val="nil"/>
            </w:tcBorders>
            <w:vAlign w:val="center"/>
          </w:tcPr>
          <w:p w14:paraId="18FAB20E" w14:textId="77777777" w:rsidR="00501C7E" w:rsidRDefault="00000000">
            <w:pPr>
              <w:jc w:val="center"/>
              <w:rPr>
                <w:rFonts w:ascii="Times New Roman" w:hAnsi="Times New Roman"/>
                <w:sz w:val="18"/>
                <w:szCs w:val="18"/>
              </w:rPr>
            </w:pP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i</m:t>
                  </m:r>
                </m:sub>
              </m:sSub>
            </m:oMath>
            <w:r w:rsidR="00EC5712">
              <w:rPr>
                <w:rFonts w:ascii="Times New Roman" w:hAnsi="Times New Roman" w:hint="eastAsia"/>
                <w:sz w:val="18"/>
                <w:szCs w:val="18"/>
              </w:rPr>
              <w:t>（</w:t>
            </w:r>
            <w:r w:rsidR="00EC5712">
              <w:rPr>
                <w:rFonts w:ascii="Times New Roman" w:hAnsi="Times New Roman"/>
                <w:sz w:val="18"/>
                <w:szCs w:val="18"/>
              </w:rPr>
              <w:t>1</w:t>
            </w:r>
            <w:r w:rsidR="00EC5712">
              <w:rPr>
                <w:rFonts w:ascii="Times New Roman" w:hAnsi="Times New Roman" w:hint="eastAsia"/>
                <w:sz w:val="18"/>
                <w:szCs w:val="18"/>
              </w:rPr>
              <w:t>）</w:t>
            </w:r>
          </w:p>
        </w:tc>
        <w:tc>
          <w:tcPr>
            <w:tcW w:w="0" w:type="auto"/>
            <w:tcBorders>
              <w:tl2br w:val="nil"/>
              <w:tr2bl w:val="nil"/>
            </w:tcBorders>
            <w:vAlign w:val="center"/>
          </w:tcPr>
          <w:p w14:paraId="648D780F" w14:textId="77777777" w:rsidR="00501C7E" w:rsidRDefault="00EC5712">
            <w:pPr>
              <w:jc w:val="center"/>
              <w:rPr>
                <w:rFonts w:ascii="Times New Roman" w:hAnsi="Times New Roman"/>
                <w:sz w:val="18"/>
                <w:szCs w:val="18"/>
              </w:rPr>
            </w:pPr>
            <w:r>
              <w:rPr>
                <w:rFonts w:ascii="Times New Roman" w:hAnsi="Times New Roman"/>
                <w:sz w:val="18"/>
                <w:szCs w:val="18"/>
              </w:rPr>
              <w:t>虚拟变量（政治势力排名在前</w:t>
            </w:r>
            <w:r>
              <w:rPr>
                <w:rFonts w:ascii="Times New Roman" w:hAnsi="Times New Roman"/>
                <w:sz w:val="18"/>
                <w:szCs w:val="18"/>
              </w:rPr>
              <w:t>30%</w:t>
            </w:r>
            <w:r>
              <w:rPr>
                <w:rFonts w:ascii="Times New Roman" w:hAnsi="Times New Roman"/>
                <w:sz w:val="18"/>
                <w:szCs w:val="18"/>
              </w:rPr>
              <w:t>）</w:t>
            </w:r>
          </w:p>
        </w:tc>
        <w:tc>
          <w:tcPr>
            <w:tcW w:w="0" w:type="auto"/>
            <w:tcBorders>
              <w:tl2br w:val="nil"/>
              <w:tr2bl w:val="nil"/>
            </w:tcBorders>
            <w:vAlign w:val="center"/>
          </w:tcPr>
          <w:p w14:paraId="2243C166"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0.36</w:t>
            </w:r>
          </w:p>
        </w:tc>
        <w:tc>
          <w:tcPr>
            <w:tcW w:w="0" w:type="auto"/>
            <w:tcBorders>
              <w:tl2br w:val="nil"/>
              <w:tr2bl w:val="nil"/>
            </w:tcBorders>
            <w:vAlign w:val="center"/>
          </w:tcPr>
          <w:p w14:paraId="1C5F39C1"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0.48</w:t>
            </w:r>
          </w:p>
        </w:tc>
        <w:tc>
          <w:tcPr>
            <w:tcW w:w="0" w:type="auto"/>
            <w:tcBorders>
              <w:tl2br w:val="nil"/>
              <w:tr2bl w:val="nil"/>
            </w:tcBorders>
            <w:vAlign w:val="center"/>
          </w:tcPr>
          <w:p w14:paraId="0C375079"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0</w:t>
            </w:r>
          </w:p>
        </w:tc>
        <w:tc>
          <w:tcPr>
            <w:tcW w:w="0" w:type="auto"/>
            <w:tcBorders>
              <w:tl2br w:val="nil"/>
              <w:tr2bl w:val="nil"/>
            </w:tcBorders>
            <w:vAlign w:val="center"/>
          </w:tcPr>
          <w:p w14:paraId="4116DDA4"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1</w:t>
            </w:r>
          </w:p>
        </w:tc>
      </w:tr>
      <w:tr w:rsidR="00501C7E" w14:paraId="012CAC77" w14:textId="77777777">
        <w:trPr>
          <w:trHeight w:val="90"/>
          <w:jc w:val="center"/>
        </w:trPr>
        <w:tc>
          <w:tcPr>
            <w:tcW w:w="0" w:type="auto"/>
            <w:tcBorders>
              <w:tl2br w:val="nil"/>
              <w:tr2bl w:val="nil"/>
            </w:tcBorders>
            <w:vAlign w:val="center"/>
          </w:tcPr>
          <w:p w14:paraId="64679F65" w14:textId="77777777" w:rsidR="00501C7E" w:rsidRDefault="00000000">
            <w:pPr>
              <w:jc w:val="center"/>
              <w:rPr>
                <w:rFonts w:ascii="Times New Roman" w:hAnsi="Times New Roman"/>
                <w:sz w:val="18"/>
                <w:szCs w:val="18"/>
              </w:rPr>
            </w:pP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i</m:t>
                  </m:r>
                </m:sub>
              </m:sSub>
            </m:oMath>
            <w:r w:rsidR="00EC5712">
              <w:rPr>
                <w:rFonts w:ascii="Times New Roman" w:hAnsi="Times New Roman" w:hint="eastAsia"/>
                <w:sz w:val="18"/>
                <w:szCs w:val="18"/>
              </w:rPr>
              <w:t>（</w:t>
            </w:r>
            <w:r w:rsidR="00EC5712">
              <w:rPr>
                <w:rFonts w:ascii="Times New Roman" w:hAnsi="Times New Roman"/>
                <w:sz w:val="18"/>
                <w:szCs w:val="18"/>
              </w:rPr>
              <w:t>2</w:t>
            </w:r>
            <w:r w:rsidR="00EC5712">
              <w:rPr>
                <w:rFonts w:ascii="Times New Roman" w:hAnsi="Times New Roman" w:hint="eastAsia"/>
                <w:sz w:val="18"/>
                <w:szCs w:val="18"/>
              </w:rPr>
              <w:t>）</w:t>
            </w:r>
          </w:p>
        </w:tc>
        <w:tc>
          <w:tcPr>
            <w:tcW w:w="0" w:type="auto"/>
            <w:tcBorders>
              <w:tl2br w:val="nil"/>
              <w:tr2bl w:val="nil"/>
            </w:tcBorders>
            <w:vAlign w:val="center"/>
          </w:tcPr>
          <w:p w14:paraId="765AD9AD" w14:textId="77777777" w:rsidR="00501C7E" w:rsidRDefault="00EC5712">
            <w:pPr>
              <w:jc w:val="center"/>
              <w:rPr>
                <w:rFonts w:ascii="Times New Roman" w:hAnsi="Times New Roman"/>
                <w:sz w:val="18"/>
                <w:szCs w:val="18"/>
              </w:rPr>
            </w:pPr>
            <w:r>
              <w:rPr>
                <w:rFonts w:ascii="Times New Roman" w:hAnsi="Times New Roman"/>
                <w:sz w:val="18"/>
                <w:szCs w:val="18"/>
              </w:rPr>
              <w:t>虚拟变量（政治势力排名在前</w:t>
            </w:r>
            <w:r>
              <w:rPr>
                <w:rFonts w:ascii="Times New Roman" w:hAnsi="Times New Roman"/>
                <w:sz w:val="18"/>
                <w:szCs w:val="18"/>
              </w:rPr>
              <w:t>40%</w:t>
            </w:r>
            <w:r>
              <w:rPr>
                <w:rFonts w:ascii="Times New Roman" w:hAnsi="Times New Roman"/>
                <w:sz w:val="18"/>
                <w:szCs w:val="18"/>
              </w:rPr>
              <w:t>）</w:t>
            </w:r>
          </w:p>
        </w:tc>
        <w:tc>
          <w:tcPr>
            <w:tcW w:w="0" w:type="auto"/>
            <w:tcBorders>
              <w:tl2br w:val="nil"/>
              <w:tr2bl w:val="nil"/>
            </w:tcBorders>
            <w:vAlign w:val="center"/>
          </w:tcPr>
          <w:p w14:paraId="165DC8F2"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0.46</w:t>
            </w:r>
          </w:p>
        </w:tc>
        <w:tc>
          <w:tcPr>
            <w:tcW w:w="0" w:type="auto"/>
            <w:tcBorders>
              <w:tl2br w:val="nil"/>
              <w:tr2bl w:val="nil"/>
            </w:tcBorders>
            <w:vAlign w:val="center"/>
          </w:tcPr>
          <w:p w14:paraId="26F2B293"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0.50</w:t>
            </w:r>
          </w:p>
        </w:tc>
        <w:tc>
          <w:tcPr>
            <w:tcW w:w="0" w:type="auto"/>
            <w:tcBorders>
              <w:tl2br w:val="nil"/>
              <w:tr2bl w:val="nil"/>
            </w:tcBorders>
            <w:vAlign w:val="center"/>
          </w:tcPr>
          <w:p w14:paraId="47B96FE4"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0</w:t>
            </w:r>
          </w:p>
        </w:tc>
        <w:tc>
          <w:tcPr>
            <w:tcW w:w="0" w:type="auto"/>
            <w:tcBorders>
              <w:tl2br w:val="nil"/>
              <w:tr2bl w:val="nil"/>
            </w:tcBorders>
            <w:vAlign w:val="center"/>
          </w:tcPr>
          <w:p w14:paraId="30066A67"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1</w:t>
            </w:r>
          </w:p>
        </w:tc>
      </w:tr>
      <w:tr w:rsidR="00501C7E" w14:paraId="3142E3AB" w14:textId="77777777">
        <w:trPr>
          <w:jc w:val="center"/>
        </w:trPr>
        <w:tc>
          <w:tcPr>
            <w:tcW w:w="0" w:type="auto"/>
            <w:tcBorders>
              <w:tl2br w:val="nil"/>
              <w:tr2bl w:val="nil"/>
            </w:tcBorders>
            <w:vAlign w:val="center"/>
          </w:tcPr>
          <w:p w14:paraId="29E109CE" w14:textId="77777777" w:rsidR="00501C7E" w:rsidRDefault="00000000">
            <w:pPr>
              <w:jc w:val="center"/>
              <w:rPr>
                <w:rFonts w:ascii="Times New Roman" w:hAnsi="Times New Roman"/>
                <w:sz w:val="18"/>
                <w:szCs w:val="18"/>
              </w:rPr>
            </w:pP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i</m:t>
                  </m:r>
                </m:sub>
              </m:sSub>
            </m:oMath>
            <w:r w:rsidR="00EC5712">
              <w:rPr>
                <w:rFonts w:ascii="Times New Roman" w:hAnsi="Times New Roman" w:hint="eastAsia"/>
                <w:sz w:val="18"/>
                <w:szCs w:val="18"/>
              </w:rPr>
              <w:t>（</w:t>
            </w:r>
            <w:r w:rsidR="00EC5712">
              <w:rPr>
                <w:rFonts w:ascii="Times New Roman" w:hAnsi="Times New Roman"/>
                <w:sz w:val="18"/>
                <w:szCs w:val="18"/>
              </w:rPr>
              <w:t>3</w:t>
            </w:r>
            <w:r w:rsidR="00EC5712">
              <w:rPr>
                <w:rFonts w:ascii="Times New Roman" w:hAnsi="Times New Roman" w:hint="eastAsia"/>
                <w:sz w:val="18"/>
                <w:szCs w:val="18"/>
              </w:rPr>
              <w:t>）</w:t>
            </w:r>
          </w:p>
        </w:tc>
        <w:tc>
          <w:tcPr>
            <w:tcW w:w="0" w:type="auto"/>
            <w:tcBorders>
              <w:tl2br w:val="nil"/>
              <w:tr2bl w:val="nil"/>
            </w:tcBorders>
            <w:vAlign w:val="center"/>
          </w:tcPr>
          <w:p w14:paraId="3941DCA2" w14:textId="77777777" w:rsidR="00501C7E" w:rsidRDefault="00EC5712">
            <w:pPr>
              <w:jc w:val="center"/>
              <w:rPr>
                <w:rFonts w:ascii="Times New Roman" w:hAnsi="Times New Roman"/>
                <w:sz w:val="18"/>
                <w:szCs w:val="18"/>
              </w:rPr>
            </w:pPr>
            <w:r>
              <w:rPr>
                <w:rFonts w:ascii="Times New Roman" w:hAnsi="Times New Roman"/>
                <w:sz w:val="18"/>
                <w:szCs w:val="18"/>
              </w:rPr>
              <w:t>虚拟变量（政治势力排名在前</w:t>
            </w:r>
            <w:r>
              <w:rPr>
                <w:rFonts w:ascii="Times New Roman" w:hAnsi="Times New Roman"/>
                <w:sz w:val="18"/>
                <w:szCs w:val="18"/>
              </w:rPr>
              <w:t>50%</w:t>
            </w:r>
            <w:r>
              <w:rPr>
                <w:rFonts w:ascii="Times New Roman" w:hAnsi="Times New Roman"/>
                <w:sz w:val="18"/>
                <w:szCs w:val="18"/>
              </w:rPr>
              <w:t>）</w:t>
            </w:r>
          </w:p>
        </w:tc>
        <w:tc>
          <w:tcPr>
            <w:tcW w:w="0" w:type="auto"/>
            <w:tcBorders>
              <w:tl2br w:val="nil"/>
              <w:tr2bl w:val="nil"/>
            </w:tcBorders>
            <w:vAlign w:val="center"/>
          </w:tcPr>
          <w:p w14:paraId="2EBA0C0E"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0.54</w:t>
            </w:r>
          </w:p>
        </w:tc>
        <w:tc>
          <w:tcPr>
            <w:tcW w:w="0" w:type="auto"/>
            <w:tcBorders>
              <w:tl2br w:val="nil"/>
              <w:tr2bl w:val="nil"/>
            </w:tcBorders>
            <w:vAlign w:val="center"/>
          </w:tcPr>
          <w:p w14:paraId="326D451C"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0.50</w:t>
            </w:r>
          </w:p>
        </w:tc>
        <w:tc>
          <w:tcPr>
            <w:tcW w:w="0" w:type="auto"/>
            <w:tcBorders>
              <w:tl2br w:val="nil"/>
              <w:tr2bl w:val="nil"/>
            </w:tcBorders>
            <w:vAlign w:val="center"/>
          </w:tcPr>
          <w:p w14:paraId="25011CB7"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0</w:t>
            </w:r>
          </w:p>
        </w:tc>
        <w:tc>
          <w:tcPr>
            <w:tcW w:w="0" w:type="auto"/>
            <w:tcBorders>
              <w:tl2br w:val="nil"/>
              <w:tr2bl w:val="nil"/>
            </w:tcBorders>
            <w:vAlign w:val="center"/>
          </w:tcPr>
          <w:p w14:paraId="36B74E48"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1</w:t>
            </w:r>
          </w:p>
        </w:tc>
      </w:tr>
      <w:tr w:rsidR="00501C7E" w14:paraId="0C75EC9D" w14:textId="77777777">
        <w:trPr>
          <w:jc w:val="center"/>
        </w:trPr>
        <w:tc>
          <w:tcPr>
            <w:tcW w:w="0" w:type="auto"/>
            <w:tcBorders>
              <w:tl2br w:val="nil"/>
              <w:tr2bl w:val="nil"/>
            </w:tcBorders>
            <w:vAlign w:val="center"/>
          </w:tcPr>
          <w:p w14:paraId="6E24E3D8" w14:textId="77777777" w:rsidR="00501C7E" w:rsidRDefault="00000000">
            <w:pPr>
              <w:jc w:val="center"/>
              <w:rPr>
                <w:rFonts w:ascii="Cambria Math" w:hAnsi="Cambria Math"/>
                <w:sz w:val="18"/>
                <w:szCs w:val="18"/>
                <w:oMath/>
              </w:rPr>
            </w:pPr>
            <m:oMathPara>
              <m:oMathParaPr>
                <m:jc m:val="center"/>
              </m:oMathParaPr>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i</m:t>
                    </m:r>
                  </m:sub>
                </m:sSub>
              </m:oMath>
            </m:oMathPara>
          </w:p>
        </w:tc>
        <w:tc>
          <w:tcPr>
            <w:tcW w:w="0" w:type="auto"/>
            <w:tcBorders>
              <w:tl2br w:val="nil"/>
              <w:tr2bl w:val="nil"/>
            </w:tcBorders>
            <w:vAlign w:val="center"/>
          </w:tcPr>
          <w:p w14:paraId="1845D5AC" w14:textId="77777777" w:rsidR="00501C7E" w:rsidRDefault="00EC5712">
            <w:pPr>
              <w:jc w:val="center"/>
              <w:rPr>
                <w:rFonts w:ascii="Times New Roman" w:hAnsi="Times New Roman"/>
                <w:sz w:val="18"/>
                <w:szCs w:val="18"/>
              </w:rPr>
            </w:pPr>
            <w:r>
              <w:rPr>
                <w:rFonts w:ascii="Times New Roman" w:hAnsi="Times New Roman"/>
                <w:sz w:val="18"/>
                <w:szCs w:val="18"/>
              </w:rPr>
              <w:t>行业进口需求弹性</w:t>
            </w:r>
          </w:p>
        </w:tc>
        <w:tc>
          <w:tcPr>
            <w:tcW w:w="0" w:type="auto"/>
            <w:tcBorders>
              <w:tl2br w:val="nil"/>
              <w:tr2bl w:val="nil"/>
            </w:tcBorders>
            <w:vAlign w:val="center"/>
          </w:tcPr>
          <w:p w14:paraId="4A22F93B"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1.11</w:t>
            </w:r>
          </w:p>
        </w:tc>
        <w:tc>
          <w:tcPr>
            <w:tcW w:w="0" w:type="auto"/>
            <w:tcBorders>
              <w:tl2br w:val="nil"/>
              <w:tr2bl w:val="nil"/>
            </w:tcBorders>
            <w:vAlign w:val="center"/>
          </w:tcPr>
          <w:p w14:paraId="3AC02CCB"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0.16</w:t>
            </w:r>
          </w:p>
        </w:tc>
        <w:tc>
          <w:tcPr>
            <w:tcW w:w="0" w:type="auto"/>
            <w:tcBorders>
              <w:tl2br w:val="nil"/>
              <w:tr2bl w:val="nil"/>
            </w:tcBorders>
            <w:vAlign w:val="center"/>
          </w:tcPr>
          <w:p w14:paraId="798331D9"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0.77</w:t>
            </w:r>
          </w:p>
        </w:tc>
        <w:tc>
          <w:tcPr>
            <w:tcW w:w="0" w:type="auto"/>
            <w:tcBorders>
              <w:tl2br w:val="nil"/>
              <w:tr2bl w:val="nil"/>
            </w:tcBorders>
            <w:vAlign w:val="center"/>
          </w:tcPr>
          <w:p w14:paraId="391C4453"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1.32</w:t>
            </w:r>
          </w:p>
        </w:tc>
      </w:tr>
      <w:tr w:rsidR="00501C7E" w14:paraId="6FCAAF14" w14:textId="77777777">
        <w:trPr>
          <w:trHeight w:val="255"/>
          <w:jc w:val="center"/>
        </w:trPr>
        <w:tc>
          <w:tcPr>
            <w:tcW w:w="0" w:type="auto"/>
            <w:tcBorders>
              <w:tl2br w:val="nil"/>
              <w:tr2bl w:val="nil"/>
            </w:tcBorders>
            <w:vAlign w:val="center"/>
          </w:tcPr>
          <w:p w14:paraId="2302E8F3" w14:textId="77777777" w:rsidR="00501C7E" w:rsidRDefault="00000000">
            <w:pPr>
              <w:jc w:val="center"/>
              <w:rPr>
                <w:rFonts w:ascii="Times New Roman" w:hAnsi="Times New Roman"/>
                <w:sz w:val="18"/>
                <w:szCs w:val="18"/>
              </w:rPr>
            </w:pPr>
            <m:oMathPara>
              <m:oMathParaPr>
                <m:jc m:val="center"/>
              </m:oMathParaPr>
              <m:oMath>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i</m:t>
                    </m:r>
                  </m:sub>
                </m:sSub>
              </m:oMath>
            </m:oMathPara>
          </w:p>
        </w:tc>
        <w:tc>
          <w:tcPr>
            <w:tcW w:w="0" w:type="auto"/>
            <w:tcBorders>
              <w:tl2br w:val="nil"/>
              <w:tr2bl w:val="nil"/>
            </w:tcBorders>
            <w:vAlign w:val="center"/>
          </w:tcPr>
          <w:p w14:paraId="41AF88AB" w14:textId="77777777" w:rsidR="00501C7E" w:rsidRDefault="00EC5712">
            <w:pPr>
              <w:jc w:val="center"/>
              <w:rPr>
                <w:rFonts w:ascii="Times New Roman" w:hAnsi="Times New Roman"/>
                <w:sz w:val="18"/>
                <w:szCs w:val="18"/>
              </w:rPr>
            </w:pPr>
            <w:r>
              <w:rPr>
                <w:rFonts w:ascii="Times New Roman" w:hAnsi="Times New Roman"/>
                <w:sz w:val="18"/>
                <w:szCs w:val="18"/>
              </w:rPr>
              <w:t>行业进口渗透率的倒数</w:t>
            </w:r>
          </w:p>
        </w:tc>
        <w:tc>
          <w:tcPr>
            <w:tcW w:w="0" w:type="auto"/>
            <w:tcBorders>
              <w:tl2br w:val="nil"/>
              <w:tr2bl w:val="nil"/>
            </w:tcBorders>
            <w:vAlign w:val="center"/>
          </w:tcPr>
          <w:p w14:paraId="061AF286"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82.41</w:t>
            </w:r>
          </w:p>
        </w:tc>
        <w:tc>
          <w:tcPr>
            <w:tcW w:w="0" w:type="auto"/>
            <w:tcBorders>
              <w:tl2br w:val="nil"/>
              <w:tr2bl w:val="nil"/>
            </w:tcBorders>
            <w:vAlign w:val="center"/>
          </w:tcPr>
          <w:p w14:paraId="52D6AF75"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83.26</w:t>
            </w:r>
          </w:p>
        </w:tc>
        <w:tc>
          <w:tcPr>
            <w:tcW w:w="0" w:type="auto"/>
            <w:tcBorders>
              <w:tl2br w:val="nil"/>
              <w:tr2bl w:val="nil"/>
            </w:tcBorders>
            <w:vAlign w:val="center"/>
          </w:tcPr>
          <w:p w14:paraId="1115FEDD"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4.38</w:t>
            </w:r>
          </w:p>
        </w:tc>
        <w:tc>
          <w:tcPr>
            <w:tcW w:w="0" w:type="auto"/>
            <w:tcBorders>
              <w:tl2br w:val="nil"/>
              <w:tr2bl w:val="nil"/>
            </w:tcBorders>
            <w:vAlign w:val="center"/>
          </w:tcPr>
          <w:p w14:paraId="13DF1238" w14:textId="77777777" w:rsidR="00501C7E" w:rsidRDefault="00EC5712">
            <w:pPr>
              <w:widowControl/>
              <w:textAlignment w:val="center"/>
              <w:rPr>
                <w:rFonts w:ascii="Times New Roman" w:hAnsi="Times New Roman"/>
                <w:kern w:val="0"/>
                <w:sz w:val="18"/>
                <w:szCs w:val="18"/>
              </w:rPr>
            </w:pPr>
            <w:r>
              <w:rPr>
                <w:rFonts w:ascii="Times New Roman" w:hAnsi="Times New Roman"/>
                <w:kern w:val="0"/>
                <w:sz w:val="18"/>
                <w:szCs w:val="18"/>
              </w:rPr>
              <w:t>419.78</w:t>
            </w:r>
          </w:p>
        </w:tc>
      </w:tr>
      <w:tr w:rsidR="00501C7E" w14:paraId="46BC13EE" w14:textId="77777777">
        <w:trPr>
          <w:jc w:val="center"/>
        </w:trPr>
        <w:tc>
          <w:tcPr>
            <w:tcW w:w="1621" w:type="dxa"/>
            <w:tcBorders>
              <w:tl2br w:val="nil"/>
              <w:tr2bl w:val="nil"/>
            </w:tcBorders>
            <w:vAlign w:val="center"/>
          </w:tcPr>
          <w:p w14:paraId="4DAB9012" w14:textId="77777777" w:rsidR="00501C7E" w:rsidRDefault="00EC5712">
            <w:pPr>
              <w:jc w:val="center"/>
              <w:rPr>
                <w:rFonts w:ascii="Times New Roman" w:hAnsi="Times New Roman"/>
                <w:sz w:val="18"/>
                <w:szCs w:val="18"/>
              </w:rPr>
            </w:pPr>
            <w:r>
              <w:rPr>
                <w:rFonts w:ascii="Times New Roman" w:hAnsi="Times New Roman"/>
                <w:kern w:val="0"/>
                <w:sz w:val="18"/>
                <w:szCs w:val="18"/>
              </w:rPr>
              <w:t>贸易逆差额</w:t>
            </w:r>
          </w:p>
        </w:tc>
        <w:tc>
          <w:tcPr>
            <w:tcW w:w="0" w:type="auto"/>
            <w:tcBorders>
              <w:tl2br w:val="nil"/>
              <w:tr2bl w:val="nil"/>
            </w:tcBorders>
            <w:vAlign w:val="center"/>
          </w:tcPr>
          <w:p w14:paraId="49C2DB7B" w14:textId="77777777" w:rsidR="00501C7E" w:rsidRDefault="00EC5712">
            <w:pPr>
              <w:jc w:val="center"/>
              <w:rPr>
                <w:rFonts w:ascii="Times New Roman" w:hAnsi="Times New Roman"/>
                <w:sz w:val="18"/>
                <w:szCs w:val="18"/>
              </w:rPr>
            </w:pPr>
            <w:r>
              <w:rPr>
                <w:rFonts w:ascii="Times New Roman" w:hAnsi="Times New Roman" w:hint="eastAsia"/>
                <w:kern w:val="0"/>
                <w:sz w:val="18"/>
                <w:szCs w:val="18"/>
              </w:rPr>
              <w:t>中欧双边</w:t>
            </w:r>
            <w:r>
              <w:rPr>
                <w:rFonts w:ascii="Times New Roman" w:hAnsi="Times New Roman"/>
                <w:kern w:val="0"/>
                <w:sz w:val="18"/>
                <w:szCs w:val="18"/>
              </w:rPr>
              <w:t>贸易逆差额</w:t>
            </w:r>
            <w:r>
              <w:rPr>
                <w:rFonts w:ascii="Times New Roman" w:hAnsi="Times New Roman" w:hint="eastAsia"/>
                <w:kern w:val="0"/>
                <w:sz w:val="18"/>
                <w:szCs w:val="18"/>
              </w:rPr>
              <w:t>（</w:t>
            </w:r>
            <w:r>
              <w:rPr>
                <w:rFonts w:ascii="Times New Roman" w:hAnsi="Times New Roman"/>
                <w:kern w:val="0"/>
                <w:sz w:val="18"/>
                <w:szCs w:val="18"/>
              </w:rPr>
              <w:t>亿美元）</w:t>
            </w:r>
          </w:p>
        </w:tc>
        <w:tc>
          <w:tcPr>
            <w:tcW w:w="0" w:type="auto"/>
            <w:tcBorders>
              <w:tl2br w:val="nil"/>
              <w:tr2bl w:val="nil"/>
            </w:tcBorders>
            <w:vAlign w:val="center"/>
          </w:tcPr>
          <w:p w14:paraId="536AC876"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1210</w:t>
            </w:r>
          </w:p>
        </w:tc>
        <w:tc>
          <w:tcPr>
            <w:tcW w:w="0" w:type="auto"/>
            <w:tcBorders>
              <w:tl2br w:val="nil"/>
              <w:tr2bl w:val="nil"/>
            </w:tcBorders>
            <w:vAlign w:val="center"/>
          </w:tcPr>
          <w:p w14:paraId="42993B59"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562</w:t>
            </w:r>
          </w:p>
        </w:tc>
        <w:tc>
          <w:tcPr>
            <w:tcW w:w="0" w:type="auto"/>
            <w:tcBorders>
              <w:tl2br w:val="nil"/>
              <w:tr2bl w:val="nil"/>
            </w:tcBorders>
            <w:vAlign w:val="center"/>
          </w:tcPr>
          <w:p w14:paraId="0B868F11"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478</w:t>
            </w:r>
          </w:p>
        </w:tc>
        <w:tc>
          <w:tcPr>
            <w:tcW w:w="0" w:type="auto"/>
            <w:tcBorders>
              <w:tl2br w:val="nil"/>
              <w:tr2bl w:val="nil"/>
            </w:tcBorders>
            <w:vAlign w:val="center"/>
          </w:tcPr>
          <w:p w14:paraId="442B2876"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1970</w:t>
            </w:r>
          </w:p>
        </w:tc>
      </w:tr>
      <w:tr w:rsidR="00501C7E" w14:paraId="003446E2" w14:textId="77777777">
        <w:trPr>
          <w:jc w:val="center"/>
        </w:trPr>
        <w:tc>
          <w:tcPr>
            <w:tcW w:w="1621" w:type="dxa"/>
            <w:tcBorders>
              <w:tl2br w:val="nil"/>
              <w:tr2bl w:val="nil"/>
            </w:tcBorders>
            <w:vAlign w:val="center"/>
          </w:tcPr>
          <w:p w14:paraId="38555BDE" w14:textId="77777777" w:rsidR="00501C7E" w:rsidRDefault="00EC5712">
            <w:pPr>
              <w:jc w:val="center"/>
              <w:rPr>
                <w:rFonts w:ascii="Times New Roman" w:hAnsi="Times New Roman"/>
                <w:sz w:val="18"/>
                <w:szCs w:val="18"/>
              </w:rPr>
            </w:pPr>
            <w:r>
              <w:rPr>
                <w:rFonts w:ascii="Times New Roman" w:hAnsi="Times New Roman"/>
                <w:sz w:val="18"/>
                <w:szCs w:val="18"/>
              </w:rPr>
              <w:t>就业率</w:t>
            </w:r>
          </w:p>
        </w:tc>
        <w:tc>
          <w:tcPr>
            <w:tcW w:w="0" w:type="auto"/>
            <w:tcBorders>
              <w:tl2br w:val="nil"/>
              <w:tr2bl w:val="nil"/>
            </w:tcBorders>
            <w:vAlign w:val="center"/>
          </w:tcPr>
          <w:p w14:paraId="3DB21549" w14:textId="77777777" w:rsidR="00501C7E" w:rsidRDefault="00EC5712">
            <w:pPr>
              <w:jc w:val="center"/>
              <w:rPr>
                <w:rFonts w:ascii="Times New Roman" w:hAnsi="Times New Roman"/>
                <w:sz w:val="18"/>
                <w:szCs w:val="18"/>
              </w:rPr>
            </w:pPr>
            <w:r>
              <w:rPr>
                <w:rFonts w:ascii="Times New Roman" w:hAnsi="Times New Roman"/>
                <w:sz w:val="18"/>
                <w:szCs w:val="18"/>
              </w:rPr>
              <w:t>欧盟</w:t>
            </w:r>
            <w:r>
              <w:rPr>
                <w:rFonts w:ascii="Times New Roman" w:hAnsi="Times New Roman" w:hint="eastAsia"/>
                <w:sz w:val="18"/>
                <w:szCs w:val="18"/>
              </w:rPr>
              <w:t>的</w:t>
            </w:r>
            <w:r>
              <w:rPr>
                <w:rFonts w:ascii="Times New Roman" w:hAnsi="Times New Roman"/>
                <w:sz w:val="18"/>
                <w:szCs w:val="18"/>
              </w:rPr>
              <w:t>就业率（</w:t>
            </w:r>
            <w:r>
              <w:rPr>
                <w:rFonts w:ascii="Times New Roman" w:hAnsi="Times New Roman"/>
                <w:sz w:val="18"/>
                <w:szCs w:val="18"/>
              </w:rPr>
              <w:t>%</w:t>
            </w:r>
            <w:r>
              <w:rPr>
                <w:rFonts w:ascii="Times New Roman" w:hAnsi="Times New Roman"/>
                <w:sz w:val="18"/>
                <w:szCs w:val="18"/>
              </w:rPr>
              <w:t>）</w:t>
            </w:r>
          </w:p>
        </w:tc>
        <w:tc>
          <w:tcPr>
            <w:tcW w:w="0" w:type="auto"/>
            <w:tcBorders>
              <w:tl2br w:val="nil"/>
              <w:tr2bl w:val="nil"/>
            </w:tcBorders>
            <w:vAlign w:val="center"/>
          </w:tcPr>
          <w:p w14:paraId="73E76FDA"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64.30</w:t>
            </w:r>
          </w:p>
        </w:tc>
        <w:tc>
          <w:tcPr>
            <w:tcW w:w="0" w:type="auto"/>
            <w:tcBorders>
              <w:tl2br w:val="nil"/>
              <w:tr2bl w:val="nil"/>
            </w:tcBorders>
            <w:vAlign w:val="center"/>
          </w:tcPr>
          <w:p w14:paraId="10BAF256"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1.77</w:t>
            </w:r>
          </w:p>
        </w:tc>
        <w:tc>
          <w:tcPr>
            <w:tcW w:w="0" w:type="auto"/>
            <w:tcBorders>
              <w:tl2br w:val="nil"/>
              <w:tr2bl w:val="nil"/>
            </w:tcBorders>
            <w:vAlign w:val="center"/>
          </w:tcPr>
          <w:p w14:paraId="6EEF95B2"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62.7</w:t>
            </w:r>
          </w:p>
        </w:tc>
        <w:tc>
          <w:tcPr>
            <w:tcW w:w="0" w:type="auto"/>
            <w:tcBorders>
              <w:tl2br w:val="nil"/>
              <w:tr2bl w:val="nil"/>
            </w:tcBorders>
            <w:vAlign w:val="center"/>
          </w:tcPr>
          <w:p w14:paraId="784EC04D"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69.6</w:t>
            </w:r>
          </w:p>
        </w:tc>
      </w:tr>
      <w:tr w:rsidR="00501C7E" w14:paraId="59A2B47B" w14:textId="77777777">
        <w:trPr>
          <w:jc w:val="center"/>
        </w:trPr>
        <w:tc>
          <w:tcPr>
            <w:tcW w:w="1621" w:type="dxa"/>
            <w:tcBorders>
              <w:tl2br w:val="nil"/>
              <w:tr2bl w:val="nil"/>
            </w:tcBorders>
            <w:vAlign w:val="center"/>
          </w:tcPr>
          <w:p w14:paraId="708FF7C8" w14:textId="77777777" w:rsidR="00501C7E" w:rsidRDefault="00EC5712">
            <w:pPr>
              <w:jc w:val="center"/>
              <w:textAlignment w:val="center"/>
              <w:rPr>
                <w:rFonts w:ascii="Times New Roman" w:hAnsi="Times New Roman"/>
                <w:sz w:val="18"/>
                <w:szCs w:val="18"/>
              </w:rPr>
            </w:pPr>
            <w:r>
              <w:rPr>
                <w:rFonts w:ascii="Times New Roman" w:hAnsi="Times New Roman"/>
                <w:kern w:val="0"/>
                <w:sz w:val="18"/>
                <w:szCs w:val="18"/>
              </w:rPr>
              <w:t>进口价值</w:t>
            </w:r>
          </w:p>
        </w:tc>
        <w:tc>
          <w:tcPr>
            <w:tcW w:w="0" w:type="auto"/>
            <w:tcBorders>
              <w:tl2br w:val="nil"/>
              <w:tr2bl w:val="nil"/>
            </w:tcBorders>
            <w:vAlign w:val="center"/>
          </w:tcPr>
          <w:p w14:paraId="5E21AFE3" w14:textId="77777777" w:rsidR="00501C7E" w:rsidRDefault="00EC5712">
            <w:pPr>
              <w:jc w:val="center"/>
              <w:textAlignment w:val="center"/>
              <w:rPr>
                <w:rFonts w:ascii="Times New Roman" w:hAnsi="Times New Roman"/>
                <w:sz w:val="18"/>
                <w:szCs w:val="18"/>
              </w:rPr>
            </w:pPr>
            <w:r>
              <w:rPr>
                <w:rFonts w:ascii="Times New Roman" w:hAnsi="Times New Roman"/>
                <w:kern w:val="0"/>
                <w:sz w:val="18"/>
                <w:szCs w:val="18"/>
              </w:rPr>
              <w:t>进口价值（亿欧元）</w:t>
            </w:r>
          </w:p>
        </w:tc>
        <w:tc>
          <w:tcPr>
            <w:tcW w:w="0" w:type="auto"/>
            <w:tcBorders>
              <w:tl2br w:val="nil"/>
              <w:tr2bl w:val="nil"/>
            </w:tcBorders>
            <w:vAlign w:val="center"/>
          </w:tcPr>
          <w:p w14:paraId="4D6585D5"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652</w:t>
            </w:r>
          </w:p>
        </w:tc>
        <w:tc>
          <w:tcPr>
            <w:tcW w:w="0" w:type="auto"/>
            <w:tcBorders>
              <w:tl2br w:val="nil"/>
              <w:tr2bl w:val="nil"/>
            </w:tcBorders>
            <w:vAlign w:val="center"/>
          </w:tcPr>
          <w:p w14:paraId="4ACC2B92"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452</w:t>
            </w:r>
          </w:p>
        </w:tc>
        <w:tc>
          <w:tcPr>
            <w:tcW w:w="0" w:type="auto"/>
            <w:tcBorders>
              <w:tl2br w:val="nil"/>
              <w:tr2bl w:val="nil"/>
            </w:tcBorders>
            <w:vAlign w:val="center"/>
          </w:tcPr>
          <w:p w14:paraId="15B06F29"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691</w:t>
            </w:r>
          </w:p>
        </w:tc>
        <w:tc>
          <w:tcPr>
            <w:tcW w:w="0" w:type="auto"/>
            <w:tcBorders>
              <w:tl2br w:val="nil"/>
              <w:tr2bl w:val="nil"/>
            </w:tcBorders>
            <w:vAlign w:val="center"/>
          </w:tcPr>
          <w:p w14:paraId="2CA539AF"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1660</w:t>
            </w:r>
          </w:p>
        </w:tc>
      </w:tr>
      <w:tr w:rsidR="00501C7E" w14:paraId="0F201073" w14:textId="77777777">
        <w:trPr>
          <w:jc w:val="center"/>
        </w:trPr>
        <w:tc>
          <w:tcPr>
            <w:tcW w:w="1621" w:type="dxa"/>
            <w:tcBorders>
              <w:tl2br w:val="nil"/>
              <w:tr2bl w:val="nil"/>
            </w:tcBorders>
            <w:vAlign w:val="center"/>
          </w:tcPr>
          <w:p w14:paraId="51F2BE94" w14:textId="77777777" w:rsidR="00501C7E" w:rsidRDefault="00EC5712">
            <w:pPr>
              <w:jc w:val="center"/>
              <w:textAlignment w:val="center"/>
              <w:rPr>
                <w:rFonts w:ascii="Times New Roman" w:hAnsi="Times New Roman"/>
                <w:sz w:val="18"/>
                <w:szCs w:val="18"/>
              </w:rPr>
            </w:pPr>
            <w:r>
              <w:rPr>
                <w:rFonts w:ascii="Times New Roman" w:hAnsi="Times New Roman"/>
                <w:kern w:val="0"/>
                <w:sz w:val="18"/>
                <w:szCs w:val="18"/>
              </w:rPr>
              <w:t>企业数量</w:t>
            </w:r>
          </w:p>
        </w:tc>
        <w:tc>
          <w:tcPr>
            <w:tcW w:w="0" w:type="auto"/>
            <w:tcBorders>
              <w:tl2br w:val="nil"/>
              <w:tr2bl w:val="nil"/>
            </w:tcBorders>
            <w:vAlign w:val="center"/>
          </w:tcPr>
          <w:p w14:paraId="6886232F" w14:textId="77777777" w:rsidR="00501C7E" w:rsidRDefault="00EC5712">
            <w:pPr>
              <w:jc w:val="center"/>
              <w:textAlignment w:val="center"/>
              <w:rPr>
                <w:rFonts w:ascii="Times New Roman" w:hAnsi="Times New Roman"/>
                <w:sz w:val="18"/>
                <w:szCs w:val="18"/>
              </w:rPr>
            </w:pPr>
            <w:r>
              <w:rPr>
                <w:rFonts w:ascii="Times New Roman" w:hAnsi="Times New Roman"/>
                <w:kern w:val="0"/>
                <w:sz w:val="18"/>
                <w:szCs w:val="18"/>
              </w:rPr>
              <w:t>企业数量</w:t>
            </w:r>
          </w:p>
        </w:tc>
        <w:tc>
          <w:tcPr>
            <w:tcW w:w="0" w:type="auto"/>
            <w:tcBorders>
              <w:tl2br w:val="nil"/>
              <w:tr2bl w:val="nil"/>
            </w:tcBorders>
            <w:vAlign w:val="center"/>
          </w:tcPr>
          <w:p w14:paraId="7D009FBB"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134332.3</w:t>
            </w:r>
          </w:p>
        </w:tc>
        <w:tc>
          <w:tcPr>
            <w:tcW w:w="0" w:type="auto"/>
            <w:tcBorders>
              <w:tl2br w:val="nil"/>
              <w:tr2bl w:val="nil"/>
            </w:tcBorders>
            <w:vAlign w:val="center"/>
          </w:tcPr>
          <w:p w14:paraId="1BFCCB16"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154451.9</w:t>
            </w:r>
          </w:p>
        </w:tc>
        <w:tc>
          <w:tcPr>
            <w:tcW w:w="0" w:type="auto"/>
            <w:tcBorders>
              <w:tl2br w:val="nil"/>
              <w:tr2bl w:val="nil"/>
            </w:tcBorders>
            <w:vAlign w:val="center"/>
          </w:tcPr>
          <w:p w14:paraId="4C07D219"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14484</w:t>
            </w:r>
          </w:p>
        </w:tc>
        <w:tc>
          <w:tcPr>
            <w:tcW w:w="0" w:type="auto"/>
            <w:tcBorders>
              <w:tl2br w:val="nil"/>
              <w:tr2bl w:val="nil"/>
            </w:tcBorders>
            <w:vAlign w:val="center"/>
          </w:tcPr>
          <w:p w14:paraId="6313F161"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407895</w:t>
            </w:r>
          </w:p>
        </w:tc>
      </w:tr>
      <w:tr w:rsidR="00501C7E" w14:paraId="49622397" w14:textId="77777777">
        <w:trPr>
          <w:jc w:val="center"/>
        </w:trPr>
        <w:tc>
          <w:tcPr>
            <w:tcW w:w="1621" w:type="dxa"/>
            <w:tcBorders>
              <w:tl2br w:val="nil"/>
              <w:tr2bl w:val="nil"/>
            </w:tcBorders>
            <w:vAlign w:val="center"/>
          </w:tcPr>
          <w:p w14:paraId="5C23C911" w14:textId="77777777" w:rsidR="00501C7E" w:rsidRDefault="00EC5712">
            <w:pPr>
              <w:jc w:val="center"/>
              <w:textAlignment w:val="center"/>
              <w:rPr>
                <w:rFonts w:ascii="Times New Roman" w:hAnsi="Times New Roman"/>
                <w:sz w:val="18"/>
                <w:szCs w:val="18"/>
              </w:rPr>
            </w:pPr>
            <w:r>
              <w:rPr>
                <w:rFonts w:ascii="Times New Roman" w:hAnsi="Times New Roman"/>
                <w:kern w:val="0"/>
                <w:sz w:val="18"/>
                <w:szCs w:val="18"/>
              </w:rPr>
              <w:t>产值</w:t>
            </w:r>
          </w:p>
        </w:tc>
        <w:tc>
          <w:tcPr>
            <w:tcW w:w="0" w:type="auto"/>
            <w:tcBorders>
              <w:tl2br w:val="nil"/>
              <w:tr2bl w:val="nil"/>
            </w:tcBorders>
            <w:vAlign w:val="center"/>
          </w:tcPr>
          <w:p w14:paraId="63E58157" w14:textId="77777777" w:rsidR="00501C7E" w:rsidRDefault="00EC5712">
            <w:pPr>
              <w:jc w:val="center"/>
              <w:textAlignment w:val="center"/>
              <w:rPr>
                <w:rFonts w:ascii="Times New Roman" w:hAnsi="Times New Roman"/>
                <w:sz w:val="18"/>
                <w:szCs w:val="18"/>
              </w:rPr>
            </w:pPr>
            <w:r>
              <w:rPr>
                <w:rFonts w:ascii="Times New Roman" w:hAnsi="Times New Roman"/>
                <w:kern w:val="0"/>
                <w:sz w:val="18"/>
                <w:szCs w:val="18"/>
              </w:rPr>
              <w:t>产值</w:t>
            </w:r>
            <w:r>
              <w:rPr>
                <w:rFonts w:ascii="Times New Roman" w:hAnsi="Times New Roman" w:hint="eastAsia"/>
                <w:kern w:val="0"/>
                <w:sz w:val="18"/>
                <w:szCs w:val="18"/>
              </w:rPr>
              <w:t>（</w:t>
            </w:r>
            <w:r>
              <w:rPr>
                <w:rFonts w:ascii="Times New Roman" w:hAnsi="Times New Roman"/>
                <w:kern w:val="0"/>
                <w:sz w:val="18"/>
                <w:szCs w:val="18"/>
              </w:rPr>
              <w:t>百万欧元</w:t>
            </w:r>
            <w:r>
              <w:rPr>
                <w:rFonts w:ascii="Times New Roman" w:hAnsi="Times New Roman" w:hint="eastAsia"/>
                <w:kern w:val="0"/>
                <w:sz w:val="18"/>
                <w:szCs w:val="18"/>
              </w:rPr>
              <w:t>）</w:t>
            </w:r>
          </w:p>
        </w:tc>
        <w:tc>
          <w:tcPr>
            <w:tcW w:w="0" w:type="auto"/>
            <w:tcBorders>
              <w:tl2br w:val="nil"/>
              <w:tr2bl w:val="nil"/>
            </w:tcBorders>
            <w:vAlign w:val="center"/>
          </w:tcPr>
          <w:p w14:paraId="769FE395"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378351.3</w:t>
            </w:r>
          </w:p>
        </w:tc>
        <w:tc>
          <w:tcPr>
            <w:tcW w:w="0" w:type="auto"/>
            <w:tcBorders>
              <w:tl2br w:val="nil"/>
              <w:tr2bl w:val="nil"/>
            </w:tcBorders>
            <w:vAlign w:val="center"/>
          </w:tcPr>
          <w:p w14:paraId="6EEACA6E"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190853.3</w:t>
            </w:r>
          </w:p>
        </w:tc>
        <w:tc>
          <w:tcPr>
            <w:tcW w:w="0" w:type="auto"/>
            <w:tcBorders>
              <w:tl2br w:val="nil"/>
              <w:tr2bl w:val="nil"/>
            </w:tcBorders>
            <w:vAlign w:val="center"/>
          </w:tcPr>
          <w:p w14:paraId="4064CF2E"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45253</w:t>
            </w:r>
          </w:p>
        </w:tc>
        <w:tc>
          <w:tcPr>
            <w:tcW w:w="0" w:type="auto"/>
            <w:tcBorders>
              <w:tl2br w:val="nil"/>
              <w:tr2bl w:val="nil"/>
            </w:tcBorders>
            <w:vAlign w:val="center"/>
          </w:tcPr>
          <w:p w14:paraId="766CDCDE"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981854</w:t>
            </w:r>
          </w:p>
        </w:tc>
      </w:tr>
      <w:tr w:rsidR="00501C7E" w14:paraId="13674628" w14:textId="77777777">
        <w:trPr>
          <w:jc w:val="center"/>
        </w:trPr>
        <w:tc>
          <w:tcPr>
            <w:tcW w:w="1621" w:type="dxa"/>
            <w:tcBorders>
              <w:tl2br w:val="nil"/>
              <w:tr2bl w:val="nil"/>
            </w:tcBorders>
            <w:vAlign w:val="center"/>
          </w:tcPr>
          <w:p w14:paraId="54FC23E8" w14:textId="77777777" w:rsidR="00501C7E" w:rsidRDefault="00EC5712">
            <w:pPr>
              <w:jc w:val="center"/>
              <w:textAlignment w:val="center"/>
              <w:rPr>
                <w:rFonts w:ascii="Times New Roman" w:hAnsi="Times New Roman"/>
                <w:sz w:val="18"/>
                <w:szCs w:val="18"/>
              </w:rPr>
            </w:pPr>
            <w:r>
              <w:rPr>
                <w:rFonts w:ascii="Times New Roman" w:hAnsi="Times New Roman"/>
                <w:kern w:val="0"/>
                <w:sz w:val="18"/>
                <w:szCs w:val="18"/>
              </w:rPr>
              <w:t>按要素成本计算的增</w:t>
            </w:r>
            <w:r>
              <w:rPr>
                <w:rFonts w:ascii="Times New Roman" w:hAnsi="Times New Roman" w:hint="eastAsia"/>
                <w:kern w:val="0"/>
                <w:sz w:val="18"/>
                <w:szCs w:val="18"/>
              </w:rPr>
              <w:t>加</w:t>
            </w:r>
            <w:r>
              <w:rPr>
                <w:rFonts w:ascii="Times New Roman" w:hAnsi="Times New Roman"/>
                <w:kern w:val="0"/>
                <w:sz w:val="18"/>
                <w:szCs w:val="18"/>
              </w:rPr>
              <w:t>值</w:t>
            </w:r>
          </w:p>
        </w:tc>
        <w:tc>
          <w:tcPr>
            <w:tcW w:w="0" w:type="auto"/>
            <w:tcBorders>
              <w:tl2br w:val="nil"/>
              <w:tr2bl w:val="nil"/>
            </w:tcBorders>
            <w:vAlign w:val="center"/>
          </w:tcPr>
          <w:p w14:paraId="67FA6321" w14:textId="77777777" w:rsidR="00501C7E" w:rsidRDefault="00EC5712">
            <w:pPr>
              <w:jc w:val="center"/>
              <w:textAlignment w:val="center"/>
              <w:rPr>
                <w:rFonts w:ascii="Times New Roman" w:hAnsi="Times New Roman"/>
                <w:sz w:val="18"/>
                <w:szCs w:val="18"/>
              </w:rPr>
            </w:pPr>
            <w:r>
              <w:rPr>
                <w:rFonts w:ascii="Times New Roman" w:hAnsi="Times New Roman"/>
                <w:kern w:val="0"/>
                <w:sz w:val="18"/>
                <w:szCs w:val="18"/>
              </w:rPr>
              <w:t>按要素成本计算的增</w:t>
            </w:r>
            <w:r>
              <w:rPr>
                <w:rFonts w:ascii="Times New Roman" w:hAnsi="Times New Roman" w:hint="eastAsia"/>
                <w:kern w:val="0"/>
                <w:sz w:val="18"/>
                <w:szCs w:val="18"/>
              </w:rPr>
              <w:t>加</w:t>
            </w:r>
            <w:r>
              <w:rPr>
                <w:rFonts w:ascii="Times New Roman" w:hAnsi="Times New Roman"/>
                <w:kern w:val="0"/>
                <w:sz w:val="18"/>
                <w:szCs w:val="18"/>
              </w:rPr>
              <w:t>值（百万欧元）</w:t>
            </w:r>
          </w:p>
        </w:tc>
        <w:tc>
          <w:tcPr>
            <w:tcW w:w="0" w:type="auto"/>
            <w:tcBorders>
              <w:tl2br w:val="nil"/>
              <w:tr2bl w:val="nil"/>
            </w:tcBorders>
            <w:vAlign w:val="center"/>
          </w:tcPr>
          <w:p w14:paraId="0BB9DFC1"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101796.7</w:t>
            </w:r>
          </w:p>
        </w:tc>
        <w:tc>
          <w:tcPr>
            <w:tcW w:w="0" w:type="auto"/>
            <w:tcBorders>
              <w:tl2br w:val="nil"/>
              <w:tr2bl w:val="nil"/>
            </w:tcBorders>
            <w:vAlign w:val="center"/>
          </w:tcPr>
          <w:p w14:paraId="74C99EC4"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53535.76</w:t>
            </w:r>
          </w:p>
        </w:tc>
        <w:tc>
          <w:tcPr>
            <w:tcW w:w="0" w:type="auto"/>
            <w:tcBorders>
              <w:tl2br w:val="nil"/>
              <w:tr2bl w:val="nil"/>
            </w:tcBorders>
            <w:vAlign w:val="center"/>
          </w:tcPr>
          <w:p w14:paraId="75DCB31F"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12481.5</w:t>
            </w:r>
          </w:p>
        </w:tc>
        <w:tc>
          <w:tcPr>
            <w:tcW w:w="0" w:type="auto"/>
            <w:tcBorders>
              <w:tl2br w:val="nil"/>
              <w:tr2bl w:val="nil"/>
            </w:tcBorders>
            <w:vAlign w:val="center"/>
          </w:tcPr>
          <w:p w14:paraId="2ED09816"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224882</w:t>
            </w:r>
          </w:p>
        </w:tc>
      </w:tr>
      <w:tr w:rsidR="00501C7E" w14:paraId="41734EC0" w14:textId="77777777">
        <w:trPr>
          <w:jc w:val="center"/>
        </w:trPr>
        <w:tc>
          <w:tcPr>
            <w:tcW w:w="1621" w:type="dxa"/>
            <w:tcBorders>
              <w:tl2br w:val="nil"/>
              <w:tr2bl w:val="nil"/>
            </w:tcBorders>
            <w:vAlign w:val="center"/>
          </w:tcPr>
          <w:p w14:paraId="7BFB2EEA" w14:textId="77777777" w:rsidR="00501C7E" w:rsidRDefault="00EC5712">
            <w:pPr>
              <w:jc w:val="center"/>
              <w:textAlignment w:val="center"/>
              <w:rPr>
                <w:rFonts w:ascii="Times New Roman" w:hAnsi="Times New Roman"/>
                <w:sz w:val="18"/>
                <w:szCs w:val="18"/>
              </w:rPr>
            </w:pPr>
            <w:r>
              <w:rPr>
                <w:rFonts w:ascii="Times New Roman" w:hAnsi="Times New Roman"/>
                <w:kern w:val="0"/>
                <w:sz w:val="18"/>
                <w:szCs w:val="18"/>
              </w:rPr>
              <w:t>盈余额</w:t>
            </w:r>
          </w:p>
        </w:tc>
        <w:tc>
          <w:tcPr>
            <w:tcW w:w="0" w:type="auto"/>
            <w:tcBorders>
              <w:tl2br w:val="nil"/>
              <w:tr2bl w:val="nil"/>
            </w:tcBorders>
            <w:vAlign w:val="center"/>
          </w:tcPr>
          <w:p w14:paraId="6E43C4A9" w14:textId="77777777" w:rsidR="00501C7E" w:rsidRDefault="00EC5712">
            <w:pPr>
              <w:jc w:val="center"/>
              <w:textAlignment w:val="center"/>
              <w:rPr>
                <w:rFonts w:ascii="Times New Roman" w:hAnsi="Times New Roman"/>
                <w:sz w:val="18"/>
                <w:szCs w:val="18"/>
              </w:rPr>
            </w:pPr>
            <w:r>
              <w:rPr>
                <w:rFonts w:ascii="Times New Roman" w:hAnsi="Times New Roman"/>
                <w:kern w:val="0"/>
                <w:sz w:val="18"/>
                <w:szCs w:val="18"/>
              </w:rPr>
              <w:t>盈余额（百万欧元）</w:t>
            </w:r>
          </w:p>
        </w:tc>
        <w:tc>
          <w:tcPr>
            <w:tcW w:w="0" w:type="auto"/>
            <w:tcBorders>
              <w:tl2br w:val="nil"/>
              <w:tr2bl w:val="nil"/>
            </w:tcBorders>
            <w:vAlign w:val="center"/>
          </w:tcPr>
          <w:p w14:paraId="38DC78C3"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36276.94</w:t>
            </w:r>
          </w:p>
        </w:tc>
        <w:tc>
          <w:tcPr>
            <w:tcW w:w="0" w:type="auto"/>
            <w:tcBorders>
              <w:tl2br w:val="nil"/>
              <w:tr2bl w:val="nil"/>
            </w:tcBorders>
            <w:vAlign w:val="center"/>
          </w:tcPr>
          <w:p w14:paraId="7D11A3EF"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20313.73</w:t>
            </w:r>
          </w:p>
        </w:tc>
        <w:tc>
          <w:tcPr>
            <w:tcW w:w="0" w:type="auto"/>
            <w:tcBorders>
              <w:tl2br w:val="nil"/>
              <w:tr2bl w:val="nil"/>
            </w:tcBorders>
            <w:vAlign w:val="center"/>
          </w:tcPr>
          <w:p w14:paraId="28CAF286"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4679</w:t>
            </w:r>
          </w:p>
        </w:tc>
        <w:tc>
          <w:tcPr>
            <w:tcW w:w="0" w:type="auto"/>
            <w:tcBorders>
              <w:tl2br w:val="nil"/>
              <w:tr2bl w:val="nil"/>
            </w:tcBorders>
            <w:vAlign w:val="center"/>
          </w:tcPr>
          <w:p w14:paraId="0CC6CB56"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79180</w:t>
            </w:r>
          </w:p>
        </w:tc>
      </w:tr>
      <w:tr w:rsidR="00501C7E" w14:paraId="5F282BA6" w14:textId="77777777">
        <w:trPr>
          <w:jc w:val="center"/>
        </w:trPr>
        <w:tc>
          <w:tcPr>
            <w:tcW w:w="1621" w:type="dxa"/>
            <w:tcBorders>
              <w:tl2br w:val="nil"/>
              <w:tr2bl w:val="nil"/>
            </w:tcBorders>
            <w:vAlign w:val="center"/>
          </w:tcPr>
          <w:p w14:paraId="7FA0F18A" w14:textId="77777777" w:rsidR="00501C7E" w:rsidRDefault="00EC5712">
            <w:pPr>
              <w:jc w:val="center"/>
              <w:textAlignment w:val="center"/>
              <w:rPr>
                <w:rFonts w:ascii="Times New Roman" w:hAnsi="Times New Roman"/>
                <w:sz w:val="18"/>
                <w:szCs w:val="18"/>
              </w:rPr>
            </w:pPr>
            <w:r>
              <w:rPr>
                <w:rFonts w:ascii="Times New Roman" w:hAnsi="Times New Roman"/>
                <w:kern w:val="0"/>
                <w:sz w:val="18"/>
                <w:szCs w:val="18"/>
              </w:rPr>
              <w:lastRenderedPageBreak/>
              <w:t>人事费</w:t>
            </w:r>
          </w:p>
        </w:tc>
        <w:tc>
          <w:tcPr>
            <w:tcW w:w="0" w:type="auto"/>
            <w:tcBorders>
              <w:tl2br w:val="nil"/>
              <w:tr2bl w:val="nil"/>
            </w:tcBorders>
            <w:vAlign w:val="center"/>
          </w:tcPr>
          <w:p w14:paraId="5C5F3A82" w14:textId="77777777" w:rsidR="00501C7E" w:rsidRDefault="00EC5712">
            <w:pPr>
              <w:jc w:val="center"/>
              <w:textAlignment w:val="center"/>
              <w:rPr>
                <w:rFonts w:ascii="Times New Roman" w:hAnsi="Times New Roman"/>
                <w:sz w:val="18"/>
                <w:szCs w:val="18"/>
              </w:rPr>
            </w:pPr>
            <w:r>
              <w:rPr>
                <w:rFonts w:ascii="Times New Roman" w:hAnsi="Times New Roman"/>
                <w:kern w:val="0"/>
                <w:sz w:val="18"/>
                <w:szCs w:val="18"/>
              </w:rPr>
              <w:t>人事费（百万欧元）</w:t>
            </w:r>
          </w:p>
        </w:tc>
        <w:tc>
          <w:tcPr>
            <w:tcW w:w="0" w:type="auto"/>
            <w:tcBorders>
              <w:tl2br w:val="nil"/>
              <w:tr2bl w:val="nil"/>
            </w:tcBorders>
            <w:vAlign w:val="center"/>
          </w:tcPr>
          <w:p w14:paraId="4C548556"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65786.11</w:t>
            </w:r>
          </w:p>
        </w:tc>
        <w:tc>
          <w:tcPr>
            <w:tcW w:w="0" w:type="auto"/>
            <w:tcBorders>
              <w:tl2br w:val="nil"/>
              <w:tr2bl w:val="nil"/>
            </w:tcBorders>
            <w:vAlign w:val="center"/>
          </w:tcPr>
          <w:p w14:paraId="618C1499"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35448.28</w:t>
            </w:r>
          </w:p>
        </w:tc>
        <w:tc>
          <w:tcPr>
            <w:tcW w:w="0" w:type="auto"/>
            <w:tcBorders>
              <w:tl2br w:val="nil"/>
              <w:tr2bl w:val="nil"/>
            </w:tcBorders>
            <w:vAlign w:val="center"/>
          </w:tcPr>
          <w:p w14:paraId="55FF220C"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7802.9</w:t>
            </w:r>
          </w:p>
        </w:tc>
        <w:tc>
          <w:tcPr>
            <w:tcW w:w="0" w:type="auto"/>
            <w:tcBorders>
              <w:tl2br w:val="nil"/>
              <w:tr2bl w:val="nil"/>
            </w:tcBorders>
            <w:vAlign w:val="center"/>
          </w:tcPr>
          <w:p w14:paraId="37CA18DA"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145701.6</w:t>
            </w:r>
          </w:p>
        </w:tc>
      </w:tr>
      <w:tr w:rsidR="00501C7E" w14:paraId="0263FFBB" w14:textId="77777777">
        <w:trPr>
          <w:jc w:val="center"/>
        </w:trPr>
        <w:tc>
          <w:tcPr>
            <w:tcW w:w="1621" w:type="dxa"/>
            <w:tcBorders>
              <w:tl2br w:val="nil"/>
              <w:tr2bl w:val="nil"/>
            </w:tcBorders>
            <w:vAlign w:val="center"/>
          </w:tcPr>
          <w:p w14:paraId="231F71F2" w14:textId="77777777" w:rsidR="00501C7E" w:rsidRDefault="00EC5712">
            <w:pPr>
              <w:jc w:val="center"/>
              <w:textAlignment w:val="center"/>
              <w:rPr>
                <w:rFonts w:ascii="Times New Roman" w:hAnsi="Times New Roman"/>
                <w:sz w:val="18"/>
                <w:szCs w:val="18"/>
              </w:rPr>
            </w:pPr>
            <w:r>
              <w:rPr>
                <w:rFonts w:ascii="Times New Roman" w:hAnsi="Times New Roman"/>
                <w:kern w:val="0"/>
                <w:sz w:val="18"/>
                <w:szCs w:val="18"/>
              </w:rPr>
              <w:t>工资</w:t>
            </w:r>
          </w:p>
        </w:tc>
        <w:tc>
          <w:tcPr>
            <w:tcW w:w="0" w:type="auto"/>
            <w:tcBorders>
              <w:tl2br w:val="nil"/>
              <w:tr2bl w:val="nil"/>
            </w:tcBorders>
            <w:vAlign w:val="center"/>
          </w:tcPr>
          <w:p w14:paraId="0863274F" w14:textId="77777777" w:rsidR="00501C7E" w:rsidRDefault="00EC5712">
            <w:pPr>
              <w:jc w:val="center"/>
              <w:textAlignment w:val="center"/>
              <w:rPr>
                <w:rFonts w:ascii="Times New Roman" w:hAnsi="Times New Roman"/>
                <w:sz w:val="18"/>
                <w:szCs w:val="18"/>
              </w:rPr>
            </w:pPr>
            <w:r>
              <w:rPr>
                <w:rFonts w:ascii="Times New Roman" w:hAnsi="Times New Roman"/>
                <w:kern w:val="0"/>
                <w:sz w:val="18"/>
                <w:szCs w:val="18"/>
              </w:rPr>
              <w:t>工资（百万欧元）</w:t>
            </w:r>
          </w:p>
        </w:tc>
        <w:tc>
          <w:tcPr>
            <w:tcW w:w="0" w:type="auto"/>
            <w:tcBorders>
              <w:tl2br w:val="nil"/>
              <w:tr2bl w:val="nil"/>
            </w:tcBorders>
            <w:vAlign w:val="center"/>
          </w:tcPr>
          <w:p w14:paraId="5EE7C5BC"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51738.37</w:t>
            </w:r>
          </w:p>
        </w:tc>
        <w:tc>
          <w:tcPr>
            <w:tcW w:w="0" w:type="auto"/>
            <w:tcBorders>
              <w:tl2br w:val="nil"/>
              <w:tr2bl w:val="nil"/>
            </w:tcBorders>
            <w:vAlign w:val="center"/>
          </w:tcPr>
          <w:p w14:paraId="7C99946F"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27686.25</w:t>
            </w:r>
          </w:p>
        </w:tc>
        <w:tc>
          <w:tcPr>
            <w:tcW w:w="0" w:type="auto"/>
            <w:tcBorders>
              <w:tl2br w:val="nil"/>
              <w:tr2bl w:val="nil"/>
            </w:tcBorders>
            <w:vAlign w:val="center"/>
          </w:tcPr>
          <w:p w14:paraId="2AE0700B"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5908</w:t>
            </w:r>
          </w:p>
        </w:tc>
        <w:tc>
          <w:tcPr>
            <w:tcW w:w="0" w:type="auto"/>
            <w:tcBorders>
              <w:tl2br w:val="nil"/>
              <w:tr2bl w:val="nil"/>
            </w:tcBorders>
            <w:vAlign w:val="center"/>
          </w:tcPr>
          <w:p w14:paraId="7F372A70"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114638.8</w:t>
            </w:r>
          </w:p>
        </w:tc>
      </w:tr>
      <w:tr w:rsidR="00501C7E" w14:paraId="1A6D8F3C" w14:textId="77777777">
        <w:trPr>
          <w:jc w:val="center"/>
        </w:trPr>
        <w:tc>
          <w:tcPr>
            <w:tcW w:w="1621" w:type="dxa"/>
            <w:tcBorders>
              <w:tl2br w:val="nil"/>
              <w:tr2bl w:val="nil"/>
            </w:tcBorders>
            <w:vAlign w:val="center"/>
          </w:tcPr>
          <w:p w14:paraId="515651EB" w14:textId="77777777" w:rsidR="00501C7E" w:rsidRDefault="00EC5712">
            <w:pPr>
              <w:jc w:val="center"/>
              <w:textAlignment w:val="center"/>
              <w:rPr>
                <w:rFonts w:ascii="Times New Roman" w:hAnsi="Times New Roman"/>
                <w:sz w:val="18"/>
                <w:szCs w:val="18"/>
              </w:rPr>
            </w:pPr>
            <w:r>
              <w:rPr>
                <w:rFonts w:ascii="Times New Roman" w:hAnsi="Times New Roman"/>
                <w:kern w:val="0"/>
                <w:sz w:val="18"/>
                <w:szCs w:val="18"/>
              </w:rPr>
              <w:t>营业额</w:t>
            </w:r>
          </w:p>
        </w:tc>
        <w:tc>
          <w:tcPr>
            <w:tcW w:w="0" w:type="auto"/>
            <w:tcBorders>
              <w:tl2br w:val="nil"/>
              <w:tr2bl w:val="nil"/>
            </w:tcBorders>
            <w:vAlign w:val="center"/>
          </w:tcPr>
          <w:p w14:paraId="77918BEC" w14:textId="77777777" w:rsidR="00501C7E" w:rsidRDefault="00EC5712">
            <w:pPr>
              <w:jc w:val="center"/>
              <w:textAlignment w:val="center"/>
              <w:rPr>
                <w:rFonts w:ascii="Times New Roman" w:hAnsi="Times New Roman"/>
                <w:kern w:val="0"/>
                <w:sz w:val="18"/>
                <w:szCs w:val="18"/>
              </w:rPr>
            </w:pPr>
            <w:r>
              <w:rPr>
                <w:rFonts w:ascii="Times New Roman" w:hAnsi="Times New Roman"/>
                <w:kern w:val="0"/>
                <w:sz w:val="18"/>
                <w:szCs w:val="18"/>
              </w:rPr>
              <w:t>营业额（百万欧元）</w:t>
            </w:r>
          </w:p>
        </w:tc>
        <w:tc>
          <w:tcPr>
            <w:tcW w:w="0" w:type="auto"/>
            <w:tcBorders>
              <w:tl2br w:val="nil"/>
              <w:tr2bl w:val="nil"/>
            </w:tcBorders>
            <w:vAlign w:val="center"/>
          </w:tcPr>
          <w:p w14:paraId="25B1CEA1"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406715.4</w:t>
            </w:r>
          </w:p>
        </w:tc>
        <w:tc>
          <w:tcPr>
            <w:tcW w:w="0" w:type="auto"/>
            <w:tcBorders>
              <w:tl2br w:val="nil"/>
              <w:tr2bl w:val="nil"/>
            </w:tcBorders>
            <w:vAlign w:val="center"/>
          </w:tcPr>
          <w:p w14:paraId="3150AD90"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216682.1</w:t>
            </w:r>
          </w:p>
        </w:tc>
        <w:tc>
          <w:tcPr>
            <w:tcW w:w="0" w:type="auto"/>
            <w:tcBorders>
              <w:tl2br w:val="nil"/>
              <w:tr2bl w:val="nil"/>
            </w:tcBorders>
            <w:vAlign w:val="center"/>
          </w:tcPr>
          <w:p w14:paraId="7F1F3431"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47781.2</w:t>
            </w:r>
          </w:p>
        </w:tc>
        <w:tc>
          <w:tcPr>
            <w:tcW w:w="0" w:type="auto"/>
            <w:tcBorders>
              <w:tl2br w:val="nil"/>
              <w:tr2bl w:val="nil"/>
            </w:tcBorders>
            <w:vAlign w:val="center"/>
          </w:tcPr>
          <w:p w14:paraId="6B22358F"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1193810</w:t>
            </w:r>
          </w:p>
        </w:tc>
      </w:tr>
      <w:tr w:rsidR="00501C7E" w14:paraId="784DDE64" w14:textId="77777777">
        <w:trPr>
          <w:jc w:val="center"/>
        </w:trPr>
        <w:tc>
          <w:tcPr>
            <w:tcW w:w="1621" w:type="dxa"/>
            <w:tcBorders>
              <w:tl2br w:val="nil"/>
              <w:tr2bl w:val="nil"/>
            </w:tcBorders>
            <w:vAlign w:val="center"/>
          </w:tcPr>
          <w:p w14:paraId="781CB401" w14:textId="77777777" w:rsidR="00501C7E" w:rsidRDefault="00EC5712">
            <w:pPr>
              <w:jc w:val="center"/>
              <w:textAlignment w:val="center"/>
              <w:rPr>
                <w:rFonts w:ascii="Times New Roman" w:hAnsi="Times New Roman"/>
                <w:sz w:val="18"/>
                <w:szCs w:val="18"/>
              </w:rPr>
            </w:pPr>
            <w:r>
              <w:rPr>
                <w:rFonts w:ascii="Times New Roman" w:hAnsi="Times New Roman"/>
                <w:kern w:val="0"/>
                <w:sz w:val="18"/>
                <w:szCs w:val="18"/>
              </w:rPr>
              <w:t>内部贸易值</w:t>
            </w:r>
          </w:p>
        </w:tc>
        <w:tc>
          <w:tcPr>
            <w:tcW w:w="0" w:type="auto"/>
            <w:tcBorders>
              <w:tl2br w:val="nil"/>
              <w:tr2bl w:val="nil"/>
            </w:tcBorders>
            <w:vAlign w:val="center"/>
          </w:tcPr>
          <w:p w14:paraId="003287F3" w14:textId="77777777" w:rsidR="00501C7E" w:rsidRDefault="00EC5712">
            <w:pPr>
              <w:jc w:val="center"/>
              <w:textAlignment w:val="center"/>
              <w:rPr>
                <w:rFonts w:ascii="Times New Roman" w:hAnsi="Times New Roman"/>
                <w:kern w:val="0"/>
                <w:sz w:val="18"/>
                <w:szCs w:val="18"/>
              </w:rPr>
            </w:pPr>
            <w:r>
              <w:rPr>
                <w:rFonts w:ascii="Times New Roman" w:hAnsi="Times New Roman"/>
                <w:kern w:val="0"/>
                <w:sz w:val="18"/>
                <w:szCs w:val="18"/>
              </w:rPr>
              <w:t>内部贸易值（百万欧元）</w:t>
            </w:r>
          </w:p>
        </w:tc>
        <w:tc>
          <w:tcPr>
            <w:tcW w:w="0" w:type="auto"/>
            <w:tcBorders>
              <w:tl2br w:val="nil"/>
              <w:tr2bl w:val="nil"/>
            </w:tcBorders>
            <w:vAlign w:val="center"/>
          </w:tcPr>
          <w:p w14:paraId="2D9612E0"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100278</w:t>
            </w:r>
          </w:p>
        </w:tc>
        <w:tc>
          <w:tcPr>
            <w:tcW w:w="0" w:type="auto"/>
            <w:tcBorders>
              <w:tl2br w:val="nil"/>
              <w:tr2bl w:val="nil"/>
            </w:tcBorders>
            <w:vAlign w:val="center"/>
          </w:tcPr>
          <w:p w14:paraId="715EEB8C"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71143.44</w:t>
            </w:r>
          </w:p>
        </w:tc>
        <w:tc>
          <w:tcPr>
            <w:tcW w:w="0" w:type="auto"/>
            <w:tcBorders>
              <w:tl2br w:val="nil"/>
              <w:tr2bl w:val="nil"/>
            </w:tcBorders>
            <w:vAlign w:val="center"/>
          </w:tcPr>
          <w:p w14:paraId="617F4FB8"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14287.87</w:t>
            </w:r>
          </w:p>
        </w:tc>
        <w:tc>
          <w:tcPr>
            <w:tcW w:w="0" w:type="auto"/>
            <w:tcBorders>
              <w:tl2br w:val="nil"/>
              <w:tr2bl w:val="nil"/>
            </w:tcBorders>
            <w:vAlign w:val="center"/>
          </w:tcPr>
          <w:p w14:paraId="6C223B67"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415000</w:t>
            </w:r>
          </w:p>
        </w:tc>
      </w:tr>
    </w:tbl>
    <w:p w14:paraId="5E59ABD2" w14:textId="77777777" w:rsidR="00501C7E" w:rsidRDefault="00501C7E">
      <w:pPr>
        <w:rPr>
          <w:rFonts w:ascii="Times New Roman" w:eastAsia="楷体" w:hAnsi="Times New Roman"/>
          <w:szCs w:val="21"/>
        </w:rPr>
      </w:pPr>
    </w:p>
    <w:p w14:paraId="31217D1E" w14:textId="77777777" w:rsidR="00501C7E" w:rsidRDefault="00EC5712" w:rsidP="00FE1FDC">
      <w:pPr>
        <w:spacing w:beforeLines="100" w:before="312" w:afterLines="100" w:after="312"/>
        <w:jc w:val="center"/>
        <w:rPr>
          <w:rFonts w:ascii="Times New Roman" w:eastAsia="楷体" w:hAnsi="Times New Roman"/>
          <w:szCs w:val="21"/>
        </w:rPr>
      </w:pPr>
      <w:r>
        <w:rPr>
          <w:rFonts w:ascii="Times New Roman" w:eastAsia="黑体" w:hAnsi="Times New Roman"/>
          <w:sz w:val="28"/>
          <w:szCs w:val="28"/>
        </w:rPr>
        <w:t>五、实证结果</w:t>
      </w:r>
      <w:r w:rsidR="00466471">
        <w:rPr>
          <w:rFonts w:ascii="Times New Roman" w:eastAsia="黑体" w:hAnsi="Times New Roman"/>
          <w:sz w:val="28"/>
          <w:szCs w:val="28"/>
        </w:rPr>
        <w:t>分析</w:t>
      </w:r>
    </w:p>
    <w:p w14:paraId="6CC9BBF7" w14:textId="77777777" w:rsidR="00501C7E" w:rsidRDefault="00EC5712">
      <w:pPr>
        <w:ind w:firstLine="420"/>
        <w:outlineLvl w:val="0"/>
        <w:rPr>
          <w:rFonts w:ascii="黑体" w:eastAsia="黑体" w:hAnsi="黑体" w:cs="黑体"/>
          <w:szCs w:val="21"/>
        </w:rPr>
      </w:pPr>
      <w:r>
        <w:rPr>
          <w:rFonts w:ascii="黑体" w:eastAsia="黑体" w:hAnsi="黑体" w:cs="黑体" w:hint="eastAsia"/>
          <w:szCs w:val="21"/>
        </w:rPr>
        <w:t>（一）基准检验</w:t>
      </w:r>
      <w:r w:rsidR="00466471">
        <w:rPr>
          <w:rFonts w:ascii="黑体" w:eastAsia="黑体" w:hAnsi="黑体" w:cs="黑体" w:hint="eastAsia"/>
          <w:szCs w:val="21"/>
        </w:rPr>
        <w:t>结果</w:t>
      </w:r>
    </w:p>
    <w:p w14:paraId="123CEB4B" w14:textId="77777777" w:rsidR="00501C7E" w:rsidRDefault="00EC5712">
      <w:pPr>
        <w:ind w:firstLine="420"/>
        <w:jc w:val="left"/>
        <w:rPr>
          <w:rFonts w:ascii="Times New Roman" w:hAnsi="Times New Roman"/>
          <w:position w:val="-5"/>
        </w:rPr>
      </w:pPr>
      <w:r>
        <w:rPr>
          <w:rFonts w:ascii="Times New Roman" w:hAnsi="Times New Roman" w:hint="eastAsia"/>
          <w:szCs w:val="21"/>
        </w:rPr>
        <w:t>为了检验本文的实证计量模型</w:t>
      </w:r>
      <w:r w:rsidR="00466471">
        <w:rPr>
          <w:rFonts w:ascii="Times New Roman" w:hAnsi="Times New Roman" w:hint="eastAsia"/>
          <w:szCs w:val="21"/>
        </w:rPr>
        <w:t>式</w:t>
      </w:r>
      <w:r>
        <w:rPr>
          <w:rFonts w:ascii="Times New Roman" w:hAnsi="Times New Roman" w:hint="eastAsia"/>
          <w:szCs w:val="21"/>
        </w:rPr>
        <w:t>（</w:t>
      </w:r>
      <w:r>
        <w:rPr>
          <w:rFonts w:ascii="Times New Roman" w:hAnsi="Times New Roman" w:hint="eastAsia"/>
          <w:szCs w:val="21"/>
        </w:rPr>
        <w:t>7</w:t>
      </w:r>
      <w:r w:rsidR="00466471">
        <w:rPr>
          <w:rFonts w:ascii="Times New Roman" w:hAnsi="Times New Roman" w:hint="eastAsia"/>
          <w:szCs w:val="21"/>
        </w:rPr>
        <w:t>）</w:t>
      </w:r>
      <w:r>
        <w:rPr>
          <w:rFonts w:ascii="Times New Roman" w:hAnsi="Times New Roman" w:hint="eastAsia"/>
          <w:szCs w:val="21"/>
        </w:rPr>
        <w:t>，</w:t>
      </w:r>
      <w:r>
        <w:rPr>
          <w:rFonts w:ascii="Times New Roman" w:hAnsi="Times New Roman"/>
          <w:szCs w:val="21"/>
        </w:rPr>
        <w:t>本文首先按照影响力的大小，将申诉者归纳为国际行业协会、欧盟行业总协会、欧盟行业分协会、国家协会和企业五种类型，随后再根据申诉者在行业内的影响力和厂商代表性进行排序（详见表</w:t>
      </w:r>
      <w:r>
        <w:rPr>
          <w:rFonts w:ascii="Times New Roman" w:hAnsi="Times New Roman"/>
          <w:szCs w:val="21"/>
        </w:rPr>
        <w:t>2</w:t>
      </w:r>
      <w:r w:rsidR="00466471">
        <w:rPr>
          <w:rFonts w:ascii="Times New Roman" w:hAnsi="Times New Roman"/>
          <w:szCs w:val="21"/>
        </w:rPr>
        <w:t>）。为保证计量结果的稳健性，本文</w:t>
      </w:r>
      <w:r>
        <w:rPr>
          <w:rFonts w:ascii="Times New Roman" w:hAnsi="Times New Roman"/>
          <w:szCs w:val="21"/>
        </w:rPr>
        <w:t>将采用多种方法构建</w:t>
      </w:r>
      <m:oMath>
        <m:sSub>
          <m:sSubPr>
            <m:ctrlPr>
              <w:rPr>
                <w:rFonts w:ascii="Cambria Math" w:hAnsi="Cambria Math"/>
                <w:i/>
                <w:szCs w:val="21"/>
              </w:rPr>
            </m:ctrlPr>
          </m:sSubPr>
          <m:e>
            <m:r>
              <w:rPr>
                <w:rFonts w:ascii="Cambria Math" w:hAnsi="Cambria Math"/>
                <w:szCs w:val="21"/>
              </w:rPr>
              <m:t>I</m:t>
            </m:r>
          </m:e>
          <m:sub>
            <m:r>
              <w:rPr>
                <w:rFonts w:ascii="Cambria Math" w:hAnsi="Cambria Math"/>
                <w:szCs w:val="21"/>
              </w:rPr>
              <m:t>i</m:t>
            </m:r>
          </m:sub>
        </m:sSub>
      </m:oMath>
      <w:r>
        <w:rPr>
          <w:rFonts w:ascii="Times New Roman" w:hAnsi="Times New Roman"/>
          <w:szCs w:val="21"/>
        </w:rPr>
        <w:t>值，分别设定排名在前</w:t>
      </w:r>
      <w:r>
        <w:rPr>
          <w:rFonts w:ascii="Times New Roman" w:hAnsi="Times New Roman"/>
          <w:szCs w:val="21"/>
        </w:rPr>
        <w:t>30%</w:t>
      </w:r>
      <w:r>
        <w:rPr>
          <w:rFonts w:ascii="Times New Roman" w:hAnsi="Times New Roman"/>
          <w:szCs w:val="21"/>
        </w:rPr>
        <w:t>、</w:t>
      </w:r>
      <w:r>
        <w:rPr>
          <w:rFonts w:ascii="Times New Roman" w:hAnsi="Times New Roman"/>
          <w:szCs w:val="21"/>
        </w:rPr>
        <w:t>40%</w:t>
      </w:r>
      <w:r>
        <w:rPr>
          <w:rFonts w:ascii="Times New Roman" w:hAnsi="Times New Roman"/>
          <w:szCs w:val="21"/>
        </w:rPr>
        <w:t>和</w:t>
      </w:r>
      <w:r>
        <w:rPr>
          <w:rFonts w:ascii="Times New Roman" w:hAnsi="Times New Roman"/>
          <w:szCs w:val="21"/>
        </w:rPr>
        <w:t>50%</w:t>
      </w:r>
      <w:r>
        <w:rPr>
          <w:rFonts w:ascii="Times New Roman" w:hAnsi="Times New Roman"/>
          <w:szCs w:val="21"/>
        </w:rPr>
        <w:t>的申诉者具有较强政治势力，即其虚拟变量</w:t>
      </w:r>
      <m:oMath>
        <m:sSub>
          <m:sSubPr>
            <m:ctrlPr>
              <w:rPr>
                <w:rFonts w:ascii="Cambria Math" w:hAnsi="Cambria Math"/>
                <w:i/>
                <w:szCs w:val="21"/>
              </w:rPr>
            </m:ctrlPr>
          </m:sSubPr>
          <m:e>
            <m:r>
              <w:rPr>
                <w:rFonts w:ascii="Cambria Math" w:hAnsi="Cambria Math"/>
                <w:szCs w:val="21"/>
              </w:rPr>
              <m:t>I</m:t>
            </m:r>
          </m:e>
          <m:sub>
            <m:r>
              <w:rPr>
                <w:rFonts w:ascii="Cambria Math" w:hAnsi="Cambria Math"/>
                <w:szCs w:val="21"/>
              </w:rPr>
              <m:t>i</m:t>
            </m:r>
          </m:sub>
        </m:sSub>
      </m:oMath>
      <w:r>
        <w:rPr>
          <w:rFonts w:ascii="Times New Roman" w:hAnsi="Times New Roman"/>
          <w:szCs w:val="21"/>
        </w:rPr>
        <w:t>值为</w:t>
      </w:r>
      <w:r>
        <w:rPr>
          <w:rFonts w:ascii="Times New Roman" w:hAnsi="Times New Roman"/>
          <w:szCs w:val="21"/>
        </w:rPr>
        <w:t>1</w:t>
      </w:r>
      <w:r w:rsidR="00466471">
        <w:rPr>
          <w:rFonts w:ascii="Times New Roman" w:hAnsi="Times New Roman"/>
          <w:szCs w:val="21"/>
        </w:rPr>
        <w:t>。在此基础上，本文</w:t>
      </w:r>
      <w:r>
        <w:rPr>
          <w:rFonts w:ascii="Times New Roman" w:hAnsi="Times New Roman"/>
          <w:szCs w:val="21"/>
        </w:rPr>
        <w:t>依据</w:t>
      </w:r>
      <w:r w:rsidR="00466471">
        <w:rPr>
          <w:rFonts w:ascii="Times New Roman" w:hAnsi="Times New Roman"/>
          <w:szCs w:val="21"/>
        </w:rPr>
        <w:t>式</w:t>
      </w:r>
      <w:r>
        <w:rPr>
          <w:rFonts w:ascii="Times New Roman" w:hAnsi="Times New Roman"/>
          <w:szCs w:val="21"/>
        </w:rPr>
        <w:t>（</w:t>
      </w:r>
      <w:r>
        <w:rPr>
          <w:rFonts w:ascii="Times New Roman" w:hAnsi="Times New Roman"/>
          <w:szCs w:val="21"/>
        </w:rPr>
        <w:t>7</w:t>
      </w:r>
      <w:r w:rsidR="00466471">
        <w:rPr>
          <w:rFonts w:ascii="Times New Roman" w:hAnsi="Times New Roman"/>
          <w:szCs w:val="21"/>
        </w:rPr>
        <w:t>）</w:t>
      </w:r>
      <w:r>
        <w:rPr>
          <w:rFonts w:ascii="Times New Roman" w:hAnsi="Times New Roman"/>
          <w:szCs w:val="21"/>
        </w:rPr>
        <w:t>进行基准检验，分别以初裁税率和终裁税率为被解释变量进行回归，估计结果如表</w:t>
      </w:r>
      <w:r>
        <w:rPr>
          <w:rFonts w:ascii="Times New Roman" w:hAnsi="Times New Roman"/>
          <w:szCs w:val="21"/>
        </w:rPr>
        <w:t>4</w:t>
      </w:r>
      <w:r>
        <w:rPr>
          <w:rFonts w:ascii="Times New Roman" w:hAnsi="Times New Roman"/>
          <w:szCs w:val="21"/>
        </w:rPr>
        <w:t>所示。可以看出，估计系数</w:t>
      </w:r>
      <m:oMath>
        <m:r>
          <w:rPr>
            <w:rFonts w:ascii="Cambria Math" w:hAnsi="Cambria Math"/>
            <w:szCs w:val="21"/>
          </w:rPr>
          <m:t>γ</m:t>
        </m:r>
      </m:oMath>
      <w:r>
        <w:rPr>
          <w:rFonts w:ascii="Times New Roman" w:hAnsi="Times New Roman"/>
          <w:szCs w:val="21"/>
        </w:rPr>
        <w:t>显著为负，</w:t>
      </w:r>
      <m:oMath>
        <m:r>
          <w:rPr>
            <w:rFonts w:ascii="Cambria Math" w:hAnsi="Cambria Math"/>
            <w:szCs w:val="21"/>
          </w:rPr>
          <m:t>δ</m:t>
        </m:r>
      </m:oMath>
      <w:r>
        <w:rPr>
          <w:rFonts w:ascii="Times New Roman" w:hAnsi="Times New Roman"/>
          <w:szCs w:val="21"/>
        </w:rPr>
        <w:t>和</w:t>
      </w:r>
      <m:oMath>
        <m:r>
          <w:rPr>
            <w:rFonts w:ascii="Cambria Math" w:hAnsi="Cambria Math"/>
            <w:szCs w:val="21"/>
          </w:rPr>
          <m:t>γ+δ</m:t>
        </m:r>
      </m:oMath>
      <w:r>
        <w:rPr>
          <w:rFonts w:ascii="Times New Roman" w:hAnsi="Times New Roman"/>
          <w:szCs w:val="21"/>
        </w:rPr>
        <w:t>显著为正，符合保护待售模型的理论预测，估计方程在整体上显著，拟合效果较好，不存在严重的自相关问题。这样的结果初步表明，欧盟对华反倾销裁定的税率结构符合保护待售模型的基本结论，即政治上有组织的申诉者往往会获得更高水平的贸易保护。反倾销保护水平同行业的进口需求弹性成反比，意味着欧盟裁定机构也会考虑贸易保护带来的社会福利损失，对可能造成较大福利损失（进口需求弹性大）的行业，给予相对较低的贸易保护水平。同理论预测一致，贸易保护水平同进口渗透率之间的关系不确定，取决于行业是否有效组成了利益集团。</w:t>
      </w:r>
    </w:p>
    <w:p w14:paraId="461B59C3" w14:textId="77777777" w:rsidR="00501C7E" w:rsidRDefault="00501C7E">
      <w:pPr>
        <w:jc w:val="left"/>
        <w:rPr>
          <w:rFonts w:ascii="Times New Roman" w:hAnsi="Times New Roman"/>
          <w:szCs w:val="21"/>
        </w:rPr>
      </w:pPr>
    </w:p>
    <w:p w14:paraId="224F6C8D" w14:textId="77777777" w:rsidR="00501C7E" w:rsidRDefault="00EC5712">
      <w:pPr>
        <w:jc w:val="center"/>
        <w:rPr>
          <w:rFonts w:ascii="Times New Roman" w:hAnsi="Times New Roman"/>
          <w:szCs w:val="21"/>
        </w:rPr>
      </w:pPr>
      <w:r>
        <w:rPr>
          <w:rFonts w:ascii="Times New Roman" w:eastAsia="楷体" w:hAnsi="Times New Roman"/>
          <w:bCs/>
          <w:szCs w:val="21"/>
        </w:rPr>
        <w:t>表</w:t>
      </w:r>
      <w:r>
        <w:rPr>
          <w:rFonts w:ascii="Times New Roman" w:eastAsia="楷体" w:hAnsi="Times New Roman"/>
          <w:bCs/>
          <w:szCs w:val="21"/>
        </w:rPr>
        <w:t xml:space="preserve">4  </w:t>
      </w:r>
      <w:r>
        <w:rPr>
          <w:rFonts w:ascii="Times New Roman" w:eastAsia="楷体" w:hAnsi="Times New Roman"/>
          <w:bCs/>
          <w:szCs w:val="21"/>
        </w:rPr>
        <w:t>单方程</w:t>
      </w:r>
      <w:r>
        <w:rPr>
          <w:rFonts w:ascii="Times New Roman" w:eastAsia="楷体" w:hAnsi="Times New Roman"/>
          <w:bCs/>
          <w:szCs w:val="21"/>
        </w:rPr>
        <w:t>OLS</w:t>
      </w:r>
      <w:r>
        <w:rPr>
          <w:rFonts w:ascii="Times New Roman" w:eastAsia="楷体" w:hAnsi="Times New Roman"/>
          <w:bCs/>
          <w:szCs w:val="21"/>
        </w:rPr>
        <w:t>估计结果</w:t>
      </w:r>
    </w:p>
    <w:tbl>
      <w:tblPr>
        <w:tblStyle w:val="a7"/>
        <w:tblW w:w="4997" w:type="pct"/>
        <w:jc w:val="center"/>
        <w:tblLook w:val="04A0" w:firstRow="1" w:lastRow="0" w:firstColumn="1" w:lastColumn="0" w:noHBand="0" w:noVBand="1"/>
      </w:tblPr>
      <w:tblGrid>
        <w:gridCol w:w="1814"/>
        <w:gridCol w:w="1406"/>
        <w:gridCol w:w="1238"/>
        <w:gridCol w:w="1134"/>
        <w:gridCol w:w="1205"/>
        <w:gridCol w:w="1108"/>
        <w:gridCol w:w="1208"/>
      </w:tblGrid>
      <w:tr w:rsidR="00501C7E" w14:paraId="00C90379" w14:textId="77777777">
        <w:trPr>
          <w:jc w:val="center"/>
        </w:trPr>
        <w:tc>
          <w:tcPr>
            <w:tcW w:w="995" w:type="pct"/>
            <w:tcBorders>
              <w:tl2br w:val="nil"/>
              <w:tr2bl w:val="nil"/>
            </w:tcBorders>
            <w:vAlign w:val="center"/>
          </w:tcPr>
          <w:p w14:paraId="5C04277A" w14:textId="77777777" w:rsidR="00501C7E" w:rsidRDefault="00EC5712">
            <w:pPr>
              <w:jc w:val="center"/>
              <w:rPr>
                <w:rFonts w:ascii="Times New Roman" w:hAnsi="Times New Roman"/>
                <w:sz w:val="18"/>
                <w:szCs w:val="18"/>
              </w:rPr>
            </w:pPr>
            <w:r>
              <w:rPr>
                <w:rFonts w:ascii="Times New Roman" w:hAnsi="Times New Roman"/>
                <w:sz w:val="18"/>
                <w:szCs w:val="18"/>
              </w:rPr>
              <w:t>申诉者政治势力</w:t>
            </w:r>
          </w:p>
          <w:p w14:paraId="266B4D63" w14:textId="77777777" w:rsidR="00501C7E" w:rsidRDefault="00EC5712">
            <w:pPr>
              <w:jc w:val="center"/>
              <w:rPr>
                <w:rFonts w:ascii="Times New Roman" w:hAnsi="Times New Roman"/>
                <w:sz w:val="18"/>
                <w:szCs w:val="18"/>
              </w:rPr>
            </w:pPr>
            <w:r>
              <w:rPr>
                <w:rFonts w:ascii="Times New Roman" w:hAnsi="Times New Roman"/>
                <w:sz w:val="18"/>
                <w:szCs w:val="18"/>
              </w:rPr>
              <w:t>排名</w:t>
            </w:r>
          </w:p>
        </w:tc>
        <w:tc>
          <w:tcPr>
            <w:tcW w:w="771" w:type="pct"/>
            <w:tcBorders>
              <w:tl2br w:val="nil"/>
              <w:tr2bl w:val="nil"/>
            </w:tcBorders>
            <w:vAlign w:val="center"/>
          </w:tcPr>
          <w:p w14:paraId="7D848F2D" w14:textId="77777777" w:rsidR="00501C7E" w:rsidRDefault="00EC5712">
            <w:pPr>
              <w:jc w:val="center"/>
              <w:rPr>
                <w:rFonts w:ascii="Times New Roman" w:hAnsi="Times New Roman"/>
                <w:sz w:val="18"/>
                <w:szCs w:val="18"/>
              </w:rPr>
            </w:pPr>
            <w:r>
              <w:rPr>
                <w:rFonts w:ascii="Times New Roman" w:hAnsi="Times New Roman"/>
                <w:sz w:val="18"/>
                <w:szCs w:val="18"/>
              </w:rPr>
              <w:t>前</w:t>
            </w:r>
            <w:r>
              <w:rPr>
                <w:rFonts w:ascii="Times New Roman" w:hAnsi="Times New Roman"/>
                <w:sz w:val="18"/>
                <w:szCs w:val="18"/>
              </w:rPr>
              <w:t>30%</w:t>
            </w:r>
          </w:p>
        </w:tc>
        <w:tc>
          <w:tcPr>
            <w:tcW w:w="679" w:type="pct"/>
            <w:tcBorders>
              <w:tl2br w:val="nil"/>
              <w:tr2bl w:val="nil"/>
            </w:tcBorders>
            <w:vAlign w:val="center"/>
          </w:tcPr>
          <w:p w14:paraId="6175A4BC" w14:textId="77777777" w:rsidR="00501C7E" w:rsidRDefault="00EC5712">
            <w:pPr>
              <w:jc w:val="center"/>
              <w:rPr>
                <w:rFonts w:ascii="Times New Roman" w:hAnsi="Times New Roman"/>
                <w:sz w:val="18"/>
                <w:szCs w:val="18"/>
              </w:rPr>
            </w:pPr>
            <w:r>
              <w:rPr>
                <w:rFonts w:ascii="Times New Roman" w:hAnsi="Times New Roman"/>
                <w:sz w:val="18"/>
                <w:szCs w:val="18"/>
              </w:rPr>
              <w:t>前</w:t>
            </w:r>
            <w:r>
              <w:rPr>
                <w:rFonts w:ascii="Times New Roman" w:hAnsi="Times New Roman"/>
                <w:sz w:val="18"/>
                <w:szCs w:val="18"/>
              </w:rPr>
              <w:t>40%</w:t>
            </w:r>
          </w:p>
        </w:tc>
        <w:tc>
          <w:tcPr>
            <w:tcW w:w="621" w:type="pct"/>
            <w:tcBorders>
              <w:tl2br w:val="nil"/>
              <w:tr2bl w:val="nil"/>
            </w:tcBorders>
            <w:vAlign w:val="center"/>
          </w:tcPr>
          <w:p w14:paraId="793DB602" w14:textId="77777777" w:rsidR="00501C7E" w:rsidRDefault="00EC5712">
            <w:pPr>
              <w:jc w:val="center"/>
              <w:rPr>
                <w:rFonts w:ascii="Times New Roman" w:hAnsi="Times New Roman"/>
                <w:sz w:val="18"/>
                <w:szCs w:val="18"/>
              </w:rPr>
            </w:pPr>
            <w:r>
              <w:rPr>
                <w:rFonts w:ascii="Times New Roman" w:hAnsi="Times New Roman"/>
                <w:sz w:val="18"/>
                <w:szCs w:val="18"/>
              </w:rPr>
              <w:t>前</w:t>
            </w:r>
            <w:r>
              <w:rPr>
                <w:rFonts w:ascii="Times New Roman" w:hAnsi="Times New Roman"/>
                <w:sz w:val="18"/>
                <w:szCs w:val="18"/>
              </w:rPr>
              <w:t>50%</w:t>
            </w:r>
          </w:p>
        </w:tc>
        <w:tc>
          <w:tcPr>
            <w:tcW w:w="661" w:type="pct"/>
            <w:tcBorders>
              <w:tl2br w:val="nil"/>
              <w:tr2bl w:val="nil"/>
            </w:tcBorders>
            <w:vAlign w:val="center"/>
          </w:tcPr>
          <w:p w14:paraId="4F7C5247" w14:textId="77777777" w:rsidR="00501C7E" w:rsidRDefault="00EC5712">
            <w:pPr>
              <w:jc w:val="center"/>
              <w:rPr>
                <w:rFonts w:ascii="Times New Roman" w:hAnsi="Times New Roman"/>
                <w:sz w:val="18"/>
                <w:szCs w:val="18"/>
              </w:rPr>
            </w:pPr>
            <w:r>
              <w:rPr>
                <w:rFonts w:ascii="Times New Roman" w:hAnsi="Times New Roman"/>
                <w:sz w:val="18"/>
                <w:szCs w:val="18"/>
              </w:rPr>
              <w:t>前</w:t>
            </w:r>
            <w:r>
              <w:rPr>
                <w:rFonts w:ascii="Times New Roman" w:hAnsi="Times New Roman"/>
                <w:sz w:val="18"/>
                <w:szCs w:val="18"/>
              </w:rPr>
              <w:t>30%</w:t>
            </w:r>
          </w:p>
        </w:tc>
        <w:tc>
          <w:tcPr>
            <w:tcW w:w="608" w:type="pct"/>
            <w:tcBorders>
              <w:tl2br w:val="nil"/>
              <w:tr2bl w:val="nil"/>
            </w:tcBorders>
            <w:vAlign w:val="center"/>
          </w:tcPr>
          <w:p w14:paraId="6F6D48D4" w14:textId="77777777" w:rsidR="00501C7E" w:rsidRDefault="00EC5712">
            <w:pPr>
              <w:jc w:val="center"/>
              <w:rPr>
                <w:rFonts w:ascii="Times New Roman" w:hAnsi="Times New Roman"/>
                <w:sz w:val="18"/>
                <w:szCs w:val="18"/>
              </w:rPr>
            </w:pPr>
            <w:r>
              <w:rPr>
                <w:rFonts w:ascii="Times New Roman" w:hAnsi="Times New Roman"/>
                <w:sz w:val="18"/>
                <w:szCs w:val="18"/>
              </w:rPr>
              <w:t>前</w:t>
            </w:r>
            <w:r>
              <w:rPr>
                <w:rFonts w:ascii="Times New Roman" w:hAnsi="Times New Roman"/>
                <w:sz w:val="18"/>
                <w:szCs w:val="18"/>
              </w:rPr>
              <w:t>40%</w:t>
            </w:r>
          </w:p>
        </w:tc>
        <w:tc>
          <w:tcPr>
            <w:tcW w:w="662" w:type="pct"/>
            <w:tcBorders>
              <w:tl2br w:val="nil"/>
              <w:tr2bl w:val="nil"/>
            </w:tcBorders>
            <w:vAlign w:val="center"/>
          </w:tcPr>
          <w:p w14:paraId="4E8FE174" w14:textId="77777777" w:rsidR="00501C7E" w:rsidRDefault="00EC5712">
            <w:pPr>
              <w:jc w:val="center"/>
              <w:rPr>
                <w:rFonts w:ascii="Times New Roman" w:hAnsi="Times New Roman"/>
                <w:sz w:val="18"/>
                <w:szCs w:val="18"/>
              </w:rPr>
            </w:pPr>
            <w:r>
              <w:rPr>
                <w:rFonts w:ascii="Times New Roman" w:hAnsi="Times New Roman"/>
                <w:sz w:val="18"/>
                <w:szCs w:val="18"/>
              </w:rPr>
              <w:t>前</w:t>
            </w:r>
            <w:r>
              <w:rPr>
                <w:rFonts w:ascii="Times New Roman" w:hAnsi="Times New Roman"/>
                <w:sz w:val="18"/>
                <w:szCs w:val="18"/>
              </w:rPr>
              <w:t>50%</w:t>
            </w:r>
          </w:p>
        </w:tc>
      </w:tr>
      <w:tr w:rsidR="00501C7E" w14:paraId="6722247C" w14:textId="77777777">
        <w:trPr>
          <w:jc w:val="center"/>
        </w:trPr>
        <w:tc>
          <w:tcPr>
            <w:tcW w:w="995" w:type="pct"/>
            <w:tcBorders>
              <w:tl2br w:val="nil"/>
              <w:tr2bl w:val="nil"/>
            </w:tcBorders>
            <w:vAlign w:val="center"/>
          </w:tcPr>
          <w:p w14:paraId="3A96F4C0" w14:textId="77777777" w:rsidR="00501C7E" w:rsidRDefault="00EC5712">
            <w:pPr>
              <w:jc w:val="center"/>
              <w:rPr>
                <w:rFonts w:ascii="Times New Roman" w:hAnsi="Times New Roman"/>
                <w:sz w:val="18"/>
                <w:szCs w:val="18"/>
              </w:rPr>
            </w:pPr>
            <w:r>
              <w:rPr>
                <w:rFonts w:ascii="Times New Roman" w:hAnsi="Times New Roman"/>
                <w:sz w:val="18"/>
                <w:szCs w:val="18"/>
              </w:rPr>
              <w:t>被解释变量</w:t>
            </w:r>
          </w:p>
        </w:tc>
        <w:tc>
          <w:tcPr>
            <w:tcW w:w="2072" w:type="pct"/>
            <w:gridSpan w:val="3"/>
            <w:tcBorders>
              <w:tl2br w:val="nil"/>
              <w:tr2bl w:val="nil"/>
            </w:tcBorders>
            <w:vAlign w:val="center"/>
          </w:tcPr>
          <w:p w14:paraId="4C3841A4" w14:textId="77777777" w:rsidR="00501C7E" w:rsidRDefault="00EC5712">
            <w:pPr>
              <w:jc w:val="center"/>
              <w:rPr>
                <w:rFonts w:ascii="Times New Roman" w:hAnsi="Times New Roman"/>
                <w:sz w:val="18"/>
                <w:szCs w:val="18"/>
              </w:rPr>
            </w:pPr>
            <w:r>
              <w:rPr>
                <w:rFonts w:ascii="Times New Roman" w:hAnsi="Times New Roman"/>
                <w:sz w:val="18"/>
                <w:szCs w:val="18"/>
              </w:rPr>
              <w:t>初裁税率</w:t>
            </w:r>
          </w:p>
        </w:tc>
        <w:tc>
          <w:tcPr>
            <w:tcW w:w="1932" w:type="pct"/>
            <w:gridSpan w:val="3"/>
            <w:tcBorders>
              <w:tl2br w:val="nil"/>
              <w:tr2bl w:val="nil"/>
            </w:tcBorders>
            <w:vAlign w:val="center"/>
          </w:tcPr>
          <w:p w14:paraId="253B185B" w14:textId="77777777" w:rsidR="00501C7E" w:rsidRDefault="00EC5712">
            <w:pPr>
              <w:jc w:val="center"/>
              <w:rPr>
                <w:rFonts w:ascii="Times New Roman" w:hAnsi="Times New Roman"/>
                <w:sz w:val="18"/>
                <w:szCs w:val="18"/>
              </w:rPr>
            </w:pPr>
            <w:r>
              <w:rPr>
                <w:rFonts w:ascii="Times New Roman" w:hAnsi="Times New Roman"/>
                <w:sz w:val="18"/>
                <w:szCs w:val="18"/>
              </w:rPr>
              <w:t>终裁税率</w:t>
            </w:r>
          </w:p>
        </w:tc>
      </w:tr>
      <w:tr w:rsidR="00501C7E" w14:paraId="00F24E94" w14:textId="77777777">
        <w:trPr>
          <w:jc w:val="center"/>
        </w:trPr>
        <w:tc>
          <w:tcPr>
            <w:tcW w:w="995" w:type="pct"/>
            <w:tcBorders>
              <w:tl2br w:val="nil"/>
              <w:tr2bl w:val="nil"/>
            </w:tcBorders>
            <w:vAlign w:val="center"/>
          </w:tcPr>
          <w:p w14:paraId="23DEA98D" w14:textId="77777777" w:rsidR="00501C7E" w:rsidRDefault="00000000">
            <w:pPr>
              <w:jc w:val="center"/>
              <w:rPr>
                <w:rFonts w:ascii="Times New Roman" w:hAnsi="Times New Roman"/>
                <w:sz w:val="18"/>
                <w:szCs w:val="18"/>
              </w:rPr>
            </w:pPr>
            <m:oMathPara>
              <m:oMath>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i</m:t>
                        </m:r>
                      </m:sub>
                    </m:sSub>
                  </m:num>
                  <m:den>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i</m:t>
                        </m:r>
                      </m:sub>
                    </m:sSub>
                  </m:den>
                </m:f>
              </m:oMath>
            </m:oMathPara>
          </w:p>
        </w:tc>
        <w:tc>
          <w:tcPr>
            <w:tcW w:w="771" w:type="pct"/>
            <w:tcBorders>
              <w:tl2br w:val="nil"/>
              <w:tr2bl w:val="nil"/>
            </w:tcBorders>
          </w:tcPr>
          <w:p w14:paraId="301B4D68"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-0.075</w:t>
            </w:r>
            <w:r>
              <w:rPr>
                <w:rFonts w:ascii="Times New Roman" w:hAnsi="Times New Roman"/>
                <w:sz w:val="18"/>
                <w:szCs w:val="18"/>
              </w:rPr>
              <w:t>***</w:t>
            </w:r>
          </w:p>
          <w:p w14:paraId="227557B0"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0</w:t>
            </w:r>
            <w:r>
              <w:rPr>
                <w:rFonts w:ascii="Times New Roman" w:hAnsi="Times New Roman"/>
                <w:sz w:val="18"/>
                <w:szCs w:val="18"/>
              </w:rPr>
              <w:t>.025</w:t>
            </w:r>
            <w:r>
              <w:rPr>
                <w:rFonts w:ascii="Times New Roman" w:hAnsi="Times New Roman"/>
                <w:kern w:val="0"/>
                <w:sz w:val="18"/>
                <w:szCs w:val="18"/>
              </w:rPr>
              <w:t>）</w:t>
            </w:r>
          </w:p>
        </w:tc>
        <w:tc>
          <w:tcPr>
            <w:tcW w:w="679" w:type="pct"/>
            <w:tcBorders>
              <w:tl2br w:val="nil"/>
              <w:tr2bl w:val="nil"/>
            </w:tcBorders>
          </w:tcPr>
          <w:p w14:paraId="0AB1CAAA"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-0.079</w:t>
            </w:r>
            <w:r>
              <w:rPr>
                <w:rFonts w:ascii="Times New Roman" w:hAnsi="Times New Roman"/>
                <w:sz w:val="18"/>
                <w:szCs w:val="18"/>
              </w:rPr>
              <w:t>***</w:t>
            </w:r>
          </w:p>
          <w:p w14:paraId="61B8996C"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0</w:t>
            </w:r>
            <w:r>
              <w:rPr>
                <w:rFonts w:ascii="Times New Roman" w:hAnsi="Times New Roman"/>
                <w:sz w:val="18"/>
                <w:szCs w:val="18"/>
              </w:rPr>
              <w:t>.026</w:t>
            </w:r>
            <w:r>
              <w:rPr>
                <w:rFonts w:ascii="Times New Roman" w:hAnsi="Times New Roman"/>
                <w:kern w:val="0"/>
                <w:sz w:val="18"/>
                <w:szCs w:val="18"/>
              </w:rPr>
              <w:t>）</w:t>
            </w:r>
          </w:p>
        </w:tc>
        <w:tc>
          <w:tcPr>
            <w:tcW w:w="621" w:type="pct"/>
            <w:tcBorders>
              <w:tl2br w:val="nil"/>
              <w:tr2bl w:val="nil"/>
            </w:tcBorders>
          </w:tcPr>
          <w:p w14:paraId="01E2B0E2"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-0.081</w:t>
            </w:r>
            <w:r>
              <w:rPr>
                <w:rFonts w:ascii="Times New Roman" w:hAnsi="Times New Roman"/>
                <w:sz w:val="18"/>
                <w:szCs w:val="18"/>
              </w:rPr>
              <w:t>***</w:t>
            </w:r>
          </w:p>
          <w:p w14:paraId="70A8901C"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0</w:t>
            </w:r>
            <w:r>
              <w:rPr>
                <w:rFonts w:ascii="Times New Roman" w:hAnsi="Times New Roman"/>
                <w:sz w:val="18"/>
                <w:szCs w:val="18"/>
              </w:rPr>
              <w:t>.025</w:t>
            </w:r>
            <w:r>
              <w:rPr>
                <w:rFonts w:ascii="Times New Roman" w:hAnsi="Times New Roman"/>
                <w:kern w:val="0"/>
                <w:sz w:val="18"/>
                <w:szCs w:val="18"/>
              </w:rPr>
              <w:t>）</w:t>
            </w:r>
          </w:p>
        </w:tc>
        <w:tc>
          <w:tcPr>
            <w:tcW w:w="661" w:type="pct"/>
            <w:tcBorders>
              <w:tl2br w:val="nil"/>
              <w:tr2bl w:val="nil"/>
            </w:tcBorders>
          </w:tcPr>
          <w:p w14:paraId="0DAD835B"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-0.06</w:t>
            </w:r>
            <w:r>
              <w:rPr>
                <w:rFonts w:ascii="Times New Roman" w:hAnsi="Times New Roman"/>
                <w:sz w:val="18"/>
                <w:szCs w:val="18"/>
              </w:rPr>
              <w:t>***</w:t>
            </w:r>
          </w:p>
          <w:p w14:paraId="5494E3F1"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0</w:t>
            </w:r>
            <w:r>
              <w:rPr>
                <w:rFonts w:ascii="Times New Roman" w:hAnsi="Times New Roman"/>
                <w:sz w:val="18"/>
                <w:szCs w:val="18"/>
              </w:rPr>
              <w:t>.021</w:t>
            </w:r>
            <w:r>
              <w:rPr>
                <w:rFonts w:ascii="Times New Roman" w:hAnsi="Times New Roman"/>
                <w:kern w:val="0"/>
                <w:sz w:val="18"/>
                <w:szCs w:val="18"/>
              </w:rPr>
              <w:t>）</w:t>
            </w:r>
          </w:p>
        </w:tc>
        <w:tc>
          <w:tcPr>
            <w:tcW w:w="608" w:type="pct"/>
            <w:tcBorders>
              <w:tl2br w:val="nil"/>
              <w:tr2bl w:val="nil"/>
            </w:tcBorders>
          </w:tcPr>
          <w:p w14:paraId="6EF982FE"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-0.065</w:t>
            </w:r>
            <w:r>
              <w:rPr>
                <w:rFonts w:ascii="Times New Roman" w:hAnsi="Times New Roman"/>
                <w:sz w:val="18"/>
                <w:szCs w:val="18"/>
              </w:rPr>
              <w:t>***</w:t>
            </w:r>
          </w:p>
          <w:p w14:paraId="7523406F"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0</w:t>
            </w:r>
            <w:r>
              <w:rPr>
                <w:rFonts w:ascii="Times New Roman" w:hAnsi="Times New Roman"/>
                <w:sz w:val="18"/>
                <w:szCs w:val="18"/>
              </w:rPr>
              <w:t>.022</w:t>
            </w:r>
            <w:r>
              <w:rPr>
                <w:rFonts w:ascii="Times New Roman" w:hAnsi="Times New Roman"/>
                <w:kern w:val="0"/>
                <w:sz w:val="18"/>
                <w:szCs w:val="18"/>
              </w:rPr>
              <w:t>）</w:t>
            </w:r>
          </w:p>
        </w:tc>
        <w:tc>
          <w:tcPr>
            <w:tcW w:w="662" w:type="pct"/>
            <w:tcBorders>
              <w:tl2br w:val="nil"/>
              <w:tr2bl w:val="nil"/>
            </w:tcBorders>
          </w:tcPr>
          <w:p w14:paraId="646BCD65"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-0.065</w:t>
            </w:r>
            <w:r>
              <w:rPr>
                <w:rFonts w:ascii="Times New Roman" w:hAnsi="Times New Roman"/>
                <w:sz w:val="18"/>
                <w:szCs w:val="18"/>
              </w:rPr>
              <w:t>***</w:t>
            </w:r>
          </w:p>
          <w:p w14:paraId="16B38B43"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0</w:t>
            </w:r>
            <w:r>
              <w:rPr>
                <w:rFonts w:ascii="Times New Roman" w:hAnsi="Times New Roman"/>
                <w:sz w:val="18"/>
                <w:szCs w:val="18"/>
              </w:rPr>
              <w:t>.022</w:t>
            </w:r>
            <w:r>
              <w:rPr>
                <w:rFonts w:ascii="Times New Roman" w:hAnsi="Times New Roman"/>
                <w:kern w:val="0"/>
                <w:sz w:val="18"/>
                <w:szCs w:val="18"/>
              </w:rPr>
              <w:t>）</w:t>
            </w:r>
          </w:p>
        </w:tc>
      </w:tr>
      <w:tr w:rsidR="00501C7E" w14:paraId="4E5DA5A8" w14:textId="77777777">
        <w:trPr>
          <w:jc w:val="center"/>
        </w:trPr>
        <w:tc>
          <w:tcPr>
            <w:tcW w:w="995" w:type="pct"/>
            <w:tcBorders>
              <w:tl2br w:val="nil"/>
              <w:tr2bl w:val="nil"/>
            </w:tcBorders>
            <w:vAlign w:val="center"/>
          </w:tcPr>
          <w:p w14:paraId="6ABD30F2" w14:textId="77777777" w:rsidR="00501C7E" w:rsidRDefault="00000000">
            <w:pPr>
              <w:jc w:val="center"/>
              <w:rPr>
                <w:rFonts w:ascii="Times New Roman" w:hAnsi="Times New Roman"/>
                <w:sz w:val="18"/>
                <w:szCs w:val="18"/>
              </w:rPr>
            </w:pPr>
            <m:oMathPara>
              <m:oMath>
                <m:f>
                  <m:fPr>
                    <m:ctrlPr>
                      <w:rPr>
                        <w:rFonts w:ascii="Cambria Math" w:hAnsi="Cambria Math"/>
                        <w:i/>
                        <w:iCs/>
                        <w:sz w:val="18"/>
                        <w:szCs w:val="18"/>
                      </w:rPr>
                    </m:ctrlPr>
                  </m:fPr>
                  <m:num>
                    <m:sSub>
                      <m:sSubPr>
                        <m:ctrlPr>
                          <w:rPr>
                            <w:rFonts w:ascii="Cambria Math" w:hAnsi="Cambria Math"/>
                            <w:i/>
                            <w:iCs/>
                            <w:sz w:val="18"/>
                            <w:szCs w:val="18"/>
                          </w:rPr>
                        </m:ctrlPr>
                      </m:sSubPr>
                      <m:e>
                        <m:r>
                          <w:rPr>
                            <w:rFonts w:ascii="Cambria Math" w:hAnsi="Cambria Math"/>
                            <w:sz w:val="18"/>
                            <w:szCs w:val="18"/>
                          </w:rPr>
                          <m:t>I</m:t>
                        </m:r>
                      </m:e>
                      <m:sub>
                        <m:r>
                          <w:rPr>
                            <w:rFonts w:ascii="Cambria Math" w:hAnsi="Cambria Math"/>
                            <w:sz w:val="18"/>
                            <w:szCs w:val="18"/>
                          </w:rPr>
                          <m:t>i</m:t>
                        </m:r>
                      </m:sub>
                    </m:sSub>
                    <m:sSub>
                      <m:sSubPr>
                        <m:ctrlPr>
                          <w:rPr>
                            <w:rFonts w:ascii="Cambria Math" w:hAnsi="Cambria Math"/>
                            <w:i/>
                            <w:iCs/>
                            <w:sz w:val="18"/>
                            <w:szCs w:val="18"/>
                          </w:rPr>
                        </m:ctrlPr>
                      </m:sSubPr>
                      <m:e>
                        <m:r>
                          <w:rPr>
                            <w:rFonts w:ascii="Cambria Math" w:hAnsi="Cambria Math"/>
                            <w:sz w:val="18"/>
                            <w:szCs w:val="18"/>
                          </w:rPr>
                          <m:t>z</m:t>
                        </m:r>
                      </m:e>
                      <m:sub>
                        <m:r>
                          <w:rPr>
                            <w:rFonts w:ascii="Cambria Math" w:hAnsi="Cambria Math"/>
                            <w:sz w:val="18"/>
                            <w:szCs w:val="18"/>
                          </w:rPr>
                          <m:t>i</m:t>
                        </m:r>
                      </m:sub>
                    </m:sSub>
                  </m:num>
                  <m:den>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i</m:t>
                        </m:r>
                      </m:sub>
                    </m:sSub>
                  </m:den>
                </m:f>
              </m:oMath>
            </m:oMathPara>
          </w:p>
        </w:tc>
        <w:tc>
          <w:tcPr>
            <w:tcW w:w="771" w:type="pct"/>
            <w:tcBorders>
              <w:tl2br w:val="nil"/>
              <w:tr2bl w:val="nil"/>
            </w:tcBorders>
          </w:tcPr>
          <w:p w14:paraId="770BA20F"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0.205</w:t>
            </w:r>
            <w:r>
              <w:rPr>
                <w:rFonts w:ascii="Times New Roman" w:hAnsi="Times New Roman"/>
                <w:sz w:val="18"/>
                <w:szCs w:val="18"/>
              </w:rPr>
              <w:t>***</w:t>
            </w:r>
          </w:p>
          <w:p w14:paraId="1454FF34"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0</w:t>
            </w:r>
            <w:r>
              <w:rPr>
                <w:rFonts w:ascii="Times New Roman" w:hAnsi="Times New Roman"/>
                <w:sz w:val="18"/>
                <w:szCs w:val="18"/>
              </w:rPr>
              <w:t>.047</w:t>
            </w:r>
            <w:r>
              <w:rPr>
                <w:rFonts w:ascii="Times New Roman" w:hAnsi="Times New Roman"/>
                <w:kern w:val="0"/>
                <w:sz w:val="18"/>
                <w:szCs w:val="18"/>
              </w:rPr>
              <w:t>）</w:t>
            </w:r>
          </w:p>
        </w:tc>
        <w:tc>
          <w:tcPr>
            <w:tcW w:w="679" w:type="pct"/>
            <w:tcBorders>
              <w:tl2br w:val="nil"/>
              <w:tr2bl w:val="nil"/>
            </w:tcBorders>
          </w:tcPr>
          <w:p w14:paraId="1BCF3B25"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0.18</w:t>
            </w:r>
            <w:r>
              <w:rPr>
                <w:rFonts w:ascii="Times New Roman" w:hAnsi="Times New Roman"/>
                <w:sz w:val="18"/>
                <w:szCs w:val="18"/>
              </w:rPr>
              <w:t>***</w:t>
            </w:r>
          </w:p>
          <w:p w14:paraId="781CB854"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0</w:t>
            </w:r>
            <w:r>
              <w:rPr>
                <w:rFonts w:ascii="Times New Roman" w:hAnsi="Times New Roman"/>
                <w:sz w:val="18"/>
                <w:szCs w:val="18"/>
              </w:rPr>
              <w:t>.043</w:t>
            </w:r>
            <w:r>
              <w:rPr>
                <w:rFonts w:ascii="Times New Roman" w:hAnsi="Times New Roman"/>
                <w:kern w:val="0"/>
                <w:sz w:val="18"/>
                <w:szCs w:val="18"/>
              </w:rPr>
              <w:t>）</w:t>
            </w:r>
          </w:p>
        </w:tc>
        <w:tc>
          <w:tcPr>
            <w:tcW w:w="621" w:type="pct"/>
            <w:tcBorders>
              <w:tl2br w:val="nil"/>
              <w:tr2bl w:val="nil"/>
            </w:tcBorders>
          </w:tcPr>
          <w:p w14:paraId="00D87012"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0.185</w:t>
            </w:r>
            <w:r>
              <w:rPr>
                <w:rFonts w:ascii="Times New Roman" w:hAnsi="Times New Roman"/>
                <w:sz w:val="18"/>
                <w:szCs w:val="18"/>
              </w:rPr>
              <w:t>***</w:t>
            </w:r>
          </w:p>
          <w:p w14:paraId="0A501844"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0</w:t>
            </w:r>
            <w:r>
              <w:rPr>
                <w:rFonts w:ascii="Times New Roman" w:hAnsi="Times New Roman"/>
                <w:sz w:val="18"/>
                <w:szCs w:val="18"/>
              </w:rPr>
              <w:t>.042</w:t>
            </w:r>
            <w:r>
              <w:rPr>
                <w:rFonts w:ascii="Times New Roman" w:hAnsi="Times New Roman"/>
                <w:kern w:val="0"/>
                <w:sz w:val="18"/>
                <w:szCs w:val="18"/>
              </w:rPr>
              <w:t>）</w:t>
            </w:r>
          </w:p>
        </w:tc>
        <w:tc>
          <w:tcPr>
            <w:tcW w:w="661" w:type="pct"/>
            <w:tcBorders>
              <w:tl2br w:val="nil"/>
              <w:tr2bl w:val="nil"/>
            </w:tcBorders>
          </w:tcPr>
          <w:p w14:paraId="3DBFA53F"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0.207</w:t>
            </w:r>
            <w:r>
              <w:rPr>
                <w:rFonts w:ascii="Times New Roman" w:hAnsi="Times New Roman"/>
                <w:sz w:val="18"/>
                <w:szCs w:val="18"/>
              </w:rPr>
              <w:t>***</w:t>
            </w:r>
          </w:p>
          <w:p w14:paraId="7C333E3C"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0</w:t>
            </w:r>
            <w:r>
              <w:rPr>
                <w:rFonts w:ascii="Times New Roman" w:hAnsi="Times New Roman"/>
                <w:sz w:val="18"/>
                <w:szCs w:val="18"/>
              </w:rPr>
              <w:t>.04</w:t>
            </w:r>
            <w:r>
              <w:rPr>
                <w:rFonts w:ascii="Times New Roman" w:hAnsi="Times New Roman"/>
                <w:kern w:val="0"/>
                <w:sz w:val="18"/>
                <w:szCs w:val="18"/>
              </w:rPr>
              <w:t>）</w:t>
            </w:r>
          </w:p>
        </w:tc>
        <w:tc>
          <w:tcPr>
            <w:tcW w:w="608" w:type="pct"/>
            <w:tcBorders>
              <w:tl2br w:val="nil"/>
              <w:tr2bl w:val="nil"/>
            </w:tcBorders>
          </w:tcPr>
          <w:p w14:paraId="54E76BF2"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0.186</w:t>
            </w:r>
            <w:r>
              <w:rPr>
                <w:rFonts w:ascii="Times New Roman" w:hAnsi="Times New Roman"/>
                <w:sz w:val="18"/>
                <w:szCs w:val="18"/>
              </w:rPr>
              <w:t>***</w:t>
            </w:r>
          </w:p>
          <w:p w14:paraId="4D250F56"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0</w:t>
            </w:r>
            <w:r>
              <w:rPr>
                <w:rFonts w:ascii="Times New Roman" w:hAnsi="Times New Roman"/>
                <w:sz w:val="18"/>
                <w:szCs w:val="18"/>
              </w:rPr>
              <w:t>.036</w:t>
            </w:r>
            <w:r>
              <w:rPr>
                <w:rFonts w:ascii="Times New Roman" w:hAnsi="Times New Roman"/>
                <w:kern w:val="0"/>
                <w:sz w:val="18"/>
                <w:szCs w:val="18"/>
              </w:rPr>
              <w:t>）</w:t>
            </w:r>
          </w:p>
        </w:tc>
        <w:tc>
          <w:tcPr>
            <w:tcW w:w="662" w:type="pct"/>
            <w:tcBorders>
              <w:tl2br w:val="nil"/>
              <w:tr2bl w:val="nil"/>
            </w:tcBorders>
          </w:tcPr>
          <w:p w14:paraId="21CA29B7"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0.182</w:t>
            </w:r>
            <w:r>
              <w:rPr>
                <w:rFonts w:ascii="Times New Roman" w:hAnsi="Times New Roman"/>
                <w:sz w:val="18"/>
                <w:szCs w:val="18"/>
              </w:rPr>
              <w:t>***</w:t>
            </w:r>
          </w:p>
          <w:p w14:paraId="63AF124B"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0</w:t>
            </w:r>
            <w:r>
              <w:rPr>
                <w:rFonts w:ascii="Times New Roman" w:hAnsi="Times New Roman"/>
                <w:sz w:val="18"/>
                <w:szCs w:val="18"/>
              </w:rPr>
              <w:t>.036</w:t>
            </w:r>
            <w:r>
              <w:rPr>
                <w:rFonts w:ascii="Times New Roman" w:hAnsi="Times New Roman"/>
                <w:kern w:val="0"/>
                <w:sz w:val="18"/>
                <w:szCs w:val="18"/>
              </w:rPr>
              <w:t>）</w:t>
            </w:r>
          </w:p>
        </w:tc>
      </w:tr>
      <w:tr w:rsidR="00501C7E" w14:paraId="7FD4C6A7" w14:textId="77777777">
        <w:trPr>
          <w:jc w:val="center"/>
        </w:trPr>
        <w:tc>
          <w:tcPr>
            <w:tcW w:w="995" w:type="pct"/>
            <w:tcBorders>
              <w:tl2br w:val="nil"/>
              <w:tr2bl w:val="nil"/>
            </w:tcBorders>
            <w:vAlign w:val="center"/>
          </w:tcPr>
          <w:p w14:paraId="79A8F2C6" w14:textId="77777777" w:rsidR="00501C7E" w:rsidRDefault="00EC5712">
            <w:pPr>
              <w:jc w:val="center"/>
              <w:rPr>
                <w:rFonts w:ascii="Times New Roman" w:hAnsi="Times New Roman"/>
                <w:sz w:val="18"/>
                <w:szCs w:val="18"/>
              </w:rPr>
            </w:pPr>
            <m:oMathPara>
              <m:oMath>
                <m:r>
                  <w:rPr>
                    <w:rFonts w:ascii="Cambria Math" w:hAnsi="Cambria Math"/>
                    <w:sz w:val="18"/>
                    <w:szCs w:val="18"/>
                  </w:rPr>
                  <m:t>M</m:t>
                </m:r>
              </m:oMath>
            </m:oMathPara>
          </w:p>
        </w:tc>
        <w:tc>
          <w:tcPr>
            <w:tcW w:w="771" w:type="pct"/>
            <w:tcBorders>
              <w:tl2br w:val="nil"/>
              <w:tr2bl w:val="nil"/>
            </w:tcBorders>
          </w:tcPr>
          <w:p w14:paraId="6176807A"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1.078</w:t>
            </w:r>
          </w:p>
          <w:p w14:paraId="1A2BAD8D"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w:t>
            </w:r>
            <w:r>
              <w:rPr>
                <w:rFonts w:ascii="Times New Roman" w:hAnsi="Times New Roman"/>
                <w:sz w:val="18"/>
                <w:szCs w:val="18"/>
              </w:rPr>
              <w:t>13.598</w:t>
            </w:r>
            <w:r>
              <w:rPr>
                <w:rFonts w:ascii="Times New Roman" w:hAnsi="Times New Roman"/>
                <w:kern w:val="0"/>
                <w:sz w:val="18"/>
                <w:szCs w:val="18"/>
              </w:rPr>
              <w:t>）</w:t>
            </w:r>
          </w:p>
        </w:tc>
        <w:tc>
          <w:tcPr>
            <w:tcW w:w="679" w:type="pct"/>
            <w:tcBorders>
              <w:tl2br w:val="nil"/>
              <w:tr2bl w:val="nil"/>
            </w:tcBorders>
          </w:tcPr>
          <w:p w14:paraId="18ADBCE9"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3.285</w:t>
            </w:r>
          </w:p>
          <w:p w14:paraId="5C350372"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w:t>
            </w:r>
            <w:r>
              <w:rPr>
                <w:rFonts w:ascii="Times New Roman" w:hAnsi="Times New Roman"/>
                <w:sz w:val="18"/>
                <w:szCs w:val="18"/>
              </w:rPr>
              <w:t>13.705</w:t>
            </w:r>
            <w:r>
              <w:rPr>
                <w:rFonts w:ascii="Times New Roman" w:hAnsi="Times New Roman"/>
                <w:kern w:val="0"/>
                <w:sz w:val="18"/>
                <w:szCs w:val="18"/>
              </w:rPr>
              <w:t>）</w:t>
            </w:r>
          </w:p>
        </w:tc>
        <w:tc>
          <w:tcPr>
            <w:tcW w:w="621" w:type="pct"/>
            <w:tcBorders>
              <w:tl2br w:val="nil"/>
              <w:tr2bl w:val="nil"/>
            </w:tcBorders>
          </w:tcPr>
          <w:p w14:paraId="78D20D38"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4.22</w:t>
            </w:r>
          </w:p>
          <w:p w14:paraId="2D521142"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w:t>
            </w:r>
            <w:r>
              <w:rPr>
                <w:rFonts w:ascii="Times New Roman" w:hAnsi="Times New Roman"/>
                <w:sz w:val="18"/>
                <w:szCs w:val="18"/>
              </w:rPr>
              <w:t>13.55</w:t>
            </w:r>
            <w:r>
              <w:rPr>
                <w:rFonts w:ascii="Times New Roman" w:hAnsi="Times New Roman"/>
                <w:kern w:val="0"/>
                <w:sz w:val="18"/>
                <w:szCs w:val="18"/>
              </w:rPr>
              <w:t>）</w:t>
            </w:r>
          </w:p>
        </w:tc>
        <w:tc>
          <w:tcPr>
            <w:tcW w:w="661" w:type="pct"/>
            <w:tcBorders>
              <w:tl2br w:val="nil"/>
              <w:tr2bl w:val="nil"/>
            </w:tcBorders>
          </w:tcPr>
          <w:p w14:paraId="406CEAD1"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-10.272</w:t>
            </w:r>
          </w:p>
          <w:p w14:paraId="2D792599"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w:t>
            </w:r>
            <w:r>
              <w:rPr>
                <w:rFonts w:ascii="Times New Roman" w:hAnsi="Times New Roman"/>
                <w:sz w:val="18"/>
                <w:szCs w:val="18"/>
              </w:rPr>
              <w:t>11.536</w:t>
            </w:r>
            <w:r>
              <w:rPr>
                <w:rFonts w:ascii="Times New Roman" w:hAnsi="Times New Roman"/>
                <w:kern w:val="0"/>
                <w:sz w:val="18"/>
                <w:szCs w:val="18"/>
              </w:rPr>
              <w:t>）</w:t>
            </w:r>
          </w:p>
        </w:tc>
        <w:tc>
          <w:tcPr>
            <w:tcW w:w="608" w:type="pct"/>
            <w:tcBorders>
              <w:tl2br w:val="nil"/>
              <w:tr2bl w:val="nil"/>
            </w:tcBorders>
          </w:tcPr>
          <w:p w14:paraId="1BA437F9"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-8.135</w:t>
            </w:r>
          </w:p>
          <w:p w14:paraId="060419B0"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w:t>
            </w:r>
            <w:r>
              <w:rPr>
                <w:rFonts w:ascii="Times New Roman" w:hAnsi="Times New Roman"/>
                <w:sz w:val="18"/>
                <w:szCs w:val="18"/>
              </w:rPr>
              <w:t>11.56</w:t>
            </w:r>
            <w:r>
              <w:rPr>
                <w:rFonts w:ascii="Times New Roman" w:hAnsi="Times New Roman"/>
                <w:kern w:val="0"/>
                <w:sz w:val="18"/>
                <w:szCs w:val="18"/>
              </w:rPr>
              <w:t>）</w:t>
            </w:r>
          </w:p>
        </w:tc>
        <w:tc>
          <w:tcPr>
            <w:tcW w:w="662" w:type="pct"/>
            <w:tcBorders>
              <w:tl2br w:val="nil"/>
              <w:tr2bl w:val="nil"/>
            </w:tcBorders>
          </w:tcPr>
          <w:p w14:paraId="665A1A53"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-7.075</w:t>
            </w:r>
          </w:p>
          <w:p w14:paraId="29B0D47F"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w:t>
            </w:r>
            <w:r>
              <w:rPr>
                <w:rFonts w:ascii="Times New Roman" w:hAnsi="Times New Roman"/>
                <w:sz w:val="18"/>
                <w:szCs w:val="18"/>
              </w:rPr>
              <w:t>11.579</w:t>
            </w:r>
            <w:r>
              <w:rPr>
                <w:rFonts w:ascii="Times New Roman" w:hAnsi="Times New Roman"/>
                <w:kern w:val="0"/>
                <w:sz w:val="18"/>
                <w:szCs w:val="18"/>
              </w:rPr>
              <w:t>）</w:t>
            </w:r>
          </w:p>
        </w:tc>
      </w:tr>
      <w:tr w:rsidR="00501C7E" w14:paraId="67351F28" w14:textId="77777777">
        <w:trPr>
          <w:jc w:val="center"/>
        </w:trPr>
        <w:tc>
          <w:tcPr>
            <w:tcW w:w="995" w:type="pct"/>
            <w:tcBorders>
              <w:tl2br w:val="nil"/>
              <w:tr2bl w:val="nil"/>
            </w:tcBorders>
            <w:vAlign w:val="center"/>
          </w:tcPr>
          <w:p w14:paraId="20D5EF8D" w14:textId="77777777" w:rsidR="00501C7E" w:rsidRDefault="00EC5712">
            <w:pPr>
              <w:jc w:val="center"/>
              <w:rPr>
                <w:rFonts w:ascii="Times New Roman" w:hAnsi="Times New Roman"/>
                <w:sz w:val="18"/>
                <w:szCs w:val="18"/>
              </w:rPr>
            </w:pPr>
            <m:oMathPara>
              <m:oMath>
                <m:r>
                  <w:rPr>
                    <w:rFonts w:ascii="Cambria Math" w:hAnsi="Cambria Math"/>
                    <w:sz w:val="18"/>
                    <w:szCs w:val="18"/>
                  </w:rPr>
                  <m:t>γ+δ</m:t>
                </m:r>
              </m:oMath>
            </m:oMathPara>
          </w:p>
        </w:tc>
        <w:tc>
          <w:tcPr>
            <w:tcW w:w="771" w:type="pct"/>
            <w:tcBorders>
              <w:tl2br w:val="nil"/>
              <w:tr2bl w:val="nil"/>
            </w:tcBorders>
            <w:vAlign w:val="bottom"/>
          </w:tcPr>
          <w:p w14:paraId="4A53C9DE"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0.13</w:t>
            </w:r>
          </w:p>
        </w:tc>
        <w:tc>
          <w:tcPr>
            <w:tcW w:w="679" w:type="pct"/>
            <w:tcBorders>
              <w:tl2br w:val="nil"/>
              <w:tr2bl w:val="nil"/>
            </w:tcBorders>
            <w:vAlign w:val="bottom"/>
          </w:tcPr>
          <w:p w14:paraId="0B7414BB"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0.101</w:t>
            </w:r>
          </w:p>
        </w:tc>
        <w:tc>
          <w:tcPr>
            <w:tcW w:w="621" w:type="pct"/>
            <w:tcBorders>
              <w:tl2br w:val="nil"/>
              <w:tr2bl w:val="nil"/>
            </w:tcBorders>
            <w:vAlign w:val="bottom"/>
          </w:tcPr>
          <w:p w14:paraId="7F4BFD8E"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0.104</w:t>
            </w:r>
          </w:p>
        </w:tc>
        <w:tc>
          <w:tcPr>
            <w:tcW w:w="661" w:type="pct"/>
            <w:tcBorders>
              <w:tl2br w:val="nil"/>
              <w:tr2bl w:val="nil"/>
            </w:tcBorders>
            <w:vAlign w:val="bottom"/>
          </w:tcPr>
          <w:p w14:paraId="214B368F"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0.147</w:t>
            </w:r>
          </w:p>
        </w:tc>
        <w:tc>
          <w:tcPr>
            <w:tcW w:w="608" w:type="pct"/>
            <w:tcBorders>
              <w:tl2br w:val="nil"/>
              <w:tr2bl w:val="nil"/>
            </w:tcBorders>
            <w:vAlign w:val="bottom"/>
          </w:tcPr>
          <w:p w14:paraId="5D78DD18"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0.121</w:t>
            </w:r>
          </w:p>
        </w:tc>
        <w:tc>
          <w:tcPr>
            <w:tcW w:w="662" w:type="pct"/>
            <w:tcBorders>
              <w:tl2br w:val="nil"/>
              <w:tr2bl w:val="nil"/>
            </w:tcBorders>
            <w:vAlign w:val="bottom"/>
          </w:tcPr>
          <w:p w14:paraId="00C6D710"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0.117</w:t>
            </w:r>
          </w:p>
        </w:tc>
      </w:tr>
      <w:tr w:rsidR="00501C7E" w14:paraId="176ACBAF" w14:textId="77777777">
        <w:trPr>
          <w:jc w:val="center"/>
        </w:trPr>
        <w:tc>
          <w:tcPr>
            <w:tcW w:w="995" w:type="pct"/>
            <w:tcBorders>
              <w:tl2br w:val="nil"/>
              <w:tr2bl w:val="nil"/>
            </w:tcBorders>
            <w:vAlign w:val="center"/>
          </w:tcPr>
          <w:p w14:paraId="7BF93106" w14:textId="77777777" w:rsidR="00501C7E" w:rsidRDefault="00000000">
            <w:pPr>
              <w:jc w:val="center"/>
              <w:rPr>
                <w:rFonts w:ascii="Times New Roman" w:hAnsi="Times New Roman"/>
                <w:sz w:val="18"/>
                <w:szCs w:val="18"/>
              </w:rPr>
            </w:pPr>
            <m:oMathPara>
              <m:oMath>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L</m:t>
                    </m:r>
                  </m:sub>
                </m:sSub>
              </m:oMath>
            </m:oMathPara>
          </w:p>
        </w:tc>
        <w:tc>
          <w:tcPr>
            <w:tcW w:w="771" w:type="pct"/>
            <w:tcBorders>
              <w:tl2br w:val="nil"/>
              <w:tr2bl w:val="nil"/>
            </w:tcBorders>
            <w:vAlign w:val="bottom"/>
          </w:tcPr>
          <w:p w14:paraId="21DAA346"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36.6%</w:t>
            </w:r>
          </w:p>
        </w:tc>
        <w:tc>
          <w:tcPr>
            <w:tcW w:w="679" w:type="pct"/>
            <w:tcBorders>
              <w:tl2br w:val="nil"/>
              <w:tr2bl w:val="nil"/>
            </w:tcBorders>
            <w:vAlign w:val="bottom"/>
          </w:tcPr>
          <w:p w14:paraId="5BB68414"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43.9%</w:t>
            </w:r>
          </w:p>
        </w:tc>
        <w:tc>
          <w:tcPr>
            <w:tcW w:w="621" w:type="pct"/>
            <w:tcBorders>
              <w:tl2br w:val="nil"/>
              <w:tr2bl w:val="nil"/>
            </w:tcBorders>
            <w:vAlign w:val="bottom"/>
          </w:tcPr>
          <w:p w14:paraId="03F5D055"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43.8%</w:t>
            </w:r>
          </w:p>
        </w:tc>
        <w:tc>
          <w:tcPr>
            <w:tcW w:w="661" w:type="pct"/>
            <w:tcBorders>
              <w:tl2br w:val="nil"/>
              <w:tr2bl w:val="nil"/>
            </w:tcBorders>
            <w:vAlign w:val="bottom"/>
          </w:tcPr>
          <w:p w14:paraId="0845F0EC"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29.0%</w:t>
            </w:r>
          </w:p>
        </w:tc>
        <w:tc>
          <w:tcPr>
            <w:tcW w:w="608" w:type="pct"/>
            <w:tcBorders>
              <w:tl2br w:val="nil"/>
              <w:tr2bl w:val="nil"/>
            </w:tcBorders>
            <w:vAlign w:val="bottom"/>
          </w:tcPr>
          <w:p w14:paraId="7E384F5E"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34.9%</w:t>
            </w:r>
          </w:p>
        </w:tc>
        <w:tc>
          <w:tcPr>
            <w:tcW w:w="662" w:type="pct"/>
            <w:tcBorders>
              <w:tl2br w:val="nil"/>
              <w:tr2bl w:val="nil"/>
            </w:tcBorders>
            <w:vAlign w:val="bottom"/>
          </w:tcPr>
          <w:p w14:paraId="5149CDD9"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35.7%</w:t>
            </w:r>
          </w:p>
        </w:tc>
      </w:tr>
      <w:tr w:rsidR="00501C7E" w14:paraId="356B7A84" w14:textId="77777777">
        <w:trPr>
          <w:jc w:val="center"/>
        </w:trPr>
        <w:tc>
          <w:tcPr>
            <w:tcW w:w="995" w:type="pct"/>
            <w:tcBorders>
              <w:tl2br w:val="nil"/>
              <w:tr2bl w:val="nil"/>
            </w:tcBorders>
            <w:vAlign w:val="center"/>
          </w:tcPr>
          <w:p w14:paraId="7714C7D8" w14:textId="77777777" w:rsidR="00501C7E" w:rsidRDefault="00EC5712">
            <w:pPr>
              <w:jc w:val="center"/>
              <w:rPr>
                <w:rFonts w:ascii="Times New Roman" w:hAnsi="Times New Roman"/>
                <w:sz w:val="18"/>
                <w:szCs w:val="18"/>
              </w:rPr>
            </w:pPr>
            <m:oMathPara>
              <m:oMath>
                <m:r>
                  <w:rPr>
                    <w:rFonts w:ascii="Cambria Math" w:hAnsi="Cambria Math"/>
                    <w:sz w:val="18"/>
                    <w:szCs w:val="18"/>
                  </w:rPr>
                  <m:t>a</m:t>
                </m:r>
              </m:oMath>
            </m:oMathPara>
          </w:p>
        </w:tc>
        <w:tc>
          <w:tcPr>
            <w:tcW w:w="771" w:type="pct"/>
            <w:tcBorders>
              <w:tl2br w:val="nil"/>
              <w:tr2bl w:val="nil"/>
            </w:tcBorders>
            <w:vAlign w:val="bottom"/>
          </w:tcPr>
          <w:p w14:paraId="7343B069"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4.512</w:t>
            </w:r>
          </w:p>
        </w:tc>
        <w:tc>
          <w:tcPr>
            <w:tcW w:w="679" w:type="pct"/>
            <w:tcBorders>
              <w:tl2br w:val="nil"/>
              <w:tr2bl w:val="nil"/>
            </w:tcBorders>
            <w:vAlign w:val="bottom"/>
          </w:tcPr>
          <w:p w14:paraId="06D3B198"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5.117</w:t>
            </w:r>
          </w:p>
        </w:tc>
        <w:tc>
          <w:tcPr>
            <w:tcW w:w="621" w:type="pct"/>
            <w:tcBorders>
              <w:tl2br w:val="nil"/>
              <w:tr2bl w:val="nil"/>
            </w:tcBorders>
            <w:vAlign w:val="bottom"/>
          </w:tcPr>
          <w:p w14:paraId="0250DB08"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4.968</w:t>
            </w:r>
          </w:p>
        </w:tc>
        <w:tc>
          <w:tcPr>
            <w:tcW w:w="661" w:type="pct"/>
            <w:tcBorders>
              <w:tl2br w:val="nil"/>
              <w:tr2bl w:val="nil"/>
            </w:tcBorders>
            <w:vAlign w:val="bottom"/>
          </w:tcPr>
          <w:p w14:paraId="72EF67F8"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4.541</w:t>
            </w:r>
          </w:p>
        </w:tc>
        <w:tc>
          <w:tcPr>
            <w:tcW w:w="608" w:type="pct"/>
            <w:tcBorders>
              <w:tl2br w:val="nil"/>
              <w:tr2bl w:val="nil"/>
            </w:tcBorders>
            <w:vAlign w:val="bottom"/>
          </w:tcPr>
          <w:p w14:paraId="6574796C"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5.027</w:t>
            </w:r>
          </w:p>
        </w:tc>
        <w:tc>
          <w:tcPr>
            <w:tcW w:w="662" w:type="pct"/>
            <w:tcBorders>
              <w:tl2br w:val="nil"/>
              <w:tr2bl w:val="nil"/>
            </w:tcBorders>
            <w:vAlign w:val="bottom"/>
          </w:tcPr>
          <w:p w14:paraId="40631D65"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5.137</w:t>
            </w:r>
          </w:p>
        </w:tc>
      </w:tr>
      <w:tr w:rsidR="00501C7E" w14:paraId="3DA9B0E5" w14:textId="77777777">
        <w:trPr>
          <w:jc w:val="center"/>
        </w:trPr>
        <w:tc>
          <w:tcPr>
            <w:tcW w:w="995" w:type="pct"/>
            <w:tcBorders>
              <w:tl2br w:val="nil"/>
              <w:tr2bl w:val="nil"/>
            </w:tcBorders>
            <w:vAlign w:val="center"/>
          </w:tcPr>
          <w:p w14:paraId="7747F716" w14:textId="77777777" w:rsidR="00501C7E" w:rsidRDefault="00EC5712">
            <w:pPr>
              <w:jc w:val="center"/>
              <w:rPr>
                <w:rFonts w:ascii="Cambria Math" w:hAnsi="Cambria Math"/>
                <w:sz w:val="18"/>
                <w:szCs w:val="18"/>
                <w:oMath/>
              </w:rPr>
            </w:pPr>
            <w:r>
              <w:rPr>
                <w:rFonts w:ascii="Times New Roman" w:hAnsi="Times New Roman"/>
                <w:iCs/>
                <w:sz w:val="18"/>
                <w:szCs w:val="18"/>
              </w:rPr>
              <w:t>观测值</w:t>
            </w:r>
          </w:p>
        </w:tc>
        <w:tc>
          <w:tcPr>
            <w:tcW w:w="771" w:type="pct"/>
            <w:tcBorders>
              <w:tl2br w:val="nil"/>
              <w:tr2bl w:val="nil"/>
            </w:tcBorders>
            <w:vAlign w:val="bottom"/>
          </w:tcPr>
          <w:p w14:paraId="1EDEFEBB"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c>
          <w:tcPr>
            <w:tcW w:w="679" w:type="pct"/>
            <w:tcBorders>
              <w:tl2br w:val="nil"/>
              <w:tr2bl w:val="nil"/>
            </w:tcBorders>
            <w:vAlign w:val="bottom"/>
          </w:tcPr>
          <w:p w14:paraId="6BDF0999"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c>
          <w:tcPr>
            <w:tcW w:w="621" w:type="pct"/>
            <w:tcBorders>
              <w:tl2br w:val="nil"/>
              <w:tr2bl w:val="nil"/>
            </w:tcBorders>
            <w:vAlign w:val="bottom"/>
          </w:tcPr>
          <w:p w14:paraId="66801F3A"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c>
          <w:tcPr>
            <w:tcW w:w="661" w:type="pct"/>
            <w:tcBorders>
              <w:tl2br w:val="nil"/>
              <w:tr2bl w:val="nil"/>
            </w:tcBorders>
            <w:vAlign w:val="bottom"/>
          </w:tcPr>
          <w:p w14:paraId="5C3ADC9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c>
          <w:tcPr>
            <w:tcW w:w="608" w:type="pct"/>
            <w:tcBorders>
              <w:tl2br w:val="nil"/>
              <w:tr2bl w:val="nil"/>
            </w:tcBorders>
            <w:vAlign w:val="bottom"/>
          </w:tcPr>
          <w:p w14:paraId="592D9BF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c>
          <w:tcPr>
            <w:tcW w:w="662" w:type="pct"/>
            <w:tcBorders>
              <w:tl2br w:val="nil"/>
              <w:tr2bl w:val="nil"/>
            </w:tcBorders>
            <w:vAlign w:val="bottom"/>
          </w:tcPr>
          <w:p w14:paraId="45C55063"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r>
      <w:tr w:rsidR="00501C7E" w14:paraId="26AA7615" w14:textId="77777777">
        <w:trPr>
          <w:jc w:val="center"/>
        </w:trPr>
        <w:tc>
          <w:tcPr>
            <w:tcW w:w="995" w:type="pct"/>
            <w:tcBorders>
              <w:tl2br w:val="nil"/>
              <w:tr2bl w:val="nil"/>
            </w:tcBorders>
            <w:vAlign w:val="center"/>
          </w:tcPr>
          <w:p w14:paraId="31F40D3F" w14:textId="77777777" w:rsidR="00501C7E" w:rsidRPr="009C070E" w:rsidRDefault="009C070E">
            <w:pPr>
              <w:jc w:val="center"/>
              <w:rPr>
                <w:rFonts w:ascii="Times New Roman" w:hAnsi="Times New Roman"/>
                <w:sz w:val="18"/>
                <w:szCs w:val="18"/>
              </w:rPr>
            </w:pPr>
            <m:oMathPara>
              <m:oMath>
                <m:r>
                  <m:rPr>
                    <m:sty m:val="p"/>
                  </m:rPr>
                  <w:rPr>
                    <w:rFonts w:ascii="Cambria Math" w:hAnsi="Cambria Math"/>
                    <w:sz w:val="18"/>
                    <w:szCs w:val="18"/>
                  </w:rPr>
                  <m:t>调整的</m:t>
                </m:r>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oMath>
            </m:oMathPara>
          </w:p>
        </w:tc>
        <w:tc>
          <w:tcPr>
            <w:tcW w:w="771" w:type="pct"/>
            <w:tcBorders>
              <w:tl2br w:val="nil"/>
              <w:tr2bl w:val="nil"/>
            </w:tcBorders>
          </w:tcPr>
          <w:p w14:paraId="7AACEB5F"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0.248</w:t>
            </w:r>
          </w:p>
        </w:tc>
        <w:tc>
          <w:tcPr>
            <w:tcW w:w="679" w:type="pct"/>
            <w:tcBorders>
              <w:tl2br w:val="nil"/>
              <w:tr2bl w:val="nil"/>
            </w:tcBorders>
          </w:tcPr>
          <w:p w14:paraId="56CE9246"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0.233</w:t>
            </w:r>
          </w:p>
        </w:tc>
        <w:tc>
          <w:tcPr>
            <w:tcW w:w="621" w:type="pct"/>
            <w:tcBorders>
              <w:tl2br w:val="nil"/>
              <w:tr2bl w:val="nil"/>
            </w:tcBorders>
          </w:tcPr>
          <w:p w14:paraId="4DCE5D86"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0.249</w:t>
            </w:r>
          </w:p>
        </w:tc>
        <w:tc>
          <w:tcPr>
            <w:tcW w:w="661" w:type="pct"/>
            <w:tcBorders>
              <w:tl2br w:val="nil"/>
              <w:tr2bl w:val="nil"/>
            </w:tcBorders>
          </w:tcPr>
          <w:p w14:paraId="00E6AC35"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0.291</w:t>
            </w:r>
          </w:p>
        </w:tc>
        <w:tc>
          <w:tcPr>
            <w:tcW w:w="608" w:type="pct"/>
            <w:tcBorders>
              <w:tl2br w:val="nil"/>
              <w:tr2bl w:val="nil"/>
            </w:tcBorders>
          </w:tcPr>
          <w:p w14:paraId="2C692E85"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0.285</w:t>
            </w:r>
          </w:p>
        </w:tc>
        <w:tc>
          <w:tcPr>
            <w:tcW w:w="662" w:type="pct"/>
            <w:tcBorders>
              <w:tl2br w:val="nil"/>
              <w:tr2bl w:val="nil"/>
            </w:tcBorders>
          </w:tcPr>
          <w:p w14:paraId="5A2A5FCF"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0.282</w:t>
            </w:r>
          </w:p>
        </w:tc>
      </w:tr>
      <w:tr w:rsidR="00501C7E" w14:paraId="706514FF" w14:textId="77777777">
        <w:trPr>
          <w:jc w:val="center"/>
        </w:trPr>
        <w:tc>
          <w:tcPr>
            <w:tcW w:w="995" w:type="pct"/>
            <w:tcBorders>
              <w:tl2br w:val="nil"/>
              <w:tr2bl w:val="nil"/>
            </w:tcBorders>
            <w:vAlign w:val="center"/>
          </w:tcPr>
          <w:p w14:paraId="7480D8BF" w14:textId="77777777" w:rsidR="00501C7E" w:rsidRDefault="00EC5712">
            <w:pPr>
              <w:jc w:val="center"/>
              <w:rPr>
                <w:rFonts w:ascii="Times New Roman" w:hAnsi="Times New Roman"/>
                <w:sz w:val="18"/>
                <w:szCs w:val="18"/>
              </w:rPr>
            </w:pPr>
            <w:r>
              <w:rPr>
                <w:rFonts w:ascii="Times New Roman" w:hAnsi="Times New Roman"/>
                <w:sz w:val="18"/>
                <w:szCs w:val="18"/>
              </w:rPr>
              <w:t>F</w:t>
            </w:r>
            <w:r>
              <w:rPr>
                <w:rFonts w:ascii="Times New Roman" w:hAnsi="Times New Roman"/>
                <w:sz w:val="18"/>
                <w:szCs w:val="18"/>
              </w:rPr>
              <w:t>值</w:t>
            </w:r>
          </w:p>
        </w:tc>
        <w:tc>
          <w:tcPr>
            <w:tcW w:w="771" w:type="pct"/>
            <w:tcBorders>
              <w:tl2br w:val="nil"/>
              <w:tr2bl w:val="nil"/>
            </w:tcBorders>
          </w:tcPr>
          <w:p w14:paraId="0E07FE6B"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8.366</w:t>
            </w:r>
          </w:p>
        </w:tc>
        <w:tc>
          <w:tcPr>
            <w:tcW w:w="679" w:type="pct"/>
            <w:tcBorders>
              <w:tl2br w:val="nil"/>
              <w:tr2bl w:val="nil"/>
            </w:tcBorders>
          </w:tcPr>
          <w:p w14:paraId="63B7F90E"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7.692</w:t>
            </w:r>
          </w:p>
        </w:tc>
        <w:tc>
          <w:tcPr>
            <w:tcW w:w="621" w:type="pct"/>
            <w:tcBorders>
              <w:tl2br w:val="nil"/>
              <w:tr2bl w:val="nil"/>
            </w:tcBorders>
          </w:tcPr>
          <w:p w14:paraId="23DA720B"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8.402</w:t>
            </w:r>
          </w:p>
        </w:tc>
        <w:tc>
          <w:tcPr>
            <w:tcW w:w="661" w:type="pct"/>
            <w:tcBorders>
              <w:tl2br w:val="nil"/>
              <w:tr2bl w:val="nil"/>
            </w:tcBorders>
          </w:tcPr>
          <w:p w14:paraId="0E55CF50"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10.413</w:t>
            </w:r>
          </w:p>
        </w:tc>
        <w:tc>
          <w:tcPr>
            <w:tcW w:w="608" w:type="pct"/>
            <w:tcBorders>
              <w:tl2br w:val="nil"/>
              <w:tr2bl w:val="nil"/>
            </w:tcBorders>
          </w:tcPr>
          <w:p w14:paraId="0CFEF633"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10.102</w:t>
            </w:r>
          </w:p>
        </w:tc>
        <w:tc>
          <w:tcPr>
            <w:tcW w:w="662" w:type="pct"/>
            <w:tcBorders>
              <w:tl2br w:val="nil"/>
              <w:tr2bl w:val="nil"/>
            </w:tcBorders>
          </w:tcPr>
          <w:p w14:paraId="2C37B69B"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9.942</w:t>
            </w:r>
          </w:p>
        </w:tc>
      </w:tr>
    </w:tbl>
    <w:p w14:paraId="70E37FC8" w14:textId="77777777" w:rsidR="00501C7E" w:rsidRDefault="00EC5712">
      <w:pPr>
        <w:spacing w:line="300" w:lineRule="exact"/>
        <w:ind w:firstLineChars="100" w:firstLine="150"/>
        <w:textAlignment w:val="bottom"/>
        <w:rPr>
          <w:rFonts w:ascii="Times New Roman" w:eastAsia="楷体" w:hAnsi="Times New Roman"/>
          <w:sz w:val="15"/>
          <w:szCs w:val="15"/>
        </w:rPr>
      </w:pPr>
      <w:r>
        <w:rPr>
          <w:rFonts w:ascii="Times New Roman" w:eastAsia="楷体" w:hAnsi="Times New Roman"/>
          <w:sz w:val="15"/>
          <w:szCs w:val="15"/>
        </w:rPr>
        <w:t>注：括号中为稳健标准差，</w:t>
      </w:r>
      <w:r w:rsidR="009C070E">
        <w:rPr>
          <w:rFonts w:ascii="Times New Roman" w:eastAsia="楷体" w:hAnsi="Times New Roman" w:hint="eastAsia"/>
          <w:sz w:val="15"/>
          <w:szCs w:val="15"/>
        </w:rPr>
        <w:t>*</w:t>
      </w:r>
      <w:r w:rsidR="009C070E">
        <w:rPr>
          <w:rFonts w:ascii="Times New Roman" w:eastAsia="楷体" w:hAnsi="Times New Roman" w:hint="eastAsia"/>
          <w:sz w:val="15"/>
          <w:szCs w:val="15"/>
        </w:rPr>
        <w:t>、</w:t>
      </w:r>
      <w:r w:rsidR="009C070E">
        <w:rPr>
          <w:rFonts w:ascii="Times New Roman" w:eastAsia="楷体" w:hAnsi="Times New Roman" w:hint="eastAsia"/>
          <w:sz w:val="15"/>
          <w:szCs w:val="15"/>
        </w:rPr>
        <w:t>**</w:t>
      </w:r>
      <w:r w:rsidR="009C070E">
        <w:rPr>
          <w:rFonts w:ascii="Times New Roman" w:eastAsia="楷体" w:hAnsi="Times New Roman" w:hint="eastAsia"/>
          <w:sz w:val="15"/>
          <w:szCs w:val="15"/>
        </w:rPr>
        <w:t>、</w:t>
      </w:r>
      <w:r w:rsidR="009C070E">
        <w:rPr>
          <w:rFonts w:ascii="Times New Roman" w:eastAsia="楷体" w:hAnsi="Times New Roman" w:hint="eastAsia"/>
          <w:sz w:val="15"/>
          <w:szCs w:val="15"/>
        </w:rPr>
        <w:t>***</w:t>
      </w:r>
      <w:r w:rsidR="009C070E">
        <w:rPr>
          <w:rFonts w:ascii="Times New Roman" w:eastAsia="楷体" w:hAnsi="Times New Roman" w:hint="eastAsia"/>
          <w:sz w:val="15"/>
          <w:szCs w:val="15"/>
        </w:rPr>
        <w:t>分别表示在</w:t>
      </w:r>
      <w:r w:rsidR="009C070E">
        <w:rPr>
          <w:rFonts w:ascii="Times New Roman" w:eastAsia="楷体" w:hAnsi="Times New Roman" w:hint="eastAsia"/>
          <w:sz w:val="15"/>
          <w:szCs w:val="15"/>
        </w:rPr>
        <w:t>10%</w:t>
      </w:r>
      <w:r w:rsidR="009C070E">
        <w:rPr>
          <w:rFonts w:ascii="Times New Roman" w:eastAsia="楷体" w:hAnsi="Times New Roman" w:hint="eastAsia"/>
          <w:sz w:val="15"/>
          <w:szCs w:val="15"/>
        </w:rPr>
        <w:t>、</w:t>
      </w:r>
      <w:r w:rsidR="009C070E">
        <w:rPr>
          <w:rFonts w:ascii="Times New Roman" w:eastAsia="楷体" w:hAnsi="Times New Roman" w:hint="eastAsia"/>
          <w:sz w:val="15"/>
          <w:szCs w:val="15"/>
        </w:rPr>
        <w:t>5%</w:t>
      </w:r>
      <w:r w:rsidR="009C070E">
        <w:rPr>
          <w:rFonts w:ascii="Times New Roman" w:eastAsia="楷体" w:hAnsi="Times New Roman" w:hint="eastAsia"/>
          <w:sz w:val="15"/>
          <w:szCs w:val="15"/>
        </w:rPr>
        <w:t>和</w:t>
      </w:r>
      <w:r w:rsidR="009C070E">
        <w:rPr>
          <w:rFonts w:ascii="Times New Roman" w:eastAsia="楷体" w:hAnsi="Times New Roman" w:hint="eastAsia"/>
          <w:sz w:val="15"/>
          <w:szCs w:val="15"/>
        </w:rPr>
        <w:t>1%</w:t>
      </w:r>
      <w:r w:rsidR="009C070E">
        <w:rPr>
          <w:rFonts w:ascii="Times New Roman" w:eastAsia="楷体" w:hAnsi="Times New Roman" w:hint="eastAsia"/>
          <w:sz w:val="15"/>
          <w:szCs w:val="15"/>
        </w:rPr>
        <w:t>的水平上显著，</w:t>
      </w:r>
      <w:r w:rsidR="009C070E">
        <w:rPr>
          <w:rFonts w:ascii="Times New Roman" w:eastAsia="楷体" w:hAnsi="Times New Roman"/>
          <w:sz w:val="15"/>
          <w:szCs w:val="15"/>
        </w:rPr>
        <w:t>下</w:t>
      </w:r>
      <w:r>
        <w:rPr>
          <w:rFonts w:ascii="Times New Roman" w:eastAsia="楷体" w:hAnsi="Times New Roman"/>
          <w:sz w:val="15"/>
          <w:szCs w:val="15"/>
        </w:rPr>
        <w:t>同。</w:t>
      </w:r>
    </w:p>
    <w:p w14:paraId="62AA1351" w14:textId="77777777" w:rsidR="00501C7E" w:rsidRDefault="00501C7E">
      <w:pPr>
        <w:spacing w:line="300" w:lineRule="exact"/>
        <w:textAlignment w:val="bottom"/>
        <w:rPr>
          <w:rFonts w:ascii="Times New Roman" w:hAnsi="Times New Roman"/>
        </w:rPr>
      </w:pPr>
    </w:p>
    <w:p w14:paraId="31B3E76A" w14:textId="77777777" w:rsidR="00501C7E" w:rsidRDefault="00EC5712">
      <w:pPr>
        <w:spacing w:line="300" w:lineRule="exact"/>
        <w:ind w:firstLine="420"/>
        <w:textAlignment w:val="bottom"/>
        <w:rPr>
          <w:rFonts w:ascii="Times New Roman" w:hAnsi="Times New Roman"/>
        </w:rPr>
      </w:pPr>
      <w:r>
        <w:rPr>
          <w:rFonts w:ascii="Times New Roman" w:hAnsi="Times New Roman"/>
          <w:szCs w:val="21"/>
        </w:rPr>
        <w:t>根据</w:t>
      </w:r>
      <w:r>
        <w:rPr>
          <w:rFonts w:ascii="Times New Roman" w:hAnsi="Times New Roman" w:hint="eastAsia"/>
          <w:szCs w:val="21"/>
        </w:rPr>
        <w:t>“</w:t>
      </w:r>
      <w:r>
        <w:rPr>
          <w:rFonts w:ascii="Times New Roman" w:hAnsi="Times New Roman"/>
          <w:szCs w:val="21"/>
        </w:rPr>
        <w:t>保护待售</w:t>
      </w:r>
      <w:r>
        <w:rPr>
          <w:rFonts w:ascii="Times New Roman" w:hAnsi="Times New Roman" w:hint="eastAsia"/>
          <w:szCs w:val="21"/>
        </w:rPr>
        <w:t>”</w:t>
      </w:r>
      <w:r>
        <w:rPr>
          <w:rFonts w:ascii="Times New Roman" w:hAnsi="Times New Roman"/>
          <w:szCs w:val="21"/>
        </w:rPr>
        <w:t>模型的形式设定，当估计出系数</w:t>
      </w:r>
      <m:oMath>
        <m:r>
          <w:rPr>
            <w:rFonts w:ascii="Cambria Math" w:hAnsi="Cambria Math"/>
            <w:szCs w:val="21"/>
          </w:rPr>
          <m:t>γ</m:t>
        </m:r>
      </m:oMath>
      <w:r>
        <w:rPr>
          <w:rFonts w:ascii="Times New Roman" w:hAnsi="Times New Roman"/>
          <w:szCs w:val="21"/>
        </w:rPr>
        <w:t>和</w:t>
      </w:r>
      <m:oMath>
        <m:r>
          <w:rPr>
            <w:rFonts w:ascii="Cambria Math" w:hAnsi="Cambria Math"/>
            <w:szCs w:val="21"/>
          </w:rPr>
          <m:t>δ</m:t>
        </m:r>
      </m:oMath>
      <w:r>
        <w:rPr>
          <w:rFonts w:ascii="Times New Roman" w:hAnsi="Times New Roman"/>
          <w:szCs w:val="21"/>
        </w:rPr>
        <w:t>后，可据此求出结构参数</w:t>
      </w:r>
      <m:oMath>
        <m:r>
          <w:rPr>
            <w:rFonts w:ascii="Cambria Math" w:hAnsi="Cambria Math"/>
            <w:szCs w:val="21"/>
          </w:rPr>
          <m:t>a</m:t>
        </m:r>
      </m:oMath>
      <w:r>
        <w:rPr>
          <w:rFonts w:ascii="Times New Roman" w:hAnsi="Times New Roman"/>
          <w:szCs w:val="21"/>
        </w:rPr>
        <w:t>和</w:t>
      </w:r>
      <m:oMath>
        <m:sSub>
          <m:sSubPr>
            <m:ctrlPr>
              <w:rPr>
                <w:rFonts w:ascii="Cambria Math" w:hAnsi="Cambria Math"/>
                <w:i/>
                <w:szCs w:val="21"/>
              </w:rPr>
            </m:ctrlPr>
          </m:sSubPr>
          <m:e>
            <m:r>
              <w:rPr>
                <w:rFonts w:ascii="Cambria Math" w:hAnsi="Cambria Math"/>
                <w:szCs w:val="21"/>
              </w:rPr>
              <m:t>α</m:t>
            </m:r>
          </m:e>
          <m:sub>
            <m:r>
              <w:rPr>
                <w:rFonts w:ascii="Cambria Math" w:hAnsi="Cambria Math"/>
                <w:szCs w:val="21"/>
              </w:rPr>
              <m:t>L</m:t>
            </m:r>
          </m:sub>
        </m:sSub>
      </m:oMath>
      <w:r w:rsidR="009C070E">
        <w:rPr>
          <w:rFonts w:ascii="Times New Roman" w:hAnsi="Times New Roman" w:hint="eastAsia"/>
          <w:szCs w:val="21"/>
        </w:rPr>
        <w:t>。</w:t>
      </w:r>
      <w:r>
        <w:rPr>
          <w:rFonts w:ascii="Times New Roman" w:hAnsi="Times New Roman"/>
          <w:szCs w:val="21"/>
        </w:rPr>
        <w:t>其中，</w:t>
      </w:r>
      <m:oMath>
        <m:r>
          <w:rPr>
            <w:rFonts w:ascii="Cambria Math" w:hAnsi="Cambria Math"/>
            <w:szCs w:val="21"/>
          </w:rPr>
          <m:t>a</m:t>
        </m:r>
      </m:oMath>
      <w:r>
        <w:rPr>
          <w:rFonts w:ascii="Times New Roman" w:hAnsi="Times New Roman"/>
          <w:szCs w:val="21"/>
        </w:rPr>
        <w:t>代表政府对社会总体福利的重视程度，</w:t>
      </w:r>
      <m:oMath>
        <m:r>
          <w:rPr>
            <w:rFonts w:ascii="Cambria Math" w:hAnsi="Cambria Math"/>
            <w:szCs w:val="21"/>
          </w:rPr>
          <m:t>a</m:t>
        </m:r>
      </m:oMath>
      <w:r>
        <w:rPr>
          <w:rFonts w:ascii="Times New Roman" w:hAnsi="Times New Roman"/>
          <w:szCs w:val="21"/>
        </w:rPr>
        <w:t>越大，政府越关注社会总体的福利，越倾向于向特殊利益集团提供较低的贸易保护水平；</w:t>
      </w:r>
      <m:oMath>
        <m:sSub>
          <m:sSubPr>
            <m:ctrlPr>
              <w:rPr>
                <w:rFonts w:ascii="Cambria Math" w:hAnsi="Cambria Math"/>
                <w:i/>
                <w:szCs w:val="21"/>
              </w:rPr>
            </m:ctrlPr>
          </m:sSubPr>
          <m:e>
            <m:r>
              <w:rPr>
                <w:rFonts w:ascii="Cambria Math" w:hAnsi="Cambria Math"/>
                <w:szCs w:val="21"/>
              </w:rPr>
              <m:t>α</m:t>
            </m:r>
          </m:e>
          <m:sub>
            <m:r>
              <w:rPr>
                <w:rFonts w:ascii="Cambria Math" w:hAnsi="Cambria Math"/>
                <w:szCs w:val="21"/>
              </w:rPr>
              <m:t>L</m:t>
            </m:r>
          </m:sub>
        </m:sSub>
      </m:oMath>
      <w:r>
        <w:rPr>
          <w:rFonts w:ascii="Times New Roman" w:hAnsi="Times New Roman"/>
          <w:szCs w:val="21"/>
        </w:rPr>
        <w:t>代表组成利益集团的人数占总人数的比例，</w:t>
      </w:r>
      <m:oMath>
        <m:sSub>
          <m:sSubPr>
            <m:ctrlPr>
              <w:rPr>
                <w:rFonts w:ascii="Cambria Math" w:hAnsi="Cambria Math"/>
                <w:i/>
                <w:szCs w:val="21"/>
              </w:rPr>
            </m:ctrlPr>
          </m:sSubPr>
          <m:e>
            <m:r>
              <w:rPr>
                <w:rFonts w:ascii="Cambria Math" w:hAnsi="Cambria Math"/>
                <w:szCs w:val="21"/>
              </w:rPr>
              <m:t>α</m:t>
            </m:r>
          </m:e>
          <m:sub>
            <m:r>
              <w:rPr>
                <w:rFonts w:ascii="Cambria Math" w:hAnsi="Cambria Math"/>
                <w:szCs w:val="21"/>
              </w:rPr>
              <m:t>L</m:t>
            </m:r>
          </m:sub>
        </m:sSub>
      </m:oMath>
      <w:r>
        <w:rPr>
          <w:rFonts w:ascii="Times New Roman" w:hAnsi="Times New Roman"/>
          <w:szCs w:val="21"/>
        </w:rPr>
        <w:t>越大，政府越</w:t>
      </w:r>
      <w:r>
        <w:rPr>
          <w:rFonts w:ascii="Times New Roman" w:hAnsi="Times New Roman"/>
          <w:szCs w:val="21"/>
        </w:rPr>
        <w:lastRenderedPageBreak/>
        <w:t>倾向于推行贸易自由化政策。由表</w:t>
      </w:r>
      <w:r>
        <w:rPr>
          <w:rFonts w:ascii="Times New Roman" w:hAnsi="Times New Roman"/>
          <w:szCs w:val="21"/>
        </w:rPr>
        <w:t>4</w:t>
      </w:r>
      <w:r w:rsidR="009C070E">
        <w:rPr>
          <w:rFonts w:ascii="Times New Roman" w:hAnsi="Times New Roman"/>
          <w:szCs w:val="21"/>
        </w:rPr>
        <w:t>的估计结果可以看出，本文</w:t>
      </w:r>
      <w:r>
        <w:rPr>
          <w:rFonts w:ascii="Times New Roman" w:hAnsi="Times New Roman"/>
          <w:szCs w:val="21"/>
        </w:rPr>
        <w:t>计算出的</w:t>
      </w:r>
      <m:oMath>
        <m:sSub>
          <m:sSubPr>
            <m:ctrlPr>
              <w:rPr>
                <w:rFonts w:ascii="Cambria Math" w:hAnsi="Cambria Math"/>
                <w:i/>
                <w:szCs w:val="21"/>
              </w:rPr>
            </m:ctrlPr>
          </m:sSubPr>
          <m:e>
            <m:r>
              <w:rPr>
                <w:rFonts w:ascii="Cambria Math" w:hAnsi="Cambria Math"/>
                <w:szCs w:val="21"/>
              </w:rPr>
              <m:t>α</m:t>
            </m:r>
          </m:e>
          <m:sub>
            <m:r>
              <w:rPr>
                <w:rFonts w:ascii="Cambria Math" w:hAnsi="Cambria Math"/>
                <w:szCs w:val="21"/>
              </w:rPr>
              <m:t>L</m:t>
            </m:r>
          </m:sub>
        </m:sSub>
      </m:oMath>
      <w:r>
        <w:rPr>
          <w:rFonts w:ascii="Times New Roman" w:hAnsi="Times New Roman"/>
          <w:szCs w:val="21"/>
        </w:rPr>
        <w:t>值在合理范围之内（即在</w:t>
      </w:r>
      <w:r>
        <w:rPr>
          <w:rFonts w:ascii="Times New Roman" w:hAnsi="Times New Roman"/>
          <w:szCs w:val="21"/>
        </w:rPr>
        <w:t>0</w:t>
      </w:r>
      <w:r>
        <w:rPr>
          <w:rFonts w:ascii="Times New Roman" w:hAnsi="Times New Roman"/>
          <w:szCs w:val="21"/>
        </w:rPr>
        <w:t>到</w:t>
      </w:r>
      <w:r>
        <w:rPr>
          <w:rFonts w:ascii="Times New Roman" w:hAnsi="Times New Roman"/>
          <w:szCs w:val="21"/>
        </w:rPr>
        <w:t>1</w:t>
      </w:r>
      <w:r>
        <w:rPr>
          <w:rFonts w:ascii="Times New Roman" w:hAnsi="Times New Roman"/>
          <w:szCs w:val="21"/>
        </w:rPr>
        <w:t>之间），与前定比重基本相符；估计出的</w:t>
      </w:r>
      <m:oMath>
        <m:r>
          <w:rPr>
            <w:rFonts w:ascii="Cambria Math" w:hAnsi="Cambria Math"/>
            <w:szCs w:val="21"/>
          </w:rPr>
          <m:t>a</m:t>
        </m:r>
      </m:oMath>
      <w:r>
        <w:rPr>
          <w:rFonts w:ascii="Times New Roman" w:hAnsi="Times New Roman"/>
          <w:szCs w:val="21"/>
        </w:rPr>
        <w:t>值在</w:t>
      </w:r>
      <w:r>
        <w:rPr>
          <w:rFonts w:ascii="Times New Roman" w:hAnsi="Times New Roman"/>
          <w:szCs w:val="21"/>
        </w:rPr>
        <w:t>4.5-5.5</w:t>
      </w:r>
      <w:r>
        <w:rPr>
          <w:rFonts w:ascii="Times New Roman" w:hAnsi="Times New Roman"/>
          <w:szCs w:val="21"/>
        </w:rPr>
        <w:t>之间，即欧盟对全社会福利的重视程度略高于对特定利益集团利益的重视程度。以往文献估计出的</w:t>
      </w:r>
      <m:oMath>
        <m:r>
          <w:rPr>
            <w:rFonts w:ascii="Cambria Math" w:hAnsi="Cambria Math"/>
            <w:szCs w:val="21"/>
          </w:rPr>
          <m:t>a</m:t>
        </m:r>
      </m:oMath>
      <w:r>
        <w:rPr>
          <w:rFonts w:ascii="Times New Roman" w:hAnsi="Times New Roman"/>
          <w:szCs w:val="21"/>
        </w:rPr>
        <w:t>值往往较大，如</w:t>
      </w:r>
      <w:r>
        <w:rPr>
          <w:rFonts w:ascii="Times New Roman" w:hAnsi="Times New Roman"/>
          <w:szCs w:val="21"/>
        </w:rPr>
        <w:t>Mitra et al</w:t>
      </w:r>
      <w:r>
        <w:rPr>
          <w:rFonts w:ascii="Times New Roman" w:hAnsi="Times New Roman"/>
          <w:szCs w:val="21"/>
        </w:rPr>
        <w:t>（</w:t>
      </w:r>
      <w:r>
        <w:rPr>
          <w:rFonts w:ascii="Times New Roman" w:hAnsi="Times New Roman"/>
          <w:szCs w:val="21"/>
        </w:rPr>
        <w:t>2002</w:t>
      </w:r>
      <w:r>
        <w:rPr>
          <w:rFonts w:ascii="Times New Roman" w:hAnsi="Times New Roman"/>
          <w:szCs w:val="21"/>
        </w:rPr>
        <w:t>）使用土耳其数据估计出的</w:t>
      </w:r>
      <m:oMath>
        <m:r>
          <w:rPr>
            <w:rFonts w:ascii="Cambria Math" w:hAnsi="Cambria Math"/>
            <w:szCs w:val="21"/>
          </w:rPr>
          <m:t>a</m:t>
        </m:r>
      </m:oMath>
      <w:r>
        <w:rPr>
          <w:rFonts w:ascii="Times New Roman" w:hAnsi="Times New Roman"/>
          <w:szCs w:val="21"/>
        </w:rPr>
        <w:t>值接近</w:t>
      </w:r>
      <w:r>
        <w:rPr>
          <w:rFonts w:ascii="Times New Roman" w:hAnsi="Times New Roman"/>
          <w:szCs w:val="21"/>
        </w:rPr>
        <w:t>100</w:t>
      </w:r>
      <w:r>
        <w:rPr>
          <w:rFonts w:ascii="Times New Roman" w:hAnsi="Times New Roman"/>
          <w:szCs w:val="21"/>
        </w:rPr>
        <w:t>，而</w:t>
      </w:r>
      <w:r>
        <w:rPr>
          <w:rFonts w:ascii="Times New Roman" w:hAnsi="Times New Roman"/>
          <w:szCs w:val="21"/>
        </w:rPr>
        <w:t>Gawande &amp; Bandyopadhyay</w:t>
      </w:r>
      <w:r>
        <w:rPr>
          <w:rFonts w:ascii="Times New Roman" w:hAnsi="Times New Roman" w:hint="eastAsia"/>
          <w:szCs w:val="21"/>
        </w:rPr>
        <w:t>（</w:t>
      </w:r>
      <w:r>
        <w:rPr>
          <w:rFonts w:ascii="Times New Roman" w:hAnsi="Times New Roman"/>
          <w:szCs w:val="21"/>
        </w:rPr>
        <w:t>2000</w:t>
      </w:r>
      <w:r>
        <w:rPr>
          <w:rFonts w:ascii="Times New Roman" w:hAnsi="Times New Roman"/>
          <w:szCs w:val="21"/>
        </w:rPr>
        <w:t>）使用美国</w:t>
      </w:r>
      <w:r>
        <w:rPr>
          <w:rFonts w:ascii="Times New Roman" w:hAnsi="Times New Roman" w:hint="eastAsia"/>
          <w:szCs w:val="21"/>
        </w:rPr>
        <w:t>数据</w:t>
      </w:r>
      <w:r>
        <w:rPr>
          <w:rFonts w:ascii="Times New Roman" w:hAnsi="Times New Roman"/>
          <w:szCs w:val="21"/>
        </w:rPr>
        <w:t>估计的</w:t>
      </w:r>
      <m:oMath>
        <m:r>
          <w:rPr>
            <w:rFonts w:ascii="Cambria Math" w:hAnsi="Cambria Math"/>
            <w:szCs w:val="21"/>
          </w:rPr>
          <m:t>a</m:t>
        </m:r>
      </m:oMath>
      <w:r>
        <w:rPr>
          <w:rFonts w:ascii="Times New Roman" w:hAnsi="Times New Roman"/>
          <w:szCs w:val="21"/>
        </w:rPr>
        <w:t>值超过了</w:t>
      </w:r>
      <w:r>
        <w:rPr>
          <w:rFonts w:ascii="Times New Roman" w:hAnsi="Times New Roman"/>
          <w:szCs w:val="21"/>
        </w:rPr>
        <w:t>1000</w:t>
      </w:r>
      <w:r w:rsidR="009C070E">
        <w:rPr>
          <w:rFonts w:ascii="Times New Roman" w:hAnsi="Times New Roman"/>
          <w:szCs w:val="21"/>
        </w:rPr>
        <w:t>，王孝松和</w:t>
      </w:r>
      <w:r>
        <w:rPr>
          <w:rFonts w:ascii="Times New Roman" w:hAnsi="Times New Roman"/>
          <w:szCs w:val="21"/>
        </w:rPr>
        <w:t>谢申祥（</w:t>
      </w:r>
      <w:r>
        <w:rPr>
          <w:rFonts w:ascii="Times New Roman" w:hAnsi="Times New Roman"/>
          <w:szCs w:val="21"/>
        </w:rPr>
        <w:t>2013</w:t>
      </w:r>
      <w:r>
        <w:rPr>
          <w:rFonts w:ascii="Times New Roman" w:hAnsi="Times New Roman"/>
          <w:szCs w:val="21"/>
        </w:rPr>
        <w:t>）使用印度数据估计的</w:t>
      </w:r>
      <m:oMath>
        <m:r>
          <w:rPr>
            <w:rFonts w:ascii="Cambria Math" w:hAnsi="Cambria Math"/>
            <w:szCs w:val="21"/>
          </w:rPr>
          <m:t>a</m:t>
        </m:r>
      </m:oMath>
      <w:r>
        <w:rPr>
          <w:rFonts w:ascii="Times New Roman" w:hAnsi="Times New Roman"/>
          <w:szCs w:val="21"/>
        </w:rPr>
        <w:t>值在</w:t>
      </w:r>
      <w:r>
        <w:rPr>
          <w:rFonts w:ascii="Times New Roman" w:hAnsi="Times New Roman"/>
          <w:szCs w:val="21"/>
        </w:rPr>
        <w:t>30</w:t>
      </w:r>
      <w:r>
        <w:rPr>
          <w:rFonts w:ascii="Times New Roman" w:hAnsi="Times New Roman"/>
          <w:szCs w:val="21"/>
        </w:rPr>
        <w:t>到</w:t>
      </w:r>
      <w:r>
        <w:rPr>
          <w:rFonts w:ascii="Times New Roman" w:hAnsi="Times New Roman"/>
          <w:szCs w:val="21"/>
        </w:rPr>
        <w:t>2000</w:t>
      </w:r>
      <w:r>
        <w:rPr>
          <w:rFonts w:ascii="Times New Roman" w:hAnsi="Times New Roman"/>
          <w:szCs w:val="21"/>
        </w:rPr>
        <w:t>之间。本文的估计结果同公众的直觉更为相符，即欧盟政府对全社会福利的重视程度略高于对申诉者特殊利益的重视程度，在公共政策的决策过程中，执政者首先会考虑社会总体福利，而特殊利益集团的诉求在决策过程中也发挥一定作用。</w:t>
      </w:r>
    </w:p>
    <w:p w14:paraId="5DC190F1" w14:textId="77777777" w:rsidR="00501C7E" w:rsidRDefault="00EC5712">
      <w:pPr>
        <w:ind w:firstLine="420"/>
        <w:jc w:val="left"/>
        <w:rPr>
          <w:rFonts w:ascii="Times New Roman" w:hAnsi="Times New Roman"/>
        </w:rPr>
      </w:pPr>
      <w:r>
        <w:rPr>
          <w:rFonts w:ascii="Times New Roman" w:hAnsi="Times New Roman"/>
          <w:szCs w:val="21"/>
        </w:rPr>
        <w:t>单方程</w:t>
      </w:r>
      <w:r>
        <w:rPr>
          <w:rFonts w:ascii="Times New Roman" w:hAnsi="Times New Roman"/>
          <w:szCs w:val="21"/>
        </w:rPr>
        <w:t>OLS</w:t>
      </w:r>
      <w:r>
        <w:rPr>
          <w:rFonts w:ascii="Times New Roman" w:hAnsi="Times New Roman"/>
          <w:szCs w:val="21"/>
        </w:rPr>
        <w:t>估计的结果证明了欧盟对华反倾销税率的裁定符合</w:t>
      </w:r>
      <w:r>
        <w:rPr>
          <w:rFonts w:ascii="Times New Roman" w:hAnsi="Times New Roman" w:hint="eastAsia"/>
          <w:szCs w:val="21"/>
        </w:rPr>
        <w:t>“</w:t>
      </w:r>
      <w:r>
        <w:rPr>
          <w:rFonts w:ascii="Times New Roman" w:hAnsi="Times New Roman"/>
          <w:szCs w:val="21"/>
        </w:rPr>
        <w:t>保护待售</w:t>
      </w:r>
      <w:r>
        <w:rPr>
          <w:rFonts w:ascii="Times New Roman" w:hAnsi="Times New Roman" w:hint="eastAsia"/>
          <w:szCs w:val="21"/>
        </w:rPr>
        <w:t>”</w:t>
      </w:r>
      <w:r>
        <w:rPr>
          <w:rFonts w:ascii="Times New Roman" w:hAnsi="Times New Roman"/>
          <w:szCs w:val="21"/>
        </w:rPr>
        <w:t>模型的基本假定，但并未对模型之外的其他政治经济指标对反倾销税率的裁定结果影响作出检验，为提高</w:t>
      </w:r>
      <w:r>
        <w:rPr>
          <w:rFonts w:ascii="Times New Roman" w:hAnsi="Times New Roman" w:hint="eastAsia"/>
          <w:szCs w:val="21"/>
        </w:rPr>
        <w:t>“</w:t>
      </w:r>
      <w:r>
        <w:rPr>
          <w:rFonts w:ascii="Times New Roman" w:hAnsi="Times New Roman"/>
          <w:szCs w:val="21"/>
        </w:rPr>
        <w:t>保护待售</w:t>
      </w:r>
      <w:r>
        <w:rPr>
          <w:rFonts w:ascii="Times New Roman" w:hAnsi="Times New Roman" w:hint="eastAsia"/>
          <w:szCs w:val="21"/>
        </w:rPr>
        <w:t>”</w:t>
      </w:r>
      <w:r>
        <w:rPr>
          <w:rFonts w:ascii="Times New Roman" w:hAnsi="Times New Roman"/>
          <w:szCs w:val="21"/>
        </w:rPr>
        <w:t>模型在研究欧盟对华反倾销裁决中的适用性，需要纳入其他变量进行检验。</w:t>
      </w:r>
    </w:p>
    <w:p w14:paraId="65E259AC" w14:textId="77777777" w:rsidR="00501C7E" w:rsidRDefault="009C070E">
      <w:pPr>
        <w:spacing w:line="300" w:lineRule="exact"/>
        <w:ind w:firstLine="420"/>
        <w:jc w:val="left"/>
        <w:textAlignment w:val="bottom"/>
        <w:rPr>
          <w:rFonts w:ascii="Times New Roman" w:hAnsi="Times New Roman"/>
        </w:rPr>
      </w:pPr>
      <w:r>
        <w:rPr>
          <w:rFonts w:ascii="Times New Roman" w:hAnsi="Times New Roman"/>
          <w:szCs w:val="21"/>
        </w:rPr>
        <w:t>本文选取现有</w:t>
      </w:r>
      <w:r w:rsidR="00EC5712">
        <w:rPr>
          <w:rFonts w:ascii="Times New Roman" w:hAnsi="Times New Roman"/>
          <w:szCs w:val="21"/>
        </w:rPr>
        <w:t>研究中经常出现的经济指标作为解释变量，先对这些经济变量进行检验，再加入</w:t>
      </w:r>
      <m:oMath>
        <m:sSub>
          <m:sSubPr>
            <m:ctrlPr>
              <w:rPr>
                <w:rFonts w:ascii="Cambria Math" w:hAnsi="Times New Roman"/>
                <w:i/>
                <w:szCs w:val="21"/>
              </w:rPr>
            </m:ctrlPr>
          </m:sSubPr>
          <m:e>
            <m:r>
              <w:rPr>
                <w:rFonts w:ascii="Cambria Math" w:hAnsi="Times New Roman"/>
                <w:szCs w:val="21"/>
              </w:rPr>
              <m:t>z</m:t>
            </m:r>
          </m:e>
          <m:sub>
            <m:r>
              <w:rPr>
                <w:rFonts w:ascii="Cambria Math" w:hAnsi="Times New Roman"/>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szCs w:val="21"/>
              </w:rPr>
              <m:t>i</m:t>
            </m:r>
          </m:sub>
        </m:sSub>
      </m:oMath>
      <w:r w:rsidR="00EC5712">
        <w:rPr>
          <w:rFonts w:ascii="Times New Roman" w:hAnsi="Times New Roman"/>
          <w:szCs w:val="21"/>
        </w:rPr>
        <w:t>和</w:t>
      </w:r>
      <m:oMath>
        <m:sSub>
          <m:sSubPr>
            <m:ctrlPr>
              <w:rPr>
                <w:rFonts w:ascii="Cambria Math" w:hAnsi="Times New Roman"/>
                <w:i/>
                <w:szCs w:val="21"/>
              </w:rPr>
            </m:ctrlPr>
          </m:sSubPr>
          <m:e>
            <m:sSub>
              <m:sSubPr>
                <m:ctrlPr>
                  <w:rPr>
                    <w:rFonts w:ascii="Cambria Math" w:hAnsi="Times New Roman"/>
                    <w:i/>
                    <w:szCs w:val="21"/>
                  </w:rPr>
                </m:ctrlPr>
              </m:sSubPr>
              <m:e>
                <m:r>
                  <w:rPr>
                    <w:rFonts w:ascii="Cambria Math" w:hAnsi="Times New Roman"/>
                    <w:szCs w:val="21"/>
                  </w:rPr>
                  <m:t>I</m:t>
                </m:r>
              </m:e>
              <m:sub>
                <m:r>
                  <w:rPr>
                    <w:rFonts w:ascii="Cambria Math" w:hAnsi="Times New Roman"/>
                    <w:szCs w:val="21"/>
                  </w:rPr>
                  <m:t>i</m:t>
                </m:r>
              </m:sub>
            </m:sSub>
            <m:r>
              <w:rPr>
                <w:rFonts w:ascii="Cambria Math" w:hAnsi="Times New Roman"/>
                <w:szCs w:val="21"/>
              </w:rPr>
              <m:t>z</m:t>
            </m:r>
          </m:e>
          <m:sub>
            <m:r>
              <w:rPr>
                <w:rFonts w:ascii="Cambria Math" w:hAnsi="Times New Roman"/>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szCs w:val="21"/>
              </w:rPr>
              <m:t>i</m:t>
            </m:r>
          </m:sub>
        </m:sSub>
      </m:oMath>
      <w:r w:rsidR="00EC5712">
        <w:rPr>
          <w:rFonts w:ascii="Times New Roman" w:hAnsi="Times New Roman"/>
          <w:szCs w:val="21"/>
        </w:rPr>
        <w:t>比较加入前后</w:t>
      </w:r>
      <w:r>
        <w:rPr>
          <w:rFonts w:ascii="Times New Roman" w:hAnsi="Times New Roman"/>
          <w:szCs w:val="21"/>
        </w:rPr>
        <w:t>，</w:t>
      </w:r>
      <w:r w:rsidR="00EC5712">
        <w:rPr>
          <w:rFonts w:ascii="Times New Roman" w:hAnsi="Times New Roman"/>
          <w:szCs w:val="21"/>
        </w:rPr>
        <w:t>各解释变量的符号和显著性以及方程拟合优度的变化。如表</w:t>
      </w:r>
      <w:r w:rsidR="00EC5712">
        <w:rPr>
          <w:rFonts w:ascii="Times New Roman" w:hAnsi="Times New Roman"/>
          <w:szCs w:val="21"/>
        </w:rPr>
        <w:t>5</w:t>
      </w:r>
      <w:r w:rsidR="00EC5712">
        <w:rPr>
          <w:rFonts w:ascii="Times New Roman" w:hAnsi="Times New Roman"/>
          <w:szCs w:val="21"/>
        </w:rPr>
        <w:t>所示，在反倾销最终税率的裁定上，企业数量、按要素成本计算的增值、盈余总额、人事费以及工资和薪金等变量，均会对被解释变量产生显著影响，但当同时纳入</w:t>
      </w:r>
      <m:oMath>
        <m:sSub>
          <m:sSubPr>
            <m:ctrlPr>
              <w:rPr>
                <w:rFonts w:ascii="Cambria Math" w:hAnsi="Times New Roman"/>
                <w:i/>
                <w:szCs w:val="21"/>
              </w:rPr>
            </m:ctrlPr>
          </m:sSubPr>
          <m:e>
            <m:r>
              <w:rPr>
                <w:rFonts w:ascii="Cambria Math" w:hAnsi="Times New Roman"/>
                <w:szCs w:val="21"/>
              </w:rPr>
              <m:t>z</m:t>
            </m:r>
          </m:e>
          <m:sub>
            <m:r>
              <w:rPr>
                <w:rFonts w:ascii="Cambria Math" w:hAnsi="Times New Roman"/>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szCs w:val="21"/>
              </w:rPr>
              <m:t>i</m:t>
            </m:r>
          </m:sub>
        </m:sSub>
      </m:oMath>
      <w:r w:rsidR="00EC5712">
        <w:rPr>
          <w:rFonts w:ascii="Times New Roman" w:hAnsi="Times New Roman"/>
          <w:szCs w:val="21"/>
        </w:rPr>
        <w:t>和</w:t>
      </w:r>
      <m:oMath>
        <m:sSub>
          <m:sSubPr>
            <m:ctrlPr>
              <w:rPr>
                <w:rFonts w:ascii="Cambria Math" w:hAnsi="Times New Roman"/>
                <w:i/>
                <w:szCs w:val="21"/>
              </w:rPr>
            </m:ctrlPr>
          </m:sSubPr>
          <m:e>
            <m:sSub>
              <m:sSubPr>
                <m:ctrlPr>
                  <w:rPr>
                    <w:rFonts w:ascii="Cambria Math" w:hAnsi="Times New Roman"/>
                    <w:i/>
                    <w:szCs w:val="21"/>
                  </w:rPr>
                </m:ctrlPr>
              </m:sSubPr>
              <m:e>
                <m:r>
                  <w:rPr>
                    <w:rFonts w:ascii="Cambria Math" w:hAnsi="Times New Roman"/>
                    <w:szCs w:val="21"/>
                  </w:rPr>
                  <m:t>I</m:t>
                </m:r>
              </m:e>
              <m:sub>
                <m:r>
                  <w:rPr>
                    <w:rFonts w:ascii="Cambria Math" w:hAnsi="Times New Roman"/>
                    <w:szCs w:val="21"/>
                  </w:rPr>
                  <m:t>i</m:t>
                </m:r>
              </m:sub>
            </m:sSub>
            <m:r>
              <w:rPr>
                <w:rFonts w:ascii="Cambria Math" w:hAnsi="Times New Roman"/>
                <w:szCs w:val="21"/>
              </w:rPr>
              <m:t>z</m:t>
            </m:r>
          </m:e>
          <m:sub>
            <m:r>
              <w:rPr>
                <w:rFonts w:ascii="Cambria Math" w:hAnsi="Times New Roman"/>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szCs w:val="21"/>
              </w:rPr>
              <m:t>i</m:t>
            </m:r>
          </m:sub>
        </m:sSub>
      </m:oMath>
      <w:r>
        <w:rPr>
          <w:rFonts w:ascii="Times New Roman" w:hAnsi="Times New Roman"/>
          <w:szCs w:val="21"/>
        </w:rPr>
        <w:t>进行回归时，</w:t>
      </w:r>
      <w:r w:rsidR="00EC5712">
        <w:rPr>
          <w:rFonts w:ascii="Times New Roman" w:hAnsi="Times New Roman"/>
          <w:szCs w:val="21"/>
        </w:rPr>
        <w:t>人事费</w:t>
      </w:r>
      <w:r>
        <w:rPr>
          <w:rFonts w:ascii="Times New Roman" w:hAnsi="Times New Roman"/>
          <w:szCs w:val="21"/>
        </w:rPr>
        <w:t>前面的参数</w:t>
      </w:r>
      <w:r w:rsidR="00EC5712">
        <w:rPr>
          <w:rFonts w:ascii="Times New Roman" w:hAnsi="Times New Roman"/>
          <w:szCs w:val="21"/>
        </w:rPr>
        <w:t>显著性有所降低，其他变量的显著性保持不变；在反倾销初次税率的裁定上，如表</w:t>
      </w:r>
      <w:r>
        <w:rPr>
          <w:rFonts w:ascii="Times New Roman" w:hAnsi="Times New Roman" w:hint="eastAsia"/>
          <w:szCs w:val="21"/>
        </w:rPr>
        <w:t>6</w:t>
      </w:r>
      <w:r w:rsidR="00EC5712">
        <w:rPr>
          <w:rFonts w:ascii="Times New Roman" w:hAnsi="Times New Roman"/>
          <w:szCs w:val="21"/>
        </w:rPr>
        <w:t>所示，选取的变量中只有企业数量会对被解释变量产生显著影响，且在加入</w:t>
      </w:r>
      <m:oMath>
        <m:sSub>
          <m:sSubPr>
            <m:ctrlPr>
              <w:rPr>
                <w:rFonts w:ascii="Cambria Math" w:hAnsi="Times New Roman"/>
                <w:i/>
                <w:szCs w:val="21"/>
              </w:rPr>
            </m:ctrlPr>
          </m:sSubPr>
          <m:e>
            <m:r>
              <w:rPr>
                <w:rFonts w:ascii="Cambria Math" w:hAnsi="Times New Roman"/>
                <w:szCs w:val="21"/>
              </w:rPr>
              <m:t>z</m:t>
            </m:r>
          </m:e>
          <m:sub>
            <m:r>
              <w:rPr>
                <w:rFonts w:ascii="Cambria Math" w:hAnsi="Times New Roman"/>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szCs w:val="21"/>
              </w:rPr>
              <m:t>i</m:t>
            </m:r>
          </m:sub>
        </m:sSub>
      </m:oMath>
      <w:r w:rsidR="00EC5712">
        <w:rPr>
          <w:rFonts w:ascii="Times New Roman" w:hAnsi="Times New Roman"/>
          <w:szCs w:val="21"/>
        </w:rPr>
        <w:t>和</w:t>
      </w:r>
      <m:oMath>
        <m:sSub>
          <m:sSubPr>
            <m:ctrlPr>
              <w:rPr>
                <w:rFonts w:ascii="Cambria Math" w:hAnsi="Times New Roman"/>
                <w:i/>
                <w:szCs w:val="21"/>
              </w:rPr>
            </m:ctrlPr>
          </m:sSubPr>
          <m:e>
            <m:sSub>
              <m:sSubPr>
                <m:ctrlPr>
                  <w:rPr>
                    <w:rFonts w:ascii="Cambria Math" w:hAnsi="Times New Roman"/>
                    <w:i/>
                    <w:szCs w:val="21"/>
                  </w:rPr>
                </m:ctrlPr>
              </m:sSubPr>
              <m:e>
                <m:r>
                  <w:rPr>
                    <w:rFonts w:ascii="Cambria Math" w:hAnsi="Times New Roman"/>
                    <w:szCs w:val="21"/>
                  </w:rPr>
                  <m:t>I</m:t>
                </m:r>
              </m:e>
              <m:sub>
                <m:r>
                  <w:rPr>
                    <w:rFonts w:ascii="Cambria Math" w:hAnsi="Times New Roman"/>
                    <w:szCs w:val="21"/>
                  </w:rPr>
                  <m:t>i</m:t>
                </m:r>
              </m:sub>
            </m:sSub>
            <m:r>
              <w:rPr>
                <w:rFonts w:ascii="Cambria Math" w:hAnsi="Times New Roman"/>
                <w:szCs w:val="21"/>
              </w:rPr>
              <m:t>z</m:t>
            </m:r>
          </m:e>
          <m:sub>
            <m:r>
              <w:rPr>
                <w:rFonts w:ascii="Cambria Math" w:hAnsi="Times New Roman"/>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szCs w:val="21"/>
              </w:rPr>
              <m:t>i</m:t>
            </m:r>
          </m:sub>
        </m:sSub>
      </m:oMath>
      <w:r>
        <w:rPr>
          <w:rFonts w:ascii="Times New Roman" w:hAnsi="Times New Roman"/>
          <w:szCs w:val="21"/>
        </w:rPr>
        <w:t>之后，并没有对其他变量的显著性产生影响，本文</w:t>
      </w:r>
      <w:r w:rsidR="00EC5712">
        <w:rPr>
          <w:rFonts w:ascii="Times New Roman" w:hAnsi="Times New Roman"/>
          <w:szCs w:val="21"/>
        </w:rPr>
        <w:t>尝试多次变换部分指标后，得到的结果仍然跟之前相似。值得注意的是，无论是在初裁税率还是终裁税率的估计结果上，</w:t>
      </w:r>
      <m:oMath>
        <m:r>
          <w:rPr>
            <w:rFonts w:ascii="Cambria Math" w:hAnsi="Cambria Math"/>
            <w:szCs w:val="21"/>
          </w:rPr>
          <m:t>γ</m:t>
        </m:r>
      </m:oMath>
      <w:r w:rsidR="00EC5712">
        <w:rPr>
          <w:rFonts w:ascii="Times New Roman" w:hAnsi="Times New Roman"/>
          <w:szCs w:val="21"/>
        </w:rPr>
        <w:t>和</w:t>
      </w:r>
      <m:oMath>
        <m:r>
          <w:rPr>
            <w:rFonts w:ascii="Cambria Math" w:hAnsi="Cambria Math"/>
            <w:szCs w:val="21"/>
          </w:rPr>
          <m:t>δ</m:t>
        </m:r>
      </m:oMath>
      <w:r w:rsidR="00EC5712">
        <w:rPr>
          <w:rFonts w:ascii="Times New Roman" w:hAnsi="Times New Roman"/>
          <w:szCs w:val="21"/>
        </w:rPr>
        <w:t>的估计结果符合</w:t>
      </w:r>
      <w:r w:rsidR="00EC5712">
        <w:rPr>
          <w:rFonts w:ascii="Times New Roman" w:hAnsi="Times New Roman" w:hint="eastAsia"/>
          <w:szCs w:val="21"/>
        </w:rPr>
        <w:t>“</w:t>
      </w:r>
      <w:r w:rsidR="00EC5712">
        <w:rPr>
          <w:rFonts w:ascii="Times New Roman" w:hAnsi="Times New Roman"/>
          <w:szCs w:val="21"/>
        </w:rPr>
        <w:t>保护待售</w:t>
      </w:r>
      <w:r w:rsidR="00EC5712">
        <w:rPr>
          <w:rFonts w:ascii="Times New Roman" w:hAnsi="Times New Roman" w:hint="eastAsia"/>
          <w:szCs w:val="21"/>
        </w:rPr>
        <w:t>“</w:t>
      </w:r>
      <w:r w:rsidR="00EC5712">
        <w:rPr>
          <w:rFonts w:ascii="Times New Roman" w:hAnsi="Times New Roman"/>
          <w:szCs w:val="21"/>
        </w:rPr>
        <w:t>模型的符号设定并且是显著的，且在纳入</w:t>
      </w:r>
      <m:oMath>
        <m:sSub>
          <m:sSubPr>
            <m:ctrlPr>
              <w:rPr>
                <w:rFonts w:ascii="Cambria Math" w:hAnsi="Times New Roman"/>
                <w:i/>
                <w:szCs w:val="21"/>
              </w:rPr>
            </m:ctrlPr>
          </m:sSubPr>
          <m:e>
            <m:r>
              <w:rPr>
                <w:rFonts w:ascii="Cambria Math" w:hAnsi="Times New Roman"/>
                <w:szCs w:val="21"/>
              </w:rPr>
              <m:t>z</m:t>
            </m:r>
          </m:e>
          <m:sub>
            <m:r>
              <w:rPr>
                <w:rFonts w:ascii="Cambria Math" w:hAnsi="Times New Roman"/>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szCs w:val="21"/>
              </w:rPr>
              <m:t>i</m:t>
            </m:r>
          </m:sub>
        </m:sSub>
      </m:oMath>
      <w:r w:rsidR="00EC5712">
        <w:rPr>
          <w:rFonts w:ascii="Times New Roman" w:hAnsi="Times New Roman"/>
          <w:szCs w:val="21"/>
        </w:rPr>
        <w:t>和</w:t>
      </w:r>
      <m:oMath>
        <m:sSub>
          <m:sSubPr>
            <m:ctrlPr>
              <w:rPr>
                <w:rFonts w:ascii="Cambria Math" w:hAnsi="Times New Roman"/>
                <w:i/>
                <w:szCs w:val="21"/>
              </w:rPr>
            </m:ctrlPr>
          </m:sSubPr>
          <m:e>
            <m:sSub>
              <m:sSubPr>
                <m:ctrlPr>
                  <w:rPr>
                    <w:rFonts w:ascii="Cambria Math" w:hAnsi="Times New Roman"/>
                    <w:i/>
                    <w:szCs w:val="21"/>
                  </w:rPr>
                </m:ctrlPr>
              </m:sSubPr>
              <m:e>
                <m:r>
                  <w:rPr>
                    <w:rFonts w:ascii="Cambria Math" w:hAnsi="Times New Roman"/>
                    <w:szCs w:val="21"/>
                  </w:rPr>
                  <m:t>I</m:t>
                </m:r>
              </m:e>
              <m:sub>
                <m:r>
                  <w:rPr>
                    <w:rFonts w:ascii="Cambria Math" w:hAnsi="Times New Roman"/>
                    <w:szCs w:val="21"/>
                  </w:rPr>
                  <m:t>i</m:t>
                </m:r>
              </m:sub>
            </m:sSub>
            <m:r>
              <w:rPr>
                <w:rFonts w:ascii="Cambria Math" w:hAnsi="Times New Roman"/>
                <w:szCs w:val="21"/>
              </w:rPr>
              <m:t>z</m:t>
            </m:r>
          </m:e>
          <m:sub>
            <m:r>
              <w:rPr>
                <w:rFonts w:ascii="Cambria Math" w:hAnsi="Times New Roman"/>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szCs w:val="21"/>
              </w:rPr>
              <m:t>i</m:t>
            </m:r>
          </m:sub>
        </m:sSub>
      </m:oMath>
      <w:r w:rsidR="00EC5712">
        <w:rPr>
          <w:rFonts w:ascii="Times New Roman" w:hAnsi="Times New Roman"/>
          <w:szCs w:val="21"/>
        </w:rPr>
        <w:t>，方程的拟合效果均有所提升。以上分析表明，欧盟对华反倾销税率的决策机制基本符合</w:t>
      </w:r>
      <w:r w:rsidR="00EC5712">
        <w:rPr>
          <w:rFonts w:ascii="Times New Roman" w:hAnsi="Times New Roman" w:hint="eastAsia"/>
          <w:szCs w:val="21"/>
        </w:rPr>
        <w:t>“</w:t>
      </w:r>
      <w:r w:rsidR="00EC5712">
        <w:rPr>
          <w:rFonts w:ascii="Times New Roman" w:hAnsi="Times New Roman"/>
          <w:szCs w:val="21"/>
        </w:rPr>
        <w:t>保护待售</w:t>
      </w:r>
      <w:r w:rsidR="00EC5712">
        <w:rPr>
          <w:rFonts w:ascii="Times New Roman" w:hAnsi="Times New Roman" w:hint="eastAsia"/>
          <w:szCs w:val="21"/>
        </w:rPr>
        <w:t>“</w:t>
      </w:r>
      <w:r w:rsidR="00EC5712">
        <w:rPr>
          <w:rFonts w:ascii="Times New Roman" w:hAnsi="Times New Roman"/>
          <w:szCs w:val="21"/>
        </w:rPr>
        <w:t>模型，终裁税率对模型的适用性强于初裁税率，</w:t>
      </w:r>
      <m:oMath>
        <m:sSub>
          <m:sSubPr>
            <m:ctrlPr>
              <w:rPr>
                <w:rFonts w:ascii="Cambria Math" w:hAnsi="Times New Roman"/>
                <w:i/>
                <w:szCs w:val="21"/>
              </w:rPr>
            </m:ctrlPr>
          </m:sSubPr>
          <m:e>
            <m:r>
              <w:rPr>
                <w:rFonts w:ascii="Cambria Math" w:hAnsi="Times New Roman"/>
                <w:szCs w:val="21"/>
              </w:rPr>
              <m:t>z</m:t>
            </m:r>
          </m:e>
          <m:sub>
            <m:r>
              <w:rPr>
                <w:rFonts w:ascii="Cambria Math" w:hAnsi="Times New Roman"/>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szCs w:val="21"/>
              </w:rPr>
              <m:t>i</m:t>
            </m:r>
          </m:sub>
        </m:sSub>
      </m:oMath>
      <w:r w:rsidR="00EC5712">
        <w:rPr>
          <w:rFonts w:ascii="Times New Roman" w:hAnsi="Times New Roman"/>
          <w:szCs w:val="21"/>
        </w:rPr>
        <w:t>和</w:t>
      </w:r>
      <m:oMath>
        <m:sSub>
          <m:sSubPr>
            <m:ctrlPr>
              <w:rPr>
                <w:rFonts w:ascii="Cambria Math" w:hAnsi="Times New Roman"/>
                <w:i/>
                <w:szCs w:val="21"/>
              </w:rPr>
            </m:ctrlPr>
          </m:sSubPr>
          <m:e>
            <m:sSub>
              <m:sSubPr>
                <m:ctrlPr>
                  <w:rPr>
                    <w:rFonts w:ascii="Cambria Math" w:hAnsi="Times New Roman"/>
                    <w:i/>
                    <w:szCs w:val="21"/>
                  </w:rPr>
                </m:ctrlPr>
              </m:sSubPr>
              <m:e>
                <m:r>
                  <w:rPr>
                    <w:rFonts w:ascii="Cambria Math" w:hAnsi="Times New Roman"/>
                    <w:szCs w:val="21"/>
                  </w:rPr>
                  <m:t>I</m:t>
                </m:r>
              </m:e>
              <m:sub>
                <m:r>
                  <w:rPr>
                    <w:rFonts w:ascii="Cambria Math" w:hAnsi="Times New Roman"/>
                    <w:szCs w:val="21"/>
                  </w:rPr>
                  <m:t>i</m:t>
                </m:r>
              </m:sub>
            </m:sSub>
            <m:r>
              <w:rPr>
                <w:rFonts w:ascii="Cambria Math" w:hAnsi="Times New Roman"/>
                <w:szCs w:val="21"/>
              </w:rPr>
              <m:t>z</m:t>
            </m:r>
          </m:e>
          <m:sub>
            <m:r>
              <w:rPr>
                <w:rFonts w:ascii="Cambria Math" w:hAnsi="Times New Roman"/>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szCs w:val="21"/>
              </w:rPr>
              <m:t>i</m:t>
            </m:r>
          </m:sub>
        </m:sSub>
      </m:oMath>
      <w:r w:rsidR="00EC5712">
        <w:rPr>
          <w:rFonts w:ascii="Times New Roman" w:hAnsi="Times New Roman"/>
          <w:szCs w:val="21"/>
        </w:rPr>
        <w:t>对税率结构具有较强的解释力。</w:t>
      </w:r>
    </w:p>
    <w:p w14:paraId="3796F972" w14:textId="77777777" w:rsidR="00501C7E" w:rsidRDefault="00EC5712">
      <w:pPr>
        <w:ind w:firstLine="420"/>
        <w:rPr>
          <w:rFonts w:ascii="Times New Roman" w:hAnsi="Times New Roman"/>
        </w:rPr>
      </w:pPr>
      <w:r>
        <w:rPr>
          <w:rFonts w:ascii="Times New Roman" w:hAnsi="Times New Roman"/>
          <w:szCs w:val="21"/>
        </w:rPr>
        <w:t>在反倾销最终税率的裁定上，如表</w:t>
      </w:r>
      <w:r>
        <w:rPr>
          <w:rFonts w:ascii="Times New Roman" w:hAnsi="Times New Roman"/>
          <w:szCs w:val="21"/>
        </w:rPr>
        <w:t>5</w:t>
      </w:r>
      <w:r>
        <w:rPr>
          <w:rFonts w:ascii="Times New Roman" w:hAnsi="Times New Roman"/>
          <w:szCs w:val="21"/>
        </w:rPr>
        <w:t>所示，企业数量、按要素成本计算的增值、盈余总额、人事费以及工资和薪金等变量，均会对被解释变量产生显著影响，贸易逆差和就业率没有产生显著影响。其中，企业数量、按要素成本计算的增值以及工资和薪金对反倾销终裁税率的裁定具有正向影响，一</w:t>
      </w:r>
      <w:r w:rsidR="009C070E">
        <w:rPr>
          <w:rFonts w:ascii="Times New Roman" w:hAnsi="Times New Roman"/>
          <w:szCs w:val="21"/>
        </w:rPr>
        <w:t>个</w:t>
      </w:r>
      <w:r>
        <w:rPr>
          <w:rFonts w:ascii="Times New Roman" w:hAnsi="Times New Roman"/>
          <w:szCs w:val="21"/>
        </w:rPr>
        <w:t>行业厂商越多，影响力越大，越能在反倾销税率裁定中施加更多压力以提高对本国产品的保护程度</w:t>
      </w:r>
      <w:r w:rsidR="009C070E">
        <w:rPr>
          <w:rFonts w:ascii="Times New Roman" w:hAnsi="Times New Roman" w:hint="eastAsia"/>
          <w:szCs w:val="21"/>
        </w:rPr>
        <w:t>。</w:t>
      </w:r>
      <w:r>
        <w:rPr>
          <w:rFonts w:ascii="Times New Roman" w:hAnsi="Times New Roman"/>
          <w:szCs w:val="21"/>
        </w:rPr>
        <w:t>而增加值、工资越高的行业，对国民经济和社会福利具有较大贡献，政府会倾向于保护这些行业以维持经济稳定发展</w:t>
      </w:r>
      <w:r w:rsidR="009C070E">
        <w:rPr>
          <w:rFonts w:ascii="Times New Roman" w:hAnsi="Times New Roman" w:hint="eastAsia"/>
          <w:szCs w:val="21"/>
        </w:rPr>
        <w:t>。</w:t>
      </w:r>
      <w:r>
        <w:rPr>
          <w:rFonts w:ascii="Times New Roman" w:hAnsi="Times New Roman"/>
          <w:szCs w:val="21"/>
        </w:rPr>
        <w:t>盈余总额、人事费对于反倾销税率的裁定具有负向影响，一</w:t>
      </w:r>
      <w:r w:rsidR="009C070E">
        <w:rPr>
          <w:rFonts w:ascii="Times New Roman" w:hAnsi="Times New Roman"/>
          <w:szCs w:val="21"/>
        </w:rPr>
        <w:t>个</w:t>
      </w:r>
      <w:r>
        <w:rPr>
          <w:rFonts w:ascii="Times New Roman" w:hAnsi="Times New Roman"/>
          <w:szCs w:val="21"/>
        </w:rPr>
        <w:t>行业盈余越多，表明该行业发展已经较为成熟稳定，对于政府的保护和救济需求相对较少，政府倾向于给予较低的保护程度，而人事费越高，可用于游说政府决策部门的费用就相对较低，政府给予的贸易保护程度就越低。贸易逆差和就业率没有产生显著影响，</w:t>
      </w:r>
      <w:r w:rsidR="009C070E">
        <w:rPr>
          <w:rFonts w:ascii="Times New Roman" w:hAnsi="Times New Roman"/>
          <w:szCs w:val="21"/>
        </w:rPr>
        <w:t>这两个变量</w:t>
      </w:r>
      <w:r>
        <w:rPr>
          <w:rFonts w:ascii="Times New Roman" w:hAnsi="Times New Roman"/>
          <w:szCs w:val="21"/>
        </w:rPr>
        <w:t>反映宏观经济形势的</w:t>
      </w:r>
      <w:r w:rsidR="009C070E">
        <w:rPr>
          <w:rFonts w:ascii="Times New Roman" w:hAnsi="Times New Roman"/>
          <w:szCs w:val="21"/>
        </w:rPr>
        <w:t>状况，关于宏观经济形势对于贸易保护的影响，学界有两种不同的解释。</w:t>
      </w:r>
      <w:r>
        <w:rPr>
          <w:rFonts w:ascii="Times New Roman" w:hAnsi="Times New Roman"/>
          <w:szCs w:val="21"/>
        </w:rPr>
        <w:t>一种观点认为宏观经济形势较差</w:t>
      </w:r>
      <w:r w:rsidR="009C070E">
        <w:rPr>
          <w:rFonts w:ascii="Times New Roman" w:hAnsi="Times New Roman"/>
          <w:szCs w:val="21"/>
        </w:rPr>
        <w:t>时</w:t>
      </w:r>
      <w:r>
        <w:rPr>
          <w:rFonts w:ascii="Times New Roman" w:hAnsi="Times New Roman"/>
          <w:szCs w:val="21"/>
        </w:rPr>
        <w:t>，可能引致行业销售表现不佳</w:t>
      </w:r>
      <w:r w:rsidR="009C070E">
        <w:rPr>
          <w:rFonts w:ascii="Times New Roman" w:hAnsi="Times New Roman"/>
          <w:szCs w:val="21"/>
        </w:rPr>
        <w:t>，此时便不能将行业面临的困境归咎于国外厂商的不公平贸易行为</w:t>
      </w:r>
      <w:r>
        <w:rPr>
          <w:rFonts w:ascii="Times New Roman" w:hAnsi="Times New Roman"/>
          <w:szCs w:val="21"/>
        </w:rPr>
        <w:t>（李坤望、王孝松，</w:t>
      </w:r>
      <w:r>
        <w:rPr>
          <w:rFonts w:ascii="Times New Roman" w:hAnsi="Times New Roman"/>
          <w:szCs w:val="21"/>
        </w:rPr>
        <w:t>2008</w:t>
      </w:r>
      <w:r>
        <w:rPr>
          <w:rFonts w:ascii="Times New Roman" w:hAnsi="Times New Roman"/>
          <w:szCs w:val="21"/>
        </w:rPr>
        <w:t>）；另一种观点认为</w:t>
      </w:r>
      <w:r w:rsidR="009C070E">
        <w:rPr>
          <w:rFonts w:ascii="Times New Roman" w:hAnsi="Times New Roman"/>
          <w:szCs w:val="21"/>
        </w:rPr>
        <w:t>当</w:t>
      </w:r>
      <w:r>
        <w:rPr>
          <w:rFonts w:ascii="Times New Roman" w:hAnsi="Times New Roman"/>
          <w:szCs w:val="21"/>
        </w:rPr>
        <w:t>宏观经济运行衰退</w:t>
      </w:r>
      <w:r w:rsidR="009C070E">
        <w:rPr>
          <w:rFonts w:ascii="Times New Roman" w:hAnsi="Times New Roman"/>
          <w:szCs w:val="21"/>
        </w:rPr>
        <w:t>时</w:t>
      </w:r>
      <w:r>
        <w:rPr>
          <w:rFonts w:ascii="Times New Roman" w:hAnsi="Times New Roman"/>
          <w:szCs w:val="21"/>
        </w:rPr>
        <w:t>，为了保护本国工业，会导致欧盟企业要求更高的贸易保护程度（</w:t>
      </w:r>
      <w:r>
        <w:rPr>
          <w:rFonts w:ascii="Times New Roman" w:hAnsi="Times New Roman"/>
        </w:rPr>
        <w:t>鲍晓华，</w:t>
      </w:r>
      <w:r>
        <w:rPr>
          <w:rFonts w:ascii="Times New Roman" w:hAnsi="Times New Roman"/>
        </w:rPr>
        <w:t>2011</w:t>
      </w:r>
      <w:r>
        <w:rPr>
          <w:rFonts w:ascii="Times New Roman" w:hAnsi="Times New Roman"/>
        </w:rPr>
        <w:t>；梁俊伟、代中强，</w:t>
      </w:r>
      <w:r>
        <w:rPr>
          <w:rFonts w:ascii="Times New Roman" w:hAnsi="Times New Roman"/>
        </w:rPr>
        <w:t>2015</w:t>
      </w:r>
      <w:r>
        <w:rPr>
          <w:rFonts w:ascii="Times New Roman" w:hAnsi="Times New Roman"/>
        </w:rPr>
        <w:t>；朱庆华等，</w:t>
      </w:r>
      <w:r>
        <w:rPr>
          <w:rFonts w:ascii="Times New Roman" w:hAnsi="Times New Roman"/>
        </w:rPr>
        <w:t>2016</w:t>
      </w:r>
      <w:r>
        <w:rPr>
          <w:rFonts w:ascii="Times New Roman" w:hAnsi="Times New Roman"/>
        </w:rPr>
        <w:t>；</w:t>
      </w:r>
      <w:r>
        <w:rPr>
          <w:rFonts w:ascii="Times New Roman" w:hAnsi="Times New Roman"/>
        </w:rPr>
        <w:t>Liu</w:t>
      </w:r>
      <w:r>
        <w:rPr>
          <w:rFonts w:ascii="Times New Roman" w:hAnsi="Times New Roman"/>
          <w:szCs w:val="21"/>
        </w:rPr>
        <w:t xml:space="preserve"> &amp; </w:t>
      </w:r>
      <w:r>
        <w:rPr>
          <w:rFonts w:ascii="Times New Roman" w:hAnsi="Times New Roman"/>
        </w:rPr>
        <w:t>Zhang</w:t>
      </w:r>
      <w:r>
        <w:rPr>
          <w:rFonts w:ascii="Times New Roman" w:hAnsi="Times New Roman"/>
        </w:rPr>
        <w:t>，</w:t>
      </w:r>
      <w:r>
        <w:rPr>
          <w:rFonts w:ascii="Times New Roman" w:hAnsi="Times New Roman"/>
        </w:rPr>
        <w:t>2022</w:t>
      </w:r>
      <w:r w:rsidR="009C070E">
        <w:rPr>
          <w:rFonts w:ascii="Times New Roman" w:hAnsi="Times New Roman"/>
          <w:szCs w:val="21"/>
        </w:rPr>
        <w:t>）。在宏观经济形势较差的情况下，一方面是</w:t>
      </w:r>
      <w:r>
        <w:rPr>
          <w:rFonts w:ascii="Times New Roman" w:hAnsi="Times New Roman"/>
          <w:szCs w:val="21"/>
        </w:rPr>
        <w:t>国内企业对于较高贸易保护的要求，</w:t>
      </w:r>
      <w:r w:rsidR="009C070E">
        <w:rPr>
          <w:rFonts w:ascii="Times New Roman" w:hAnsi="Times New Roman"/>
          <w:szCs w:val="21"/>
        </w:rPr>
        <w:t>另</w:t>
      </w:r>
      <w:r>
        <w:rPr>
          <w:rFonts w:ascii="Times New Roman" w:hAnsi="Times New Roman"/>
          <w:szCs w:val="21"/>
        </w:rPr>
        <w:t>一方面是发动贸易保护的理由不充足，这可能导致了贸易逆差和就业率对于反倾销税率的裁定没有产生显著影响。</w:t>
      </w:r>
    </w:p>
    <w:p w14:paraId="35EC5BB6" w14:textId="77777777" w:rsidR="00501C7E" w:rsidRDefault="00EC5712">
      <w:pPr>
        <w:ind w:firstLine="420"/>
        <w:rPr>
          <w:rFonts w:ascii="Times New Roman" w:hAnsi="Times New Roman"/>
        </w:rPr>
      </w:pPr>
      <w:r>
        <w:rPr>
          <w:rFonts w:ascii="Times New Roman" w:hAnsi="Times New Roman"/>
          <w:szCs w:val="21"/>
        </w:rPr>
        <w:t>在反倾销初次税率的裁定上，如表</w:t>
      </w:r>
      <w:r>
        <w:rPr>
          <w:rFonts w:ascii="Times New Roman" w:hAnsi="Times New Roman"/>
          <w:szCs w:val="21"/>
        </w:rPr>
        <w:t>6</w:t>
      </w:r>
      <w:r>
        <w:rPr>
          <w:rFonts w:ascii="Times New Roman" w:hAnsi="Times New Roman"/>
          <w:szCs w:val="21"/>
        </w:rPr>
        <w:t>所示，选取的变量中只有企业数量会对初裁税率结果产生显著影响。从欧盟反倾销的程序可以看出，欧盟初裁结果主要经由申诉者申请和欧委会决策，申诉者所在行业的企业数量对初裁税率发挥较大影响，而终裁结果经由申诉者、欧盟委员会、咨询委员会和部长理事会多主体参与，受到了更多因素的影响。</w:t>
      </w:r>
    </w:p>
    <w:p w14:paraId="47873207" w14:textId="77777777" w:rsidR="00501C7E" w:rsidRDefault="00501C7E">
      <w:pPr>
        <w:jc w:val="left"/>
        <w:rPr>
          <w:rFonts w:ascii="Times New Roman" w:eastAsia="黑体" w:hAnsi="Times New Roman"/>
          <w:szCs w:val="21"/>
        </w:rPr>
      </w:pPr>
    </w:p>
    <w:p w14:paraId="28971960" w14:textId="77777777" w:rsidR="009C070E" w:rsidRDefault="009C070E">
      <w:pPr>
        <w:jc w:val="center"/>
        <w:rPr>
          <w:rFonts w:ascii="Times New Roman" w:eastAsia="楷体" w:hAnsi="Times New Roman"/>
          <w:bCs/>
          <w:szCs w:val="21"/>
        </w:rPr>
      </w:pPr>
    </w:p>
    <w:p w14:paraId="47B541C1" w14:textId="77777777" w:rsidR="009C070E" w:rsidRDefault="009C070E">
      <w:pPr>
        <w:jc w:val="center"/>
        <w:rPr>
          <w:rFonts w:ascii="Times New Roman" w:eastAsia="楷体" w:hAnsi="Times New Roman"/>
          <w:bCs/>
          <w:szCs w:val="21"/>
        </w:rPr>
      </w:pPr>
    </w:p>
    <w:p w14:paraId="0FA866B4" w14:textId="77777777" w:rsidR="00501C7E" w:rsidRDefault="00EC5712">
      <w:pPr>
        <w:jc w:val="center"/>
        <w:rPr>
          <w:rFonts w:ascii="Times New Roman" w:eastAsia="楷体" w:hAnsi="Times New Roman"/>
          <w:bCs/>
          <w:szCs w:val="21"/>
        </w:rPr>
      </w:pPr>
      <w:r>
        <w:rPr>
          <w:rFonts w:ascii="Times New Roman" w:eastAsia="楷体" w:hAnsi="Times New Roman"/>
          <w:bCs/>
          <w:szCs w:val="21"/>
        </w:rPr>
        <w:lastRenderedPageBreak/>
        <w:t>表</w:t>
      </w:r>
      <w:r>
        <w:rPr>
          <w:rFonts w:ascii="Times New Roman" w:eastAsia="楷体" w:hAnsi="Times New Roman"/>
          <w:bCs/>
          <w:szCs w:val="21"/>
        </w:rPr>
        <w:t xml:space="preserve">5  </w:t>
      </w:r>
      <w:r>
        <w:rPr>
          <w:rFonts w:ascii="Times New Roman" w:eastAsia="楷体" w:hAnsi="Times New Roman"/>
          <w:bCs/>
          <w:szCs w:val="21"/>
        </w:rPr>
        <w:t>纳入其他经济指标的估计结果（终裁税率）</w:t>
      </w: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1532"/>
        <w:gridCol w:w="1532"/>
        <w:gridCol w:w="1628"/>
        <w:gridCol w:w="1629"/>
      </w:tblGrid>
      <w:tr w:rsidR="00501C7E" w14:paraId="667C79CB" w14:textId="77777777">
        <w:trPr>
          <w:trHeight w:val="447"/>
          <w:jc w:val="center"/>
        </w:trPr>
        <w:tc>
          <w:tcPr>
            <w:tcW w:w="1531" w:type="pct"/>
            <w:tcBorders>
              <w:tl2br w:val="nil"/>
              <w:tr2bl w:val="nil"/>
            </w:tcBorders>
            <w:shd w:val="clear" w:color="auto" w:fill="auto"/>
            <w:vAlign w:val="center"/>
          </w:tcPr>
          <w:p w14:paraId="4A78B5D9"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申诉者政治势力排名</w:t>
            </w:r>
          </w:p>
        </w:tc>
        <w:tc>
          <w:tcPr>
            <w:tcW w:w="840" w:type="pct"/>
            <w:tcBorders>
              <w:tl2br w:val="nil"/>
              <w:tr2bl w:val="nil"/>
            </w:tcBorders>
            <w:shd w:val="clear" w:color="auto" w:fill="auto"/>
            <w:vAlign w:val="center"/>
          </w:tcPr>
          <w:p w14:paraId="13E510FD" w14:textId="77777777" w:rsidR="00501C7E" w:rsidRDefault="00501C7E">
            <w:pPr>
              <w:jc w:val="center"/>
              <w:rPr>
                <w:rFonts w:ascii="Times New Roman" w:hAnsi="Times New Roman"/>
                <w:sz w:val="18"/>
                <w:szCs w:val="18"/>
              </w:rPr>
            </w:pPr>
          </w:p>
        </w:tc>
        <w:tc>
          <w:tcPr>
            <w:tcW w:w="840" w:type="pct"/>
            <w:tcBorders>
              <w:tl2br w:val="nil"/>
              <w:tr2bl w:val="nil"/>
            </w:tcBorders>
            <w:shd w:val="clear" w:color="auto" w:fill="auto"/>
            <w:vAlign w:val="center"/>
          </w:tcPr>
          <w:p w14:paraId="55C97481"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前</w:t>
            </w:r>
            <w:r>
              <w:rPr>
                <w:rStyle w:val="font21"/>
                <w:color w:val="auto"/>
                <w:sz w:val="18"/>
                <w:szCs w:val="18"/>
              </w:rPr>
              <w:t>30%</w:t>
            </w:r>
          </w:p>
        </w:tc>
        <w:tc>
          <w:tcPr>
            <w:tcW w:w="893" w:type="pct"/>
            <w:tcBorders>
              <w:tl2br w:val="nil"/>
              <w:tr2bl w:val="nil"/>
            </w:tcBorders>
            <w:shd w:val="clear" w:color="auto" w:fill="auto"/>
            <w:vAlign w:val="center"/>
          </w:tcPr>
          <w:p w14:paraId="2C87545A"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前</w:t>
            </w:r>
            <w:r>
              <w:rPr>
                <w:rStyle w:val="font21"/>
                <w:color w:val="auto"/>
                <w:sz w:val="18"/>
                <w:szCs w:val="18"/>
              </w:rPr>
              <w:t>40%</w:t>
            </w:r>
          </w:p>
        </w:tc>
        <w:tc>
          <w:tcPr>
            <w:tcW w:w="893" w:type="pct"/>
            <w:tcBorders>
              <w:tl2br w:val="nil"/>
              <w:tr2bl w:val="nil"/>
            </w:tcBorders>
            <w:shd w:val="clear" w:color="auto" w:fill="auto"/>
            <w:vAlign w:val="center"/>
          </w:tcPr>
          <w:p w14:paraId="5EBBD23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前</w:t>
            </w:r>
            <w:r>
              <w:rPr>
                <w:rStyle w:val="font21"/>
                <w:color w:val="auto"/>
                <w:sz w:val="18"/>
                <w:szCs w:val="18"/>
              </w:rPr>
              <w:t>50%</w:t>
            </w:r>
          </w:p>
        </w:tc>
      </w:tr>
      <w:tr w:rsidR="00501C7E" w14:paraId="3FCD00C1" w14:textId="77777777">
        <w:trPr>
          <w:trHeight w:val="610"/>
          <w:jc w:val="center"/>
        </w:trPr>
        <w:tc>
          <w:tcPr>
            <w:tcW w:w="2792" w:type="dxa"/>
            <w:vMerge w:val="restart"/>
            <w:tcBorders>
              <w:tl2br w:val="nil"/>
              <w:tr2bl w:val="nil"/>
            </w:tcBorders>
            <w:shd w:val="clear" w:color="auto" w:fill="auto"/>
            <w:vAlign w:val="center"/>
          </w:tcPr>
          <w:p w14:paraId="50595D93" w14:textId="77777777" w:rsidR="00501C7E" w:rsidRDefault="00000000">
            <w:pPr>
              <w:jc w:val="center"/>
              <w:rPr>
                <w:rFonts w:ascii="Times New Roman" w:hAnsi="Times New Roman"/>
                <w:i/>
                <w:iCs/>
                <w:sz w:val="18"/>
                <w:szCs w:val="18"/>
              </w:rPr>
            </w:pPr>
            <m:oMathPara>
              <m:oMath>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i</m:t>
                        </m:r>
                      </m:sub>
                    </m:sSub>
                  </m:num>
                  <m:den>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i</m:t>
                        </m:r>
                      </m:sub>
                    </m:sSub>
                  </m:den>
                </m:f>
              </m:oMath>
            </m:oMathPara>
          </w:p>
        </w:tc>
        <w:tc>
          <w:tcPr>
            <w:tcW w:w="840" w:type="pct"/>
            <w:vMerge w:val="restart"/>
            <w:tcBorders>
              <w:tl2br w:val="nil"/>
              <w:tr2bl w:val="nil"/>
            </w:tcBorders>
            <w:shd w:val="clear" w:color="auto" w:fill="auto"/>
            <w:vAlign w:val="center"/>
          </w:tcPr>
          <w:p w14:paraId="0F67C1C6" w14:textId="77777777" w:rsidR="00501C7E" w:rsidRDefault="00501C7E">
            <w:pPr>
              <w:jc w:val="center"/>
              <w:rPr>
                <w:rFonts w:ascii="Times New Roman" w:hAnsi="Times New Roman"/>
                <w:sz w:val="18"/>
                <w:szCs w:val="18"/>
              </w:rPr>
            </w:pPr>
          </w:p>
        </w:tc>
        <w:tc>
          <w:tcPr>
            <w:tcW w:w="840" w:type="pct"/>
            <w:tcBorders>
              <w:tl2br w:val="nil"/>
              <w:tr2bl w:val="nil"/>
            </w:tcBorders>
            <w:shd w:val="clear" w:color="auto" w:fill="auto"/>
            <w:noWrap/>
            <w:vAlign w:val="center"/>
          </w:tcPr>
          <w:p w14:paraId="1A817597"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0.19904</w:t>
            </w:r>
            <w:r>
              <w:rPr>
                <w:rFonts w:ascii="Times New Roman" w:hAnsi="Times New Roman"/>
                <w:iCs/>
                <w:sz w:val="18"/>
                <w:szCs w:val="18"/>
              </w:rPr>
              <w:t>**</w:t>
            </w:r>
          </w:p>
          <w:p w14:paraId="7388DF38"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0.03676</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64E85E7A"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0.17346</w:t>
            </w:r>
            <w:r>
              <w:rPr>
                <w:rFonts w:ascii="Times New Roman" w:hAnsi="Times New Roman"/>
                <w:iCs/>
                <w:sz w:val="18"/>
                <w:szCs w:val="18"/>
              </w:rPr>
              <w:t>**</w:t>
            </w:r>
          </w:p>
          <w:p w14:paraId="417D6754"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0.03464</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02F1E8C5"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0.16428</w:t>
            </w:r>
            <w:r>
              <w:rPr>
                <w:rFonts w:ascii="Times New Roman" w:hAnsi="Times New Roman"/>
                <w:iCs/>
                <w:sz w:val="18"/>
                <w:szCs w:val="18"/>
              </w:rPr>
              <w:t>**</w:t>
            </w:r>
          </w:p>
          <w:p w14:paraId="157B8C96" w14:textId="77777777" w:rsidR="00501C7E" w:rsidRDefault="00EC5712">
            <w:pPr>
              <w:widowControl/>
              <w:jc w:val="center"/>
              <w:textAlignment w:val="bottom"/>
              <w:rPr>
                <w:rFonts w:ascii="Times New Roman" w:hAnsi="Times New Roman"/>
                <w:sz w:val="18"/>
                <w:szCs w:val="18"/>
              </w:rPr>
            </w:pPr>
            <w:r>
              <w:rPr>
                <w:rFonts w:ascii="Times New Roman" w:hAnsi="Times New Roman"/>
                <w:sz w:val="18"/>
                <w:szCs w:val="18"/>
              </w:rPr>
              <w:t>（</w:t>
            </w:r>
            <w:r>
              <w:rPr>
                <w:rFonts w:ascii="Times New Roman" w:hAnsi="Times New Roman"/>
                <w:kern w:val="0"/>
                <w:sz w:val="18"/>
                <w:szCs w:val="18"/>
              </w:rPr>
              <w:t>0.03467</w:t>
            </w:r>
            <w:r>
              <w:rPr>
                <w:rFonts w:ascii="Times New Roman" w:hAnsi="Times New Roman"/>
                <w:sz w:val="18"/>
                <w:szCs w:val="18"/>
              </w:rPr>
              <w:t>）</w:t>
            </w:r>
          </w:p>
        </w:tc>
      </w:tr>
      <w:tr w:rsidR="00501C7E" w14:paraId="363A2860" w14:textId="77777777">
        <w:trPr>
          <w:trHeight w:val="610"/>
          <w:jc w:val="center"/>
        </w:trPr>
        <w:tc>
          <w:tcPr>
            <w:tcW w:w="2792" w:type="dxa"/>
            <w:vMerge w:val="restart"/>
            <w:tcBorders>
              <w:tl2br w:val="nil"/>
              <w:tr2bl w:val="nil"/>
            </w:tcBorders>
            <w:shd w:val="clear" w:color="auto" w:fill="auto"/>
            <w:noWrap/>
            <w:vAlign w:val="center"/>
          </w:tcPr>
          <w:p w14:paraId="36A2C7AD" w14:textId="77777777" w:rsidR="00501C7E" w:rsidRDefault="00000000">
            <w:pPr>
              <w:jc w:val="center"/>
              <w:rPr>
                <w:rFonts w:ascii="Times New Roman" w:hAnsi="Times New Roman"/>
                <w:sz w:val="18"/>
                <w:szCs w:val="18"/>
              </w:rPr>
            </w:pPr>
            <m:oMathPara>
              <m:oMath>
                <m:f>
                  <m:fPr>
                    <m:ctrlPr>
                      <w:rPr>
                        <w:rFonts w:ascii="Cambria Math" w:hAnsi="Cambria Math"/>
                        <w:i/>
                        <w:iCs/>
                        <w:sz w:val="18"/>
                        <w:szCs w:val="18"/>
                      </w:rPr>
                    </m:ctrlPr>
                  </m:fPr>
                  <m:num>
                    <m:sSub>
                      <m:sSubPr>
                        <m:ctrlPr>
                          <w:rPr>
                            <w:rFonts w:ascii="Cambria Math" w:hAnsi="Cambria Math"/>
                            <w:i/>
                            <w:iCs/>
                            <w:sz w:val="18"/>
                            <w:szCs w:val="18"/>
                          </w:rPr>
                        </m:ctrlPr>
                      </m:sSubPr>
                      <m:e>
                        <m:r>
                          <w:rPr>
                            <w:rFonts w:ascii="Cambria Math" w:hAnsi="Cambria Math"/>
                            <w:sz w:val="18"/>
                            <w:szCs w:val="18"/>
                          </w:rPr>
                          <m:t>I</m:t>
                        </m:r>
                      </m:e>
                      <m:sub>
                        <m:r>
                          <w:rPr>
                            <w:rFonts w:ascii="Cambria Math" w:hAnsi="Cambria Math"/>
                            <w:sz w:val="18"/>
                            <w:szCs w:val="18"/>
                          </w:rPr>
                          <m:t>i</m:t>
                        </m:r>
                      </m:sub>
                    </m:sSub>
                    <m:sSub>
                      <m:sSubPr>
                        <m:ctrlPr>
                          <w:rPr>
                            <w:rFonts w:ascii="Cambria Math" w:hAnsi="Cambria Math"/>
                            <w:i/>
                            <w:iCs/>
                            <w:sz w:val="18"/>
                            <w:szCs w:val="18"/>
                          </w:rPr>
                        </m:ctrlPr>
                      </m:sSubPr>
                      <m:e>
                        <m:r>
                          <w:rPr>
                            <w:rFonts w:ascii="Cambria Math" w:hAnsi="Cambria Math"/>
                            <w:sz w:val="18"/>
                            <w:szCs w:val="18"/>
                          </w:rPr>
                          <m:t>z</m:t>
                        </m:r>
                      </m:e>
                      <m:sub>
                        <m:r>
                          <w:rPr>
                            <w:rFonts w:ascii="Cambria Math" w:hAnsi="Cambria Math"/>
                            <w:sz w:val="18"/>
                            <w:szCs w:val="18"/>
                          </w:rPr>
                          <m:t>i</m:t>
                        </m:r>
                      </m:sub>
                    </m:sSub>
                  </m:num>
                  <m:den>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i</m:t>
                        </m:r>
                      </m:sub>
                    </m:sSub>
                  </m:den>
                </m:f>
              </m:oMath>
            </m:oMathPara>
          </w:p>
        </w:tc>
        <w:tc>
          <w:tcPr>
            <w:tcW w:w="840" w:type="pct"/>
            <w:tcBorders>
              <w:tl2br w:val="nil"/>
              <w:tr2bl w:val="nil"/>
            </w:tcBorders>
            <w:shd w:val="clear" w:color="auto" w:fill="auto"/>
            <w:vAlign w:val="center"/>
          </w:tcPr>
          <w:p w14:paraId="1DD31057" w14:textId="77777777" w:rsidR="00501C7E" w:rsidRDefault="00501C7E">
            <w:pPr>
              <w:jc w:val="center"/>
              <w:rPr>
                <w:rFonts w:ascii="Times New Roman" w:hAnsi="Times New Roman"/>
                <w:sz w:val="18"/>
                <w:szCs w:val="18"/>
              </w:rPr>
            </w:pPr>
          </w:p>
        </w:tc>
        <w:tc>
          <w:tcPr>
            <w:tcW w:w="840" w:type="pct"/>
            <w:tcBorders>
              <w:tl2br w:val="nil"/>
              <w:tr2bl w:val="nil"/>
            </w:tcBorders>
            <w:shd w:val="clear" w:color="auto" w:fill="auto"/>
            <w:noWrap/>
            <w:vAlign w:val="center"/>
          </w:tcPr>
          <w:p w14:paraId="4526A0F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-0.05125</w:t>
            </w:r>
            <w:r>
              <w:rPr>
                <w:rFonts w:ascii="Times New Roman" w:hAnsi="Times New Roman"/>
                <w:iCs/>
                <w:sz w:val="18"/>
                <w:szCs w:val="18"/>
              </w:rPr>
              <w:t>***</w:t>
            </w:r>
          </w:p>
          <w:p w14:paraId="75F8EE0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0.02389</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69D07063"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-0.05563</w:t>
            </w:r>
            <w:r>
              <w:rPr>
                <w:rFonts w:ascii="Times New Roman" w:hAnsi="Times New Roman"/>
                <w:iCs/>
                <w:sz w:val="18"/>
                <w:szCs w:val="18"/>
              </w:rPr>
              <w:t>***</w:t>
            </w:r>
          </w:p>
          <w:p w14:paraId="7C746AE4"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0.02453</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1935A05F"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-0.05191</w:t>
            </w:r>
            <w:r>
              <w:rPr>
                <w:rFonts w:ascii="Times New Roman" w:hAnsi="Times New Roman"/>
                <w:iCs/>
                <w:sz w:val="18"/>
                <w:szCs w:val="18"/>
              </w:rPr>
              <w:t>***</w:t>
            </w:r>
          </w:p>
          <w:p w14:paraId="39561396"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0.02480</w:t>
            </w:r>
            <w:r>
              <w:rPr>
                <w:rFonts w:ascii="Times New Roman" w:hAnsi="Times New Roman"/>
                <w:kern w:val="0"/>
                <w:sz w:val="18"/>
                <w:szCs w:val="18"/>
              </w:rPr>
              <w:t>）</w:t>
            </w:r>
          </w:p>
        </w:tc>
      </w:tr>
      <w:tr w:rsidR="00501C7E" w14:paraId="20905927" w14:textId="77777777">
        <w:trPr>
          <w:trHeight w:val="610"/>
          <w:jc w:val="center"/>
        </w:trPr>
        <w:tc>
          <w:tcPr>
            <w:tcW w:w="1531" w:type="pct"/>
            <w:vMerge w:val="restart"/>
            <w:tcBorders>
              <w:tl2br w:val="nil"/>
              <w:tr2bl w:val="nil"/>
            </w:tcBorders>
            <w:shd w:val="clear" w:color="auto" w:fill="auto"/>
            <w:vAlign w:val="center"/>
          </w:tcPr>
          <w:p w14:paraId="702BBE44"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贸易逆差额</w:t>
            </w:r>
          </w:p>
        </w:tc>
        <w:tc>
          <w:tcPr>
            <w:tcW w:w="840" w:type="pct"/>
            <w:tcBorders>
              <w:tl2br w:val="nil"/>
              <w:tr2bl w:val="nil"/>
            </w:tcBorders>
            <w:shd w:val="clear" w:color="auto" w:fill="auto"/>
            <w:noWrap/>
            <w:vAlign w:val="center"/>
          </w:tcPr>
          <w:p w14:paraId="592F3D46"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2.49E-11</w:t>
            </w:r>
          </w:p>
          <w:p w14:paraId="044E88F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6.20E-11</w:t>
            </w:r>
            <w:r>
              <w:rPr>
                <w:rFonts w:ascii="Times New Roman" w:hAnsi="Times New Roman"/>
                <w:kern w:val="0"/>
                <w:sz w:val="18"/>
                <w:szCs w:val="18"/>
              </w:rPr>
              <w:t>）</w:t>
            </w:r>
          </w:p>
        </w:tc>
        <w:tc>
          <w:tcPr>
            <w:tcW w:w="840" w:type="pct"/>
            <w:tcBorders>
              <w:tl2br w:val="nil"/>
              <w:tr2bl w:val="nil"/>
            </w:tcBorders>
            <w:shd w:val="clear" w:color="auto" w:fill="auto"/>
            <w:noWrap/>
            <w:vAlign w:val="center"/>
          </w:tcPr>
          <w:p w14:paraId="53E919BC"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4.36E-12</w:t>
            </w:r>
          </w:p>
          <w:p w14:paraId="308D2F5E"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5.41E-11</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335EFC7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-1.48E-11</w:t>
            </w:r>
          </w:p>
          <w:p w14:paraId="5E0860D5"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5.53E-11</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0277B209"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-3.75E-12</w:t>
            </w:r>
          </w:p>
          <w:p w14:paraId="44F5B0E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5.60E-11</w:t>
            </w:r>
            <w:r>
              <w:rPr>
                <w:rFonts w:ascii="Times New Roman" w:hAnsi="Times New Roman"/>
                <w:kern w:val="0"/>
                <w:sz w:val="18"/>
                <w:szCs w:val="18"/>
              </w:rPr>
              <w:t>）</w:t>
            </w:r>
          </w:p>
        </w:tc>
      </w:tr>
      <w:tr w:rsidR="00501C7E" w14:paraId="38074908" w14:textId="77777777">
        <w:trPr>
          <w:trHeight w:val="604"/>
          <w:jc w:val="center"/>
        </w:trPr>
        <w:tc>
          <w:tcPr>
            <w:tcW w:w="1531" w:type="pct"/>
            <w:vMerge w:val="restart"/>
            <w:tcBorders>
              <w:tl2br w:val="nil"/>
              <w:tr2bl w:val="nil"/>
            </w:tcBorders>
            <w:shd w:val="clear" w:color="auto" w:fill="auto"/>
            <w:vAlign w:val="center"/>
          </w:tcPr>
          <w:p w14:paraId="5CB8DF5E" w14:textId="77777777" w:rsidR="00501C7E" w:rsidRDefault="00EC5712">
            <w:pPr>
              <w:widowControl/>
              <w:jc w:val="center"/>
              <w:textAlignment w:val="bottom"/>
              <w:rPr>
                <w:rFonts w:ascii="Times New Roman" w:hAnsi="Times New Roman"/>
                <w:sz w:val="18"/>
                <w:szCs w:val="18"/>
              </w:rPr>
            </w:pPr>
            <w:r>
              <w:rPr>
                <w:rFonts w:ascii="Times New Roman" w:hAnsi="Times New Roman"/>
                <w:sz w:val="18"/>
                <w:szCs w:val="18"/>
              </w:rPr>
              <w:t>欧盟就业率</w:t>
            </w:r>
          </w:p>
        </w:tc>
        <w:tc>
          <w:tcPr>
            <w:tcW w:w="840" w:type="pct"/>
            <w:tcBorders>
              <w:tl2br w:val="nil"/>
              <w:tr2bl w:val="nil"/>
            </w:tcBorders>
            <w:shd w:val="clear" w:color="auto" w:fill="auto"/>
            <w:noWrap/>
            <w:vAlign w:val="center"/>
          </w:tcPr>
          <w:p w14:paraId="3B5E0DD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0.33793</w:t>
            </w:r>
          </w:p>
          <w:p w14:paraId="2244B749"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2.29552</w:t>
            </w:r>
            <w:r>
              <w:rPr>
                <w:rFonts w:ascii="Times New Roman" w:hAnsi="Times New Roman"/>
                <w:kern w:val="0"/>
                <w:sz w:val="18"/>
                <w:szCs w:val="18"/>
              </w:rPr>
              <w:t>）</w:t>
            </w:r>
          </w:p>
        </w:tc>
        <w:tc>
          <w:tcPr>
            <w:tcW w:w="840" w:type="pct"/>
            <w:tcBorders>
              <w:tl2br w:val="nil"/>
              <w:tr2bl w:val="nil"/>
            </w:tcBorders>
            <w:shd w:val="clear" w:color="auto" w:fill="auto"/>
            <w:noWrap/>
            <w:vAlign w:val="center"/>
          </w:tcPr>
          <w:p w14:paraId="4138336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-0.46478</w:t>
            </w:r>
          </w:p>
          <w:p w14:paraId="2417CB22"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1.93970</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3FD8A859"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0.31027</w:t>
            </w:r>
          </w:p>
          <w:p w14:paraId="75BF45BB"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1.98136</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45E30A4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0.38202</w:t>
            </w:r>
          </w:p>
          <w:p w14:paraId="320D01B5"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2.00991</w:t>
            </w:r>
            <w:r>
              <w:rPr>
                <w:rFonts w:ascii="Times New Roman" w:hAnsi="Times New Roman"/>
                <w:kern w:val="0"/>
                <w:sz w:val="18"/>
                <w:szCs w:val="18"/>
              </w:rPr>
              <w:t>）</w:t>
            </w:r>
          </w:p>
        </w:tc>
      </w:tr>
      <w:tr w:rsidR="00501C7E" w14:paraId="22661818" w14:textId="77777777">
        <w:trPr>
          <w:trHeight w:val="604"/>
          <w:jc w:val="center"/>
        </w:trPr>
        <w:tc>
          <w:tcPr>
            <w:tcW w:w="1531" w:type="pct"/>
            <w:vMerge w:val="restart"/>
            <w:tcBorders>
              <w:tl2br w:val="nil"/>
              <w:tr2bl w:val="nil"/>
            </w:tcBorders>
            <w:shd w:val="clear" w:color="auto" w:fill="auto"/>
            <w:vAlign w:val="center"/>
          </w:tcPr>
          <w:p w14:paraId="0A898E4D"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企业数量</w:t>
            </w:r>
          </w:p>
        </w:tc>
        <w:tc>
          <w:tcPr>
            <w:tcW w:w="840" w:type="pct"/>
            <w:tcBorders>
              <w:tl2br w:val="nil"/>
              <w:tr2bl w:val="nil"/>
            </w:tcBorders>
            <w:shd w:val="clear" w:color="auto" w:fill="auto"/>
            <w:noWrap/>
            <w:vAlign w:val="center"/>
          </w:tcPr>
          <w:p w14:paraId="5A24E402"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0.00005</w:t>
            </w:r>
            <w:r>
              <w:rPr>
                <w:rFonts w:ascii="Times New Roman" w:hAnsi="Times New Roman"/>
                <w:iCs/>
                <w:sz w:val="18"/>
                <w:szCs w:val="18"/>
              </w:rPr>
              <w:t>**</w:t>
            </w:r>
          </w:p>
          <w:p w14:paraId="544BF7DE"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0.00002</w:t>
            </w:r>
            <w:r>
              <w:rPr>
                <w:rFonts w:ascii="Times New Roman" w:hAnsi="Times New Roman"/>
                <w:kern w:val="0"/>
                <w:sz w:val="18"/>
                <w:szCs w:val="18"/>
              </w:rPr>
              <w:t>）</w:t>
            </w:r>
          </w:p>
        </w:tc>
        <w:tc>
          <w:tcPr>
            <w:tcW w:w="840" w:type="pct"/>
            <w:tcBorders>
              <w:tl2br w:val="nil"/>
              <w:tr2bl w:val="nil"/>
            </w:tcBorders>
            <w:shd w:val="clear" w:color="auto" w:fill="auto"/>
            <w:noWrap/>
            <w:vAlign w:val="center"/>
          </w:tcPr>
          <w:p w14:paraId="0170E302"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0.00005</w:t>
            </w:r>
            <w:r>
              <w:rPr>
                <w:rFonts w:ascii="Times New Roman" w:hAnsi="Times New Roman"/>
                <w:iCs/>
                <w:sz w:val="18"/>
                <w:szCs w:val="18"/>
              </w:rPr>
              <w:t>**</w:t>
            </w:r>
          </w:p>
          <w:p w14:paraId="62C171A8"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0.00002</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32322123"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0.00005</w:t>
            </w:r>
            <w:r>
              <w:rPr>
                <w:rFonts w:ascii="Times New Roman" w:hAnsi="Times New Roman"/>
                <w:iCs/>
                <w:sz w:val="18"/>
                <w:szCs w:val="18"/>
              </w:rPr>
              <w:t>**</w:t>
            </w:r>
          </w:p>
          <w:p w14:paraId="482DF842"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0.00002</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2699CCD3"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0.00005</w:t>
            </w:r>
            <w:r>
              <w:rPr>
                <w:rFonts w:ascii="Times New Roman" w:hAnsi="Times New Roman"/>
                <w:iCs/>
                <w:sz w:val="18"/>
                <w:szCs w:val="18"/>
              </w:rPr>
              <w:t>**</w:t>
            </w:r>
          </w:p>
          <w:p w14:paraId="7553941D"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0.00002</w:t>
            </w:r>
            <w:r>
              <w:rPr>
                <w:rFonts w:ascii="Times New Roman" w:hAnsi="Times New Roman"/>
                <w:kern w:val="0"/>
                <w:sz w:val="18"/>
                <w:szCs w:val="18"/>
              </w:rPr>
              <w:t>）</w:t>
            </w:r>
          </w:p>
        </w:tc>
      </w:tr>
      <w:tr w:rsidR="00501C7E" w14:paraId="4AB2976E" w14:textId="77777777">
        <w:trPr>
          <w:trHeight w:val="604"/>
          <w:jc w:val="center"/>
        </w:trPr>
        <w:tc>
          <w:tcPr>
            <w:tcW w:w="1531" w:type="pct"/>
            <w:vMerge w:val="restart"/>
            <w:tcBorders>
              <w:tl2br w:val="nil"/>
              <w:tr2bl w:val="nil"/>
            </w:tcBorders>
            <w:shd w:val="clear" w:color="auto" w:fill="auto"/>
            <w:vAlign w:val="center"/>
          </w:tcPr>
          <w:p w14:paraId="41B7186D"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sz w:val="18"/>
                <w:szCs w:val="18"/>
              </w:rPr>
              <w:t>按要素成本计算的增加值</w:t>
            </w:r>
          </w:p>
        </w:tc>
        <w:tc>
          <w:tcPr>
            <w:tcW w:w="840" w:type="pct"/>
            <w:tcBorders>
              <w:tl2br w:val="nil"/>
              <w:tr2bl w:val="nil"/>
            </w:tcBorders>
            <w:shd w:val="clear" w:color="auto" w:fill="auto"/>
            <w:noWrap/>
            <w:vAlign w:val="center"/>
          </w:tcPr>
          <w:p w14:paraId="2830E0EB"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0.00357</w:t>
            </w:r>
            <w:r>
              <w:rPr>
                <w:rFonts w:ascii="Times New Roman" w:hAnsi="Times New Roman"/>
                <w:iCs/>
                <w:sz w:val="18"/>
                <w:szCs w:val="18"/>
              </w:rPr>
              <w:t>**</w:t>
            </w:r>
          </w:p>
          <w:p w14:paraId="7631709C"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0.00157</w:t>
            </w:r>
            <w:r>
              <w:rPr>
                <w:rFonts w:ascii="Times New Roman" w:hAnsi="Times New Roman"/>
                <w:kern w:val="0"/>
                <w:sz w:val="18"/>
                <w:szCs w:val="18"/>
              </w:rPr>
              <w:t>）</w:t>
            </w:r>
          </w:p>
        </w:tc>
        <w:tc>
          <w:tcPr>
            <w:tcW w:w="840" w:type="pct"/>
            <w:tcBorders>
              <w:tl2br w:val="nil"/>
              <w:tr2bl w:val="nil"/>
            </w:tcBorders>
            <w:shd w:val="clear" w:color="auto" w:fill="auto"/>
            <w:noWrap/>
            <w:vAlign w:val="center"/>
          </w:tcPr>
          <w:p w14:paraId="61B9F752"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0.00318</w:t>
            </w:r>
            <w:r>
              <w:rPr>
                <w:rFonts w:ascii="Times New Roman" w:hAnsi="Times New Roman"/>
                <w:iCs/>
                <w:sz w:val="18"/>
                <w:szCs w:val="18"/>
              </w:rPr>
              <w:t>**</w:t>
            </w:r>
          </w:p>
          <w:p w14:paraId="3651FF4C"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0.00132</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02BBDFC7"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0.00300</w:t>
            </w:r>
            <w:r>
              <w:rPr>
                <w:rFonts w:ascii="Times New Roman" w:hAnsi="Times New Roman"/>
                <w:iCs/>
                <w:sz w:val="18"/>
                <w:szCs w:val="18"/>
              </w:rPr>
              <w:t>**</w:t>
            </w:r>
          </w:p>
          <w:p w14:paraId="7C848E9C"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0.00136</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045FF52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0.00288</w:t>
            </w:r>
            <w:r>
              <w:rPr>
                <w:rFonts w:ascii="Times New Roman" w:hAnsi="Times New Roman"/>
                <w:iCs/>
                <w:sz w:val="18"/>
                <w:szCs w:val="18"/>
              </w:rPr>
              <w:t>**</w:t>
            </w:r>
          </w:p>
          <w:p w14:paraId="704CBB19" w14:textId="77777777" w:rsidR="00501C7E" w:rsidRDefault="00EC5712">
            <w:pPr>
              <w:widowControl/>
              <w:jc w:val="center"/>
              <w:textAlignment w:val="bottom"/>
              <w:rPr>
                <w:rFonts w:ascii="Times New Roman" w:hAnsi="Times New Roman"/>
                <w:sz w:val="18"/>
                <w:szCs w:val="18"/>
              </w:rPr>
            </w:pPr>
            <w:r>
              <w:rPr>
                <w:rFonts w:ascii="Times New Roman" w:hAnsi="Times New Roman"/>
                <w:sz w:val="18"/>
                <w:szCs w:val="18"/>
              </w:rPr>
              <w:t>（</w:t>
            </w:r>
            <w:r>
              <w:rPr>
                <w:rFonts w:ascii="Times New Roman" w:hAnsi="Times New Roman"/>
                <w:kern w:val="0"/>
                <w:sz w:val="18"/>
                <w:szCs w:val="18"/>
              </w:rPr>
              <w:t>0.00138</w:t>
            </w:r>
            <w:r>
              <w:rPr>
                <w:rFonts w:ascii="Times New Roman" w:hAnsi="Times New Roman"/>
                <w:sz w:val="18"/>
                <w:szCs w:val="18"/>
              </w:rPr>
              <w:t>）</w:t>
            </w:r>
          </w:p>
        </w:tc>
      </w:tr>
      <w:tr w:rsidR="00501C7E" w14:paraId="54563FE1" w14:textId="77777777">
        <w:trPr>
          <w:trHeight w:val="604"/>
          <w:jc w:val="center"/>
        </w:trPr>
        <w:tc>
          <w:tcPr>
            <w:tcW w:w="1531" w:type="pct"/>
            <w:vMerge w:val="restart"/>
            <w:tcBorders>
              <w:tl2br w:val="nil"/>
              <w:tr2bl w:val="nil"/>
            </w:tcBorders>
            <w:shd w:val="clear" w:color="auto" w:fill="auto"/>
            <w:vAlign w:val="center"/>
          </w:tcPr>
          <w:p w14:paraId="40683FC9"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sz w:val="18"/>
                <w:szCs w:val="18"/>
              </w:rPr>
              <w:t>盈余额</w:t>
            </w:r>
          </w:p>
        </w:tc>
        <w:tc>
          <w:tcPr>
            <w:tcW w:w="840" w:type="pct"/>
            <w:tcBorders>
              <w:tl2br w:val="nil"/>
              <w:tr2bl w:val="nil"/>
            </w:tcBorders>
            <w:shd w:val="clear" w:color="auto" w:fill="auto"/>
            <w:noWrap/>
            <w:vAlign w:val="center"/>
          </w:tcPr>
          <w:p w14:paraId="7A63E047"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-0.00351</w:t>
            </w:r>
            <w:r>
              <w:rPr>
                <w:rFonts w:ascii="Times New Roman" w:hAnsi="Times New Roman"/>
                <w:iCs/>
                <w:sz w:val="18"/>
                <w:szCs w:val="18"/>
              </w:rPr>
              <w:t>**</w:t>
            </w:r>
          </w:p>
          <w:p w14:paraId="649FF0F6"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0.00157</w:t>
            </w:r>
            <w:r>
              <w:rPr>
                <w:rFonts w:ascii="Times New Roman" w:hAnsi="Times New Roman"/>
                <w:kern w:val="0"/>
                <w:sz w:val="18"/>
                <w:szCs w:val="18"/>
              </w:rPr>
              <w:t>）</w:t>
            </w:r>
          </w:p>
        </w:tc>
        <w:tc>
          <w:tcPr>
            <w:tcW w:w="840" w:type="pct"/>
            <w:tcBorders>
              <w:tl2br w:val="nil"/>
              <w:tr2bl w:val="nil"/>
            </w:tcBorders>
            <w:shd w:val="clear" w:color="auto" w:fill="auto"/>
            <w:noWrap/>
            <w:vAlign w:val="center"/>
          </w:tcPr>
          <w:p w14:paraId="66EC003B"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 xml:space="preserve">-0.00301 </w:t>
            </w:r>
            <w:r>
              <w:rPr>
                <w:rFonts w:ascii="Times New Roman" w:hAnsi="Times New Roman"/>
                <w:iCs/>
                <w:sz w:val="18"/>
                <w:szCs w:val="18"/>
              </w:rPr>
              <w:t>**</w:t>
            </w:r>
          </w:p>
          <w:p w14:paraId="06D1C2BC"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0.00132</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38285DF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-0.00296</w:t>
            </w:r>
            <w:r>
              <w:rPr>
                <w:rFonts w:ascii="Times New Roman" w:hAnsi="Times New Roman"/>
                <w:iCs/>
                <w:sz w:val="18"/>
                <w:szCs w:val="18"/>
              </w:rPr>
              <w:t>**</w:t>
            </w:r>
          </w:p>
          <w:p w14:paraId="7FA9CB5B"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0.00135</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2FEB6137"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 xml:space="preserve">-0.00288 </w:t>
            </w:r>
            <w:r>
              <w:rPr>
                <w:rFonts w:ascii="Times New Roman" w:hAnsi="Times New Roman"/>
                <w:iCs/>
                <w:sz w:val="18"/>
                <w:szCs w:val="18"/>
              </w:rPr>
              <w:t>**</w:t>
            </w:r>
          </w:p>
          <w:p w14:paraId="73FD37E5"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0.00137</w:t>
            </w:r>
            <w:r>
              <w:rPr>
                <w:rFonts w:ascii="Times New Roman" w:hAnsi="Times New Roman"/>
                <w:kern w:val="0"/>
                <w:sz w:val="18"/>
                <w:szCs w:val="18"/>
              </w:rPr>
              <w:t>）</w:t>
            </w:r>
          </w:p>
        </w:tc>
      </w:tr>
      <w:tr w:rsidR="00501C7E" w14:paraId="5B056F3C" w14:textId="77777777">
        <w:trPr>
          <w:trHeight w:val="604"/>
          <w:jc w:val="center"/>
        </w:trPr>
        <w:tc>
          <w:tcPr>
            <w:tcW w:w="1531" w:type="pct"/>
            <w:vMerge w:val="restart"/>
            <w:tcBorders>
              <w:tl2br w:val="nil"/>
              <w:tr2bl w:val="nil"/>
            </w:tcBorders>
            <w:shd w:val="clear" w:color="auto" w:fill="auto"/>
            <w:vAlign w:val="center"/>
          </w:tcPr>
          <w:p w14:paraId="0BDD85F7"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人事费</w:t>
            </w:r>
          </w:p>
        </w:tc>
        <w:tc>
          <w:tcPr>
            <w:tcW w:w="840" w:type="pct"/>
            <w:tcBorders>
              <w:tl2br w:val="nil"/>
              <w:tr2bl w:val="nil"/>
            </w:tcBorders>
            <w:shd w:val="clear" w:color="auto" w:fill="auto"/>
            <w:noWrap/>
            <w:vAlign w:val="center"/>
          </w:tcPr>
          <w:p w14:paraId="4C69056F"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-0.00799</w:t>
            </w:r>
            <w:r>
              <w:rPr>
                <w:rFonts w:ascii="Times New Roman" w:hAnsi="Times New Roman"/>
                <w:iCs/>
                <w:sz w:val="18"/>
                <w:szCs w:val="18"/>
              </w:rPr>
              <w:t>***</w:t>
            </w:r>
          </w:p>
          <w:p w14:paraId="74024FB5"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0.00300</w:t>
            </w:r>
            <w:r>
              <w:rPr>
                <w:rFonts w:ascii="Times New Roman" w:hAnsi="Times New Roman"/>
                <w:kern w:val="0"/>
                <w:sz w:val="18"/>
                <w:szCs w:val="18"/>
              </w:rPr>
              <w:t>）</w:t>
            </w:r>
          </w:p>
        </w:tc>
        <w:tc>
          <w:tcPr>
            <w:tcW w:w="840" w:type="pct"/>
            <w:tcBorders>
              <w:tl2br w:val="nil"/>
              <w:tr2bl w:val="nil"/>
            </w:tcBorders>
            <w:shd w:val="clear" w:color="auto" w:fill="auto"/>
            <w:noWrap/>
            <w:vAlign w:val="center"/>
          </w:tcPr>
          <w:p w14:paraId="17B8D189"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-0.00647</w:t>
            </w:r>
            <w:r>
              <w:rPr>
                <w:rFonts w:ascii="Times New Roman" w:hAnsi="Times New Roman"/>
                <w:iCs/>
                <w:sz w:val="18"/>
                <w:szCs w:val="18"/>
              </w:rPr>
              <w:t>**</w:t>
            </w:r>
          </w:p>
          <w:p w14:paraId="284B3522"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0.00253</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6842345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 xml:space="preserve">-0.00649 </w:t>
            </w:r>
            <w:r>
              <w:rPr>
                <w:rFonts w:ascii="Times New Roman" w:hAnsi="Times New Roman"/>
                <w:iCs/>
                <w:sz w:val="18"/>
                <w:szCs w:val="18"/>
              </w:rPr>
              <w:t>**</w:t>
            </w:r>
          </w:p>
          <w:p w14:paraId="4EDDCE88"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0.00259</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2E491FB5"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-0.00643</w:t>
            </w:r>
            <w:r>
              <w:rPr>
                <w:rFonts w:ascii="Times New Roman" w:hAnsi="Times New Roman"/>
                <w:iCs/>
                <w:sz w:val="18"/>
                <w:szCs w:val="18"/>
              </w:rPr>
              <w:t>**</w:t>
            </w:r>
          </w:p>
          <w:p w14:paraId="46523699"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0.00263</w:t>
            </w:r>
            <w:r>
              <w:rPr>
                <w:rFonts w:ascii="Times New Roman" w:hAnsi="Times New Roman"/>
                <w:kern w:val="0"/>
                <w:sz w:val="18"/>
                <w:szCs w:val="18"/>
              </w:rPr>
              <w:t>）</w:t>
            </w:r>
          </w:p>
        </w:tc>
      </w:tr>
      <w:tr w:rsidR="00501C7E" w14:paraId="4AE7044B" w14:textId="77777777">
        <w:trPr>
          <w:trHeight w:val="604"/>
          <w:jc w:val="center"/>
        </w:trPr>
        <w:tc>
          <w:tcPr>
            <w:tcW w:w="1531" w:type="pct"/>
            <w:tcBorders>
              <w:tl2br w:val="nil"/>
              <w:tr2bl w:val="nil"/>
            </w:tcBorders>
            <w:shd w:val="clear" w:color="auto" w:fill="auto"/>
            <w:vAlign w:val="center"/>
          </w:tcPr>
          <w:p w14:paraId="7A8940F6"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工资</w:t>
            </w:r>
          </w:p>
        </w:tc>
        <w:tc>
          <w:tcPr>
            <w:tcW w:w="840" w:type="pct"/>
            <w:tcBorders>
              <w:tl2br w:val="nil"/>
              <w:tr2bl w:val="nil"/>
            </w:tcBorders>
            <w:shd w:val="clear" w:color="auto" w:fill="auto"/>
            <w:noWrap/>
            <w:vAlign w:val="center"/>
          </w:tcPr>
          <w:p w14:paraId="7E8E1A5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0.00559</w:t>
            </w:r>
            <w:r>
              <w:rPr>
                <w:rFonts w:ascii="Times New Roman" w:hAnsi="Times New Roman"/>
                <w:iCs/>
                <w:sz w:val="18"/>
                <w:szCs w:val="18"/>
              </w:rPr>
              <w:t>**</w:t>
            </w:r>
          </w:p>
          <w:p w14:paraId="2C95A146"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0.00224</w:t>
            </w:r>
            <w:r>
              <w:rPr>
                <w:rFonts w:ascii="Times New Roman" w:hAnsi="Times New Roman"/>
                <w:kern w:val="0"/>
                <w:sz w:val="18"/>
                <w:szCs w:val="18"/>
              </w:rPr>
              <w:t>）</w:t>
            </w:r>
          </w:p>
        </w:tc>
        <w:tc>
          <w:tcPr>
            <w:tcW w:w="840" w:type="pct"/>
            <w:tcBorders>
              <w:tl2br w:val="nil"/>
              <w:tr2bl w:val="nil"/>
            </w:tcBorders>
            <w:shd w:val="clear" w:color="auto" w:fill="auto"/>
            <w:noWrap/>
            <w:vAlign w:val="center"/>
          </w:tcPr>
          <w:p w14:paraId="0358C549"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0.00407</w:t>
            </w:r>
            <w:r>
              <w:rPr>
                <w:rFonts w:ascii="Times New Roman" w:hAnsi="Times New Roman"/>
                <w:iCs/>
                <w:sz w:val="18"/>
                <w:szCs w:val="18"/>
              </w:rPr>
              <w:t>**</w:t>
            </w:r>
          </w:p>
          <w:p w14:paraId="7F95469A"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0.00190</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1CC26DEB"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0.00441</w:t>
            </w:r>
            <w:r>
              <w:rPr>
                <w:rFonts w:ascii="Times New Roman" w:hAnsi="Times New Roman"/>
                <w:iCs/>
                <w:sz w:val="18"/>
                <w:szCs w:val="18"/>
              </w:rPr>
              <w:t>**</w:t>
            </w:r>
          </w:p>
          <w:p w14:paraId="69FFA078"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0.00194</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0EBBFC1B"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0.00451</w:t>
            </w:r>
            <w:r>
              <w:rPr>
                <w:rFonts w:ascii="Times New Roman" w:hAnsi="Times New Roman"/>
                <w:iCs/>
                <w:sz w:val="18"/>
                <w:szCs w:val="18"/>
              </w:rPr>
              <w:t>**</w:t>
            </w:r>
          </w:p>
          <w:p w14:paraId="5CC3497C"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0.00197</w:t>
            </w:r>
            <w:r>
              <w:rPr>
                <w:rFonts w:ascii="Times New Roman" w:hAnsi="Times New Roman"/>
                <w:kern w:val="0"/>
                <w:sz w:val="18"/>
                <w:szCs w:val="18"/>
              </w:rPr>
              <w:t>）</w:t>
            </w:r>
          </w:p>
        </w:tc>
      </w:tr>
      <w:tr w:rsidR="00501C7E" w14:paraId="0638AB3E" w14:textId="77777777">
        <w:trPr>
          <w:trHeight w:val="303"/>
          <w:jc w:val="center"/>
        </w:trPr>
        <w:tc>
          <w:tcPr>
            <w:tcW w:w="1531" w:type="pct"/>
            <w:tcBorders>
              <w:tl2br w:val="nil"/>
              <w:tr2bl w:val="nil"/>
            </w:tcBorders>
            <w:shd w:val="clear" w:color="auto" w:fill="auto"/>
            <w:vAlign w:val="center"/>
          </w:tcPr>
          <w:p w14:paraId="1B9CA0D1" w14:textId="77777777" w:rsidR="00501C7E" w:rsidRDefault="00EC5712">
            <w:pPr>
              <w:jc w:val="center"/>
              <w:rPr>
                <w:rFonts w:ascii="Times New Roman" w:hAnsi="Times New Roman"/>
                <w:sz w:val="18"/>
                <w:szCs w:val="18"/>
              </w:rPr>
            </w:pPr>
            <w:r>
              <w:rPr>
                <w:rFonts w:ascii="Times New Roman" w:hAnsi="Times New Roman"/>
                <w:sz w:val="18"/>
                <w:szCs w:val="18"/>
              </w:rPr>
              <w:t>观测值</w:t>
            </w:r>
          </w:p>
        </w:tc>
        <w:tc>
          <w:tcPr>
            <w:tcW w:w="840" w:type="pct"/>
            <w:tcBorders>
              <w:tl2br w:val="nil"/>
              <w:tr2bl w:val="nil"/>
            </w:tcBorders>
            <w:shd w:val="clear" w:color="auto" w:fill="auto"/>
            <w:noWrap/>
            <w:vAlign w:val="center"/>
          </w:tcPr>
          <w:p w14:paraId="62D2372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c>
          <w:tcPr>
            <w:tcW w:w="840" w:type="pct"/>
            <w:tcBorders>
              <w:tl2br w:val="nil"/>
              <w:tr2bl w:val="nil"/>
            </w:tcBorders>
            <w:shd w:val="clear" w:color="auto" w:fill="auto"/>
            <w:noWrap/>
            <w:vAlign w:val="center"/>
          </w:tcPr>
          <w:p w14:paraId="359AF371"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c>
          <w:tcPr>
            <w:tcW w:w="893" w:type="pct"/>
            <w:tcBorders>
              <w:tl2br w:val="nil"/>
              <w:tr2bl w:val="nil"/>
            </w:tcBorders>
            <w:shd w:val="clear" w:color="auto" w:fill="auto"/>
            <w:noWrap/>
            <w:vAlign w:val="center"/>
          </w:tcPr>
          <w:p w14:paraId="1479FDD6"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c>
          <w:tcPr>
            <w:tcW w:w="893" w:type="pct"/>
            <w:tcBorders>
              <w:tl2br w:val="nil"/>
              <w:tr2bl w:val="nil"/>
            </w:tcBorders>
            <w:shd w:val="clear" w:color="auto" w:fill="auto"/>
            <w:noWrap/>
            <w:vAlign w:val="center"/>
          </w:tcPr>
          <w:p w14:paraId="270BAEAB"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r>
      <w:tr w:rsidR="00501C7E" w14:paraId="7F06CD9C" w14:textId="77777777">
        <w:trPr>
          <w:trHeight w:val="303"/>
          <w:jc w:val="center"/>
        </w:trPr>
        <w:tc>
          <w:tcPr>
            <w:tcW w:w="1531" w:type="pct"/>
            <w:tcBorders>
              <w:tl2br w:val="nil"/>
              <w:tr2bl w:val="nil"/>
            </w:tcBorders>
            <w:shd w:val="clear" w:color="auto" w:fill="auto"/>
            <w:noWrap/>
            <w:vAlign w:val="center"/>
          </w:tcPr>
          <w:p w14:paraId="470E2A30" w14:textId="77777777" w:rsidR="00501C7E" w:rsidRDefault="009C070E">
            <w:pPr>
              <w:widowControl/>
              <w:jc w:val="center"/>
              <w:textAlignment w:val="bottom"/>
              <w:rPr>
                <w:rFonts w:ascii="Times New Roman" w:hAnsi="Times New Roman"/>
                <w:sz w:val="18"/>
                <w:szCs w:val="18"/>
              </w:rPr>
            </w:pPr>
            <m:oMathPara>
              <m:oMath>
                <m:r>
                  <m:rPr>
                    <m:sty m:val="p"/>
                  </m:rPr>
                  <w:rPr>
                    <w:rFonts w:ascii="Cambria Math" w:hAnsi="Cambria Math"/>
                    <w:sz w:val="18"/>
                    <w:szCs w:val="18"/>
                  </w:rPr>
                  <m:t>调整的</m:t>
                </m:r>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oMath>
            </m:oMathPara>
          </w:p>
        </w:tc>
        <w:tc>
          <w:tcPr>
            <w:tcW w:w="840" w:type="pct"/>
            <w:tcBorders>
              <w:tl2br w:val="nil"/>
              <w:tr2bl w:val="nil"/>
            </w:tcBorders>
            <w:shd w:val="clear" w:color="auto" w:fill="auto"/>
            <w:vAlign w:val="center"/>
          </w:tcPr>
          <w:p w14:paraId="057543EA"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0.1488</w:t>
            </w:r>
          </w:p>
        </w:tc>
        <w:tc>
          <w:tcPr>
            <w:tcW w:w="840" w:type="pct"/>
            <w:tcBorders>
              <w:tl2br w:val="nil"/>
              <w:tr2bl w:val="nil"/>
            </w:tcBorders>
            <w:shd w:val="clear" w:color="auto" w:fill="auto"/>
            <w:vAlign w:val="center"/>
          </w:tcPr>
          <w:p w14:paraId="7EBB1EA1"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0.3996</w:t>
            </w:r>
          </w:p>
        </w:tc>
        <w:tc>
          <w:tcPr>
            <w:tcW w:w="893" w:type="pct"/>
            <w:tcBorders>
              <w:tl2br w:val="nil"/>
              <w:tr2bl w:val="nil"/>
            </w:tcBorders>
            <w:shd w:val="clear" w:color="auto" w:fill="auto"/>
            <w:vAlign w:val="center"/>
          </w:tcPr>
          <w:p w14:paraId="6B92F049"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0.3727</w:t>
            </w:r>
          </w:p>
        </w:tc>
        <w:tc>
          <w:tcPr>
            <w:tcW w:w="893" w:type="pct"/>
            <w:tcBorders>
              <w:tl2br w:val="nil"/>
              <w:tr2bl w:val="nil"/>
            </w:tcBorders>
            <w:shd w:val="clear" w:color="auto" w:fill="auto"/>
            <w:vAlign w:val="center"/>
          </w:tcPr>
          <w:p w14:paraId="7F190CA3"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0.3549</w:t>
            </w:r>
          </w:p>
        </w:tc>
      </w:tr>
    </w:tbl>
    <w:p w14:paraId="430AD860" w14:textId="77777777" w:rsidR="00501C7E" w:rsidRDefault="00501C7E">
      <w:pPr>
        <w:jc w:val="center"/>
        <w:rPr>
          <w:rFonts w:ascii="Times New Roman" w:eastAsia="黑体" w:hAnsi="Times New Roman"/>
          <w:szCs w:val="21"/>
        </w:rPr>
      </w:pPr>
    </w:p>
    <w:p w14:paraId="121BBAB6" w14:textId="77777777" w:rsidR="00501C7E" w:rsidRDefault="00EC5712">
      <w:pPr>
        <w:jc w:val="center"/>
        <w:rPr>
          <w:rFonts w:ascii="Times New Roman" w:eastAsia="黑体" w:hAnsi="Times New Roman"/>
          <w:szCs w:val="21"/>
        </w:rPr>
      </w:pPr>
      <w:r>
        <w:rPr>
          <w:rFonts w:ascii="Times New Roman" w:eastAsia="楷体" w:hAnsi="Times New Roman"/>
          <w:bCs/>
          <w:szCs w:val="21"/>
        </w:rPr>
        <w:t>表</w:t>
      </w:r>
      <w:r>
        <w:rPr>
          <w:rFonts w:ascii="Times New Roman" w:eastAsia="楷体" w:hAnsi="Times New Roman"/>
          <w:bCs/>
          <w:szCs w:val="21"/>
        </w:rPr>
        <w:t>6</w:t>
      </w:r>
      <w:r>
        <w:rPr>
          <w:rFonts w:ascii="Times New Roman" w:eastAsia="楷体" w:hAnsi="Times New Roman" w:hint="eastAsia"/>
          <w:bCs/>
          <w:szCs w:val="21"/>
        </w:rPr>
        <w:t xml:space="preserve">  </w:t>
      </w:r>
      <w:r>
        <w:rPr>
          <w:rFonts w:ascii="Times New Roman" w:eastAsia="楷体" w:hAnsi="Times New Roman"/>
          <w:bCs/>
          <w:szCs w:val="21"/>
        </w:rPr>
        <w:t>纳入其他经济指标的估计结果（初裁税率）</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9"/>
        <w:gridCol w:w="1410"/>
        <w:gridCol w:w="1627"/>
        <w:gridCol w:w="1628"/>
        <w:gridCol w:w="1629"/>
      </w:tblGrid>
      <w:tr w:rsidR="00501C7E" w14:paraId="20EB6A7A" w14:textId="77777777">
        <w:trPr>
          <w:trHeight w:val="750"/>
        </w:trPr>
        <w:tc>
          <w:tcPr>
            <w:tcW w:w="1546" w:type="pct"/>
            <w:tcBorders>
              <w:tl2br w:val="nil"/>
              <w:tr2bl w:val="nil"/>
            </w:tcBorders>
            <w:shd w:val="clear" w:color="auto" w:fill="auto"/>
            <w:vAlign w:val="center"/>
          </w:tcPr>
          <w:p w14:paraId="4CD697CE"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申诉者政治势力排名</w:t>
            </w:r>
          </w:p>
        </w:tc>
        <w:tc>
          <w:tcPr>
            <w:tcW w:w="774" w:type="pct"/>
            <w:tcBorders>
              <w:tl2br w:val="nil"/>
              <w:tr2bl w:val="nil"/>
            </w:tcBorders>
            <w:shd w:val="clear" w:color="auto" w:fill="auto"/>
            <w:vAlign w:val="center"/>
          </w:tcPr>
          <w:p w14:paraId="5F8AA2CF" w14:textId="77777777" w:rsidR="00501C7E" w:rsidRDefault="00501C7E">
            <w:pPr>
              <w:jc w:val="center"/>
              <w:rPr>
                <w:rFonts w:ascii="Times New Roman" w:hAnsi="Times New Roman"/>
                <w:sz w:val="18"/>
                <w:szCs w:val="18"/>
              </w:rPr>
            </w:pPr>
          </w:p>
        </w:tc>
        <w:tc>
          <w:tcPr>
            <w:tcW w:w="892" w:type="pct"/>
            <w:tcBorders>
              <w:tl2br w:val="nil"/>
              <w:tr2bl w:val="nil"/>
            </w:tcBorders>
            <w:shd w:val="clear" w:color="auto" w:fill="auto"/>
            <w:vAlign w:val="center"/>
          </w:tcPr>
          <w:p w14:paraId="6494CB65"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前</w:t>
            </w:r>
            <w:r>
              <w:rPr>
                <w:rFonts w:ascii="Times New Roman" w:hAnsi="Times New Roman"/>
                <w:kern w:val="0"/>
                <w:sz w:val="18"/>
                <w:szCs w:val="18"/>
              </w:rPr>
              <w:t>30%</w:t>
            </w:r>
          </w:p>
        </w:tc>
        <w:tc>
          <w:tcPr>
            <w:tcW w:w="892" w:type="pct"/>
            <w:tcBorders>
              <w:tl2br w:val="nil"/>
              <w:tr2bl w:val="nil"/>
            </w:tcBorders>
            <w:shd w:val="clear" w:color="auto" w:fill="auto"/>
            <w:vAlign w:val="center"/>
          </w:tcPr>
          <w:p w14:paraId="3B4BC69F"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前</w:t>
            </w:r>
            <w:r>
              <w:rPr>
                <w:rFonts w:ascii="Times New Roman" w:hAnsi="Times New Roman"/>
                <w:kern w:val="0"/>
                <w:sz w:val="18"/>
                <w:szCs w:val="18"/>
              </w:rPr>
              <w:t>40%</w:t>
            </w:r>
          </w:p>
        </w:tc>
        <w:tc>
          <w:tcPr>
            <w:tcW w:w="893" w:type="pct"/>
            <w:tcBorders>
              <w:tl2br w:val="nil"/>
              <w:tr2bl w:val="nil"/>
            </w:tcBorders>
            <w:shd w:val="clear" w:color="auto" w:fill="auto"/>
            <w:vAlign w:val="center"/>
          </w:tcPr>
          <w:p w14:paraId="650F8EF0"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前</w:t>
            </w:r>
            <w:r>
              <w:rPr>
                <w:rFonts w:ascii="Times New Roman" w:hAnsi="Times New Roman"/>
                <w:kern w:val="0"/>
                <w:sz w:val="18"/>
                <w:szCs w:val="18"/>
              </w:rPr>
              <w:t>50%</w:t>
            </w:r>
          </w:p>
        </w:tc>
      </w:tr>
      <w:tr w:rsidR="00501C7E" w14:paraId="0F361572" w14:textId="77777777">
        <w:trPr>
          <w:trHeight w:val="610"/>
        </w:trPr>
        <w:tc>
          <w:tcPr>
            <w:tcW w:w="2819" w:type="dxa"/>
            <w:vMerge w:val="restart"/>
            <w:tcBorders>
              <w:tl2br w:val="nil"/>
              <w:tr2bl w:val="nil"/>
            </w:tcBorders>
            <w:shd w:val="clear" w:color="auto" w:fill="auto"/>
            <w:vAlign w:val="center"/>
          </w:tcPr>
          <w:p w14:paraId="02608345" w14:textId="77777777" w:rsidR="00501C7E" w:rsidRDefault="00000000">
            <w:pPr>
              <w:jc w:val="center"/>
              <w:rPr>
                <w:rFonts w:ascii="Times New Roman" w:hAnsi="Times New Roman"/>
                <w:i/>
                <w:iCs/>
                <w:sz w:val="18"/>
                <w:szCs w:val="18"/>
              </w:rPr>
            </w:pPr>
            <m:oMathPara>
              <m:oMath>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i</m:t>
                        </m:r>
                      </m:sub>
                    </m:sSub>
                  </m:num>
                  <m:den>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i</m:t>
                        </m:r>
                      </m:sub>
                    </m:sSub>
                  </m:den>
                </m:f>
              </m:oMath>
            </m:oMathPara>
          </w:p>
        </w:tc>
        <w:tc>
          <w:tcPr>
            <w:tcW w:w="774" w:type="pct"/>
            <w:vMerge w:val="restart"/>
            <w:tcBorders>
              <w:tl2br w:val="nil"/>
              <w:tr2bl w:val="nil"/>
            </w:tcBorders>
            <w:shd w:val="clear" w:color="auto" w:fill="auto"/>
            <w:vAlign w:val="center"/>
          </w:tcPr>
          <w:p w14:paraId="4B98A357" w14:textId="77777777" w:rsidR="00501C7E" w:rsidRDefault="00501C7E">
            <w:pPr>
              <w:jc w:val="center"/>
              <w:rPr>
                <w:rFonts w:ascii="Times New Roman" w:hAnsi="Times New Roman"/>
                <w:sz w:val="18"/>
                <w:szCs w:val="18"/>
              </w:rPr>
            </w:pPr>
          </w:p>
        </w:tc>
        <w:tc>
          <w:tcPr>
            <w:tcW w:w="892" w:type="pct"/>
            <w:tcBorders>
              <w:tl2br w:val="nil"/>
              <w:tr2bl w:val="nil"/>
            </w:tcBorders>
            <w:shd w:val="clear" w:color="auto" w:fill="auto"/>
            <w:noWrap/>
            <w:vAlign w:val="center"/>
          </w:tcPr>
          <w:p w14:paraId="39BF2011"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0.2121</w:t>
            </w:r>
            <w:r>
              <w:rPr>
                <w:rFonts w:ascii="Times New Roman" w:hAnsi="Times New Roman"/>
                <w:iCs/>
                <w:sz w:val="18"/>
                <w:szCs w:val="18"/>
              </w:rPr>
              <w:t>***</w:t>
            </w:r>
          </w:p>
          <w:p w14:paraId="743E0663"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0.0454</w:t>
            </w:r>
            <w:r>
              <w:rPr>
                <w:rFonts w:ascii="Times New Roman" w:hAnsi="Times New Roman"/>
                <w:kern w:val="0"/>
                <w:sz w:val="18"/>
                <w:szCs w:val="18"/>
              </w:rPr>
              <w:t>）</w:t>
            </w:r>
          </w:p>
        </w:tc>
        <w:tc>
          <w:tcPr>
            <w:tcW w:w="892" w:type="pct"/>
            <w:tcBorders>
              <w:tl2br w:val="nil"/>
              <w:tr2bl w:val="nil"/>
            </w:tcBorders>
            <w:shd w:val="clear" w:color="auto" w:fill="auto"/>
            <w:noWrap/>
            <w:vAlign w:val="center"/>
          </w:tcPr>
          <w:p w14:paraId="0A87F87B"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0.1791</w:t>
            </w:r>
            <w:r>
              <w:rPr>
                <w:rFonts w:ascii="Times New Roman" w:hAnsi="Times New Roman"/>
                <w:iCs/>
                <w:sz w:val="18"/>
                <w:szCs w:val="18"/>
              </w:rPr>
              <w:t>***</w:t>
            </w:r>
          </w:p>
          <w:p w14:paraId="1D544B8C"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0.0429</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45E2EA9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0.1775</w:t>
            </w:r>
            <w:r>
              <w:rPr>
                <w:rFonts w:ascii="Times New Roman" w:hAnsi="Times New Roman"/>
                <w:iCs/>
                <w:sz w:val="18"/>
                <w:szCs w:val="18"/>
              </w:rPr>
              <w:t>***</w:t>
            </w:r>
          </w:p>
          <w:p w14:paraId="2D4D72B3"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0.0423</w:t>
            </w:r>
            <w:r>
              <w:rPr>
                <w:rFonts w:ascii="Times New Roman" w:hAnsi="Times New Roman"/>
                <w:kern w:val="0"/>
                <w:sz w:val="18"/>
                <w:szCs w:val="18"/>
              </w:rPr>
              <w:t>）</w:t>
            </w:r>
          </w:p>
        </w:tc>
      </w:tr>
      <w:tr w:rsidR="00501C7E" w14:paraId="683B64F2" w14:textId="77777777">
        <w:trPr>
          <w:trHeight w:val="610"/>
        </w:trPr>
        <w:tc>
          <w:tcPr>
            <w:tcW w:w="2819" w:type="dxa"/>
            <w:vMerge w:val="restart"/>
            <w:tcBorders>
              <w:tl2br w:val="nil"/>
              <w:tr2bl w:val="nil"/>
            </w:tcBorders>
            <w:shd w:val="clear" w:color="auto" w:fill="auto"/>
            <w:noWrap/>
            <w:vAlign w:val="center"/>
          </w:tcPr>
          <w:p w14:paraId="28E176C7" w14:textId="77777777" w:rsidR="00501C7E" w:rsidRDefault="00000000">
            <w:pPr>
              <w:jc w:val="center"/>
              <w:rPr>
                <w:rFonts w:ascii="Times New Roman" w:hAnsi="Times New Roman"/>
                <w:sz w:val="18"/>
                <w:szCs w:val="18"/>
              </w:rPr>
            </w:pPr>
            <m:oMathPara>
              <m:oMath>
                <m:f>
                  <m:fPr>
                    <m:ctrlPr>
                      <w:rPr>
                        <w:rFonts w:ascii="Cambria Math" w:hAnsi="Cambria Math"/>
                        <w:i/>
                        <w:iCs/>
                        <w:sz w:val="18"/>
                        <w:szCs w:val="18"/>
                      </w:rPr>
                    </m:ctrlPr>
                  </m:fPr>
                  <m:num>
                    <m:sSub>
                      <m:sSubPr>
                        <m:ctrlPr>
                          <w:rPr>
                            <w:rFonts w:ascii="Cambria Math" w:hAnsi="Cambria Math"/>
                            <w:i/>
                            <w:iCs/>
                            <w:sz w:val="18"/>
                            <w:szCs w:val="18"/>
                          </w:rPr>
                        </m:ctrlPr>
                      </m:sSubPr>
                      <m:e>
                        <m:r>
                          <w:rPr>
                            <w:rFonts w:ascii="Cambria Math" w:hAnsi="Cambria Math"/>
                            <w:sz w:val="18"/>
                            <w:szCs w:val="18"/>
                          </w:rPr>
                          <m:t>I</m:t>
                        </m:r>
                      </m:e>
                      <m:sub>
                        <m:r>
                          <w:rPr>
                            <w:rFonts w:ascii="Cambria Math" w:hAnsi="Cambria Math"/>
                            <w:sz w:val="18"/>
                            <w:szCs w:val="18"/>
                          </w:rPr>
                          <m:t>i</m:t>
                        </m:r>
                      </m:sub>
                    </m:sSub>
                    <m:sSub>
                      <m:sSubPr>
                        <m:ctrlPr>
                          <w:rPr>
                            <w:rFonts w:ascii="Cambria Math" w:hAnsi="Cambria Math"/>
                            <w:i/>
                            <w:iCs/>
                            <w:sz w:val="18"/>
                            <w:szCs w:val="18"/>
                          </w:rPr>
                        </m:ctrlPr>
                      </m:sSubPr>
                      <m:e>
                        <m:r>
                          <w:rPr>
                            <w:rFonts w:ascii="Cambria Math" w:hAnsi="Cambria Math"/>
                            <w:sz w:val="18"/>
                            <w:szCs w:val="18"/>
                          </w:rPr>
                          <m:t>z</m:t>
                        </m:r>
                      </m:e>
                      <m:sub>
                        <m:r>
                          <w:rPr>
                            <w:rFonts w:ascii="Cambria Math" w:hAnsi="Cambria Math"/>
                            <w:sz w:val="18"/>
                            <w:szCs w:val="18"/>
                          </w:rPr>
                          <m:t>i</m:t>
                        </m:r>
                      </m:sub>
                    </m:sSub>
                  </m:num>
                  <m:den>
                    <m:sSub>
                      <m:sSubPr>
                        <m:ctrlPr>
                          <w:rPr>
                            <w:rFonts w:ascii="Cambria Math" w:hAnsi="Cambria Math"/>
                            <w:i/>
                            <w:iCs/>
                            <w:sz w:val="18"/>
                            <w:szCs w:val="18"/>
                          </w:rPr>
                        </m:ctrlPr>
                      </m:sSubPr>
                      <m:e>
                        <m:r>
                          <w:rPr>
                            <w:rFonts w:ascii="Cambria Math" w:hAnsi="Cambria Math"/>
                            <w:sz w:val="18"/>
                            <w:szCs w:val="18"/>
                          </w:rPr>
                          <m:t>e</m:t>
                        </m:r>
                      </m:e>
                      <m:sub>
                        <m:r>
                          <w:rPr>
                            <w:rFonts w:ascii="Cambria Math" w:hAnsi="Cambria Math"/>
                            <w:sz w:val="18"/>
                            <w:szCs w:val="18"/>
                          </w:rPr>
                          <m:t>i</m:t>
                        </m:r>
                      </m:sub>
                    </m:sSub>
                  </m:den>
                </m:f>
              </m:oMath>
            </m:oMathPara>
          </w:p>
        </w:tc>
        <w:tc>
          <w:tcPr>
            <w:tcW w:w="774" w:type="pct"/>
            <w:tcBorders>
              <w:tl2br w:val="nil"/>
              <w:tr2bl w:val="nil"/>
            </w:tcBorders>
            <w:shd w:val="clear" w:color="auto" w:fill="auto"/>
            <w:vAlign w:val="center"/>
          </w:tcPr>
          <w:p w14:paraId="6C968B41" w14:textId="77777777" w:rsidR="00501C7E" w:rsidRDefault="00501C7E">
            <w:pPr>
              <w:jc w:val="center"/>
              <w:rPr>
                <w:rFonts w:ascii="Times New Roman" w:hAnsi="Times New Roman"/>
                <w:sz w:val="18"/>
                <w:szCs w:val="18"/>
              </w:rPr>
            </w:pPr>
          </w:p>
        </w:tc>
        <w:tc>
          <w:tcPr>
            <w:tcW w:w="892" w:type="pct"/>
            <w:tcBorders>
              <w:tl2br w:val="nil"/>
              <w:tr2bl w:val="nil"/>
            </w:tcBorders>
            <w:shd w:val="clear" w:color="auto" w:fill="auto"/>
            <w:noWrap/>
            <w:vAlign w:val="center"/>
          </w:tcPr>
          <w:p w14:paraId="66692A15"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-0.0789</w:t>
            </w:r>
            <w:r>
              <w:rPr>
                <w:rFonts w:ascii="Times New Roman" w:hAnsi="Times New Roman"/>
                <w:iCs/>
                <w:sz w:val="18"/>
                <w:szCs w:val="18"/>
              </w:rPr>
              <w:t>***</w:t>
            </w:r>
          </w:p>
          <w:p w14:paraId="6B805000"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0.02951</w:t>
            </w:r>
            <w:r>
              <w:rPr>
                <w:rFonts w:ascii="Times New Roman" w:hAnsi="Times New Roman"/>
                <w:kern w:val="0"/>
                <w:sz w:val="18"/>
                <w:szCs w:val="18"/>
              </w:rPr>
              <w:t>）</w:t>
            </w:r>
          </w:p>
        </w:tc>
        <w:tc>
          <w:tcPr>
            <w:tcW w:w="892" w:type="pct"/>
            <w:tcBorders>
              <w:tl2br w:val="nil"/>
              <w:tr2bl w:val="nil"/>
            </w:tcBorders>
            <w:shd w:val="clear" w:color="auto" w:fill="auto"/>
            <w:noWrap/>
            <w:vAlign w:val="center"/>
          </w:tcPr>
          <w:p w14:paraId="348A112D"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-0.0831</w:t>
            </w:r>
            <w:r>
              <w:rPr>
                <w:rFonts w:ascii="Times New Roman" w:hAnsi="Times New Roman"/>
                <w:iCs/>
                <w:sz w:val="18"/>
                <w:szCs w:val="18"/>
              </w:rPr>
              <w:t>***</w:t>
            </w:r>
          </w:p>
          <w:p w14:paraId="2FC1CAE2"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0.03038</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38910A4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-0.0798</w:t>
            </w:r>
            <w:r>
              <w:rPr>
                <w:rFonts w:ascii="Times New Roman" w:hAnsi="Times New Roman"/>
                <w:iCs/>
                <w:sz w:val="18"/>
                <w:szCs w:val="18"/>
              </w:rPr>
              <w:t>***</w:t>
            </w:r>
          </w:p>
          <w:p w14:paraId="2F443F41"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0.03026</w:t>
            </w:r>
            <w:r>
              <w:rPr>
                <w:rFonts w:ascii="Times New Roman" w:hAnsi="Times New Roman"/>
                <w:kern w:val="0"/>
                <w:sz w:val="18"/>
                <w:szCs w:val="18"/>
              </w:rPr>
              <w:t>）</w:t>
            </w:r>
          </w:p>
        </w:tc>
      </w:tr>
      <w:tr w:rsidR="00501C7E" w14:paraId="3378FDCE" w14:textId="77777777">
        <w:trPr>
          <w:trHeight w:val="610"/>
        </w:trPr>
        <w:tc>
          <w:tcPr>
            <w:tcW w:w="1546" w:type="pct"/>
            <w:vMerge w:val="restart"/>
            <w:tcBorders>
              <w:tl2br w:val="nil"/>
              <w:tr2bl w:val="nil"/>
            </w:tcBorders>
            <w:shd w:val="clear" w:color="auto" w:fill="auto"/>
            <w:vAlign w:val="center"/>
          </w:tcPr>
          <w:p w14:paraId="499C8AEE"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贸易逆差额</w:t>
            </w:r>
          </w:p>
        </w:tc>
        <w:tc>
          <w:tcPr>
            <w:tcW w:w="774" w:type="pct"/>
            <w:tcBorders>
              <w:tl2br w:val="nil"/>
              <w:tr2bl w:val="nil"/>
            </w:tcBorders>
            <w:shd w:val="clear" w:color="auto" w:fill="auto"/>
            <w:noWrap/>
            <w:vAlign w:val="center"/>
          </w:tcPr>
          <w:p w14:paraId="158A9F56"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4.57E-11</w:t>
            </w:r>
          </w:p>
          <w:p w14:paraId="020F55AD"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7.46E-11</w:t>
            </w:r>
            <w:r>
              <w:rPr>
                <w:rFonts w:ascii="Times New Roman" w:hAnsi="Times New Roman"/>
                <w:kern w:val="0"/>
                <w:sz w:val="18"/>
                <w:szCs w:val="18"/>
              </w:rPr>
              <w:t>）</w:t>
            </w:r>
          </w:p>
        </w:tc>
        <w:tc>
          <w:tcPr>
            <w:tcW w:w="892" w:type="pct"/>
            <w:tcBorders>
              <w:tl2br w:val="nil"/>
              <w:tr2bl w:val="nil"/>
            </w:tcBorders>
            <w:shd w:val="clear" w:color="auto" w:fill="auto"/>
            <w:noWrap/>
            <w:vAlign w:val="center"/>
          </w:tcPr>
          <w:p w14:paraId="2156808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8.84E-12</w:t>
            </w:r>
          </w:p>
          <w:p w14:paraId="0E8C8041"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6.68E-11</w:t>
            </w:r>
            <w:r>
              <w:rPr>
                <w:rFonts w:ascii="Times New Roman" w:hAnsi="Times New Roman"/>
                <w:kern w:val="0"/>
                <w:sz w:val="18"/>
                <w:szCs w:val="18"/>
              </w:rPr>
              <w:t>）</w:t>
            </w:r>
          </w:p>
        </w:tc>
        <w:tc>
          <w:tcPr>
            <w:tcW w:w="892" w:type="pct"/>
            <w:tcBorders>
              <w:tl2br w:val="nil"/>
              <w:tr2bl w:val="nil"/>
            </w:tcBorders>
            <w:shd w:val="clear" w:color="auto" w:fill="auto"/>
            <w:noWrap/>
            <w:vAlign w:val="center"/>
          </w:tcPr>
          <w:p w14:paraId="3F20E83F"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-1.11E-11</w:t>
            </w:r>
          </w:p>
          <w:p w14:paraId="6C7AA049"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6.85E-11</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376403D6"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1.30E-13</w:t>
            </w:r>
          </w:p>
          <w:p w14:paraId="12F3F133"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6.84E-11</w:t>
            </w:r>
            <w:r>
              <w:rPr>
                <w:rFonts w:ascii="Times New Roman" w:hAnsi="Times New Roman"/>
                <w:kern w:val="0"/>
                <w:sz w:val="18"/>
                <w:szCs w:val="18"/>
              </w:rPr>
              <w:t>）</w:t>
            </w:r>
          </w:p>
        </w:tc>
      </w:tr>
      <w:tr w:rsidR="00501C7E" w14:paraId="14AA0070" w14:textId="77777777">
        <w:trPr>
          <w:trHeight w:val="610"/>
        </w:trPr>
        <w:tc>
          <w:tcPr>
            <w:tcW w:w="1546" w:type="pct"/>
            <w:vMerge w:val="restart"/>
            <w:tcBorders>
              <w:tl2br w:val="nil"/>
              <w:tr2bl w:val="nil"/>
            </w:tcBorders>
            <w:shd w:val="clear" w:color="auto" w:fill="auto"/>
            <w:vAlign w:val="center"/>
          </w:tcPr>
          <w:p w14:paraId="43AD9E3A" w14:textId="77777777" w:rsidR="00501C7E" w:rsidRDefault="00EC5712">
            <w:pPr>
              <w:widowControl/>
              <w:jc w:val="center"/>
              <w:textAlignment w:val="bottom"/>
              <w:rPr>
                <w:rFonts w:ascii="Times New Roman" w:hAnsi="Times New Roman"/>
                <w:sz w:val="18"/>
                <w:szCs w:val="18"/>
              </w:rPr>
            </w:pPr>
            <w:r>
              <w:rPr>
                <w:rFonts w:ascii="Times New Roman" w:hAnsi="Times New Roman"/>
                <w:sz w:val="18"/>
                <w:szCs w:val="18"/>
              </w:rPr>
              <w:t>欧盟就业率</w:t>
            </w:r>
          </w:p>
        </w:tc>
        <w:tc>
          <w:tcPr>
            <w:tcW w:w="774" w:type="pct"/>
            <w:tcBorders>
              <w:tl2br w:val="nil"/>
              <w:tr2bl w:val="nil"/>
            </w:tcBorders>
            <w:shd w:val="clear" w:color="auto" w:fill="auto"/>
            <w:noWrap/>
            <w:vAlign w:val="center"/>
          </w:tcPr>
          <w:p w14:paraId="769C0177"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-1.14440</w:t>
            </w:r>
          </w:p>
          <w:p w14:paraId="59F12FBC"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2.76294</w:t>
            </w:r>
            <w:r>
              <w:rPr>
                <w:rFonts w:ascii="Times New Roman" w:hAnsi="Times New Roman"/>
                <w:kern w:val="0"/>
                <w:sz w:val="18"/>
                <w:szCs w:val="18"/>
              </w:rPr>
              <w:t>）</w:t>
            </w:r>
          </w:p>
        </w:tc>
        <w:tc>
          <w:tcPr>
            <w:tcW w:w="892" w:type="pct"/>
            <w:tcBorders>
              <w:tl2br w:val="nil"/>
              <w:tr2bl w:val="nil"/>
            </w:tcBorders>
            <w:shd w:val="clear" w:color="auto" w:fill="auto"/>
            <w:noWrap/>
            <w:vAlign w:val="center"/>
          </w:tcPr>
          <w:p w14:paraId="14C122BB"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-2.19837</w:t>
            </w:r>
          </w:p>
          <w:p w14:paraId="505E14D5"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2.39587</w:t>
            </w:r>
            <w:r>
              <w:rPr>
                <w:rFonts w:ascii="Times New Roman" w:hAnsi="Times New Roman"/>
                <w:kern w:val="0"/>
                <w:sz w:val="18"/>
                <w:szCs w:val="18"/>
              </w:rPr>
              <w:t>）</w:t>
            </w:r>
          </w:p>
        </w:tc>
        <w:tc>
          <w:tcPr>
            <w:tcW w:w="892" w:type="pct"/>
            <w:tcBorders>
              <w:tl2br w:val="nil"/>
              <w:tr2bl w:val="nil"/>
            </w:tcBorders>
            <w:shd w:val="clear" w:color="auto" w:fill="auto"/>
            <w:noWrap/>
            <w:vAlign w:val="center"/>
          </w:tcPr>
          <w:p w14:paraId="4452125C"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-1.38222</w:t>
            </w:r>
          </w:p>
          <w:p w14:paraId="1B972B3E"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2.45384</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11629882"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-1.29051</w:t>
            </w:r>
          </w:p>
          <w:p w14:paraId="0E81626F"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2.45202</w:t>
            </w:r>
            <w:r>
              <w:rPr>
                <w:rFonts w:ascii="Times New Roman" w:hAnsi="Times New Roman"/>
                <w:kern w:val="0"/>
                <w:sz w:val="18"/>
                <w:szCs w:val="18"/>
              </w:rPr>
              <w:t>）</w:t>
            </w:r>
          </w:p>
        </w:tc>
      </w:tr>
      <w:tr w:rsidR="00501C7E" w14:paraId="6CC24010" w14:textId="77777777">
        <w:trPr>
          <w:trHeight w:val="610"/>
        </w:trPr>
        <w:tc>
          <w:tcPr>
            <w:tcW w:w="1546" w:type="pct"/>
            <w:vMerge w:val="restart"/>
            <w:tcBorders>
              <w:tl2br w:val="nil"/>
              <w:tr2bl w:val="nil"/>
            </w:tcBorders>
            <w:shd w:val="clear" w:color="auto" w:fill="auto"/>
            <w:vAlign w:val="center"/>
          </w:tcPr>
          <w:p w14:paraId="58DF806F"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企业数量</w:t>
            </w:r>
          </w:p>
        </w:tc>
        <w:tc>
          <w:tcPr>
            <w:tcW w:w="774" w:type="pct"/>
            <w:tcBorders>
              <w:tl2br w:val="nil"/>
              <w:tr2bl w:val="nil"/>
            </w:tcBorders>
            <w:shd w:val="clear" w:color="auto" w:fill="auto"/>
            <w:noWrap/>
            <w:vAlign w:val="center"/>
          </w:tcPr>
          <w:p w14:paraId="114F019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0.00005</w:t>
            </w:r>
            <w:r>
              <w:rPr>
                <w:rFonts w:ascii="Times New Roman" w:hAnsi="Times New Roman"/>
                <w:iCs/>
                <w:sz w:val="18"/>
                <w:szCs w:val="18"/>
              </w:rPr>
              <w:t>*</w:t>
            </w:r>
          </w:p>
          <w:p w14:paraId="1EFB9F9F"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0.00003</w:t>
            </w:r>
            <w:r>
              <w:rPr>
                <w:rFonts w:ascii="Times New Roman" w:hAnsi="Times New Roman"/>
                <w:kern w:val="0"/>
                <w:sz w:val="18"/>
                <w:szCs w:val="18"/>
              </w:rPr>
              <w:t>）</w:t>
            </w:r>
          </w:p>
        </w:tc>
        <w:tc>
          <w:tcPr>
            <w:tcW w:w="892" w:type="pct"/>
            <w:tcBorders>
              <w:tl2br w:val="nil"/>
              <w:tr2bl w:val="nil"/>
            </w:tcBorders>
            <w:shd w:val="clear" w:color="auto" w:fill="auto"/>
            <w:noWrap/>
            <w:vAlign w:val="center"/>
          </w:tcPr>
          <w:p w14:paraId="362753FB"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0.00004</w:t>
            </w:r>
            <w:r>
              <w:rPr>
                <w:rFonts w:ascii="Times New Roman" w:hAnsi="Times New Roman"/>
                <w:iCs/>
                <w:sz w:val="18"/>
                <w:szCs w:val="18"/>
              </w:rPr>
              <w:t>*</w:t>
            </w:r>
          </w:p>
          <w:p w14:paraId="1DCD8706"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0.00002</w:t>
            </w:r>
            <w:r>
              <w:rPr>
                <w:rFonts w:ascii="Times New Roman" w:hAnsi="Times New Roman"/>
                <w:kern w:val="0"/>
                <w:sz w:val="18"/>
                <w:szCs w:val="18"/>
              </w:rPr>
              <w:t>）</w:t>
            </w:r>
          </w:p>
        </w:tc>
        <w:tc>
          <w:tcPr>
            <w:tcW w:w="892" w:type="pct"/>
            <w:tcBorders>
              <w:tl2br w:val="nil"/>
              <w:tr2bl w:val="nil"/>
            </w:tcBorders>
            <w:shd w:val="clear" w:color="auto" w:fill="auto"/>
            <w:noWrap/>
            <w:vAlign w:val="center"/>
          </w:tcPr>
          <w:p w14:paraId="70C1A58D"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0.00004</w:t>
            </w:r>
          </w:p>
          <w:p w14:paraId="4FF9112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0.00003</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2113D39F"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0.00004</w:t>
            </w:r>
          </w:p>
          <w:p w14:paraId="10AA350F"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0.00003</w:t>
            </w:r>
            <w:r>
              <w:rPr>
                <w:rFonts w:ascii="Times New Roman" w:hAnsi="Times New Roman"/>
                <w:kern w:val="0"/>
                <w:sz w:val="18"/>
                <w:szCs w:val="18"/>
              </w:rPr>
              <w:t>）</w:t>
            </w:r>
          </w:p>
        </w:tc>
      </w:tr>
      <w:tr w:rsidR="00501C7E" w14:paraId="2F7B6555" w14:textId="77777777">
        <w:trPr>
          <w:trHeight w:val="610"/>
        </w:trPr>
        <w:tc>
          <w:tcPr>
            <w:tcW w:w="1546" w:type="pct"/>
            <w:vMerge w:val="restart"/>
            <w:tcBorders>
              <w:tl2br w:val="nil"/>
              <w:tr2bl w:val="nil"/>
            </w:tcBorders>
            <w:shd w:val="clear" w:color="auto" w:fill="auto"/>
            <w:vAlign w:val="center"/>
          </w:tcPr>
          <w:p w14:paraId="732087D1"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sz w:val="18"/>
                <w:szCs w:val="18"/>
              </w:rPr>
              <w:t>按要素成本计算的增加值</w:t>
            </w:r>
          </w:p>
        </w:tc>
        <w:tc>
          <w:tcPr>
            <w:tcW w:w="774" w:type="pct"/>
            <w:tcBorders>
              <w:tl2br w:val="nil"/>
              <w:tr2bl w:val="nil"/>
            </w:tcBorders>
            <w:shd w:val="clear" w:color="auto" w:fill="auto"/>
            <w:noWrap/>
            <w:vAlign w:val="center"/>
          </w:tcPr>
          <w:p w14:paraId="42074D3E"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0.00277</w:t>
            </w:r>
          </w:p>
          <w:p w14:paraId="2D2B282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0.00189</w:t>
            </w:r>
            <w:r>
              <w:rPr>
                <w:rFonts w:ascii="Times New Roman" w:hAnsi="Times New Roman"/>
                <w:kern w:val="0"/>
                <w:sz w:val="18"/>
                <w:szCs w:val="18"/>
              </w:rPr>
              <w:t>）</w:t>
            </w:r>
          </w:p>
        </w:tc>
        <w:tc>
          <w:tcPr>
            <w:tcW w:w="892" w:type="pct"/>
            <w:tcBorders>
              <w:tl2br w:val="nil"/>
              <w:tr2bl w:val="nil"/>
            </w:tcBorders>
            <w:shd w:val="clear" w:color="auto" w:fill="auto"/>
            <w:noWrap/>
            <w:vAlign w:val="center"/>
          </w:tcPr>
          <w:p w14:paraId="6BB037D5"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0.00245</w:t>
            </w:r>
          </w:p>
          <w:p w14:paraId="625AD426"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0.00164</w:t>
            </w:r>
            <w:r>
              <w:rPr>
                <w:rFonts w:ascii="Times New Roman" w:hAnsi="Times New Roman"/>
                <w:kern w:val="0"/>
                <w:sz w:val="18"/>
                <w:szCs w:val="18"/>
              </w:rPr>
              <w:t>）</w:t>
            </w:r>
          </w:p>
        </w:tc>
        <w:tc>
          <w:tcPr>
            <w:tcW w:w="892" w:type="pct"/>
            <w:tcBorders>
              <w:tl2br w:val="nil"/>
              <w:tr2bl w:val="nil"/>
            </w:tcBorders>
            <w:shd w:val="clear" w:color="auto" w:fill="auto"/>
            <w:noWrap/>
            <w:vAlign w:val="center"/>
          </w:tcPr>
          <w:p w14:paraId="518993B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0.00228</w:t>
            </w:r>
          </w:p>
          <w:p w14:paraId="25F3B7A2"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0.00168</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11D87C86"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0.00211</w:t>
            </w:r>
          </w:p>
          <w:p w14:paraId="392DDCC6"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0.00168</w:t>
            </w:r>
            <w:r>
              <w:rPr>
                <w:rFonts w:ascii="Times New Roman" w:hAnsi="Times New Roman"/>
                <w:kern w:val="0"/>
                <w:sz w:val="18"/>
                <w:szCs w:val="18"/>
              </w:rPr>
              <w:t>）</w:t>
            </w:r>
          </w:p>
        </w:tc>
      </w:tr>
      <w:tr w:rsidR="00501C7E" w14:paraId="6E18BCED" w14:textId="77777777">
        <w:trPr>
          <w:trHeight w:val="610"/>
        </w:trPr>
        <w:tc>
          <w:tcPr>
            <w:tcW w:w="1546" w:type="pct"/>
            <w:vMerge w:val="restart"/>
            <w:tcBorders>
              <w:tl2br w:val="nil"/>
              <w:tr2bl w:val="nil"/>
            </w:tcBorders>
            <w:shd w:val="clear" w:color="auto" w:fill="auto"/>
            <w:vAlign w:val="center"/>
          </w:tcPr>
          <w:p w14:paraId="2BEB39B5"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sz w:val="18"/>
                <w:szCs w:val="18"/>
              </w:rPr>
              <w:t>盈余额</w:t>
            </w:r>
          </w:p>
        </w:tc>
        <w:tc>
          <w:tcPr>
            <w:tcW w:w="774" w:type="pct"/>
            <w:tcBorders>
              <w:tl2br w:val="nil"/>
              <w:tr2bl w:val="nil"/>
            </w:tcBorders>
            <w:shd w:val="clear" w:color="auto" w:fill="auto"/>
            <w:noWrap/>
            <w:vAlign w:val="center"/>
          </w:tcPr>
          <w:p w14:paraId="7A11A7B2"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-0.00273</w:t>
            </w:r>
          </w:p>
          <w:p w14:paraId="125B5ACB"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0.00189</w:t>
            </w:r>
            <w:r>
              <w:rPr>
                <w:rFonts w:ascii="Times New Roman" w:hAnsi="Times New Roman"/>
                <w:kern w:val="0"/>
                <w:sz w:val="18"/>
                <w:szCs w:val="18"/>
              </w:rPr>
              <w:t>）</w:t>
            </w:r>
          </w:p>
        </w:tc>
        <w:tc>
          <w:tcPr>
            <w:tcW w:w="892" w:type="pct"/>
            <w:tcBorders>
              <w:tl2br w:val="nil"/>
              <w:tr2bl w:val="nil"/>
            </w:tcBorders>
            <w:shd w:val="clear" w:color="auto" w:fill="auto"/>
            <w:noWrap/>
            <w:vAlign w:val="center"/>
          </w:tcPr>
          <w:p w14:paraId="55B6CC6D"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-0.00226</w:t>
            </w:r>
          </w:p>
          <w:p w14:paraId="60CD51A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0.00163</w:t>
            </w:r>
            <w:r>
              <w:rPr>
                <w:rFonts w:ascii="Times New Roman" w:hAnsi="Times New Roman"/>
                <w:kern w:val="0"/>
                <w:sz w:val="18"/>
                <w:szCs w:val="18"/>
              </w:rPr>
              <w:t>）</w:t>
            </w:r>
          </w:p>
        </w:tc>
        <w:tc>
          <w:tcPr>
            <w:tcW w:w="892" w:type="pct"/>
            <w:tcBorders>
              <w:tl2br w:val="nil"/>
              <w:tr2bl w:val="nil"/>
            </w:tcBorders>
            <w:shd w:val="clear" w:color="auto" w:fill="auto"/>
            <w:noWrap/>
            <w:vAlign w:val="center"/>
          </w:tcPr>
          <w:p w14:paraId="3FC26EA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-0.00222</w:t>
            </w:r>
          </w:p>
          <w:p w14:paraId="211ACCBD"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0.00167</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1C2D359F"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-0.00211</w:t>
            </w:r>
          </w:p>
          <w:p w14:paraId="0D6EC8C4"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0.00168</w:t>
            </w:r>
            <w:r>
              <w:rPr>
                <w:rFonts w:ascii="Times New Roman" w:hAnsi="Times New Roman"/>
                <w:kern w:val="0"/>
                <w:sz w:val="18"/>
                <w:szCs w:val="18"/>
              </w:rPr>
              <w:t>）</w:t>
            </w:r>
          </w:p>
        </w:tc>
      </w:tr>
      <w:tr w:rsidR="00501C7E" w14:paraId="529BC497" w14:textId="77777777">
        <w:trPr>
          <w:trHeight w:val="302"/>
        </w:trPr>
        <w:tc>
          <w:tcPr>
            <w:tcW w:w="1546" w:type="pct"/>
            <w:vMerge w:val="restart"/>
            <w:tcBorders>
              <w:tl2br w:val="nil"/>
              <w:tr2bl w:val="nil"/>
            </w:tcBorders>
            <w:shd w:val="clear" w:color="auto" w:fill="auto"/>
            <w:vAlign w:val="center"/>
          </w:tcPr>
          <w:p w14:paraId="4614B301"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人事费</w:t>
            </w:r>
          </w:p>
        </w:tc>
        <w:tc>
          <w:tcPr>
            <w:tcW w:w="774" w:type="pct"/>
            <w:tcBorders>
              <w:tl2br w:val="nil"/>
              <w:tr2bl w:val="nil"/>
            </w:tcBorders>
            <w:shd w:val="clear" w:color="auto" w:fill="auto"/>
            <w:noWrap/>
            <w:vAlign w:val="center"/>
          </w:tcPr>
          <w:p w14:paraId="2323FE37"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-0.00557</w:t>
            </w:r>
          </w:p>
          <w:p w14:paraId="36DC3715"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0.00361</w:t>
            </w:r>
            <w:r>
              <w:rPr>
                <w:rFonts w:ascii="Times New Roman" w:hAnsi="Times New Roman"/>
                <w:kern w:val="0"/>
                <w:sz w:val="18"/>
                <w:szCs w:val="18"/>
              </w:rPr>
              <w:t>）</w:t>
            </w:r>
          </w:p>
        </w:tc>
        <w:tc>
          <w:tcPr>
            <w:tcW w:w="892" w:type="pct"/>
            <w:tcBorders>
              <w:tl2br w:val="nil"/>
              <w:tr2bl w:val="nil"/>
            </w:tcBorders>
            <w:shd w:val="clear" w:color="auto" w:fill="auto"/>
            <w:noWrap/>
            <w:vAlign w:val="center"/>
          </w:tcPr>
          <w:p w14:paraId="3939F5D3"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-0.00385</w:t>
            </w:r>
          </w:p>
          <w:p w14:paraId="7F986748"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0.00313</w:t>
            </w:r>
            <w:r>
              <w:rPr>
                <w:rFonts w:ascii="Times New Roman" w:hAnsi="Times New Roman"/>
                <w:kern w:val="0"/>
                <w:sz w:val="18"/>
                <w:szCs w:val="18"/>
              </w:rPr>
              <w:t>）</w:t>
            </w:r>
          </w:p>
        </w:tc>
        <w:tc>
          <w:tcPr>
            <w:tcW w:w="892" w:type="pct"/>
            <w:tcBorders>
              <w:tl2br w:val="nil"/>
              <w:tr2bl w:val="nil"/>
            </w:tcBorders>
            <w:shd w:val="clear" w:color="auto" w:fill="auto"/>
            <w:noWrap/>
            <w:vAlign w:val="center"/>
          </w:tcPr>
          <w:p w14:paraId="14BF27E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-0.00391</w:t>
            </w:r>
          </w:p>
          <w:p w14:paraId="04697374"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0.00320</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5C7EC9A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-0.00378</w:t>
            </w:r>
          </w:p>
          <w:p w14:paraId="070B2BCB"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0.00320</w:t>
            </w:r>
            <w:r>
              <w:rPr>
                <w:rFonts w:ascii="Times New Roman" w:hAnsi="Times New Roman"/>
                <w:kern w:val="0"/>
                <w:sz w:val="18"/>
                <w:szCs w:val="18"/>
              </w:rPr>
              <w:t>）</w:t>
            </w:r>
          </w:p>
        </w:tc>
      </w:tr>
      <w:tr w:rsidR="00501C7E" w14:paraId="48F8F8BD" w14:textId="77777777">
        <w:trPr>
          <w:trHeight w:val="604"/>
        </w:trPr>
        <w:tc>
          <w:tcPr>
            <w:tcW w:w="1546" w:type="pct"/>
            <w:tcBorders>
              <w:tl2br w:val="nil"/>
              <w:tr2bl w:val="nil"/>
            </w:tcBorders>
            <w:shd w:val="clear" w:color="auto" w:fill="auto"/>
            <w:vAlign w:val="center"/>
          </w:tcPr>
          <w:p w14:paraId="3CD1B763"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lastRenderedPageBreak/>
              <w:t>工资</w:t>
            </w:r>
          </w:p>
        </w:tc>
        <w:tc>
          <w:tcPr>
            <w:tcW w:w="774" w:type="pct"/>
            <w:tcBorders>
              <w:tl2br w:val="nil"/>
              <w:tr2bl w:val="nil"/>
            </w:tcBorders>
            <w:shd w:val="clear" w:color="auto" w:fill="auto"/>
            <w:noWrap/>
            <w:vAlign w:val="center"/>
          </w:tcPr>
          <w:p w14:paraId="54752555"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0.00352</w:t>
            </w:r>
          </w:p>
          <w:p w14:paraId="2D261BF3"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0.00269</w:t>
            </w:r>
            <w:r>
              <w:rPr>
                <w:rFonts w:ascii="Times New Roman" w:hAnsi="Times New Roman"/>
                <w:kern w:val="0"/>
                <w:sz w:val="18"/>
                <w:szCs w:val="18"/>
              </w:rPr>
              <w:t>）</w:t>
            </w:r>
          </w:p>
        </w:tc>
        <w:tc>
          <w:tcPr>
            <w:tcW w:w="892" w:type="pct"/>
            <w:tcBorders>
              <w:tl2br w:val="nil"/>
              <w:tr2bl w:val="nil"/>
            </w:tcBorders>
            <w:shd w:val="clear" w:color="auto" w:fill="auto"/>
            <w:noWrap/>
            <w:vAlign w:val="center"/>
          </w:tcPr>
          <w:p w14:paraId="2A0B0C99"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0.00169</w:t>
            </w:r>
          </w:p>
          <w:p w14:paraId="04EF22D3"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0.00235</w:t>
            </w:r>
            <w:r>
              <w:rPr>
                <w:rFonts w:ascii="Times New Roman" w:hAnsi="Times New Roman"/>
                <w:kern w:val="0"/>
                <w:sz w:val="18"/>
                <w:szCs w:val="18"/>
              </w:rPr>
              <w:t>）</w:t>
            </w:r>
          </w:p>
        </w:tc>
        <w:tc>
          <w:tcPr>
            <w:tcW w:w="892" w:type="pct"/>
            <w:tcBorders>
              <w:tl2br w:val="nil"/>
              <w:tr2bl w:val="nil"/>
            </w:tcBorders>
            <w:shd w:val="clear" w:color="auto" w:fill="auto"/>
            <w:noWrap/>
            <w:vAlign w:val="center"/>
          </w:tcPr>
          <w:p w14:paraId="6517B8F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0.00207</w:t>
            </w:r>
          </w:p>
          <w:p w14:paraId="5A1EC98B"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0.00240</w:t>
            </w:r>
            <w:r>
              <w:rPr>
                <w:rFonts w:ascii="Times New Roman" w:hAnsi="Times New Roman"/>
                <w:kern w:val="0"/>
                <w:sz w:val="18"/>
                <w:szCs w:val="18"/>
              </w:rPr>
              <w:t>）</w:t>
            </w:r>
          </w:p>
        </w:tc>
        <w:tc>
          <w:tcPr>
            <w:tcW w:w="893" w:type="pct"/>
            <w:tcBorders>
              <w:tl2br w:val="nil"/>
              <w:tr2bl w:val="nil"/>
            </w:tcBorders>
            <w:shd w:val="clear" w:color="auto" w:fill="auto"/>
            <w:noWrap/>
            <w:vAlign w:val="center"/>
          </w:tcPr>
          <w:p w14:paraId="6A26CB16"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0.00215</w:t>
            </w:r>
          </w:p>
          <w:p w14:paraId="6D49F2EA"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0.00240</w:t>
            </w:r>
            <w:r>
              <w:rPr>
                <w:rFonts w:ascii="Times New Roman" w:hAnsi="Times New Roman"/>
                <w:kern w:val="0"/>
                <w:sz w:val="18"/>
                <w:szCs w:val="18"/>
              </w:rPr>
              <w:t>）</w:t>
            </w:r>
          </w:p>
        </w:tc>
      </w:tr>
      <w:tr w:rsidR="00501C7E" w14:paraId="566D313C" w14:textId="77777777">
        <w:trPr>
          <w:trHeight w:val="303"/>
        </w:trPr>
        <w:tc>
          <w:tcPr>
            <w:tcW w:w="1546" w:type="pct"/>
            <w:tcBorders>
              <w:tl2br w:val="nil"/>
              <w:tr2bl w:val="nil"/>
            </w:tcBorders>
            <w:shd w:val="clear" w:color="auto" w:fill="auto"/>
            <w:vAlign w:val="center"/>
          </w:tcPr>
          <w:p w14:paraId="126B3CB6" w14:textId="77777777" w:rsidR="00501C7E" w:rsidRDefault="00EC5712">
            <w:pPr>
              <w:jc w:val="center"/>
              <w:rPr>
                <w:rFonts w:ascii="Times New Roman" w:hAnsi="Times New Roman"/>
                <w:sz w:val="18"/>
                <w:szCs w:val="18"/>
              </w:rPr>
            </w:pPr>
            <w:r>
              <w:rPr>
                <w:rFonts w:ascii="Times New Roman" w:hAnsi="Times New Roman"/>
                <w:sz w:val="18"/>
                <w:szCs w:val="18"/>
              </w:rPr>
              <w:t>观测值</w:t>
            </w:r>
          </w:p>
        </w:tc>
        <w:tc>
          <w:tcPr>
            <w:tcW w:w="774" w:type="pct"/>
            <w:tcBorders>
              <w:tl2br w:val="nil"/>
              <w:tr2bl w:val="nil"/>
            </w:tcBorders>
            <w:shd w:val="clear" w:color="auto" w:fill="auto"/>
            <w:noWrap/>
            <w:vAlign w:val="center"/>
          </w:tcPr>
          <w:p w14:paraId="3704C19F"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c>
          <w:tcPr>
            <w:tcW w:w="892" w:type="pct"/>
            <w:tcBorders>
              <w:tl2br w:val="nil"/>
              <w:tr2bl w:val="nil"/>
            </w:tcBorders>
            <w:shd w:val="clear" w:color="auto" w:fill="auto"/>
            <w:noWrap/>
            <w:vAlign w:val="center"/>
          </w:tcPr>
          <w:p w14:paraId="4C84D0BF"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c>
          <w:tcPr>
            <w:tcW w:w="892" w:type="pct"/>
            <w:tcBorders>
              <w:tl2br w:val="nil"/>
              <w:tr2bl w:val="nil"/>
            </w:tcBorders>
            <w:shd w:val="clear" w:color="auto" w:fill="auto"/>
            <w:noWrap/>
            <w:vAlign w:val="center"/>
          </w:tcPr>
          <w:p w14:paraId="1E48FD04"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c>
          <w:tcPr>
            <w:tcW w:w="893" w:type="pct"/>
            <w:tcBorders>
              <w:tl2br w:val="nil"/>
              <w:tr2bl w:val="nil"/>
            </w:tcBorders>
            <w:shd w:val="clear" w:color="auto" w:fill="auto"/>
            <w:noWrap/>
            <w:vAlign w:val="center"/>
          </w:tcPr>
          <w:p w14:paraId="711F3CD2"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r>
      <w:tr w:rsidR="00501C7E" w14:paraId="6292B6AA" w14:textId="77777777">
        <w:trPr>
          <w:trHeight w:val="303"/>
        </w:trPr>
        <w:tc>
          <w:tcPr>
            <w:tcW w:w="1546" w:type="pct"/>
            <w:tcBorders>
              <w:tl2br w:val="nil"/>
              <w:tr2bl w:val="nil"/>
            </w:tcBorders>
            <w:shd w:val="clear" w:color="auto" w:fill="auto"/>
            <w:noWrap/>
            <w:vAlign w:val="center"/>
          </w:tcPr>
          <w:p w14:paraId="3606A8D5" w14:textId="77777777" w:rsidR="00501C7E" w:rsidRDefault="009C070E">
            <w:pPr>
              <w:widowControl/>
              <w:jc w:val="center"/>
              <w:textAlignment w:val="bottom"/>
              <w:rPr>
                <w:rFonts w:ascii="Times New Roman" w:hAnsi="Times New Roman"/>
                <w:sz w:val="18"/>
                <w:szCs w:val="18"/>
              </w:rPr>
            </w:pPr>
            <m:oMathPara>
              <m:oMath>
                <m:r>
                  <m:rPr>
                    <m:sty m:val="p"/>
                  </m:rPr>
                  <w:rPr>
                    <w:rFonts w:ascii="Cambria Math" w:hAnsi="Cambria Math"/>
                    <w:sz w:val="18"/>
                    <w:szCs w:val="18"/>
                  </w:rPr>
                  <m:t>调整的</m:t>
                </m:r>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oMath>
            </m:oMathPara>
          </w:p>
        </w:tc>
        <w:tc>
          <w:tcPr>
            <w:tcW w:w="774" w:type="pct"/>
            <w:tcBorders>
              <w:tl2br w:val="nil"/>
              <w:tr2bl w:val="nil"/>
            </w:tcBorders>
            <w:shd w:val="clear" w:color="auto" w:fill="auto"/>
            <w:vAlign w:val="center"/>
          </w:tcPr>
          <w:p w14:paraId="3887CBA5"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0.05850</w:t>
            </w:r>
          </w:p>
        </w:tc>
        <w:tc>
          <w:tcPr>
            <w:tcW w:w="892" w:type="pct"/>
            <w:tcBorders>
              <w:tl2br w:val="nil"/>
              <w:tr2bl w:val="nil"/>
            </w:tcBorders>
            <w:shd w:val="clear" w:color="auto" w:fill="auto"/>
            <w:vAlign w:val="center"/>
          </w:tcPr>
          <w:p w14:paraId="4C9C51BB"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0.30060</w:t>
            </w:r>
          </w:p>
        </w:tc>
        <w:tc>
          <w:tcPr>
            <w:tcW w:w="892" w:type="pct"/>
            <w:tcBorders>
              <w:tl2br w:val="nil"/>
              <w:tr2bl w:val="nil"/>
            </w:tcBorders>
            <w:shd w:val="clear" w:color="auto" w:fill="auto"/>
            <w:vAlign w:val="center"/>
          </w:tcPr>
          <w:p w14:paraId="23F85624"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0.26550</w:t>
            </w:r>
          </w:p>
        </w:tc>
        <w:tc>
          <w:tcPr>
            <w:tcW w:w="893" w:type="pct"/>
            <w:tcBorders>
              <w:tl2br w:val="nil"/>
              <w:tr2bl w:val="nil"/>
            </w:tcBorders>
            <w:shd w:val="clear" w:color="auto" w:fill="auto"/>
            <w:vAlign w:val="center"/>
          </w:tcPr>
          <w:p w14:paraId="090D6971"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0.26700</w:t>
            </w:r>
          </w:p>
        </w:tc>
      </w:tr>
    </w:tbl>
    <w:p w14:paraId="317694D0" w14:textId="77777777" w:rsidR="00501C7E" w:rsidRDefault="00501C7E">
      <w:pPr>
        <w:jc w:val="center"/>
        <w:rPr>
          <w:rFonts w:ascii="Times New Roman" w:eastAsia="黑体" w:hAnsi="Times New Roman"/>
          <w:szCs w:val="21"/>
        </w:rPr>
      </w:pPr>
    </w:p>
    <w:p w14:paraId="2D37CF79" w14:textId="77777777" w:rsidR="00501C7E" w:rsidRDefault="00EC5712">
      <w:pPr>
        <w:ind w:firstLine="420"/>
        <w:outlineLvl w:val="0"/>
        <w:rPr>
          <w:rFonts w:ascii="黑体" w:eastAsia="黑体" w:hAnsi="黑体" w:cs="黑体"/>
          <w:szCs w:val="21"/>
        </w:rPr>
      </w:pPr>
      <w:r>
        <w:rPr>
          <w:rFonts w:ascii="黑体" w:eastAsia="黑体" w:hAnsi="黑体" w:cs="黑体" w:hint="eastAsia"/>
          <w:szCs w:val="21"/>
        </w:rPr>
        <w:t>（二）克服内生性的检验</w:t>
      </w:r>
    </w:p>
    <w:p w14:paraId="511F1B9D" w14:textId="77777777" w:rsidR="00501C7E" w:rsidRDefault="009C070E">
      <w:pPr>
        <w:ind w:firstLine="420"/>
        <w:rPr>
          <w:rFonts w:ascii="Times New Roman" w:hAnsi="Times New Roman"/>
          <w:szCs w:val="21"/>
        </w:rPr>
      </w:pPr>
      <w:r>
        <w:rPr>
          <w:rFonts w:ascii="Times New Roman" w:hAnsi="Times New Roman"/>
          <w:szCs w:val="21"/>
        </w:rPr>
        <w:t>在理论模型部分，本文</w:t>
      </w:r>
      <w:r w:rsidR="00EC5712">
        <w:rPr>
          <w:rFonts w:ascii="Times New Roman" w:hAnsi="Times New Roman"/>
          <w:szCs w:val="21"/>
        </w:rPr>
        <w:t>指出，解释变量</w:t>
      </w:r>
      <m:oMath>
        <m:sSub>
          <m:sSubPr>
            <m:ctrlPr>
              <w:rPr>
                <w:rFonts w:ascii="Cambria Math" w:hAnsi="Cambria Math"/>
                <w:i/>
                <w:szCs w:val="21"/>
              </w:rPr>
            </m:ctrlPr>
          </m:sSubPr>
          <m:e>
            <m:r>
              <w:rPr>
                <w:rFonts w:ascii="Cambria Math" w:hAnsi="Cambria Math"/>
                <w:szCs w:val="21"/>
              </w:rPr>
              <m:t>z</m:t>
            </m:r>
          </m:e>
          <m:sub>
            <m:r>
              <w:rPr>
                <w:rFonts w:ascii="Cambria Math" w:hAnsi="Cambria Math"/>
                <w:szCs w:val="21"/>
              </w:rPr>
              <m:t>i</m:t>
            </m:r>
          </m:sub>
        </m:sSub>
      </m:oMath>
      <w:r w:rsidR="00EC5712">
        <w:rPr>
          <w:rFonts w:ascii="Times New Roman" w:hAnsi="Times New Roman"/>
          <w:szCs w:val="21"/>
        </w:rPr>
        <w:t>（进口渗透率的倒数）和</w:t>
      </w:r>
      <m:oMath>
        <m:sSub>
          <m:sSubPr>
            <m:ctrlPr>
              <w:rPr>
                <w:rFonts w:ascii="Cambria Math" w:hAnsi="Cambria Math"/>
                <w:i/>
                <w:szCs w:val="21"/>
              </w:rPr>
            </m:ctrlPr>
          </m:sSubPr>
          <m:e>
            <m:r>
              <w:rPr>
                <w:rFonts w:ascii="Cambria Math" w:hAnsi="Cambria Math"/>
                <w:szCs w:val="21"/>
              </w:rPr>
              <m:t>I</m:t>
            </m:r>
          </m:e>
          <m:sub>
            <m:r>
              <w:rPr>
                <w:rFonts w:ascii="Cambria Math" w:hAnsi="Cambria Math"/>
                <w:szCs w:val="21"/>
              </w:rPr>
              <m:t>i</m:t>
            </m:r>
          </m:sub>
        </m:sSub>
        <m:sSub>
          <m:sSubPr>
            <m:ctrlPr>
              <w:rPr>
                <w:rFonts w:ascii="Cambria Math" w:hAnsi="Cambria Math"/>
                <w:i/>
                <w:szCs w:val="21"/>
              </w:rPr>
            </m:ctrlPr>
          </m:sSubPr>
          <m:e>
            <m:r>
              <w:rPr>
                <w:rFonts w:ascii="Cambria Math" w:hAnsi="Cambria Math"/>
                <w:szCs w:val="21"/>
              </w:rPr>
              <m:t>z</m:t>
            </m:r>
          </m:e>
          <m:sub>
            <m:r>
              <w:rPr>
                <w:rFonts w:ascii="Cambria Math" w:hAnsi="Cambria Math"/>
                <w:szCs w:val="21"/>
              </w:rPr>
              <m:t>i</m:t>
            </m:r>
          </m:sub>
        </m:sSub>
      </m:oMath>
      <w:r w:rsidR="00EC5712">
        <w:rPr>
          <w:rFonts w:ascii="Times New Roman" w:hAnsi="Times New Roman"/>
          <w:szCs w:val="21"/>
        </w:rPr>
        <w:t>（申诉者政治势力虚拟变量和进口渗透率倒数的交互项）可能会存在内生性问题。一方面，反倾销税率会对进口价值产生影响，进而影响进口渗透率；另一方面，反倾销税率可能会影响某一行业在政治上的组织情况</w:t>
      </w:r>
      <m:oMath>
        <m:sSub>
          <m:sSubPr>
            <m:ctrlPr>
              <w:rPr>
                <w:rFonts w:ascii="Cambria Math" w:hAnsi="Cambria Math"/>
                <w:i/>
                <w:szCs w:val="21"/>
              </w:rPr>
            </m:ctrlPr>
          </m:sSubPr>
          <m:e>
            <m:r>
              <w:rPr>
                <w:rFonts w:ascii="Cambria Math" w:hAnsi="Cambria Math"/>
                <w:szCs w:val="21"/>
              </w:rPr>
              <m:t>I</m:t>
            </m:r>
          </m:e>
          <m:sub>
            <m:r>
              <w:rPr>
                <w:rFonts w:ascii="Cambria Math" w:hAnsi="Cambria Math"/>
                <w:szCs w:val="21"/>
              </w:rPr>
              <m:t>i</m:t>
            </m:r>
          </m:sub>
        </m:sSub>
      </m:oMath>
      <w:r w:rsidR="00EC5712">
        <w:rPr>
          <w:rFonts w:ascii="Times New Roman" w:hAnsi="Times New Roman"/>
          <w:szCs w:val="21"/>
        </w:rPr>
        <w:t>，例如为寻求更高的贸易保护水平，多个企业往往会组成</w:t>
      </w:r>
      <w:r w:rsidR="00EC5712">
        <w:rPr>
          <w:rFonts w:ascii="Times New Roman" w:hAnsi="Times New Roman" w:hint="eastAsia"/>
          <w:szCs w:val="21"/>
        </w:rPr>
        <w:t>“</w:t>
      </w:r>
      <w:r w:rsidR="00EC5712">
        <w:rPr>
          <w:rFonts w:ascii="Times New Roman" w:hAnsi="Times New Roman"/>
          <w:szCs w:val="21"/>
        </w:rPr>
        <w:t>联盟</w:t>
      </w:r>
      <w:r w:rsidR="00EC5712">
        <w:rPr>
          <w:rFonts w:ascii="Times New Roman" w:hAnsi="Times New Roman" w:hint="eastAsia"/>
          <w:szCs w:val="21"/>
        </w:rPr>
        <w:t>”</w:t>
      </w:r>
      <w:r>
        <w:rPr>
          <w:rFonts w:ascii="Times New Roman" w:hAnsi="Times New Roman"/>
          <w:szCs w:val="21"/>
        </w:rPr>
        <w:t>以达成其期望目标。因此，为解决相互因果的内生性问题，本文</w:t>
      </w:r>
      <w:r w:rsidR="00EC5712">
        <w:rPr>
          <w:rFonts w:ascii="Times New Roman" w:hAnsi="Times New Roman"/>
          <w:szCs w:val="21"/>
        </w:rPr>
        <w:t>选取申诉者总部是否在布鲁塞尔</w:t>
      </w:r>
      <m:oMath>
        <m:sSub>
          <m:sSubPr>
            <m:ctrlPr>
              <w:rPr>
                <w:rFonts w:ascii="Cambria Math" w:hAnsi="Cambria Math"/>
                <w:i/>
                <w:szCs w:val="21"/>
              </w:rPr>
            </m:ctrlPr>
          </m:sSubPr>
          <m:e>
            <m:r>
              <w:rPr>
                <w:rFonts w:ascii="Cambria Math" w:hAnsi="Cambria Math"/>
                <w:szCs w:val="21"/>
              </w:rPr>
              <m:t>I</m:t>
            </m:r>
          </m:e>
          <m:sub>
            <m:r>
              <w:rPr>
                <w:rFonts w:ascii="Cambria Math" w:hAnsi="Cambria Math"/>
                <w:szCs w:val="21"/>
              </w:rPr>
              <m:t>1</m:t>
            </m:r>
          </m:sub>
        </m:sSub>
      </m:oMath>
      <w:r w:rsidR="00EC5712">
        <w:rPr>
          <w:rFonts w:ascii="Times New Roman" w:hAnsi="Times New Roman"/>
          <w:szCs w:val="21"/>
        </w:rPr>
        <w:t>作为申诉者政治势力</w:t>
      </w:r>
      <m:oMath>
        <m:sSub>
          <m:sSubPr>
            <m:ctrlPr>
              <w:rPr>
                <w:rFonts w:ascii="Cambria Math" w:hAnsi="Cambria Math"/>
                <w:i/>
                <w:szCs w:val="21"/>
              </w:rPr>
            </m:ctrlPr>
          </m:sSubPr>
          <m:e>
            <m:r>
              <w:rPr>
                <w:rFonts w:ascii="Cambria Math" w:hAnsi="Cambria Math"/>
                <w:szCs w:val="21"/>
              </w:rPr>
              <m:t>I</m:t>
            </m:r>
          </m:e>
          <m:sub>
            <m:r>
              <w:rPr>
                <w:rFonts w:ascii="Cambria Math" w:hAnsi="Cambria Math"/>
                <w:szCs w:val="21"/>
              </w:rPr>
              <m:t>i</m:t>
            </m:r>
          </m:sub>
        </m:sSub>
      </m:oMath>
      <w:r w:rsidR="00EC5712">
        <w:rPr>
          <w:rFonts w:ascii="Times New Roman" w:hAnsi="Times New Roman"/>
          <w:szCs w:val="21"/>
        </w:rPr>
        <w:t>的工具变量，各行业在欧盟内部的贸易额与各行业的产值之比</w:t>
      </w:r>
      <m:oMath>
        <m:sSub>
          <m:sSubPr>
            <m:ctrlPr>
              <w:rPr>
                <w:rFonts w:ascii="Cambria Math" w:hAnsi="Cambria Math"/>
                <w:i/>
                <w:szCs w:val="21"/>
              </w:rPr>
            </m:ctrlPr>
          </m:sSubPr>
          <m:e>
            <m:r>
              <w:rPr>
                <w:rFonts w:ascii="Cambria Math" w:hAnsi="Cambria Math"/>
                <w:szCs w:val="21"/>
              </w:rPr>
              <m:t>z</m:t>
            </m:r>
          </m:e>
          <m:sub>
            <m:r>
              <w:rPr>
                <w:rFonts w:ascii="Cambria Math" w:hAnsi="Cambria Math"/>
                <w:szCs w:val="21"/>
              </w:rPr>
              <m:t>1</m:t>
            </m:r>
          </m:sub>
        </m:sSub>
      </m:oMath>
      <w:r w:rsidR="00EC5712">
        <w:rPr>
          <w:rFonts w:ascii="Times New Roman" w:hAnsi="Times New Roman"/>
          <w:szCs w:val="21"/>
        </w:rPr>
        <w:t>、行业营业额</w:t>
      </w:r>
      <m:oMath>
        <m:sSub>
          <m:sSubPr>
            <m:ctrlPr>
              <w:rPr>
                <w:rFonts w:ascii="Cambria Math" w:hAnsi="Cambria Math"/>
                <w:i/>
                <w:szCs w:val="21"/>
              </w:rPr>
            </m:ctrlPr>
          </m:sSubPr>
          <m:e>
            <m:r>
              <w:rPr>
                <w:rFonts w:ascii="Cambria Math" w:hAnsi="Cambria Math"/>
                <w:szCs w:val="21"/>
              </w:rPr>
              <m:t>z</m:t>
            </m:r>
          </m:e>
          <m:sub>
            <m:r>
              <w:rPr>
                <w:rFonts w:ascii="Cambria Math" w:hAnsi="Cambria Math"/>
                <w:szCs w:val="21"/>
              </w:rPr>
              <m:t>2</m:t>
            </m:r>
          </m:sub>
        </m:sSub>
      </m:oMath>
      <w:r w:rsidR="00EC5712">
        <w:rPr>
          <w:rFonts w:ascii="Times New Roman" w:hAnsi="Times New Roman"/>
          <w:szCs w:val="21"/>
        </w:rPr>
        <w:t>作为进口渗透率倒数</w:t>
      </w:r>
      <m:oMath>
        <m:sSub>
          <m:sSubPr>
            <m:ctrlPr>
              <w:rPr>
                <w:rFonts w:ascii="Cambria Math" w:hAnsi="Cambria Math"/>
                <w:i/>
                <w:szCs w:val="21"/>
              </w:rPr>
            </m:ctrlPr>
          </m:sSubPr>
          <m:e>
            <m:r>
              <w:rPr>
                <w:rFonts w:ascii="Cambria Math" w:hAnsi="Cambria Math"/>
                <w:szCs w:val="21"/>
              </w:rPr>
              <m:t>z</m:t>
            </m:r>
          </m:e>
          <m:sub>
            <m:r>
              <w:rPr>
                <w:rFonts w:ascii="Cambria Math" w:hAnsi="Cambria Math"/>
                <w:szCs w:val="21"/>
              </w:rPr>
              <m:t>i</m:t>
            </m:r>
          </m:sub>
        </m:sSub>
      </m:oMath>
      <w:r w:rsidR="00EC5712">
        <w:rPr>
          <w:rFonts w:ascii="Times New Roman" w:hAnsi="Times New Roman"/>
          <w:szCs w:val="21"/>
        </w:rPr>
        <w:t>的工具变量，这三个工具变量均满足相关性和外生性要求。首先，越靠近政治中心的企业或者协会一般更有政治势力，而企业或者协会选址与欧盟对华反倾销决策无关</w:t>
      </w:r>
      <w:r>
        <w:rPr>
          <w:rFonts w:ascii="Times New Roman" w:hAnsi="Times New Roman" w:hint="eastAsia"/>
          <w:szCs w:val="21"/>
        </w:rPr>
        <w:t>。</w:t>
      </w:r>
      <w:r w:rsidR="00EC5712">
        <w:rPr>
          <w:rFonts w:ascii="Times New Roman" w:hAnsi="Times New Roman"/>
          <w:szCs w:val="21"/>
        </w:rPr>
        <w:t>其次，随着欧盟一体化程度加深，欧盟内部贸易额增长，各国从欧盟外部进口的比例将相对减少，内部贸易比例将影响进口渗透率的倒数</w:t>
      </w:r>
      <m:oMath>
        <m:sSub>
          <m:sSubPr>
            <m:ctrlPr>
              <w:rPr>
                <w:rFonts w:ascii="Cambria Math" w:hAnsi="Cambria Math"/>
                <w:i/>
                <w:szCs w:val="21"/>
              </w:rPr>
            </m:ctrlPr>
          </m:sSubPr>
          <m:e>
            <m:r>
              <w:rPr>
                <w:rFonts w:ascii="Cambria Math" w:hAnsi="Cambria Math"/>
                <w:szCs w:val="21"/>
              </w:rPr>
              <m:t>z</m:t>
            </m:r>
          </m:e>
          <m:sub>
            <m:r>
              <w:rPr>
                <w:rFonts w:ascii="Cambria Math" w:hAnsi="Cambria Math"/>
                <w:szCs w:val="21"/>
              </w:rPr>
              <m:t>i</m:t>
            </m:r>
          </m:sub>
        </m:sSub>
      </m:oMath>
      <w:r w:rsidR="00EC5712">
        <w:rPr>
          <w:rFonts w:ascii="Times New Roman" w:hAnsi="Times New Roman"/>
          <w:szCs w:val="21"/>
        </w:rPr>
        <w:t>，而欧盟内部的贸易状况不会直接影响欧盟对华反倾销裁定</w:t>
      </w:r>
      <w:r>
        <w:rPr>
          <w:rFonts w:ascii="Times New Roman" w:hAnsi="Times New Roman" w:hint="eastAsia"/>
          <w:szCs w:val="21"/>
        </w:rPr>
        <w:t>。</w:t>
      </w:r>
      <w:r w:rsidR="00EC5712">
        <w:rPr>
          <w:rFonts w:ascii="Times New Roman" w:hAnsi="Times New Roman"/>
          <w:szCs w:val="21"/>
        </w:rPr>
        <w:t>最后，行业的营业额通过影响产值进而影响进口渗透率，但行业在国内的营业额同欧盟对华反倾销裁定并不直接相关。</w:t>
      </w:r>
    </w:p>
    <w:p w14:paraId="31733AE4" w14:textId="77777777" w:rsidR="00501C7E" w:rsidRDefault="00EC5712">
      <w:pPr>
        <w:spacing w:line="300" w:lineRule="exact"/>
        <w:ind w:firstLine="420"/>
        <w:textAlignment w:val="center"/>
        <w:rPr>
          <w:rFonts w:ascii="Times New Roman" w:hAnsi="Times New Roman"/>
          <w:szCs w:val="21"/>
        </w:rPr>
      </w:pPr>
      <w:r>
        <w:rPr>
          <w:rFonts w:ascii="Times New Roman" w:hAnsi="Times New Roman"/>
          <w:szCs w:val="21"/>
        </w:rPr>
        <w:t>使用工具变量法进行回归的结果列于表</w:t>
      </w:r>
      <w:r>
        <w:rPr>
          <w:rFonts w:ascii="Times New Roman" w:hAnsi="Times New Roman"/>
          <w:szCs w:val="21"/>
        </w:rPr>
        <w:t>7</w:t>
      </w:r>
      <w:r>
        <w:rPr>
          <w:rFonts w:ascii="Times New Roman" w:hAnsi="Times New Roman"/>
          <w:szCs w:val="21"/>
        </w:rPr>
        <w:t>至表</w:t>
      </w:r>
      <w:r>
        <w:rPr>
          <w:rFonts w:ascii="Times New Roman" w:hAnsi="Times New Roman"/>
          <w:szCs w:val="21"/>
        </w:rPr>
        <w:t>9</w:t>
      </w:r>
      <w:r>
        <w:rPr>
          <w:rFonts w:ascii="Times New Roman" w:hAnsi="Times New Roman"/>
          <w:szCs w:val="21"/>
        </w:rPr>
        <w:t>之中。表</w:t>
      </w:r>
      <w:r>
        <w:rPr>
          <w:rFonts w:ascii="Times New Roman" w:hAnsi="Times New Roman"/>
          <w:szCs w:val="21"/>
        </w:rPr>
        <w:t>7</w:t>
      </w:r>
      <w:r>
        <w:rPr>
          <w:rFonts w:ascii="Times New Roman" w:hAnsi="Times New Roman"/>
          <w:szCs w:val="21"/>
        </w:rPr>
        <w:t>和表</w:t>
      </w:r>
      <w:r>
        <w:rPr>
          <w:rFonts w:ascii="Times New Roman" w:hAnsi="Times New Roman"/>
          <w:szCs w:val="21"/>
        </w:rPr>
        <w:t>8</w:t>
      </w:r>
      <w:r>
        <w:rPr>
          <w:rFonts w:ascii="Times New Roman" w:hAnsi="Times New Roman"/>
          <w:szCs w:val="21"/>
        </w:rPr>
        <w:t>分别是对</w:t>
      </w:r>
      <m:oMath>
        <m:sSub>
          <m:sSubPr>
            <m:ctrlPr>
              <w:rPr>
                <w:rFonts w:ascii="Cambria Math" w:hAnsi="Cambria Math"/>
                <w:i/>
                <w:szCs w:val="21"/>
              </w:rPr>
            </m:ctrlPr>
          </m:sSubPr>
          <m:e>
            <m:r>
              <w:rPr>
                <w:rFonts w:ascii="Cambria Math" w:hAnsi="Cambria Math"/>
                <w:szCs w:val="21"/>
              </w:rPr>
              <m:t>z</m:t>
            </m:r>
          </m:e>
          <m:sub>
            <m:r>
              <w:rPr>
                <w:rFonts w:ascii="Cambria Math" w:hAnsi="Cambria Math"/>
                <w:szCs w:val="21"/>
              </w:rPr>
              <m:t>i</m:t>
            </m:r>
          </m:sub>
        </m:sSub>
      </m:oMath>
      <w:r>
        <w:rPr>
          <w:rFonts w:ascii="Times New Roman" w:hAnsi="Times New Roman"/>
          <w:szCs w:val="21"/>
        </w:rPr>
        <w:t>和</w:t>
      </w:r>
      <m:oMath>
        <m:sSub>
          <m:sSubPr>
            <m:ctrlPr>
              <w:rPr>
                <w:rFonts w:ascii="Cambria Math" w:hAnsi="Cambria Math"/>
                <w:i/>
                <w:szCs w:val="21"/>
              </w:rPr>
            </m:ctrlPr>
          </m:sSubPr>
          <m:e>
            <m:r>
              <w:rPr>
                <w:rFonts w:ascii="Cambria Math" w:hAnsi="Cambria Math"/>
                <w:szCs w:val="21"/>
              </w:rPr>
              <m:t>I</m:t>
            </m:r>
          </m:e>
          <m:sub>
            <m:r>
              <w:rPr>
                <w:rFonts w:ascii="Cambria Math" w:hAnsi="Cambria Math"/>
                <w:szCs w:val="21"/>
              </w:rPr>
              <m:t>i</m:t>
            </m:r>
          </m:sub>
        </m:sSub>
        <m:sSub>
          <m:sSubPr>
            <m:ctrlPr>
              <w:rPr>
                <w:rFonts w:ascii="Cambria Math" w:hAnsi="Cambria Math"/>
                <w:i/>
                <w:szCs w:val="21"/>
              </w:rPr>
            </m:ctrlPr>
          </m:sSubPr>
          <m:e>
            <m:r>
              <w:rPr>
                <w:rFonts w:ascii="Cambria Math" w:hAnsi="Cambria Math"/>
                <w:szCs w:val="21"/>
              </w:rPr>
              <m:t>z</m:t>
            </m:r>
          </m:e>
          <m:sub>
            <m:r>
              <w:rPr>
                <w:rFonts w:ascii="Cambria Math" w:hAnsi="Cambria Math"/>
                <w:szCs w:val="21"/>
              </w:rPr>
              <m:t>i</m:t>
            </m:r>
          </m:sub>
        </m:sSub>
      </m:oMath>
      <w:r>
        <w:rPr>
          <w:rFonts w:ascii="Times New Roman" w:hAnsi="Times New Roman"/>
          <w:szCs w:val="21"/>
        </w:rPr>
        <w:t>的估计结果，从整体上看，Ｆ值均大于</w:t>
      </w:r>
      <w:r>
        <w:rPr>
          <w:rFonts w:ascii="Times New Roman" w:hAnsi="Times New Roman"/>
          <w:szCs w:val="21"/>
        </w:rPr>
        <w:t>10</w:t>
      </w:r>
      <w:r>
        <w:rPr>
          <w:rFonts w:ascii="Times New Roman" w:hAnsi="Times New Roman"/>
          <w:szCs w:val="21"/>
        </w:rPr>
        <w:t>，说明选取的工具变量不是弱工具变量，并且第一阶段中的工具变量分别对内生性变量</w:t>
      </w:r>
      <m:oMath>
        <m:sSub>
          <m:sSubPr>
            <m:ctrlPr>
              <w:rPr>
                <w:rFonts w:ascii="Cambria Math" w:hAnsi="Cambria Math"/>
                <w:i/>
                <w:szCs w:val="21"/>
              </w:rPr>
            </m:ctrlPr>
          </m:sSubPr>
          <m:e>
            <m:r>
              <w:rPr>
                <w:rFonts w:ascii="Cambria Math" w:hAnsi="Cambria Math"/>
                <w:szCs w:val="21"/>
              </w:rPr>
              <m:t>z</m:t>
            </m:r>
          </m:e>
          <m:sub>
            <m:r>
              <w:rPr>
                <w:rFonts w:ascii="Cambria Math" w:hAnsi="Cambria Math"/>
                <w:szCs w:val="21"/>
              </w:rPr>
              <m:t>i</m:t>
            </m:r>
          </m:sub>
        </m:sSub>
      </m:oMath>
      <w:r>
        <w:rPr>
          <w:rFonts w:ascii="Times New Roman" w:hAnsi="Times New Roman"/>
          <w:szCs w:val="21"/>
        </w:rPr>
        <w:t>和</w:t>
      </w:r>
      <m:oMath>
        <m:sSub>
          <m:sSubPr>
            <m:ctrlPr>
              <w:rPr>
                <w:rFonts w:ascii="Cambria Math" w:hAnsi="Cambria Math"/>
                <w:i/>
                <w:szCs w:val="21"/>
              </w:rPr>
            </m:ctrlPr>
          </m:sSubPr>
          <m:e>
            <m:r>
              <w:rPr>
                <w:rFonts w:ascii="Cambria Math" w:hAnsi="Cambria Math"/>
                <w:szCs w:val="21"/>
              </w:rPr>
              <m:t>I</m:t>
            </m:r>
          </m:e>
          <m:sub>
            <m:r>
              <w:rPr>
                <w:rFonts w:ascii="Cambria Math" w:hAnsi="Cambria Math"/>
                <w:szCs w:val="21"/>
              </w:rPr>
              <m:t>i</m:t>
            </m:r>
          </m:sub>
        </m:sSub>
        <m:sSub>
          <m:sSubPr>
            <m:ctrlPr>
              <w:rPr>
                <w:rFonts w:ascii="Cambria Math" w:hAnsi="Cambria Math"/>
                <w:i/>
                <w:szCs w:val="21"/>
              </w:rPr>
            </m:ctrlPr>
          </m:sSubPr>
          <m:e>
            <m:r>
              <w:rPr>
                <w:rFonts w:ascii="Cambria Math" w:hAnsi="Cambria Math"/>
                <w:szCs w:val="21"/>
              </w:rPr>
              <m:t>z</m:t>
            </m:r>
          </m:e>
          <m:sub>
            <m:r>
              <w:rPr>
                <w:rFonts w:ascii="Cambria Math" w:hAnsi="Cambria Math"/>
                <w:szCs w:val="21"/>
              </w:rPr>
              <m:t>i</m:t>
            </m:r>
          </m:sub>
        </m:sSub>
      </m:oMath>
      <w:r>
        <w:rPr>
          <w:rFonts w:ascii="Times New Roman" w:hAnsi="Times New Roman"/>
          <w:szCs w:val="21"/>
        </w:rPr>
        <w:t>产生了显著影响，工具变量满足相关性要求。由表</w:t>
      </w:r>
      <w:r>
        <w:rPr>
          <w:rFonts w:ascii="Times New Roman" w:hAnsi="Times New Roman"/>
          <w:szCs w:val="21"/>
        </w:rPr>
        <w:t>9</w:t>
      </w:r>
      <w:r>
        <w:rPr>
          <w:rFonts w:ascii="Times New Roman" w:hAnsi="Times New Roman"/>
          <w:szCs w:val="21"/>
        </w:rPr>
        <w:t>可知，引入工具变量之后，估计系数的符号同基准检验的符号一致</w:t>
      </w:r>
      <w:r w:rsidR="009C070E">
        <w:rPr>
          <w:rFonts w:ascii="Times New Roman" w:hAnsi="Times New Roman" w:hint="eastAsia"/>
          <w:szCs w:val="21"/>
        </w:rPr>
        <w:t>。</w:t>
      </w:r>
      <w:r>
        <w:rPr>
          <w:rFonts w:ascii="Times New Roman" w:hAnsi="Times New Roman"/>
          <w:szCs w:val="21"/>
        </w:rPr>
        <w:t>其中，</w:t>
      </w:r>
      <m:oMath>
        <m:r>
          <w:rPr>
            <w:rFonts w:ascii="Cambria Math" w:hAnsi="Cambria Math"/>
            <w:szCs w:val="21"/>
          </w:rPr>
          <m:t>δ</m:t>
        </m:r>
      </m:oMath>
      <w:r>
        <w:rPr>
          <w:rFonts w:ascii="Times New Roman" w:hAnsi="Times New Roman"/>
          <w:szCs w:val="21"/>
        </w:rPr>
        <w:t>显著为正，</w:t>
      </w:r>
      <m:oMath>
        <m:r>
          <w:rPr>
            <w:rFonts w:ascii="Cambria Math" w:hAnsi="Cambria Math"/>
            <w:szCs w:val="21"/>
          </w:rPr>
          <m:t>γ</m:t>
        </m:r>
      </m:oMath>
      <w:r>
        <w:rPr>
          <w:rFonts w:ascii="Times New Roman" w:hAnsi="Times New Roman"/>
          <w:szCs w:val="21"/>
        </w:rPr>
        <w:t>显著为负，</w:t>
      </w:r>
      <m:oMath>
        <m:r>
          <w:rPr>
            <w:rFonts w:ascii="Cambria Math" w:hAnsi="Cambria Math"/>
            <w:szCs w:val="21"/>
          </w:rPr>
          <m:t>γ+δ</m:t>
        </m:r>
      </m:oMath>
      <w:r>
        <w:rPr>
          <w:rFonts w:ascii="Times New Roman" w:hAnsi="Times New Roman"/>
          <w:szCs w:val="21"/>
        </w:rPr>
        <w:t>显著为正，计算出的</w:t>
      </w:r>
      <m:oMath>
        <m:sSub>
          <m:sSubPr>
            <m:ctrlPr>
              <w:rPr>
                <w:rFonts w:ascii="Cambria Math" w:hAnsi="Cambria Math"/>
                <w:i/>
                <w:szCs w:val="21"/>
              </w:rPr>
            </m:ctrlPr>
          </m:sSubPr>
          <m:e>
            <m:r>
              <w:rPr>
                <w:rFonts w:ascii="Cambria Math" w:hAnsi="Cambria Math"/>
                <w:szCs w:val="21"/>
              </w:rPr>
              <m:t>α</m:t>
            </m:r>
          </m:e>
          <m:sub>
            <m:r>
              <w:rPr>
                <w:rFonts w:ascii="Cambria Math" w:hAnsi="Cambria Math"/>
                <w:szCs w:val="21"/>
              </w:rPr>
              <m:t>L</m:t>
            </m:r>
          </m:sub>
        </m:sSub>
      </m:oMath>
      <w:r>
        <w:rPr>
          <w:rFonts w:ascii="Times New Roman" w:hAnsi="Times New Roman"/>
          <w:szCs w:val="21"/>
        </w:rPr>
        <w:t>值仍在合理范围之内，与前定比重</w:t>
      </w:r>
      <w:r>
        <w:rPr>
          <w:rFonts w:ascii="Times New Roman" w:hAnsi="Times New Roman"/>
          <w:szCs w:val="21"/>
        </w:rPr>
        <w:t>30%</w:t>
      </w:r>
      <w:r>
        <w:rPr>
          <w:rFonts w:ascii="Times New Roman" w:hAnsi="Times New Roman"/>
          <w:szCs w:val="21"/>
        </w:rPr>
        <w:t>、</w:t>
      </w:r>
      <w:r>
        <w:rPr>
          <w:rFonts w:ascii="Times New Roman" w:hAnsi="Times New Roman"/>
          <w:szCs w:val="21"/>
        </w:rPr>
        <w:t>40%</w:t>
      </w:r>
      <w:r>
        <w:rPr>
          <w:rFonts w:ascii="Times New Roman" w:hAnsi="Times New Roman"/>
          <w:szCs w:val="21"/>
        </w:rPr>
        <w:t>和</w:t>
      </w:r>
      <w:r>
        <w:rPr>
          <w:rFonts w:ascii="Times New Roman" w:hAnsi="Times New Roman"/>
          <w:szCs w:val="21"/>
        </w:rPr>
        <w:t>50%</w:t>
      </w:r>
      <w:r>
        <w:rPr>
          <w:rFonts w:ascii="Times New Roman" w:hAnsi="Times New Roman"/>
          <w:szCs w:val="21"/>
        </w:rPr>
        <w:t>基本相符；估计出的</w:t>
      </w:r>
      <m:oMath>
        <m:r>
          <w:rPr>
            <w:rFonts w:ascii="Cambria Math" w:hAnsi="Cambria Math"/>
            <w:szCs w:val="21"/>
          </w:rPr>
          <m:t>a</m:t>
        </m:r>
      </m:oMath>
      <w:r>
        <w:rPr>
          <w:rFonts w:ascii="Times New Roman" w:hAnsi="Times New Roman"/>
          <w:szCs w:val="21"/>
        </w:rPr>
        <w:t>值与基准检验的结果相比有所降低，</w:t>
      </w:r>
      <w:r w:rsidR="009C070E">
        <w:rPr>
          <w:rFonts w:ascii="Times New Roman" w:hAnsi="Times New Roman"/>
          <w:szCs w:val="21"/>
        </w:rPr>
        <w:t>但</w:t>
      </w:r>
      <w:r>
        <w:rPr>
          <w:rFonts w:ascii="Times New Roman" w:hAnsi="Times New Roman"/>
          <w:szCs w:val="21"/>
        </w:rPr>
        <w:t>仍然在合理范围内。使用工具变量法的回归结果表明，欧盟对华反倾销税率裁定符合保护待售模型的理论预测，本文的主要结论仍然成立。</w:t>
      </w:r>
    </w:p>
    <w:p w14:paraId="2CA7030A" w14:textId="77777777" w:rsidR="00501C7E" w:rsidRDefault="00501C7E">
      <w:pPr>
        <w:jc w:val="center"/>
        <w:rPr>
          <w:rFonts w:ascii="Times New Roman" w:eastAsia="黑体" w:hAnsi="Times New Roman"/>
          <w:szCs w:val="21"/>
        </w:rPr>
      </w:pPr>
    </w:p>
    <w:p w14:paraId="1E2C51AE" w14:textId="77777777" w:rsidR="00501C7E" w:rsidRDefault="00EC5712">
      <w:pPr>
        <w:jc w:val="center"/>
        <w:rPr>
          <w:rFonts w:ascii="Times New Roman" w:eastAsia="楷体" w:hAnsi="Times New Roman"/>
          <w:bCs/>
          <w:szCs w:val="21"/>
        </w:rPr>
      </w:pPr>
      <w:r>
        <w:rPr>
          <w:rFonts w:ascii="Times New Roman" w:eastAsia="楷体" w:hAnsi="Times New Roman"/>
          <w:bCs/>
          <w:szCs w:val="21"/>
        </w:rPr>
        <w:t>表</w:t>
      </w:r>
      <w:r>
        <w:rPr>
          <w:rFonts w:ascii="Times New Roman" w:eastAsia="楷体" w:hAnsi="Times New Roman"/>
          <w:bCs/>
          <w:szCs w:val="21"/>
        </w:rPr>
        <w:t xml:space="preserve">7  </w:t>
      </w:r>
      <w:r>
        <w:rPr>
          <w:rFonts w:ascii="Times New Roman" w:eastAsia="楷体" w:hAnsi="Times New Roman"/>
          <w:bCs/>
          <w:szCs w:val="21"/>
        </w:rPr>
        <w:t>工具变量检验第一阶段回归结果（</w:t>
      </w:r>
      <m:oMath>
        <m:sSub>
          <m:sSubPr>
            <m:ctrlPr>
              <w:rPr>
                <w:rFonts w:ascii="Cambria Math" w:eastAsia="楷体" w:hAnsi="Cambria Math"/>
                <w:bCs/>
                <w:i/>
                <w:iCs/>
                <w:szCs w:val="21"/>
              </w:rPr>
            </m:ctrlPr>
          </m:sSubPr>
          <m:e>
            <m:r>
              <w:rPr>
                <w:rFonts w:ascii="Cambria Math" w:eastAsia="楷体" w:hAnsi="Cambria Math"/>
                <w:szCs w:val="21"/>
              </w:rPr>
              <m:t>z</m:t>
            </m:r>
          </m:e>
          <m:sub>
            <m:r>
              <w:rPr>
                <w:rFonts w:ascii="Cambria Math" w:eastAsia="楷体" w:hAnsi="Cambria Math"/>
                <w:szCs w:val="21"/>
              </w:rPr>
              <m:t>i</m:t>
            </m:r>
          </m:sub>
        </m:sSub>
      </m:oMath>
      <w:r>
        <w:rPr>
          <w:rFonts w:ascii="Times New Roman" w:eastAsia="楷体" w:hAnsi="Times New Roman"/>
          <w:bCs/>
          <w:szCs w:val="21"/>
        </w:rPr>
        <w:t>为被解释变量）</w:t>
      </w:r>
    </w:p>
    <w:tbl>
      <w:tblPr>
        <w:tblStyle w:val="a7"/>
        <w:tblW w:w="0" w:type="auto"/>
        <w:tblLook w:val="04A0" w:firstRow="1" w:lastRow="0" w:firstColumn="1" w:lastColumn="0" w:noHBand="0" w:noVBand="1"/>
      </w:tblPr>
      <w:tblGrid>
        <w:gridCol w:w="2279"/>
        <w:gridCol w:w="2279"/>
        <w:gridCol w:w="2280"/>
        <w:gridCol w:w="2280"/>
      </w:tblGrid>
      <w:tr w:rsidR="00501C7E" w14:paraId="392032A1" w14:textId="77777777">
        <w:tc>
          <w:tcPr>
            <w:tcW w:w="2279" w:type="dxa"/>
            <w:tcBorders>
              <w:tl2br w:val="nil"/>
              <w:tr2bl w:val="nil"/>
            </w:tcBorders>
            <w:vAlign w:val="center"/>
          </w:tcPr>
          <w:p w14:paraId="254638C9" w14:textId="77777777" w:rsidR="00501C7E" w:rsidRDefault="00EC5712">
            <w:pPr>
              <w:widowControl/>
              <w:jc w:val="center"/>
              <w:textAlignment w:val="bottom"/>
              <w:rPr>
                <w:rFonts w:ascii="Times New Roman" w:eastAsia="黑体" w:hAnsi="Times New Roman"/>
                <w:sz w:val="18"/>
                <w:szCs w:val="18"/>
              </w:rPr>
            </w:pPr>
            <w:r>
              <w:rPr>
                <w:rFonts w:ascii="Times New Roman" w:hAnsi="Times New Roman"/>
                <w:kern w:val="0"/>
                <w:sz w:val="18"/>
                <w:szCs w:val="18"/>
              </w:rPr>
              <w:t>变量名</w:t>
            </w:r>
          </w:p>
        </w:tc>
        <w:tc>
          <w:tcPr>
            <w:tcW w:w="6839" w:type="dxa"/>
            <w:gridSpan w:val="3"/>
            <w:tcBorders>
              <w:tl2br w:val="nil"/>
              <w:tr2bl w:val="nil"/>
            </w:tcBorders>
            <w:vAlign w:val="center"/>
          </w:tcPr>
          <w:p w14:paraId="11FD2FD1" w14:textId="77777777" w:rsidR="00501C7E" w:rsidRDefault="00000000">
            <w:pPr>
              <w:jc w:val="center"/>
              <w:rPr>
                <w:rFonts w:ascii="Times New Roman" w:eastAsia="黑体" w:hAnsi="Times New Roman"/>
                <w:sz w:val="18"/>
                <w:szCs w:val="18"/>
              </w:rPr>
            </w:pPr>
            <m:oMathPara>
              <m:oMath>
                <m:sSub>
                  <m:sSubPr>
                    <m:ctrlPr>
                      <w:rPr>
                        <w:rFonts w:ascii="Cambria Math" w:eastAsia="黑体" w:hAnsi="Cambria Math"/>
                        <w:i/>
                        <w:iCs/>
                        <w:sz w:val="18"/>
                        <w:szCs w:val="18"/>
                      </w:rPr>
                    </m:ctrlPr>
                  </m:sSubPr>
                  <m:e>
                    <m:r>
                      <w:rPr>
                        <w:rFonts w:ascii="Cambria Math" w:eastAsia="黑体" w:hAnsi="Cambria Math"/>
                        <w:sz w:val="18"/>
                        <w:szCs w:val="18"/>
                      </w:rPr>
                      <m:t>z</m:t>
                    </m:r>
                  </m:e>
                  <m:sub>
                    <m:r>
                      <w:rPr>
                        <w:rFonts w:ascii="Cambria Math" w:eastAsia="黑体" w:hAnsi="Cambria Math"/>
                        <w:sz w:val="18"/>
                        <w:szCs w:val="18"/>
                      </w:rPr>
                      <m:t>i</m:t>
                    </m:r>
                  </m:sub>
                </m:sSub>
              </m:oMath>
            </m:oMathPara>
          </w:p>
        </w:tc>
      </w:tr>
      <w:tr w:rsidR="00501C7E" w14:paraId="0ACFA9B1" w14:textId="77777777">
        <w:tc>
          <w:tcPr>
            <w:tcW w:w="2279" w:type="dxa"/>
            <w:tcBorders>
              <w:tl2br w:val="nil"/>
              <w:tr2bl w:val="nil"/>
            </w:tcBorders>
            <w:vAlign w:val="center"/>
          </w:tcPr>
          <w:p w14:paraId="23430BD4" w14:textId="77777777" w:rsidR="00501C7E" w:rsidRDefault="00EC5712">
            <w:pPr>
              <w:jc w:val="center"/>
              <w:rPr>
                <w:rFonts w:ascii="Times New Roman" w:eastAsia="黑体" w:hAnsi="Times New Roman"/>
                <w:sz w:val="18"/>
                <w:szCs w:val="18"/>
              </w:rPr>
            </w:pPr>
            <w:r>
              <w:rPr>
                <w:rFonts w:ascii="Times New Roman" w:hAnsi="Times New Roman"/>
                <w:kern w:val="0"/>
                <w:sz w:val="18"/>
                <w:szCs w:val="18"/>
              </w:rPr>
              <w:t>申诉者政治势力排名</w:t>
            </w:r>
          </w:p>
        </w:tc>
        <w:tc>
          <w:tcPr>
            <w:tcW w:w="2279" w:type="dxa"/>
            <w:tcBorders>
              <w:tl2br w:val="nil"/>
              <w:tr2bl w:val="nil"/>
            </w:tcBorders>
            <w:vAlign w:val="center"/>
          </w:tcPr>
          <w:p w14:paraId="5E29867A" w14:textId="77777777" w:rsidR="00501C7E" w:rsidRDefault="00EC5712">
            <w:pPr>
              <w:widowControl/>
              <w:jc w:val="center"/>
              <w:textAlignment w:val="bottom"/>
              <w:rPr>
                <w:rFonts w:ascii="Times New Roman" w:eastAsia="黑体" w:hAnsi="Times New Roman"/>
                <w:sz w:val="18"/>
                <w:szCs w:val="18"/>
              </w:rPr>
            </w:pPr>
            <w:r>
              <w:rPr>
                <w:rFonts w:ascii="Times New Roman" w:hAnsi="Times New Roman"/>
                <w:kern w:val="0"/>
                <w:sz w:val="18"/>
                <w:szCs w:val="18"/>
              </w:rPr>
              <w:t>前</w:t>
            </w:r>
            <w:r>
              <w:rPr>
                <w:rFonts w:ascii="Times New Roman" w:hAnsi="Times New Roman"/>
                <w:kern w:val="0"/>
                <w:sz w:val="18"/>
                <w:szCs w:val="18"/>
              </w:rPr>
              <w:t>30%</w:t>
            </w:r>
          </w:p>
        </w:tc>
        <w:tc>
          <w:tcPr>
            <w:tcW w:w="2280" w:type="dxa"/>
            <w:tcBorders>
              <w:tl2br w:val="nil"/>
              <w:tr2bl w:val="nil"/>
            </w:tcBorders>
            <w:vAlign w:val="center"/>
          </w:tcPr>
          <w:p w14:paraId="7A18D494" w14:textId="77777777" w:rsidR="00501C7E" w:rsidRDefault="00EC5712">
            <w:pPr>
              <w:widowControl/>
              <w:jc w:val="center"/>
              <w:textAlignment w:val="bottom"/>
              <w:rPr>
                <w:rFonts w:ascii="Times New Roman" w:eastAsia="黑体" w:hAnsi="Times New Roman"/>
                <w:sz w:val="18"/>
                <w:szCs w:val="18"/>
              </w:rPr>
            </w:pPr>
            <w:r>
              <w:rPr>
                <w:rFonts w:ascii="Times New Roman" w:hAnsi="Times New Roman"/>
                <w:kern w:val="0"/>
                <w:sz w:val="18"/>
                <w:szCs w:val="18"/>
              </w:rPr>
              <w:t>前</w:t>
            </w:r>
            <w:r>
              <w:rPr>
                <w:rFonts w:ascii="Times New Roman" w:hAnsi="Times New Roman"/>
                <w:kern w:val="0"/>
                <w:sz w:val="18"/>
                <w:szCs w:val="18"/>
              </w:rPr>
              <w:t>40%</w:t>
            </w:r>
          </w:p>
        </w:tc>
        <w:tc>
          <w:tcPr>
            <w:tcW w:w="2280" w:type="dxa"/>
            <w:tcBorders>
              <w:tl2br w:val="nil"/>
              <w:tr2bl w:val="nil"/>
            </w:tcBorders>
            <w:vAlign w:val="center"/>
          </w:tcPr>
          <w:p w14:paraId="25A01EF0" w14:textId="77777777" w:rsidR="00501C7E" w:rsidRDefault="00EC5712">
            <w:pPr>
              <w:widowControl/>
              <w:jc w:val="center"/>
              <w:textAlignment w:val="bottom"/>
              <w:rPr>
                <w:rFonts w:ascii="Times New Roman" w:eastAsia="黑体" w:hAnsi="Times New Roman"/>
                <w:sz w:val="18"/>
                <w:szCs w:val="18"/>
              </w:rPr>
            </w:pPr>
            <w:r>
              <w:rPr>
                <w:rFonts w:ascii="Times New Roman" w:hAnsi="Times New Roman"/>
                <w:kern w:val="0"/>
                <w:sz w:val="18"/>
                <w:szCs w:val="18"/>
              </w:rPr>
              <w:t>前</w:t>
            </w:r>
            <w:r>
              <w:rPr>
                <w:rFonts w:ascii="Times New Roman" w:hAnsi="Times New Roman"/>
                <w:kern w:val="0"/>
                <w:sz w:val="18"/>
                <w:szCs w:val="18"/>
              </w:rPr>
              <w:t>50%</w:t>
            </w:r>
          </w:p>
        </w:tc>
      </w:tr>
      <w:tr w:rsidR="00501C7E" w14:paraId="06F1FFD1" w14:textId="77777777">
        <w:trPr>
          <w:trHeight w:val="604"/>
        </w:trPr>
        <w:tc>
          <w:tcPr>
            <w:tcW w:w="2279" w:type="dxa"/>
            <w:vMerge w:val="restart"/>
            <w:tcBorders>
              <w:tl2br w:val="nil"/>
              <w:tr2bl w:val="nil"/>
            </w:tcBorders>
            <w:vAlign w:val="center"/>
          </w:tcPr>
          <w:p w14:paraId="5BADB03C" w14:textId="77777777" w:rsidR="00501C7E" w:rsidRDefault="00000000">
            <w:pPr>
              <w:widowControl/>
              <w:jc w:val="center"/>
              <w:textAlignment w:val="bottom"/>
              <w:rPr>
                <w:rFonts w:ascii="Times New Roman" w:eastAsia="黑体" w:hAnsi="Times New Roman"/>
                <w:sz w:val="18"/>
                <w:szCs w:val="18"/>
              </w:rPr>
            </w:pPr>
            <m:oMathPara>
              <m:oMath>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1</m:t>
                    </m:r>
                  </m:sub>
                </m:sSub>
              </m:oMath>
            </m:oMathPara>
          </w:p>
        </w:tc>
        <w:tc>
          <w:tcPr>
            <w:tcW w:w="2279" w:type="dxa"/>
            <w:tcBorders>
              <w:tl2br w:val="nil"/>
              <w:tr2bl w:val="nil"/>
            </w:tcBorders>
            <w:vAlign w:val="center"/>
          </w:tcPr>
          <w:p w14:paraId="314ECBD5"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0.76</w:t>
            </w:r>
            <w:r>
              <w:rPr>
                <w:rFonts w:ascii="Times New Roman" w:hAnsi="Times New Roman"/>
                <w:iCs/>
                <w:sz w:val="18"/>
                <w:szCs w:val="18"/>
              </w:rPr>
              <w:t>*</w:t>
            </w:r>
          </w:p>
          <w:p w14:paraId="36EE82A5" w14:textId="77777777" w:rsidR="00501C7E" w:rsidRDefault="00EC5712">
            <w:pPr>
              <w:widowControl/>
              <w:jc w:val="center"/>
              <w:textAlignment w:val="bottom"/>
              <w:rPr>
                <w:rFonts w:ascii="Times New Roman" w:eastAsia="黑体" w:hAnsi="Times New Roman"/>
                <w:sz w:val="18"/>
                <w:szCs w:val="18"/>
              </w:rPr>
            </w:pPr>
            <w:r>
              <w:rPr>
                <w:rFonts w:ascii="Times New Roman" w:hAnsi="Times New Roman"/>
                <w:kern w:val="0"/>
                <w:sz w:val="18"/>
                <w:szCs w:val="18"/>
              </w:rPr>
              <w:t>（</w:t>
            </w:r>
            <w:r>
              <w:rPr>
                <w:rFonts w:ascii="Times New Roman" w:hAnsi="Times New Roman"/>
                <w:kern w:val="0"/>
                <w:sz w:val="18"/>
                <w:szCs w:val="18"/>
              </w:rPr>
              <w:t>0.43</w:t>
            </w:r>
            <w:r>
              <w:rPr>
                <w:rFonts w:ascii="Times New Roman" w:hAnsi="Times New Roman"/>
                <w:kern w:val="0"/>
                <w:sz w:val="18"/>
                <w:szCs w:val="18"/>
              </w:rPr>
              <w:t>）</w:t>
            </w:r>
          </w:p>
        </w:tc>
        <w:tc>
          <w:tcPr>
            <w:tcW w:w="2280" w:type="dxa"/>
            <w:tcBorders>
              <w:tl2br w:val="nil"/>
              <w:tr2bl w:val="nil"/>
            </w:tcBorders>
            <w:vAlign w:val="center"/>
          </w:tcPr>
          <w:p w14:paraId="7716CCBA"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0.59</w:t>
            </w:r>
            <w:r>
              <w:rPr>
                <w:rFonts w:ascii="Times New Roman" w:hAnsi="Times New Roman"/>
                <w:iCs/>
                <w:sz w:val="18"/>
                <w:szCs w:val="18"/>
              </w:rPr>
              <w:t>*</w:t>
            </w:r>
          </w:p>
          <w:p w14:paraId="40B90524" w14:textId="77777777" w:rsidR="00501C7E" w:rsidRDefault="00EC5712">
            <w:pPr>
              <w:widowControl/>
              <w:jc w:val="center"/>
              <w:textAlignment w:val="bottom"/>
              <w:rPr>
                <w:rFonts w:ascii="Times New Roman" w:eastAsia="黑体" w:hAnsi="Times New Roman"/>
                <w:sz w:val="18"/>
                <w:szCs w:val="18"/>
              </w:rPr>
            </w:pPr>
            <w:r>
              <w:rPr>
                <w:rFonts w:ascii="Times New Roman" w:hAnsi="Times New Roman"/>
                <w:kern w:val="0"/>
                <w:sz w:val="18"/>
                <w:szCs w:val="18"/>
              </w:rPr>
              <w:t>（</w:t>
            </w:r>
            <w:r>
              <w:rPr>
                <w:rFonts w:ascii="Times New Roman" w:hAnsi="Times New Roman"/>
                <w:kern w:val="0"/>
                <w:sz w:val="18"/>
                <w:szCs w:val="18"/>
              </w:rPr>
              <w:t>0.40</w:t>
            </w:r>
            <w:r>
              <w:rPr>
                <w:rFonts w:ascii="Times New Roman" w:hAnsi="Times New Roman"/>
                <w:kern w:val="0"/>
                <w:sz w:val="18"/>
                <w:szCs w:val="18"/>
              </w:rPr>
              <w:t>）</w:t>
            </w:r>
          </w:p>
        </w:tc>
        <w:tc>
          <w:tcPr>
            <w:tcW w:w="2280" w:type="dxa"/>
            <w:tcBorders>
              <w:tl2br w:val="nil"/>
              <w:tr2bl w:val="nil"/>
            </w:tcBorders>
            <w:vAlign w:val="center"/>
          </w:tcPr>
          <w:p w14:paraId="1506FC7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0.59</w:t>
            </w:r>
            <w:r>
              <w:rPr>
                <w:rFonts w:ascii="Times New Roman" w:hAnsi="Times New Roman"/>
                <w:iCs/>
                <w:sz w:val="18"/>
                <w:szCs w:val="18"/>
              </w:rPr>
              <w:t>*</w:t>
            </w:r>
          </w:p>
          <w:p w14:paraId="480F1DAB" w14:textId="77777777" w:rsidR="00501C7E" w:rsidRDefault="00EC5712">
            <w:pPr>
              <w:widowControl/>
              <w:jc w:val="center"/>
              <w:textAlignment w:val="bottom"/>
              <w:rPr>
                <w:rFonts w:ascii="Times New Roman" w:eastAsia="黑体" w:hAnsi="Times New Roman"/>
                <w:sz w:val="18"/>
                <w:szCs w:val="18"/>
              </w:rPr>
            </w:pPr>
            <w:r>
              <w:rPr>
                <w:rFonts w:ascii="Times New Roman" w:hAnsi="Times New Roman"/>
                <w:kern w:val="0"/>
                <w:sz w:val="18"/>
                <w:szCs w:val="18"/>
              </w:rPr>
              <w:t>（</w:t>
            </w:r>
            <w:r>
              <w:rPr>
                <w:rFonts w:ascii="Times New Roman" w:hAnsi="Times New Roman"/>
                <w:kern w:val="0"/>
                <w:sz w:val="18"/>
                <w:szCs w:val="18"/>
              </w:rPr>
              <w:t>0.39</w:t>
            </w:r>
            <w:r>
              <w:rPr>
                <w:rFonts w:ascii="Times New Roman" w:hAnsi="Times New Roman"/>
                <w:kern w:val="0"/>
                <w:sz w:val="18"/>
                <w:szCs w:val="18"/>
              </w:rPr>
              <w:t>）</w:t>
            </w:r>
          </w:p>
        </w:tc>
      </w:tr>
      <w:tr w:rsidR="00501C7E" w14:paraId="429937B8" w14:textId="77777777">
        <w:trPr>
          <w:trHeight w:val="604"/>
        </w:trPr>
        <w:tc>
          <w:tcPr>
            <w:tcW w:w="2279" w:type="dxa"/>
            <w:vMerge w:val="restart"/>
            <w:tcBorders>
              <w:tl2br w:val="nil"/>
              <w:tr2bl w:val="nil"/>
            </w:tcBorders>
            <w:vAlign w:val="center"/>
          </w:tcPr>
          <w:p w14:paraId="0CEFAE79" w14:textId="77777777" w:rsidR="00501C7E" w:rsidRDefault="00000000">
            <w:pPr>
              <w:widowControl/>
              <w:jc w:val="center"/>
              <w:textAlignment w:val="bottom"/>
              <w:rPr>
                <w:rFonts w:ascii="Times New Roman" w:eastAsia="黑体" w:hAnsi="Times New Roman"/>
                <w:sz w:val="18"/>
                <w:szCs w:val="18"/>
              </w:rPr>
            </w:pPr>
            <m:oMathPara>
              <m:oMath>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m:t>
                        </m:r>
                      </m:sub>
                    </m:sSub>
                    <m:r>
                      <w:rPr>
                        <w:rFonts w:ascii="Cambria Math" w:hAnsi="Cambria Math"/>
                        <w:sz w:val="18"/>
                        <w:szCs w:val="18"/>
                      </w:rPr>
                      <m:t>z</m:t>
                    </m:r>
                  </m:e>
                  <m:sub>
                    <m:r>
                      <w:rPr>
                        <w:rFonts w:ascii="Cambria Math" w:hAnsi="Cambria Math"/>
                        <w:sz w:val="18"/>
                        <w:szCs w:val="18"/>
                      </w:rPr>
                      <m:t>1</m:t>
                    </m:r>
                  </m:sub>
                </m:sSub>
              </m:oMath>
            </m:oMathPara>
          </w:p>
        </w:tc>
        <w:tc>
          <w:tcPr>
            <w:tcW w:w="2279" w:type="dxa"/>
            <w:tcBorders>
              <w:tl2br w:val="nil"/>
              <w:tr2bl w:val="nil"/>
            </w:tcBorders>
            <w:vAlign w:val="center"/>
          </w:tcPr>
          <w:p w14:paraId="62051E9D"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0.63</w:t>
            </w:r>
          </w:p>
          <w:p w14:paraId="797451E3" w14:textId="77777777" w:rsidR="00501C7E" w:rsidRDefault="00EC5712">
            <w:pPr>
              <w:widowControl/>
              <w:jc w:val="center"/>
              <w:textAlignment w:val="bottom"/>
              <w:rPr>
                <w:rFonts w:ascii="Times New Roman" w:eastAsia="黑体" w:hAnsi="Times New Roman"/>
                <w:sz w:val="18"/>
                <w:szCs w:val="18"/>
              </w:rPr>
            </w:pPr>
            <w:r>
              <w:rPr>
                <w:rFonts w:ascii="Times New Roman" w:hAnsi="Times New Roman"/>
                <w:kern w:val="0"/>
                <w:sz w:val="18"/>
                <w:szCs w:val="18"/>
              </w:rPr>
              <w:t>（</w:t>
            </w:r>
            <w:r>
              <w:rPr>
                <w:rFonts w:ascii="Times New Roman" w:hAnsi="Times New Roman"/>
                <w:kern w:val="0"/>
                <w:sz w:val="18"/>
                <w:szCs w:val="18"/>
              </w:rPr>
              <w:t>0.47</w:t>
            </w:r>
            <w:r>
              <w:rPr>
                <w:rFonts w:ascii="Times New Roman" w:hAnsi="Times New Roman"/>
                <w:kern w:val="0"/>
                <w:sz w:val="18"/>
                <w:szCs w:val="18"/>
              </w:rPr>
              <w:t>）</w:t>
            </w:r>
          </w:p>
        </w:tc>
        <w:tc>
          <w:tcPr>
            <w:tcW w:w="2280" w:type="dxa"/>
            <w:tcBorders>
              <w:tl2br w:val="nil"/>
              <w:tr2bl w:val="nil"/>
            </w:tcBorders>
            <w:vAlign w:val="center"/>
          </w:tcPr>
          <w:p w14:paraId="7E765E0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0.71</w:t>
            </w:r>
          </w:p>
          <w:p w14:paraId="1E0260C1" w14:textId="77777777" w:rsidR="00501C7E" w:rsidRDefault="00EC5712">
            <w:pPr>
              <w:widowControl/>
              <w:jc w:val="center"/>
              <w:textAlignment w:val="bottom"/>
              <w:rPr>
                <w:rFonts w:ascii="Times New Roman" w:eastAsia="黑体" w:hAnsi="Times New Roman"/>
                <w:sz w:val="18"/>
                <w:szCs w:val="18"/>
              </w:rPr>
            </w:pPr>
            <w:r>
              <w:rPr>
                <w:rFonts w:ascii="Times New Roman" w:hAnsi="Times New Roman"/>
                <w:kern w:val="0"/>
                <w:sz w:val="18"/>
                <w:szCs w:val="18"/>
              </w:rPr>
              <w:t>（</w:t>
            </w:r>
            <w:r>
              <w:rPr>
                <w:rFonts w:ascii="Times New Roman" w:hAnsi="Times New Roman"/>
                <w:kern w:val="0"/>
                <w:sz w:val="18"/>
                <w:szCs w:val="18"/>
              </w:rPr>
              <w:t>0.49</w:t>
            </w:r>
            <w:r>
              <w:rPr>
                <w:rFonts w:ascii="Times New Roman" w:hAnsi="Times New Roman"/>
                <w:kern w:val="0"/>
                <w:sz w:val="18"/>
                <w:szCs w:val="18"/>
              </w:rPr>
              <w:t>）</w:t>
            </w:r>
          </w:p>
        </w:tc>
        <w:tc>
          <w:tcPr>
            <w:tcW w:w="2280" w:type="dxa"/>
            <w:tcBorders>
              <w:tl2br w:val="nil"/>
              <w:tr2bl w:val="nil"/>
            </w:tcBorders>
            <w:vAlign w:val="center"/>
          </w:tcPr>
          <w:p w14:paraId="5C468BBA"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0.59</w:t>
            </w:r>
          </w:p>
          <w:p w14:paraId="196B4094" w14:textId="77777777" w:rsidR="00501C7E" w:rsidRDefault="00EC5712">
            <w:pPr>
              <w:widowControl/>
              <w:jc w:val="center"/>
              <w:textAlignment w:val="bottom"/>
              <w:rPr>
                <w:rFonts w:ascii="Times New Roman" w:eastAsia="黑体" w:hAnsi="Times New Roman"/>
                <w:sz w:val="18"/>
                <w:szCs w:val="18"/>
              </w:rPr>
            </w:pPr>
            <w:r>
              <w:rPr>
                <w:rFonts w:ascii="Times New Roman" w:hAnsi="Times New Roman"/>
                <w:kern w:val="0"/>
                <w:sz w:val="18"/>
                <w:szCs w:val="18"/>
              </w:rPr>
              <w:t>（</w:t>
            </w:r>
            <w:r>
              <w:rPr>
                <w:rFonts w:ascii="Times New Roman" w:hAnsi="Times New Roman"/>
                <w:kern w:val="0"/>
                <w:sz w:val="18"/>
                <w:szCs w:val="18"/>
              </w:rPr>
              <w:t>0.51</w:t>
            </w:r>
            <w:r>
              <w:rPr>
                <w:rFonts w:ascii="Times New Roman" w:hAnsi="Times New Roman"/>
                <w:kern w:val="0"/>
                <w:sz w:val="18"/>
                <w:szCs w:val="18"/>
              </w:rPr>
              <w:t>）</w:t>
            </w:r>
          </w:p>
        </w:tc>
      </w:tr>
      <w:tr w:rsidR="00501C7E" w14:paraId="136301DD" w14:textId="77777777">
        <w:trPr>
          <w:trHeight w:val="604"/>
        </w:trPr>
        <w:tc>
          <w:tcPr>
            <w:tcW w:w="2279" w:type="dxa"/>
            <w:vMerge w:val="restart"/>
            <w:tcBorders>
              <w:tl2br w:val="nil"/>
              <w:tr2bl w:val="nil"/>
            </w:tcBorders>
            <w:vAlign w:val="center"/>
          </w:tcPr>
          <w:p w14:paraId="0AFB7267" w14:textId="77777777" w:rsidR="00501C7E" w:rsidRDefault="00000000">
            <w:pPr>
              <w:widowControl/>
              <w:jc w:val="center"/>
              <w:textAlignment w:val="bottom"/>
              <w:rPr>
                <w:rFonts w:ascii="Times New Roman" w:eastAsia="黑体" w:hAnsi="Times New Roman"/>
                <w:sz w:val="18"/>
                <w:szCs w:val="18"/>
              </w:rPr>
            </w:pPr>
            <m:oMathPara>
              <m:oMath>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2</m:t>
                    </m:r>
                  </m:sub>
                </m:sSub>
              </m:oMath>
            </m:oMathPara>
          </w:p>
        </w:tc>
        <w:tc>
          <w:tcPr>
            <w:tcW w:w="2279" w:type="dxa"/>
            <w:vMerge w:val="restart"/>
            <w:tcBorders>
              <w:tl2br w:val="nil"/>
              <w:tr2bl w:val="nil"/>
            </w:tcBorders>
            <w:vAlign w:val="center"/>
          </w:tcPr>
          <w:p w14:paraId="6B6083C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56.27</w:t>
            </w:r>
            <w:r>
              <w:rPr>
                <w:rFonts w:ascii="Times New Roman" w:hAnsi="Times New Roman"/>
                <w:iCs/>
                <w:sz w:val="18"/>
                <w:szCs w:val="18"/>
              </w:rPr>
              <w:t>***</w:t>
            </w:r>
          </w:p>
          <w:p w14:paraId="70AB4EA3" w14:textId="77777777" w:rsidR="00501C7E" w:rsidRDefault="00EC5712">
            <w:pPr>
              <w:widowControl/>
              <w:jc w:val="center"/>
              <w:textAlignment w:val="bottom"/>
              <w:rPr>
                <w:rFonts w:ascii="Times New Roman" w:eastAsia="黑体" w:hAnsi="Times New Roman"/>
                <w:sz w:val="18"/>
                <w:szCs w:val="18"/>
              </w:rPr>
            </w:pPr>
            <w:r>
              <w:rPr>
                <w:rFonts w:ascii="Times New Roman" w:hAnsi="Times New Roman"/>
                <w:kern w:val="0"/>
                <w:sz w:val="18"/>
                <w:szCs w:val="18"/>
              </w:rPr>
              <w:t>（</w:t>
            </w:r>
            <w:r>
              <w:rPr>
                <w:rFonts w:ascii="Times New Roman" w:hAnsi="Times New Roman"/>
                <w:kern w:val="0"/>
                <w:sz w:val="18"/>
                <w:szCs w:val="18"/>
              </w:rPr>
              <w:t>13.17</w:t>
            </w:r>
            <w:r>
              <w:rPr>
                <w:rFonts w:ascii="Times New Roman" w:hAnsi="Times New Roman"/>
                <w:kern w:val="0"/>
                <w:sz w:val="18"/>
                <w:szCs w:val="18"/>
              </w:rPr>
              <w:t>）</w:t>
            </w:r>
          </w:p>
        </w:tc>
        <w:tc>
          <w:tcPr>
            <w:tcW w:w="2280" w:type="dxa"/>
            <w:tcBorders>
              <w:tl2br w:val="nil"/>
              <w:tr2bl w:val="nil"/>
            </w:tcBorders>
            <w:vAlign w:val="center"/>
          </w:tcPr>
          <w:p w14:paraId="76F4C703"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54.60</w:t>
            </w:r>
            <w:r>
              <w:rPr>
                <w:rFonts w:ascii="Times New Roman" w:hAnsi="Times New Roman"/>
                <w:iCs/>
                <w:sz w:val="18"/>
                <w:szCs w:val="18"/>
              </w:rPr>
              <w:t>***</w:t>
            </w:r>
          </w:p>
          <w:p w14:paraId="2783AB69" w14:textId="77777777" w:rsidR="00501C7E" w:rsidRDefault="00EC5712">
            <w:pPr>
              <w:widowControl/>
              <w:jc w:val="center"/>
              <w:textAlignment w:val="bottom"/>
              <w:rPr>
                <w:rFonts w:ascii="Times New Roman" w:eastAsia="黑体" w:hAnsi="Times New Roman"/>
                <w:sz w:val="18"/>
                <w:szCs w:val="18"/>
              </w:rPr>
            </w:pPr>
            <w:r>
              <w:rPr>
                <w:rFonts w:ascii="Times New Roman" w:hAnsi="Times New Roman"/>
                <w:kern w:val="0"/>
                <w:sz w:val="18"/>
                <w:szCs w:val="18"/>
              </w:rPr>
              <w:t>（</w:t>
            </w:r>
            <w:r>
              <w:rPr>
                <w:rFonts w:ascii="Times New Roman" w:hAnsi="Times New Roman"/>
                <w:kern w:val="0"/>
                <w:sz w:val="18"/>
                <w:szCs w:val="18"/>
              </w:rPr>
              <w:t>13.37</w:t>
            </w:r>
            <w:r>
              <w:rPr>
                <w:rFonts w:ascii="Times New Roman" w:hAnsi="Times New Roman"/>
                <w:kern w:val="0"/>
                <w:sz w:val="18"/>
                <w:szCs w:val="18"/>
              </w:rPr>
              <w:t>）</w:t>
            </w:r>
          </w:p>
        </w:tc>
        <w:tc>
          <w:tcPr>
            <w:tcW w:w="2280" w:type="dxa"/>
            <w:tcBorders>
              <w:tl2br w:val="nil"/>
              <w:tr2bl w:val="nil"/>
            </w:tcBorders>
            <w:vAlign w:val="center"/>
          </w:tcPr>
          <w:p w14:paraId="0153B596"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55.34</w:t>
            </w:r>
            <w:r>
              <w:rPr>
                <w:rFonts w:ascii="Times New Roman" w:hAnsi="Times New Roman"/>
                <w:iCs/>
                <w:sz w:val="18"/>
                <w:szCs w:val="18"/>
              </w:rPr>
              <w:t>***</w:t>
            </w:r>
          </w:p>
          <w:p w14:paraId="0369F830" w14:textId="77777777" w:rsidR="00501C7E" w:rsidRDefault="00EC5712">
            <w:pPr>
              <w:widowControl/>
              <w:jc w:val="center"/>
              <w:textAlignment w:val="bottom"/>
              <w:rPr>
                <w:rFonts w:ascii="Times New Roman" w:eastAsia="黑体" w:hAnsi="Times New Roman"/>
                <w:sz w:val="18"/>
                <w:szCs w:val="18"/>
              </w:rPr>
            </w:pPr>
            <w:r>
              <w:rPr>
                <w:rFonts w:ascii="Times New Roman" w:hAnsi="Times New Roman"/>
                <w:kern w:val="0"/>
                <w:sz w:val="18"/>
                <w:szCs w:val="18"/>
              </w:rPr>
              <w:t>（</w:t>
            </w:r>
            <w:r>
              <w:rPr>
                <w:rFonts w:ascii="Times New Roman" w:hAnsi="Times New Roman"/>
                <w:kern w:val="0"/>
                <w:sz w:val="18"/>
                <w:szCs w:val="18"/>
              </w:rPr>
              <w:t>13.41</w:t>
            </w:r>
            <w:r>
              <w:rPr>
                <w:rFonts w:ascii="Times New Roman" w:hAnsi="Times New Roman"/>
                <w:kern w:val="0"/>
                <w:sz w:val="18"/>
                <w:szCs w:val="18"/>
              </w:rPr>
              <w:t>）</w:t>
            </w:r>
          </w:p>
        </w:tc>
      </w:tr>
      <w:tr w:rsidR="00501C7E" w14:paraId="2EFE93F2" w14:textId="77777777">
        <w:trPr>
          <w:trHeight w:val="604"/>
        </w:trPr>
        <w:tc>
          <w:tcPr>
            <w:tcW w:w="2279" w:type="dxa"/>
            <w:vMerge w:val="restart"/>
            <w:tcBorders>
              <w:tl2br w:val="nil"/>
              <w:tr2bl w:val="nil"/>
            </w:tcBorders>
            <w:vAlign w:val="center"/>
          </w:tcPr>
          <w:p w14:paraId="584B31A4" w14:textId="77777777" w:rsidR="00501C7E" w:rsidRDefault="00000000">
            <w:pPr>
              <w:widowControl/>
              <w:jc w:val="center"/>
              <w:textAlignment w:val="bottom"/>
              <w:rPr>
                <w:rFonts w:ascii="Times New Roman" w:eastAsia="黑体" w:hAnsi="Times New Roman"/>
                <w:sz w:val="18"/>
                <w:szCs w:val="18"/>
              </w:rPr>
            </w:pPr>
            <m:oMathPara>
              <m:oMath>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m:t>
                        </m:r>
                      </m:sub>
                    </m:sSub>
                    <m:r>
                      <w:rPr>
                        <w:rFonts w:ascii="Cambria Math" w:hAnsi="Cambria Math"/>
                        <w:sz w:val="18"/>
                        <w:szCs w:val="18"/>
                      </w:rPr>
                      <m:t>z</m:t>
                    </m:r>
                  </m:e>
                  <m:sub>
                    <m:r>
                      <w:rPr>
                        <w:rFonts w:ascii="Cambria Math" w:hAnsi="Cambria Math"/>
                        <w:sz w:val="18"/>
                        <w:szCs w:val="18"/>
                      </w:rPr>
                      <m:t>2</m:t>
                    </m:r>
                  </m:sub>
                </m:sSub>
              </m:oMath>
            </m:oMathPara>
          </w:p>
        </w:tc>
        <w:tc>
          <w:tcPr>
            <w:tcW w:w="2279" w:type="dxa"/>
            <w:vMerge w:val="restart"/>
            <w:tcBorders>
              <w:tl2br w:val="nil"/>
              <w:tr2bl w:val="nil"/>
            </w:tcBorders>
            <w:vAlign w:val="center"/>
          </w:tcPr>
          <w:p w14:paraId="57BC3D8B"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-4.12</w:t>
            </w:r>
            <w:r>
              <w:rPr>
                <w:rFonts w:ascii="Times New Roman" w:hAnsi="Times New Roman"/>
                <w:iCs/>
                <w:sz w:val="18"/>
                <w:szCs w:val="18"/>
              </w:rPr>
              <w:t>**</w:t>
            </w:r>
          </w:p>
          <w:p w14:paraId="6B91EF29" w14:textId="77777777" w:rsidR="00501C7E" w:rsidRDefault="00EC5712">
            <w:pPr>
              <w:widowControl/>
              <w:jc w:val="center"/>
              <w:textAlignment w:val="bottom"/>
              <w:rPr>
                <w:rFonts w:ascii="Times New Roman" w:eastAsia="黑体" w:hAnsi="Times New Roman"/>
                <w:sz w:val="18"/>
                <w:szCs w:val="18"/>
              </w:rPr>
            </w:pPr>
            <w:r>
              <w:rPr>
                <w:rFonts w:ascii="Times New Roman" w:hAnsi="Times New Roman"/>
                <w:kern w:val="0"/>
                <w:sz w:val="18"/>
                <w:szCs w:val="18"/>
              </w:rPr>
              <w:t>（</w:t>
            </w:r>
            <w:r>
              <w:rPr>
                <w:rFonts w:ascii="Times New Roman" w:hAnsi="Times New Roman"/>
                <w:kern w:val="0"/>
                <w:sz w:val="18"/>
                <w:szCs w:val="18"/>
              </w:rPr>
              <w:t>1.66</w:t>
            </w:r>
            <w:r>
              <w:rPr>
                <w:rFonts w:ascii="Times New Roman" w:hAnsi="Times New Roman"/>
                <w:kern w:val="0"/>
                <w:sz w:val="18"/>
                <w:szCs w:val="18"/>
              </w:rPr>
              <w:t>）</w:t>
            </w:r>
          </w:p>
        </w:tc>
        <w:tc>
          <w:tcPr>
            <w:tcW w:w="2280" w:type="dxa"/>
            <w:tcBorders>
              <w:tl2br w:val="nil"/>
              <w:tr2bl w:val="nil"/>
            </w:tcBorders>
            <w:vAlign w:val="center"/>
          </w:tcPr>
          <w:p w14:paraId="5890E6CA"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-4.06</w:t>
            </w:r>
            <w:r>
              <w:rPr>
                <w:rFonts w:ascii="Times New Roman" w:hAnsi="Times New Roman"/>
                <w:iCs/>
                <w:sz w:val="18"/>
                <w:szCs w:val="18"/>
              </w:rPr>
              <w:t>**</w:t>
            </w:r>
          </w:p>
          <w:p w14:paraId="49F2A6A1" w14:textId="77777777" w:rsidR="00501C7E" w:rsidRDefault="00EC5712">
            <w:pPr>
              <w:widowControl/>
              <w:jc w:val="center"/>
              <w:textAlignment w:val="bottom"/>
              <w:rPr>
                <w:rFonts w:ascii="Times New Roman" w:eastAsia="黑体" w:hAnsi="Times New Roman"/>
                <w:sz w:val="18"/>
                <w:szCs w:val="18"/>
              </w:rPr>
            </w:pPr>
            <w:r>
              <w:rPr>
                <w:rFonts w:ascii="Times New Roman" w:hAnsi="Times New Roman"/>
                <w:kern w:val="0"/>
                <w:sz w:val="18"/>
                <w:szCs w:val="18"/>
              </w:rPr>
              <w:t>（</w:t>
            </w:r>
            <w:r>
              <w:rPr>
                <w:rFonts w:ascii="Times New Roman" w:hAnsi="Times New Roman"/>
                <w:kern w:val="0"/>
                <w:sz w:val="18"/>
                <w:szCs w:val="18"/>
              </w:rPr>
              <w:t>1.93</w:t>
            </w:r>
            <w:r>
              <w:rPr>
                <w:rFonts w:ascii="Times New Roman" w:hAnsi="Times New Roman"/>
                <w:kern w:val="0"/>
                <w:sz w:val="18"/>
                <w:szCs w:val="18"/>
              </w:rPr>
              <w:t>）</w:t>
            </w:r>
          </w:p>
        </w:tc>
        <w:tc>
          <w:tcPr>
            <w:tcW w:w="2280" w:type="dxa"/>
            <w:tcBorders>
              <w:tl2br w:val="nil"/>
              <w:tr2bl w:val="nil"/>
            </w:tcBorders>
            <w:vAlign w:val="center"/>
          </w:tcPr>
          <w:p w14:paraId="7CEF40C2"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-4.35</w:t>
            </w:r>
            <w:r>
              <w:rPr>
                <w:rFonts w:ascii="Times New Roman" w:hAnsi="Times New Roman"/>
                <w:iCs/>
                <w:sz w:val="18"/>
                <w:szCs w:val="18"/>
              </w:rPr>
              <w:t>**</w:t>
            </w:r>
          </w:p>
          <w:p w14:paraId="01943D41" w14:textId="77777777" w:rsidR="00501C7E" w:rsidRDefault="00EC5712">
            <w:pPr>
              <w:widowControl/>
              <w:jc w:val="center"/>
              <w:textAlignment w:val="bottom"/>
              <w:rPr>
                <w:rFonts w:ascii="Times New Roman" w:eastAsia="黑体" w:hAnsi="Times New Roman"/>
                <w:sz w:val="18"/>
                <w:szCs w:val="18"/>
              </w:rPr>
            </w:pPr>
            <w:r>
              <w:rPr>
                <w:rFonts w:ascii="Times New Roman" w:hAnsi="Times New Roman"/>
                <w:kern w:val="0"/>
                <w:sz w:val="18"/>
                <w:szCs w:val="18"/>
              </w:rPr>
              <w:t>（</w:t>
            </w:r>
            <w:r>
              <w:rPr>
                <w:rFonts w:ascii="Times New Roman" w:hAnsi="Times New Roman"/>
                <w:kern w:val="0"/>
                <w:sz w:val="18"/>
                <w:szCs w:val="18"/>
              </w:rPr>
              <w:t>2.06</w:t>
            </w:r>
            <w:r>
              <w:rPr>
                <w:rFonts w:ascii="Times New Roman" w:hAnsi="Times New Roman"/>
                <w:kern w:val="0"/>
                <w:sz w:val="18"/>
                <w:szCs w:val="18"/>
              </w:rPr>
              <w:t>）</w:t>
            </w:r>
          </w:p>
        </w:tc>
      </w:tr>
      <w:tr w:rsidR="00501C7E" w14:paraId="14F5158A" w14:textId="77777777">
        <w:trPr>
          <w:trHeight w:val="604"/>
        </w:trPr>
        <w:tc>
          <w:tcPr>
            <w:tcW w:w="2279" w:type="dxa"/>
            <w:tcBorders>
              <w:tl2br w:val="nil"/>
              <w:tr2bl w:val="nil"/>
            </w:tcBorders>
            <w:vAlign w:val="center"/>
          </w:tcPr>
          <w:p w14:paraId="777E80A1" w14:textId="77777777" w:rsidR="00501C7E" w:rsidRDefault="00EC5712">
            <w:pPr>
              <w:widowControl/>
              <w:jc w:val="center"/>
              <w:textAlignment w:val="bottom"/>
              <w:rPr>
                <w:rFonts w:ascii="Times New Roman" w:eastAsia="黑体" w:hAnsi="Times New Roman"/>
                <w:sz w:val="18"/>
                <w:szCs w:val="18"/>
              </w:rPr>
            </w:pPr>
            <m:oMathPara>
              <m:oMath>
                <m:r>
                  <w:rPr>
                    <w:rFonts w:ascii="Cambria Math" w:hAnsi="Cambria Math"/>
                    <w:sz w:val="18"/>
                    <w:szCs w:val="18"/>
                  </w:rPr>
                  <m:t>M</m:t>
                </m:r>
              </m:oMath>
            </m:oMathPara>
          </w:p>
        </w:tc>
        <w:tc>
          <w:tcPr>
            <w:tcW w:w="2279" w:type="dxa"/>
            <w:tcBorders>
              <w:tl2br w:val="nil"/>
              <w:tr2bl w:val="nil"/>
            </w:tcBorders>
            <w:vAlign w:val="center"/>
          </w:tcPr>
          <w:p w14:paraId="4B19A466"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9.21</w:t>
            </w:r>
          </w:p>
          <w:p w14:paraId="31C4C1AF"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83.08</w:t>
            </w:r>
            <w:r>
              <w:rPr>
                <w:rFonts w:ascii="Times New Roman" w:hAnsi="Times New Roman"/>
                <w:kern w:val="0"/>
                <w:sz w:val="18"/>
                <w:szCs w:val="18"/>
              </w:rPr>
              <w:t>）</w:t>
            </w:r>
          </w:p>
        </w:tc>
        <w:tc>
          <w:tcPr>
            <w:tcW w:w="2280" w:type="dxa"/>
            <w:tcBorders>
              <w:tl2br w:val="nil"/>
              <w:tr2bl w:val="nil"/>
            </w:tcBorders>
            <w:vAlign w:val="center"/>
          </w:tcPr>
          <w:p w14:paraId="64472E3D"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-1.63</w:t>
            </w:r>
          </w:p>
          <w:p w14:paraId="19C5C7EF"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85.26</w:t>
            </w:r>
            <w:r>
              <w:rPr>
                <w:rFonts w:ascii="Times New Roman" w:hAnsi="Times New Roman"/>
                <w:kern w:val="0"/>
                <w:sz w:val="18"/>
                <w:szCs w:val="18"/>
              </w:rPr>
              <w:t>）</w:t>
            </w:r>
          </w:p>
        </w:tc>
        <w:tc>
          <w:tcPr>
            <w:tcW w:w="2280" w:type="dxa"/>
            <w:tcBorders>
              <w:tl2br w:val="nil"/>
              <w:tr2bl w:val="nil"/>
            </w:tcBorders>
            <w:vAlign w:val="center"/>
          </w:tcPr>
          <w:p w14:paraId="5393D345"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-3.04</w:t>
            </w:r>
          </w:p>
          <w:p w14:paraId="691CE7CA"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83.60</w:t>
            </w:r>
            <w:r>
              <w:rPr>
                <w:rFonts w:ascii="Times New Roman" w:hAnsi="Times New Roman"/>
                <w:kern w:val="0"/>
                <w:sz w:val="18"/>
                <w:szCs w:val="18"/>
              </w:rPr>
              <w:t>）</w:t>
            </w:r>
          </w:p>
        </w:tc>
      </w:tr>
      <w:tr w:rsidR="00501C7E" w14:paraId="57CA9E84" w14:textId="77777777">
        <w:tc>
          <w:tcPr>
            <w:tcW w:w="2279" w:type="dxa"/>
            <w:tcBorders>
              <w:tl2br w:val="nil"/>
              <w:tr2bl w:val="nil"/>
            </w:tcBorders>
            <w:vAlign w:val="center"/>
          </w:tcPr>
          <w:p w14:paraId="19480ADA" w14:textId="77777777" w:rsidR="00501C7E" w:rsidRDefault="00EC5712">
            <w:pPr>
              <w:jc w:val="center"/>
              <w:rPr>
                <w:rFonts w:ascii="Times New Roman" w:eastAsia="黑体" w:hAnsi="Times New Roman"/>
                <w:sz w:val="18"/>
                <w:szCs w:val="18"/>
              </w:rPr>
            </w:pPr>
            <w:r>
              <w:rPr>
                <w:rFonts w:ascii="Times New Roman" w:hAnsi="Times New Roman"/>
                <w:sz w:val="18"/>
                <w:szCs w:val="18"/>
              </w:rPr>
              <w:t>观测值</w:t>
            </w:r>
          </w:p>
        </w:tc>
        <w:tc>
          <w:tcPr>
            <w:tcW w:w="2279" w:type="dxa"/>
            <w:tcBorders>
              <w:tl2br w:val="nil"/>
              <w:tr2bl w:val="nil"/>
            </w:tcBorders>
            <w:vAlign w:val="center"/>
          </w:tcPr>
          <w:p w14:paraId="7BD51E1D"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c>
          <w:tcPr>
            <w:tcW w:w="2280" w:type="dxa"/>
            <w:tcBorders>
              <w:tl2br w:val="nil"/>
              <w:tr2bl w:val="nil"/>
            </w:tcBorders>
            <w:vAlign w:val="center"/>
          </w:tcPr>
          <w:p w14:paraId="39F14555"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c>
          <w:tcPr>
            <w:tcW w:w="2280" w:type="dxa"/>
            <w:tcBorders>
              <w:tl2br w:val="nil"/>
              <w:tr2bl w:val="nil"/>
            </w:tcBorders>
            <w:vAlign w:val="center"/>
          </w:tcPr>
          <w:p w14:paraId="77FD9F06"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r>
      <w:tr w:rsidR="00501C7E" w14:paraId="0650860A" w14:textId="77777777">
        <w:tc>
          <w:tcPr>
            <w:tcW w:w="2279" w:type="dxa"/>
            <w:tcBorders>
              <w:tl2br w:val="nil"/>
              <w:tr2bl w:val="nil"/>
            </w:tcBorders>
            <w:vAlign w:val="center"/>
          </w:tcPr>
          <w:p w14:paraId="1330192E" w14:textId="77777777" w:rsidR="00501C7E" w:rsidRDefault="00EC5712">
            <w:pPr>
              <w:widowControl/>
              <w:jc w:val="center"/>
              <w:textAlignment w:val="bottom"/>
              <w:rPr>
                <w:rFonts w:ascii="Times New Roman" w:eastAsia="黑体" w:hAnsi="Times New Roman"/>
                <w:sz w:val="18"/>
                <w:szCs w:val="18"/>
              </w:rPr>
            </w:pPr>
            <w:r>
              <w:rPr>
                <w:rFonts w:ascii="Times New Roman" w:hAnsi="Times New Roman"/>
                <w:kern w:val="0"/>
                <w:sz w:val="18"/>
                <w:szCs w:val="18"/>
              </w:rPr>
              <w:t>F</w:t>
            </w:r>
            <w:r>
              <w:rPr>
                <w:rFonts w:ascii="Times New Roman" w:hAnsi="Times New Roman"/>
                <w:kern w:val="0"/>
                <w:sz w:val="18"/>
                <w:szCs w:val="18"/>
              </w:rPr>
              <w:t>值</w:t>
            </w:r>
          </w:p>
        </w:tc>
        <w:tc>
          <w:tcPr>
            <w:tcW w:w="2279" w:type="dxa"/>
            <w:tcBorders>
              <w:tl2br w:val="nil"/>
              <w:tr2bl w:val="nil"/>
            </w:tcBorders>
            <w:vAlign w:val="center"/>
          </w:tcPr>
          <w:p w14:paraId="3742AA6A"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12.36</w:t>
            </w:r>
          </w:p>
        </w:tc>
        <w:tc>
          <w:tcPr>
            <w:tcW w:w="2280" w:type="dxa"/>
            <w:tcBorders>
              <w:tl2br w:val="nil"/>
              <w:tr2bl w:val="nil"/>
            </w:tcBorders>
            <w:vAlign w:val="center"/>
          </w:tcPr>
          <w:p w14:paraId="139080E6"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10.06</w:t>
            </w:r>
          </w:p>
        </w:tc>
        <w:tc>
          <w:tcPr>
            <w:tcW w:w="2280" w:type="dxa"/>
            <w:tcBorders>
              <w:tl2br w:val="nil"/>
              <w:tr2bl w:val="nil"/>
            </w:tcBorders>
            <w:vAlign w:val="center"/>
          </w:tcPr>
          <w:p w14:paraId="29ADA99C"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10.87</w:t>
            </w:r>
          </w:p>
        </w:tc>
      </w:tr>
      <w:tr w:rsidR="00501C7E" w14:paraId="715CF917" w14:textId="77777777">
        <w:tc>
          <w:tcPr>
            <w:tcW w:w="2279" w:type="dxa"/>
            <w:tcBorders>
              <w:tl2br w:val="nil"/>
              <w:tr2bl w:val="nil"/>
            </w:tcBorders>
            <w:vAlign w:val="center"/>
          </w:tcPr>
          <w:p w14:paraId="5A32E23B" w14:textId="77777777" w:rsidR="00501C7E" w:rsidRDefault="009C070E">
            <w:pPr>
              <w:widowControl/>
              <w:jc w:val="center"/>
              <w:textAlignment w:val="bottom"/>
              <w:rPr>
                <w:rFonts w:ascii="Times New Roman" w:eastAsia="黑体" w:hAnsi="Times New Roman"/>
                <w:sz w:val="18"/>
                <w:szCs w:val="18"/>
              </w:rPr>
            </w:pPr>
            <m:oMathPara>
              <m:oMath>
                <m:r>
                  <m:rPr>
                    <m:sty m:val="p"/>
                  </m:rPr>
                  <w:rPr>
                    <w:rFonts w:ascii="Cambria Math" w:hAnsi="Cambria Math"/>
                    <w:sz w:val="18"/>
                    <w:szCs w:val="18"/>
                  </w:rPr>
                  <m:t>调整的</m:t>
                </m:r>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oMath>
            </m:oMathPara>
          </w:p>
        </w:tc>
        <w:tc>
          <w:tcPr>
            <w:tcW w:w="2279" w:type="dxa"/>
            <w:tcBorders>
              <w:tl2br w:val="nil"/>
              <w:tr2bl w:val="nil"/>
            </w:tcBorders>
            <w:vAlign w:val="center"/>
          </w:tcPr>
          <w:p w14:paraId="6D1DDEE7"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0.20</w:t>
            </w:r>
          </w:p>
        </w:tc>
        <w:tc>
          <w:tcPr>
            <w:tcW w:w="2280" w:type="dxa"/>
            <w:tcBorders>
              <w:tl2br w:val="nil"/>
              <w:tr2bl w:val="nil"/>
            </w:tcBorders>
            <w:vAlign w:val="center"/>
          </w:tcPr>
          <w:p w14:paraId="2DFD2C3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0.20</w:t>
            </w:r>
          </w:p>
        </w:tc>
        <w:tc>
          <w:tcPr>
            <w:tcW w:w="2280" w:type="dxa"/>
            <w:tcBorders>
              <w:tl2br w:val="nil"/>
              <w:tr2bl w:val="nil"/>
            </w:tcBorders>
            <w:vAlign w:val="center"/>
          </w:tcPr>
          <w:p w14:paraId="6496343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0.21</w:t>
            </w:r>
          </w:p>
        </w:tc>
      </w:tr>
    </w:tbl>
    <w:p w14:paraId="16CCD787" w14:textId="77777777" w:rsidR="00501C7E" w:rsidRDefault="00EC5712">
      <w:pPr>
        <w:ind w:firstLineChars="100" w:firstLine="150"/>
        <w:rPr>
          <w:rFonts w:ascii="Times New Roman" w:hAnsi="Times New Roman"/>
          <w:kern w:val="0"/>
          <w:szCs w:val="21"/>
        </w:rPr>
      </w:pPr>
      <w:r>
        <w:rPr>
          <w:rFonts w:ascii="Times New Roman" w:eastAsia="楷体" w:hAnsi="Times New Roman"/>
          <w:kern w:val="0"/>
          <w:sz w:val="15"/>
          <w:szCs w:val="15"/>
        </w:rPr>
        <w:t>注：初裁税率和终裁税率的一阶段回归结果相同，在此只展示一个。</w:t>
      </w:r>
    </w:p>
    <w:p w14:paraId="4B75065F" w14:textId="77777777" w:rsidR="00501C7E" w:rsidRDefault="00501C7E">
      <w:pPr>
        <w:jc w:val="center"/>
        <w:rPr>
          <w:rFonts w:ascii="Times New Roman" w:eastAsia="黑体" w:hAnsi="Times New Roman"/>
          <w:szCs w:val="21"/>
        </w:rPr>
      </w:pPr>
    </w:p>
    <w:p w14:paraId="63824A6B" w14:textId="77777777" w:rsidR="00501C7E" w:rsidRDefault="00EC5712">
      <w:pPr>
        <w:jc w:val="center"/>
        <w:rPr>
          <w:rFonts w:ascii="Times New Roman" w:eastAsia="楷体" w:hAnsi="Times New Roman"/>
          <w:bCs/>
          <w:szCs w:val="21"/>
        </w:rPr>
      </w:pPr>
      <w:r>
        <w:rPr>
          <w:rFonts w:ascii="Times New Roman" w:eastAsia="楷体" w:hAnsi="Times New Roman"/>
          <w:bCs/>
          <w:szCs w:val="21"/>
        </w:rPr>
        <w:t>表</w:t>
      </w:r>
      <w:r>
        <w:rPr>
          <w:rFonts w:ascii="Times New Roman" w:eastAsia="楷体" w:hAnsi="Times New Roman"/>
          <w:bCs/>
          <w:szCs w:val="21"/>
        </w:rPr>
        <w:t xml:space="preserve">8  </w:t>
      </w:r>
      <w:r>
        <w:rPr>
          <w:rFonts w:ascii="Times New Roman" w:eastAsia="楷体" w:hAnsi="Times New Roman"/>
          <w:bCs/>
          <w:szCs w:val="21"/>
        </w:rPr>
        <w:t>工具变量检验第一阶段回归结果（</w:t>
      </w:r>
      <m:oMath>
        <m:sSub>
          <m:sSubPr>
            <m:ctrlPr>
              <w:rPr>
                <w:rFonts w:ascii="Cambria Math" w:eastAsia="楷体" w:hAnsi="Cambria Math"/>
                <w:bCs/>
                <w:i/>
                <w:iCs/>
                <w:szCs w:val="21"/>
              </w:rPr>
            </m:ctrlPr>
          </m:sSubPr>
          <m:e>
            <m:sSub>
              <m:sSubPr>
                <m:ctrlPr>
                  <w:rPr>
                    <w:rFonts w:ascii="Cambria Math" w:eastAsia="楷体" w:hAnsi="Cambria Math"/>
                    <w:bCs/>
                    <w:i/>
                    <w:iCs/>
                    <w:szCs w:val="21"/>
                  </w:rPr>
                </m:ctrlPr>
              </m:sSubPr>
              <m:e>
                <m:r>
                  <w:rPr>
                    <w:rFonts w:ascii="Cambria Math" w:eastAsia="楷体" w:hAnsi="Cambria Math"/>
                    <w:szCs w:val="21"/>
                  </w:rPr>
                  <m:t>I</m:t>
                </m:r>
              </m:e>
              <m:sub>
                <m:r>
                  <w:rPr>
                    <w:rFonts w:ascii="Cambria Math" w:eastAsia="楷体" w:hAnsi="Cambria Math"/>
                    <w:szCs w:val="21"/>
                  </w:rPr>
                  <m:t>i</m:t>
                </m:r>
              </m:sub>
            </m:sSub>
            <m:r>
              <w:rPr>
                <w:rFonts w:ascii="Cambria Math" w:eastAsia="楷体" w:hAnsi="Cambria Math"/>
                <w:szCs w:val="21"/>
              </w:rPr>
              <m:t>z</m:t>
            </m:r>
          </m:e>
          <m:sub>
            <m:r>
              <w:rPr>
                <w:rFonts w:ascii="Cambria Math" w:eastAsia="楷体" w:hAnsi="Cambria Math"/>
                <w:szCs w:val="21"/>
              </w:rPr>
              <m:t>i</m:t>
            </m:r>
          </m:sub>
        </m:sSub>
      </m:oMath>
      <w:r>
        <w:rPr>
          <w:rFonts w:ascii="Times New Roman" w:eastAsia="楷体" w:hAnsi="Times New Roman"/>
          <w:bCs/>
          <w:szCs w:val="21"/>
        </w:rPr>
        <w:t>为被解释变量）</w:t>
      </w:r>
    </w:p>
    <w:tbl>
      <w:tblPr>
        <w:tblStyle w:val="a7"/>
        <w:tblW w:w="0" w:type="auto"/>
        <w:tblLook w:val="04A0" w:firstRow="1" w:lastRow="0" w:firstColumn="1" w:lastColumn="0" w:noHBand="0" w:noVBand="1"/>
      </w:tblPr>
      <w:tblGrid>
        <w:gridCol w:w="2203"/>
        <w:gridCol w:w="2217"/>
        <w:gridCol w:w="2218"/>
        <w:gridCol w:w="2218"/>
      </w:tblGrid>
      <w:tr w:rsidR="00501C7E" w14:paraId="267241C9" w14:textId="77777777">
        <w:tc>
          <w:tcPr>
            <w:tcW w:w="2203" w:type="dxa"/>
            <w:tcBorders>
              <w:tl2br w:val="nil"/>
              <w:tr2bl w:val="nil"/>
            </w:tcBorders>
            <w:vAlign w:val="center"/>
          </w:tcPr>
          <w:p w14:paraId="186DD7E5"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lastRenderedPageBreak/>
              <w:t>变量名</w:t>
            </w:r>
          </w:p>
        </w:tc>
        <w:tc>
          <w:tcPr>
            <w:tcW w:w="6653" w:type="dxa"/>
            <w:gridSpan w:val="3"/>
            <w:tcBorders>
              <w:tl2br w:val="nil"/>
              <w:tr2bl w:val="nil"/>
            </w:tcBorders>
            <w:vAlign w:val="center"/>
          </w:tcPr>
          <w:p w14:paraId="49002AAE" w14:textId="77777777" w:rsidR="00501C7E" w:rsidRDefault="00000000">
            <w:pPr>
              <w:jc w:val="center"/>
              <w:rPr>
                <w:rFonts w:ascii="Times New Roman" w:hAnsi="Times New Roman"/>
                <w:kern w:val="0"/>
                <w:sz w:val="18"/>
                <w:szCs w:val="18"/>
              </w:rPr>
            </w:pPr>
            <m:oMathPara>
              <m:oMath>
                <m:sSub>
                  <m:sSubPr>
                    <m:ctrlPr>
                      <w:rPr>
                        <w:rFonts w:ascii="Cambria Math" w:eastAsia="黑体" w:hAnsi="Cambria Math"/>
                        <w:i/>
                        <w:iCs/>
                        <w:sz w:val="18"/>
                        <w:szCs w:val="18"/>
                      </w:rPr>
                    </m:ctrlPr>
                  </m:sSubPr>
                  <m:e>
                    <m:sSub>
                      <m:sSubPr>
                        <m:ctrlPr>
                          <w:rPr>
                            <w:rFonts w:ascii="Cambria Math" w:eastAsia="黑体" w:hAnsi="Cambria Math"/>
                            <w:i/>
                            <w:iCs/>
                            <w:sz w:val="18"/>
                            <w:szCs w:val="18"/>
                          </w:rPr>
                        </m:ctrlPr>
                      </m:sSubPr>
                      <m:e>
                        <m:r>
                          <w:rPr>
                            <w:rFonts w:ascii="Cambria Math" w:eastAsia="黑体" w:hAnsi="Cambria Math"/>
                            <w:sz w:val="18"/>
                            <w:szCs w:val="18"/>
                          </w:rPr>
                          <m:t>I</m:t>
                        </m:r>
                      </m:e>
                      <m:sub>
                        <m:r>
                          <w:rPr>
                            <w:rFonts w:ascii="Cambria Math" w:eastAsia="黑体" w:hAnsi="Cambria Math"/>
                            <w:sz w:val="18"/>
                            <w:szCs w:val="18"/>
                          </w:rPr>
                          <m:t>i</m:t>
                        </m:r>
                      </m:sub>
                    </m:sSub>
                    <m:r>
                      <w:rPr>
                        <w:rFonts w:ascii="Cambria Math" w:eastAsia="黑体" w:hAnsi="Cambria Math"/>
                        <w:sz w:val="18"/>
                        <w:szCs w:val="18"/>
                      </w:rPr>
                      <m:t>z</m:t>
                    </m:r>
                  </m:e>
                  <m:sub>
                    <m:r>
                      <w:rPr>
                        <w:rFonts w:ascii="Cambria Math" w:eastAsia="黑体" w:hAnsi="Cambria Math"/>
                        <w:sz w:val="18"/>
                        <w:szCs w:val="18"/>
                      </w:rPr>
                      <m:t>i</m:t>
                    </m:r>
                  </m:sub>
                </m:sSub>
              </m:oMath>
            </m:oMathPara>
          </w:p>
        </w:tc>
      </w:tr>
      <w:tr w:rsidR="00501C7E" w14:paraId="4B5266A6" w14:textId="77777777">
        <w:tc>
          <w:tcPr>
            <w:tcW w:w="2203" w:type="dxa"/>
            <w:tcBorders>
              <w:tl2br w:val="nil"/>
              <w:tr2bl w:val="nil"/>
            </w:tcBorders>
            <w:vAlign w:val="center"/>
          </w:tcPr>
          <w:p w14:paraId="08527711" w14:textId="77777777" w:rsidR="00501C7E" w:rsidRDefault="00EC5712">
            <w:pPr>
              <w:jc w:val="center"/>
              <w:rPr>
                <w:rFonts w:ascii="Times New Roman" w:hAnsi="Times New Roman"/>
                <w:kern w:val="0"/>
                <w:sz w:val="18"/>
                <w:szCs w:val="18"/>
              </w:rPr>
            </w:pPr>
            <w:r>
              <w:rPr>
                <w:rFonts w:ascii="Times New Roman" w:hAnsi="Times New Roman"/>
                <w:kern w:val="0"/>
                <w:sz w:val="18"/>
                <w:szCs w:val="18"/>
              </w:rPr>
              <w:t>申诉者政治势力排名</w:t>
            </w:r>
          </w:p>
        </w:tc>
        <w:tc>
          <w:tcPr>
            <w:tcW w:w="2217" w:type="dxa"/>
            <w:tcBorders>
              <w:tl2br w:val="nil"/>
              <w:tr2bl w:val="nil"/>
            </w:tcBorders>
            <w:vAlign w:val="center"/>
          </w:tcPr>
          <w:p w14:paraId="5EAE7FBF"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前</w:t>
            </w:r>
            <w:r>
              <w:rPr>
                <w:rFonts w:ascii="Times New Roman" w:hAnsi="Times New Roman"/>
                <w:kern w:val="0"/>
                <w:sz w:val="18"/>
                <w:szCs w:val="18"/>
              </w:rPr>
              <w:t>30%</w:t>
            </w:r>
          </w:p>
        </w:tc>
        <w:tc>
          <w:tcPr>
            <w:tcW w:w="2218" w:type="dxa"/>
            <w:tcBorders>
              <w:tl2br w:val="nil"/>
              <w:tr2bl w:val="nil"/>
            </w:tcBorders>
            <w:vAlign w:val="center"/>
          </w:tcPr>
          <w:p w14:paraId="6767A18B"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前</w:t>
            </w:r>
            <w:r>
              <w:rPr>
                <w:rFonts w:ascii="Times New Roman" w:hAnsi="Times New Roman"/>
                <w:kern w:val="0"/>
                <w:sz w:val="18"/>
                <w:szCs w:val="18"/>
              </w:rPr>
              <w:t>40%</w:t>
            </w:r>
          </w:p>
        </w:tc>
        <w:tc>
          <w:tcPr>
            <w:tcW w:w="2218" w:type="dxa"/>
            <w:tcBorders>
              <w:tl2br w:val="nil"/>
              <w:tr2bl w:val="nil"/>
            </w:tcBorders>
            <w:vAlign w:val="center"/>
          </w:tcPr>
          <w:p w14:paraId="0DAD459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前</w:t>
            </w:r>
            <w:r>
              <w:rPr>
                <w:rFonts w:ascii="Times New Roman" w:hAnsi="Times New Roman"/>
                <w:kern w:val="0"/>
                <w:sz w:val="18"/>
                <w:szCs w:val="18"/>
              </w:rPr>
              <w:t>50%</w:t>
            </w:r>
          </w:p>
        </w:tc>
      </w:tr>
      <w:tr w:rsidR="00501C7E" w14:paraId="2561861B" w14:textId="77777777">
        <w:trPr>
          <w:trHeight w:val="604"/>
        </w:trPr>
        <w:tc>
          <w:tcPr>
            <w:tcW w:w="2203" w:type="dxa"/>
            <w:vMerge w:val="restart"/>
            <w:tcBorders>
              <w:tl2br w:val="nil"/>
              <w:tr2bl w:val="nil"/>
            </w:tcBorders>
            <w:vAlign w:val="center"/>
          </w:tcPr>
          <w:p w14:paraId="3338D721" w14:textId="77777777" w:rsidR="00501C7E" w:rsidRDefault="00000000">
            <w:pPr>
              <w:widowControl/>
              <w:jc w:val="center"/>
              <w:textAlignment w:val="bottom"/>
              <w:rPr>
                <w:rFonts w:ascii="Times New Roman" w:hAnsi="Times New Roman"/>
                <w:kern w:val="0"/>
                <w:sz w:val="18"/>
                <w:szCs w:val="18"/>
              </w:rPr>
            </w:pPr>
            <m:oMathPara>
              <m:oMath>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1</m:t>
                    </m:r>
                  </m:sub>
                </m:sSub>
              </m:oMath>
            </m:oMathPara>
          </w:p>
        </w:tc>
        <w:tc>
          <w:tcPr>
            <w:tcW w:w="2217" w:type="dxa"/>
            <w:tcBorders>
              <w:tl2br w:val="nil"/>
              <w:tr2bl w:val="nil"/>
            </w:tcBorders>
            <w:vAlign w:val="center"/>
          </w:tcPr>
          <w:p w14:paraId="26A1EB4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0.08</w:t>
            </w:r>
          </w:p>
          <w:p w14:paraId="2CCABD0F"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0.15</w:t>
            </w:r>
            <w:r>
              <w:rPr>
                <w:rFonts w:ascii="Times New Roman" w:hAnsi="Times New Roman"/>
                <w:kern w:val="0"/>
                <w:sz w:val="18"/>
                <w:szCs w:val="18"/>
              </w:rPr>
              <w:t>）</w:t>
            </w:r>
          </w:p>
        </w:tc>
        <w:tc>
          <w:tcPr>
            <w:tcW w:w="2218" w:type="dxa"/>
            <w:tcBorders>
              <w:tl2br w:val="nil"/>
              <w:tr2bl w:val="nil"/>
            </w:tcBorders>
            <w:vAlign w:val="center"/>
          </w:tcPr>
          <w:p w14:paraId="78C3B4DF"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0.22</w:t>
            </w:r>
          </w:p>
          <w:p w14:paraId="06FED9B5"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0.16</w:t>
            </w:r>
            <w:r>
              <w:rPr>
                <w:rFonts w:ascii="Times New Roman" w:hAnsi="Times New Roman"/>
                <w:kern w:val="0"/>
                <w:sz w:val="18"/>
                <w:szCs w:val="18"/>
              </w:rPr>
              <w:t>）</w:t>
            </w:r>
          </w:p>
        </w:tc>
        <w:tc>
          <w:tcPr>
            <w:tcW w:w="2218" w:type="dxa"/>
            <w:tcBorders>
              <w:tl2br w:val="nil"/>
              <w:tr2bl w:val="nil"/>
            </w:tcBorders>
            <w:vAlign w:val="center"/>
          </w:tcPr>
          <w:p w14:paraId="79F2B09E"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0.16</w:t>
            </w:r>
          </w:p>
          <w:p w14:paraId="6E6EA29E"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0.19</w:t>
            </w:r>
            <w:r>
              <w:rPr>
                <w:rFonts w:ascii="Times New Roman" w:hAnsi="Times New Roman"/>
                <w:kern w:val="0"/>
                <w:sz w:val="18"/>
                <w:szCs w:val="18"/>
              </w:rPr>
              <w:t>）</w:t>
            </w:r>
          </w:p>
        </w:tc>
      </w:tr>
      <w:tr w:rsidR="00501C7E" w14:paraId="6922B53D" w14:textId="77777777">
        <w:trPr>
          <w:trHeight w:val="604"/>
        </w:trPr>
        <w:tc>
          <w:tcPr>
            <w:tcW w:w="2203" w:type="dxa"/>
            <w:vMerge w:val="restart"/>
            <w:tcBorders>
              <w:tl2br w:val="nil"/>
              <w:tr2bl w:val="nil"/>
            </w:tcBorders>
            <w:vAlign w:val="center"/>
          </w:tcPr>
          <w:p w14:paraId="29627348" w14:textId="77777777" w:rsidR="00501C7E" w:rsidRDefault="00000000">
            <w:pPr>
              <w:widowControl/>
              <w:jc w:val="center"/>
              <w:textAlignment w:val="bottom"/>
              <w:rPr>
                <w:rFonts w:ascii="Times New Roman" w:hAnsi="Times New Roman"/>
                <w:kern w:val="0"/>
                <w:sz w:val="18"/>
                <w:szCs w:val="18"/>
              </w:rPr>
            </w:pPr>
            <m:oMathPara>
              <m:oMath>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m:t>
                        </m:r>
                      </m:sub>
                    </m:sSub>
                    <m:r>
                      <w:rPr>
                        <w:rFonts w:ascii="Cambria Math" w:hAnsi="Cambria Math"/>
                        <w:sz w:val="18"/>
                        <w:szCs w:val="18"/>
                      </w:rPr>
                      <m:t>z</m:t>
                    </m:r>
                  </m:e>
                  <m:sub>
                    <m:r>
                      <w:rPr>
                        <w:rFonts w:ascii="Cambria Math" w:hAnsi="Cambria Math"/>
                        <w:sz w:val="18"/>
                        <w:szCs w:val="18"/>
                      </w:rPr>
                      <m:t>1</m:t>
                    </m:r>
                  </m:sub>
                </m:sSub>
              </m:oMath>
            </m:oMathPara>
          </w:p>
        </w:tc>
        <w:tc>
          <w:tcPr>
            <w:tcW w:w="2217" w:type="dxa"/>
            <w:tcBorders>
              <w:tl2br w:val="nil"/>
              <w:tr2bl w:val="nil"/>
            </w:tcBorders>
            <w:vAlign w:val="center"/>
          </w:tcPr>
          <w:p w14:paraId="40ED50D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1.31</w:t>
            </w:r>
            <w:r>
              <w:rPr>
                <w:rFonts w:ascii="Times New Roman" w:hAnsi="Times New Roman"/>
                <w:iCs/>
                <w:sz w:val="18"/>
                <w:szCs w:val="18"/>
              </w:rPr>
              <w:t>**</w:t>
            </w:r>
          </w:p>
          <w:p w14:paraId="6B435771"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0.55</w:t>
            </w:r>
            <w:r>
              <w:rPr>
                <w:rFonts w:ascii="Times New Roman" w:hAnsi="Times New Roman"/>
                <w:kern w:val="0"/>
                <w:sz w:val="18"/>
                <w:szCs w:val="18"/>
              </w:rPr>
              <w:t>）</w:t>
            </w:r>
          </w:p>
        </w:tc>
        <w:tc>
          <w:tcPr>
            <w:tcW w:w="2218" w:type="dxa"/>
            <w:tcBorders>
              <w:tl2br w:val="nil"/>
              <w:tr2bl w:val="nil"/>
            </w:tcBorders>
            <w:vAlign w:val="center"/>
          </w:tcPr>
          <w:p w14:paraId="117E764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0.99</w:t>
            </w:r>
            <w:r>
              <w:rPr>
                <w:rFonts w:ascii="Times New Roman" w:hAnsi="Times New Roman"/>
                <w:iCs/>
                <w:sz w:val="18"/>
                <w:szCs w:val="18"/>
              </w:rPr>
              <w:t>**</w:t>
            </w:r>
          </w:p>
          <w:p w14:paraId="3B8B33D1"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0.47</w:t>
            </w:r>
            <w:r>
              <w:rPr>
                <w:rFonts w:ascii="Times New Roman" w:hAnsi="Times New Roman"/>
                <w:kern w:val="0"/>
                <w:sz w:val="18"/>
                <w:szCs w:val="18"/>
              </w:rPr>
              <w:t>）</w:t>
            </w:r>
          </w:p>
        </w:tc>
        <w:tc>
          <w:tcPr>
            <w:tcW w:w="2218" w:type="dxa"/>
            <w:tcBorders>
              <w:tl2br w:val="nil"/>
              <w:tr2bl w:val="nil"/>
            </w:tcBorders>
            <w:vAlign w:val="center"/>
          </w:tcPr>
          <w:p w14:paraId="664FA61A"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0.83</w:t>
            </w:r>
            <w:r>
              <w:rPr>
                <w:rFonts w:ascii="Times New Roman" w:hAnsi="Times New Roman"/>
                <w:iCs/>
                <w:sz w:val="18"/>
                <w:szCs w:val="18"/>
              </w:rPr>
              <w:t>*</w:t>
            </w:r>
          </w:p>
          <w:p w14:paraId="18A410BC"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0.49</w:t>
            </w:r>
            <w:r>
              <w:rPr>
                <w:rFonts w:ascii="Times New Roman" w:hAnsi="Times New Roman"/>
                <w:kern w:val="0"/>
                <w:sz w:val="18"/>
                <w:szCs w:val="18"/>
              </w:rPr>
              <w:t>）</w:t>
            </w:r>
          </w:p>
        </w:tc>
      </w:tr>
      <w:tr w:rsidR="00501C7E" w14:paraId="70EE243D" w14:textId="77777777">
        <w:trPr>
          <w:trHeight w:val="604"/>
        </w:trPr>
        <w:tc>
          <w:tcPr>
            <w:tcW w:w="2203" w:type="dxa"/>
            <w:vMerge w:val="restart"/>
            <w:tcBorders>
              <w:tl2br w:val="nil"/>
              <w:tr2bl w:val="nil"/>
            </w:tcBorders>
            <w:vAlign w:val="center"/>
          </w:tcPr>
          <w:p w14:paraId="738FE728" w14:textId="77777777" w:rsidR="00501C7E" w:rsidRDefault="00000000">
            <w:pPr>
              <w:widowControl/>
              <w:jc w:val="center"/>
              <w:textAlignment w:val="bottom"/>
              <w:rPr>
                <w:rFonts w:ascii="Times New Roman" w:hAnsi="Times New Roman"/>
                <w:kern w:val="0"/>
                <w:sz w:val="18"/>
                <w:szCs w:val="18"/>
              </w:rPr>
            </w:pPr>
            <m:oMathPara>
              <m:oMath>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2</m:t>
                    </m:r>
                  </m:sub>
                </m:sSub>
              </m:oMath>
            </m:oMathPara>
          </w:p>
        </w:tc>
        <w:tc>
          <w:tcPr>
            <w:tcW w:w="2217" w:type="dxa"/>
            <w:tcBorders>
              <w:tl2br w:val="nil"/>
              <w:tr2bl w:val="nil"/>
            </w:tcBorders>
            <w:vAlign w:val="center"/>
          </w:tcPr>
          <w:p w14:paraId="72A3EF5A"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13.61</w:t>
            </w:r>
            <w:r>
              <w:rPr>
                <w:rFonts w:ascii="Times New Roman" w:hAnsi="Times New Roman"/>
                <w:iCs/>
                <w:sz w:val="18"/>
                <w:szCs w:val="18"/>
              </w:rPr>
              <w:t>*</w:t>
            </w:r>
          </w:p>
          <w:p w14:paraId="1622396C"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7.52</w:t>
            </w:r>
            <w:r>
              <w:rPr>
                <w:rFonts w:ascii="Times New Roman" w:hAnsi="Times New Roman"/>
                <w:kern w:val="0"/>
                <w:sz w:val="18"/>
                <w:szCs w:val="18"/>
              </w:rPr>
              <w:t>）</w:t>
            </w:r>
          </w:p>
        </w:tc>
        <w:tc>
          <w:tcPr>
            <w:tcW w:w="2218" w:type="dxa"/>
            <w:tcBorders>
              <w:tl2br w:val="nil"/>
              <w:tr2bl w:val="nil"/>
            </w:tcBorders>
            <w:vAlign w:val="center"/>
          </w:tcPr>
          <w:p w14:paraId="3A01A31A"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21.78</w:t>
            </w:r>
            <w:r>
              <w:rPr>
                <w:rFonts w:ascii="Times New Roman" w:hAnsi="Times New Roman"/>
                <w:iCs/>
                <w:sz w:val="18"/>
                <w:szCs w:val="18"/>
              </w:rPr>
              <w:t>***</w:t>
            </w:r>
          </w:p>
          <w:p w14:paraId="6BDADF21"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7.91</w:t>
            </w:r>
            <w:r>
              <w:rPr>
                <w:rFonts w:ascii="Times New Roman" w:hAnsi="Times New Roman"/>
                <w:kern w:val="0"/>
                <w:sz w:val="18"/>
                <w:szCs w:val="18"/>
              </w:rPr>
              <w:t>）</w:t>
            </w:r>
          </w:p>
        </w:tc>
        <w:tc>
          <w:tcPr>
            <w:tcW w:w="2218" w:type="dxa"/>
            <w:tcBorders>
              <w:tl2br w:val="nil"/>
              <w:tr2bl w:val="nil"/>
            </w:tcBorders>
            <w:vAlign w:val="center"/>
          </w:tcPr>
          <w:p w14:paraId="46AEE827"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22.52</w:t>
            </w:r>
            <w:r>
              <w:rPr>
                <w:rFonts w:ascii="Times New Roman" w:hAnsi="Times New Roman"/>
                <w:iCs/>
                <w:sz w:val="18"/>
                <w:szCs w:val="18"/>
              </w:rPr>
              <w:t>***</w:t>
            </w:r>
          </w:p>
          <w:p w14:paraId="3F0D010D"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7.76</w:t>
            </w:r>
            <w:r>
              <w:rPr>
                <w:rFonts w:ascii="Times New Roman" w:hAnsi="Times New Roman"/>
                <w:kern w:val="0"/>
                <w:sz w:val="18"/>
                <w:szCs w:val="18"/>
              </w:rPr>
              <w:t>）</w:t>
            </w:r>
          </w:p>
        </w:tc>
      </w:tr>
      <w:tr w:rsidR="00501C7E" w14:paraId="4BABAF7A" w14:textId="77777777">
        <w:trPr>
          <w:trHeight w:val="604"/>
        </w:trPr>
        <w:tc>
          <w:tcPr>
            <w:tcW w:w="2203" w:type="dxa"/>
            <w:vMerge w:val="restart"/>
            <w:tcBorders>
              <w:tl2br w:val="nil"/>
              <w:tr2bl w:val="nil"/>
            </w:tcBorders>
            <w:vAlign w:val="center"/>
          </w:tcPr>
          <w:p w14:paraId="7AF1342A" w14:textId="77777777" w:rsidR="00501C7E" w:rsidRDefault="00000000">
            <w:pPr>
              <w:widowControl/>
              <w:jc w:val="center"/>
              <w:textAlignment w:val="bottom"/>
              <w:rPr>
                <w:rFonts w:ascii="Times New Roman" w:hAnsi="Times New Roman"/>
                <w:kern w:val="0"/>
                <w:sz w:val="18"/>
                <w:szCs w:val="18"/>
              </w:rPr>
            </w:pPr>
            <m:oMathPara>
              <m:oMath>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m:t>
                        </m:r>
                      </m:sub>
                    </m:sSub>
                    <m:r>
                      <w:rPr>
                        <w:rFonts w:ascii="Cambria Math" w:hAnsi="Cambria Math"/>
                        <w:sz w:val="18"/>
                        <w:szCs w:val="18"/>
                      </w:rPr>
                      <m:t>z</m:t>
                    </m:r>
                  </m:e>
                  <m:sub>
                    <m:r>
                      <w:rPr>
                        <w:rFonts w:ascii="Cambria Math" w:hAnsi="Cambria Math"/>
                        <w:sz w:val="18"/>
                        <w:szCs w:val="18"/>
                      </w:rPr>
                      <m:t>2</m:t>
                    </m:r>
                  </m:sub>
                </m:sSub>
              </m:oMath>
            </m:oMathPara>
          </w:p>
        </w:tc>
        <w:tc>
          <w:tcPr>
            <w:tcW w:w="2217" w:type="dxa"/>
            <w:tcBorders>
              <w:tl2br w:val="nil"/>
              <w:tr2bl w:val="nil"/>
            </w:tcBorders>
            <w:vAlign w:val="center"/>
          </w:tcPr>
          <w:p w14:paraId="126B20C7"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0.58</w:t>
            </w:r>
            <w:r>
              <w:rPr>
                <w:rFonts w:ascii="Times New Roman" w:hAnsi="Times New Roman"/>
                <w:iCs/>
                <w:sz w:val="18"/>
                <w:szCs w:val="18"/>
              </w:rPr>
              <w:t>*</w:t>
            </w:r>
          </w:p>
          <w:p w14:paraId="32D52CF7"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1.73</w:t>
            </w:r>
            <w:r>
              <w:rPr>
                <w:rFonts w:ascii="Times New Roman" w:hAnsi="Times New Roman"/>
                <w:kern w:val="0"/>
                <w:sz w:val="18"/>
                <w:szCs w:val="18"/>
              </w:rPr>
              <w:t>）</w:t>
            </w:r>
          </w:p>
        </w:tc>
        <w:tc>
          <w:tcPr>
            <w:tcW w:w="2218" w:type="dxa"/>
            <w:tcBorders>
              <w:tl2br w:val="nil"/>
              <w:tr2bl w:val="nil"/>
            </w:tcBorders>
            <w:vAlign w:val="center"/>
          </w:tcPr>
          <w:p w14:paraId="372ABBD3"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2.57</w:t>
            </w:r>
            <w:r>
              <w:rPr>
                <w:rFonts w:ascii="Times New Roman" w:hAnsi="Times New Roman"/>
                <w:iCs/>
                <w:sz w:val="18"/>
                <w:szCs w:val="18"/>
              </w:rPr>
              <w:t>*</w:t>
            </w:r>
          </w:p>
          <w:p w14:paraId="7D745B0D"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1.40</w:t>
            </w:r>
            <w:r>
              <w:rPr>
                <w:rFonts w:ascii="Times New Roman" w:hAnsi="Times New Roman"/>
                <w:kern w:val="0"/>
                <w:sz w:val="18"/>
                <w:szCs w:val="18"/>
              </w:rPr>
              <w:t>）</w:t>
            </w:r>
          </w:p>
        </w:tc>
        <w:tc>
          <w:tcPr>
            <w:tcW w:w="2218" w:type="dxa"/>
            <w:tcBorders>
              <w:tl2br w:val="nil"/>
              <w:tr2bl w:val="nil"/>
            </w:tcBorders>
            <w:vAlign w:val="center"/>
          </w:tcPr>
          <w:p w14:paraId="73D5F3E9"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2.92</w:t>
            </w:r>
            <w:r>
              <w:rPr>
                <w:rFonts w:ascii="Times New Roman" w:hAnsi="Times New Roman"/>
                <w:iCs/>
                <w:sz w:val="18"/>
                <w:szCs w:val="18"/>
              </w:rPr>
              <w:t>**</w:t>
            </w:r>
          </w:p>
          <w:p w14:paraId="71FB2AF3"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1.34</w:t>
            </w:r>
            <w:r>
              <w:rPr>
                <w:rFonts w:ascii="Times New Roman" w:hAnsi="Times New Roman"/>
                <w:kern w:val="0"/>
                <w:sz w:val="18"/>
                <w:szCs w:val="18"/>
              </w:rPr>
              <w:t>）</w:t>
            </w:r>
          </w:p>
        </w:tc>
      </w:tr>
      <w:tr w:rsidR="00501C7E" w14:paraId="53E09A9D" w14:textId="77777777">
        <w:trPr>
          <w:trHeight w:val="604"/>
        </w:trPr>
        <w:tc>
          <w:tcPr>
            <w:tcW w:w="2203" w:type="dxa"/>
            <w:tcBorders>
              <w:tl2br w:val="nil"/>
              <w:tr2bl w:val="nil"/>
            </w:tcBorders>
            <w:vAlign w:val="center"/>
          </w:tcPr>
          <w:p w14:paraId="1477B743" w14:textId="77777777" w:rsidR="00501C7E" w:rsidRDefault="00EC5712">
            <w:pPr>
              <w:widowControl/>
              <w:jc w:val="center"/>
              <w:textAlignment w:val="bottom"/>
              <w:rPr>
                <w:rFonts w:ascii="Cambria Math" w:hAnsi="Cambria Math"/>
                <w:position w:val="-5"/>
                <w:sz w:val="18"/>
                <w:szCs w:val="18"/>
                <w:oMath/>
              </w:rPr>
            </w:pPr>
            <m:oMathPara>
              <m:oMath>
                <m:r>
                  <w:rPr>
                    <w:rFonts w:ascii="Cambria Math" w:hAnsi="Cambria Math"/>
                    <w:sz w:val="18"/>
                    <w:szCs w:val="18"/>
                  </w:rPr>
                  <m:t>M</m:t>
                </m:r>
              </m:oMath>
            </m:oMathPara>
          </w:p>
        </w:tc>
        <w:tc>
          <w:tcPr>
            <w:tcW w:w="2217" w:type="dxa"/>
            <w:tcBorders>
              <w:tl2br w:val="nil"/>
              <w:tr2bl w:val="nil"/>
            </w:tcBorders>
            <w:vAlign w:val="center"/>
          </w:tcPr>
          <w:p w14:paraId="4FBE33F2"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-5.52</w:t>
            </w:r>
          </w:p>
          <w:p w14:paraId="4EDBA401"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25.60</w:t>
            </w:r>
            <w:r>
              <w:rPr>
                <w:rFonts w:ascii="Times New Roman" w:hAnsi="Times New Roman"/>
                <w:kern w:val="0"/>
                <w:sz w:val="18"/>
                <w:szCs w:val="18"/>
              </w:rPr>
              <w:t>）</w:t>
            </w:r>
          </w:p>
        </w:tc>
        <w:tc>
          <w:tcPr>
            <w:tcW w:w="2218" w:type="dxa"/>
            <w:tcBorders>
              <w:tl2br w:val="nil"/>
              <w:tr2bl w:val="nil"/>
            </w:tcBorders>
            <w:vAlign w:val="center"/>
          </w:tcPr>
          <w:p w14:paraId="5B2F9314"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14.23</w:t>
            </w:r>
          </w:p>
          <w:p w14:paraId="4B2A4281"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28.91</w:t>
            </w:r>
            <w:r>
              <w:rPr>
                <w:rFonts w:ascii="Times New Roman" w:hAnsi="Times New Roman"/>
                <w:kern w:val="0"/>
                <w:sz w:val="18"/>
                <w:szCs w:val="18"/>
              </w:rPr>
              <w:t>）</w:t>
            </w:r>
          </w:p>
        </w:tc>
        <w:tc>
          <w:tcPr>
            <w:tcW w:w="2218" w:type="dxa"/>
            <w:tcBorders>
              <w:tl2br w:val="nil"/>
              <w:tr2bl w:val="nil"/>
            </w:tcBorders>
            <w:vAlign w:val="center"/>
          </w:tcPr>
          <w:p w14:paraId="2F46195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33.12</w:t>
            </w:r>
          </w:p>
          <w:p w14:paraId="2F470D93"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32.25</w:t>
            </w:r>
            <w:r>
              <w:rPr>
                <w:rFonts w:ascii="Times New Roman" w:hAnsi="Times New Roman"/>
                <w:kern w:val="0"/>
                <w:sz w:val="18"/>
                <w:szCs w:val="18"/>
              </w:rPr>
              <w:t>）</w:t>
            </w:r>
          </w:p>
        </w:tc>
      </w:tr>
      <w:tr w:rsidR="00501C7E" w14:paraId="73B676CE" w14:textId="77777777">
        <w:tc>
          <w:tcPr>
            <w:tcW w:w="2203" w:type="dxa"/>
            <w:tcBorders>
              <w:tl2br w:val="nil"/>
              <w:tr2bl w:val="nil"/>
            </w:tcBorders>
            <w:vAlign w:val="center"/>
          </w:tcPr>
          <w:p w14:paraId="6A986D8C" w14:textId="77777777" w:rsidR="00501C7E" w:rsidRDefault="00EC5712">
            <w:pPr>
              <w:jc w:val="center"/>
              <w:rPr>
                <w:rFonts w:ascii="Cambria Math" w:hAnsi="Cambria Math"/>
                <w:position w:val="-5"/>
                <w:sz w:val="18"/>
                <w:szCs w:val="18"/>
                <w:oMath/>
              </w:rPr>
            </w:pPr>
            <w:r>
              <w:rPr>
                <w:rFonts w:ascii="Times New Roman" w:hAnsi="Times New Roman"/>
                <w:position w:val="-5"/>
                <w:sz w:val="18"/>
                <w:szCs w:val="18"/>
              </w:rPr>
              <w:t>观测值</w:t>
            </w:r>
          </w:p>
        </w:tc>
        <w:tc>
          <w:tcPr>
            <w:tcW w:w="2217" w:type="dxa"/>
            <w:tcBorders>
              <w:tl2br w:val="nil"/>
              <w:tr2bl w:val="nil"/>
            </w:tcBorders>
            <w:vAlign w:val="center"/>
          </w:tcPr>
          <w:p w14:paraId="74AF7F01"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c>
          <w:tcPr>
            <w:tcW w:w="2218" w:type="dxa"/>
            <w:tcBorders>
              <w:tl2br w:val="nil"/>
              <w:tr2bl w:val="nil"/>
            </w:tcBorders>
            <w:vAlign w:val="center"/>
          </w:tcPr>
          <w:p w14:paraId="0BA83FD4"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c>
          <w:tcPr>
            <w:tcW w:w="2218" w:type="dxa"/>
            <w:tcBorders>
              <w:tl2br w:val="nil"/>
              <w:tr2bl w:val="nil"/>
            </w:tcBorders>
            <w:vAlign w:val="center"/>
          </w:tcPr>
          <w:p w14:paraId="50A5623C"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80</w:t>
            </w:r>
          </w:p>
        </w:tc>
      </w:tr>
      <w:tr w:rsidR="00501C7E" w14:paraId="1F5D35A8" w14:textId="77777777">
        <w:tc>
          <w:tcPr>
            <w:tcW w:w="2203" w:type="dxa"/>
            <w:tcBorders>
              <w:tl2br w:val="nil"/>
              <w:tr2bl w:val="nil"/>
            </w:tcBorders>
            <w:vAlign w:val="center"/>
          </w:tcPr>
          <w:p w14:paraId="39F8A2F7"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F</w:t>
            </w:r>
            <w:r>
              <w:rPr>
                <w:rFonts w:ascii="Times New Roman" w:hAnsi="Times New Roman"/>
                <w:kern w:val="0"/>
                <w:sz w:val="18"/>
                <w:szCs w:val="18"/>
              </w:rPr>
              <w:t>值</w:t>
            </w:r>
          </w:p>
        </w:tc>
        <w:tc>
          <w:tcPr>
            <w:tcW w:w="2217" w:type="dxa"/>
            <w:tcBorders>
              <w:tl2br w:val="nil"/>
              <w:tr2bl w:val="nil"/>
            </w:tcBorders>
            <w:vAlign w:val="center"/>
          </w:tcPr>
          <w:p w14:paraId="1290A763"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8.47</w:t>
            </w:r>
          </w:p>
        </w:tc>
        <w:tc>
          <w:tcPr>
            <w:tcW w:w="2218" w:type="dxa"/>
            <w:tcBorders>
              <w:tl2br w:val="nil"/>
              <w:tr2bl w:val="nil"/>
            </w:tcBorders>
            <w:vAlign w:val="center"/>
          </w:tcPr>
          <w:p w14:paraId="527249A5"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14.70</w:t>
            </w:r>
          </w:p>
        </w:tc>
        <w:tc>
          <w:tcPr>
            <w:tcW w:w="2218" w:type="dxa"/>
            <w:tcBorders>
              <w:tl2br w:val="nil"/>
              <w:tr2bl w:val="nil"/>
            </w:tcBorders>
            <w:vAlign w:val="center"/>
          </w:tcPr>
          <w:p w14:paraId="05802021"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15.81</w:t>
            </w:r>
          </w:p>
        </w:tc>
      </w:tr>
      <w:tr w:rsidR="00501C7E" w14:paraId="275182EA" w14:textId="77777777">
        <w:tc>
          <w:tcPr>
            <w:tcW w:w="2203" w:type="dxa"/>
            <w:tcBorders>
              <w:tl2br w:val="nil"/>
              <w:tr2bl w:val="nil"/>
            </w:tcBorders>
            <w:vAlign w:val="center"/>
          </w:tcPr>
          <w:p w14:paraId="55E03330" w14:textId="77777777" w:rsidR="00501C7E" w:rsidRDefault="009C070E">
            <w:pPr>
              <w:widowControl/>
              <w:jc w:val="center"/>
              <w:textAlignment w:val="bottom"/>
              <w:rPr>
                <w:rFonts w:ascii="Times New Roman" w:hAnsi="Times New Roman"/>
                <w:kern w:val="0"/>
                <w:sz w:val="18"/>
                <w:szCs w:val="18"/>
              </w:rPr>
            </w:pPr>
            <m:oMathPara>
              <m:oMath>
                <m:r>
                  <m:rPr>
                    <m:sty m:val="p"/>
                  </m:rPr>
                  <w:rPr>
                    <w:rFonts w:ascii="Cambria Math" w:hAnsi="Cambria Math"/>
                    <w:sz w:val="18"/>
                    <w:szCs w:val="18"/>
                  </w:rPr>
                  <m:t>调整的</m:t>
                </m:r>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oMath>
            </m:oMathPara>
          </w:p>
        </w:tc>
        <w:tc>
          <w:tcPr>
            <w:tcW w:w="2217" w:type="dxa"/>
            <w:tcBorders>
              <w:tl2br w:val="nil"/>
              <w:tr2bl w:val="nil"/>
            </w:tcBorders>
            <w:vAlign w:val="center"/>
          </w:tcPr>
          <w:p w14:paraId="1518AB61"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0.49</w:t>
            </w:r>
          </w:p>
        </w:tc>
        <w:tc>
          <w:tcPr>
            <w:tcW w:w="2218" w:type="dxa"/>
            <w:tcBorders>
              <w:tl2br w:val="nil"/>
              <w:tr2bl w:val="nil"/>
            </w:tcBorders>
            <w:vAlign w:val="center"/>
          </w:tcPr>
          <w:p w14:paraId="6E737423"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0.57</w:t>
            </w:r>
          </w:p>
        </w:tc>
        <w:tc>
          <w:tcPr>
            <w:tcW w:w="2218" w:type="dxa"/>
            <w:tcBorders>
              <w:tl2br w:val="nil"/>
              <w:tr2bl w:val="nil"/>
            </w:tcBorders>
            <w:vAlign w:val="center"/>
          </w:tcPr>
          <w:p w14:paraId="5E3B62FE"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0.53</w:t>
            </w:r>
          </w:p>
        </w:tc>
      </w:tr>
    </w:tbl>
    <w:p w14:paraId="7D182046" w14:textId="77777777" w:rsidR="00501C7E" w:rsidRDefault="00EC5712">
      <w:pPr>
        <w:ind w:firstLine="420"/>
        <w:rPr>
          <w:rFonts w:ascii="Times New Roman" w:eastAsia="楷体" w:hAnsi="Times New Roman"/>
          <w:sz w:val="15"/>
          <w:szCs w:val="15"/>
        </w:rPr>
      </w:pPr>
      <w:r>
        <w:rPr>
          <w:rFonts w:ascii="Times New Roman" w:eastAsia="楷体" w:hAnsi="Times New Roman"/>
          <w:kern w:val="0"/>
          <w:sz w:val="15"/>
          <w:szCs w:val="15"/>
        </w:rPr>
        <w:t>注：初裁税率和终裁税率的一阶段回归结果相同，在此只展示一个</w:t>
      </w:r>
      <w:r w:rsidR="009C070E">
        <w:rPr>
          <w:rFonts w:ascii="Times New Roman" w:eastAsia="楷体" w:hAnsi="Times New Roman"/>
          <w:kern w:val="0"/>
          <w:sz w:val="15"/>
          <w:szCs w:val="15"/>
        </w:rPr>
        <w:t>。</w:t>
      </w:r>
    </w:p>
    <w:p w14:paraId="219B1265" w14:textId="77777777" w:rsidR="00501C7E" w:rsidRDefault="00501C7E">
      <w:pPr>
        <w:rPr>
          <w:rFonts w:ascii="Times New Roman" w:eastAsia="黑体" w:hAnsi="Times New Roman"/>
          <w:szCs w:val="21"/>
        </w:rPr>
      </w:pPr>
    </w:p>
    <w:p w14:paraId="551D74FF" w14:textId="77777777" w:rsidR="00501C7E" w:rsidRDefault="00EC5712">
      <w:pPr>
        <w:jc w:val="center"/>
        <w:rPr>
          <w:rFonts w:ascii="Times New Roman" w:eastAsia="楷体" w:hAnsi="Times New Roman"/>
          <w:bCs/>
          <w:szCs w:val="21"/>
        </w:rPr>
      </w:pPr>
      <w:r>
        <w:rPr>
          <w:rFonts w:ascii="Times New Roman" w:eastAsia="楷体" w:hAnsi="Times New Roman"/>
          <w:bCs/>
          <w:szCs w:val="21"/>
        </w:rPr>
        <w:t>表</w:t>
      </w:r>
      <w:r>
        <w:rPr>
          <w:rFonts w:ascii="Times New Roman" w:eastAsia="楷体" w:hAnsi="Times New Roman"/>
          <w:bCs/>
          <w:szCs w:val="21"/>
        </w:rPr>
        <w:t xml:space="preserve">9  </w:t>
      </w:r>
      <w:r>
        <w:rPr>
          <w:rFonts w:ascii="Times New Roman" w:eastAsia="楷体" w:hAnsi="Times New Roman"/>
          <w:bCs/>
          <w:szCs w:val="21"/>
        </w:rPr>
        <w:t>工具变量检验第二阶段回归结果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195"/>
        <w:gridCol w:w="1287"/>
        <w:gridCol w:w="1235"/>
        <w:gridCol w:w="1233"/>
        <w:gridCol w:w="1233"/>
        <w:gridCol w:w="1236"/>
      </w:tblGrid>
      <w:tr w:rsidR="00501C7E" w14:paraId="448AFF62" w14:textId="77777777">
        <w:trPr>
          <w:trHeight w:val="288"/>
          <w:jc w:val="center"/>
        </w:trPr>
        <w:tc>
          <w:tcPr>
            <w:tcW w:w="931" w:type="pct"/>
            <w:tcBorders>
              <w:tl2br w:val="nil"/>
              <w:tr2bl w:val="nil"/>
            </w:tcBorders>
            <w:shd w:val="clear" w:color="auto" w:fill="auto"/>
            <w:noWrap/>
            <w:vAlign w:val="center"/>
          </w:tcPr>
          <w:p w14:paraId="661E3F57" w14:textId="77777777" w:rsidR="00501C7E" w:rsidRDefault="00EC5712">
            <w:pPr>
              <w:jc w:val="center"/>
              <w:rPr>
                <w:rFonts w:ascii="Times New Roman" w:hAnsi="Times New Roman"/>
                <w:sz w:val="18"/>
                <w:szCs w:val="18"/>
              </w:rPr>
            </w:pPr>
            <w:r>
              <w:rPr>
                <w:rFonts w:ascii="Times New Roman" w:hAnsi="Times New Roman"/>
                <w:kern w:val="0"/>
                <w:sz w:val="18"/>
                <w:szCs w:val="18"/>
              </w:rPr>
              <w:t>被解释变量</w:t>
            </w:r>
          </w:p>
        </w:tc>
        <w:tc>
          <w:tcPr>
            <w:tcW w:w="2038" w:type="pct"/>
            <w:gridSpan w:val="3"/>
            <w:tcBorders>
              <w:tl2br w:val="nil"/>
              <w:tr2bl w:val="nil"/>
            </w:tcBorders>
            <w:shd w:val="clear" w:color="auto" w:fill="auto"/>
            <w:noWrap/>
            <w:vAlign w:val="center"/>
          </w:tcPr>
          <w:p w14:paraId="3170CB3E" w14:textId="77777777" w:rsidR="00501C7E" w:rsidRDefault="00EC5712">
            <w:pPr>
              <w:jc w:val="center"/>
              <w:rPr>
                <w:rFonts w:ascii="Times New Roman" w:hAnsi="Times New Roman"/>
                <w:sz w:val="18"/>
                <w:szCs w:val="18"/>
              </w:rPr>
            </w:pPr>
            <w:r>
              <w:rPr>
                <w:rFonts w:ascii="Times New Roman" w:hAnsi="Times New Roman"/>
                <w:kern w:val="0"/>
                <w:sz w:val="18"/>
                <w:szCs w:val="18"/>
              </w:rPr>
              <w:t>初裁税率</w:t>
            </w:r>
          </w:p>
        </w:tc>
        <w:tc>
          <w:tcPr>
            <w:tcW w:w="2030" w:type="pct"/>
            <w:gridSpan w:val="3"/>
            <w:tcBorders>
              <w:tl2br w:val="nil"/>
              <w:tr2bl w:val="nil"/>
            </w:tcBorders>
            <w:shd w:val="clear" w:color="auto" w:fill="auto"/>
            <w:noWrap/>
            <w:vAlign w:val="center"/>
          </w:tcPr>
          <w:p w14:paraId="4F31CCCF" w14:textId="77777777" w:rsidR="00501C7E" w:rsidRDefault="00EC5712">
            <w:pPr>
              <w:jc w:val="center"/>
              <w:rPr>
                <w:rFonts w:ascii="Times New Roman" w:hAnsi="Times New Roman"/>
                <w:sz w:val="18"/>
                <w:szCs w:val="18"/>
              </w:rPr>
            </w:pPr>
            <w:r>
              <w:rPr>
                <w:rFonts w:ascii="Times New Roman" w:hAnsi="Times New Roman"/>
                <w:kern w:val="0"/>
                <w:sz w:val="18"/>
                <w:szCs w:val="18"/>
              </w:rPr>
              <w:t>终裁税率</w:t>
            </w:r>
          </w:p>
        </w:tc>
      </w:tr>
      <w:tr w:rsidR="00501C7E" w14:paraId="0409962D" w14:textId="77777777">
        <w:trPr>
          <w:trHeight w:val="288"/>
          <w:jc w:val="center"/>
        </w:trPr>
        <w:tc>
          <w:tcPr>
            <w:tcW w:w="931" w:type="pct"/>
            <w:tcBorders>
              <w:tl2br w:val="nil"/>
              <w:tr2bl w:val="nil"/>
            </w:tcBorders>
            <w:shd w:val="clear" w:color="auto" w:fill="auto"/>
            <w:noWrap/>
            <w:vAlign w:val="center"/>
          </w:tcPr>
          <w:p w14:paraId="237438CE" w14:textId="77777777" w:rsidR="00501C7E" w:rsidRDefault="00EC5712">
            <w:pPr>
              <w:jc w:val="center"/>
              <w:rPr>
                <w:rFonts w:ascii="Times New Roman" w:hAnsi="Times New Roman"/>
                <w:kern w:val="0"/>
                <w:sz w:val="18"/>
                <w:szCs w:val="18"/>
              </w:rPr>
            </w:pPr>
            <w:r>
              <w:rPr>
                <w:rFonts w:ascii="Times New Roman" w:hAnsi="Times New Roman"/>
                <w:kern w:val="0"/>
                <w:sz w:val="18"/>
                <w:szCs w:val="18"/>
              </w:rPr>
              <w:t>申诉者政治势力</w:t>
            </w:r>
          </w:p>
          <w:p w14:paraId="3CB40762" w14:textId="77777777" w:rsidR="00501C7E" w:rsidRDefault="00EC5712">
            <w:pPr>
              <w:jc w:val="center"/>
              <w:rPr>
                <w:rFonts w:ascii="Times New Roman" w:hAnsi="Times New Roman"/>
                <w:sz w:val="18"/>
                <w:szCs w:val="18"/>
              </w:rPr>
            </w:pPr>
            <w:r>
              <w:rPr>
                <w:rFonts w:ascii="Times New Roman" w:hAnsi="Times New Roman"/>
                <w:kern w:val="0"/>
                <w:sz w:val="18"/>
                <w:szCs w:val="18"/>
              </w:rPr>
              <w:t>排名</w:t>
            </w:r>
          </w:p>
        </w:tc>
        <w:tc>
          <w:tcPr>
            <w:tcW w:w="655" w:type="pct"/>
            <w:tcBorders>
              <w:tl2br w:val="nil"/>
              <w:tr2bl w:val="nil"/>
            </w:tcBorders>
            <w:shd w:val="clear" w:color="auto" w:fill="auto"/>
            <w:noWrap/>
            <w:vAlign w:val="center"/>
          </w:tcPr>
          <w:p w14:paraId="618C1E8E"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前</w:t>
            </w:r>
            <w:r>
              <w:rPr>
                <w:rFonts w:ascii="Times New Roman" w:hAnsi="Times New Roman"/>
                <w:kern w:val="0"/>
                <w:sz w:val="18"/>
                <w:szCs w:val="18"/>
              </w:rPr>
              <w:t>30%</w:t>
            </w:r>
          </w:p>
        </w:tc>
        <w:tc>
          <w:tcPr>
            <w:tcW w:w="706" w:type="pct"/>
            <w:tcBorders>
              <w:tl2br w:val="nil"/>
              <w:tr2bl w:val="nil"/>
            </w:tcBorders>
            <w:shd w:val="clear" w:color="auto" w:fill="auto"/>
            <w:noWrap/>
            <w:vAlign w:val="center"/>
          </w:tcPr>
          <w:p w14:paraId="577D1343"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前</w:t>
            </w:r>
            <w:r>
              <w:rPr>
                <w:rFonts w:ascii="Times New Roman" w:hAnsi="Times New Roman"/>
                <w:kern w:val="0"/>
                <w:sz w:val="18"/>
                <w:szCs w:val="18"/>
              </w:rPr>
              <w:t>40%</w:t>
            </w:r>
          </w:p>
        </w:tc>
        <w:tc>
          <w:tcPr>
            <w:tcW w:w="676" w:type="pct"/>
            <w:tcBorders>
              <w:tl2br w:val="nil"/>
              <w:tr2bl w:val="nil"/>
            </w:tcBorders>
            <w:shd w:val="clear" w:color="auto" w:fill="auto"/>
            <w:noWrap/>
            <w:vAlign w:val="center"/>
          </w:tcPr>
          <w:p w14:paraId="7458DDD5"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前</w:t>
            </w:r>
            <w:r>
              <w:rPr>
                <w:rFonts w:ascii="Times New Roman" w:hAnsi="Times New Roman"/>
                <w:kern w:val="0"/>
                <w:sz w:val="18"/>
                <w:szCs w:val="18"/>
              </w:rPr>
              <w:t>50%</w:t>
            </w:r>
          </w:p>
        </w:tc>
        <w:tc>
          <w:tcPr>
            <w:tcW w:w="676" w:type="pct"/>
            <w:tcBorders>
              <w:tl2br w:val="nil"/>
              <w:tr2bl w:val="nil"/>
            </w:tcBorders>
            <w:shd w:val="clear" w:color="auto" w:fill="auto"/>
            <w:noWrap/>
            <w:vAlign w:val="center"/>
          </w:tcPr>
          <w:p w14:paraId="1043352F"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前</w:t>
            </w:r>
            <w:r>
              <w:rPr>
                <w:rFonts w:ascii="Times New Roman" w:hAnsi="Times New Roman"/>
                <w:kern w:val="0"/>
                <w:sz w:val="18"/>
                <w:szCs w:val="18"/>
              </w:rPr>
              <w:t>30%</w:t>
            </w:r>
          </w:p>
        </w:tc>
        <w:tc>
          <w:tcPr>
            <w:tcW w:w="676" w:type="pct"/>
            <w:tcBorders>
              <w:tl2br w:val="nil"/>
              <w:tr2bl w:val="nil"/>
            </w:tcBorders>
            <w:shd w:val="clear" w:color="auto" w:fill="auto"/>
            <w:noWrap/>
            <w:vAlign w:val="center"/>
          </w:tcPr>
          <w:p w14:paraId="7D5C08D6"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前</w:t>
            </w:r>
            <w:r>
              <w:rPr>
                <w:rFonts w:ascii="Times New Roman" w:hAnsi="Times New Roman"/>
                <w:kern w:val="0"/>
                <w:sz w:val="18"/>
                <w:szCs w:val="18"/>
              </w:rPr>
              <w:t>40%</w:t>
            </w:r>
          </w:p>
        </w:tc>
        <w:tc>
          <w:tcPr>
            <w:tcW w:w="677" w:type="pct"/>
            <w:tcBorders>
              <w:tl2br w:val="nil"/>
              <w:tr2bl w:val="nil"/>
            </w:tcBorders>
            <w:shd w:val="clear" w:color="auto" w:fill="auto"/>
            <w:noWrap/>
            <w:vAlign w:val="center"/>
          </w:tcPr>
          <w:p w14:paraId="4ECC05DC"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前</w:t>
            </w:r>
            <w:r>
              <w:rPr>
                <w:rFonts w:ascii="Times New Roman" w:hAnsi="Times New Roman"/>
                <w:kern w:val="0"/>
                <w:sz w:val="18"/>
                <w:szCs w:val="18"/>
              </w:rPr>
              <w:t>50%</w:t>
            </w:r>
          </w:p>
        </w:tc>
      </w:tr>
      <w:tr w:rsidR="00501C7E" w14:paraId="77AAFAB2" w14:textId="77777777">
        <w:trPr>
          <w:trHeight w:val="604"/>
          <w:jc w:val="center"/>
        </w:trPr>
        <w:tc>
          <w:tcPr>
            <w:tcW w:w="1699" w:type="dxa"/>
            <w:vMerge w:val="restart"/>
            <w:tcBorders>
              <w:tl2br w:val="nil"/>
              <w:tr2bl w:val="nil"/>
            </w:tcBorders>
            <w:shd w:val="clear" w:color="auto" w:fill="auto"/>
            <w:noWrap/>
            <w:vAlign w:val="center"/>
          </w:tcPr>
          <w:p w14:paraId="7ED2FA3C" w14:textId="77777777" w:rsidR="00501C7E" w:rsidRDefault="00000000">
            <w:pPr>
              <w:jc w:val="center"/>
              <w:rPr>
                <w:rFonts w:ascii="Times New Roman" w:hAnsi="Times New Roman"/>
                <w:sz w:val="18"/>
                <w:szCs w:val="18"/>
              </w:rPr>
            </w:pPr>
            <m:oMathPara>
              <m:oMath>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i</m:t>
                        </m:r>
                      </m:sub>
                    </m:sSub>
                  </m:num>
                  <m:den>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i</m:t>
                        </m:r>
                      </m:sub>
                    </m:sSub>
                  </m:den>
                </m:f>
              </m:oMath>
            </m:oMathPara>
          </w:p>
        </w:tc>
        <w:tc>
          <w:tcPr>
            <w:tcW w:w="655" w:type="pct"/>
            <w:tcBorders>
              <w:tl2br w:val="nil"/>
              <w:tr2bl w:val="nil"/>
            </w:tcBorders>
            <w:shd w:val="clear" w:color="auto" w:fill="auto"/>
            <w:noWrap/>
            <w:vAlign w:val="center"/>
          </w:tcPr>
          <w:p w14:paraId="7ED6D15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-0.12</w:t>
            </w:r>
            <w:r>
              <w:rPr>
                <w:rFonts w:ascii="Times New Roman" w:hAnsi="Times New Roman"/>
                <w:iCs/>
                <w:sz w:val="18"/>
                <w:szCs w:val="18"/>
              </w:rPr>
              <w:t>**</w:t>
            </w:r>
          </w:p>
          <w:p w14:paraId="122A1F6C"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0.06</w:t>
            </w:r>
            <w:r>
              <w:rPr>
                <w:rFonts w:ascii="Times New Roman" w:hAnsi="Times New Roman"/>
                <w:kern w:val="0"/>
                <w:sz w:val="18"/>
                <w:szCs w:val="18"/>
              </w:rPr>
              <w:t>）</w:t>
            </w:r>
          </w:p>
        </w:tc>
        <w:tc>
          <w:tcPr>
            <w:tcW w:w="706" w:type="pct"/>
            <w:tcBorders>
              <w:tl2br w:val="nil"/>
              <w:tr2bl w:val="nil"/>
            </w:tcBorders>
            <w:shd w:val="clear" w:color="auto" w:fill="auto"/>
            <w:noWrap/>
            <w:vAlign w:val="center"/>
          </w:tcPr>
          <w:p w14:paraId="75042ED9"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-0.14</w:t>
            </w:r>
            <w:r>
              <w:rPr>
                <w:rFonts w:ascii="Times New Roman" w:hAnsi="Times New Roman"/>
                <w:iCs/>
                <w:sz w:val="18"/>
                <w:szCs w:val="18"/>
              </w:rPr>
              <w:t>**</w:t>
            </w:r>
          </w:p>
          <w:p w14:paraId="3C863903"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0.06</w:t>
            </w:r>
            <w:r>
              <w:rPr>
                <w:rFonts w:ascii="Times New Roman" w:hAnsi="Times New Roman"/>
                <w:kern w:val="0"/>
                <w:sz w:val="18"/>
                <w:szCs w:val="18"/>
              </w:rPr>
              <w:t>）</w:t>
            </w:r>
          </w:p>
        </w:tc>
        <w:tc>
          <w:tcPr>
            <w:tcW w:w="676" w:type="pct"/>
            <w:tcBorders>
              <w:tl2br w:val="nil"/>
              <w:tr2bl w:val="nil"/>
            </w:tcBorders>
            <w:shd w:val="clear" w:color="auto" w:fill="auto"/>
            <w:noWrap/>
            <w:vAlign w:val="center"/>
          </w:tcPr>
          <w:p w14:paraId="0445FD7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-0.14</w:t>
            </w:r>
            <w:r>
              <w:rPr>
                <w:rFonts w:ascii="Times New Roman" w:hAnsi="Times New Roman"/>
                <w:iCs/>
                <w:sz w:val="18"/>
                <w:szCs w:val="18"/>
              </w:rPr>
              <w:t>**</w:t>
            </w:r>
          </w:p>
          <w:p w14:paraId="0C1860E5"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0.06</w:t>
            </w:r>
            <w:r>
              <w:rPr>
                <w:rFonts w:ascii="Times New Roman" w:hAnsi="Times New Roman"/>
                <w:kern w:val="0"/>
                <w:sz w:val="18"/>
                <w:szCs w:val="18"/>
              </w:rPr>
              <w:t>）</w:t>
            </w:r>
          </w:p>
        </w:tc>
        <w:tc>
          <w:tcPr>
            <w:tcW w:w="676" w:type="pct"/>
            <w:tcBorders>
              <w:tl2br w:val="nil"/>
              <w:tr2bl w:val="nil"/>
            </w:tcBorders>
            <w:shd w:val="clear" w:color="auto" w:fill="auto"/>
            <w:noWrap/>
            <w:vAlign w:val="center"/>
          </w:tcPr>
          <w:p w14:paraId="1E49F54E"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-0.10</w:t>
            </w:r>
            <w:r>
              <w:rPr>
                <w:rFonts w:ascii="Times New Roman" w:hAnsi="Times New Roman"/>
                <w:iCs/>
                <w:sz w:val="18"/>
                <w:szCs w:val="18"/>
              </w:rPr>
              <w:t>**</w:t>
            </w:r>
          </w:p>
          <w:p w14:paraId="16546916"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0.04</w:t>
            </w:r>
            <w:r>
              <w:rPr>
                <w:rFonts w:ascii="Times New Roman" w:hAnsi="Times New Roman"/>
                <w:kern w:val="0"/>
                <w:sz w:val="18"/>
                <w:szCs w:val="18"/>
              </w:rPr>
              <w:t>）</w:t>
            </w:r>
          </w:p>
        </w:tc>
        <w:tc>
          <w:tcPr>
            <w:tcW w:w="676" w:type="pct"/>
            <w:tcBorders>
              <w:tl2br w:val="nil"/>
              <w:tr2bl w:val="nil"/>
            </w:tcBorders>
            <w:shd w:val="clear" w:color="auto" w:fill="auto"/>
            <w:noWrap/>
            <w:vAlign w:val="center"/>
          </w:tcPr>
          <w:p w14:paraId="3F5029DD"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-0.09</w:t>
            </w:r>
            <w:r>
              <w:rPr>
                <w:rFonts w:ascii="Times New Roman" w:hAnsi="Times New Roman"/>
                <w:iCs/>
                <w:sz w:val="18"/>
                <w:szCs w:val="18"/>
              </w:rPr>
              <w:t>**</w:t>
            </w:r>
          </w:p>
          <w:p w14:paraId="0162D7F5"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0.04</w:t>
            </w:r>
            <w:r>
              <w:rPr>
                <w:rFonts w:ascii="Times New Roman" w:hAnsi="Times New Roman"/>
                <w:kern w:val="0"/>
                <w:sz w:val="18"/>
                <w:szCs w:val="18"/>
              </w:rPr>
              <w:t>）</w:t>
            </w:r>
          </w:p>
        </w:tc>
        <w:tc>
          <w:tcPr>
            <w:tcW w:w="677" w:type="pct"/>
            <w:tcBorders>
              <w:tl2br w:val="nil"/>
              <w:tr2bl w:val="nil"/>
            </w:tcBorders>
            <w:shd w:val="clear" w:color="auto" w:fill="auto"/>
            <w:noWrap/>
            <w:vAlign w:val="center"/>
          </w:tcPr>
          <w:p w14:paraId="48038F3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-0.08</w:t>
            </w:r>
            <w:r>
              <w:rPr>
                <w:rFonts w:ascii="Times New Roman" w:hAnsi="Times New Roman"/>
                <w:iCs/>
                <w:sz w:val="18"/>
                <w:szCs w:val="18"/>
              </w:rPr>
              <w:t>**</w:t>
            </w:r>
          </w:p>
          <w:p w14:paraId="4B9A408B"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0.04</w:t>
            </w:r>
            <w:r>
              <w:rPr>
                <w:rFonts w:ascii="Times New Roman" w:hAnsi="Times New Roman"/>
                <w:kern w:val="0"/>
                <w:sz w:val="18"/>
                <w:szCs w:val="18"/>
              </w:rPr>
              <w:t>）</w:t>
            </w:r>
          </w:p>
        </w:tc>
      </w:tr>
      <w:tr w:rsidR="00501C7E" w14:paraId="5E561916" w14:textId="77777777">
        <w:trPr>
          <w:trHeight w:val="604"/>
          <w:jc w:val="center"/>
        </w:trPr>
        <w:tc>
          <w:tcPr>
            <w:tcW w:w="1699" w:type="dxa"/>
            <w:vMerge w:val="restart"/>
            <w:tcBorders>
              <w:tl2br w:val="nil"/>
              <w:tr2bl w:val="nil"/>
            </w:tcBorders>
            <w:shd w:val="clear" w:color="auto" w:fill="auto"/>
            <w:noWrap/>
            <w:vAlign w:val="center"/>
          </w:tcPr>
          <w:p w14:paraId="75607593" w14:textId="77777777" w:rsidR="00501C7E" w:rsidRDefault="00000000">
            <w:pPr>
              <w:jc w:val="center"/>
              <w:rPr>
                <w:rFonts w:ascii="Times New Roman" w:hAnsi="Times New Roman"/>
                <w:sz w:val="18"/>
                <w:szCs w:val="18"/>
              </w:rPr>
            </w:pPr>
            <m:oMathPara>
              <m:oMath>
                <m:f>
                  <m:fPr>
                    <m:ctrlPr>
                      <w:rPr>
                        <w:rFonts w:ascii="Cambria Math" w:hAnsi="Cambria Math"/>
                        <w:i/>
                        <w:iCs/>
                        <w:sz w:val="18"/>
                        <w:szCs w:val="18"/>
                      </w:rPr>
                    </m:ctrlPr>
                  </m:fPr>
                  <m:num>
                    <m:sSub>
                      <m:sSubPr>
                        <m:ctrlPr>
                          <w:rPr>
                            <w:rFonts w:ascii="Cambria Math" w:hAnsi="Cambria Math"/>
                            <w:i/>
                            <w:iCs/>
                            <w:sz w:val="18"/>
                            <w:szCs w:val="18"/>
                          </w:rPr>
                        </m:ctrlPr>
                      </m:sSubPr>
                      <m:e>
                        <m:r>
                          <w:rPr>
                            <w:rFonts w:ascii="Cambria Math" w:hAnsi="Cambria Math"/>
                            <w:sz w:val="18"/>
                            <w:szCs w:val="18"/>
                          </w:rPr>
                          <m:t>I</m:t>
                        </m:r>
                      </m:e>
                      <m:sub>
                        <m:r>
                          <w:rPr>
                            <w:rFonts w:ascii="Cambria Math" w:hAnsi="Cambria Math"/>
                            <w:sz w:val="18"/>
                            <w:szCs w:val="18"/>
                          </w:rPr>
                          <m:t>i</m:t>
                        </m:r>
                      </m:sub>
                    </m:sSub>
                    <m:sSub>
                      <m:sSubPr>
                        <m:ctrlPr>
                          <w:rPr>
                            <w:rFonts w:ascii="Cambria Math" w:hAnsi="Cambria Math"/>
                            <w:i/>
                            <w:iCs/>
                            <w:sz w:val="18"/>
                            <w:szCs w:val="18"/>
                          </w:rPr>
                        </m:ctrlPr>
                      </m:sSubPr>
                      <m:e>
                        <m:r>
                          <w:rPr>
                            <w:rFonts w:ascii="Cambria Math" w:hAnsi="Cambria Math"/>
                            <w:sz w:val="18"/>
                            <w:szCs w:val="18"/>
                          </w:rPr>
                          <m:t>z</m:t>
                        </m:r>
                      </m:e>
                      <m:sub>
                        <m:r>
                          <w:rPr>
                            <w:rFonts w:ascii="Cambria Math" w:hAnsi="Cambria Math"/>
                            <w:sz w:val="18"/>
                            <w:szCs w:val="18"/>
                          </w:rPr>
                          <m:t>i</m:t>
                        </m:r>
                      </m:sub>
                    </m:sSub>
                  </m:num>
                  <m:den>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i</m:t>
                        </m:r>
                      </m:sub>
                    </m:sSub>
                  </m:den>
                </m:f>
              </m:oMath>
            </m:oMathPara>
          </w:p>
        </w:tc>
        <w:tc>
          <w:tcPr>
            <w:tcW w:w="655" w:type="pct"/>
            <w:tcBorders>
              <w:tl2br w:val="nil"/>
              <w:tr2bl w:val="nil"/>
            </w:tcBorders>
            <w:shd w:val="clear" w:color="auto" w:fill="auto"/>
            <w:noWrap/>
            <w:vAlign w:val="center"/>
          </w:tcPr>
          <w:p w14:paraId="108B6C6F"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0.26</w:t>
            </w:r>
            <w:r>
              <w:rPr>
                <w:rFonts w:ascii="Times New Roman" w:hAnsi="Times New Roman"/>
                <w:iCs/>
                <w:sz w:val="18"/>
                <w:szCs w:val="18"/>
              </w:rPr>
              <w:t>***</w:t>
            </w:r>
          </w:p>
          <w:p w14:paraId="4FCBA4AE"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0.06</w:t>
            </w:r>
            <w:r>
              <w:rPr>
                <w:rFonts w:ascii="Times New Roman" w:hAnsi="Times New Roman"/>
                <w:kern w:val="0"/>
                <w:sz w:val="18"/>
                <w:szCs w:val="18"/>
              </w:rPr>
              <w:t>）</w:t>
            </w:r>
          </w:p>
        </w:tc>
        <w:tc>
          <w:tcPr>
            <w:tcW w:w="706" w:type="pct"/>
            <w:tcBorders>
              <w:tl2br w:val="nil"/>
              <w:tr2bl w:val="nil"/>
            </w:tcBorders>
            <w:shd w:val="clear" w:color="auto" w:fill="auto"/>
            <w:noWrap/>
            <w:vAlign w:val="center"/>
          </w:tcPr>
          <w:p w14:paraId="5279968E"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0.27</w:t>
            </w:r>
            <w:r>
              <w:rPr>
                <w:rFonts w:ascii="Times New Roman" w:hAnsi="Times New Roman"/>
                <w:iCs/>
                <w:sz w:val="18"/>
                <w:szCs w:val="18"/>
              </w:rPr>
              <w:t>***</w:t>
            </w:r>
          </w:p>
          <w:p w14:paraId="1D919C48"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0.05</w:t>
            </w:r>
            <w:r>
              <w:rPr>
                <w:rFonts w:ascii="Times New Roman" w:hAnsi="Times New Roman"/>
                <w:kern w:val="0"/>
                <w:sz w:val="18"/>
                <w:szCs w:val="18"/>
              </w:rPr>
              <w:t>）</w:t>
            </w:r>
          </w:p>
        </w:tc>
        <w:tc>
          <w:tcPr>
            <w:tcW w:w="676" w:type="pct"/>
            <w:tcBorders>
              <w:tl2br w:val="nil"/>
              <w:tr2bl w:val="nil"/>
            </w:tcBorders>
            <w:shd w:val="clear" w:color="auto" w:fill="auto"/>
            <w:noWrap/>
            <w:vAlign w:val="center"/>
          </w:tcPr>
          <w:p w14:paraId="76252FB3"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0.26</w:t>
            </w:r>
            <w:r>
              <w:rPr>
                <w:rFonts w:ascii="Times New Roman" w:hAnsi="Times New Roman"/>
                <w:iCs/>
                <w:sz w:val="18"/>
                <w:szCs w:val="18"/>
              </w:rPr>
              <w:t>***</w:t>
            </w:r>
          </w:p>
          <w:p w14:paraId="0BA3D30D"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0.05</w:t>
            </w:r>
            <w:r>
              <w:rPr>
                <w:rFonts w:ascii="Times New Roman" w:hAnsi="Times New Roman"/>
                <w:kern w:val="0"/>
                <w:sz w:val="18"/>
                <w:szCs w:val="18"/>
              </w:rPr>
              <w:t>）</w:t>
            </w:r>
          </w:p>
        </w:tc>
        <w:tc>
          <w:tcPr>
            <w:tcW w:w="676" w:type="pct"/>
            <w:tcBorders>
              <w:tl2br w:val="nil"/>
              <w:tr2bl w:val="nil"/>
            </w:tcBorders>
            <w:shd w:val="clear" w:color="auto" w:fill="auto"/>
            <w:noWrap/>
            <w:vAlign w:val="center"/>
          </w:tcPr>
          <w:p w14:paraId="26E4584A"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0.26</w:t>
            </w:r>
            <w:r>
              <w:rPr>
                <w:rFonts w:ascii="Times New Roman" w:hAnsi="Times New Roman"/>
                <w:iCs/>
                <w:sz w:val="18"/>
                <w:szCs w:val="18"/>
              </w:rPr>
              <w:t>***</w:t>
            </w:r>
          </w:p>
          <w:p w14:paraId="211BDC10"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0.05</w:t>
            </w:r>
            <w:r>
              <w:rPr>
                <w:rFonts w:ascii="Times New Roman" w:hAnsi="Times New Roman"/>
                <w:kern w:val="0"/>
                <w:sz w:val="18"/>
                <w:szCs w:val="18"/>
              </w:rPr>
              <w:t>）</w:t>
            </w:r>
          </w:p>
        </w:tc>
        <w:tc>
          <w:tcPr>
            <w:tcW w:w="676" w:type="pct"/>
            <w:tcBorders>
              <w:tl2br w:val="nil"/>
              <w:tr2bl w:val="nil"/>
            </w:tcBorders>
            <w:shd w:val="clear" w:color="auto" w:fill="auto"/>
            <w:noWrap/>
            <w:vAlign w:val="center"/>
          </w:tcPr>
          <w:p w14:paraId="44D608BC"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0.24</w:t>
            </w:r>
            <w:r>
              <w:rPr>
                <w:rFonts w:ascii="Times New Roman" w:hAnsi="Times New Roman"/>
                <w:iCs/>
                <w:sz w:val="18"/>
                <w:szCs w:val="18"/>
              </w:rPr>
              <w:t>***</w:t>
            </w:r>
          </w:p>
          <w:p w14:paraId="6219F39B"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0.05</w:t>
            </w:r>
            <w:r>
              <w:rPr>
                <w:rFonts w:ascii="Times New Roman" w:hAnsi="Times New Roman"/>
                <w:kern w:val="0"/>
                <w:sz w:val="18"/>
                <w:szCs w:val="18"/>
              </w:rPr>
              <w:t>）</w:t>
            </w:r>
          </w:p>
        </w:tc>
        <w:tc>
          <w:tcPr>
            <w:tcW w:w="677" w:type="pct"/>
            <w:tcBorders>
              <w:tl2br w:val="nil"/>
              <w:tr2bl w:val="nil"/>
            </w:tcBorders>
            <w:shd w:val="clear" w:color="auto" w:fill="auto"/>
            <w:noWrap/>
            <w:vAlign w:val="center"/>
          </w:tcPr>
          <w:p w14:paraId="18A35CF3"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0.23</w:t>
            </w:r>
            <w:r>
              <w:rPr>
                <w:rFonts w:ascii="Times New Roman" w:hAnsi="Times New Roman"/>
                <w:iCs/>
                <w:sz w:val="18"/>
                <w:szCs w:val="18"/>
              </w:rPr>
              <w:t>***</w:t>
            </w:r>
          </w:p>
          <w:p w14:paraId="4E318F5F"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0.04</w:t>
            </w:r>
            <w:r>
              <w:rPr>
                <w:rFonts w:ascii="Times New Roman" w:hAnsi="Times New Roman"/>
                <w:kern w:val="0"/>
                <w:sz w:val="18"/>
                <w:szCs w:val="18"/>
              </w:rPr>
              <w:t>）</w:t>
            </w:r>
          </w:p>
        </w:tc>
      </w:tr>
      <w:tr w:rsidR="00501C7E" w14:paraId="44E08B1E" w14:textId="77777777">
        <w:trPr>
          <w:trHeight w:val="604"/>
          <w:jc w:val="center"/>
        </w:trPr>
        <w:tc>
          <w:tcPr>
            <w:tcW w:w="931" w:type="pct"/>
            <w:tcBorders>
              <w:tl2br w:val="nil"/>
              <w:tr2bl w:val="nil"/>
            </w:tcBorders>
            <w:shd w:val="clear" w:color="auto" w:fill="auto"/>
            <w:noWrap/>
            <w:vAlign w:val="center"/>
          </w:tcPr>
          <w:p w14:paraId="280D3836" w14:textId="77777777" w:rsidR="00501C7E" w:rsidRDefault="00EC5712">
            <w:pPr>
              <w:jc w:val="center"/>
              <w:rPr>
                <w:rFonts w:ascii="Times New Roman" w:hAnsi="Times New Roman"/>
                <w:sz w:val="18"/>
                <w:szCs w:val="18"/>
              </w:rPr>
            </w:pPr>
            <m:oMathPara>
              <m:oMath>
                <m:r>
                  <w:rPr>
                    <w:rFonts w:ascii="Cambria Math" w:hAnsi="Cambria Math"/>
                    <w:sz w:val="18"/>
                    <w:szCs w:val="18"/>
                  </w:rPr>
                  <m:t>M</m:t>
                </m:r>
              </m:oMath>
            </m:oMathPara>
          </w:p>
        </w:tc>
        <w:tc>
          <w:tcPr>
            <w:tcW w:w="655" w:type="pct"/>
            <w:tcBorders>
              <w:tl2br w:val="nil"/>
              <w:tr2bl w:val="nil"/>
            </w:tcBorders>
            <w:shd w:val="clear" w:color="auto" w:fill="auto"/>
            <w:noWrap/>
            <w:vAlign w:val="center"/>
          </w:tcPr>
          <w:p w14:paraId="1E323394"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-2.15</w:t>
            </w:r>
          </w:p>
          <w:p w14:paraId="06F184F1"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12.83</w:t>
            </w:r>
            <w:r>
              <w:rPr>
                <w:rFonts w:ascii="Times New Roman" w:hAnsi="Times New Roman"/>
                <w:kern w:val="0"/>
                <w:sz w:val="18"/>
                <w:szCs w:val="18"/>
              </w:rPr>
              <w:t>）</w:t>
            </w:r>
          </w:p>
        </w:tc>
        <w:tc>
          <w:tcPr>
            <w:tcW w:w="706" w:type="pct"/>
            <w:tcBorders>
              <w:tl2br w:val="nil"/>
              <w:tr2bl w:val="nil"/>
            </w:tcBorders>
            <w:shd w:val="clear" w:color="auto" w:fill="auto"/>
            <w:noWrap/>
            <w:vAlign w:val="center"/>
          </w:tcPr>
          <w:p w14:paraId="7A85D2A9"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-0.58</w:t>
            </w:r>
          </w:p>
          <w:p w14:paraId="7AEF97AD"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13.12</w:t>
            </w:r>
            <w:r>
              <w:rPr>
                <w:rFonts w:ascii="Times New Roman" w:hAnsi="Times New Roman"/>
                <w:kern w:val="0"/>
                <w:sz w:val="18"/>
                <w:szCs w:val="18"/>
              </w:rPr>
              <w:t>）</w:t>
            </w:r>
          </w:p>
        </w:tc>
        <w:tc>
          <w:tcPr>
            <w:tcW w:w="676" w:type="pct"/>
            <w:tcBorders>
              <w:tl2br w:val="nil"/>
              <w:tr2bl w:val="nil"/>
            </w:tcBorders>
            <w:shd w:val="clear" w:color="auto" w:fill="auto"/>
            <w:noWrap/>
            <w:vAlign w:val="center"/>
          </w:tcPr>
          <w:p w14:paraId="549AB27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1.17</w:t>
            </w:r>
          </w:p>
          <w:p w14:paraId="4DBD91B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13.05</w:t>
            </w:r>
            <w:r>
              <w:rPr>
                <w:rFonts w:ascii="Times New Roman" w:hAnsi="Times New Roman"/>
                <w:kern w:val="0"/>
                <w:sz w:val="18"/>
                <w:szCs w:val="18"/>
              </w:rPr>
              <w:t>）</w:t>
            </w:r>
          </w:p>
        </w:tc>
        <w:tc>
          <w:tcPr>
            <w:tcW w:w="676" w:type="pct"/>
            <w:tcBorders>
              <w:tl2br w:val="nil"/>
              <w:tr2bl w:val="nil"/>
            </w:tcBorders>
            <w:shd w:val="clear" w:color="auto" w:fill="auto"/>
            <w:noWrap/>
            <w:vAlign w:val="center"/>
          </w:tcPr>
          <w:p w14:paraId="7C8BF77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-13.24</w:t>
            </w:r>
          </w:p>
          <w:p w14:paraId="20A07B5A"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11.83</w:t>
            </w:r>
            <w:r>
              <w:rPr>
                <w:rFonts w:ascii="Times New Roman" w:hAnsi="Times New Roman"/>
                <w:kern w:val="0"/>
                <w:sz w:val="18"/>
                <w:szCs w:val="18"/>
              </w:rPr>
              <w:t>）</w:t>
            </w:r>
          </w:p>
        </w:tc>
        <w:tc>
          <w:tcPr>
            <w:tcW w:w="676" w:type="pct"/>
            <w:tcBorders>
              <w:tl2br w:val="nil"/>
              <w:tr2bl w:val="nil"/>
            </w:tcBorders>
            <w:shd w:val="clear" w:color="auto" w:fill="auto"/>
            <w:noWrap/>
            <w:vAlign w:val="center"/>
          </w:tcPr>
          <w:p w14:paraId="47A8E251"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-10.10</w:t>
            </w:r>
          </w:p>
          <w:p w14:paraId="34FF273A"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11.73</w:t>
            </w:r>
            <w:r>
              <w:rPr>
                <w:rFonts w:ascii="Times New Roman" w:hAnsi="Times New Roman"/>
                <w:kern w:val="0"/>
                <w:sz w:val="18"/>
                <w:szCs w:val="18"/>
              </w:rPr>
              <w:t>）</w:t>
            </w:r>
          </w:p>
        </w:tc>
        <w:tc>
          <w:tcPr>
            <w:tcW w:w="677" w:type="pct"/>
            <w:tcBorders>
              <w:tl2br w:val="nil"/>
              <w:tr2bl w:val="nil"/>
            </w:tcBorders>
            <w:shd w:val="clear" w:color="auto" w:fill="auto"/>
            <w:noWrap/>
            <w:vAlign w:val="center"/>
          </w:tcPr>
          <w:p w14:paraId="3B90A1D4"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-8.18</w:t>
            </w:r>
          </w:p>
          <w:p w14:paraId="369D1FFA"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11.86</w:t>
            </w:r>
            <w:r>
              <w:rPr>
                <w:rFonts w:ascii="Times New Roman" w:hAnsi="Times New Roman"/>
                <w:kern w:val="0"/>
                <w:sz w:val="18"/>
                <w:szCs w:val="18"/>
              </w:rPr>
              <w:t>）</w:t>
            </w:r>
          </w:p>
        </w:tc>
      </w:tr>
      <w:tr w:rsidR="00501C7E" w14:paraId="77A727BC" w14:textId="77777777">
        <w:trPr>
          <w:trHeight w:val="303"/>
          <w:jc w:val="center"/>
        </w:trPr>
        <w:tc>
          <w:tcPr>
            <w:tcW w:w="931" w:type="pct"/>
            <w:tcBorders>
              <w:tl2br w:val="nil"/>
              <w:tr2bl w:val="nil"/>
            </w:tcBorders>
            <w:shd w:val="clear" w:color="auto" w:fill="auto"/>
            <w:noWrap/>
            <w:vAlign w:val="center"/>
          </w:tcPr>
          <w:p w14:paraId="7545DACE" w14:textId="77777777" w:rsidR="00501C7E" w:rsidRDefault="00EC5712">
            <w:pPr>
              <w:jc w:val="center"/>
              <w:rPr>
                <w:rFonts w:ascii="Times New Roman" w:hAnsi="Times New Roman"/>
                <w:sz w:val="18"/>
                <w:szCs w:val="18"/>
              </w:rPr>
            </w:pPr>
            <m:oMathPara>
              <m:oMath>
                <m:r>
                  <w:rPr>
                    <w:rFonts w:ascii="Cambria Math" w:hAnsi="Cambria Math"/>
                    <w:position w:val="-3"/>
                    <w:sz w:val="18"/>
                    <w:szCs w:val="18"/>
                  </w:rPr>
                  <m:t>γ+δ</m:t>
                </m:r>
              </m:oMath>
            </m:oMathPara>
          </w:p>
        </w:tc>
        <w:tc>
          <w:tcPr>
            <w:tcW w:w="655" w:type="pct"/>
            <w:tcBorders>
              <w:tl2br w:val="nil"/>
              <w:tr2bl w:val="nil"/>
            </w:tcBorders>
            <w:shd w:val="clear" w:color="auto" w:fill="auto"/>
            <w:noWrap/>
            <w:vAlign w:val="center"/>
          </w:tcPr>
          <w:p w14:paraId="13E81A08"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0.14</w:t>
            </w:r>
          </w:p>
        </w:tc>
        <w:tc>
          <w:tcPr>
            <w:tcW w:w="706" w:type="pct"/>
            <w:tcBorders>
              <w:tl2br w:val="nil"/>
              <w:tr2bl w:val="nil"/>
            </w:tcBorders>
            <w:shd w:val="clear" w:color="auto" w:fill="auto"/>
            <w:noWrap/>
            <w:vAlign w:val="center"/>
          </w:tcPr>
          <w:p w14:paraId="4A3B6EDC"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0.13</w:t>
            </w:r>
          </w:p>
        </w:tc>
        <w:tc>
          <w:tcPr>
            <w:tcW w:w="676" w:type="pct"/>
            <w:tcBorders>
              <w:tl2br w:val="nil"/>
              <w:tr2bl w:val="nil"/>
            </w:tcBorders>
            <w:shd w:val="clear" w:color="auto" w:fill="auto"/>
            <w:noWrap/>
            <w:vAlign w:val="center"/>
          </w:tcPr>
          <w:p w14:paraId="6518D279"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0.12</w:t>
            </w:r>
          </w:p>
        </w:tc>
        <w:tc>
          <w:tcPr>
            <w:tcW w:w="676" w:type="pct"/>
            <w:tcBorders>
              <w:tl2br w:val="nil"/>
              <w:tr2bl w:val="nil"/>
            </w:tcBorders>
            <w:shd w:val="clear" w:color="auto" w:fill="auto"/>
            <w:noWrap/>
            <w:vAlign w:val="center"/>
          </w:tcPr>
          <w:p w14:paraId="044F6306"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0.16</w:t>
            </w:r>
          </w:p>
        </w:tc>
        <w:tc>
          <w:tcPr>
            <w:tcW w:w="676" w:type="pct"/>
            <w:tcBorders>
              <w:tl2br w:val="nil"/>
              <w:tr2bl w:val="nil"/>
            </w:tcBorders>
            <w:shd w:val="clear" w:color="auto" w:fill="auto"/>
            <w:noWrap/>
            <w:vAlign w:val="center"/>
          </w:tcPr>
          <w:p w14:paraId="7496825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0.15</w:t>
            </w:r>
          </w:p>
        </w:tc>
        <w:tc>
          <w:tcPr>
            <w:tcW w:w="677" w:type="pct"/>
            <w:tcBorders>
              <w:tl2br w:val="nil"/>
              <w:tr2bl w:val="nil"/>
            </w:tcBorders>
            <w:shd w:val="clear" w:color="auto" w:fill="auto"/>
            <w:noWrap/>
            <w:vAlign w:val="center"/>
          </w:tcPr>
          <w:p w14:paraId="4D13476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0.14</w:t>
            </w:r>
          </w:p>
        </w:tc>
      </w:tr>
      <w:tr w:rsidR="00501C7E" w14:paraId="64ADF58C" w14:textId="77777777">
        <w:trPr>
          <w:trHeight w:val="303"/>
          <w:jc w:val="center"/>
        </w:trPr>
        <w:tc>
          <w:tcPr>
            <w:tcW w:w="931" w:type="pct"/>
            <w:tcBorders>
              <w:tl2br w:val="nil"/>
              <w:tr2bl w:val="nil"/>
            </w:tcBorders>
            <w:shd w:val="clear" w:color="auto" w:fill="auto"/>
            <w:noWrap/>
            <w:vAlign w:val="center"/>
          </w:tcPr>
          <w:p w14:paraId="62AC5806" w14:textId="77777777" w:rsidR="00501C7E" w:rsidRDefault="00000000">
            <w:pPr>
              <w:jc w:val="center"/>
              <w:rPr>
                <w:rFonts w:ascii="Times New Roman" w:hAnsi="Times New Roman"/>
                <w:sz w:val="18"/>
                <w:szCs w:val="18"/>
              </w:rPr>
            </w:pPr>
            <m:oMathPara>
              <m:oMath>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L</m:t>
                    </m:r>
                  </m:sub>
                </m:sSub>
              </m:oMath>
            </m:oMathPara>
          </w:p>
        </w:tc>
        <w:tc>
          <w:tcPr>
            <w:tcW w:w="655" w:type="pct"/>
            <w:tcBorders>
              <w:tl2br w:val="nil"/>
              <w:tr2bl w:val="nil"/>
            </w:tcBorders>
            <w:shd w:val="clear" w:color="auto" w:fill="auto"/>
            <w:noWrap/>
            <w:vAlign w:val="bottom"/>
          </w:tcPr>
          <w:p w14:paraId="08B9BA6C"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46.0%</w:t>
            </w:r>
          </w:p>
        </w:tc>
        <w:tc>
          <w:tcPr>
            <w:tcW w:w="706" w:type="pct"/>
            <w:tcBorders>
              <w:tl2br w:val="nil"/>
              <w:tr2bl w:val="nil"/>
            </w:tcBorders>
            <w:shd w:val="clear" w:color="auto" w:fill="auto"/>
            <w:noWrap/>
            <w:vAlign w:val="bottom"/>
          </w:tcPr>
          <w:p w14:paraId="58316559"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53.0%</w:t>
            </w:r>
          </w:p>
        </w:tc>
        <w:tc>
          <w:tcPr>
            <w:tcW w:w="676" w:type="pct"/>
            <w:tcBorders>
              <w:tl2br w:val="nil"/>
              <w:tr2bl w:val="nil"/>
            </w:tcBorders>
            <w:shd w:val="clear" w:color="auto" w:fill="auto"/>
            <w:noWrap/>
            <w:vAlign w:val="bottom"/>
          </w:tcPr>
          <w:p w14:paraId="7A09F64C"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54.0%</w:t>
            </w:r>
          </w:p>
        </w:tc>
        <w:tc>
          <w:tcPr>
            <w:tcW w:w="676" w:type="pct"/>
            <w:tcBorders>
              <w:tl2br w:val="nil"/>
              <w:tr2bl w:val="nil"/>
            </w:tcBorders>
            <w:shd w:val="clear" w:color="auto" w:fill="auto"/>
            <w:noWrap/>
            <w:vAlign w:val="bottom"/>
          </w:tcPr>
          <w:p w14:paraId="6B3AC22F"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39.0%</w:t>
            </w:r>
          </w:p>
        </w:tc>
        <w:tc>
          <w:tcPr>
            <w:tcW w:w="676" w:type="pct"/>
            <w:tcBorders>
              <w:tl2br w:val="nil"/>
              <w:tr2bl w:val="nil"/>
            </w:tcBorders>
            <w:shd w:val="clear" w:color="auto" w:fill="auto"/>
            <w:noWrap/>
            <w:vAlign w:val="bottom"/>
          </w:tcPr>
          <w:p w14:paraId="48387996"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39.0%</w:t>
            </w:r>
          </w:p>
        </w:tc>
        <w:tc>
          <w:tcPr>
            <w:tcW w:w="677" w:type="pct"/>
            <w:tcBorders>
              <w:tl2br w:val="nil"/>
              <w:tr2bl w:val="nil"/>
            </w:tcBorders>
            <w:shd w:val="clear" w:color="auto" w:fill="auto"/>
            <w:noWrap/>
            <w:vAlign w:val="bottom"/>
          </w:tcPr>
          <w:p w14:paraId="399D5AB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37.0%</w:t>
            </w:r>
          </w:p>
        </w:tc>
      </w:tr>
      <w:tr w:rsidR="00501C7E" w14:paraId="3C3180CD" w14:textId="77777777">
        <w:trPr>
          <w:trHeight w:val="303"/>
          <w:jc w:val="center"/>
        </w:trPr>
        <w:tc>
          <w:tcPr>
            <w:tcW w:w="931" w:type="pct"/>
            <w:tcBorders>
              <w:tl2br w:val="nil"/>
              <w:tr2bl w:val="nil"/>
            </w:tcBorders>
            <w:shd w:val="clear" w:color="auto" w:fill="auto"/>
            <w:noWrap/>
            <w:vAlign w:val="center"/>
          </w:tcPr>
          <w:p w14:paraId="00B1D840" w14:textId="77777777" w:rsidR="00501C7E" w:rsidRDefault="00EC5712">
            <w:pPr>
              <w:jc w:val="center"/>
              <w:rPr>
                <w:rFonts w:ascii="Times New Roman" w:hAnsi="Times New Roman"/>
                <w:sz w:val="18"/>
                <w:szCs w:val="18"/>
              </w:rPr>
            </w:pPr>
            <m:oMathPara>
              <m:oMath>
                <m:r>
                  <w:rPr>
                    <w:rFonts w:ascii="Cambria Math" w:hAnsi="Cambria Math"/>
                    <w:sz w:val="18"/>
                    <w:szCs w:val="18"/>
                  </w:rPr>
                  <m:t>a</m:t>
                </m:r>
              </m:oMath>
            </m:oMathPara>
          </w:p>
        </w:tc>
        <w:tc>
          <w:tcPr>
            <w:tcW w:w="655" w:type="pct"/>
            <w:tcBorders>
              <w:tl2br w:val="nil"/>
              <w:tr2bl w:val="nil"/>
            </w:tcBorders>
            <w:shd w:val="clear" w:color="auto" w:fill="auto"/>
            <w:noWrap/>
            <w:vAlign w:val="center"/>
          </w:tcPr>
          <w:p w14:paraId="41C1C14D"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3.39</w:t>
            </w:r>
          </w:p>
        </w:tc>
        <w:tc>
          <w:tcPr>
            <w:tcW w:w="706" w:type="pct"/>
            <w:tcBorders>
              <w:tl2br w:val="nil"/>
              <w:tr2bl w:val="nil"/>
            </w:tcBorders>
            <w:shd w:val="clear" w:color="auto" w:fill="auto"/>
            <w:noWrap/>
            <w:vAlign w:val="center"/>
          </w:tcPr>
          <w:p w14:paraId="41218DB3"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3.19</w:t>
            </w:r>
          </w:p>
        </w:tc>
        <w:tc>
          <w:tcPr>
            <w:tcW w:w="676" w:type="pct"/>
            <w:tcBorders>
              <w:tl2br w:val="nil"/>
              <w:tr2bl w:val="nil"/>
            </w:tcBorders>
            <w:shd w:val="clear" w:color="auto" w:fill="auto"/>
            <w:noWrap/>
            <w:vAlign w:val="center"/>
          </w:tcPr>
          <w:p w14:paraId="3F45F274"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3.33</w:t>
            </w:r>
          </w:p>
        </w:tc>
        <w:tc>
          <w:tcPr>
            <w:tcW w:w="676" w:type="pct"/>
            <w:tcBorders>
              <w:tl2br w:val="nil"/>
              <w:tr2bl w:val="nil"/>
            </w:tcBorders>
            <w:shd w:val="clear" w:color="auto" w:fill="auto"/>
            <w:noWrap/>
            <w:vAlign w:val="center"/>
          </w:tcPr>
          <w:p w14:paraId="7973319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3.49</w:t>
            </w:r>
          </w:p>
        </w:tc>
        <w:tc>
          <w:tcPr>
            <w:tcW w:w="676" w:type="pct"/>
            <w:tcBorders>
              <w:tl2br w:val="nil"/>
              <w:tr2bl w:val="nil"/>
            </w:tcBorders>
            <w:shd w:val="clear" w:color="auto" w:fill="auto"/>
            <w:noWrap/>
            <w:vAlign w:val="center"/>
          </w:tcPr>
          <w:p w14:paraId="53426BCF"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3.71</w:t>
            </w:r>
          </w:p>
        </w:tc>
        <w:tc>
          <w:tcPr>
            <w:tcW w:w="677" w:type="pct"/>
            <w:tcBorders>
              <w:tl2br w:val="nil"/>
              <w:tr2bl w:val="nil"/>
            </w:tcBorders>
            <w:shd w:val="clear" w:color="auto" w:fill="auto"/>
            <w:noWrap/>
            <w:vAlign w:val="center"/>
          </w:tcPr>
          <w:p w14:paraId="362ECB14"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3.99</w:t>
            </w:r>
          </w:p>
        </w:tc>
      </w:tr>
      <w:tr w:rsidR="00501C7E" w14:paraId="2F1A0A48" w14:textId="77777777">
        <w:trPr>
          <w:trHeight w:val="303"/>
          <w:jc w:val="center"/>
        </w:trPr>
        <w:tc>
          <w:tcPr>
            <w:tcW w:w="931" w:type="pct"/>
            <w:tcBorders>
              <w:tl2br w:val="nil"/>
              <w:tr2bl w:val="nil"/>
            </w:tcBorders>
            <w:shd w:val="clear" w:color="auto" w:fill="auto"/>
            <w:noWrap/>
            <w:vAlign w:val="center"/>
          </w:tcPr>
          <w:p w14:paraId="52271DB3" w14:textId="77777777" w:rsidR="00501C7E" w:rsidRDefault="00EC5712">
            <w:pPr>
              <w:jc w:val="center"/>
              <w:rPr>
                <w:rFonts w:ascii="Cambria Math" w:hAnsi="Cambria Math"/>
                <w:sz w:val="18"/>
                <w:szCs w:val="18"/>
                <w:oMath/>
              </w:rPr>
            </w:pPr>
            <w:r>
              <w:rPr>
                <w:rFonts w:ascii="Times New Roman" w:hAnsi="Times New Roman"/>
                <w:iCs/>
                <w:sz w:val="18"/>
                <w:szCs w:val="18"/>
              </w:rPr>
              <w:t>观测值</w:t>
            </w:r>
          </w:p>
        </w:tc>
        <w:tc>
          <w:tcPr>
            <w:tcW w:w="655" w:type="pct"/>
            <w:tcBorders>
              <w:tl2br w:val="nil"/>
              <w:tr2bl w:val="nil"/>
            </w:tcBorders>
            <w:shd w:val="clear" w:color="auto" w:fill="auto"/>
            <w:noWrap/>
            <w:vAlign w:val="center"/>
          </w:tcPr>
          <w:p w14:paraId="41AB4514" w14:textId="77777777" w:rsidR="00501C7E" w:rsidRDefault="00EC5712">
            <w:pPr>
              <w:widowControl/>
              <w:jc w:val="center"/>
              <w:textAlignment w:val="bottom"/>
              <w:rPr>
                <w:rFonts w:ascii="Times New Roman" w:hAnsi="Times New Roman"/>
                <w:iCs/>
                <w:kern w:val="0"/>
                <w:sz w:val="18"/>
                <w:szCs w:val="18"/>
              </w:rPr>
            </w:pPr>
            <w:r>
              <w:rPr>
                <w:rFonts w:ascii="Times New Roman" w:hAnsi="Times New Roman"/>
                <w:iCs/>
                <w:kern w:val="0"/>
                <w:sz w:val="18"/>
                <w:szCs w:val="18"/>
              </w:rPr>
              <w:t>80</w:t>
            </w:r>
          </w:p>
        </w:tc>
        <w:tc>
          <w:tcPr>
            <w:tcW w:w="706" w:type="pct"/>
            <w:tcBorders>
              <w:tl2br w:val="nil"/>
              <w:tr2bl w:val="nil"/>
            </w:tcBorders>
            <w:shd w:val="clear" w:color="auto" w:fill="auto"/>
            <w:noWrap/>
            <w:vAlign w:val="center"/>
          </w:tcPr>
          <w:p w14:paraId="6285DD11" w14:textId="77777777" w:rsidR="00501C7E" w:rsidRDefault="00EC5712">
            <w:pPr>
              <w:widowControl/>
              <w:jc w:val="center"/>
              <w:textAlignment w:val="bottom"/>
              <w:rPr>
                <w:rFonts w:ascii="Times New Roman" w:hAnsi="Times New Roman"/>
                <w:iCs/>
                <w:kern w:val="0"/>
                <w:sz w:val="18"/>
                <w:szCs w:val="18"/>
              </w:rPr>
            </w:pPr>
            <w:r>
              <w:rPr>
                <w:rFonts w:ascii="Times New Roman" w:hAnsi="Times New Roman"/>
                <w:iCs/>
                <w:kern w:val="0"/>
                <w:sz w:val="18"/>
                <w:szCs w:val="18"/>
              </w:rPr>
              <w:t>80</w:t>
            </w:r>
          </w:p>
        </w:tc>
        <w:tc>
          <w:tcPr>
            <w:tcW w:w="676" w:type="pct"/>
            <w:tcBorders>
              <w:tl2br w:val="nil"/>
              <w:tr2bl w:val="nil"/>
            </w:tcBorders>
            <w:shd w:val="clear" w:color="auto" w:fill="auto"/>
            <w:noWrap/>
            <w:vAlign w:val="center"/>
          </w:tcPr>
          <w:p w14:paraId="447EB5FC" w14:textId="77777777" w:rsidR="00501C7E" w:rsidRDefault="00EC5712">
            <w:pPr>
              <w:widowControl/>
              <w:jc w:val="center"/>
              <w:textAlignment w:val="bottom"/>
              <w:rPr>
                <w:rFonts w:ascii="Times New Roman" w:hAnsi="Times New Roman"/>
                <w:iCs/>
                <w:kern w:val="0"/>
                <w:sz w:val="18"/>
                <w:szCs w:val="18"/>
              </w:rPr>
            </w:pPr>
            <w:r>
              <w:rPr>
                <w:rFonts w:ascii="Times New Roman" w:hAnsi="Times New Roman"/>
                <w:iCs/>
                <w:kern w:val="0"/>
                <w:sz w:val="18"/>
                <w:szCs w:val="18"/>
              </w:rPr>
              <w:t>80</w:t>
            </w:r>
          </w:p>
        </w:tc>
        <w:tc>
          <w:tcPr>
            <w:tcW w:w="676" w:type="pct"/>
            <w:tcBorders>
              <w:tl2br w:val="nil"/>
              <w:tr2bl w:val="nil"/>
            </w:tcBorders>
            <w:shd w:val="clear" w:color="auto" w:fill="auto"/>
            <w:noWrap/>
            <w:vAlign w:val="center"/>
          </w:tcPr>
          <w:p w14:paraId="4C185219" w14:textId="77777777" w:rsidR="00501C7E" w:rsidRDefault="00EC5712">
            <w:pPr>
              <w:widowControl/>
              <w:jc w:val="center"/>
              <w:textAlignment w:val="bottom"/>
              <w:rPr>
                <w:rFonts w:ascii="Times New Roman" w:hAnsi="Times New Roman"/>
                <w:iCs/>
                <w:kern w:val="0"/>
                <w:sz w:val="18"/>
                <w:szCs w:val="18"/>
              </w:rPr>
            </w:pPr>
            <w:r>
              <w:rPr>
                <w:rFonts w:ascii="Times New Roman" w:hAnsi="Times New Roman"/>
                <w:iCs/>
                <w:kern w:val="0"/>
                <w:sz w:val="18"/>
                <w:szCs w:val="18"/>
              </w:rPr>
              <w:t>80</w:t>
            </w:r>
          </w:p>
        </w:tc>
        <w:tc>
          <w:tcPr>
            <w:tcW w:w="676" w:type="pct"/>
            <w:tcBorders>
              <w:tl2br w:val="nil"/>
              <w:tr2bl w:val="nil"/>
            </w:tcBorders>
            <w:shd w:val="clear" w:color="auto" w:fill="auto"/>
            <w:noWrap/>
            <w:vAlign w:val="center"/>
          </w:tcPr>
          <w:p w14:paraId="5C1262D8" w14:textId="77777777" w:rsidR="00501C7E" w:rsidRDefault="00EC5712">
            <w:pPr>
              <w:widowControl/>
              <w:jc w:val="center"/>
              <w:textAlignment w:val="bottom"/>
              <w:rPr>
                <w:rFonts w:ascii="Times New Roman" w:hAnsi="Times New Roman"/>
                <w:iCs/>
                <w:kern w:val="0"/>
                <w:sz w:val="18"/>
                <w:szCs w:val="18"/>
              </w:rPr>
            </w:pPr>
            <w:r>
              <w:rPr>
                <w:rFonts w:ascii="Times New Roman" w:hAnsi="Times New Roman"/>
                <w:iCs/>
                <w:kern w:val="0"/>
                <w:sz w:val="18"/>
                <w:szCs w:val="18"/>
              </w:rPr>
              <w:t>80</w:t>
            </w:r>
          </w:p>
        </w:tc>
        <w:tc>
          <w:tcPr>
            <w:tcW w:w="677" w:type="pct"/>
            <w:tcBorders>
              <w:tl2br w:val="nil"/>
              <w:tr2bl w:val="nil"/>
            </w:tcBorders>
            <w:shd w:val="clear" w:color="auto" w:fill="auto"/>
            <w:noWrap/>
            <w:vAlign w:val="center"/>
          </w:tcPr>
          <w:p w14:paraId="4866E989" w14:textId="77777777" w:rsidR="00501C7E" w:rsidRDefault="00EC5712">
            <w:pPr>
              <w:widowControl/>
              <w:jc w:val="center"/>
              <w:textAlignment w:val="bottom"/>
              <w:rPr>
                <w:rFonts w:ascii="Times New Roman" w:hAnsi="Times New Roman"/>
                <w:iCs/>
                <w:kern w:val="0"/>
                <w:sz w:val="18"/>
                <w:szCs w:val="18"/>
              </w:rPr>
            </w:pPr>
            <w:r>
              <w:rPr>
                <w:rFonts w:ascii="Times New Roman" w:hAnsi="Times New Roman"/>
                <w:iCs/>
                <w:kern w:val="0"/>
                <w:sz w:val="18"/>
                <w:szCs w:val="18"/>
              </w:rPr>
              <w:t>80</w:t>
            </w:r>
          </w:p>
        </w:tc>
      </w:tr>
      <w:tr w:rsidR="00501C7E" w14:paraId="5D0088A0" w14:textId="77777777">
        <w:trPr>
          <w:trHeight w:val="303"/>
          <w:jc w:val="center"/>
        </w:trPr>
        <w:tc>
          <w:tcPr>
            <w:tcW w:w="931" w:type="pct"/>
            <w:tcBorders>
              <w:tl2br w:val="nil"/>
              <w:tr2bl w:val="nil"/>
            </w:tcBorders>
            <w:shd w:val="clear" w:color="auto" w:fill="auto"/>
            <w:noWrap/>
            <w:vAlign w:val="center"/>
          </w:tcPr>
          <w:p w14:paraId="15093A02" w14:textId="77777777" w:rsidR="00501C7E" w:rsidRDefault="009C070E">
            <w:pPr>
              <w:jc w:val="center"/>
              <w:rPr>
                <w:rFonts w:ascii="Times New Roman" w:hAnsi="Times New Roman"/>
                <w:sz w:val="18"/>
                <w:szCs w:val="18"/>
              </w:rPr>
            </w:pPr>
            <m:oMathPara>
              <m:oMath>
                <m:r>
                  <m:rPr>
                    <m:sty m:val="p"/>
                  </m:rPr>
                  <w:rPr>
                    <w:rFonts w:ascii="Cambria Math" w:hAnsi="Cambria Math"/>
                    <w:sz w:val="18"/>
                    <w:szCs w:val="18"/>
                  </w:rPr>
                  <m:t>调整的</m:t>
                </m:r>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oMath>
            </m:oMathPara>
          </w:p>
        </w:tc>
        <w:tc>
          <w:tcPr>
            <w:tcW w:w="655" w:type="pct"/>
            <w:tcBorders>
              <w:tl2br w:val="nil"/>
              <w:tr2bl w:val="nil"/>
            </w:tcBorders>
            <w:shd w:val="clear" w:color="auto" w:fill="auto"/>
            <w:noWrap/>
            <w:vAlign w:val="center"/>
          </w:tcPr>
          <w:p w14:paraId="1E032E01"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0.21</w:t>
            </w:r>
          </w:p>
        </w:tc>
        <w:tc>
          <w:tcPr>
            <w:tcW w:w="706" w:type="pct"/>
            <w:tcBorders>
              <w:tl2br w:val="nil"/>
              <w:tr2bl w:val="nil"/>
            </w:tcBorders>
            <w:shd w:val="clear" w:color="auto" w:fill="auto"/>
            <w:noWrap/>
            <w:vAlign w:val="center"/>
          </w:tcPr>
          <w:p w14:paraId="7B089694"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0.15</w:t>
            </w:r>
          </w:p>
        </w:tc>
        <w:tc>
          <w:tcPr>
            <w:tcW w:w="676" w:type="pct"/>
            <w:tcBorders>
              <w:tl2br w:val="nil"/>
              <w:tr2bl w:val="nil"/>
            </w:tcBorders>
            <w:shd w:val="clear" w:color="auto" w:fill="auto"/>
            <w:noWrap/>
            <w:vAlign w:val="center"/>
          </w:tcPr>
          <w:p w14:paraId="1385B124"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0.18</w:t>
            </w:r>
          </w:p>
        </w:tc>
        <w:tc>
          <w:tcPr>
            <w:tcW w:w="676" w:type="pct"/>
            <w:tcBorders>
              <w:tl2br w:val="nil"/>
              <w:tr2bl w:val="nil"/>
            </w:tcBorders>
            <w:shd w:val="clear" w:color="auto" w:fill="auto"/>
            <w:noWrap/>
            <w:vAlign w:val="center"/>
          </w:tcPr>
          <w:p w14:paraId="0AE971D8"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0.19</w:t>
            </w:r>
          </w:p>
        </w:tc>
        <w:tc>
          <w:tcPr>
            <w:tcW w:w="676" w:type="pct"/>
            <w:tcBorders>
              <w:tl2br w:val="nil"/>
              <w:tr2bl w:val="nil"/>
            </w:tcBorders>
            <w:shd w:val="clear" w:color="auto" w:fill="auto"/>
            <w:noWrap/>
            <w:vAlign w:val="center"/>
          </w:tcPr>
          <w:p w14:paraId="38C1350D"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0.20</w:t>
            </w:r>
          </w:p>
        </w:tc>
        <w:tc>
          <w:tcPr>
            <w:tcW w:w="677" w:type="pct"/>
            <w:tcBorders>
              <w:tl2br w:val="nil"/>
              <w:tr2bl w:val="nil"/>
            </w:tcBorders>
            <w:shd w:val="clear" w:color="auto" w:fill="auto"/>
            <w:noWrap/>
            <w:vAlign w:val="center"/>
          </w:tcPr>
          <w:p w14:paraId="671CF56F"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0.26</w:t>
            </w:r>
          </w:p>
        </w:tc>
      </w:tr>
    </w:tbl>
    <w:p w14:paraId="78865224" w14:textId="77777777" w:rsidR="00501C7E" w:rsidRDefault="00501C7E">
      <w:pPr>
        <w:jc w:val="left"/>
        <w:rPr>
          <w:rFonts w:ascii="Times New Roman" w:hAnsi="Times New Roman"/>
          <w:sz w:val="24"/>
        </w:rPr>
      </w:pPr>
    </w:p>
    <w:p w14:paraId="540A1E1F" w14:textId="77777777" w:rsidR="00501C7E" w:rsidRDefault="00EC5712">
      <w:pPr>
        <w:ind w:firstLine="420"/>
        <w:outlineLvl w:val="0"/>
        <w:rPr>
          <w:rFonts w:ascii="黑体" w:eastAsia="黑体" w:hAnsi="黑体" w:cs="黑体"/>
          <w:szCs w:val="21"/>
        </w:rPr>
      </w:pPr>
      <w:r>
        <w:rPr>
          <w:rFonts w:ascii="黑体" w:eastAsia="黑体" w:hAnsi="黑体" w:cs="黑体" w:hint="eastAsia"/>
          <w:szCs w:val="21"/>
        </w:rPr>
        <w:t>（三）稳健性检验</w:t>
      </w:r>
    </w:p>
    <w:p w14:paraId="23326C98" w14:textId="77777777" w:rsidR="00501C7E" w:rsidRPr="009C070E" w:rsidRDefault="00EC5712" w:rsidP="009C070E">
      <w:pPr>
        <w:tabs>
          <w:tab w:val="left" w:pos="520"/>
        </w:tabs>
        <w:outlineLvl w:val="0"/>
        <w:rPr>
          <w:rFonts w:ascii="Times New Roman" w:eastAsia="楷体" w:hAnsi="Times New Roman"/>
          <w:szCs w:val="21"/>
        </w:rPr>
      </w:pPr>
      <w:r>
        <w:rPr>
          <w:rFonts w:ascii="Times New Roman" w:eastAsia="楷体" w:hAnsi="Times New Roman" w:hint="eastAsia"/>
          <w:szCs w:val="21"/>
        </w:rPr>
        <w:tab/>
      </w:r>
      <w:r>
        <w:rPr>
          <w:rFonts w:ascii="Times New Roman" w:eastAsia="楷体" w:hAnsi="Times New Roman"/>
          <w:szCs w:val="21"/>
        </w:rPr>
        <w:t>1.</w:t>
      </w:r>
      <w:r>
        <w:rPr>
          <w:rFonts w:ascii="Times New Roman" w:eastAsia="楷体" w:hAnsi="Times New Roman"/>
          <w:szCs w:val="21"/>
        </w:rPr>
        <w:t>以残差衡量政治势力</w:t>
      </w:r>
      <w:r w:rsidR="009C070E">
        <w:rPr>
          <w:rFonts w:ascii="Times New Roman" w:eastAsia="楷体" w:hAnsi="Times New Roman"/>
          <w:szCs w:val="21"/>
        </w:rPr>
        <w:t>。</w:t>
      </w:r>
      <w:r>
        <w:rPr>
          <w:rFonts w:ascii="Times New Roman" w:hAnsi="Times New Roman"/>
          <w:szCs w:val="21"/>
        </w:rPr>
        <w:t>本文的核心解释变量，即反映申诉者政治势力的虚拟变量</w:t>
      </w:r>
      <m:oMath>
        <m:sSub>
          <m:sSubPr>
            <m:ctrlPr>
              <w:rPr>
                <w:rFonts w:ascii="Cambria Math" w:hAnsi="Cambria Math"/>
                <w:i/>
                <w:sz w:val="24"/>
              </w:rPr>
            </m:ctrlPr>
          </m:sSubPr>
          <m:e>
            <m:r>
              <w:rPr>
                <w:rFonts w:ascii="Cambria Math" w:hAnsi="Cambria Math"/>
                <w:sz w:val="24"/>
              </w:rPr>
              <m:t>I</m:t>
            </m:r>
          </m:e>
          <m:sub>
            <m:r>
              <w:rPr>
                <w:rFonts w:ascii="Cambria Math" w:hAnsi="Cambria Math"/>
                <w:sz w:val="24"/>
              </w:rPr>
              <m:t>i</m:t>
            </m:r>
          </m:sub>
        </m:sSub>
      </m:oMath>
      <w:r>
        <w:rPr>
          <w:rFonts w:ascii="Times New Roman" w:hAnsi="Times New Roman"/>
          <w:szCs w:val="21"/>
        </w:rPr>
        <w:t>是通过申诉者在行业内排名构造的。为避免</w:t>
      </w:r>
      <w:r>
        <w:rPr>
          <w:rFonts w:ascii="Times New Roman" w:hAnsi="Times New Roman" w:hint="eastAsia"/>
          <w:szCs w:val="21"/>
        </w:rPr>
        <w:t>“</w:t>
      </w:r>
      <w:r>
        <w:rPr>
          <w:rFonts w:ascii="Times New Roman" w:hAnsi="Times New Roman"/>
          <w:szCs w:val="21"/>
        </w:rPr>
        <w:t>武断</w:t>
      </w:r>
      <w:r>
        <w:rPr>
          <w:rFonts w:ascii="Times New Roman" w:hAnsi="Times New Roman" w:hint="eastAsia"/>
          <w:szCs w:val="21"/>
        </w:rPr>
        <w:t>”</w:t>
      </w:r>
      <w:r w:rsidR="009C070E">
        <w:rPr>
          <w:rFonts w:ascii="Times New Roman" w:hAnsi="Times New Roman"/>
          <w:szCs w:val="21"/>
        </w:rPr>
        <w:t>嫌疑，本文</w:t>
      </w:r>
      <w:r>
        <w:rPr>
          <w:rFonts w:ascii="Times New Roman" w:hAnsi="Times New Roman"/>
          <w:szCs w:val="21"/>
        </w:rPr>
        <w:t>按照</w:t>
      </w:r>
      <w:r>
        <w:rPr>
          <w:rFonts w:ascii="Times New Roman" w:hAnsi="Times New Roman"/>
        </w:rPr>
        <w:t>Cadot et al</w:t>
      </w:r>
      <w:r>
        <w:rPr>
          <w:rFonts w:ascii="Times New Roman" w:hAnsi="Times New Roman"/>
        </w:rPr>
        <w:t>（</w:t>
      </w:r>
      <w:r>
        <w:rPr>
          <w:rFonts w:ascii="Times New Roman" w:hAnsi="Times New Roman"/>
        </w:rPr>
        <w:t>2013</w:t>
      </w:r>
      <w:r>
        <w:rPr>
          <w:rFonts w:ascii="Times New Roman" w:hAnsi="Times New Roman"/>
        </w:rPr>
        <w:t>）</w:t>
      </w:r>
      <w:r>
        <w:rPr>
          <w:rFonts w:ascii="Times New Roman" w:hAnsi="Times New Roman"/>
          <w:szCs w:val="21"/>
        </w:rPr>
        <w:t>的方法，从模型本身</w:t>
      </w:r>
      <w:r>
        <w:rPr>
          <w:rFonts w:ascii="Times New Roman" w:hAnsi="Times New Roman" w:hint="eastAsia"/>
          <w:szCs w:val="21"/>
        </w:rPr>
        <w:t>“</w:t>
      </w:r>
      <w:r>
        <w:rPr>
          <w:rFonts w:ascii="Times New Roman" w:hAnsi="Times New Roman"/>
          <w:szCs w:val="21"/>
        </w:rPr>
        <w:t>提取</w:t>
      </w:r>
      <w:r>
        <w:rPr>
          <w:rFonts w:ascii="Times New Roman" w:hAnsi="Times New Roman" w:hint="eastAsia"/>
          <w:szCs w:val="21"/>
        </w:rPr>
        <w:t>”</w:t>
      </w:r>
      <w:r>
        <w:rPr>
          <w:rFonts w:ascii="Times New Roman" w:hAnsi="Times New Roman"/>
          <w:szCs w:val="21"/>
        </w:rPr>
        <w:t>相关信息来衡量申诉者的政治势力。假定全部行业在政治上无组织，即令所有</w:t>
      </w:r>
      <m:oMath>
        <m:sSub>
          <m:sSubPr>
            <m:ctrlPr>
              <w:rPr>
                <w:rFonts w:ascii="Cambria Math" w:hAnsi="Cambria Math"/>
                <w:i/>
                <w:sz w:val="24"/>
              </w:rPr>
            </m:ctrlPr>
          </m:sSubPr>
          <m:e>
            <m:r>
              <w:rPr>
                <w:rFonts w:ascii="Cambria Math" w:hAnsi="Cambria Math"/>
                <w:sz w:val="24"/>
              </w:rPr>
              <m:t>I</m:t>
            </m:r>
          </m:e>
          <m:sub>
            <m:r>
              <w:rPr>
                <w:rFonts w:ascii="Cambria Math" w:hAnsi="Cambria Math"/>
                <w:sz w:val="24"/>
              </w:rPr>
              <m:t>i</m:t>
            </m:r>
          </m:sub>
        </m:sSub>
      </m:oMath>
      <w:r>
        <w:rPr>
          <w:rFonts w:ascii="Times New Roman" w:hAnsi="Times New Roman"/>
          <w:szCs w:val="21"/>
        </w:rPr>
        <w:t>等于</w:t>
      </w:r>
      <w:r>
        <w:rPr>
          <w:rFonts w:ascii="Times New Roman" w:hAnsi="Times New Roman"/>
          <w:szCs w:val="21"/>
        </w:rPr>
        <w:t>0</w:t>
      </w:r>
      <w:r>
        <w:rPr>
          <w:rFonts w:ascii="Times New Roman" w:hAnsi="Times New Roman"/>
          <w:szCs w:val="21"/>
        </w:rPr>
        <w:t>，如果保护待售模型对解释欧盟反倾销影响因素有较强的适用性，则进行回归后提取的残差可以表示进口渗透率之外的其他影响因素，而其中最为重要的便是申诉者的政治势</w:t>
      </w:r>
      <w:r w:rsidR="009C070E">
        <w:rPr>
          <w:rFonts w:ascii="Times New Roman" w:hAnsi="Times New Roman"/>
          <w:szCs w:val="21"/>
        </w:rPr>
        <w:t>力。因此，残差越大，可以认为申诉者的政治势力越强。本文</w:t>
      </w:r>
      <w:r>
        <w:rPr>
          <w:rFonts w:ascii="Times New Roman" w:hAnsi="Times New Roman"/>
          <w:szCs w:val="21"/>
        </w:rPr>
        <w:t>便进行这样的检验，用残差衡量申诉者的政治势力，并设定</w:t>
      </w:r>
      <w:r>
        <w:rPr>
          <w:rFonts w:ascii="Times New Roman" w:hAnsi="Times New Roman" w:hint="eastAsia"/>
          <w:szCs w:val="21"/>
        </w:rPr>
        <w:t>“</w:t>
      </w:r>
      <w:r>
        <w:rPr>
          <w:rFonts w:ascii="Times New Roman" w:hAnsi="Times New Roman"/>
          <w:szCs w:val="21"/>
        </w:rPr>
        <w:t>门槛</w:t>
      </w:r>
      <w:r>
        <w:rPr>
          <w:rFonts w:ascii="Times New Roman" w:hAnsi="Times New Roman" w:hint="eastAsia"/>
          <w:szCs w:val="21"/>
        </w:rPr>
        <w:t>”</w:t>
      </w:r>
      <w:r>
        <w:rPr>
          <w:rFonts w:ascii="Times New Roman" w:hAnsi="Times New Roman"/>
          <w:szCs w:val="21"/>
        </w:rPr>
        <w:t>来确定</w:t>
      </w:r>
      <m:oMath>
        <m:sSub>
          <m:sSubPr>
            <m:ctrlPr>
              <w:rPr>
                <w:rFonts w:ascii="Cambria Math" w:hAnsi="Cambria Math"/>
                <w:i/>
                <w:sz w:val="24"/>
              </w:rPr>
            </m:ctrlPr>
          </m:sSubPr>
          <m:e>
            <m:r>
              <w:rPr>
                <w:rFonts w:ascii="Cambria Math" w:hAnsi="Cambria Math"/>
                <w:sz w:val="24"/>
              </w:rPr>
              <m:t>I</m:t>
            </m:r>
          </m:e>
          <m:sub>
            <m:r>
              <w:rPr>
                <w:rFonts w:ascii="Cambria Math" w:hAnsi="Cambria Math"/>
                <w:sz w:val="24"/>
              </w:rPr>
              <m:t>i</m:t>
            </m:r>
          </m:sub>
        </m:sSub>
      </m:oMath>
      <w:r>
        <w:rPr>
          <w:rFonts w:ascii="Times New Roman" w:hAnsi="Times New Roman"/>
          <w:szCs w:val="21"/>
        </w:rPr>
        <w:t>的取值。</w:t>
      </w:r>
    </w:p>
    <w:p w14:paraId="607CDB2F" w14:textId="77777777" w:rsidR="00501C7E" w:rsidRDefault="00EC5712">
      <w:pPr>
        <w:ind w:firstLine="420"/>
        <w:jc w:val="left"/>
        <w:textAlignment w:val="bottom"/>
        <w:rPr>
          <w:rFonts w:ascii="Times New Roman" w:hAnsi="Times New Roman"/>
          <w:szCs w:val="21"/>
        </w:rPr>
      </w:pPr>
      <w:r>
        <w:rPr>
          <w:rFonts w:ascii="Times New Roman" w:hAnsi="Times New Roman"/>
          <w:szCs w:val="21"/>
        </w:rPr>
        <w:t>分别设定排名在前</w:t>
      </w:r>
      <w:r>
        <w:rPr>
          <w:rFonts w:ascii="Times New Roman" w:hAnsi="Times New Roman"/>
          <w:szCs w:val="21"/>
        </w:rPr>
        <w:t>20%</w:t>
      </w:r>
      <w:r>
        <w:rPr>
          <w:rFonts w:ascii="Times New Roman" w:hAnsi="Times New Roman"/>
          <w:szCs w:val="21"/>
        </w:rPr>
        <w:t>、</w:t>
      </w:r>
      <w:r>
        <w:rPr>
          <w:rFonts w:ascii="Times New Roman" w:hAnsi="Times New Roman"/>
          <w:szCs w:val="21"/>
        </w:rPr>
        <w:t>40%</w:t>
      </w:r>
      <w:r>
        <w:rPr>
          <w:rFonts w:ascii="Times New Roman" w:hAnsi="Times New Roman"/>
          <w:szCs w:val="21"/>
        </w:rPr>
        <w:t>和</w:t>
      </w:r>
      <w:r>
        <w:rPr>
          <w:rFonts w:ascii="Times New Roman" w:hAnsi="Times New Roman"/>
          <w:szCs w:val="21"/>
        </w:rPr>
        <w:t>60%</w:t>
      </w:r>
      <w:r>
        <w:rPr>
          <w:rFonts w:ascii="Times New Roman" w:hAnsi="Times New Roman"/>
          <w:szCs w:val="21"/>
        </w:rPr>
        <w:t>的申诉者具有较强的政治势力，即以残差值衡量的申诉者政治势力虚拟变量值为</w:t>
      </w:r>
      <w:r>
        <w:rPr>
          <w:rFonts w:ascii="Times New Roman" w:hAnsi="Times New Roman"/>
          <w:szCs w:val="21"/>
        </w:rPr>
        <w:t>1</w:t>
      </w:r>
      <w:r w:rsidR="009C070E">
        <w:rPr>
          <w:rFonts w:ascii="Times New Roman" w:hAnsi="Times New Roman"/>
          <w:szCs w:val="21"/>
        </w:rPr>
        <w:t>。本文</w:t>
      </w:r>
      <w:r>
        <w:rPr>
          <w:rFonts w:ascii="Times New Roman" w:hAnsi="Times New Roman"/>
          <w:szCs w:val="21"/>
        </w:rPr>
        <w:t>依托</w:t>
      </w:r>
      <w:r w:rsidR="009C070E">
        <w:rPr>
          <w:rFonts w:ascii="Times New Roman" w:hAnsi="Times New Roman"/>
          <w:szCs w:val="21"/>
        </w:rPr>
        <w:t>式</w:t>
      </w:r>
      <w:r>
        <w:rPr>
          <w:rFonts w:ascii="Times New Roman" w:hAnsi="Times New Roman"/>
          <w:szCs w:val="21"/>
        </w:rPr>
        <w:t>（</w:t>
      </w:r>
      <w:r>
        <w:rPr>
          <w:rFonts w:ascii="Times New Roman" w:hAnsi="Times New Roman"/>
          <w:szCs w:val="21"/>
        </w:rPr>
        <w:t>7</w:t>
      </w:r>
      <w:r w:rsidR="009C070E">
        <w:rPr>
          <w:rFonts w:ascii="Times New Roman" w:hAnsi="Times New Roman"/>
          <w:szCs w:val="21"/>
        </w:rPr>
        <w:t>）</w:t>
      </w:r>
      <w:r>
        <w:rPr>
          <w:rFonts w:ascii="Times New Roman" w:hAnsi="Times New Roman"/>
          <w:szCs w:val="21"/>
        </w:rPr>
        <w:t>进行回归检验，分别对被解释变量初裁税率和终裁</w:t>
      </w:r>
      <w:r>
        <w:rPr>
          <w:rFonts w:ascii="Times New Roman" w:hAnsi="Times New Roman"/>
          <w:szCs w:val="21"/>
        </w:rPr>
        <w:lastRenderedPageBreak/>
        <w:t>税率进行回归，估计结果如表</w:t>
      </w:r>
      <w:r>
        <w:rPr>
          <w:rFonts w:ascii="Times New Roman" w:hAnsi="Times New Roman"/>
          <w:szCs w:val="21"/>
        </w:rPr>
        <w:t>10</w:t>
      </w:r>
      <w:r>
        <w:rPr>
          <w:rFonts w:ascii="Times New Roman" w:hAnsi="Times New Roman"/>
          <w:szCs w:val="21"/>
        </w:rPr>
        <w:t>所示</w:t>
      </w:r>
      <w:r w:rsidR="009C070E">
        <w:rPr>
          <w:rFonts w:ascii="Times New Roman" w:hAnsi="Times New Roman"/>
          <w:szCs w:val="21"/>
        </w:rPr>
        <w:t>。当提取残差来测度申诉者政治势力时，估计系数符号同模型预期相符。</w:t>
      </w:r>
      <w:r>
        <w:rPr>
          <w:rFonts w:ascii="Times New Roman" w:hAnsi="Times New Roman"/>
          <w:szCs w:val="21"/>
        </w:rPr>
        <w:t>其中，</w:t>
      </w:r>
      <m:oMath>
        <m:r>
          <w:rPr>
            <w:rFonts w:ascii="Cambria Math" w:hAnsi="Cambria Math"/>
            <w:szCs w:val="21"/>
          </w:rPr>
          <m:t>δ</m:t>
        </m:r>
      </m:oMath>
      <w:r>
        <w:rPr>
          <w:rFonts w:ascii="Times New Roman" w:hAnsi="Times New Roman"/>
          <w:szCs w:val="21"/>
        </w:rPr>
        <w:t>显著为正，</w:t>
      </w:r>
      <m:oMath>
        <m:r>
          <w:rPr>
            <w:rFonts w:ascii="Cambria Math" w:hAnsi="Cambria Math"/>
            <w:szCs w:val="21"/>
          </w:rPr>
          <m:t>γ</m:t>
        </m:r>
      </m:oMath>
      <w:r>
        <w:rPr>
          <w:rFonts w:ascii="Times New Roman" w:hAnsi="Times New Roman"/>
          <w:szCs w:val="21"/>
        </w:rPr>
        <w:t>显著为负，</w:t>
      </w:r>
      <m:oMath>
        <m:r>
          <w:rPr>
            <w:rFonts w:ascii="Cambria Math" w:hAnsi="Cambria Math"/>
            <w:szCs w:val="21"/>
          </w:rPr>
          <m:t>γ+δ</m:t>
        </m:r>
      </m:oMath>
      <w:r>
        <w:rPr>
          <w:rFonts w:ascii="Times New Roman" w:hAnsi="Times New Roman"/>
          <w:szCs w:val="21"/>
        </w:rPr>
        <w:t>显著为正，估计结果符合</w:t>
      </w:r>
      <w:r>
        <w:rPr>
          <w:rFonts w:ascii="Times New Roman" w:hAnsi="Times New Roman" w:hint="eastAsia"/>
          <w:szCs w:val="21"/>
        </w:rPr>
        <w:t>“</w:t>
      </w:r>
      <w:r>
        <w:rPr>
          <w:rFonts w:ascii="Times New Roman" w:hAnsi="Times New Roman"/>
          <w:szCs w:val="21"/>
        </w:rPr>
        <w:t>保护待售</w:t>
      </w:r>
      <w:r>
        <w:rPr>
          <w:rFonts w:ascii="Times New Roman" w:hAnsi="Times New Roman" w:hint="eastAsia"/>
          <w:szCs w:val="21"/>
        </w:rPr>
        <w:t>”</w:t>
      </w:r>
      <w:r>
        <w:rPr>
          <w:rFonts w:ascii="Times New Roman" w:hAnsi="Times New Roman"/>
          <w:szCs w:val="21"/>
        </w:rPr>
        <w:t>模型的符号设定。结构参数</w:t>
      </w:r>
      <m:oMath>
        <m:sSub>
          <m:sSubPr>
            <m:ctrlPr>
              <w:rPr>
                <w:rFonts w:ascii="Cambria Math" w:hAnsi="Cambria Math"/>
                <w:i/>
                <w:szCs w:val="21"/>
              </w:rPr>
            </m:ctrlPr>
          </m:sSubPr>
          <m:e>
            <m:r>
              <w:rPr>
                <w:rFonts w:ascii="Cambria Math" w:hAnsi="Cambria Math"/>
                <w:szCs w:val="21"/>
              </w:rPr>
              <m:t>α</m:t>
            </m:r>
          </m:e>
          <m:sub>
            <m:r>
              <w:rPr>
                <w:rFonts w:ascii="Cambria Math" w:hAnsi="Cambria Math"/>
                <w:szCs w:val="21"/>
              </w:rPr>
              <m:t>L</m:t>
            </m:r>
          </m:sub>
        </m:sSub>
      </m:oMath>
      <w:r>
        <w:rPr>
          <w:rFonts w:ascii="Times New Roman" w:hAnsi="Times New Roman"/>
          <w:szCs w:val="21"/>
        </w:rPr>
        <w:t>的值仍然在合理范围之内，估计出的</w:t>
      </w:r>
      <m:oMath>
        <m:r>
          <w:rPr>
            <w:rFonts w:ascii="Cambria Math" w:hAnsi="Cambria Math"/>
            <w:szCs w:val="21"/>
          </w:rPr>
          <m:t>a</m:t>
        </m:r>
      </m:oMath>
      <w:r>
        <w:rPr>
          <w:rFonts w:ascii="Times New Roman" w:hAnsi="Times New Roman"/>
          <w:szCs w:val="21"/>
        </w:rPr>
        <w:t>值在</w:t>
      </w:r>
      <w:r>
        <w:rPr>
          <w:rFonts w:ascii="Times New Roman" w:hAnsi="Times New Roman"/>
          <w:szCs w:val="21"/>
        </w:rPr>
        <w:t>4.0-8.0</w:t>
      </w:r>
      <w:r>
        <w:rPr>
          <w:rFonts w:ascii="Times New Roman" w:hAnsi="Times New Roman"/>
          <w:szCs w:val="21"/>
        </w:rPr>
        <w:t>之间，同基准检验的结果相比略有提高，但是仍然符合现实逻辑，即欧盟对全社会福利的重视程度略高于对利益集团诉求的重视程度</w:t>
      </w:r>
      <w:r w:rsidR="009C070E">
        <w:rPr>
          <w:rFonts w:ascii="Times New Roman" w:hAnsi="Times New Roman"/>
          <w:szCs w:val="21"/>
        </w:rPr>
        <w:t>。由此可见，样本选择偏差问题在本文的实证分析过程中并不明显，本文</w:t>
      </w:r>
      <w:r>
        <w:rPr>
          <w:rFonts w:ascii="Times New Roman" w:hAnsi="Times New Roman"/>
          <w:szCs w:val="21"/>
        </w:rPr>
        <w:t>的估计结果是稳健的。</w:t>
      </w:r>
    </w:p>
    <w:p w14:paraId="30F17D5B" w14:textId="77777777" w:rsidR="00501C7E" w:rsidRDefault="00501C7E">
      <w:pPr>
        <w:rPr>
          <w:rFonts w:ascii="Times New Roman" w:eastAsia="黑体" w:hAnsi="Times New Roman"/>
          <w:szCs w:val="21"/>
        </w:rPr>
      </w:pPr>
    </w:p>
    <w:p w14:paraId="3B62D963" w14:textId="77777777" w:rsidR="00501C7E" w:rsidRDefault="00EC5712">
      <w:pPr>
        <w:jc w:val="center"/>
        <w:rPr>
          <w:rFonts w:ascii="Times New Roman" w:eastAsia="楷体" w:hAnsi="Times New Roman"/>
          <w:bCs/>
          <w:szCs w:val="21"/>
        </w:rPr>
      </w:pPr>
      <w:r>
        <w:rPr>
          <w:rFonts w:ascii="Times New Roman" w:eastAsia="楷体" w:hAnsi="Times New Roman"/>
          <w:bCs/>
          <w:szCs w:val="21"/>
        </w:rPr>
        <w:t>表</w:t>
      </w:r>
      <w:r>
        <w:rPr>
          <w:rFonts w:ascii="Times New Roman" w:eastAsia="楷体" w:hAnsi="Times New Roman"/>
          <w:bCs/>
          <w:szCs w:val="21"/>
        </w:rPr>
        <w:t xml:space="preserve">10  </w:t>
      </w:r>
      <w:r>
        <w:rPr>
          <w:rFonts w:ascii="Times New Roman" w:eastAsia="楷体" w:hAnsi="Times New Roman"/>
          <w:bCs/>
          <w:szCs w:val="21"/>
        </w:rPr>
        <w:t>克服样本选择偏差的估计结果</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301"/>
        <w:gridCol w:w="1302"/>
        <w:gridCol w:w="1307"/>
        <w:gridCol w:w="1301"/>
        <w:gridCol w:w="1301"/>
        <w:gridCol w:w="1307"/>
      </w:tblGrid>
      <w:tr w:rsidR="00501C7E" w14:paraId="53650AD9" w14:textId="77777777">
        <w:trPr>
          <w:trHeight w:val="303"/>
        </w:trPr>
        <w:tc>
          <w:tcPr>
            <w:tcW w:w="709" w:type="pct"/>
            <w:tcBorders>
              <w:tl2br w:val="nil"/>
              <w:tr2bl w:val="nil"/>
            </w:tcBorders>
            <w:shd w:val="clear" w:color="auto" w:fill="auto"/>
            <w:vAlign w:val="center"/>
          </w:tcPr>
          <w:p w14:paraId="5A3A6FD3"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被解释变量</w:t>
            </w:r>
          </w:p>
        </w:tc>
        <w:tc>
          <w:tcPr>
            <w:tcW w:w="2144" w:type="pct"/>
            <w:gridSpan w:val="3"/>
            <w:tcBorders>
              <w:tl2br w:val="nil"/>
              <w:tr2bl w:val="nil"/>
            </w:tcBorders>
            <w:shd w:val="clear" w:color="auto" w:fill="auto"/>
            <w:noWrap/>
            <w:vAlign w:val="center"/>
          </w:tcPr>
          <w:p w14:paraId="0EE0C8B9" w14:textId="77777777" w:rsidR="00501C7E" w:rsidRDefault="00EC5712">
            <w:pPr>
              <w:jc w:val="center"/>
              <w:rPr>
                <w:rFonts w:ascii="Times New Roman" w:hAnsi="Times New Roman"/>
                <w:sz w:val="18"/>
                <w:szCs w:val="18"/>
              </w:rPr>
            </w:pPr>
            <w:r>
              <w:rPr>
                <w:rFonts w:ascii="Times New Roman" w:hAnsi="Times New Roman"/>
                <w:sz w:val="18"/>
                <w:szCs w:val="18"/>
              </w:rPr>
              <w:t>初裁税率</w:t>
            </w:r>
          </w:p>
        </w:tc>
        <w:tc>
          <w:tcPr>
            <w:tcW w:w="2145" w:type="pct"/>
            <w:gridSpan w:val="3"/>
            <w:tcBorders>
              <w:tl2br w:val="nil"/>
              <w:tr2bl w:val="nil"/>
            </w:tcBorders>
            <w:shd w:val="clear" w:color="auto" w:fill="auto"/>
            <w:noWrap/>
            <w:vAlign w:val="center"/>
          </w:tcPr>
          <w:p w14:paraId="6081173B" w14:textId="77777777" w:rsidR="00501C7E" w:rsidRDefault="00EC5712">
            <w:pPr>
              <w:jc w:val="center"/>
              <w:rPr>
                <w:rFonts w:ascii="Times New Roman" w:hAnsi="Times New Roman"/>
                <w:sz w:val="18"/>
                <w:szCs w:val="18"/>
              </w:rPr>
            </w:pPr>
            <w:r>
              <w:rPr>
                <w:rFonts w:ascii="Times New Roman" w:hAnsi="Times New Roman"/>
                <w:kern w:val="0"/>
                <w:sz w:val="18"/>
                <w:szCs w:val="18"/>
              </w:rPr>
              <w:t>终裁税率</w:t>
            </w:r>
          </w:p>
        </w:tc>
      </w:tr>
      <w:tr w:rsidR="00501C7E" w14:paraId="12637E5E" w14:textId="77777777">
        <w:trPr>
          <w:trHeight w:val="303"/>
        </w:trPr>
        <w:tc>
          <w:tcPr>
            <w:tcW w:w="709" w:type="pct"/>
            <w:tcBorders>
              <w:tl2br w:val="nil"/>
              <w:tr2bl w:val="nil"/>
            </w:tcBorders>
            <w:shd w:val="clear" w:color="auto" w:fill="auto"/>
            <w:vAlign w:val="center"/>
          </w:tcPr>
          <w:p w14:paraId="665E0D8F"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申诉者政治势力排名</w:t>
            </w:r>
          </w:p>
        </w:tc>
        <w:tc>
          <w:tcPr>
            <w:tcW w:w="713" w:type="pct"/>
            <w:tcBorders>
              <w:tl2br w:val="nil"/>
              <w:tr2bl w:val="nil"/>
            </w:tcBorders>
            <w:shd w:val="clear" w:color="auto" w:fill="auto"/>
            <w:noWrap/>
            <w:vAlign w:val="center"/>
          </w:tcPr>
          <w:p w14:paraId="413B01EA"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前</w:t>
            </w:r>
            <w:r>
              <w:rPr>
                <w:rFonts w:ascii="Times New Roman" w:hAnsi="Times New Roman"/>
                <w:kern w:val="0"/>
                <w:sz w:val="18"/>
                <w:szCs w:val="18"/>
              </w:rPr>
              <w:t>20%</w:t>
            </w:r>
          </w:p>
        </w:tc>
        <w:tc>
          <w:tcPr>
            <w:tcW w:w="714" w:type="pct"/>
            <w:tcBorders>
              <w:tl2br w:val="nil"/>
              <w:tr2bl w:val="nil"/>
            </w:tcBorders>
            <w:shd w:val="clear" w:color="auto" w:fill="auto"/>
            <w:noWrap/>
            <w:vAlign w:val="center"/>
          </w:tcPr>
          <w:p w14:paraId="0FC5351E"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前</w:t>
            </w:r>
            <w:r>
              <w:rPr>
                <w:rFonts w:ascii="Times New Roman" w:hAnsi="Times New Roman"/>
                <w:kern w:val="0"/>
                <w:sz w:val="18"/>
                <w:szCs w:val="18"/>
              </w:rPr>
              <w:t>40%</w:t>
            </w:r>
          </w:p>
        </w:tc>
        <w:tc>
          <w:tcPr>
            <w:tcW w:w="717" w:type="pct"/>
            <w:tcBorders>
              <w:tl2br w:val="nil"/>
              <w:tr2bl w:val="nil"/>
            </w:tcBorders>
            <w:shd w:val="clear" w:color="auto" w:fill="auto"/>
            <w:noWrap/>
            <w:vAlign w:val="center"/>
          </w:tcPr>
          <w:p w14:paraId="1B9381D6"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前</w:t>
            </w:r>
            <w:r>
              <w:rPr>
                <w:rFonts w:ascii="Times New Roman" w:hAnsi="Times New Roman"/>
                <w:kern w:val="0"/>
                <w:sz w:val="18"/>
                <w:szCs w:val="18"/>
              </w:rPr>
              <w:t>60%</w:t>
            </w:r>
          </w:p>
        </w:tc>
        <w:tc>
          <w:tcPr>
            <w:tcW w:w="714" w:type="pct"/>
            <w:tcBorders>
              <w:tl2br w:val="nil"/>
              <w:tr2bl w:val="nil"/>
            </w:tcBorders>
            <w:shd w:val="clear" w:color="auto" w:fill="auto"/>
            <w:noWrap/>
            <w:vAlign w:val="center"/>
          </w:tcPr>
          <w:p w14:paraId="04E8C297"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前</w:t>
            </w:r>
            <w:r>
              <w:rPr>
                <w:rFonts w:ascii="Times New Roman" w:hAnsi="Times New Roman"/>
                <w:kern w:val="0"/>
                <w:sz w:val="18"/>
                <w:szCs w:val="18"/>
              </w:rPr>
              <w:t>20%</w:t>
            </w:r>
          </w:p>
        </w:tc>
        <w:tc>
          <w:tcPr>
            <w:tcW w:w="714" w:type="pct"/>
            <w:tcBorders>
              <w:tl2br w:val="nil"/>
              <w:tr2bl w:val="nil"/>
            </w:tcBorders>
            <w:shd w:val="clear" w:color="auto" w:fill="auto"/>
            <w:noWrap/>
            <w:vAlign w:val="center"/>
          </w:tcPr>
          <w:p w14:paraId="707DD825"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前</w:t>
            </w:r>
            <w:r>
              <w:rPr>
                <w:rFonts w:ascii="Times New Roman" w:hAnsi="Times New Roman"/>
                <w:kern w:val="0"/>
                <w:sz w:val="18"/>
                <w:szCs w:val="18"/>
              </w:rPr>
              <w:t>40%</w:t>
            </w:r>
          </w:p>
        </w:tc>
        <w:tc>
          <w:tcPr>
            <w:tcW w:w="717" w:type="pct"/>
            <w:tcBorders>
              <w:tl2br w:val="nil"/>
              <w:tr2bl w:val="nil"/>
            </w:tcBorders>
            <w:shd w:val="clear" w:color="auto" w:fill="auto"/>
            <w:noWrap/>
            <w:vAlign w:val="center"/>
          </w:tcPr>
          <w:p w14:paraId="26D9F39C"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前</w:t>
            </w:r>
            <w:r>
              <w:rPr>
                <w:rFonts w:ascii="Times New Roman" w:hAnsi="Times New Roman"/>
                <w:kern w:val="0"/>
                <w:sz w:val="18"/>
                <w:szCs w:val="18"/>
              </w:rPr>
              <w:t>60%</w:t>
            </w:r>
          </w:p>
        </w:tc>
      </w:tr>
      <w:tr w:rsidR="00501C7E" w14:paraId="5EEC4F0E" w14:textId="77777777">
        <w:trPr>
          <w:trHeight w:val="604"/>
        </w:trPr>
        <w:tc>
          <w:tcPr>
            <w:tcW w:w="1293" w:type="dxa"/>
            <w:tcBorders>
              <w:tl2br w:val="nil"/>
              <w:tr2bl w:val="nil"/>
            </w:tcBorders>
            <w:shd w:val="clear" w:color="auto" w:fill="auto"/>
            <w:noWrap/>
            <w:vAlign w:val="center"/>
          </w:tcPr>
          <w:p w14:paraId="0DF395B2" w14:textId="77777777" w:rsidR="00501C7E" w:rsidRDefault="00000000">
            <w:pPr>
              <w:jc w:val="center"/>
              <w:rPr>
                <w:rFonts w:ascii="Times New Roman" w:hAnsi="Times New Roman"/>
                <w:sz w:val="18"/>
                <w:szCs w:val="18"/>
              </w:rPr>
            </w:pPr>
            <m:oMathPara>
              <m:oMath>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i</m:t>
                        </m:r>
                      </m:sub>
                    </m:sSub>
                  </m:num>
                  <m:den>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i</m:t>
                        </m:r>
                      </m:sub>
                    </m:sSub>
                  </m:den>
                </m:f>
              </m:oMath>
            </m:oMathPara>
          </w:p>
        </w:tc>
        <w:tc>
          <w:tcPr>
            <w:tcW w:w="713" w:type="pct"/>
            <w:tcBorders>
              <w:tl2br w:val="nil"/>
              <w:tr2bl w:val="nil"/>
            </w:tcBorders>
            <w:shd w:val="clear" w:color="auto" w:fill="auto"/>
            <w:noWrap/>
            <w:vAlign w:val="center"/>
          </w:tcPr>
          <w:p w14:paraId="54C29452"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-0.060</w:t>
            </w:r>
            <w:r>
              <w:rPr>
                <w:rFonts w:ascii="Times New Roman" w:hAnsi="Times New Roman"/>
                <w:iCs/>
                <w:kern w:val="0"/>
                <w:sz w:val="18"/>
                <w:szCs w:val="18"/>
              </w:rPr>
              <w:t>***</w:t>
            </w:r>
          </w:p>
          <w:p w14:paraId="47C0F2A4"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0.027</w:t>
            </w:r>
            <w:r>
              <w:rPr>
                <w:rFonts w:ascii="Times New Roman" w:hAnsi="Times New Roman"/>
                <w:kern w:val="0"/>
                <w:sz w:val="18"/>
                <w:szCs w:val="18"/>
              </w:rPr>
              <w:t>）</w:t>
            </w:r>
          </w:p>
        </w:tc>
        <w:tc>
          <w:tcPr>
            <w:tcW w:w="714" w:type="pct"/>
            <w:tcBorders>
              <w:tl2br w:val="nil"/>
              <w:tr2bl w:val="nil"/>
            </w:tcBorders>
            <w:shd w:val="clear" w:color="auto" w:fill="auto"/>
            <w:noWrap/>
            <w:vAlign w:val="center"/>
          </w:tcPr>
          <w:p w14:paraId="50296A26"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-0.068</w:t>
            </w:r>
            <w:r>
              <w:rPr>
                <w:rFonts w:ascii="Times New Roman" w:hAnsi="Times New Roman"/>
                <w:iCs/>
                <w:kern w:val="0"/>
                <w:sz w:val="18"/>
                <w:szCs w:val="18"/>
              </w:rPr>
              <w:t>***</w:t>
            </w:r>
          </w:p>
          <w:p w14:paraId="5FDA1536"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0.027</w:t>
            </w:r>
            <w:r>
              <w:rPr>
                <w:rFonts w:ascii="Times New Roman" w:hAnsi="Times New Roman"/>
                <w:kern w:val="0"/>
                <w:sz w:val="18"/>
                <w:szCs w:val="18"/>
              </w:rPr>
              <w:t>）</w:t>
            </w:r>
          </w:p>
        </w:tc>
        <w:tc>
          <w:tcPr>
            <w:tcW w:w="717" w:type="pct"/>
            <w:tcBorders>
              <w:tl2br w:val="nil"/>
              <w:tr2bl w:val="nil"/>
            </w:tcBorders>
            <w:shd w:val="clear" w:color="auto" w:fill="auto"/>
            <w:noWrap/>
            <w:vAlign w:val="center"/>
          </w:tcPr>
          <w:p w14:paraId="4C6C978D"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-0.074</w:t>
            </w:r>
            <w:r>
              <w:rPr>
                <w:rFonts w:ascii="Times New Roman" w:hAnsi="Times New Roman"/>
                <w:iCs/>
                <w:kern w:val="0"/>
                <w:sz w:val="18"/>
                <w:szCs w:val="18"/>
              </w:rPr>
              <w:t>***</w:t>
            </w:r>
          </w:p>
          <w:p w14:paraId="7CFEDB61"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0.027</w:t>
            </w:r>
            <w:r>
              <w:rPr>
                <w:rFonts w:ascii="Times New Roman" w:hAnsi="Times New Roman"/>
                <w:kern w:val="0"/>
                <w:sz w:val="18"/>
                <w:szCs w:val="18"/>
              </w:rPr>
              <w:t>）</w:t>
            </w:r>
          </w:p>
        </w:tc>
        <w:tc>
          <w:tcPr>
            <w:tcW w:w="714" w:type="pct"/>
            <w:tcBorders>
              <w:tl2br w:val="nil"/>
              <w:tr2bl w:val="nil"/>
            </w:tcBorders>
            <w:shd w:val="clear" w:color="auto" w:fill="auto"/>
            <w:noWrap/>
            <w:vAlign w:val="center"/>
          </w:tcPr>
          <w:p w14:paraId="58330C4D"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-0.045</w:t>
            </w:r>
            <w:r>
              <w:rPr>
                <w:rFonts w:ascii="Times New Roman" w:hAnsi="Times New Roman"/>
                <w:iCs/>
                <w:kern w:val="0"/>
                <w:sz w:val="18"/>
                <w:szCs w:val="18"/>
              </w:rPr>
              <w:t>***</w:t>
            </w:r>
          </w:p>
          <w:p w14:paraId="396BCDC0"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0.023</w:t>
            </w:r>
            <w:r>
              <w:rPr>
                <w:rFonts w:ascii="Times New Roman" w:hAnsi="Times New Roman"/>
                <w:kern w:val="0"/>
                <w:sz w:val="18"/>
                <w:szCs w:val="18"/>
              </w:rPr>
              <w:t>）</w:t>
            </w:r>
          </w:p>
        </w:tc>
        <w:tc>
          <w:tcPr>
            <w:tcW w:w="714" w:type="pct"/>
            <w:tcBorders>
              <w:tl2br w:val="nil"/>
              <w:tr2bl w:val="nil"/>
            </w:tcBorders>
            <w:shd w:val="clear" w:color="auto" w:fill="auto"/>
            <w:noWrap/>
            <w:vAlign w:val="center"/>
          </w:tcPr>
          <w:p w14:paraId="77C1082D"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-0.053</w:t>
            </w:r>
            <w:r>
              <w:rPr>
                <w:rFonts w:ascii="Times New Roman" w:hAnsi="Times New Roman"/>
                <w:iCs/>
                <w:kern w:val="0"/>
                <w:sz w:val="18"/>
                <w:szCs w:val="18"/>
              </w:rPr>
              <w:t>***</w:t>
            </w:r>
          </w:p>
          <w:p w14:paraId="4363A6DA"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0.023</w:t>
            </w:r>
            <w:r>
              <w:rPr>
                <w:rFonts w:ascii="Times New Roman" w:hAnsi="Times New Roman"/>
                <w:kern w:val="0"/>
                <w:sz w:val="18"/>
                <w:szCs w:val="18"/>
              </w:rPr>
              <w:t>）</w:t>
            </w:r>
          </w:p>
        </w:tc>
        <w:tc>
          <w:tcPr>
            <w:tcW w:w="717" w:type="pct"/>
            <w:tcBorders>
              <w:tl2br w:val="nil"/>
              <w:tr2bl w:val="nil"/>
            </w:tcBorders>
            <w:shd w:val="clear" w:color="auto" w:fill="auto"/>
            <w:noWrap/>
            <w:vAlign w:val="center"/>
          </w:tcPr>
          <w:p w14:paraId="6104C073"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-0.061</w:t>
            </w:r>
            <w:r>
              <w:rPr>
                <w:rFonts w:ascii="Times New Roman" w:hAnsi="Times New Roman"/>
                <w:iCs/>
                <w:kern w:val="0"/>
                <w:sz w:val="18"/>
                <w:szCs w:val="18"/>
              </w:rPr>
              <w:t>***</w:t>
            </w:r>
          </w:p>
          <w:p w14:paraId="0E57F204"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0.023</w:t>
            </w:r>
            <w:r>
              <w:rPr>
                <w:rFonts w:ascii="Times New Roman" w:hAnsi="Times New Roman"/>
                <w:kern w:val="0"/>
                <w:sz w:val="18"/>
                <w:szCs w:val="18"/>
              </w:rPr>
              <w:t>）</w:t>
            </w:r>
          </w:p>
        </w:tc>
      </w:tr>
      <w:tr w:rsidR="00501C7E" w14:paraId="0B416C68" w14:textId="77777777">
        <w:trPr>
          <w:trHeight w:val="617"/>
        </w:trPr>
        <w:tc>
          <w:tcPr>
            <w:tcW w:w="1293" w:type="dxa"/>
            <w:vMerge w:val="restart"/>
            <w:tcBorders>
              <w:tl2br w:val="nil"/>
              <w:tr2bl w:val="nil"/>
            </w:tcBorders>
            <w:shd w:val="clear" w:color="auto" w:fill="auto"/>
            <w:noWrap/>
            <w:vAlign w:val="center"/>
          </w:tcPr>
          <w:p w14:paraId="2AA1B07E" w14:textId="77777777" w:rsidR="00501C7E" w:rsidRDefault="00000000">
            <w:pPr>
              <w:jc w:val="center"/>
              <w:rPr>
                <w:rFonts w:ascii="Times New Roman" w:hAnsi="Times New Roman"/>
                <w:sz w:val="18"/>
                <w:szCs w:val="18"/>
              </w:rPr>
            </w:pPr>
            <m:oMathPara>
              <m:oMath>
                <m:f>
                  <m:fPr>
                    <m:ctrlPr>
                      <w:rPr>
                        <w:rFonts w:ascii="Cambria Math" w:hAnsi="Cambria Math"/>
                        <w:i/>
                        <w:iCs/>
                        <w:sz w:val="18"/>
                        <w:szCs w:val="18"/>
                      </w:rPr>
                    </m:ctrlPr>
                  </m:fPr>
                  <m:num>
                    <m:sSub>
                      <m:sSubPr>
                        <m:ctrlPr>
                          <w:rPr>
                            <w:rFonts w:ascii="Cambria Math" w:hAnsi="Cambria Math"/>
                            <w:i/>
                            <w:iCs/>
                            <w:sz w:val="18"/>
                            <w:szCs w:val="18"/>
                          </w:rPr>
                        </m:ctrlPr>
                      </m:sSubPr>
                      <m:e>
                        <m:r>
                          <w:rPr>
                            <w:rFonts w:ascii="Cambria Math" w:hAnsi="Cambria Math"/>
                            <w:sz w:val="18"/>
                            <w:szCs w:val="18"/>
                          </w:rPr>
                          <m:t>I</m:t>
                        </m:r>
                      </m:e>
                      <m:sub>
                        <m:r>
                          <w:rPr>
                            <w:rFonts w:ascii="Cambria Math" w:hAnsi="Cambria Math"/>
                            <w:sz w:val="18"/>
                            <w:szCs w:val="18"/>
                          </w:rPr>
                          <m:t>i</m:t>
                        </m:r>
                      </m:sub>
                    </m:sSub>
                    <m:sSub>
                      <m:sSubPr>
                        <m:ctrlPr>
                          <w:rPr>
                            <w:rFonts w:ascii="Cambria Math" w:hAnsi="Cambria Math"/>
                            <w:i/>
                            <w:iCs/>
                            <w:sz w:val="18"/>
                            <w:szCs w:val="18"/>
                          </w:rPr>
                        </m:ctrlPr>
                      </m:sSubPr>
                      <m:e>
                        <m:r>
                          <w:rPr>
                            <w:rFonts w:ascii="Cambria Math" w:hAnsi="Cambria Math"/>
                            <w:sz w:val="18"/>
                            <w:szCs w:val="18"/>
                          </w:rPr>
                          <m:t>z</m:t>
                        </m:r>
                      </m:e>
                      <m:sub>
                        <m:r>
                          <w:rPr>
                            <w:rFonts w:ascii="Cambria Math" w:hAnsi="Cambria Math"/>
                            <w:sz w:val="18"/>
                            <w:szCs w:val="18"/>
                          </w:rPr>
                          <m:t>i</m:t>
                        </m:r>
                      </m:sub>
                    </m:sSub>
                  </m:num>
                  <m:den>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i</m:t>
                        </m:r>
                      </m:sub>
                    </m:sSub>
                  </m:den>
                </m:f>
              </m:oMath>
            </m:oMathPara>
          </w:p>
        </w:tc>
        <w:tc>
          <w:tcPr>
            <w:tcW w:w="713" w:type="pct"/>
            <w:tcBorders>
              <w:tl2br w:val="nil"/>
              <w:tr2bl w:val="nil"/>
            </w:tcBorders>
            <w:shd w:val="clear" w:color="auto" w:fill="auto"/>
            <w:noWrap/>
            <w:vAlign w:val="center"/>
          </w:tcPr>
          <w:p w14:paraId="17FC948A"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0.217</w:t>
            </w:r>
            <w:r>
              <w:rPr>
                <w:rFonts w:ascii="Times New Roman" w:hAnsi="Times New Roman"/>
                <w:iCs/>
                <w:kern w:val="0"/>
                <w:sz w:val="18"/>
                <w:szCs w:val="18"/>
              </w:rPr>
              <w:t>***</w:t>
            </w:r>
          </w:p>
          <w:p w14:paraId="4FDB1F8A"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0.082</w:t>
            </w:r>
            <w:r>
              <w:rPr>
                <w:rFonts w:ascii="Times New Roman" w:hAnsi="Times New Roman"/>
                <w:kern w:val="0"/>
                <w:sz w:val="18"/>
                <w:szCs w:val="18"/>
              </w:rPr>
              <w:t>）</w:t>
            </w:r>
          </w:p>
        </w:tc>
        <w:tc>
          <w:tcPr>
            <w:tcW w:w="714" w:type="pct"/>
            <w:tcBorders>
              <w:tl2br w:val="nil"/>
              <w:tr2bl w:val="nil"/>
            </w:tcBorders>
            <w:shd w:val="clear" w:color="auto" w:fill="auto"/>
            <w:noWrap/>
            <w:vAlign w:val="center"/>
          </w:tcPr>
          <w:p w14:paraId="2455CDD2"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0.124***</w:t>
            </w:r>
          </w:p>
          <w:p w14:paraId="0AC5BF3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0.050</w:t>
            </w:r>
            <w:r>
              <w:rPr>
                <w:rFonts w:ascii="Times New Roman" w:hAnsi="Times New Roman"/>
                <w:kern w:val="0"/>
                <w:sz w:val="18"/>
                <w:szCs w:val="18"/>
              </w:rPr>
              <w:t>）</w:t>
            </w:r>
          </w:p>
        </w:tc>
        <w:tc>
          <w:tcPr>
            <w:tcW w:w="717" w:type="pct"/>
            <w:tcBorders>
              <w:tl2br w:val="nil"/>
              <w:tr2bl w:val="nil"/>
            </w:tcBorders>
            <w:shd w:val="clear" w:color="auto" w:fill="auto"/>
            <w:noWrap/>
            <w:vAlign w:val="center"/>
          </w:tcPr>
          <w:p w14:paraId="5F457739"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0.142</w:t>
            </w:r>
            <w:r>
              <w:rPr>
                <w:rFonts w:ascii="Times New Roman" w:hAnsi="Times New Roman"/>
                <w:iCs/>
                <w:kern w:val="0"/>
                <w:sz w:val="18"/>
                <w:szCs w:val="18"/>
              </w:rPr>
              <w:t>***</w:t>
            </w:r>
          </w:p>
          <w:p w14:paraId="06FBA22C"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0.044</w:t>
            </w:r>
            <w:r>
              <w:rPr>
                <w:rFonts w:ascii="Times New Roman" w:hAnsi="Times New Roman"/>
                <w:kern w:val="0"/>
                <w:sz w:val="18"/>
                <w:szCs w:val="18"/>
              </w:rPr>
              <w:t>）</w:t>
            </w:r>
          </w:p>
        </w:tc>
        <w:tc>
          <w:tcPr>
            <w:tcW w:w="714" w:type="pct"/>
            <w:tcBorders>
              <w:tl2br w:val="nil"/>
              <w:tr2bl w:val="nil"/>
            </w:tcBorders>
            <w:shd w:val="clear" w:color="auto" w:fill="auto"/>
            <w:noWrap/>
            <w:vAlign w:val="center"/>
          </w:tcPr>
          <w:p w14:paraId="7E892B0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0.229</w:t>
            </w:r>
            <w:r>
              <w:rPr>
                <w:rFonts w:ascii="Times New Roman" w:hAnsi="Times New Roman"/>
                <w:iCs/>
                <w:kern w:val="0"/>
                <w:sz w:val="18"/>
                <w:szCs w:val="18"/>
              </w:rPr>
              <w:t>***</w:t>
            </w:r>
          </w:p>
          <w:p w14:paraId="6F43A7F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0.071</w:t>
            </w:r>
            <w:r>
              <w:rPr>
                <w:rFonts w:ascii="Times New Roman" w:hAnsi="Times New Roman"/>
                <w:kern w:val="0"/>
                <w:sz w:val="18"/>
                <w:szCs w:val="18"/>
              </w:rPr>
              <w:t>）</w:t>
            </w:r>
          </w:p>
        </w:tc>
        <w:tc>
          <w:tcPr>
            <w:tcW w:w="714" w:type="pct"/>
            <w:tcBorders>
              <w:tl2br w:val="nil"/>
              <w:tr2bl w:val="nil"/>
            </w:tcBorders>
            <w:shd w:val="clear" w:color="auto" w:fill="auto"/>
            <w:noWrap/>
            <w:vAlign w:val="center"/>
          </w:tcPr>
          <w:p w14:paraId="118FB06F"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0.128</w:t>
            </w:r>
            <w:r>
              <w:rPr>
                <w:rFonts w:ascii="Times New Roman" w:hAnsi="Times New Roman"/>
                <w:iCs/>
                <w:kern w:val="0"/>
                <w:sz w:val="18"/>
                <w:szCs w:val="18"/>
              </w:rPr>
              <w:t>***</w:t>
            </w:r>
          </w:p>
          <w:p w14:paraId="507055FC"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0.043</w:t>
            </w:r>
            <w:r>
              <w:rPr>
                <w:rFonts w:ascii="Times New Roman" w:hAnsi="Times New Roman"/>
                <w:kern w:val="0"/>
                <w:sz w:val="18"/>
                <w:szCs w:val="18"/>
              </w:rPr>
              <w:t>）</w:t>
            </w:r>
          </w:p>
        </w:tc>
        <w:tc>
          <w:tcPr>
            <w:tcW w:w="717" w:type="pct"/>
            <w:tcBorders>
              <w:tl2br w:val="nil"/>
              <w:tr2bl w:val="nil"/>
            </w:tcBorders>
            <w:shd w:val="clear" w:color="auto" w:fill="auto"/>
            <w:noWrap/>
            <w:vAlign w:val="center"/>
          </w:tcPr>
          <w:p w14:paraId="009F7F37"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0.154</w:t>
            </w:r>
            <w:r>
              <w:rPr>
                <w:rFonts w:ascii="Times New Roman" w:hAnsi="Times New Roman"/>
                <w:iCs/>
                <w:kern w:val="0"/>
                <w:sz w:val="18"/>
                <w:szCs w:val="18"/>
              </w:rPr>
              <w:t>***</w:t>
            </w:r>
          </w:p>
          <w:p w14:paraId="01E00C38"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0.038</w:t>
            </w:r>
            <w:r>
              <w:rPr>
                <w:rFonts w:ascii="Times New Roman" w:hAnsi="Times New Roman"/>
                <w:kern w:val="0"/>
                <w:sz w:val="18"/>
                <w:szCs w:val="18"/>
              </w:rPr>
              <w:t>）</w:t>
            </w:r>
          </w:p>
        </w:tc>
      </w:tr>
      <w:tr w:rsidR="00501C7E" w14:paraId="18455FD4" w14:textId="77777777">
        <w:trPr>
          <w:trHeight w:val="604"/>
        </w:trPr>
        <w:tc>
          <w:tcPr>
            <w:tcW w:w="709" w:type="pct"/>
            <w:tcBorders>
              <w:tl2br w:val="nil"/>
              <w:tr2bl w:val="nil"/>
            </w:tcBorders>
            <w:shd w:val="clear" w:color="auto" w:fill="auto"/>
            <w:noWrap/>
            <w:vAlign w:val="center"/>
          </w:tcPr>
          <w:p w14:paraId="67E88943" w14:textId="77777777" w:rsidR="00501C7E" w:rsidRDefault="00EC5712">
            <w:pPr>
              <w:jc w:val="center"/>
              <w:rPr>
                <w:rFonts w:ascii="Times New Roman" w:hAnsi="Times New Roman"/>
                <w:sz w:val="18"/>
                <w:szCs w:val="18"/>
              </w:rPr>
            </w:pPr>
            <m:oMathPara>
              <m:oMath>
                <m:r>
                  <w:rPr>
                    <w:rFonts w:ascii="Cambria Math" w:hAnsi="Cambria Math"/>
                    <w:sz w:val="18"/>
                    <w:szCs w:val="18"/>
                  </w:rPr>
                  <m:t>M</m:t>
                </m:r>
              </m:oMath>
            </m:oMathPara>
          </w:p>
        </w:tc>
        <w:tc>
          <w:tcPr>
            <w:tcW w:w="713" w:type="pct"/>
            <w:tcBorders>
              <w:tl2br w:val="nil"/>
              <w:tr2bl w:val="nil"/>
            </w:tcBorders>
            <w:shd w:val="clear" w:color="auto" w:fill="auto"/>
            <w:noWrap/>
            <w:vAlign w:val="center"/>
          </w:tcPr>
          <w:p w14:paraId="5EE6B8BC"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3.880</w:t>
            </w:r>
          </w:p>
          <w:p w14:paraId="5449EC85"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14.539</w:t>
            </w:r>
            <w:r>
              <w:rPr>
                <w:rFonts w:ascii="Times New Roman" w:hAnsi="Times New Roman"/>
                <w:kern w:val="0"/>
                <w:sz w:val="18"/>
                <w:szCs w:val="18"/>
              </w:rPr>
              <w:t>）</w:t>
            </w:r>
          </w:p>
        </w:tc>
        <w:tc>
          <w:tcPr>
            <w:tcW w:w="714" w:type="pct"/>
            <w:tcBorders>
              <w:tl2br w:val="nil"/>
              <w:tr2bl w:val="nil"/>
            </w:tcBorders>
            <w:shd w:val="clear" w:color="auto" w:fill="auto"/>
            <w:noWrap/>
            <w:vAlign w:val="center"/>
          </w:tcPr>
          <w:p w14:paraId="33039D8F"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3.248</w:t>
            </w:r>
          </w:p>
          <w:p w14:paraId="2CC0385D"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14.640</w:t>
            </w:r>
            <w:r>
              <w:rPr>
                <w:rFonts w:ascii="Times New Roman" w:hAnsi="Times New Roman"/>
                <w:kern w:val="0"/>
                <w:sz w:val="18"/>
                <w:szCs w:val="18"/>
              </w:rPr>
              <w:t>）</w:t>
            </w:r>
          </w:p>
        </w:tc>
        <w:tc>
          <w:tcPr>
            <w:tcW w:w="717" w:type="pct"/>
            <w:tcBorders>
              <w:tl2br w:val="nil"/>
              <w:tr2bl w:val="nil"/>
            </w:tcBorders>
            <w:shd w:val="clear" w:color="auto" w:fill="auto"/>
            <w:noWrap/>
            <w:vAlign w:val="center"/>
          </w:tcPr>
          <w:p w14:paraId="653F1137"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2.780</w:t>
            </w:r>
          </w:p>
          <w:p w14:paraId="3F84451F"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14.277</w:t>
            </w:r>
            <w:r>
              <w:rPr>
                <w:rFonts w:ascii="Times New Roman" w:hAnsi="Times New Roman"/>
                <w:kern w:val="0"/>
                <w:sz w:val="18"/>
                <w:szCs w:val="18"/>
              </w:rPr>
              <w:t>）</w:t>
            </w:r>
          </w:p>
        </w:tc>
        <w:tc>
          <w:tcPr>
            <w:tcW w:w="714" w:type="pct"/>
            <w:tcBorders>
              <w:tl2br w:val="nil"/>
              <w:tr2bl w:val="nil"/>
            </w:tcBorders>
            <w:shd w:val="clear" w:color="auto" w:fill="auto"/>
            <w:noWrap/>
            <w:vAlign w:val="center"/>
          </w:tcPr>
          <w:p w14:paraId="505C7D71"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-7.562</w:t>
            </w:r>
          </w:p>
          <w:p w14:paraId="07454753"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12.571</w:t>
            </w:r>
            <w:r>
              <w:rPr>
                <w:rFonts w:ascii="Times New Roman" w:hAnsi="Times New Roman"/>
                <w:kern w:val="0"/>
                <w:sz w:val="18"/>
                <w:szCs w:val="18"/>
              </w:rPr>
              <w:t>）</w:t>
            </w:r>
          </w:p>
        </w:tc>
        <w:tc>
          <w:tcPr>
            <w:tcW w:w="714" w:type="pct"/>
            <w:tcBorders>
              <w:tl2br w:val="nil"/>
              <w:tr2bl w:val="nil"/>
            </w:tcBorders>
            <w:shd w:val="clear" w:color="auto" w:fill="auto"/>
            <w:noWrap/>
            <w:vAlign w:val="center"/>
          </w:tcPr>
          <w:p w14:paraId="07CDE484"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-8.183</w:t>
            </w:r>
          </w:p>
          <w:p w14:paraId="00C459A0"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12.717</w:t>
            </w:r>
            <w:r>
              <w:rPr>
                <w:rFonts w:ascii="Times New Roman" w:hAnsi="Times New Roman"/>
                <w:kern w:val="0"/>
                <w:sz w:val="18"/>
                <w:szCs w:val="18"/>
              </w:rPr>
              <w:t>）</w:t>
            </w:r>
          </w:p>
        </w:tc>
        <w:tc>
          <w:tcPr>
            <w:tcW w:w="717" w:type="pct"/>
            <w:tcBorders>
              <w:tl2br w:val="nil"/>
              <w:tr2bl w:val="nil"/>
            </w:tcBorders>
            <w:shd w:val="clear" w:color="auto" w:fill="auto"/>
            <w:noWrap/>
            <w:vAlign w:val="center"/>
          </w:tcPr>
          <w:p w14:paraId="07AEEF0C"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-8.817</w:t>
            </w:r>
          </w:p>
          <w:p w14:paraId="5D15615F"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w:t>
            </w:r>
            <w:r>
              <w:rPr>
                <w:rFonts w:ascii="Times New Roman" w:hAnsi="Times New Roman"/>
                <w:kern w:val="0"/>
                <w:sz w:val="18"/>
                <w:szCs w:val="18"/>
              </w:rPr>
              <w:t>12.155</w:t>
            </w:r>
            <w:r>
              <w:rPr>
                <w:rFonts w:ascii="Times New Roman" w:hAnsi="Times New Roman"/>
                <w:kern w:val="0"/>
                <w:sz w:val="18"/>
                <w:szCs w:val="18"/>
              </w:rPr>
              <w:t>）</w:t>
            </w:r>
          </w:p>
        </w:tc>
      </w:tr>
      <w:tr w:rsidR="00501C7E" w14:paraId="5FB292AF" w14:textId="77777777">
        <w:trPr>
          <w:trHeight w:val="303"/>
        </w:trPr>
        <w:tc>
          <w:tcPr>
            <w:tcW w:w="709" w:type="pct"/>
            <w:tcBorders>
              <w:tl2br w:val="nil"/>
              <w:tr2bl w:val="nil"/>
            </w:tcBorders>
            <w:shd w:val="clear" w:color="auto" w:fill="auto"/>
            <w:noWrap/>
            <w:vAlign w:val="center"/>
          </w:tcPr>
          <w:p w14:paraId="387A0FCC" w14:textId="77777777" w:rsidR="00501C7E" w:rsidRDefault="00EC5712">
            <w:pPr>
              <w:jc w:val="center"/>
              <w:rPr>
                <w:rFonts w:ascii="Times New Roman" w:hAnsi="Times New Roman"/>
                <w:sz w:val="18"/>
                <w:szCs w:val="18"/>
              </w:rPr>
            </w:pPr>
            <m:oMathPara>
              <m:oMath>
                <m:r>
                  <w:rPr>
                    <w:rFonts w:ascii="Cambria Math" w:hAnsi="Cambria Math"/>
                    <w:sz w:val="18"/>
                    <w:szCs w:val="18"/>
                  </w:rPr>
                  <m:t>γ+δ</m:t>
                </m:r>
              </m:oMath>
            </m:oMathPara>
          </w:p>
        </w:tc>
        <w:tc>
          <w:tcPr>
            <w:tcW w:w="713" w:type="pct"/>
            <w:tcBorders>
              <w:tl2br w:val="nil"/>
              <w:tr2bl w:val="nil"/>
            </w:tcBorders>
            <w:shd w:val="clear" w:color="auto" w:fill="auto"/>
            <w:noWrap/>
            <w:vAlign w:val="center"/>
          </w:tcPr>
          <w:p w14:paraId="3DBCDF66"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0.157</w:t>
            </w:r>
          </w:p>
        </w:tc>
        <w:tc>
          <w:tcPr>
            <w:tcW w:w="714" w:type="pct"/>
            <w:tcBorders>
              <w:tl2br w:val="nil"/>
              <w:tr2bl w:val="nil"/>
            </w:tcBorders>
            <w:shd w:val="clear" w:color="auto" w:fill="auto"/>
            <w:noWrap/>
            <w:vAlign w:val="center"/>
          </w:tcPr>
          <w:p w14:paraId="11D3212D"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0.055</w:t>
            </w:r>
          </w:p>
        </w:tc>
        <w:tc>
          <w:tcPr>
            <w:tcW w:w="717" w:type="pct"/>
            <w:tcBorders>
              <w:tl2br w:val="nil"/>
              <w:tr2bl w:val="nil"/>
            </w:tcBorders>
            <w:shd w:val="clear" w:color="auto" w:fill="auto"/>
            <w:noWrap/>
            <w:vAlign w:val="center"/>
          </w:tcPr>
          <w:p w14:paraId="6BAC7C02"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0.067</w:t>
            </w:r>
          </w:p>
        </w:tc>
        <w:tc>
          <w:tcPr>
            <w:tcW w:w="714" w:type="pct"/>
            <w:tcBorders>
              <w:tl2br w:val="nil"/>
              <w:tr2bl w:val="nil"/>
            </w:tcBorders>
            <w:shd w:val="clear" w:color="auto" w:fill="auto"/>
            <w:noWrap/>
            <w:vAlign w:val="center"/>
          </w:tcPr>
          <w:p w14:paraId="531E4F90"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0.184</w:t>
            </w:r>
          </w:p>
        </w:tc>
        <w:tc>
          <w:tcPr>
            <w:tcW w:w="714" w:type="pct"/>
            <w:tcBorders>
              <w:tl2br w:val="nil"/>
              <w:tr2bl w:val="nil"/>
            </w:tcBorders>
            <w:shd w:val="clear" w:color="auto" w:fill="auto"/>
            <w:noWrap/>
            <w:vAlign w:val="center"/>
          </w:tcPr>
          <w:p w14:paraId="4CDF2473"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0.075</w:t>
            </w:r>
          </w:p>
        </w:tc>
        <w:tc>
          <w:tcPr>
            <w:tcW w:w="717" w:type="pct"/>
            <w:tcBorders>
              <w:tl2br w:val="nil"/>
              <w:tr2bl w:val="nil"/>
            </w:tcBorders>
            <w:shd w:val="clear" w:color="auto" w:fill="auto"/>
            <w:noWrap/>
            <w:vAlign w:val="center"/>
          </w:tcPr>
          <w:p w14:paraId="2786212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0.093</w:t>
            </w:r>
          </w:p>
        </w:tc>
      </w:tr>
      <w:tr w:rsidR="00501C7E" w14:paraId="7D9B3540" w14:textId="77777777">
        <w:trPr>
          <w:trHeight w:val="303"/>
        </w:trPr>
        <w:tc>
          <w:tcPr>
            <w:tcW w:w="709" w:type="pct"/>
            <w:tcBorders>
              <w:tl2br w:val="nil"/>
              <w:tr2bl w:val="nil"/>
            </w:tcBorders>
            <w:shd w:val="clear" w:color="auto" w:fill="auto"/>
            <w:noWrap/>
            <w:vAlign w:val="center"/>
          </w:tcPr>
          <w:p w14:paraId="60B22248" w14:textId="77777777" w:rsidR="00501C7E" w:rsidRDefault="00000000">
            <w:pPr>
              <w:jc w:val="center"/>
              <w:rPr>
                <w:rFonts w:ascii="Times New Roman" w:hAnsi="Times New Roman"/>
                <w:sz w:val="18"/>
                <w:szCs w:val="18"/>
              </w:rPr>
            </w:pPr>
            <m:oMathPara>
              <m:oMath>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L</m:t>
                    </m:r>
                  </m:sub>
                </m:sSub>
              </m:oMath>
            </m:oMathPara>
          </w:p>
        </w:tc>
        <w:tc>
          <w:tcPr>
            <w:tcW w:w="713" w:type="pct"/>
            <w:tcBorders>
              <w:tl2br w:val="nil"/>
              <w:tr2bl w:val="nil"/>
            </w:tcBorders>
            <w:shd w:val="clear" w:color="auto" w:fill="auto"/>
            <w:noWrap/>
            <w:vAlign w:val="center"/>
          </w:tcPr>
          <w:p w14:paraId="2CDA14C6"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27.8%</w:t>
            </w:r>
          </w:p>
        </w:tc>
        <w:tc>
          <w:tcPr>
            <w:tcW w:w="714" w:type="pct"/>
            <w:tcBorders>
              <w:tl2br w:val="nil"/>
              <w:tr2bl w:val="nil"/>
            </w:tcBorders>
            <w:shd w:val="clear" w:color="auto" w:fill="auto"/>
            <w:noWrap/>
            <w:vAlign w:val="center"/>
          </w:tcPr>
          <w:p w14:paraId="455BC9FE"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55.2%</w:t>
            </w:r>
          </w:p>
        </w:tc>
        <w:tc>
          <w:tcPr>
            <w:tcW w:w="717" w:type="pct"/>
            <w:tcBorders>
              <w:tl2br w:val="nil"/>
              <w:tr2bl w:val="nil"/>
            </w:tcBorders>
            <w:shd w:val="clear" w:color="auto" w:fill="auto"/>
            <w:noWrap/>
            <w:vAlign w:val="center"/>
          </w:tcPr>
          <w:p w14:paraId="6D60FBD9"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52.6%</w:t>
            </w:r>
          </w:p>
        </w:tc>
        <w:tc>
          <w:tcPr>
            <w:tcW w:w="714" w:type="pct"/>
            <w:tcBorders>
              <w:tl2br w:val="nil"/>
              <w:tr2bl w:val="nil"/>
            </w:tcBorders>
            <w:shd w:val="clear" w:color="auto" w:fill="auto"/>
            <w:noWrap/>
            <w:vAlign w:val="center"/>
          </w:tcPr>
          <w:p w14:paraId="3CAAA739"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19.8%</w:t>
            </w:r>
          </w:p>
        </w:tc>
        <w:tc>
          <w:tcPr>
            <w:tcW w:w="714" w:type="pct"/>
            <w:tcBorders>
              <w:tl2br w:val="nil"/>
              <w:tr2bl w:val="nil"/>
            </w:tcBorders>
            <w:shd w:val="clear" w:color="auto" w:fill="auto"/>
            <w:noWrap/>
            <w:vAlign w:val="center"/>
          </w:tcPr>
          <w:p w14:paraId="79DE050E"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41.6%</w:t>
            </w:r>
          </w:p>
        </w:tc>
        <w:tc>
          <w:tcPr>
            <w:tcW w:w="717" w:type="pct"/>
            <w:tcBorders>
              <w:tl2br w:val="nil"/>
              <w:tr2bl w:val="nil"/>
            </w:tcBorders>
            <w:shd w:val="clear" w:color="auto" w:fill="auto"/>
            <w:noWrap/>
            <w:vAlign w:val="center"/>
          </w:tcPr>
          <w:p w14:paraId="5574D1A3"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39.5%</w:t>
            </w:r>
          </w:p>
        </w:tc>
      </w:tr>
      <w:tr w:rsidR="00501C7E" w14:paraId="27682E74" w14:textId="77777777">
        <w:trPr>
          <w:trHeight w:val="303"/>
        </w:trPr>
        <w:tc>
          <w:tcPr>
            <w:tcW w:w="709" w:type="pct"/>
            <w:tcBorders>
              <w:tl2br w:val="nil"/>
              <w:tr2bl w:val="nil"/>
            </w:tcBorders>
            <w:shd w:val="clear" w:color="auto" w:fill="auto"/>
            <w:noWrap/>
            <w:vAlign w:val="center"/>
          </w:tcPr>
          <w:p w14:paraId="4656CCB0" w14:textId="77777777" w:rsidR="00501C7E" w:rsidRDefault="00EC5712">
            <w:pPr>
              <w:jc w:val="center"/>
              <w:rPr>
                <w:rFonts w:ascii="Times New Roman" w:hAnsi="Times New Roman"/>
                <w:sz w:val="18"/>
                <w:szCs w:val="18"/>
              </w:rPr>
            </w:pPr>
            <m:oMathPara>
              <m:oMath>
                <m:r>
                  <w:rPr>
                    <w:rFonts w:ascii="Cambria Math" w:hAnsi="Cambria Math"/>
                    <w:sz w:val="18"/>
                    <w:szCs w:val="18"/>
                  </w:rPr>
                  <m:t>a</m:t>
                </m:r>
              </m:oMath>
            </m:oMathPara>
          </w:p>
        </w:tc>
        <w:tc>
          <w:tcPr>
            <w:tcW w:w="713" w:type="pct"/>
            <w:tcBorders>
              <w:tl2br w:val="nil"/>
              <w:tr2bl w:val="nil"/>
            </w:tcBorders>
            <w:shd w:val="clear" w:color="auto" w:fill="auto"/>
            <w:noWrap/>
            <w:vAlign w:val="center"/>
          </w:tcPr>
          <w:p w14:paraId="0AF76045"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4.325</w:t>
            </w:r>
          </w:p>
        </w:tc>
        <w:tc>
          <w:tcPr>
            <w:tcW w:w="714" w:type="pct"/>
            <w:tcBorders>
              <w:tl2br w:val="nil"/>
              <w:tr2bl w:val="nil"/>
            </w:tcBorders>
            <w:shd w:val="clear" w:color="auto" w:fill="auto"/>
            <w:noWrap/>
            <w:vAlign w:val="center"/>
          </w:tcPr>
          <w:p w14:paraId="4F34F2DC"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7.539</w:t>
            </w:r>
          </w:p>
        </w:tc>
        <w:tc>
          <w:tcPr>
            <w:tcW w:w="717" w:type="pct"/>
            <w:tcBorders>
              <w:tl2br w:val="nil"/>
              <w:tr2bl w:val="nil"/>
            </w:tcBorders>
            <w:shd w:val="clear" w:color="auto" w:fill="auto"/>
            <w:noWrap/>
            <w:vAlign w:val="center"/>
          </w:tcPr>
          <w:p w14:paraId="3D55B9D0"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6.533</w:t>
            </w:r>
          </w:p>
        </w:tc>
        <w:tc>
          <w:tcPr>
            <w:tcW w:w="714" w:type="pct"/>
            <w:tcBorders>
              <w:tl2br w:val="nil"/>
              <w:tr2bl w:val="nil"/>
            </w:tcBorders>
            <w:shd w:val="clear" w:color="auto" w:fill="auto"/>
            <w:noWrap/>
            <w:vAlign w:val="center"/>
          </w:tcPr>
          <w:p w14:paraId="1CC63CE0"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4.164</w:t>
            </w:r>
          </w:p>
        </w:tc>
        <w:tc>
          <w:tcPr>
            <w:tcW w:w="714" w:type="pct"/>
            <w:tcBorders>
              <w:tl2br w:val="nil"/>
              <w:tr2bl w:val="nil"/>
            </w:tcBorders>
            <w:shd w:val="clear" w:color="auto" w:fill="auto"/>
            <w:noWrap/>
            <w:vAlign w:val="center"/>
          </w:tcPr>
          <w:p w14:paraId="7C1A2ED2"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7.373</w:t>
            </w:r>
          </w:p>
        </w:tc>
        <w:tc>
          <w:tcPr>
            <w:tcW w:w="717" w:type="pct"/>
            <w:tcBorders>
              <w:tl2br w:val="nil"/>
              <w:tr2bl w:val="nil"/>
            </w:tcBorders>
            <w:shd w:val="clear" w:color="auto" w:fill="auto"/>
            <w:noWrap/>
            <w:vAlign w:val="center"/>
          </w:tcPr>
          <w:p w14:paraId="13831924"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6.113</w:t>
            </w:r>
          </w:p>
        </w:tc>
      </w:tr>
      <w:tr w:rsidR="00501C7E" w14:paraId="49B8004D" w14:textId="77777777">
        <w:trPr>
          <w:trHeight w:val="303"/>
        </w:trPr>
        <w:tc>
          <w:tcPr>
            <w:tcW w:w="709" w:type="pct"/>
            <w:tcBorders>
              <w:tl2br w:val="nil"/>
              <w:tr2bl w:val="nil"/>
            </w:tcBorders>
            <w:shd w:val="clear" w:color="auto" w:fill="auto"/>
            <w:noWrap/>
            <w:vAlign w:val="center"/>
          </w:tcPr>
          <w:p w14:paraId="62CAF0B4" w14:textId="77777777" w:rsidR="00501C7E" w:rsidRDefault="00EC5712">
            <w:pPr>
              <w:jc w:val="center"/>
              <w:rPr>
                <w:rFonts w:ascii="Cambria Math" w:hAnsi="Cambria Math"/>
                <w:sz w:val="18"/>
                <w:szCs w:val="18"/>
                <w:oMath/>
              </w:rPr>
            </w:pPr>
            <w:r>
              <w:rPr>
                <w:rFonts w:ascii="Times New Roman" w:hAnsi="Times New Roman"/>
                <w:iCs/>
                <w:sz w:val="18"/>
                <w:szCs w:val="18"/>
              </w:rPr>
              <w:t>观测值</w:t>
            </w:r>
          </w:p>
        </w:tc>
        <w:tc>
          <w:tcPr>
            <w:tcW w:w="713" w:type="pct"/>
            <w:tcBorders>
              <w:tl2br w:val="nil"/>
              <w:tr2bl w:val="nil"/>
            </w:tcBorders>
            <w:shd w:val="clear" w:color="auto" w:fill="auto"/>
            <w:noWrap/>
            <w:vAlign w:val="center"/>
          </w:tcPr>
          <w:p w14:paraId="1E811E0E" w14:textId="77777777" w:rsidR="00501C7E" w:rsidRDefault="00EC5712">
            <w:pPr>
              <w:widowControl/>
              <w:jc w:val="center"/>
              <w:textAlignment w:val="bottom"/>
              <w:rPr>
                <w:rFonts w:ascii="Times New Roman" w:hAnsi="Times New Roman"/>
                <w:iCs/>
                <w:kern w:val="0"/>
                <w:sz w:val="18"/>
                <w:szCs w:val="18"/>
              </w:rPr>
            </w:pPr>
            <w:r>
              <w:rPr>
                <w:rFonts w:ascii="Times New Roman" w:hAnsi="Times New Roman"/>
                <w:iCs/>
                <w:kern w:val="0"/>
                <w:sz w:val="18"/>
                <w:szCs w:val="18"/>
              </w:rPr>
              <w:t>80</w:t>
            </w:r>
          </w:p>
        </w:tc>
        <w:tc>
          <w:tcPr>
            <w:tcW w:w="714" w:type="pct"/>
            <w:tcBorders>
              <w:tl2br w:val="nil"/>
              <w:tr2bl w:val="nil"/>
            </w:tcBorders>
            <w:shd w:val="clear" w:color="auto" w:fill="auto"/>
            <w:noWrap/>
            <w:vAlign w:val="center"/>
          </w:tcPr>
          <w:p w14:paraId="5A6AD1CE" w14:textId="77777777" w:rsidR="00501C7E" w:rsidRDefault="00EC5712">
            <w:pPr>
              <w:widowControl/>
              <w:jc w:val="center"/>
              <w:textAlignment w:val="bottom"/>
              <w:rPr>
                <w:rFonts w:ascii="Times New Roman" w:hAnsi="Times New Roman"/>
                <w:iCs/>
                <w:kern w:val="0"/>
                <w:sz w:val="18"/>
                <w:szCs w:val="18"/>
              </w:rPr>
            </w:pPr>
            <w:r>
              <w:rPr>
                <w:rFonts w:ascii="Times New Roman" w:hAnsi="Times New Roman"/>
                <w:iCs/>
                <w:kern w:val="0"/>
                <w:sz w:val="18"/>
                <w:szCs w:val="18"/>
              </w:rPr>
              <w:t>80</w:t>
            </w:r>
          </w:p>
        </w:tc>
        <w:tc>
          <w:tcPr>
            <w:tcW w:w="717" w:type="pct"/>
            <w:tcBorders>
              <w:tl2br w:val="nil"/>
              <w:tr2bl w:val="nil"/>
            </w:tcBorders>
            <w:shd w:val="clear" w:color="auto" w:fill="auto"/>
            <w:noWrap/>
            <w:vAlign w:val="center"/>
          </w:tcPr>
          <w:p w14:paraId="4EFFBA0E" w14:textId="77777777" w:rsidR="00501C7E" w:rsidRDefault="00EC5712">
            <w:pPr>
              <w:widowControl/>
              <w:jc w:val="center"/>
              <w:textAlignment w:val="bottom"/>
              <w:rPr>
                <w:rFonts w:ascii="Times New Roman" w:hAnsi="Times New Roman"/>
                <w:iCs/>
                <w:kern w:val="0"/>
                <w:sz w:val="18"/>
                <w:szCs w:val="18"/>
              </w:rPr>
            </w:pPr>
            <w:r>
              <w:rPr>
                <w:rFonts w:ascii="Times New Roman" w:hAnsi="Times New Roman"/>
                <w:iCs/>
                <w:kern w:val="0"/>
                <w:sz w:val="18"/>
                <w:szCs w:val="18"/>
              </w:rPr>
              <w:t>80</w:t>
            </w:r>
          </w:p>
        </w:tc>
        <w:tc>
          <w:tcPr>
            <w:tcW w:w="714" w:type="pct"/>
            <w:tcBorders>
              <w:tl2br w:val="nil"/>
              <w:tr2bl w:val="nil"/>
            </w:tcBorders>
            <w:shd w:val="clear" w:color="auto" w:fill="auto"/>
            <w:noWrap/>
            <w:vAlign w:val="center"/>
          </w:tcPr>
          <w:p w14:paraId="43918C58" w14:textId="77777777" w:rsidR="00501C7E" w:rsidRDefault="00EC5712">
            <w:pPr>
              <w:widowControl/>
              <w:jc w:val="center"/>
              <w:textAlignment w:val="bottom"/>
              <w:rPr>
                <w:rFonts w:ascii="Times New Roman" w:hAnsi="Times New Roman"/>
                <w:iCs/>
                <w:kern w:val="0"/>
                <w:sz w:val="18"/>
                <w:szCs w:val="18"/>
              </w:rPr>
            </w:pPr>
            <w:r>
              <w:rPr>
                <w:rFonts w:ascii="Times New Roman" w:hAnsi="Times New Roman"/>
                <w:iCs/>
                <w:kern w:val="0"/>
                <w:sz w:val="18"/>
                <w:szCs w:val="18"/>
              </w:rPr>
              <w:t>80</w:t>
            </w:r>
          </w:p>
        </w:tc>
        <w:tc>
          <w:tcPr>
            <w:tcW w:w="714" w:type="pct"/>
            <w:tcBorders>
              <w:tl2br w:val="nil"/>
              <w:tr2bl w:val="nil"/>
            </w:tcBorders>
            <w:shd w:val="clear" w:color="auto" w:fill="auto"/>
            <w:noWrap/>
            <w:vAlign w:val="center"/>
          </w:tcPr>
          <w:p w14:paraId="41C1DCF7" w14:textId="77777777" w:rsidR="00501C7E" w:rsidRDefault="00EC5712">
            <w:pPr>
              <w:widowControl/>
              <w:jc w:val="center"/>
              <w:textAlignment w:val="bottom"/>
              <w:rPr>
                <w:rFonts w:ascii="Times New Roman" w:hAnsi="Times New Roman"/>
                <w:iCs/>
                <w:kern w:val="0"/>
                <w:sz w:val="18"/>
                <w:szCs w:val="18"/>
              </w:rPr>
            </w:pPr>
            <w:r>
              <w:rPr>
                <w:rFonts w:ascii="Times New Roman" w:hAnsi="Times New Roman"/>
                <w:iCs/>
                <w:kern w:val="0"/>
                <w:sz w:val="18"/>
                <w:szCs w:val="18"/>
              </w:rPr>
              <w:t>80</w:t>
            </w:r>
          </w:p>
        </w:tc>
        <w:tc>
          <w:tcPr>
            <w:tcW w:w="717" w:type="pct"/>
            <w:tcBorders>
              <w:tl2br w:val="nil"/>
              <w:tr2bl w:val="nil"/>
            </w:tcBorders>
            <w:shd w:val="clear" w:color="auto" w:fill="auto"/>
            <w:noWrap/>
            <w:vAlign w:val="center"/>
          </w:tcPr>
          <w:p w14:paraId="4546D722" w14:textId="77777777" w:rsidR="00501C7E" w:rsidRDefault="00EC5712">
            <w:pPr>
              <w:widowControl/>
              <w:jc w:val="center"/>
              <w:textAlignment w:val="bottom"/>
              <w:rPr>
                <w:rFonts w:ascii="Times New Roman" w:hAnsi="Times New Roman"/>
                <w:iCs/>
                <w:kern w:val="0"/>
                <w:sz w:val="18"/>
                <w:szCs w:val="18"/>
              </w:rPr>
            </w:pPr>
            <w:r>
              <w:rPr>
                <w:rFonts w:ascii="Times New Roman" w:hAnsi="Times New Roman"/>
                <w:iCs/>
                <w:kern w:val="0"/>
                <w:sz w:val="18"/>
                <w:szCs w:val="18"/>
              </w:rPr>
              <w:t>80</w:t>
            </w:r>
          </w:p>
        </w:tc>
      </w:tr>
      <w:tr w:rsidR="00501C7E" w14:paraId="3C8B0304" w14:textId="77777777">
        <w:trPr>
          <w:trHeight w:val="303"/>
        </w:trPr>
        <w:tc>
          <w:tcPr>
            <w:tcW w:w="709" w:type="pct"/>
            <w:tcBorders>
              <w:tl2br w:val="nil"/>
              <w:tr2bl w:val="nil"/>
            </w:tcBorders>
            <w:shd w:val="clear" w:color="auto" w:fill="auto"/>
            <w:noWrap/>
            <w:vAlign w:val="center"/>
          </w:tcPr>
          <w:p w14:paraId="32F078B8" w14:textId="77777777" w:rsidR="00501C7E" w:rsidRDefault="009C070E">
            <w:pPr>
              <w:jc w:val="center"/>
              <w:rPr>
                <w:rFonts w:ascii="Times New Roman" w:hAnsi="Times New Roman"/>
                <w:sz w:val="18"/>
                <w:szCs w:val="18"/>
              </w:rPr>
            </w:pPr>
            <m:oMathPara>
              <m:oMath>
                <m:r>
                  <m:rPr>
                    <m:sty m:val="p"/>
                  </m:rPr>
                  <w:rPr>
                    <w:rFonts w:ascii="Cambria Math" w:hAnsi="Cambria Math"/>
                    <w:sz w:val="18"/>
                    <w:szCs w:val="18"/>
                  </w:rPr>
                  <m:t>调整的</m:t>
                </m:r>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oMath>
            </m:oMathPara>
          </w:p>
        </w:tc>
        <w:tc>
          <w:tcPr>
            <w:tcW w:w="713" w:type="pct"/>
            <w:tcBorders>
              <w:tl2br w:val="nil"/>
              <w:tr2bl w:val="nil"/>
            </w:tcBorders>
            <w:shd w:val="clear" w:color="auto" w:fill="auto"/>
            <w:noWrap/>
            <w:vAlign w:val="center"/>
          </w:tcPr>
          <w:p w14:paraId="4E53F02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0.137</w:t>
            </w:r>
          </w:p>
        </w:tc>
        <w:tc>
          <w:tcPr>
            <w:tcW w:w="714" w:type="pct"/>
            <w:tcBorders>
              <w:tl2br w:val="nil"/>
              <w:tr2bl w:val="nil"/>
            </w:tcBorders>
            <w:shd w:val="clear" w:color="auto" w:fill="auto"/>
            <w:noWrap/>
            <w:vAlign w:val="center"/>
          </w:tcPr>
          <w:p w14:paraId="0530E2AF"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0.093</w:t>
            </w:r>
          </w:p>
        </w:tc>
        <w:tc>
          <w:tcPr>
            <w:tcW w:w="717" w:type="pct"/>
            <w:tcBorders>
              <w:tl2br w:val="nil"/>
              <w:tr2bl w:val="nil"/>
            </w:tcBorders>
            <w:shd w:val="clear" w:color="auto" w:fill="auto"/>
            <w:noWrap/>
            <w:vAlign w:val="center"/>
          </w:tcPr>
          <w:p w14:paraId="3F75173C"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0.170</w:t>
            </w:r>
          </w:p>
        </w:tc>
        <w:tc>
          <w:tcPr>
            <w:tcW w:w="714" w:type="pct"/>
            <w:tcBorders>
              <w:tl2br w:val="nil"/>
              <w:tr2bl w:val="nil"/>
            </w:tcBorders>
            <w:shd w:val="clear" w:color="auto" w:fill="auto"/>
            <w:noWrap/>
            <w:vAlign w:val="center"/>
          </w:tcPr>
          <w:p w14:paraId="0A09337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0.122</w:t>
            </w:r>
          </w:p>
        </w:tc>
        <w:tc>
          <w:tcPr>
            <w:tcW w:w="714" w:type="pct"/>
            <w:tcBorders>
              <w:tl2br w:val="nil"/>
              <w:tr2bl w:val="nil"/>
            </w:tcBorders>
            <w:shd w:val="clear" w:color="auto" w:fill="auto"/>
            <w:noWrap/>
            <w:vAlign w:val="center"/>
          </w:tcPr>
          <w:p w14:paraId="1E08077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0.104</w:t>
            </w:r>
          </w:p>
        </w:tc>
        <w:tc>
          <w:tcPr>
            <w:tcW w:w="717" w:type="pct"/>
            <w:tcBorders>
              <w:tl2br w:val="nil"/>
              <w:tr2bl w:val="nil"/>
            </w:tcBorders>
            <w:shd w:val="clear" w:color="auto" w:fill="auto"/>
            <w:noWrap/>
            <w:vAlign w:val="center"/>
          </w:tcPr>
          <w:p w14:paraId="351332A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0.181</w:t>
            </w:r>
          </w:p>
        </w:tc>
      </w:tr>
      <w:tr w:rsidR="00501C7E" w14:paraId="33424C66" w14:textId="77777777">
        <w:trPr>
          <w:trHeight w:val="303"/>
        </w:trPr>
        <w:tc>
          <w:tcPr>
            <w:tcW w:w="709" w:type="pct"/>
            <w:tcBorders>
              <w:tl2br w:val="nil"/>
              <w:tr2bl w:val="nil"/>
            </w:tcBorders>
            <w:shd w:val="clear" w:color="auto" w:fill="auto"/>
            <w:vAlign w:val="center"/>
          </w:tcPr>
          <w:p w14:paraId="3BFF7BD5" w14:textId="77777777" w:rsidR="00501C7E" w:rsidRDefault="00EC5712">
            <w:pPr>
              <w:jc w:val="center"/>
              <w:rPr>
                <w:rFonts w:ascii="Times New Roman" w:hAnsi="Times New Roman"/>
                <w:sz w:val="18"/>
                <w:szCs w:val="18"/>
              </w:rPr>
            </w:pPr>
            <w:r>
              <w:rPr>
                <w:rFonts w:ascii="Times New Roman" w:hAnsi="Times New Roman"/>
                <w:sz w:val="18"/>
                <w:szCs w:val="18"/>
              </w:rPr>
              <w:t>F</w:t>
            </w:r>
            <w:r>
              <w:rPr>
                <w:rFonts w:ascii="Times New Roman" w:hAnsi="Times New Roman"/>
                <w:sz w:val="18"/>
                <w:szCs w:val="18"/>
              </w:rPr>
              <w:t>值</w:t>
            </w:r>
          </w:p>
        </w:tc>
        <w:tc>
          <w:tcPr>
            <w:tcW w:w="713" w:type="pct"/>
            <w:tcBorders>
              <w:tl2br w:val="nil"/>
              <w:tr2bl w:val="nil"/>
            </w:tcBorders>
            <w:shd w:val="clear" w:color="auto" w:fill="auto"/>
            <w:noWrap/>
            <w:vAlign w:val="center"/>
          </w:tcPr>
          <w:p w14:paraId="533E69E1"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4.03</w:t>
            </w:r>
          </w:p>
        </w:tc>
        <w:tc>
          <w:tcPr>
            <w:tcW w:w="714" w:type="pct"/>
            <w:tcBorders>
              <w:tl2br w:val="nil"/>
              <w:tr2bl w:val="nil"/>
            </w:tcBorders>
            <w:shd w:val="clear" w:color="auto" w:fill="auto"/>
            <w:noWrap/>
            <w:vAlign w:val="center"/>
          </w:tcPr>
          <w:p w14:paraId="1C70ABDD"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3.71</w:t>
            </w:r>
          </w:p>
        </w:tc>
        <w:tc>
          <w:tcPr>
            <w:tcW w:w="717" w:type="pct"/>
            <w:tcBorders>
              <w:tl2br w:val="nil"/>
              <w:tr2bl w:val="nil"/>
            </w:tcBorders>
            <w:shd w:val="clear" w:color="auto" w:fill="auto"/>
            <w:noWrap/>
            <w:vAlign w:val="center"/>
          </w:tcPr>
          <w:p w14:paraId="297E0FEF"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5.18</w:t>
            </w:r>
          </w:p>
        </w:tc>
        <w:tc>
          <w:tcPr>
            <w:tcW w:w="714" w:type="pct"/>
            <w:tcBorders>
              <w:tl2br w:val="nil"/>
              <w:tr2bl w:val="nil"/>
            </w:tcBorders>
            <w:shd w:val="clear" w:color="auto" w:fill="auto"/>
            <w:noWrap/>
            <w:vAlign w:val="center"/>
          </w:tcPr>
          <w:p w14:paraId="643604B6"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4.66</w:t>
            </w:r>
          </w:p>
        </w:tc>
        <w:tc>
          <w:tcPr>
            <w:tcW w:w="714" w:type="pct"/>
            <w:tcBorders>
              <w:tl2br w:val="nil"/>
              <w:tr2bl w:val="nil"/>
            </w:tcBorders>
            <w:shd w:val="clear" w:color="auto" w:fill="auto"/>
            <w:noWrap/>
            <w:vAlign w:val="center"/>
          </w:tcPr>
          <w:p w14:paraId="075F9F80"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4.05</w:t>
            </w:r>
          </w:p>
        </w:tc>
        <w:tc>
          <w:tcPr>
            <w:tcW w:w="717" w:type="pct"/>
            <w:tcBorders>
              <w:tl2br w:val="nil"/>
              <w:tr2bl w:val="nil"/>
            </w:tcBorders>
            <w:shd w:val="clear" w:color="auto" w:fill="auto"/>
            <w:noWrap/>
            <w:vAlign w:val="center"/>
          </w:tcPr>
          <w:p w14:paraId="7A769BC2"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6.81</w:t>
            </w:r>
          </w:p>
        </w:tc>
      </w:tr>
    </w:tbl>
    <w:p w14:paraId="1179C6B0" w14:textId="77777777" w:rsidR="00501C7E" w:rsidRDefault="00501C7E">
      <w:pPr>
        <w:ind w:firstLineChars="200" w:firstLine="420"/>
        <w:jc w:val="left"/>
        <w:rPr>
          <w:rFonts w:ascii="Times New Roman" w:hAnsi="Times New Roman"/>
          <w:szCs w:val="21"/>
        </w:rPr>
      </w:pPr>
    </w:p>
    <w:p w14:paraId="07C81B6B" w14:textId="77777777" w:rsidR="00501C7E" w:rsidRPr="009C070E" w:rsidRDefault="00EC5712" w:rsidP="009C070E">
      <w:pPr>
        <w:ind w:firstLineChars="200" w:firstLine="420"/>
        <w:jc w:val="left"/>
        <w:rPr>
          <w:rFonts w:ascii="Times New Roman" w:eastAsia="楷体" w:hAnsi="Times New Roman"/>
          <w:szCs w:val="21"/>
        </w:rPr>
      </w:pPr>
      <w:r>
        <w:rPr>
          <w:rFonts w:ascii="Times New Roman" w:eastAsia="楷体" w:hAnsi="Times New Roman"/>
          <w:szCs w:val="21"/>
        </w:rPr>
        <w:t>2.</w:t>
      </w:r>
      <w:r>
        <w:rPr>
          <w:rFonts w:ascii="Times New Roman" w:eastAsia="楷体" w:hAnsi="Times New Roman"/>
          <w:szCs w:val="21"/>
        </w:rPr>
        <w:t>克服测量误差的检验</w:t>
      </w:r>
      <w:r w:rsidR="009C070E">
        <w:rPr>
          <w:rFonts w:ascii="Times New Roman" w:eastAsia="楷体" w:hAnsi="Times New Roman"/>
          <w:szCs w:val="21"/>
        </w:rPr>
        <w:t>。</w:t>
      </w:r>
      <w:r>
        <w:rPr>
          <w:rFonts w:ascii="Times New Roman" w:hAnsi="Times New Roman"/>
        </w:rPr>
        <w:t>进口需求弹性是估计出的结果，且其计算复杂度较大，可能会存在测量误差。</w:t>
      </w:r>
      <w:r>
        <w:rPr>
          <w:rFonts w:ascii="Times New Roman" w:hAnsi="Times New Roman"/>
          <w:szCs w:val="21"/>
        </w:rPr>
        <w:t>Goldberg &amp; Maggi</w:t>
      </w:r>
      <w:r>
        <w:rPr>
          <w:rFonts w:ascii="Times New Roman" w:hAnsi="Times New Roman"/>
          <w:szCs w:val="21"/>
        </w:rPr>
        <w:t>（</w:t>
      </w:r>
      <w:r>
        <w:rPr>
          <w:rFonts w:ascii="Times New Roman" w:hAnsi="Times New Roman"/>
          <w:szCs w:val="21"/>
        </w:rPr>
        <w:t>1999</w:t>
      </w:r>
      <w:r>
        <w:rPr>
          <w:rFonts w:ascii="Times New Roman" w:hAnsi="Times New Roman"/>
          <w:szCs w:val="21"/>
        </w:rPr>
        <w:t>）指出，</w:t>
      </w:r>
      <w:r>
        <w:rPr>
          <w:rFonts w:ascii="Times New Roman" w:hAnsi="Times New Roman"/>
        </w:rPr>
        <w:t>把进口需求弹性移至估计方程的左侧，这样进口需求弹性的测量误差就是因变量测量误差的一个组成部分，虽然有可能影响估计的精度，但不会影响估计结果的无偏性。李坤望和王孝松（</w:t>
      </w:r>
      <w:r>
        <w:rPr>
          <w:rFonts w:ascii="Times New Roman" w:hAnsi="Times New Roman"/>
        </w:rPr>
        <w:t>2008</w:t>
      </w:r>
      <w:r>
        <w:rPr>
          <w:rFonts w:ascii="Times New Roman" w:hAnsi="Times New Roman"/>
        </w:rPr>
        <w:t>）</w:t>
      </w:r>
      <w:r w:rsidR="00105E9B">
        <w:rPr>
          <w:rFonts w:ascii="Times New Roman" w:hAnsi="Times New Roman" w:hint="eastAsia"/>
        </w:rPr>
        <w:t>、</w:t>
      </w:r>
      <w:r>
        <w:rPr>
          <w:rFonts w:ascii="Times New Roman" w:hAnsi="Times New Roman"/>
        </w:rPr>
        <w:t>王孝松和谢申祥（</w:t>
      </w:r>
      <w:r>
        <w:rPr>
          <w:rFonts w:ascii="Times New Roman" w:hAnsi="Times New Roman"/>
        </w:rPr>
        <w:t>2013</w:t>
      </w:r>
      <w:r>
        <w:rPr>
          <w:rFonts w:ascii="Times New Roman" w:hAnsi="Times New Roman"/>
        </w:rPr>
        <w:t>）也证实了将进口需求弹性移动到估计方程的左侧并不会影响保护待售模型的符号设定，得出的结果依然是显著的。因此，本文</w:t>
      </w:r>
      <w:r>
        <w:rPr>
          <w:rFonts w:ascii="Times New Roman" w:hAnsi="Times New Roman"/>
          <w:szCs w:val="21"/>
        </w:rPr>
        <w:t>在</w:t>
      </w:r>
      <w:r w:rsidR="00105E9B">
        <w:rPr>
          <w:rFonts w:ascii="Times New Roman" w:hAnsi="Times New Roman"/>
          <w:szCs w:val="21"/>
        </w:rPr>
        <w:t>式</w:t>
      </w:r>
      <w:r>
        <w:rPr>
          <w:rFonts w:ascii="Times New Roman" w:hAnsi="Times New Roman"/>
          <w:szCs w:val="21"/>
        </w:rPr>
        <w:t>（</w:t>
      </w:r>
      <w:r>
        <w:rPr>
          <w:rFonts w:ascii="Times New Roman" w:hAnsi="Times New Roman"/>
          <w:szCs w:val="21"/>
        </w:rPr>
        <w:t>3</w:t>
      </w:r>
      <w:r>
        <w:rPr>
          <w:rFonts w:ascii="Times New Roman" w:hAnsi="Times New Roman"/>
          <w:szCs w:val="21"/>
        </w:rPr>
        <w:t>）基础上，将</w:t>
      </w: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i</m:t>
            </m:r>
          </m:sub>
        </m:sSub>
      </m:oMath>
      <w:r>
        <w:rPr>
          <w:rFonts w:ascii="Times New Roman" w:hAnsi="Times New Roman"/>
          <w:szCs w:val="21"/>
        </w:rPr>
        <w:t>挪到估计方程左边，可以得到如下计量方程：</w:t>
      </w:r>
    </w:p>
    <w:p w14:paraId="22D0844E" w14:textId="77777777" w:rsidR="00501C7E" w:rsidRDefault="00501C7E">
      <w:pPr>
        <w:spacing w:line="300" w:lineRule="exact"/>
        <w:jc w:val="left"/>
        <w:textAlignment w:val="center"/>
        <w:rPr>
          <w:rFonts w:ascii="Times New Roman" w:hAnsi="Times New Roman"/>
          <w:szCs w:val="21"/>
        </w:rPr>
      </w:pPr>
    </w:p>
    <w:p w14:paraId="34707329" w14:textId="77777777" w:rsidR="00501C7E" w:rsidRDefault="00EC5712">
      <w:pPr>
        <w:pStyle w:val="formula"/>
        <w:ind w:firstLine="480"/>
        <w:jc w:val="center"/>
      </w:pPr>
      <w:r>
        <w:rPr>
          <w:sz w:val="24"/>
          <w:szCs w:val="24"/>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num>
          <m:den>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den>
        </m:f>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r>
          <w:rPr>
            <w:rFonts w:ascii="Cambria Math" w:hAnsi="Cambria Math"/>
            <w:sz w:val="24"/>
            <w:szCs w:val="24"/>
          </w:rPr>
          <m:t>=γ</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i</m:t>
            </m:r>
          </m:sub>
        </m:sSub>
        <m:r>
          <w:rPr>
            <w:rFonts w:ascii="Cambria Math" w:hAnsi="Cambria Math"/>
            <w:sz w:val="24"/>
            <w:szCs w:val="24"/>
          </w:rPr>
          <m:t>+δ</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z</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m:t>
            </m:r>
          </m:sub>
        </m:sSub>
      </m:oMath>
      <w:r>
        <w:rPr>
          <w:sz w:val="24"/>
          <w:szCs w:val="24"/>
        </w:rPr>
        <w:t xml:space="preserve">                       </w:t>
      </w:r>
      <w:r>
        <w:t>（</w:t>
      </w:r>
      <w:r>
        <w:t>8</w:t>
      </w:r>
      <w:r>
        <w:t>）</w:t>
      </w:r>
    </w:p>
    <w:p w14:paraId="58FEC907" w14:textId="77777777" w:rsidR="00501C7E" w:rsidRDefault="00501C7E">
      <w:pPr>
        <w:rPr>
          <w:rFonts w:ascii="Times New Roman" w:hAnsi="Times New Roman"/>
        </w:rPr>
      </w:pPr>
    </w:p>
    <w:p w14:paraId="41730947" w14:textId="77777777" w:rsidR="00501C7E" w:rsidRDefault="00EC5712">
      <w:pPr>
        <w:spacing w:line="300" w:lineRule="exact"/>
        <w:ind w:firstLineChars="200" w:firstLine="420"/>
        <w:jc w:val="left"/>
        <w:textAlignment w:val="center"/>
        <w:rPr>
          <w:rFonts w:ascii="Times New Roman" w:hAnsi="Times New Roman"/>
          <w:szCs w:val="21"/>
        </w:rPr>
      </w:pPr>
      <w:r>
        <w:rPr>
          <w:rFonts w:ascii="Times New Roman" w:hAnsi="Times New Roman"/>
          <w:szCs w:val="21"/>
        </w:rPr>
        <w:t>将残差加入</w:t>
      </w:r>
      <w:r w:rsidR="00105E9B">
        <w:rPr>
          <w:rFonts w:ascii="Times New Roman" w:hAnsi="Times New Roman"/>
          <w:szCs w:val="21"/>
        </w:rPr>
        <w:t>式</w:t>
      </w:r>
      <w:r>
        <w:rPr>
          <w:rFonts w:ascii="Times New Roman" w:hAnsi="Times New Roman"/>
          <w:szCs w:val="21"/>
        </w:rPr>
        <w:t>（</w:t>
      </w:r>
      <w:r>
        <w:rPr>
          <w:rFonts w:ascii="Times New Roman" w:hAnsi="Times New Roman"/>
          <w:szCs w:val="21"/>
        </w:rPr>
        <w:t>8</w:t>
      </w:r>
      <w:r>
        <w:rPr>
          <w:rFonts w:ascii="Times New Roman" w:hAnsi="Times New Roman"/>
          <w:szCs w:val="21"/>
        </w:rPr>
        <w:t>）中，得到如下待估计的方程：</w:t>
      </w:r>
      <w:r>
        <w:rPr>
          <w:rFonts w:ascii="Times New Roman" w:hAnsi="Times New Roman"/>
          <w:szCs w:val="21"/>
        </w:rPr>
        <w:t xml:space="preserve"> </w:t>
      </w:r>
    </w:p>
    <w:p w14:paraId="7537CCAB" w14:textId="77777777" w:rsidR="00501C7E" w:rsidRDefault="00501C7E">
      <w:pPr>
        <w:spacing w:line="300" w:lineRule="exact"/>
        <w:jc w:val="left"/>
        <w:textAlignment w:val="center"/>
        <w:rPr>
          <w:rFonts w:ascii="Times New Roman" w:hAnsi="Times New Roman"/>
          <w:szCs w:val="21"/>
        </w:rPr>
      </w:pPr>
    </w:p>
    <w:p w14:paraId="78B3C131" w14:textId="77777777" w:rsidR="00501C7E" w:rsidRDefault="00000000">
      <w:pPr>
        <w:ind w:firstLineChars="1300" w:firstLine="3120"/>
        <w:jc w:val="left"/>
        <w:textAlignment w:val="center"/>
        <w:rPr>
          <w:rFonts w:ascii="Times New Roman" w:hAnsi="Times New Roman"/>
        </w:rPr>
      </w:pPr>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t</m:t>
                </m:r>
              </m:e>
              <m:sub>
                <m:r>
                  <w:rPr>
                    <w:rFonts w:ascii="Cambria Math" w:hAnsi="Cambria Math"/>
                    <w:sz w:val="24"/>
                  </w:rPr>
                  <m:t>i</m:t>
                </m:r>
              </m:sub>
            </m:sSub>
          </m:num>
          <m:den>
            <m:r>
              <w:rPr>
                <w:rFonts w:ascii="Cambria Math" w:hAnsi="Cambria Math"/>
                <w:sz w:val="24"/>
              </w:rPr>
              <m:t>1+</m:t>
            </m:r>
            <m:sSub>
              <m:sSubPr>
                <m:ctrlPr>
                  <w:rPr>
                    <w:rFonts w:ascii="Cambria Math" w:hAnsi="Cambria Math"/>
                    <w:i/>
                    <w:sz w:val="24"/>
                  </w:rPr>
                </m:ctrlPr>
              </m:sSubPr>
              <m:e>
                <m:r>
                  <w:rPr>
                    <w:rFonts w:ascii="Cambria Math" w:hAnsi="Cambria Math"/>
                    <w:sz w:val="24"/>
                  </w:rPr>
                  <m:t>t</m:t>
                </m:r>
              </m:e>
              <m:sub>
                <m:r>
                  <w:rPr>
                    <w:rFonts w:ascii="Cambria Math" w:hAnsi="Cambria Math"/>
                    <w:sz w:val="24"/>
                  </w:rPr>
                  <m:t>i</m:t>
                </m:r>
              </m:sub>
            </m:sSub>
          </m:den>
        </m:f>
        <m:sSub>
          <m:sSubPr>
            <m:ctrlPr>
              <w:rPr>
                <w:rFonts w:ascii="Cambria Math" w:hAnsi="Cambria Math"/>
                <w:i/>
                <w:sz w:val="24"/>
              </w:rPr>
            </m:ctrlPr>
          </m:sSubPr>
          <m:e>
            <m:r>
              <w:rPr>
                <w:rFonts w:ascii="Cambria Math" w:hAnsi="Cambria Math"/>
                <w:sz w:val="24"/>
              </w:rPr>
              <m:t>e</m:t>
            </m:r>
          </m:e>
          <m:sub>
            <m:r>
              <w:rPr>
                <w:rFonts w:ascii="Cambria Math" w:hAnsi="Cambria Math"/>
                <w:sz w:val="24"/>
              </w:rPr>
              <m:t>i</m:t>
            </m:r>
          </m:sub>
        </m:sSub>
        <m:r>
          <w:rPr>
            <w:rFonts w:ascii="Cambria Math" w:hAnsi="Cambria Math"/>
            <w:sz w:val="24"/>
          </w:rPr>
          <m:t>=γ</m:t>
        </m:r>
        <m:sSub>
          <m:sSubPr>
            <m:ctrlPr>
              <w:rPr>
                <w:rFonts w:ascii="Cambria Math" w:hAnsi="Cambria Math"/>
                <w:i/>
                <w:sz w:val="24"/>
              </w:rPr>
            </m:ctrlPr>
          </m:sSubPr>
          <m:e>
            <m:r>
              <w:rPr>
                <w:rFonts w:ascii="Cambria Math" w:hAnsi="Cambria Math"/>
                <w:sz w:val="24"/>
              </w:rPr>
              <m:t>z</m:t>
            </m:r>
          </m:e>
          <m:sub>
            <m:r>
              <w:rPr>
                <w:rFonts w:ascii="Cambria Math" w:hAnsi="Cambria Math"/>
                <w:sz w:val="24"/>
              </w:rPr>
              <m:t>i</m:t>
            </m:r>
          </m:sub>
        </m:sSub>
        <m:r>
          <w:rPr>
            <w:rFonts w:ascii="Cambria Math" w:hAnsi="Cambria Math"/>
            <w:sz w:val="24"/>
          </w:rPr>
          <m:t>+δ</m:t>
        </m:r>
        <m:sSub>
          <m:sSubPr>
            <m:ctrlPr>
              <w:rPr>
                <w:rFonts w:ascii="Cambria Math" w:hAnsi="Cambria Math"/>
                <w:i/>
                <w:sz w:val="24"/>
              </w:rPr>
            </m:ctrlPr>
          </m:sSubPr>
          <m:e>
            <m:sSub>
              <m:sSubPr>
                <m:ctrlPr>
                  <w:rPr>
                    <w:rFonts w:ascii="Cambria Math" w:hAnsi="Cambria Math"/>
                    <w:i/>
                    <w:sz w:val="24"/>
                  </w:rPr>
                </m:ctrlPr>
              </m:sSubPr>
              <m:e>
                <m:r>
                  <w:rPr>
                    <w:rFonts w:ascii="Cambria Math" w:hAnsi="Cambria Math"/>
                    <w:sz w:val="24"/>
                  </w:rPr>
                  <m:t>I</m:t>
                </m:r>
              </m:e>
              <m:sub>
                <m:r>
                  <w:rPr>
                    <w:rFonts w:ascii="Cambria Math" w:hAnsi="Cambria Math"/>
                    <w:sz w:val="24"/>
                  </w:rPr>
                  <m:t>i</m:t>
                </m:r>
              </m:sub>
            </m:sSub>
            <m:r>
              <w:rPr>
                <w:rFonts w:ascii="Cambria Math" w:hAnsi="Cambria Math"/>
                <w:sz w:val="24"/>
              </w:rPr>
              <m:t>z</m:t>
            </m:r>
          </m:e>
          <m:sub>
            <m:r>
              <w:rPr>
                <w:rFonts w:ascii="Cambria Math" w:hAnsi="Cambria Math"/>
                <w:sz w:val="24"/>
              </w:rPr>
              <m:t>i</m:t>
            </m:r>
          </m:sub>
        </m:sSub>
        <m:r>
          <w:rPr>
            <w:rFonts w:ascii="Cambria Math" w:hAnsi="Cambria Math"/>
            <w:sz w:val="24"/>
          </w:rPr>
          <m:t>+β</m:t>
        </m:r>
        <m:sSub>
          <m:sSubPr>
            <m:ctrlPr>
              <w:rPr>
                <w:rFonts w:ascii="Cambria Math" w:hAnsi="Cambria Math"/>
                <w:i/>
                <w:sz w:val="24"/>
              </w:rPr>
            </m:ctrlPr>
          </m:sSubPr>
          <m:e>
            <m:r>
              <w:rPr>
                <w:rFonts w:ascii="Cambria Math" w:hAnsi="Cambria Math"/>
                <w:sz w:val="24"/>
              </w:rPr>
              <m:t>M</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ε</m:t>
            </m:r>
          </m:e>
          <m:sub>
            <m:r>
              <w:rPr>
                <w:rFonts w:ascii="Cambria Math" w:hAnsi="Cambria Math"/>
                <w:sz w:val="24"/>
              </w:rPr>
              <m:t>i</m:t>
            </m:r>
          </m:sub>
        </m:sSub>
      </m:oMath>
      <w:r w:rsidR="00EC5712">
        <w:rPr>
          <w:rFonts w:ascii="Times New Roman" w:hAnsi="Times New Roman"/>
          <w:sz w:val="30"/>
          <w:szCs w:val="30"/>
        </w:rPr>
        <w:t xml:space="preserve">                </w:t>
      </w:r>
      <w:r w:rsidR="00EC5712">
        <w:rPr>
          <w:rFonts w:ascii="Times New Roman" w:hAnsi="Times New Roman"/>
        </w:rPr>
        <w:t>（</w:t>
      </w:r>
      <w:r w:rsidR="00EC5712">
        <w:rPr>
          <w:rFonts w:ascii="Times New Roman" w:hAnsi="Times New Roman"/>
        </w:rPr>
        <w:t>9</w:t>
      </w:r>
      <w:r w:rsidR="00EC5712">
        <w:rPr>
          <w:rFonts w:ascii="Times New Roman" w:hAnsi="Times New Roman"/>
        </w:rPr>
        <w:t>）</w:t>
      </w:r>
    </w:p>
    <w:p w14:paraId="2307656C" w14:textId="77777777" w:rsidR="00501C7E" w:rsidRDefault="00501C7E">
      <w:pPr>
        <w:ind w:firstLineChars="1300" w:firstLine="2730"/>
        <w:jc w:val="left"/>
        <w:textAlignment w:val="center"/>
        <w:rPr>
          <w:rFonts w:ascii="Times New Roman" w:hAnsi="Times New Roman"/>
        </w:rPr>
      </w:pPr>
    </w:p>
    <w:p w14:paraId="6DCA9402" w14:textId="77777777" w:rsidR="00501C7E" w:rsidRDefault="00EC5712">
      <w:pPr>
        <w:jc w:val="left"/>
        <w:textAlignment w:val="center"/>
        <w:rPr>
          <w:rFonts w:ascii="Times New Roman" w:hAnsi="Times New Roman"/>
          <w:iCs/>
          <w:szCs w:val="21"/>
        </w:rPr>
      </w:pPr>
      <w:r>
        <w:rPr>
          <w:rFonts w:ascii="Times New Roman" w:hAnsi="Times New Roman"/>
        </w:rPr>
        <w:t xml:space="preserve">    </w:t>
      </w:r>
      <w:r w:rsidR="00105E9B">
        <w:rPr>
          <w:rFonts w:ascii="Times New Roman" w:hAnsi="Times New Roman"/>
        </w:rPr>
        <w:t>本文</w:t>
      </w:r>
      <w:r>
        <w:rPr>
          <w:rFonts w:ascii="Times New Roman" w:hAnsi="Times New Roman"/>
        </w:rPr>
        <w:t>依托</w:t>
      </w:r>
      <w:r w:rsidR="00105E9B">
        <w:rPr>
          <w:rFonts w:ascii="Times New Roman" w:hAnsi="Times New Roman"/>
        </w:rPr>
        <w:t>式</w:t>
      </w:r>
      <w:r>
        <w:rPr>
          <w:rFonts w:ascii="Times New Roman" w:hAnsi="Times New Roman"/>
        </w:rPr>
        <w:t>（</w:t>
      </w:r>
      <w:r>
        <w:rPr>
          <w:rFonts w:ascii="Times New Roman" w:hAnsi="Times New Roman"/>
        </w:rPr>
        <w:t>9</w:t>
      </w:r>
      <w:r>
        <w:rPr>
          <w:rFonts w:ascii="Times New Roman" w:hAnsi="Times New Roman"/>
        </w:rPr>
        <w:t>）</w:t>
      </w:r>
      <w:r w:rsidR="00105E9B">
        <w:rPr>
          <w:rFonts w:ascii="Times New Roman" w:hAnsi="Times New Roman"/>
        </w:rPr>
        <w:t>进行回归检验，分别对被解释变量初裁税率和终裁税率进行回归，</w:t>
      </w:r>
      <w:r>
        <w:rPr>
          <w:rFonts w:ascii="Times New Roman" w:hAnsi="Times New Roman"/>
        </w:rPr>
        <w:t>结果如表</w:t>
      </w:r>
      <w:r>
        <w:rPr>
          <w:rFonts w:ascii="Times New Roman" w:hAnsi="Times New Roman"/>
        </w:rPr>
        <w:t>11</w:t>
      </w:r>
      <w:r>
        <w:rPr>
          <w:rFonts w:ascii="Times New Roman" w:hAnsi="Times New Roman"/>
        </w:rPr>
        <w:t>所示</w:t>
      </w:r>
      <w:r w:rsidR="00105E9B">
        <w:rPr>
          <w:rFonts w:ascii="Times New Roman" w:hAnsi="Times New Roman" w:hint="eastAsia"/>
        </w:rPr>
        <w:t>。</w:t>
      </w:r>
      <w:r>
        <w:rPr>
          <w:rFonts w:ascii="Times New Roman" w:hAnsi="Times New Roman"/>
        </w:rPr>
        <w:t>估计方程在整体上显著，拟合效果较好，其中估计系数</w:t>
      </w:r>
      <m:oMath>
        <m:r>
          <w:rPr>
            <w:rFonts w:ascii="Cambria Math" w:hAnsi="Cambria Math"/>
            <w:szCs w:val="21"/>
          </w:rPr>
          <m:t>γ</m:t>
        </m:r>
      </m:oMath>
      <w:r>
        <w:rPr>
          <w:rFonts w:ascii="Times New Roman" w:hAnsi="Times New Roman"/>
        </w:rPr>
        <w:t>显著为负</w:t>
      </w:r>
      <w:r>
        <w:rPr>
          <w:rFonts w:ascii="Times New Roman" w:hAnsi="Times New Roman" w:hint="eastAsia"/>
        </w:rPr>
        <w:t>，</w:t>
      </w:r>
      <m:oMath>
        <m:r>
          <w:rPr>
            <w:rFonts w:ascii="Cambria Math" w:hAnsi="Cambria Math"/>
            <w:szCs w:val="21"/>
          </w:rPr>
          <m:t>δ</m:t>
        </m:r>
      </m:oMath>
      <w:r>
        <w:rPr>
          <w:rFonts w:ascii="Times New Roman" w:hAnsi="Times New Roman"/>
        </w:rPr>
        <w:t>和</w:t>
      </w:r>
      <m:oMath>
        <m:r>
          <w:rPr>
            <w:rFonts w:ascii="Cambria Math" w:hAnsi="Cambria Math"/>
            <w:szCs w:val="21"/>
          </w:rPr>
          <m:t>γ+δ</m:t>
        </m:r>
      </m:oMath>
      <w:r>
        <w:rPr>
          <w:rFonts w:ascii="Times New Roman" w:hAnsi="Times New Roman"/>
          <w:szCs w:val="21"/>
        </w:rPr>
        <w:t>显著为正，估计结果符合</w:t>
      </w:r>
      <w:r>
        <w:rPr>
          <w:rFonts w:ascii="Times New Roman" w:hAnsi="Times New Roman" w:hint="eastAsia"/>
          <w:szCs w:val="21"/>
        </w:rPr>
        <w:t>“</w:t>
      </w:r>
      <w:r>
        <w:rPr>
          <w:rFonts w:ascii="Times New Roman" w:hAnsi="Times New Roman"/>
          <w:szCs w:val="21"/>
        </w:rPr>
        <w:t>保护待售</w:t>
      </w:r>
      <w:r>
        <w:rPr>
          <w:rFonts w:ascii="Times New Roman" w:hAnsi="Times New Roman" w:hint="eastAsia"/>
          <w:szCs w:val="21"/>
        </w:rPr>
        <w:t>”</w:t>
      </w:r>
      <w:r>
        <w:rPr>
          <w:rFonts w:ascii="Times New Roman" w:hAnsi="Times New Roman"/>
          <w:szCs w:val="21"/>
        </w:rPr>
        <w:t>模型的符号设定并且是显著的。结构参数</w:t>
      </w:r>
      <m:oMath>
        <m:sSub>
          <m:sSubPr>
            <m:ctrlPr>
              <w:rPr>
                <w:rFonts w:ascii="Cambria Math" w:hAnsi="Cambria Math"/>
                <w:i/>
                <w:szCs w:val="21"/>
              </w:rPr>
            </m:ctrlPr>
          </m:sSubPr>
          <m:e>
            <m:r>
              <w:rPr>
                <w:rFonts w:ascii="Cambria Math" w:hAnsi="Cambria Math"/>
                <w:szCs w:val="21"/>
              </w:rPr>
              <m:t>α</m:t>
            </m:r>
          </m:e>
          <m:sub>
            <m:r>
              <w:rPr>
                <w:rFonts w:ascii="Cambria Math" w:hAnsi="Cambria Math"/>
                <w:szCs w:val="21"/>
              </w:rPr>
              <m:t>L</m:t>
            </m:r>
          </m:sub>
        </m:sSub>
      </m:oMath>
      <w:r>
        <w:rPr>
          <w:rFonts w:ascii="Times New Roman" w:hAnsi="Times New Roman"/>
          <w:szCs w:val="21"/>
        </w:rPr>
        <w:t>的值在合理范围之内（即在</w:t>
      </w:r>
      <w:r>
        <w:rPr>
          <w:rFonts w:ascii="Times New Roman" w:hAnsi="Times New Roman"/>
          <w:szCs w:val="21"/>
        </w:rPr>
        <w:t>0</w:t>
      </w:r>
      <w:r>
        <w:rPr>
          <w:rFonts w:ascii="Times New Roman" w:hAnsi="Times New Roman"/>
          <w:szCs w:val="21"/>
        </w:rPr>
        <w:t>到</w:t>
      </w:r>
      <w:r>
        <w:rPr>
          <w:rFonts w:ascii="Times New Roman" w:hAnsi="Times New Roman"/>
          <w:szCs w:val="21"/>
        </w:rPr>
        <w:t>1</w:t>
      </w:r>
      <w:r>
        <w:rPr>
          <w:rFonts w:ascii="Times New Roman" w:hAnsi="Times New Roman"/>
          <w:szCs w:val="21"/>
        </w:rPr>
        <w:t>之间），与前定比重</w:t>
      </w:r>
      <w:r>
        <w:rPr>
          <w:rFonts w:ascii="Times New Roman" w:hAnsi="Times New Roman"/>
          <w:szCs w:val="21"/>
        </w:rPr>
        <w:t>30%</w:t>
      </w:r>
      <w:r>
        <w:rPr>
          <w:rFonts w:ascii="Times New Roman" w:hAnsi="Times New Roman"/>
          <w:szCs w:val="21"/>
        </w:rPr>
        <w:t>、</w:t>
      </w:r>
      <w:r>
        <w:rPr>
          <w:rFonts w:ascii="Times New Roman" w:hAnsi="Times New Roman"/>
          <w:szCs w:val="21"/>
        </w:rPr>
        <w:t>40%</w:t>
      </w:r>
      <w:r>
        <w:rPr>
          <w:rFonts w:ascii="Times New Roman" w:hAnsi="Times New Roman"/>
          <w:szCs w:val="21"/>
        </w:rPr>
        <w:t>和</w:t>
      </w:r>
      <w:r>
        <w:rPr>
          <w:rFonts w:ascii="Times New Roman" w:hAnsi="Times New Roman"/>
          <w:szCs w:val="21"/>
        </w:rPr>
        <w:t>50%</w:t>
      </w:r>
      <w:r>
        <w:rPr>
          <w:rFonts w:ascii="Times New Roman" w:hAnsi="Times New Roman"/>
          <w:szCs w:val="21"/>
        </w:rPr>
        <w:t>基本相符。与依托</w:t>
      </w:r>
      <w:r w:rsidR="00105E9B">
        <w:rPr>
          <w:rFonts w:ascii="Times New Roman" w:hAnsi="Times New Roman"/>
          <w:szCs w:val="21"/>
        </w:rPr>
        <w:t>式</w:t>
      </w:r>
      <w:r>
        <w:rPr>
          <w:rFonts w:ascii="Times New Roman" w:hAnsi="Times New Roman"/>
          <w:szCs w:val="21"/>
        </w:rPr>
        <w:t>（</w:t>
      </w:r>
      <w:r>
        <w:rPr>
          <w:rFonts w:ascii="Times New Roman" w:hAnsi="Times New Roman"/>
          <w:szCs w:val="21"/>
        </w:rPr>
        <w:t>7</w:t>
      </w:r>
      <w:r>
        <w:rPr>
          <w:rFonts w:ascii="Times New Roman" w:hAnsi="Times New Roman"/>
          <w:szCs w:val="21"/>
        </w:rPr>
        <w:t>）的基准检验结果相比，拟合效果有所降低，估计出的</w:t>
      </w:r>
      <m:oMath>
        <m:r>
          <w:rPr>
            <w:rFonts w:ascii="Cambria Math" w:hAnsi="Cambria Math"/>
            <w:szCs w:val="21"/>
          </w:rPr>
          <m:t>a</m:t>
        </m:r>
      </m:oMath>
      <w:r>
        <w:rPr>
          <w:rFonts w:ascii="Times New Roman" w:hAnsi="Times New Roman"/>
          <w:szCs w:val="21"/>
        </w:rPr>
        <w:t>值在</w:t>
      </w:r>
      <w:r>
        <w:rPr>
          <w:rFonts w:ascii="Times New Roman" w:hAnsi="Times New Roman"/>
          <w:szCs w:val="21"/>
        </w:rPr>
        <w:t>11.5-14.0</w:t>
      </w:r>
      <w:r>
        <w:rPr>
          <w:rFonts w:ascii="Times New Roman" w:hAnsi="Times New Roman"/>
          <w:szCs w:val="21"/>
        </w:rPr>
        <w:t>之间，相比</w:t>
      </w:r>
      <w:r w:rsidR="00105E9B">
        <w:rPr>
          <w:rFonts w:ascii="Times New Roman" w:hAnsi="Times New Roman"/>
          <w:szCs w:val="21"/>
        </w:rPr>
        <w:t>式</w:t>
      </w:r>
      <w:r>
        <w:rPr>
          <w:rFonts w:ascii="Times New Roman" w:hAnsi="Times New Roman"/>
          <w:szCs w:val="21"/>
        </w:rPr>
        <w:t>（</w:t>
      </w:r>
      <w:r>
        <w:rPr>
          <w:rFonts w:ascii="Times New Roman" w:hAnsi="Times New Roman"/>
          <w:szCs w:val="21"/>
        </w:rPr>
        <w:t>7</w:t>
      </w:r>
      <w:r>
        <w:rPr>
          <w:rFonts w:ascii="Times New Roman" w:hAnsi="Times New Roman"/>
          <w:szCs w:val="21"/>
        </w:rPr>
        <w:t>）的估计结果有所提高，但仍然符</w:t>
      </w:r>
      <w:r>
        <w:rPr>
          <w:rFonts w:ascii="Times New Roman" w:hAnsi="Times New Roman"/>
          <w:szCs w:val="21"/>
        </w:rPr>
        <w:lastRenderedPageBreak/>
        <w:t>合现实逻辑，即欧盟对全社会福利的重视程度略高于对利益集团诉求的重视程度，而非远远高于。由此可见，将进口需求弹性</w:t>
      </w: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i</m:t>
            </m:r>
          </m:sub>
        </m:sSub>
      </m:oMath>
      <w:r>
        <w:rPr>
          <w:rFonts w:ascii="Times New Roman" w:hAnsi="Times New Roman"/>
          <w:szCs w:val="21"/>
        </w:rPr>
        <w:t>挪到估计方程的左边作为被解释变量的一部分</w:t>
      </w:r>
      <w:r w:rsidR="00105E9B">
        <w:rPr>
          <w:rFonts w:ascii="Times New Roman" w:hAnsi="Times New Roman"/>
          <w:szCs w:val="21"/>
        </w:rPr>
        <w:t>，依然符合保护待售模型的符号设定和显著性要求，本文</w:t>
      </w:r>
      <w:r>
        <w:rPr>
          <w:rFonts w:ascii="Times New Roman" w:hAnsi="Times New Roman"/>
          <w:szCs w:val="21"/>
        </w:rPr>
        <w:t>的估计结果是稳健的。</w:t>
      </w:r>
    </w:p>
    <w:p w14:paraId="0F9CFE46" w14:textId="77777777" w:rsidR="00501C7E" w:rsidRDefault="00501C7E">
      <w:pPr>
        <w:jc w:val="left"/>
        <w:rPr>
          <w:rFonts w:ascii="Times New Roman" w:hAnsi="Times New Roman"/>
          <w:szCs w:val="21"/>
        </w:rPr>
      </w:pPr>
    </w:p>
    <w:p w14:paraId="14D38C7D" w14:textId="77777777" w:rsidR="00501C7E" w:rsidRDefault="00EC5712">
      <w:pPr>
        <w:jc w:val="center"/>
        <w:rPr>
          <w:rFonts w:ascii="Times New Roman" w:eastAsia="楷体" w:hAnsi="Times New Roman"/>
          <w:bCs/>
          <w:szCs w:val="21"/>
        </w:rPr>
      </w:pPr>
      <w:r>
        <w:rPr>
          <w:rFonts w:ascii="Times New Roman" w:eastAsia="楷体" w:hAnsi="Times New Roman"/>
          <w:bCs/>
          <w:szCs w:val="21"/>
        </w:rPr>
        <w:t>表</w:t>
      </w:r>
      <w:r>
        <w:rPr>
          <w:rFonts w:ascii="Times New Roman" w:eastAsia="楷体" w:hAnsi="Times New Roman"/>
          <w:bCs/>
          <w:szCs w:val="21"/>
        </w:rPr>
        <w:t xml:space="preserve">11  </w:t>
      </w:r>
      <w:r>
        <w:rPr>
          <w:rFonts w:ascii="Times New Roman" w:eastAsia="楷体" w:hAnsi="Times New Roman"/>
          <w:bCs/>
          <w:szCs w:val="21"/>
        </w:rPr>
        <w:t>将进口需求弹性移动到左边的单方程</w:t>
      </w:r>
      <w:r>
        <w:rPr>
          <w:rFonts w:ascii="Times New Roman" w:eastAsia="楷体" w:hAnsi="Times New Roman"/>
          <w:bCs/>
          <w:szCs w:val="21"/>
        </w:rPr>
        <w:t>OLS</w:t>
      </w:r>
      <w:r>
        <w:rPr>
          <w:rFonts w:ascii="Times New Roman" w:eastAsia="楷体" w:hAnsi="Times New Roman"/>
          <w:bCs/>
          <w:szCs w:val="21"/>
        </w:rPr>
        <w:t>估计结果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068"/>
        <w:gridCol w:w="1068"/>
        <w:gridCol w:w="1103"/>
        <w:gridCol w:w="1079"/>
        <w:gridCol w:w="1079"/>
        <w:gridCol w:w="1131"/>
      </w:tblGrid>
      <w:tr w:rsidR="00501C7E" w14:paraId="4A86D21B" w14:textId="77777777">
        <w:trPr>
          <w:trHeight w:val="420"/>
          <w:jc w:val="center"/>
        </w:trPr>
        <w:tc>
          <w:tcPr>
            <w:tcW w:w="1423" w:type="pct"/>
            <w:tcBorders>
              <w:tl2br w:val="nil"/>
              <w:tr2bl w:val="nil"/>
            </w:tcBorders>
            <w:shd w:val="clear" w:color="auto" w:fill="auto"/>
            <w:vAlign w:val="center"/>
          </w:tcPr>
          <w:p w14:paraId="12C14EB6"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申诉者政治势力排名</w:t>
            </w:r>
          </w:p>
        </w:tc>
        <w:tc>
          <w:tcPr>
            <w:tcW w:w="588" w:type="pct"/>
            <w:tcBorders>
              <w:tl2br w:val="nil"/>
              <w:tr2bl w:val="nil"/>
            </w:tcBorders>
            <w:shd w:val="clear" w:color="auto" w:fill="auto"/>
            <w:noWrap/>
            <w:vAlign w:val="center"/>
          </w:tcPr>
          <w:p w14:paraId="1CF5518B"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前</w:t>
            </w:r>
            <w:r>
              <w:rPr>
                <w:rFonts w:ascii="Times New Roman" w:hAnsi="Times New Roman"/>
                <w:kern w:val="0"/>
                <w:sz w:val="18"/>
                <w:szCs w:val="18"/>
              </w:rPr>
              <w:t>30%</w:t>
            </w:r>
          </w:p>
        </w:tc>
        <w:tc>
          <w:tcPr>
            <w:tcW w:w="588" w:type="pct"/>
            <w:tcBorders>
              <w:tl2br w:val="nil"/>
              <w:tr2bl w:val="nil"/>
            </w:tcBorders>
            <w:shd w:val="clear" w:color="auto" w:fill="auto"/>
            <w:noWrap/>
            <w:vAlign w:val="center"/>
          </w:tcPr>
          <w:p w14:paraId="0A46088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前</w:t>
            </w:r>
            <w:r>
              <w:rPr>
                <w:rFonts w:ascii="Times New Roman" w:hAnsi="Times New Roman"/>
                <w:kern w:val="0"/>
                <w:sz w:val="18"/>
                <w:szCs w:val="18"/>
              </w:rPr>
              <w:t>40%</w:t>
            </w:r>
          </w:p>
        </w:tc>
        <w:tc>
          <w:tcPr>
            <w:tcW w:w="605" w:type="pct"/>
            <w:tcBorders>
              <w:tl2br w:val="nil"/>
              <w:tr2bl w:val="nil"/>
            </w:tcBorders>
            <w:shd w:val="clear" w:color="auto" w:fill="auto"/>
            <w:noWrap/>
            <w:vAlign w:val="center"/>
          </w:tcPr>
          <w:p w14:paraId="3BC2046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前</w:t>
            </w:r>
            <w:r>
              <w:rPr>
                <w:rFonts w:ascii="Times New Roman" w:hAnsi="Times New Roman"/>
                <w:kern w:val="0"/>
                <w:sz w:val="18"/>
                <w:szCs w:val="18"/>
              </w:rPr>
              <w:t>50%</w:t>
            </w:r>
          </w:p>
        </w:tc>
        <w:tc>
          <w:tcPr>
            <w:tcW w:w="594" w:type="pct"/>
            <w:tcBorders>
              <w:tl2br w:val="nil"/>
              <w:tr2bl w:val="nil"/>
            </w:tcBorders>
            <w:shd w:val="clear" w:color="auto" w:fill="auto"/>
            <w:noWrap/>
            <w:vAlign w:val="center"/>
          </w:tcPr>
          <w:p w14:paraId="1D2EAED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前</w:t>
            </w:r>
            <w:r>
              <w:rPr>
                <w:rFonts w:ascii="Times New Roman" w:hAnsi="Times New Roman"/>
                <w:kern w:val="0"/>
                <w:sz w:val="18"/>
                <w:szCs w:val="18"/>
              </w:rPr>
              <w:t>30%</w:t>
            </w:r>
          </w:p>
        </w:tc>
        <w:tc>
          <w:tcPr>
            <w:tcW w:w="594" w:type="pct"/>
            <w:tcBorders>
              <w:tl2br w:val="nil"/>
              <w:tr2bl w:val="nil"/>
            </w:tcBorders>
            <w:shd w:val="clear" w:color="auto" w:fill="auto"/>
            <w:noWrap/>
            <w:vAlign w:val="center"/>
          </w:tcPr>
          <w:p w14:paraId="22F65163"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前</w:t>
            </w:r>
            <w:r>
              <w:rPr>
                <w:rFonts w:ascii="Times New Roman" w:hAnsi="Times New Roman"/>
                <w:kern w:val="0"/>
                <w:sz w:val="18"/>
                <w:szCs w:val="18"/>
              </w:rPr>
              <w:t>40%</w:t>
            </w:r>
          </w:p>
        </w:tc>
        <w:tc>
          <w:tcPr>
            <w:tcW w:w="604" w:type="pct"/>
            <w:tcBorders>
              <w:tl2br w:val="nil"/>
              <w:tr2bl w:val="nil"/>
            </w:tcBorders>
            <w:shd w:val="clear" w:color="auto" w:fill="auto"/>
            <w:noWrap/>
            <w:vAlign w:val="center"/>
          </w:tcPr>
          <w:p w14:paraId="5E9D104A"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前</w:t>
            </w:r>
            <w:r>
              <w:rPr>
                <w:rFonts w:ascii="Times New Roman" w:hAnsi="Times New Roman"/>
                <w:kern w:val="0"/>
                <w:sz w:val="18"/>
                <w:szCs w:val="18"/>
              </w:rPr>
              <w:t>50%</w:t>
            </w:r>
          </w:p>
        </w:tc>
      </w:tr>
      <w:tr w:rsidR="00501C7E" w14:paraId="7D454256" w14:textId="77777777">
        <w:trPr>
          <w:trHeight w:val="300"/>
          <w:jc w:val="center"/>
        </w:trPr>
        <w:tc>
          <w:tcPr>
            <w:tcW w:w="1423" w:type="pct"/>
            <w:tcBorders>
              <w:tl2br w:val="nil"/>
              <w:tr2bl w:val="nil"/>
            </w:tcBorders>
            <w:shd w:val="clear" w:color="auto" w:fill="auto"/>
            <w:vAlign w:val="center"/>
          </w:tcPr>
          <w:p w14:paraId="31372CE0"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被解释变量</w:t>
            </w:r>
          </w:p>
        </w:tc>
        <w:tc>
          <w:tcPr>
            <w:tcW w:w="1783" w:type="pct"/>
            <w:gridSpan w:val="3"/>
            <w:tcBorders>
              <w:tl2br w:val="nil"/>
              <w:tr2bl w:val="nil"/>
            </w:tcBorders>
            <w:shd w:val="clear" w:color="auto" w:fill="auto"/>
            <w:noWrap/>
            <w:vAlign w:val="center"/>
          </w:tcPr>
          <w:p w14:paraId="2CC169C3" w14:textId="77777777" w:rsidR="00501C7E" w:rsidRDefault="00EC5712">
            <w:pPr>
              <w:jc w:val="center"/>
              <w:rPr>
                <w:rFonts w:ascii="Times New Roman" w:hAnsi="Times New Roman"/>
                <w:sz w:val="18"/>
                <w:szCs w:val="18"/>
              </w:rPr>
            </w:pPr>
            <w:r>
              <w:rPr>
                <w:rFonts w:ascii="Times New Roman" w:hAnsi="Times New Roman"/>
                <w:sz w:val="18"/>
                <w:szCs w:val="18"/>
              </w:rPr>
              <w:t>初裁税率</w:t>
            </w:r>
          </w:p>
        </w:tc>
        <w:tc>
          <w:tcPr>
            <w:tcW w:w="1793" w:type="pct"/>
            <w:gridSpan w:val="3"/>
            <w:tcBorders>
              <w:tl2br w:val="nil"/>
              <w:tr2bl w:val="nil"/>
            </w:tcBorders>
            <w:shd w:val="clear" w:color="auto" w:fill="auto"/>
            <w:noWrap/>
            <w:vAlign w:val="center"/>
          </w:tcPr>
          <w:p w14:paraId="13033642" w14:textId="77777777" w:rsidR="00501C7E" w:rsidRDefault="00EC5712">
            <w:pPr>
              <w:jc w:val="center"/>
              <w:rPr>
                <w:rFonts w:ascii="Times New Roman" w:hAnsi="Times New Roman"/>
                <w:sz w:val="18"/>
                <w:szCs w:val="18"/>
              </w:rPr>
            </w:pPr>
            <w:r>
              <w:rPr>
                <w:rFonts w:ascii="Times New Roman" w:hAnsi="Times New Roman"/>
                <w:kern w:val="0"/>
                <w:sz w:val="18"/>
                <w:szCs w:val="18"/>
              </w:rPr>
              <w:t>终裁税率</w:t>
            </w:r>
          </w:p>
        </w:tc>
      </w:tr>
      <w:tr w:rsidR="00501C7E" w14:paraId="043BDCBA" w14:textId="77777777">
        <w:trPr>
          <w:trHeight w:val="604"/>
          <w:jc w:val="center"/>
        </w:trPr>
        <w:tc>
          <w:tcPr>
            <w:tcW w:w="1423" w:type="pct"/>
            <w:vMerge w:val="restart"/>
            <w:tcBorders>
              <w:tl2br w:val="nil"/>
              <w:tr2bl w:val="nil"/>
            </w:tcBorders>
            <w:shd w:val="clear" w:color="auto" w:fill="auto"/>
            <w:noWrap/>
            <w:vAlign w:val="center"/>
          </w:tcPr>
          <w:p w14:paraId="650EDE91" w14:textId="77777777" w:rsidR="00501C7E" w:rsidRDefault="00000000">
            <w:pPr>
              <w:jc w:val="center"/>
              <w:rPr>
                <w:rFonts w:ascii="Times New Roman" w:hAnsi="Times New Roman"/>
                <w:sz w:val="18"/>
                <w:szCs w:val="18"/>
              </w:rPr>
            </w:pPr>
            <m:oMathPara>
              <m:oMath>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i</m:t>
                    </m:r>
                  </m:sub>
                </m:sSub>
              </m:oMath>
            </m:oMathPara>
          </w:p>
        </w:tc>
        <w:tc>
          <w:tcPr>
            <w:tcW w:w="588" w:type="pct"/>
            <w:tcBorders>
              <w:tl2br w:val="nil"/>
              <w:tr2bl w:val="nil"/>
            </w:tcBorders>
            <w:shd w:val="clear" w:color="auto" w:fill="auto"/>
            <w:noWrap/>
            <w:vAlign w:val="center"/>
          </w:tcPr>
          <w:p w14:paraId="067D4E4D"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-0.038</w:t>
            </w:r>
            <w:r>
              <w:rPr>
                <w:rFonts w:ascii="Times New Roman" w:hAnsi="Times New Roman"/>
                <w:iCs/>
                <w:kern w:val="0"/>
                <w:sz w:val="18"/>
                <w:szCs w:val="18"/>
              </w:rPr>
              <w:t>***</w:t>
            </w:r>
          </w:p>
          <w:p w14:paraId="1031897C"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w:t>
            </w:r>
            <w:r>
              <w:rPr>
                <w:rFonts w:ascii="Times New Roman" w:hAnsi="Times New Roman"/>
                <w:kern w:val="0"/>
                <w:sz w:val="18"/>
                <w:szCs w:val="18"/>
              </w:rPr>
              <w:t>0.013</w:t>
            </w:r>
            <w:r>
              <w:rPr>
                <w:rFonts w:ascii="Times New Roman" w:hAnsi="Times New Roman" w:hint="eastAsia"/>
                <w:kern w:val="0"/>
                <w:sz w:val="18"/>
                <w:szCs w:val="18"/>
              </w:rPr>
              <w:t>）</w:t>
            </w:r>
          </w:p>
        </w:tc>
        <w:tc>
          <w:tcPr>
            <w:tcW w:w="588" w:type="pct"/>
            <w:tcBorders>
              <w:tl2br w:val="nil"/>
              <w:tr2bl w:val="nil"/>
            </w:tcBorders>
            <w:shd w:val="clear" w:color="auto" w:fill="auto"/>
            <w:noWrap/>
            <w:vAlign w:val="center"/>
          </w:tcPr>
          <w:p w14:paraId="577425A6"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-0.039</w:t>
            </w:r>
            <w:r>
              <w:rPr>
                <w:rFonts w:ascii="Times New Roman" w:hAnsi="Times New Roman"/>
                <w:iCs/>
                <w:kern w:val="0"/>
                <w:sz w:val="18"/>
                <w:szCs w:val="18"/>
              </w:rPr>
              <w:t>***</w:t>
            </w:r>
          </w:p>
          <w:p w14:paraId="1DD535B6"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w:t>
            </w:r>
            <w:r>
              <w:rPr>
                <w:rFonts w:ascii="Times New Roman" w:hAnsi="Times New Roman"/>
                <w:kern w:val="0"/>
                <w:sz w:val="18"/>
                <w:szCs w:val="18"/>
              </w:rPr>
              <w:t>0.013</w:t>
            </w:r>
            <w:r>
              <w:rPr>
                <w:rFonts w:ascii="Times New Roman" w:hAnsi="Times New Roman" w:hint="eastAsia"/>
                <w:kern w:val="0"/>
                <w:sz w:val="18"/>
                <w:szCs w:val="18"/>
              </w:rPr>
              <w:t>）</w:t>
            </w:r>
          </w:p>
        </w:tc>
        <w:tc>
          <w:tcPr>
            <w:tcW w:w="605" w:type="pct"/>
            <w:tcBorders>
              <w:tl2br w:val="nil"/>
              <w:tr2bl w:val="nil"/>
            </w:tcBorders>
            <w:shd w:val="clear" w:color="auto" w:fill="auto"/>
            <w:noWrap/>
            <w:vAlign w:val="center"/>
          </w:tcPr>
          <w:p w14:paraId="177A49E2"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-0.041</w:t>
            </w:r>
            <w:r>
              <w:rPr>
                <w:rFonts w:ascii="Times New Roman" w:hAnsi="Times New Roman"/>
                <w:iCs/>
                <w:kern w:val="0"/>
                <w:sz w:val="18"/>
                <w:szCs w:val="18"/>
              </w:rPr>
              <w:t>***</w:t>
            </w:r>
          </w:p>
          <w:p w14:paraId="49711082"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w:t>
            </w:r>
            <w:r>
              <w:rPr>
                <w:rFonts w:ascii="Times New Roman" w:hAnsi="Times New Roman"/>
                <w:kern w:val="0"/>
                <w:sz w:val="18"/>
                <w:szCs w:val="18"/>
              </w:rPr>
              <w:t>0.013</w:t>
            </w:r>
            <w:r>
              <w:rPr>
                <w:rFonts w:ascii="Times New Roman" w:hAnsi="Times New Roman" w:hint="eastAsia"/>
                <w:kern w:val="0"/>
                <w:sz w:val="18"/>
                <w:szCs w:val="18"/>
              </w:rPr>
              <w:t>）</w:t>
            </w:r>
          </w:p>
        </w:tc>
        <w:tc>
          <w:tcPr>
            <w:tcW w:w="594" w:type="pct"/>
            <w:tcBorders>
              <w:tl2br w:val="nil"/>
              <w:tr2bl w:val="nil"/>
            </w:tcBorders>
            <w:shd w:val="clear" w:color="auto" w:fill="auto"/>
            <w:noWrap/>
            <w:vAlign w:val="center"/>
          </w:tcPr>
          <w:p w14:paraId="119327EB"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-0.035</w:t>
            </w:r>
            <w:r>
              <w:rPr>
                <w:rFonts w:ascii="Times New Roman" w:hAnsi="Times New Roman"/>
                <w:iCs/>
                <w:kern w:val="0"/>
                <w:sz w:val="18"/>
                <w:szCs w:val="18"/>
              </w:rPr>
              <w:t>***</w:t>
            </w:r>
          </w:p>
          <w:p w14:paraId="556F09EF"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w:t>
            </w:r>
            <w:r>
              <w:rPr>
                <w:rFonts w:ascii="Times New Roman" w:hAnsi="Times New Roman"/>
                <w:kern w:val="0"/>
                <w:sz w:val="18"/>
                <w:szCs w:val="18"/>
              </w:rPr>
              <w:t>0.012</w:t>
            </w:r>
            <w:r>
              <w:rPr>
                <w:rFonts w:ascii="Times New Roman" w:hAnsi="Times New Roman" w:hint="eastAsia"/>
                <w:kern w:val="0"/>
                <w:sz w:val="18"/>
                <w:szCs w:val="18"/>
              </w:rPr>
              <w:t>）</w:t>
            </w:r>
          </w:p>
        </w:tc>
        <w:tc>
          <w:tcPr>
            <w:tcW w:w="594" w:type="pct"/>
            <w:tcBorders>
              <w:tl2br w:val="nil"/>
              <w:tr2bl w:val="nil"/>
            </w:tcBorders>
            <w:shd w:val="clear" w:color="auto" w:fill="auto"/>
            <w:noWrap/>
            <w:vAlign w:val="center"/>
          </w:tcPr>
          <w:p w14:paraId="1FDCEC12"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-0.038</w:t>
            </w:r>
            <w:r>
              <w:rPr>
                <w:rFonts w:ascii="Times New Roman" w:hAnsi="Times New Roman"/>
                <w:iCs/>
                <w:kern w:val="0"/>
                <w:sz w:val="18"/>
                <w:szCs w:val="18"/>
              </w:rPr>
              <w:t>***</w:t>
            </w:r>
          </w:p>
          <w:p w14:paraId="795924A2"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w:t>
            </w:r>
            <w:r>
              <w:rPr>
                <w:rFonts w:ascii="Times New Roman" w:hAnsi="Times New Roman"/>
                <w:kern w:val="0"/>
                <w:sz w:val="18"/>
                <w:szCs w:val="18"/>
              </w:rPr>
              <w:t>0.012</w:t>
            </w:r>
            <w:r>
              <w:rPr>
                <w:rFonts w:ascii="Times New Roman" w:hAnsi="Times New Roman" w:hint="eastAsia"/>
                <w:kern w:val="0"/>
                <w:sz w:val="18"/>
                <w:szCs w:val="18"/>
              </w:rPr>
              <w:t>）</w:t>
            </w:r>
          </w:p>
        </w:tc>
        <w:tc>
          <w:tcPr>
            <w:tcW w:w="604" w:type="pct"/>
            <w:tcBorders>
              <w:tl2br w:val="nil"/>
              <w:tr2bl w:val="nil"/>
            </w:tcBorders>
            <w:shd w:val="clear" w:color="auto" w:fill="auto"/>
            <w:noWrap/>
            <w:vAlign w:val="center"/>
          </w:tcPr>
          <w:p w14:paraId="6BDF6099"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-0.038</w:t>
            </w:r>
            <w:r>
              <w:rPr>
                <w:rFonts w:ascii="Times New Roman" w:hAnsi="Times New Roman"/>
                <w:iCs/>
                <w:kern w:val="0"/>
                <w:sz w:val="18"/>
                <w:szCs w:val="18"/>
              </w:rPr>
              <w:t>***</w:t>
            </w:r>
          </w:p>
          <w:p w14:paraId="7389B043"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w:t>
            </w:r>
            <w:r>
              <w:rPr>
                <w:rFonts w:ascii="Times New Roman" w:hAnsi="Times New Roman"/>
                <w:kern w:val="0"/>
                <w:sz w:val="18"/>
                <w:szCs w:val="18"/>
              </w:rPr>
              <w:t>0.012</w:t>
            </w:r>
            <w:r>
              <w:rPr>
                <w:rFonts w:ascii="Times New Roman" w:hAnsi="Times New Roman" w:hint="eastAsia"/>
                <w:kern w:val="0"/>
                <w:sz w:val="18"/>
                <w:szCs w:val="18"/>
              </w:rPr>
              <w:t>）</w:t>
            </w:r>
          </w:p>
        </w:tc>
      </w:tr>
      <w:tr w:rsidR="00501C7E" w14:paraId="72174739" w14:textId="77777777">
        <w:trPr>
          <w:trHeight w:val="604"/>
          <w:jc w:val="center"/>
        </w:trPr>
        <w:tc>
          <w:tcPr>
            <w:tcW w:w="1423" w:type="pct"/>
            <w:vMerge w:val="restart"/>
            <w:tcBorders>
              <w:tl2br w:val="nil"/>
              <w:tr2bl w:val="nil"/>
            </w:tcBorders>
            <w:shd w:val="clear" w:color="auto" w:fill="auto"/>
            <w:noWrap/>
            <w:vAlign w:val="center"/>
          </w:tcPr>
          <w:p w14:paraId="078F6BB8" w14:textId="77777777" w:rsidR="00501C7E" w:rsidRDefault="00000000">
            <w:pPr>
              <w:jc w:val="center"/>
              <w:rPr>
                <w:rFonts w:ascii="Times New Roman" w:hAnsi="Times New Roman"/>
                <w:sz w:val="18"/>
                <w:szCs w:val="18"/>
              </w:rPr>
            </w:pPr>
            <m:oMathPara>
              <m:oMath>
                <m:sSub>
                  <m:sSubPr>
                    <m:ctrlPr>
                      <w:rPr>
                        <w:rFonts w:ascii="Cambria Math" w:hAnsi="Cambria Math"/>
                        <w:i/>
                        <w:iCs/>
                        <w:sz w:val="18"/>
                        <w:szCs w:val="18"/>
                      </w:rPr>
                    </m:ctrlPr>
                  </m:sSubPr>
                  <m:e>
                    <m:r>
                      <w:rPr>
                        <w:rFonts w:ascii="Cambria Math" w:hAnsi="Cambria Math"/>
                        <w:sz w:val="18"/>
                        <w:szCs w:val="18"/>
                      </w:rPr>
                      <m:t>I</m:t>
                    </m:r>
                  </m:e>
                  <m:sub>
                    <m:r>
                      <w:rPr>
                        <w:rFonts w:ascii="Cambria Math" w:hAnsi="Cambria Math"/>
                        <w:sz w:val="18"/>
                        <w:szCs w:val="18"/>
                      </w:rPr>
                      <m:t>i</m:t>
                    </m:r>
                  </m:sub>
                </m:sSub>
                <m:sSub>
                  <m:sSubPr>
                    <m:ctrlPr>
                      <w:rPr>
                        <w:rFonts w:ascii="Cambria Math" w:hAnsi="Cambria Math"/>
                        <w:i/>
                        <w:iCs/>
                        <w:sz w:val="18"/>
                        <w:szCs w:val="18"/>
                      </w:rPr>
                    </m:ctrlPr>
                  </m:sSubPr>
                  <m:e>
                    <m:r>
                      <w:rPr>
                        <w:rFonts w:ascii="Cambria Math" w:hAnsi="Cambria Math"/>
                        <w:sz w:val="18"/>
                        <w:szCs w:val="18"/>
                      </w:rPr>
                      <m:t>z</m:t>
                    </m:r>
                  </m:e>
                  <m:sub>
                    <m:r>
                      <w:rPr>
                        <w:rFonts w:ascii="Cambria Math" w:hAnsi="Cambria Math"/>
                        <w:sz w:val="18"/>
                        <w:szCs w:val="18"/>
                      </w:rPr>
                      <m:t>i</m:t>
                    </m:r>
                  </m:sub>
                </m:sSub>
              </m:oMath>
            </m:oMathPara>
          </w:p>
        </w:tc>
        <w:tc>
          <w:tcPr>
            <w:tcW w:w="588" w:type="pct"/>
            <w:tcBorders>
              <w:tl2br w:val="nil"/>
              <w:tr2bl w:val="nil"/>
            </w:tcBorders>
            <w:shd w:val="clear" w:color="auto" w:fill="auto"/>
            <w:noWrap/>
            <w:vAlign w:val="center"/>
          </w:tcPr>
          <w:p w14:paraId="24242266"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0.080</w:t>
            </w:r>
            <w:r>
              <w:rPr>
                <w:rFonts w:ascii="Times New Roman" w:hAnsi="Times New Roman"/>
                <w:iCs/>
                <w:kern w:val="0"/>
                <w:sz w:val="18"/>
                <w:szCs w:val="18"/>
              </w:rPr>
              <w:t>***</w:t>
            </w:r>
          </w:p>
          <w:p w14:paraId="19487182"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w:t>
            </w:r>
            <w:r>
              <w:rPr>
                <w:rFonts w:ascii="Times New Roman" w:hAnsi="Times New Roman"/>
                <w:kern w:val="0"/>
                <w:sz w:val="18"/>
                <w:szCs w:val="18"/>
              </w:rPr>
              <w:t>0.024</w:t>
            </w:r>
            <w:r>
              <w:rPr>
                <w:rFonts w:ascii="Times New Roman" w:hAnsi="Times New Roman" w:hint="eastAsia"/>
                <w:kern w:val="0"/>
                <w:sz w:val="18"/>
                <w:szCs w:val="18"/>
              </w:rPr>
              <w:t>）</w:t>
            </w:r>
          </w:p>
        </w:tc>
        <w:tc>
          <w:tcPr>
            <w:tcW w:w="588" w:type="pct"/>
            <w:tcBorders>
              <w:tl2br w:val="nil"/>
              <w:tr2bl w:val="nil"/>
            </w:tcBorders>
            <w:shd w:val="clear" w:color="auto" w:fill="auto"/>
            <w:noWrap/>
            <w:vAlign w:val="center"/>
          </w:tcPr>
          <w:p w14:paraId="0B374286"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0.070</w:t>
            </w:r>
            <w:r>
              <w:rPr>
                <w:rFonts w:ascii="Times New Roman" w:hAnsi="Times New Roman"/>
                <w:iCs/>
                <w:kern w:val="0"/>
                <w:sz w:val="18"/>
                <w:szCs w:val="18"/>
              </w:rPr>
              <w:t>***</w:t>
            </w:r>
          </w:p>
          <w:p w14:paraId="61FFCE4B"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w:t>
            </w:r>
            <w:r>
              <w:rPr>
                <w:rFonts w:ascii="Times New Roman" w:hAnsi="Times New Roman"/>
                <w:kern w:val="0"/>
                <w:sz w:val="18"/>
                <w:szCs w:val="18"/>
              </w:rPr>
              <w:t>0.022</w:t>
            </w:r>
            <w:r>
              <w:rPr>
                <w:rFonts w:ascii="Times New Roman" w:hAnsi="Times New Roman" w:hint="eastAsia"/>
                <w:kern w:val="0"/>
                <w:sz w:val="18"/>
                <w:szCs w:val="18"/>
              </w:rPr>
              <w:t>）</w:t>
            </w:r>
          </w:p>
        </w:tc>
        <w:tc>
          <w:tcPr>
            <w:tcW w:w="605" w:type="pct"/>
            <w:tcBorders>
              <w:tl2br w:val="nil"/>
              <w:tr2bl w:val="nil"/>
            </w:tcBorders>
            <w:shd w:val="clear" w:color="auto" w:fill="auto"/>
            <w:noWrap/>
            <w:vAlign w:val="center"/>
          </w:tcPr>
          <w:p w14:paraId="2D99F541"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0.076</w:t>
            </w:r>
            <w:r>
              <w:rPr>
                <w:rFonts w:ascii="Times New Roman" w:hAnsi="Times New Roman"/>
                <w:iCs/>
                <w:kern w:val="0"/>
                <w:sz w:val="18"/>
                <w:szCs w:val="18"/>
              </w:rPr>
              <w:t>***</w:t>
            </w:r>
          </w:p>
          <w:p w14:paraId="06628892"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w:t>
            </w:r>
            <w:r>
              <w:rPr>
                <w:rFonts w:ascii="Times New Roman" w:hAnsi="Times New Roman"/>
                <w:kern w:val="0"/>
                <w:sz w:val="18"/>
                <w:szCs w:val="18"/>
              </w:rPr>
              <w:t>0.022</w:t>
            </w:r>
            <w:r>
              <w:rPr>
                <w:rFonts w:ascii="Times New Roman" w:hAnsi="Times New Roman" w:hint="eastAsia"/>
                <w:kern w:val="0"/>
                <w:sz w:val="18"/>
                <w:szCs w:val="18"/>
              </w:rPr>
              <w:t>）</w:t>
            </w:r>
          </w:p>
        </w:tc>
        <w:tc>
          <w:tcPr>
            <w:tcW w:w="594" w:type="pct"/>
            <w:tcBorders>
              <w:tl2br w:val="nil"/>
              <w:tr2bl w:val="nil"/>
            </w:tcBorders>
            <w:shd w:val="clear" w:color="auto" w:fill="auto"/>
            <w:noWrap/>
            <w:vAlign w:val="center"/>
          </w:tcPr>
          <w:p w14:paraId="0D1E073C"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0.081</w:t>
            </w:r>
            <w:r>
              <w:rPr>
                <w:rFonts w:ascii="Times New Roman" w:hAnsi="Times New Roman"/>
                <w:iCs/>
                <w:kern w:val="0"/>
                <w:sz w:val="18"/>
                <w:szCs w:val="18"/>
              </w:rPr>
              <w:t>***</w:t>
            </w:r>
          </w:p>
          <w:p w14:paraId="54083321"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w:t>
            </w:r>
            <w:r>
              <w:rPr>
                <w:rFonts w:ascii="Times New Roman" w:hAnsi="Times New Roman"/>
                <w:kern w:val="0"/>
                <w:sz w:val="18"/>
                <w:szCs w:val="18"/>
              </w:rPr>
              <w:t>0.023</w:t>
            </w:r>
            <w:r>
              <w:rPr>
                <w:rFonts w:ascii="Times New Roman" w:hAnsi="Times New Roman" w:hint="eastAsia"/>
                <w:kern w:val="0"/>
                <w:sz w:val="18"/>
                <w:szCs w:val="18"/>
              </w:rPr>
              <w:t>）</w:t>
            </w:r>
          </w:p>
        </w:tc>
        <w:tc>
          <w:tcPr>
            <w:tcW w:w="594" w:type="pct"/>
            <w:tcBorders>
              <w:tl2br w:val="nil"/>
              <w:tr2bl w:val="nil"/>
            </w:tcBorders>
            <w:shd w:val="clear" w:color="auto" w:fill="auto"/>
            <w:noWrap/>
            <w:vAlign w:val="center"/>
          </w:tcPr>
          <w:p w14:paraId="599E6AE1"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0.074</w:t>
            </w:r>
            <w:r>
              <w:rPr>
                <w:rFonts w:ascii="Times New Roman" w:hAnsi="Times New Roman"/>
                <w:iCs/>
                <w:kern w:val="0"/>
                <w:sz w:val="18"/>
                <w:szCs w:val="18"/>
              </w:rPr>
              <w:t>***</w:t>
            </w:r>
          </w:p>
          <w:p w14:paraId="2D77172D"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w:t>
            </w:r>
            <w:r>
              <w:rPr>
                <w:rFonts w:ascii="Times New Roman" w:hAnsi="Times New Roman"/>
                <w:kern w:val="0"/>
                <w:sz w:val="18"/>
                <w:szCs w:val="18"/>
              </w:rPr>
              <w:t>0.021</w:t>
            </w:r>
            <w:r>
              <w:rPr>
                <w:rFonts w:ascii="Times New Roman" w:hAnsi="Times New Roman" w:hint="eastAsia"/>
                <w:kern w:val="0"/>
                <w:sz w:val="18"/>
                <w:szCs w:val="18"/>
              </w:rPr>
              <w:t>）</w:t>
            </w:r>
          </w:p>
        </w:tc>
        <w:tc>
          <w:tcPr>
            <w:tcW w:w="604" w:type="pct"/>
            <w:tcBorders>
              <w:tl2br w:val="nil"/>
              <w:tr2bl w:val="nil"/>
            </w:tcBorders>
            <w:shd w:val="clear" w:color="auto" w:fill="auto"/>
            <w:noWrap/>
            <w:vAlign w:val="center"/>
          </w:tcPr>
          <w:p w14:paraId="4CC0E03B"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0.076</w:t>
            </w:r>
            <w:r>
              <w:rPr>
                <w:rFonts w:ascii="Times New Roman" w:hAnsi="Times New Roman"/>
                <w:iCs/>
                <w:kern w:val="0"/>
                <w:sz w:val="18"/>
                <w:szCs w:val="18"/>
              </w:rPr>
              <w:t>***</w:t>
            </w:r>
          </w:p>
          <w:p w14:paraId="1E670AD5"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w:t>
            </w:r>
            <w:r>
              <w:rPr>
                <w:rFonts w:ascii="Times New Roman" w:hAnsi="Times New Roman"/>
                <w:kern w:val="0"/>
                <w:sz w:val="18"/>
                <w:szCs w:val="18"/>
              </w:rPr>
              <w:t>0.020</w:t>
            </w:r>
            <w:r>
              <w:rPr>
                <w:rFonts w:ascii="Times New Roman" w:hAnsi="Times New Roman" w:hint="eastAsia"/>
                <w:kern w:val="0"/>
                <w:sz w:val="18"/>
                <w:szCs w:val="18"/>
              </w:rPr>
              <w:t>）</w:t>
            </w:r>
          </w:p>
        </w:tc>
      </w:tr>
      <w:tr w:rsidR="00501C7E" w14:paraId="74A587DD" w14:textId="77777777">
        <w:trPr>
          <w:trHeight w:val="604"/>
          <w:jc w:val="center"/>
        </w:trPr>
        <w:tc>
          <w:tcPr>
            <w:tcW w:w="1423" w:type="pct"/>
            <w:tcBorders>
              <w:tl2br w:val="nil"/>
              <w:tr2bl w:val="nil"/>
            </w:tcBorders>
            <w:shd w:val="clear" w:color="auto" w:fill="auto"/>
            <w:noWrap/>
            <w:vAlign w:val="center"/>
          </w:tcPr>
          <w:p w14:paraId="0214383E" w14:textId="77777777" w:rsidR="00501C7E" w:rsidRDefault="00EC5712">
            <w:pPr>
              <w:jc w:val="center"/>
              <w:rPr>
                <w:rFonts w:ascii="Times New Roman" w:hAnsi="Times New Roman"/>
                <w:sz w:val="18"/>
                <w:szCs w:val="18"/>
              </w:rPr>
            </w:pPr>
            <m:oMathPara>
              <m:oMath>
                <m:r>
                  <w:rPr>
                    <w:rFonts w:ascii="Cambria Math" w:hAnsi="Cambria Math"/>
                    <w:sz w:val="18"/>
                    <w:szCs w:val="18"/>
                  </w:rPr>
                  <m:t>M</m:t>
                </m:r>
              </m:oMath>
            </m:oMathPara>
          </w:p>
        </w:tc>
        <w:tc>
          <w:tcPr>
            <w:tcW w:w="588" w:type="pct"/>
            <w:tcBorders>
              <w:tl2br w:val="nil"/>
              <w:tr2bl w:val="nil"/>
            </w:tcBorders>
            <w:shd w:val="clear" w:color="auto" w:fill="auto"/>
            <w:noWrap/>
            <w:vAlign w:val="center"/>
          </w:tcPr>
          <w:p w14:paraId="5CBE509A"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-10.644</w:t>
            </w:r>
          </w:p>
          <w:p w14:paraId="0C2718FD"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w:t>
            </w:r>
            <w:r>
              <w:rPr>
                <w:rFonts w:ascii="Times New Roman" w:hAnsi="Times New Roman"/>
                <w:kern w:val="0"/>
                <w:sz w:val="18"/>
                <w:szCs w:val="18"/>
              </w:rPr>
              <w:t>7.770</w:t>
            </w:r>
            <w:r>
              <w:rPr>
                <w:rFonts w:ascii="Times New Roman" w:hAnsi="Times New Roman" w:hint="eastAsia"/>
                <w:kern w:val="0"/>
                <w:sz w:val="18"/>
                <w:szCs w:val="18"/>
              </w:rPr>
              <w:t>）</w:t>
            </w:r>
          </w:p>
        </w:tc>
        <w:tc>
          <w:tcPr>
            <w:tcW w:w="588" w:type="pct"/>
            <w:tcBorders>
              <w:tl2br w:val="nil"/>
              <w:tr2bl w:val="nil"/>
            </w:tcBorders>
            <w:shd w:val="clear" w:color="auto" w:fill="auto"/>
            <w:noWrap/>
            <w:vAlign w:val="center"/>
          </w:tcPr>
          <w:p w14:paraId="52F661C0"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-9.803</w:t>
            </w:r>
          </w:p>
          <w:p w14:paraId="5110D34C"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w:t>
            </w:r>
            <w:r>
              <w:rPr>
                <w:rFonts w:ascii="Times New Roman" w:hAnsi="Times New Roman"/>
                <w:kern w:val="0"/>
                <w:sz w:val="18"/>
                <w:szCs w:val="18"/>
              </w:rPr>
              <w:t>7.804</w:t>
            </w:r>
            <w:r>
              <w:rPr>
                <w:rFonts w:ascii="Times New Roman" w:hAnsi="Times New Roman" w:hint="eastAsia"/>
                <w:kern w:val="0"/>
                <w:sz w:val="18"/>
                <w:szCs w:val="18"/>
              </w:rPr>
              <w:t>）</w:t>
            </w:r>
          </w:p>
        </w:tc>
        <w:tc>
          <w:tcPr>
            <w:tcW w:w="605" w:type="pct"/>
            <w:tcBorders>
              <w:tl2br w:val="nil"/>
              <w:tr2bl w:val="nil"/>
            </w:tcBorders>
            <w:shd w:val="clear" w:color="auto" w:fill="auto"/>
            <w:noWrap/>
            <w:vAlign w:val="center"/>
          </w:tcPr>
          <w:p w14:paraId="0D86EE91"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-9.578</w:t>
            </w:r>
          </w:p>
          <w:p w14:paraId="0C7AEFFE"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w:t>
            </w:r>
            <w:r>
              <w:rPr>
                <w:rFonts w:ascii="Times New Roman" w:hAnsi="Times New Roman"/>
                <w:kern w:val="0"/>
                <w:sz w:val="18"/>
                <w:szCs w:val="18"/>
              </w:rPr>
              <w:t>7.691</w:t>
            </w:r>
            <w:r>
              <w:rPr>
                <w:rFonts w:ascii="Times New Roman" w:hAnsi="Times New Roman" w:hint="eastAsia"/>
                <w:kern w:val="0"/>
                <w:sz w:val="18"/>
                <w:szCs w:val="18"/>
              </w:rPr>
              <w:t>）</w:t>
            </w:r>
          </w:p>
        </w:tc>
        <w:tc>
          <w:tcPr>
            <w:tcW w:w="594" w:type="pct"/>
            <w:tcBorders>
              <w:tl2br w:val="nil"/>
              <w:tr2bl w:val="nil"/>
            </w:tcBorders>
            <w:shd w:val="clear" w:color="auto" w:fill="auto"/>
            <w:noWrap/>
            <w:vAlign w:val="center"/>
          </w:tcPr>
          <w:p w14:paraId="6355A968"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-16.695</w:t>
            </w:r>
            <w:r>
              <w:rPr>
                <w:rFonts w:ascii="Times New Roman" w:hAnsi="Times New Roman"/>
                <w:iCs/>
                <w:kern w:val="0"/>
                <w:sz w:val="18"/>
                <w:szCs w:val="18"/>
              </w:rPr>
              <w:t>**</w:t>
            </w:r>
          </w:p>
          <w:p w14:paraId="6850D538"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w:t>
            </w:r>
            <w:r>
              <w:rPr>
                <w:rFonts w:ascii="Times New Roman" w:hAnsi="Times New Roman"/>
                <w:kern w:val="0"/>
                <w:sz w:val="18"/>
                <w:szCs w:val="18"/>
              </w:rPr>
              <w:t>7.218</w:t>
            </w:r>
            <w:r>
              <w:rPr>
                <w:rFonts w:ascii="Times New Roman" w:hAnsi="Times New Roman" w:hint="eastAsia"/>
                <w:kern w:val="0"/>
                <w:sz w:val="18"/>
                <w:szCs w:val="18"/>
              </w:rPr>
              <w:t>）</w:t>
            </w:r>
          </w:p>
        </w:tc>
        <w:tc>
          <w:tcPr>
            <w:tcW w:w="594" w:type="pct"/>
            <w:tcBorders>
              <w:tl2br w:val="nil"/>
              <w:tr2bl w:val="nil"/>
            </w:tcBorders>
            <w:shd w:val="clear" w:color="auto" w:fill="auto"/>
            <w:noWrap/>
            <w:vAlign w:val="center"/>
          </w:tcPr>
          <w:p w14:paraId="0010A867"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-15.827</w:t>
            </w:r>
            <w:r>
              <w:rPr>
                <w:rFonts w:ascii="Times New Roman" w:hAnsi="Times New Roman"/>
                <w:iCs/>
                <w:kern w:val="0"/>
                <w:sz w:val="18"/>
                <w:szCs w:val="18"/>
              </w:rPr>
              <w:t>**</w:t>
            </w:r>
          </w:p>
          <w:p w14:paraId="1A192FD7"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w:t>
            </w:r>
            <w:r>
              <w:rPr>
                <w:rFonts w:ascii="Times New Roman" w:hAnsi="Times New Roman"/>
                <w:kern w:val="0"/>
                <w:sz w:val="18"/>
                <w:szCs w:val="18"/>
              </w:rPr>
              <w:t>7.216</w:t>
            </w:r>
            <w:r>
              <w:rPr>
                <w:rFonts w:ascii="Times New Roman" w:hAnsi="Times New Roman" w:hint="eastAsia"/>
                <w:kern w:val="0"/>
                <w:sz w:val="18"/>
                <w:szCs w:val="18"/>
              </w:rPr>
              <w:t>）</w:t>
            </w:r>
          </w:p>
        </w:tc>
        <w:tc>
          <w:tcPr>
            <w:tcW w:w="604" w:type="pct"/>
            <w:tcBorders>
              <w:tl2br w:val="nil"/>
              <w:tr2bl w:val="nil"/>
            </w:tcBorders>
            <w:shd w:val="clear" w:color="auto" w:fill="auto"/>
            <w:vAlign w:val="center"/>
          </w:tcPr>
          <w:p w14:paraId="534D1C54"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-7.075</w:t>
            </w:r>
            <w:r>
              <w:rPr>
                <w:rFonts w:ascii="Times New Roman" w:hAnsi="Times New Roman"/>
                <w:iCs/>
                <w:kern w:val="0"/>
                <w:sz w:val="18"/>
                <w:szCs w:val="18"/>
              </w:rPr>
              <w:t>**</w:t>
            </w:r>
          </w:p>
          <w:p w14:paraId="5044A61D" w14:textId="77777777" w:rsidR="00501C7E" w:rsidRDefault="00EC5712">
            <w:pPr>
              <w:widowControl/>
              <w:jc w:val="center"/>
              <w:textAlignment w:val="bottom"/>
              <w:rPr>
                <w:rFonts w:ascii="Times New Roman" w:hAnsi="Times New Roman"/>
                <w:sz w:val="18"/>
                <w:szCs w:val="18"/>
              </w:rPr>
            </w:pPr>
            <w:r>
              <w:rPr>
                <w:rFonts w:ascii="Times New Roman" w:hAnsi="Times New Roman" w:hint="eastAsia"/>
                <w:kern w:val="0"/>
                <w:sz w:val="18"/>
                <w:szCs w:val="18"/>
              </w:rPr>
              <w:t>（</w:t>
            </w:r>
            <w:r>
              <w:rPr>
                <w:rFonts w:ascii="Times New Roman" w:hAnsi="Times New Roman"/>
                <w:kern w:val="0"/>
                <w:sz w:val="18"/>
                <w:szCs w:val="18"/>
              </w:rPr>
              <w:t>-15.622</w:t>
            </w:r>
            <w:r>
              <w:rPr>
                <w:rFonts w:ascii="Times New Roman" w:hAnsi="Times New Roman" w:hint="eastAsia"/>
                <w:kern w:val="0"/>
                <w:sz w:val="18"/>
                <w:szCs w:val="18"/>
              </w:rPr>
              <w:t>）</w:t>
            </w:r>
          </w:p>
        </w:tc>
      </w:tr>
      <w:tr w:rsidR="00501C7E" w14:paraId="68B5C153" w14:textId="77777777">
        <w:trPr>
          <w:trHeight w:val="300"/>
          <w:jc w:val="center"/>
        </w:trPr>
        <w:tc>
          <w:tcPr>
            <w:tcW w:w="1423" w:type="pct"/>
            <w:tcBorders>
              <w:tl2br w:val="nil"/>
              <w:tr2bl w:val="nil"/>
            </w:tcBorders>
            <w:shd w:val="clear" w:color="auto" w:fill="auto"/>
            <w:noWrap/>
            <w:vAlign w:val="center"/>
          </w:tcPr>
          <w:p w14:paraId="0D5A279E" w14:textId="77777777" w:rsidR="00501C7E" w:rsidRDefault="00EC5712">
            <w:pPr>
              <w:jc w:val="center"/>
              <w:rPr>
                <w:rFonts w:ascii="Times New Roman" w:hAnsi="Times New Roman"/>
                <w:sz w:val="18"/>
                <w:szCs w:val="18"/>
              </w:rPr>
            </w:pPr>
            <m:oMathPara>
              <m:oMath>
                <m:r>
                  <w:rPr>
                    <w:rFonts w:ascii="Cambria Math" w:hAnsi="Cambria Math"/>
                    <w:sz w:val="18"/>
                    <w:szCs w:val="18"/>
                  </w:rPr>
                  <m:t>γ+δ</m:t>
                </m:r>
              </m:oMath>
            </m:oMathPara>
          </w:p>
        </w:tc>
        <w:tc>
          <w:tcPr>
            <w:tcW w:w="588" w:type="pct"/>
            <w:tcBorders>
              <w:tl2br w:val="nil"/>
              <w:tr2bl w:val="nil"/>
            </w:tcBorders>
            <w:shd w:val="clear" w:color="auto" w:fill="auto"/>
            <w:noWrap/>
            <w:vAlign w:val="center"/>
          </w:tcPr>
          <w:p w14:paraId="56AE957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0.042</w:t>
            </w:r>
          </w:p>
        </w:tc>
        <w:tc>
          <w:tcPr>
            <w:tcW w:w="588" w:type="pct"/>
            <w:tcBorders>
              <w:tl2br w:val="nil"/>
              <w:tr2bl w:val="nil"/>
            </w:tcBorders>
            <w:shd w:val="clear" w:color="auto" w:fill="auto"/>
            <w:noWrap/>
            <w:vAlign w:val="center"/>
          </w:tcPr>
          <w:p w14:paraId="02A8D17F"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0.031</w:t>
            </w:r>
          </w:p>
        </w:tc>
        <w:tc>
          <w:tcPr>
            <w:tcW w:w="605" w:type="pct"/>
            <w:tcBorders>
              <w:tl2br w:val="nil"/>
              <w:tr2bl w:val="nil"/>
            </w:tcBorders>
            <w:shd w:val="clear" w:color="auto" w:fill="auto"/>
            <w:noWrap/>
            <w:vAlign w:val="center"/>
          </w:tcPr>
          <w:p w14:paraId="2179B1C2"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0.036</w:t>
            </w:r>
          </w:p>
        </w:tc>
        <w:tc>
          <w:tcPr>
            <w:tcW w:w="594" w:type="pct"/>
            <w:tcBorders>
              <w:tl2br w:val="nil"/>
              <w:tr2bl w:val="nil"/>
            </w:tcBorders>
            <w:shd w:val="clear" w:color="auto" w:fill="auto"/>
            <w:noWrap/>
            <w:vAlign w:val="center"/>
          </w:tcPr>
          <w:p w14:paraId="54A510EE"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0.046</w:t>
            </w:r>
          </w:p>
        </w:tc>
        <w:tc>
          <w:tcPr>
            <w:tcW w:w="594" w:type="pct"/>
            <w:tcBorders>
              <w:tl2br w:val="nil"/>
              <w:tr2bl w:val="nil"/>
            </w:tcBorders>
            <w:shd w:val="clear" w:color="auto" w:fill="auto"/>
            <w:noWrap/>
            <w:vAlign w:val="center"/>
          </w:tcPr>
          <w:p w14:paraId="5B8766CE"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0.037</w:t>
            </w:r>
          </w:p>
        </w:tc>
        <w:tc>
          <w:tcPr>
            <w:tcW w:w="604" w:type="pct"/>
            <w:tcBorders>
              <w:tl2br w:val="nil"/>
              <w:tr2bl w:val="nil"/>
            </w:tcBorders>
            <w:shd w:val="clear" w:color="auto" w:fill="auto"/>
            <w:noWrap/>
            <w:vAlign w:val="center"/>
          </w:tcPr>
          <w:p w14:paraId="747FDFB3"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7.171</w:t>
            </w:r>
          </w:p>
        </w:tc>
      </w:tr>
      <w:tr w:rsidR="00501C7E" w14:paraId="35B33FD4" w14:textId="77777777">
        <w:trPr>
          <w:trHeight w:val="300"/>
          <w:jc w:val="center"/>
        </w:trPr>
        <w:tc>
          <w:tcPr>
            <w:tcW w:w="1423" w:type="pct"/>
            <w:tcBorders>
              <w:tl2br w:val="nil"/>
              <w:tr2bl w:val="nil"/>
            </w:tcBorders>
            <w:shd w:val="clear" w:color="auto" w:fill="auto"/>
            <w:noWrap/>
            <w:vAlign w:val="center"/>
          </w:tcPr>
          <w:p w14:paraId="1FC66B31" w14:textId="77777777" w:rsidR="00501C7E" w:rsidRDefault="00000000">
            <w:pPr>
              <w:jc w:val="center"/>
              <w:rPr>
                <w:rFonts w:ascii="Times New Roman" w:hAnsi="Times New Roman"/>
                <w:sz w:val="18"/>
                <w:szCs w:val="18"/>
              </w:rPr>
            </w:pPr>
            <m:oMathPara>
              <m:oMath>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L</m:t>
                    </m:r>
                  </m:sub>
                </m:sSub>
              </m:oMath>
            </m:oMathPara>
          </w:p>
        </w:tc>
        <w:tc>
          <w:tcPr>
            <w:tcW w:w="588" w:type="pct"/>
            <w:tcBorders>
              <w:tl2br w:val="nil"/>
              <w:tr2bl w:val="nil"/>
            </w:tcBorders>
            <w:shd w:val="clear" w:color="auto" w:fill="auto"/>
            <w:noWrap/>
            <w:vAlign w:val="center"/>
          </w:tcPr>
          <w:p w14:paraId="1A0AE8B5"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47.3%</w:t>
            </w:r>
          </w:p>
        </w:tc>
        <w:tc>
          <w:tcPr>
            <w:tcW w:w="588" w:type="pct"/>
            <w:tcBorders>
              <w:tl2br w:val="nil"/>
              <w:tr2bl w:val="nil"/>
            </w:tcBorders>
            <w:shd w:val="clear" w:color="auto" w:fill="auto"/>
            <w:noWrap/>
            <w:vAlign w:val="center"/>
          </w:tcPr>
          <w:p w14:paraId="2F8E1A2F"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56.1%</w:t>
            </w:r>
          </w:p>
        </w:tc>
        <w:tc>
          <w:tcPr>
            <w:tcW w:w="605" w:type="pct"/>
            <w:tcBorders>
              <w:tl2br w:val="nil"/>
              <w:tr2bl w:val="nil"/>
            </w:tcBorders>
            <w:shd w:val="clear" w:color="auto" w:fill="auto"/>
            <w:noWrap/>
            <w:vAlign w:val="center"/>
          </w:tcPr>
          <w:p w14:paraId="798F39EA"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53.2%</w:t>
            </w:r>
          </w:p>
        </w:tc>
        <w:tc>
          <w:tcPr>
            <w:tcW w:w="594" w:type="pct"/>
            <w:tcBorders>
              <w:tl2br w:val="nil"/>
              <w:tr2bl w:val="nil"/>
            </w:tcBorders>
            <w:shd w:val="clear" w:color="auto" w:fill="auto"/>
            <w:noWrap/>
            <w:vAlign w:val="center"/>
          </w:tcPr>
          <w:p w14:paraId="06ADB2BC"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43.8%</w:t>
            </w:r>
          </w:p>
        </w:tc>
        <w:tc>
          <w:tcPr>
            <w:tcW w:w="594" w:type="pct"/>
            <w:tcBorders>
              <w:tl2br w:val="nil"/>
              <w:tr2bl w:val="nil"/>
            </w:tcBorders>
            <w:shd w:val="clear" w:color="auto" w:fill="auto"/>
            <w:noWrap/>
            <w:vAlign w:val="center"/>
          </w:tcPr>
          <w:p w14:paraId="50AE78FD"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50.7%</w:t>
            </w:r>
          </w:p>
        </w:tc>
        <w:tc>
          <w:tcPr>
            <w:tcW w:w="604" w:type="pct"/>
            <w:tcBorders>
              <w:tl2br w:val="nil"/>
              <w:tr2bl w:val="nil"/>
            </w:tcBorders>
            <w:shd w:val="clear" w:color="auto" w:fill="auto"/>
            <w:noWrap/>
            <w:vAlign w:val="center"/>
          </w:tcPr>
          <w:p w14:paraId="50645F92"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50.7%</w:t>
            </w:r>
          </w:p>
        </w:tc>
      </w:tr>
      <w:tr w:rsidR="00501C7E" w14:paraId="2BA2DDD3" w14:textId="77777777">
        <w:trPr>
          <w:trHeight w:val="300"/>
          <w:jc w:val="center"/>
        </w:trPr>
        <w:tc>
          <w:tcPr>
            <w:tcW w:w="1423" w:type="pct"/>
            <w:tcBorders>
              <w:tl2br w:val="nil"/>
              <w:tr2bl w:val="nil"/>
            </w:tcBorders>
            <w:shd w:val="clear" w:color="auto" w:fill="auto"/>
            <w:noWrap/>
            <w:vAlign w:val="center"/>
          </w:tcPr>
          <w:p w14:paraId="38A46F0C" w14:textId="77777777" w:rsidR="00501C7E" w:rsidRDefault="00EC5712">
            <w:pPr>
              <w:jc w:val="center"/>
              <w:rPr>
                <w:rFonts w:ascii="Times New Roman" w:hAnsi="Times New Roman"/>
                <w:sz w:val="18"/>
                <w:szCs w:val="18"/>
              </w:rPr>
            </w:pPr>
            <m:oMathPara>
              <m:oMath>
                <m:r>
                  <w:rPr>
                    <w:rFonts w:ascii="Cambria Math" w:hAnsi="Cambria Math"/>
                    <w:sz w:val="18"/>
                    <w:szCs w:val="18"/>
                  </w:rPr>
                  <m:t>a</m:t>
                </m:r>
              </m:oMath>
            </m:oMathPara>
          </w:p>
        </w:tc>
        <w:tc>
          <w:tcPr>
            <w:tcW w:w="588" w:type="pct"/>
            <w:tcBorders>
              <w:tl2br w:val="nil"/>
              <w:tr2bl w:val="nil"/>
            </w:tcBorders>
            <w:shd w:val="clear" w:color="auto" w:fill="auto"/>
            <w:noWrap/>
            <w:vAlign w:val="center"/>
          </w:tcPr>
          <w:p w14:paraId="174500B2"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12.105</w:t>
            </w:r>
          </w:p>
        </w:tc>
        <w:tc>
          <w:tcPr>
            <w:tcW w:w="588" w:type="pct"/>
            <w:tcBorders>
              <w:tl2br w:val="nil"/>
              <w:tr2bl w:val="nil"/>
            </w:tcBorders>
            <w:shd w:val="clear" w:color="auto" w:fill="auto"/>
            <w:noWrap/>
            <w:vAlign w:val="center"/>
          </w:tcPr>
          <w:p w14:paraId="4D385E44"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13.654</w:t>
            </w:r>
          </w:p>
        </w:tc>
        <w:tc>
          <w:tcPr>
            <w:tcW w:w="605" w:type="pct"/>
            <w:tcBorders>
              <w:tl2br w:val="nil"/>
              <w:tr2bl w:val="nil"/>
            </w:tcBorders>
            <w:shd w:val="clear" w:color="auto" w:fill="auto"/>
            <w:noWrap/>
            <w:vAlign w:val="center"/>
          </w:tcPr>
          <w:p w14:paraId="068539FD"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12.544</w:t>
            </w:r>
          </w:p>
        </w:tc>
        <w:tc>
          <w:tcPr>
            <w:tcW w:w="594" w:type="pct"/>
            <w:tcBorders>
              <w:tl2br w:val="nil"/>
              <w:tr2bl w:val="nil"/>
            </w:tcBorders>
            <w:shd w:val="clear" w:color="auto" w:fill="auto"/>
            <w:noWrap/>
            <w:vAlign w:val="center"/>
          </w:tcPr>
          <w:p w14:paraId="400E45E0"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11.898</w:t>
            </w:r>
          </w:p>
        </w:tc>
        <w:tc>
          <w:tcPr>
            <w:tcW w:w="594" w:type="pct"/>
            <w:tcBorders>
              <w:tl2br w:val="nil"/>
              <w:tr2bl w:val="nil"/>
            </w:tcBorders>
            <w:shd w:val="clear" w:color="auto" w:fill="auto"/>
            <w:noWrap/>
            <w:vAlign w:val="center"/>
          </w:tcPr>
          <w:p w14:paraId="7E9B673B"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12.954</w:t>
            </w:r>
          </w:p>
        </w:tc>
        <w:tc>
          <w:tcPr>
            <w:tcW w:w="604" w:type="pct"/>
            <w:tcBorders>
              <w:tl2br w:val="nil"/>
              <w:tr2bl w:val="nil"/>
            </w:tcBorders>
            <w:shd w:val="clear" w:color="auto" w:fill="auto"/>
            <w:noWrap/>
            <w:vAlign w:val="center"/>
          </w:tcPr>
          <w:p w14:paraId="2AD43FDD"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12.699</w:t>
            </w:r>
          </w:p>
        </w:tc>
      </w:tr>
      <w:tr w:rsidR="00501C7E" w14:paraId="46D63479" w14:textId="77777777">
        <w:trPr>
          <w:trHeight w:val="90"/>
          <w:jc w:val="center"/>
        </w:trPr>
        <w:tc>
          <w:tcPr>
            <w:tcW w:w="1423" w:type="pct"/>
            <w:tcBorders>
              <w:tl2br w:val="nil"/>
              <w:tr2bl w:val="nil"/>
            </w:tcBorders>
            <w:shd w:val="clear" w:color="auto" w:fill="auto"/>
            <w:noWrap/>
            <w:vAlign w:val="center"/>
          </w:tcPr>
          <w:p w14:paraId="2224A7A5" w14:textId="77777777" w:rsidR="00501C7E" w:rsidRDefault="00EC5712">
            <w:pPr>
              <w:jc w:val="center"/>
              <w:rPr>
                <w:rFonts w:ascii="Cambria Math" w:hAnsi="Cambria Math"/>
                <w:sz w:val="18"/>
                <w:szCs w:val="18"/>
                <w:oMath/>
              </w:rPr>
            </w:pPr>
            <w:r>
              <w:rPr>
                <w:rFonts w:ascii="Times New Roman" w:hAnsi="Times New Roman"/>
                <w:iCs/>
                <w:sz w:val="18"/>
                <w:szCs w:val="18"/>
              </w:rPr>
              <w:t>观测值</w:t>
            </w:r>
          </w:p>
        </w:tc>
        <w:tc>
          <w:tcPr>
            <w:tcW w:w="588" w:type="pct"/>
            <w:tcBorders>
              <w:tl2br w:val="nil"/>
              <w:tr2bl w:val="nil"/>
            </w:tcBorders>
            <w:shd w:val="clear" w:color="auto" w:fill="auto"/>
            <w:noWrap/>
            <w:vAlign w:val="center"/>
          </w:tcPr>
          <w:p w14:paraId="73401D0F" w14:textId="77777777" w:rsidR="00501C7E" w:rsidRDefault="00EC5712">
            <w:pPr>
              <w:widowControl/>
              <w:jc w:val="center"/>
              <w:textAlignment w:val="bottom"/>
              <w:rPr>
                <w:rFonts w:ascii="Times New Roman" w:hAnsi="Times New Roman"/>
                <w:iCs/>
                <w:kern w:val="0"/>
                <w:sz w:val="18"/>
                <w:szCs w:val="18"/>
              </w:rPr>
            </w:pPr>
            <w:r>
              <w:rPr>
                <w:rFonts w:ascii="Times New Roman" w:hAnsi="Times New Roman"/>
                <w:iCs/>
                <w:kern w:val="0"/>
                <w:sz w:val="18"/>
                <w:szCs w:val="18"/>
              </w:rPr>
              <w:t>80</w:t>
            </w:r>
          </w:p>
        </w:tc>
        <w:tc>
          <w:tcPr>
            <w:tcW w:w="588" w:type="pct"/>
            <w:tcBorders>
              <w:tl2br w:val="nil"/>
              <w:tr2bl w:val="nil"/>
            </w:tcBorders>
            <w:shd w:val="clear" w:color="auto" w:fill="auto"/>
            <w:noWrap/>
            <w:vAlign w:val="center"/>
          </w:tcPr>
          <w:p w14:paraId="7DA7CA85" w14:textId="77777777" w:rsidR="00501C7E" w:rsidRDefault="00EC5712">
            <w:pPr>
              <w:widowControl/>
              <w:jc w:val="center"/>
              <w:textAlignment w:val="bottom"/>
              <w:rPr>
                <w:rFonts w:ascii="Times New Roman" w:hAnsi="Times New Roman"/>
                <w:iCs/>
                <w:kern w:val="0"/>
                <w:sz w:val="18"/>
                <w:szCs w:val="18"/>
              </w:rPr>
            </w:pPr>
            <w:r>
              <w:rPr>
                <w:rFonts w:ascii="Times New Roman" w:hAnsi="Times New Roman"/>
                <w:iCs/>
                <w:kern w:val="0"/>
                <w:sz w:val="18"/>
                <w:szCs w:val="18"/>
              </w:rPr>
              <w:t>80</w:t>
            </w:r>
          </w:p>
        </w:tc>
        <w:tc>
          <w:tcPr>
            <w:tcW w:w="605" w:type="pct"/>
            <w:tcBorders>
              <w:tl2br w:val="nil"/>
              <w:tr2bl w:val="nil"/>
            </w:tcBorders>
            <w:shd w:val="clear" w:color="auto" w:fill="auto"/>
            <w:noWrap/>
            <w:vAlign w:val="center"/>
          </w:tcPr>
          <w:p w14:paraId="29115D1C" w14:textId="77777777" w:rsidR="00501C7E" w:rsidRDefault="00EC5712">
            <w:pPr>
              <w:widowControl/>
              <w:jc w:val="center"/>
              <w:textAlignment w:val="bottom"/>
              <w:rPr>
                <w:rFonts w:ascii="Times New Roman" w:hAnsi="Times New Roman"/>
                <w:iCs/>
                <w:kern w:val="0"/>
                <w:sz w:val="18"/>
                <w:szCs w:val="18"/>
              </w:rPr>
            </w:pPr>
            <w:r>
              <w:rPr>
                <w:rFonts w:ascii="Times New Roman" w:hAnsi="Times New Roman"/>
                <w:iCs/>
                <w:kern w:val="0"/>
                <w:sz w:val="18"/>
                <w:szCs w:val="18"/>
              </w:rPr>
              <w:t>80</w:t>
            </w:r>
          </w:p>
        </w:tc>
        <w:tc>
          <w:tcPr>
            <w:tcW w:w="594" w:type="pct"/>
            <w:tcBorders>
              <w:tl2br w:val="nil"/>
              <w:tr2bl w:val="nil"/>
            </w:tcBorders>
            <w:shd w:val="clear" w:color="auto" w:fill="auto"/>
            <w:noWrap/>
            <w:vAlign w:val="center"/>
          </w:tcPr>
          <w:p w14:paraId="1A2DBA57" w14:textId="77777777" w:rsidR="00501C7E" w:rsidRDefault="00EC5712">
            <w:pPr>
              <w:widowControl/>
              <w:jc w:val="center"/>
              <w:textAlignment w:val="bottom"/>
              <w:rPr>
                <w:rFonts w:ascii="Times New Roman" w:hAnsi="Times New Roman"/>
                <w:iCs/>
                <w:kern w:val="0"/>
                <w:sz w:val="18"/>
                <w:szCs w:val="18"/>
              </w:rPr>
            </w:pPr>
            <w:r>
              <w:rPr>
                <w:rFonts w:ascii="Times New Roman" w:hAnsi="Times New Roman"/>
                <w:iCs/>
                <w:kern w:val="0"/>
                <w:sz w:val="18"/>
                <w:szCs w:val="18"/>
              </w:rPr>
              <w:t>80</w:t>
            </w:r>
          </w:p>
        </w:tc>
        <w:tc>
          <w:tcPr>
            <w:tcW w:w="594" w:type="pct"/>
            <w:tcBorders>
              <w:tl2br w:val="nil"/>
              <w:tr2bl w:val="nil"/>
            </w:tcBorders>
            <w:shd w:val="clear" w:color="auto" w:fill="auto"/>
            <w:noWrap/>
            <w:vAlign w:val="center"/>
          </w:tcPr>
          <w:p w14:paraId="675253CD" w14:textId="77777777" w:rsidR="00501C7E" w:rsidRDefault="00EC5712">
            <w:pPr>
              <w:widowControl/>
              <w:jc w:val="center"/>
              <w:textAlignment w:val="bottom"/>
              <w:rPr>
                <w:rFonts w:ascii="Times New Roman" w:hAnsi="Times New Roman"/>
                <w:iCs/>
                <w:kern w:val="0"/>
                <w:sz w:val="18"/>
                <w:szCs w:val="18"/>
              </w:rPr>
            </w:pPr>
            <w:r>
              <w:rPr>
                <w:rFonts w:ascii="Times New Roman" w:hAnsi="Times New Roman"/>
                <w:iCs/>
                <w:kern w:val="0"/>
                <w:sz w:val="18"/>
                <w:szCs w:val="18"/>
              </w:rPr>
              <w:t>80</w:t>
            </w:r>
          </w:p>
        </w:tc>
        <w:tc>
          <w:tcPr>
            <w:tcW w:w="604" w:type="pct"/>
            <w:tcBorders>
              <w:tl2br w:val="nil"/>
              <w:tr2bl w:val="nil"/>
            </w:tcBorders>
            <w:shd w:val="clear" w:color="auto" w:fill="auto"/>
            <w:noWrap/>
            <w:vAlign w:val="center"/>
          </w:tcPr>
          <w:p w14:paraId="5C65C227" w14:textId="77777777" w:rsidR="00501C7E" w:rsidRDefault="00EC5712">
            <w:pPr>
              <w:widowControl/>
              <w:jc w:val="center"/>
              <w:textAlignment w:val="bottom"/>
              <w:rPr>
                <w:rFonts w:ascii="Times New Roman" w:hAnsi="Times New Roman"/>
                <w:iCs/>
                <w:kern w:val="0"/>
                <w:sz w:val="18"/>
                <w:szCs w:val="18"/>
              </w:rPr>
            </w:pPr>
            <w:r>
              <w:rPr>
                <w:rFonts w:ascii="Times New Roman" w:hAnsi="Times New Roman"/>
                <w:iCs/>
                <w:kern w:val="0"/>
                <w:sz w:val="18"/>
                <w:szCs w:val="18"/>
              </w:rPr>
              <w:t>80</w:t>
            </w:r>
          </w:p>
        </w:tc>
      </w:tr>
      <w:tr w:rsidR="00501C7E" w14:paraId="7B9190D5" w14:textId="77777777">
        <w:trPr>
          <w:trHeight w:val="300"/>
          <w:jc w:val="center"/>
        </w:trPr>
        <w:tc>
          <w:tcPr>
            <w:tcW w:w="1423" w:type="pct"/>
            <w:tcBorders>
              <w:tl2br w:val="nil"/>
              <w:tr2bl w:val="nil"/>
            </w:tcBorders>
            <w:shd w:val="clear" w:color="auto" w:fill="auto"/>
            <w:noWrap/>
            <w:vAlign w:val="center"/>
          </w:tcPr>
          <w:p w14:paraId="22A7EBC9" w14:textId="77777777" w:rsidR="00501C7E" w:rsidRDefault="00105E9B">
            <w:pPr>
              <w:jc w:val="center"/>
              <w:rPr>
                <w:rFonts w:ascii="Times New Roman" w:hAnsi="Times New Roman"/>
                <w:sz w:val="18"/>
                <w:szCs w:val="18"/>
              </w:rPr>
            </w:pPr>
            <m:oMathPara>
              <m:oMath>
                <m:r>
                  <m:rPr>
                    <m:sty m:val="p"/>
                  </m:rPr>
                  <w:rPr>
                    <w:rFonts w:ascii="Cambria Math" w:hAnsi="Cambria Math"/>
                    <w:sz w:val="18"/>
                    <w:szCs w:val="18"/>
                  </w:rPr>
                  <m:t>调整的</m:t>
                </m:r>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oMath>
            </m:oMathPara>
          </w:p>
        </w:tc>
        <w:tc>
          <w:tcPr>
            <w:tcW w:w="588" w:type="pct"/>
            <w:tcBorders>
              <w:tl2br w:val="nil"/>
              <w:tr2bl w:val="nil"/>
            </w:tcBorders>
            <w:shd w:val="clear" w:color="auto" w:fill="auto"/>
            <w:vAlign w:val="center"/>
          </w:tcPr>
          <w:p w14:paraId="1F0D5217"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0.157</w:t>
            </w:r>
          </w:p>
        </w:tc>
        <w:tc>
          <w:tcPr>
            <w:tcW w:w="588" w:type="pct"/>
            <w:tcBorders>
              <w:tl2br w:val="nil"/>
              <w:tr2bl w:val="nil"/>
            </w:tcBorders>
            <w:shd w:val="clear" w:color="auto" w:fill="auto"/>
            <w:vAlign w:val="center"/>
          </w:tcPr>
          <w:p w14:paraId="5D130E8D"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0.150</w:t>
            </w:r>
          </w:p>
        </w:tc>
        <w:tc>
          <w:tcPr>
            <w:tcW w:w="605" w:type="pct"/>
            <w:tcBorders>
              <w:tl2br w:val="nil"/>
              <w:tr2bl w:val="nil"/>
            </w:tcBorders>
            <w:shd w:val="clear" w:color="auto" w:fill="auto"/>
            <w:vAlign w:val="center"/>
          </w:tcPr>
          <w:p w14:paraId="3F221B07"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0.174</w:t>
            </w:r>
          </w:p>
        </w:tc>
        <w:tc>
          <w:tcPr>
            <w:tcW w:w="594" w:type="pct"/>
            <w:tcBorders>
              <w:tl2br w:val="nil"/>
              <w:tr2bl w:val="nil"/>
            </w:tcBorders>
            <w:shd w:val="clear" w:color="auto" w:fill="auto"/>
            <w:vAlign w:val="center"/>
          </w:tcPr>
          <w:p w14:paraId="1A73B349"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0.201</w:t>
            </w:r>
          </w:p>
        </w:tc>
        <w:tc>
          <w:tcPr>
            <w:tcW w:w="594" w:type="pct"/>
            <w:tcBorders>
              <w:tl2br w:val="nil"/>
              <w:tr2bl w:val="nil"/>
            </w:tcBorders>
            <w:shd w:val="clear" w:color="auto" w:fill="auto"/>
            <w:vAlign w:val="center"/>
          </w:tcPr>
          <w:p w14:paraId="63B1C5E5"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0.201</w:t>
            </w:r>
          </w:p>
        </w:tc>
        <w:tc>
          <w:tcPr>
            <w:tcW w:w="604" w:type="pct"/>
            <w:tcBorders>
              <w:tl2br w:val="nil"/>
              <w:tr2bl w:val="nil"/>
            </w:tcBorders>
            <w:shd w:val="clear" w:color="auto" w:fill="auto"/>
            <w:vAlign w:val="center"/>
          </w:tcPr>
          <w:p w14:paraId="3601BBE2"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0.212</w:t>
            </w:r>
          </w:p>
        </w:tc>
      </w:tr>
      <w:tr w:rsidR="00501C7E" w14:paraId="2A53EBA8" w14:textId="77777777">
        <w:trPr>
          <w:trHeight w:val="300"/>
          <w:jc w:val="center"/>
        </w:trPr>
        <w:tc>
          <w:tcPr>
            <w:tcW w:w="1423" w:type="pct"/>
            <w:tcBorders>
              <w:tl2br w:val="nil"/>
              <w:tr2bl w:val="nil"/>
            </w:tcBorders>
            <w:shd w:val="clear" w:color="auto" w:fill="auto"/>
            <w:vAlign w:val="center"/>
          </w:tcPr>
          <w:p w14:paraId="1A6E4360" w14:textId="77777777" w:rsidR="00501C7E" w:rsidRDefault="00EC5712">
            <w:pPr>
              <w:jc w:val="center"/>
              <w:rPr>
                <w:rFonts w:ascii="Times New Roman" w:hAnsi="Times New Roman"/>
                <w:sz w:val="18"/>
                <w:szCs w:val="18"/>
              </w:rPr>
            </w:pPr>
            <w:r>
              <w:rPr>
                <w:rFonts w:ascii="Times New Roman" w:hAnsi="Times New Roman"/>
                <w:sz w:val="18"/>
                <w:szCs w:val="18"/>
              </w:rPr>
              <w:t>F</w:t>
            </w:r>
            <w:r>
              <w:rPr>
                <w:rFonts w:ascii="Times New Roman" w:hAnsi="Times New Roman"/>
                <w:sz w:val="18"/>
                <w:szCs w:val="18"/>
              </w:rPr>
              <w:t>值</w:t>
            </w:r>
          </w:p>
        </w:tc>
        <w:tc>
          <w:tcPr>
            <w:tcW w:w="588" w:type="pct"/>
            <w:tcBorders>
              <w:tl2br w:val="nil"/>
              <w:tr2bl w:val="nil"/>
            </w:tcBorders>
            <w:shd w:val="clear" w:color="auto" w:fill="auto"/>
            <w:vAlign w:val="center"/>
          </w:tcPr>
          <w:p w14:paraId="131B876E"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5.92</w:t>
            </w:r>
          </w:p>
        </w:tc>
        <w:tc>
          <w:tcPr>
            <w:tcW w:w="588" w:type="pct"/>
            <w:tcBorders>
              <w:tl2br w:val="nil"/>
              <w:tr2bl w:val="nil"/>
            </w:tcBorders>
            <w:shd w:val="clear" w:color="auto" w:fill="auto"/>
            <w:vAlign w:val="center"/>
          </w:tcPr>
          <w:p w14:paraId="22273A5D"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5.63</w:t>
            </w:r>
          </w:p>
        </w:tc>
        <w:tc>
          <w:tcPr>
            <w:tcW w:w="605" w:type="pct"/>
            <w:tcBorders>
              <w:tl2br w:val="nil"/>
              <w:tr2bl w:val="nil"/>
            </w:tcBorders>
            <w:shd w:val="clear" w:color="auto" w:fill="auto"/>
            <w:vAlign w:val="center"/>
          </w:tcPr>
          <w:p w14:paraId="55F6CC7D"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6.55</w:t>
            </w:r>
          </w:p>
        </w:tc>
        <w:tc>
          <w:tcPr>
            <w:tcW w:w="594" w:type="pct"/>
            <w:tcBorders>
              <w:tl2br w:val="nil"/>
              <w:tr2bl w:val="nil"/>
            </w:tcBorders>
            <w:shd w:val="clear" w:color="auto" w:fill="auto"/>
            <w:vAlign w:val="center"/>
          </w:tcPr>
          <w:p w14:paraId="780FB4EB"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7.63</w:t>
            </w:r>
          </w:p>
        </w:tc>
        <w:tc>
          <w:tcPr>
            <w:tcW w:w="594" w:type="pct"/>
            <w:tcBorders>
              <w:tl2br w:val="nil"/>
              <w:tr2bl w:val="nil"/>
            </w:tcBorders>
            <w:shd w:val="clear" w:color="auto" w:fill="auto"/>
            <w:vAlign w:val="center"/>
          </w:tcPr>
          <w:p w14:paraId="0D9C8F97" w14:textId="77777777" w:rsidR="00501C7E" w:rsidRDefault="00EC5712">
            <w:pPr>
              <w:widowControl/>
              <w:jc w:val="center"/>
              <w:textAlignment w:val="top"/>
              <w:rPr>
                <w:rFonts w:ascii="Times New Roman" w:hAnsi="Times New Roman"/>
                <w:sz w:val="18"/>
                <w:szCs w:val="18"/>
              </w:rPr>
            </w:pPr>
            <w:r>
              <w:rPr>
                <w:rFonts w:ascii="Times New Roman" w:hAnsi="Times New Roman"/>
                <w:kern w:val="0"/>
                <w:sz w:val="18"/>
                <w:szCs w:val="18"/>
              </w:rPr>
              <w:t>7.64</w:t>
            </w:r>
          </w:p>
        </w:tc>
        <w:tc>
          <w:tcPr>
            <w:tcW w:w="604" w:type="pct"/>
            <w:tcBorders>
              <w:tl2br w:val="nil"/>
              <w:tr2bl w:val="nil"/>
            </w:tcBorders>
            <w:shd w:val="clear" w:color="auto" w:fill="auto"/>
            <w:noWrap/>
            <w:vAlign w:val="center"/>
          </w:tcPr>
          <w:p w14:paraId="4A3D3CD7"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8.06</w:t>
            </w:r>
          </w:p>
        </w:tc>
      </w:tr>
    </w:tbl>
    <w:p w14:paraId="708466EB" w14:textId="77777777" w:rsidR="00501C7E" w:rsidRDefault="00501C7E">
      <w:pPr>
        <w:rPr>
          <w:rFonts w:ascii="Times New Roman" w:hAnsi="Times New Roman"/>
          <w:position w:val="-5"/>
        </w:rPr>
      </w:pPr>
    </w:p>
    <w:p w14:paraId="226D2BE0" w14:textId="77777777" w:rsidR="00501C7E" w:rsidRDefault="00EC5712" w:rsidP="00105E9B">
      <w:pPr>
        <w:ind w:firstLineChars="200" w:firstLine="420"/>
        <w:jc w:val="left"/>
        <w:rPr>
          <w:rFonts w:ascii="Times New Roman" w:hAnsi="Times New Roman"/>
        </w:rPr>
      </w:pPr>
      <w:r>
        <w:rPr>
          <w:rFonts w:ascii="Times New Roman" w:eastAsia="楷体" w:hAnsi="Times New Roman"/>
          <w:szCs w:val="21"/>
        </w:rPr>
        <w:t>3.</w:t>
      </w:r>
      <w:r w:rsidR="005614A0">
        <w:rPr>
          <w:rFonts w:ascii="Times New Roman" w:eastAsia="楷体" w:hAnsi="Times New Roman"/>
          <w:szCs w:val="21"/>
        </w:rPr>
        <w:t>替换申诉者</w:t>
      </w:r>
      <w:r>
        <w:rPr>
          <w:rFonts w:ascii="Times New Roman" w:eastAsia="楷体" w:hAnsi="Times New Roman"/>
          <w:szCs w:val="21"/>
        </w:rPr>
        <w:t>势力的衡量指标</w:t>
      </w:r>
      <w:r w:rsidR="00105E9B">
        <w:rPr>
          <w:rFonts w:ascii="Times New Roman" w:eastAsia="楷体" w:hAnsi="Times New Roman"/>
          <w:szCs w:val="21"/>
        </w:rPr>
        <w:t>。</w:t>
      </w:r>
      <w:r w:rsidR="00105E9B">
        <w:rPr>
          <w:rFonts w:ascii="Times New Roman" w:hAnsi="Times New Roman"/>
        </w:rPr>
        <w:t>为保证计量结果的稳健性，本文进一步</w:t>
      </w:r>
      <w:r>
        <w:rPr>
          <w:rFonts w:ascii="Times New Roman" w:hAnsi="Times New Roman"/>
        </w:rPr>
        <w:t>将使用其他方法构造虚拟变量衡量申诉者政治势力。从欧盟对华反倾销案件的分布来看，案件调查集中在金属制品行业（</w:t>
      </w:r>
      <w:r>
        <w:rPr>
          <w:rFonts w:ascii="Times New Roman" w:hAnsi="Times New Roman"/>
        </w:rPr>
        <w:t>11</w:t>
      </w:r>
      <w:r>
        <w:rPr>
          <w:rFonts w:ascii="Times New Roman" w:hAnsi="Times New Roman"/>
        </w:rPr>
        <w:t>件）、化学原料和制品行业（</w:t>
      </w:r>
      <w:r>
        <w:rPr>
          <w:rFonts w:ascii="Times New Roman" w:hAnsi="Times New Roman"/>
        </w:rPr>
        <w:t>15</w:t>
      </w:r>
      <w:r>
        <w:rPr>
          <w:rFonts w:ascii="Times New Roman" w:hAnsi="Times New Roman"/>
        </w:rPr>
        <w:t>件）、钢铁行业（</w:t>
      </w:r>
      <w:r>
        <w:rPr>
          <w:rFonts w:ascii="Times New Roman" w:hAnsi="Times New Roman"/>
        </w:rPr>
        <w:t>14</w:t>
      </w:r>
      <w:r>
        <w:rPr>
          <w:rFonts w:ascii="Times New Roman" w:hAnsi="Times New Roman"/>
        </w:rPr>
        <w:t>件）等行业，且在这些行业不同年份的反倾销申诉者具有较大同质性。在金属制品行业，欧洲金属协会（</w:t>
      </w:r>
      <w:r>
        <w:rPr>
          <w:rFonts w:ascii="Times New Roman" w:hAnsi="Times New Roman"/>
        </w:rPr>
        <w:t>Eurometaux</w:t>
      </w:r>
      <w:r>
        <w:rPr>
          <w:rFonts w:ascii="Times New Roman" w:hAnsi="Times New Roman"/>
        </w:rPr>
        <w:t>）、欧盟不锈钢管产业保护委员会</w:t>
      </w:r>
      <w:r>
        <w:rPr>
          <w:rFonts w:ascii="Times New Roman" w:hAnsi="Times New Roman" w:hint="eastAsia"/>
        </w:rPr>
        <w:t>（</w:t>
      </w:r>
      <w:r>
        <w:rPr>
          <w:rFonts w:ascii="Times New Roman" w:hAnsi="Times New Roman"/>
        </w:rPr>
        <w:t>ESTA</w:t>
      </w:r>
      <w:r>
        <w:rPr>
          <w:rFonts w:ascii="Times New Roman" w:hAnsi="Times New Roman" w:hint="eastAsia"/>
        </w:rPr>
        <w:t>）</w:t>
      </w:r>
      <w:r>
        <w:rPr>
          <w:rFonts w:ascii="Times New Roman" w:hAnsi="Times New Roman"/>
        </w:rPr>
        <w:t>发起过两起以上反倾销申诉，在化学原料和制品行业，欧洲化学工业理事会</w:t>
      </w:r>
      <w:r>
        <w:rPr>
          <w:rFonts w:ascii="Times New Roman" w:hAnsi="Times New Roman" w:hint="eastAsia"/>
        </w:rPr>
        <w:t>（</w:t>
      </w:r>
      <w:r>
        <w:rPr>
          <w:rFonts w:ascii="Times New Roman" w:hAnsi="Times New Roman"/>
        </w:rPr>
        <w:t>CEFIC</w:t>
      </w:r>
      <w:r>
        <w:rPr>
          <w:rFonts w:ascii="Times New Roman" w:hAnsi="Times New Roman" w:hint="eastAsia"/>
        </w:rPr>
        <w:t>）</w:t>
      </w:r>
      <w:r>
        <w:rPr>
          <w:rFonts w:ascii="Times New Roman" w:hAnsi="Times New Roman"/>
        </w:rPr>
        <w:t>发起的案件占比高达</w:t>
      </w:r>
      <w:r>
        <w:rPr>
          <w:rFonts w:ascii="Times New Roman" w:hAnsi="Times New Roman"/>
        </w:rPr>
        <w:t>40%</w:t>
      </w:r>
      <w:r>
        <w:rPr>
          <w:rFonts w:ascii="Times New Roman" w:hAnsi="Times New Roman"/>
        </w:rPr>
        <w:t>，在钢铁行业，欧洲钢铁协会</w:t>
      </w:r>
      <w:r>
        <w:rPr>
          <w:rFonts w:ascii="Times New Roman" w:hAnsi="Times New Roman"/>
          <w:szCs w:val="21"/>
        </w:rPr>
        <w:t>（</w:t>
      </w:r>
      <w:r>
        <w:rPr>
          <w:rFonts w:ascii="Times New Roman" w:hAnsi="Times New Roman"/>
          <w:szCs w:val="21"/>
        </w:rPr>
        <w:t>Eurofer</w:t>
      </w:r>
      <w:r>
        <w:rPr>
          <w:rFonts w:ascii="Times New Roman" w:hAnsi="Times New Roman"/>
          <w:szCs w:val="21"/>
        </w:rPr>
        <w:t>）</w:t>
      </w:r>
      <w:r>
        <w:rPr>
          <w:rFonts w:ascii="Times New Roman" w:hAnsi="Times New Roman"/>
        </w:rPr>
        <w:t>发起的反倾销申诉高达</w:t>
      </w:r>
      <w:r>
        <w:rPr>
          <w:rFonts w:ascii="Times New Roman" w:hAnsi="Times New Roman"/>
        </w:rPr>
        <w:t>79%</w:t>
      </w:r>
      <w:r>
        <w:rPr>
          <w:rFonts w:ascii="Times New Roman" w:hAnsi="Times New Roman"/>
        </w:rPr>
        <w:t>。那么，在对华反倾销案件调查过程中，相比仅发起过一次反倾销申诉的非传统申诉者，这些不止一次发起反倾销申诉的传统申诉者取得的裁定结果是否更具有优势呢？一方面，相比于反倾销的非传统申诉者，反倾销的传统申诉者在多年的反倾销申诉中积累了丰富的申诉经验，培植了大批游说团体，更能利用欧盟反倾销的程序争取较高的反倾销税率；另一方面，反倾销的传统申诉者多为该行业最大的协会团体，具有较大的话语权和影响力。因此，相比于反倾销的非传统申诉者，反倾销的传统申诉者应该具有更高的政治势力。</w:t>
      </w:r>
    </w:p>
    <w:p w14:paraId="5138F66F" w14:textId="77777777" w:rsidR="00501C7E" w:rsidRDefault="00105E9B">
      <w:pPr>
        <w:ind w:firstLine="420"/>
        <w:rPr>
          <w:rFonts w:ascii="Times New Roman" w:hAnsi="Times New Roman"/>
        </w:rPr>
      </w:pPr>
      <w:r>
        <w:rPr>
          <w:rFonts w:ascii="Times New Roman" w:hAnsi="Times New Roman"/>
        </w:rPr>
        <w:t>本文</w:t>
      </w:r>
      <w:r w:rsidR="00EC5712">
        <w:rPr>
          <w:rFonts w:ascii="Times New Roman" w:hAnsi="Times New Roman"/>
        </w:rPr>
        <w:t>也可以在欧盟对华反倾销案件中找到佐证，以化学原料和制品行业为例，如表</w:t>
      </w:r>
      <w:r w:rsidR="00EC5712">
        <w:rPr>
          <w:rFonts w:ascii="Times New Roman" w:hAnsi="Times New Roman"/>
        </w:rPr>
        <w:t>12</w:t>
      </w:r>
      <w:r w:rsidR="00EC5712">
        <w:rPr>
          <w:rFonts w:ascii="Times New Roman" w:hAnsi="Times New Roman"/>
        </w:rPr>
        <w:t>和表</w:t>
      </w:r>
      <w:r w:rsidR="00EC5712">
        <w:rPr>
          <w:rFonts w:ascii="Times New Roman" w:hAnsi="Times New Roman"/>
        </w:rPr>
        <w:t>13</w:t>
      </w:r>
      <w:r w:rsidR="00EC5712">
        <w:rPr>
          <w:rFonts w:ascii="Times New Roman" w:hAnsi="Times New Roman"/>
        </w:rPr>
        <w:t>所示，反倾销的传统申诉者欧洲化学工业理事会</w:t>
      </w:r>
      <w:r w:rsidR="00EC5712">
        <w:rPr>
          <w:rFonts w:ascii="Times New Roman" w:hAnsi="Times New Roman" w:hint="eastAsia"/>
        </w:rPr>
        <w:t>（</w:t>
      </w:r>
      <w:r w:rsidR="00EC5712">
        <w:rPr>
          <w:rFonts w:ascii="Times New Roman" w:hAnsi="Times New Roman"/>
        </w:rPr>
        <w:t>CEFIC</w:t>
      </w:r>
      <w:r w:rsidR="00EC5712">
        <w:rPr>
          <w:rFonts w:ascii="Times New Roman" w:hAnsi="Times New Roman" w:hint="eastAsia"/>
        </w:rPr>
        <w:t>）</w:t>
      </w:r>
      <w:r w:rsidR="00EC5712">
        <w:rPr>
          <w:rFonts w:ascii="Times New Roman" w:hAnsi="Times New Roman"/>
        </w:rPr>
        <w:t>在欧盟对华反倾销税率裁定中获得的平均初裁税率为</w:t>
      </w:r>
      <w:r w:rsidR="00EC5712">
        <w:rPr>
          <w:rFonts w:ascii="Times New Roman" w:hAnsi="Times New Roman"/>
        </w:rPr>
        <w:t>49.16%</w:t>
      </w:r>
      <w:r w:rsidR="00EC5712">
        <w:rPr>
          <w:rFonts w:ascii="Times New Roman" w:hAnsi="Times New Roman"/>
        </w:rPr>
        <w:t>、平均终裁税率为</w:t>
      </w:r>
      <w:r w:rsidR="00EC5712">
        <w:rPr>
          <w:rFonts w:ascii="Times New Roman" w:hAnsi="Times New Roman"/>
        </w:rPr>
        <w:t xml:space="preserve">47.25% </w:t>
      </w:r>
      <w:r w:rsidR="00EC5712">
        <w:rPr>
          <w:rFonts w:ascii="Times New Roman" w:hAnsi="Times New Roman"/>
        </w:rPr>
        <w:t>，高于非传统申诉者获得的平均初裁税率（</w:t>
      </w:r>
      <w:r w:rsidR="00EC5712">
        <w:rPr>
          <w:rFonts w:ascii="Times New Roman" w:hAnsi="Times New Roman"/>
        </w:rPr>
        <w:t>35.67%</w:t>
      </w:r>
      <w:r w:rsidR="00EC5712">
        <w:rPr>
          <w:rFonts w:ascii="Times New Roman" w:hAnsi="Times New Roman"/>
        </w:rPr>
        <w:t>）和平均终裁税率（</w:t>
      </w:r>
      <w:r w:rsidR="00EC5712">
        <w:rPr>
          <w:rFonts w:ascii="Times New Roman" w:hAnsi="Times New Roman"/>
        </w:rPr>
        <w:t>33.94%</w:t>
      </w:r>
      <w:r w:rsidR="00EC5712">
        <w:rPr>
          <w:rFonts w:ascii="Times New Roman" w:hAnsi="Times New Roman"/>
        </w:rPr>
        <w:t>）约</w:t>
      </w:r>
      <w:r w:rsidR="00EC5712">
        <w:rPr>
          <w:rFonts w:ascii="Times New Roman" w:hAnsi="Times New Roman"/>
        </w:rPr>
        <w:t>14</w:t>
      </w:r>
      <w:r w:rsidR="00EC5712">
        <w:rPr>
          <w:rFonts w:ascii="Times New Roman" w:hAnsi="Times New Roman"/>
        </w:rPr>
        <w:t>个百分点。由此可见，反倾销的传统申诉者由于具有较大的政治影响力，在</w:t>
      </w:r>
      <w:r>
        <w:rPr>
          <w:rFonts w:ascii="Times New Roman" w:hAnsi="Times New Roman"/>
        </w:rPr>
        <w:t>欧盟对华反倾销裁定中获得更高的反倾销税率的可能性较大。因此，本文</w:t>
      </w:r>
      <w:r w:rsidR="00EC5712">
        <w:rPr>
          <w:rFonts w:ascii="Times New Roman" w:hAnsi="Times New Roman"/>
        </w:rPr>
        <w:t>将以申诉者是否为传统申诉者构造</w:t>
      </w:r>
      <w:r w:rsidR="00EC5712">
        <w:rPr>
          <w:rFonts w:ascii="Times New Roman" w:hAnsi="Times New Roman"/>
        </w:rPr>
        <w:t>0-1</w:t>
      </w:r>
      <w:r w:rsidR="00EC5712">
        <w:rPr>
          <w:rFonts w:ascii="Times New Roman" w:hAnsi="Times New Roman"/>
        </w:rPr>
        <w:t>虚拟变量，对于传统申诉者，其虚拟变量取值为</w:t>
      </w:r>
      <w:r w:rsidR="00EC5712">
        <w:rPr>
          <w:rFonts w:ascii="Times New Roman" w:hAnsi="Times New Roman"/>
        </w:rPr>
        <w:t>1</w:t>
      </w:r>
      <w:r w:rsidR="00EC5712">
        <w:rPr>
          <w:rFonts w:ascii="Times New Roman" w:hAnsi="Times New Roman"/>
        </w:rPr>
        <w:t>，代表较高的申诉者政治势力，对于非传统申诉者，其虚拟变量取值为</w:t>
      </w:r>
      <w:r w:rsidR="00EC5712">
        <w:rPr>
          <w:rFonts w:ascii="Times New Roman" w:hAnsi="Times New Roman"/>
        </w:rPr>
        <w:t>0</w:t>
      </w:r>
      <w:r w:rsidR="00EC5712">
        <w:rPr>
          <w:rFonts w:ascii="Times New Roman" w:hAnsi="Times New Roman"/>
        </w:rPr>
        <w:t>，代表较低的申诉者政治势力。</w:t>
      </w:r>
    </w:p>
    <w:p w14:paraId="1152D3CC" w14:textId="77777777" w:rsidR="00501C7E" w:rsidRDefault="00501C7E">
      <w:pPr>
        <w:ind w:firstLine="420"/>
        <w:rPr>
          <w:rFonts w:ascii="Times New Roman" w:hAnsi="Times New Roman"/>
        </w:rPr>
      </w:pPr>
    </w:p>
    <w:p w14:paraId="3193F9EC" w14:textId="77777777" w:rsidR="00501C7E" w:rsidRDefault="00EC5712">
      <w:pPr>
        <w:jc w:val="center"/>
        <w:rPr>
          <w:rFonts w:ascii="Times New Roman" w:eastAsia="黑体" w:hAnsi="Times New Roman"/>
          <w:szCs w:val="21"/>
        </w:rPr>
      </w:pPr>
      <w:r>
        <w:rPr>
          <w:rFonts w:ascii="Times New Roman" w:eastAsia="楷体" w:hAnsi="Times New Roman"/>
          <w:bCs/>
          <w:szCs w:val="21"/>
        </w:rPr>
        <w:t>表</w:t>
      </w:r>
      <w:r>
        <w:rPr>
          <w:rFonts w:ascii="Times New Roman" w:eastAsia="楷体" w:hAnsi="Times New Roman"/>
          <w:bCs/>
          <w:szCs w:val="21"/>
        </w:rPr>
        <w:t xml:space="preserve">12  </w:t>
      </w:r>
      <w:r>
        <w:rPr>
          <w:rFonts w:ascii="Times New Roman" w:eastAsia="楷体" w:hAnsi="Times New Roman"/>
          <w:bCs/>
          <w:szCs w:val="21"/>
        </w:rPr>
        <w:t>化学原料和制品行业传统申诉者申诉的案件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945"/>
        <w:gridCol w:w="1169"/>
        <w:gridCol w:w="1184"/>
        <w:gridCol w:w="3365"/>
      </w:tblGrid>
      <w:tr w:rsidR="00501C7E" w14:paraId="39DA9E63" w14:textId="77777777">
        <w:trPr>
          <w:trHeight w:val="270"/>
        </w:trPr>
        <w:tc>
          <w:tcPr>
            <w:tcW w:w="1346" w:type="pct"/>
            <w:tcBorders>
              <w:tl2br w:val="nil"/>
              <w:tr2bl w:val="nil"/>
            </w:tcBorders>
            <w:shd w:val="clear" w:color="auto" w:fill="auto"/>
            <w:noWrap/>
            <w:vAlign w:val="center"/>
          </w:tcPr>
          <w:p w14:paraId="14E7B126"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案件</w:t>
            </w:r>
          </w:p>
        </w:tc>
        <w:tc>
          <w:tcPr>
            <w:tcW w:w="518" w:type="pct"/>
            <w:tcBorders>
              <w:tl2br w:val="nil"/>
              <w:tr2bl w:val="nil"/>
            </w:tcBorders>
            <w:shd w:val="clear" w:color="auto" w:fill="auto"/>
            <w:noWrap/>
            <w:vAlign w:val="center"/>
          </w:tcPr>
          <w:p w14:paraId="1783AD30"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年份</w:t>
            </w:r>
          </w:p>
        </w:tc>
        <w:tc>
          <w:tcPr>
            <w:tcW w:w="641" w:type="pct"/>
            <w:tcBorders>
              <w:tl2br w:val="nil"/>
              <w:tr2bl w:val="nil"/>
            </w:tcBorders>
            <w:shd w:val="clear" w:color="auto" w:fill="auto"/>
            <w:noWrap/>
            <w:vAlign w:val="center"/>
          </w:tcPr>
          <w:p w14:paraId="3197CEA0"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初裁税率</w:t>
            </w:r>
            <w:r w:rsidR="00105E9B">
              <w:rPr>
                <w:rFonts w:ascii="Times New Roman" w:hAnsi="Times New Roman"/>
                <w:kern w:val="0"/>
                <w:sz w:val="18"/>
                <w:szCs w:val="18"/>
              </w:rPr>
              <w:t>（</w:t>
            </w:r>
            <w:r>
              <w:rPr>
                <w:rFonts w:ascii="Times New Roman" w:hAnsi="Times New Roman"/>
                <w:kern w:val="0"/>
                <w:sz w:val="18"/>
                <w:szCs w:val="18"/>
              </w:rPr>
              <w:t>%</w:t>
            </w:r>
            <w:r w:rsidR="00105E9B">
              <w:rPr>
                <w:rFonts w:ascii="Times New Roman" w:hAnsi="Times New Roman"/>
                <w:kern w:val="0"/>
                <w:sz w:val="18"/>
                <w:szCs w:val="18"/>
              </w:rPr>
              <w:t>）</w:t>
            </w:r>
          </w:p>
        </w:tc>
        <w:tc>
          <w:tcPr>
            <w:tcW w:w="649" w:type="pct"/>
            <w:tcBorders>
              <w:tl2br w:val="nil"/>
              <w:tr2bl w:val="nil"/>
            </w:tcBorders>
            <w:shd w:val="clear" w:color="auto" w:fill="auto"/>
            <w:noWrap/>
            <w:vAlign w:val="center"/>
          </w:tcPr>
          <w:p w14:paraId="27DE8ED7"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终裁税率</w:t>
            </w:r>
            <w:r w:rsidR="00105E9B">
              <w:rPr>
                <w:rFonts w:ascii="Times New Roman" w:hAnsi="Times New Roman"/>
                <w:kern w:val="0"/>
                <w:sz w:val="18"/>
                <w:szCs w:val="18"/>
              </w:rPr>
              <w:t>（</w:t>
            </w:r>
            <w:r>
              <w:rPr>
                <w:rFonts w:ascii="Times New Roman" w:hAnsi="Times New Roman"/>
                <w:kern w:val="0"/>
                <w:sz w:val="18"/>
                <w:szCs w:val="18"/>
              </w:rPr>
              <w:t>%</w:t>
            </w:r>
            <w:r w:rsidR="00105E9B">
              <w:rPr>
                <w:rFonts w:ascii="Times New Roman" w:hAnsi="Times New Roman"/>
                <w:kern w:val="0"/>
                <w:sz w:val="18"/>
                <w:szCs w:val="18"/>
              </w:rPr>
              <w:t>）</w:t>
            </w:r>
          </w:p>
        </w:tc>
        <w:tc>
          <w:tcPr>
            <w:tcW w:w="1844" w:type="pct"/>
            <w:tcBorders>
              <w:tl2br w:val="nil"/>
              <w:tr2bl w:val="nil"/>
            </w:tcBorders>
            <w:shd w:val="clear" w:color="auto" w:fill="auto"/>
            <w:noWrap/>
            <w:vAlign w:val="center"/>
          </w:tcPr>
          <w:p w14:paraId="201AA938"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申诉者</w:t>
            </w:r>
          </w:p>
        </w:tc>
      </w:tr>
      <w:tr w:rsidR="00501C7E" w14:paraId="6CFE1DF3" w14:textId="77777777">
        <w:trPr>
          <w:trHeight w:val="270"/>
        </w:trPr>
        <w:tc>
          <w:tcPr>
            <w:tcW w:w="1346" w:type="pct"/>
            <w:tcBorders>
              <w:tl2br w:val="nil"/>
              <w:tr2bl w:val="nil"/>
            </w:tcBorders>
            <w:shd w:val="clear" w:color="auto" w:fill="auto"/>
            <w:noWrap/>
            <w:vAlign w:val="center"/>
          </w:tcPr>
          <w:p w14:paraId="12FB1C07"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lastRenderedPageBreak/>
              <w:t>欧盟对中国草酸反倾销案</w:t>
            </w:r>
          </w:p>
        </w:tc>
        <w:tc>
          <w:tcPr>
            <w:tcW w:w="518" w:type="pct"/>
            <w:tcBorders>
              <w:tl2br w:val="nil"/>
              <w:tr2bl w:val="nil"/>
            </w:tcBorders>
            <w:shd w:val="clear" w:color="auto" w:fill="auto"/>
            <w:noWrap/>
            <w:vAlign w:val="center"/>
          </w:tcPr>
          <w:p w14:paraId="466EE6C6"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2011</w:t>
            </w:r>
          </w:p>
        </w:tc>
        <w:tc>
          <w:tcPr>
            <w:tcW w:w="641" w:type="pct"/>
            <w:tcBorders>
              <w:tl2br w:val="nil"/>
              <w:tr2bl w:val="nil"/>
            </w:tcBorders>
            <w:shd w:val="clear" w:color="auto" w:fill="auto"/>
            <w:noWrap/>
            <w:vAlign w:val="center"/>
          </w:tcPr>
          <w:p w14:paraId="2798168B"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52.2</w:t>
            </w:r>
          </w:p>
        </w:tc>
        <w:tc>
          <w:tcPr>
            <w:tcW w:w="649" w:type="pct"/>
            <w:tcBorders>
              <w:tl2br w:val="nil"/>
              <w:tr2bl w:val="nil"/>
            </w:tcBorders>
            <w:shd w:val="clear" w:color="auto" w:fill="auto"/>
            <w:noWrap/>
            <w:vAlign w:val="center"/>
          </w:tcPr>
          <w:p w14:paraId="10A59975"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52.2</w:t>
            </w:r>
          </w:p>
        </w:tc>
        <w:tc>
          <w:tcPr>
            <w:tcW w:w="1844" w:type="pct"/>
            <w:tcBorders>
              <w:tl2br w:val="nil"/>
              <w:tr2bl w:val="nil"/>
            </w:tcBorders>
            <w:shd w:val="clear" w:color="auto" w:fill="auto"/>
            <w:noWrap/>
            <w:vAlign w:val="center"/>
          </w:tcPr>
          <w:p w14:paraId="3BFCD181"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欧洲化学工业理事会（</w:t>
            </w:r>
            <w:r>
              <w:rPr>
                <w:rFonts w:ascii="Times New Roman" w:hAnsi="Times New Roman"/>
                <w:kern w:val="0"/>
                <w:sz w:val="18"/>
                <w:szCs w:val="18"/>
              </w:rPr>
              <w:t>The European ChemicalIndustry Council</w:t>
            </w:r>
            <w:r>
              <w:rPr>
                <w:rFonts w:ascii="Times New Roman" w:hAnsi="Times New Roman" w:hint="eastAsia"/>
                <w:kern w:val="0"/>
                <w:sz w:val="18"/>
                <w:szCs w:val="18"/>
              </w:rPr>
              <w:t>（</w:t>
            </w:r>
            <w:r>
              <w:rPr>
                <w:rFonts w:ascii="Times New Roman" w:hAnsi="Times New Roman"/>
                <w:kern w:val="0"/>
                <w:sz w:val="18"/>
                <w:szCs w:val="18"/>
              </w:rPr>
              <w:t>CEFIC</w:t>
            </w:r>
            <w:r>
              <w:rPr>
                <w:rFonts w:ascii="Times New Roman" w:hAnsi="Times New Roman" w:hint="eastAsia"/>
                <w:kern w:val="0"/>
                <w:sz w:val="18"/>
                <w:szCs w:val="18"/>
              </w:rPr>
              <w:t>）</w:t>
            </w:r>
          </w:p>
        </w:tc>
      </w:tr>
      <w:tr w:rsidR="00501C7E" w14:paraId="35CC1A3C" w14:textId="77777777">
        <w:trPr>
          <w:trHeight w:val="270"/>
        </w:trPr>
        <w:tc>
          <w:tcPr>
            <w:tcW w:w="1346" w:type="pct"/>
            <w:tcBorders>
              <w:tl2br w:val="nil"/>
              <w:tr2bl w:val="nil"/>
            </w:tcBorders>
            <w:shd w:val="clear" w:color="auto" w:fill="auto"/>
            <w:noWrap/>
            <w:vAlign w:val="center"/>
          </w:tcPr>
          <w:p w14:paraId="6BCFD62E"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欧盟对中国葡萄糖酸钠</w:t>
            </w:r>
          </w:p>
          <w:p w14:paraId="1F5899ED"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反倾销案</w:t>
            </w:r>
          </w:p>
        </w:tc>
        <w:tc>
          <w:tcPr>
            <w:tcW w:w="518" w:type="pct"/>
            <w:tcBorders>
              <w:tl2br w:val="nil"/>
              <w:tr2bl w:val="nil"/>
            </w:tcBorders>
            <w:shd w:val="clear" w:color="auto" w:fill="auto"/>
            <w:noWrap/>
            <w:vAlign w:val="center"/>
          </w:tcPr>
          <w:p w14:paraId="2515CC47"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2009</w:t>
            </w:r>
          </w:p>
        </w:tc>
        <w:tc>
          <w:tcPr>
            <w:tcW w:w="641" w:type="pct"/>
            <w:tcBorders>
              <w:tl2br w:val="nil"/>
              <w:tr2bl w:val="nil"/>
            </w:tcBorders>
            <w:shd w:val="clear" w:color="auto" w:fill="auto"/>
            <w:noWrap/>
            <w:vAlign w:val="center"/>
          </w:tcPr>
          <w:p w14:paraId="504A7597"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53.4</w:t>
            </w:r>
          </w:p>
        </w:tc>
        <w:tc>
          <w:tcPr>
            <w:tcW w:w="649" w:type="pct"/>
            <w:tcBorders>
              <w:tl2br w:val="nil"/>
              <w:tr2bl w:val="nil"/>
            </w:tcBorders>
            <w:shd w:val="clear" w:color="auto" w:fill="auto"/>
            <w:noWrap/>
            <w:vAlign w:val="center"/>
          </w:tcPr>
          <w:p w14:paraId="538E0BBA"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53.2</w:t>
            </w:r>
          </w:p>
        </w:tc>
        <w:tc>
          <w:tcPr>
            <w:tcW w:w="1844" w:type="pct"/>
            <w:tcBorders>
              <w:tl2br w:val="nil"/>
              <w:tr2bl w:val="nil"/>
            </w:tcBorders>
            <w:shd w:val="clear" w:color="auto" w:fill="auto"/>
            <w:noWrap/>
            <w:vAlign w:val="center"/>
          </w:tcPr>
          <w:p w14:paraId="0B64D1AA"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欧洲化学工业理事会（</w:t>
            </w:r>
            <w:r>
              <w:rPr>
                <w:rFonts w:ascii="Times New Roman" w:hAnsi="Times New Roman"/>
                <w:kern w:val="0"/>
                <w:sz w:val="18"/>
                <w:szCs w:val="18"/>
              </w:rPr>
              <w:t>The European ChemicalIndustry Council</w:t>
            </w:r>
            <w:r>
              <w:rPr>
                <w:rFonts w:ascii="Times New Roman" w:hAnsi="Times New Roman" w:hint="eastAsia"/>
                <w:kern w:val="0"/>
                <w:sz w:val="18"/>
                <w:szCs w:val="18"/>
              </w:rPr>
              <w:t>（</w:t>
            </w:r>
            <w:r>
              <w:rPr>
                <w:rFonts w:ascii="Times New Roman" w:hAnsi="Times New Roman"/>
                <w:kern w:val="0"/>
                <w:sz w:val="18"/>
                <w:szCs w:val="18"/>
              </w:rPr>
              <w:t>CEFIC</w:t>
            </w:r>
            <w:r>
              <w:rPr>
                <w:rFonts w:ascii="Times New Roman" w:hAnsi="Times New Roman" w:hint="eastAsia"/>
                <w:kern w:val="0"/>
                <w:sz w:val="18"/>
                <w:szCs w:val="18"/>
              </w:rPr>
              <w:t>）</w:t>
            </w:r>
          </w:p>
        </w:tc>
      </w:tr>
      <w:tr w:rsidR="00501C7E" w14:paraId="687CF8F7" w14:textId="77777777">
        <w:trPr>
          <w:trHeight w:val="270"/>
        </w:trPr>
        <w:tc>
          <w:tcPr>
            <w:tcW w:w="1346" w:type="pct"/>
            <w:tcBorders>
              <w:tl2br w:val="nil"/>
              <w:tr2bl w:val="nil"/>
            </w:tcBorders>
            <w:shd w:val="clear" w:color="auto" w:fill="auto"/>
            <w:noWrap/>
            <w:vAlign w:val="center"/>
          </w:tcPr>
          <w:p w14:paraId="72174177"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欧盟对中国过硫酸盐</w:t>
            </w:r>
          </w:p>
          <w:p w14:paraId="013771FD"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反倾销案</w:t>
            </w:r>
          </w:p>
        </w:tc>
        <w:tc>
          <w:tcPr>
            <w:tcW w:w="518" w:type="pct"/>
            <w:tcBorders>
              <w:tl2br w:val="nil"/>
              <w:tr2bl w:val="nil"/>
            </w:tcBorders>
            <w:shd w:val="clear" w:color="auto" w:fill="auto"/>
            <w:noWrap/>
            <w:vAlign w:val="center"/>
          </w:tcPr>
          <w:p w14:paraId="471C9ED9"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2006</w:t>
            </w:r>
          </w:p>
        </w:tc>
        <w:tc>
          <w:tcPr>
            <w:tcW w:w="641" w:type="pct"/>
            <w:tcBorders>
              <w:tl2br w:val="nil"/>
              <w:tr2bl w:val="nil"/>
            </w:tcBorders>
            <w:shd w:val="clear" w:color="auto" w:fill="auto"/>
            <w:noWrap/>
            <w:vAlign w:val="center"/>
          </w:tcPr>
          <w:p w14:paraId="3006BD8E"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67.4</w:t>
            </w:r>
          </w:p>
        </w:tc>
        <w:tc>
          <w:tcPr>
            <w:tcW w:w="649" w:type="pct"/>
            <w:tcBorders>
              <w:tl2br w:val="nil"/>
              <w:tr2bl w:val="nil"/>
            </w:tcBorders>
            <w:shd w:val="clear" w:color="auto" w:fill="auto"/>
            <w:noWrap/>
            <w:vAlign w:val="center"/>
          </w:tcPr>
          <w:p w14:paraId="0DA2C3E9"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71.8</w:t>
            </w:r>
          </w:p>
        </w:tc>
        <w:tc>
          <w:tcPr>
            <w:tcW w:w="1844" w:type="pct"/>
            <w:tcBorders>
              <w:tl2br w:val="nil"/>
              <w:tr2bl w:val="nil"/>
            </w:tcBorders>
            <w:shd w:val="clear" w:color="auto" w:fill="auto"/>
            <w:noWrap/>
            <w:vAlign w:val="center"/>
          </w:tcPr>
          <w:p w14:paraId="38427486"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欧洲化学工业理事会（</w:t>
            </w:r>
            <w:r>
              <w:rPr>
                <w:rFonts w:ascii="Times New Roman" w:hAnsi="Times New Roman"/>
                <w:kern w:val="0"/>
                <w:sz w:val="18"/>
                <w:szCs w:val="18"/>
              </w:rPr>
              <w:t>The European ChemicalIndustry Council</w:t>
            </w:r>
            <w:r>
              <w:rPr>
                <w:rFonts w:ascii="Times New Roman" w:hAnsi="Times New Roman" w:hint="eastAsia"/>
                <w:kern w:val="0"/>
                <w:sz w:val="18"/>
                <w:szCs w:val="18"/>
              </w:rPr>
              <w:t>（</w:t>
            </w:r>
            <w:r>
              <w:rPr>
                <w:rFonts w:ascii="Times New Roman" w:hAnsi="Times New Roman"/>
                <w:kern w:val="0"/>
                <w:sz w:val="18"/>
                <w:szCs w:val="18"/>
              </w:rPr>
              <w:t>CEFIC</w:t>
            </w:r>
            <w:r>
              <w:rPr>
                <w:rFonts w:ascii="Times New Roman" w:hAnsi="Times New Roman" w:hint="eastAsia"/>
                <w:kern w:val="0"/>
                <w:sz w:val="18"/>
                <w:szCs w:val="18"/>
              </w:rPr>
              <w:t>）</w:t>
            </w:r>
          </w:p>
        </w:tc>
      </w:tr>
      <w:tr w:rsidR="00501C7E" w14:paraId="278AF2A4" w14:textId="77777777">
        <w:trPr>
          <w:trHeight w:val="270"/>
        </w:trPr>
        <w:tc>
          <w:tcPr>
            <w:tcW w:w="1346" w:type="pct"/>
            <w:tcBorders>
              <w:tl2br w:val="nil"/>
              <w:tr2bl w:val="nil"/>
            </w:tcBorders>
            <w:shd w:val="clear" w:color="auto" w:fill="auto"/>
            <w:noWrap/>
            <w:vAlign w:val="center"/>
          </w:tcPr>
          <w:p w14:paraId="1D681617"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欧盟对中国颗粒状聚四氟乙烯树脂反倾销案</w:t>
            </w:r>
          </w:p>
        </w:tc>
        <w:tc>
          <w:tcPr>
            <w:tcW w:w="518" w:type="pct"/>
            <w:tcBorders>
              <w:tl2br w:val="nil"/>
              <w:tr2bl w:val="nil"/>
            </w:tcBorders>
            <w:shd w:val="clear" w:color="auto" w:fill="auto"/>
            <w:noWrap/>
            <w:vAlign w:val="center"/>
          </w:tcPr>
          <w:p w14:paraId="3D243B95"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2004</w:t>
            </w:r>
          </w:p>
        </w:tc>
        <w:tc>
          <w:tcPr>
            <w:tcW w:w="641" w:type="pct"/>
            <w:tcBorders>
              <w:tl2br w:val="nil"/>
              <w:tr2bl w:val="nil"/>
            </w:tcBorders>
            <w:shd w:val="clear" w:color="auto" w:fill="auto"/>
            <w:noWrap/>
            <w:vAlign w:val="center"/>
          </w:tcPr>
          <w:p w14:paraId="320EAB0E"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62.7</w:t>
            </w:r>
          </w:p>
        </w:tc>
        <w:tc>
          <w:tcPr>
            <w:tcW w:w="649" w:type="pct"/>
            <w:tcBorders>
              <w:tl2br w:val="nil"/>
              <w:tr2bl w:val="nil"/>
            </w:tcBorders>
            <w:shd w:val="clear" w:color="auto" w:fill="auto"/>
            <w:noWrap/>
            <w:vAlign w:val="center"/>
          </w:tcPr>
          <w:p w14:paraId="77C50F73"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55.5</w:t>
            </w:r>
          </w:p>
        </w:tc>
        <w:tc>
          <w:tcPr>
            <w:tcW w:w="1844" w:type="pct"/>
            <w:tcBorders>
              <w:tl2br w:val="nil"/>
              <w:tr2bl w:val="nil"/>
            </w:tcBorders>
            <w:shd w:val="clear" w:color="auto" w:fill="auto"/>
            <w:noWrap/>
            <w:vAlign w:val="center"/>
          </w:tcPr>
          <w:p w14:paraId="5DEEA709"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欧洲化学工业理事会（</w:t>
            </w:r>
            <w:r>
              <w:rPr>
                <w:rFonts w:ascii="Times New Roman" w:hAnsi="Times New Roman"/>
                <w:kern w:val="0"/>
                <w:sz w:val="18"/>
                <w:szCs w:val="18"/>
              </w:rPr>
              <w:t>The European ChemicalIndustry Council</w:t>
            </w:r>
            <w:r>
              <w:rPr>
                <w:rFonts w:ascii="Times New Roman" w:hAnsi="Times New Roman" w:hint="eastAsia"/>
                <w:kern w:val="0"/>
                <w:sz w:val="18"/>
                <w:szCs w:val="18"/>
              </w:rPr>
              <w:t>（</w:t>
            </w:r>
            <w:r>
              <w:rPr>
                <w:rFonts w:ascii="Times New Roman" w:hAnsi="Times New Roman"/>
                <w:kern w:val="0"/>
                <w:sz w:val="18"/>
                <w:szCs w:val="18"/>
              </w:rPr>
              <w:t>CEFIC</w:t>
            </w:r>
            <w:r>
              <w:rPr>
                <w:rFonts w:ascii="Times New Roman" w:hAnsi="Times New Roman" w:hint="eastAsia"/>
                <w:kern w:val="0"/>
                <w:sz w:val="18"/>
                <w:szCs w:val="18"/>
              </w:rPr>
              <w:t>）</w:t>
            </w:r>
          </w:p>
        </w:tc>
      </w:tr>
      <w:tr w:rsidR="00501C7E" w14:paraId="571896EE" w14:textId="77777777">
        <w:trPr>
          <w:trHeight w:val="270"/>
        </w:trPr>
        <w:tc>
          <w:tcPr>
            <w:tcW w:w="1346" w:type="pct"/>
            <w:tcBorders>
              <w:tl2br w:val="nil"/>
              <w:tr2bl w:val="nil"/>
            </w:tcBorders>
            <w:shd w:val="clear" w:color="auto" w:fill="auto"/>
            <w:noWrap/>
            <w:vAlign w:val="center"/>
          </w:tcPr>
          <w:p w14:paraId="188B4669"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欧盟对中国三氯异氰尿酸</w:t>
            </w:r>
          </w:p>
          <w:p w14:paraId="3218F2E7"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反倾销案</w:t>
            </w:r>
          </w:p>
        </w:tc>
        <w:tc>
          <w:tcPr>
            <w:tcW w:w="518" w:type="pct"/>
            <w:tcBorders>
              <w:tl2br w:val="nil"/>
              <w:tr2bl w:val="nil"/>
            </w:tcBorders>
            <w:shd w:val="clear" w:color="auto" w:fill="auto"/>
            <w:noWrap/>
            <w:vAlign w:val="center"/>
          </w:tcPr>
          <w:p w14:paraId="022B49B6"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2004</w:t>
            </w:r>
          </w:p>
        </w:tc>
        <w:tc>
          <w:tcPr>
            <w:tcW w:w="641" w:type="pct"/>
            <w:tcBorders>
              <w:tl2br w:val="nil"/>
              <w:tr2bl w:val="nil"/>
            </w:tcBorders>
            <w:shd w:val="clear" w:color="auto" w:fill="auto"/>
            <w:noWrap/>
            <w:vAlign w:val="center"/>
          </w:tcPr>
          <w:p w14:paraId="51B76AA9"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33.8</w:t>
            </w:r>
          </w:p>
        </w:tc>
        <w:tc>
          <w:tcPr>
            <w:tcW w:w="649" w:type="pct"/>
            <w:tcBorders>
              <w:tl2br w:val="nil"/>
              <w:tr2bl w:val="nil"/>
            </w:tcBorders>
            <w:shd w:val="clear" w:color="auto" w:fill="auto"/>
            <w:noWrap/>
            <w:vAlign w:val="center"/>
          </w:tcPr>
          <w:p w14:paraId="0483C14C"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25</w:t>
            </w:r>
          </w:p>
        </w:tc>
        <w:tc>
          <w:tcPr>
            <w:tcW w:w="1844" w:type="pct"/>
            <w:tcBorders>
              <w:tl2br w:val="nil"/>
              <w:tr2bl w:val="nil"/>
            </w:tcBorders>
            <w:shd w:val="clear" w:color="auto" w:fill="auto"/>
            <w:noWrap/>
            <w:vAlign w:val="center"/>
          </w:tcPr>
          <w:p w14:paraId="4D9B3A4E"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欧洲化学工业理事会（</w:t>
            </w:r>
            <w:r>
              <w:rPr>
                <w:rFonts w:ascii="Times New Roman" w:hAnsi="Times New Roman"/>
                <w:kern w:val="0"/>
                <w:sz w:val="18"/>
                <w:szCs w:val="18"/>
              </w:rPr>
              <w:t>The European ChemicalIndustry Council</w:t>
            </w:r>
            <w:r>
              <w:rPr>
                <w:rFonts w:ascii="Times New Roman" w:hAnsi="Times New Roman" w:hint="eastAsia"/>
                <w:kern w:val="0"/>
                <w:sz w:val="18"/>
                <w:szCs w:val="18"/>
              </w:rPr>
              <w:t>（</w:t>
            </w:r>
            <w:r>
              <w:rPr>
                <w:rFonts w:ascii="Times New Roman" w:hAnsi="Times New Roman"/>
                <w:kern w:val="0"/>
                <w:sz w:val="18"/>
                <w:szCs w:val="18"/>
              </w:rPr>
              <w:t>CEFIC</w:t>
            </w:r>
            <w:r>
              <w:rPr>
                <w:rFonts w:ascii="Times New Roman" w:hAnsi="Times New Roman" w:hint="eastAsia"/>
                <w:kern w:val="0"/>
                <w:sz w:val="18"/>
                <w:szCs w:val="18"/>
              </w:rPr>
              <w:t>）</w:t>
            </w:r>
          </w:p>
        </w:tc>
      </w:tr>
      <w:tr w:rsidR="00501C7E" w14:paraId="03D34DD5" w14:textId="77777777">
        <w:trPr>
          <w:trHeight w:val="315"/>
        </w:trPr>
        <w:tc>
          <w:tcPr>
            <w:tcW w:w="1346" w:type="pct"/>
            <w:tcBorders>
              <w:tl2br w:val="nil"/>
              <w:tr2bl w:val="nil"/>
            </w:tcBorders>
            <w:shd w:val="clear" w:color="auto" w:fill="auto"/>
            <w:noWrap/>
            <w:vAlign w:val="center"/>
          </w:tcPr>
          <w:p w14:paraId="65630512"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欧盟对中国氯化钡反倾销案</w:t>
            </w:r>
          </w:p>
        </w:tc>
        <w:tc>
          <w:tcPr>
            <w:tcW w:w="518" w:type="pct"/>
            <w:tcBorders>
              <w:tl2br w:val="nil"/>
              <w:tr2bl w:val="nil"/>
            </w:tcBorders>
            <w:shd w:val="clear" w:color="auto" w:fill="auto"/>
            <w:noWrap/>
            <w:vAlign w:val="center"/>
          </w:tcPr>
          <w:p w14:paraId="22C670DD"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1988</w:t>
            </w:r>
          </w:p>
        </w:tc>
        <w:tc>
          <w:tcPr>
            <w:tcW w:w="641" w:type="pct"/>
            <w:tcBorders>
              <w:tl2br w:val="nil"/>
              <w:tr2bl w:val="nil"/>
            </w:tcBorders>
            <w:shd w:val="clear" w:color="auto" w:fill="auto"/>
            <w:noWrap/>
            <w:vAlign w:val="center"/>
          </w:tcPr>
          <w:p w14:paraId="31E48249"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25.43</w:t>
            </w:r>
          </w:p>
        </w:tc>
        <w:tc>
          <w:tcPr>
            <w:tcW w:w="649" w:type="pct"/>
            <w:tcBorders>
              <w:tl2br w:val="nil"/>
              <w:tr2bl w:val="nil"/>
            </w:tcBorders>
            <w:shd w:val="clear" w:color="auto" w:fill="auto"/>
            <w:noWrap/>
            <w:vAlign w:val="center"/>
          </w:tcPr>
          <w:p w14:paraId="2667069C"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25.8</w:t>
            </w:r>
          </w:p>
        </w:tc>
        <w:tc>
          <w:tcPr>
            <w:tcW w:w="1844" w:type="pct"/>
            <w:tcBorders>
              <w:tl2br w:val="nil"/>
              <w:tr2bl w:val="nil"/>
            </w:tcBorders>
            <w:shd w:val="clear" w:color="auto" w:fill="auto"/>
            <w:noWrap/>
            <w:vAlign w:val="center"/>
          </w:tcPr>
          <w:p w14:paraId="59754B36"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欧洲化学工业理事会（</w:t>
            </w:r>
            <w:r>
              <w:rPr>
                <w:rFonts w:ascii="Times New Roman" w:hAnsi="Times New Roman"/>
                <w:kern w:val="0"/>
                <w:sz w:val="18"/>
                <w:szCs w:val="18"/>
              </w:rPr>
              <w:t>The European ChemicalIndustry Council</w:t>
            </w:r>
            <w:r>
              <w:rPr>
                <w:rFonts w:ascii="Times New Roman" w:hAnsi="Times New Roman" w:hint="eastAsia"/>
                <w:kern w:val="0"/>
                <w:sz w:val="18"/>
                <w:szCs w:val="18"/>
              </w:rPr>
              <w:t>（</w:t>
            </w:r>
            <w:r>
              <w:rPr>
                <w:rFonts w:ascii="Times New Roman" w:hAnsi="Times New Roman"/>
                <w:kern w:val="0"/>
                <w:sz w:val="18"/>
                <w:szCs w:val="18"/>
              </w:rPr>
              <w:t>CEFIC</w:t>
            </w:r>
            <w:r>
              <w:rPr>
                <w:rFonts w:ascii="Times New Roman" w:hAnsi="Times New Roman" w:hint="eastAsia"/>
                <w:kern w:val="0"/>
                <w:sz w:val="18"/>
                <w:szCs w:val="18"/>
              </w:rPr>
              <w:t>）</w:t>
            </w:r>
          </w:p>
        </w:tc>
      </w:tr>
      <w:tr w:rsidR="00501C7E" w14:paraId="03611039" w14:textId="77777777">
        <w:trPr>
          <w:trHeight w:val="315"/>
        </w:trPr>
        <w:tc>
          <w:tcPr>
            <w:tcW w:w="1346" w:type="pct"/>
            <w:tcBorders>
              <w:tl2br w:val="nil"/>
              <w:tr2bl w:val="nil"/>
            </w:tcBorders>
            <w:shd w:val="clear" w:color="auto" w:fill="auto"/>
            <w:noWrap/>
            <w:vAlign w:val="center"/>
          </w:tcPr>
          <w:p w14:paraId="5C5D977B"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平均税率</w:t>
            </w:r>
          </w:p>
        </w:tc>
        <w:tc>
          <w:tcPr>
            <w:tcW w:w="518" w:type="pct"/>
            <w:tcBorders>
              <w:tl2br w:val="nil"/>
              <w:tr2bl w:val="nil"/>
            </w:tcBorders>
            <w:shd w:val="clear" w:color="auto" w:fill="auto"/>
            <w:noWrap/>
            <w:vAlign w:val="center"/>
          </w:tcPr>
          <w:p w14:paraId="0D891EE1" w14:textId="77777777" w:rsidR="00501C7E" w:rsidRDefault="00EC5712">
            <w:pPr>
              <w:widowControl/>
              <w:jc w:val="center"/>
              <w:textAlignment w:val="bottom"/>
              <w:rPr>
                <w:rFonts w:ascii="Times New Roman" w:hAnsi="Times New Roman"/>
                <w:kern w:val="0"/>
                <w:sz w:val="18"/>
                <w:szCs w:val="18"/>
              </w:rPr>
            </w:pPr>
            <w:r>
              <w:rPr>
                <w:rFonts w:ascii="Times New Roman" w:hAnsi="Times New Roman"/>
                <w:kern w:val="0"/>
                <w:sz w:val="18"/>
                <w:szCs w:val="18"/>
              </w:rPr>
              <w:t>\</w:t>
            </w:r>
          </w:p>
        </w:tc>
        <w:tc>
          <w:tcPr>
            <w:tcW w:w="641" w:type="pct"/>
            <w:tcBorders>
              <w:tl2br w:val="nil"/>
              <w:tr2bl w:val="nil"/>
            </w:tcBorders>
            <w:shd w:val="clear" w:color="auto" w:fill="auto"/>
            <w:noWrap/>
            <w:vAlign w:val="center"/>
          </w:tcPr>
          <w:p w14:paraId="6072655E"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49.16</w:t>
            </w:r>
          </w:p>
        </w:tc>
        <w:tc>
          <w:tcPr>
            <w:tcW w:w="649" w:type="pct"/>
            <w:tcBorders>
              <w:tl2br w:val="nil"/>
              <w:tr2bl w:val="nil"/>
            </w:tcBorders>
            <w:shd w:val="clear" w:color="auto" w:fill="auto"/>
            <w:noWrap/>
            <w:vAlign w:val="center"/>
          </w:tcPr>
          <w:p w14:paraId="1FA7B9DE"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47.25</w:t>
            </w:r>
          </w:p>
        </w:tc>
        <w:tc>
          <w:tcPr>
            <w:tcW w:w="1844" w:type="pct"/>
            <w:tcBorders>
              <w:tl2br w:val="nil"/>
              <w:tr2bl w:val="nil"/>
            </w:tcBorders>
            <w:shd w:val="clear" w:color="auto" w:fill="auto"/>
            <w:noWrap/>
            <w:vAlign w:val="center"/>
          </w:tcPr>
          <w:p w14:paraId="009230A6"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w:t>
            </w:r>
          </w:p>
        </w:tc>
      </w:tr>
    </w:tbl>
    <w:p w14:paraId="3DB80BDD" w14:textId="77777777" w:rsidR="00501C7E" w:rsidRDefault="00501C7E">
      <w:pPr>
        <w:rPr>
          <w:rFonts w:ascii="Times New Roman" w:hAnsi="Times New Roman"/>
        </w:rPr>
      </w:pPr>
    </w:p>
    <w:p w14:paraId="58ABE240" w14:textId="77777777" w:rsidR="00501C7E" w:rsidRDefault="00501C7E" w:rsidP="005614A0">
      <w:pPr>
        <w:ind w:firstLineChars="200" w:firstLine="420"/>
        <w:rPr>
          <w:rFonts w:ascii="Times New Roman" w:eastAsia="楷体" w:hAnsi="Times New Roman"/>
          <w:bCs/>
          <w:szCs w:val="21"/>
        </w:rPr>
      </w:pPr>
    </w:p>
    <w:p w14:paraId="55139E58" w14:textId="77777777" w:rsidR="00501C7E" w:rsidRDefault="00EC5712">
      <w:pPr>
        <w:jc w:val="center"/>
        <w:rPr>
          <w:rFonts w:ascii="Times New Roman" w:eastAsia="楷体" w:hAnsi="Times New Roman"/>
          <w:bCs/>
          <w:szCs w:val="21"/>
        </w:rPr>
      </w:pPr>
      <w:r>
        <w:rPr>
          <w:rFonts w:ascii="Times New Roman" w:eastAsia="楷体" w:hAnsi="Times New Roman"/>
          <w:bCs/>
          <w:szCs w:val="21"/>
        </w:rPr>
        <w:t>表</w:t>
      </w:r>
      <w:r>
        <w:rPr>
          <w:rFonts w:ascii="Times New Roman" w:eastAsia="楷体" w:hAnsi="Times New Roman"/>
          <w:bCs/>
          <w:szCs w:val="21"/>
        </w:rPr>
        <w:t xml:space="preserve">13  </w:t>
      </w:r>
      <w:r>
        <w:rPr>
          <w:rFonts w:ascii="Times New Roman" w:eastAsia="楷体" w:hAnsi="Times New Roman"/>
          <w:bCs/>
          <w:szCs w:val="21"/>
        </w:rPr>
        <w:t>化学原料和制品行业非传统申诉者申诉的案件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748"/>
        <w:gridCol w:w="1140"/>
        <w:gridCol w:w="1229"/>
        <w:gridCol w:w="4264"/>
      </w:tblGrid>
      <w:tr w:rsidR="00501C7E" w14:paraId="77653F7B" w14:textId="77777777">
        <w:trPr>
          <w:trHeight w:val="272"/>
        </w:trPr>
        <w:tc>
          <w:tcPr>
            <w:tcW w:w="952" w:type="pct"/>
            <w:tcBorders>
              <w:tl2br w:val="nil"/>
              <w:tr2bl w:val="nil"/>
            </w:tcBorders>
            <w:shd w:val="clear" w:color="auto" w:fill="auto"/>
            <w:noWrap/>
            <w:vAlign w:val="center"/>
          </w:tcPr>
          <w:p w14:paraId="6CAE81CA" w14:textId="77777777" w:rsidR="00501C7E" w:rsidRDefault="00EC5712">
            <w:pPr>
              <w:widowControl/>
              <w:jc w:val="center"/>
              <w:textAlignment w:val="bottom"/>
              <w:rPr>
                <w:rFonts w:ascii="Times New Roman" w:hAnsi="Times New Roman"/>
                <w:sz w:val="18"/>
                <w:szCs w:val="18"/>
              </w:rPr>
            </w:pPr>
            <w:r>
              <w:rPr>
                <w:rFonts w:ascii="Times New Roman" w:hAnsi="Times New Roman"/>
                <w:kern w:val="0"/>
                <w:sz w:val="18"/>
                <w:szCs w:val="18"/>
              </w:rPr>
              <w:t>案件</w:t>
            </w:r>
          </w:p>
        </w:tc>
        <w:tc>
          <w:tcPr>
            <w:tcW w:w="410" w:type="pct"/>
            <w:tcBorders>
              <w:tl2br w:val="nil"/>
              <w:tr2bl w:val="nil"/>
            </w:tcBorders>
            <w:shd w:val="clear" w:color="auto" w:fill="auto"/>
            <w:noWrap/>
            <w:vAlign w:val="center"/>
          </w:tcPr>
          <w:p w14:paraId="7DB60AD4"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年份</w:t>
            </w:r>
          </w:p>
        </w:tc>
        <w:tc>
          <w:tcPr>
            <w:tcW w:w="625" w:type="pct"/>
            <w:tcBorders>
              <w:tl2br w:val="nil"/>
              <w:tr2bl w:val="nil"/>
            </w:tcBorders>
            <w:shd w:val="clear" w:color="auto" w:fill="auto"/>
            <w:noWrap/>
            <w:vAlign w:val="center"/>
          </w:tcPr>
          <w:p w14:paraId="4BCA6F4F"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初裁税率</w:t>
            </w:r>
            <w:r w:rsidR="00105E9B">
              <w:rPr>
                <w:rFonts w:ascii="Times New Roman" w:hAnsi="Times New Roman"/>
                <w:kern w:val="0"/>
                <w:sz w:val="18"/>
                <w:szCs w:val="18"/>
              </w:rPr>
              <w:t>（</w:t>
            </w:r>
            <w:r w:rsidR="00105E9B">
              <w:rPr>
                <w:rFonts w:ascii="Times New Roman" w:hAnsi="Times New Roman"/>
                <w:kern w:val="0"/>
                <w:sz w:val="18"/>
                <w:szCs w:val="18"/>
              </w:rPr>
              <w:t>%</w:t>
            </w:r>
            <w:r w:rsidR="00105E9B">
              <w:rPr>
                <w:rFonts w:ascii="Times New Roman" w:hAnsi="Times New Roman"/>
                <w:kern w:val="0"/>
                <w:sz w:val="18"/>
                <w:szCs w:val="18"/>
              </w:rPr>
              <w:t>）</w:t>
            </w:r>
          </w:p>
        </w:tc>
        <w:tc>
          <w:tcPr>
            <w:tcW w:w="674" w:type="pct"/>
            <w:tcBorders>
              <w:tl2br w:val="nil"/>
              <w:tr2bl w:val="nil"/>
            </w:tcBorders>
            <w:shd w:val="clear" w:color="auto" w:fill="auto"/>
            <w:noWrap/>
            <w:vAlign w:val="center"/>
          </w:tcPr>
          <w:p w14:paraId="301D1320"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终裁税率</w:t>
            </w:r>
            <w:r w:rsidR="00105E9B">
              <w:rPr>
                <w:rFonts w:ascii="Times New Roman" w:hAnsi="Times New Roman"/>
                <w:kern w:val="0"/>
                <w:sz w:val="18"/>
                <w:szCs w:val="18"/>
              </w:rPr>
              <w:t>（</w:t>
            </w:r>
            <w:r w:rsidR="00105E9B">
              <w:rPr>
                <w:rFonts w:ascii="Times New Roman" w:hAnsi="Times New Roman"/>
                <w:kern w:val="0"/>
                <w:sz w:val="18"/>
                <w:szCs w:val="18"/>
              </w:rPr>
              <w:t>%</w:t>
            </w:r>
            <w:r w:rsidR="00105E9B">
              <w:rPr>
                <w:rFonts w:ascii="Times New Roman" w:hAnsi="Times New Roman"/>
                <w:kern w:val="0"/>
                <w:sz w:val="18"/>
                <w:szCs w:val="18"/>
              </w:rPr>
              <w:t>）</w:t>
            </w:r>
          </w:p>
        </w:tc>
        <w:tc>
          <w:tcPr>
            <w:tcW w:w="2337" w:type="pct"/>
            <w:tcBorders>
              <w:tl2br w:val="nil"/>
              <w:tr2bl w:val="nil"/>
            </w:tcBorders>
            <w:shd w:val="clear" w:color="auto" w:fill="auto"/>
            <w:noWrap/>
            <w:vAlign w:val="center"/>
          </w:tcPr>
          <w:p w14:paraId="66737BE7"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申诉者</w:t>
            </w:r>
          </w:p>
        </w:tc>
      </w:tr>
      <w:tr w:rsidR="00501C7E" w14:paraId="262C2099" w14:textId="77777777">
        <w:trPr>
          <w:trHeight w:val="272"/>
        </w:trPr>
        <w:tc>
          <w:tcPr>
            <w:tcW w:w="952" w:type="pct"/>
            <w:tcBorders>
              <w:tl2br w:val="nil"/>
              <w:tr2bl w:val="nil"/>
            </w:tcBorders>
            <w:shd w:val="clear" w:color="auto" w:fill="auto"/>
            <w:noWrap/>
            <w:vAlign w:val="center"/>
          </w:tcPr>
          <w:p w14:paraId="0241477A"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欧盟对中国聚乙烯醇反倾销案</w:t>
            </w:r>
          </w:p>
        </w:tc>
        <w:tc>
          <w:tcPr>
            <w:tcW w:w="410" w:type="pct"/>
            <w:tcBorders>
              <w:tl2br w:val="nil"/>
              <w:tr2bl w:val="nil"/>
            </w:tcBorders>
            <w:shd w:val="clear" w:color="auto" w:fill="auto"/>
            <w:noWrap/>
            <w:vAlign w:val="center"/>
          </w:tcPr>
          <w:p w14:paraId="1D5FB51E"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2019</w:t>
            </w:r>
          </w:p>
        </w:tc>
        <w:tc>
          <w:tcPr>
            <w:tcW w:w="625" w:type="pct"/>
            <w:tcBorders>
              <w:tl2br w:val="nil"/>
              <w:tr2bl w:val="nil"/>
            </w:tcBorders>
            <w:shd w:val="clear" w:color="auto" w:fill="auto"/>
            <w:noWrap/>
            <w:vAlign w:val="center"/>
          </w:tcPr>
          <w:p w14:paraId="7BB3F04D"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45.1</w:t>
            </w:r>
          </w:p>
        </w:tc>
        <w:tc>
          <w:tcPr>
            <w:tcW w:w="674" w:type="pct"/>
            <w:tcBorders>
              <w:tl2br w:val="nil"/>
              <w:tr2bl w:val="nil"/>
            </w:tcBorders>
            <w:shd w:val="clear" w:color="auto" w:fill="auto"/>
            <w:noWrap/>
            <w:vAlign w:val="center"/>
          </w:tcPr>
          <w:p w14:paraId="4116B7DA"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45.1</w:t>
            </w:r>
          </w:p>
        </w:tc>
        <w:tc>
          <w:tcPr>
            <w:tcW w:w="2337" w:type="pct"/>
            <w:tcBorders>
              <w:tl2br w:val="nil"/>
              <w:tr2bl w:val="nil"/>
            </w:tcBorders>
            <w:shd w:val="clear" w:color="auto" w:fill="auto"/>
            <w:noWrap/>
            <w:vAlign w:val="center"/>
          </w:tcPr>
          <w:p w14:paraId="1F980608"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欧盟企业</w:t>
            </w:r>
            <w:r>
              <w:rPr>
                <w:rFonts w:ascii="Times New Roman" w:hAnsi="Times New Roman"/>
                <w:kern w:val="0"/>
                <w:sz w:val="18"/>
                <w:szCs w:val="18"/>
              </w:rPr>
              <w:t>Kuraray Europe GmbH</w:t>
            </w:r>
          </w:p>
        </w:tc>
      </w:tr>
      <w:tr w:rsidR="00501C7E" w14:paraId="43D115FF" w14:textId="77777777">
        <w:trPr>
          <w:trHeight w:val="272"/>
        </w:trPr>
        <w:tc>
          <w:tcPr>
            <w:tcW w:w="952" w:type="pct"/>
            <w:tcBorders>
              <w:tl2br w:val="nil"/>
              <w:tr2bl w:val="nil"/>
            </w:tcBorders>
            <w:shd w:val="clear" w:color="auto" w:fill="auto"/>
            <w:noWrap/>
            <w:vAlign w:val="center"/>
          </w:tcPr>
          <w:p w14:paraId="05EB5032"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欧盟对中国蜡烛及其同类产品反倾销案</w:t>
            </w:r>
          </w:p>
        </w:tc>
        <w:tc>
          <w:tcPr>
            <w:tcW w:w="410" w:type="pct"/>
            <w:tcBorders>
              <w:tl2br w:val="nil"/>
              <w:tr2bl w:val="nil"/>
            </w:tcBorders>
            <w:shd w:val="clear" w:color="auto" w:fill="auto"/>
            <w:noWrap/>
            <w:vAlign w:val="center"/>
          </w:tcPr>
          <w:p w14:paraId="2F705400"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2008</w:t>
            </w:r>
          </w:p>
        </w:tc>
        <w:tc>
          <w:tcPr>
            <w:tcW w:w="625" w:type="pct"/>
            <w:tcBorders>
              <w:tl2br w:val="nil"/>
              <w:tr2bl w:val="nil"/>
            </w:tcBorders>
            <w:shd w:val="clear" w:color="auto" w:fill="auto"/>
            <w:noWrap/>
            <w:vAlign w:val="center"/>
          </w:tcPr>
          <w:p w14:paraId="03534292"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52.2</w:t>
            </w:r>
          </w:p>
        </w:tc>
        <w:tc>
          <w:tcPr>
            <w:tcW w:w="674" w:type="pct"/>
            <w:tcBorders>
              <w:tl2br w:val="nil"/>
              <w:tr2bl w:val="nil"/>
            </w:tcBorders>
            <w:shd w:val="clear" w:color="auto" w:fill="auto"/>
            <w:noWrap/>
            <w:vAlign w:val="center"/>
          </w:tcPr>
          <w:p w14:paraId="2C2D81DA"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46.2</w:t>
            </w:r>
          </w:p>
        </w:tc>
        <w:tc>
          <w:tcPr>
            <w:tcW w:w="2337" w:type="pct"/>
            <w:tcBorders>
              <w:tl2br w:val="nil"/>
              <w:tr2bl w:val="nil"/>
            </w:tcBorders>
            <w:shd w:val="clear" w:color="auto" w:fill="auto"/>
            <w:noWrap/>
            <w:vAlign w:val="center"/>
          </w:tcPr>
          <w:p w14:paraId="68DB657B"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欧盟八家企业</w:t>
            </w:r>
          </w:p>
        </w:tc>
      </w:tr>
      <w:tr w:rsidR="00501C7E" w14:paraId="3363812D" w14:textId="77777777">
        <w:trPr>
          <w:trHeight w:val="272"/>
        </w:trPr>
        <w:tc>
          <w:tcPr>
            <w:tcW w:w="952" w:type="pct"/>
            <w:tcBorders>
              <w:tl2br w:val="nil"/>
              <w:tr2bl w:val="nil"/>
            </w:tcBorders>
            <w:shd w:val="clear" w:color="auto" w:fill="auto"/>
            <w:noWrap/>
            <w:vAlign w:val="center"/>
          </w:tcPr>
          <w:p w14:paraId="4745AA35"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欧盟对中国柠檬酸反倾销案</w:t>
            </w:r>
          </w:p>
        </w:tc>
        <w:tc>
          <w:tcPr>
            <w:tcW w:w="410" w:type="pct"/>
            <w:tcBorders>
              <w:tl2br w:val="nil"/>
              <w:tr2bl w:val="nil"/>
            </w:tcBorders>
            <w:shd w:val="clear" w:color="auto" w:fill="auto"/>
            <w:noWrap/>
            <w:vAlign w:val="center"/>
          </w:tcPr>
          <w:p w14:paraId="569F9389"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2007</w:t>
            </w:r>
          </w:p>
        </w:tc>
        <w:tc>
          <w:tcPr>
            <w:tcW w:w="625" w:type="pct"/>
            <w:tcBorders>
              <w:tl2br w:val="nil"/>
              <w:tr2bl w:val="nil"/>
            </w:tcBorders>
            <w:shd w:val="clear" w:color="auto" w:fill="auto"/>
            <w:noWrap/>
            <w:vAlign w:val="center"/>
          </w:tcPr>
          <w:p w14:paraId="42EBD845"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49.3</w:t>
            </w:r>
          </w:p>
        </w:tc>
        <w:tc>
          <w:tcPr>
            <w:tcW w:w="674" w:type="pct"/>
            <w:tcBorders>
              <w:tl2br w:val="nil"/>
              <w:tr2bl w:val="nil"/>
            </w:tcBorders>
            <w:shd w:val="clear" w:color="auto" w:fill="auto"/>
            <w:noWrap/>
            <w:vAlign w:val="center"/>
          </w:tcPr>
          <w:p w14:paraId="6CD49F50"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42.7</w:t>
            </w:r>
          </w:p>
        </w:tc>
        <w:tc>
          <w:tcPr>
            <w:tcW w:w="2337" w:type="pct"/>
            <w:tcBorders>
              <w:tl2br w:val="nil"/>
              <w:tr2bl w:val="nil"/>
            </w:tcBorders>
            <w:shd w:val="clear" w:color="auto" w:fill="auto"/>
            <w:noWrap/>
            <w:vAlign w:val="center"/>
          </w:tcPr>
          <w:p w14:paraId="33F0AE82"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欧盟企业</w:t>
            </w:r>
            <w:r>
              <w:rPr>
                <w:rFonts w:ascii="Times New Roman" w:hAnsi="Times New Roman"/>
                <w:kern w:val="0"/>
                <w:sz w:val="18"/>
                <w:szCs w:val="18"/>
              </w:rPr>
              <w:t>SA Citrique Belge</w:t>
            </w:r>
            <w:r>
              <w:rPr>
                <w:rFonts w:ascii="Times New Roman" w:hAnsi="Times New Roman"/>
                <w:kern w:val="0"/>
                <w:sz w:val="18"/>
                <w:szCs w:val="18"/>
              </w:rPr>
              <w:t>和</w:t>
            </w:r>
            <w:r>
              <w:rPr>
                <w:rFonts w:ascii="Times New Roman" w:hAnsi="Times New Roman"/>
                <w:kern w:val="0"/>
                <w:sz w:val="18"/>
                <w:szCs w:val="18"/>
              </w:rPr>
              <w:t>Jungbunzlauer Austria AG</w:t>
            </w:r>
          </w:p>
        </w:tc>
      </w:tr>
      <w:tr w:rsidR="00501C7E" w14:paraId="66AB5884" w14:textId="77777777">
        <w:trPr>
          <w:trHeight w:val="272"/>
        </w:trPr>
        <w:tc>
          <w:tcPr>
            <w:tcW w:w="952" w:type="pct"/>
            <w:tcBorders>
              <w:tl2br w:val="nil"/>
              <w:tr2bl w:val="nil"/>
            </w:tcBorders>
            <w:shd w:val="clear" w:color="auto" w:fill="auto"/>
            <w:noWrap/>
            <w:vAlign w:val="center"/>
          </w:tcPr>
          <w:p w14:paraId="0B5F6DEC"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欧盟对中国酒石酸反倾销案</w:t>
            </w:r>
          </w:p>
        </w:tc>
        <w:tc>
          <w:tcPr>
            <w:tcW w:w="410" w:type="pct"/>
            <w:tcBorders>
              <w:tl2br w:val="nil"/>
              <w:tr2bl w:val="nil"/>
            </w:tcBorders>
            <w:shd w:val="clear" w:color="auto" w:fill="auto"/>
            <w:noWrap/>
            <w:vAlign w:val="center"/>
          </w:tcPr>
          <w:p w14:paraId="6708B0A7"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2004</w:t>
            </w:r>
          </w:p>
        </w:tc>
        <w:tc>
          <w:tcPr>
            <w:tcW w:w="625" w:type="pct"/>
            <w:tcBorders>
              <w:tl2br w:val="nil"/>
              <w:tr2bl w:val="nil"/>
            </w:tcBorders>
            <w:shd w:val="clear" w:color="auto" w:fill="auto"/>
            <w:noWrap/>
            <w:vAlign w:val="center"/>
          </w:tcPr>
          <w:p w14:paraId="536DE02B"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34.9</w:t>
            </w:r>
          </w:p>
        </w:tc>
        <w:tc>
          <w:tcPr>
            <w:tcW w:w="674" w:type="pct"/>
            <w:tcBorders>
              <w:tl2br w:val="nil"/>
              <w:tr2bl w:val="nil"/>
            </w:tcBorders>
            <w:shd w:val="clear" w:color="auto" w:fill="auto"/>
            <w:noWrap/>
            <w:vAlign w:val="center"/>
          </w:tcPr>
          <w:p w14:paraId="393DA1DF"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34.9</w:t>
            </w:r>
          </w:p>
        </w:tc>
        <w:tc>
          <w:tcPr>
            <w:tcW w:w="2337" w:type="pct"/>
            <w:tcBorders>
              <w:tl2br w:val="nil"/>
              <w:tr2bl w:val="nil"/>
            </w:tcBorders>
            <w:shd w:val="clear" w:color="auto" w:fill="auto"/>
            <w:noWrap/>
            <w:vAlign w:val="center"/>
          </w:tcPr>
          <w:p w14:paraId="0C77B019"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欧盟四家企业</w:t>
            </w:r>
          </w:p>
        </w:tc>
      </w:tr>
      <w:tr w:rsidR="00501C7E" w14:paraId="2E152376" w14:textId="77777777">
        <w:trPr>
          <w:trHeight w:val="272"/>
        </w:trPr>
        <w:tc>
          <w:tcPr>
            <w:tcW w:w="952" w:type="pct"/>
            <w:tcBorders>
              <w:tl2br w:val="nil"/>
              <w:tr2bl w:val="nil"/>
            </w:tcBorders>
            <w:shd w:val="clear" w:color="auto" w:fill="auto"/>
            <w:noWrap/>
            <w:vAlign w:val="center"/>
          </w:tcPr>
          <w:p w14:paraId="566FAAF3"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欧盟对中国聚对苯二甲酸乙二醇酯反倾销案</w:t>
            </w:r>
          </w:p>
        </w:tc>
        <w:tc>
          <w:tcPr>
            <w:tcW w:w="410" w:type="pct"/>
            <w:tcBorders>
              <w:tl2br w:val="nil"/>
              <w:tr2bl w:val="nil"/>
            </w:tcBorders>
            <w:shd w:val="clear" w:color="auto" w:fill="auto"/>
            <w:noWrap/>
            <w:vAlign w:val="center"/>
          </w:tcPr>
          <w:p w14:paraId="14FE14CE"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2003</w:t>
            </w:r>
          </w:p>
        </w:tc>
        <w:tc>
          <w:tcPr>
            <w:tcW w:w="625" w:type="pct"/>
            <w:tcBorders>
              <w:tl2br w:val="nil"/>
              <w:tr2bl w:val="nil"/>
            </w:tcBorders>
            <w:shd w:val="clear" w:color="auto" w:fill="auto"/>
            <w:noWrap/>
            <w:vAlign w:val="center"/>
          </w:tcPr>
          <w:p w14:paraId="7270E538"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23.2</w:t>
            </w:r>
          </w:p>
        </w:tc>
        <w:tc>
          <w:tcPr>
            <w:tcW w:w="674" w:type="pct"/>
            <w:tcBorders>
              <w:tl2br w:val="nil"/>
              <w:tr2bl w:val="nil"/>
            </w:tcBorders>
            <w:shd w:val="clear" w:color="auto" w:fill="auto"/>
            <w:noWrap/>
            <w:vAlign w:val="center"/>
          </w:tcPr>
          <w:p w14:paraId="701692FF"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22.9</w:t>
            </w:r>
          </w:p>
        </w:tc>
        <w:tc>
          <w:tcPr>
            <w:tcW w:w="2337" w:type="pct"/>
            <w:tcBorders>
              <w:tl2br w:val="nil"/>
              <w:tr2bl w:val="nil"/>
            </w:tcBorders>
            <w:shd w:val="clear" w:color="auto" w:fill="auto"/>
            <w:noWrap/>
            <w:vAlign w:val="center"/>
          </w:tcPr>
          <w:p w14:paraId="2D123201"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欧洲塑料制造商协会</w:t>
            </w:r>
            <w:r>
              <w:rPr>
                <w:rFonts w:ascii="Times New Roman" w:hAnsi="Times New Roman" w:hint="eastAsia"/>
                <w:kern w:val="0"/>
                <w:sz w:val="18"/>
                <w:szCs w:val="18"/>
              </w:rPr>
              <w:t>（</w:t>
            </w:r>
            <w:r>
              <w:rPr>
                <w:rFonts w:ascii="Times New Roman" w:hAnsi="Times New Roman"/>
                <w:kern w:val="0"/>
                <w:sz w:val="18"/>
                <w:szCs w:val="18"/>
              </w:rPr>
              <w:t>APME</w:t>
            </w:r>
            <w:r>
              <w:rPr>
                <w:rFonts w:ascii="Times New Roman" w:hAnsi="Times New Roman" w:hint="eastAsia"/>
                <w:kern w:val="0"/>
                <w:sz w:val="18"/>
                <w:szCs w:val="18"/>
              </w:rPr>
              <w:t>）</w:t>
            </w:r>
          </w:p>
        </w:tc>
      </w:tr>
      <w:tr w:rsidR="00501C7E" w14:paraId="7933299F" w14:textId="77777777">
        <w:trPr>
          <w:trHeight w:val="272"/>
        </w:trPr>
        <w:tc>
          <w:tcPr>
            <w:tcW w:w="952" w:type="pct"/>
            <w:tcBorders>
              <w:tl2br w:val="nil"/>
              <w:tr2bl w:val="nil"/>
            </w:tcBorders>
            <w:shd w:val="clear" w:color="auto" w:fill="auto"/>
            <w:noWrap/>
            <w:vAlign w:val="center"/>
          </w:tcPr>
          <w:p w14:paraId="7BFE2A33"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欧盟对中国对甲酚反倾销案</w:t>
            </w:r>
          </w:p>
        </w:tc>
        <w:tc>
          <w:tcPr>
            <w:tcW w:w="410" w:type="pct"/>
            <w:tcBorders>
              <w:tl2br w:val="nil"/>
              <w:tr2bl w:val="nil"/>
            </w:tcBorders>
            <w:shd w:val="clear" w:color="auto" w:fill="auto"/>
            <w:noWrap/>
            <w:vAlign w:val="center"/>
          </w:tcPr>
          <w:p w14:paraId="60A5D98A"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2002</w:t>
            </w:r>
          </w:p>
        </w:tc>
        <w:tc>
          <w:tcPr>
            <w:tcW w:w="625" w:type="pct"/>
            <w:tcBorders>
              <w:tl2br w:val="nil"/>
              <w:tr2bl w:val="nil"/>
            </w:tcBorders>
            <w:shd w:val="clear" w:color="auto" w:fill="auto"/>
            <w:noWrap/>
            <w:vAlign w:val="center"/>
          </w:tcPr>
          <w:p w14:paraId="55977C71"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40.7</w:t>
            </w:r>
          </w:p>
        </w:tc>
        <w:tc>
          <w:tcPr>
            <w:tcW w:w="674" w:type="pct"/>
            <w:tcBorders>
              <w:tl2br w:val="nil"/>
              <w:tr2bl w:val="nil"/>
            </w:tcBorders>
            <w:shd w:val="clear" w:color="auto" w:fill="auto"/>
            <w:noWrap/>
            <w:vAlign w:val="center"/>
          </w:tcPr>
          <w:p w14:paraId="2F8DD7D0"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40.7</w:t>
            </w:r>
          </w:p>
        </w:tc>
        <w:tc>
          <w:tcPr>
            <w:tcW w:w="2337" w:type="pct"/>
            <w:tcBorders>
              <w:tl2br w:val="nil"/>
              <w:tr2bl w:val="nil"/>
            </w:tcBorders>
            <w:shd w:val="clear" w:color="auto" w:fill="auto"/>
            <w:noWrap/>
            <w:vAlign w:val="center"/>
          </w:tcPr>
          <w:p w14:paraId="6F9D1B74"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欧盟企业</w:t>
            </w:r>
            <w:r>
              <w:rPr>
                <w:rFonts w:ascii="Times New Roman" w:hAnsi="Times New Roman"/>
                <w:kern w:val="0"/>
                <w:sz w:val="18"/>
                <w:szCs w:val="18"/>
              </w:rPr>
              <w:t>Sorochimie Chime Fine</w:t>
            </w:r>
          </w:p>
        </w:tc>
      </w:tr>
      <w:tr w:rsidR="00501C7E" w14:paraId="3A76B515" w14:textId="77777777">
        <w:trPr>
          <w:trHeight w:val="272"/>
        </w:trPr>
        <w:tc>
          <w:tcPr>
            <w:tcW w:w="952" w:type="pct"/>
            <w:tcBorders>
              <w:tl2br w:val="nil"/>
              <w:tr2bl w:val="nil"/>
            </w:tcBorders>
            <w:shd w:val="clear" w:color="auto" w:fill="auto"/>
            <w:noWrap/>
            <w:vAlign w:val="center"/>
          </w:tcPr>
          <w:p w14:paraId="3AD0BBF6"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欧盟对中国对氨基苯磺酸反倾销案</w:t>
            </w:r>
          </w:p>
        </w:tc>
        <w:tc>
          <w:tcPr>
            <w:tcW w:w="410" w:type="pct"/>
            <w:tcBorders>
              <w:tl2br w:val="nil"/>
              <w:tr2bl w:val="nil"/>
            </w:tcBorders>
            <w:shd w:val="clear" w:color="auto" w:fill="auto"/>
            <w:noWrap/>
            <w:vAlign w:val="center"/>
          </w:tcPr>
          <w:p w14:paraId="74C7A84D"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2001</w:t>
            </w:r>
          </w:p>
        </w:tc>
        <w:tc>
          <w:tcPr>
            <w:tcW w:w="625" w:type="pct"/>
            <w:tcBorders>
              <w:tl2br w:val="nil"/>
              <w:tr2bl w:val="nil"/>
            </w:tcBorders>
            <w:shd w:val="clear" w:color="auto" w:fill="auto"/>
            <w:noWrap/>
            <w:vAlign w:val="center"/>
          </w:tcPr>
          <w:p w14:paraId="2A908D4E"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21</w:t>
            </w:r>
          </w:p>
        </w:tc>
        <w:tc>
          <w:tcPr>
            <w:tcW w:w="674" w:type="pct"/>
            <w:tcBorders>
              <w:tl2br w:val="nil"/>
              <w:tr2bl w:val="nil"/>
            </w:tcBorders>
            <w:shd w:val="clear" w:color="auto" w:fill="auto"/>
            <w:noWrap/>
            <w:vAlign w:val="center"/>
          </w:tcPr>
          <w:p w14:paraId="0689C294"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21</w:t>
            </w:r>
          </w:p>
        </w:tc>
        <w:tc>
          <w:tcPr>
            <w:tcW w:w="2337" w:type="pct"/>
            <w:tcBorders>
              <w:tl2br w:val="nil"/>
              <w:tr2bl w:val="nil"/>
            </w:tcBorders>
            <w:shd w:val="clear" w:color="auto" w:fill="auto"/>
            <w:noWrap/>
            <w:vAlign w:val="center"/>
          </w:tcPr>
          <w:p w14:paraId="6DFA680D"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欧盟企业</w:t>
            </w:r>
            <w:r>
              <w:rPr>
                <w:rFonts w:ascii="Times New Roman" w:hAnsi="Times New Roman"/>
                <w:kern w:val="0"/>
                <w:sz w:val="18"/>
                <w:szCs w:val="18"/>
              </w:rPr>
              <w:t>Sorochimie Chime Fine</w:t>
            </w:r>
          </w:p>
        </w:tc>
      </w:tr>
      <w:tr w:rsidR="00501C7E" w14:paraId="1A809040" w14:textId="77777777">
        <w:trPr>
          <w:trHeight w:val="272"/>
        </w:trPr>
        <w:tc>
          <w:tcPr>
            <w:tcW w:w="952" w:type="pct"/>
            <w:tcBorders>
              <w:tl2br w:val="nil"/>
              <w:tr2bl w:val="nil"/>
            </w:tcBorders>
            <w:shd w:val="clear" w:color="auto" w:fill="auto"/>
            <w:noWrap/>
            <w:vAlign w:val="center"/>
          </w:tcPr>
          <w:p w14:paraId="770DB1EE"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欧盟对中国氧化锌反倾销案</w:t>
            </w:r>
          </w:p>
        </w:tc>
        <w:tc>
          <w:tcPr>
            <w:tcW w:w="410" w:type="pct"/>
            <w:tcBorders>
              <w:tl2br w:val="nil"/>
              <w:tr2bl w:val="nil"/>
            </w:tcBorders>
            <w:shd w:val="clear" w:color="auto" w:fill="auto"/>
            <w:noWrap/>
            <w:vAlign w:val="center"/>
          </w:tcPr>
          <w:p w14:paraId="636FE65A"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2000</w:t>
            </w:r>
          </w:p>
        </w:tc>
        <w:tc>
          <w:tcPr>
            <w:tcW w:w="625" w:type="pct"/>
            <w:tcBorders>
              <w:tl2br w:val="nil"/>
              <w:tr2bl w:val="nil"/>
            </w:tcBorders>
            <w:shd w:val="clear" w:color="auto" w:fill="auto"/>
            <w:noWrap/>
            <w:vAlign w:val="center"/>
          </w:tcPr>
          <w:p w14:paraId="56E5044E"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33.5</w:t>
            </w:r>
          </w:p>
        </w:tc>
        <w:tc>
          <w:tcPr>
            <w:tcW w:w="674" w:type="pct"/>
            <w:tcBorders>
              <w:tl2br w:val="nil"/>
              <w:tr2bl w:val="nil"/>
            </w:tcBorders>
            <w:shd w:val="clear" w:color="auto" w:fill="auto"/>
            <w:noWrap/>
            <w:vAlign w:val="center"/>
          </w:tcPr>
          <w:p w14:paraId="2AE2F69C"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28</w:t>
            </w:r>
          </w:p>
        </w:tc>
        <w:tc>
          <w:tcPr>
            <w:tcW w:w="2337" w:type="pct"/>
            <w:tcBorders>
              <w:tl2br w:val="nil"/>
              <w:tr2bl w:val="nil"/>
            </w:tcBorders>
            <w:shd w:val="clear" w:color="auto" w:fill="auto"/>
            <w:noWrap/>
            <w:vAlign w:val="center"/>
          </w:tcPr>
          <w:p w14:paraId="601B8314"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欧洲金属协会（</w:t>
            </w:r>
            <w:r>
              <w:rPr>
                <w:rFonts w:ascii="Times New Roman" w:hAnsi="Times New Roman"/>
                <w:kern w:val="0"/>
                <w:sz w:val="18"/>
                <w:szCs w:val="18"/>
              </w:rPr>
              <w:t>Eurometaux</w:t>
            </w:r>
            <w:r>
              <w:rPr>
                <w:rFonts w:ascii="Times New Roman" w:hAnsi="Times New Roman"/>
                <w:kern w:val="0"/>
                <w:sz w:val="18"/>
                <w:szCs w:val="18"/>
              </w:rPr>
              <w:t>）</w:t>
            </w:r>
          </w:p>
        </w:tc>
      </w:tr>
      <w:tr w:rsidR="00501C7E" w14:paraId="0F87570A" w14:textId="77777777">
        <w:trPr>
          <w:trHeight w:val="272"/>
        </w:trPr>
        <w:tc>
          <w:tcPr>
            <w:tcW w:w="952" w:type="pct"/>
            <w:tcBorders>
              <w:tl2br w:val="nil"/>
              <w:tr2bl w:val="nil"/>
            </w:tcBorders>
            <w:shd w:val="clear" w:color="auto" w:fill="auto"/>
            <w:noWrap/>
            <w:vAlign w:val="center"/>
          </w:tcPr>
          <w:p w14:paraId="512AB600"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欧盟对中国草甘膦反倾销案</w:t>
            </w:r>
          </w:p>
        </w:tc>
        <w:tc>
          <w:tcPr>
            <w:tcW w:w="410" w:type="pct"/>
            <w:tcBorders>
              <w:tl2br w:val="nil"/>
              <w:tr2bl w:val="nil"/>
            </w:tcBorders>
            <w:shd w:val="clear" w:color="auto" w:fill="auto"/>
            <w:noWrap/>
            <w:vAlign w:val="center"/>
          </w:tcPr>
          <w:p w14:paraId="6E94F42A"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1995</w:t>
            </w:r>
          </w:p>
        </w:tc>
        <w:tc>
          <w:tcPr>
            <w:tcW w:w="625" w:type="pct"/>
            <w:tcBorders>
              <w:tl2br w:val="nil"/>
              <w:tr2bl w:val="nil"/>
            </w:tcBorders>
            <w:shd w:val="clear" w:color="auto" w:fill="auto"/>
            <w:noWrap/>
            <w:vAlign w:val="center"/>
          </w:tcPr>
          <w:p w14:paraId="6367EB1D"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21.1</w:t>
            </w:r>
          </w:p>
        </w:tc>
        <w:tc>
          <w:tcPr>
            <w:tcW w:w="674" w:type="pct"/>
            <w:tcBorders>
              <w:tl2br w:val="nil"/>
              <w:tr2bl w:val="nil"/>
            </w:tcBorders>
            <w:shd w:val="clear" w:color="auto" w:fill="auto"/>
            <w:noWrap/>
            <w:vAlign w:val="center"/>
          </w:tcPr>
          <w:p w14:paraId="24B39B1E" w14:textId="77777777" w:rsidR="00501C7E" w:rsidRDefault="00EC5712">
            <w:pPr>
              <w:widowControl/>
              <w:jc w:val="center"/>
              <w:textAlignment w:val="center"/>
              <w:rPr>
                <w:rFonts w:ascii="Times New Roman" w:hAnsi="Times New Roman"/>
                <w:sz w:val="18"/>
                <w:szCs w:val="18"/>
              </w:rPr>
            </w:pPr>
            <w:r>
              <w:rPr>
                <w:rFonts w:ascii="Times New Roman" w:hAnsi="Times New Roman"/>
                <w:kern w:val="0"/>
                <w:sz w:val="18"/>
                <w:szCs w:val="18"/>
              </w:rPr>
              <w:t>24</w:t>
            </w:r>
          </w:p>
        </w:tc>
        <w:tc>
          <w:tcPr>
            <w:tcW w:w="2337" w:type="pct"/>
            <w:tcBorders>
              <w:tl2br w:val="nil"/>
              <w:tr2bl w:val="nil"/>
            </w:tcBorders>
            <w:shd w:val="clear" w:color="auto" w:fill="auto"/>
            <w:noWrap/>
            <w:vAlign w:val="center"/>
          </w:tcPr>
          <w:p w14:paraId="195290BD"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欧盟企业</w:t>
            </w:r>
            <w:r>
              <w:rPr>
                <w:rFonts w:ascii="Times New Roman" w:hAnsi="Times New Roman"/>
                <w:kern w:val="0"/>
                <w:sz w:val="18"/>
                <w:szCs w:val="18"/>
              </w:rPr>
              <w:t>Cheminova Agro A/S</w:t>
            </w:r>
          </w:p>
        </w:tc>
      </w:tr>
      <w:tr w:rsidR="00501C7E" w14:paraId="0F2EE385" w14:textId="77777777">
        <w:trPr>
          <w:trHeight w:val="272"/>
        </w:trPr>
        <w:tc>
          <w:tcPr>
            <w:tcW w:w="952" w:type="pct"/>
            <w:tcBorders>
              <w:tl2br w:val="nil"/>
              <w:tr2bl w:val="nil"/>
            </w:tcBorders>
            <w:shd w:val="clear" w:color="auto" w:fill="auto"/>
            <w:noWrap/>
            <w:vAlign w:val="center"/>
          </w:tcPr>
          <w:p w14:paraId="5622CCD5"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平均税率</w:t>
            </w:r>
          </w:p>
        </w:tc>
        <w:tc>
          <w:tcPr>
            <w:tcW w:w="410" w:type="pct"/>
            <w:tcBorders>
              <w:tl2br w:val="nil"/>
              <w:tr2bl w:val="nil"/>
            </w:tcBorders>
            <w:shd w:val="clear" w:color="auto" w:fill="auto"/>
            <w:noWrap/>
            <w:vAlign w:val="center"/>
          </w:tcPr>
          <w:p w14:paraId="1018FC0C"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w:t>
            </w:r>
          </w:p>
        </w:tc>
        <w:tc>
          <w:tcPr>
            <w:tcW w:w="625" w:type="pct"/>
            <w:tcBorders>
              <w:tl2br w:val="nil"/>
              <w:tr2bl w:val="nil"/>
            </w:tcBorders>
            <w:shd w:val="clear" w:color="auto" w:fill="auto"/>
            <w:noWrap/>
            <w:vAlign w:val="center"/>
          </w:tcPr>
          <w:p w14:paraId="298A04B8"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35.67</w:t>
            </w:r>
          </w:p>
        </w:tc>
        <w:tc>
          <w:tcPr>
            <w:tcW w:w="674" w:type="pct"/>
            <w:tcBorders>
              <w:tl2br w:val="nil"/>
              <w:tr2bl w:val="nil"/>
            </w:tcBorders>
            <w:shd w:val="clear" w:color="auto" w:fill="auto"/>
            <w:noWrap/>
            <w:vAlign w:val="center"/>
          </w:tcPr>
          <w:p w14:paraId="2EE3CEB4"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33.94</w:t>
            </w:r>
          </w:p>
        </w:tc>
        <w:tc>
          <w:tcPr>
            <w:tcW w:w="2337" w:type="pct"/>
            <w:tcBorders>
              <w:tl2br w:val="nil"/>
              <w:tr2bl w:val="nil"/>
            </w:tcBorders>
            <w:shd w:val="clear" w:color="auto" w:fill="auto"/>
            <w:noWrap/>
            <w:vAlign w:val="center"/>
          </w:tcPr>
          <w:p w14:paraId="747D8A48"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w:t>
            </w:r>
          </w:p>
        </w:tc>
      </w:tr>
    </w:tbl>
    <w:p w14:paraId="14DB266F" w14:textId="77777777" w:rsidR="00501C7E" w:rsidRDefault="00501C7E">
      <w:pPr>
        <w:rPr>
          <w:rFonts w:ascii="Times New Roman" w:hAnsi="Times New Roman"/>
        </w:rPr>
      </w:pPr>
    </w:p>
    <w:p w14:paraId="365E1DE2" w14:textId="77777777" w:rsidR="00501C7E" w:rsidRDefault="00105E9B">
      <w:pPr>
        <w:ind w:firstLine="420"/>
        <w:jc w:val="left"/>
        <w:textAlignment w:val="center"/>
        <w:rPr>
          <w:rFonts w:ascii="Times New Roman" w:hAnsi="Times New Roman"/>
          <w:position w:val="-5"/>
        </w:rPr>
      </w:pPr>
      <w:r>
        <w:rPr>
          <w:rFonts w:ascii="Times New Roman" w:hAnsi="Times New Roman"/>
          <w:szCs w:val="21"/>
        </w:rPr>
        <w:t>本文</w:t>
      </w:r>
      <w:r w:rsidR="00EC5712">
        <w:rPr>
          <w:rFonts w:ascii="Times New Roman" w:hAnsi="Times New Roman"/>
          <w:szCs w:val="21"/>
        </w:rPr>
        <w:t>依托</w:t>
      </w:r>
      <w:r>
        <w:rPr>
          <w:rFonts w:ascii="Times New Roman" w:hAnsi="Times New Roman"/>
          <w:szCs w:val="21"/>
        </w:rPr>
        <w:t>式</w:t>
      </w:r>
      <w:r w:rsidR="00EC5712">
        <w:rPr>
          <w:rFonts w:ascii="Times New Roman" w:hAnsi="Times New Roman"/>
          <w:szCs w:val="21"/>
        </w:rPr>
        <w:t>（</w:t>
      </w:r>
      <w:r w:rsidR="00EC5712">
        <w:rPr>
          <w:rFonts w:ascii="Times New Roman" w:hAnsi="Times New Roman"/>
          <w:szCs w:val="21"/>
        </w:rPr>
        <w:t>7</w:t>
      </w:r>
      <w:r w:rsidR="00EC5712">
        <w:rPr>
          <w:rFonts w:ascii="Times New Roman" w:hAnsi="Times New Roman"/>
          <w:szCs w:val="21"/>
        </w:rPr>
        <w:t>）</w:t>
      </w:r>
      <w:r>
        <w:rPr>
          <w:rFonts w:ascii="Times New Roman" w:hAnsi="Times New Roman"/>
          <w:szCs w:val="21"/>
        </w:rPr>
        <w:t>进行回归检验，分别对被解释变量初裁税率和终裁税率进行回归，</w:t>
      </w:r>
      <w:r w:rsidR="00EC5712">
        <w:rPr>
          <w:rFonts w:ascii="Times New Roman" w:hAnsi="Times New Roman"/>
          <w:szCs w:val="21"/>
        </w:rPr>
        <w:t>结果如表</w:t>
      </w:r>
      <w:r w:rsidR="00EC5712">
        <w:rPr>
          <w:rFonts w:ascii="Times New Roman" w:hAnsi="Times New Roman"/>
          <w:szCs w:val="21"/>
        </w:rPr>
        <w:t>14</w:t>
      </w:r>
      <w:r w:rsidR="00EC5712">
        <w:rPr>
          <w:rFonts w:ascii="Times New Roman" w:hAnsi="Times New Roman"/>
          <w:szCs w:val="21"/>
        </w:rPr>
        <w:t>所示，估计方程在整体上显著，拟合效果较好，不存在严重的自相关问题。其中估计系数</w:t>
      </w:r>
      <m:oMath>
        <m:r>
          <w:rPr>
            <w:rFonts w:ascii="Cambria Math" w:hAnsi="Cambria Math"/>
            <w:szCs w:val="21"/>
          </w:rPr>
          <m:t>γ</m:t>
        </m:r>
      </m:oMath>
      <w:r w:rsidR="00EC5712">
        <w:rPr>
          <w:rFonts w:ascii="Times New Roman" w:hAnsi="Times New Roman"/>
          <w:szCs w:val="21"/>
        </w:rPr>
        <w:t>显著为负</w:t>
      </w:r>
      <w:r w:rsidR="00EC5712">
        <w:rPr>
          <w:rFonts w:ascii="Times New Roman" w:hAnsi="Times New Roman" w:hint="eastAsia"/>
          <w:szCs w:val="21"/>
        </w:rPr>
        <w:t>，</w:t>
      </w:r>
      <m:oMath>
        <m:r>
          <w:rPr>
            <w:rFonts w:ascii="Cambria Math" w:hAnsi="Cambria Math"/>
            <w:szCs w:val="21"/>
          </w:rPr>
          <m:t>δ</m:t>
        </m:r>
      </m:oMath>
      <w:r w:rsidR="00EC5712">
        <w:rPr>
          <w:rFonts w:ascii="Times New Roman" w:hAnsi="Times New Roman"/>
          <w:szCs w:val="21"/>
        </w:rPr>
        <w:t>和</w:t>
      </w:r>
      <m:oMath>
        <m:r>
          <w:rPr>
            <w:rFonts w:ascii="Cambria Math" w:hAnsi="Cambria Math"/>
            <w:szCs w:val="21"/>
          </w:rPr>
          <m:t>γ+δ</m:t>
        </m:r>
      </m:oMath>
      <w:r w:rsidR="00EC5712">
        <w:rPr>
          <w:rFonts w:ascii="Times New Roman" w:hAnsi="Times New Roman"/>
          <w:szCs w:val="21"/>
        </w:rPr>
        <w:t>显著为正，符合</w:t>
      </w:r>
      <w:r w:rsidR="00EC5712">
        <w:rPr>
          <w:rFonts w:ascii="Times New Roman" w:hAnsi="Times New Roman" w:hint="eastAsia"/>
          <w:szCs w:val="21"/>
        </w:rPr>
        <w:t>“</w:t>
      </w:r>
      <w:r w:rsidR="00EC5712">
        <w:rPr>
          <w:rFonts w:ascii="Times New Roman" w:hAnsi="Times New Roman"/>
          <w:szCs w:val="21"/>
        </w:rPr>
        <w:t>保护待售</w:t>
      </w:r>
      <w:r w:rsidR="00EC5712">
        <w:rPr>
          <w:rFonts w:ascii="Times New Roman" w:hAnsi="Times New Roman" w:hint="eastAsia"/>
          <w:szCs w:val="21"/>
        </w:rPr>
        <w:t>”</w:t>
      </w:r>
      <w:r w:rsidR="00EC5712">
        <w:rPr>
          <w:rFonts w:ascii="Times New Roman" w:hAnsi="Times New Roman"/>
          <w:szCs w:val="21"/>
        </w:rPr>
        <w:t>模型的符号设定和显著性要求。结构参数</w:t>
      </w:r>
      <m:oMath>
        <m:sSub>
          <m:sSubPr>
            <m:ctrlPr>
              <w:rPr>
                <w:rFonts w:ascii="Cambria Math" w:hAnsi="Cambria Math"/>
                <w:i/>
                <w:szCs w:val="21"/>
              </w:rPr>
            </m:ctrlPr>
          </m:sSubPr>
          <m:e>
            <m:r>
              <w:rPr>
                <w:rFonts w:ascii="Cambria Math" w:hAnsi="Cambria Math"/>
                <w:szCs w:val="21"/>
              </w:rPr>
              <m:t>α</m:t>
            </m:r>
          </m:e>
          <m:sub>
            <m:r>
              <w:rPr>
                <w:rFonts w:ascii="Cambria Math" w:hAnsi="Cambria Math"/>
                <w:szCs w:val="21"/>
              </w:rPr>
              <m:t>L</m:t>
            </m:r>
          </m:sub>
        </m:sSub>
      </m:oMath>
      <w:r w:rsidR="00EC5712">
        <w:rPr>
          <w:rFonts w:ascii="Times New Roman" w:hAnsi="Times New Roman"/>
          <w:szCs w:val="21"/>
        </w:rPr>
        <w:t>的值在</w:t>
      </w:r>
      <w:r w:rsidR="00EC5712">
        <w:rPr>
          <w:rFonts w:ascii="Times New Roman" w:hAnsi="Times New Roman"/>
          <w:szCs w:val="21"/>
        </w:rPr>
        <w:lastRenderedPageBreak/>
        <w:t>合理范围之内（即在</w:t>
      </w:r>
      <w:r w:rsidR="00EC5712">
        <w:rPr>
          <w:rFonts w:ascii="Times New Roman" w:hAnsi="Times New Roman"/>
          <w:szCs w:val="21"/>
        </w:rPr>
        <w:t>0</w:t>
      </w:r>
      <w:r w:rsidR="00EC5712">
        <w:rPr>
          <w:rFonts w:ascii="Times New Roman" w:hAnsi="Times New Roman"/>
          <w:szCs w:val="21"/>
        </w:rPr>
        <w:t>到</w:t>
      </w:r>
      <w:r w:rsidR="00EC5712">
        <w:rPr>
          <w:rFonts w:ascii="Times New Roman" w:hAnsi="Times New Roman"/>
          <w:szCs w:val="21"/>
        </w:rPr>
        <w:t>1</w:t>
      </w:r>
      <w:r>
        <w:rPr>
          <w:rFonts w:ascii="Times New Roman" w:hAnsi="Times New Roman"/>
          <w:szCs w:val="21"/>
        </w:rPr>
        <w:t>之间）。与</w:t>
      </w:r>
      <w:r w:rsidR="00EC5712">
        <w:rPr>
          <w:rFonts w:ascii="Times New Roman" w:hAnsi="Times New Roman"/>
          <w:szCs w:val="21"/>
        </w:rPr>
        <w:t>申诉者性质和厂商代表性衡量申诉者政治势力的单方程</w:t>
      </w:r>
      <w:r w:rsidR="00EC5712">
        <w:rPr>
          <w:rFonts w:ascii="Times New Roman" w:hAnsi="Times New Roman"/>
          <w:szCs w:val="21"/>
        </w:rPr>
        <w:t>OLS</w:t>
      </w:r>
      <w:r w:rsidR="00EC5712">
        <w:rPr>
          <w:rFonts w:ascii="Times New Roman" w:hAnsi="Times New Roman"/>
          <w:szCs w:val="21"/>
        </w:rPr>
        <w:t>估计结果相比，以是否为传统申诉者衡量申诉者政治势力的单方程</w:t>
      </w:r>
      <w:r w:rsidR="00EC5712">
        <w:rPr>
          <w:rFonts w:ascii="Times New Roman" w:hAnsi="Times New Roman"/>
          <w:szCs w:val="21"/>
        </w:rPr>
        <w:t>OLS</w:t>
      </w:r>
      <w:r w:rsidR="00EC5712">
        <w:rPr>
          <w:rFonts w:ascii="Times New Roman" w:hAnsi="Times New Roman"/>
          <w:szCs w:val="21"/>
        </w:rPr>
        <w:t>估计结果的拟合效果有所降低，估计出的</w:t>
      </w:r>
      <m:oMath>
        <m:r>
          <w:rPr>
            <w:rFonts w:ascii="Cambria Math" w:hAnsi="Cambria Math"/>
            <w:szCs w:val="21"/>
          </w:rPr>
          <m:t>a</m:t>
        </m:r>
      </m:oMath>
      <w:r w:rsidR="00EC5712">
        <w:rPr>
          <w:rFonts w:ascii="Times New Roman" w:hAnsi="Times New Roman"/>
          <w:szCs w:val="21"/>
        </w:rPr>
        <w:t>值在</w:t>
      </w:r>
      <w:r w:rsidR="00EC5712">
        <w:rPr>
          <w:rFonts w:ascii="Times New Roman" w:hAnsi="Times New Roman"/>
          <w:szCs w:val="21"/>
        </w:rPr>
        <w:t>14.5-15.5</w:t>
      </w:r>
      <w:r w:rsidR="00EC5712">
        <w:rPr>
          <w:rFonts w:ascii="Times New Roman" w:hAnsi="Times New Roman"/>
          <w:szCs w:val="21"/>
        </w:rPr>
        <w:t>之间，相比基准检验的结果有所提高，但仍然符合现实逻辑，即欧盟对</w:t>
      </w:r>
      <w:r>
        <w:rPr>
          <w:rFonts w:ascii="Times New Roman" w:hAnsi="Times New Roman"/>
          <w:szCs w:val="21"/>
        </w:rPr>
        <w:t>全社会福利的重视程度略高于对利益集团诉求的重视程度</w:t>
      </w:r>
      <w:r w:rsidR="00EC5712">
        <w:rPr>
          <w:rFonts w:ascii="Times New Roman" w:hAnsi="Times New Roman"/>
          <w:szCs w:val="21"/>
        </w:rPr>
        <w:t>。由此可见，以是否为传统申诉者衡量的申诉者政治势力依</w:t>
      </w:r>
      <w:r>
        <w:rPr>
          <w:rFonts w:ascii="Times New Roman" w:hAnsi="Times New Roman"/>
          <w:szCs w:val="21"/>
        </w:rPr>
        <w:t>然符合保护待售模型的设定，本文</w:t>
      </w:r>
      <w:r w:rsidR="00EC5712">
        <w:rPr>
          <w:rFonts w:ascii="Times New Roman" w:hAnsi="Times New Roman"/>
          <w:szCs w:val="21"/>
        </w:rPr>
        <w:t>的估计结果依然是稳健的。</w:t>
      </w:r>
    </w:p>
    <w:p w14:paraId="53AD2B5C" w14:textId="77777777" w:rsidR="00501C7E" w:rsidRPr="00105E9B" w:rsidRDefault="00501C7E">
      <w:pPr>
        <w:jc w:val="left"/>
        <w:rPr>
          <w:rFonts w:ascii="Times New Roman" w:hAnsi="Times New Roman"/>
          <w:position w:val="-5"/>
        </w:rPr>
      </w:pPr>
    </w:p>
    <w:p w14:paraId="35655478" w14:textId="77777777" w:rsidR="00501C7E" w:rsidRDefault="00EC5712">
      <w:pPr>
        <w:jc w:val="center"/>
        <w:rPr>
          <w:rFonts w:ascii="Times New Roman" w:eastAsia="楷体" w:hAnsi="Times New Roman"/>
          <w:bCs/>
          <w:szCs w:val="21"/>
        </w:rPr>
      </w:pPr>
      <w:r>
        <w:rPr>
          <w:rFonts w:ascii="Times New Roman" w:eastAsia="楷体" w:hAnsi="Times New Roman"/>
          <w:bCs/>
          <w:szCs w:val="21"/>
        </w:rPr>
        <w:t>表</w:t>
      </w:r>
      <w:r>
        <w:rPr>
          <w:rFonts w:ascii="Times New Roman" w:eastAsia="楷体" w:hAnsi="Times New Roman"/>
          <w:bCs/>
          <w:szCs w:val="21"/>
        </w:rPr>
        <w:t xml:space="preserve">14  </w:t>
      </w:r>
      <w:r w:rsidR="00105E9B">
        <w:rPr>
          <w:rFonts w:ascii="Times New Roman" w:eastAsia="楷体" w:hAnsi="Times New Roman"/>
          <w:bCs/>
          <w:szCs w:val="21"/>
        </w:rPr>
        <w:t>以是否为传统申诉者衡量申诉者</w:t>
      </w:r>
      <w:r>
        <w:rPr>
          <w:rFonts w:ascii="Times New Roman" w:eastAsia="楷体" w:hAnsi="Times New Roman"/>
          <w:bCs/>
          <w:szCs w:val="21"/>
        </w:rPr>
        <w:t>势力的单方程</w:t>
      </w:r>
      <w:r>
        <w:rPr>
          <w:rFonts w:ascii="Times New Roman" w:eastAsia="楷体" w:hAnsi="Times New Roman"/>
          <w:bCs/>
          <w:szCs w:val="21"/>
        </w:rPr>
        <w:t>OLS</w:t>
      </w:r>
      <w:r>
        <w:rPr>
          <w:rFonts w:ascii="Times New Roman" w:eastAsia="楷体" w:hAnsi="Times New Roman"/>
          <w:bCs/>
          <w:szCs w:val="21"/>
        </w:rPr>
        <w:t>估计结果</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3037"/>
        <w:gridCol w:w="3038"/>
      </w:tblGrid>
      <w:tr w:rsidR="00501C7E" w14:paraId="7234CB23" w14:textId="77777777">
        <w:trPr>
          <w:trHeight w:val="420"/>
        </w:trPr>
        <w:tc>
          <w:tcPr>
            <w:tcW w:w="1666" w:type="pct"/>
            <w:tcBorders>
              <w:tl2br w:val="nil"/>
              <w:tr2bl w:val="nil"/>
            </w:tcBorders>
            <w:shd w:val="clear" w:color="auto" w:fill="auto"/>
            <w:vAlign w:val="bottom"/>
          </w:tcPr>
          <w:p w14:paraId="0B665697"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被解释变量</w:t>
            </w:r>
          </w:p>
        </w:tc>
        <w:tc>
          <w:tcPr>
            <w:tcW w:w="1666" w:type="pct"/>
            <w:tcBorders>
              <w:tl2br w:val="nil"/>
              <w:tr2bl w:val="nil"/>
            </w:tcBorders>
            <w:shd w:val="clear" w:color="auto" w:fill="auto"/>
            <w:noWrap/>
            <w:vAlign w:val="bottom"/>
          </w:tcPr>
          <w:p w14:paraId="70148DE8"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初裁税率</w:t>
            </w:r>
          </w:p>
        </w:tc>
        <w:tc>
          <w:tcPr>
            <w:tcW w:w="1667" w:type="pct"/>
            <w:tcBorders>
              <w:tl2br w:val="nil"/>
              <w:tr2bl w:val="nil"/>
            </w:tcBorders>
            <w:shd w:val="clear" w:color="auto" w:fill="auto"/>
            <w:noWrap/>
            <w:vAlign w:val="bottom"/>
          </w:tcPr>
          <w:p w14:paraId="5F95002E"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终裁税率</w:t>
            </w:r>
          </w:p>
        </w:tc>
      </w:tr>
      <w:tr w:rsidR="00501C7E" w14:paraId="5F394CE7" w14:textId="77777777">
        <w:trPr>
          <w:trHeight w:val="604"/>
        </w:trPr>
        <w:tc>
          <w:tcPr>
            <w:tcW w:w="3037" w:type="dxa"/>
            <w:vMerge w:val="restart"/>
            <w:tcBorders>
              <w:tl2br w:val="nil"/>
              <w:tr2bl w:val="nil"/>
            </w:tcBorders>
            <w:shd w:val="clear" w:color="auto" w:fill="auto"/>
            <w:noWrap/>
            <w:vAlign w:val="center"/>
          </w:tcPr>
          <w:p w14:paraId="6E61E32A" w14:textId="77777777" w:rsidR="00501C7E" w:rsidRDefault="00000000">
            <w:pPr>
              <w:jc w:val="center"/>
              <w:rPr>
                <w:rFonts w:ascii="Times New Roman" w:hAnsi="Times New Roman"/>
                <w:kern w:val="0"/>
                <w:sz w:val="18"/>
                <w:szCs w:val="18"/>
              </w:rPr>
            </w:pPr>
            <m:oMathPara>
              <m:oMath>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i</m:t>
                        </m:r>
                      </m:sub>
                    </m:sSub>
                  </m:num>
                  <m:den>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i</m:t>
                        </m:r>
                      </m:sub>
                    </m:sSub>
                  </m:den>
                </m:f>
              </m:oMath>
            </m:oMathPara>
          </w:p>
        </w:tc>
        <w:tc>
          <w:tcPr>
            <w:tcW w:w="1666" w:type="pct"/>
            <w:tcBorders>
              <w:tl2br w:val="nil"/>
              <w:tr2bl w:val="nil"/>
            </w:tcBorders>
            <w:shd w:val="clear" w:color="auto" w:fill="auto"/>
            <w:noWrap/>
            <w:vAlign w:val="bottom"/>
          </w:tcPr>
          <w:p w14:paraId="3C54C05D"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-0.045</w:t>
            </w:r>
            <w:r>
              <w:rPr>
                <w:rFonts w:ascii="Times New Roman" w:hAnsi="Times New Roman"/>
                <w:iCs/>
                <w:kern w:val="0"/>
                <w:sz w:val="18"/>
                <w:szCs w:val="18"/>
              </w:rPr>
              <w:t>***</w:t>
            </w:r>
          </w:p>
          <w:p w14:paraId="1A647E3D" w14:textId="77777777" w:rsidR="00501C7E" w:rsidRDefault="00EC5712">
            <w:pPr>
              <w:widowControl/>
              <w:jc w:val="center"/>
              <w:textAlignment w:val="top"/>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0.013</w:t>
            </w:r>
            <w:r>
              <w:rPr>
                <w:rFonts w:ascii="Times New Roman" w:hAnsi="Times New Roman" w:hint="eastAsia"/>
                <w:kern w:val="0"/>
                <w:sz w:val="18"/>
                <w:szCs w:val="18"/>
              </w:rPr>
              <w:t>）</w:t>
            </w:r>
          </w:p>
        </w:tc>
        <w:tc>
          <w:tcPr>
            <w:tcW w:w="1667" w:type="pct"/>
            <w:tcBorders>
              <w:tl2br w:val="nil"/>
              <w:tr2bl w:val="nil"/>
            </w:tcBorders>
            <w:shd w:val="clear" w:color="auto" w:fill="auto"/>
            <w:noWrap/>
            <w:vAlign w:val="bottom"/>
          </w:tcPr>
          <w:p w14:paraId="1C4BA475"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-0.041</w:t>
            </w:r>
            <w:r>
              <w:rPr>
                <w:rFonts w:ascii="Times New Roman" w:hAnsi="Times New Roman"/>
                <w:iCs/>
                <w:kern w:val="0"/>
                <w:sz w:val="18"/>
                <w:szCs w:val="18"/>
              </w:rPr>
              <w:t>***</w:t>
            </w:r>
          </w:p>
          <w:p w14:paraId="1CF0DC1F" w14:textId="77777777" w:rsidR="00501C7E" w:rsidRDefault="00EC5712">
            <w:pPr>
              <w:widowControl/>
              <w:jc w:val="center"/>
              <w:textAlignment w:val="top"/>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0.012</w:t>
            </w:r>
            <w:r>
              <w:rPr>
                <w:rFonts w:ascii="Times New Roman" w:hAnsi="Times New Roman" w:hint="eastAsia"/>
                <w:kern w:val="0"/>
                <w:sz w:val="18"/>
                <w:szCs w:val="18"/>
              </w:rPr>
              <w:t>）</w:t>
            </w:r>
          </w:p>
        </w:tc>
      </w:tr>
      <w:tr w:rsidR="00501C7E" w14:paraId="3A4B1F8A" w14:textId="77777777">
        <w:trPr>
          <w:trHeight w:val="604"/>
        </w:trPr>
        <w:tc>
          <w:tcPr>
            <w:tcW w:w="3037" w:type="dxa"/>
            <w:vMerge w:val="restart"/>
            <w:tcBorders>
              <w:tl2br w:val="nil"/>
              <w:tr2bl w:val="nil"/>
            </w:tcBorders>
            <w:shd w:val="clear" w:color="auto" w:fill="auto"/>
            <w:noWrap/>
            <w:vAlign w:val="center"/>
          </w:tcPr>
          <w:p w14:paraId="34482A3D" w14:textId="77777777" w:rsidR="00501C7E" w:rsidRDefault="00000000">
            <w:pPr>
              <w:jc w:val="center"/>
              <w:rPr>
                <w:rFonts w:ascii="Times New Roman" w:hAnsi="Times New Roman"/>
                <w:kern w:val="0"/>
                <w:sz w:val="18"/>
                <w:szCs w:val="18"/>
              </w:rPr>
            </w:pPr>
            <m:oMathPara>
              <m:oMath>
                <m:f>
                  <m:fPr>
                    <m:ctrlPr>
                      <w:rPr>
                        <w:rFonts w:ascii="Cambria Math" w:hAnsi="Cambria Math"/>
                        <w:i/>
                        <w:iCs/>
                        <w:sz w:val="18"/>
                        <w:szCs w:val="18"/>
                      </w:rPr>
                    </m:ctrlPr>
                  </m:fPr>
                  <m:num>
                    <m:sSub>
                      <m:sSubPr>
                        <m:ctrlPr>
                          <w:rPr>
                            <w:rFonts w:ascii="Cambria Math" w:hAnsi="Cambria Math"/>
                            <w:i/>
                            <w:iCs/>
                            <w:sz w:val="18"/>
                            <w:szCs w:val="18"/>
                          </w:rPr>
                        </m:ctrlPr>
                      </m:sSubPr>
                      <m:e>
                        <m:r>
                          <w:rPr>
                            <w:rFonts w:ascii="Cambria Math" w:hAnsi="Cambria Math"/>
                            <w:sz w:val="18"/>
                            <w:szCs w:val="18"/>
                          </w:rPr>
                          <m:t>I</m:t>
                        </m:r>
                      </m:e>
                      <m:sub>
                        <m:r>
                          <w:rPr>
                            <w:rFonts w:ascii="Cambria Math" w:hAnsi="Cambria Math"/>
                            <w:sz w:val="18"/>
                            <w:szCs w:val="18"/>
                          </w:rPr>
                          <m:t>i</m:t>
                        </m:r>
                      </m:sub>
                    </m:sSub>
                    <m:sSub>
                      <m:sSubPr>
                        <m:ctrlPr>
                          <w:rPr>
                            <w:rFonts w:ascii="Cambria Math" w:hAnsi="Cambria Math"/>
                            <w:i/>
                            <w:iCs/>
                            <w:sz w:val="18"/>
                            <w:szCs w:val="18"/>
                          </w:rPr>
                        </m:ctrlPr>
                      </m:sSubPr>
                      <m:e>
                        <m:r>
                          <w:rPr>
                            <w:rFonts w:ascii="Cambria Math" w:hAnsi="Cambria Math"/>
                            <w:sz w:val="18"/>
                            <w:szCs w:val="18"/>
                          </w:rPr>
                          <m:t>z</m:t>
                        </m:r>
                      </m:e>
                      <m:sub>
                        <m:r>
                          <w:rPr>
                            <w:rFonts w:ascii="Cambria Math" w:hAnsi="Cambria Math"/>
                            <w:sz w:val="18"/>
                            <w:szCs w:val="18"/>
                          </w:rPr>
                          <m:t>i</m:t>
                        </m:r>
                      </m:sub>
                    </m:sSub>
                  </m:num>
                  <m:den>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i</m:t>
                        </m:r>
                      </m:sub>
                    </m:sSub>
                  </m:den>
                </m:f>
              </m:oMath>
            </m:oMathPara>
          </w:p>
        </w:tc>
        <w:tc>
          <w:tcPr>
            <w:tcW w:w="1666" w:type="pct"/>
            <w:tcBorders>
              <w:tl2br w:val="nil"/>
              <w:tr2bl w:val="nil"/>
            </w:tcBorders>
            <w:shd w:val="clear" w:color="auto" w:fill="auto"/>
            <w:noWrap/>
            <w:vAlign w:val="bottom"/>
          </w:tcPr>
          <w:p w14:paraId="4F89245A"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0.063</w:t>
            </w:r>
            <w:r>
              <w:rPr>
                <w:rFonts w:ascii="Times New Roman" w:hAnsi="Times New Roman"/>
                <w:iCs/>
                <w:kern w:val="0"/>
                <w:sz w:val="18"/>
                <w:szCs w:val="18"/>
              </w:rPr>
              <w:t>***</w:t>
            </w:r>
          </w:p>
          <w:p w14:paraId="5B446164" w14:textId="77777777" w:rsidR="00501C7E" w:rsidRDefault="00EC5712">
            <w:pPr>
              <w:widowControl/>
              <w:jc w:val="center"/>
              <w:textAlignment w:val="top"/>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0.019</w:t>
            </w:r>
            <w:r>
              <w:rPr>
                <w:rFonts w:ascii="Times New Roman" w:hAnsi="Times New Roman" w:hint="eastAsia"/>
                <w:kern w:val="0"/>
                <w:sz w:val="18"/>
                <w:szCs w:val="18"/>
              </w:rPr>
              <w:t>）</w:t>
            </w:r>
          </w:p>
        </w:tc>
        <w:tc>
          <w:tcPr>
            <w:tcW w:w="1667" w:type="pct"/>
            <w:tcBorders>
              <w:tl2br w:val="nil"/>
              <w:tr2bl w:val="nil"/>
            </w:tcBorders>
            <w:shd w:val="clear" w:color="auto" w:fill="auto"/>
            <w:noWrap/>
            <w:vAlign w:val="bottom"/>
          </w:tcPr>
          <w:p w14:paraId="69592B38"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0.064</w:t>
            </w:r>
            <w:r>
              <w:rPr>
                <w:rFonts w:ascii="Times New Roman" w:hAnsi="Times New Roman"/>
                <w:iCs/>
                <w:kern w:val="0"/>
                <w:sz w:val="18"/>
                <w:szCs w:val="18"/>
              </w:rPr>
              <w:t>***</w:t>
            </w:r>
          </w:p>
          <w:p w14:paraId="1CDBE0C8" w14:textId="77777777" w:rsidR="00501C7E" w:rsidRDefault="00EC5712">
            <w:pPr>
              <w:widowControl/>
              <w:jc w:val="center"/>
              <w:textAlignment w:val="top"/>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0.018</w:t>
            </w:r>
            <w:r>
              <w:rPr>
                <w:rFonts w:ascii="Times New Roman" w:hAnsi="Times New Roman" w:hint="eastAsia"/>
                <w:kern w:val="0"/>
                <w:sz w:val="18"/>
                <w:szCs w:val="18"/>
              </w:rPr>
              <w:t>）</w:t>
            </w:r>
          </w:p>
        </w:tc>
      </w:tr>
      <w:tr w:rsidR="00501C7E" w14:paraId="42AB3F92" w14:textId="77777777">
        <w:trPr>
          <w:trHeight w:val="604"/>
        </w:trPr>
        <w:tc>
          <w:tcPr>
            <w:tcW w:w="1666" w:type="pct"/>
            <w:tcBorders>
              <w:tl2br w:val="nil"/>
              <w:tr2bl w:val="nil"/>
            </w:tcBorders>
            <w:shd w:val="clear" w:color="auto" w:fill="auto"/>
            <w:noWrap/>
            <w:vAlign w:val="center"/>
          </w:tcPr>
          <w:p w14:paraId="6F05C487" w14:textId="77777777" w:rsidR="00501C7E" w:rsidRDefault="00EC5712">
            <w:pPr>
              <w:jc w:val="center"/>
              <w:rPr>
                <w:rFonts w:ascii="Times New Roman" w:hAnsi="Times New Roman"/>
                <w:kern w:val="0"/>
                <w:sz w:val="18"/>
                <w:szCs w:val="18"/>
              </w:rPr>
            </w:pPr>
            <m:oMathPara>
              <m:oMath>
                <m:r>
                  <w:rPr>
                    <w:rFonts w:ascii="Cambria Math" w:hAnsi="Cambria Math"/>
                    <w:sz w:val="18"/>
                    <w:szCs w:val="18"/>
                  </w:rPr>
                  <m:t>M</m:t>
                </m:r>
              </m:oMath>
            </m:oMathPara>
          </w:p>
        </w:tc>
        <w:tc>
          <w:tcPr>
            <w:tcW w:w="1666" w:type="pct"/>
            <w:tcBorders>
              <w:tl2br w:val="nil"/>
              <w:tr2bl w:val="nil"/>
            </w:tcBorders>
            <w:shd w:val="clear" w:color="auto" w:fill="auto"/>
            <w:noWrap/>
            <w:vAlign w:val="bottom"/>
          </w:tcPr>
          <w:p w14:paraId="4B514F40"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2.923</w:t>
            </w:r>
          </w:p>
          <w:p w14:paraId="095A2CC9" w14:textId="77777777" w:rsidR="00501C7E" w:rsidRDefault="00EC5712">
            <w:pPr>
              <w:widowControl/>
              <w:jc w:val="center"/>
              <w:textAlignment w:val="top"/>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7.598</w:t>
            </w:r>
            <w:r>
              <w:rPr>
                <w:rFonts w:ascii="Times New Roman" w:hAnsi="Times New Roman" w:hint="eastAsia"/>
                <w:kern w:val="0"/>
                <w:sz w:val="18"/>
                <w:szCs w:val="18"/>
              </w:rPr>
              <w:t>）</w:t>
            </w:r>
          </w:p>
        </w:tc>
        <w:tc>
          <w:tcPr>
            <w:tcW w:w="1667" w:type="pct"/>
            <w:tcBorders>
              <w:tl2br w:val="nil"/>
              <w:tr2bl w:val="nil"/>
            </w:tcBorders>
            <w:shd w:val="clear" w:color="auto" w:fill="auto"/>
            <w:noWrap/>
            <w:vAlign w:val="bottom"/>
          </w:tcPr>
          <w:p w14:paraId="6374C906"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-3.141</w:t>
            </w:r>
          </w:p>
          <w:p w14:paraId="1250D941" w14:textId="77777777" w:rsidR="00501C7E" w:rsidRDefault="00EC5712">
            <w:pPr>
              <w:widowControl/>
              <w:jc w:val="center"/>
              <w:textAlignment w:val="top"/>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7.036</w:t>
            </w:r>
            <w:r>
              <w:rPr>
                <w:rFonts w:ascii="Times New Roman" w:hAnsi="Times New Roman" w:hint="eastAsia"/>
                <w:kern w:val="0"/>
                <w:sz w:val="18"/>
                <w:szCs w:val="18"/>
              </w:rPr>
              <w:t>）</w:t>
            </w:r>
          </w:p>
        </w:tc>
      </w:tr>
      <w:tr w:rsidR="00501C7E" w14:paraId="2D129760" w14:textId="77777777">
        <w:trPr>
          <w:trHeight w:val="300"/>
        </w:trPr>
        <w:tc>
          <w:tcPr>
            <w:tcW w:w="1666" w:type="pct"/>
            <w:tcBorders>
              <w:tl2br w:val="nil"/>
              <w:tr2bl w:val="nil"/>
            </w:tcBorders>
            <w:shd w:val="clear" w:color="auto" w:fill="auto"/>
            <w:noWrap/>
            <w:vAlign w:val="center"/>
          </w:tcPr>
          <w:p w14:paraId="3EB29D47" w14:textId="77777777" w:rsidR="00501C7E" w:rsidRDefault="00EC5712">
            <w:pPr>
              <w:jc w:val="center"/>
              <w:rPr>
                <w:rFonts w:ascii="Times New Roman" w:hAnsi="Times New Roman"/>
                <w:kern w:val="0"/>
                <w:sz w:val="18"/>
                <w:szCs w:val="18"/>
              </w:rPr>
            </w:pPr>
            <m:oMathPara>
              <m:oMath>
                <m:r>
                  <w:rPr>
                    <w:rFonts w:ascii="Cambria Math" w:hAnsi="Cambria Math"/>
                    <w:sz w:val="18"/>
                    <w:szCs w:val="18"/>
                  </w:rPr>
                  <m:t>γ+δ</m:t>
                </m:r>
              </m:oMath>
            </m:oMathPara>
          </w:p>
        </w:tc>
        <w:tc>
          <w:tcPr>
            <w:tcW w:w="1666" w:type="pct"/>
            <w:tcBorders>
              <w:tl2br w:val="nil"/>
              <w:tr2bl w:val="nil"/>
            </w:tcBorders>
            <w:shd w:val="clear" w:color="auto" w:fill="auto"/>
            <w:noWrap/>
            <w:vAlign w:val="bottom"/>
          </w:tcPr>
          <w:p w14:paraId="65489371"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0.018</w:t>
            </w:r>
          </w:p>
        </w:tc>
        <w:tc>
          <w:tcPr>
            <w:tcW w:w="1667" w:type="pct"/>
            <w:tcBorders>
              <w:tl2br w:val="nil"/>
              <w:tr2bl w:val="nil"/>
            </w:tcBorders>
            <w:shd w:val="clear" w:color="auto" w:fill="auto"/>
            <w:noWrap/>
            <w:vAlign w:val="bottom"/>
          </w:tcPr>
          <w:p w14:paraId="2C4D5069"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0.023</w:t>
            </w:r>
          </w:p>
        </w:tc>
      </w:tr>
      <w:tr w:rsidR="00501C7E" w14:paraId="3E52287A" w14:textId="77777777">
        <w:trPr>
          <w:trHeight w:val="300"/>
        </w:trPr>
        <w:tc>
          <w:tcPr>
            <w:tcW w:w="1666" w:type="pct"/>
            <w:tcBorders>
              <w:tl2br w:val="nil"/>
              <w:tr2bl w:val="nil"/>
            </w:tcBorders>
            <w:shd w:val="clear" w:color="auto" w:fill="auto"/>
            <w:noWrap/>
            <w:vAlign w:val="center"/>
          </w:tcPr>
          <w:p w14:paraId="3D45FF70" w14:textId="77777777" w:rsidR="00501C7E" w:rsidRDefault="00000000">
            <w:pPr>
              <w:jc w:val="center"/>
              <w:rPr>
                <w:rFonts w:ascii="Times New Roman" w:hAnsi="Times New Roman"/>
                <w:kern w:val="0"/>
                <w:sz w:val="18"/>
                <w:szCs w:val="18"/>
              </w:rPr>
            </w:pPr>
            <m:oMathPara>
              <m:oMath>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L</m:t>
                    </m:r>
                  </m:sub>
                </m:sSub>
              </m:oMath>
            </m:oMathPara>
          </w:p>
        </w:tc>
        <w:tc>
          <w:tcPr>
            <w:tcW w:w="1666" w:type="pct"/>
            <w:tcBorders>
              <w:tl2br w:val="nil"/>
              <w:tr2bl w:val="nil"/>
            </w:tcBorders>
            <w:shd w:val="clear" w:color="auto" w:fill="auto"/>
            <w:noWrap/>
            <w:vAlign w:val="bottom"/>
          </w:tcPr>
          <w:p w14:paraId="4165430E"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71.1%</w:t>
            </w:r>
          </w:p>
        </w:tc>
        <w:tc>
          <w:tcPr>
            <w:tcW w:w="1667" w:type="pct"/>
            <w:tcBorders>
              <w:tl2br w:val="nil"/>
              <w:tr2bl w:val="nil"/>
            </w:tcBorders>
            <w:shd w:val="clear" w:color="auto" w:fill="auto"/>
            <w:noWrap/>
            <w:vAlign w:val="bottom"/>
          </w:tcPr>
          <w:p w14:paraId="64CA41FB"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64.4%</w:t>
            </w:r>
          </w:p>
        </w:tc>
      </w:tr>
      <w:tr w:rsidR="00501C7E" w14:paraId="2CB07D13" w14:textId="77777777">
        <w:trPr>
          <w:trHeight w:val="300"/>
        </w:trPr>
        <w:tc>
          <w:tcPr>
            <w:tcW w:w="1666" w:type="pct"/>
            <w:tcBorders>
              <w:tl2br w:val="nil"/>
              <w:tr2bl w:val="nil"/>
            </w:tcBorders>
            <w:shd w:val="clear" w:color="auto" w:fill="auto"/>
            <w:noWrap/>
            <w:vAlign w:val="center"/>
          </w:tcPr>
          <w:p w14:paraId="70E7B88B" w14:textId="77777777" w:rsidR="00501C7E" w:rsidRDefault="00EC5712">
            <w:pPr>
              <w:jc w:val="center"/>
              <w:rPr>
                <w:rFonts w:ascii="Times New Roman" w:hAnsi="Times New Roman"/>
                <w:kern w:val="0"/>
                <w:sz w:val="18"/>
                <w:szCs w:val="18"/>
              </w:rPr>
            </w:pPr>
            <m:oMathPara>
              <m:oMath>
                <m:r>
                  <w:rPr>
                    <w:rFonts w:ascii="Cambria Math" w:hAnsi="Cambria Math"/>
                    <w:sz w:val="18"/>
                    <w:szCs w:val="18"/>
                  </w:rPr>
                  <m:t>a</m:t>
                </m:r>
              </m:oMath>
            </m:oMathPara>
          </w:p>
        </w:tc>
        <w:tc>
          <w:tcPr>
            <w:tcW w:w="1666" w:type="pct"/>
            <w:tcBorders>
              <w:tl2br w:val="nil"/>
              <w:tr2bl w:val="nil"/>
            </w:tcBorders>
            <w:shd w:val="clear" w:color="auto" w:fill="auto"/>
            <w:noWrap/>
            <w:vAlign w:val="bottom"/>
          </w:tcPr>
          <w:p w14:paraId="049F9FBD"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15.242</w:t>
            </w:r>
          </w:p>
        </w:tc>
        <w:tc>
          <w:tcPr>
            <w:tcW w:w="1667" w:type="pct"/>
            <w:tcBorders>
              <w:tl2br w:val="nil"/>
              <w:tr2bl w:val="nil"/>
            </w:tcBorders>
            <w:shd w:val="clear" w:color="auto" w:fill="auto"/>
            <w:noWrap/>
            <w:vAlign w:val="bottom"/>
          </w:tcPr>
          <w:p w14:paraId="7ABFD738"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14.975</w:t>
            </w:r>
          </w:p>
        </w:tc>
      </w:tr>
      <w:tr w:rsidR="00501C7E" w14:paraId="231AA13A" w14:textId="77777777">
        <w:trPr>
          <w:trHeight w:val="300"/>
        </w:trPr>
        <w:tc>
          <w:tcPr>
            <w:tcW w:w="1666" w:type="pct"/>
            <w:tcBorders>
              <w:tl2br w:val="nil"/>
              <w:tr2bl w:val="nil"/>
            </w:tcBorders>
            <w:shd w:val="clear" w:color="auto" w:fill="auto"/>
            <w:noWrap/>
            <w:vAlign w:val="center"/>
          </w:tcPr>
          <w:p w14:paraId="09BB13F4" w14:textId="77777777" w:rsidR="00501C7E" w:rsidRDefault="00EC5712">
            <w:pPr>
              <w:jc w:val="center"/>
              <w:rPr>
                <w:rFonts w:ascii="Cambria Math" w:hAnsi="Cambria Math"/>
                <w:sz w:val="18"/>
                <w:szCs w:val="18"/>
                <w:oMath/>
              </w:rPr>
            </w:pPr>
            <w:r>
              <w:rPr>
                <w:rFonts w:ascii="Times New Roman" w:hAnsi="Times New Roman"/>
                <w:iCs/>
                <w:sz w:val="18"/>
                <w:szCs w:val="18"/>
              </w:rPr>
              <w:t>观测值</w:t>
            </w:r>
          </w:p>
        </w:tc>
        <w:tc>
          <w:tcPr>
            <w:tcW w:w="1666" w:type="pct"/>
            <w:tcBorders>
              <w:tl2br w:val="nil"/>
              <w:tr2bl w:val="nil"/>
            </w:tcBorders>
            <w:shd w:val="clear" w:color="auto" w:fill="auto"/>
            <w:noWrap/>
            <w:vAlign w:val="bottom"/>
          </w:tcPr>
          <w:p w14:paraId="68F92725" w14:textId="77777777" w:rsidR="00501C7E" w:rsidRDefault="00EC5712">
            <w:pPr>
              <w:widowControl/>
              <w:jc w:val="center"/>
              <w:textAlignment w:val="top"/>
              <w:rPr>
                <w:rFonts w:ascii="Times New Roman" w:hAnsi="Times New Roman"/>
                <w:iCs/>
                <w:kern w:val="0"/>
                <w:sz w:val="18"/>
                <w:szCs w:val="18"/>
              </w:rPr>
            </w:pPr>
            <w:r>
              <w:rPr>
                <w:rFonts w:ascii="Times New Roman" w:hAnsi="Times New Roman"/>
                <w:iCs/>
                <w:kern w:val="0"/>
                <w:sz w:val="18"/>
                <w:szCs w:val="18"/>
              </w:rPr>
              <w:t>80</w:t>
            </w:r>
          </w:p>
        </w:tc>
        <w:tc>
          <w:tcPr>
            <w:tcW w:w="1667" w:type="pct"/>
            <w:tcBorders>
              <w:tl2br w:val="nil"/>
              <w:tr2bl w:val="nil"/>
            </w:tcBorders>
            <w:shd w:val="clear" w:color="auto" w:fill="auto"/>
            <w:noWrap/>
            <w:vAlign w:val="bottom"/>
          </w:tcPr>
          <w:p w14:paraId="395F966D" w14:textId="77777777" w:rsidR="00501C7E" w:rsidRDefault="00EC5712">
            <w:pPr>
              <w:widowControl/>
              <w:jc w:val="center"/>
              <w:textAlignment w:val="top"/>
              <w:rPr>
                <w:rFonts w:ascii="Times New Roman" w:hAnsi="Times New Roman"/>
                <w:iCs/>
                <w:kern w:val="0"/>
                <w:sz w:val="18"/>
                <w:szCs w:val="18"/>
              </w:rPr>
            </w:pPr>
            <w:r>
              <w:rPr>
                <w:rFonts w:ascii="Times New Roman" w:hAnsi="Times New Roman"/>
                <w:iCs/>
                <w:kern w:val="0"/>
                <w:sz w:val="18"/>
                <w:szCs w:val="18"/>
              </w:rPr>
              <w:t>80</w:t>
            </w:r>
          </w:p>
        </w:tc>
      </w:tr>
      <w:tr w:rsidR="00501C7E" w14:paraId="327AD611" w14:textId="77777777">
        <w:trPr>
          <w:trHeight w:val="94"/>
        </w:trPr>
        <w:tc>
          <w:tcPr>
            <w:tcW w:w="1666" w:type="pct"/>
            <w:tcBorders>
              <w:tl2br w:val="nil"/>
              <w:tr2bl w:val="nil"/>
            </w:tcBorders>
            <w:shd w:val="clear" w:color="auto" w:fill="auto"/>
            <w:noWrap/>
            <w:vAlign w:val="center"/>
          </w:tcPr>
          <w:p w14:paraId="4FA7E870" w14:textId="77777777" w:rsidR="00501C7E" w:rsidRDefault="00105E9B">
            <w:pPr>
              <w:jc w:val="center"/>
              <w:rPr>
                <w:rFonts w:ascii="Times New Roman" w:hAnsi="Times New Roman"/>
                <w:kern w:val="0"/>
                <w:sz w:val="18"/>
                <w:szCs w:val="18"/>
              </w:rPr>
            </w:pPr>
            <m:oMathPara>
              <m:oMath>
                <m:r>
                  <m:rPr>
                    <m:sty m:val="p"/>
                  </m:rPr>
                  <w:rPr>
                    <w:rFonts w:ascii="Cambria Math" w:hAnsi="Cambria Math"/>
                    <w:sz w:val="18"/>
                    <w:szCs w:val="18"/>
                  </w:rPr>
                  <m:t>调整的</m:t>
                </m:r>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oMath>
            </m:oMathPara>
          </w:p>
        </w:tc>
        <w:tc>
          <w:tcPr>
            <w:tcW w:w="1666" w:type="pct"/>
            <w:tcBorders>
              <w:tl2br w:val="nil"/>
              <w:tr2bl w:val="nil"/>
            </w:tcBorders>
            <w:shd w:val="clear" w:color="auto" w:fill="auto"/>
          </w:tcPr>
          <w:p w14:paraId="778CFDA1"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0.145</w:t>
            </w:r>
          </w:p>
        </w:tc>
        <w:tc>
          <w:tcPr>
            <w:tcW w:w="1667" w:type="pct"/>
            <w:tcBorders>
              <w:tl2br w:val="nil"/>
              <w:tr2bl w:val="nil"/>
            </w:tcBorders>
            <w:shd w:val="clear" w:color="auto" w:fill="auto"/>
          </w:tcPr>
          <w:p w14:paraId="76EB0DBC"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0.171</w:t>
            </w:r>
          </w:p>
        </w:tc>
      </w:tr>
      <w:tr w:rsidR="00501C7E" w14:paraId="66DF2E63" w14:textId="77777777">
        <w:trPr>
          <w:trHeight w:val="285"/>
        </w:trPr>
        <w:tc>
          <w:tcPr>
            <w:tcW w:w="1666" w:type="pct"/>
            <w:tcBorders>
              <w:tl2br w:val="nil"/>
              <w:tr2bl w:val="nil"/>
            </w:tcBorders>
            <w:shd w:val="clear" w:color="auto" w:fill="auto"/>
            <w:vAlign w:val="center"/>
          </w:tcPr>
          <w:p w14:paraId="2D730BE4" w14:textId="77777777" w:rsidR="00501C7E" w:rsidRDefault="00EC5712">
            <w:pPr>
              <w:jc w:val="center"/>
              <w:rPr>
                <w:rFonts w:ascii="Times New Roman" w:hAnsi="Times New Roman"/>
                <w:kern w:val="0"/>
                <w:sz w:val="18"/>
                <w:szCs w:val="18"/>
              </w:rPr>
            </w:pPr>
            <w:r>
              <w:rPr>
                <w:rFonts w:ascii="Times New Roman" w:hAnsi="Times New Roman"/>
                <w:sz w:val="18"/>
                <w:szCs w:val="18"/>
              </w:rPr>
              <w:t>F</w:t>
            </w:r>
            <w:r>
              <w:rPr>
                <w:rFonts w:ascii="Times New Roman" w:hAnsi="Times New Roman"/>
                <w:sz w:val="18"/>
                <w:szCs w:val="18"/>
              </w:rPr>
              <w:t>值</w:t>
            </w:r>
          </w:p>
        </w:tc>
        <w:tc>
          <w:tcPr>
            <w:tcW w:w="1666" w:type="pct"/>
            <w:tcBorders>
              <w:tl2br w:val="nil"/>
              <w:tr2bl w:val="nil"/>
            </w:tcBorders>
            <w:shd w:val="clear" w:color="auto" w:fill="auto"/>
          </w:tcPr>
          <w:p w14:paraId="319BE8C5"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5.46</w:t>
            </w:r>
          </w:p>
        </w:tc>
        <w:tc>
          <w:tcPr>
            <w:tcW w:w="1667" w:type="pct"/>
            <w:tcBorders>
              <w:tl2br w:val="nil"/>
              <w:tr2bl w:val="nil"/>
            </w:tcBorders>
            <w:shd w:val="clear" w:color="auto" w:fill="auto"/>
          </w:tcPr>
          <w:p w14:paraId="453D9739" w14:textId="77777777" w:rsidR="00501C7E" w:rsidRDefault="00EC5712">
            <w:pPr>
              <w:widowControl/>
              <w:jc w:val="center"/>
              <w:textAlignment w:val="top"/>
              <w:rPr>
                <w:rFonts w:ascii="Times New Roman" w:hAnsi="Times New Roman"/>
                <w:kern w:val="0"/>
                <w:sz w:val="18"/>
                <w:szCs w:val="18"/>
              </w:rPr>
            </w:pPr>
            <w:r>
              <w:rPr>
                <w:rFonts w:ascii="Times New Roman" w:hAnsi="Times New Roman"/>
                <w:kern w:val="0"/>
                <w:sz w:val="18"/>
                <w:szCs w:val="18"/>
              </w:rPr>
              <w:t>6.43</w:t>
            </w:r>
          </w:p>
        </w:tc>
      </w:tr>
    </w:tbl>
    <w:p w14:paraId="1B036D26" w14:textId="77777777" w:rsidR="00501C7E" w:rsidRDefault="00501C7E">
      <w:pPr>
        <w:jc w:val="left"/>
        <w:rPr>
          <w:rFonts w:ascii="Times New Roman" w:hAnsi="Times New Roman"/>
          <w:sz w:val="24"/>
        </w:rPr>
      </w:pPr>
    </w:p>
    <w:p w14:paraId="6D7F14D5" w14:textId="77777777" w:rsidR="00501C7E" w:rsidRDefault="00EC5712" w:rsidP="00FE1FDC">
      <w:pPr>
        <w:spacing w:beforeLines="100" w:before="312" w:afterLines="100" w:after="312"/>
        <w:jc w:val="center"/>
        <w:rPr>
          <w:rFonts w:ascii="Times New Roman" w:eastAsia="黑体" w:hAnsi="Times New Roman"/>
          <w:sz w:val="28"/>
          <w:szCs w:val="28"/>
        </w:rPr>
      </w:pPr>
      <w:bookmarkStart w:id="3" w:name="_Hlk85356744"/>
      <w:r>
        <w:rPr>
          <w:rFonts w:ascii="Times New Roman" w:eastAsia="黑体" w:hAnsi="Times New Roman" w:hint="eastAsia"/>
          <w:sz w:val="28"/>
          <w:szCs w:val="28"/>
        </w:rPr>
        <w:t>六、</w:t>
      </w:r>
      <w:r>
        <w:rPr>
          <w:rFonts w:ascii="Times New Roman" w:eastAsia="黑体" w:hAnsi="Times New Roman"/>
          <w:sz w:val="28"/>
          <w:szCs w:val="28"/>
        </w:rPr>
        <w:t>结论性评述</w:t>
      </w:r>
    </w:p>
    <w:p w14:paraId="3F4F1AE7" w14:textId="77777777" w:rsidR="00501C7E" w:rsidRDefault="005614A0">
      <w:pPr>
        <w:ind w:firstLine="420"/>
        <w:jc w:val="left"/>
        <w:rPr>
          <w:rFonts w:ascii="Times New Roman" w:hAnsi="Times New Roman"/>
        </w:rPr>
      </w:pPr>
      <w:r>
        <w:rPr>
          <w:rFonts w:ascii="Times New Roman" w:hAnsi="Times New Roman" w:hint="eastAsia"/>
          <w:szCs w:val="21"/>
        </w:rPr>
        <w:t>在国际贸易</w:t>
      </w:r>
      <w:r w:rsidR="00EC5712">
        <w:rPr>
          <w:rFonts w:ascii="Times New Roman" w:hAnsi="Times New Roman" w:hint="eastAsia"/>
          <w:szCs w:val="21"/>
        </w:rPr>
        <w:t>中，以利益集团为代表的申诉者能对反倾销裁定及税率的高低施加影响，因此有必要研究反倾销申诉者在国际贸易所中发挥的作用。本文</w:t>
      </w:r>
      <w:r w:rsidR="00EC5712">
        <w:rPr>
          <w:rFonts w:ascii="Times New Roman" w:hAnsi="Times New Roman"/>
          <w:szCs w:val="21"/>
        </w:rPr>
        <w:t>以经典</w:t>
      </w:r>
      <w:r w:rsidR="00EC5712">
        <w:rPr>
          <w:rFonts w:ascii="Times New Roman" w:hAnsi="Times New Roman" w:hint="eastAsia"/>
          <w:szCs w:val="21"/>
        </w:rPr>
        <w:t>的贸易</w:t>
      </w:r>
      <w:r w:rsidR="00EC5712">
        <w:rPr>
          <w:rFonts w:ascii="Times New Roman" w:hAnsi="Times New Roman"/>
          <w:szCs w:val="21"/>
        </w:rPr>
        <w:t>理论模型为依托，</w:t>
      </w:r>
      <w:r w:rsidR="00EC5712">
        <w:rPr>
          <w:rFonts w:ascii="Times New Roman" w:hAnsi="Times New Roman" w:hint="eastAsia"/>
          <w:szCs w:val="21"/>
        </w:rPr>
        <w:t>并以欧盟对华反倾销为例进行经验分析，</w:t>
      </w:r>
      <w:r w:rsidR="00EC5712">
        <w:rPr>
          <w:rFonts w:ascii="Times New Roman" w:hAnsi="Times New Roman"/>
          <w:szCs w:val="21"/>
        </w:rPr>
        <w:t>从政治经济因素互动的视角探究</w:t>
      </w:r>
      <w:r w:rsidR="00EC5712">
        <w:rPr>
          <w:rFonts w:ascii="Times New Roman" w:hAnsi="Times New Roman" w:hint="eastAsia"/>
          <w:szCs w:val="21"/>
        </w:rPr>
        <w:t>了申诉者在双边贸易中所产生的影响</w:t>
      </w:r>
      <w:r w:rsidR="00EC5712">
        <w:rPr>
          <w:rFonts w:ascii="Times New Roman" w:hAnsi="Times New Roman"/>
          <w:szCs w:val="21"/>
        </w:rPr>
        <w:t>。</w:t>
      </w:r>
    </w:p>
    <w:p w14:paraId="58C7DC92" w14:textId="77777777" w:rsidR="00501C7E" w:rsidRDefault="00EC5712">
      <w:pPr>
        <w:spacing w:line="300" w:lineRule="exact"/>
        <w:ind w:firstLine="420"/>
        <w:jc w:val="left"/>
        <w:textAlignment w:val="center"/>
        <w:rPr>
          <w:rFonts w:ascii="Times New Roman" w:hAnsi="Times New Roman"/>
        </w:rPr>
      </w:pPr>
      <w:r>
        <w:rPr>
          <w:rFonts w:ascii="Times New Roman" w:hAnsi="Times New Roman"/>
          <w:szCs w:val="21"/>
        </w:rPr>
        <w:t>本文的实证结果表明：欧盟对华</w:t>
      </w:r>
      <w:r>
        <w:rPr>
          <w:rFonts w:ascii="Times New Roman" w:hAnsi="Times New Roman" w:hint="eastAsia"/>
          <w:szCs w:val="21"/>
        </w:rPr>
        <w:t>贸易</w:t>
      </w:r>
      <w:r>
        <w:rPr>
          <w:rFonts w:ascii="Times New Roman" w:hAnsi="Times New Roman"/>
          <w:szCs w:val="21"/>
        </w:rPr>
        <w:t>政策受到了申诉者一系列特征的显著影响：在反倾销税的裁定过程中，具有更高</w:t>
      </w:r>
      <w:r>
        <w:rPr>
          <w:rFonts w:ascii="Times New Roman" w:hAnsi="Times New Roman" w:hint="eastAsia"/>
          <w:szCs w:val="21"/>
        </w:rPr>
        <w:t>行业影响力</w:t>
      </w:r>
      <w:r>
        <w:rPr>
          <w:rFonts w:ascii="Times New Roman" w:hAnsi="Times New Roman"/>
          <w:szCs w:val="21"/>
        </w:rPr>
        <w:t>的申诉者获得了更高的贸易保护水平。以终裁税率为被解释变量时，</w:t>
      </w:r>
      <w:r>
        <w:rPr>
          <w:rFonts w:ascii="Times New Roman" w:hAnsi="Times New Roman" w:hint="eastAsia"/>
          <w:szCs w:val="21"/>
        </w:rPr>
        <w:t>“</w:t>
      </w:r>
      <w:r>
        <w:rPr>
          <w:rFonts w:ascii="Times New Roman" w:hAnsi="Times New Roman"/>
          <w:szCs w:val="21"/>
        </w:rPr>
        <w:t>保护待售</w:t>
      </w:r>
      <w:r>
        <w:rPr>
          <w:rFonts w:ascii="Times New Roman" w:hAnsi="Times New Roman" w:hint="eastAsia"/>
          <w:szCs w:val="21"/>
        </w:rPr>
        <w:t>”</w:t>
      </w:r>
      <w:r w:rsidR="00105E9B">
        <w:rPr>
          <w:rFonts w:ascii="Times New Roman" w:hAnsi="Times New Roman"/>
          <w:szCs w:val="21"/>
        </w:rPr>
        <w:t>模型的适用性更强，两个核心解释变量具有更高的显著性水平。</w:t>
      </w:r>
      <w:r>
        <w:rPr>
          <w:rFonts w:ascii="Times New Roman" w:hAnsi="Times New Roman"/>
          <w:szCs w:val="21"/>
        </w:rPr>
        <w:t>此外，企业数量对初裁和终裁税率结果都会产生显著影响，按要素成本计算的增</w:t>
      </w:r>
      <w:r w:rsidR="00105E9B">
        <w:rPr>
          <w:rFonts w:ascii="Times New Roman" w:hAnsi="Times New Roman"/>
          <w:szCs w:val="21"/>
        </w:rPr>
        <w:t>加</w:t>
      </w:r>
      <w:r>
        <w:rPr>
          <w:rFonts w:ascii="Times New Roman" w:hAnsi="Times New Roman"/>
          <w:szCs w:val="21"/>
        </w:rPr>
        <w:t>值、营业盈余总额和人事费等变量又会对终裁税率结果产生显著影响，</w:t>
      </w:r>
      <w:r>
        <w:rPr>
          <w:rFonts w:ascii="Times New Roman" w:hAnsi="Times New Roman" w:hint="eastAsia"/>
          <w:szCs w:val="21"/>
        </w:rPr>
        <w:t>而</w:t>
      </w:r>
      <w:r>
        <w:rPr>
          <w:rFonts w:ascii="Times New Roman" w:hAnsi="Times New Roman"/>
          <w:szCs w:val="21"/>
        </w:rPr>
        <w:t>终裁税率相比初裁税率受到了更多因素的影响。值得注意的是，本文基准检验、内生性检验和克服样本选择方差、克服测量误差以及替换申诉者政治势力衡量指标的稳健性检验估计出的</w:t>
      </w:r>
      <m:oMath>
        <m:r>
          <w:rPr>
            <w:rFonts w:ascii="Cambria Math" w:hAnsi="Cambria Math"/>
            <w:szCs w:val="21"/>
          </w:rPr>
          <m:t>a</m:t>
        </m:r>
      </m:oMath>
      <w:r>
        <w:rPr>
          <w:rFonts w:ascii="Times New Roman" w:hAnsi="Times New Roman"/>
          <w:szCs w:val="21"/>
        </w:rPr>
        <w:t>值均在</w:t>
      </w:r>
      <w:r>
        <w:rPr>
          <w:rFonts w:ascii="Times New Roman" w:hAnsi="Times New Roman"/>
          <w:szCs w:val="21"/>
        </w:rPr>
        <w:t>20</w:t>
      </w:r>
      <w:r>
        <w:rPr>
          <w:rFonts w:ascii="Times New Roman" w:hAnsi="Times New Roman"/>
          <w:szCs w:val="21"/>
        </w:rPr>
        <w:t>以内，更符合欧盟社会经济发展的实际情况。作为超主权国家联盟，欧盟对社会福利十分重视，虽然欧盟人口不到世界人口的</w:t>
      </w:r>
      <w:r>
        <w:rPr>
          <w:rFonts w:ascii="Times New Roman" w:hAnsi="Times New Roman"/>
          <w:szCs w:val="21"/>
        </w:rPr>
        <w:t xml:space="preserve"> 7%</w:t>
      </w:r>
      <w:r>
        <w:rPr>
          <w:rFonts w:ascii="Times New Roman" w:hAnsi="Times New Roman"/>
          <w:szCs w:val="21"/>
        </w:rPr>
        <w:t>，</w:t>
      </w:r>
      <w:r w:rsidR="00105E9B">
        <w:rPr>
          <w:rFonts w:ascii="Times New Roman" w:hAnsi="Times New Roman"/>
          <w:szCs w:val="21"/>
        </w:rPr>
        <w:t>但</w:t>
      </w:r>
      <w:r>
        <w:rPr>
          <w:rFonts w:ascii="Times New Roman" w:hAnsi="Times New Roman"/>
          <w:szCs w:val="21"/>
        </w:rPr>
        <w:t>GDP</w:t>
      </w:r>
      <w:r>
        <w:rPr>
          <w:rFonts w:ascii="Times New Roman" w:hAnsi="Times New Roman"/>
          <w:szCs w:val="21"/>
        </w:rPr>
        <w:t>占全球比重的</w:t>
      </w:r>
      <w:r>
        <w:rPr>
          <w:rFonts w:ascii="Times New Roman" w:hAnsi="Times New Roman"/>
          <w:szCs w:val="21"/>
        </w:rPr>
        <w:t xml:space="preserve"> 22%</w:t>
      </w:r>
      <w:r w:rsidR="00105E9B">
        <w:rPr>
          <w:rFonts w:ascii="Times New Roman" w:hAnsi="Times New Roman"/>
          <w:szCs w:val="21"/>
        </w:rPr>
        <w:t>，</w:t>
      </w:r>
      <w:r>
        <w:rPr>
          <w:rFonts w:ascii="Times New Roman" w:hAnsi="Times New Roman"/>
          <w:szCs w:val="21"/>
        </w:rPr>
        <w:t>其福利支出占全球福利支出的比重高达</w:t>
      </w:r>
      <w:r>
        <w:rPr>
          <w:rFonts w:ascii="Times New Roman" w:hAnsi="Times New Roman"/>
          <w:szCs w:val="21"/>
        </w:rPr>
        <w:t>50%</w:t>
      </w:r>
      <w:r>
        <w:rPr>
          <w:rFonts w:ascii="Times New Roman" w:hAnsi="Times New Roman"/>
          <w:szCs w:val="21"/>
        </w:rPr>
        <w:t>。</w:t>
      </w:r>
    </w:p>
    <w:p w14:paraId="06659FEA" w14:textId="77777777" w:rsidR="00501C7E" w:rsidRDefault="00EC5712">
      <w:pPr>
        <w:pStyle w:val="1"/>
        <w:widowControl/>
        <w:spacing w:before="0" w:after="0"/>
        <w:ind w:firstLine="420"/>
        <w:rPr>
          <w:rFonts w:ascii="Times New Roman" w:hAnsi="Times New Roman"/>
          <w:kern w:val="2"/>
          <w:sz w:val="21"/>
          <w:szCs w:val="21"/>
        </w:rPr>
      </w:pPr>
      <w:r>
        <w:rPr>
          <w:rFonts w:ascii="Times New Roman" w:hAnsi="Times New Roman"/>
          <w:kern w:val="2"/>
          <w:sz w:val="21"/>
          <w:szCs w:val="21"/>
        </w:rPr>
        <w:t>本文以</w:t>
      </w:r>
      <w:r>
        <w:rPr>
          <w:rFonts w:ascii="Times New Roman" w:hAnsi="Times New Roman" w:hint="eastAsia"/>
          <w:kern w:val="2"/>
          <w:sz w:val="21"/>
          <w:szCs w:val="21"/>
        </w:rPr>
        <w:t>案件</w:t>
      </w:r>
      <w:r w:rsidR="00105E9B">
        <w:rPr>
          <w:rFonts w:ascii="Times New Roman" w:hAnsi="Times New Roman"/>
          <w:kern w:val="2"/>
          <w:sz w:val="21"/>
          <w:szCs w:val="21"/>
        </w:rPr>
        <w:t>申诉者为切入点，从微观层面探究欧盟对华反倾销裁定的影响因素，</w:t>
      </w:r>
      <w:r>
        <w:rPr>
          <w:rFonts w:ascii="Times New Roman" w:hAnsi="Times New Roman"/>
          <w:kern w:val="2"/>
          <w:sz w:val="21"/>
          <w:szCs w:val="21"/>
        </w:rPr>
        <w:t>发现</w:t>
      </w:r>
      <w:r>
        <w:rPr>
          <w:rFonts w:ascii="Times New Roman" w:hAnsi="Times New Roman" w:hint="eastAsia"/>
          <w:kern w:val="2"/>
          <w:sz w:val="21"/>
          <w:szCs w:val="21"/>
        </w:rPr>
        <w:t>申诉者特征显著影响了中欧双边贸易发展</w:t>
      </w:r>
      <w:r w:rsidR="00105E9B">
        <w:rPr>
          <w:rFonts w:ascii="Times New Roman" w:hAnsi="Times New Roman" w:hint="eastAsia"/>
          <w:kern w:val="2"/>
          <w:sz w:val="21"/>
          <w:szCs w:val="21"/>
        </w:rPr>
        <w:t>。</w:t>
      </w:r>
      <w:r>
        <w:rPr>
          <w:rFonts w:ascii="Times New Roman" w:hAnsi="Times New Roman"/>
          <w:kern w:val="2"/>
          <w:sz w:val="21"/>
          <w:szCs w:val="21"/>
        </w:rPr>
        <w:t>因此，</w:t>
      </w:r>
      <w:r>
        <w:rPr>
          <w:rFonts w:ascii="Times New Roman" w:hAnsi="Times New Roman" w:hint="eastAsia"/>
          <w:kern w:val="2"/>
          <w:sz w:val="21"/>
          <w:szCs w:val="21"/>
        </w:rPr>
        <w:t>在应对贸易伙伴的贸易限制措施时，</w:t>
      </w:r>
      <w:r>
        <w:rPr>
          <w:rFonts w:ascii="Times New Roman" w:hAnsi="Times New Roman"/>
          <w:kern w:val="2"/>
          <w:sz w:val="21"/>
          <w:szCs w:val="21"/>
        </w:rPr>
        <w:t>中国可以从决策机构和施加影响的申诉者这两个</w:t>
      </w:r>
      <w:r>
        <w:rPr>
          <w:rFonts w:ascii="Times New Roman" w:hAnsi="Times New Roman" w:hint="eastAsia"/>
          <w:kern w:val="2"/>
          <w:sz w:val="21"/>
          <w:szCs w:val="21"/>
        </w:rPr>
        <w:t>主体</w:t>
      </w:r>
      <w:r>
        <w:rPr>
          <w:rFonts w:ascii="Times New Roman" w:hAnsi="Times New Roman"/>
          <w:kern w:val="2"/>
          <w:sz w:val="21"/>
          <w:szCs w:val="21"/>
        </w:rPr>
        <w:t>来探寻应对策略。</w:t>
      </w:r>
    </w:p>
    <w:p w14:paraId="03B48371" w14:textId="77777777" w:rsidR="00501C7E" w:rsidRDefault="00EC5712">
      <w:pPr>
        <w:ind w:firstLine="420"/>
        <w:rPr>
          <w:rFonts w:ascii="Times New Roman" w:hAnsi="Times New Roman"/>
        </w:rPr>
      </w:pPr>
      <w:r>
        <w:rPr>
          <w:rFonts w:ascii="Times New Roman" w:hAnsi="Times New Roman"/>
        </w:rPr>
        <w:t>一方面，中国政府和行业协会需要重视同</w:t>
      </w:r>
      <w:r>
        <w:rPr>
          <w:rFonts w:ascii="Times New Roman" w:hAnsi="Times New Roman" w:hint="eastAsia"/>
        </w:rPr>
        <w:t>贸易伙伴</w:t>
      </w:r>
      <w:r>
        <w:rPr>
          <w:rFonts w:ascii="Times New Roman" w:hAnsi="Times New Roman"/>
        </w:rPr>
        <w:t>政府间的沟通、交流与联系。第一，商务主管部门要派出代表同</w:t>
      </w:r>
      <w:r>
        <w:rPr>
          <w:rFonts w:ascii="Times New Roman" w:hAnsi="Times New Roman" w:hint="eastAsia"/>
        </w:rPr>
        <w:t>贸易伙伴国家的贸易主管机构</w:t>
      </w:r>
      <w:r>
        <w:rPr>
          <w:rFonts w:ascii="Times New Roman" w:hAnsi="Times New Roman"/>
        </w:rPr>
        <w:t>进行经常性会晤与协商，还要定期举办双边相关机构领导之间的对话与交流活动</w:t>
      </w:r>
      <w:r w:rsidR="00105E9B">
        <w:rPr>
          <w:rFonts w:ascii="Times New Roman" w:hAnsi="Times New Roman" w:hint="eastAsia"/>
        </w:rPr>
        <w:t>。</w:t>
      </w:r>
      <w:r>
        <w:rPr>
          <w:rFonts w:ascii="Times New Roman" w:hAnsi="Times New Roman"/>
        </w:rPr>
        <w:t>除</w:t>
      </w:r>
      <w:r>
        <w:rPr>
          <w:rFonts w:ascii="Times New Roman" w:hAnsi="Times New Roman" w:hint="eastAsia"/>
        </w:rPr>
        <w:t>双边</w:t>
      </w:r>
      <w:r>
        <w:rPr>
          <w:rFonts w:ascii="Times New Roman" w:hAnsi="Times New Roman"/>
        </w:rPr>
        <w:t>经贸合作论坛、</w:t>
      </w:r>
      <w:r>
        <w:rPr>
          <w:rFonts w:ascii="Times New Roman" w:hAnsi="Times New Roman" w:hint="eastAsia"/>
        </w:rPr>
        <w:t>双边</w:t>
      </w:r>
      <w:r>
        <w:rPr>
          <w:rFonts w:ascii="Times New Roman" w:hAnsi="Times New Roman"/>
        </w:rPr>
        <w:t>经贸高层对话等交流活动外，</w:t>
      </w:r>
      <w:r>
        <w:rPr>
          <w:rFonts w:ascii="Times New Roman" w:hAnsi="Times New Roman"/>
        </w:rPr>
        <w:lastRenderedPageBreak/>
        <w:t>还可以增加地方政府和相关贸易方</w:t>
      </w:r>
      <w:r>
        <w:rPr>
          <w:rFonts w:ascii="Times New Roman" w:hAnsi="Times New Roman" w:hint="eastAsia"/>
        </w:rPr>
        <w:t>的</w:t>
      </w:r>
      <w:r>
        <w:rPr>
          <w:rFonts w:ascii="Times New Roman" w:hAnsi="Times New Roman"/>
        </w:rPr>
        <w:t>对话交流。第二，</w:t>
      </w:r>
      <w:r>
        <w:rPr>
          <w:rFonts w:ascii="Times New Roman" w:hAnsi="Times New Roman" w:hint="eastAsia"/>
        </w:rPr>
        <w:t>贸易主管机构</w:t>
      </w:r>
      <w:r>
        <w:rPr>
          <w:rFonts w:ascii="Times New Roman" w:hAnsi="Times New Roman"/>
        </w:rPr>
        <w:t>是</w:t>
      </w:r>
      <w:r>
        <w:rPr>
          <w:rFonts w:ascii="Times New Roman" w:hAnsi="Times New Roman" w:hint="eastAsia"/>
        </w:rPr>
        <w:t>申诉者</w:t>
      </w:r>
      <w:r>
        <w:rPr>
          <w:rFonts w:ascii="Times New Roman" w:hAnsi="Times New Roman"/>
        </w:rPr>
        <w:t>利益和意志的汇聚平台，其制定的贸易政策反映了</w:t>
      </w:r>
      <w:r>
        <w:rPr>
          <w:rFonts w:ascii="Times New Roman" w:hAnsi="Times New Roman" w:hint="eastAsia"/>
        </w:rPr>
        <w:t>利益集团之间复杂</w:t>
      </w:r>
      <w:r>
        <w:rPr>
          <w:rFonts w:ascii="Times New Roman" w:hAnsi="Times New Roman"/>
        </w:rPr>
        <w:t>的利益博弈，因此我国政府在应对</w:t>
      </w:r>
      <w:r>
        <w:rPr>
          <w:rFonts w:ascii="Times New Roman" w:hAnsi="Times New Roman" w:hint="eastAsia"/>
        </w:rPr>
        <w:t>贸易主管机构</w:t>
      </w:r>
      <w:r>
        <w:rPr>
          <w:rFonts w:ascii="Times New Roman" w:hAnsi="Times New Roman"/>
        </w:rPr>
        <w:t>时，应密切关注</w:t>
      </w:r>
      <w:r>
        <w:rPr>
          <w:rFonts w:ascii="Times New Roman" w:hAnsi="Times New Roman" w:hint="eastAsia"/>
        </w:rPr>
        <w:t>不同利益方</w:t>
      </w:r>
      <w:r>
        <w:rPr>
          <w:rFonts w:ascii="Times New Roman" w:hAnsi="Times New Roman"/>
        </w:rPr>
        <w:t>的</w:t>
      </w:r>
      <w:r>
        <w:rPr>
          <w:rFonts w:ascii="Times New Roman" w:hAnsi="Times New Roman" w:hint="eastAsia"/>
        </w:rPr>
        <w:t>核心</w:t>
      </w:r>
      <w:r>
        <w:rPr>
          <w:rFonts w:ascii="Times New Roman" w:hAnsi="Times New Roman"/>
        </w:rPr>
        <w:t>诉求，有针对性地制定应对方案。第三，贸促会等行业协会也要在</w:t>
      </w:r>
      <w:r>
        <w:rPr>
          <w:rFonts w:ascii="Times New Roman" w:hAnsi="Times New Roman" w:hint="eastAsia"/>
        </w:rPr>
        <w:t>贸易伙伴国的主管部门总部</w:t>
      </w:r>
      <w:r>
        <w:rPr>
          <w:rFonts w:ascii="Times New Roman" w:hAnsi="Times New Roman"/>
        </w:rPr>
        <w:t>建立常设机构，定期举办交流活动，在互利的基础上向</w:t>
      </w:r>
      <w:r>
        <w:rPr>
          <w:rFonts w:ascii="Times New Roman" w:hAnsi="Times New Roman" w:hint="eastAsia"/>
        </w:rPr>
        <w:t>贸易国</w:t>
      </w:r>
      <w:r>
        <w:rPr>
          <w:rFonts w:ascii="Times New Roman" w:hAnsi="Times New Roman"/>
        </w:rPr>
        <w:t>当局表达自身的利益诉求。第四，中国政府要密切关注</w:t>
      </w:r>
      <w:r>
        <w:rPr>
          <w:rFonts w:ascii="Times New Roman" w:hAnsi="Times New Roman" w:hint="eastAsia"/>
        </w:rPr>
        <w:t>贸易伙伴国</w:t>
      </w:r>
      <w:r>
        <w:rPr>
          <w:rFonts w:ascii="Times New Roman" w:hAnsi="Times New Roman"/>
        </w:rPr>
        <w:t>层面贸易管理体制和贸易管理机构的变化，及时做出应对方案，不断完善中国的贸易管理机制，提高谈判技巧。</w:t>
      </w:r>
    </w:p>
    <w:p w14:paraId="3F2338B4" w14:textId="77777777" w:rsidR="00501C7E" w:rsidRDefault="00105E9B">
      <w:pPr>
        <w:ind w:firstLine="420"/>
        <w:rPr>
          <w:rFonts w:ascii="Times New Roman" w:hAnsi="Times New Roman"/>
        </w:rPr>
      </w:pPr>
      <w:r>
        <w:rPr>
          <w:rFonts w:ascii="Times New Roman" w:hAnsi="Times New Roman"/>
        </w:rPr>
        <w:t>另一方面，中</w:t>
      </w:r>
      <w:r w:rsidR="00EC5712">
        <w:rPr>
          <w:rFonts w:ascii="Times New Roman" w:hAnsi="Times New Roman"/>
        </w:rPr>
        <w:t>国政府和企业在面对</w:t>
      </w:r>
      <w:r w:rsidR="00EC5712">
        <w:rPr>
          <w:rFonts w:ascii="Times New Roman" w:hAnsi="Times New Roman" w:hint="eastAsia"/>
        </w:rPr>
        <w:t>贸易伙伴国</w:t>
      </w:r>
      <w:r w:rsidR="00EC5712">
        <w:rPr>
          <w:rFonts w:ascii="Times New Roman" w:hAnsi="Times New Roman"/>
        </w:rPr>
        <w:t>对华反倾销调查时，需要高度关注申诉者所属利益集团的目标、理念与行动。第一，对于代表性强、影响力大的传统申诉者，以及对国民经济和社会发展贡献较大的行业发起的案件，中国各界要高度重视，不仅要积极应诉，还需要从多方面做好准备，不仅要通过官方的和民间的组织</w:t>
      </w:r>
      <w:r>
        <w:rPr>
          <w:rFonts w:ascii="Times New Roman" w:hAnsi="Times New Roman"/>
        </w:rPr>
        <w:t>（如政府常驻机构、各机构的常驻办事处和各大企业的代表等）</w:t>
      </w:r>
      <w:r w:rsidR="00EC5712">
        <w:rPr>
          <w:rFonts w:ascii="Times New Roman" w:hAnsi="Times New Roman"/>
        </w:rPr>
        <w:t>等正规的渠道与</w:t>
      </w:r>
      <w:r w:rsidR="00EC5712">
        <w:rPr>
          <w:rFonts w:ascii="Times New Roman" w:hAnsi="Times New Roman" w:hint="eastAsia"/>
        </w:rPr>
        <w:t>贸易伙伴国</w:t>
      </w:r>
      <w:r w:rsidR="00EC5712">
        <w:rPr>
          <w:rFonts w:ascii="Times New Roman" w:hAnsi="Times New Roman"/>
        </w:rPr>
        <w:t>机构和决策者保持联系，同时也要通过非正规的渠道如雇用专业的律师、游说团队和公关咨询公司等来进行游说，力争在应诉过程中掌握主动</w:t>
      </w:r>
      <w:r w:rsidR="00EC5712">
        <w:rPr>
          <w:rFonts w:ascii="Times New Roman" w:hAnsi="Times New Roman" w:hint="eastAsia"/>
        </w:rPr>
        <w:t>权，</w:t>
      </w:r>
      <w:r w:rsidR="00EC5712">
        <w:rPr>
          <w:rFonts w:ascii="Times New Roman" w:hAnsi="Times New Roman"/>
        </w:rPr>
        <w:t>提高应诉成功概率</w:t>
      </w:r>
      <w:r>
        <w:rPr>
          <w:rFonts w:ascii="Times New Roman" w:hAnsi="Times New Roman"/>
        </w:rPr>
        <w:t>。第二，国内的行业协会和企业还要</w:t>
      </w:r>
      <w:r w:rsidR="00EC5712">
        <w:rPr>
          <w:rFonts w:ascii="Times New Roman" w:hAnsi="Times New Roman"/>
        </w:rPr>
        <w:t>加强与</w:t>
      </w:r>
      <w:r w:rsidR="00EC5712">
        <w:rPr>
          <w:rFonts w:ascii="Times New Roman" w:hAnsi="Times New Roman" w:hint="eastAsia"/>
        </w:rPr>
        <w:t>贸易伙伴国</w:t>
      </w:r>
      <w:r w:rsidR="00EC5712">
        <w:rPr>
          <w:rFonts w:ascii="Times New Roman" w:hAnsi="Times New Roman"/>
        </w:rPr>
        <w:t>代表性利益集团的交流与合作，在交流与合作中增进了解和互信，并通过这些利益集团来影响</w:t>
      </w:r>
      <w:r w:rsidR="00EC5712">
        <w:rPr>
          <w:rFonts w:ascii="Times New Roman" w:hAnsi="Times New Roman" w:hint="eastAsia"/>
        </w:rPr>
        <w:t>贸易伙伴国</w:t>
      </w:r>
      <w:r w:rsidR="00EC5712">
        <w:rPr>
          <w:rFonts w:ascii="Times New Roman" w:hAnsi="Times New Roman"/>
        </w:rPr>
        <w:t>对华贸易政策的决策。第三，关注</w:t>
      </w:r>
      <w:r w:rsidR="00EC5712">
        <w:rPr>
          <w:rFonts w:ascii="Times New Roman" w:hAnsi="Times New Roman" w:hint="eastAsia"/>
        </w:rPr>
        <w:t>贸易伙伴国</w:t>
      </w:r>
      <w:r w:rsidR="00EC5712">
        <w:rPr>
          <w:rFonts w:ascii="Times New Roman" w:hAnsi="Times New Roman"/>
        </w:rPr>
        <w:t>对华</w:t>
      </w:r>
      <w:r w:rsidR="00EC5712">
        <w:rPr>
          <w:rFonts w:ascii="Times New Roman" w:hAnsi="Times New Roman" w:hint="eastAsia"/>
        </w:rPr>
        <w:t>贸易政策决策过程</w:t>
      </w:r>
      <w:r w:rsidR="00EC5712">
        <w:rPr>
          <w:rFonts w:ascii="Times New Roman" w:hAnsi="Times New Roman"/>
        </w:rPr>
        <w:t>中错综复杂的利益博弈关系，寻找对中国</w:t>
      </w:r>
      <w:r>
        <w:rPr>
          <w:rFonts w:ascii="Times New Roman" w:hAnsi="Times New Roman"/>
        </w:rPr>
        <w:t>有利的利益集团，利用利益集团的力量对决策机构和案件申诉者施加影响</w:t>
      </w:r>
      <w:r w:rsidR="00EC5712">
        <w:rPr>
          <w:rFonts w:ascii="Times New Roman" w:hAnsi="Times New Roman"/>
        </w:rPr>
        <w:t>。第四，中国的相关行业协会可以利用自身的力量在</w:t>
      </w:r>
      <w:r w:rsidR="00EC5712">
        <w:rPr>
          <w:rFonts w:ascii="Times New Roman" w:hAnsi="Times New Roman" w:hint="eastAsia"/>
        </w:rPr>
        <w:t>贸易伙伴国</w:t>
      </w:r>
      <w:r>
        <w:rPr>
          <w:rFonts w:ascii="Times New Roman" w:hAnsi="Times New Roman"/>
        </w:rPr>
        <w:t>寻找盟友，使其减少对华贸易保护措施。</w:t>
      </w:r>
      <w:r w:rsidR="00EC5712">
        <w:rPr>
          <w:rFonts w:ascii="Times New Roman" w:hAnsi="Times New Roman"/>
        </w:rPr>
        <w:t>这不仅有利于</w:t>
      </w:r>
      <w:r w:rsidR="00EC5712">
        <w:rPr>
          <w:rFonts w:ascii="Times New Roman" w:hAnsi="Times New Roman" w:hint="eastAsia"/>
        </w:rPr>
        <w:t>双边</w:t>
      </w:r>
      <w:r w:rsidR="00EC5712">
        <w:rPr>
          <w:rFonts w:ascii="Times New Roman" w:hAnsi="Times New Roman"/>
        </w:rPr>
        <w:t>经贸关系稳定健康发展，也可以为中国政府制定针对</w:t>
      </w:r>
      <w:r w:rsidR="00EC5712">
        <w:rPr>
          <w:rFonts w:ascii="Times New Roman" w:hAnsi="Times New Roman" w:hint="eastAsia"/>
        </w:rPr>
        <w:t>性</w:t>
      </w:r>
      <w:r w:rsidR="00EC5712">
        <w:rPr>
          <w:rFonts w:ascii="Times New Roman" w:hAnsi="Times New Roman"/>
        </w:rPr>
        <w:t>的贸易政策提供重要信息。</w:t>
      </w:r>
    </w:p>
    <w:p w14:paraId="45432323" w14:textId="77777777" w:rsidR="00501C7E" w:rsidRDefault="00EC5712">
      <w:pPr>
        <w:ind w:firstLine="420"/>
        <w:rPr>
          <w:rFonts w:ascii="Times New Roman" w:hAnsi="Times New Roman"/>
          <w:szCs w:val="21"/>
        </w:rPr>
      </w:pPr>
      <w:r>
        <w:rPr>
          <w:rFonts w:ascii="Times New Roman" w:hAnsi="Times New Roman"/>
          <w:szCs w:val="21"/>
        </w:rPr>
        <w:t>此外，中国政府还要改变过去被动应诉的不利局面，创新对外贸</w:t>
      </w:r>
      <w:r w:rsidR="00105E9B">
        <w:rPr>
          <w:rFonts w:ascii="Times New Roman" w:hAnsi="Times New Roman"/>
          <w:szCs w:val="21"/>
        </w:rPr>
        <w:t>易管理体制，提高对外贸易谈判技巧，增强贸易防御工具的建设和使用。</w:t>
      </w:r>
      <w:r>
        <w:rPr>
          <w:rFonts w:ascii="Times New Roman" w:hAnsi="Times New Roman"/>
          <w:szCs w:val="21"/>
        </w:rPr>
        <w:t>中国企业也需要改变长期以来低价竞争的状态，提高出口产品的科技含量，对标国际标准，由</w:t>
      </w:r>
      <w:r>
        <w:rPr>
          <w:rFonts w:ascii="Times New Roman" w:hAnsi="Times New Roman" w:hint="eastAsia"/>
          <w:szCs w:val="21"/>
        </w:rPr>
        <w:t>“</w:t>
      </w:r>
      <w:r>
        <w:rPr>
          <w:rFonts w:ascii="Times New Roman" w:hAnsi="Times New Roman"/>
          <w:szCs w:val="21"/>
        </w:rPr>
        <w:t>以低价取胜</w:t>
      </w:r>
      <w:r>
        <w:rPr>
          <w:rFonts w:ascii="Times New Roman" w:hAnsi="Times New Roman" w:hint="eastAsia"/>
          <w:szCs w:val="21"/>
        </w:rPr>
        <w:t>”</w:t>
      </w:r>
      <w:r>
        <w:rPr>
          <w:rFonts w:ascii="Times New Roman" w:hAnsi="Times New Roman"/>
          <w:szCs w:val="21"/>
        </w:rPr>
        <w:t>彻底转变为</w:t>
      </w:r>
      <w:r>
        <w:rPr>
          <w:rFonts w:ascii="Times New Roman" w:hAnsi="Times New Roman" w:hint="eastAsia"/>
          <w:szCs w:val="21"/>
        </w:rPr>
        <w:t>“</w:t>
      </w:r>
      <w:r>
        <w:rPr>
          <w:rFonts w:ascii="Times New Roman" w:hAnsi="Times New Roman"/>
          <w:szCs w:val="21"/>
        </w:rPr>
        <w:t>以</w:t>
      </w:r>
      <w:r>
        <w:rPr>
          <w:rFonts w:ascii="Times New Roman" w:hAnsi="Times New Roman" w:hint="eastAsia"/>
          <w:szCs w:val="21"/>
        </w:rPr>
        <w:t>质量</w:t>
      </w:r>
      <w:r>
        <w:rPr>
          <w:rFonts w:ascii="Times New Roman" w:hAnsi="Times New Roman"/>
          <w:szCs w:val="21"/>
        </w:rPr>
        <w:t>取胜</w:t>
      </w:r>
      <w:r>
        <w:rPr>
          <w:rFonts w:ascii="Times New Roman" w:hAnsi="Times New Roman" w:hint="eastAsia"/>
          <w:szCs w:val="21"/>
        </w:rPr>
        <w:t>”</w:t>
      </w:r>
      <w:r w:rsidR="00105E9B">
        <w:rPr>
          <w:rFonts w:ascii="Times New Roman" w:hAnsi="Times New Roman" w:hint="eastAsia"/>
          <w:szCs w:val="21"/>
        </w:rPr>
        <w:t>。</w:t>
      </w:r>
      <w:r>
        <w:rPr>
          <w:rFonts w:ascii="Times New Roman" w:hAnsi="Times New Roman"/>
          <w:szCs w:val="21"/>
        </w:rPr>
        <w:t>这样不仅可以减小中国产品在</w:t>
      </w:r>
      <w:r>
        <w:rPr>
          <w:rFonts w:ascii="Times New Roman" w:hAnsi="Times New Roman" w:hint="eastAsia"/>
          <w:szCs w:val="21"/>
        </w:rPr>
        <w:t>国际</w:t>
      </w:r>
      <w:r>
        <w:rPr>
          <w:rFonts w:ascii="Times New Roman" w:hAnsi="Times New Roman"/>
          <w:szCs w:val="21"/>
        </w:rPr>
        <w:t>市场遭遇反倾销限制的风险，而且可以提高企业的市场占有率和利润水平，从而使中国企业更为充分地获得对外贸易利益。</w:t>
      </w:r>
    </w:p>
    <w:p w14:paraId="3BA7D613" w14:textId="77777777" w:rsidR="00501C7E" w:rsidRDefault="00EC5712">
      <w:pPr>
        <w:pStyle w:val="1"/>
        <w:widowControl/>
        <w:spacing w:before="0" w:after="0"/>
        <w:ind w:firstLineChars="100" w:firstLine="210"/>
        <w:rPr>
          <w:rStyle w:val="a9"/>
          <w:rFonts w:ascii="Times New Roman" w:eastAsia="黑体" w:hAnsi="Times New Roman"/>
          <w:kern w:val="2"/>
        </w:rPr>
      </w:pPr>
      <w:bookmarkStart w:id="4" w:name="_nebAD332290_E3B9_4E93_97FE_D5B069BC78D2"/>
      <w:bookmarkEnd w:id="3"/>
      <w:r>
        <w:rPr>
          <w:rFonts w:ascii="Times New Roman" w:eastAsia="黑体" w:hAnsi="Times New Roman"/>
          <w:sz w:val="21"/>
          <w:szCs w:val="21"/>
        </w:rPr>
        <w:t>参考文献</w:t>
      </w:r>
      <w:r>
        <w:rPr>
          <w:rFonts w:ascii="Times New Roman" w:eastAsia="黑体" w:hAnsi="Times New Roman" w:hint="eastAsia"/>
          <w:sz w:val="21"/>
          <w:szCs w:val="21"/>
        </w:rPr>
        <w:t>：</w:t>
      </w:r>
    </w:p>
    <w:p w14:paraId="30CC6102" w14:textId="77777777" w:rsidR="00501C7E" w:rsidRDefault="00EC5712">
      <w:pPr>
        <w:ind w:firstLineChars="100" w:firstLine="180"/>
        <w:rPr>
          <w:rFonts w:ascii="Times New Roman" w:hAnsi="Times New Roman"/>
          <w:sz w:val="18"/>
          <w:szCs w:val="18"/>
        </w:rPr>
      </w:pPr>
      <w:r>
        <w:rPr>
          <w:rFonts w:ascii="Times New Roman" w:hAnsi="Times New Roman"/>
          <w:sz w:val="18"/>
          <w:szCs w:val="18"/>
        </w:rPr>
        <w:t>鲍晓华</w:t>
      </w:r>
      <w:r>
        <w:rPr>
          <w:rFonts w:ascii="Times New Roman" w:hAnsi="Times New Roman" w:hint="eastAsia"/>
          <w:sz w:val="18"/>
          <w:szCs w:val="18"/>
        </w:rPr>
        <w:t>，</w:t>
      </w:r>
      <w:r>
        <w:rPr>
          <w:rFonts w:ascii="Times New Roman" w:hAnsi="Times New Roman"/>
          <w:sz w:val="18"/>
          <w:szCs w:val="18"/>
        </w:rPr>
        <w:t>2011</w:t>
      </w:r>
      <w:r>
        <w:rPr>
          <w:rFonts w:ascii="Times New Roman" w:hAnsi="Times New Roman" w:hint="eastAsia"/>
          <w:sz w:val="18"/>
          <w:szCs w:val="18"/>
        </w:rPr>
        <w:t>：</w:t>
      </w:r>
      <w:r>
        <w:rPr>
          <w:rFonts w:ascii="Times New Roman" w:hAnsi="Times New Roman"/>
          <w:sz w:val="18"/>
          <w:szCs w:val="18"/>
        </w:rPr>
        <w:t>《中国是否遭遇了歧视性反倾销</w:t>
      </w:r>
      <w:r>
        <w:rPr>
          <w:rFonts w:ascii="Times New Roman" w:hAnsi="Times New Roman"/>
          <w:sz w:val="18"/>
          <w:szCs w:val="18"/>
        </w:rPr>
        <w:t>?——</w:t>
      </w:r>
      <w:r>
        <w:rPr>
          <w:rFonts w:ascii="Times New Roman" w:hAnsi="Times New Roman"/>
          <w:sz w:val="18"/>
          <w:szCs w:val="18"/>
        </w:rPr>
        <w:t>兼与其他出口国的比较》</w:t>
      </w:r>
      <w:r>
        <w:rPr>
          <w:rFonts w:ascii="Times New Roman" w:hAnsi="Times New Roman" w:hint="eastAsia"/>
          <w:sz w:val="18"/>
          <w:szCs w:val="18"/>
        </w:rPr>
        <w:t>，</w:t>
      </w:r>
      <w:r>
        <w:rPr>
          <w:rFonts w:ascii="Times New Roman" w:hAnsi="Times New Roman"/>
          <w:sz w:val="18"/>
          <w:szCs w:val="18"/>
        </w:rPr>
        <w:t>《管理世界》第</w:t>
      </w:r>
      <w:r>
        <w:rPr>
          <w:rFonts w:ascii="Times New Roman" w:hAnsi="Times New Roman"/>
          <w:sz w:val="18"/>
          <w:szCs w:val="18"/>
        </w:rPr>
        <w:t>3</w:t>
      </w:r>
      <w:r>
        <w:rPr>
          <w:rFonts w:ascii="Times New Roman" w:hAnsi="Times New Roman"/>
          <w:sz w:val="18"/>
          <w:szCs w:val="18"/>
        </w:rPr>
        <w:t>期。</w:t>
      </w:r>
      <w:bookmarkStart w:id="5" w:name="_neb991D9906_0597_49AB_9FEA_2EC979D590BB"/>
    </w:p>
    <w:p w14:paraId="2BB255DB" w14:textId="77777777" w:rsidR="00501C7E" w:rsidRDefault="00EC5712">
      <w:pPr>
        <w:ind w:firstLineChars="100" w:firstLine="180"/>
        <w:rPr>
          <w:sz w:val="18"/>
          <w:szCs w:val="18"/>
        </w:rPr>
      </w:pPr>
      <w:r>
        <w:rPr>
          <w:rFonts w:ascii="宋体" w:hAnsi="宋体" w:hint="eastAsia"/>
          <w:sz w:val="18"/>
          <w:szCs w:val="18"/>
        </w:rPr>
        <w:t>郭守亭</w:t>
      </w:r>
      <w:r>
        <w:rPr>
          <w:rFonts w:ascii="Times New Roman" w:hAnsi="Times New Roman" w:hint="eastAsia"/>
          <w:sz w:val="18"/>
          <w:szCs w:val="18"/>
        </w:rPr>
        <w:t>，</w:t>
      </w:r>
      <w:r>
        <w:rPr>
          <w:rFonts w:ascii="Times New Roman" w:eastAsia="Times New Roman" w:hAnsi="Times New Roman"/>
          <w:sz w:val="18"/>
          <w:szCs w:val="18"/>
        </w:rPr>
        <w:t>2006</w:t>
      </w:r>
      <w:r>
        <w:rPr>
          <w:rFonts w:ascii="Times New Roman" w:hAnsi="Times New Roman" w:hint="eastAsia"/>
          <w:sz w:val="18"/>
          <w:szCs w:val="18"/>
        </w:rPr>
        <w:t>：</w:t>
      </w:r>
      <w:r>
        <w:rPr>
          <w:rFonts w:ascii="宋体" w:hAnsi="宋体" w:hint="eastAsia"/>
          <w:sz w:val="18"/>
          <w:szCs w:val="18"/>
        </w:rPr>
        <w:t>《反倾销申诉信号博弈分析》</w:t>
      </w:r>
      <w:r>
        <w:rPr>
          <w:rFonts w:ascii="Times New Roman" w:hAnsi="Times New Roman" w:hint="eastAsia"/>
          <w:sz w:val="18"/>
          <w:szCs w:val="18"/>
        </w:rPr>
        <w:t>，</w:t>
      </w:r>
      <w:r>
        <w:rPr>
          <w:rFonts w:ascii="宋体" w:hAnsi="宋体" w:hint="eastAsia"/>
          <w:sz w:val="18"/>
          <w:szCs w:val="18"/>
        </w:rPr>
        <w:t>《财政研究》第</w:t>
      </w:r>
      <w:r>
        <w:rPr>
          <w:rFonts w:ascii="Times New Roman" w:eastAsia="Times New Roman" w:hAnsi="Times New Roman"/>
          <w:sz w:val="18"/>
          <w:szCs w:val="18"/>
        </w:rPr>
        <w:t>9</w:t>
      </w:r>
      <w:r>
        <w:rPr>
          <w:rFonts w:ascii="宋体" w:hAnsi="宋体" w:hint="eastAsia"/>
          <w:sz w:val="18"/>
          <w:szCs w:val="18"/>
        </w:rPr>
        <w:t>期。</w:t>
      </w:r>
      <w:bookmarkEnd w:id="5"/>
    </w:p>
    <w:p w14:paraId="73947B03" w14:textId="77777777" w:rsidR="00501C7E" w:rsidRDefault="00EC5712">
      <w:pPr>
        <w:ind w:firstLineChars="100" w:firstLine="180"/>
        <w:rPr>
          <w:sz w:val="18"/>
          <w:szCs w:val="18"/>
        </w:rPr>
      </w:pPr>
      <w:bookmarkStart w:id="6" w:name="_neb90F2421B_9936_45CD_9AB1_FB99183E31B4"/>
      <w:r>
        <w:rPr>
          <w:rFonts w:ascii="宋体" w:hAnsi="宋体" w:hint="eastAsia"/>
          <w:sz w:val="18"/>
          <w:szCs w:val="18"/>
        </w:rPr>
        <w:t>胡丹婷</w:t>
      </w:r>
      <w:r>
        <w:rPr>
          <w:rFonts w:ascii="Times New Roman" w:eastAsia="Times New Roman" w:hAnsi="Times New Roman"/>
          <w:sz w:val="18"/>
          <w:szCs w:val="18"/>
        </w:rPr>
        <w:t xml:space="preserve"> </w:t>
      </w:r>
      <w:r>
        <w:rPr>
          <w:rFonts w:ascii="宋体" w:hAnsi="宋体" w:hint="eastAsia"/>
          <w:sz w:val="18"/>
          <w:szCs w:val="18"/>
        </w:rPr>
        <w:t>何建华</w:t>
      </w:r>
      <w:r>
        <w:rPr>
          <w:rFonts w:ascii="Times New Roman" w:eastAsia="Times New Roman" w:hAnsi="Times New Roman"/>
          <w:sz w:val="18"/>
          <w:szCs w:val="18"/>
        </w:rPr>
        <w:t xml:space="preserve"> </w:t>
      </w:r>
      <w:r>
        <w:rPr>
          <w:rFonts w:ascii="宋体" w:hAnsi="宋体" w:hint="eastAsia"/>
          <w:sz w:val="18"/>
          <w:szCs w:val="18"/>
        </w:rPr>
        <w:t>史亚冲</w:t>
      </w:r>
      <w:r>
        <w:rPr>
          <w:rFonts w:ascii="Times New Roman" w:hAnsi="Times New Roman" w:hint="eastAsia"/>
          <w:sz w:val="18"/>
          <w:szCs w:val="18"/>
        </w:rPr>
        <w:t>，</w:t>
      </w:r>
      <w:r>
        <w:rPr>
          <w:rFonts w:ascii="Times New Roman" w:eastAsia="Times New Roman" w:hAnsi="Times New Roman"/>
          <w:sz w:val="18"/>
          <w:szCs w:val="18"/>
        </w:rPr>
        <w:t>2006</w:t>
      </w:r>
      <w:r>
        <w:rPr>
          <w:rFonts w:ascii="Times New Roman" w:hAnsi="Times New Roman" w:hint="eastAsia"/>
          <w:sz w:val="18"/>
          <w:szCs w:val="18"/>
        </w:rPr>
        <w:t>：</w:t>
      </w:r>
      <w:r>
        <w:rPr>
          <w:rFonts w:ascii="宋体" w:hAnsi="宋体" w:hint="eastAsia"/>
          <w:sz w:val="18"/>
          <w:szCs w:val="18"/>
        </w:rPr>
        <w:t>《行业反倾销申诉——混合策略均衡下的后果及平衡的突破》</w:t>
      </w:r>
      <w:r>
        <w:rPr>
          <w:rFonts w:ascii="Times New Roman" w:hAnsi="Times New Roman" w:hint="eastAsia"/>
          <w:sz w:val="18"/>
          <w:szCs w:val="18"/>
        </w:rPr>
        <w:t>，</w:t>
      </w:r>
      <w:r>
        <w:rPr>
          <w:rFonts w:ascii="宋体" w:hAnsi="宋体" w:hint="eastAsia"/>
          <w:sz w:val="18"/>
          <w:szCs w:val="18"/>
        </w:rPr>
        <w:t>《国际贸易问题》第</w:t>
      </w:r>
      <w:r>
        <w:rPr>
          <w:rFonts w:ascii="Times New Roman" w:eastAsia="Times New Roman" w:hAnsi="Times New Roman"/>
          <w:sz w:val="18"/>
          <w:szCs w:val="18"/>
        </w:rPr>
        <w:t>12</w:t>
      </w:r>
      <w:r>
        <w:rPr>
          <w:rFonts w:ascii="宋体" w:hAnsi="宋体" w:hint="eastAsia"/>
          <w:sz w:val="18"/>
          <w:szCs w:val="18"/>
        </w:rPr>
        <w:t>期。</w:t>
      </w:r>
      <w:bookmarkEnd w:id="6"/>
    </w:p>
    <w:p w14:paraId="224014BB" w14:textId="77777777" w:rsidR="00501C7E" w:rsidRDefault="00EC5712">
      <w:pPr>
        <w:ind w:firstLineChars="100" w:firstLine="180"/>
        <w:rPr>
          <w:rFonts w:ascii="Times New Roman" w:hAnsi="Times New Roman"/>
          <w:sz w:val="18"/>
          <w:szCs w:val="18"/>
        </w:rPr>
      </w:pPr>
      <w:bookmarkStart w:id="7" w:name="_neb36441288_20FC_4ED2_9B71_37BB1A352B5E"/>
      <w:r>
        <w:rPr>
          <w:rFonts w:ascii="宋体" w:hAnsi="宋体" w:hint="eastAsia"/>
          <w:sz w:val="18"/>
          <w:szCs w:val="18"/>
        </w:rPr>
        <w:t>焦知岳</w:t>
      </w:r>
      <w:r>
        <w:rPr>
          <w:rFonts w:ascii="Times New Roman" w:eastAsia="Times New Roman" w:hAnsi="Times New Roman"/>
          <w:sz w:val="18"/>
          <w:szCs w:val="18"/>
        </w:rPr>
        <w:t xml:space="preserve"> </w:t>
      </w:r>
      <w:r>
        <w:rPr>
          <w:rFonts w:ascii="宋体" w:hAnsi="宋体" w:hint="eastAsia"/>
          <w:sz w:val="18"/>
          <w:szCs w:val="18"/>
        </w:rPr>
        <w:t>冯宗宪</w:t>
      </w:r>
      <w:r>
        <w:rPr>
          <w:rFonts w:ascii="Times New Roman" w:hAnsi="Times New Roman" w:hint="eastAsia"/>
          <w:sz w:val="18"/>
          <w:szCs w:val="18"/>
        </w:rPr>
        <w:t>，</w:t>
      </w:r>
      <w:r>
        <w:rPr>
          <w:rFonts w:ascii="Times New Roman" w:eastAsia="Times New Roman" w:hAnsi="Times New Roman"/>
          <w:sz w:val="18"/>
          <w:szCs w:val="18"/>
        </w:rPr>
        <w:t>2008</w:t>
      </w:r>
      <w:r>
        <w:rPr>
          <w:rFonts w:ascii="Times New Roman" w:hAnsi="Times New Roman" w:hint="eastAsia"/>
          <w:sz w:val="18"/>
          <w:szCs w:val="18"/>
        </w:rPr>
        <w:t>：</w:t>
      </w:r>
      <w:r>
        <w:rPr>
          <w:rFonts w:ascii="宋体" w:hAnsi="宋体" w:hint="eastAsia"/>
          <w:sz w:val="18"/>
          <w:szCs w:val="18"/>
        </w:rPr>
        <w:t>《外国直接投资与国内企业反倾销申诉</w:t>
      </w:r>
      <w:r>
        <w:rPr>
          <w:rFonts w:ascii="Times New Roman" w:hAnsi="Times New Roman"/>
          <w:sz w:val="18"/>
          <w:szCs w:val="18"/>
        </w:rPr>
        <w:t>——</w:t>
      </w:r>
      <w:r>
        <w:rPr>
          <w:rFonts w:ascii="宋体" w:hAnsi="宋体" w:hint="eastAsia"/>
          <w:sz w:val="18"/>
          <w:szCs w:val="18"/>
        </w:rPr>
        <w:t>基于贸易保护需求视角的分析》</w:t>
      </w:r>
      <w:r>
        <w:rPr>
          <w:rFonts w:ascii="Times New Roman" w:hAnsi="Times New Roman" w:hint="eastAsia"/>
          <w:sz w:val="18"/>
          <w:szCs w:val="18"/>
        </w:rPr>
        <w:t>，</w:t>
      </w:r>
      <w:r>
        <w:rPr>
          <w:rFonts w:ascii="宋体" w:hAnsi="宋体" w:hint="eastAsia"/>
          <w:sz w:val="18"/>
          <w:szCs w:val="18"/>
        </w:rPr>
        <w:t>《经济评论》第</w:t>
      </w:r>
      <w:r>
        <w:rPr>
          <w:rFonts w:ascii="Times New Roman" w:eastAsia="Times New Roman" w:hAnsi="Times New Roman"/>
          <w:sz w:val="18"/>
          <w:szCs w:val="18"/>
        </w:rPr>
        <w:t>6</w:t>
      </w:r>
      <w:r>
        <w:rPr>
          <w:rFonts w:ascii="宋体" w:hAnsi="宋体" w:hint="eastAsia"/>
          <w:sz w:val="18"/>
          <w:szCs w:val="18"/>
        </w:rPr>
        <w:t>期。</w:t>
      </w:r>
      <w:bookmarkEnd w:id="7"/>
    </w:p>
    <w:p w14:paraId="0F68207B" w14:textId="77777777" w:rsidR="00501C7E" w:rsidRDefault="00EC5712">
      <w:pPr>
        <w:ind w:firstLineChars="100" w:firstLine="180"/>
        <w:jc w:val="left"/>
        <w:rPr>
          <w:rFonts w:ascii="Times New Roman" w:hAnsi="Times New Roman"/>
          <w:sz w:val="18"/>
          <w:szCs w:val="18"/>
        </w:rPr>
      </w:pPr>
      <w:r>
        <w:rPr>
          <w:rFonts w:ascii="Times New Roman" w:hAnsi="Times New Roman"/>
          <w:sz w:val="18"/>
          <w:szCs w:val="18"/>
        </w:rPr>
        <w:t>李坤望</w:t>
      </w:r>
      <w:r>
        <w:rPr>
          <w:rFonts w:ascii="Times New Roman" w:hAnsi="Times New Roman"/>
          <w:sz w:val="18"/>
          <w:szCs w:val="18"/>
        </w:rPr>
        <w:t xml:space="preserve"> </w:t>
      </w:r>
      <w:r>
        <w:rPr>
          <w:rFonts w:ascii="Times New Roman" w:hAnsi="Times New Roman"/>
          <w:sz w:val="18"/>
          <w:szCs w:val="18"/>
        </w:rPr>
        <w:t>王孝松</w:t>
      </w:r>
      <w:r>
        <w:rPr>
          <w:rFonts w:ascii="Times New Roman" w:hAnsi="Times New Roman" w:hint="eastAsia"/>
          <w:sz w:val="18"/>
          <w:szCs w:val="18"/>
        </w:rPr>
        <w:t>，</w:t>
      </w:r>
      <w:r>
        <w:rPr>
          <w:rFonts w:ascii="Times New Roman" w:hAnsi="Times New Roman"/>
          <w:sz w:val="18"/>
          <w:szCs w:val="18"/>
        </w:rPr>
        <w:t>2008</w:t>
      </w:r>
      <w:r>
        <w:rPr>
          <w:rFonts w:ascii="Times New Roman" w:hAnsi="Times New Roman" w:hint="eastAsia"/>
          <w:sz w:val="18"/>
          <w:szCs w:val="18"/>
        </w:rPr>
        <w:t>：</w:t>
      </w:r>
      <w:r>
        <w:rPr>
          <w:rFonts w:ascii="Times New Roman" w:hAnsi="Times New Roman"/>
          <w:sz w:val="18"/>
          <w:szCs w:val="18"/>
        </w:rPr>
        <w:t>《申诉者政治势力与美国对华反倾销的歧视性</w:t>
      </w:r>
      <w:r>
        <w:rPr>
          <w:rFonts w:ascii="Times New Roman" w:hAnsi="Times New Roman" w:hint="eastAsia"/>
          <w:sz w:val="18"/>
          <w:szCs w:val="18"/>
        </w:rPr>
        <w:t>：</w:t>
      </w:r>
      <w:r>
        <w:rPr>
          <w:rFonts w:ascii="Times New Roman" w:hAnsi="Times New Roman"/>
          <w:sz w:val="18"/>
          <w:szCs w:val="18"/>
        </w:rPr>
        <w:t>美国对华反倾销裁定影响因素的经验分析》</w:t>
      </w:r>
      <w:r>
        <w:rPr>
          <w:rFonts w:ascii="Times New Roman" w:hAnsi="Times New Roman" w:hint="eastAsia"/>
          <w:sz w:val="18"/>
          <w:szCs w:val="18"/>
        </w:rPr>
        <w:t>，</w:t>
      </w:r>
      <w:r>
        <w:rPr>
          <w:rFonts w:ascii="Times New Roman" w:hAnsi="Times New Roman"/>
          <w:sz w:val="18"/>
          <w:szCs w:val="18"/>
        </w:rPr>
        <w:t>《世界经济》第</w:t>
      </w:r>
      <w:r>
        <w:rPr>
          <w:rFonts w:ascii="Times New Roman" w:hAnsi="Times New Roman"/>
          <w:sz w:val="18"/>
          <w:szCs w:val="18"/>
        </w:rPr>
        <w:t>6</w:t>
      </w:r>
      <w:r>
        <w:rPr>
          <w:rFonts w:ascii="Times New Roman" w:hAnsi="Times New Roman"/>
          <w:sz w:val="18"/>
          <w:szCs w:val="18"/>
        </w:rPr>
        <w:t>期。</w:t>
      </w:r>
    </w:p>
    <w:p w14:paraId="28B2BA4B" w14:textId="77777777" w:rsidR="00501C7E" w:rsidRDefault="00EC5712">
      <w:pPr>
        <w:ind w:leftChars="100" w:left="210" w:firstLineChars="4" w:firstLine="7"/>
        <w:rPr>
          <w:rFonts w:ascii="Times New Roman" w:hAnsi="Times New Roman"/>
          <w:sz w:val="18"/>
          <w:szCs w:val="18"/>
        </w:rPr>
      </w:pPr>
      <w:bookmarkStart w:id="8" w:name="_neb7079EFB9_C64E_4DCA_A740_CCE626C2CF2A"/>
      <w:r>
        <w:rPr>
          <w:rFonts w:ascii="宋体" w:hAnsi="宋体" w:hint="eastAsia"/>
          <w:sz w:val="18"/>
          <w:szCs w:val="18"/>
        </w:rPr>
        <w:t>李磊</w:t>
      </w:r>
      <w:r>
        <w:rPr>
          <w:rFonts w:ascii="Times New Roman" w:eastAsia="Times New Roman" w:hAnsi="Times New Roman"/>
          <w:sz w:val="18"/>
          <w:szCs w:val="18"/>
        </w:rPr>
        <w:t xml:space="preserve"> </w:t>
      </w:r>
      <w:r>
        <w:rPr>
          <w:rFonts w:ascii="宋体" w:hAnsi="宋体" w:hint="eastAsia"/>
          <w:sz w:val="18"/>
          <w:szCs w:val="18"/>
        </w:rPr>
        <w:t>漆鑫</w:t>
      </w:r>
      <w:r>
        <w:rPr>
          <w:rFonts w:ascii="Times New Roman" w:eastAsia="Times New Roman" w:hAnsi="Times New Roman"/>
          <w:sz w:val="18"/>
          <w:szCs w:val="18"/>
        </w:rPr>
        <w:t xml:space="preserve"> </w:t>
      </w:r>
      <w:r>
        <w:rPr>
          <w:rFonts w:ascii="宋体" w:hAnsi="宋体" w:hint="eastAsia"/>
          <w:sz w:val="18"/>
          <w:szCs w:val="18"/>
        </w:rPr>
        <w:t>朱玉</w:t>
      </w:r>
      <w:r>
        <w:rPr>
          <w:rFonts w:ascii="Times New Roman" w:hAnsi="Times New Roman" w:hint="eastAsia"/>
          <w:sz w:val="18"/>
          <w:szCs w:val="18"/>
        </w:rPr>
        <w:t>，</w:t>
      </w:r>
      <w:r>
        <w:rPr>
          <w:rFonts w:ascii="Times New Roman" w:eastAsia="Times New Roman" w:hAnsi="Times New Roman"/>
          <w:sz w:val="18"/>
          <w:szCs w:val="18"/>
        </w:rPr>
        <w:t>2011</w:t>
      </w:r>
      <w:r>
        <w:rPr>
          <w:rFonts w:ascii="Times New Roman" w:hAnsi="Times New Roman" w:hint="eastAsia"/>
          <w:sz w:val="18"/>
          <w:szCs w:val="18"/>
        </w:rPr>
        <w:t>：</w:t>
      </w:r>
      <w:r>
        <w:rPr>
          <w:rFonts w:ascii="宋体" w:hAnsi="宋体" w:hint="eastAsia"/>
          <w:sz w:val="18"/>
          <w:szCs w:val="18"/>
        </w:rPr>
        <w:t>《反倾销申诉和措施中的政治经济因素实证分析》</w:t>
      </w:r>
      <w:r>
        <w:rPr>
          <w:rFonts w:ascii="Times New Roman" w:hAnsi="Times New Roman" w:hint="eastAsia"/>
          <w:sz w:val="18"/>
          <w:szCs w:val="18"/>
        </w:rPr>
        <w:t>，</w:t>
      </w:r>
      <w:r>
        <w:rPr>
          <w:rFonts w:ascii="宋体" w:hAnsi="宋体" w:hint="eastAsia"/>
          <w:sz w:val="18"/>
          <w:szCs w:val="18"/>
        </w:rPr>
        <w:t>《经济评论》第</w:t>
      </w:r>
      <w:r>
        <w:rPr>
          <w:rFonts w:ascii="Times New Roman" w:eastAsia="Times New Roman" w:hAnsi="Times New Roman"/>
          <w:sz w:val="18"/>
          <w:szCs w:val="18"/>
        </w:rPr>
        <w:t>2</w:t>
      </w:r>
      <w:r>
        <w:rPr>
          <w:rFonts w:ascii="宋体" w:hAnsi="宋体" w:hint="eastAsia"/>
          <w:sz w:val="18"/>
          <w:szCs w:val="18"/>
        </w:rPr>
        <w:t>期。</w:t>
      </w:r>
      <w:bookmarkEnd w:id="8"/>
    </w:p>
    <w:p w14:paraId="6BA19E25" w14:textId="77777777" w:rsidR="00501C7E" w:rsidRDefault="00EC5712">
      <w:pPr>
        <w:ind w:leftChars="100" w:left="210" w:firstLineChars="4" w:firstLine="7"/>
        <w:jc w:val="left"/>
        <w:rPr>
          <w:rFonts w:ascii="Times New Roman" w:hAnsi="Times New Roman"/>
          <w:sz w:val="18"/>
          <w:szCs w:val="18"/>
        </w:rPr>
      </w:pPr>
      <w:r>
        <w:rPr>
          <w:rFonts w:ascii="Times New Roman" w:hAnsi="Times New Roman"/>
          <w:sz w:val="18"/>
          <w:szCs w:val="18"/>
        </w:rPr>
        <w:t>梁俊伟</w:t>
      </w:r>
      <w:r>
        <w:rPr>
          <w:rFonts w:ascii="Times New Roman" w:hAnsi="Times New Roman"/>
          <w:sz w:val="18"/>
          <w:szCs w:val="18"/>
        </w:rPr>
        <w:t xml:space="preserve"> </w:t>
      </w:r>
      <w:r>
        <w:rPr>
          <w:rFonts w:ascii="Times New Roman" w:hAnsi="Times New Roman"/>
          <w:sz w:val="18"/>
          <w:szCs w:val="18"/>
        </w:rPr>
        <w:t>代中强</w:t>
      </w:r>
      <w:r>
        <w:rPr>
          <w:rFonts w:ascii="Times New Roman" w:hAnsi="Times New Roman" w:hint="eastAsia"/>
          <w:sz w:val="18"/>
          <w:szCs w:val="18"/>
        </w:rPr>
        <w:t>，</w:t>
      </w:r>
      <w:r>
        <w:rPr>
          <w:rFonts w:ascii="Times New Roman" w:hAnsi="Times New Roman"/>
          <w:sz w:val="18"/>
          <w:szCs w:val="18"/>
        </w:rPr>
        <w:t>2015</w:t>
      </w:r>
      <w:r>
        <w:rPr>
          <w:rFonts w:ascii="Times New Roman" w:hAnsi="Times New Roman" w:hint="eastAsia"/>
          <w:sz w:val="18"/>
          <w:szCs w:val="18"/>
        </w:rPr>
        <w:t>：</w:t>
      </w:r>
      <w:r>
        <w:rPr>
          <w:rFonts w:ascii="Times New Roman" w:hAnsi="Times New Roman"/>
          <w:sz w:val="18"/>
          <w:szCs w:val="18"/>
        </w:rPr>
        <w:t>《发展中国家对华反倾销动因</w:t>
      </w:r>
      <w:r>
        <w:rPr>
          <w:rFonts w:ascii="Times New Roman" w:hAnsi="Times New Roman" w:hint="eastAsia"/>
          <w:sz w:val="18"/>
          <w:szCs w:val="18"/>
        </w:rPr>
        <w:t>：</w:t>
      </w:r>
      <w:r>
        <w:rPr>
          <w:rFonts w:ascii="Times New Roman" w:hAnsi="Times New Roman"/>
          <w:sz w:val="18"/>
          <w:szCs w:val="18"/>
        </w:rPr>
        <w:t>基于宏微观的视角》</w:t>
      </w:r>
      <w:r>
        <w:rPr>
          <w:rFonts w:ascii="Times New Roman" w:hAnsi="Times New Roman" w:hint="eastAsia"/>
          <w:sz w:val="18"/>
          <w:szCs w:val="18"/>
        </w:rPr>
        <w:t>，</w:t>
      </w:r>
      <w:r>
        <w:rPr>
          <w:rFonts w:ascii="Times New Roman" w:hAnsi="Times New Roman"/>
          <w:sz w:val="18"/>
          <w:szCs w:val="18"/>
        </w:rPr>
        <w:t>《世界经济》第</w:t>
      </w:r>
      <w:r>
        <w:rPr>
          <w:rFonts w:ascii="Times New Roman" w:hAnsi="Times New Roman"/>
          <w:sz w:val="18"/>
          <w:szCs w:val="18"/>
        </w:rPr>
        <w:t>11</w:t>
      </w:r>
      <w:r>
        <w:rPr>
          <w:rFonts w:ascii="Times New Roman" w:hAnsi="Times New Roman"/>
          <w:sz w:val="18"/>
          <w:szCs w:val="18"/>
        </w:rPr>
        <w:t>期。</w:t>
      </w:r>
    </w:p>
    <w:p w14:paraId="323CD58C" w14:textId="77777777" w:rsidR="00501C7E" w:rsidRDefault="00EC5712">
      <w:pPr>
        <w:ind w:leftChars="100" w:left="210" w:firstLineChars="4" w:firstLine="7"/>
        <w:jc w:val="left"/>
        <w:rPr>
          <w:rFonts w:ascii="Times New Roman" w:hAnsi="Times New Roman"/>
          <w:sz w:val="18"/>
          <w:szCs w:val="18"/>
        </w:rPr>
      </w:pPr>
      <w:bookmarkStart w:id="9" w:name="_neb9E138F38_4D8F_4860_B306_114B26142FFA"/>
      <w:r>
        <w:rPr>
          <w:rFonts w:ascii="宋体" w:hAnsi="宋体" w:hint="eastAsia"/>
          <w:sz w:val="18"/>
          <w:szCs w:val="18"/>
        </w:rPr>
        <w:t>彭萍萍</w:t>
      </w:r>
      <w:r>
        <w:rPr>
          <w:rFonts w:ascii="Times New Roman" w:hAnsi="Times New Roman" w:hint="eastAsia"/>
          <w:sz w:val="18"/>
          <w:szCs w:val="18"/>
        </w:rPr>
        <w:t>，</w:t>
      </w:r>
      <w:r>
        <w:rPr>
          <w:rFonts w:ascii="Times New Roman" w:eastAsia="Times New Roman" w:hAnsi="Times New Roman"/>
          <w:sz w:val="18"/>
          <w:szCs w:val="18"/>
        </w:rPr>
        <w:t>2010</w:t>
      </w:r>
      <w:r>
        <w:rPr>
          <w:rFonts w:ascii="Times New Roman" w:hAnsi="Times New Roman" w:hint="eastAsia"/>
          <w:sz w:val="18"/>
          <w:szCs w:val="18"/>
        </w:rPr>
        <w:t>：</w:t>
      </w:r>
      <w:r>
        <w:rPr>
          <w:rFonts w:ascii="宋体" w:hAnsi="宋体" w:hint="eastAsia"/>
          <w:sz w:val="18"/>
          <w:szCs w:val="18"/>
        </w:rPr>
        <w:t>《浅析欧盟利益集团的形成与发展》</w:t>
      </w:r>
      <w:r>
        <w:rPr>
          <w:rFonts w:ascii="Times New Roman" w:hAnsi="Times New Roman" w:hint="eastAsia"/>
          <w:sz w:val="18"/>
          <w:szCs w:val="18"/>
        </w:rPr>
        <w:t>，</w:t>
      </w:r>
      <w:r>
        <w:rPr>
          <w:rFonts w:ascii="宋体" w:hAnsi="宋体" w:hint="eastAsia"/>
          <w:sz w:val="18"/>
          <w:szCs w:val="18"/>
        </w:rPr>
        <w:t>《当代世界与社会主义》第</w:t>
      </w:r>
      <w:r>
        <w:rPr>
          <w:rFonts w:ascii="Times New Roman" w:eastAsia="Times New Roman" w:hAnsi="Times New Roman"/>
          <w:sz w:val="18"/>
          <w:szCs w:val="18"/>
        </w:rPr>
        <w:t>6</w:t>
      </w:r>
      <w:r>
        <w:rPr>
          <w:rFonts w:ascii="宋体" w:hAnsi="宋体" w:hint="eastAsia"/>
          <w:sz w:val="18"/>
          <w:szCs w:val="18"/>
        </w:rPr>
        <w:t>期。</w:t>
      </w:r>
      <w:bookmarkEnd w:id="9"/>
    </w:p>
    <w:p w14:paraId="62D9291C" w14:textId="77777777" w:rsidR="00501C7E" w:rsidRDefault="00EC5712">
      <w:pPr>
        <w:ind w:leftChars="100" w:left="210" w:firstLineChars="4" w:firstLine="7"/>
        <w:jc w:val="left"/>
        <w:rPr>
          <w:rFonts w:ascii="Times New Roman" w:hAnsi="Times New Roman"/>
          <w:sz w:val="18"/>
          <w:szCs w:val="18"/>
        </w:rPr>
      </w:pPr>
      <w:r>
        <w:rPr>
          <w:rFonts w:ascii="Times New Roman" w:hAnsi="Times New Roman"/>
          <w:sz w:val="18"/>
          <w:szCs w:val="18"/>
        </w:rPr>
        <w:t>王晰</w:t>
      </w:r>
      <w:r>
        <w:rPr>
          <w:rFonts w:ascii="Times New Roman" w:hAnsi="Times New Roman" w:hint="eastAsia"/>
          <w:sz w:val="18"/>
          <w:szCs w:val="18"/>
        </w:rPr>
        <w:t>，</w:t>
      </w:r>
      <w:r>
        <w:rPr>
          <w:rFonts w:ascii="Times New Roman" w:hAnsi="Times New Roman"/>
          <w:sz w:val="18"/>
          <w:szCs w:val="18"/>
        </w:rPr>
        <w:t>2010</w:t>
      </w:r>
      <w:r>
        <w:rPr>
          <w:rFonts w:ascii="Times New Roman" w:hAnsi="Times New Roman" w:hint="eastAsia"/>
          <w:sz w:val="18"/>
          <w:szCs w:val="18"/>
        </w:rPr>
        <w:t>：</w:t>
      </w:r>
      <w:r>
        <w:rPr>
          <w:rFonts w:ascii="Times New Roman" w:hAnsi="Times New Roman"/>
          <w:sz w:val="18"/>
          <w:szCs w:val="18"/>
        </w:rPr>
        <w:t>《对华反倾销申诉的国别制度差异》</w:t>
      </w:r>
      <w:r>
        <w:rPr>
          <w:rFonts w:ascii="Times New Roman" w:hAnsi="Times New Roman" w:hint="eastAsia"/>
          <w:sz w:val="18"/>
          <w:szCs w:val="18"/>
        </w:rPr>
        <w:t>，</w:t>
      </w:r>
      <w:r>
        <w:rPr>
          <w:rFonts w:ascii="Times New Roman" w:hAnsi="Times New Roman"/>
          <w:sz w:val="18"/>
          <w:szCs w:val="18"/>
        </w:rPr>
        <w:t>《经济科学》第</w:t>
      </w:r>
      <w:r>
        <w:rPr>
          <w:rFonts w:ascii="Times New Roman" w:hAnsi="Times New Roman"/>
          <w:sz w:val="18"/>
          <w:szCs w:val="18"/>
        </w:rPr>
        <w:t>5</w:t>
      </w:r>
      <w:r>
        <w:rPr>
          <w:rFonts w:ascii="Times New Roman" w:hAnsi="Times New Roman"/>
          <w:sz w:val="18"/>
          <w:szCs w:val="18"/>
        </w:rPr>
        <w:t>期。</w:t>
      </w:r>
    </w:p>
    <w:p w14:paraId="400AFB6D" w14:textId="77777777" w:rsidR="00501C7E" w:rsidRDefault="00EC5712">
      <w:pPr>
        <w:ind w:firstLineChars="100" w:firstLine="180"/>
        <w:jc w:val="left"/>
        <w:rPr>
          <w:rFonts w:ascii="Times New Roman" w:hAnsi="Times New Roman"/>
          <w:sz w:val="18"/>
          <w:szCs w:val="18"/>
        </w:rPr>
      </w:pPr>
      <w:r>
        <w:rPr>
          <w:rFonts w:ascii="Times New Roman" w:hAnsi="Times New Roman"/>
          <w:sz w:val="18"/>
          <w:szCs w:val="18"/>
        </w:rPr>
        <w:t>王晓磊</w:t>
      </w:r>
      <w:r>
        <w:rPr>
          <w:rFonts w:ascii="Times New Roman" w:hAnsi="Times New Roman"/>
          <w:sz w:val="18"/>
          <w:szCs w:val="18"/>
        </w:rPr>
        <w:t xml:space="preserve"> </w:t>
      </w:r>
      <w:r>
        <w:rPr>
          <w:rFonts w:ascii="Times New Roman" w:hAnsi="Times New Roman"/>
          <w:sz w:val="18"/>
          <w:szCs w:val="18"/>
        </w:rPr>
        <w:t>沈瑶</w:t>
      </w:r>
      <w:r>
        <w:rPr>
          <w:rFonts w:ascii="Times New Roman" w:hAnsi="Times New Roman" w:hint="eastAsia"/>
          <w:sz w:val="18"/>
          <w:szCs w:val="18"/>
        </w:rPr>
        <w:t>，</w:t>
      </w:r>
      <w:r>
        <w:rPr>
          <w:rFonts w:ascii="Times New Roman" w:hAnsi="Times New Roman"/>
          <w:sz w:val="18"/>
          <w:szCs w:val="18"/>
        </w:rPr>
        <w:t>2018</w:t>
      </w:r>
      <w:r>
        <w:rPr>
          <w:rFonts w:ascii="Times New Roman" w:hAnsi="Times New Roman" w:hint="eastAsia"/>
          <w:sz w:val="18"/>
          <w:szCs w:val="18"/>
        </w:rPr>
        <w:t>：</w:t>
      </w:r>
      <w:r>
        <w:rPr>
          <w:rFonts w:ascii="Times New Roman" w:hAnsi="Times New Roman"/>
          <w:sz w:val="18"/>
          <w:szCs w:val="18"/>
        </w:rPr>
        <w:t>《国外对华实施反倾销调查的影响因素研究</w:t>
      </w:r>
      <w:r>
        <w:rPr>
          <w:rFonts w:ascii="Times New Roman" w:hAnsi="Times New Roman"/>
          <w:sz w:val="18"/>
          <w:szCs w:val="18"/>
        </w:rPr>
        <w:t>——</w:t>
      </w:r>
      <w:r>
        <w:rPr>
          <w:rFonts w:ascii="Times New Roman" w:hAnsi="Times New Roman"/>
          <w:sz w:val="18"/>
          <w:szCs w:val="18"/>
        </w:rPr>
        <w:t>兼论中国贸易政策与外资政策的协调》</w:t>
      </w:r>
      <w:r>
        <w:rPr>
          <w:rFonts w:ascii="Times New Roman" w:hAnsi="Times New Roman" w:hint="eastAsia"/>
          <w:sz w:val="18"/>
          <w:szCs w:val="18"/>
        </w:rPr>
        <w:t>，</w:t>
      </w:r>
      <w:r>
        <w:rPr>
          <w:rFonts w:ascii="Times New Roman" w:hAnsi="Times New Roman"/>
          <w:sz w:val="18"/>
          <w:szCs w:val="18"/>
        </w:rPr>
        <w:t>《国际商务</w:t>
      </w:r>
      <w:r>
        <w:rPr>
          <w:rFonts w:ascii="Times New Roman" w:hAnsi="Times New Roman"/>
          <w:sz w:val="18"/>
          <w:szCs w:val="18"/>
        </w:rPr>
        <w:t>(</w:t>
      </w:r>
      <w:r>
        <w:rPr>
          <w:rFonts w:ascii="Times New Roman" w:hAnsi="Times New Roman"/>
          <w:sz w:val="18"/>
          <w:szCs w:val="18"/>
        </w:rPr>
        <w:t>对外经济贸易大学学报</w:t>
      </w:r>
      <w:r>
        <w:rPr>
          <w:rFonts w:ascii="Times New Roman" w:hAnsi="Times New Roman"/>
          <w:sz w:val="18"/>
          <w:szCs w:val="18"/>
        </w:rPr>
        <w:t>)</w:t>
      </w:r>
      <w:r>
        <w:rPr>
          <w:rFonts w:ascii="Times New Roman" w:hAnsi="Times New Roman"/>
          <w:sz w:val="18"/>
          <w:szCs w:val="18"/>
        </w:rPr>
        <w:t>》第</w:t>
      </w:r>
      <w:r>
        <w:rPr>
          <w:rFonts w:ascii="Times New Roman" w:hAnsi="Times New Roman"/>
          <w:sz w:val="18"/>
          <w:szCs w:val="18"/>
        </w:rPr>
        <w:t>03</w:t>
      </w:r>
      <w:r>
        <w:rPr>
          <w:rFonts w:ascii="Times New Roman" w:hAnsi="Times New Roman"/>
          <w:sz w:val="18"/>
          <w:szCs w:val="18"/>
        </w:rPr>
        <w:t>期。</w:t>
      </w:r>
    </w:p>
    <w:p w14:paraId="005C5FCA" w14:textId="77777777" w:rsidR="00501C7E" w:rsidRDefault="00EC5712">
      <w:pPr>
        <w:ind w:firstLineChars="100" w:firstLine="180"/>
        <w:jc w:val="left"/>
        <w:rPr>
          <w:rFonts w:ascii="Times New Roman" w:hAnsi="Times New Roman"/>
          <w:sz w:val="18"/>
          <w:szCs w:val="18"/>
        </w:rPr>
      </w:pPr>
      <w:r>
        <w:rPr>
          <w:rFonts w:ascii="Times New Roman" w:hAnsi="Times New Roman"/>
          <w:sz w:val="18"/>
          <w:szCs w:val="18"/>
        </w:rPr>
        <w:t>王孝松</w:t>
      </w:r>
      <w:r>
        <w:rPr>
          <w:rFonts w:ascii="Times New Roman" w:hAnsi="Times New Roman"/>
          <w:sz w:val="18"/>
          <w:szCs w:val="18"/>
        </w:rPr>
        <w:t xml:space="preserve"> </w:t>
      </w:r>
      <w:r>
        <w:rPr>
          <w:rFonts w:ascii="Times New Roman" w:hAnsi="Times New Roman"/>
          <w:sz w:val="18"/>
          <w:szCs w:val="18"/>
        </w:rPr>
        <w:t>谢申祥</w:t>
      </w:r>
      <w:r>
        <w:rPr>
          <w:rFonts w:ascii="Times New Roman" w:hAnsi="Times New Roman" w:hint="eastAsia"/>
          <w:sz w:val="18"/>
          <w:szCs w:val="18"/>
        </w:rPr>
        <w:t>，</w:t>
      </w:r>
      <w:r>
        <w:rPr>
          <w:rFonts w:ascii="Times New Roman" w:hAnsi="Times New Roman"/>
          <w:sz w:val="18"/>
          <w:szCs w:val="18"/>
        </w:rPr>
        <w:t>2009</w:t>
      </w:r>
      <w:r>
        <w:rPr>
          <w:rFonts w:ascii="Times New Roman" w:hAnsi="Times New Roman" w:hint="eastAsia"/>
          <w:sz w:val="18"/>
          <w:szCs w:val="18"/>
        </w:rPr>
        <w:t>：</w:t>
      </w:r>
      <w:r>
        <w:rPr>
          <w:rFonts w:ascii="Times New Roman" w:hAnsi="Times New Roman"/>
          <w:sz w:val="18"/>
          <w:szCs w:val="18"/>
        </w:rPr>
        <w:t>《中国究竟为何遭遇反倾销</w:t>
      </w:r>
      <w:r>
        <w:rPr>
          <w:rFonts w:ascii="Times New Roman" w:hAnsi="Times New Roman"/>
          <w:sz w:val="18"/>
          <w:szCs w:val="18"/>
        </w:rPr>
        <w:t>——</w:t>
      </w:r>
      <w:r>
        <w:rPr>
          <w:rFonts w:ascii="Times New Roman" w:hAnsi="Times New Roman"/>
          <w:sz w:val="18"/>
          <w:szCs w:val="18"/>
        </w:rPr>
        <w:t>基于跨国跨行业数据的经验分析》</w:t>
      </w:r>
      <w:r>
        <w:rPr>
          <w:rFonts w:ascii="Times New Roman" w:hAnsi="Times New Roman" w:hint="eastAsia"/>
          <w:sz w:val="18"/>
          <w:szCs w:val="18"/>
        </w:rPr>
        <w:t>，</w:t>
      </w:r>
      <w:r>
        <w:rPr>
          <w:rFonts w:ascii="Times New Roman" w:hAnsi="Times New Roman"/>
          <w:sz w:val="18"/>
          <w:szCs w:val="18"/>
        </w:rPr>
        <w:t>《管理世界》第</w:t>
      </w:r>
      <w:r>
        <w:rPr>
          <w:rFonts w:ascii="Times New Roman" w:hAnsi="Times New Roman"/>
          <w:sz w:val="18"/>
          <w:szCs w:val="18"/>
        </w:rPr>
        <w:t>12</w:t>
      </w:r>
      <w:r>
        <w:rPr>
          <w:rFonts w:ascii="Times New Roman" w:hAnsi="Times New Roman"/>
          <w:sz w:val="18"/>
          <w:szCs w:val="18"/>
        </w:rPr>
        <w:t>期。</w:t>
      </w:r>
    </w:p>
    <w:p w14:paraId="72D37E07" w14:textId="77777777" w:rsidR="00501C7E" w:rsidRDefault="00EC5712">
      <w:pPr>
        <w:ind w:firstLineChars="100" w:firstLine="180"/>
        <w:jc w:val="left"/>
        <w:rPr>
          <w:rFonts w:ascii="Times New Roman" w:hAnsi="Times New Roman"/>
          <w:sz w:val="18"/>
          <w:szCs w:val="18"/>
        </w:rPr>
      </w:pPr>
      <w:r>
        <w:rPr>
          <w:rFonts w:ascii="Times New Roman" w:hAnsi="Times New Roman"/>
          <w:sz w:val="18"/>
          <w:szCs w:val="18"/>
        </w:rPr>
        <w:t>王孝松</w:t>
      </w:r>
      <w:r>
        <w:rPr>
          <w:rFonts w:ascii="Times New Roman" w:hAnsi="Times New Roman"/>
          <w:sz w:val="18"/>
          <w:szCs w:val="18"/>
        </w:rPr>
        <w:t xml:space="preserve"> </w:t>
      </w:r>
      <w:r>
        <w:rPr>
          <w:rFonts w:ascii="Times New Roman" w:hAnsi="Times New Roman"/>
          <w:sz w:val="18"/>
          <w:szCs w:val="18"/>
        </w:rPr>
        <w:t>谢申祥</w:t>
      </w:r>
      <w:r>
        <w:rPr>
          <w:rFonts w:ascii="Times New Roman" w:hAnsi="Times New Roman" w:hint="eastAsia"/>
          <w:sz w:val="18"/>
          <w:szCs w:val="18"/>
        </w:rPr>
        <w:t>，</w:t>
      </w:r>
      <w:r>
        <w:rPr>
          <w:rFonts w:ascii="Times New Roman" w:hAnsi="Times New Roman"/>
          <w:sz w:val="18"/>
          <w:szCs w:val="18"/>
        </w:rPr>
        <w:t>2013</w:t>
      </w:r>
      <w:r>
        <w:rPr>
          <w:rFonts w:ascii="Times New Roman" w:hAnsi="Times New Roman" w:hint="eastAsia"/>
          <w:sz w:val="18"/>
          <w:szCs w:val="18"/>
        </w:rPr>
        <w:t>：</w:t>
      </w:r>
      <w:r>
        <w:rPr>
          <w:rFonts w:ascii="Times New Roman" w:hAnsi="Times New Roman"/>
          <w:sz w:val="18"/>
          <w:szCs w:val="18"/>
        </w:rPr>
        <w:t>《发展中大国间贸易摩擦的微观形成机制</w:t>
      </w:r>
      <w:r>
        <w:rPr>
          <w:rFonts w:ascii="Times New Roman" w:hAnsi="Times New Roman"/>
          <w:sz w:val="18"/>
          <w:szCs w:val="18"/>
        </w:rPr>
        <w:t>——</w:t>
      </w:r>
      <w:r>
        <w:rPr>
          <w:rFonts w:ascii="Times New Roman" w:hAnsi="Times New Roman"/>
          <w:sz w:val="18"/>
          <w:szCs w:val="18"/>
        </w:rPr>
        <w:t>以印度对华反倾销为例》</w:t>
      </w:r>
      <w:r>
        <w:rPr>
          <w:rFonts w:ascii="Times New Roman" w:hAnsi="Times New Roman" w:hint="eastAsia"/>
          <w:sz w:val="18"/>
          <w:szCs w:val="18"/>
        </w:rPr>
        <w:t>，</w:t>
      </w:r>
      <w:r>
        <w:rPr>
          <w:rFonts w:ascii="Times New Roman" w:hAnsi="Times New Roman"/>
          <w:sz w:val="18"/>
          <w:szCs w:val="18"/>
        </w:rPr>
        <w:t>《中国社会科学》第</w:t>
      </w:r>
      <w:r>
        <w:rPr>
          <w:rFonts w:ascii="Times New Roman" w:hAnsi="Times New Roman"/>
          <w:sz w:val="18"/>
          <w:szCs w:val="18"/>
        </w:rPr>
        <w:t>9</w:t>
      </w:r>
      <w:r>
        <w:rPr>
          <w:rFonts w:ascii="Times New Roman" w:hAnsi="Times New Roman"/>
          <w:sz w:val="18"/>
          <w:szCs w:val="18"/>
        </w:rPr>
        <w:t>期。</w:t>
      </w:r>
    </w:p>
    <w:p w14:paraId="3696D4D8" w14:textId="77777777" w:rsidR="00501C7E" w:rsidRDefault="00EC5712">
      <w:pPr>
        <w:ind w:firstLineChars="100" w:firstLine="180"/>
        <w:jc w:val="left"/>
        <w:rPr>
          <w:rFonts w:ascii="Times New Roman" w:hAnsi="Times New Roman"/>
          <w:sz w:val="18"/>
          <w:szCs w:val="18"/>
        </w:rPr>
      </w:pPr>
      <w:r>
        <w:rPr>
          <w:rFonts w:ascii="Times New Roman" w:hAnsi="Times New Roman"/>
          <w:sz w:val="18"/>
          <w:szCs w:val="18"/>
        </w:rPr>
        <w:t>谢建国</w:t>
      </w:r>
      <w:r>
        <w:rPr>
          <w:rFonts w:ascii="Times New Roman" w:hAnsi="Times New Roman" w:hint="eastAsia"/>
          <w:sz w:val="18"/>
          <w:szCs w:val="18"/>
        </w:rPr>
        <w:t>，</w:t>
      </w:r>
      <w:r>
        <w:rPr>
          <w:rFonts w:ascii="Times New Roman" w:hAnsi="Times New Roman"/>
          <w:sz w:val="18"/>
          <w:szCs w:val="18"/>
        </w:rPr>
        <w:t>2006</w:t>
      </w:r>
      <w:r>
        <w:rPr>
          <w:rFonts w:ascii="Times New Roman" w:hAnsi="Times New Roman" w:hint="eastAsia"/>
          <w:sz w:val="18"/>
          <w:szCs w:val="18"/>
        </w:rPr>
        <w:t>：</w:t>
      </w:r>
      <w:r>
        <w:rPr>
          <w:rFonts w:ascii="Times New Roman" w:hAnsi="Times New Roman"/>
          <w:sz w:val="18"/>
          <w:szCs w:val="18"/>
        </w:rPr>
        <w:t>《经济影响、政治分歧与制度摩擦</w:t>
      </w:r>
      <w:r>
        <w:rPr>
          <w:rFonts w:ascii="Times New Roman" w:hAnsi="Times New Roman"/>
          <w:sz w:val="18"/>
          <w:szCs w:val="18"/>
        </w:rPr>
        <w:t>——</w:t>
      </w:r>
      <w:r>
        <w:rPr>
          <w:rFonts w:ascii="Times New Roman" w:hAnsi="Times New Roman"/>
          <w:sz w:val="18"/>
          <w:szCs w:val="18"/>
        </w:rPr>
        <w:t>美国对华贸易反倾销实证研究》</w:t>
      </w:r>
      <w:r>
        <w:rPr>
          <w:rFonts w:ascii="Times New Roman" w:hAnsi="Times New Roman" w:hint="eastAsia"/>
          <w:sz w:val="18"/>
          <w:szCs w:val="18"/>
        </w:rPr>
        <w:t>，</w:t>
      </w:r>
      <w:r>
        <w:rPr>
          <w:rFonts w:ascii="Times New Roman" w:hAnsi="Times New Roman"/>
          <w:sz w:val="18"/>
          <w:szCs w:val="18"/>
        </w:rPr>
        <w:t>《管理世界》第</w:t>
      </w:r>
      <w:r>
        <w:rPr>
          <w:rFonts w:ascii="Times New Roman" w:hAnsi="Times New Roman"/>
          <w:sz w:val="18"/>
          <w:szCs w:val="18"/>
        </w:rPr>
        <w:t>12</w:t>
      </w:r>
      <w:r>
        <w:rPr>
          <w:rFonts w:ascii="Times New Roman" w:hAnsi="Times New Roman"/>
          <w:sz w:val="18"/>
          <w:szCs w:val="18"/>
        </w:rPr>
        <w:t>期。</w:t>
      </w:r>
    </w:p>
    <w:p w14:paraId="537045E6" w14:textId="77777777" w:rsidR="00501C7E" w:rsidRDefault="00EC5712">
      <w:pPr>
        <w:ind w:leftChars="100" w:left="210" w:firstLineChars="4" w:firstLine="7"/>
        <w:jc w:val="left"/>
        <w:rPr>
          <w:rFonts w:ascii="Times New Roman" w:hAnsi="Times New Roman"/>
          <w:sz w:val="18"/>
          <w:szCs w:val="18"/>
        </w:rPr>
      </w:pPr>
      <w:r>
        <w:rPr>
          <w:rFonts w:ascii="Times New Roman" w:hAnsi="Times New Roman"/>
          <w:sz w:val="18"/>
          <w:szCs w:val="18"/>
        </w:rPr>
        <w:t>杨飞</w:t>
      </w:r>
      <w:r>
        <w:rPr>
          <w:rFonts w:ascii="Times New Roman" w:hAnsi="Times New Roman"/>
          <w:sz w:val="18"/>
          <w:szCs w:val="18"/>
        </w:rPr>
        <w:t xml:space="preserve"> </w:t>
      </w:r>
      <w:r>
        <w:rPr>
          <w:rFonts w:ascii="Times New Roman" w:hAnsi="Times New Roman"/>
          <w:sz w:val="18"/>
          <w:szCs w:val="18"/>
        </w:rPr>
        <w:t>孙文远</w:t>
      </w:r>
      <w:r>
        <w:rPr>
          <w:rFonts w:ascii="Times New Roman" w:hAnsi="Times New Roman"/>
          <w:sz w:val="18"/>
          <w:szCs w:val="18"/>
        </w:rPr>
        <w:t xml:space="preserve"> </w:t>
      </w:r>
      <w:r>
        <w:rPr>
          <w:rFonts w:ascii="Times New Roman" w:hAnsi="Times New Roman"/>
          <w:sz w:val="18"/>
          <w:szCs w:val="18"/>
        </w:rPr>
        <w:t>程瑶</w:t>
      </w:r>
      <w:r>
        <w:rPr>
          <w:rFonts w:ascii="Times New Roman" w:hAnsi="Times New Roman" w:hint="eastAsia"/>
          <w:sz w:val="18"/>
          <w:szCs w:val="18"/>
        </w:rPr>
        <w:t>，</w:t>
      </w:r>
      <w:r>
        <w:rPr>
          <w:rFonts w:ascii="Times New Roman" w:hAnsi="Times New Roman"/>
          <w:sz w:val="18"/>
          <w:szCs w:val="18"/>
        </w:rPr>
        <w:t>2018</w:t>
      </w:r>
      <w:r>
        <w:rPr>
          <w:rFonts w:ascii="Times New Roman" w:hAnsi="Times New Roman" w:hint="eastAsia"/>
          <w:sz w:val="18"/>
          <w:szCs w:val="18"/>
        </w:rPr>
        <w:t>：</w:t>
      </w:r>
      <w:r>
        <w:rPr>
          <w:rFonts w:ascii="Times New Roman" w:hAnsi="Times New Roman"/>
          <w:sz w:val="18"/>
          <w:szCs w:val="18"/>
        </w:rPr>
        <w:t>《技术赶超是否引发中美贸易摩擦》</w:t>
      </w:r>
      <w:r>
        <w:rPr>
          <w:rFonts w:ascii="Times New Roman" w:hAnsi="Times New Roman" w:hint="eastAsia"/>
          <w:sz w:val="18"/>
          <w:szCs w:val="18"/>
        </w:rPr>
        <w:t>，</w:t>
      </w:r>
      <w:r>
        <w:rPr>
          <w:rFonts w:ascii="Times New Roman" w:hAnsi="Times New Roman"/>
          <w:sz w:val="18"/>
          <w:szCs w:val="18"/>
        </w:rPr>
        <w:t>《中国工业经济》第</w:t>
      </w:r>
      <w:r>
        <w:rPr>
          <w:rFonts w:ascii="Times New Roman" w:hAnsi="Times New Roman"/>
          <w:sz w:val="18"/>
          <w:szCs w:val="18"/>
        </w:rPr>
        <w:t>10</w:t>
      </w:r>
      <w:r>
        <w:rPr>
          <w:rFonts w:ascii="Times New Roman" w:hAnsi="Times New Roman"/>
          <w:sz w:val="18"/>
          <w:szCs w:val="18"/>
        </w:rPr>
        <w:t>期。</w:t>
      </w:r>
    </w:p>
    <w:p w14:paraId="153663D2" w14:textId="77777777" w:rsidR="00501C7E" w:rsidRDefault="00EC5712">
      <w:pPr>
        <w:ind w:leftChars="100" w:left="210" w:firstLineChars="4" w:firstLine="7"/>
        <w:rPr>
          <w:sz w:val="18"/>
          <w:szCs w:val="18"/>
        </w:rPr>
      </w:pPr>
      <w:bookmarkStart w:id="10" w:name="_neb1BF3A717_1BE7_489A_BD28_0901A83E27A6"/>
      <w:r>
        <w:rPr>
          <w:rFonts w:ascii="宋体" w:hAnsi="宋体" w:hint="eastAsia"/>
          <w:sz w:val="18"/>
          <w:szCs w:val="18"/>
        </w:rPr>
        <w:lastRenderedPageBreak/>
        <w:t>杨仕辉</w:t>
      </w:r>
      <w:r>
        <w:rPr>
          <w:rFonts w:ascii="Times New Roman" w:eastAsia="Times New Roman" w:hAnsi="Times New Roman"/>
          <w:sz w:val="18"/>
          <w:szCs w:val="18"/>
        </w:rPr>
        <w:t xml:space="preserve"> </w:t>
      </w:r>
      <w:r>
        <w:rPr>
          <w:rFonts w:ascii="宋体" w:hAnsi="宋体" w:hint="eastAsia"/>
          <w:sz w:val="18"/>
          <w:szCs w:val="18"/>
        </w:rPr>
        <w:t>肖德</w:t>
      </w:r>
      <w:r>
        <w:rPr>
          <w:rFonts w:ascii="Times New Roman" w:hAnsi="Times New Roman" w:hint="eastAsia"/>
          <w:sz w:val="18"/>
          <w:szCs w:val="18"/>
        </w:rPr>
        <w:t>，</w:t>
      </w:r>
      <w:r>
        <w:rPr>
          <w:rFonts w:ascii="Times New Roman" w:eastAsia="Times New Roman" w:hAnsi="Times New Roman"/>
          <w:sz w:val="18"/>
          <w:szCs w:val="18"/>
        </w:rPr>
        <w:t>2000</w:t>
      </w:r>
      <w:r>
        <w:rPr>
          <w:rFonts w:ascii="Times New Roman" w:hAnsi="Times New Roman" w:hint="eastAsia"/>
          <w:sz w:val="18"/>
          <w:szCs w:val="18"/>
        </w:rPr>
        <w:t>：</w:t>
      </w:r>
      <w:r>
        <w:rPr>
          <w:rFonts w:ascii="宋体" w:hAnsi="宋体" w:hint="eastAsia"/>
          <w:sz w:val="18"/>
          <w:szCs w:val="18"/>
        </w:rPr>
        <w:t>《反倾销对抗博弈——兼论我国少有对外反倾销申诉的成因分析》</w:t>
      </w:r>
      <w:r>
        <w:rPr>
          <w:rFonts w:ascii="Times New Roman" w:hAnsi="Times New Roman" w:hint="eastAsia"/>
          <w:sz w:val="18"/>
          <w:szCs w:val="18"/>
        </w:rPr>
        <w:t>，</w:t>
      </w:r>
      <w:r>
        <w:rPr>
          <w:rFonts w:ascii="宋体" w:hAnsi="宋体" w:hint="eastAsia"/>
          <w:sz w:val="18"/>
          <w:szCs w:val="18"/>
        </w:rPr>
        <w:t>《预测》第</w:t>
      </w:r>
      <w:r>
        <w:rPr>
          <w:rFonts w:ascii="Times New Roman" w:eastAsia="Times New Roman" w:hAnsi="Times New Roman"/>
          <w:sz w:val="18"/>
          <w:szCs w:val="18"/>
        </w:rPr>
        <w:t>6</w:t>
      </w:r>
      <w:r>
        <w:rPr>
          <w:rFonts w:ascii="宋体" w:hAnsi="宋体" w:hint="eastAsia"/>
          <w:sz w:val="18"/>
          <w:szCs w:val="18"/>
        </w:rPr>
        <w:t>期。</w:t>
      </w:r>
      <w:bookmarkEnd w:id="10"/>
    </w:p>
    <w:p w14:paraId="62A02BE7" w14:textId="77777777" w:rsidR="00501C7E" w:rsidRDefault="00EC5712">
      <w:pPr>
        <w:ind w:leftChars="100" w:left="210" w:firstLineChars="4" w:firstLine="7"/>
        <w:rPr>
          <w:rFonts w:ascii="Times New Roman" w:hAnsi="Times New Roman"/>
          <w:sz w:val="18"/>
          <w:szCs w:val="18"/>
        </w:rPr>
      </w:pPr>
      <w:bookmarkStart w:id="11" w:name="_neb8AA91C36_CA8A_451B_B3AB_64450F506686"/>
      <w:r>
        <w:rPr>
          <w:rFonts w:ascii="宋体" w:hAnsi="宋体" w:hint="eastAsia"/>
          <w:sz w:val="18"/>
          <w:szCs w:val="18"/>
        </w:rPr>
        <w:t>杨晓云</w:t>
      </w:r>
      <w:r>
        <w:rPr>
          <w:rFonts w:ascii="Times New Roman" w:eastAsia="Times New Roman" w:hAnsi="Times New Roman"/>
          <w:sz w:val="18"/>
          <w:szCs w:val="18"/>
        </w:rPr>
        <w:t xml:space="preserve"> </w:t>
      </w:r>
      <w:r>
        <w:rPr>
          <w:rFonts w:ascii="宋体" w:hAnsi="宋体" w:hint="eastAsia"/>
          <w:sz w:val="18"/>
          <w:szCs w:val="18"/>
        </w:rPr>
        <w:t>药朝诚</w:t>
      </w:r>
      <w:r>
        <w:rPr>
          <w:rFonts w:ascii="Times New Roman" w:hAnsi="Times New Roman" w:hint="eastAsia"/>
          <w:sz w:val="18"/>
          <w:szCs w:val="18"/>
        </w:rPr>
        <w:t>，</w:t>
      </w:r>
      <w:r>
        <w:rPr>
          <w:rFonts w:ascii="Times New Roman" w:eastAsia="Times New Roman" w:hAnsi="Times New Roman"/>
          <w:sz w:val="18"/>
          <w:szCs w:val="18"/>
        </w:rPr>
        <w:t>2012</w:t>
      </w:r>
      <w:r>
        <w:rPr>
          <w:rFonts w:ascii="Times New Roman" w:hAnsi="Times New Roman" w:hint="eastAsia"/>
          <w:sz w:val="18"/>
          <w:szCs w:val="18"/>
        </w:rPr>
        <w:t>：</w:t>
      </w:r>
      <w:r>
        <w:rPr>
          <w:rFonts w:ascii="宋体" w:hAnsi="宋体" w:hint="eastAsia"/>
          <w:sz w:val="18"/>
          <w:szCs w:val="18"/>
        </w:rPr>
        <w:t>《中国对外反倾销影响因素研究》</w:t>
      </w:r>
      <w:r>
        <w:rPr>
          <w:rFonts w:ascii="Times New Roman" w:hAnsi="Times New Roman" w:hint="eastAsia"/>
          <w:sz w:val="18"/>
          <w:szCs w:val="18"/>
        </w:rPr>
        <w:t>，</w:t>
      </w:r>
      <w:r>
        <w:rPr>
          <w:rFonts w:ascii="宋体" w:hAnsi="宋体" w:hint="eastAsia"/>
          <w:sz w:val="18"/>
          <w:szCs w:val="18"/>
        </w:rPr>
        <w:t>《商业研究》第</w:t>
      </w:r>
      <w:r>
        <w:rPr>
          <w:rFonts w:ascii="Times New Roman" w:eastAsia="Times New Roman" w:hAnsi="Times New Roman"/>
          <w:sz w:val="18"/>
          <w:szCs w:val="18"/>
        </w:rPr>
        <w:t>5</w:t>
      </w:r>
      <w:r>
        <w:rPr>
          <w:rFonts w:ascii="宋体" w:hAnsi="宋体" w:hint="eastAsia"/>
          <w:sz w:val="18"/>
          <w:szCs w:val="18"/>
        </w:rPr>
        <w:t>期。</w:t>
      </w:r>
      <w:bookmarkEnd w:id="11"/>
    </w:p>
    <w:p w14:paraId="35C13B19" w14:textId="77777777" w:rsidR="00501C7E" w:rsidRDefault="00EC5712">
      <w:pPr>
        <w:ind w:firstLineChars="100" w:firstLine="180"/>
        <w:jc w:val="left"/>
        <w:rPr>
          <w:rFonts w:ascii="Times New Roman" w:hAnsi="Times New Roman"/>
          <w:sz w:val="18"/>
          <w:szCs w:val="18"/>
        </w:rPr>
      </w:pPr>
      <w:r>
        <w:rPr>
          <w:rFonts w:ascii="Times New Roman" w:hAnsi="Times New Roman"/>
          <w:sz w:val="18"/>
          <w:szCs w:val="18"/>
        </w:rPr>
        <w:t>杨艳红</w:t>
      </w:r>
      <w:r>
        <w:rPr>
          <w:rFonts w:ascii="Times New Roman" w:hAnsi="Times New Roman" w:hint="eastAsia"/>
          <w:sz w:val="18"/>
          <w:szCs w:val="18"/>
        </w:rPr>
        <w:t>，</w:t>
      </w:r>
      <w:r>
        <w:rPr>
          <w:rFonts w:ascii="Times New Roman" w:hAnsi="Times New Roman"/>
          <w:sz w:val="18"/>
          <w:szCs w:val="18"/>
        </w:rPr>
        <w:t>2009</w:t>
      </w:r>
      <w:r>
        <w:rPr>
          <w:rFonts w:ascii="Times New Roman" w:hAnsi="Times New Roman" w:hint="eastAsia"/>
          <w:sz w:val="18"/>
          <w:szCs w:val="18"/>
        </w:rPr>
        <w:t>：</w:t>
      </w:r>
      <w:r>
        <w:rPr>
          <w:rFonts w:ascii="Times New Roman" w:hAnsi="Times New Roman"/>
          <w:sz w:val="18"/>
          <w:szCs w:val="18"/>
        </w:rPr>
        <w:t>《</w:t>
      </w:r>
      <w:r>
        <w:rPr>
          <w:rFonts w:ascii="Times New Roman" w:hAnsi="Times New Roman"/>
          <w:sz w:val="18"/>
          <w:szCs w:val="18"/>
        </w:rPr>
        <w:t>WTO</w:t>
      </w:r>
      <w:r>
        <w:rPr>
          <w:rFonts w:ascii="Times New Roman" w:hAnsi="Times New Roman"/>
          <w:sz w:val="18"/>
          <w:szCs w:val="18"/>
        </w:rPr>
        <w:t>制度、贸易不对称与国外对华反倾销</w:t>
      </w:r>
      <w:r>
        <w:rPr>
          <w:rFonts w:ascii="Times New Roman" w:hAnsi="Times New Roman"/>
          <w:sz w:val="18"/>
          <w:szCs w:val="18"/>
        </w:rPr>
        <w:t>——</w:t>
      </w:r>
      <w:r>
        <w:rPr>
          <w:rFonts w:ascii="Times New Roman" w:hAnsi="Times New Roman"/>
          <w:sz w:val="18"/>
          <w:szCs w:val="18"/>
        </w:rPr>
        <w:t>部分国家和地区对华反倾销调查的实证分析》</w:t>
      </w:r>
      <w:r>
        <w:rPr>
          <w:rFonts w:ascii="Times New Roman" w:hAnsi="Times New Roman" w:hint="eastAsia"/>
          <w:sz w:val="18"/>
          <w:szCs w:val="18"/>
        </w:rPr>
        <w:t>，</w:t>
      </w:r>
      <w:r>
        <w:rPr>
          <w:rFonts w:ascii="Times New Roman" w:hAnsi="Times New Roman"/>
          <w:sz w:val="18"/>
          <w:szCs w:val="18"/>
        </w:rPr>
        <w:t>《数量经济技术经济研究》第</w:t>
      </w:r>
      <w:r>
        <w:rPr>
          <w:rFonts w:ascii="Times New Roman" w:hAnsi="Times New Roman"/>
          <w:sz w:val="18"/>
          <w:szCs w:val="18"/>
        </w:rPr>
        <w:t>2</w:t>
      </w:r>
      <w:r>
        <w:rPr>
          <w:rFonts w:ascii="Times New Roman" w:hAnsi="Times New Roman"/>
          <w:sz w:val="18"/>
          <w:szCs w:val="18"/>
        </w:rPr>
        <w:t>期。</w:t>
      </w:r>
    </w:p>
    <w:p w14:paraId="5105036D" w14:textId="77777777" w:rsidR="00501C7E" w:rsidRDefault="00EC5712">
      <w:pPr>
        <w:ind w:firstLineChars="100" w:firstLine="180"/>
        <w:jc w:val="left"/>
        <w:rPr>
          <w:rFonts w:ascii="宋体" w:hAnsi="宋体"/>
          <w:sz w:val="18"/>
          <w:szCs w:val="18"/>
        </w:rPr>
      </w:pPr>
      <w:bookmarkStart w:id="12" w:name="_neb6FFD835C_1480_49A6_98C7_6E4812A5FB3B"/>
      <w:r>
        <w:rPr>
          <w:rFonts w:ascii="宋体" w:hAnsi="宋体" w:hint="eastAsia"/>
          <w:sz w:val="18"/>
          <w:szCs w:val="18"/>
        </w:rPr>
        <w:t>张磊</w:t>
      </w:r>
      <w:r>
        <w:rPr>
          <w:rFonts w:ascii="Times New Roman" w:eastAsia="Times New Roman" w:hAnsi="Times New Roman"/>
          <w:sz w:val="18"/>
          <w:szCs w:val="18"/>
        </w:rPr>
        <w:t xml:space="preserve"> </w:t>
      </w:r>
      <w:r>
        <w:rPr>
          <w:rFonts w:ascii="宋体" w:hAnsi="宋体" w:hint="eastAsia"/>
          <w:sz w:val="18"/>
          <w:szCs w:val="18"/>
        </w:rPr>
        <w:t>查海峰</w:t>
      </w:r>
      <w:r>
        <w:rPr>
          <w:rFonts w:ascii="Times New Roman" w:hAnsi="Times New Roman" w:hint="eastAsia"/>
          <w:sz w:val="18"/>
          <w:szCs w:val="18"/>
        </w:rPr>
        <w:t>，</w:t>
      </w:r>
      <w:r>
        <w:rPr>
          <w:rFonts w:ascii="Times New Roman" w:eastAsia="Times New Roman" w:hAnsi="Times New Roman"/>
          <w:sz w:val="18"/>
          <w:szCs w:val="18"/>
        </w:rPr>
        <w:t>2018</w:t>
      </w:r>
      <w:r>
        <w:rPr>
          <w:rFonts w:ascii="Times New Roman" w:hAnsi="Times New Roman" w:hint="eastAsia"/>
          <w:sz w:val="18"/>
          <w:szCs w:val="18"/>
        </w:rPr>
        <w:t>：</w:t>
      </w:r>
      <w:r>
        <w:rPr>
          <w:rFonts w:ascii="宋体" w:hAnsi="宋体" w:hint="eastAsia"/>
          <w:sz w:val="18"/>
          <w:szCs w:val="18"/>
        </w:rPr>
        <w:t>《国内利益集团对超国家机构决策机制的影响分析——以欧盟贸易领域决策为例》</w:t>
      </w:r>
      <w:r>
        <w:rPr>
          <w:rFonts w:ascii="Times New Roman" w:hAnsi="Times New Roman" w:hint="eastAsia"/>
          <w:sz w:val="18"/>
          <w:szCs w:val="18"/>
        </w:rPr>
        <w:t>，</w:t>
      </w:r>
      <w:r>
        <w:rPr>
          <w:rFonts w:ascii="宋体" w:hAnsi="宋体" w:hint="eastAsia"/>
          <w:sz w:val="18"/>
          <w:szCs w:val="18"/>
        </w:rPr>
        <w:t>《国际观察》第</w:t>
      </w:r>
      <w:r>
        <w:rPr>
          <w:rFonts w:ascii="Times New Roman" w:eastAsia="Times New Roman" w:hAnsi="Times New Roman"/>
          <w:sz w:val="18"/>
          <w:szCs w:val="18"/>
        </w:rPr>
        <w:t>5</w:t>
      </w:r>
      <w:r>
        <w:rPr>
          <w:rFonts w:ascii="宋体" w:hAnsi="宋体" w:hint="eastAsia"/>
          <w:sz w:val="18"/>
          <w:szCs w:val="18"/>
        </w:rPr>
        <w:t>期。</w:t>
      </w:r>
      <w:bookmarkEnd w:id="12"/>
    </w:p>
    <w:p w14:paraId="4861422A" w14:textId="77777777" w:rsidR="00501C7E" w:rsidRDefault="00EC5712">
      <w:pPr>
        <w:pStyle w:val="a3"/>
        <w:spacing w:before="59" w:line="380" w:lineRule="exact"/>
        <w:ind w:left="0" w:right="582" w:firstLineChars="100" w:firstLine="180"/>
        <w:rPr>
          <w:rFonts w:ascii="Times New Roman" w:hAnsi="Times New Roman" w:cs="Times New Roman"/>
          <w:sz w:val="18"/>
          <w:szCs w:val="18"/>
          <w:lang w:val="en-US"/>
        </w:rPr>
      </w:pPr>
      <w:r>
        <w:rPr>
          <w:rFonts w:ascii="Times New Roman" w:hAnsi="Times New Roman" w:cs="Times New Roman"/>
          <w:sz w:val="18"/>
          <w:szCs w:val="18"/>
        </w:rPr>
        <w:t>朱庆华</w:t>
      </w:r>
      <w:r>
        <w:rPr>
          <w:rFonts w:ascii="Times New Roman" w:hAnsi="Times New Roman" w:cs="Times New Roman"/>
          <w:sz w:val="18"/>
          <w:szCs w:val="18"/>
        </w:rPr>
        <w:t xml:space="preserve"> </w:t>
      </w:r>
      <w:r>
        <w:rPr>
          <w:rFonts w:ascii="Times New Roman" w:hAnsi="Times New Roman" w:cs="Times New Roman"/>
          <w:sz w:val="18"/>
          <w:szCs w:val="18"/>
        </w:rPr>
        <w:t>张明立</w:t>
      </w:r>
      <w:r>
        <w:rPr>
          <w:rFonts w:ascii="Times New Roman" w:hAnsi="Times New Roman" w:cs="Times New Roman"/>
          <w:sz w:val="18"/>
          <w:szCs w:val="18"/>
        </w:rPr>
        <w:t xml:space="preserve"> </w:t>
      </w:r>
      <w:r>
        <w:rPr>
          <w:rFonts w:ascii="Times New Roman" w:hAnsi="Times New Roman" w:cs="Times New Roman"/>
          <w:sz w:val="18"/>
          <w:szCs w:val="18"/>
        </w:rPr>
        <w:t>宋成涛</w:t>
      </w:r>
      <w:r>
        <w:rPr>
          <w:rFonts w:ascii="Times New Roman" w:hAnsi="Times New Roman" w:cs="Times New Roman" w:hint="eastAsia"/>
          <w:sz w:val="18"/>
          <w:szCs w:val="18"/>
        </w:rPr>
        <w:t>，</w:t>
      </w:r>
      <w:r>
        <w:rPr>
          <w:rFonts w:ascii="Times New Roman" w:hAnsi="Times New Roman" w:cs="Times New Roman"/>
          <w:sz w:val="18"/>
          <w:szCs w:val="18"/>
        </w:rPr>
        <w:t>2016</w:t>
      </w:r>
      <w:r>
        <w:rPr>
          <w:rFonts w:ascii="Times New Roman" w:hAnsi="Times New Roman" w:cs="Times New Roman" w:hint="eastAsia"/>
          <w:sz w:val="18"/>
          <w:szCs w:val="18"/>
        </w:rPr>
        <w:t>：</w:t>
      </w:r>
      <w:r>
        <w:rPr>
          <w:rFonts w:ascii="Times New Roman" w:hAnsi="Times New Roman" w:cs="Times New Roman"/>
          <w:sz w:val="18"/>
          <w:szCs w:val="18"/>
        </w:rPr>
        <w:t>《巴西对华反倾销宏观影响因素分析》</w:t>
      </w:r>
      <w:r>
        <w:rPr>
          <w:rFonts w:ascii="Times New Roman" w:hAnsi="Times New Roman" w:cs="Times New Roman" w:hint="eastAsia"/>
          <w:sz w:val="18"/>
          <w:szCs w:val="18"/>
        </w:rPr>
        <w:t>，</w:t>
      </w:r>
      <w:r>
        <w:rPr>
          <w:rFonts w:ascii="Times New Roman" w:hAnsi="Times New Roman" w:cs="Times New Roman"/>
          <w:sz w:val="18"/>
          <w:szCs w:val="18"/>
        </w:rPr>
        <w:t>《经济与管理评论》第</w:t>
      </w:r>
      <w:r>
        <w:rPr>
          <w:rFonts w:ascii="Times New Roman" w:hAnsi="Times New Roman" w:cs="Times New Roman"/>
          <w:sz w:val="18"/>
          <w:szCs w:val="18"/>
        </w:rPr>
        <w:t>5</w:t>
      </w:r>
      <w:r>
        <w:rPr>
          <w:rFonts w:ascii="Times New Roman" w:hAnsi="Times New Roman" w:cs="Times New Roman"/>
          <w:sz w:val="18"/>
          <w:szCs w:val="18"/>
        </w:rPr>
        <w:t>期。</w:t>
      </w:r>
    </w:p>
    <w:bookmarkEnd w:id="4"/>
    <w:p w14:paraId="56342FBB"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 xml:space="preserve">Aggarwal, A. (2004), “Macro economic determinants of antidumping: a comparative analysis of developed and developing countries”, </w:t>
      </w:r>
      <w:r>
        <w:rPr>
          <w:rFonts w:ascii="Times New Roman" w:hAnsi="Times New Roman"/>
          <w:i/>
          <w:iCs/>
          <w:sz w:val="18"/>
          <w:szCs w:val="18"/>
        </w:rPr>
        <w:t xml:space="preserve">World Development </w:t>
      </w:r>
      <w:r>
        <w:rPr>
          <w:rFonts w:ascii="Times New Roman" w:hAnsi="Times New Roman"/>
          <w:sz w:val="18"/>
          <w:szCs w:val="18"/>
        </w:rPr>
        <w:t>32(6):1043-1057.</w:t>
      </w:r>
    </w:p>
    <w:p w14:paraId="2B17F70C"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Anderson, K.B. (1993), “Agency discretion or statutory direction: Decision making at the US International Trade Commission”,</w:t>
      </w:r>
      <w:r>
        <w:rPr>
          <w:rFonts w:ascii="Times New Roman" w:hAnsi="Times New Roman"/>
          <w:i/>
          <w:iCs/>
          <w:sz w:val="18"/>
          <w:szCs w:val="18"/>
        </w:rPr>
        <w:t xml:space="preserve"> Journal of Law and Economics </w:t>
      </w:r>
      <w:r>
        <w:rPr>
          <w:rFonts w:ascii="Times New Roman" w:hAnsi="Times New Roman"/>
          <w:sz w:val="18"/>
          <w:szCs w:val="18"/>
        </w:rPr>
        <w:t>36(2):915-935.</w:t>
      </w:r>
    </w:p>
    <w:p w14:paraId="516D403B"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Annicchiarico, B. &amp; E.</w:t>
      </w:r>
      <w:r w:rsidR="007F2BBF">
        <w:rPr>
          <w:rFonts w:ascii="Times New Roman" w:hAnsi="Times New Roman"/>
          <w:sz w:val="18"/>
          <w:szCs w:val="18"/>
        </w:rPr>
        <w:t xml:space="preserve"> </w:t>
      </w:r>
      <w:r>
        <w:rPr>
          <w:rFonts w:ascii="Times New Roman" w:hAnsi="Times New Roman"/>
          <w:sz w:val="18"/>
          <w:szCs w:val="18"/>
        </w:rPr>
        <w:t xml:space="preserve">Marvasi(2019), “Protection for sale under monopolistic competition: Beyond the CES”, </w:t>
      </w:r>
      <w:r>
        <w:rPr>
          <w:rFonts w:ascii="Times New Roman" w:hAnsi="Times New Roman"/>
          <w:i/>
          <w:iCs/>
          <w:sz w:val="18"/>
          <w:szCs w:val="18"/>
        </w:rPr>
        <w:t>European Journal of Political Economy</w:t>
      </w:r>
      <w:r>
        <w:rPr>
          <w:rFonts w:ascii="Times New Roman" w:hAnsi="Times New Roman"/>
          <w:sz w:val="18"/>
          <w:szCs w:val="18"/>
        </w:rPr>
        <w:t xml:space="preserve"> 60(4):1-19.</w:t>
      </w:r>
    </w:p>
    <w:p w14:paraId="6745EC1A"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Baldwin, R.E. &amp; J.W.</w:t>
      </w:r>
      <w:r w:rsidR="007F2BBF">
        <w:rPr>
          <w:rFonts w:ascii="Times New Roman" w:hAnsi="Times New Roman"/>
          <w:sz w:val="18"/>
          <w:szCs w:val="18"/>
        </w:rPr>
        <w:t xml:space="preserve"> </w:t>
      </w:r>
      <w:r>
        <w:rPr>
          <w:rFonts w:ascii="Times New Roman" w:hAnsi="Times New Roman"/>
          <w:sz w:val="18"/>
          <w:szCs w:val="18"/>
        </w:rPr>
        <w:t>Steagall</w:t>
      </w:r>
      <w:r w:rsidR="007F2BBF">
        <w:rPr>
          <w:rFonts w:ascii="Times New Roman" w:hAnsi="Times New Roman"/>
          <w:sz w:val="18"/>
          <w:szCs w:val="18"/>
        </w:rPr>
        <w:t xml:space="preserve"> </w:t>
      </w:r>
      <w:r>
        <w:rPr>
          <w:rFonts w:ascii="Times New Roman" w:hAnsi="Times New Roman"/>
          <w:sz w:val="18"/>
          <w:szCs w:val="18"/>
        </w:rPr>
        <w:t xml:space="preserve">(1994), “An analysis of ITC decisions in antidumping, countervailing duty and safeguard cases”, </w:t>
      </w:r>
      <w:r>
        <w:rPr>
          <w:rFonts w:ascii="Times New Roman" w:hAnsi="Times New Roman"/>
          <w:i/>
          <w:iCs/>
          <w:sz w:val="18"/>
          <w:szCs w:val="18"/>
        </w:rPr>
        <w:t>Review of World Economics</w:t>
      </w:r>
      <w:r>
        <w:rPr>
          <w:rFonts w:ascii="Times New Roman" w:hAnsi="Times New Roman"/>
          <w:sz w:val="18"/>
          <w:szCs w:val="18"/>
        </w:rPr>
        <w:t xml:space="preserve"> 130(2):290-308.</w:t>
      </w:r>
    </w:p>
    <w:p w14:paraId="007F8507"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 xml:space="preserve">Baldwin, R.E. (1985), </w:t>
      </w:r>
      <w:r>
        <w:rPr>
          <w:rFonts w:ascii="Times New Roman" w:hAnsi="Times New Roman"/>
          <w:i/>
          <w:iCs/>
          <w:sz w:val="18"/>
          <w:szCs w:val="18"/>
        </w:rPr>
        <w:t>The political economy of U.S. import policy</w:t>
      </w:r>
      <w:r>
        <w:rPr>
          <w:rFonts w:ascii="Times New Roman" w:hAnsi="Times New Roman"/>
          <w:sz w:val="18"/>
          <w:szCs w:val="18"/>
        </w:rPr>
        <w:t>, MIT Press.</w:t>
      </w:r>
    </w:p>
    <w:p w14:paraId="371F2061"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Bandyopadhyay, G.U. (2000), “Is protection for sale? Evidence on the Grossman-Helpman theory of endogenous protection”,</w:t>
      </w:r>
      <w:r>
        <w:rPr>
          <w:rFonts w:ascii="Times New Roman" w:hAnsi="Times New Roman" w:hint="eastAsia"/>
          <w:sz w:val="18"/>
          <w:szCs w:val="18"/>
        </w:rPr>
        <w:t xml:space="preserve"> </w:t>
      </w:r>
      <w:r>
        <w:rPr>
          <w:rFonts w:ascii="Times New Roman" w:hAnsi="Times New Roman"/>
          <w:i/>
          <w:iCs/>
          <w:sz w:val="18"/>
          <w:szCs w:val="18"/>
        </w:rPr>
        <w:t>Review of Economics &amp; Statistics</w:t>
      </w:r>
      <w:r>
        <w:rPr>
          <w:rFonts w:ascii="Times New Roman" w:hAnsi="Times New Roman"/>
          <w:sz w:val="18"/>
          <w:szCs w:val="18"/>
        </w:rPr>
        <w:t xml:space="preserve"> 82(1):139-152.</w:t>
      </w:r>
    </w:p>
    <w:p w14:paraId="402A03FA"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Belloc, M. &amp; P. Guerrieri (2008), “Special interest groups and trade policy in the EU”,</w:t>
      </w:r>
      <w:r>
        <w:rPr>
          <w:rFonts w:ascii="Times New Roman" w:hAnsi="Times New Roman" w:hint="eastAsia"/>
          <w:sz w:val="18"/>
          <w:szCs w:val="18"/>
        </w:rPr>
        <w:t xml:space="preserve"> </w:t>
      </w:r>
      <w:r>
        <w:rPr>
          <w:rFonts w:ascii="Times New Roman" w:hAnsi="Times New Roman"/>
          <w:i/>
          <w:iCs/>
          <w:sz w:val="18"/>
          <w:szCs w:val="18"/>
        </w:rPr>
        <w:t>Open Economies Review</w:t>
      </w:r>
      <w:r>
        <w:rPr>
          <w:rFonts w:ascii="Times New Roman" w:hAnsi="Times New Roman"/>
          <w:sz w:val="18"/>
          <w:szCs w:val="18"/>
        </w:rPr>
        <w:t xml:space="preserve"> 19(4): 457-478.</w:t>
      </w:r>
    </w:p>
    <w:p w14:paraId="26E771DA"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Belloc, M. (2007), “Protection for sale in the EU”, SSRN Working Paper, No. 969378.</w:t>
      </w:r>
    </w:p>
    <w:p w14:paraId="18077E7B"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Blonigen, B.A. &amp; T.J.</w:t>
      </w:r>
      <w:r w:rsidR="00531D04">
        <w:rPr>
          <w:rFonts w:ascii="Times New Roman" w:hAnsi="Times New Roman"/>
          <w:sz w:val="18"/>
          <w:szCs w:val="18"/>
        </w:rPr>
        <w:t xml:space="preserve"> </w:t>
      </w:r>
      <w:r>
        <w:rPr>
          <w:rFonts w:ascii="Times New Roman" w:hAnsi="Times New Roman"/>
          <w:sz w:val="18"/>
          <w:szCs w:val="18"/>
        </w:rPr>
        <w:t>Prusa (2003), “Antidumping”,</w:t>
      </w:r>
      <w:r>
        <w:rPr>
          <w:rFonts w:ascii="Times New Roman" w:hAnsi="Times New Roman" w:hint="eastAsia"/>
          <w:sz w:val="18"/>
          <w:szCs w:val="18"/>
        </w:rPr>
        <w:t xml:space="preserve"> </w:t>
      </w:r>
      <w:r>
        <w:rPr>
          <w:rFonts w:ascii="Times New Roman" w:hAnsi="Times New Roman"/>
          <w:sz w:val="18"/>
          <w:szCs w:val="18"/>
        </w:rPr>
        <w:t>in: J. Harrigan &amp; E. K. Choi (eds.),</w:t>
      </w:r>
      <w:r>
        <w:rPr>
          <w:rFonts w:ascii="Times New Roman" w:hAnsi="Times New Roman" w:hint="eastAsia"/>
          <w:sz w:val="18"/>
          <w:szCs w:val="18"/>
        </w:rPr>
        <w:t xml:space="preserve"> </w:t>
      </w:r>
      <w:r>
        <w:rPr>
          <w:rFonts w:ascii="Times New Roman" w:hAnsi="Times New Roman"/>
          <w:i/>
          <w:iCs/>
          <w:sz w:val="18"/>
          <w:szCs w:val="18"/>
        </w:rPr>
        <w:t>Handbook of International Economics</w:t>
      </w:r>
      <w:r>
        <w:rPr>
          <w:rFonts w:ascii="Times New Roman" w:hAnsi="Times New Roman" w:hint="eastAsia"/>
          <w:sz w:val="18"/>
          <w:szCs w:val="18"/>
        </w:rPr>
        <w:t>,</w:t>
      </w:r>
      <w:r>
        <w:rPr>
          <w:rFonts w:ascii="Times New Roman" w:hAnsi="Times New Roman"/>
          <w:sz w:val="18"/>
          <w:szCs w:val="18"/>
        </w:rPr>
        <w:t xml:space="preserve"> Blackwell Publishing.</w:t>
      </w:r>
    </w:p>
    <w:p w14:paraId="728BF6B1"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Blonigen, B.A. &amp; T.</w:t>
      </w:r>
      <w:r w:rsidR="007F2BBF">
        <w:rPr>
          <w:rFonts w:ascii="Times New Roman" w:hAnsi="Times New Roman"/>
          <w:sz w:val="18"/>
          <w:szCs w:val="18"/>
        </w:rPr>
        <w:t xml:space="preserve"> </w:t>
      </w:r>
      <w:r>
        <w:rPr>
          <w:rFonts w:ascii="Times New Roman" w:hAnsi="Times New Roman"/>
          <w:sz w:val="18"/>
          <w:szCs w:val="18"/>
        </w:rPr>
        <w:t>J.</w:t>
      </w:r>
      <w:r w:rsidR="007F2BBF">
        <w:rPr>
          <w:rFonts w:ascii="Times New Roman" w:hAnsi="Times New Roman"/>
          <w:sz w:val="18"/>
          <w:szCs w:val="18"/>
        </w:rPr>
        <w:t xml:space="preserve"> </w:t>
      </w:r>
      <w:r>
        <w:rPr>
          <w:rFonts w:ascii="Times New Roman" w:hAnsi="Times New Roman"/>
          <w:sz w:val="18"/>
          <w:szCs w:val="18"/>
        </w:rPr>
        <w:t>Prusa (2016),</w:t>
      </w:r>
      <w:r>
        <w:rPr>
          <w:rFonts w:ascii="Times New Roman" w:hAnsi="Times New Roman" w:hint="eastAsia"/>
          <w:sz w:val="18"/>
          <w:szCs w:val="18"/>
        </w:rPr>
        <w:t xml:space="preserve"> </w:t>
      </w:r>
      <w:r>
        <w:rPr>
          <w:rFonts w:ascii="Times New Roman" w:hAnsi="Times New Roman"/>
          <w:sz w:val="18"/>
          <w:szCs w:val="18"/>
        </w:rPr>
        <w:t>“Chapter 3 - Dumping and Antidumping Duties”, in: K.</w:t>
      </w:r>
      <w:r w:rsidR="007F2BBF">
        <w:rPr>
          <w:rFonts w:ascii="Times New Roman" w:hAnsi="Times New Roman"/>
          <w:sz w:val="18"/>
          <w:szCs w:val="18"/>
        </w:rPr>
        <w:t xml:space="preserve"> </w:t>
      </w:r>
      <w:r>
        <w:rPr>
          <w:rFonts w:ascii="Times New Roman" w:hAnsi="Times New Roman"/>
          <w:sz w:val="18"/>
          <w:szCs w:val="18"/>
        </w:rPr>
        <w:t>Bagwell &amp; R. W.</w:t>
      </w:r>
      <w:r w:rsidR="007F2BBF">
        <w:rPr>
          <w:rFonts w:ascii="Times New Roman" w:hAnsi="Times New Roman"/>
          <w:sz w:val="18"/>
          <w:szCs w:val="18"/>
        </w:rPr>
        <w:t xml:space="preserve"> </w:t>
      </w:r>
      <w:r>
        <w:rPr>
          <w:rFonts w:ascii="Times New Roman" w:hAnsi="Times New Roman"/>
          <w:sz w:val="18"/>
          <w:szCs w:val="18"/>
        </w:rPr>
        <w:t xml:space="preserve">Staiger, </w:t>
      </w:r>
      <w:r>
        <w:rPr>
          <w:rFonts w:ascii="Times New Roman" w:hAnsi="Times New Roman"/>
          <w:i/>
          <w:iCs/>
          <w:sz w:val="18"/>
          <w:szCs w:val="18"/>
        </w:rPr>
        <w:t>Handbook of Commercial Policy</w:t>
      </w:r>
      <w:r>
        <w:rPr>
          <w:rFonts w:ascii="Times New Roman" w:hAnsi="Times New Roman" w:hint="eastAsia"/>
          <w:sz w:val="18"/>
          <w:szCs w:val="18"/>
        </w:rPr>
        <w:t>,</w:t>
      </w:r>
      <w:r>
        <w:rPr>
          <w:rFonts w:ascii="Times New Roman" w:hAnsi="Times New Roman"/>
          <w:sz w:val="18"/>
          <w:szCs w:val="18"/>
        </w:rPr>
        <w:t xml:space="preserve"> North-Holland Publishing.</w:t>
      </w:r>
    </w:p>
    <w:p w14:paraId="7E83E579"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Bombardini, M. (2008), “Firm heterogeneity and lobby participation”,</w:t>
      </w:r>
      <w:r>
        <w:rPr>
          <w:rFonts w:ascii="Times New Roman" w:hAnsi="Times New Roman" w:hint="eastAsia"/>
          <w:sz w:val="18"/>
          <w:szCs w:val="18"/>
        </w:rPr>
        <w:t xml:space="preserve"> </w:t>
      </w:r>
      <w:r>
        <w:rPr>
          <w:rFonts w:ascii="Times New Roman" w:hAnsi="Times New Roman"/>
          <w:i/>
          <w:iCs/>
          <w:sz w:val="18"/>
          <w:szCs w:val="18"/>
        </w:rPr>
        <w:t xml:space="preserve">Journal of International Economics </w:t>
      </w:r>
      <w:r>
        <w:rPr>
          <w:rFonts w:ascii="Times New Roman" w:hAnsi="Times New Roman"/>
          <w:sz w:val="18"/>
          <w:szCs w:val="18"/>
        </w:rPr>
        <w:t>75(2):329-348.</w:t>
      </w:r>
    </w:p>
    <w:p w14:paraId="250758DB"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Cadot O. et al (2013), “Endogenous tariffs in a common-agency model: a new</w:t>
      </w:r>
      <w:r w:rsidR="007F2BBF">
        <w:rPr>
          <w:rFonts w:ascii="Times New Roman" w:hAnsi="Times New Roman"/>
          <w:sz w:val="18"/>
          <w:szCs w:val="18"/>
        </w:rPr>
        <w:t xml:space="preserve"> empirical approach applied to I</w:t>
      </w:r>
      <w:r>
        <w:rPr>
          <w:rFonts w:ascii="Times New Roman" w:hAnsi="Times New Roman"/>
          <w:sz w:val="18"/>
          <w:szCs w:val="18"/>
        </w:rPr>
        <w:t>ndia”,</w:t>
      </w:r>
      <w:r>
        <w:rPr>
          <w:rFonts w:ascii="Times New Roman" w:hAnsi="Times New Roman" w:hint="eastAsia"/>
          <w:sz w:val="18"/>
          <w:szCs w:val="18"/>
        </w:rPr>
        <w:t xml:space="preserve"> </w:t>
      </w:r>
      <w:r>
        <w:rPr>
          <w:rFonts w:ascii="Times New Roman" w:hAnsi="Times New Roman"/>
          <w:i/>
          <w:iCs/>
          <w:sz w:val="18"/>
          <w:szCs w:val="18"/>
        </w:rPr>
        <w:t>Revista de Economía y Estadística</w:t>
      </w:r>
      <w:r>
        <w:rPr>
          <w:rFonts w:ascii="Times New Roman" w:hAnsi="Times New Roman"/>
          <w:sz w:val="18"/>
          <w:szCs w:val="18"/>
        </w:rPr>
        <w:t xml:space="preserve"> 51(1):25-52.</w:t>
      </w:r>
    </w:p>
    <w:p w14:paraId="25E893D0"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 xml:space="preserve">Chang, P. L. &amp; M.Lee (2005), “Protection for sale under monopolistic competition”, </w:t>
      </w:r>
      <w:r>
        <w:rPr>
          <w:rFonts w:ascii="Times New Roman" w:hAnsi="Times New Roman"/>
          <w:i/>
          <w:iCs/>
          <w:sz w:val="18"/>
          <w:szCs w:val="18"/>
        </w:rPr>
        <w:t>Journal of International Economics</w:t>
      </w:r>
      <w:r>
        <w:rPr>
          <w:rFonts w:ascii="Times New Roman" w:hAnsi="Times New Roman"/>
          <w:sz w:val="18"/>
          <w:szCs w:val="18"/>
        </w:rPr>
        <w:t xml:space="preserve"> 66(2):509-526.</w:t>
      </w:r>
    </w:p>
    <w:p w14:paraId="667B6CA0"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Davies, R.B. &amp; B.H.</w:t>
      </w:r>
      <w:r w:rsidR="007F2BBF">
        <w:rPr>
          <w:rFonts w:ascii="Times New Roman" w:hAnsi="Times New Roman"/>
          <w:sz w:val="18"/>
          <w:szCs w:val="18"/>
        </w:rPr>
        <w:t xml:space="preserve"> </w:t>
      </w:r>
      <w:r>
        <w:rPr>
          <w:rFonts w:ascii="Times New Roman" w:hAnsi="Times New Roman"/>
          <w:sz w:val="18"/>
          <w:szCs w:val="18"/>
        </w:rPr>
        <w:t xml:space="preserve">Liebman (2006), “Self‐protection? antidumping duties, collusion, and </w:t>
      </w:r>
      <w:r>
        <w:rPr>
          <w:rFonts w:ascii="Times New Roman" w:hAnsi="Times New Roman" w:hint="eastAsia"/>
          <w:sz w:val="18"/>
          <w:szCs w:val="18"/>
        </w:rPr>
        <w:t>FDI</w:t>
      </w:r>
      <w:r>
        <w:rPr>
          <w:rFonts w:ascii="Times New Roman" w:hAnsi="Times New Roman"/>
          <w:sz w:val="18"/>
          <w:szCs w:val="18"/>
        </w:rPr>
        <w:t>”,</w:t>
      </w:r>
      <w:r>
        <w:rPr>
          <w:rFonts w:ascii="Times New Roman" w:hAnsi="Times New Roman" w:hint="eastAsia"/>
          <w:sz w:val="18"/>
          <w:szCs w:val="18"/>
        </w:rPr>
        <w:t xml:space="preserve"> </w:t>
      </w:r>
      <w:r>
        <w:rPr>
          <w:rFonts w:ascii="Times New Roman" w:hAnsi="Times New Roman"/>
          <w:i/>
          <w:iCs/>
          <w:sz w:val="18"/>
          <w:szCs w:val="18"/>
        </w:rPr>
        <w:t>Review of International Economics</w:t>
      </w:r>
      <w:r>
        <w:rPr>
          <w:rFonts w:ascii="Times New Roman" w:hAnsi="Times New Roman"/>
          <w:sz w:val="18"/>
          <w:szCs w:val="18"/>
        </w:rPr>
        <w:t xml:space="preserve"> 14(5):741-757.</w:t>
      </w:r>
    </w:p>
    <w:p w14:paraId="28031CB4"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 xml:space="preserve">Devault, J.M. (1993), “Economics and the international trade commission”, </w:t>
      </w:r>
      <w:r>
        <w:rPr>
          <w:rFonts w:ascii="Times New Roman" w:hAnsi="Times New Roman"/>
          <w:i/>
          <w:iCs/>
          <w:sz w:val="18"/>
          <w:szCs w:val="18"/>
        </w:rPr>
        <w:t>Southern Economic Journal</w:t>
      </w:r>
      <w:r>
        <w:rPr>
          <w:rFonts w:ascii="Times New Roman" w:hAnsi="Times New Roman"/>
          <w:sz w:val="18"/>
          <w:szCs w:val="18"/>
        </w:rPr>
        <w:t xml:space="preserve"> 60(2):463-478.</w:t>
      </w:r>
    </w:p>
    <w:p w14:paraId="1A70F26B"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Facchini, G.et al (2006), “Protection for sale with imperfect rent capturing”,</w:t>
      </w:r>
      <w:r>
        <w:rPr>
          <w:rFonts w:ascii="Times New Roman" w:hAnsi="Times New Roman"/>
          <w:i/>
          <w:iCs/>
          <w:sz w:val="18"/>
          <w:szCs w:val="18"/>
        </w:rPr>
        <w:t xml:space="preserve"> Canadian Journal of Economics</w:t>
      </w:r>
      <w:r>
        <w:rPr>
          <w:rFonts w:ascii="Times New Roman" w:hAnsi="Times New Roman"/>
          <w:sz w:val="18"/>
          <w:szCs w:val="18"/>
        </w:rPr>
        <w:t xml:space="preserve"> 39(3):845-873.</w:t>
      </w:r>
    </w:p>
    <w:p w14:paraId="7A10C238"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 xml:space="preserve">Finger, J.M. et al (1982), “The political economy of administered protection”, </w:t>
      </w:r>
      <w:r>
        <w:rPr>
          <w:rFonts w:ascii="Times New Roman" w:hAnsi="Times New Roman"/>
          <w:i/>
          <w:iCs/>
          <w:sz w:val="18"/>
          <w:szCs w:val="18"/>
        </w:rPr>
        <w:t>American Economic Review</w:t>
      </w:r>
      <w:r>
        <w:rPr>
          <w:rFonts w:ascii="Times New Roman" w:hAnsi="Times New Roman"/>
          <w:sz w:val="18"/>
          <w:szCs w:val="18"/>
        </w:rPr>
        <w:t xml:space="preserve"> 72(3):452-466.</w:t>
      </w:r>
    </w:p>
    <w:p w14:paraId="6FF7C5E4"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Gawande, K. &amp; U.</w:t>
      </w:r>
      <w:r w:rsidR="007F2BBF">
        <w:rPr>
          <w:rFonts w:ascii="Times New Roman" w:hAnsi="Times New Roman"/>
          <w:sz w:val="18"/>
          <w:szCs w:val="18"/>
        </w:rPr>
        <w:t xml:space="preserve"> </w:t>
      </w:r>
      <w:r>
        <w:rPr>
          <w:rFonts w:ascii="Times New Roman" w:hAnsi="Times New Roman"/>
          <w:sz w:val="18"/>
          <w:szCs w:val="18"/>
        </w:rPr>
        <w:t>Bandyopadhyay</w:t>
      </w:r>
      <w:r w:rsidR="00531D04">
        <w:rPr>
          <w:rFonts w:ascii="Times New Roman" w:hAnsi="Times New Roman"/>
          <w:sz w:val="18"/>
          <w:szCs w:val="18"/>
        </w:rPr>
        <w:t xml:space="preserve"> </w:t>
      </w:r>
      <w:r>
        <w:rPr>
          <w:rFonts w:ascii="Times New Roman" w:hAnsi="Times New Roman"/>
          <w:sz w:val="18"/>
          <w:szCs w:val="18"/>
        </w:rPr>
        <w:t xml:space="preserve">(2000), “Is protection for sale? Evidence on the Grossman-Helpman theory of endogenous protection”, </w:t>
      </w:r>
      <w:r>
        <w:rPr>
          <w:rFonts w:ascii="Times New Roman" w:hAnsi="Times New Roman"/>
          <w:i/>
          <w:iCs/>
          <w:sz w:val="18"/>
          <w:szCs w:val="18"/>
        </w:rPr>
        <w:t>Review of Economics &amp; Statistics</w:t>
      </w:r>
      <w:r>
        <w:rPr>
          <w:rFonts w:ascii="Times New Roman" w:hAnsi="Times New Roman"/>
          <w:sz w:val="18"/>
          <w:szCs w:val="18"/>
        </w:rPr>
        <w:t xml:space="preserve"> 82(1):139-152.</w:t>
      </w:r>
    </w:p>
    <w:p w14:paraId="0F6FBD3C"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Gawande, K. et al (2006), “Foreign lobbies and US trade policy”,</w:t>
      </w:r>
      <w:r>
        <w:rPr>
          <w:rFonts w:ascii="Times New Roman" w:hAnsi="Times New Roman" w:hint="eastAsia"/>
          <w:sz w:val="18"/>
          <w:szCs w:val="18"/>
        </w:rPr>
        <w:t xml:space="preserve"> </w:t>
      </w:r>
      <w:r>
        <w:rPr>
          <w:rFonts w:ascii="Times New Roman" w:hAnsi="Times New Roman"/>
          <w:i/>
          <w:iCs/>
          <w:sz w:val="18"/>
          <w:szCs w:val="18"/>
        </w:rPr>
        <w:t>Review of Economics and Statistics</w:t>
      </w:r>
      <w:r>
        <w:rPr>
          <w:rFonts w:ascii="Times New Roman" w:hAnsi="Times New Roman"/>
          <w:sz w:val="18"/>
          <w:szCs w:val="18"/>
        </w:rPr>
        <w:t xml:space="preserve"> 88(3):563-571.</w:t>
      </w:r>
    </w:p>
    <w:p w14:paraId="4CBB4E95"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Gawande, K. et al (2012), “Lobbying competition over trade policy”,</w:t>
      </w:r>
      <w:r>
        <w:rPr>
          <w:rFonts w:ascii="Times New Roman" w:hAnsi="Times New Roman" w:hint="eastAsia"/>
          <w:sz w:val="18"/>
          <w:szCs w:val="18"/>
        </w:rPr>
        <w:t xml:space="preserve"> </w:t>
      </w:r>
      <w:r>
        <w:rPr>
          <w:rFonts w:ascii="Times New Roman" w:hAnsi="Times New Roman"/>
          <w:i/>
          <w:iCs/>
          <w:sz w:val="18"/>
          <w:szCs w:val="18"/>
        </w:rPr>
        <w:t>International Economic Review</w:t>
      </w:r>
      <w:r>
        <w:rPr>
          <w:rFonts w:ascii="Times New Roman" w:hAnsi="Times New Roman"/>
          <w:sz w:val="18"/>
          <w:szCs w:val="18"/>
        </w:rPr>
        <w:t xml:space="preserve"> 53(1):115-132.</w:t>
      </w:r>
    </w:p>
    <w:p w14:paraId="48C29547"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Goldberg, P.K. &amp; G.</w:t>
      </w:r>
      <w:r w:rsidR="00843BDC">
        <w:rPr>
          <w:rFonts w:ascii="Times New Roman" w:hAnsi="Times New Roman"/>
          <w:sz w:val="18"/>
          <w:szCs w:val="18"/>
        </w:rPr>
        <w:t xml:space="preserve"> </w:t>
      </w:r>
      <w:r>
        <w:rPr>
          <w:rFonts w:ascii="Times New Roman" w:hAnsi="Times New Roman"/>
          <w:sz w:val="18"/>
          <w:szCs w:val="18"/>
        </w:rPr>
        <w:t>Maggi</w:t>
      </w:r>
      <w:r w:rsidR="00531D04">
        <w:rPr>
          <w:rFonts w:ascii="Times New Roman" w:hAnsi="Times New Roman"/>
          <w:sz w:val="18"/>
          <w:szCs w:val="18"/>
        </w:rPr>
        <w:t xml:space="preserve"> </w:t>
      </w:r>
      <w:r>
        <w:rPr>
          <w:rFonts w:ascii="Times New Roman" w:hAnsi="Times New Roman"/>
          <w:sz w:val="18"/>
          <w:szCs w:val="18"/>
        </w:rPr>
        <w:t xml:space="preserve">(1999), “Protection for sale: An empirical investigation”, </w:t>
      </w:r>
      <w:r>
        <w:rPr>
          <w:rFonts w:ascii="Times New Roman" w:hAnsi="Times New Roman"/>
          <w:i/>
          <w:iCs/>
          <w:sz w:val="18"/>
          <w:szCs w:val="18"/>
        </w:rPr>
        <w:t>American Economic Review</w:t>
      </w:r>
      <w:r>
        <w:rPr>
          <w:rFonts w:ascii="Times New Roman" w:hAnsi="Times New Roman"/>
          <w:sz w:val="18"/>
          <w:szCs w:val="18"/>
        </w:rPr>
        <w:t xml:space="preserve"> 89(5):1135-1155.</w:t>
      </w:r>
    </w:p>
    <w:p w14:paraId="6BE594E4"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lastRenderedPageBreak/>
        <w:t>Grossman, G.M. &amp; E.</w:t>
      </w:r>
      <w:r w:rsidR="00843BDC">
        <w:rPr>
          <w:rFonts w:ascii="Times New Roman" w:hAnsi="Times New Roman"/>
          <w:sz w:val="18"/>
          <w:szCs w:val="18"/>
        </w:rPr>
        <w:t xml:space="preserve"> </w:t>
      </w:r>
      <w:r>
        <w:rPr>
          <w:rFonts w:ascii="Times New Roman" w:hAnsi="Times New Roman"/>
          <w:sz w:val="18"/>
          <w:szCs w:val="18"/>
        </w:rPr>
        <w:t xml:space="preserve">Helpman (1994), “Protection for Sale”, </w:t>
      </w:r>
      <w:r>
        <w:rPr>
          <w:rFonts w:ascii="Times New Roman" w:hAnsi="Times New Roman"/>
          <w:i/>
          <w:iCs/>
          <w:sz w:val="18"/>
          <w:szCs w:val="18"/>
        </w:rPr>
        <w:t>American Economic Review</w:t>
      </w:r>
      <w:r>
        <w:rPr>
          <w:rFonts w:ascii="Times New Roman" w:hAnsi="Times New Roman"/>
          <w:sz w:val="18"/>
          <w:szCs w:val="18"/>
        </w:rPr>
        <w:t xml:space="preserve"> 84(4):833-850.</w:t>
      </w:r>
    </w:p>
    <w:p w14:paraId="618DCF56"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Grübler, J. et al (2022), “Import demand elasticities revisited”,</w:t>
      </w:r>
      <w:r>
        <w:rPr>
          <w:rFonts w:ascii="Times New Roman" w:hAnsi="Times New Roman" w:hint="eastAsia"/>
          <w:sz w:val="18"/>
          <w:szCs w:val="18"/>
        </w:rPr>
        <w:t xml:space="preserve"> </w:t>
      </w:r>
      <w:r>
        <w:rPr>
          <w:rFonts w:ascii="Times New Roman" w:hAnsi="Times New Roman"/>
          <w:i/>
          <w:iCs/>
          <w:sz w:val="18"/>
          <w:szCs w:val="18"/>
        </w:rPr>
        <w:t>Journal of International Trade &amp; Economic Development</w:t>
      </w:r>
      <w:r>
        <w:rPr>
          <w:rFonts w:ascii="Times New Roman" w:hAnsi="Times New Roman"/>
          <w:sz w:val="18"/>
          <w:szCs w:val="18"/>
        </w:rPr>
        <w:t xml:space="preserve"> 31(1):46-74.</w:t>
      </w:r>
    </w:p>
    <w:p w14:paraId="1857EE49"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Hansen, W.L. &amp; T.</w:t>
      </w:r>
      <w:r w:rsidR="00843BDC">
        <w:rPr>
          <w:rFonts w:ascii="Times New Roman" w:hAnsi="Times New Roman"/>
          <w:sz w:val="18"/>
          <w:szCs w:val="18"/>
        </w:rPr>
        <w:t xml:space="preserve"> </w:t>
      </w:r>
      <w:r>
        <w:rPr>
          <w:rFonts w:ascii="Times New Roman" w:hAnsi="Times New Roman"/>
          <w:sz w:val="18"/>
          <w:szCs w:val="18"/>
        </w:rPr>
        <w:t>J.</w:t>
      </w:r>
      <w:r w:rsidR="00843BDC">
        <w:rPr>
          <w:rFonts w:ascii="Times New Roman" w:hAnsi="Times New Roman"/>
          <w:sz w:val="18"/>
          <w:szCs w:val="18"/>
        </w:rPr>
        <w:t xml:space="preserve"> </w:t>
      </w:r>
      <w:r>
        <w:rPr>
          <w:rFonts w:ascii="Times New Roman" w:hAnsi="Times New Roman"/>
          <w:sz w:val="18"/>
          <w:szCs w:val="18"/>
        </w:rPr>
        <w:t>Prusa</w:t>
      </w:r>
      <w:r w:rsidR="00843BDC">
        <w:rPr>
          <w:rFonts w:ascii="Times New Roman" w:hAnsi="Times New Roman"/>
          <w:sz w:val="18"/>
          <w:szCs w:val="18"/>
        </w:rPr>
        <w:t xml:space="preserve"> </w:t>
      </w:r>
      <w:r>
        <w:rPr>
          <w:rFonts w:ascii="Times New Roman" w:hAnsi="Times New Roman"/>
          <w:sz w:val="18"/>
          <w:szCs w:val="18"/>
        </w:rPr>
        <w:t xml:space="preserve">(1996), “Cumulation and ITC decision-making: The sum of the parts is greater than the whole”, </w:t>
      </w:r>
      <w:r>
        <w:rPr>
          <w:rFonts w:ascii="Times New Roman" w:hAnsi="Times New Roman"/>
          <w:i/>
          <w:iCs/>
          <w:sz w:val="18"/>
          <w:szCs w:val="18"/>
        </w:rPr>
        <w:t>Economic Inquiry</w:t>
      </w:r>
      <w:r>
        <w:rPr>
          <w:rFonts w:ascii="Times New Roman" w:hAnsi="Times New Roman"/>
          <w:sz w:val="18"/>
          <w:szCs w:val="18"/>
        </w:rPr>
        <w:t xml:space="preserve"> 34(4):746-769.</w:t>
      </w:r>
    </w:p>
    <w:p w14:paraId="005D2A69"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Hansen, W.L. &amp; T.</w:t>
      </w:r>
      <w:r w:rsidR="00843BDC">
        <w:rPr>
          <w:rFonts w:ascii="Times New Roman" w:hAnsi="Times New Roman"/>
          <w:sz w:val="18"/>
          <w:szCs w:val="18"/>
        </w:rPr>
        <w:t xml:space="preserve"> </w:t>
      </w:r>
      <w:r>
        <w:rPr>
          <w:rFonts w:ascii="Times New Roman" w:hAnsi="Times New Roman"/>
          <w:sz w:val="18"/>
          <w:szCs w:val="18"/>
        </w:rPr>
        <w:t>J.</w:t>
      </w:r>
      <w:r w:rsidR="00843BDC">
        <w:rPr>
          <w:rFonts w:ascii="Times New Roman" w:hAnsi="Times New Roman"/>
          <w:sz w:val="18"/>
          <w:szCs w:val="18"/>
        </w:rPr>
        <w:t xml:space="preserve"> </w:t>
      </w:r>
      <w:r>
        <w:rPr>
          <w:rFonts w:ascii="Times New Roman" w:hAnsi="Times New Roman"/>
          <w:sz w:val="18"/>
          <w:szCs w:val="18"/>
        </w:rPr>
        <w:t xml:space="preserve">Prusa(1997), “The economics and politics of trade policy: an empirical analysis of ITC decision making”, </w:t>
      </w:r>
      <w:r>
        <w:rPr>
          <w:rFonts w:ascii="Times New Roman" w:hAnsi="Times New Roman"/>
          <w:i/>
          <w:iCs/>
          <w:sz w:val="18"/>
          <w:szCs w:val="18"/>
        </w:rPr>
        <w:t>Review of International Economics</w:t>
      </w:r>
      <w:r>
        <w:rPr>
          <w:rFonts w:ascii="Times New Roman" w:hAnsi="Times New Roman"/>
          <w:sz w:val="18"/>
          <w:szCs w:val="18"/>
        </w:rPr>
        <w:t xml:space="preserve"> 5(2):230-245.</w:t>
      </w:r>
    </w:p>
    <w:p w14:paraId="1130A0FD"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Hartigan, J.C. (1994), “Dumping and signaling”,</w:t>
      </w:r>
      <w:r>
        <w:rPr>
          <w:rFonts w:ascii="Times New Roman" w:hAnsi="Times New Roman" w:hint="eastAsia"/>
          <w:sz w:val="18"/>
          <w:szCs w:val="18"/>
        </w:rPr>
        <w:t xml:space="preserve"> </w:t>
      </w:r>
      <w:r>
        <w:rPr>
          <w:rFonts w:ascii="Times New Roman" w:hAnsi="Times New Roman"/>
          <w:i/>
          <w:iCs/>
          <w:sz w:val="18"/>
          <w:szCs w:val="18"/>
        </w:rPr>
        <w:t>Journal of Economic Behavior &amp; Organization</w:t>
      </w:r>
      <w:r>
        <w:rPr>
          <w:rFonts w:ascii="Times New Roman" w:hAnsi="Times New Roman"/>
          <w:sz w:val="18"/>
          <w:szCs w:val="18"/>
        </w:rPr>
        <w:t xml:space="preserve"> 23(1):69-81.</w:t>
      </w:r>
    </w:p>
    <w:p w14:paraId="119CCF26"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 xml:space="preserve">Hartigan, J.C. (1996), “Predatory dumping”, </w:t>
      </w:r>
      <w:r>
        <w:rPr>
          <w:rFonts w:ascii="Times New Roman" w:hAnsi="Times New Roman"/>
          <w:i/>
          <w:iCs/>
          <w:sz w:val="18"/>
          <w:szCs w:val="18"/>
        </w:rPr>
        <w:t>Canadian Journal of Economics</w:t>
      </w:r>
      <w:r>
        <w:rPr>
          <w:rFonts w:ascii="Times New Roman" w:hAnsi="Times New Roman"/>
          <w:sz w:val="18"/>
          <w:szCs w:val="18"/>
        </w:rPr>
        <w:t xml:space="preserve"> 29(1):228-239.</w:t>
      </w:r>
    </w:p>
    <w:p w14:paraId="47C3A05B"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Herander, M.G. &amp; J.</w:t>
      </w:r>
      <w:r w:rsidR="00843BDC">
        <w:rPr>
          <w:rFonts w:ascii="Times New Roman" w:hAnsi="Times New Roman"/>
          <w:sz w:val="18"/>
          <w:szCs w:val="18"/>
        </w:rPr>
        <w:t xml:space="preserve"> </w:t>
      </w:r>
      <w:r>
        <w:rPr>
          <w:rFonts w:ascii="Times New Roman" w:hAnsi="Times New Roman"/>
          <w:sz w:val="18"/>
          <w:szCs w:val="18"/>
        </w:rPr>
        <w:t>B.</w:t>
      </w:r>
      <w:r w:rsidR="00843BDC">
        <w:rPr>
          <w:rFonts w:ascii="Times New Roman" w:hAnsi="Times New Roman"/>
          <w:sz w:val="18"/>
          <w:szCs w:val="18"/>
        </w:rPr>
        <w:t xml:space="preserve"> </w:t>
      </w:r>
      <w:r>
        <w:rPr>
          <w:rFonts w:ascii="Times New Roman" w:hAnsi="Times New Roman"/>
          <w:sz w:val="18"/>
          <w:szCs w:val="18"/>
        </w:rPr>
        <w:t>Schwartz</w:t>
      </w:r>
      <w:r w:rsidR="00531D04">
        <w:rPr>
          <w:rFonts w:ascii="Times New Roman" w:hAnsi="Times New Roman"/>
          <w:sz w:val="18"/>
          <w:szCs w:val="18"/>
        </w:rPr>
        <w:t xml:space="preserve"> </w:t>
      </w:r>
      <w:r>
        <w:rPr>
          <w:rFonts w:ascii="Times New Roman" w:hAnsi="Times New Roman"/>
          <w:sz w:val="18"/>
          <w:szCs w:val="18"/>
        </w:rPr>
        <w:t xml:space="preserve">(1984), “An empirical test of the impact of the threat of US trade policy: The case of antidumping duties”, </w:t>
      </w:r>
      <w:r>
        <w:rPr>
          <w:rFonts w:ascii="Times New Roman" w:hAnsi="Times New Roman"/>
          <w:i/>
          <w:iCs/>
          <w:sz w:val="18"/>
          <w:szCs w:val="18"/>
        </w:rPr>
        <w:t>Southern Economic Journal</w:t>
      </w:r>
      <w:r>
        <w:rPr>
          <w:rFonts w:ascii="Times New Roman" w:hAnsi="Times New Roman"/>
          <w:sz w:val="18"/>
          <w:szCs w:val="18"/>
        </w:rPr>
        <w:t xml:space="preserve"> 51(1):59-79.</w:t>
      </w:r>
    </w:p>
    <w:p w14:paraId="36EB8DE5"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Kee, H.L. et al (2008), “Import demand elasticities and trade distortions”,</w:t>
      </w:r>
      <w:r>
        <w:rPr>
          <w:rFonts w:ascii="Times New Roman" w:hAnsi="Times New Roman" w:hint="eastAsia"/>
          <w:sz w:val="18"/>
          <w:szCs w:val="18"/>
        </w:rPr>
        <w:t xml:space="preserve"> </w:t>
      </w:r>
      <w:r>
        <w:rPr>
          <w:rFonts w:ascii="Times New Roman" w:hAnsi="Times New Roman"/>
          <w:i/>
          <w:iCs/>
          <w:sz w:val="18"/>
          <w:szCs w:val="18"/>
        </w:rPr>
        <w:t>Review of Economics and Statistics</w:t>
      </w:r>
      <w:r>
        <w:rPr>
          <w:rFonts w:ascii="Times New Roman" w:hAnsi="Times New Roman"/>
          <w:sz w:val="18"/>
          <w:szCs w:val="18"/>
        </w:rPr>
        <w:t xml:space="preserve"> 90(4):666-682.</w:t>
      </w:r>
    </w:p>
    <w:p w14:paraId="05AF5726"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Kolev, D.R. &amp; T.</w:t>
      </w:r>
      <w:r w:rsidR="007F2BBF">
        <w:rPr>
          <w:rFonts w:ascii="Times New Roman" w:hAnsi="Times New Roman"/>
          <w:sz w:val="18"/>
          <w:szCs w:val="18"/>
        </w:rPr>
        <w:t xml:space="preserve"> </w:t>
      </w:r>
      <w:r>
        <w:rPr>
          <w:rFonts w:ascii="Times New Roman" w:hAnsi="Times New Roman"/>
          <w:sz w:val="18"/>
          <w:szCs w:val="18"/>
        </w:rPr>
        <w:t>J.</w:t>
      </w:r>
      <w:r w:rsidR="007F2BBF">
        <w:rPr>
          <w:rFonts w:ascii="Times New Roman" w:hAnsi="Times New Roman"/>
          <w:sz w:val="18"/>
          <w:szCs w:val="18"/>
        </w:rPr>
        <w:t xml:space="preserve"> </w:t>
      </w:r>
      <w:r>
        <w:rPr>
          <w:rFonts w:ascii="Times New Roman" w:hAnsi="Times New Roman"/>
          <w:sz w:val="18"/>
          <w:szCs w:val="18"/>
        </w:rPr>
        <w:t>Prusa</w:t>
      </w:r>
      <w:r w:rsidR="007F2BBF">
        <w:rPr>
          <w:rFonts w:ascii="Times New Roman" w:hAnsi="Times New Roman"/>
          <w:sz w:val="18"/>
          <w:szCs w:val="18"/>
        </w:rPr>
        <w:t xml:space="preserve"> </w:t>
      </w:r>
      <w:r>
        <w:rPr>
          <w:rFonts w:ascii="Times New Roman" w:hAnsi="Times New Roman"/>
          <w:sz w:val="18"/>
          <w:szCs w:val="18"/>
        </w:rPr>
        <w:t xml:space="preserve">(2002), “Dumping and double crossing: The (in) effectiveness of cost‐based trade policy under incomplete information”, </w:t>
      </w:r>
      <w:r>
        <w:rPr>
          <w:rFonts w:ascii="Times New Roman" w:hAnsi="Times New Roman"/>
          <w:i/>
          <w:iCs/>
          <w:sz w:val="18"/>
          <w:szCs w:val="18"/>
        </w:rPr>
        <w:t>International Economic Review</w:t>
      </w:r>
      <w:r>
        <w:rPr>
          <w:rFonts w:ascii="Times New Roman" w:hAnsi="Times New Roman"/>
          <w:sz w:val="18"/>
          <w:szCs w:val="18"/>
        </w:rPr>
        <w:t xml:space="preserve"> 43(3):895–918.</w:t>
      </w:r>
    </w:p>
    <w:p w14:paraId="32AEEED3"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Liu, L. &amp; J.</w:t>
      </w:r>
      <w:r w:rsidR="007F2BBF">
        <w:rPr>
          <w:rFonts w:ascii="Times New Roman" w:hAnsi="Times New Roman"/>
          <w:sz w:val="18"/>
          <w:szCs w:val="18"/>
        </w:rPr>
        <w:t xml:space="preserve"> </w:t>
      </w:r>
      <w:r>
        <w:rPr>
          <w:rFonts w:ascii="Times New Roman" w:hAnsi="Times New Roman"/>
          <w:sz w:val="18"/>
          <w:szCs w:val="18"/>
        </w:rPr>
        <w:t>Zhang</w:t>
      </w:r>
      <w:r w:rsidR="007F2BBF">
        <w:rPr>
          <w:rFonts w:ascii="Times New Roman" w:hAnsi="Times New Roman"/>
          <w:sz w:val="18"/>
          <w:szCs w:val="18"/>
        </w:rPr>
        <w:t xml:space="preserve"> </w:t>
      </w:r>
      <w:r>
        <w:rPr>
          <w:rFonts w:ascii="Times New Roman" w:hAnsi="Times New Roman"/>
          <w:sz w:val="18"/>
          <w:szCs w:val="18"/>
        </w:rPr>
        <w:t xml:space="preserve">(2022), “Uncertainties of trade environment, market economy status, and anti-dumping investigations—evidence from China”, </w:t>
      </w:r>
      <w:r>
        <w:rPr>
          <w:rFonts w:ascii="Times New Roman" w:hAnsi="Times New Roman"/>
          <w:i/>
          <w:iCs/>
          <w:sz w:val="18"/>
          <w:szCs w:val="18"/>
        </w:rPr>
        <w:t>Emerging Markets Finance and Trade</w:t>
      </w:r>
      <w:r>
        <w:rPr>
          <w:rFonts w:ascii="Times New Roman" w:hAnsi="Times New Roman"/>
          <w:sz w:val="18"/>
          <w:szCs w:val="18"/>
        </w:rPr>
        <w:t xml:space="preserve"> 58(7):1925-1937.</w:t>
      </w:r>
    </w:p>
    <w:p w14:paraId="7C0CD9F5"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Matschke, X. &amp; S.</w:t>
      </w:r>
      <w:r w:rsidR="007F2BBF">
        <w:rPr>
          <w:rFonts w:ascii="Times New Roman" w:hAnsi="Times New Roman"/>
          <w:sz w:val="18"/>
          <w:szCs w:val="18"/>
        </w:rPr>
        <w:t xml:space="preserve"> </w:t>
      </w:r>
      <w:r>
        <w:rPr>
          <w:rFonts w:ascii="Times New Roman" w:hAnsi="Times New Roman"/>
          <w:sz w:val="18"/>
          <w:szCs w:val="18"/>
        </w:rPr>
        <w:t>M.</w:t>
      </w:r>
      <w:r w:rsidR="007F2BBF">
        <w:rPr>
          <w:rFonts w:ascii="Times New Roman" w:hAnsi="Times New Roman"/>
          <w:sz w:val="18"/>
          <w:szCs w:val="18"/>
        </w:rPr>
        <w:t xml:space="preserve"> </w:t>
      </w:r>
      <w:r>
        <w:rPr>
          <w:rFonts w:ascii="Times New Roman" w:hAnsi="Times New Roman"/>
          <w:sz w:val="18"/>
          <w:szCs w:val="18"/>
        </w:rPr>
        <w:t>Sherlund</w:t>
      </w:r>
      <w:r w:rsidR="00F80A21">
        <w:rPr>
          <w:rFonts w:ascii="Times New Roman" w:hAnsi="Times New Roman"/>
          <w:sz w:val="18"/>
          <w:szCs w:val="18"/>
        </w:rPr>
        <w:t xml:space="preserve"> </w:t>
      </w:r>
      <w:r>
        <w:rPr>
          <w:rFonts w:ascii="Times New Roman" w:hAnsi="Times New Roman"/>
          <w:sz w:val="18"/>
          <w:szCs w:val="18"/>
        </w:rPr>
        <w:t xml:space="preserve">(2006), “Do labor issues matter in the determination of US trade policy? An empirical reevaluation”, </w:t>
      </w:r>
      <w:r>
        <w:rPr>
          <w:rFonts w:ascii="Times New Roman" w:hAnsi="Times New Roman"/>
          <w:i/>
          <w:iCs/>
          <w:sz w:val="18"/>
          <w:szCs w:val="18"/>
        </w:rPr>
        <w:t>American Economic Review</w:t>
      </w:r>
      <w:r>
        <w:rPr>
          <w:rFonts w:ascii="Times New Roman" w:hAnsi="Times New Roman"/>
          <w:sz w:val="18"/>
          <w:szCs w:val="18"/>
        </w:rPr>
        <w:t xml:space="preserve"> 96(1):405-421.</w:t>
      </w:r>
    </w:p>
    <w:p w14:paraId="14128CE2"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 xml:space="preserve">Mitra, D. et al (2002), “Protection for sale in a developing country: democracy vs. dictatorship”, </w:t>
      </w:r>
      <w:r>
        <w:rPr>
          <w:rFonts w:ascii="Times New Roman" w:hAnsi="Times New Roman"/>
          <w:i/>
          <w:iCs/>
          <w:sz w:val="18"/>
          <w:szCs w:val="18"/>
        </w:rPr>
        <w:t>Review of Economics and Statistics</w:t>
      </w:r>
      <w:r>
        <w:rPr>
          <w:rFonts w:ascii="Times New Roman" w:hAnsi="Times New Roman"/>
          <w:sz w:val="18"/>
          <w:szCs w:val="18"/>
        </w:rPr>
        <w:t xml:space="preserve"> 84(3):497-508.</w:t>
      </w:r>
    </w:p>
    <w:p w14:paraId="26B37DC4"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Nunn, N. &amp; D.</w:t>
      </w:r>
      <w:r w:rsidR="00843BDC">
        <w:rPr>
          <w:rFonts w:ascii="Times New Roman" w:hAnsi="Times New Roman"/>
          <w:sz w:val="18"/>
          <w:szCs w:val="18"/>
        </w:rPr>
        <w:t xml:space="preserve"> </w:t>
      </w:r>
      <w:r>
        <w:rPr>
          <w:rFonts w:ascii="Times New Roman" w:hAnsi="Times New Roman"/>
          <w:sz w:val="18"/>
          <w:szCs w:val="18"/>
        </w:rPr>
        <w:t xml:space="preserve">Trefler (2006), “Putting the Lid on Lobbying: Tariff Structure and Long-Term Growth When Protection is for Sale”, </w:t>
      </w:r>
      <w:r>
        <w:rPr>
          <w:rFonts w:ascii="Times New Roman" w:hAnsi="Times New Roman" w:hint="eastAsia"/>
          <w:sz w:val="18"/>
          <w:szCs w:val="18"/>
        </w:rPr>
        <w:t>NBER Working Paper, No.12164</w:t>
      </w:r>
      <w:r>
        <w:rPr>
          <w:rFonts w:ascii="Times New Roman" w:hAnsi="Times New Roman"/>
          <w:sz w:val="18"/>
          <w:szCs w:val="18"/>
        </w:rPr>
        <w:t>.</w:t>
      </w:r>
    </w:p>
    <w:p w14:paraId="4EEC7C81"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 xml:space="preserve">Paltseva, E. (2014), “Protection for Sale: The case of oligopolistic competition and interdependent sectors”, </w:t>
      </w:r>
      <w:r>
        <w:rPr>
          <w:rFonts w:ascii="Times New Roman" w:hAnsi="Times New Roman"/>
          <w:i/>
          <w:iCs/>
          <w:sz w:val="18"/>
          <w:szCs w:val="18"/>
        </w:rPr>
        <w:t>Canadian Journal of Economics</w:t>
      </w:r>
      <w:r>
        <w:rPr>
          <w:rFonts w:ascii="Times New Roman" w:hAnsi="Times New Roman"/>
          <w:sz w:val="18"/>
          <w:szCs w:val="18"/>
        </w:rPr>
        <w:t xml:space="preserve"> 47(4):1195-1216.</w:t>
      </w:r>
    </w:p>
    <w:p w14:paraId="61713275"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Panagariya, A. &amp; P.</w:t>
      </w:r>
      <w:r w:rsidR="007F2BBF">
        <w:rPr>
          <w:rFonts w:ascii="Times New Roman" w:hAnsi="Times New Roman"/>
          <w:sz w:val="18"/>
          <w:szCs w:val="18"/>
        </w:rPr>
        <w:t xml:space="preserve"> </w:t>
      </w:r>
      <w:r>
        <w:rPr>
          <w:rFonts w:ascii="Times New Roman" w:hAnsi="Times New Roman"/>
          <w:sz w:val="18"/>
          <w:szCs w:val="18"/>
        </w:rPr>
        <w:t xml:space="preserve">Gupta (1998), “Anti-dumping Duty versus Price Negotiations”, </w:t>
      </w:r>
      <w:r>
        <w:rPr>
          <w:rFonts w:ascii="Times New Roman" w:hAnsi="Times New Roman"/>
          <w:i/>
          <w:iCs/>
          <w:sz w:val="18"/>
          <w:szCs w:val="18"/>
        </w:rPr>
        <w:t>World Economy</w:t>
      </w:r>
      <w:r>
        <w:rPr>
          <w:rFonts w:ascii="Times New Roman" w:hAnsi="Times New Roman"/>
          <w:sz w:val="18"/>
          <w:szCs w:val="18"/>
        </w:rPr>
        <w:t xml:space="preserve"> 21 (8):1003–1019.</w:t>
      </w:r>
    </w:p>
    <w:p w14:paraId="4EA9AB4A"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 xml:space="preserve">Prusa, T.J. (1992), “Why are so many antidumping petitions withdrawn?”, </w:t>
      </w:r>
      <w:r>
        <w:rPr>
          <w:rFonts w:ascii="Times New Roman" w:hAnsi="Times New Roman"/>
          <w:i/>
          <w:iCs/>
          <w:sz w:val="18"/>
          <w:szCs w:val="18"/>
        </w:rPr>
        <w:t>Journal of International Economics</w:t>
      </w:r>
      <w:r>
        <w:rPr>
          <w:rFonts w:ascii="Times New Roman" w:hAnsi="Times New Roman"/>
          <w:sz w:val="18"/>
          <w:szCs w:val="18"/>
        </w:rPr>
        <w:t xml:space="preserve"> 33(1):1-20.</w:t>
      </w:r>
    </w:p>
    <w:p w14:paraId="5E1D083A"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 xml:space="preserve">Prusa, T.J. (1998), “Cumulation and antidumping: A challenge to competition”, </w:t>
      </w:r>
      <w:r>
        <w:rPr>
          <w:rFonts w:ascii="Times New Roman" w:hAnsi="Times New Roman"/>
          <w:i/>
          <w:iCs/>
          <w:sz w:val="18"/>
          <w:szCs w:val="18"/>
        </w:rPr>
        <w:t>World Economy</w:t>
      </w:r>
      <w:r>
        <w:rPr>
          <w:rFonts w:ascii="Times New Roman" w:hAnsi="Times New Roman"/>
          <w:sz w:val="18"/>
          <w:szCs w:val="18"/>
        </w:rPr>
        <w:t xml:space="preserve"> 21(8):1021-1033.</w:t>
      </w:r>
    </w:p>
    <w:p w14:paraId="1AD18AD0"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Staiger, R.W. &amp; F.A.</w:t>
      </w:r>
      <w:r w:rsidR="00843BDC">
        <w:rPr>
          <w:rFonts w:ascii="Times New Roman" w:hAnsi="Times New Roman"/>
          <w:sz w:val="18"/>
          <w:szCs w:val="18"/>
        </w:rPr>
        <w:t xml:space="preserve"> </w:t>
      </w:r>
      <w:r>
        <w:rPr>
          <w:rFonts w:ascii="Times New Roman" w:hAnsi="Times New Roman"/>
          <w:sz w:val="18"/>
          <w:szCs w:val="18"/>
        </w:rPr>
        <w:t>Wolak</w:t>
      </w:r>
      <w:r w:rsidR="00843BDC">
        <w:rPr>
          <w:rFonts w:ascii="Times New Roman" w:hAnsi="Times New Roman"/>
          <w:sz w:val="18"/>
          <w:szCs w:val="18"/>
        </w:rPr>
        <w:t xml:space="preserve"> </w:t>
      </w:r>
      <w:r>
        <w:rPr>
          <w:rFonts w:ascii="Times New Roman" w:hAnsi="Times New Roman"/>
          <w:sz w:val="18"/>
          <w:szCs w:val="18"/>
        </w:rPr>
        <w:t xml:space="preserve">(1989), “Strategic Use of Antidumping Law to Enforce Tacit International Collusion”, </w:t>
      </w:r>
      <w:r>
        <w:rPr>
          <w:rFonts w:ascii="Times New Roman" w:hAnsi="Times New Roman" w:hint="eastAsia"/>
          <w:sz w:val="18"/>
          <w:szCs w:val="18"/>
        </w:rPr>
        <w:t>NBER Working Paper, No.3016.</w:t>
      </w:r>
    </w:p>
    <w:p w14:paraId="73C71D0F"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Staiger, R.W. &amp; F.A.</w:t>
      </w:r>
      <w:r w:rsidR="00843BDC">
        <w:rPr>
          <w:rFonts w:ascii="Times New Roman" w:hAnsi="Times New Roman"/>
          <w:sz w:val="18"/>
          <w:szCs w:val="18"/>
        </w:rPr>
        <w:t xml:space="preserve"> </w:t>
      </w:r>
      <w:r>
        <w:rPr>
          <w:rFonts w:ascii="Times New Roman" w:hAnsi="Times New Roman"/>
          <w:sz w:val="18"/>
          <w:szCs w:val="18"/>
        </w:rPr>
        <w:t>Wolak</w:t>
      </w:r>
      <w:r w:rsidR="00843BDC">
        <w:rPr>
          <w:rFonts w:ascii="Times New Roman" w:hAnsi="Times New Roman"/>
          <w:sz w:val="18"/>
          <w:szCs w:val="18"/>
        </w:rPr>
        <w:t xml:space="preserve"> </w:t>
      </w:r>
      <w:r>
        <w:rPr>
          <w:rFonts w:ascii="Times New Roman" w:hAnsi="Times New Roman"/>
          <w:sz w:val="18"/>
          <w:szCs w:val="18"/>
        </w:rPr>
        <w:t xml:space="preserve">(1992), “The effect of domestic antidumping law in the presence of foreign monopoly”, </w:t>
      </w:r>
      <w:r>
        <w:rPr>
          <w:rFonts w:ascii="Times New Roman" w:hAnsi="Times New Roman"/>
          <w:i/>
          <w:iCs/>
          <w:sz w:val="18"/>
          <w:szCs w:val="18"/>
        </w:rPr>
        <w:t>Journal of International Economics</w:t>
      </w:r>
      <w:r>
        <w:rPr>
          <w:rFonts w:ascii="Times New Roman" w:hAnsi="Times New Roman"/>
          <w:sz w:val="18"/>
          <w:szCs w:val="18"/>
        </w:rPr>
        <w:t xml:space="preserve"> 32 (3):265–287.</w:t>
      </w:r>
    </w:p>
    <w:p w14:paraId="38B2BDF0"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Veugelers, R. &amp; H.</w:t>
      </w:r>
      <w:r w:rsidR="00843BDC">
        <w:rPr>
          <w:rFonts w:ascii="Times New Roman" w:hAnsi="Times New Roman"/>
          <w:sz w:val="18"/>
          <w:szCs w:val="18"/>
        </w:rPr>
        <w:t xml:space="preserve"> </w:t>
      </w:r>
      <w:r>
        <w:rPr>
          <w:rFonts w:ascii="Times New Roman" w:hAnsi="Times New Roman"/>
          <w:sz w:val="18"/>
          <w:szCs w:val="18"/>
        </w:rPr>
        <w:t>Vandenbussche</w:t>
      </w:r>
      <w:r w:rsidR="00843BDC">
        <w:rPr>
          <w:rFonts w:ascii="Times New Roman" w:hAnsi="Times New Roman"/>
          <w:sz w:val="18"/>
          <w:szCs w:val="18"/>
        </w:rPr>
        <w:t xml:space="preserve"> </w:t>
      </w:r>
      <w:r>
        <w:rPr>
          <w:rFonts w:ascii="Times New Roman" w:hAnsi="Times New Roman"/>
          <w:sz w:val="18"/>
          <w:szCs w:val="18"/>
        </w:rPr>
        <w:t>(1999), “European anti-dumping policy and the profitability of national and international collusion”,</w:t>
      </w:r>
      <w:r>
        <w:rPr>
          <w:rFonts w:ascii="Times New Roman" w:hAnsi="Times New Roman" w:hint="eastAsia"/>
          <w:sz w:val="18"/>
          <w:szCs w:val="18"/>
        </w:rPr>
        <w:t xml:space="preserve"> </w:t>
      </w:r>
      <w:r>
        <w:rPr>
          <w:rFonts w:ascii="Times New Roman" w:hAnsi="Times New Roman"/>
          <w:i/>
          <w:iCs/>
          <w:sz w:val="18"/>
          <w:szCs w:val="18"/>
        </w:rPr>
        <w:t>European Economic Review</w:t>
      </w:r>
      <w:r>
        <w:rPr>
          <w:rFonts w:ascii="Times New Roman" w:hAnsi="Times New Roman"/>
          <w:sz w:val="18"/>
          <w:szCs w:val="18"/>
        </w:rPr>
        <w:t xml:space="preserve"> 43 (1):1–28.</w:t>
      </w:r>
    </w:p>
    <w:p w14:paraId="3C2D72D5" w14:textId="77777777" w:rsidR="00501C7E" w:rsidRDefault="00EC5712">
      <w:pPr>
        <w:autoSpaceDE w:val="0"/>
        <w:ind w:firstLineChars="100" w:firstLine="180"/>
        <w:rPr>
          <w:rFonts w:ascii="Times New Roman" w:hAnsi="Times New Roman"/>
          <w:sz w:val="18"/>
          <w:szCs w:val="18"/>
        </w:rPr>
      </w:pPr>
      <w:r>
        <w:rPr>
          <w:rFonts w:ascii="Times New Roman" w:hAnsi="Times New Roman"/>
          <w:sz w:val="18"/>
          <w:szCs w:val="18"/>
        </w:rPr>
        <w:t xml:space="preserve">Zanardi, M. (2004), “Antidumping law as a collusive device”, </w:t>
      </w:r>
      <w:r>
        <w:rPr>
          <w:rFonts w:ascii="Times New Roman" w:hAnsi="Times New Roman"/>
          <w:i/>
          <w:iCs/>
          <w:sz w:val="18"/>
          <w:szCs w:val="18"/>
        </w:rPr>
        <w:t>Canadian Journal of Economics</w:t>
      </w:r>
      <w:r>
        <w:rPr>
          <w:rFonts w:ascii="Times New Roman" w:hAnsi="Times New Roman"/>
          <w:sz w:val="18"/>
          <w:szCs w:val="18"/>
        </w:rPr>
        <w:t xml:space="preserve"> 37(1):95-122.</w:t>
      </w:r>
    </w:p>
    <w:p w14:paraId="369B3CA2" w14:textId="77777777" w:rsidR="008442C9" w:rsidRDefault="008442C9">
      <w:pPr>
        <w:autoSpaceDE w:val="0"/>
        <w:ind w:firstLineChars="100" w:firstLine="180"/>
        <w:rPr>
          <w:rFonts w:ascii="Times New Roman" w:hAnsi="Times New Roman"/>
          <w:sz w:val="18"/>
          <w:szCs w:val="18"/>
        </w:rPr>
      </w:pPr>
    </w:p>
    <w:p w14:paraId="7C71D1DD" w14:textId="77777777" w:rsidR="00501C7E" w:rsidRDefault="00EC5712">
      <w:pPr>
        <w:pStyle w:val="a3"/>
        <w:spacing w:before="59" w:line="380" w:lineRule="exact"/>
        <w:ind w:right="582"/>
        <w:rPr>
          <w:rFonts w:ascii="Times New Roman" w:hAnsi="Times New Roman" w:cs="Times New Roman"/>
          <w:lang w:val="en-US"/>
        </w:rPr>
      </w:pPr>
      <w:r>
        <w:rPr>
          <w:rFonts w:ascii="Times New Roman" w:hAnsi="Times New Roman" w:cs="Times New Roman"/>
          <w:lang w:val="en-US"/>
        </w:rPr>
        <w:t>附表</w:t>
      </w:r>
      <w:r>
        <w:rPr>
          <w:rFonts w:ascii="Times New Roman" w:hAnsi="Times New Roman" w:cs="Times New Roman"/>
          <w:lang w:val="en-US"/>
        </w:rPr>
        <w:t xml:space="preserve">1 </w:t>
      </w:r>
      <w:r>
        <w:rPr>
          <w:rFonts w:ascii="Times New Roman" w:hAnsi="Times New Roman" w:cs="Times New Roman"/>
          <w:lang w:val="en-US"/>
        </w:rPr>
        <w:t>数据来源</w:t>
      </w:r>
    </w:p>
    <w:tbl>
      <w:tblPr>
        <w:tblW w:w="5000" w:type="pct"/>
        <w:tblLayout w:type="fixed"/>
        <w:tblLook w:val="04A0" w:firstRow="1" w:lastRow="0" w:firstColumn="1" w:lastColumn="0" w:noHBand="0" w:noVBand="1"/>
      </w:tblPr>
      <w:tblGrid>
        <w:gridCol w:w="1155"/>
        <w:gridCol w:w="2281"/>
        <w:gridCol w:w="5682"/>
      </w:tblGrid>
      <w:tr w:rsidR="00501C7E" w14:paraId="51449440" w14:textId="77777777">
        <w:trPr>
          <w:trHeight w:val="90"/>
        </w:trPr>
        <w:tc>
          <w:tcPr>
            <w:tcW w:w="633" w:type="pct"/>
            <w:tcBorders>
              <w:top w:val="single" w:sz="4" w:space="0" w:color="000000"/>
              <w:bottom w:val="single" w:sz="4" w:space="0" w:color="000000"/>
              <w:right w:val="single" w:sz="4" w:space="0" w:color="000000"/>
            </w:tcBorders>
            <w:vAlign w:val="center"/>
          </w:tcPr>
          <w:p w14:paraId="358D0246" w14:textId="77777777" w:rsidR="00501C7E" w:rsidRDefault="00EC5712">
            <w:pPr>
              <w:jc w:val="center"/>
              <w:rPr>
                <w:rFonts w:ascii="Times New Roman" w:hAnsi="Times New Roman"/>
                <w:sz w:val="18"/>
                <w:szCs w:val="18"/>
              </w:rPr>
            </w:pPr>
            <w:r>
              <w:rPr>
                <w:rFonts w:ascii="Times New Roman" w:hAnsi="Times New Roman"/>
                <w:sz w:val="18"/>
                <w:szCs w:val="18"/>
              </w:rPr>
              <w:t>变量</w:t>
            </w:r>
          </w:p>
        </w:tc>
        <w:tc>
          <w:tcPr>
            <w:tcW w:w="1250" w:type="pct"/>
            <w:tcBorders>
              <w:top w:val="single" w:sz="4" w:space="0" w:color="000000"/>
              <w:bottom w:val="single" w:sz="4" w:space="0" w:color="000000"/>
              <w:right w:val="single" w:sz="4" w:space="0" w:color="000000"/>
            </w:tcBorders>
            <w:vAlign w:val="center"/>
          </w:tcPr>
          <w:p w14:paraId="7D9CFBFC" w14:textId="77777777" w:rsidR="00501C7E" w:rsidRDefault="00EC5712">
            <w:pPr>
              <w:jc w:val="center"/>
              <w:rPr>
                <w:rFonts w:ascii="Times New Roman" w:hAnsi="Times New Roman"/>
                <w:sz w:val="18"/>
                <w:szCs w:val="18"/>
              </w:rPr>
            </w:pPr>
            <w:r>
              <w:rPr>
                <w:rFonts w:ascii="Times New Roman" w:hAnsi="Times New Roman"/>
                <w:sz w:val="18"/>
                <w:szCs w:val="18"/>
              </w:rPr>
              <w:t>数据来源</w:t>
            </w:r>
          </w:p>
        </w:tc>
        <w:tc>
          <w:tcPr>
            <w:tcW w:w="3115" w:type="pct"/>
            <w:tcBorders>
              <w:top w:val="single" w:sz="4" w:space="0" w:color="000000"/>
              <w:left w:val="single" w:sz="4" w:space="0" w:color="000000"/>
              <w:bottom w:val="single" w:sz="4" w:space="0" w:color="000000"/>
            </w:tcBorders>
            <w:vAlign w:val="center"/>
          </w:tcPr>
          <w:p w14:paraId="0A7BFA78" w14:textId="77777777" w:rsidR="00501C7E" w:rsidRDefault="00EC5712">
            <w:pPr>
              <w:jc w:val="center"/>
              <w:rPr>
                <w:rFonts w:ascii="Times New Roman" w:hAnsi="Times New Roman"/>
                <w:sz w:val="18"/>
                <w:szCs w:val="18"/>
              </w:rPr>
            </w:pPr>
            <w:r>
              <w:rPr>
                <w:rFonts w:ascii="Times New Roman" w:hAnsi="Times New Roman"/>
                <w:sz w:val="18"/>
                <w:szCs w:val="18"/>
              </w:rPr>
              <w:t>具体网址</w:t>
            </w:r>
          </w:p>
        </w:tc>
      </w:tr>
      <w:tr w:rsidR="00501C7E" w14:paraId="1B0F92CC" w14:textId="77777777">
        <w:tc>
          <w:tcPr>
            <w:tcW w:w="633" w:type="pct"/>
            <w:tcBorders>
              <w:top w:val="single" w:sz="4" w:space="0" w:color="000000"/>
              <w:bottom w:val="single" w:sz="4" w:space="0" w:color="000000"/>
              <w:right w:val="single" w:sz="4" w:space="0" w:color="000000"/>
            </w:tcBorders>
            <w:vAlign w:val="center"/>
          </w:tcPr>
          <w:p w14:paraId="4EF8401A" w14:textId="77777777" w:rsidR="00501C7E" w:rsidRDefault="00EC5712">
            <w:pPr>
              <w:jc w:val="center"/>
              <w:rPr>
                <w:rFonts w:ascii="Times New Roman" w:hAnsi="Times New Roman"/>
                <w:sz w:val="18"/>
                <w:szCs w:val="18"/>
              </w:rPr>
            </w:pPr>
            <m:oMathPara>
              <m:oMathParaPr>
                <m:jc m:val="center"/>
              </m:oMathParaPr>
              <m:oMath>
                <m:r>
                  <w:rPr>
                    <w:rFonts w:ascii="Cambria Math" w:hAnsi="Cambria Math"/>
                    <w:sz w:val="18"/>
                    <w:szCs w:val="18"/>
                  </w:rPr>
                  <m:t>Dumping</m:t>
                </m:r>
              </m:oMath>
            </m:oMathPara>
          </w:p>
        </w:tc>
        <w:tc>
          <w:tcPr>
            <w:tcW w:w="1250" w:type="pct"/>
            <w:tcBorders>
              <w:top w:val="single" w:sz="4" w:space="0" w:color="000000"/>
              <w:bottom w:val="single" w:sz="4" w:space="0" w:color="000000"/>
              <w:right w:val="single" w:sz="4" w:space="0" w:color="000000"/>
            </w:tcBorders>
            <w:vAlign w:val="center"/>
          </w:tcPr>
          <w:p w14:paraId="24C01205"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中国贸易救济信息网、世界银行反倾销数据库</w:t>
            </w:r>
          </w:p>
        </w:tc>
        <w:tc>
          <w:tcPr>
            <w:tcW w:w="3115" w:type="pct"/>
            <w:tcBorders>
              <w:top w:val="single" w:sz="4" w:space="0" w:color="000000"/>
              <w:left w:val="single" w:sz="4" w:space="0" w:color="000000"/>
              <w:bottom w:val="single" w:sz="4" w:space="0" w:color="000000"/>
            </w:tcBorders>
            <w:vAlign w:val="center"/>
          </w:tcPr>
          <w:p w14:paraId="778004DB" w14:textId="77777777" w:rsidR="00501C7E" w:rsidRDefault="00000000">
            <w:pPr>
              <w:widowControl/>
              <w:jc w:val="center"/>
              <w:textAlignment w:val="center"/>
              <w:rPr>
                <w:rFonts w:ascii="Times New Roman" w:hAnsi="Times New Roman"/>
                <w:kern w:val="0"/>
                <w:sz w:val="18"/>
                <w:szCs w:val="18"/>
              </w:rPr>
            </w:pPr>
            <w:hyperlink r:id="rId10" w:history="1">
              <w:r w:rsidR="00EC5712">
                <w:rPr>
                  <w:rStyle w:val="a8"/>
                  <w:rFonts w:ascii="Times New Roman" w:hAnsi="Times New Roman"/>
                  <w:color w:val="auto"/>
                  <w:kern w:val="0"/>
                  <w:sz w:val="18"/>
                  <w:szCs w:val="18"/>
                  <w:u w:val="none"/>
                </w:rPr>
                <w:t>http</w:t>
              </w:r>
              <w:r w:rsidR="00EC5712">
                <w:rPr>
                  <w:rStyle w:val="a8"/>
                  <w:rFonts w:ascii="Times New Roman" w:hAnsi="Times New Roman" w:hint="eastAsia"/>
                  <w:color w:val="auto"/>
                  <w:kern w:val="0"/>
                  <w:sz w:val="18"/>
                  <w:szCs w:val="18"/>
                  <w:u w:val="none"/>
                </w:rPr>
                <w:t>：</w:t>
              </w:r>
              <w:r w:rsidR="00EC5712">
                <w:rPr>
                  <w:rStyle w:val="a8"/>
                  <w:rFonts w:ascii="Times New Roman" w:hAnsi="Times New Roman"/>
                  <w:color w:val="auto"/>
                  <w:kern w:val="0"/>
                  <w:sz w:val="18"/>
                  <w:szCs w:val="18"/>
                  <w:u w:val="none"/>
                </w:rPr>
                <w:t>//cacs.mofcom.gov.cn/</w:t>
              </w:r>
            </w:hyperlink>
          </w:p>
          <w:p w14:paraId="05474ADC"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 xml:space="preserve"> http</w:t>
            </w:r>
            <w:r>
              <w:rPr>
                <w:rFonts w:ascii="Times New Roman" w:hAnsi="Times New Roman" w:hint="eastAsia"/>
                <w:kern w:val="0"/>
                <w:sz w:val="18"/>
                <w:szCs w:val="18"/>
              </w:rPr>
              <w:t>：</w:t>
            </w:r>
            <w:r>
              <w:rPr>
                <w:rFonts w:ascii="Times New Roman" w:hAnsi="Times New Roman"/>
                <w:kern w:val="0"/>
                <w:sz w:val="18"/>
                <w:szCs w:val="18"/>
              </w:rPr>
              <w:t>//econ.worldbank.org/ttbd/</w:t>
            </w:r>
          </w:p>
        </w:tc>
      </w:tr>
      <w:tr w:rsidR="00501C7E" w14:paraId="34AF95B3" w14:textId="77777777">
        <w:tc>
          <w:tcPr>
            <w:tcW w:w="633" w:type="pct"/>
            <w:tcBorders>
              <w:top w:val="single" w:sz="4" w:space="0" w:color="000000"/>
              <w:bottom w:val="single" w:sz="4" w:space="0" w:color="000000"/>
              <w:right w:val="single" w:sz="4" w:space="0" w:color="000000"/>
            </w:tcBorders>
            <w:vAlign w:val="center"/>
          </w:tcPr>
          <w:p w14:paraId="3F7F4A6A" w14:textId="77777777" w:rsidR="00501C7E" w:rsidRDefault="00000000">
            <w:pPr>
              <w:jc w:val="center"/>
              <w:rPr>
                <w:rFonts w:ascii="Times New Roman" w:hAnsi="Times New Roman"/>
                <w:sz w:val="18"/>
                <w:szCs w:val="18"/>
              </w:rPr>
            </w:pPr>
            <m:oMathPara>
              <m:oMathParaPr>
                <m:jc m:val="center"/>
              </m:oMathParaP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i</m:t>
                    </m:r>
                  </m:sub>
                </m:sSub>
                <m:r>
                  <w:rPr>
                    <w:rFonts w:ascii="Cambria Math" w:hAnsi="Cambria Math"/>
                    <w:sz w:val="18"/>
                    <w:szCs w:val="18"/>
                  </w:rPr>
                  <m:t>/(1+</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i</m:t>
                    </m:r>
                  </m:sub>
                </m:sSub>
                <m:r>
                  <w:rPr>
                    <w:rFonts w:ascii="Cambria Math" w:hAnsi="Cambria Math"/>
                    <w:sz w:val="18"/>
                    <w:szCs w:val="18"/>
                  </w:rPr>
                  <m:t>)</m:t>
                </m:r>
              </m:oMath>
            </m:oMathPara>
          </w:p>
        </w:tc>
        <w:tc>
          <w:tcPr>
            <w:tcW w:w="1250" w:type="pct"/>
            <w:tcBorders>
              <w:top w:val="single" w:sz="4" w:space="0" w:color="000000"/>
              <w:bottom w:val="single" w:sz="4" w:space="0" w:color="000000"/>
              <w:right w:val="single" w:sz="4" w:space="0" w:color="000000"/>
            </w:tcBorders>
            <w:vAlign w:val="center"/>
          </w:tcPr>
          <w:p w14:paraId="1156A817"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中国贸易救济信息网、世界银行反倾销数据库</w:t>
            </w:r>
          </w:p>
        </w:tc>
        <w:tc>
          <w:tcPr>
            <w:tcW w:w="3115" w:type="pct"/>
            <w:tcBorders>
              <w:top w:val="single" w:sz="4" w:space="0" w:color="000000"/>
              <w:left w:val="single" w:sz="4" w:space="0" w:color="000000"/>
              <w:bottom w:val="single" w:sz="4" w:space="0" w:color="000000"/>
            </w:tcBorders>
            <w:vAlign w:val="center"/>
          </w:tcPr>
          <w:p w14:paraId="447B3D31" w14:textId="77777777" w:rsidR="00501C7E" w:rsidRDefault="00000000">
            <w:pPr>
              <w:widowControl/>
              <w:jc w:val="center"/>
              <w:textAlignment w:val="center"/>
              <w:rPr>
                <w:rFonts w:ascii="Times New Roman" w:hAnsi="Times New Roman"/>
                <w:kern w:val="0"/>
                <w:sz w:val="18"/>
                <w:szCs w:val="18"/>
              </w:rPr>
            </w:pPr>
            <w:hyperlink r:id="rId11" w:history="1">
              <w:r w:rsidR="00EC5712">
                <w:rPr>
                  <w:rStyle w:val="a8"/>
                  <w:rFonts w:ascii="Times New Roman" w:hAnsi="Times New Roman"/>
                  <w:color w:val="auto"/>
                  <w:kern w:val="0"/>
                  <w:sz w:val="18"/>
                  <w:szCs w:val="18"/>
                  <w:u w:val="none"/>
                </w:rPr>
                <w:t>http</w:t>
              </w:r>
              <w:r w:rsidR="00EC5712">
                <w:rPr>
                  <w:rStyle w:val="a8"/>
                  <w:rFonts w:ascii="Times New Roman" w:hAnsi="Times New Roman" w:hint="eastAsia"/>
                  <w:color w:val="auto"/>
                  <w:kern w:val="0"/>
                  <w:sz w:val="18"/>
                  <w:szCs w:val="18"/>
                  <w:u w:val="none"/>
                </w:rPr>
                <w:t>：</w:t>
              </w:r>
              <w:r w:rsidR="00EC5712">
                <w:rPr>
                  <w:rStyle w:val="a8"/>
                  <w:rFonts w:ascii="Times New Roman" w:hAnsi="Times New Roman"/>
                  <w:color w:val="auto"/>
                  <w:kern w:val="0"/>
                  <w:sz w:val="18"/>
                  <w:szCs w:val="18"/>
                  <w:u w:val="none"/>
                </w:rPr>
                <w:t>//cacs.mofcom.gov.cn/</w:t>
              </w:r>
            </w:hyperlink>
          </w:p>
          <w:p w14:paraId="46E75B8A"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 xml:space="preserve"> http</w:t>
            </w:r>
            <w:r>
              <w:rPr>
                <w:rFonts w:ascii="Times New Roman" w:hAnsi="Times New Roman" w:hint="eastAsia"/>
                <w:kern w:val="0"/>
                <w:sz w:val="18"/>
                <w:szCs w:val="18"/>
              </w:rPr>
              <w:t>：</w:t>
            </w:r>
            <w:r>
              <w:rPr>
                <w:rFonts w:ascii="Times New Roman" w:hAnsi="Times New Roman"/>
                <w:kern w:val="0"/>
                <w:sz w:val="18"/>
                <w:szCs w:val="18"/>
              </w:rPr>
              <w:t>//econ.worldbank.org/ttbd/</w:t>
            </w:r>
          </w:p>
        </w:tc>
      </w:tr>
      <w:tr w:rsidR="00501C7E" w14:paraId="1E3D2444" w14:textId="77777777">
        <w:trPr>
          <w:trHeight w:val="90"/>
        </w:trPr>
        <w:tc>
          <w:tcPr>
            <w:tcW w:w="633" w:type="pct"/>
            <w:tcBorders>
              <w:top w:val="single" w:sz="4" w:space="0" w:color="000000"/>
              <w:bottom w:val="single" w:sz="4" w:space="0" w:color="000000"/>
              <w:right w:val="single" w:sz="4" w:space="0" w:color="000000"/>
            </w:tcBorders>
            <w:vAlign w:val="center"/>
          </w:tcPr>
          <w:p w14:paraId="4F0EC254" w14:textId="77777777" w:rsidR="00501C7E" w:rsidRDefault="00000000">
            <w:pPr>
              <w:jc w:val="center"/>
              <w:rPr>
                <w:rFonts w:ascii="Times New Roman" w:hAnsi="Times New Roman"/>
                <w:sz w:val="18"/>
                <w:szCs w:val="18"/>
              </w:rPr>
            </w:pPr>
            <m:oMathPara>
              <m:oMathParaPr>
                <m:jc m:val="center"/>
              </m:oMathParaP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i</m:t>
                    </m:r>
                  </m:sub>
                </m:sSub>
                <m:r>
                  <w:rPr>
                    <w:rFonts w:ascii="Cambria Math" w:hAnsi="Cambria Math"/>
                    <w:sz w:val="18"/>
                    <w:szCs w:val="18"/>
                  </w:rPr>
                  <m:t>/(1+</m:t>
                </m:r>
                <m:sSup>
                  <m:sSupPr>
                    <m:ctrlPr>
                      <w:rPr>
                        <w:rFonts w:ascii="Cambria Math" w:hAnsi="Cambria Math"/>
                        <w:i/>
                        <w:sz w:val="18"/>
                        <w:szCs w:val="18"/>
                      </w:rPr>
                    </m:ctrlPr>
                  </m:sSup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i</m:t>
                        </m:r>
                      </m:sub>
                    </m:sSub>
                    <m:r>
                      <w:rPr>
                        <w:rFonts w:ascii="Cambria Math" w:hAnsi="Cambria Math"/>
                        <w:sz w:val="18"/>
                        <w:szCs w:val="18"/>
                      </w:rPr>
                      <m:t>)</m:t>
                    </m:r>
                  </m:e>
                  <m:sup>
                    <m:r>
                      <w:rPr>
                        <w:rFonts w:ascii="Cambria Math" w:hAnsi="Cambria Math"/>
                        <w:sz w:val="18"/>
                        <w:szCs w:val="18"/>
                      </w:rPr>
                      <m:t>0</m:t>
                    </m:r>
                  </m:sup>
                </m:sSup>
              </m:oMath>
            </m:oMathPara>
          </w:p>
        </w:tc>
        <w:tc>
          <w:tcPr>
            <w:tcW w:w="1250" w:type="pct"/>
            <w:tcBorders>
              <w:top w:val="single" w:sz="4" w:space="0" w:color="000000"/>
              <w:bottom w:val="single" w:sz="4" w:space="0" w:color="000000"/>
              <w:right w:val="single" w:sz="4" w:space="0" w:color="000000"/>
            </w:tcBorders>
            <w:vAlign w:val="center"/>
          </w:tcPr>
          <w:p w14:paraId="0441E33E"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中国贸易救济信息网、世界银行反倾销数据库</w:t>
            </w:r>
          </w:p>
        </w:tc>
        <w:tc>
          <w:tcPr>
            <w:tcW w:w="3115" w:type="pct"/>
            <w:tcBorders>
              <w:top w:val="single" w:sz="4" w:space="0" w:color="000000"/>
              <w:left w:val="single" w:sz="4" w:space="0" w:color="000000"/>
              <w:bottom w:val="single" w:sz="4" w:space="0" w:color="000000"/>
            </w:tcBorders>
            <w:vAlign w:val="center"/>
          </w:tcPr>
          <w:p w14:paraId="6EB76304" w14:textId="77777777" w:rsidR="00501C7E" w:rsidRDefault="00000000">
            <w:pPr>
              <w:widowControl/>
              <w:jc w:val="center"/>
              <w:textAlignment w:val="center"/>
              <w:rPr>
                <w:rFonts w:ascii="Times New Roman" w:hAnsi="Times New Roman"/>
                <w:kern w:val="0"/>
                <w:sz w:val="18"/>
                <w:szCs w:val="18"/>
              </w:rPr>
            </w:pPr>
            <w:hyperlink r:id="rId12" w:history="1">
              <w:r w:rsidR="00EC5712">
                <w:rPr>
                  <w:rStyle w:val="a8"/>
                  <w:rFonts w:ascii="Times New Roman" w:hAnsi="Times New Roman"/>
                  <w:color w:val="auto"/>
                  <w:kern w:val="0"/>
                  <w:sz w:val="18"/>
                  <w:szCs w:val="18"/>
                  <w:u w:val="none"/>
                </w:rPr>
                <w:t>http</w:t>
              </w:r>
              <w:r w:rsidR="00EC5712">
                <w:rPr>
                  <w:rStyle w:val="a8"/>
                  <w:rFonts w:ascii="Times New Roman" w:hAnsi="Times New Roman" w:hint="eastAsia"/>
                  <w:color w:val="auto"/>
                  <w:kern w:val="0"/>
                  <w:sz w:val="18"/>
                  <w:szCs w:val="18"/>
                  <w:u w:val="none"/>
                </w:rPr>
                <w:t>：</w:t>
              </w:r>
              <w:r w:rsidR="00EC5712">
                <w:rPr>
                  <w:rStyle w:val="a8"/>
                  <w:rFonts w:ascii="Times New Roman" w:hAnsi="Times New Roman"/>
                  <w:color w:val="auto"/>
                  <w:kern w:val="0"/>
                  <w:sz w:val="18"/>
                  <w:szCs w:val="18"/>
                  <w:u w:val="none"/>
                </w:rPr>
                <w:t>//cacs.mofcom.gov.cn/</w:t>
              </w:r>
            </w:hyperlink>
          </w:p>
          <w:p w14:paraId="0C5E71B7"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http</w:t>
            </w:r>
            <w:r>
              <w:rPr>
                <w:rFonts w:ascii="Times New Roman" w:hAnsi="Times New Roman" w:hint="eastAsia"/>
                <w:kern w:val="0"/>
                <w:sz w:val="18"/>
                <w:szCs w:val="18"/>
              </w:rPr>
              <w:t>：</w:t>
            </w:r>
            <w:r>
              <w:rPr>
                <w:rFonts w:ascii="Times New Roman" w:hAnsi="Times New Roman"/>
                <w:kern w:val="0"/>
                <w:sz w:val="18"/>
                <w:szCs w:val="18"/>
              </w:rPr>
              <w:t>//econ.worldbank.org/ttbd/</w:t>
            </w:r>
          </w:p>
        </w:tc>
      </w:tr>
      <w:tr w:rsidR="00501C7E" w14:paraId="3E322EAD" w14:textId="77777777">
        <w:tc>
          <w:tcPr>
            <w:tcW w:w="633" w:type="pct"/>
            <w:tcBorders>
              <w:top w:val="single" w:sz="4" w:space="0" w:color="000000"/>
              <w:bottom w:val="single" w:sz="4" w:space="0" w:color="000000"/>
              <w:right w:val="single" w:sz="4" w:space="0" w:color="000000"/>
            </w:tcBorders>
            <w:vAlign w:val="center"/>
          </w:tcPr>
          <w:p w14:paraId="2AA513AE" w14:textId="77777777" w:rsidR="00501C7E" w:rsidRDefault="00000000">
            <w:pPr>
              <w:jc w:val="center"/>
              <w:rPr>
                <w:rFonts w:ascii="Times New Roman" w:hAnsi="Times New Roman"/>
                <w:sz w:val="18"/>
                <w:szCs w:val="18"/>
              </w:rPr>
            </w:pP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i</m:t>
                  </m:r>
                </m:sub>
              </m:sSub>
            </m:oMath>
            <w:r w:rsidR="00EC5712">
              <w:rPr>
                <w:rFonts w:ascii="Times New Roman" w:hAnsi="Times New Roman" w:hint="eastAsia"/>
                <w:sz w:val="18"/>
                <w:szCs w:val="18"/>
              </w:rPr>
              <w:t>（</w:t>
            </w:r>
            <w:r w:rsidR="00EC5712">
              <w:rPr>
                <w:rFonts w:ascii="Times New Roman" w:hAnsi="Times New Roman"/>
                <w:sz w:val="18"/>
                <w:szCs w:val="18"/>
              </w:rPr>
              <w:t>1</w:t>
            </w:r>
            <w:r w:rsidR="00EC5712">
              <w:rPr>
                <w:rFonts w:ascii="Times New Roman" w:hAnsi="Times New Roman" w:hint="eastAsia"/>
                <w:sz w:val="18"/>
                <w:szCs w:val="18"/>
              </w:rPr>
              <w:t>）</w:t>
            </w:r>
          </w:p>
        </w:tc>
        <w:tc>
          <w:tcPr>
            <w:tcW w:w="1250" w:type="pct"/>
            <w:tcBorders>
              <w:top w:val="single" w:sz="4" w:space="0" w:color="000000"/>
              <w:bottom w:val="single" w:sz="4" w:space="0" w:color="000000"/>
              <w:right w:val="single" w:sz="4" w:space="0" w:color="000000"/>
            </w:tcBorders>
            <w:vAlign w:val="center"/>
          </w:tcPr>
          <w:p w14:paraId="19F0BEEC"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欧盟统计局、欧盟法律法规数据库</w:t>
            </w:r>
            <w:r>
              <w:rPr>
                <w:rFonts w:ascii="Times New Roman" w:hAnsi="Times New Roman" w:hint="eastAsia"/>
                <w:kern w:val="0"/>
                <w:sz w:val="18"/>
                <w:szCs w:val="18"/>
              </w:rPr>
              <w:t>（</w:t>
            </w:r>
            <w:r>
              <w:rPr>
                <w:rFonts w:ascii="Times New Roman" w:hAnsi="Times New Roman"/>
                <w:kern w:val="0"/>
                <w:sz w:val="18"/>
                <w:szCs w:val="18"/>
              </w:rPr>
              <w:t>Eur-lex</w:t>
            </w:r>
            <w:r>
              <w:rPr>
                <w:rFonts w:ascii="Times New Roman" w:hAnsi="Times New Roman" w:hint="eastAsia"/>
                <w:kern w:val="0"/>
                <w:sz w:val="18"/>
                <w:szCs w:val="18"/>
              </w:rPr>
              <w:t>）</w:t>
            </w:r>
          </w:p>
        </w:tc>
        <w:tc>
          <w:tcPr>
            <w:tcW w:w="3115" w:type="pct"/>
            <w:tcBorders>
              <w:top w:val="single" w:sz="4" w:space="0" w:color="000000"/>
              <w:left w:val="single" w:sz="4" w:space="0" w:color="000000"/>
              <w:bottom w:val="single" w:sz="4" w:space="0" w:color="000000"/>
            </w:tcBorders>
            <w:vAlign w:val="center"/>
          </w:tcPr>
          <w:p w14:paraId="43D92CDD"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hthttps</w:t>
            </w:r>
            <w:r>
              <w:rPr>
                <w:rFonts w:ascii="Times New Roman" w:hAnsi="Times New Roman" w:hint="eastAsia"/>
                <w:kern w:val="0"/>
                <w:sz w:val="18"/>
                <w:szCs w:val="18"/>
              </w:rPr>
              <w:t>：</w:t>
            </w:r>
            <w:r>
              <w:rPr>
                <w:rFonts w:ascii="Times New Roman" w:hAnsi="Times New Roman"/>
                <w:kern w:val="0"/>
                <w:sz w:val="18"/>
                <w:szCs w:val="18"/>
              </w:rPr>
              <w:t>//ec.europa.eu/eurostat</w:t>
            </w:r>
          </w:p>
          <w:p w14:paraId="7D9AFEE9"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tps</w:t>
            </w:r>
            <w:r>
              <w:rPr>
                <w:rFonts w:ascii="Times New Roman" w:hAnsi="Times New Roman" w:hint="eastAsia"/>
                <w:kern w:val="0"/>
                <w:sz w:val="18"/>
                <w:szCs w:val="18"/>
              </w:rPr>
              <w:t>：</w:t>
            </w:r>
            <w:r>
              <w:rPr>
                <w:rFonts w:ascii="Times New Roman" w:hAnsi="Times New Roman"/>
                <w:kern w:val="0"/>
                <w:sz w:val="18"/>
                <w:szCs w:val="18"/>
              </w:rPr>
              <w:t>//eur-lex.europa.eu/homepage.html</w:t>
            </w:r>
          </w:p>
        </w:tc>
      </w:tr>
      <w:tr w:rsidR="00501C7E" w14:paraId="73DCA459" w14:textId="77777777">
        <w:trPr>
          <w:trHeight w:val="90"/>
        </w:trPr>
        <w:tc>
          <w:tcPr>
            <w:tcW w:w="633" w:type="pct"/>
            <w:tcBorders>
              <w:top w:val="single" w:sz="4" w:space="0" w:color="000000"/>
              <w:bottom w:val="single" w:sz="4" w:space="0" w:color="000000"/>
              <w:right w:val="single" w:sz="4" w:space="0" w:color="000000"/>
            </w:tcBorders>
            <w:vAlign w:val="center"/>
          </w:tcPr>
          <w:p w14:paraId="26356A68" w14:textId="77777777" w:rsidR="00501C7E" w:rsidRDefault="00000000">
            <w:pPr>
              <w:jc w:val="center"/>
              <w:rPr>
                <w:rFonts w:ascii="Times New Roman" w:hAnsi="Times New Roman"/>
                <w:sz w:val="18"/>
                <w:szCs w:val="18"/>
              </w:rPr>
            </w:pP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i</m:t>
                  </m:r>
                </m:sub>
              </m:sSub>
            </m:oMath>
            <w:r w:rsidR="00EC5712">
              <w:rPr>
                <w:rFonts w:ascii="Times New Roman" w:hAnsi="Times New Roman" w:hint="eastAsia"/>
                <w:sz w:val="18"/>
                <w:szCs w:val="18"/>
              </w:rPr>
              <w:t>（</w:t>
            </w:r>
            <w:r w:rsidR="00EC5712">
              <w:rPr>
                <w:rFonts w:ascii="Times New Roman" w:hAnsi="Times New Roman"/>
                <w:sz w:val="18"/>
                <w:szCs w:val="18"/>
              </w:rPr>
              <w:t>2</w:t>
            </w:r>
            <w:r w:rsidR="00EC5712">
              <w:rPr>
                <w:rFonts w:ascii="Times New Roman" w:hAnsi="Times New Roman" w:hint="eastAsia"/>
                <w:sz w:val="18"/>
                <w:szCs w:val="18"/>
              </w:rPr>
              <w:t>）</w:t>
            </w:r>
          </w:p>
        </w:tc>
        <w:tc>
          <w:tcPr>
            <w:tcW w:w="1250" w:type="pct"/>
            <w:tcBorders>
              <w:top w:val="single" w:sz="4" w:space="0" w:color="000000"/>
              <w:bottom w:val="single" w:sz="4" w:space="0" w:color="000000"/>
              <w:right w:val="single" w:sz="4" w:space="0" w:color="000000"/>
            </w:tcBorders>
            <w:vAlign w:val="center"/>
          </w:tcPr>
          <w:p w14:paraId="6A3FDD2A"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欧盟统计局、欧盟法律法规数据库</w:t>
            </w:r>
            <w:r>
              <w:rPr>
                <w:rFonts w:ascii="Times New Roman" w:hAnsi="Times New Roman" w:hint="eastAsia"/>
                <w:kern w:val="0"/>
                <w:sz w:val="18"/>
                <w:szCs w:val="18"/>
              </w:rPr>
              <w:t>（</w:t>
            </w:r>
            <w:r>
              <w:rPr>
                <w:rFonts w:ascii="Times New Roman" w:hAnsi="Times New Roman"/>
                <w:kern w:val="0"/>
                <w:sz w:val="18"/>
                <w:szCs w:val="18"/>
              </w:rPr>
              <w:t>Eur-lex</w:t>
            </w:r>
            <w:r>
              <w:rPr>
                <w:rFonts w:ascii="Times New Roman" w:hAnsi="Times New Roman" w:hint="eastAsia"/>
                <w:kern w:val="0"/>
                <w:sz w:val="18"/>
                <w:szCs w:val="18"/>
              </w:rPr>
              <w:t>）</w:t>
            </w:r>
          </w:p>
        </w:tc>
        <w:tc>
          <w:tcPr>
            <w:tcW w:w="3115" w:type="pct"/>
            <w:tcBorders>
              <w:top w:val="single" w:sz="4" w:space="0" w:color="000000"/>
              <w:left w:val="single" w:sz="4" w:space="0" w:color="000000"/>
              <w:bottom w:val="single" w:sz="4" w:space="0" w:color="000000"/>
            </w:tcBorders>
            <w:vAlign w:val="center"/>
          </w:tcPr>
          <w:p w14:paraId="2F1475BE"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hthttps</w:t>
            </w:r>
            <w:r>
              <w:rPr>
                <w:rFonts w:ascii="Times New Roman" w:hAnsi="Times New Roman" w:hint="eastAsia"/>
                <w:kern w:val="0"/>
                <w:sz w:val="18"/>
                <w:szCs w:val="18"/>
              </w:rPr>
              <w:t>：</w:t>
            </w:r>
            <w:r>
              <w:rPr>
                <w:rFonts w:ascii="Times New Roman" w:hAnsi="Times New Roman"/>
                <w:kern w:val="0"/>
                <w:sz w:val="18"/>
                <w:szCs w:val="18"/>
              </w:rPr>
              <w:t>//ec.europa.eu/eurostat</w:t>
            </w:r>
          </w:p>
          <w:p w14:paraId="3EF5B990"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tps</w:t>
            </w:r>
            <w:r>
              <w:rPr>
                <w:rFonts w:ascii="Times New Roman" w:hAnsi="Times New Roman" w:hint="eastAsia"/>
                <w:kern w:val="0"/>
                <w:sz w:val="18"/>
                <w:szCs w:val="18"/>
              </w:rPr>
              <w:t>：</w:t>
            </w:r>
            <w:r>
              <w:rPr>
                <w:rFonts w:ascii="Times New Roman" w:hAnsi="Times New Roman"/>
                <w:kern w:val="0"/>
                <w:sz w:val="18"/>
                <w:szCs w:val="18"/>
              </w:rPr>
              <w:t>//eur-lex.europa.eu/homepage.html</w:t>
            </w:r>
          </w:p>
        </w:tc>
      </w:tr>
      <w:tr w:rsidR="00501C7E" w14:paraId="6F34DD0F" w14:textId="77777777">
        <w:tc>
          <w:tcPr>
            <w:tcW w:w="633" w:type="pct"/>
            <w:tcBorders>
              <w:top w:val="single" w:sz="4" w:space="0" w:color="000000"/>
              <w:bottom w:val="single" w:sz="4" w:space="0" w:color="000000"/>
              <w:right w:val="single" w:sz="4" w:space="0" w:color="000000"/>
            </w:tcBorders>
            <w:vAlign w:val="center"/>
          </w:tcPr>
          <w:p w14:paraId="7299DEC5" w14:textId="77777777" w:rsidR="00501C7E" w:rsidRDefault="00000000">
            <w:pPr>
              <w:jc w:val="center"/>
              <w:rPr>
                <w:rFonts w:ascii="Times New Roman" w:hAnsi="Times New Roman"/>
                <w:sz w:val="18"/>
                <w:szCs w:val="18"/>
              </w:rPr>
            </w:pP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i</m:t>
                  </m:r>
                </m:sub>
              </m:sSub>
            </m:oMath>
            <w:r w:rsidR="00EC5712">
              <w:rPr>
                <w:rFonts w:ascii="Times New Roman" w:hAnsi="Times New Roman" w:hint="eastAsia"/>
                <w:sz w:val="18"/>
                <w:szCs w:val="18"/>
              </w:rPr>
              <w:t>（</w:t>
            </w:r>
            <w:r w:rsidR="00EC5712">
              <w:rPr>
                <w:rFonts w:ascii="Times New Roman" w:hAnsi="Times New Roman"/>
                <w:sz w:val="18"/>
                <w:szCs w:val="18"/>
              </w:rPr>
              <w:t>3</w:t>
            </w:r>
            <w:r w:rsidR="00EC5712">
              <w:rPr>
                <w:rFonts w:ascii="Times New Roman" w:hAnsi="Times New Roman" w:hint="eastAsia"/>
                <w:sz w:val="18"/>
                <w:szCs w:val="18"/>
              </w:rPr>
              <w:t>）</w:t>
            </w:r>
          </w:p>
        </w:tc>
        <w:tc>
          <w:tcPr>
            <w:tcW w:w="1250" w:type="pct"/>
            <w:tcBorders>
              <w:top w:val="single" w:sz="4" w:space="0" w:color="000000"/>
              <w:bottom w:val="single" w:sz="4" w:space="0" w:color="000000"/>
              <w:right w:val="single" w:sz="4" w:space="0" w:color="000000"/>
            </w:tcBorders>
            <w:vAlign w:val="center"/>
          </w:tcPr>
          <w:p w14:paraId="14040FE6"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欧盟统计局、欧盟法律法规数据库</w:t>
            </w:r>
            <w:r>
              <w:rPr>
                <w:rFonts w:ascii="Times New Roman" w:hAnsi="Times New Roman" w:hint="eastAsia"/>
                <w:kern w:val="0"/>
                <w:sz w:val="18"/>
                <w:szCs w:val="18"/>
              </w:rPr>
              <w:t>（</w:t>
            </w:r>
            <w:r>
              <w:rPr>
                <w:rFonts w:ascii="Times New Roman" w:hAnsi="Times New Roman"/>
                <w:kern w:val="0"/>
                <w:sz w:val="18"/>
                <w:szCs w:val="18"/>
              </w:rPr>
              <w:t>Eur-lex</w:t>
            </w:r>
            <w:r>
              <w:rPr>
                <w:rFonts w:ascii="Times New Roman" w:hAnsi="Times New Roman" w:hint="eastAsia"/>
                <w:kern w:val="0"/>
                <w:sz w:val="18"/>
                <w:szCs w:val="18"/>
              </w:rPr>
              <w:t>）</w:t>
            </w:r>
          </w:p>
        </w:tc>
        <w:tc>
          <w:tcPr>
            <w:tcW w:w="3115" w:type="pct"/>
            <w:tcBorders>
              <w:top w:val="single" w:sz="4" w:space="0" w:color="000000"/>
              <w:left w:val="single" w:sz="4" w:space="0" w:color="000000"/>
              <w:bottom w:val="single" w:sz="4" w:space="0" w:color="000000"/>
            </w:tcBorders>
            <w:vAlign w:val="center"/>
          </w:tcPr>
          <w:p w14:paraId="7AE2A66B"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hthttps</w:t>
            </w:r>
            <w:r>
              <w:rPr>
                <w:rFonts w:ascii="Times New Roman" w:hAnsi="Times New Roman" w:hint="eastAsia"/>
                <w:kern w:val="0"/>
                <w:sz w:val="18"/>
                <w:szCs w:val="18"/>
              </w:rPr>
              <w:t>：</w:t>
            </w:r>
            <w:r>
              <w:rPr>
                <w:rFonts w:ascii="Times New Roman" w:hAnsi="Times New Roman"/>
                <w:kern w:val="0"/>
                <w:sz w:val="18"/>
                <w:szCs w:val="18"/>
              </w:rPr>
              <w:t>//ec.europa.eu/eurostat</w:t>
            </w:r>
          </w:p>
          <w:p w14:paraId="64175C17"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tps</w:t>
            </w:r>
            <w:r>
              <w:rPr>
                <w:rFonts w:ascii="Times New Roman" w:hAnsi="Times New Roman" w:hint="eastAsia"/>
                <w:kern w:val="0"/>
                <w:sz w:val="18"/>
                <w:szCs w:val="18"/>
              </w:rPr>
              <w:t>：</w:t>
            </w:r>
            <w:r>
              <w:rPr>
                <w:rFonts w:ascii="Times New Roman" w:hAnsi="Times New Roman"/>
                <w:kern w:val="0"/>
                <w:sz w:val="18"/>
                <w:szCs w:val="18"/>
              </w:rPr>
              <w:t>//eur-lex.europa.eu/homepage.html</w:t>
            </w:r>
          </w:p>
        </w:tc>
      </w:tr>
      <w:tr w:rsidR="00501C7E" w14:paraId="09658AD9" w14:textId="77777777">
        <w:tc>
          <w:tcPr>
            <w:tcW w:w="633" w:type="pct"/>
            <w:tcBorders>
              <w:top w:val="single" w:sz="4" w:space="0" w:color="000000"/>
              <w:bottom w:val="single" w:sz="4" w:space="0" w:color="000000"/>
              <w:right w:val="single" w:sz="4" w:space="0" w:color="000000"/>
            </w:tcBorders>
            <w:vAlign w:val="center"/>
          </w:tcPr>
          <w:p w14:paraId="5A116835" w14:textId="77777777" w:rsidR="00501C7E" w:rsidRDefault="00000000">
            <w:pPr>
              <w:jc w:val="center"/>
              <w:rPr>
                <w:rFonts w:ascii="Cambria Math" w:hAnsi="Cambria Math"/>
                <w:sz w:val="18"/>
                <w:szCs w:val="18"/>
                <w:oMath/>
              </w:rPr>
            </w:pPr>
            <m:oMathPara>
              <m:oMathParaPr>
                <m:jc m:val="center"/>
              </m:oMathParaPr>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i</m:t>
                    </m:r>
                  </m:sub>
                </m:sSub>
              </m:oMath>
            </m:oMathPara>
          </w:p>
        </w:tc>
        <w:tc>
          <w:tcPr>
            <w:tcW w:w="1250" w:type="pct"/>
            <w:tcBorders>
              <w:top w:val="single" w:sz="4" w:space="0" w:color="000000"/>
              <w:bottom w:val="single" w:sz="4" w:space="0" w:color="000000"/>
              <w:right w:val="single" w:sz="4" w:space="0" w:color="000000"/>
            </w:tcBorders>
            <w:vAlign w:val="center"/>
          </w:tcPr>
          <w:p w14:paraId="68D7987C"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Ghodsi</w:t>
            </w:r>
            <w:r>
              <w:rPr>
                <w:rFonts w:ascii="Times New Roman" w:hAnsi="Times New Roman"/>
                <w:kern w:val="0"/>
                <w:sz w:val="18"/>
                <w:szCs w:val="18"/>
              </w:rPr>
              <w:t>、</w:t>
            </w:r>
            <w:r>
              <w:rPr>
                <w:rFonts w:ascii="Times New Roman" w:hAnsi="Times New Roman"/>
                <w:kern w:val="0"/>
                <w:sz w:val="18"/>
                <w:szCs w:val="18"/>
              </w:rPr>
              <w:t>Grübler</w:t>
            </w:r>
            <w:r>
              <w:rPr>
                <w:rFonts w:ascii="Times New Roman" w:hAnsi="Times New Roman"/>
                <w:kern w:val="0"/>
                <w:sz w:val="18"/>
                <w:szCs w:val="18"/>
              </w:rPr>
              <w:t>和</w:t>
            </w:r>
            <w:r>
              <w:rPr>
                <w:rFonts w:ascii="Times New Roman" w:hAnsi="Times New Roman"/>
                <w:kern w:val="0"/>
                <w:sz w:val="18"/>
                <w:szCs w:val="18"/>
              </w:rPr>
              <w:t>Stehrer</w:t>
            </w:r>
            <w:r>
              <w:rPr>
                <w:rFonts w:ascii="Times New Roman" w:hAnsi="Times New Roman"/>
                <w:kern w:val="0"/>
                <w:sz w:val="18"/>
                <w:szCs w:val="18"/>
              </w:rPr>
              <w:t>（</w:t>
            </w:r>
            <w:r>
              <w:rPr>
                <w:rFonts w:ascii="Times New Roman" w:hAnsi="Times New Roman"/>
                <w:kern w:val="0"/>
                <w:sz w:val="18"/>
                <w:szCs w:val="18"/>
              </w:rPr>
              <w:t>2022</w:t>
            </w:r>
            <w:r>
              <w:rPr>
                <w:rFonts w:ascii="Times New Roman" w:hAnsi="Times New Roman"/>
                <w:kern w:val="0"/>
                <w:sz w:val="18"/>
                <w:szCs w:val="18"/>
              </w:rPr>
              <w:t>）</w:t>
            </w:r>
          </w:p>
        </w:tc>
        <w:tc>
          <w:tcPr>
            <w:tcW w:w="3115" w:type="pct"/>
            <w:tcBorders>
              <w:top w:val="single" w:sz="4" w:space="0" w:color="000000"/>
              <w:left w:val="single" w:sz="4" w:space="0" w:color="000000"/>
              <w:bottom w:val="single" w:sz="4" w:space="0" w:color="000000"/>
            </w:tcBorders>
            <w:vAlign w:val="center"/>
          </w:tcPr>
          <w:p w14:paraId="3201C815"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https</w:t>
            </w:r>
            <w:r>
              <w:rPr>
                <w:rFonts w:ascii="Times New Roman" w:hAnsi="Times New Roman" w:hint="eastAsia"/>
                <w:kern w:val="0"/>
                <w:sz w:val="18"/>
                <w:szCs w:val="18"/>
              </w:rPr>
              <w:t>：</w:t>
            </w:r>
            <w:r>
              <w:rPr>
                <w:rFonts w:ascii="Times New Roman" w:hAnsi="Times New Roman"/>
                <w:kern w:val="0"/>
                <w:sz w:val="18"/>
                <w:szCs w:val="18"/>
              </w:rPr>
              <w:t>//wiiw.ac.at/ds-3.html</w:t>
            </w:r>
          </w:p>
        </w:tc>
      </w:tr>
      <w:tr w:rsidR="00501C7E" w14:paraId="7A6C5456" w14:textId="77777777">
        <w:trPr>
          <w:trHeight w:val="694"/>
        </w:trPr>
        <w:tc>
          <w:tcPr>
            <w:tcW w:w="633" w:type="pct"/>
            <w:tcBorders>
              <w:top w:val="single" w:sz="4" w:space="0" w:color="000000"/>
              <w:bottom w:val="single" w:sz="4" w:space="0" w:color="000000"/>
              <w:right w:val="single" w:sz="4" w:space="0" w:color="000000"/>
            </w:tcBorders>
            <w:vAlign w:val="center"/>
          </w:tcPr>
          <w:p w14:paraId="178C69AC" w14:textId="77777777" w:rsidR="00501C7E" w:rsidRDefault="00000000">
            <w:pPr>
              <w:jc w:val="center"/>
              <w:rPr>
                <w:rFonts w:ascii="Times New Roman" w:hAnsi="Times New Roman"/>
                <w:sz w:val="18"/>
                <w:szCs w:val="18"/>
              </w:rPr>
            </w:pPr>
            <m:oMathPara>
              <m:oMathParaPr>
                <m:jc m:val="center"/>
              </m:oMathParaPr>
              <m:oMath>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i</m:t>
                    </m:r>
                  </m:sub>
                </m:sSub>
              </m:oMath>
            </m:oMathPara>
          </w:p>
        </w:tc>
        <w:tc>
          <w:tcPr>
            <w:tcW w:w="1250" w:type="pct"/>
            <w:tcBorders>
              <w:top w:val="single" w:sz="4" w:space="0" w:color="000000"/>
              <w:bottom w:val="single" w:sz="4" w:space="0" w:color="000000"/>
              <w:right w:val="single" w:sz="4" w:space="0" w:color="000000"/>
            </w:tcBorders>
            <w:vAlign w:val="center"/>
          </w:tcPr>
          <w:p w14:paraId="00BE9FDD"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欧盟统计局</w:t>
            </w:r>
          </w:p>
        </w:tc>
        <w:tc>
          <w:tcPr>
            <w:tcW w:w="3115" w:type="pct"/>
            <w:tcBorders>
              <w:top w:val="single" w:sz="4" w:space="0" w:color="000000"/>
              <w:left w:val="single" w:sz="4" w:space="0" w:color="000000"/>
              <w:bottom w:val="single" w:sz="4" w:space="0" w:color="000000"/>
            </w:tcBorders>
            <w:vAlign w:val="center"/>
          </w:tcPr>
          <w:p w14:paraId="2C07937D"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hthttps</w:t>
            </w:r>
            <w:r>
              <w:rPr>
                <w:rFonts w:ascii="Times New Roman" w:hAnsi="Times New Roman" w:hint="eastAsia"/>
                <w:kern w:val="0"/>
                <w:sz w:val="18"/>
                <w:szCs w:val="18"/>
              </w:rPr>
              <w:t>：</w:t>
            </w:r>
            <w:r>
              <w:rPr>
                <w:rFonts w:ascii="Times New Roman" w:hAnsi="Times New Roman"/>
                <w:kern w:val="0"/>
                <w:sz w:val="18"/>
                <w:szCs w:val="18"/>
              </w:rPr>
              <w:t>//ec.europa.eu/eurostat</w:t>
            </w:r>
          </w:p>
          <w:p w14:paraId="39B1F0B6" w14:textId="77777777" w:rsidR="00501C7E" w:rsidRDefault="00501C7E">
            <w:pPr>
              <w:widowControl/>
              <w:jc w:val="center"/>
              <w:textAlignment w:val="center"/>
              <w:rPr>
                <w:rFonts w:ascii="Times New Roman" w:hAnsi="Times New Roman"/>
                <w:kern w:val="0"/>
                <w:sz w:val="18"/>
                <w:szCs w:val="18"/>
              </w:rPr>
            </w:pPr>
          </w:p>
        </w:tc>
      </w:tr>
      <w:tr w:rsidR="00501C7E" w14:paraId="36B50B7C" w14:textId="77777777">
        <w:tc>
          <w:tcPr>
            <w:tcW w:w="633" w:type="pct"/>
            <w:tcBorders>
              <w:top w:val="single" w:sz="4" w:space="0" w:color="000000"/>
              <w:bottom w:val="single" w:sz="4" w:space="0" w:color="000000"/>
              <w:right w:val="single" w:sz="4" w:space="0" w:color="000000"/>
            </w:tcBorders>
            <w:vAlign w:val="center"/>
          </w:tcPr>
          <w:p w14:paraId="28EC6413" w14:textId="77777777" w:rsidR="00501C7E" w:rsidRDefault="00EC5712">
            <w:pPr>
              <w:jc w:val="center"/>
              <w:rPr>
                <w:rFonts w:ascii="Times New Roman" w:hAnsi="Times New Roman"/>
                <w:sz w:val="18"/>
                <w:szCs w:val="18"/>
              </w:rPr>
            </w:pPr>
            <w:r>
              <w:rPr>
                <w:rFonts w:ascii="Times New Roman" w:hAnsi="Times New Roman"/>
                <w:sz w:val="18"/>
                <w:szCs w:val="18"/>
              </w:rPr>
              <w:t>Trade deficit</w:t>
            </w:r>
          </w:p>
        </w:tc>
        <w:tc>
          <w:tcPr>
            <w:tcW w:w="1250" w:type="pct"/>
            <w:tcBorders>
              <w:top w:val="single" w:sz="4" w:space="0" w:color="000000"/>
              <w:bottom w:val="single" w:sz="4" w:space="0" w:color="000000"/>
              <w:right w:val="single" w:sz="4" w:space="0" w:color="000000"/>
            </w:tcBorders>
            <w:vAlign w:val="center"/>
          </w:tcPr>
          <w:p w14:paraId="0FC7F80F"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UN Comtrade</w:t>
            </w:r>
            <w:r>
              <w:rPr>
                <w:rFonts w:ascii="Times New Roman" w:hAnsi="Times New Roman"/>
                <w:kern w:val="0"/>
                <w:sz w:val="18"/>
                <w:szCs w:val="18"/>
              </w:rPr>
              <w:t>数据库</w:t>
            </w:r>
          </w:p>
        </w:tc>
        <w:tc>
          <w:tcPr>
            <w:tcW w:w="3115" w:type="pct"/>
            <w:tcBorders>
              <w:top w:val="single" w:sz="4" w:space="0" w:color="000000"/>
              <w:left w:val="single" w:sz="4" w:space="0" w:color="000000"/>
              <w:bottom w:val="single" w:sz="4" w:space="0" w:color="000000"/>
            </w:tcBorders>
            <w:vAlign w:val="center"/>
          </w:tcPr>
          <w:p w14:paraId="0584120C"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https</w:t>
            </w:r>
            <w:r>
              <w:rPr>
                <w:rFonts w:ascii="Times New Roman" w:hAnsi="Times New Roman" w:hint="eastAsia"/>
                <w:kern w:val="0"/>
                <w:sz w:val="18"/>
                <w:szCs w:val="18"/>
              </w:rPr>
              <w:t>：</w:t>
            </w:r>
            <w:r>
              <w:rPr>
                <w:rFonts w:ascii="Times New Roman" w:hAnsi="Times New Roman"/>
                <w:kern w:val="0"/>
                <w:sz w:val="18"/>
                <w:szCs w:val="18"/>
              </w:rPr>
              <w:t>//comtrade.un.org/</w:t>
            </w:r>
          </w:p>
        </w:tc>
      </w:tr>
      <w:tr w:rsidR="00501C7E" w14:paraId="68A8F2AD" w14:textId="77777777">
        <w:tc>
          <w:tcPr>
            <w:tcW w:w="633" w:type="pct"/>
            <w:tcBorders>
              <w:top w:val="single" w:sz="4" w:space="0" w:color="000000"/>
              <w:bottom w:val="single" w:sz="4" w:space="0" w:color="000000"/>
              <w:right w:val="single" w:sz="4" w:space="0" w:color="000000"/>
            </w:tcBorders>
            <w:vAlign w:val="center"/>
          </w:tcPr>
          <w:p w14:paraId="5A866591" w14:textId="77777777" w:rsidR="00501C7E" w:rsidRDefault="00EC5712">
            <w:pPr>
              <w:jc w:val="center"/>
              <w:rPr>
                <w:rFonts w:ascii="Times New Roman" w:hAnsi="Times New Roman"/>
                <w:sz w:val="18"/>
                <w:szCs w:val="18"/>
              </w:rPr>
            </w:pPr>
            <w:r>
              <w:rPr>
                <w:rFonts w:ascii="Times New Roman" w:hAnsi="Times New Roman"/>
                <w:sz w:val="18"/>
                <w:szCs w:val="18"/>
              </w:rPr>
              <w:t>Employment rate</w:t>
            </w:r>
          </w:p>
        </w:tc>
        <w:tc>
          <w:tcPr>
            <w:tcW w:w="1250" w:type="pct"/>
            <w:tcBorders>
              <w:top w:val="single" w:sz="4" w:space="0" w:color="000000"/>
              <w:bottom w:val="single" w:sz="4" w:space="0" w:color="000000"/>
              <w:right w:val="single" w:sz="4" w:space="0" w:color="000000"/>
            </w:tcBorders>
            <w:vAlign w:val="center"/>
          </w:tcPr>
          <w:p w14:paraId="70F35D7D"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欧盟统计局</w:t>
            </w:r>
            <w:r>
              <w:rPr>
                <w:rFonts w:ascii="Times New Roman" w:hAnsi="Times New Roman"/>
                <w:kern w:val="0"/>
                <w:sz w:val="18"/>
                <w:szCs w:val="18"/>
              </w:rPr>
              <w:t xml:space="preserve"> Labour market statistics</w:t>
            </w:r>
          </w:p>
        </w:tc>
        <w:tc>
          <w:tcPr>
            <w:tcW w:w="3115" w:type="pct"/>
            <w:tcBorders>
              <w:top w:val="single" w:sz="4" w:space="0" w:color="000000"/>
              <w:left w:val="single" w:sz="4" w:space="0" w:color="000000"/>
              <w:bottom w:val="single" w:sz="4" w:space="0" w:color="000000"/>
            </w:tcBorders>
            <w:vAlign w:val="center"/>
          </w:tcPr>
          <w:p w14:paraId="4356813E"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https</w:t>
            </w:r>
            <w:r>
              <w:rPr>
                <w:rFonts w:ascii="Times New Roman" w:hAnsi="Times New Roman" w:hint="eastAsia"/>
                <w:kern w:val="0"/>
                <w:sz w:val="18"/>
                <w:szCs w:val="18"/>
              </w:rPr>
              <w:t>：</w:t>
            </w:r>
            <w:r>
              <w:rPr>
                <w:rFonts w:ascii="Times New Roman" w:hAnsi="Times New Roman"/>
                <w:kern w:val="0"/>
                <w:sz w:val="18"/>
                <w:szCs w:val="18"/>
              </w:rPr>
              <w:t>//ec.europa.eu/eurostat/web/labour-market/</w:t>
            </w:r>
          </w:p>
        </w:tc>
      </w:tr>
      <w:tr w:rsidR="00501C7E" w14:paraId="10D5F24E" w14:textId="77777777">
        <w:tc>
          <w:tcPr>
            <w:tcW w:w="633" w:type="pct"/>
            <w:tcBorders>
              <w:top w:val="single" w:sz="4" w:space="0" w:color="000000"/>
              <w:bottom w:val="single" w:sz="4" w:space="0" w:color="000000"/>
              <w:right w:val="single" w:sz="4" w:space="0" w:color="000000"/>
            </w:tcBorders>
            <w:vAlign w:val="center"/>
          </w:tcPr>
          <w:p w14:paraId="3472B7CE" w14:textId="77777777" w:rsidR="00501C7E" w:rsidRDefault="00EC5712">
            <w:pPr>
              <w:jc w:val="center"/>
              <w:textAlignment w:val="center"/>
              <w:rPr>
                <w:rFonts w:ascii="Times New Roman" w:hAnsi="Times New Roman"/>
                <w:sz w:val="18"/>
                <w:szCs w:val="18"/>
              </w:rPr>
            </w:pPr>
            <w:r>
              <w:rPr>
                <w:rFonts w:ascii="Times New Roman" w:hAnsi="Times New Roman"/>
                <w:sz w:val="18"/>
                <w:szCs w:val="18"/>
              </w:rPr>
              <w:t>Import value</w:t>
            </w:r>
          </w:p>
        </w:tc>
        <w:tc>
          <w:tcPr>
            <w:tcW w:w="1250" w:type="pct"/>
            <w:tcBorders>
              <w:top w:val="single" w:sz="4" w:space="0" w:color="000000"/>
              <w:bottom w:val="single" w:sz="4" w:space="0" w:color="000000"/>
              <w:right w:val="single" w:sz="4" w:space="0" w:color="000000"/>
            </w:tcBorders>
            <w:vAlign w:val="center"/>
          </w:tcPr>
          <w:p w14:paraId="30023553"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欧盟统计局</w:t>
            </w:r>
            <w:r>
              <w:rPr>
                <w:rFonts w:ascii="Times New Roman" w:hAnsi="Times New Roman"/>
                <w:kern w:val="0"/>
                <w:sz w:val="18"/>
                <w:szCs w:val="18"/>
              </w:rPr>
              <w:t xml:space="preserve"> Globalisation in business statistics</w:t>
            </w:r>
          </w:p>
        </w:tc>
        <w:tc>
          <w:tcPr>
            <w:tcW w:w="3115" w:type="pct"/>
            <w:tcBorders>
              <w:top w:val="single" w:sz="4" w:space="0" w:color="000000"/>
              <w:left w:val="single" w:sz="4" w:space="0" w:color="000000"/>
              <w:bottom w:val="single" w:sz="4" w:space="0" w:color="000000"/>
            </w:tcBorders>
            <w:vAlign w:val="center"/>
          </w:tcPr>
          <w:p w14:paraId="5FC482AC"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https</w:t>
            </w:r>
            <w:r>
              <w:rPr>
                <w:rFonts w:ascii="Times New Roman" w:hAnsi="Times New Roman" w:hint="eastAsia"/>
                <w:kern w:val="0"/>
                <w:sz w:val="18"/>
                <w:szCs w:val="18"/>
              </w:rPr>
              <w:t>：</w:t>
            </w:r>
            <w:r>
              <w:rPr>
                <w:rFonts w:ascii="Times New Roman" w:hAnsi="Times New Roman"/>
                <w:kern w:val="0"/>
                <w:sz w:val="18"/>
                <w:szCs w:val="18"/>
              </w:rPr>
              <w:t>//ec.europa.eu/eurostat/web/economic-globalisation/globalisation-in-business-statistics</w:t>
            </w:r>
          </w:p>
        </w:tc>
      </w:tr>
      <w:tr w:rsidR="00501C7E" w14:paraId="6EB30768" w14:textId="77777777">
        <w:tc>
          <w:tcPr>
            <w:tcW w:w="633" w:type="pct"/>
            <w:tcBorders>
              <w:top w:val="single" w:sz="4" w:space="0" w:color="000000"/>
              <w:bottom w:val="single" w:sz="4" w:space="0" w:color="000000"/>
              <w:right w:val="single" w:sz="4" w:space="0" w:color="000000"/>
            </w:tcBorders>
            <w:vAlign w:val="center"/>
          </w:tcPr>
          <w:p w14:paraId="7ABD4A70" w14:textId="77777777" w:rsidR="00501C7E" w:rsidRDefault="00EC5712">
            <w:pPr>
              <w:jc w:val="center"/>
              <w:textAlignment w:val="center"/>
              <w:rPr>
                <w:rFonts w:ascii="Times New Roman" w:hAnsi="Times New Roman"/>
                <w:sz w:val="18"/>
                <w:szCs w:val="18"/>
              </w:rPr>
            </w:pPr>
            <w:r>
              <w:rPr>
                <w:rFonts w:ascii="Times New Roman" w:hAnsi="Times New Roman"/>
                <w:sz w:val="18"/>
                <w:szCs w:val="18"/>
              </w:rPr>
              <w:t>Enterprises</w:t>
            </w:r>
          </w:p>
        </w:tc>
        <w:tc>
          <w:tcPr>
            <w:tcW w:w="1250" w:type="pct"/>
            <w:tcBorders>
              <w:top w:val="single" w:sz="4" w:space="0" w:color="000000"/>
              <w:bottom w:val="single" w:sz="4" w:space="0" w:color="000000"/>
              <w:right w:val="single" w:sz="4" w:space="0" w:color="000000"/>
            </w:tcBorders>
            <w:vAlign w:val="center"/>
          </w:tcPr>
          <w:p w14:paraId="4ADD9C0E"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欧盟统计局</w:t>
            </w:r>
            <w:r>
              <w:rPr>
                <w:rFonts w:ascii="Times New Roman" w:hAnsi="Times New Roman"/>
                <w:kern w:val="0"/>
                <w:sz w:val="18"/>
                <w:szCs w:val="18"/>
              </w:rPr>
              <w:t xml:space="preserve"> SBS</w:t>
            </w:r>
          </w:p>
        </w:tc>
        <w:tc>
          <w:tcPr>
            <w:tcW w:w="3115" w:type="pct"/>
            <w:tcBorders>
              <w:top w:val="single" w:sz="4" w:space="0" w:color="000000"/>
              <w:left w:val="single" w:sz="4" w:space="0" w:color="000000"/>
              <w:bottom w:val="single" w:sz="4" w:space="0" w:color="000000"/>
            </w:tcBorders>
            <w:vAlign w:val="center"/>
          </w:tcPr>
          <w:p w14:paraId="32B8982F"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https</w:t>
            </w:r>
            <w:r>
              <w:rPr>
                <w:rFonts w:ascii="Times New Roman" w:hAnsi="Times New Roman" w:hint="eastAsia"/>
                <w:kern w:val="0"/>
                <w:sz w:val="18"/>
                <w:szCs w:val="18"/>
              </w:rPr>
              <w:t>：</w:t>
            </w:r>
            <w:r>
              <w:rPr>
                <w:rFonts w:ascii="Times New Roman" w:hAnsi="Times New Roman"/>
                <w:kern w:val="0"/>
                <w:sz w:val="18"/>
                <w:szCs w:val="18"/>
              </w:rPr>
              <w:t>//ec.europa.eu/eurostat/web/structural-business-statistics/</w:t>
            </w:r>
          </w:p>
        </w:tc>
      </w:tr>
      <w:tr w:rsidR="00501C7E" w14:paraId="136606BB" w14:textId="77777777">
        <w:tc>
          <w:tcPr>
            <w:tcW w:w="633" w:type="pct"/>
            <w:tcBorders>
              <w:top w:val="single" w:sz="4" w:space="0" w:color="000000"/>
              <w:bottom w:val="single" w:sz="4" w:space="0" w:color="000000"/>
              <w:right w:val="single" w:sz="4" w:space="0" w:color="000000"/>
            </w:tcBorders>
            <w:vAlign w:val="center"/>
          </w:tcPr>
          <w:p w14:paraId="653013CB" w14:textId="77777777" w:rsidR="00501C7E" w:rsidRDefault="00EC5712">
            <w:pPr>
              <w:jc w:val="center"/>
              <w:textAlignment w:val="center"/>
              <w:rPr>
                <w:rFonts w:ascii="Times New Roman" w:hAnsi="Times New Roman"/>
                <w:sz w:val="18"/>
                <w:szCs w:val="18"/>
              </w:rPr>
            </w:pPr>
            <w:r>
              <w:rPr>
                <w:rFonts w:ascii="Times New Roman" w:hAnsi="Times New Roman"/>
                <w:sz w:val="18"/>
                <w:szCs w:val="18"/>
              </w:rPr>
              <w:t>Output</w:t>
            </w:r>
          </w:p>
        </w:tc>
        <w:tc>
          <w:tcPr>
            <w:tcW w:w="1250" w:type="pct"/>
            <w:tcBorders>
              <w:top w:val="single" w:sz="4" w:space="0" w:color="000000"/>
              <w:bottom w:val="single" w:sz="4" w:space="0" w:color="000000"/>
              <w:right w:val="single" w:sz="4" w:space="0" w:color="000000"/>
            </w:tcBorders>
            <w:vAlign w:val="center"/>
          </w:tcPr>
          <w:p w14:paraId="00744C0F"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欧盟统计局</w:t>
            </w:r>
            <w:r>
              <w:rPr>
                <w:rFonts w:ascii="Times New Roman" w:hAnsi="Times New Roman"/>
                <w:kern w:val="0"/>
                <w:sz w:val="18"/>
                <w:szCs w:val="18"/>
              </w:rPr>
              <w:t xml:space="preserve"> SBS</w:t>
            </w:r>
          </w:p>
        </w:tc>
        <w:tc>
          <w:tcPr>
            <w:tcW w:w="3115" w:type="pct"/>
            <w:tcBorders>
              <w:top w:val="single" w:sz="4" w:space="0" w:color="000000"/>
              <w:left w:val="single" w:sz="4" w:space="0" w:color="000000"/>
              <w:bottom w:val="single" w:sz="4" w:space="0" w:color="000000"/>
            </w:tcBorders>
            <w:vAlign w:val="center"/>
          </w:tcPr>
          <w:p w14:paraId="089691DA"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https</w:t>
            </w:r>
            <w:r>
              <w:rPr>
                <w:rFonts w:ascii="Times New Roman" w:hAnsi="Times New Roman" w:hint="eastAsia"/>
                <w:kern w:val="0"/>
                <w:sz w:val="18"/>
                <w:szCs w:val="18"/>
              </w:rPr>
              <w:t>：</w:t>
            </w:r>
            <w:r>
              <w:rPr>
                <w:rFonts w:ascii="Times New Roman" w:hAnsi="Times New Roman"/>
                <w:kern w:val="0"/>
                <w:sz w:val="18"/>
                <w:szCs w:val="18"/>
              </w:rPr>
              <w:t>//ec.europa.eu/eurostat/web/structural-business-statistics/</w:t>
            </w:r>
          </w:p>
        </w:tc>
      </w:tr>
      <w:tr w:rsidR="00501C7E" w14:paraId="75A20AD3" w14:textId="77777777">
        <w:tc>
          <w:tcPr>
            <w:tcW w:w="633" w:type="pct"/>
            <w:tcBorders>
              <w:top w:val="single" w:sz="4" w:space="0" w:color="000000"/>
              <w:bottom w:val="single" w:sz="4" w:space="0" w:color="000000"/>
              <w:right w:val="single" w:sz="4" w:space="0" w:color="000000"/>
            </w:tcBorders>
            <w:vAlign w:val="center"/>
          </w:tcPr>
          <w:p w14:paraId="4C1CEB31" w14:textId="77777777" w:rsidR="00501C7E" w:rsidRDefault="00EC5712">
            <w:pPr>
              <w:jc w:val="center"/>
              <w:textAlignment w:val="center"/>
              <w:rPr>
                <w:rFonts w:ascii="Times New Roman" w:hAnsi="Times New Roman"/>
                <w:sz w:val="18"/>
                <w:szCs w:val="18"/>
              </w:rPr>
            </w:pPr>
            <w:r>
              <w:rPr>
                <w:rFonts w:ascii="Times New Roman" w:hAnsi="Times New Roman"/>
                <w:sz w:val="18"/>
                <w:szCs w:val="18"/>
              </w:rPr>
              <w:t>Added-Value</w:t>
            </w:r>
          </w:p>
        </w:tc>
        <w:tc>
          <w:tcPr>
            <w:tcW w:w="1250" w:type="pct"/>
            <w:tcBorders>
              <w:top w:val="single" w:sz="4" w:space="0" w:color="000000"/>
              <w:bottom w:val="single" w:sz="4" w:space="0" w:color="000000"/>
              <w:right w:val="single" w:sz="4" w:space="0" w:color="000000"/>
            </w:tcBorders>
            <w:vAlign w:val="center"/>
          </w:tcPr>
          <w:p w14:paraId="0C77A24A"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欧盟统计局</w:t>
            </w:r>
            <w:r>
              <w:rPr>
                <w:rFonts w:ascii="Times New Roman" w:hAnsi="Times New Roman"/>
                <w:kern w:val="0"/>
                <w:sz w:val="18"/>
                <w:szCs w:val="18"/>
              </w:rPr>
              <w:t xml:space="preserve"> SBS</w:t>
            </w:r>
          </w:p>
        </w:tc>
        <w:tc>
          <w:tcPr>
            <w:tcW w:w="3115" w:type="pct"/>
            <w:tcBorders>
              <w:top w:val="single" w:sz="4" w:space="0" w:color="000000"/>
              <w:left w:val="single" w:sz="4" w:space="0" w:color="000000"/>
              <w:bottom w:val="single" w:sz="4" w:space="0" w:color="000000"/>
            </w:tcBorders>
            <w:vAlign w:val="center"/>
          </w:tcPr>
          <w:p w14:paraId="6499A6D4"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https</w:t>
            </w:r>
            <w:r>
              <w:rPr>
                <w:rFonts w:ascii="Times New Roman" w:hAnsi="Times New Roman" w:hint="eastAsia"/>
                <w:kern w:val="0"/>
                <w:sz w:val="18"/>
                <w:szCs w:val="18"/>
              </w:rPr>
              <w:t>：</w:t>
            </w:r>
            <w:r>
              <w:rPr>
                <w:rFonts w:ascii="Times New Roman" w:hAnsi="Times New Roman"/>
                <w:kern w:val="0"/>
                <w:sz w:val="18"/>
                <w:szCs w:val="18"/>
              </w:rPr>
              <w:t>//ec.europa.eu/eurostat/web/structural-business-statistics/</w:t>
            </w:r>
          </w:p>
        </w:tc>
      </w:tr>
      <w:tr w:rsidR="00501C7E" w14:paraId="189021E0" w14:textId="77777777">
        <w:tc>
          <w:tcPr>
            <w:tcW w:w="633" w:type="pct"/>
            <w:tcBorders>
              <w:top w:val="single" w:sz="4" w:space="0" w:color="000000"/>
              <w:bottom w:val="single" w:sz="4" w:space="0" w:color="000000"/>
              <w:right w:val="single" w:sz="4" w:space="0" w:color="000000"/>
            </w:tcBorders>
            <w:vAlign w:val="center"/>
          </w:tcPr>
          <w:p w14:paraId="64862B80" w14:textId="77777777" w:rsidR="00501C7E" w:rsidRDefault="00EC5712">
            <w:pPr>
              <w:jc w:val="center"/>
              <w:textAlignment w:val="center"/>
              <w:rPr>
                <w:rFonts w:ascii="Times New Roman" w:hAnsi="Times New Roman"/>
                <w:sz w:val="18"/>
                <w:szCs w:val="18"/>
              </w:rPr>
            </w:pPr>
            <w:r>
              <w:rPr>
                <w:rFonts w:ascii="Times New Roman" w:hAnsi="Times New Roman"/>
                <w:sz w:val="18"/>
                <w:szCs w:val="18"/>
              </w:rPr>
              <w:t>Surplus</w:t>
            </w:r>
          </w:p>
        </w:tc>
        <w:tc>
          <w:tcPr>
            <w:tcW w:w="1250" w:type="pct"/>
            <w:tcBorders>
              <w:top w:val="single" w:sz="4" w:space="0" w:color="000000"/>
              <w:bottom w:val="single" w:sz="4" w:space="0" w:color="000000"/>
              <w:right w:val="single" w:sz="4" w:space="0" w:color="000000"/>
            </w:tcBorders>
            <w:vAlign w:val="center"/>
          </w:tcPr>
          <w:p w14:paraId="0A3FA83E"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欧盟统计局</w:t>
            </w:r>
            <w:r>
              <w:rPr>
                <w:rFonts w:ascii="Times New Roman" w:hAnsi="Times New Roman"/>
                <w:kern w:val="0"/>
                <w:sz w:val="18"/>
                <w:szCs w:val="18"/>
              </w:rPr>
              <w:t xml:space="preserve"> SBS</w:t>
            </w:r>
          </w:p>
        </w:tc>
        <w:tc>
          <w:tcPr>
            <w:tcW w:w="3115" w:type="pct"/>
            <w:tcBorders>
              <w:top w:val="single" w:sz="4" w:space="0" w:color="000000"/>
              <w:left w:val="single" w:sz="4" w:space="0" w:color="000000"/>
              <w:bottom w:val="single" w:sz="4" w:space="0" w:color="000000"/>
            </w:tcBorders>
            <w:vAlign w:val="center"/>
          </w:tcPr>
          <w:p w14:paraId="472604BA"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https</w:t>
            </w:r>
            <w:r>
              <w:rPr>
                <w:rFonts w:ascii="Times New Roman" w:hAnsi="Times New Roman" w:hint="eastAsia"/>
                <w:kern w:val="0"/>
                <w:sz w:val="18"/>
                <w:szCs w:val="18"/>
              </w:rPr>
              <w:t>：</w:t>
            </w:r>
            <w:r>
              <w:rPr>
                <w:rFonts w:ascii="Times New Roman" w:hAnsi="Times New Roman"/>
                <w:kern w:val="0"/>
                <w:sz w:val="18"/>
                <w:szCs w:val="18"/>
              </w:rPr>
              <w:t>//ec.europa.eu/eurostat/web/structural-business-statistics/</w:t>
            </w:r>
          </w:p>
        </w:tc>
      </w:tr>
      <w:tr w:rsidR="00501C7E" w14:paraId="6D2FF177" w14:textId="77777777">
        <w:tc>
          <w:tcPr>
            <w:tcW w:w="633" w:type="pct"/>
            <w:tcBorders>
              <w:top w:val="single" w:sz="4" w:space="0" w:color="000000"/>
              <w:bottom w:val="single" w:sz="4" w:space="0" w:color="000000"/>
              <w:right w:val="single" w:sz="4" w:space="0" w:color="000000"/>
            </w:tcBorders>
            <w:vAlign w:val="center"/>
          </w:tcPr>
          <w:p w14:paraId="6C703ABB" w14:textId="77777777" w:rsidR="00501C7E" w:rsidRDefault="00EC5712">
            <w:pPr>
              <w:jc w:val="center"/>
              <w:textAlignment w:val="center"/>
              <w:rPr>
                <w:rFonts w:ascii="Times New Roman" w:hAnsi="Times New Roman"/>
                <w:sz w:val="18"/>
                <w:szCs w:val="18"/>
              </w:rPr>
            </w:pPr>
            <w:r>
              <w:rPr>
                <w:rFonts w:ascii="Times New Roman" w:hAnsi="Times New Roman"/>
                <w:sz w:val="18"/>
                <w:szCs w:val="18"/>
              </w:rPr>
              <w:t>Personnel costs</w:t>
            </w:r>
          </w:p>
        </w:tc>
        <w:tc>
          <w:tcPr>
            <w:tcW w:w="1250" w:type="pct"/>
            <w:tcBorders>
              <w:top w:val="single" w:sz="4" w:space="0" w:color="000000"/>
              <w:bottom w:val="single" w:sz="4" w:space="0" w:color="000000"/>
              <w:right w:val="single" w:sz="4" w:space="0" w:color="000000"/>
            </w:tcBorders>
            <w:vAlign w:val="center"/>
          </w:tcPr>
          <w:p w14:paraId="288A0628"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欧盟统计局</w:t>
            </w:r>
            <w:r>
              <w:rPr>
                <w:rFonts w:ascii="Times New Roman" w:hAnsi="Times New Roman"/>
                <w:kern w:val="0"/>
                <w:sz w:val="18"/>
                <w:szCs w:val="18"/>
              </w:rPr>
              <w:t xml:space="preserve"> SBS</w:t>
            </w:r>
          </w:p>
        </w:tc>
        <w:tc>
          <w:tcPr>
            <w:tcW w:w="3115" w:type="pct"/>
            <w:tcBorders>
              <w:top w:val="single" w:sz="4" w:space="0" w:color="000000"/>
              <w:left w:val="single" w:sz="4" w:space="0" w:color="000000"/>
              <w:bottom w:val="single" w:sz="4" w:space="0" w:color="000000"/>
            </w:tcBorders>
            <w:vAlign w:val="center"/>
          </w:tcPr>
          <w:p w14:paraId="521AE780"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https</w:t>
            </w:r>
            <w:r>
              <w:rPr>
                <w:rFonts w:ascii="Times New Roman" w:hAnsi="Times New Roman" w:hint="eastAsia"/>
                <w:kern w:val="0"/>
                <w:sz w:val="18"/>
                <w:szCs w:val="18"/>
              </w:rPr>
              <w:t>：</w:t>
            </w:r>
            <w:r>
              <w:rPr>
                <w:rFonts w:ascii="Times New Roman" w:hAnsi="Times New Roman"/>
                <w:kern w:val="0"/>
                <w:sz w:val="18"/>
                <w:szCs w:val="18"/>
              </w:rPr>
              <w:t>//ec.europa.eu/eurostat/web/structural-business-statistics/</w:t>
            </w:r>
          </w:p>
        </w:tc>
      </w:tr>
      <w:tr w:rsidR="00501C7E" w14:paraId="16535B65" w14:textId="77777777">
        <w:tc>
          <w:tcPr>
            <w:tcW w:w="633" w:type="pct"/>
            <w:tcBorders>
              <w:top w:val="single" w:sz="4" w:space="0" w:color="000000"/>
              <w:bottom w:val="single" w:sz="4" w:space="0" w:color="000000"/>
              <w:right w:val="single" w:sz="4" w:space="0" w:color="000000"/>
            </w:tcBorders>
            <w:vAlign w:val="center"/>
          </w:tcPr>
          <w:p w14:paraId="634F4582" w14:textId="77777777" w:rsidR="00501C7E" w:rsidRDefault="00EC5712">
            <w:pPr>
              <w:jc w:val="center"/>
              <w:textAlignment w:val="center"/>
              <w:rPr>
                <w:rFonts w:ascii="Times New Roman" w:hAnsi="Times New Roman"/>
                <w:sz w:val="18"/>
                <w:szCs w:val="18"/>
              </w:rPr>
            </w:pPr>
            <w:r>
              <w:rPr>
                <w:rFonts w:ascii="Times New Roman" w:hAnsi="Times New Roman"/>
                <w:sz w:val="18"/>
                <w:szCs w:val="18"/>
              </w:rPr>
              <w:t>Wages</w:t>
            </w:r>
          </w:p>
        </w:tc>
        <w:tc>
          <w:tcPr>
            <w:tcW w:w="1250" w:type="pct"/>
            <w:tcBorders>
              <w:top w:val="single" w:sz="4" w:space="0" w:color="000000"/>
              <w:bottom w:val="single" w:sz="4" w:space="0" w:color="000000"/>
              <w:right w:val="single" w:sz="4" w:space="0" w:color="000000"/>
            </w:tcBorders>
            <w:vAlign w:val="center"/>
          </w:tcPr>
          <w:p w14:paraId="732A7FFD"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欧盟统计局</w:t>
            </w:r>
            <w:r>
              <w:rPr>
                <w:rFonts w:ascii="Times New Roman" w:hAnsi="Times New Roman"/>
                <w:kern w:val="0"/>
                <w:sz w:val="18"/>
                <w:szCs w:val="18"/>
              </w:rPr>
              <w:t>SBS</w:t>
            </w:r>
          </w:p>
        </w:tc>
        <w:tc>
          <w:tcPr>
            <w:tcW w:w="3115" w:type="pct"/>
            <w:tcBorders>
              <w:top w:val="single" w:sz="4" w:space="0" w:color="000000"/>
              <w:left w:val="single" w:sz="4" w:space="0" w:color="000000"/>
              <w:bottom w:val="single" w:sz="4" w:space="0" w:color="000000"/>
            </w:tcBorders>
            <w:vAlign w:val="center"/>
          </w:tcPr>
          <w:p w14:paraId="407CFF1A"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https</w:t>
            </w:r>
            <w:r>
              <w:rPr>
                <w:rFonts w:ascii="Times New Roman" w:hAnsi="Times New Roman" w:hint="eastAsia"/>
                <w:kern w:val="0"/>
                <w:sz w:val="18"/>
                <w:szCs w:val="18"/>
              </w:rPr>
              <w:t>：</w:t>
            </w:r>
            <w:r>
              <w:rPr>
                <w:rFonts w:ascii="Times New Roman" w:hAnsi="Times New Roman"/>
                <w:kern w:val="0"/>
                <w:sz w:val="18"/>
                <w:szCs w:val="18"/>
              </w:rPr>
              <w:t>//ec.europa.eu/eurostat/web/structural-business-statistics/</w:t>
            </w:r>
          </w:p>
        </w:tc>
      </w:tr>
      <w:tr w:rsidR="00501C7E" w14:paraId="4AC58559" w14:textId="77777777">
        <w:tc>
          <w:tcPr>
            <w:tcW w:w="633" w:type="pct"/>
            <w:tcBorders>
              <w:top w:val="single" w:sz="4" w:space="0" w:color="000000"/>
              <w:bottom w:val="single" w:sz="4" w:space="0" w:color="000000"/>
              <w:right w:val="single" w:sz="4" w:space="0" w:color="000000"/>
            </w:tcBorders>
            <w:vAlign w:val="center"/>
          </w:tcPr>
          <w:p w14:paraId="16E5E818" w14:textId="77777777" w:rsidR="00501C7E" w:rsidRDefault="00EC5712">
            <w:pPr>
              <w:jc w:val="center"/>
              <w:textAlignment w:val="center"/>
              <w:rPr>
                <w:rFonts w:ascii="Times New Roman" w:hAnsi="Times New Roman"/>
                <w:sz w:val="18"/>
                <w:szCs w:val="18"/>
              </w:rPr>
            </w:pPr>
            <w:r>
              <w:rPr>
                <w:rFonts w:ascii="Times New Roman" w:hAnsi="Times New Roman"/>
                <w:sz w:val="18"/>
                <w:szCs w:val="18"/>
              </w:rPr>
              <w:t>Turnover</w:t>
            </w:r>
          </w:p>
        </w:tc>
        <w:tc>
          <w:tcPr>
            <w:tcW w:w="1250" w:type="pct"/>
            <w:tcBorders>
              <w:top w:val="single" w:sz="4" w:space="0" w:color="000000"/>
              <w:bottom w:val="single" w:sz="4" w:space="0" w:color="000000"/>
              <w:right w:val="single" w:sz="4" w:space="0" w:color="000000"/>
            </w:tcBorders>
            <w:vAlign w:val="center"/>
          </w:tcPr>
          <w:p w14:paraId="0D058F41"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欧盟统计局</w:t>
            </w:r>
            <w:r>
              <w:rPr>
                <w:rFonts w:ascii="Times New Roman" w:hAnsi="Times New Roman"/>
                <w:kern w:val="0"/>
                <w:sz w:val="18"/>
                <w:szCs w:val="18"/>
              </w:rPr>
              <w:t>SBS</w:t>
            </w:r>
          </w:p>
        </w:tc>
        <w:tc>
          <w:tcPr>
            <w:tcW w:w="3115" w:type="pct"/>
            <w:tcBorders>
              <w:top w:val="single" w:sz="4" w:space="0" w:color="000000"/>
              <w:left w:val="single" w:sz="4" w:space="0" w:color="000000"/>
              <w:bottom w:val="single" w:sz="4" w:space="0" w:color="000000"/>
            </w:tcBorders>
            <w:vAlign w:val="center"/>
          </w:tcPr>
          <w:p w14:paraId="29555C60"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https</w:t>
            </w:r>
            <w:r>
              <w:rPr>
                <w:rFonts w:ascii="Times New Roman" w:hAnsi="Times New Roman" w:hint="eastAsia"/>
                <w:kern w:val="0"/>
                <w:sz w:val="18"/>
                <w:szCs w:val="18"/>
              </w:rPr>
              <w:t>：</w:t>
            </w:r>
            <w:r>
              <w:rPr>
                <w:rFonts w:ascii="Times New Roman" w:hAnsi="Times New Roman"/>
                <w:kern w:val="0"/>
                <w:sz w:val="18"/>
                <w:szCs w:val="18"/>
              </w:rPr>
              <w:t>//ec.europa.eu/eurostat/web/structural-business-statistics/</w:t>
            </w:r>
          </w:p>
        </w:tc>
      </w:tr>
      <w:tr w:rsidR="00501C7E" w14:paraId="146796F0" w14:textId="77777777">
        <w:tc>
          <w:tcPr>
            <w:tcW w:w="633" w:type="pct"/>
            <w:tcBorders>
              <w:top w:val="single" w:sz="4" w:space="0" w:color="000000"/>
              <w:bottom w:val="single" w:sz="4" w:space="0" w:color="000000"/>
              <w:right w:val="single" w:sz="4" w:space="0" w:color="000000"/>
            </w:tcBorders>
            <w:vAlign w:val="center"/>
          </w:tcPr>
          <w:p w14:paraId="16998332" w14:textId="77777777" w:rsidR="00501C7E" w:rsidRDefault="00EC5712">
            <w:pPr>
              <w:jc w:val="center"/>
              <w:textAlignment w:val="center"/>
              <w:rPr>
                <w:rFonts w:ascii="Times New Roman" w:hAnsi="Times New Roman"/>
                <w:sz w:val="18"/>
                <w:szCs w:val="18"/>
              </w:rPr>
            </w:pPr>
            <w:r>
              <w:rPr>
                <w:rFonts w:ascii="Times New Roman" w:hAnsi="Times New Roman"/>
                <w:sz w:val="18"/>
                <w:szCs w:val="18"/>
              </w:rPr>
              <w:t>Intra Trade</w:t>
            </w:r>
          </w:p>
        </w:tc>
        <w:tc>
          <w:tcPr>
            <w:tcW w:w="1250" w:type="pct"/>
            <w:tcBorders>
              <w:top w:val="single" w:sz="4" w:space="0" w:color="000000"/>
              <w:bottom w:val="single" w:sz="4" w:space="0" w:color="000000"/>
              <w:right w:val="single" w:sz="4" w:space="0" w:color="000000"/>
            </w:tcBorders>
            <w:vAlign w:val="center"/>
          </w:tcPr>
          <w:p w14:paraId="1A4AE32B"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欧盟统计局</w:t>
            </w:r>
            <w:r>
              <w:rPr>
                <w:rFonts w:ascii="Times New Roman" w:hAnsi="Times New Roman"/>
                <w:kern w:val="0"/>
                <w:sz w:val="18"/>
                <w:szCs w:val="18"/>
              </w:rPr>
              <w:t xml:space="preserve"> Globalisation in business statistics</w:t>
            </w:r>
          </w:p>
        </w:tc>
        <w:tc>
          <w:tcPr>
            <w:tcW w:w="3115" w:type="pct"/>
            <w:tcBorders>
              <w:top w:val="single" w:sz="4" w:space="0" w:color="000000"/>
              <w:left w:val="single" w:sz="4" w:space="0" w:color="000000"/>
              <w:bottom w:val="single" w:sz="4" w:space="0" w:color="000000"/>
            </w:tcBorders>
            <w:vAlign w:val="center"/>
          </w:tcPr>
          <w:p w14:paraId="45F99F78" w14:textId="77777777" w:rsidR="00501C7E" w:rsidRDefault="00EC5712">
            <w:pPr>
              <w:widowControl/>
              <w:jc w:val="center"/>
              <w:textAlignment w:val="center"/>
              <w:rPr>
                <w:rFonts w:ascii="Times New Roman" w:hAnsi="Times New Roman"/>
                <w:kern w:val="0"/>
                <w:sz w:val="18"/>
                <w:szCs w:val="18"/>
              </w:rPr>
            </w:pPr>
            <w:r>
              <w:rPr>
                <w:rFonts w:ascii="Times New Roman" w:hAnsi="Times New Roman"/>
                <w:kern w:val="0"/>
                <w:sz w:val="18"/>
                <w:szCs w:val="18"/>
              </w:rPr>
              <w:t>https</w:t>
            </w:r>
            <w:r>
              <w:rPr>
                <w:rFonts w:ascii="Times New Roman" w:hAnsi="Times New Roman" w:hint="eastAsia"/>
                <w:kern w:val="0"/>
                <w:sz w:val="18"/>
                <w:szCs w:val="18"/>
              </w:rPr>
              <w:t>：</w:t>
            </w:r>
            <w:r>
              <w:rPr>
                <w:rFonts w:ascii="Times New Roman" w:hAnsi="Times New Roman"/>
                <w:kern w:val="0"/>
                <w:sz w:val="18"/>
                <w:szCs w:val="18"/>
              </w:rPr>
              <w:t>//ec.europa.eu/eurostat/web/economic-globalisation/globalisation-in-business-statistics</w:t>
            </w:r>
          </w:p>
        </w:tc>
      </w:tr>
    </w:tbl>
    <w:p w14:paraId="65162E95" w14:textId="77777777" w:rsidR="00501C7E" w:rsidRDefault="00501C7E"/>
    <w:p w14:paraId="1F05E937" w14:textId="77777777" w:rsidR="005614A0" w:rsidRDefault="005614A0" w:rsidP="005614A0">
      <w:pPr>
        <w:pStyle w:val="a3"/>
        <w:spacing w:before="73" w:line="300" w:lineRule="exact"/>
        <w:ind w:right="210" w:firstLine="420"/>
        <w:jc w:val="center"/>
        <w:rPr>
          <w:rFonts w:ascii="Times New Roman" w:eastAsia="EU-FZ" w:hAnsi="Times New Roman" w:cs="Times New Roman"/>
          <w:b/>
          <w:bCs/>
          <w:lang w:val="en-US"/>
        </w:rPr>
      </w:pPr>
      <w:r>
        <w:rPr>
          <w:rFonts w:ascii="Times New Roman" w:eastAsia="EU-FZ" w:hAnsi="Times New Roman" w:cs="Times New Roman" w:hint="eastAsia"/>
          <w:b/>
          <w:bCs/>
          <w:lang w:val="en-US"/>
        </w:rPr>
        <w:t>The Role of Complainants in International Trade</w:t>
      </w:r>
    </w:p>
    <w:p w14:paraId="40D0A9B7" w14:textId="77777777" w:rsidR="005614A0" w:rsidRDefault="00FE1FDC" w:rsidP="005614A0">
      <w:pPr>
        <w:pStyle w:val="a3"/>
        <w:spacing w:before="73" w:line="300" w:lineRule="exact"/>
        <w:ind w:right="210" w:firstLine="420"/>
        <w:jc w:val="center"/>
        <w:rPr>
          <w:rFonts w:ascii="Times New Roman" w:eastAsia="EU-FZ" w:hAnsi="Times New Roman" w:cs="Times New Roman"/>
          <w:b/>
          <w:bCs/>
          <w:lang w:val="en-US"/>
        </w:rPr>
      </w:pPr>
      <w:r>
        <w:rPr>
          <w:rFonts w:ascii="Times New Roman" w:eastAsia="EU-FZ" w:hAnsi="Times New Roman" w:cs="Times New Roman" w:hint="eastAsia"/>
          <w:b/>
          <w:bCs/>
          <w:lang w:val="en-US"/>
        </w:rPr>
        <w:t>—</w:t>
      </w:r>
      <w:r w:rsidR="005614A0">
        <w:rPr>
          <w:rFonts w:ascii="Times New Roman" w:eastAsia="EU-FZ" w:hAnsi="Times New Roman" w:cs="Times New Roman"/>
          <w:b/>
          <w:bCs/>
          <w:lang w:val="en-US"/>
        </w:rPr>
        <w:t xml:space="preserve">Microscopic </w:t>
      </w:r>
      <w:r w:rsidR="005614A0">
        <w:rPr>
          <w:rFonts w:ascii="Times New Roman" w:eastAsia="EU-FZ" w:hAnsi="Times New Roman" w:cs="Times New Roman" w:hint="eastAsia"/>
          <w:b/>
          <w:bCs/>
          <w:lang w:val="en-US"/>
        </w:rPr>
        <w:t>E</w:t>
      </w:r>
      <w:r w:rsidR="005614A0">
        <w:rPr>
          <w:rFonts w:ascii="Times New Roman" w:eastAsia="EU-FZ" w:hAnsi="Times New Roman" w:cs="Times New Roman"/>
          <w:b/>
          <w:bCs/>
          <w:lang w:val="en-US"/>
        </w:rPr>
        <w:t xml:space="preserve">vidence from the </w:t>
      </w:r>
      <w:r w:rsidR="005614A0">
        <w:rPr>
          <w:rFonts w:ascii="Times New Roman" w:eastAsia="EU-FZ" w:hAnsi="Times New Roman" w:cs="Times New Roman" w:hint="eastAsia"/>
          <w:b/>
          <w:bCs/>
          <w:lang w:val="en-US"/>
        </w:rPr>
        <w:t>C</w:t>
      </w:r>
      <w:r w:rsidR="005614A0">
        <w:rPr>
          <w:rFonts w:ascii="Times New Roman" w:eastAsia="EU-FZ" w:hAnsi="Times New Roman" w:cs="Times New Roman"/>
          <w:b/>
          <w:bCs/>
          <w:lang w:val="en-US"/>
        </w:rPr>
        <w:t xml:space="preserve">ase </w:t>
      </w:r>
      <w:r w:rsidR="005614A0">
        <w:rPr>
          <w:rFonts w:ascii="Times New Roman" w:eastAsia="EU-FZ" w:hAnsi="Times New Roman" w:cs="Times New Roman" w:hint="eastAsia"/>
          <w:b/>
          <w:bCs/>
          <w:lang w:val="en-US"/>
        </w:rPr>
        <w:t>L</w:t>
      </w:r>
      <w:r w:rsidR="005614A0">
        <w:rPr>
          <w:rFonts w:ascii="Times New Roman" w:eastAsia="EU-FZ" w:hAnsi="Times New Roman" w:cs="Times New Roman"/>
          <w:b/>
          <w:bCs/>
          <w:lang w:val="en-US"/>
        </w:rPr>
        <w:t>evel</w:t>
      </w:r>
    </w:p>
    <w:p w14:paraId="200B96F1" w14:textId="77777777" w:rsidR="005614A0" w:rsidRDefault="005614A0" w:rsidP="005614A0">
      <w:pPr>
        <w:pStyle w:val="a3"/>
        <w:spacing w:before="73" w:line="300" w:lineRule="exact"/>
        <w:ind w:right="210" w:firstLine="420"/>
        <w:jc w:val="center"/>
        <w:rPr>
          <w:rFonts w:ascii="Times New Roman" w:eastAsia="EU-FZ" w:hAnsi="Times New Roman" w:cs="Times New Roman"/>
          <w:b/>
          <w:bCs/>
          <w:lang w:val="en-US"/>
        </w:rPr>
      </w:pPr>
      <w:r>
        <w:rPr>
          <w:rFonts w:ascii="Times New Roman" w:eastAsia="EU-FZ" w:hAnsi="Times New Roman" w:cs="Times New Roman"/>
          <w:b/>
          <w:bCs/>
          <w:lang w:val="en-US"/>
        </w:rPr>
        <w:t>WANG Xiaosong  WANG Yanyan</w:t>
      </w:r>
    </w:p>
    <w:p w14:paraId="77AA5DA2" w14:textId="77777777" w:rsidR="005614A0" w:rsidRDefault="005614A0" w:rsidP="005614A0">
      <w:pPr>
        <w:ind w:firstLineChars="100" w:firstLine="210"/>
        <w:jc w:val="center"/>
        <w:rPr>
          <w:rFonts w:ascii="Times New Roman" w:hAnsi="Times New Roman"/>
          <w:b/>
          <w:bCs/>
          <w:szCs w:val="21"/>
        </w:rPr>
      </w:pPr>
      <w:r>
        <w:rPr>
          <w:rFonts w:ascii="Times New Roman" w:hAnsi="Times New Roman" w:hint="eastAsia"/>
        </w:rPr>
        <w:t>（</w:t>
      </w:r>
      <w:r>
        <w:rPr>
          <w:rFonts w:ascii="Times New Roman" w:hAnsi="Times New Roman"/>
        </w:rPr>
        <w:t>Renmin University of China</w:t>
      </w:r>
      <w:r>
        <w:rPr>
          <w:rFonts w:ascii="Times New Roman" w:hAnsi="Times New Roman"/>
        </w:rPr>
        <w:t>，</w:t>
      </w:r>
      <w:r>
        <w:rPr>
          <w:rFonts w:ascii="Times New Roman" w:hAnsi="Times New Roman"/>
        </w:rPr>
        <w:t>Beijing</w:t>
      </w:r>
      <w:r>
        <w:rPr>
          <w:rFonts w:ascii="Times New Roman" w:hAnsi="Times New Roman"/>
        </w:rPr>
        <w:t>，</w:t>
      </w:r>
      <w:r>
        <w:rPr>
          <w:rFonts w:ascii="Times New Roman" w:hAnsi="Times New Roman"/>
        </w:rPr>
        <w:t>China</w:t>
      </w:r>
      <w:r>
        <w:rPr>
          <w:rFonts w:ascii="Times New Roman" w:hAnsi="Times New Roman" w:hint="eastAsia"/>
        </w:rPr>
        <w:t>）</w:t>
      </w:r>
    </w:p>
    <w:p w14:paraId="5DD717FF" w14:textId="77777777" w:rsidR="005614A0" w:rsidRDefault="005614A0" w:rsidP="005614A0">
      <w:pPr>
        <w:pStyle w:val="a3"/>
        <w:spacing w:before="73" w:line="300" w:lineRule="exact"/>
        <w:ind w:left="0" w:right="210" w:firstLine="420"/>
        <w:rPr>
          <w:rFonts w:ascii="Times New Roman" w:hAnsi="Times New Roman" w:cs="Times New Roman"/>
          <w:lang w:val="en-US"/>
        </w:rPr>
      </w:pPr>
      <w:r>
        <w:rPr>
          <w:rFonts w:ascii="Times New Roman" w:hAnsi="Times New Roman" w:cs="Times New Roman"/>
          <w:b/>
          <w:bCs/>
          <w:lang w:val="en-US"/>
        </w:rPr>
        <w:t>Abstract</w:t>
      </w:r>
      <w:r>
        <w:rPr>
          <w:rFonts w:ascii="Times New Roman" w:hAnsi="Times New Roman" w:cs="Times New Roman" w:hint="eastAsia"/>
          <w:b/>
          <w:bCs/>
          <w:lang w:val="en-US"/>
        </w:rPr>
        <w:t>：</w:t>
      </w:r>
      <w:r>
        <w:rPr>
          <w:rFonts w:ascii="Times New Roman" w:hAnsi="Times New Roman" w:cs="Times New Roman" w:hint="eastAsia"/>
          <w:lang w:val="en-US"/>
        </w:rPr>
        <w:t>In international trade disputes, the complainants represented by interest groups can exert influence on the results of anti-dumping rulings and the level of tax rates, so it is necessary to study the role of anti-dumping complainants in international trade. This paper will take the EU</w:t>
      </w:r>
      <w:r>
        <w:rPr>
          <w:rFonts w:ascii="Times New Roman" w:hAnsi="Times New Roman" w:cs="Times New Roman"/>
          <w:lang w:val="en-US"/>
        </w:rPr>
        <w:t>’</w:t>
      </w:r>
      <w:r>
        <w:rPr>
          <w:rFonts w:ascii="Times New Roman" w:hAnsi="Times New Roman" w:cs="Times New Roman" w:hint="eastAsia"/>
          <w:lang w:val="en-US"/>
        </w:rPr>
        <w:t xml:space="preserve">s anti-dumping against China as an example for empirical analysis. Relying on the classic </w:t>
      </w:r>
      <w:r>
        <w:rPr>
          <w:rFonts w:ascii="Times New Roman" w:hAnsi="Times New Roman" w:cs="Times New Roman"/>
          <w:lang w:val="en-US"/>
        </w:rPr>
        <w:t>“</w:t>
      </w:r>
      <w:r>
        <w:rPr>
          <w:rFonts w:ascii="Times New Roman" w:hAnsi="Times New Roman" w:cs="Times New Roman" w:hint="eastAsia"/>
          <w:lang w:val="en-US"/>
        </w:rPr>
        <w:t>protection for sale</w:t>
      </w:r>
      <w:r>
        <w:rPr>
          <w:rFonts w:ascii="Times New Roman" w:hAnsi="Times New Roman" w:cs="Times New Roman"/>
          <w:lang w:val="en-US"/>
        </w:rPr>
        <w:t>”</w:t>
      </w:r>
      <w:r>
        <w:rPr>
          <w:rFonts w:ascii="Times New Roman" w:hAnsi="Times New Roman" w:cs="Times New Roman" w:hint="eastAsia"/>
          <w:lang w:val="en-US"/>
        </w:rPr>
        <w:t xml:space="preserve"> model in international trade theory, this paper quantitatively analyzes the factors affecting the EU</w:t>
      </w:r>
      <w:r>
        <w:rPr>
          <w:rFonts w:ascii="Times New Roman" w:hAnsi="Times New Roman" w:cs="Times New Roman"/>
          <w:lang w:val="en-US"/>
        </w:rPr>
        <w:t>’</w:t>
      </w:r>
      <w:r>
        <w:rPr>
          <w:rFonts w:ascii="Times New Roman" w:hAnsi="Times New Roman" w:cs="Times New Roman" w:hint="eastAsia"/>
          <w:lang w:val="en-US"/>
        </w:rPr>
        <w:t>s anti dumping tax rate ruling on China, especially the impact of the complainants</w:t>
      </w:r>
      <w:r>
        <w:rPr>
          <w:rFonts w:ascii="Times New Roman" w:hAnsi="Times New Roman" w:cs="Times New Roman"/>
          <w:lang w:val="en-US"/>
        </w:rPr>
        <w:t>’</w:t>
      </w:r>
      <w:r>
        <w:rPr>
          <w:rFonts w:ascii="Times New Roman" w:hAnsi="Times New Roman" w:cs="Times New Roman" w:hint="eastAsia"/>
          <w:lang w:val="en-US"/>
        </w:rPr>
        <w:t xml:space="preserve"> political power on the ruling results measured by the nature of the complainants and the representativeness of the manufacturers. The empirical results show that during the inspection period, the interaction of various </w:t>
      </w:r>
      <w:r>
        <w:rPr>
          <w:rFonts w:ascii="Times New Roman" w:hAnsi="Times New Roman" w:cs="Times New Roman" w:hint="eastAsia"/>
          <w:lang w:val="en-US"/>
        </w:rPr>
        <w:lastRenderedPageBreak/>
        <w:t>political and economic factors ultimately determines the ruling result of the EU</w:t>
      </w:r>
      <w:r>
        <w:rPr>
          <w:rFonts w:ascii="Times New Roman" w:hAnsi="Times New Roman" w:cs="Times New Roman"/>
          <w:lang w:val="en-US"/>
        </w:rPr>
        <w:t>’</w:t>
      </w:r>
      <w:r>
        <w:rPr>
          <w:rFonts w:ascii="Times New Roman" w:hAnsi="Times New Roman" w:cs="Times New Roman" w:hint="eastAsia"/>
          <w:lang w:val="en-US"/>
        </w:rPr>
        <w:t xml:space="preserve">s anti-dumping duties on China. The political power of the complainants will significantly affect the ruling results of anti-dumping cases, thus affecting the bilateral trade pattern. Some industry characteristics of the complainants will also affect the ruling of anti-dumping tax rate. The final ruling tax rate is more applicable to the </w:t>
      </w:r>
      <w:r>
        <w:rPr>
          <w:rFonts w:ascii="Times New Roman" w:hAnsi="Times New Roman" w:cs="Times New Roman"/>
          <w:lang w:val="en-US"/>
        </w:rPr>
        <w:t>“</w:t>
      </w:r>
      <w:r>
        <w:rPr>
          <w:rFonts w:ascii="Times New Roman" w:hAnsi="Times New Roman" w:cs="Times New Roman" w:hint="eastAsia"/>
          <w:lang w:val="en-US"/>
        </w:rPr>
        <w:t>protection for sale</w:t>
      </w:r>
      <w:r>
        <w:rPr>
          <w:rFonts w:ascii="Times New Roman" w:hAnsi="Times New Roman" w:cs="Times New Roman"/>
          <w:lang w:val="en-US"/>
        </w:rPr>
        <w:t>”</w:t>
      </w:r>
      <w:r>
        <w:rPr>
          <w:rFonts w:ascii="Times New Roman" w:hAnsi="Times New Roman" w:cs="Times New Roman" w:hint="eastAsia"/>
          <w:lang w:val="en-US"/>
        </w:rPr>
        <w:t xml:space="preserve"> model than the initial ruling tax rate. This paper expands the application scope of the "protection for sale" model, and provides insight and enlightenment for all sectors of China to deal with restrictive measures against trading partners and promote the healthy development of foreign trade from the new perspective of complainants characteristics.</w:t>
      </w:r>
    </w:p>
    <w:p w14:paraId="1FC06D20" w14:textId="77777777" w:rsidR="005614A0" w:rsidRDefault="005614A0" w:rsidP="005614A0">
      <w:pPr>
        <w:pStyle w:val="a3"/>
        <w:spacing w:before="73" w:line="300" w:lineRule="exact"/>
        <w:ind w:left="0" w:right="210" w:firstLineChars="200" w:firstLine="422"/>
        <w:rPr>
          <w:rFonts w:ascii="Times New Roman" w:hAnsi="Times New Roman" w:cs="Times New Roman"/>
          <w:lang w:val="en-US"/>
        </w:rPr>
      </w:pPr>
      <w:r>
        <w:rPr>
          <w:rFonts w:ascii="Times New Roman" w:hAnsi="Times New Roman" w:cs="Times New Roman"/>
          <w:b/>
          <w:bCs/>
          <w:lang w:val="en-US"/>
        </w:rPr>
        <w:t>Keywords</w:t>
      </w:r>
      <w:r>
        <w:rPr>
          <w:rFonts w:ascii="Times New Roman" w:hAnsi="Times New Roman" w:cs="Times New Roman" w:hint="eastAsia"/>
          <w:b/>
          <w:bCs/>
          <w:lang w:val="en-US"/>
        </w:rPr>
        <w:t>：</w:t>
      </w:r>
      <w:r>
        <w:rPr>
          <w:rFonts w:ascii="Times New Roman" w:hAnsi="Times New Roman" w:cs="Times New Roman" w:hint="eastAsia"/>
          <w:b/>
          <w:bCs/>
          <w:lang w:val="en-US"/>
        </w:rPr>
        <w:t xml:space="preserve"> </w:t>
      </w:r>
      <w:r>
        <w:rPr>
          <w:rFonts w:ascii="Times New Roman" w:hAnsi="Times New Roman" w:cs="Times New Roman" w:hint="eastAsia"/>
          <w:lang w:val="en-US"/>
        </w:rPr>
        <w:t>Complainants</w:t>
      </w:r>
      <w:r>
        <w:rPr>
          <w:rFonts w:ascii="Times New Roman" w:hAnsi="Times New Roman" w:cs="Times New Roman" w:hint="eastAsia"/>
          <w:lang w:val="en-US"/>
        </w:rPr>
        <w:t>；</w:t>
      </w:r>
      <w:r>
        <w:rPr>
          <w:rFonts w:ascii="Times New Roman" w:hAnsi="Times New Roman" w:cs="Times New Roman" w:hint="eastAsia"/>
          <w:lang w:val="en-US"/>
        </w:rPr>
        <w:t>EU</w:t>
      </w:r>
      <w:r>
        <w:rPr>
          <w:rFonts w:ascii="Times New Roman" w:hAnsi="Times New Roman" w:cs="Times New Roman"/>
          <w:lang w:val="en-US"/>
        </w:rPr>
        <w:t>’</w:t>
      </w:r>
      <w:r>
        <w:rPr>
          <w:rFonts w:ascii="Times New Roman" w:hAnsi="Times New Roman" w:cs="Times New Roman" w:hint="eastAsia"/>
          <w:lang w:val="en-US"/>
        </w:rPr>
        <w:t>s Economic and Trade Policy towards China</w:t>
      </w:r>
      <w:r>
        <w:rPr>
          <w:rFonts w:ascii="Times New Roman" w:hAnsi="Times New Roman" w:cs="Times New Roman" w:hint="eastAsia"/>
          <w:lang w:val="en-US"/>
        </w:rPr>
        <w:t>；</w:t>
      </w:r>
      <w:r>
        <w:rPr>
          <w:rFonts w:ascii="Times New Roman" w:hAnsi="Times New Roman" w:cs="Times New Roman"/>
          <w:lang w:val="en-US"/>
        </w:rPr>
        <w:t>“</w:t>
      </w:r>
      <w:r>
        <w:rPr>
          <w:rFonts w:ascii="Times New Roman" w:hAnsi="Times New Roman" w:cs="Times New Roman" w:hint="eastAsia"/>
          <w:lang w:val="en-US"/>
        </w:rPr>
        <w:t>Protection for Sale</w:t>
      </w:r>
      <w:r>
        <w:rPr>
          <w:rFonts w:ascii="Times New Roman" w:hAnsi="Times New Roman" w:cs="Times New Roman"/>
          <w:lang w:val="en-US"/>
        </w:rPr>
        <w:t>”</w:t>
      </w:r>
      <w:r>
        <w:rPr>
          <w:rFonts w:ascii="Times New Roman" w:hAnsi="Times New Roman" w:cs="Times New Roman" w:hint="eastAsia"/>
          <w:lang w:val="en-US"/>
        </w:rPr>
        <w:t xml:space="preserve"> Model</w:t>
      </w:r>
      <w:r>
        <w:rPr>
          <w:rFonts w:ascii="Times New Roman" w:hAnsi="Times New Roman" w:cs="Times New Roman" w:hint="eastAsia"/>
          <w:lang w:val="en-US"/>
        </w:rPr>
        <w:t>；</w:t>
      </w:r>
      <w:r>
        <w:rPr>
          <w:rFonts w:ascii="Times New Roman" w:hAnsi="Times New Roman" w:cs="Times New Roman" w:hint="eastAsia"/>
          <w:lang w:val="en-US"/>
        </w:rPr>
        <w:t>Industry Associations</w:t>
      </w:r>
    </w:p>
    <w:p w14:paraId="34273626" w14:textId="77777777" w:rsidR="008442C9" w:rsidRDefault="008442C9" w:rsidP="008442C9">
      <w:pPr>
        <w:pStyle w:val="a3"/>
        <w:spacing w:before="73" w:line="300" w:lineRule="exact"/>
        <w:ind w:left="0" w:right="210" w:firstLineChars="200" w:firstLine="420"/>
        <w:rPr>
          <w:rFonts w:ascii="Times New Roman" w:hAnsi="Times New Roman" w:cs="Times New Roman"/>
          <w:lang w:val="en-US"/>
        </w:rPr>
      </w:pPr>
    </w:p>
    <w:sectPr w:rsidR="008442C9" w:rsidSect="00665402">
      <w:footerReference w:type="default" r:id="rId13"/>
      <w:footnotePr>
        <w:numFmt w:val="decimalEnclosedCircleChinese"/>
        <w:numRestart w:val="eachPage"/>
      </w:footnotePr>
      <w:endnotePr>
        <w:numFmt w:val="decimalEnclosedCircleChinese"/>
      </w:endnotePr>
      <w:pgSz w:w="11906" w:h="16838"/>
      <w:pgMar w:top="1701" w:right="1502" w:bottom="1247" w:left="1502"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616F" w14:textId="77777777" w:rsidR="00587A16" w:rsidRDefault="00587A16">
      <w:r>
        <w:separator/>
      </w:r>
    </w:p>
  </w:endnote>
  <w:endnote w:type="continuationSeparator" w:id="0">
    <w:p w14:paraId="6C1049A7" w14:textId="77777777" w:rsidR="00587A16" w:rsidRDefault="0058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EU-FZ">
    <w:altName w:val="微软雅黑"/>
    <w:charset w:val="86"/>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504495"/>
    </w:sdtPr>
    <w:sdtContent>
      <w:p w14:paraId="7E90E90F" w14:textId="77777777" w:rsidR="00277E1C" w:rsidRDefault="001C46C1">
        <w:pPr>
          <w:pStyle w:val="a5"/>
          <w:jc w:val="center"/>
        </w:pPr>
        <w:r>
          <w:fldChar w:fldCharType="begin"/>
        </w:r>
        <w:r w:rsidR="00277E1C">
          <w:instrText>PAGE   \* MERGEFORMAT</w:instrText>
        </w:r>
        <w:r>
          <w:fldChar w:fldCharType="separate"/>
        </w:r>
        <w:r w:rsidR="00FE1FDC" w:rsidRPr="00FE1FDC">
          <w:rPr>
            <w:noProof/>
            <w:lang w:val="zh-CN"/>
          </w:rPr>
          <w:t>23</w:t>
        </w:r>
        <w:r>
          <w:rPr>
            <w:lang w:val="zh-CN"/>
          </w:rPr>
          <w:fldChar w:fldCharType="end"/>
        </w:r>
      </w:p>
    </w:sdtContent>
  </w:sdt>
  <w:p w14:paraId="1849DF56" w14:textId="77777777" w:rsidR="00277E1C" w:rsidRDefault="00277E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7A9B" w14:textId="77777777" w:rsidR="00587A16" w:rsidRDefault="00587A16">
      <w:r>
        <w:separator/>
      </w:r>
    </w:p>
  </w:footnote>
  <w:footnote w:type="continuationSeparator" w:id="0">
    <w:p w14:paraId="7D81E067" w14:textId="77777777" w:rsidR="00587A16" w:rsidRDefault="00587A16">
      <w:r>
        <w:continuationSeparator/>
      </w:r>
    </w:p>
  </w:footnote>
  <w:footnote w:id="1">
    <w:p w14:paraId="69BBEC77" w14:textId="77777777" w:rsidR="00277E1C" w:rsidRDefault="00277E1C">
      <w:pPr>
        <w:pStyle w:val="a6"/>
        <w:rPr>
          <w:rFonts w:ascii="Times New Roman" w:hAnsi="Times New Roman"/>
        </w:rPr>
      </w:pPr>
      <w:r>
        <w:rPr>
          <w:rStyle w:val="aa"/>
        </w:rPr>
        <w:t>*</w:t>
      </w:r>
      <w:r>
        <w:t xml:space="preserve"> </w:t>
      </w:r>
      <w:r>
        <w:rPr>
          <w:rFonts w:ascii="Times New Roman" w:hAnsi="Times New Roman"/>
        </w:rPr>
        <w:t>王孝松</w:t>
      </w:r>
      <w:r>
        <w:rPr>
          <w:rFonts w:ascii="Times New Roman" w:hAnsi="Times New Roman" w:hint="eastAsia"/>
        </w:rPr>
        <w:t>、王艳艳</w:t>
      </w:r>
      <w:r>
        <w:rPr>
          <w:rFonts w:ascii="Times New Roman" w:hAnsi="Times New Roman"/>
        </w:rPr>
        <w:t>，中国人民大学经济学院，邮政编码：</w:t>
      </w:r>
      <w:r>
        <w:rPr>
          <w:rFonts w:ascii="Times New Roman" w:hAnsi="Times New Roman"/>
        </w:rPr>
        <w:t>100872</w:t>
      </w:r>
      <w:r>
        <w:rPr>
          <w:rFonts w:ascii="Times New Roman" w:hAnsi="Times New Roman"/>
        </w:rPr>
        <w:t>，电子邮箱：</w:t>
      </w:r>
      <w:r>
        <w:rPr>
          <w:rFonts w:ascii="Times New Roman" w:hAnsi="Times New Roman" w:hint="eastAsia"/>
        </w:rPr>
        <w:t>wangxiaosong@ruc.edu.cn</w:t>
      </w:r>
      <w:r>
        <w:rPr>
          <w:rFonts w:ascii="Times New Roman" w:hAnsi="Times New Roman" w:hint="eastAsia"/>
        </w:rPr>
        <w:t>，</w:t>
      </w:r>
      <w:r>
        <w:rPr>
          <w:rFonts w:ascii="Times New Roman" w:hAnsi="Times New Roman"/>
        </w:rPr>
        <w:t>wangyanyan2021@</w:t>
      </w:r>
      <w:r>
        <w:rPr>
          <w:rFonts w:ascii="Times New Roman" w:hAnsi="Times New Roman" w:hint="eastAsia"/>
        </w:rPr>
        <w:t>ruc.edu.cn</w:t>
      </w:r>
      <w:r w:rsidR="00480BCB">
        <w:rPr>
          <w:rFonts w:ascii="Times New Roman" w:hAnsi="Times New Roman" w:hint="eastAsia"/>
        </w:rPr>
        <w:t>。基金项目：</w:t>
      </w:r>
      <w:r>
        <w:rPr>
          <w:rFonts w:ascii="Times New Roman" w:hAnsi="Times New Roman" w:hint="eastAsia"/>
        </w:rPr>
        <w:t>北京市习近平新时代中国特色社会主义思想研究</w:t>
      </w:r>
      <w:r w:rsidR="00480BCB">
        <w:rPr>
          <w:rFonts w:ascii="Times New Roman" w:hAnsi="Times New Roman" w:hint="eastAsia"/>
        </w:rPr>
        <w:t>中心项目“增强国内国际两个市场两种资源联动效应研究”（</w:t>
      </w:r>
      <w:r>
        <w:rPr>
          <w:rFonts w:ascii="Times New Roman" w:hAnsi="Times New Roman" w:hint="eastAsia"/>
        </w:rPr>
        <w:t>23LLLJA020</w:t>
      </w:r>
      <w:r>
        <w:rPr>
          <w:rFonts w:ascii="Times New Roman" w:hAnsi="Times New Roman" w:hint="eastAsia"/>
        </w:rPr>
        <w:t>）。感谢匿名审稿人的宝贵建议，文责自负。</w:t>
      </w:r>
    </w:p>
    <w:p w14:paraId="696B70D6" w14:textId="77777777" w:rsidR="00277E1C" w:rsidRDefault="00277E1C">
      <w:pPr>
        <w:pStyle w:val="a6"/>
      </w:pPr>
    </w:p>
  </w:footnote>
  <w:footnote w:id="2">
    <w:p w14:paraId="59D4B940" w14:textId="77777777" w:rsidR="00277E1C" w:rsidRDefault="00277E1C">
      <w:pPr>
        <w:pStyle w:val="a4"/>
        <w:wordWrap w:val="0"/>
        <w:rPr>
          <w:rFonts w:ascii="Times New Roman" w:hAnsi="Times New Roman"/>
          <w:sz w:val="18"/>
          <w:szCs w:val="18"/>
        </w:rPr>
      </w:pPr>
      <w:r>
        <w:rPr>
          <w:rStyle w:val="aa"/>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rPr>
        <w:t>资料来源：</w:t>
      </w:r>
      <w:r>
        <w:rPr>
          <w:rFonts w:ascii="Times New Roman" w:hAnsi="Times New Roman"/>
          <w:sz w:val="18"/>
          <w:szCs w:val="18"/>
        </w:rPr>
        <w:t>http</w:t>
      </w:r>
      <w:r>
        <w:rPr>
          <w:rFonts w:ascii="Times New Roman" w:hAnsi="Times New Roman" w:hint="eastAsia"/>
          <w:sz w:val="18"/>
          <w:szCs w:val="18"/>
        </w:rPr>
        <w:t>：</w:t>
      </w:r>
      <w:r>
        <w:rPr>
          <w:rFonts w:ascii="Times New Roman" w:hAnsi="Times New Roman"/>
          <w:sz w:val="18"/>
          <w:szCs w:val="18"/>
        </w:rPr>
        <w:t>//cacs.mofcom.gov.cn/cacscms/articleDetail/ckys?articleId=70080&amp;id=53d8a6e26c994e0b016cbc4169970b37</w:t>
      </w:r>
      <w:r>
        <w:rPr>
          <w:rFonts w:ascii="Times New Roman" w:hAnsi="Times New Roman"/>
          <w:sz w:val="18"/>
          <w:szCs w:val="18"/>
        </w:rPr>
        <w:t>。</w:t>
      </w:r>
    </w:p>
  </w:footnote>
  <w:footnote w:id="3">
    <w:p w14:paraId="50D3C196" w14:textId="77777777" w:rsidR="00277E1C" w:rsidRDefault="00277E1C">
      <w:pPr>
        <w:pStyle w:val="a4"/>
        <w:rPr>
          <w:rFonts w:ascii="Times New Roman" w:hAnsi="Times New Roman"/>
        </w:rPr>
      </w:pPr>
      <w:r>
        <w:rPr>
          <w:rStyle w:val="aa"/>
          <w:rFonts w:ascii="Times New Roman" w:hAnsi="Times New Roman"/>
          <w:sz w:val="18"/>
          <w:szCs w:val="18"/>
        </w:rPr>
        <w:footnoteRef/>
      </w:r>
      <w:r>
        <w:rPr>
          <w:rFonts w:ascii="Times New Roman" w:hAnsi="Times New Roman" w:hint="eastAsia"/>
          <w:sz w:val="18"/>
          <w:szCs w:val="18"/>
        </w:rPr>
        <w:t xml:space="preserve"> </w:t>
      </w:r>
      <w:r>
        <w:rPr>
          <w:rFonts w:ascii="Times New Roman" w:hAnsi="Times New Roman"/>
          <w:sz w:val="18"/>
          <w:szCs w:val="18"/>
        </w:rPr>
        <w:t>资料来源：</w:t>
      </w:r>
      <w:hyperlink r:id="rId1" w:history="1">
        <w:r>
          <w:rPr>
            <w:rStyle w:val="a8"/>
            <w:rFonts w:ascii="Times New Roman" w:hAnsi="Times New Roman"/>
            <w:color w:val="auto"/>
            <w:sz w:val="18"/>
            <w:szCs w:val="18"/>
            <w:u w:val="none"/>
          </w:rPr>
          <w:t>http</w:t>
        </w:r>
        <w:r>
          <w:rPr>
            <w:rStyle w:val="a8"/>
            <w:rFonts w:ascii="Times New Roman" w:hAnsi="Times New Roman" w:hint="eastAsia"/>
            <w:color w:val="auto"/>
            <w:sz w:val="18"/>
            <w:szCs w:val="18"/>
            <w:u w:val="none"/>
          </w:rPr>
          <w:t>：</w:t>
        </w:r>
        <w:r>
          <w:rPr>
            <w:rStyle w:val="a8"/>
            <w:rFonts w:ascii="Times New Roman" w:hAnsi="Times New Roman"/>
            <w:color w:val="auto"/>
            <w:sz w:val="18"/>
            <w:szCs w:val="18"/>
            <w:u w:val="none"/>
          </w:rPr>
          <w:t>//cacs.mofcom.gov.cn/cacscms/article/ckys?articleId=119723&amp;type=1</w:t>
        </w:r>
      </w:hyperlink>
      <w:r>
        <w:rPr>
          <w:rFonts w:ascii="Times New Roman" w:hAnsi="Times New Roman"/>
          <w:sz w:val="18"/>
          <w:szCs w:val="18"/>
        </w:rPr>
        <w:t>。</w:t>
      </w:r>
    </w:p>
  </w:footnote>
  <w:footnote w:id="4">
    <w:p w14:paraId="66B68290" w14:textId="77777777" w:rsidR="00277E1C" w:rsidRDefault="00277E1C">
      <w:pPr>
        <w:pStyle w:val="a6"/>
        <w:wordWrap w:val="0"/>
        <w:rPr>
          <w:szCs w:val="18"/>
        </w:rPr>
      </w:pPr>
      <w:r>
        <w:rPr>
          <w:rStyle w:val="aa"/>
          <w:rFonts w:ascii="Times New Roman" w:hAnsi="Times New Roman"/>
          <w:szCs w:val="18"/>
        </w:rPr>
        <w:footnoteRef/>
      </w:r>
      <w:r>
        <w:rPr>
          <w:rFonts w:ascii="Times New Roman" w:hAnsi="Times New Roman"/>
          <w:szCs w:val="18"/>
        </w:rPr>
        <w:t xml:space="preserve"> </w:t>
      </w:r>
      <w:r>
        <w:rPr>
          <w:rFonts w:ascii="Times New Roman" w:hAnsi="Times New Roman"/>
          <w:szCs w:val="18"/>
        </w:rPr>
        <w:t>根据欧盟委员会发布的法律文件整理（网址为</w:t>
      </w:r>
      <w:r>
        <w:rPr>
          <w:rFonts w:ascii="Times New Roman" w:hAnsi="Times New Roman"/>
          <w:szCs w:val="18"/>
        </w:rPr>
        <w:t>http</w:t>
      </w:r>
      <w:r>
        <w:rPr>
          <w:rFonts w:ascii="Times New Roman" w:hAnsi="Times New Roman" w:hint="eastAsia"/>
          <w:szCs w:val="18"/>
        </w:rPr>
        <w:t>：</w:t>
      </w:r>
      <w:r>
        <w:rPr>
          <w:rFonts w:ascii="Times New Roman" w:hAnsi="Times New Roman"/>
          <w:szCs w:val="18"/>
        </w:rPr>
        <w:t>//images.mofcom.gov.cn/trb/201809/20180928150902558.pdf</w:t>
      </w:r>
      <w:r>
        <w:rPr>
          <w:rFonts w:ascii="Times New Roman" w:hAnsi="Times New Roman"/>
          <w:szCs w:val="18"/>
        </w:rPr>
        <w:t>）。</w:t>
      </w:r>
    </w:p>
  </w:footnote>
  <w:footnote w:id="5">
    <w:p w14:paraId="02BBBDCF" w14:textId="77777777" w:rsidR="00277E1C" w:rsidRDefault="00277E1C">
      <w:pPr>
        <w:pStyle w:val="a6"/>
        <w:rPr>
          <w:rFonts w:ascii="Times New Roman" w:hAnsi="Times New Roman"/>
          <w:szCs w:val="18"/>
        </w:rPr>
      </w:pPr>
      <w:r>
        <w:rPr>
          <w:rStyle w:val="aa"/>
          <w:rFonts w:ascii="Times New Roman" w:hAnsi="Times New Roman"/>
          <w:szCs w:val="18"/>
        </w:rPr>
        <w:footnoteRef/>
      </w:r>
      <w:r>
        <w:rPr>
          <w:rFonts w:ascii="Times New Roman" w:hAnsi="Times New Roman"/>
          <w:szCs w:val="18"/>
        </w:rPr>
        <w:t xml:space="preserve"> </w:t>
      </w:r>
      <w:r>
        <w:rPr>
          <w:rFonts w:ascii="Times New Roman" w:hAnsi="Times New Roman"/>
          <w:szCs w:val="18"/>
        </w:rPr>
        <w:t>透明度登记册是一个公共数据库，列出了包括正式或非正式组织、协会以及个体经营者在内的利益代表，这些代表开展的活动将影响欧盟法律或政策制定或欧盟机构的决策过程，</w:t>
      </w:r>
      <w:r>
        <w:rPr>
          <w:rFonts w:ascii="Times New Roman" w:hAnsi="Times New Roman" w:hint="eastAsia"/>
          <w:szCs w:val="18"/>
        </w:rPr>
        <w:t>“</w:t>
      </w:r>
      <w:r>
        <w:rPr>
          <w:rFonts w:ascii="Times New Roman" w:hAnsi="Times New Roman"/>
          <w:szCs w:val="18"/>
        </w:rPr>
        <w:t>透明度登记册</w:t>
      </w:r>
      <w:r>
        <w:rPr>
          <w:rFonts w:ascii="Times New Roman" w:hAnsi="Times New Roman" w:hint="eastAsia"/>
          <w:szCs w:val="18"/>
        </w:rPr>
        <w:t>”</w:t>
      </w:r>
      <w:r>
        <w:rPr>
          <w:rFonts w:ascii="Times New Roman" w:hAnsi="Times New Roman"/>
          <w:szCs w:val="18"/>
        </w:rPr>
        <w:t>提供了登记者所代表的利益层面及其与其他组织的隶属关系的信息。</w:t>
      </w:r>
    </w:p>
  </w:footnote>
  <w:footnote w:id="6">
    <w:p w14:paraId="776D6C76" w14:textId="77777777" w:rsidR="00277E1C" w:rsidRDefault="00277E1C">
      <w:pPr>
        <w:pStyle w:val="a6"/>
        <w:rPr>
          <w:rFonts w:ascii="Times New Roman" w:hAnsi="Times New Roman"/>
        </w:rPr>
      </w:pPr>
      <w:r>
        <w:rPr>
          <w:rStyle w:val="aa"/>
          <w:rFonts w:ascii="Times New Roman" w:hAnsi="Times New Roman"/>
          <w:szCs w:val="18"/>
        </w:rPr>
        <w:footnoteRef/>
      </w:r>
      <w:r>
        <w:rPr>
          <w:rFonts w:ascii="Times New Roman" w:hAnsi="Times New Roman"/>
          <w:szCs w:val="18"/>
        </w:rPr>
        <w:t xml:space="preserve"> </w:t>
      </w:r>
      <w:r>
        <w:rPr>
          <w:rFonts w:ascii="Times New Roman" w:hAnsi="Times New Roman"/>
          <w:szCs w:val="18"/>
        </w:rPr>
        <w:t>欧盟委员会要求申诉者要能够代表该行业</w:t>
      </w:r>
      <w:r>
        <w:rPr>
          <w:rFonts w:ascii="Times New Roman" w:hAnsi="Times New Roman"/>
          <w:szCs w:val="18"/>
        </w:rPr>
        <w:t>25%</w:t>
      </w:r>
      <w:r w:rsidR="00466471">
        <w:rPr>
          <w:rFonts w:ascii="Times New Roman" w:hAnsi="Times New Roman"/>
          <w:szCs w:val="18"/>
        </w:rPr>
        <w:t>及以上的比例，本文</w:t>
      </w:r>
      <w:r>
        <w:rPr>
          <w:rFonts w:ascii="Times New Roman" w:hAnsi="Times New Roman"/>
          <w:szCs w:val="18"/>
        </w:rPr>
        <w:t>从欧盟法律法规数据库</w:t>
      </w:r>
      <w:r>
        <w:rPr>
          <w:rFonts w:ascii="Times New Roman" w:hAnsi="Times New Roman" w:hint="eastAsia"/>
          <w:szCs w:val="18"/>
        </w:rPr>
        <w:t>（</w:t>
      </w:r>
      <w:r>
        <w:rPr>
          <w:rFonts w:ascii="Times New Roman" w:hAnsi="Times New Roman"/>
          <w:szCs w:val="18"/>
        </w:rPr>
        <w:t>Eur-lex</w:t>
      </w:r>
      <w:r>
        <w:rPr>
          <w:rFonts w:ascii="Times New Roman" w:hAnsi="Times New Roman" w:hint="eastAsia"/>
          <w:szCs w:val="18"/>
        </w:rPr>
        <w:t>）</w:t>
      </w:r>
      <w:r>
        <w:rPr>
          <w:rFonts w:ascii="Times New Roman" w:hAnsi="Times New Roman"/>
          <w:szCs w:val="18"/>
        </w:rPr>
        <w:t>提供的欧盟对华反倾销案件中提取了关于申诉者代表比例的信息。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AA9CC9"/>
    <w:multiLevelType w:val="singleLevel"/>
    <w:tmpl w:val="B8AA9CC9"/>
    <w:lvl w:ilvl="0">
      <w:start w:val="1"/>
      <w:numFmt w:val="chineseCounting"/>
      <w:suff w:val="nothing"/>
      <w:lvlText w:val="%1、"/>
      <w:lvlJc w:val="left"/>
      <w:rPr>
        <w:rFonts w:hint="eastAsia"/>
      </w:rPr>
    </w:lvl>
  </w:abstractNum>
  <w:abstractNum w:abstractNumId="1" w15:restartNumberingAfterBreak="0">
    <w:nsid w:val="D81D7D90"/>
    <w:multiLevelType w:val="singleLevel"/>
    <w:tmpl w:val="D81D7D90"/>
    <w:lvl w:ilvl="0">
      <w:start w:val="1"/>
      <w:numFmt w:val="chineseCounting"/>
      <w:suff w:val="nothing"/>
      <w:lvlText w:val="（%1）"/>
      <w:lvlJc w:val="left"/>
      <w:rPr>
        <w:rFonts w:hint="eastAsia"/>
      </w:rPr>
    </w:lvl>
  </w:abstractNum>
  <w:abstractNum w:abstractNumId="2" w15:restartNumberingAfterBreak="0">
    <w:nsid w:val="00000002"/>
    <w:multiLevelType w:val="multilevel"/>
    <w:tmpl w:val="00000002"/>
    <w:lvl w:ilvl="0">
      <w:start w:val="1"/>
      <w:numFmt w:val="decimal"/>
      <w:suff w:val="nothing"/>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16cid:durableId="1162357772">
    <w:abstractNumId w:val="0"/>
  </w:num>
  <w:num w:numId="2" w16cid:durableId="1034576208">
    <w:abstractNumId w:val="1"/>
  </w:num>
  <w:num w:numId="3" w16cid:durableId="860826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420"/>
  <w:drawingGridVerticalSpacing w:val="156"/>
  <w:noPunctuationKerning/>
  <w:characterSpacingControl w:val="compressPunctuation"/>
  <w:hdrShapeDefaults>
    <o:shapedefaults v:ext="edit" spidmax="2050"/>
  </w:hdrShapeDefaults>
  <w:footnotePr>
    <w:numFmt w:val="decimalEnclosedCircleChinese"/>
    <w:numRestart w:val="eachPage"/>
    <w:footnote w:id="-1"/>
    <w:footnote w:id="0"/>
  </w:footnotePr>
  <w:endnotePr>
    <w:numFmt w:val="decimalEnclosedCircleChinese"/>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172A27"/>
    <w:rsid w:val="00044D47"/>
    <w:rsid w:val="00062D05"/>
    <w:rsid w:val="000B14A0"/>
    <w:rsid w:val="000B32E2"/>
    <w:rsid w:val="000C1AE0"/>
    <w:rsid w:val="00105E9B"/>
    <w:rsid w:val="001369E3"/>
    <w:rsid w:val="00172A27"/>
    <w:rsid w:val="00185A37"/>
    <w:rsid w:val="001C46C1"/>
    <w:rsid w:val="00214F2A"/>
    <w:rsid w:val="00277E1C"/>
    <w:rsid w:val="00283E98"/>
    <w:rsid w:val="00284F20"/>
    <w:rsid w:val="002D492F"/>
    <w:rsid w:val="00390EF6"/>
    <w:rsid w:val="00401346"/>
    <w:rsid w:val="004235BB"/>
    <w:rsid w:val="00440A57"/>
    <w:rsid w:val="00466471"/>
    <w:rsid w:val="00480BCB"/>
    <w:rsid w:val="004B7401"/>
    <w:rsid w:val="004C68A7"/>
    <w:rsid w:val="004E4B48"/>
    <w:rsid w:val="004F1BF3"/>
    <w:rsid w:val="00501C7E"/>
    <w:rsid w:val="00531D04"/>
    <w:rsid w:val="00541E76"/>
    <w:rsid w:val="005614A0"/>
    <w:rsid w:val="00587A16"/>
    <w:rsid w:val="005B437A"/>
    <w:rsid w:val="005C6172"/>
    <w:rsid w:val="00636B06"/>
    <w:rsid w:val="00655D5E"/>
    <w:rsid w:val="00665402"/>
    <w:rsid w:val="006B6B16"/>
    <w:rsid w:val="006C2E01"/>
    <w:rsid w:val="006E3882"/>
    <w:rsid w:val="00701569"/>
    <w:rsid w:val="00783A84"/>
    <w:rsid w:val="007F063D"/>
    <w:rsid w:val="007F2BBF"/>
    <w:rsid w:val="00800010"/>
    <w:rsid w:val="00823BF0"/>
    <w:rsid w:val="00843BDC"/>
    <w:rsid w:val="008442C9"/>
    <w:rsid w:val="00926EB5"/>
    <w:rsid w:val="00930101"/>
    <w:rsid w:val="00930C2C"/>
    <w:rsid w:val="00957528"/>
    <w:rsid w:val="00993246"/>
    <w:rsid w:val="009C070E"/>
    <w:rsid w:val="00AE0FBF"/>
    <w:rsid w:val="00B253DE"/>
    <w:rsid w:val="00B337A0"/>
    <w:rsid w:val="00B62979"/>
    <w:rsid w:val="00BA486E"/>
    <w:rsid w:val="00BB4E27"/>
    <w:rsid w:val="00C01244"/>
    <w:rsid w:val="00C41057"/>
    <w:rsid w:val="00C64008"/>
    <w:rsid w:val="00C9400B"/>
    <w:rsid w:val="00CD0D4E"/>
    <w:rsid w:val="00D20A91"/>
    <w:rsid w:val="00D50B21"/>
    <w:rsid w:val="00D80106"/>
    <w:rsid w:val="00D84ED7"/>
    <w:rsid w:val="00DA3A58"/>
    <w:rsid w:val="00DA6E22"/>
    <w:rsid w:val="00E01319"/>
    <w:rsid w:val="00E35CC4"/>
    <w:rsid w:val="00E51D4A"/>
    <w:rsid w:val="00E81881"/>
    <w:rsid w:val="00E918A6"/>
    <w:rsid w:val="00EC2D09"/>
    <w:rsid w:val="00EC5712"/>
    <w:rsid w:val="00F250AB"/>
    <w:rsid w:val="00F33286"/>
    <w:rsid w:val="00F61E2E"/>
    <w:rsid w:val="00F80A21"/>
    <w:rsid w:val="00F9182B"/>
    <w:rsid w:val="00F92931"/>
    <w:rsid w:val="00FE1FDC"/>
    <w:rsid w:val="00FE65E9"/>
    <w:rsid w:val="00FF587C"/>
    <w:rsid w:val="02056048"/>
    <w:rsid w:val="024D13BC"/>
    <w:rsid w:val="030E6E64"/>
    <w:rsid w:val="047258A5"/>
    <w:rsid w:val="04B34A97"/>
    <w:rsid w:val="059251DF"/>
    <w:rsid w:val="05E3490F"/>
    <w:rsid w:val="05FB5E65"/>
    <w:rsid w:val="07895E06"/>
    <w:rsid w:val="08FC70AB"/>
    <w:rsid w:val="08FE6B93"/>
    <w:rsid w:val="0B577746"/>
    <w:rsid w:val="0BA650B0"/>
    <w:rsid w:val="0BD12041"/>
    <w:rsid w:val="0E446BF0"/>
    <w:rsid w:val="0F6A775E"/>
    <w:rsid w:val="100214D2"/>
    <w:rsid w:val="10840454"/>
    <w:rsid w:val="11DF756D"/>
    <w:rsid w:val="1252421A"/>
    <w:rsid w:val="157F38CE"/>
    <w:rsid w:val="160E72C1"/>
    <w:rsid w:val="18F13A4F"/>
    <w:rsid w:val="1BB70BA7"/>
    <w:rsid w:val="1D8B7193"/>
    <w:rsid w:val="207A1B46"/>
    <w:rsid w:val="2118245A"/>
    <w:rsid w:val="21300121"/>
    <w:rsid w:val="227666DC"/>
    <w:rsid w:val="22B863CF"/>
    <w:rsid w:val="24E5448E"/>
    <w:rsid w:val="29795602"/>
    <w:rsid w:val="29850EA8"/>
    <w:rsid w:val="29AE37F5"/>
    <w:rsid w:val="2BCB7305"/>
    <w:rsid w:val="2BDE1084"/>
    <w:rsid w:val="2C911CC8"/>
    <w:rsid w:val="301150FF"/>
    <w:rsid w:val="30716517"/>
    <w:rsid w:val="33DA6921"/>
    <w:rsid w:val="34725B9A"/>
    <w:rsid w:val="34BE3DF6"/>
    <w:rsid w:val="35325BEB"/>
    <w:rsid w:val="353A4891"/>
    <w:rsid w:val="35DD5710"/>
    <w:rsid w:val="362C7B08"/>
    <w:rsid w:val="376F7F56"/>
    <w:rsid w:val="39F22A8E"/>
    <w:rsid w:val="3AE57D2D"/>
    <w:rsid w:val="3CCB1CDC"/>
    <w:rsid w:val="3DB364AD"/>
    <w:rsid w:val="3DBB6AF9"/>
    <w:rsid w:val="3EBF11B6"/>
    <w:rsid w:val="3EEC4DA1"/>
    <w:rsid w:val="40AC7ED6"/>
    <w:rsid w:val="4449551A"/>
    <w:rsid w:val="44C166F5"/>
    <w:rsid w:val="45797712"/>
    <w:rsid w:val="4664740A"/>
    <w:rsid w:val="46A22493"/>
    <w:rsid w:val="499740BA"/>
    <w:rsid w:val="4A176EAE"/>
    <w:rsid w:val="4C2542D6"/>
    <w:rsid w:val="4CB22BAD"/>
    <w:rsid w:val="4CB83400"/>
    <w:rsid w:val="4F8947CD"/>
    <w:rsid w:val="50045CBF"/>
    <w:rsid w:val="506D5B07"/>
    <w:rsid w:val="51D61DA2"/>
    <w:rsid w:val="5268268C"/>
    <w:rsid w:val="54702FEB"/>
    <w:rsid w:val="55991F9B"/>
    <w:rsid w:val="55E77736"/>
    <w:rsid w:val="575A60F8"/>
    <w:rsid w:val="57F23F8F"/>
    <w:rsid w:val="59C1539E"/>
    <w:rsid w:val="5B4425A0"/>
    <w:rsid w:val="5C4B65FB"/>
    <w:rsid w:val="5D513A74"/>
    <w:rsid w:val="5DC92F09"/>
    <w:rsid w:val="5E1A2A94"/>
    <w:rsid w:val="5E323B5B"/>
    <w:rsid w:val="5E5B3EB9"/>
    <w:rsid w:val="5E684A65"/>
    <w:rsid w:val="5FA70AB1"/>
    <w:rsid w:val="60B35636"/>
    <w:rsid w:val="6169262F"/>
    <w:rsid w:val="619C5C8A"/>
    <w:rsid w:val="62AF31EE"/>
    <w:rsid w:val="62B80EEB"/>
    <w:rsid w:val="64950680"/>
    <w:rsid w:val="65A22125"/>
    <w:rsid w:val="65D66F23"/>
    <w:rsid w:val="67827EAC"/>
    <w:rsid w:val="6A4733E6"/>
    <w:rsid w:val="6B8B258A"/>
    <w:rsid w:val="6C363B9E"/>
    <w:rsid w:val="6D0F40FB"/>
    <w:rsid w:val="6D5E36BC"/>
    <w:rsid w:val="6D5F65C1"/>
    <w:rsid w:val="6EE964AB"/>
    <w:rsid w:val="6F24373C"/>
    <w:rsid w:val="709937EF"/>
    <w:rsid w:val="70DA7D29"/>
    <w:rsid w:val="711B44E1"/>
    <w:rsid w:val="71B54B27"/>
    <w:rsid w:val="72445F08"/>
    <w:rsid w:val="73912327"/>
    <w:rsid w:val="74962EFC"/>
    <w:rsid w:val="75143E7A"/>
    <w:rsid w:val="7669207A"/>
    <w:rsid w:val="77134A2B"/>
    <w:rsid w:val="77A613DD"/>
    <w:rsid w:val="7D577A03"/>
    <w:rsid w:val="7E490F26"/>
    <w:rsid w:val="7E95593D"/>
    <w:rsid w:val="7EC54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8C159"/>
  <w15:docId w15:val="{2FE56E26-2647-4C4C-B4A3-CCFC0B82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unhideWhenUsed="1" w:qFormat="1"/>
    <w:lsdException w:name="caption" w:semiHidden="1" w:unhideWhenUsed="1" w:qFormat="1"/>
    <w:lsdException w:name="footnote reference" w:qFormat="1"/>
    <w:lsdException w:name="annotation reference" w:qFormat="1"/>
    <w:lsdException w:name="endnote text" w:qFormat="1"/>
    <w:lsdException w:name="Title" w:qFormat="1"/>
    <w:lsdException w:name="Default Paragraph Font" w:semiHidden="1" w:uiPriority="1" w:unhideWhenUsed="1" w:qFormat="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5402"/>
    <w:pPr>
      <w:widowControl w:val="0"/>
      <w:suppressAutoHyphens/>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665402"/>
    <w:pPr>
      <w:ind w:left="214"/>
      <w:jc w:val="left"/>
    </w:pPr>
    <w:rPr>
      <w:rFonts w:ascii="宋体" w:hAnsi="宋体" w:cs="宋体"/>
      <w:kern w:val="0"/>
      <w:szCs w:val="21"/>
      <w:lang w:val="zh-CN" w:bidi="zh-CN"/>
    </w:rPr>
  </w:style>
  <w:style w:type="paragraph" w:styleId="a4">
    <w:name w:val="endnote text"/>
    <w:basedOn w:val="a"/>
    <w:qFormat/>
    <w:rsid w:val="00665402"/>
    <w:pPr>
      <w:snapToGrid w:val="0"/>
      <w:jc w:val="left"/>
    </w:pPr>
  </w:style>
  <w:style w:type="paragraph" w:styleId="a5">
    <w:name w:val="footer"/>
    <w:basedOn w:val="a"/>
    <w:uiPriority w:val="99"/>
    <w:unhideWhenUsed/>
    <w:qFormat/>
    <w:rsid w:val="00665402"/>
    <w:pPr>
      <w:tabs>
        <w:tab w:val="center" w:pos="4153"/>
        <w:tab w:val="right" w:pos="8306"/>
      </w:tabs>
      <w:snapToGrid w:val="0"/>
      <w:jc w:val="left"/>
    </w:pPr>
    <w:rPr>
      <w:sz w:val="18"/>
    </w:rPr>
  </w:style>
  <w:style w:type="paragraph" w:styleId="a6">
    <w:name w:val="footnote text"/>
    <w:basedOn w:val="a"/>
    <w:qFormat/>
    <w:rsid w:val="00665402"/>
    <w:pPr>
      <w:snapToGrid w:val="0"/>
      <w:jc w:val="left"/>
    </w:pPr>
    <w:rPr>
      <w:sz w:val="18"/>
    </w:rPr>
  </w:style>
  <w:style w:type="table" w:styleId="a7">
    <w:name w:val="Table Grid"/>
    <w:basedOn w:val="a1"/>
    <w:qFormat/>
    <w:rsid w:val="006654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sid w:val="00665402"/>
    <w:rPr>
      <w:color w:val="0563C1" w:themeColor="hyperlink"/>
      <w:u w:val="single"/>
    </w:rPr>
  </w:style>
  <w:style w:type="character" w:styleId="a9">
    <w:name w:val="annotation reference"/>
    <w:basedOn w:val="a0"/>
    <w:qFormat/>
    <w:rsid w:val="00665402"/>
    <w:rPr>
      <w:sz w:val="21"/>
      <w:szCs w:val="21"/>
    </w:rPr>
  </w:style>
  <w:style w:type="character" w:styleId="aa">
    <w:name w:val="footnote reference"/>
    <w:qFormat/>
    <w:rsid w:val="00665402"/>
    <w:rPr>
      <w:vertAlign w:val="superscript"/>
    </w:rPr>
  </w:style>
  <w:style w:type="character" w:customStyle="1" w:styleId="font21">
    <w:name w:val="font21"/>
    <w:basedOn w:val="a0"/>
    <w:qFormat/>
    <w:rsid w:val="00665402"/>
    <w:rPr>
      <w:rFonts w:ascii="Times New Roman" w:hAnsi="Times New Roman" w:cs="Times New Roman" w:hint="default"/>
      <w:color w:val="000000"/>
      <w:sz w:val="16"/>
      <w:szCs w:val="16"/>
      <w:u w:val="none"/>
    </w:rPr>
  </w:style>
  <w:style w:type="paragraph" w:customStyle="1" w:styleId="formula">
    <w:name w:val="formula"/>
    <w:basedOn w:val="a"/>
    <w:next w:val="a"/>
    <w:qFormat/>
    <w:rsid w:val="00665402"/>
    <w:pPr>
      <w:tabs>
        <w:tab w:val="center" w:pos="1537"/>
        <w:tab w:val="right" w:pos="3742"/>
      </w:tabs>
      <w:ind w:firstLineChars="200" w:firstLine="420"/>
      <w:jc w:val="left"/>
    </w:pPr>
    <w:rPr>
      <w:rFonts w:ascii="Times New Roman" w:hAnsi="Times New Roman"/>
      <w:szCs w:val="21"/>
    </w:rPr>
  </w:style>
  <w:style w:type="paragraph" w:customStyle="1" w:styleId="1">
    <w:name w:val="普通(网站)1"/>
    <w:basedOn w:val="a"/>
    <w:qFormat/>
    <w:rsid w:val="00665402"/>
    <w:pPr>
      <w:spacing w:before="280" w:after="280"/>
      <w:jc w:val="left"/>
    </w:pPr>
    <w:rPr>
      <w:kern w:val="0"/>
      <w:sz w:val="24"/>
    </w:rPr>
  </w:style>
  <w:style w:type="character" w:customStyle="1" w:styleId="10">
    <w:name w:val="未处理的提及1"/>
    <w:basedOn w:val="a0"/>
    <w:uiPriority w:val="99"/>
    <w:semiHidden/>
    <w:unhideWhenUsed/>
    <w:qFormat/>
    <w:rsid w:val="00665402"/>
    <w:rPr>
      <w:color w:val="605E5C"/>
      <w:shd w:val="clear" w:color="auto" w:fill="E1DFDD"/>
    </w:rPr>
  </w:style>
  <w:style w:type="paragraph" w:styleId="ab">
    <w:name w:val="Balloon Text"/>
    <w:basedOn w:val="a"/>
    <w:link w:val="ac"/>
    <w:rsid w:val="00957528"/>
    <w:rPr>
      <w:sz w:val="18"/>
      <w:szCs w:val="18"/>
    </w:rPr>
  </w:style>
  <w:style w:type="character" w:customStyle="1" w:styleId="ac">
    <w:name w:val="批注框文本 字符"/>
    <w:basedOn w:val="a0"/>
    <w:link w:val="ab"/>
    <w:rsid w:val="00957528"/>
    <w:rPr>
      <w:rFonts w:ascii="Calibri" w:hAnsi="Calibri"/>
      <w:kern w:val="2"/>
      <w:sz w:val="18"/>
      <w:szCs w:val="18"/>
    </w:rPr>
  </w:style>
  <w:style w:type="paragraph" w:styleId="ad">
    <w:name w:val="Document Map"/>
    <w:basedOn w:val="a"/>
    <w:link w:val="ae"/>
    <w:rsid w:val="00957528"/>
    <w:rPr>
      <w:rFonts w:ascii="宋体"/>
      <w:sz w:val="18"/>
      <w:szCs w:val="18"/>
    </w:rPr>
  </w:style>
  <w:style w:type="character" w:customStyle="1" w:styleId="ae">
    <w:name w:val="文档结构图 字符"/>
    <w:basedOn w:val="a0"/>
    <w:link w:val="ad"/>
    <w:rsid w:val="00957528"/>
    <w:rPr>
      <w:rFonts w:ascii="宋体" w:hAnsi="Calibri"/>
      <w:kern w:val="2"/>
      <w:sz w:val="18"/>
      <w:szCs w:val="18"/>
    </w:rPr>
  </w:style>
  <w:style w:type="paragraph" w:styleId="af">
    <w:name w:val="header"/>
    <w:basedOn w:val="a"/>
    <w:link w:val="af0"/>
    <w:rsid w:val="00957528"/>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rsid w:val="0095752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cs.mofcom.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cs.mofcom.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cs.mofcom.gov.c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acs.mofcom.gov.cn/cacscms/article/ckys?articleId=119723&amp;type=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ACB26-A049-40AE-9D22-E526E529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6091</Words>
  <Characters>34721</Characters>
  <Application>Microsoft Office Word</Application>
  <DocSecurity>0</DocSecurity>
  <Lines>289</Lines>
  <Paragraphs>81</Paragraphs>
  <ScaleCrop>false</ScaleCrop>
  <Company/>
  <LinksUpToDate>false</LinksUpToDate>
  <CharactersWithSpaces>40731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汩汩</dc:creator>
  <cp:lastModifiedBy>He Wei</cp:lastModifiedBy>
  <cp:revision>13</cp:revision>
  <dcterms:created xsi:type="dcterms:W3CDTF">2023-07-12T09:27:00Z</dcterms:created>
  <dcterms:modified xsi:type="dcterms:W3CDTF">2023-09-28T09:26:00Z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30A17DA5357B4D7C807650F67D0307A2</vt:lpwstr>
  </property>
</Properties>
</file>