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7BC3" w14:textId="77777777" w:rsidR="00DE7EC6" w:rsidRPr="00857B61" w:rsidRDefault="00000000">
      <w:pPr>
        <w:pStyle w:val="10"/>
        <w:spacing w:before="0" w:after="0" w:line="240" w:lineRule="auto"/>
        <w:jc w:val="center"/>
      </w:pPr>
      <w:r w:rsidRPr="00857B61">
        <w:rPr>
          <w:rFonts w:hint="eastAsia"/>
        </w:rPr>
        <w:t>检察行政公益诉讼制度能有效</w:t>
      </w:r>
    </w:p>
    <w:p w14:paraId="30C6B65E" w14:textId="77777777" w:rsidR="00DE7EC6" w:rsidRPr="00857B61" w:rsidRDefault="00000000">
      <w:pPr>
        <w:pStyle w:val="10"/>
        <w:spacing w:before="0" w:after="0" w:line="240" w:lineRule="auto"/>
        <w:jc w:val="center"/>
      </w:pPr>
      <w:r w:rsidRPr="00857B61">
        <w:rPr>
          <w:rFonts w:hint="eastAsia"/>
        </w:rPr>
        <w:t>保护国有资产吗</w:t>
      </w:r>
    </w:p>
    <w:p w14:paraId="524EF569" w14:textId="77777777" w:rsidR="00DE7EC6" w:rsidRPr="00857B61" w:rsidRDefault="00000000">
      <w:pPr>
        <w:pStyle w:val="10"/>
        <w:spacing w:before="0" w:after="0" w:line="240" w:lineRule="auto"/>
        <w:jc w:val="center"/>
      </w:pPr>
      <w:r w:rsidRPr="00857B61">
        <w:rPr>
          <w:rFonts w:hint="eastAsia"/>
          <w:b w:val="0"/>
          <w:bCs w:val="0"/>
          <w:sz w:val="32"/>
          <w:szCs w:val="32"/>
        </w:rPr>
        <w:t>——基于国有企业并购行为的讨论</w:t>
      </w:r>
    </w:p>
    <w:p w14:paraId="3A299F00" w14:textId="77777777" w:rsidR="00DE7EC6" w:rsidRPr="00857B61" w:rsidRDefault="00000000">
      <w:pPr>
        <w:spacing w:beforeLines="100" w:before="312" w:afterLines="100" w:after="312"/>
        <w:jc w:val="center"/>
        <w:rPr>
          <w:rFonts w:ascii="Times New Roman" w:eastAsia="宋体" w:hAnsi="Times New Roman" w:cs="Times New Roman"/>
          <w:bCs/>
          <w:szCs w:val="21"/>
        </w:rPr>
      </w:pPr>
      <w:r w:rsidRPr="00857B61">
        <w:rPr>
          <w:rFonts w:ascii="Times New Roman" w:eastAsia="宋体" w:hAnsi="Times New Roman" w:cs="Times New Roman"/>
          <w:bCs/>
          <w:szCs w:val="21"/>
        </w:rPr>
        <w:t>步晓宁</w:t>
      </w:r>
      <w:r w:rsidRPr="00857B61">
        <w:rPr>
          <w:rFonts w:ascii="Times New Roman" w:eastAsia="宋体" w:hAnsi="Times New Roman" w:cs="Times New Roman"/>
          <w:bCs/>
          <w:szCs w:val="21"/>
        </w:rPr>
        <w:t xml:space="preserve">  </w:t>
      </w:r>
      <w:r w:rsidRPr="00857B61">
        <w:rPr>
          <w:rFonts w:ascii="Times New Roman" w:eastAsia="宋体" w:hAnsi="Times New Roman" w:cs="Times New Roman"/>
          <w:bCs/>
          <w:szCs w:val="21"/>
        </w:rPr>
        <w:t>潘晓珊</w:t>
      </w:r>
      <w:r w:rsidRPr="00857B61">
        <w:rPr>
          <w:rFonts w:ascii="Times New Roman" w:eastAsia="宋体" w:hAnsi="Times New Roman" w:cs="Times New Roman"/>
          <w:bCs/>
          <w:szCs w:val="21"/>
        </w:rPr>
        <w:t xml:space="preserve">  </w:t>
      </w:r>
      <w:r w:rsidRPr="00857B61">
        <w:rPr>
          <w:rFonts w:ascii="Times New Roman" w:eastAsia="宋体" w:hAnsi="Times New Roman" w:cs="Times New Roman"/>
          <w:bCs/>
          <w:szCs w:val="21"/>
        </w:rPr>
        <w:t>张少华</w:t>
      </w:r>
      <w:r w:rsidRPr="00857B61">
        <w:rPr>
          <w:rStyle w:val="a9"/>
          <w:rFonts w:ascii="Times New Roman" w:eastAsia="宋体" w:hAnsi="Times New Roman" w:cs="Times New Roman"/>
          <w:bCs/>
          <w:szCs w:val="21"/>
        </w:rPr>
        <w:footnoteReference w:id="1"/>
      </w:r>
    </w:p>
    <w:p w14:paraId="69C5A561" w14:textId="77777777" w:rsidR="00DE7EC6" w:rsidRPr="00857B61" w:rsidRDefault="00000000">
      <w:pPr>
        <w:ind w:firstLineChars="200" w:firstLine="420"/>
        <w:rPr>
          <w:rFonts w:ascii="Times New Roman" w:eastAsia="楷体" w:hAnsi="Times New Roman"/>
          <w:szCs w:val="21"/>
        </w:rPr>
      </w:pPr>
      <w:r w:rsidRPr="00857B61">
        <w:rPr>
          <w:rFonts w:ascii="黑体" w:eastAsia="黑体" w:hAnsi="黑体" w:cs="黑体" w:hint="eastAsia"/>
          <w:bCs/>
          <w:szCs w:val="21"/>
        </w:rPr>
        <w:t>摘要：</w:t>
      </w:r>
      <w:r w:rsidRPr="00857B61">
        <w:rPr>
          <w:rFonts w:ascii="Times New Roman" w:eastAsia="楷体" w:hAnsi="Times New Roman" w:hint="eastAsia"/>
          <w:szCs w:val="21"/>
        </w:rPr>
        <w:t>检察行政公益诉讼制度作为一项制度创新，能否有效防范国有资产流失，需要深入探究。本文利用双重差分法（</w:t>
      </w:r>
      <w:r w:rsidRPr="00857B61">
        <w:rPr>
          <w:rFonts w:ascii="Times New Roman" w:eastAsia="楷体" w:hAnsi="Times New Roman" w:cs="Times New Roman" w:hint="eastAsia"/>
          <w:szCs w:val="21"/>
        </w:rPr>
        <w:t>DID</w:t>
      </w:r>
      <w:r w:rsidRPr="00857B61">
        <w:rPr>
          <w:rFonts w:ascii="Times New Roman" w:eastAsia="楷体" w:hAnsi="Times New Roman" w:hint="eastAsia"/>
          <w:szCs w:val="21"/>
        </w:rPr>
        <w:t>）研究检察行政公益诉讼制度试点的实施是否有效抑制了并购中的国有资产流失。研究发现：该制度试点的实施有效抑制了国有资产流失，而且产生了强烈的“威慑效应”。相比省属国有企业、央企而言，该制度对其他类型国有企业的资产流失抑制作用更强；与国有企业相比，当买方企业为非国有性质时，并购引起的国有资产流失会受到该制度更强的抑制作用；该制度对跨省和跨行业并购引起的国有资产流失也产生了更强烈的抑制作用。调节效应分析表明：卖方企业在并购实施前的亏损状态会减轻检察行政公益诉讼制度的抑制效应；而地区执法强度会强化这种抑制作用。机制分析表明：检察行政公益诉讼制度主要是通过降低代理成本和提高信息披露质量来发挥作用。本文研究对我国探索法律制度创新以保护国有资产提供了学理依据。</w:t>
      </w:r>
    </w:p>
    <w:p w14:paraId="5E666708" w14:textId="77777777" w:rsidR="00DE7EC6" w:rsidRPr="00857B61" w:rsidRDefault="00000000">
      <w:pPr>
        <w:ind w:firstLineChars="200" w:firstLine="420"/>
        <w:rPr>
          <w:rFonts w:ascii="Times New Roman" w:eastAsia="黑体" w:hAnsi="Times New Roman" w:cs="Times New Roman"/>
          <w:bCs/>
          <w:szCs w:val="21"/>
        </w:rPr>
      </w:pPr>
      <w:r w:rsidRPr="00857B61">
        <w:rPr>
          <w:rFonts w:ascii="黑体" w:eastAsia="黑体" w:hAnsi="黑体" w:cs="黑体" w:hint="eastAsia"/>
          <w:bCs/>
          <w:szCs w:val="21"/>
        </w:rPr>
        <w:t>关键词：</w:t>
      </w:r>
      <w:r w:rsidRPr="00857B61">
        <w:rPr>
          <w:rFonts w:ascii="Times New Roman" w:eastAsia="楷体" w:hAnsi="Times New Roman" w:hint="eastAsia"/>
          <w:szCs w:val="21"/>
        </w:rPr>
        <w:t>行政公益诉讼</w:t>
      </w:r>
      <w:r w:rsidRPr="00857B61">
        <w:rPr>
          <w:rFonts w:ascii="Times New Roman" w:eastAsia="楷体" w:hAnsi="Times New Roman" w:hint="eastAsia"/>
          <w:szCs w:val="21"/>
        </w:rPr>
        <w:t xml:space="preserve">  </w:t>
      </w:r>
      <w:r w:rsidRPr="00857B61">
        <w:rPr>
          <w:rFonts w:ascii="Times New Roman" w:eastAsia="楷体" w:hAnsi="Times New Roman" w:hint="eastAsia"/>
          <w:szCs w:val="21"/>
        </w:rPr>
        <w:t>国有资产流失</w:t>
      </w:r>
      <w:r w:rsidRPr="00857B61">
        <w:rPr>
          <w:rFonts w:ascii="Times New Roman" w:eastAsia="楷体" w:hAnsi="Times New Roman" w:hint="eastAsia"/>
          <w:szCs w:val="21"/>
        </w:rPr>
        <w:t xml:space="preserve">  </w:t>
      </w:r>
      <w:r w:rsidRPr="00857B61">
        <w:rPr>
          <w:rFonts w:ascii="Times New Roman" w:eastAsia="楷体" w:hAnsi="Times New Roman" w:hint="eastAsia"/>
          <w:szCs w:val="21"/>
        </w:rPr>
        <w:t>并购</w:t>
      </w:r>
    </w:p>
    <w:p w14:paraId="198B9438" w14:textId="77777777" w:rsidR="00DE7EC6" w:rsidRPr="00857B61" w:rsidRDefault="00000000">
      <w:pPr>
        <w:pStyle w:val="2"/>
        <w:spacing w:before="120" w:after="120" w:line="240" w:lineRule="auto"/>
        <w:jc w:val="center"/>
        <w:rPr>
          <w:rFonts w:ascii="宋体" w:eastAsia="宋体" w:hAnsi="宋体" w:cs="宋体"/>
        </w:rPr>
      </w:pPr>
      <w:r w:rsidRPr="00857B61">
        <w:rPr>
          <w:rFonts w:ascii="宋体" w:eastAsia="宋体" w:hAnsi="宋体" w:cs="宋体" w:hint="eastAsia"/>
        </w:rPr>
        <w:t>一、引言</w:t>
      </w:r>
    </w:p>
    <w:p w14:paraId="1AC1FAEB" w14:textId="77777777" w:rsidR="00DE7EC6" w:rsidRPr="00857B61" w:rsidRDefault="00000000">
      <w:pPr>
        <w:ind w:firstLineChars="200" w:firstLine="420"/>
        <w:rPr>
          <w:rFonts w:ascii="Times New Roman" w:eastAsia="宋体" w:hAnsi="Times New Roman" w:cs="Times New Roman"/>
          <w:szCs w:val="21"/>
        </w:rPr>
      </w:pPr>
      <w:r w:rsidRPr="00857B61">
        <w:rPr>
          <w:rFonts w:ascii="Times New Roman" w:eastAsia="宋体" w:hAnsi="Times New Roman" w:cs="Times New Roman" w:hint="eastAsia"/>
          <w:szCs w:val="21"/>
        </w:rPr>
        <w:t>国有经济在我国发挥着战略支撑作用，承担着战略安全、产业引领、国计民生以及公共服务等重大功能。习近平总书记在十八届中央纪委五次全会上明确指出：“国有资产资源来之不易，是全国人民的共同财富。”</w:t>
      </w:r>
      <w:r w:rsidRPr="00857B61">
        <w:rPr>
          <w:rFonts w:eastAsia="宋体" w:hint="eastAsia"/>
          <w:szCs w:val="21"/>
        </w:rPr>
        <w:t>但是，国有资产却一直面临着资产流失的重大威胁，尤其是推行国有企业改制后，资产流失规模愈加庞</w:t>
      </w:r>
      <w:r w:rsidRPr="00857B61">
        <w:rPr>
          <w:rFonts w:ascii="Times New Roman" w:eastAsia="宋体" w:hAnsi="Times New Roman" w:cs="Times New Roman"/>
          <w:szCs w:val="21"/>
        </w:rPr>
        <w:t>大。</w:t>
      </w:r>
      <w:r w:rsidRPr="00857B61">
        <w:rPr>
          <w:rFonts w:ascii="Times New Roman" w:hAnsi="Times New Roman" w:cs="Times New Roman"/>
          <w:szCs w:val="21"/>
        </w:rPr>
        <w:t>根据前期国家国有资产管理局的统计，在</w:t>
      </w:r>
      <w:r w:rsidRPr="00857B61">
        <w:rPr>
          <w:rFonts w:ascii="Times New Roman" w:hAnsi="Times New Roman" w:cs="Times New Roman"/>
          <w:szCs w:val="21"/>
        </w:rPr>
        <w:t>1982</w:t>
      </w:r>
      <w:r w:rsidRPr="00857B61">
        <w:rPr>
          <w:rFonts w:ascii="Times New Roman" w:hAnsi="Times New Roman" w:cs="Times New Roman"/>
          <w:szCs w:val="21"/>
        </w:rPr>
        <w:t>年至</w:t>
      </w:r>
      <w:r w:rsidRPr="00857B61">
        <w:rPr>
          <w:rFonts w:ascii="Times New Roman" w:hAnsi="Times New Roman" w:cs="Times New Roman"/>
          <w:szCs w:val="21"/>
        </w:rPr>
        <w:t>1992</w:t>
      </w:r>
      <w:r w:rsidRPr="00857B61">
        <w:rPr>
          <w:rFonts w:ascii="Times New Roman" w:hAnsi="Times New Roman" w:cs="Times New Roman"/>
          <w:szCs w:val="21"/>
        </w:rPr>
        <w:t>年间，</w:t>
      </w:r>
      <w:r w:rsidRPr="00857B61">
        <w:rPr>
          <w:rFonts w:ascii="Times New Roman" w:hAnsi="Times New Roman" w:cs="Times New Roman" w:hint="eastAsia"/>
          <w:szCs w:val="21"/>
        </w:rPr>
        <w:t>我国</w:t>
      </w:r>
      <w:r w:rsidRPr="00857B61">
        <w:rPr>
          <w:rFonts w:ascii="Times New Roman" w:hAnsi="Times New Roman" w:cs="Times New Roman"/>
          <w:szCs w:val="21"/>
        </w:rPr>
        <w:t>每年</w:t>
      </w:r>
      <w:r w:rsidRPr="00857B61">
        <w:rPr>
          <w:rFonts w:ascii="Times New Roman" w:hAnsi="Times New Roman" w:cs="Times New Roman" w:hint="eastAsia"/>
          <w:szCs w:val="21"/>
        </w:rPr>
        <w:t>造成的</w:t>
      </w:r>
      <w:r w:rsidRPr="00857B61">
        <w:rPr>
          <w:rFonts w:ascii="Times New Roman" w:hAnsi="Times New Roman" w:cs="Times New Roman"/>
          <w:szCs w:val="21"/>
        </w:rPr>
        <w:t>国有资产流失量就已经高达</w:t>
      </w:r>
      <w:r w:rsidRPr="00857B61">
        <w:rPr>
          <w:rFonts w:ascii="Times New Roman" w:hAnsi="Times New Roman" w:cs="Times New Roman"/>
          <w:szCs w:val="21"/>
        </w:rPr>
        <w:t>500</w:t>
      </w:r>
      <w:r w:rsidRPr="00857B61">
        <w:rPr>
          <w:rFonts w:ascii="Times New Roman" w:hAnsi="Times New Roman" w:cs="Times New Roman"/>
          <w:szCs w:val="21"/>
        </w:rPr>
        <w:t>多亿元，而在国有企业体制改革正盛的数年间，每年造成的国有资产流失量更是</w:t>
      </w:r>
      <w:r w:rsidRPr="00857B61">
        <w:rPr>
          <w:rFonts w:ascii="Times New Roman" w:hAnsi="Times New Roman" w:cs="Times New Roman" w:hint="eastAsia"/>
          <w:szCs w:val="21"/>
        </w:rPr>
        <w:t>呈现</w:t>
      </w:r>
      <w:r w:rsidRPr="00857B61">
        <w:rPr>
          <w:rFonts w:ascii="Times New Roman" w:hAnsi="Times New Roman" w:cs="Times New Roman"/>
          <w:szCs w:val="21"/>
        </w:rPr>
        <w:t>迅速增长</w:t>
      </w:r>
      <w:r w:rsidRPr="00857B61">
        <w:rPr>
          <w:rFonts w:ascii="Times New Roman" w:hAnsi="Times New Roman" w:cs="Times New Roman" w:hint="eastAsia"/>
          <w:szCs w:val="21"/>
        </w:rPr>
        <w:t>的趋势</w:t>
      </w:r>
      <w:r w:rsidRPr="00857B61">
        <w:rPr>
          <w:rFonts w:ascii="Times New Roman" w:hAnsi="Times New Roman" w:cs="Times New Roman"/>
          <w:szCs w:val="21"/>
        </w:rPr>
        <w:t>。</w:t>
      </w:r>
      <w:r w:rsidRPr="00857B61">
        <w:rPr>
          <w:rFonts w:eastAsia="宋体" w:hint="eastAsia"/>
          <w:szCs w:val="21"/>
        </w:rPr>
        <w:t>国资委多次强调要牢牢守住防止国有资产流失这条红线。</w:t>
      </w:r>
      <w:r w:rsidRPr="00857B61">
        <w:rPr>
          <w:rFonts w:ascii="Times New Roman" w:hAnsi="Times New Roman" w:cs="Times New Roman" w:hint="eastAsia"/>
          <w:szCs w:val="21"/>
        </w:rPr>
        <w:t>早在</w:t>
      </w:r>
      <w:r w:rsidRPr="00857B61">
        <w:rPr>
          <w:rFonts w:ascii="Times New Roman" w:hAnsi="Times New Roman" w:cs="Times New Roman"/>
          <w:szCs w:val="21"/>
        </w:rPr>
        <w:t>2016</w:t>
      </w:r>
      <w:r w:rsidRPr="00857B61">
        <w:rPr>
          <w:rFonts w:ascii="Times New Roman" w:hAnsi="Times New Roman" w:cs="Times New Roman"/>
          <w:szCs w:val="21"/>
        </w:rPr>
        <w:t>年</w:t>
      </w:r>
      <w:r w:rsidRPr="00857B61">
        <w:rPr>
          <w:rFonts w:ascii="Times New Roman" w:hAnsi="Times New Roman" w:cs="Times New Roman"/>
          <w:szCs w:val="21"/>
        </w:rPr>
        <w:t>8</w:t>
      </w:r>
      <w:r w:rsidRPr="00857B61">
        <w:rPr>
          <w:rFonts w:ascii="Times New Roman" w:hAnsi="Times New Roman" w:cs="Times New Roman"/>
          <w:szCs w:val="21"/>
        </w:rPr>
        <w:t>月</w:t>
      </w:r>
      <w:r w:rsidRPr="00857B61">
        <w:rPr>
          <w:rFonts w:ascii="Times New Roman" w:hAnsi="Times New Roman" w:cs="Times New Roman" w:hint="eastAsia"/>
          <w:szCs w:val="21"/>
        </w:rPr>
        <w:t>，为完善国有资产监管体系和防止国有资产流失，国务院办公厅就印发了《国务院办公厅关于建立国有企业违规经营投资责任追究制度的意见》。两年后，</w:t>
      </w:r>
      <w:r w:rsidRPr="00857B61">
        <w:rPr>
          <w:rFonts w:hint="eastAsia"/>
          <w:szCs w:val="21"/>
        </w:rPr>
        <w:t>国资委发布《中央企业违规经营投资责任追究实施办法（试行）》。</w:t>
      </w:r>
      <w:r w:rsidRPr="00857B61">
        <w:rPr>
          <w:rFonts w:eastAsia="宋体" w:hint="eastAsia"/>
          <w:szCs w:val="21"/>
        </w:rPr>
        <w:t>国资委副主任翁杰明</w:t>
      </w:r>
      <w:r w:rsidRPr="00857B61">
        <w:rPr>
          <w:rFonts w:ascii="Times New Roman" w:eastAsia="宋体" w:hAnsi="Times New Roman" w:cs="Times New Roman"/>
          <w:szCs w:val="21"/>
        </w:rPr>
        <w:t>2020</w:t>
      </w:r>
      <w:r w:rsidRPr="00857B61">
        <w:rPr>
          <w:rFonts w:ascii="Times New Roman" w:eastAsia="宋体" w:hAnsi="Times New Roman" w:cs="Times New Roman"/>
          <w:szCs w:val="21"/>
        </w:rPr>
        <w:t>年</w:t>
      </w:r>
      <w:r w:rsidRPr="00857B61">
        <w:rPr>
          <w:rFonts w:ascii="Times New Roman" w:eastAsia="宋体" w:hAnsi="Times New Roman" w:cs="Times New Roman"/>
          <w:szCs w:val="21"/>
        </w:rPr>
        <w:t>10</w:t>
      </w:r>
      <w:r w:rsidRPr="00857B61">
        <w:rPr>
          <w:rFonts w:ascii="Times New Roman" w:eastAsia="宋体" w:hAnsi="Times New Roman" w:cs="Times New Roman"/>
          <w:szCs w:val="21"/>
        </w:rPr>
        <w:t>月</w:t>
      </w:r>
      <w:r w:rsidRPr="00857B61">
        <w:rPr>
          <w:rFonts w:eastAsia="宋体" w:hint="eastAsia"/>
          <w:szCs w:val="21"/>
        </w:rPr>
        <w:t>在国务院政策例行吹风会上表示，下一步将结合国企改革三年行动，以避免国有资产流失为工作底线，积极稳妥地推进混合所有制改革。</w:t>
      </w:r>
      <w:r w:rsidRPr="00857B61">
        <w:rPr>
          <w:rFonts w:ascii="Times New Roman" w:eastAsia="宋体" w:hAnsi="Times New Roman" w:cs="Times New Roman" w:hint="eastAsia"/>
          <w:szCs w:val="21"/>
        </w:rPr>
        <w:t>《中华人民共和国国民经济和社会发展第十四个五年规划和</w:t>
      </w:r>
      <w:r w:rsidRPr="00857B61">
        <w:rPr>
          <w:rFonts w:ascii="Times New Roman" w:eastAsia="宋体" w:hAnsi="Times New Roman" w:cs="Times New Roman" w:hint="eastAsia"/>
          <w:szCs w:val="21"/>
        </w:rPr>
        <w:t>2035</w:t>
      </w:r>
      <w:r w:rsidRPr="00857B61">
        <w:rPr>
          <w:rFonts w:ascii="Times New Roman" w:eastAsia="宋体" w:hAnsi="Times New Roman" w:cs="Times New Roman" w:hint="eastAsia"/>
          <w:szCs w:val="21"/>
        </w:rPr>
        <w:t>年远景目标纲要》，更是明确提出“健全协同高效的监督机制，严格责任追究，切实防止国有资产流失”。可见，如何防范国有资产流失，一直以来都是党和国家关注的重点内容。</w:t>
      </w:r>
    </w:p>
    <w:p w14:paraId="1EC3C34B" w14:textId="77777777" w:rsidR="00DE7EC6" w:rsidRPr="00857B61" w:rsidRDefault="00000000">
      <w:pPr>
        <w:ind w:firstLineChars="200" w:firstLine="420"/>
        <w:rPr>
          <w:rFonts w:eastAsia="宋体"/>
          <w:szCs w:val="21"/>
        </w:rPr>
      </w:pPr>
      <w:r w:rsidRPr="00857B61">
        <w:rPr>
          <w:rFonts w:eastAsia="宋体" w:hint="eastAsia"/>
          <w:szCs w:val="21"/>
        </w:rPr>
        <w:t>检察行政公诉讼制度的出现为从法律制度创新层面对国有资产流失进行研究提供了新可能。在我国改革全面深化和信息公开制度逐渐确立，政府及公众对国有资产、环境保护等社会公共利益领域的关注度以及监督力度不断提高的背景下，我国开始逐步探索建立检察行政公益诉讼制度。</w:t>
      </w:r>
      <w:r w:rsidRPr="00857B61">
        <w:rPr>
          <w:rFonts w:ascii="Times New Roman" w:eastAsia="宋体" w:hAnsi="Times New Roman" w:cs="Times New Roman"/>
          <w:szCs w:val="21"/>
        </w:rPr>
        <w:t>2015</w:t>
      </w:r>
      <w:r w:rsidRPr="00857B61">
        <w:rPr>
          <w:rFonts w:ascii="Times New Roman" w:eastAsia="宋体" w:hAnsi="Times New Roman" w:cs="Times New Roman"/>
          <w:szCs w:val="21"/>
        </w:rPr>
        <w:t>年</w:t>
      </w:r>
      <w:r w:rsidRPr="00857B61">
        <w:rPr>
          <w:rFonts w:ascii="Times New Roman" w:eastAsia="宋体" w:hAnsi="Times New Roman" w:cs="Times New Roman"/>
          <w:szCs w:val="21"/>
        </w:rPr>
        <w:t>5</w:t>
      </w:r>
      <w:r w:rsidRPr="00857B61">
        <w:rPr>
          <w:rFonts w:ascii="Times New Roman" w:eastAsia="宋体" w:hAnsi="Times New Roman" w:cs="Times New Roman"/>
          <w:szCs w:val="21"/>
        </w:rPr>
        <w:t>月</w:t>
      </w:r>
      <w:r w:rsidRPr="00857B61">
        <w:rPr>
          <w:rFonts w:eastAsia="宋体" w:hint="eastAsia"/>
          <w:szCs w:val="21"/>
        </w:rPr>
        <w:t>，习近平总书记主持中央全面深化改革领导小组第十二次会议时指出，需要探索建立</w:t>
      </w:r>
    </w:p>
    <w:p w14:paraId="5727D761" w14:textId="77777777" w:rsidR="00DE7EC6" w:rsidRPr="00857B61" w:rsidRDefault="00000000">
      <w:pPr>
        <w:rPr>
          <w:rFonts w:eastAsia="宋体"/>
          <w:szCs w:val="21"/>
        </w:rPr>
      </w:pPr>
      <w:r w:rsidRPr="00857B61">
        <w:rPr>
          <w:rFonts w:eastAsia="宋体" w:hint="eastAsia"/>
          <w:szCs w:val="21"/>
        </w:rPr>
        <w:lastRenderedPageBreak/>
        <w:t>检察机关提起公益诉讼制度。党的十八届四中全会正式提出“探索建立检察机关提起公益诉讼制度”，将生态环境和资源保护、国有资产保护、国有土地使用权出让等领域列入检察行政公益诉讼范围。检察行政公益诉讼制度规定由检察机关作为诉讼的唯一起诉人，通过向行政机关提出检察建议、提起公益诉讼的方式来督促其履行职责，对其未尽责或已违法行为进行纠正与监督。从此，国有资产流失现象得到了国家法律的重点关注。理论上来说，检察行政公益诉讼制度可以有效地解决公共利益领域诉讼主体不明确的问题，但在现实中这一法律制度创新是否能够有效抑制我国大量存在的国有资产流失问题？目前尚未有学者就此展开科学和规范的实证研究。</w:t>
      </w:r>
    </w:p>
    <w:p w14:paraId="2E7E9ADA" w14:textId="77777777" w:rsidR="00DE7EC6" w:rsidRPr="00857B61" w:rsidRDefault="00000000">
      <w:pPr>
        <w:ind w:firstLineChars="200" w:firstLine="420"/>
        <w:rPr>
          <w:rFonts w:eastAsia="宋体"/>
          <w:szCs w:val="21"/>
        </w:rPr>
      </w:pPr>
      <w:r w:rsidRPr="00857B61">
        <w:rPr>
          <w:rFonts w:eastAsia="宋体" w:hint="eastAsia"/>
          <w:szCs w:val="21"/>
        </w:rPr>
        <w:t>本文的边际贡献主要在于：（</w:t>
      </w:r>
      <w:r w:rsidRPr="00857B61">
        <w:rPr>
          <w:rFonts w:ascii="Times New Roman" w:eastAsia="宋体" w:hAnsi="Times New Roman" w:cs="Times New Roman" w:hint="eastAsia"/>
          <w:szCs w:val="21"/>
        </w:rPr>
        <w:t>1</w:t>
      </w:r>
      <w:r w:rsidRPr="00857B61">
        <w:rPr>
          <w:rFonts w:eastAsia="宋体" w:hint="eastAsia"/>
          <w:szCs w:val="21"/>
        </w:rPr>
        <w:t>）现有文献对国有资产流失问题的研究多从政府以及企业层面展开，本文则从法律制度这一创新视角出发进行探讨，并从法律制度、法律环境变化的角度研究了如何抑制国有资产流失，丰富了国有资产流失领域研究文献。（</w:t>
      </w:r>
      <w:r w:rsidRPr="00857B61">
        <w:rPr>
          <w:rFonts w:ascii="Times New Roman" w:eastAsia="宋体" w:hAnsi="Times New Roman" w:cs="Times New Roman" w:hint="eastAsia"/>
          <w:szCs w:val="21"/>
        </w:rPr>
        <w:t>2</w:t>
      </w:r>
      <w:r w:rsidRPr="00857B61">
        <w:rPr>
          <w:rFonts w:eastAsia="宋体" w:hint="eastAsia"/>
          <w:szCs w:val="21"/>
        </w:rPr>
        <w:t>）现有研究检察行政公益诉讼制度的文献，主要是从法学角度对其程序设计进行探究或从环境保护领域对其效果进行测度，而本文首次利用双重差分（</w:t>
      </w:r>
      <w:r w:rsidRPr="00857B61">
        <w:rPr>
          <w:rFonts w:ascii="Times New Roman" w:eastAsia="宋体" w:hAnsi="Times New Roman" w:cs="Times New Roman"/>
          <w:szCs w:val="21"/>
        </w:rPr>
        <w:t>DID</w:t>
      </w:r>
      <w:r w:rsidRPr="00857B61">
        <w:rPr>
          <w:rFonts w:eastAsia="宋体" w:hint="eastAsia"/>
          <w:szCs w:val="21"/>
        </w:rPr>
        <w:t>）模型研究了该制度在国有企业并购行为中的作用，进一步充实了检察行政公益诉讼制度方面的系列文献。</w:t>
      </w:r>
    </w:p>
    <w:p w14:paraId="4A076547" w14:textId="77777777" w:rsidR="00DE7EC6" w:rsidRPr="00857B61" w:rsidRDefault="00000000">
      <w:pPr>
        <w:ind w:firstLineChars="200" w:firstLine="420"/>
        <w:rPr>
          <w:rFonts w:ascii="Times New Roman" w:eastAsia="宋体" w:hAnsi="Times New Roman" w:cs="Times New Roman"/>
          <w:szCs w:val="21"/>
        </w:rPr>
      </w:pPr>
      <w:r w:rsidRPr="00857B61">
        <w:rPr>
          <w:rFonts w:ascii="Times New Roman" w:eastAsia="宋体" w:hAnsi="Times New Roman" w:cs="Times New Roman" w:hint="eastAsia"/>
          <w:szCs w:val="21"/>
        </w:rPr>
        <w:t>本文余下部分的安排如下：第二部分主要是理论性分析部分，包括对检察行政公益诉讼制度的介绍、相关文献的回顾以及假说提出；第三部分主要是实证研究设计；第四部分检验检察行政公益诉讼制度试点的实施对国有资产流失的影响，并基于企业的亏损状态以及各地区的执法强度两个视角进行了调节效应分析；第五部分是机制检验；最后是对本文研究结果的总结和相关政策性建议。</w:t>
      </w:r>
    </w:p>
    <w:p w14:paraId="18C52498" w14:textId="77777777" w:rsidR="00DE7EC6" w:rsidRPr="00857B61" w:rsidRDefault="00000000">
      <w:pPr>
        <w:pStyle w:val="2"/>
        <w:spacing w:before="120" w:after="120" w:line="240" w:lineRule="auto"/>
        <w:jc w:val="center"/>
        <w:rPr>
          <w:rFonts w:ascii="宋体" w:eastAsia="宋体" w:hAnsi="宋体" w:cs="宋体"/>
        </w:rPr>
      </w:pPr>
      <w:r w:rsidRPr="00857B61">
        <w:rPr>
          <w:rFonts w:ascii="宋体" w:eastAsia="宋体" w:hAnsi="宋体" w:cs="宋体" w:hint="eastAsia"/>
        </w:rPr>
        <w:t>二、制度介绍、文献综述与研究假设</w:t>
      </w:r>
    </w:p>
    <w:p w14:paraId="5E199FDA" w14:textId="77777777" w:rsidR="00DE7EC6" w:rsidRPr="00857B61" w:rsidRDefault="00000000">
      <w:pPr>
        <w:pStyle w:val="30"/>
        <w:spacing w:before="120" w:after="120" w:line="240" w:lineRule="auto"/>
        <w:ind w:firstLineChars="200" w:firstLine="422"/>
        <w:rPr>
          <w:rFonts w:ascii="Times New Roman" w:eastAsia="宋体" w:hAnsi="Times New Roman" w:cs="宋体"/>
          <w:b w:val="0"/>
          <w:bCs w:val="0"/>
          <w:sz w:val="21"/>
          <w:szCs w:val="21"/>
        </w:rPr>
      </w:pPr>
      <w:r w:rsidRPr="00857B61">
        <w:rPr>
          <w:rFonts w:eastAsia="宋体" w:hint="eastAsia"/>
          <w:sz w:val="21"/>
          <w:szCs w:val="21"/>
        </w:rPr>
        <w:t>（一）</w:t>
      </w:r>
      <w:r w:rsidRPr="00857B61">
        <w:rPr>
          <w:rFonts w:ascii="Times New Roman" w:eastAsia="宋体" w:hAnsi="Times New Roman" w:cs="Times New Roman"/>
          <w:sz w:val="21"/>
          <w:szCs w:val="21"/>
        </w:rPr>
        <w:t>检察行政公益诉讼制度介绍</w:t>
      </w:r>
    </w:p>
    <w:p w14:paraId="181656B9" w14:textId="77777777" w:rsidR="00DE7EC6" w:rsidRPr="00857B61" w:rsidRDefault="00000000">
      <w:pPr>
        <w:ind w:firstLineChars="200" w:firstLine="420"/>
        <w:rPr>
          <w:rFonts w:ascii="Times New Roman" w:eastAsia="宋体" w:hAnsi="Times New Roman" w:cs="Times New Roman"/>
        </w:rPr>
      </w:pPr>
      <w:r w:rsidRPr="00857B61">
        <w:rPr>
          <w:rFonts w:ascii="Times New Roman" w:eastAsia="宋体" w:hAnsi="Times New Roman" w:cs="Times New Roman" w:hint="eastAsia"/>
        </w:rPr>
        <w:t>1.</w:t>
      </w:r>
      <w:r w:rsidRPr="00857B61">
        <w:rPr>
          <w:rFonts w:ascii="楷体" w:eastAsia="楷体" w:hAnsi="楷体" w:cs="楷体" w:hint="eastAsia"/>
        </w:rPr>
        <w:t>检察行政公益诉讼制度的探索与确立。</w:t>
      </w:r>
      <w:r w:rsidRPr="00857B61">
        <w:rPr>
          <w:rFonts w:ascii="Times New Roman" w:eastAsia="宋体" w:hAnsi="Times New Roman" w:cs="Times New Roman" w:hint="eastAsia"/>
        </w:rPr>
        <w:t>2014</w:t>
      </w:r>
      <w:r w:rsidRPr="00857B61">
        <w:rPr>
          <w:rFonts w:ascii="Times New Roman" w:eastAsia="宋体" w:hAnsi="Times New Roman" w:cs="Times New Roman" w:hint="eastAsia"/>
        </w:rPr>
        <w:t>年</w:t>
      </w:r>
      <w:r w:rsidRPr="00857B61">
        <w:rPr>
          <w:rFonts w:ascii="Times New Roman" w:eastAsia="宋体" w:hAnsi="Times New Roman" w:cs="Times New Roman" w:hint="eastAsia"/>
        </w:rPr>
        <w:t>10</w:t>
      </w:r>
      <w:r w:rsidRPr="00857B61">
        <w:rPr>
          <w:rFonts w:ascii="Times New Roman" w:eastAsia="宋体" w:hAnsi="Times New Roman" w:cs="Times New Roman" w:hint="eastAsia"/>
        </w:rPr>
        <w:t>月，党的十八届四中全会提出“探索建立检察机关提起公益诉讼制度”。</w:t>
      </w:r>
      <w:r w:rsidRPr="00857B61">
        <w:rPr>
          <w:rFonts w:ascii="Times New Roman" w:eastAsia="宋体" w:hAnsi="Times New Roman" w:cs="Times New Roman" w:hint="eastAsia"/>
        </w:rPr>
        <w:t>2015</w:t>
      </w:r>
      <w:r w:rsidRPr="00857B61">
        <w:rPr>
          <w:rFonts w:ascii="Times New Roman" w:eastAsia="宋体" w:hAnsi="Times New Roman" w:cs="Times New Roman" w:hint="eastAsia"/>
        </w:rPr>
        <w:t>年</w:t>
      </w:r>
      <w:r w:rsidRPr="00857B61">
        <w:rPr>
          <w:rFonts w:ascii="Times New Roman" w:eastAsia="宋体" w:hAnsi="Times New Roman" w:cs="Times New Roman" w:hint="eastAsia"/>
        </w:rPr>
        <w:t>7</w:t>
      </w:r>
      <w:r w:rsidRPr="00857B61">
        <w:rPr>
          <w:rFonts w:ascii="Times New Roman" w:eastAsia="宋体" w:hAnsi="Times New Roman" w:cs="Times New Roman" w:hint="eastAsia"/>
        </w:rPr>
        <w:t>月十二届全国人大常委会第十五次会议通过《全国人民代表大会常务委员会关于授权最高人民检察院在部分地区开展公益诉讼试点工作的决定》，进而确定在</w:t>
      </w:r>
      <w:r w:rsidRPr="00857B61">
        <w:rPr>
          <w:rFonts w:ascii="Times New Roman" w:eastAsia="宋体" w:hAnsi="Times New Roman" w:cs="Times New Roman" w:hint="eastAsia"/>
        </w:rPr>
        <w:t>13</w:t>
      </w:r>
      <w:r w:rsidRPr="00857B61">
        <w:rPr>
          <w:rFonts w:ascii="Times New Roman" w:eastAsia="宋体" w:hAnsi="Times New Roman" w:cs="Times New Roman" w:hint="eastAsia"/>
        </w:rPr>
        <w:t>个省份进行为期两年的试点。试点期间检察机关对国有资产被套取、骗用等事件给予了重点关注。例如，广州市南沙区检察院起诉黄阁镇政府不依法履职案件</w:t>
      </w:r>
      <w:r w:rsidRPr="00857B61">
        <w:rPr>
          <w:rStyle w:val="a9"/>
          <w:rFonts w:ascii="Times New Roman" w:eastAsia="宋体" w:hAnsi="Times New Roman" w:cs="Times New Roman" w:hint="eastAsia"/>
        </w:rPr>
        <w:footnoteReference w:id="2"/>
      </w:r>
      <w:r w:rsidRPr="00857B61">
        <w:rPr>
          <w:rFonts w:ascii="Times New Roman" w:eastAsia="宋体" w:hAnsi="Times New Roman" w:cs="Times New Roman" w:hint="eastAsia"/>
        </w:rPr>
        <w:t>。通过两年的试点，检察机关通过公益诉讼促进了依法行政、维护了公共利益，试点获得重大成功。</w:t>
      </w:r>
      <w:r w:rsidRPr="00857B61">
        <w:rPr>
          <w:rFonts w:ascii="Times New Roman" w:eastAsia="宋体" w:hAnsi="Times New Roman" w:cs="Times New Roman" w:hint="eastAsia"/>
        </w:rPr>
        <w:t>2017</w:t>
      </w:r>
      <w:r w:rsidRPr="00857B61">
        <w:rPr>
          <w:rFonts w:ascii="Times New Roman" w:eastAsia="宋体" w:hAnsi="Times New Roman" w:cs="Times New Roman" w:hint="eastAsia"/>
        </w:rPr>
        <w:t>年</w:t>
      </w:r>
      <w:r w:rsidRPr="00857B61">
        <w:rPr>
          <w:rFonts w:ascii="Times New Roman" w:eastAsia="宋体" w:hAnsi="Times New Roman" w:cs="Times New Roman" w:hint="eastAsia"/>
        </w:rPr>
        <w:t>6</w:t>
      </w:r>
      <w:r w:rsidRPr="00857B61">
        <w:rPr>
          <w:rFonts w:ascii="Times New Roman" w:eastAsia="宋体" w:hAnsi="Times New Roman" w:cs="Times New Roman" w:hint="eastAsia"/>
        </w:rPr>
        <w:t>月十二届全国人大常委会第二十八次会议将其正式载入《行政诉讼法》之中，以立法的形式确定了检察行政公益诉讼制度存在的正确性和适用性。</w:t>
      </w:r>
      <w:r w:rsidRPr="00857B61">
        <w:rPr>
          <w:rFonts w:ascii="Times New Roman" w:eastAsia="宋体" w:hAnsi="Times New Roman" w:cs="Times New Roman" w:hint="eastAsia"/>
        </w:rPr>
        <w:t>2018</w:t>
      </w:r>
      <w:r w:rsidRPr="00857B61">
        <w:rPr>
          <w:rFonts w:ascii="Times New Roman" w:eastAsia="宋体" w:hAnsi="Times New Roman" w:cs="Times New Roman" w:hint="eastAsia"/>
        </w:rPr>
        <w:t>年</w:t>
      </w:r>
      <w:r w:rsidRPr="00857B61">
        <w:rPr>
          <w:rFonts w:ascii="Times New Roman" w:eastAsia="宋体" w:hAnsi="Times New Roman" w:cs="Times New Roman" w:hint="eastAsia"/>
        </w:rPr>
        <w:t>3</w:t>
      </w:r>
      <w:r w:rsidRPr="00857B61">
        <w:rPr>
          <w:rFonts w:ascii="Times New Roman" w:eastAsia="宋体" w:hAnsi="Times New Roman" w:cs="Times New Roman" w:hint="eastAsia"/>
        </w:rPr>
        <w:t>月，为了更好地适用《中华人民共和国民事诉讼法》、《中华人民共和国行政诉讼法》关于人民检察院提起公益诉讼制度的规定，以及更好地应用各地试点探索和实践经验，最高人民检察院与最高人民法院联合发布《关于检察公益诉讼案件适用法律若干问题的解释》（以下简称《解释》）对既符合诉讼基本原则又符合检察、审判职能特点的相关内容作出了规定，尤其是对行政公益诉讼诉前程序的期限做了调整。</w:t>
      </w:r>
      <w:r w:rsidRPr="00857B61">
        <w:rPr>
          <w:rFonts w:ascii="Times New Roman" w:eastAsia="宋体" w:hAnsi="Times New Roman" w:cs="Times New Roman" w:hint="eastAsia"/>
        </w:rPr>
        <w:t>2020</w:t>
      </w:r>
      <w:r w:rsidRPr="00857B61">
        <w:rPr>
          <w:rFonts w:ascii="Times New Roman" w:eastAsia="宋体" w:hAnsi="Times New Roman" w:cs="Times New Roman" w:hint="eastAsia"/>
        </w:rPr>
        <w:t>年</w:t>
      </w:r>
      <w:r w:rsidRPr="00857B61">
        <w:rPr>
          <w:rFonts w:ascii="Times New Roman" w:eastAsia="宋体" w:hAnsi="Times New Roman" w:cs="Times New Roman" w:hint="eastAsia"/>
        </w:rPr>
        <w:t>12</w:t>
      </w:r>
      <w:r w:rsidRPr="00857B61">
        <w:rPr>
          <w:rFonts w:ascii="Times New Roman" w:eastAsia="宋体" w:hAnsi="Times New Roman" w:cs="Times New Roman" w:hint="eastAsia"/>
        </w:rPr>
        <w:t>月最高人民检察院再次修正《解释》。《中华人民共和国民法典》</w:t>
      </w:r>
      <w:r w:rsidRPr="00857B61">
        <w:rPr>
          <w:rFonts w:ascii="Times New Roman" w:eastAsia="宋体" w:hAnsi="Times New Roman" w:cs="Times New Roman"/>
        </w:rPr>
        <w:t>自</w:t>
      </w:r>
      <w:r w:rsidRPr="00857B61">
        <w:rPr>
          <w:rFonts w:ascii="Times New Roman" w:eastAsia="宋体" w:hAnsi="Times New Roman" w:cs="Times New Roman"/>
        </w:rPr>
        <w:t>2021</w:t>
      </w:r>
      <w:r w:rsidRPr="00857B61">
        <w:rPr>
          <w:rFonts w:ascii="Times New Roman" w:eastAsia="宋体" w:hAnsi="Times New Roman" w:cs="Times New Roman"/>
        </w:rPr>
        <w:t>年</w:t>
      </w:r>
      <w:r w:rsidRPr="00857B61">
        <w:rPr>
          <w:rFonts w:ascii="Times New Roman" w:eastAsia="宋体" w:hAnsi="Times New Roman" w:cs="Times New Roman"/>
        </w:rPr>
        <w:t>1</w:t>
      </w:r>
      <w:r w:rsidRPr="00857B61">
        <w:rPr>
          <w:rFonts w:ascii="Times New Roman" w:eastAsia="宋体" w:hAnsi="Times New Roman" w:cs="Times New Roman"/>
        </w:rPr>
        <w:t>月</w:t>
      </w:r>
      <w:r w:rsidRPr="00857B61">
        <w:rPr>
          <w:rFonts w:ascii="Times New Roman" w:eastAsia="宋体" w:hAnsi="Times New Roman" w:cs="Times New Roman"/>
        </w:rPr>
        <w:t>1</w:t>
      </w:r>
      <w:r w:rsidRPr="00857B61">
        <w:rPr>
          <w:rFonts w:ascii="Times New Roman" w:eastAsia="宋体" w:hAnsi="Times New Roman" w:cs="Times New Roman"/>
        </w:rPr>
        <w:t>日正式实施，</w:t>
      </w:r>
      <w:r w:rsidRPr="00857B61">
        <w:rPr>
          <w:rFonts w:ascii="Times New Roman" w:eastAsia="宋体" w:hAnsi="Times New Roman" w:cs="Times New Roman" w:hint="eastAsia"/>
        </w:rPr>
        <w:t>这</w:t>
      </w:r>
      <w:r w:rsidRPr="00857B61">
        <w:rPr>
          <w:rFonts w:ascii="Times New Roman" w:eastAsia="宋体" w:hAnsi="Times New Roman" w:cs="Times New Roman"/>
        </w:rPr>
        <w:t>为公益诉讼办案提供了直接的法律依据，也为检察官们依法办案提供了坚实的后盾。</w:t>
      </w:r>
    </w:p>
    <w:p w14:paraId="2C09B998" w14:textId="77777777" w:rsidR="00DE7EC6" w:rsidRPr="00857B61" w:rsidRDefault="00000000">
      <w:pPr>
        <w:ind w:firstLineChars="200" w:firstLine="420"/>
        <w:rPr>
          <w:rFonts w:ascii="Times New Roman" w:eastAsia="宋体" w:hAnsi="Times New Roman" w:cs="Times New Roman"/>
        </w:rPr>
      </w:pPr>
      <w:r w:rsidRPr="00857B61">
        <w:rPr>
          <w:rFonts w:ascii="Times New Roman" w:eastAsia="宋体" w:hAnsi="Times New Roman" w:cs="Times New Roman" w:hint="eastAsia"/>
        </w:rPr>
        <w:t>2.</w:t>
      </w:r>
      <w:r w:rsidRPr="00857B61">
        <w:rPr>
          <w:rFonts w:ascii="楷体" w:eastAsia="楷体" w:hAnsi="楷体" w:cs="楷体" w:hint="eastAsia"/>
        </w:rPr>
        <w:t>检察行政公益诉讼制度的监督效力。</w:t>
      </w:r>
      <w:r w:rsidRPr="00857B61">
        <w:rPr>
          <w:rFonts w:ascii="Times New Roman" w:eastAsia="宋体" w:hAnsi="Times New Roman" w:cs="Times New Roman" w:hint="eastAsia"/>
        </w:rPr>
        <w:t>检察机关作为规定的唯一起诉人，主要通过提出检察建议、提起公益诉讼的方式来实现司法监督权。而检察机关提起行政公益诉讼要经过以下的程序：（</w:t>
      </w:r>
      <w:r w:rsidRPr="00857B61">
        <w:rPr>
          <w:rFonts w:ascii="Times New Roman" w:eastAsia="宋体" w:hAnsi="Times New Roman" w:cs="Times New Roman"/>
        </w:rPr>
        <w:t>1</w:t>
      </w:r>
      <w:r w:rsidRPr="00857B61">
        <w:rPr>
          <w:rFonts w:ascii="Times New Roman" w:eastAsia="宋体" w:hAnsi="Times New Roman" w:cs="Times New Roman" w:hint="eastAsia"/>
        </w:rPr>
        <w:t>）获取线索，检察机关主要通过自身履职发现或其他组织的线索移交两条途径获取案件线索，其中尤以自身履职发现为主（覃慧，</w:t>
      </w:r>
      <w:r w:rsidRPr="00857B61">
        <w:rPr>
          <w:rFonts w:ascii="Times New Roman" w:eastAsia="宋体" w:hAnsi="Times New Roman" w:cs="Times New Roman"/>
        </w:rPr>
        <w:t>2019</w:t>
      </w:r>
      <w:r w:rsidRPr="00857B61">
        <w:rPr>
          <w:rFonts w:ascii="Times New Roman" w:eastAsia="宋体" w:hAnsi="Times New Roman" w:cs="Times New Roman" w:hint="eastAsia"/>
        </w:rPr>
        <w:t>）；（</w:t>
      </w:r>
      <w:r w:rsidRPr="00857B61">
        <w:rPr>
          <w:rFonts w:ascii="Times New Roman" w:eastAsia="宋体" w:hAnsi="Times New Roman" w:cs="Times New Roman"/>
        </w:rPr>
        <w:t>2</w:t>
      </w:r>
      <w:r w:rsidRPr="00857B61">
        <w:rPr>
          <w:rFonts w:ascii="Times New Roman" w:eastAsia="宋体" w:hAnsi="Times New Roman" w:cs="Times New Roman"/>
        </w:rPr>
        <w:t>）</w:t>
      </w:r>
      <w:r w:rsidRPr="00857B61">
        <w:rPr>
          <w:rFonts w:ascii="Times New Roman" w:eastAsia="宋体" w:hAnsi="Times New Roman" w:cs="Times New Roman" w:hint="eastAsia"/>
        </w:rPr>
        <w:t>发出检察建议，在检察机关对案件线索调查取</w:t>
      </w:r>
      <w:r w:rsidRPr="00857B61">
        <w:rPr>
          <w:rFonts w:ascii="Times New Roman" w:eastAsia="宋体" w:hAnsi="Times New Roman" w:cs="Times New Roman" w:hint="eastAsia"/>
        </w:rPr>
        <w:lastRenderedPageBreak/>
        <w:t>证之后，就会对符合提起行政公益诉讼条件的涉案主体发出检察建议；（</w:t>
      </w:r>
      <w:r w:rsidRPr="00857B61">
        <w:rPr>
          <w:rFonts w:ascii="Times New Roman" w:eastAsia="宋体" w:hAnsi="Times New Roman" w:cs="Times New Roman" w:hint="eastAsia"/>
        </w:rPr>
        <w:t>3</w:t>
      </w:r>
      <w:r w:rsidRPr="00857B61">
        <w:rPr>
          <w:rFonts w:ascii="Times New Roman" w:eastAsia="宋体" w:hAnsi="Times New Roman" w:cs="Times New Roman" w:hint="eastAsia"/>
        </w:rPr>
        <w:t>）提起行政诉讼，对于收到检察建议而拒不改正或改正不到位的行政机关，检察机关会向人民法院提起行政诉讼。</w:t>
      </w:r>
    </w:p>
    <w:p w14:paraId="0C21D384" w14:textId="77777777" w:rsidR="00DE7EC6" w:rsidRPr="00857B61" w:rsidRDefault="00000000">
      <w:pPr>
        <w:ind w:firstLineChars="200" w:firstLine="420"/>
        <w:rPr>
          <w:rFonts w:ascii="Times New Roman" w:eastAsia="宋体" w:hAnsi="Times New Roman" w:cs="Times New Roman"/>
        </w:rPr>
      </w:pPr>
      <w:r w:rsidRPr="00857B61">
        <w:rPr>
          <w:rFonts w:eastAsia="宋体" w:hint="eastAsia"/>
        </w:rPr>
        <w:t>检察行政公益诉讼制度能够经过两年试点后在全国得到推行，其制度效力显而易见。从制度实行以来取得的实际成效来看，检察行政公益诉讼制度对于国有财产保护、国有土地使用权出让等领域的监督力度落到了实处。据最高检的统计数据显示，</w:t>
      </w:r>
      <w:r w:rsidRPr="00857B61">
        <w:rPr>
          <w:rFonts w:ascii="Times New Roman" w:eastAsia="宋体" w:hAnsi="Times New Roman" w:cs="Times New Roman"/>
        </w:rPr>
        <w:t>截至</w:t>
      </w:r>
      <w:r w:rsidRPr="00857B61">
        <w:rPr>
          <w:rFonts w:ascii="Times New Roman" w:eastAsia="宋体" w:hAnsi="Times New Roman" w:cs="Times New Roman"/>
        </w:rPr>
        <w:t>2017</w:t>
      </w:r>
      <w:r w:rsidRPr="00857B61">
        <w:rPr>
          <w:rFonts w:ascii="Times New Roman" w:eastAsia="宋体" w:hAnsi="Times New Roman" w:cs="Times New Roman"/>
        </w:rPr>
        <w:t>年</w:t>
      </w:r>
      <w:r w:rsidRPr="00857B61">
        <w:rPr>
          <w:rFonts w:ascii="Times New Roman" w:eastAsia="宋体" w:hAnsi="Times New Roman" w:cs="Times New Roman"/>
        </w:rPr>
        <w:t>6</w:t>
      </w:r>
      <w:r w:rsidRPr="00857B61">
        <w:rPr>
          <w:rFonts w:ascii="Times New Roman" w:eastAsia="宋体" w:hAnsi="Times New Roman" w:cs="Times New Roman"/>
        </w:rPr>
        <w:t>月，各试点地区检察机关共办理国有资产保护领域案件</w:t>
      </w:r>
      <w:r w:rsidRPr="00857B61">
        <w:rPr>
          <w:rFonts w:ascii="Times New Roman" w:eastAsia="宋体" w:hAnsi="Times New Roman" w:cs="Times New Roman"/>
        </w:rPr>
        <w:t>1583</w:t>
      </w:r>
      <w:r w:rsidRPr="00857B61">
        <w:rPr>
          <w:rFonts w:ascii="Times New Roman" w:eastAsia="宋体" w:hAnsi="Times New Roman" w:cs="Times New Roman"/>
        </w:rPr>
        <w:t>件；督促</w:t>
      </w:r>
      <w:r w:rsidRPr="00857B61">
        <w:rPr>
          <w:rFonts w:ascii="Times New Roman" w:eastAsia="宋体" w:hAnsi="Times New Roman" w:cs="Times New Roman"/>
        </w:rPr>
        <w:t>1700</w:t>
      </w:r>
      <w:r w:rsidRPr="00857B61">
        <w:rPr>
          <w:rFonts w:ascii="Times New Roman" w:eastAsia="宋体" w:hAnsi="Times New Roman" w:cs="Times New Roman"/>
        </w:rPr>
        <w:t>余家违法企业进行整改；通过公益诉讼挽回直接经济损失</w:t>
      </w:r>
      <w:r w:rsidRPr="00857B61">
        <w:rPr>
          <w:rFonts w:ascii="Times New Roman" w:eastAsia="宋体" w:hAnsi="Times New Roman" w:cs="Times New Roman"/>
        </w:rPr>
        <w:t>89</w:t>
      </w:r>
      <w:r w:rsidRPr="00857B61">
        <w:rPr>
          <w:rFonts w:ascii="Times New Roman" w:eastAsia="宋体" w:hAnsi="Times New Roman" w:cs="Times New Roman"/>
        </w:rPr>
        <w:t>亿余元。自</w:t>
      </w:r>
      <w:r w:rsidRPr="00857B61">
        <w:rPr>
          <w:rFonts w:ascii="Times New Roman" w:eastAsia="宋体" w:hAnsi="Times New Roman" w:cs="Times New Roman"/>
        </w:rPr>
        <w:t>2017</w:t>
      </w:r>
      <w:r w:rsidRPr="00857B61">
        <w:rPr>
          <w:rFonts w:ascii="Times New Roman" w:eastAsia="宋体" w:hAnsi="Times New Roman" w:cs="Times New Roman"/>
        </w:rPr>
        <w:t>年</w:t>
      </w:r>
      <w:r w:rsidRPr="00857B61">
        <w:rPr>
          <w:rFonts w:ascii="Times New Roman" w:eastAsia="宋体" w:hAnsi="Times New Roman" w:cs="Times New Roman"/>
        </w:rPr>
        <w:t>7</w:t>
      </w:r>
      <w:r w:rsidRPr="00857B61">
        <w:rPr>
          <w:rFonts w:ascii="Times New Roman" w:eastAsia="宋体" w:hAnsi="Times New Roman" w:cs="Times New Roman"/>
        </w:rPr>
        <w:t>月检察行政公益诉讼制度全面开展至</w:t>
      </w:r>
      <w:r w:rsidRPr="00857B61">
        <w:rPr>
          <w:rFonts w:ascii="Times New Roman" w:eastAsia="宋体" w:hAnsi="Times New Roman" w:cs="Times New Roman"/>
        </w:rPr>
        <w:t>2020</w:t>
      </w:r>
      <w:r w:rsidRPr="00857B61">
        <w:rPr>
          <w:rFonts w:ascii="Times New Roman" w:eastAsia="宋体" w:hAnsi="Times New Roman" w:cs="Times New Roman"/>
        </w:rPr>
        <w:t>年</w:t>
      </w:r>
      <w:r w:rsidRPr="00857B61">
        <w:rPr>
          <w:rFonts w:ascii="Times New Roman" w:eastAsia="宋体" w:hAnsi="Times New Roman" w:cs="Times New Roman"/>
        </w:rPr>
        <w:t>7</w:t>
      </w:r>
      <w:r w:rsidRPr="00857B61">
        <w:rPr>
          <w:rFonts w:ascii="Times New Roman" w:eastAsia="宋体" w:hAnsi="Times New Roman" w:cs="Times New Roman"/>
        </w:rPr>
        <w:t>月</w:t>
      </w:r>
      <w:r w:rsidRPr="00857B61">
        <w:rPr>
          <w:rFonts w:ascii="Times New Roman" w:eastAsia="宋体" w:hAnsi="Times New Roman" w:cs="Times New Roman" w:hint="eastAsia"/>
        </w:rPr>
        <w:t>，</w:t>
      </w:r>
      <w:r w:rsidRPr="00857B61">
        <w:rPr>
          <w:rFonts w:ascii="Times New Roman" w:eastAsia="宋体" w:hAnsi="Times New Roman" w:cs="Times New Roman"/>
        </w:rPr>
        <w:t>全国检察机关共立案办理公益诉讼案件</w:t>
      </w:r>
      <w:r w:rsidRPr="00857B61">
        <w:rPr>
          <w:rFonts w:ascii="Times New Roman" w:eastAsia="宋体" w:hAnsi="Times New Roman" w:cs="Times New Roman"/>
        </w:rPr>
        <w:t>31</w:t>
      </w:r>
      <w:r w:rsidRPr="00857B61">
        <w:rPr>
          <w:rFonts w:ascii="Times New Roman" w:eastAsia="宋体" w:hAnsi="Times New Roman" w:cs="Times New Roman"/>
        </w:rPr>
        <w:t>万余件。</w:t>
      </w:r>
      <w:r w:rsidRPr="00857B61">
        <w:rPr>
          <w:rFonts w:ascii="Times New Roman" w:eastAsia="宋体" w:hAnsi="Times New Roman" w:cs="Times New Roman" w:hint="eastAsia"/>
        </w:rPr>
        <w:t>从检察行政公益诉讼制度构建的理论角度来看，该制度作为一种独立的司法监督必定会对地方行政机关的权力与行为产生约束。检察行政公益诉讼制度在</w:t>
      </w:r>
      <w:r w:rsidRPr="00857B61">
        <w:rPr>
          <w:rFonts w:ascii="Times New Roman" w:eastAsia="宋体" w:hAnsi="Times New Roman" w:cs="Times New Roman" w:hint="eastAsia"/>
        </w:rPr>
        <w:t>73</w:t>
      </w:r>
      <w:r w:rsidRPr="00857B61">
        <w:rPr>
          <w:rFonts w:ascii="Times New Roman" w:eastAsia="宋体" w:hAnsi="Times New Roman" w:cs="Times New Roman" w:hint="eastAsia"/>
        </w:rPr>
        <w:t>个城市展开试点，地市级的检察机关对当地同为地市级及其下辖地区的行政机关、企业的监督力度毋庸置疑。但涉及到辖区内的央企或者省属国有企业时，地市级检察机关的监督效力或许会“大打折扣”。新华网</w:t>
      </w:r>
      <w:r w:rsidRPr="00857B61">
        <w:rPr>
          <w:rFonts w:ascii="Times New Roman" w:eastAsia="宋体" w:hAnsi="Times New Roman" w:cs="Times New Roman" w:hint="eastAsia"/>
        </w:rPr>
        <w:t>2020</w:t>
      </w:r>
      <w:r w:rsidRPr="00857B61">
        <w:rPr>
          <w:rFonts w:ascii="Times New Roman" w:eastAsia="宋体" w:hAnsi="Times New Roman" w:cs="Times New Roman" w:hint="eastAsia"/>
        </w:rPr>
        <w:t>年</w:t>
      </w:r>
      <w:r w:rsidRPr="00857B61">
        <w:rPr>
          <w:rFonts w:ascii="Times New Roman" w:eastAsia="宋体" w:hAnsi="Times New Roman" w:cs="Times New Roman" w:hint="eastAsia"/>
        </w:rPr>
        <w:t>5</w:t>
      </w:r>
      <w:r w:rsidRPr="00857B61">
        <w:rPr>
          <w:rFonts w:ascii="Times New Roman" w:eastAsia="宋体" w:hAnsi="Times New Roman" w:cs="Times New Roman" w:hint="eastAsia"/>
        </w:rPr>
        <w:t>月曾报道：“地方环保督察遇难题‘基层科长’难管‘国企厅官’”</w:t>
      </w:r>
      <w:r w:rsidRPr="00857B61">
        <w:rPr>
          <w:rStyle w:val="a9"/>
          <w:rFonts w:ascii="Times New Roman" w:eastAsia="宋体" w:hAnsi="Times New Roman" w:cs="Times New Roman"/>
        </w:rPr>
        <w:footnoteReference w:id="3"/>
      </w:r>
      <w:r w:rsidRPr="00857B61">
        <w:rPr>
          <w:rFonts w:ascii="Times New Roman" w:eastAsia="宋体" w:hAnsi="Times New Roman" w:cs="Times New Roman" w:hint="eastAsia"/>
        </w:rPr>
        <w:t>。从这则报道中我们可以发现地方性检察机关对于省属国有企业、央企的实际监督力度比较薄弱。而研究检察行政公益诉讼制度在国有资产领域的保护作用，不可避免地会提及国资委。国资委作为对国有资产负有监督管理职责的行政机关，检察机关同样对其享有监督权，当国资委在国有资产监督管理过程中出现失职渎职行为时，检察机关对其可以依法提起公益诉讼。显然，检察行政公益诉讼制度的出现为国资委的监督管理权套上了“枷锁”。</w:t>
      </w:r>
    </w:p>
    <w:p w14:paraId="08BC1386" w14:textId="77777777" w:rsidR="00DE7EC6" w:rsidRPr="00857B61" w:rsidRDefault="00000000">
      <w:pPr>
        <w:pStyle w:val="30"/>
        <w:spacing w:before="120" w:after="120" w:line="240" w:lineRule="auto"/>
        <w:ind w:firstLineChars="200" w:firstLine="422"/>
        <w:rPr>
          <w:rFonts w:eastAsia="宋体"/>
          <w:sz w:val="21"/>
          <w:szCs w:val="21"/>
        </w:rPr>
      </w:pPr>
      <w:r w:rsidRPr="00857B61">
        <w:rPr>
          <w:rFonts w:eastAsia="宋体" w:hint="eastAsia"/>
          <w:sz w:val="21"/>
          <w:szCs w:val="21"/>
        </w:rPr>
        <w:t>（二）文献综述</w:t>
      </w:r>
    </w:p>
    <w:p w14:paraId="3245A15F" w14:textId="77777777" w:rsidR="00DE7EC6" w:rsidRPr="00857B61" w:rsidRDefault="00000000">
      <w:pPr>
        <w:ind w:firstLineChars="200" w:firstLine="420"/>
        <w:rPr>
          <w:rFonts w:ascii="Times New Roman" w:eastAsia="宋体" w:hAnsi="Times New Roman" w:cs="Times New Roman"/>
          <w:szCs w:val="21"/>
        </w:rPr>
      </w:pPr>
      <w:r w:rsidRPr="00857B61">
        <w:rPr>
          <w:rFonts w:ascii="Times New Roman" w:eastAsia="宋体" w:hAnsi="Times New Roman" w:cs="Times New Roman" w:hint="eastAsia"/>
          <w:szCs w:val="21"/>
        </w:rPr>
        <w:t>1.</w:t>
      </w:r>
      <w:r w:rsidRPr="00857B61">
        <w:rPr>
          <w:rFonts w:ascii="楷体" w:eastAsia="楷体" w:hAnsi="楷体" w:cs="楷体" w:hint="eastAsia"/>
          <w:szCs w:val="21"/>
        </w:rPr>
        <w:t>国有资产流失。</w:t>
      </w:r>
      <w:r w:rsidRPr="00857B61">
        <w:rPr>
          <w:rFonts w:eastAsia="宋体" w:hint="eastAsia"/>
          <w:szCs w:val="21"/>
        </w:rPr>
        <w:t>国有资产是国家拥有的一切财富和凌驾在这些财富之上的权力的总额，是国家所有权的对象。而本文涉及的国有资产主要是指企业范围内的国有资产，即国家通过多种方式对企业进行注资所形成的有效权力与利益。国有资产流失一直是存在于国有企业改革中的焦点问题，多数人认为国有资产流失现象是始于经济转轨时期，但其实该现象在传统体制时就已显现。传统体制下由于计划经济的存在，国有资产的实物形态一般不会改变，多是因投资不当造成的损失以及资产使用过程中出现的浪费（袁志刚，</w:t>
      </w:r>
      <w:r w:rsidRPr="00857B61">
        <w:rPr>
          <w:rFonts w:ascii="Times New Roman" w:eastAsia="宋体" w:hAnsi="Times New Roman" w:cs="Times New Roman" w:hint="eastAsia"/>
          <w:szCs w:val="21"/>
        </w:rPr>
        <w:t>1995</w:t>
      </w:r>
      <w:r w:rsidRPr="00857B61">
        <w:rPr>
          <w:rFonts w:eastAsia="宋体" w:hint="eastAsia"/>
          <w:szCs w:val="21"/>
        </w:rPr>
        <w:t>）。在对造成国有资产流失的原因进行探究时，</w:t>
      </w:r>
      <w:r w:rsidRPr="00857B61">
        <w:rPr>
          <w:rFonts w:ascii="Times New Roman" w:eastAsia="宋体" w:hAnsi="Times New Roman" w:cs="Times New Roman"/>
          <w:szCs w:val="21"/>
        </w:rPr>
        <w:t>发现学者们对其存在不同看法，本文对主要观点进行梳理总结后，大致可归为以下三个因素</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首先，孔祥稳等</w:t>
      </w:r>
      <w:r w:rsidRPr="00857B61">
        <w:rPr>
          <w:rFonts w:ascii="Times New Roman" w:eastAsia="宋体" w:hAnsi="Times New Roman" w:cs="Times New Roman" w:hint="eastAsia"/>
          <w:szCs w:val="21"/>
        </w:rPr>
        <w:t>（</w:t>
      </w:r>
      <w:r w:rsidRPr="00857B61">
        <w:rPr>
          <w:rFonts w:ascii="Times New Roman" w:eastAsia="宋体" w:hAnsi="Times New Roman" w:cs="Times New Roman" w:hint="eastAsia"/>
          <w:szCs w:val="21"/>
        </w:rPr>
        <w:t>2017</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提出国有资产所有人尚未拥有适当的监督权且没有适格主体起诉。国有资产的所有人是国家、是全体公民，所有人主体的广泛性、不唯一性导致社会公众对其的监督力度较低，同时起诉主体的不确定性也使得各相关部门难以对其进行监管。其次，</w:t>
      </w:r>
      <w:r w:rsidRPr="00857B61">
        <w:rPr>
          <w:rFonts w:ascii="Times New Roman" w:eastAsia="宋体" w:hAnsi="Times New Roman" w:cs="Times New Roman"/>
          <w:szCs w:val="21"/>
        </w:rPr>
        <w:t>Lin</w:t>
      </w:r>
      <w:r w:rsidRPr="00857B61">
        <w:rPr>
          <w:rFonts w:ascii="Times New Roman" w:eastAsia="宋体" w:hAnsi="Times New Roman" w:cs="Times New Roman" w:hint="eastAsia"/>
          <w:szCs w:val="21"/>
        </w:rPr>
        <w:t xml:space="preserve"> et al</w:t>
      </w:r>
      <w:r w:rsidRPr="00857B61">
        <w:rPr>
          <w:rFonts w:ascii="Times New Roman" w:eastAsia="宋体" w:hAnsi="Times New Roman" w:cs="Times New Roman" w:hint="eastAsia"/>
          <w:szCs w:val="21"/>
        </w:rPr>
        <w:t>（</w:t>
      </w:r>
      <w:r w:rsidRPr="00857B61">
        <w:rPr>
          <w:rFonts w:ascii="Times New Roman" w:eastAsia="宋体" w:hAnsi="Times New Roman" w:cs="Times New Roman" w:hint="eastAsia"/>
          <w:szCs w:val="21"/>
        </w:rPr>
        <w:t>1998</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提出所有权与经营权的分离导致的</w:t>
      </w:r>
      <w:r w:rsidRPr="00857B61">
        <w:rPr>
          <w:rFonts w:ascii="Times New Roman" w:eastAsia="宋体" w:hAnsi="Times New Roman" w:cs="Times New Roman"/>
          <w:szCs w:val="21"/>
        </w:rPr>
        <w:t>“</w:t>
      </w:r>
      <w:r w:rsidRPr="00857B61">
        <w:rPr>
          <w:rFonts w:ascii="Times New Roman" w:eastAsia="宋体" w:hAnsi="Times New Roman" w:cs="Times New Roman"/>
          <w:szCs w:val="21"/>
        </w:rPr>
        <w:t>代理人问题</w:t>
      </w:r>
      <w:r w:rsidRPr="00857B61">
        <w:rPr>
          <w:rFonts w:ascii="Times New Roman" w:eastAsia="宋体" w:hAnsi="Times New Roman" w:cs="Times New Roman"/>
          <w:szCs w:val="21"/>
        </w:rPr>
        <w:t>”</w:t>
      </w:r>
      <w:r w:rsidRPr="00857B61">
        <w:rPr>
          <w:rFonts w:ascii="Times New Roman" w:eastAsia="宋体" w:hAnsi="Times New Roman" w:cs="Times New Roman"/>
          <w:szCs w:val="21"/>
        </w:rPr>
        <w:t>也是一个主要因素。最后，</w:t>
      </w:r>
      <w:r w:rsidRPr="00857B61">
        <w:rPr>
          <w:rFonts w:ascii="Times New Roman" w:eastAsia="宋体" w:hAnsi="Times New Roman" w:cs="Times New Roman" w:hint="eastAsia"/>
          <w:szCs w:val="21"/>
        </w:rPr>
        <w:t>企业间协议转让方式盛行（唐宗明、蒋位，</w:t>
      </w:r>
      <w:r w:rsidRPr="00857B61">
        <w:rPr>
          <w:rFonts w:ascii="Times New Roman" w:eastAsia="宋体" w:hAnsi="Times New Roman" w:cs="Times New Roman" w:hint="eastAsia"/>
          <w:szCs w:val="21"/>
        </w:rPr>
        <w:t>2002</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我国对国有资产交易缺乏适当的监督体系以及评估机制，相应评估机制的缺失会使得高价值的国有资产被估以低价出售。众多涉及国有企业的并购案例中都出现了国有资产被估以低值进行出售的现象</w:t>
      </w:r>
      <w:r w:rsidRPr="00857B61">
        <w:rPr>
          <w:rStyle w:val="a9"/>
          <w:rFonts w:ascii="Times New Roman" w:eastAsia="宋体" w:hAnsi="Times New Roman" w:cs="Times New Roman"/>
          <w:szCs w:val="21"/>
        </w:rPr>
        <w:footnoteReference w:id="4"/>
      </w:r>
      <w:r w:rsidRPr="00857B61">
        <w:rPr>
          <w:rFonts w:ascii="Times New Roman" w:eastAsia="宋体" w:hAnsi="Times New Roman" w:cs="Times New Roman"/>
          <w:szCs w:val="21"/>
        </w:rPr>
        <w:t>。</w:t>
      </w:r>
    </w:p>
    <w:p w14:paraId="344C7B00" w14:textId="77777777" w:rsidR="00DE7EC6" w:rsidRPr="00857B61" w:rsidRDefault="00000000">
      <w:pPr>
        <w:ind w:firstLineChars="200" w:firstLine="420"/>
        <w:rPr>
          <w:rFonts w:eastAsia="宋体"/>
          <w:szCs w:val="21"/>
        </w:rPr>
      </w:pPr>
      <w:r w:rsidRPr="00857B61">
        <w:rPr>
          <w:rFonts w:ascii="Times New Roman" w:eastAsia="宋体" w:hAnsi="Times New Roman" w:cs="Times New Roman"/>
          <w:szCs w:val="21"/>
        </w:rPr>
        <w:t>可见，造成国有资产流失的缘由甚为复杂，但</w:t>
      </w:r>
      <w:r w:rsidRPr="00857B61">
        <w:rPr>
          <w:rFonts w:eastAsia="宋体" w:hint="eastAsia"/>
          <w:szCs w:val="21"/>
        </w:rPr>
        <w:t>多数学者认为国有企业改革是国有资产流失的一大“导火索”，而其问题的根源在于“代理人问题”（</w:t>
      </w:r>
      <w:r w:rsidRPr="00857B61">
        <w:rPr>
          <w:rFonts w:ascii="Times New Roman" w:eastAsia="宋体" w:hAnsi="Times New Roman" w:cs="Times New Roman"/>
          <w:szCs w:val="21"/>
        </w:rPr>
        <w:t>Lin et al</w:t>
      </w:r>
      <w:r w:rsidRPr="00857B61">
        <w:rPr>
          <w:rFonts w:ascii="Times New Roman" w:eastAsia="宋体" w:hAnsi="Times New Roman" w:cs="Times New Roman"/>
          <w:szCs w:val="21"/>
        </w:rPr>
        <w:t>，</w:t>
      </w:r>
      <w:r w:rsidRPr="00857B61">
        <w:rPr>
          <w:rFonts w:ascii="Times New Roman" w:eastAsia="宋体" w:hAnsi="Times New Roman" w:cs="Times New Roman"/>
          <w:szCs w:val="21"/>
        </w:rPr>
        <w:t>1998</w:t>
      </w:r>
      <w:r w:rsidRPr="00857B61">
        <w:rPr>
          <w:rFonts w:ascii="Times New Roman" w:eastAsia="宋体" w:hAnsi="Times New Roman" w:cs="Times New Roman" w:hint="eastAsia"/>
          <w:szCs w:val="21"/>
        </w:rPr>
        <w:t>；潘红波等，</w:t>
      </w:r>
      <w:r w:rsidRPr="00857B61">
        <w:rPr>
          <w:rFonts w:ascii="Times New Roman" w:eastAsia="宋体" w:hAnsi="Times New Roman" w:cs="Times New Roman" w:hint="eastAsia"/>
          <w:szCs w:val="21"/>
        </w:rPr>
        <w:t>2008</w:t>
      </w:r>
      <w:r w:rsidRPr="00857B61">
        <w:rPr>
          <w:rFonts w:ascii="Times New Roman" w:eastAsia="宋体" w:hAnsi="Times New Roman" w:cs="Times New Roman" w:hint="eastAsia"/>
          <w:szCs w:val="21"/>
        </w:rPr>
        <w:t>；</w:t>
      </w:r>
      <w:r w:rsidRPr="00857B61">
        <w:rPr>
          <w:rFonts w:eastAsia="宋体" w:hint="eastAsia"/>
          <w:szCs w:val="21"/>
        </w:rPr>
        <w:t>王凤荣、高飞，</w:t>
      </w:r>
      <w:r w:rsidRPr="00857B61">
        <w:rPr>
          <w:rFonts w:ascii="Times New Roman" w:eastAsia="宋体" w:hAnsi="Times New Roman" w:cs="Times New Roman" w:hint="eastAsia"/>
          <w:szCs w:val="21"/>
        </w:rPr>
        <w:t>2012</w:t>
      </w:r>
      <w:r w:rsidRPr="00857B61">
        <w:rPr>
          <w:rFonts w:eastAsia="宋体" w:hint="eastAsia"/>
          <w:szCs w:val="21"/>
        </w:rPr>
        <w:t>）。“代理人问题”的存在一直是学术界和政策制定者难以解决的问题，我国国有上市公司的管理者通常由政府行政任命，基本上不拥有所管理的上市企业的股份，这样他们与作为所有权掌控者的政府之间就不存在完全的利益一致性（李善民、周小春，</w:t>
      </w:r>
      <w:r w:rsidRPr="00857B61">
        <w:rPr>
          <w:rFonts w:ascii="Times New Roman" w:eastAsia="宋体" w:hAnsi="Times New Roman" w:cs="Times New Roman"/>
          <w:szCs w:val="21"/>
        </w:rPr>
        <w:t>2007</w:t>
      </w:r>
      <w:r w:rsidRPr="00857B61">
        <w:rPr>
          <w:rFonts w:eastAsia="宋体" w:hint="eastAsia"/>
          <w:szCs w:val="21"/>
        </w:rPr>
        <w:t>）。在此情况下，国有企业管理层经营企业的目的就不是为了股东利益最大化，而是为了谋取自我利益的最大化，特定情况下甚至会做出有悖于控股人要求的行为。另外，在双方利益不完全一致性的情况下，地方</w:t>
      </w:r>
      <w:r w:rsidRPr="00857B61">
        <w:rPr>
          <w:rFonts w:eastAsia="宋体" w:hint="eastAsia"/>
          <w:szCs w:val="21"/>
        </w:rPr>
        <w:lastRenderedPageBreak/>
        <w:t>政府也会因为自身的政策性负担或者政治晋升压力而去干扰当地国有上市公司的并购决策（</w:t>
      </w:r>
      <w:r w:rsidRPr="00857B61">
        <w:rPr>
          <w:rFonts w:ascii="Times New Roman" w:eastAsia="宋体" w:hAnsi="Times New Roman" w:cs="Times New Roman" w:hint="eastAsia"/>
          <w:szCs w:val="21"/>
        </w:rPr>
        <w:t>潘红波等，</w:t>
      </w:r>
      <w:r w:rsidRPr="00857B61">
        <w:rPr>
          <w:rFonts w:ascii="Times New Roman" w:eastAsia="宋体" w:hAnsi="Times New Roman" w:cs="Times New Roman" w:hint="eastAsia"/>
          <w:szCs w:val="21"/>
        </w:rPr>
        <w:t>2008</w:t>
      </w:r>
      <w:r w:rsidRPr="00857B61">
        <w:rPr>
          <w:rFonts w:eastAsia="宋体" w:hint="eastAsia"/>
          <w:szCs w:val="21"/>
        </w:rPr>
        <w:t>），会通过国有控股或任命关联管理人员的方式对国有企业进行干预，最终导致投资行为被扭曲，甚至导致投资效率被损害（</w:t>
      </w:r>
      <w:r w:rsidRPr="00857B61">
        <w:rPr>
          <w:rFonts w:ascii="Times New Roman" w:eastAsia="宋体" w:hAnsi="Times New Roman" w:cs="Times New Roman" w:hint="eastAsia"/>
          <w:szCs w:val="21"/>
        </w:rPr>
        <w:t>Chen et al</w:t>
      </w:r>
      <w:r w:rsidRPr="00857B61">
        <w:rPr>
          <w:rFonts w:ascii="Times New Roman" w:eastAsia="宋体" w:hAnsi="Times New Roman" w:cs="Times New Roman" w:hint="eastAsia"/>
          <w:szCs w:val="21"/>
        </w:rPr>
        <w:t>，</w:t>
      </w:r>
      <w:r w:rsidRPr="00857B61">
        <w:rPr>
          <w:rFonts w:ascii="Times New Roman" w:eastAsia="宋体" w:hAnsi="Times New Roman" w:cs="Times New Roman" w:hint="eastAsia"/>
          <w:szCs w:val="21"/>
        </w:rPr>
        <w:t>2010</w:t>
      </w:r>
      <w:r w:rsidRPr="00857B61">
        <w:rPr>
          <w:rFonts w:eastAsia="宋体" w:hint="eastAsia"/>
          <w:szCs w:val="21"/>
        </w:rPr>
        <w:t>）。</w:t>
      </w:r>
    </w:p>
    <w:p w14:paraId="75177F65" w14:textId="77777777" w:rsidR="00DE7EC6" w:rsidRPr="00857B61" w:rsidRDefault="00000000">
      <w:pPr>
        <w:ind w:firstLineChars="200" w:firstLine="420"/>
        <w:rPr>
          <w:rStyle w:val="a8"/>
        </w:rPr>
      </w:pPr>
      <w:r w:rsidRPr="00857B61">
        <w:rPr>
          <w:rFonts w:eastAsia="宋体" w:hint="eastAsia"/>
          <w:bCs/>
          <w:szCs w:val="21"/>
        </w:rPr>
        <w:t>学者们对国有资产流失主要原因的研究结果达成基本一致后，如何遏制国有资产的流失成为政府、企业以及学术界的研究新方向。</w:t>
      </w:r>
    </w:p>
    <w:p w14:paraId="217F4213" w14:textId="77777777" w:rsidR="00DE7EC6" w:rsidRPr="00857B61" w:rsidRDefault="00000000">
      <w:pPr>
        <w:ind w:firstLineChars="200" w:firstLine="420"/>
        <w:rPr>
          <w:rFonts w:eastAsia="宋体"/>
          <w:szCs w:val="21"/>
          <w:highlight w:val="yellow"/>
        </w:rPr>
      </w:pPr>
      <w:r w:rsidRPr="00857B61">
        <w:rPr>
          <w:rFonts w:ascii="Times New Roman" w:eastAsia="宋体" w:hAnsi="Times New Roman" w:cs="Times New Roman" w:hint="eastAsia"/>
          <w:szCs w:val="21"/>
        </w:rPr>
        <w:t>长期以来，众多学者就如何减少境内外国有资产流失、维护好国有资产安全展开了积极探索并提出相应建议。一方面，对于境内国有资产流失的防范，需要发挥好党组织参与治理（陈仕华、卢昌崇，</w:t>
      </w:r>
      <w:r w:rsidRPr="00857B61">
        <w:rPr>
          <w:rFonts w:ascii="Times New Roman" w:eastAsia="宋体" w:hAnsi="Times New Roman" w:cs="Times New Roman"/>
          <w:szCs w:val="21"/>
        </w:rPr>
        <w:t>2014</w:t>
      </w:r>
      <w:r w:rsidRPr="00857B61">
        <w:rPr>
          <w:rFonts w:ascii="Times New Roman" w:eastAsia="宋体" w:hAnsi="Times New Roman" w:cs="Times New Roman" w:hint="eastAsia"/>
          <w:szCs w:val="21"/>
        </w:rPr>
        <w:t>）以及国资委的作用（张宁、才国伟，</w:t>
      </w:r>
      <w:r w:rsidRPr="00857B61">
        <w:rPr>
          <w:rFonts w:ascii="Times New Roman" w:eastAsia="宋体" w:hAnsi="Times New Roman" w:cs="Times New Roman" w:hint="eastAsia"/>
          <w:szCs w:val="21"/>
        </w:rPr>
        <w:t>2021</w:t>
      </w:r>
      <w:r w:rsidRPr="00857B61">
        <w:rPr>
          <w:rFonts w:ascii="Times New Roman" w:eastAsia="宋体" w:hAnsi="Times New Roman" w:cs="Times New Roman" w:hint="eastAsia"/>
          <w:szCs w:val="21"/>
        </w:rPr>
        <w:t>），同时对企业重大交易（例如管理层收购）进行监管（米盈，</w:t>
      </w:r>
      <w:r w:rsidRPr="00857B61">
        <w:rPr>
          <w:rFonts w:ascii="Times New Roman" w:eastAsia="宋体" w:hAnsi="Times New Roman" w:cs="Times New Roman" w:hint="eastAsia"/>
          <w:szCs w:val="21"/>
        </w:rPr>
        <w:t>2006</w:t>
      </w:r>
      <w:r w:rsidRPr="00857B61">
        <w:rPr>
          <w:rFonts w:ascii="Times New Roman" w:eastAsia="宋体" w:hAnsi="Times New Roman" w:cs="Times New Roman" w:hint="eastAsia"/>
          <w:szCs w:val="21"/>
        </w:rPr>
        <w:t>）；另一方面，对于境外国有资产流失的防范，则要加强对子公司的“遥控”能力并重视对信托机制的运用（周煊，</w:t>
      </w:r>
      <w:r w:rsidRPr="00857B61">
        <w:rPr>
          <w:rFonts w:ascii="Times New Roman" w:eastAsia="宋体" w:hAnsi="Times New Roman" w:cs="Times New Roman"/>
          <w:szCs w:val="21"/>
        </w:rPr>
        <w:t>2012</w:t>
      </w:r>
      <w:r w:rsidRPr="00857B61">
        <w:rPr>
          <w:rFonts w:ascii="Times New Roman" w:eastAsia="宋体" w:hAnsi="Times New Roman" w:cs="Times New Roman" w:hint="eastAsia"/>
          <w:szCs w:val="21"/>
        </w:rPr>
        <w:t>）。另外，</w:t>
      </w:r>
      <w:r w:rsidRPr="00857B61">
        <w:rPr>
          <w:rFonts w:eastAsia="宋体" w:hint="eastAsia"/>
          <w:szCs w:val="21"/>
        </w:rPr>
        <w:t>因我国国情的特殊性，政府对所有市场的建立和发展都具有重大影响，很少有企业能够绕过政府来开展经营活动（</w:t>
      </w:r>
      <w:r w:rsidRPr="00857B61">
        <w:rPr>
          <w:rFonts w:ascii="Times New Roman" w:eastAsia="宋体" w:hAnsi="Times New Roman" w:cs="Times New Roman" w:hint="eastAsia"/>
          <w:szCs w:val="21"/>
        </w:rPr>
        <w:t>Jia</w:t>
      </w:r>
      <w:r w:rsidRPr="00857B61">
        <w:rPr>
          <w:rFonts w:ascii="Times New Roman" w:eastAsia="宋体" w:hAnsi="Times New Roman" w:cs="Times New Roman" w:hint="eastAsia"/>
          <w:szCs w:val="21"/>
        </w:rPr>
        <w:t>，</w:t>
      </w:r>
      <w:r w:rsidRPr="00857B61">
        <w:rPr>
          <w:rFonts w:ascii="Times New Roman" w:eastAsia="宋体" w:hAnsi="Times New Roman" w:cs="Times New Roman" w:hint="eastAsia"/>
          <w:szCs w:val="21"/>
        </w:rPr>
        <w:t>2014</w:t>
      </w:r>
      <w:r w:rsidRPr="00857B61">
        <w:rPr>
          <w:rFonts w:eastAsia="宋体" w:hint="eastAsia"/>
          <w:szCs w:val="21"/>
        </w:rPr>
        <w:t>）。区别于其他企业，国有企业存在明显的政治背景，且考虑到并购交易通常是国有资产流失的重要环节，于是大量学者从政治关联角度出发，研究国有企业的并购行为（潘红波等，</w:t>
      </w:r>
      <w:r w:rsidRPr="00857B61">
        <w:rPr>
          <w:rFonts w:ascii="Times New Roman" w:eastAsia="宋体" w:hAnsi="Times New Roman" w:cs="Times New Roman"/>
          <w:szCs w:val="21"/>
        </w:rPr>
        <w:t>2008</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方军雄，</w:t>
      </w:r>
      <w:r w:rsidRPr="00857B61">
        <w:rPr>
          <w:rFonts w:ascii="Times New Roman" w:eastAsia="宋体" w:hAnsi="Times New Roman" w:cs="Times New Roman"/>
          <w:szCs w:val="21"/>
        </w:rPr>
        <w:t>2008</w:t>
      </w:r>
      <w:r w:rsidRPr="00857B61">
        <w:rPr>
          <w:rFonts w:ascii="Times New Roman" w:eastAsia="宋体" w:hAnsi="Times New Roman" w:cs="Times New Roman"/>
          <w:szCs w:val="21"/>
        </w:rPr>
        <w:t>；</w:t>
      </w:r>
      <w:r w:rsidRPr="00857B61">
        <w:rPr>
          <w:rFonts w:ascii="Times New Roman" w:eastAsia="宋体" w:hAnsi="Times New Roman" w:cs="Times New Roman"/>
          <w:szCs w:val="21"/>
        </w:rPr>
        <w:t>Chen et al</w:t>
      </w:r>
      <w:r w:rsidRPr="00857B61">
        <w:rPr>
          <w:rFonts w:ascii="Times New Roman" w:eastAsia="宋体" w:hAnsi="Times New Roman" w:cs="Times New Roman"/>
          <w:szCs w:val="21"/>
        </w:rPr>
        <w:t>，</w:t>
      </w:r>
      <w:r w:rsidRPr="00857B61">
        <w:rPr>
          <w:rFonts w:ascii="Times New Roman" w:eastAsia="宋体" w:hAnsi="Times New Roman" w:cs="Times New Roman"/>
          <w:szCs w:val="21"/>
        </w:rPr>
        <w:t>201</w:t>
      </w:r>
      <w:r w:rsidRPr="00857B61">
        <w:rPr>
          <w:rFonts w:ascii="Times New Roman" w:eastAsia="宋体" w:hAnsi="Times New Roman" w:cs="Times New Roman" w:hint="eastAsia"/>
          <w:szCs w:val="21"/>
        </w:rPr>
        <w:t>0</w:t>
      </w:r>
      <w:r w:rsidRPr="00857B61">
        <w:rPr>
          <w:rFonts w:eastAsia="宋体" w:hint="eastAsia"/>
          <w:szCs w:val="21"/>
        </w:rPr>
        <w:t>；陈仕华、卢昌崇，</w:t>
      </w:r>
      <w:r w:rsidRPr="00857B61">
        <w:rPr>
          <w:rFonts w:ascii="Times New Roman" w:eastAsia="宋体" w:hAnsi="Times New Roman" w:cs="Times New Roman"/>
          <w:szCs w:val="21"/>
        </w:rPr>
        <w:t>2014</w:t>
      </w:r>
      <w:r w:rsidRPr="00857B61">
        <w:rPr>
          <w:rFonts w:ascii="Times New Roman" w:eastAsia="宋体" w:hAnsi="Times New Roman" w:cs="Times New Roman"/>
          <w:szCs w:val="21"/>
        </w:rPr>
        <w:t>；陈仕华等，</w:t>
      </w:r>
      <w:r w:rsidRPr="00857B61">
        <w:rPr>
          <w:rFonts w:ascii="Times New Roman" w:eastAsia="宋体" w:hAnsi="Times New Roman" w:cs="Times New Roman"/>
          <w:szCs w:val="21"/>
        </w:rPr>
        <w:t>2015</w:t>
      </w:r>
      <w:r w:rsidRPr="00857B61">
        <w:rPr>
          <w:rFonts w:ascii="Times New Roman" w:eastAsia="宋体" w:hAnsi="Times New Roman" w:cs="Times New Roman" w:hint="eastAsia"/>
          <w:szCs w:val="21"/>
        </w:rPr>
        <w:t>；</w:t>
      </w:r>
      <w:r w:rsidRPr="00857B61">
        <w:rPr>
          <w:rFonts w:eastAsia="宋体" w:hint="eastAsia"/>
          <w:szCs w:val="21"/>
        </w:rPr>
        <w:t>张宁、才国伟，</w:t>
      </w:r>
      <w:r w:rsidRPr="00857B61">
        <w:rPr>
          <w:rFonts w:ascii="Times New Roman" w:eastAsia="宋体" w:hAnsi="Times New Roman" w:cs="Times New Roman" w:hint="eastAsia"/>
          <w:szCs w:val="21"/>
        </w:rPr>
        <w:t>2021</w:t>
      </w:r>
      <w:r w:rsidRPr="00857B61">
        <w:rPr>
          <w:rFonts w:eastAsia="宋体" w:hint="eastAsia"/>
          <w:szCs w:val="21"/>
        </w:rPr>
        <w:t>）。政治关联可以作为法律保护的替代机制来保护企业利益免受政府损害，地方政府的干预行为会提升亏损国有上市公司的并购绩效（潘红波等，</w:t>
      </w:r>
      <w:r w:rsidRPr="00857B61">
        <w:rPr>
          <w:rFonts w:ascii="Times New Roman" w:eastAsia="宋体" w:hAnsi="Times New Roman" w:cs="Times New Roman"/>
          <w:szCs w:val="21"/>
        </w:rPr>
        <w:t>2008</w:t>
      </w:r>
      <w:r w:rsidRPr="00857B61">
        <w:rPr>
          <w:rFonts w:eastAsia="宋体" w:hint="eastAsia"/>
          <w:szCs w:val="21"/>
        </w:rPr>
        <w:t>）。民营企业为寻求政府支持，更有可能在政府有经济资源配置较大自由裁量权的地区建立政治联系（</w:t>
      </w:r>
      <w:r w:rsidRPr="00857B61">
        <w:rPr>
          <w:rFonts w:ascii="Times New Roman" w:eastAsia="宋体" w:hAnsi="Times New Roman" w:cs="Times New Roman"/>
          <w:szCs w:val="21"/>
        </w:rPr>
        <w:t>Chen et al</w:t>
      </w:r>
      <w:r w:rsidRPr="00857B61">
        <w:rPr>
          <w:rFonts w:ascii="Times New Roman" w:eastAsia="宋体" w:hAnsi="Times New Roman" w:cs="Times New Roman"/>
          <w:szCs w:val="21"/>
        </w:rPr>
        <w:t>，</w:t>
      </w:r>
      <w:r w:rsidRPr="00857B61">
        <w:rPr>
          <w:rFonts w:ascii="Times New Roman" w:eastAsia="宋体" w:hAnsi="Times New Roman" w:cs="Times New Roman"/>
          <w:szCs w:val="21"/>
        </w:rPr>
        <w:t>201</w:t>
      </w:r>
      <w:r w:rsidRPr="00857B61">
        <w:rPr>
          <w:rFonts w:ascii="Times New Roman" w:eastAsia="宋体" w:hAnsi="Times New Roman" w:cs="Times New Roman" w:hint="eastAsia"/>
          <w:szCs w:val="21"/>
        </w:rPr>
        <w:t>0</w:t>
      </w:r>
      <w:r w:rsidRPr="00857B61">
        <w:rPr>
          <w:rFonts w:eastAsia="宋体" w:hint="eastAsia"/>
          <w:szCs w:val="21"/>
        </w:rPr>
        <w:t>），各类企业均有动机参与到此类并购活动中。而就企业内部具有政治关联的管理者来讲，高管的自身特征会对公司的并购交易行为产生影响（</w:t>
      </w:r>
      <w:r w:rsidRPr="00857B61">
        <w:rPr>
          <w:rFonts w:ascii="Times New Roman" w:eastAsia="宋体" w:hAnsi="Times New Roman" w:cs="Times New Roman"/>
          <w:szCs w:val="21"/>
        </w:rPr>
        <w:t>Finkelstein et al</w:t>
      </w:r>
      <w:r w:rsidRPr="00857B61">
        <w:rPr>
          <w:rFonts w:ascii="Times New Roman" w:eastAsia="宋体" w:hAnsi="Times New Roman" w:cs="Times New Roman"/>
          <w:szCs w:val="21"/>
        </w:rPr>
        <w:t>，</w:t>
      </w:r>
      <w:r w:rsidRPr="00857B61">
        <w:rPr>
          <w:rFonts w:ascii="Times New Roman" w:eastAsia="宋体" w:hAnsi="Times New Roman" w:cs="Times New Roman"/>
          <w:szCs w:val="21"/>
        </w:rPr>
        <w:t>2009</w:t>
      </w:r>
      <w:r w:rsidRPr="00857B61">
        <w:rPr>
          <w:rFonts w:eastAsia="宋体" w:hint="eastAsia"/>
          <w:szCs w:val="21"/>
        </w:rPr>
        <w:t>），党组织参与治理有助于抑制潜在的国有资产流失问题（陈仕华、卢昌崇，</w:t>
      </w:r>
      <w:r w:rsidRPr="00857B61">
        <w:rPr>
          <w:rFonts w:ascii="Times New Roman" w:eastAsia="宋体" w:hAnsi="Times New Roman" w:cs="Times New Roman" w:hint="eastAsia"/>
          <w:szCs w:val="21"/>
        </w:rPr>
        <w:t>2014</w:t>
      </w:r>
      <w:r w:rsidRPr="00857B61">
        <w:rPr>
          <w:rFonts w:eastAsia="宋体" w:hint="eastAsia"/>
          <w:szCs w:val="21"/>
        </w:rPr>
        <w:t>）；当较好的政治晋升机会出现在国有企业管理者面前时，企业极可能会将并购作为主要的发展途径，且在并购交易中会支付较高的溢价水平（陈仕华等，</w:t>
      </w:r>
      <w:r w:rsidRPr="00857B61">
        <w:rPr>
          <w:rFonts w:ascii="Times New Roman" w:eastAsia="宋体" w:hAnsi="Times New Roman" w:cs="Times New Roman"/>
          <w:szCs w:val="21"/>
        </w:rPr>
        <w:t>2015</w:t>
      </w:r>
      <w:r w:rsidRPr="00857B61">
        <w:rPr>
          <w:rFonts w:eastAsia="宋体" w:hint="eastAsia"/>
          <w:szCs w:val="21"/>
        </w:rPr>
        <w:t>），从而导致国有资产流失。通过对过往文献的梳理，发现鲜有学者以科学和规范的实证方法从法律制度创新的角度对国有资产流失进行研究，此领域尚显空白，需要继续探索。</w:t>
      </w:r>
    </w:p>
    <w:p w14:paraId="2A169A76" w14:textId="77777777" w:rsidR="00DE7EC6" w:rsidRPr="00857B61" w:rsidRDefault="00000000">
      <w:pPr>
        <w:ind w:firstLineChars="200" w:firstLine="420"/>
        <w:rPr>
          <w:rFonts w:eastAsia="宋体"/>
          <w:szCs w:val="21"/>
        </w:rPr>
      </w:pPr>
      <w:r w:rsidRPr="00857B61">
        <w:rPr>
          <w:rFonts w:ascii="Times New Roman" w:eastAsia="宋体" w:hAnsi="Times New Roman" w:cs="Times New Roman"/>
          <w:szCs w:val="21"/>
        </w:rPr>
        <w:t>2.</w:t>
      </w:r>
      <w:r w:rsidRPr="00857B61">
        <w:rPr>
          <w:rFonts w:ascii="楷体" w:eastAsia="楷体" w:hAnsi="楷体" w:cs="楷体" w:hint="eastAsia"/>
          <w:szCs w:val="21"/>
        </w:rPr>
        <w:t>检察行政公益诉讼制度。</w:t>
      </w:r>
      <w:r w:rsidRPr="00857B61">
        <w:rPr>
          <w:rFonts w:eastAsia="宋体" w:hint="eastAsia"/>
          <w:szCs w:val="21"/>
        </w:rPr>
        <w:t>在检察行政公益诉讼制度试点前，学术界尤其是行政法学界就已开始对其合理性、适用性以及实用性进行探究。姜涛（</w:t>
      </w:r>
      <w:r w:rsidRPr="00857B61">
        <w:rPr>
          <w:rFonts w:ascii="Times New Roman" w:eastAsia="宋体" w:hAnsi="Times New Roman" w:cs="Times New Roman"/>
          <w:szCs w:val="21"/>
        </w:rPr>
        <w:t>2015</w:t>
      </w:r>
      <w:r w:rsidRPr="00857B61">
        <w:rPr>
          <w:rFonts w:eastAsia="宋体" w:hint="eastAsia"/>
          <w:szCs w:val="21"/>
        </w:rPr>
        <w:t>）认为检察机关提起行政公益诉讼制度是一个值得我国学术界与政府深究的问题，尤其是当下我国行政机关普遍缺乏相应监督，其行政行为缺乏相应约束机制，而此制度可以创新性地在司法权与行政权之间架起一个桥梁，在不违反没有利益就没有起诉权的前提下促进两者之间功能秩序的实现。虽然有学者认为对司法进行新的解释便可以解决中国社会缺少行政诉讼法的困境（王太高，</w:t>
      </w:r>
      <w:r w:rsidRPr="00857B61">
        <w:rPr>
          <w:rFonts w:ascii="Times New Roman" w:eastAsia="宋体" w:hAnsi="Times New Roman" w:cs="Times New Roman"/>
          <w:szCs w:val="21"/>
        </w:rPr>
        <w:t>2002</w:t>
      </w:r>
      <w:r w:rsidRPr="00857B61">
        <w:rPr>
          <w:rFonts w:eastAsia="宋体" w:hint="eastAsia"/>
          <w:szCs w:val="21"/>
        </w:rPr>
        <w:t>），但亦有像黄学贤等（</w:t>
      </w:r>
      <w:r w:rsidRPr="00857B61">
        <w:rPr>
          <w:rFonts w:ascii="Times New Roman" w:eastAsia="宋体" w:hAnsi="Times New Roman" w:cs="Times New Roman"/>
          <w:szCs w:val="21"/>
        </w:rPr>
        <w:t>2005</w:t>
      </w:r>
      <w:r w:rsidRPr="00857B61">
        <w:rPr>
          <w:rFonts w:eastAsia="宋体" w:hint="eastAsia"/>
          <w:szCs w:val="21"/>
        </w:rPr>
        <w:t>）学者认为新的司法解释并不能够代替新的《行政诉讼法》的作用，也不能够达到一个完整设计的法律体系所能够实现的效果。</w:t>
      </w:r>
    </w:p>
    <w:p w14:paraId="40306640" w14:textId="77777777" w:rsidR="00DE7EC6" w:rsidRPr="00857B61" w:rsidRDefault="00000000">
      <w:pPr>
        <w:ind w:firstLineChars="200" w:firstLine="420"/>
        <w:rPr>
          <w:rFonts w:eastAsia="宋体"/>
          <w:szCs w:val="21"/>
        </w:rPr>
      </w:pPr>
      <w:r w:rsidRPr="00857B61">
        <w:rPr>
          <w:rFonts w:eastAsia="宋体" w:hint="eastAsia"/>
          <w:szCs w:val="21"/>
        </w:rPr>
        <w:t>检察行政公益诉讼制度</w:t>
      </w:r>
      <w:r w:rsidRPr="00857B61">
        <w:rPr>
          <w:rFonts w:ascii="Times New Roman" w:eastAsia="宋体" w:hAnsi="Times New Roman" w:cs="Times New Roman"/>
          <w:szCs w:val="21"/>
        </w:rPr>
        <w:t>2015</w:t>
      </w:r>
      <w:r w:rsidRPr="00857B61">
        <w:rPr>
          <w:rFonts w:eastAsia="宋体" w:hint="eastAsia"/>
          <w:szCs w:val="21"/>
        </w:rPr>
        <w:t>年才在国内展开试点工作，</w:t>
      </w:r>
      <w:r w:rsidRPr="00857B61">
        <w:rPr>
          <w:rFonts w:ascii="Times New Roman" w:eastAsia="宋体" w:hAnsi="Times New Roman" w:cs="Times New Roman"/>
          <w:szCs w:val="21"/>
        </w:rPr>
        <w:t>2017</w:t>
      </w:r>
      <w:r w:rsidRPr="00857B61">
        <w:rPr>
          <w:rFonts w:eastAsia="宋体" w:hint="eastAsia"/>
          <w:szCs w:val="21"/>
        </w:rPr>
        <w:t>年被正式载入《行政诉讼法》。因历时较短，相关文献尚处于待丰富状态。学术界对于检察行政公益诉讼制度的研究主要从法学角度展开（孔祥稳等，</w:t>
      </w:r>
      <w:r w:rsidRPr="00857B61">
        <w:rPr>
          <w:rFonts w:ascii="Times New Roman" w:eastAsia="宋体" w:hAnsi="Times New Roman" w:cs="Times New Roman"/>
          <w:szCs w:val="21"/>
        </w:rPr>
        <w:t>2017</w:t>
      </w:r>
      <w:r w:rsidRPr="00857B61">
        <w:rPr>
          <w:rFonts w:eastAsia="宋体" w:hint="eastAsia"/>
          <w:szCs w:val="21"/>
        </w:rPr>
        <w:t>；王万华，</w:t>
      </w:r>
      <w:r w:rsidRPr="00857B61">
        <w:rPr>
          <w:rFonts w:ascii="Times New Roman" w:eastAsia="宋体" w:hAnsi="Times New Roman" w:cs="Times New Roman"/>
          <w:szCs w:val="21"/>
        </w:rPr>
        <w:t>2018</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覃慧</w:t>
      </w:r>
      <w:r w:rsidRPr="00857B61">
        <w:rPr>
          <w:rFonts w:ascii="Times New Roman" w:eastAsia="宋体" w:hAnsi="Times New Roman" w:cs="Times New Roman" w:hint="eastAsia"/>
          <w:szCs w:val="21"/>
        </w:rPr>
        <w:t>，</w:t>
      </w:r>
      <w:r w:rsidRPr="00857B61">
        <w:rPr>
          <w:rFonts w:ascii="Times New Roman" w:eastAsia="宋体" w:hAnsi="Times New Roman" w:cs="Times New Roman" w:hint="eastAsia"/>
          <w:szCs w:val="21"/>
        </w:rPr>
        <w:t>2019</w:t>
      </w:r>
      <w:r w:rsidRPr="00857B61">
        <w:rPr>
          <w:rFonts w:eastAsia="宋体" w:hint="eastAsia"/>
          <w:szCs w:val="21"/>
        </w:rPr>
        <w:t>）。通过对检察行政公益诉讼制度本身以及试点成效分析后，多位学者一致认为检察行政公益诉讼制度通过民事公益诉讼、行政公益诉讼的方式能够加强对公共利益的保护，从根本上改变传统行政诉讼时原告力量过于薄弱的问题（王万华，</w:t>
      </w:r>
      <w:r w:rsidRPr="00857B61">
        <w:rPr>
          <w:rFonts w:ascii="Times New Roman" w:eastAsia="宋体" w:hAnsi="Times New Roman" w:cs="Times New Roman"/>
          <w:szCs w:val="21"/>
        </w:rPr>
        <w:t>2018</w:t>
      </w:r>
      <w:r w:rsidRPr="00857B61">
        <w:rPr>
          <w:rFonts w:eastAsia="宋体" w:hint="eastAsia"/>
          <w:szCs w:val="21"/>
        </w:rPr>
        <w:t>）。检察行政公益诉讼制度建立起了对公共利益的司法救济，作为兜底性措施可</w:t>
      </w:r>
      <w:r w:rsidRPr="00857B61">
        <w:rPr>
          <w:rFonts w:ascii="Times New Roman" w:eastAsia="宋体" w:hAnsi="Times New Roman" w:cs="Times New Roman"/>
          <w:szCs w:val="21"/>
        </w:rPr>
        <w:t>以弥补其他手段监督刚性不足的缺陷，从而实现对公共利益</w:t>
      </w:r>
      <w:r w:rsidRPr="00857B61">
        <w:rPr>
          <w:rFonts w:ascii="Times New Roman" w:eastAsia="宋体" w:hAnsi="Times New Roman" w:cs="Times New Roman" w:hint="eastAsia"/>
          <w:szCs w:val="21"/>
        </w:rPr>
        <w:t>领域</w:t>
      </w:r>
      <w:r w:rsidRPr="00857B61">
        <w:rPr>
          <w:rFonts w:ascii="Times New Roman" w:eastAsia="宋体" w:hAnsi="Times New Roman" w:cs="Times New Roman"/>
          <w:szCs w:val="21"/>
        </w:rPr>
        <w:t>的保护（梅傲寒</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石晓波，</w:t>
      </w:r>
      <w:r w:rsidRPr="00857B61">
        <w:rPr>
          <w:rFonts w:ascii="Times New Roman" w:eastAsia="宋体" w:hAnsi="Times New Roman" w:cs="Times New Roman"/>
          <w:szCs w:val="21"/>
        </w:rPr>
        <w:t>2019</w:t>
      </w:r>
      <w:r w:rsidRPr="00857B61">
        <w:rPr>
          <w:rFonts w:eastAsia="宋体" w:hint="eastAsia"/>
          <w:szCs w:val="21"/>
        </w:rPr>
        <w:t>）。除了从法学角度对检察行政公益诉讼制度进行研究外，另有一部分学者从环境保护角度对检察行政公益诉讼制度的效果进行测度（朱全宝，</w:t>
      </w:r>
      <w:r w:rsidRPr="00857B61">
        <w:rPr>
          <w:rFonts w:ascii="Times New Roman" w:eastAsia="宋体" w:hAnsi="Times New Roman" w:cs="Times New Roman" w:hint="eastAsia"/>
          <w:szCs w:val="21"/>
        </w:rPr>
        <w:t>2017</w:t>
      </w:r>
      <w:r w:rsidRPr="00857B61">
        <w:rPr>
          <w:rFonts w:eastAsia="宋体" w:hint="eastAsia"/>
          <w:szCs w:val="21"/>
        </w:rPr>
        <w:t>；陈天昊等，</w:t>
      </w:r>
      <w:r w:rsidRPr="00857B61">
        <w:rPr>
          <w:rFonts w:ascii="Times New Roman" w:eastAsia="宋体" w:hAnsi="Times New Roman" w:cs="Times New Roman" w:hint="eastAsia"/>
          <w:szCs w:val="21"/>
        </w:rPr>
        <w:t>2020</w:t>
      </w:r>
      <w:r w:rsidRPr="00857B61">
        <w:rPr>
          <w:rFonts w:eastAsia="宋体" w:hint="eastAsia"/>
          <w:szCs w:val="21"/>
        </w:rPr>
        <w:t>），发现制度试点的推行加强了对公共利益的监督力度，显著降低了工业废水的排放（陈天昊等，</w:t>
      </w:r>
      <w:r w:rsidRPr="00857B61">
        <w:rPr>
          <w:rFonts w:ascii="Times New Roman" w:eastAsia="宋体" w:hAnsi="Times New Roman" w:cs="Times New Roman" w:hint="eastAsia"/>
          <w:szCs w:val="21"/>
        </w:rPr>
        <w:t>2020</w:t>
      </w:r>
      <w:r w:rsidRPr="00857B61">
        <w:rPr>
          <w:rFonts w:eastAsia="宋体" w:hint="eastAsia"/>
          <w:szCs w:val="21"/>
        </w:rPr>
        <w:t>），实现了治理实效，保护了社会环境。</w:t>
      </w:r>
    </w:p>
    <w:p w14:paraId="1BCF86BC" w14:textId="77777777" w:rsidR="00DE7EC6" w:rsidRPr="00857B61" w:rsidRDefault="00000000">
      <w:pPr>
        <w:ind w:firstLineChars="200" w:firstLine="420"/>
        <w:rPr>
          <w:rFonts w:eastAsia="宋体"/>
          <w:sz w:val="24"/>
        </w:rPr>
      </w:pPr>
      <w:r w:rsidRPr="00857B61">
        <w:rPr>
          <w:rFonts w:eastAsia="宋体" w:hint="eastAsia"/>
          <w:szCs w:val="21"/>
        </w:rPr>
        <w:t>国有资产保护作为检察行政公益诉讼制度的另一大重点监督领域，也已吸引了相关学者关注。梅傲寒和石晓波（</w:t>
      </w:r>
      <w:r w:rsidRPr="00857B61">
        <w:rPr>
          <w:rFonts w:ascii="Times New Roman" w:eastAsia="宋体" w:hAnsi="Times New Roman" w:cs="Times New Roman" w:hint="eastAsia"/>
          <w:szCs w:val="21"/>
        </w:rPr>
        <w:t>2019</w:t>
      </w:r>
      <w:r w:rsidRPr="00857B61">
        <w:rPr>
          <w:rFonts w:eastAsia="宋体" w:hint="eastAsia"/>
          <w:szCs w:val="21"/>
        </w:rPr>
        <w:t>）探索检察行政公益诉讼制度在保护国有资产方面的作用，从法学视角对</w:t>
      </w:r>
      <w:r w:rsidRPr="00857B61">
        <w:rPr>
          <w:rFonts w:eastAsia="宋体" w:hint="eastAsia"/>
          <w:szCs w:val="21"/>
        </w:rPr>
        <w:lastRenderedPageBreak/>
        <w:t>国有资产公益诉讼的价值功能进行了阐述，并认为检察行政公益诉讼制度的实施将对国有资产流失起到权利救济功能。但尚未有学者从实证角度将检察行政公益诉讼制度的实施与国有资产流失联系起来进行严谨分析</w:t>
      </w:r>
      <w:r w:rsidRPr="00857B61">
        <w:rPr>
          <w:rFonts w:eastAsia="宋体" w:hint="eastAsia"/>
          <w:sz w:val="24"/>
        </w:rPr>
        <w:t>。</w:t>
      </w:r>
    </w:p>
    <w:p w14:paraId="037099D7" w14:textId="77777777" w:rsidR="00DE7EC6" w:rsidRPr="00857B61" w:rsidRDefault="00000000">
      <w:pPr>
        <w:pStyle w:val="30"/>
        <w:spacing w:before="120" w:after="120" w:line="240" w:lineRule="auto"/>
        <w:ind w:firstLineChars="200" w:firstLine="422"/>
        <w:rPr>
          <w:rFonts w:eastAsia="宋体"/>
          <w:sz w:val="21"/>
          <w:szCs w:val="21"/>
        </w:rPr>
      </w:pPr>
      <w:r w:rsidRPr="00857B61">
        <w:rPr>
          <w:rFonts w:eastAsia="宋体" w:hint="eastAsia"/>
          <w:sz w:val="21"/>
          <w:szCs w:val="21"/>
        </w:rPr>
        <w:t>（三）检察行政公益诉讼制度与国有资产流失的影响机理分析</w:t>
      </w:r>
    </w:p>
    <w:p w14:paraId="11CA81C9" w14:textId="77777777" w:rsidR="00DE7EC6" w:rsidRPr="00857B61" w:rsidRDefault="00000000">
      <w:pPr>
        <w:pStyle w:val="4"/>
        <w:spacing w:before="0" w:after="0" w:line="240" w:lineRule="auto"/>
        <w:ind w:firstLineChars="200" w:firstLine="420"/>
        <w:rPr>
          <w:rFonts w:asciiTheme="minorHAnsi" w:eastAsia="宋体" w:hAnsiTheme="minorHAnsi" w:cstheme="minorBidi"/>
          <w:b w:val="0"/>
          <w:bCs w:val="0"/>
          <w:sz w:val="21"/>
          <w:szCs w:val="21"/>
        </w:rPr>
      </w:pPr>
      <w:r w:rsidRPr="00857B61">
        <w:rPr>
          <w:rFonts w:ascii="Times New Roman" w:eastAsia="宋体" w:hAnsi="Times New Roman" w:cs="宋体" w:hint="eastAsia"/>
          <w:b w:val="0"/>
          <w:bCs w:val="0"/>
          <w:sz w:val="21"/>
          <w:szCs w:val="21"/>
        </w:rPr>
        <w:t>1.</w:t>
      </w:r>
      <w:r w:rsidRPr="00857B61">
        <w:rPr>
          <w:rFonts w:ascii="楷体" w:eastAsia="楷体" w:hAnsi="楷体" w:cs="楷体" w:hint="eastAsia"/>
          <w:b w:val="0"/>
          <w:bCs w:val="0"/>
          <w:sz w:val="21"/>
          <w:szCs w:val="21"/>
        </w:rPr>
        <w:t>检察行政公益诉讼制度与国有资产流失。</w:t>
      </w:r>
      <w:r w:rsidRPr="00857B61">
        <w:rPr>
          <w:rFonts w:ascii="Times New Roman" w:eastAsia="宋体" w:hAnsi="Times New Roman" w:cs="Times New Roman"/>
          <w:b w:val="0"/>
          <w:bCs w:val="0"/>
          <w:sz w:val="21"/>
          <w:szCs w:val="21"/>
        </w:rPr>
        <w:t>2020</w:t>
      </w:r>
      <w:r w:rsidRPr="00857B61">
        <w:rPr>
          <w:rFonts w:ascii="Times New Roman" w:eastAsia="宋体" w:hAnsi="Times New Roman" w:cs="Times New Roman"/>
          <w:b w:val="0"/>
          <w:bCs w:val="0"/>
          <w:sz w:val="21"/>
          <w:szCs w:val="21"/>
        </w:rPr>
        <w:t>年我国国有企业（不含金融企业）资产总额高达</w:t>
      </w:r>
      <w:r w:rsidRPr="00857B61">
        <w:rPr>
          <w:rFonts w:ascii="Times New Roman" w:eastAsia="宋体" w:hAnsi="Times New Roman" w:cs="Times New Roman"/>
          <w:b w:val="0"/>
          <w:bCs w:val="0"/>
          <w:sz w:val="21"/>
          <w:szCs w:val="21"/>
        </w:rPr>
        <w:t>268.5</w:t>
      </w:r>
      <w:r w:rsidRPr="00857B61">
        <w:rPr>
          <w:rFonts w:ascii="Times New Roman" w:eastAsia="宋体" w:hAnsi="Times New Roman" w:cs="Times New Roman"/>
          <w:b w:val="0"/>
          <w:bCs w:val="0"/>
          <w:sz w:val="21"/>
          <w:szCs w:val="21"/>
        </w:rPr>
        <w:t>万亿元，</w:t>
      </w:r>
      <w:r w:rsidRPr="00857B61">
        <w:rPr>
          <w:rFonts w:ascii="Times New Roman" w:eastAsia="宋体" w:hAnsi="Times New Roman" w:cs="Times New Roman"/>
          <w:b w:val="0"/>
          <w:bCs w:val="0"/>
          <w:sz w:val="21"/>
          <w:szCs w:val="21"/>
        </w:rPr>
        <w:t>“</w:t>
      </w:r>
      <w:r w:rsidRPr="00857B61">
        <w:rPr>
          <w:rFonts w:ascii="Times New Roman" w:eastAsia="宋体" w:hAnsi="Times New Roman" w:cs="Times New Roman"/>
          <w:b w:val="0"/>
          <w:bCs w:val="0"/>
          <w:sz w:val="21"/>
          <w:szCs w:val="21"/>
        </w:rPr>
        <w:t>家底</w:t>
      </w:r>
      <w:r w:rsidRPr="00857B61">
        <w:rPr>
          <w:rFonts w:ascii="Times New Roman" w:eastAsia="宋体" w:hAnsi="Times New Roman" w:cs="Times New Roman"/>
          <w:b w:val="0"/>
          <w:bCs w:val="0"/>
          <w:sz w:val="21"/>
          <w:szCs w:val="21"/>
        </w:rPr>
        <w:t>”</w:t>
      </w:r>
      <w:r w:rsidRPr="00857B61">
        <w:rPr>
          <w:rFonts w:ascii="Times New Roman" w:eastAsia="宋体" w:hAnsi="Times New Roman" w:cs="Times New Roman"/>
          <w:b w:val="0"/>
          <w:bCs w:val="0"/>
          <w:sz w:val="21"/>
          <w:szCs w:val="21"/>
        </w:rPr>
        <w:t>更加雄厚，但国有资产流失的底线依旧要牢牢抓住。国有资产流失形式丰富，但对国有上市公司而言，资产流失最严重、最重要的形式便是权力价值的流失，即国有上市公司对其拥有国有资产的控制权、监督权、剩余索取权等权力的缩减、丧失以及被窃取、滥用等（马亚军、韩文明，</w:t>
      </w:r>
      <w:r w:rsidRPr="00857B61">
        <w:rPr>
          <w:rFonts w:ascii="Times New Roman" w:eastAsia="宋体" w:hAnsi="Times New Roman" w:cs="Times New Roman"/>
          <w:b w:val="0"/>
          <w:bCs w:val="0"/>
          <w:sz w:val="21"/>
          <w:szCs w:val="21"/>
        </w:rPr>
        <w:t>2003</w:t>
      </w:r>
      <w:r w:rsidRPr="00857B61">
        <w:rPr>
          <w:rFonts w:ascii="Times New Roman" w:eastAsia="宋体" w:hAnsi="Times New Roman" w:cs="Times New Roman"/>
          <w:b w:val="0"/>
          <w:bCs w:val="0"/>
          <w:sz w:val="21"/>
          <w:szCs w:val="21"/>
        </w:rPr>
        <w:t>）。而检察行政公益诉讼制度的出现为管理国有资产、防止国有资产流失提供了新形式。</w:t>
      </w:r>
    </w:p>
    <w:p w14:paraId="20E1A3BC" w14:textId="77777777" w:rsidR="00DE7EC6" w:rsidRPr="00857B61" w:rsidRDefault="00000000">
      <w:pPr>
        <w:numPr>
          <w:ilvl w:val="0"/>
          <w:numId w:val="3"/>
        </w:numPr>
        <w:ind w:firstLineChars="200" w:firstLine="420"/>
        <w:rPr>
          <w:szCs w:val="21"/>
        </w:rPr>
      </w:pPr>
      <w:r w:rsidRPr="00857B61">
        <w:rPr>
          <w:rFonts w:eastAsia="宋体" w:hint="eastAsia"/>
          <w:szCs w:val="21"/>
        </w:rPr>
        <w:t>如前文所述，虽然国资委对国有资产的运营管理负有监督权，但其更多的是行使行政监督权，其存在依旧不能解决国有资产监管责任主体构建缺失的问题。</w:t>
      </w:r>
      <w:r w:rsidRPr="00857B61">
        <w:rPr>
          <w:rFonts w:eastAsia="宋体" w:hint="eastAsia"/>
          <w:bCs/>
          <w:szCs w:val="21"/>
        </w:rPr>
        <w:t>与国资委的监督权力相比，检察行政公益诉讼制度作为司法监督机制对行政行为进行重点监督，通过将国有资产保护及国有土地使用权出让明确划入检察机关履行监督职责的范围内，为国有资产权力价值流失提供了一个很好的约束机制</w:t>
      </w:r>
      <w:r w:rsidRPr="00857B61">
        <w:rPr>
          <w:rFonts w:eastAsia="宋体" w:hint="eastAsia"/>
          <w:szCs w:val="21"/>
        </w:rPr>
        <w:t>（梅傲寒、石晓波，</w:t>
      </w:r>
      <w:r w:rsidRPr="00857B61">
        <w:rPr>
          <w:rFonts w:ascii="Times New Roman" w:eastAsia="宋体" w:hAnsi="Times New Roman" w:cs="Times New Roman" w:hint="eastAsia"/>
          <w:szCs w:val="21"/>
        </w:rPr>
        <w:t>2019</w:t>
      </w:r>
      <w:r w:rsidRPr="00857B61">
        <w:rPr>
          <w:rFonts w:eastAsia="宋体" w:hint="eastAsia"/>
          <w:szCs w:val="21"/>
        </w:rPr>
        <w:t>）</w:t>
      </w:r>
      <w:r w:rsidRPr="00857B61">
        <w:rPr>
          <w:rFonts w:eastAsia="宋体" w:hint="eastAsia"/>
          <w:bCs/>
          <w:szCs w:val="21"/>
        </w:rPr>
        <w:t>。</w:t>
      </w:r>
      <w:r w:rsidRPr="00857B61">
        <w:rPr>
          <w:rFonts w:hint="eastAsia"/>
          <w:szCs w:val="21"/>
        </w:rPr>
        <w:t>第二，因与股权所有者的利益不完全一致，国有企业的高管会出于为自身谋取利益的动机而侵害企业资产。但检察行政公益诉讼制度可以通过行政诉讼的方式从外部对国有企业的运营，尤其是高管的在职行为进行监督。国企高管对国有资产流失唯避之而不及，害怕被扣上“国有资产流失”的罪名（陈仕华、卢昌崇，</w:t>
      </w:r>
      <w:r w:rsidRPr="00857B61">
        <w:rPr>
          <w:rFonts w:ascii="Times New Roman" w:hAnsi="Times New Roman" w:cs="Times New Roman"/>
          <w:szCs w:val="21"/>
        </w:rPr>
        <w:t>2014</w:t>
      </w:r>
      <w:r w:rsidRPr="00857B61">
        <w:rPr>
          <w:rFonts w:hint="eastAsia"/>
          <w:szCs w:val="21"/>
        </w:rPr>
        <w:t>）。在制度试点期间，国有资产保护领域成为检察机关重点检察范围，侵害国有资产的案件更是受到重点关注。在此背景下，国企高管会更加约束自身行为、避免做出涉及国有资产流失的举动。</w:t>
      </w:r>
    </w:p>
    <w:p w14:paraId="0B53211E" w14:textId="77777777" w:rsidR="00DE7EC6" w:rsidRPr="00857B61" w:rsidRDefault="00000000">
      <w:pPr>
        <w:ind w:firstLineChars="200" w:firstLine="420"/>
        <w:rPr>
          <w:rFonts w:eastAsia="宋体"/>
          <w:szCs w:val="21"/>
        </w:rPr>
      </w:pPr>
      <w:r w:rsidRPr="00857B61">
        <w:rPr>
          <w:rFonts w:eastAsia="宋体" w:hint="eastAsia"/>
          <w:szCs w:val="21"/>
        </w:rPr>
        <w:t>检察机关通过提起行政诉讼、发出检察建议等方式加强了对行政机关的监管，提高了国家对国有资产的控制力度，同时也最大程度地避免了内部管理人因滥用职权而造成的主动性国有资产流失，从控股人及管理者两个方面缓解了国有企业的“代理人问题”。检察行政公益诉讼制度的推行以及试点期间各典型案例的解决都强烈地体现出党和政府对维护国有资产安全、减轻国有资产流失的决心。同时，该制度将检察机关作为唯一的诉讼主体，避免了其他主体作为起诉人所面临的信息不畅或取证难度大的不足，也为国有资产流失提供了有效保护途径、建立了流失追回机制（梅傲寒、石晓波，</w:t>
      </w:r>
      <w:r w:rsidRPr="00857B61">
        <w:rPr>
          <w:rFonts w:ascii="Times New Roman" w:eastAsia="宋体" w:hAnsi="Times New Roman" w:cs="Times New Roman" w:hint="eastAsia"/>
          <w:szCs w:val="21"/>
        </w:rPr>
        <w:t>2019</w:t>
      </w:r>
      <w:r w:rsidRPr="00857B61">
        <w:rPr>
          <w:rFonts w:eastAsia="宋体" w:hint="eastAsia"/>
          <w:szCs w:val="21"/>
        </w:rPr>
        <w:t>）。因此，根据试点期间的典型案例以及制度顶层设计目的，本文认为检察行政公益诉讼制度的实施对于国有资产流失会起到一定程度的遏制作用，并提出以下研究假设：</w:t>
      </w:r>
    </w:p>
    <w:p w14:paraId="0F2A29C2" w14:textId="77777777" w:rsidR="00DE7EC6" w:rsidRPr="00857B61" w:rsidRDefault="00000000">
      <w:pPr>
        <w:ind w:firstLineChars="200" w:firstLine="420"/>
        <w:rPr>
          <w:rFonts w:eastAsia="宋体"/>
          <w:szCs w:val="21"/>
        </w:rPr>
      </w:pPr>
      <w:r w:rsidRPr="00857B61">
        <w:rPr>
          <w:rFonts w:ascii="Times New Roman" w:eastAsia="宋体" w:hAnsi="Times New Roman" w:cs="Times New Roman" w:hint="eastAsia"/>
          <w:szCs w:val="21"/>
        </w:rPr>
        <w:t>H1</w:t>
      </w:r>
      <w:r w:rsidRPr="00857B61">
        <w:rPr>
          <w:rFonts w:eastAsia="宋体" w:hint="eastAsia"/>
          <w:szCs w:val="21"/>
        </w:rPr>
        <w:t>：检察行政公益诉讼制度的实施会有效抑制国有资产流失。</w:t>
      </w:r>
    </w:p>
    <w:p w14:paraId="5F90B13F" w14:textId="77777777" w:rsidR="00DE7EC6" w:rsidRPr="00857B61" w:rsidRDefault="00000000">
      <w:pPr>
        <w:ind w:firstLineChars="200" w:firstLine="420"/>
        <w:rPr>
          <w:rFonts w:eastAsia="宋体"/>
          <w:szCs w:val="21"/>
        </w:rPr>
      </w:pPr>
      <w:r w:rsidRPr="00857B61">
        <w:rPr>
          <w:rFonts w:ascii="Times New Roman" w:eastAsia="宋体" w:hAnsi="Times New Roman" w:cs="宋体" w:hint="eastAsia"/>
          <w:szCs w:val="21"/>
        </w:rPr>
        <w:t>2.</w:t>
      </w:r>
      <w:r w:rsidRPr="00857B61">
        <w:rPr>
          <w:rFonts w:ascii="楷体" w:eastAsia="楷体" w:hAnsi="楷体" w:cs="楷体" w:hint="eastAsia"/>
          <w:szCs w:val="21"/>
        </w:rPr>
        <w:t>并购交易中卖方企业亏损状态的调节效应。</w:t>
      </w:r>
      <w:r w:rsidRPr="00857B61">
        <w:rPr>
          <w:rFonts w:hint="eastAsia"/>
          <w:szCs w:val="21"/>
        </w:rPr>
        <w:t>检察行政公益诉讼制度与国有资产流失如果存在一定关系，那么什么因素又能够对这种关系的大小程度或者方向产生调节作用呢？从企业经营的关注点来看，企业是以盈利为目的。利润或者净利润是其最为关注的指标，盈利多少、是否亏损关系到企业的运营效率以及战略决策。虽然</w:t>
      </w:r>
      <w:r w:rsidRPr="00857B61">
        <w:rPr>
          <w:rFonts w:eastAsia="宋体" w:hint="eastAsia"/>
          <w:szCs w:val="21"/>
        </w:rPr>
        <w:t>买卖双方参与并购的最终目标都是为了获取更高利润，但交易的初始动机或有不同，作为并购中资产或股权的出售方其动机无非是壮大可用资源、提高企业的可运转效率；而购买方付出资本却可能是出于获得政府支持（</w:t>
      </w:r>
      <w:r w:rsidRPr="00857B61">
        <w:rPr>
          <w:rFonts w:ascii="Times New Roman" w:eastAsia="宋体" w:hAnsi="Times New Roman" w:cs="Times New Roman"/>
          <w:szCs w:val="21"/>
        </w:rPr>
        <w:t>Chen et al</w:t>
      </w:r>
      <w:r w:rsidRPr="00857B61">
        <w:rPr>
          <w:rFonts w:ascii="Times New Roman" w:eastAsia="宋体" w:hAnsi="Times New Roman" w:cs="Times New Roman"/>
          <w:szCs w:val="21"/>
        </w:rPr>
        <w:t>，</w:t>
      </w:r>
      <w:r w:rsidRPr="00857B61">
        <w:rPr>
          <w:rFonts w:ascii="Times New Roman" w:eastAsia="宋体" w:hAnsi="Times New Roman" w:cs="Times New Roman"/>
          <w:szCs w:val="21"/>
        </w:rPr>
        <w:t>201</w:t>
      </w:r>
      <w:r w:rsidRPr="00857B61">
        <w:rPr>
          <w:rFonts w:ascii="Times New Roman" w:eastAsia="宋体" w:hAnsi="Times New Roman" w:cs="Times New Roman" w:hint="eastAsia"/>
          <w:szCs w:val="21"/>
        </w:rPr>
        <w:t>0</w:t>
      </w:r>
      <w:r w:rsidRPr="00857B61">
        <w:rPr>
          <w:rFonts w:eastAsia="宋体" w:hint="eastAsia"/>
          <w:szCs w:val="21"/>
        </w:rPr>
        <w:t>；</w:t>
      </w:r>
      <w:r w:rsidRPr="00857B61">
        <w:rPr>
          <w:rFonts w:ascii="Times New Roman" w:eastAsia="宋体" w:hAnsi="Times New Roman" w:cs="Times New Roman"/>
          <w:szCs w:val="21"/>
        </w:rPr>
        <w:t>蔡庆丰等</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2017</w:t>
      </w:r>
      <w:r w:rsidRPr="00857B61">
        <w:rPr>
          <w:rFonts w:eastAsia="宋体" w:hint="eastAsia"/>
          <w:szCs w:val="21"/>
        </w:rPr>
        <w:t>）、进军新行业以及弥补战略空白的动机。</w:t>
      </w:r>
      <w:r w:rsidRPr="00857B61">
        <w:rPr>
          <w:rFonts w:hint="eastAsia"/>
          <w:szCs w:val="21"/>
        </w:rPr>
        <w:t>所以，本文将净利润作为突破口，进一步从并购交易中卖方企业实现的净利润角度对检察行政公益诉讼制度与国有资产流失的关系做分析研究。</w:t>
      </w:r>
      <w:r w:rsidRPr="00857B61">
        <w:rPr>
          <w:rFonts w:eastAsia="宋体" w:hint="eastAsia"/>
          <w:szCs w:val="21"/>
        </w:rPr>
        <w:t>当企业未达到获取利润的目标即出现亏损，尤其是长期呈现亏损状态而缺少有效措施使其扭亏为盈时，将全部或部分资产、股权进行出让会是一个比较常态且择优的做法。在企业进行兼并收购时存在一种承担债务式并购，地方政府会出于为亏损企业找出路等目的而违反国家规定进行不当的资产评估，更甚者会采取人为方式来设定产权转让低价，致使国有资产流失（苏锡坤等，</w:t>
      </w:r>
      <w:r w:rsidRPr="00857B61">
        <w:rPr>
          <w:rFonts w:ascii="Times New Roman" w:eastAsia="宋体" w:hAnsi="Times New Roman" w:cs="Times New Roman"/>
          <w:szCs w:val="21"/>
        </w:rPr>
        <w:t>1998</w:t>
      </w:r>
      <w:r w:rsidRPr="00857B61">
        <w:rPr>
          <w:rFonts w:eastAsia="宋体" w:hint="eastAsia"/>
          <w:szCs w:val="21"/>
        </w:rPr>
        <w:t>）。可见，在国有企业处于亏损状态时，</w:t>
      </w:r>
      <w:r w:rsidRPr="00857B61">
        <w:rPr>
          <w:rFonts w:hint="eastAsia"/>
          <w:szCs w:val="21"/>
        </w:rPr>
        <w:t>一方面自身的经营状况使其在并购交易中处于劣势地位，不易于索要并购高价；另一方面地方政府对其进行干预的动机加强，无论是政府出于</w:t>
      </w:r>
      <w:r w:rsidRPr="00857B61">
        <w:rPr>
          <w:rFonts w:hint="eastAsia"/>
          <w:szCs w:val="21"/>
        </w:rPr>
        <w:lastRenderedPageBreak/>
        <w:t>政绩考核亦或是晋升压力而积极促进并购交易的开展，这些因素的出现都将导致检察行政公益诉讼制度的实施效果受到影响。因此，本文认为</w:t>
      </w:r>
      <w:r w:rsidRPr="00857B61">
        <w:rPr>
          <w:rFonts w:eastAsia="宋体" w:hint="eastAsia"/>
          <w:szCs w:val="21"/>
        </w:rPr>
        <w:t>企业实现的净利润状况、是否出现亏损会对检察行政公益诉讼制度实施与国有资产流失关系产生调节作用，特引入企业的亏损状态这一调节变量。基于以上分析，本文提出以下研究假设：</w:t>
      </w:r>
    </w:p>
    <w:p w14:paraId="4CEC9973" w14:textId="77777777" w:rsidR="00DE7EC6" w:rsidRPr="00857B61" w:rsidRDefault="00000000">
      <w:pPr>
        <w:ind w:firstLineChars="200" w:firstLine="420"/>
        <w:rPr>
          <w:rFonts w:eastAsia="宋体"/>
          <w:sz w:val="24"/>
        </w:rPr>
      </w:pPr>
      <w:r w:rsidRPr="00857B61">
        <w:rPr>
          <w:rFonts w:ascii="Times New Roman" w:eastAsia="宋体" w:hAnsi="Times New Roman" w:cs="Times New Roman" w:hint="eastAsia"/>
          <w:szCs w:val="21"/>
        </w:rPr>
        <w:t>H2</w:t>
      </w:r>
      <w:r w:rsidRPr="00857B61">
        <w:rPr>
          <w:rFonts w:eastAsia="宋体" w:hint="eastAsia"/>
          <w:szCs w:val="21"/>
        </w:rPr>
        <w:t>：并购交易过程中卖方企业的亏损状态</w:t>
      </w:r>
      <w:r w:rsidRPr="00857B61">
        <w:rPr>
          <w:rFonts w:eastAsia="宋体" w:hint="eastAsia"/>
          <w:bCs/>
          <w:szCs w:val="21"/>
        </w:rPr>
        <w:t>会减弱</w:t>
      </w:r>
      <w:r w:rsidRPr="00857B61">
        <w:rPr>
          <w:rFonts w:eastAsia="宋体" w:hint="eastAsia"/>
          <w:szCs w:val="21"/>
        </w:rPr>
        <w:t>国有资产流失与检察行政公益诉讼制度的负相关关系</w:t>
      </w:r>
      <w:r w:rsidRPr="00857B61">
        <w:rPr>
          <w:rFonts w:eastAsia="宋体" w:hint="eastAsia"/>
          <w:sz w:val="24"/>
        </w:rPr>
        <w:t>。</w:t>
      </w:r>
    </w:p>
    <w:p w14:paraId="2BC7A945" w14:textId="77777777" w:rsidR="00DE7EC6" w:rsidRPr="00857B61" w:rsidRDefault="00000000">
      <w:pPr>
        <w:pStyle w:val="4"/>
        <w:spacing w:before="0" w:after="0" w:line="240" w:lineRule="auto"/>
        <w:ind w:firstLineChars="200" w:firstLine="420"/>
        <w:rPr>
          <w:rFonts w:eastAsia="宋体"/>
          <w:b w:val="0"/>
          <w:bCs w:val="0"/>
          <w:sz w:val="21"/>
          <w:szCs w:val="21"/>
        </w:rPr>
      </w:pPr>
      <w:r w:rsidRPr="00857B61">
        <w:rPr>
          <w:rFonts w:ascii="Times New Roman" w:eastAsia="宋体" w:hAnsi="Times New Roman" w:cs="宋体" w:hint="eastAsia"/>
          <w:b w:val="0"/>
          <w:bCs w:val="0"/>
          <w:sz w:val="21"/>
          <w:szCs w:val="21"/>
        </w:rPr>
        <w:t>3.</w:t>
      </w:r>
      <w:r w:rsidRPr="00857B61">
        <w:rPr>
          <w:rFonts w:ascii="楷体" w:eastAsia="楷体" w:hAnsi="楷体" w:cs="楷体" w:hint="eastAsia"/>
          <w:b w:val="0"/>
          <w:bCs w:val="0"/>
          <w:sz w:val="21"/>
          <w:szCs w:val="21"/>
        </w:rPr>
        <w:t>地区执法强度的调节效应。</w:t>
      </w:r>
      <w:r w:rsidRPr="00857B61">
        <w:rPr>
          <w:rFonts w:eastAsia="宋体" w:hint="eastAsia"/>
          <w:b w:val="0"/>
          <w:bCs w:val="0"/>
          <w:sz w:val="21"/>
          <w:szCs w:val="21"/>
        </w:rPr>
        <w:t>虽然国家综合考量各种因素后选择了在北京、湖北、江苏等</w:t>
      </w:r>
      <w:r w:rsidRPr="00857B61">
        <w:rPr>
          <w:rFonts w:ascii="Times New Roman" w:eastAsia="宋体" w:hAnsi="Times New Roman" w:cs="Times New Roman"/>
          <w:b w:val="0"/>
          <w:bCs w:val="0"/>
          <w:sz w:val="21"/>
          <w:szCs w:val="21"/>
        </w:rPr>
        <w:t>13</w:t>
      </w:r>
      <w:r w:rsidRPr="00857B61">
        <w:rPr>
          <w:rFonts w:eastAsia="宋体" w:hint="eastAsia"/>
          <w:b w:val="0"/>
          <w:bCs w:val="0"/>
          <w:sz w:val="21"/>
          <w:szCs w:val="21"/>
        </w:rPr>
        <w:t>个省、自治区、直辖市展开试点工作，但每个地区还是会由于自身经济、政治、文化等特殊性因素而在执行力度、重视程度上有不同的表现。安徽省、贵州省等地区在试点开展后就表现出了极高的积极性</w:t>
      </w:r>
      <w:r w:rsidRPr="00857B61">
        <w:rPr>
          <w:rStyle w:val="a9"/>
          <w:rFonts w:eastAsia="宋体" w:hint="eastAsia"/>
          <w:b w:val="0"/>
          <w:bCs w:val="0"/>
          <w:sz w:val="21"/>
          <w:szCs w:val="21"/>
        </w:rPr>
        <w:footnoteReference w:id="5"/>
      </w:r>
      <w:r w:rsidRPr="00857B61">
        <w:rPr>
          <w:rFonts w:eastAsia="宋体" w:hint="eastAsia"/>
          <w:b w:val="0"/>
          <w:bCs w:val="0"/>
          <w:sz w:val="21"/>
          <w:szCs w:val="21"/>
        </w:rPr>
        <w:t>，贵州省的表现尤为突出，在试点开始之前就已经通过颁布地方性法规及其他规范性文件等方式来为行政公益诉讼制度的推行奠定基础。但在试点期间，北京市、云南省却并未就检察行政公益诉讼制度的推行出台支持性文件。从检察机关公益诉讼结果来看，</w:t>
      </w:r>
      <w:r w:rsidRPr="00857B61">
        <w:rPr>
          <w:rFonts w:ascii="Arial" w:eastAsia="宋体" w:hAnsi="Arial" w:cs="Arial" w:hint="eastAsia"/>
          <w:b w:val="0"/>
          <w:bCs w:val="0"/>
          <w:sz w:val="21"/>
          <w:szCs w:val="21"/>
        </w:rPr>
        <w:t>各地区政府部门对试点政策的重视程度必然会影响制度试点的执行效率与成果</w:t>
      </w:r>
      <w:r w:rsidRPr="00857B61">
        <w:rPr>
          <w:rFonts w:eastAsia="宋体" w:hint="eastAsia"/>
          <w:b w:val="0"/>
          <w:bCs w:val="0"/>
          <w:sz w:val="21"/>
          <w:szCs w:val="21"/>
        </w:rPr>
        <w:t>（</w:t>
      </w:r>
      <w:r w:rsidRPr="00857B61">
        <w:rPr>
          <w:rFonts w:ascii="Times New Roman" w:eastAsia="宋体" w:hAnsi="Times New Roman" w:cs="Times New Roman"/>
          <w:b w:val="0"/>
          <w:bCs w:val="0"/>
          <w:sz w:val="21"/>
          <w:szCs w:val="21"/>
        </w:rPr>
        <w:t>覃慧</w:t>
      </w:r>
      <w:r w:rsidRPr="00857B61">
        <w:rPr>
          <w:rFonts w:ascii="Times New Roman" w:eastAsia="宋体" w:hAnsi="Times New Roman" w:cs="Times New Roman" w:hint="eastAsia"/>
          <w:b w:val="0"/>
          <w:bCs w:val="0"/>
          <w:sz w:val="21"/>
          <w:szCs w:val="21"/>
        </w:rPr>
        <w:t>，</w:t>
      </w:r>
      <w:r w:rsidRPr="00857B61">
        <w:rPr>
          <w:rFonts w:ascii="Times New Roman" w:eastAsia="宋体" w:hAnsi="Times New Roman" w:cs="Times New Roman" w:hint="eastAsia"/>
          <w:b w:val="0"/>
          <w:bCs w:val="0"/>
          <w:sz w:val="21"/>
          <w:szCs w:val="21"/>
        </w:rPr>
        <w:t>2019</w:t>
      </w:r>
      <w:r w:rsidRPr="00857B61">
        <w:rPr>
          <w:rFonts w:eastAsia="宋体" w:hint="eastAsia"/>
          <w:b w:val="0"/>
          <w:bCs w:val="0"/>
          <w:sz w:val="21"/>
          <w:szCs w:val="21"/>
        </w:rPr>
        <w:t>）</w:t>
      </w:r>
      <w:r w:rsidRPr="00857B61">
        <w:rPr>
          <w:rFonts w:ascii="Arial" w:eastAsia="宋体" w:hAnsi="Arial" w:cs="Arial" w:hint="eastAsia"/>
          <w:b w:val="0"/>
          <w:bCs w:val="0"/>
          <w:sz w:val="21"/>
          <w:szCs w:val="21"/>
        </w:rPr>
        <w:t>。政府部门如果直接以出台正式文件的形式来表示对检察行政公益诉讼制度的支持，那么当地检察机关也会承受较大政策性压力、积极性会相应提高，其他部门也会更加配合检察机关的工作，有利于检察机关进行案件线索的发现；反之，检察机关自身可能出现懈怠、对线索发现不积极或不及时，各部门提供的配合程度也有限，这些都会给试点成效造成损害。</w:t>
      </w:r>
      <w:r w:rsidRPr="00857B61">
        <w:rPr>
          <w:rFonts w:eastAsia="宋体" w:hint="eastAsia"/>
          <w:b w:val="0"/>
          <w:bCs w:val="0"/>
          <w:sz w:val="21"/>
          <w:szCs w:val="21"/>
        </w:rPr>
        <w:t>考虑到各地区执法力度不同可能给检察行政公益诉讼制度的实施带来的影响，本文引入执法强度这一变量做调节效应分析，并提出以下假设：</w:t>
      </w:r>
    </w:p>
    <w:p w14:paraId="25B58366" w14:textId="77777777" w:rsidR="00DE7EC6" w:rsidRPr="00857B61" w:rsidRDefault="00000000">
      <w:pPr>
        <w:ind w:firstLineChars="200" w:firstLine="420"/>
        <w:rPr>
          <w:rFonts w:eastAsia="宋体"/>
          <w:sz w:val="24"/>
        </w:rPr>
      </w:pPr>
      <w:r w:rsidRPr="00857B61">
        <w:rPr>
          <w:rFonts w:ascii="Times New Roman" w:eastAsia="宋体" w:hAnsi="Times New Roman" w:cs="Times New Roman" w:hint="eastAsia"/>
          <w:szCs w:val="21"/>
        </w:rPr>
        <w:t>H3</w:t>
      </w:r>
      <w:r w:rsidRPr="00857B61">
        <w:rPr>
          <w:rFonts w:eastAsia="宋体" w:hint="eastAsia"/>
          <w:szCs w:val="21"/>
        </w:rPr>
        <w:t>：各地区的执法强度</w:t>
      </w:r>
      <w:r w:rsidRPr="00857B61">
        <w:rPr>
          <w:rFonts w:eastAsia="宋体" w:hint="eastAsia"/>
          <w:bCs/>
          <w:szCs w:val="21"/>
        </w:rPr>
        <w:t>会强化</w:t>
      </w:r>
      <w:r w:rsidRPr="00857B61">
        <w:rPr>
          <w:rFonts w:eastAsia="宋体" w:hint="eastAsia"/>
          <w:szCs w:val="21"/>
        </w:rPr>
        <w:t>国有资产流失与检察行政公益诉讼制度的负相关关系</w:t>
      </w:r>
      <w:r w:rsidRPr="00857B61">
        <w:rPr>
          <w:rFonts w:eastAsia="宋体" w:hint="eastAsia"/>
          <w:sz w:val="24"/>
        </w:rPr>
        <w:t>。</w:t>
      </w:r>
    </w:p>
    <w:p w14:paraId="3F7EB6E6" w14:textId="77777777" w:rsidR="00DE7EC6" w:rsidRPr="00857B61" w:rsidRDefault="00000000">
      <w:pPr>
        <w:pStyle w:val="2"/>
        <w:spacing w:before="120" w:after="120" w:line="240" w:lineRule="auto"/>
        <w:jc w:val="center"/>
        <w:rPr>
          <w:rFonts w:ascii="黑体" w:eastAsia="黑体" w:hAnsi="黑体" w:cs="黑体"/>
          <w:b w:val="0"/>
          <w:bCs w:val="0"/>
        </w:rPr>
      </w:pPr>
      <w:r w:rsidRPr="00857B61">
        <w:rPr>
          <w:rFonts w:ascii="宋体" w:eastAsia="宋体" w:hAnsi="宋体" w:cs="宋体" w:hint="eastAsia"/>
        </w:rPr>
        <w:t>三、研究设计</w:t>
      </w:r>
    </w:p>
    <w:p w14:paraId="7B3B5D08" w14:textId="77777777" w:rsidR="00DE7EC6" w:rsidRPr="00857B61" w:rsidRDefault="00000000">
      <w:pPr>
        <w:pStyle w:val="30"/>
        <w:spacing w:before="120" w:after="120" w:line="240" w:lineRule="auto"/>
        <w:ind w:firstLineChars="200" w:firstLine="422"/>
        <w:rPr>
          <w:rFonts w:eastAsia="宋体"/>
          <w:sz w:val="21"/>
          <w:szCs w:val="21"/>
        </w:rPr>
      </w:pPr>
      <w:r w:rsidRPr="00857B61">
        <w:rPr>
          <w:rFonts w:eastAsia="宋体" w:hint="eastAsia"/>
          <w:sz w:val="21"/>
          <w:szCs w:val="21"/>
        </w:rPr>
        <w:t>（一）样本选择与数据来源</w:t>
      </w:r>
    </w:p>
    <w:p w14:paraId="2F6D070D" w14:textId="77777777" w:rsidR="00DE7EC6" w:rsidRPr="00857B61" w:rsidRDefault="00000000">
      <w:pPr>
        <w:ind w:firstLineChars="200" w:firstLine="420"/>
        <w:rPr>
          <w:rFonts w:eastAsia="宋体"/>
          <w:szCs w:val="21"/>
        </w:rPr>
      </w:pPr>
      <w:r w:rsidRPr="00857B61">
        <w:rPr>
          <w:rFonts w:eastAsia="宋体" w:hint="eastAsia"/>
          <w:szCs w:val="21"/>
        </w:rPr>
        <w:t>本研究所选择的样本均来自国泰安《中国上市公司并购重组研究数据库》，考虑到我国</w:t>
      </w:r>
      <w:r w:rsidRPr="00857B61">
        <w:rPr>
          <w:rFonts w:ascii="Times New Roman" w:eastAsia="宋体" w:hAnsi="Times New Roman" w:cs="Times New Roman"/>
          <w:szCs w:val="21"/>
        </w:rPr>
        <w:t>2007</w:t>
      </w:r>
      <w:r w:rsidRPr="00857B61">
        <w:rPr>
          <w:rFonts w:eastAsia="宋体" w:hint="eastAsia"/>
          <w:szCs w:val="21"/>
        </w:rPr>
        <w:t>年开始实行了新会计准则以及检察行政公益诉讼制度于</w:t>
      </w:r>
      <w:r w:rsidRPr="00857B61">
        <w:rPr>
          <w:rFonts w:ascii="Times New Roman" w:eastAsia="宋体" w:hAnsi="Times New Roman" w:cs="Times New Roman" w:hint="eastAsia"/>
          <w:szCs w:val="21"/>
        </w:rPr>
        <w:t>2017</w:t>
      </w:r>
      <w:r w:rsidRPr="00857B61">
        <w:rPr>
          <w:rFonts w:eastAsia="宋体" w:hint="eastAsia"/>
          <w:szCs w:val="21"/>
        </w:rPr>
        <w:t>年</w:t>
      </w:r>
      <w:r w:rsidRPr="00857B61">
        <w:rPr>
          <w:rFonts w:ascii="Times New Roman" w:eastAsia="宋体" w:hAnsi="Times New Roman" w:cs="Times New Roman" w:hint="eastAsia"/>
          <w:szCs w:val="21"/>
        </w:rPr>
        <w:t>6</w:t>
      </w:r>
      <w:r w:rsidRPr="00857B61">
        <w:rPr>
          <w:rFonts w:eastAsia="宋体" w:hint="eastAsia"/>
          <w:szCs w:val="21"/>
        </w:rPr>
        <w:t>月底结束试点，本文首先选取</w:t>
      </w:r>
      <w:r w:rsidRPr="00857B61">
        <w:rPr>
          <w:rFonts w:ascii="Times New Roman" w:eastAsia="宋体" w:hAnsi="Times New Roman" w:cs="Times New Roman" w:hint="eastAsia"/>
          <w:szCs w:val="21"/>
        </w:rPr>
        <w:t>2008</w:t>
      </w:r>
      <w:r w:rsidRPr="00857B61">
        <w:rPr>
          <w:rFonts w:eastAsia="宋体" w:hint="eastAsia"/>
          <w:szCs w:val="21"/>
        </w:rPr>
        <w:t>年至</w:t>
      </w:r>
      <w:r w:rsidRPr="00857B61">
        <w:rPr>
          <w:rFonts w:ascii="Times New Roman" w:eastAsia="宋体" w:hAnsi="Times New Roman" w:cs="Times New Roman" w:hint="eastAsia"/>
          <w:szCs w:val="21"/>
        </w:rPr>
        <w:t>2017</w:t>
      </w:r>
      <w:r w:rsidRPr="00857B61">
        <w:rPr>
          <w:rFonts w:eastAsia="宋体" w:hint="eastAsia"/>
          <w:szCs w:val="21"/>
        </w:rPr>
        <w:t>年的全部并购交易数据作为初始选择，然后参考陈仕华和卢昌崇（</w:t>
      </w:r>
      <w:r w:rsidRPr="00857B61">
        <w:rPr>
          <w:rFonts w:ascii="Times New Roman" w:eastAsia="宋体" w:hAnsi="Times New Roman" w:cs="Times New Roman" w:hint="eastAsia"/>
          <w:szCs w:val="21"/>
        </w:rPr>
        <w:t>2014</w:t>
      </w:r>
      <w:r w:rsidRPr="00857B61">
        <w:rPr>
          <w:rFonts w:eastAsia="宋体" w:hint="eastAsia"/>
          <w:szCs w:val="21"/>
        </w:rPr>
        <w:t>）在研究国有资产流失时使用的样本筛选办法，从初始样本中选择卖方公司为国有上市公司且其当期出售资产或股权的样本，并剔除未公布交易价格或标的净资产的样本，最终筛选出</w:t>
      </w:r>
      <w:r w:rsidRPr="00857B61">
        <w:rPr>
          <w:rFonts w:ascii="Times New Roman" w:eastAsia="宋体" w:hAnsi="Times New Roman" w:cs="Times New Roman" w:hint="eastAsia"/>
          <w:szCs w:val="21"/>
        </w:rPr>
        <w:t>1567</w:t>
      </w:r>
      <w:r w:rsidRPr="00857B61">
        <w:rPr>
          <w:rFonts w:eastAsia="宋体" w:hint="eastAsia"/>
          <w:szCs w:val="21"/>
        </w:rPr>
        <w:t>个可被准确测算出并购溢价数据的样本。</w:t>
      </w:r>
      <w:r w:rsidRPr="00857B61">
        <w:rPr>
          <w:rFonts w:ascii="Times New Roman" w:eastAsia="宋体" w:hAnsi="Times New Roman" w:cs="Times New Roman"/>
          <w:szCs w:val="21"/>
        </w:rPr>
        <w:t>最终</w:t>
      </w:r>
      <w:r w:rsidRPr="00857B61">
        <w:rPr>
          <w:rFonts w:ascii="Times New Roman" w:eastAsia="宋体" w:hAnsi="Times New Roman" w:cs="Times New Roman" w:hint="eastAsia"/>
          <w:szCs w:val="21"/>
        </w:rPr>
        <w:t>使用</w:t>
      </w:r>
      <w:r w:rsidRPr="00857B61">
        <w:rPr>
          <w:rFonts w:ascii="Times New Roman" w:eastAsia="宋体" w:hAnsi="Times New Roman" w:cs="Times New Roman"/>
          <w:szCs w:val="21"/>
        </w:rPr>
        <w:t>样本在</w:t>
      </w:r>
      <w:r w:rsidRPr="00857B61">
        <w:rPr>
          <w:rFonts w:ascii="Times New Roman" w:eastAsia="宋体" w:hAnsi="Times New Roman" w:cs="Times New Roman" w:hint="eastAsia"/>
          <w:szCs w:val="21"/>
        </w:rPr>
        <w:t>研究期间</w:t>
      </w:r>
      <w:r w:rsidRPr="00857B61">
        <w:rPr>
          <w:rFonts w:ascii="Times New Roman" w:eastAsia="宋体" w:hAnsi="Times New Roman" w:cs="Times New Roman"/>
          <w:szCs w:val="21"/>
        </w:rPr>
        <w:t>的并购数量分布如图</w:t>
      </w:r>
      <w:r w:rsidRPr="00857B61">
        <w:rPr>
          <w:rFonts w:ascii="Times New Roman" w:eastAsia="宋体" w:hAnsi="Times New Roman" w:cs="Times New Roman"/>
          <w:szCs w:val="21"/>
        </w:rPr>
        <w:t>1</w:t>
      </w:r>
      <w:r w:rsidRPr="00857B61">
        <w:rPr>
          <w:rFonts w:ascii="Times New Roman" w:eastAsia="宋体" w:hAnsi="Times New Roman" w:cs="Times New Roman"/>
          <w:szCs w:val="21"/>
        </w:rPr>
        <w:t>所示</w:t>
      </w:r>
      <w:r w:rsidRPr="00857B61">
        <w:rPr>
          <w:rFonts w:ascii="Times New Roman" w:eastAsia="宋体" w:hAnsi="Times New Roman" w:cs="Times New Roman" w:hint="eastAsia"/>
          <w:szCs w:val="21"/>
        </w:rPr>
        <w:t>。由图可知，</w:t>
      </w:r>
      <w:r w:rsidRPr="00857B61">
        <w:rPr>
          <w:rFonts w:ascii="Times New Roman" w:eastAsia="宋体" w:hAnsi="Times New Roman" w:cs="Times New Roman"/>
          <w:szCs w:val="21"/>
        </w:rPr>
        <w:t>随着国有企业体制改革的逐步推进，并购笔数基本呈现增长趋势</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但</w:t>
      </w:r>
      <w:r w:rsidRPr="00857B61">
        <w:rPr>
          <w:rFonts w:ascii="Times New Roman" w:eastAsia="宋体" w:hAnsi="Times New Roman" w:cs="Times New Roman"/>
          <w:szCs w:val="21"/>
        </w:rPr>
        <w:t>2014</w:t>
      </w:r>
      <w:r w:rsidRPr="00857B61">
        <w:rPr>
          <w:rFonts w:ascii="Times New Roman" w:eastAsia="宋体" w:hAnsi="Times New Roman" w:cs="Times New Roman" w:hint="eastAsia"/>
          <w:szCs w:val="21"/>
        </w:rPr>
        <w:t>年</w:t>
      </w:r>
      <w:r w:rsidRPr="00857B61">
        <w:rPr>
          <w:rFonts w:ascii="Times New Roman" w:eastAsia="宋体" w:hAnsi="Times New Roman" w:cs="Times New Roman"/>
          <w:szCs w:val="21"/>
        </w:rPr>
        <w:t>国企改革领导小组成立，国企改革方案的顶层设计处于逐步完成阶段</w:t>
      </w:r>
      <w:r w:rsidRPr="00857B61">
        <w:rPr>
          <w:rFonts w:ascii="Times New Roman" w:eastAsia="宋体" w:hAnsi="Times New Roman" w:cs="Times New Roman" w:hint="eastAsia"/>
          <w:szCs w:val="21"/>
        </w:rPr>
        <w:t>，在改革方案并不完善的初期，贸然行动并不科学，</w:t>
      </w:r>
      <w:r w:rsidRPr="00857B61">
        <w:rPr>
          <w:rFonts w:ascii="Times New Roman" w:eastAsia="宋体" w:hAnsi="Times New Roman" w:cs="Times New Roman"/>
          <w:szCs w:val="21"/>
        </w:rPr>
        <w:t>因而</w:t>
      </w:r>
      <w:r w:rsidRPr="00857B61">
        <w:rPr>
          <w:rFonts w:ascii="Times New Roman" w:eastAsia="宋体" w:hAnsi="Times New Roman" w:cs="Times New Roman" w:hint="eastAsia"/>
          <w:szCs w:val="21"/>
        </w:rPr>
        <w:t>该</w:t>
      </w:r>
      <w:r w:rsidRPr="00857B61">
        <w:rPr>
          <w:rFonts w:ascii="Times New Roman" w:eastAsia="宋体" w:hAnsi="Times New Roman" w:cs="Times New Roman"/>
          <w:szCs w:val="21"/>
        </w:rPr>
        <w:t>年国有企业作为卖方参与并购的数量有所下降。</w:t>
      </w:r>
      <w:r w:rsidRPr="00857B61">
        <w:rPr>
          <w:rFonts w:eastAsia="宋体" w:hint="eastAsia"/>
          <w:szCs w:val="21"/>
        </w:rPr>
        <w:t>为避免极端异常值的影响，本文主要对并购溢价数据在上下</w:t>
      </w:r>
      <w:r w:rsidRPr="00857B61">
        <w:rPr>
          <w:rFonts w:ascii="Times New Roman" w:eastAsia="宋体" w:hAnsi="Times New Roman" w:cs="Times New Roman" w:hint="eastAsia"/>
          <w:szCs w:val="21"/>
        </w:rPr>
        <w:t>1%</w:t>
      </w:r>
      <w:r w:rsidRPr="00857B61">
        <w:rPr>
          <w:rFonts w:eastAsia="宋体" w:hint="eastAsia"/>
          <w:szCs w:val="21"/>
        </w:rPr>
        <w:t>水平上进行缩尾处理。</w:t>
      </w:r>
    </w:p>
    <w:p w14:paraId="04B43D0A" w14:textId="77777777" w:rsidR="00DE7EC6" w:rsidRPr="00857B61" w:rsidRDefault="00000000">
      <w:pPr>
        <w:jc w:val="center"/>
        <w:rPr>
          <w:rFonts w:eastAsia="宋体"/>
          <w:szCs w:val="21"/>
        </w:rPr>
      </w:pPr>
      <w:r w:rsidRPr="00857B61">
        <w:rPr>
          <w:rFonts w:eastAsia="宋体"/>
          <w:noProof/>
        </w:rPr>
        <w:drawing>
          <wp:inline distT="0" distB="0" distL="114300" distR="114300" wp14:anchorId="421D5745" wp14:editId="7AA9CF46">
            <wp:extent cx="3281680" cy="1125855"/>
            <wp:effectExtent l="4445" t="4445" r="9525" b="1270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1966EC5" w14:textId="77777777" w:rsidR="00DE7EC6" w:rsidRPr="00857B61" w:rsidRDefault="00000000">
      <w:pPr>
        <w:jc w:val="center"/>
        <w:rPr>
          <w:rFonts w:ascii="Times New Roman" w:eastAsia="楷体" w:hAnsi="Times New Roman"/>
          <w:bCs/>
        </w:rPr>
      </w:pPr>
      <w:r w:rsidRPr="00857B61">
        <w:rPr>
          <w:rFonts w:ascii="Times New Roman" w:eastAsia="楷体" w:hAnsi="Times New Roman" w:hint="eastAsia"/>
          <w:bCs/>
          <w:szCs w:val="21"/>
        </w:rPr>
        <w:t>图</w:t>
      </w:r>
      <w:r w:rsidRPr="00857B61">
        <w:rPr>
          <w:rFonts w:ascii="Times New Roman" w:eastAsia="楷体" w:hAnsi="Times New Roman" w:cs="Times New Roman"/>
          <w:bCs/>
          <w:szCs w:val="21"/>
        </w:rPr>
        <w:t>1</w:t>
      </w:r>
      <w:r w:rsidRPr="00857B61">
        <w:rPr>
          <w:rFonts w:ascii="Times New Roman" w:eastAsia="楷体" w:hAnsi="Times New Roman" w:cs="Times New Roman" w:hint="eastAsia"/>
          <w:bCs/>
          <w:szCs w:val="21"/>
        </w:rPr>
        <w:t xml:space="preserve"> </w:t>
      </w:r>
      <w:r w:rsidRPr="00857B61">
        <w:rPr>
          <w:rFonts w:ascii="Times New Roman" w:eastAsia="楷体" w:hAnsi="Times New Roman" w:hint="eastAsia"/>
          <w:bCs/>
          <w:szCs w:val="21"/>
        </w:rPr>
        <w:t>最终使用样本年度分布</w:t>
      </w:r>
    </w:p>
    <w:p w14:paraId="53242FA4" w14:textId="77777777" w:rsidR="00DE7EC6" w:rsidRPr="00857B61" w:rsidRDefault="00000000">
      <w:pPr>
        <w:ind w:firstLineChars="200" w:firstLine="420"/>
        <w:rPr>
          <w:rFonts w:eastAsia="宋体"/>
          <w:b/>
          <w:szCs w:val="21"/>
        </w:rPr>
      </w:pPr>
      <w:r w:rsidRPr="00857B61">
        <w:rPr>
          <w:rFonts w:eastAsia="宋体" w:hint="eastAsia"/>
          <w:szCs w:val="21"/>
        </w:rPr>
        <w:lastRenderedPageBreak/>
        <w:t>为了避免因样本选择给研究带来的问题，本文将并购交易中卖方为国有上市公司的样本（</w:t>
      </w:r>
      <w:r w:rsidRPr="00857B61">
        <w:rPr>
          <w:rFonts w:ascii="Times New Roman" w:eastAsia="宋体" w:hAnsi="Times New Roman" w:cs="Times New Roman"/>
          <w:szCs w:val="21"/>
        </w:rPr>
        <w:t>4336</w:t>
      </w:r>
      <w:r w:rsidRPr="00857B61">
        <w:rPr>
          <w:rFonts w:ascii="Times New Roman" w:eastAsia="宋体" w:hAnsi="Times New Roman" w:cs="Times New Roman"/>
          <w:szCs w:val="21"/>
        </w:rPr>
        <w:t>个并购</w:t>
      </w:r>
      <w:r w:rsidRPr="00857B61">
        <w:rPr>
          <w:rFonts w:ascii="Times New Roman" w:eastAsia="宋体" w:hAnsi="Times New Roman" w:cs="Times New Roman" w:hint="eastAsia"/>
          <w:szCs w:val="21"/>
        </w:rPr>
        <w:t>样本</w:t>
      </w:r>
      <w:r w:rsidRPr="00857B61">
        <w:rPr>
          <w:rFonts w:eastAsia="宋体" w:hint="eastAsia"/>
          <w:szCs w:val="21"/>
        </w:rPr>
        <w:t>）分成两组，即被筛选掉的样本和最终使用的有效样本，进行差异性检验。检验结果如表</w:t>
      </w:r>
      <w:r w:rsidRPr="00857B61">
        <w:rPr>
          <w:rFonts w:ascii="Times New Roman" w:eastAsia="宋体" w:hAnsi="Times New Roman" w:cs="Times New Roman"/>
          <w:szCs w:val="21"/>
        </w:rPr>
        <w:t>1</w:t>
      </w:r>
      <w:r w:rsidRPr="00857B61">
        <w:rPr>
          <w:rFonts w:ascii="Times New Roman" w:eastAsia="宋体" w:hAnsi="Times New Roman" w:cs="Times New Roman" w:hint="eastAsia"/>
          <w:szCs w:val="21"/>
        </w:rPr>
        <w:t>所示，被筛选掉的样本与最终使用的有效样本在</w:t>
      </w:r>
      <w:r w:rsidRPr="00857B61">
        <w:rPr>
          <w:rFonts w:eastAsia="宋体" w:hint="eastAsia"/>
          <w:szCs w:val="21"/>
        </w:rPr>
        <w:t>成长性（</w:t>
      </w:r>
      <w:r w:rsidRPr="00857B61">
        <w:rPr>
          <w:rFonts w:ascii="Times New Roman" w:eastAsia="宋体" w:hAnsi="Times New Roman" w:cs="Times New Roman" w:hint="eastAsia"/>
          <w:i/>
          <w:iCs/>
          <w:szCs w:val="21"/>
        </w:rPr>
        <w:t>Growth</w:t>
      </w:r>
      <w:r w:rsidRPr="00857B61">
        <w:rPr>
          <w:rFonts w:eastAsia="宋体" w:hint="eastAsia"/>
          <w:szCs w:val="21"/>
        </w:rPr>
        <w:t>）、资产负债率（</w:t>
      </w:r>
      <w:r w:rsidRPr="00857B61">
        <w:rPr>
          <w:rFonts w:ascii="Times New Roman" w:eastAsia="宋体" w:hAnsi="Times New Roman" w:cs="Times New Roman" w:hint="eastAsia"/>
          <w:i/>
          <w:iCs/>
          <w:szCs w:val="21"/>
        </w:rPr>
        <w:t>Lev</w:t>
      </w:r>
      <w:r w:rsidRPr="00857B61">
        <w:rPr>
          <w:rFonts w:eastAsia="宋体" w:hint="eastAsia"/>
          <w:szCs w:val="21"/>
        </w:rPr>
        <w:t>）、冗余资源（</w:t>
      </w:r>
      <w:r w:rsidRPr="00857B61">
        <w:rPr>
          <w:rFonts w:ascii="Times New Roman" w:eastAsia="宋体" w:hAnsi="Times New Roman" w:cs="Times New Roman" w:hint="eastAsia"/>
          <w:i/>
          <w:iCs/>
          <w:szCs w:val="21"/>
        </w:rPr>
        <w:t>Slack</w:t>
      </w:r>
      <w:r w:rsidRPr="00857B61">
        <w:rPr>
          <w:rFonts w:eastAsia="宋体" w:hint="eastAsia"/>
          <w:szCs w:val="21"/>
        </w:rPr>
        <w:t>）以及盈利能力（</w:t>
      </w:r>
      <w:r w:rsidRPr="00857B61">
        <w:rPr>
          <w:rFonts w:ascii="Times New Roman" w:eastAsia="宋体" w:hAnsi="Times New Roman" w:cs="Times New Roman" w:hint="eastAsia"/>
          <w:i/>
          <w:iCs/>
          <w:szCs w:val="21"/>
        </w:rPr>
        <w:t>ROA</w:t>
      </w:r>
      <w:r w:rsidRPr="00857B61">
        <w:rPr>
          <w:rFonts w:eastAsia="宋体" w:hint="eastAsia"/>
          <w:szCs w:val="21"/>
        </w:rPr>
        <w:t>）等关键公司特征方面均无显著性差异。说明本文最终使用样本是有效的，可以代表所有样本进行实证研究。</w:t>
      </w:r>
    </w:p>
    <w:p w14:paraId="2E4489A2" w14:textId="77777777" w:rsidR="00DE7EC6" w:rsidRPr="00857B61" w:rsidRDefault="00000000">
      <w:pPr>
        <w:jc w:val="center"/>
        <w:rPr>
          <w:rFonts w:ascii="Times New Roman" w:eastAsia="楷体" w:hAnsi="Times New Roman"/>
          <w:bCs/>
          <w:szCs w:val="21"/>
        </w:rPr>
      </w:pPr>
      <w:r w:rsidRPr="00857B61">
        <w:rPr>
          <w:rFonts w:ascii="Times New Roman" w:eastAsia="楷体" w:hAnsi="Times New Roman" w:hint="eastAsia"/>
          <w:bCs/>
          <w:szCs w:val="21"/>
        </w:rPr>
        <w:t>表</w:t>
      </w:r>
      <w:r w:rsidRPr="00857B61">
        <w:rPr>
          <w:rFonts w:ascii="Times New Roman" w:eastAsia="楷体" w:hAnsi="Times New Roman" w:hint="eastAsia"/>
          <w:bCs/>
          <w:szCs w:val="21"/>
        </w:rPr>
        <w:t xml:space="preserve">1 </w:t>
      </w:r>
      <w:r w:rsidRPr="00857B61">
        <w:rPr>
          <w:rFonts w:ascii="Times New Roman" w:eastAsia="楷体" w:hAnsi="Times New Roman" w:hint="eastAsia"/>
          <w:bCs/>
          <w:szCs w:val="21"/>
        </w:rPr>
        <w:t>样本差异性检验结果</w:t>
      </w:r>
    </w:p>
    <w:tbl>
      <w:tblPr>
        <w:tblW w:w="5000" w:type="pct"/>
        <w:jc w:val="center"/>
        <w:tblBorders>
          <w:top w:val="single" w:sz="8" w:space="0" w:color="auto"/>
          <w:bottom w:val="single" w:sz="8" w:space="0" w:color="auto"/>
          <w:insideH w:val="single" w:sz="8" w:space="0" w:color="auto"/>
          <w:insideV w:val="single" w:sz="8" w:space="0" w:color="auto"/>
        </w:tblBorders>
        <w:tblLook w:val="04A0" w:firstRow="1" w:lastRow="0" w:firstColumn="1" w:lastColumn="0" w:noHBand="0" w:noVBand="1"/>
      </w:tblPr>
      <w:tblGrid>
        <w:gridCol w:w="1213"/>
        <w:gridCol w:w="1117"/>
        <w:gridCol w:w="1308"/>
        <w:gridCol w:w="1109"/>
        <w:gridCol w:w="1599"/>
        <w:gridCol w:w="1109"/>
        <w:gridCol w:w="1549"/>
      </w:tblGrid>
      <w:tr w:rsidR="00857B61" w:rsidRPr="00857B61" w14:paraId="3DF1918E" w14:textId="77777777">
        <w:trPr>
          <w:trHeight w:val="312"/>
          <w:jc w:val="center"/>
        </w:trPr>
        <w:tc>
          <w:tcPr>
            <w:tcW w:w="673" w:type="pct"/>
            <w:vMerge w:val="restart"/>
            <w:shd w:val="clear" w:color="auto" w:fill="auto"/>
            <w:noWrap/>
            <w:vAlign w:val="center"/>
          </w:tcPr>
          <w:p w14:paraId="1660EAA4"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变量</w:t>
            </w:r>
          </w:p>
        </w:tc>
        <w:tc>
          <w:tcPr>
            <w:tcW w:w="1346" w:type="pct"/>
            <w:gridSpan w:val="2"/>
            <w:shd w:val="clear" w:color="auto" w:fill="auto"/>
            <w:noWrap/>
            <w:vAlign w:val="center"/>
          </w:tcPr>
          <w:p w14:paraId="1F164070"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hint="eastAsia"/>
                <w:kern w:val="0"/>
                <w:szCs w:val="21"/>
              </w:rPr>
              <w:t>被</w:t>
            </w:r>
            <w:r w:rsidRPr="00857B61">
              <w:rPr>
                <w:rFonts w:ascii="Times New Roman" w:eastAsia="宋体" w:hAnsi="Times New Roman" w:cs="Times New Roman"/>
                <w:kern w:val="0"/>
                <w:szCs w:val="21"/>
              </w:rPr>
              <w:t>筛选掉的样本</w:t>
            </w:r>
          </w:p>
        </w:tc>
        <w:tc>
          <w:tcPr>
            <w:tcW w:w="1504" w:type="pct"/>
            <w:gridSpan w:val="2"/>
            <w:shd w:val="clear" w:color="auto" w:fill="auto"/>
            <w:noWrap/>
            <w:vAlign w:val="center"/>
          </w:tcPr>
          <w:p w14:paraId="33B2DEA2"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最终使用的有效样本</w:t>
            </w:r>
          </w:p>
        </w:tc>
        <w:tc>
          <w:tcPr>
            <w:tcW w:w="1476" w:type="pct"/>
            <w:gridSpan w:val="2"/>
            <w:shd w:val="clear" w:color="auto" w:fill="auto"/>
            <w:noWrap/>
            <w:vAlign w:val="center"/>
          </w:tcPr>
          <w:p w14:paraId="7013AD70"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差异性检验</w:t>
            </w:r>
          </w:p>
        </w:tc>
      </w:tr>
      <w:tr w:rsidR="00857B61" w:rsidRPr="00857B61" w14:paraId="33D1F1D0" w14:textId="77777777">
        <w:trPr>
          <w:trHeight w:val="312"/>
          <w:jc w:val="center"/>
        </w:trPr>
        <w:tc>
          <w:tcPr>
            <w:tcW w:w="673" w:type="pct"/>
            <w:vMerge/>
            <w:shd w:val="clear" w:color="auto" w:fill="auto"/>
            <w:noWrap/>
            <w:vAlign w:val="center"/>
          </w:tcPr>
          <w:p w14:paraId="7769D5C4" w14:textId="77777777" w:rsidR="00DE7EC6" w:rsidRPr="00857B61" w:rsidRDefault="00DE7EC6">
            <w:pPr>
              <w:widowControl/>
              <w:jc w:val="center"/>
              <w:textAlignment w:val="center"/>
              <w:rPr>
                <w:rFonts w:ascii="Times New Roman" w:eastAsia="宋体" w:hAnsi="Times New Roman" w:cs="Times New Roman"/>
                <w:szCs w:val="21"/>
              </w:rPr>
            </w:pPr>
          </w:p>
        </w:tc>
        <w:tc>
          <w:tcPr>
            <w:tcW w:w="620" w:type="pct"/>
            <w:shd w:val="clear" w:color="auto" w:fill="auto"/>
            <w:noWrap/>
            <w:vAlign w:val="center"/>
          </w:tcPr>
          <w:p w14:paraId="323AB099"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N</w:t>
            </w:r>
          </w:p>
        </w:tc>
        <w:tc>
          <w:tcPr>
            <w:tcW w:w="725" w:type="pct"/>
            <w:shd w:val="clear" w:color="auto" w:fill="auto"/>
            <w:noWrap/>
            <w:vAlign w:val="center"/>
          </w:tcPr>
          <w:p w14:paraId="1095A2BE"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均值</w:t>
            </w:r>
          </w:p>
        </w:tc>
        <w:tc>
          <w:tcPr>
            <w:tcW w:w="616" w:type="pct"/>
            <w:shd w:val="clear" w:color="auto" w:fill="auto"/>
            <w:noWrap/>
            <w:vAlign w:val="center"/>
          </w:tcPr>
          <w:p w14:paraId="57911F99"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N</w:t>
            </w:r>
          </w:p>
        </w:tc>
        <w:tc>
          <w:tcPr>
            <w:tcW w:w="887" w:type="pct"/>
            <w:shd w:val="clear" w:color="auto" w:fill="auto"/>
            <w:noWrap/>
            <w:vAlign w:val="center"/>
          </w:tcPr>
          <w:p w14:paraId="757622D8"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均值</w:t>
            </w:r>
          </w:p>
        </w:tc>
        <w:tc>
          <w:tcPr>
            <w:tcW w:w="616" w:type="pct"/>
            <w:shd w:val="clear" w:color="auto" w:fill="auto"/>
            <w:noWrap/>
            <w:vAlign w:val="center"/>
          </w:tcPr>
          <w:p w14:paraId="5023B8BF"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t</w:t>
            </w:r>
            <w:r w:rsidRPr="00857B61">
              <w:rPr>
                <w:rFonts w:ascii="Times New Roman" w:eastAsia="宋体" w:hAnsi="Times New Roman" w:cs="Times New Roman"/>
                <w:kern w:val="0"/>
                <w:szCs w:val="21"/>
              </w:rPr>
              <w:t>值</w:t>
            </w:r>
          </w:p>
        </w:tc>
        <w:tc>
          <w:tcPr>
            <w:tcW w:w="859" w:type="pct"/>
            <w:shd w:val="clear" w:color="auto" w:fill="auto"/>
            <w:noWrap/>
            <w:vAlign w:val="center"/>
          </w:tcPr>
          <w:p w14:paraId="05735008"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显著性</w:t>
            </w:r>
          </w:p>
        </w:tc>
      </w:tr>
      <w:tr w:rsidR="00857B61" w:rsidRPr="00857B61" w14:paraId="6EFBF60E" w14:textId="77777777">
        <w:trPr>
          <w:trHeight w:val="312"/>
          <w:jc w:val="center"/>
        </w:trPr>
        <w:tc>
          <w:tcPr>
            <w:tcW w:w="673" w:type="pct"/>
            <w:shd w:val="clear" w:color="auto" w:fill="auto"/>
            <w:noWrap/>
            <w:vAlign w:val="center"/>
          </w:tcPr>
          <w:p w14:paraId="1836872A" w14:textId="77777777" w:rsidR="00DE7EC6" w:rsidRPr="00857B61" w:rsidRDefault="00000000">
            <w:pPr>
              <w:widowControl/>
              <w:jc w:val="center"/>
              <w:textAlignment w:val="center"/>
              <w:rPr>
                <w:rFonts w:ascii="Times New Roman" w:eastAsia="宋体" w:hAnsi="Times New Roman" w:cs="Times New Roman"/>
                <w:i/>
                <w:iCs/>
                <w:szCs w:val="21"/>
              </w:rPr>
            </w:pPr>
            <w:r w:rsidRPr="00857B61">
              <w:rPr>
                <w:rFonts w:ascii="Times New Roman" w:eastAsia="宋体" w:hAnsi="Times New Roman" w:cs="Times New Roman"/>
                <w:i/>
                <w:iCs/>
                <w:kern w:val="0"/>
                <w:szCs w:val="21"/>
              </w:rPr>
              <w:t>Growth</w:t>
            </w:r>
          </w:p>
        </w:tc>
        <w:tc>
          <w:tcPr>
            <w:tcW w:w="620" w:type="pct"/>
            <w:shd w:val="clear" w:color="auto" w:fill="auto"/>
            <w:noWrap/>
            <w:vAlign w:val="center"/>
          </w:tcPr>
          <w:p w14:paraId="7EEC1E7C"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2,715</w:t>
            </w:r>
          </w:p>
        </w:tc>
        <w:tc>
          <w:tcPr>
            <w:tcW w:w="725" w:type="pct"/>
            <w:shd w:val="clear" w:color="auto" w:fill="auto"/>
            <w:noWrap/>
            <w:vAlign w:val="center"/>
          </w:tcPr>
          <w:p w14:paraId="435A7F25"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0.133</w:t>
            </w:r>
          </w:p>
        </w:tc>
        <w:tc>
          <w:tcPr>
            <w:tcW w:w="616" w:type="pct"/>
            <w:shd w:val="clear" w:color="auto" w:fill="auto"/>
            <w:noWrap/>
            <w:vAlign w:val="center"/>
          </w:tcPr>
          <w:p w14:paraId="01CC9147"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1,567</w:t>
            </w:r>
          </w:p>
        </w:tc>
        <w:tc>
          <w:tcPr>
            <w:tcW w:w="887" w:type="pct"/>
            <w:shd w:val="clear" w:color="auto" w:fill="auto"/>
            <w:noWrap/>
            <w:vAlign w:val="center"/>
          </w:tcPr>
          <w:p w14:paraId="1FEDF450"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0.141</w:t>
            </w:r>
          </w:p>
        </w:tc>
        <w:tc>
          <w:tcPr>
            <w:tcW w:w="616" w:type="pct"/>
            <w:shd w:val="clear" w:color="auto" w:fill="auto"/>
            <w:noWrap/>
            <w:vAlign w:val="center"/>
          </w:tcPr>
          <w:p w14:paraId="06C2584A"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-0.506</w:t>
            </w:r>
          </w:p>
        </w:tc>
        <w:tc>
          <w:tcPr>
            <w:tcW w:w="859" w:type="pct"/>
            <w:shd w:val="clear" w:color="auto" w:fill="auto"/>
            <w:noWrap/>
            <w:vAlign w:val="center"/>
          </w:tcPr>
          <w:p w14:paraId="68C1D457"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0.613</w:t>
            </w:r>
          </w:p>
        </w:tc>
      </w:tr>
      <w:tr w:rsidR="00857B61" w:rsidRPr="00857B61" w14:paraId="17859E0E" w14:textId="77777777">
        <w:trPr>
          <w:trHeight w:val="312"/>
          <w:jc w:val="center"/>
        </w:trPr>
        <w:tc>
          <w:tcPr>
            <w:tcW w:w="673" w:type="pct"/>
            <w:shd w:val="clear" w:color="auto" w:fill="auto"/>
            <w:noWrap/>
            <w:vAlign w:val="center"/>
          </w:tcPr>
          <w:p w14:paraId="531B58DE" w14:textId="77777777" w:rsidR="00DE7EC6" w:rsidRPr="00857B61" w:rsidRDefault="00000000">
            <w:pPr>
              <w:widowControl/>
              <w:jc w:val="center"/>
              <w:textAlignment w:val="center"/>
              <w:rPr>
                <w:rFonts w:ascii="Times New Roman" w:eastAsia="宋体" w:hAnsi="Times New Roman" w:cs="Times New Roman"/>
                <w:i/>
                <w:iCs/>
                <w:szCs w:val="21"/>
              </w:rPr>
            </w:pPr>
            <w:r w:rsidRPr="00857B61">
              <w:rPr>
                <w:rFonts w:ascii="Times New Roman" w:eastAsia="宋体" w:hAnsi="Times New Roman" w:cs="Times New Roman"/>
                <w:i/>
                <w:iCs/>
                <w:kern w:val="0"/>
                <w:szCs w:val="21"/>
              </w:rPr>
              <w:t>Lev</w:t>
            </w:r>
          </w:p>
        </w:tc>
        <w:tc>
          <w:tcPr>
            <w:tcW w:w="620" w:type="pct"/>
            <w:shd w:val="clear" w:color="auto" w:fill="auto"/>
            <w:noWrap/>
            <w:vAlign w:val="center"/>
          </w:tcPr>
          <w:p w14:paraId="5B2D1822"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2,750</w:t>
            </w:r>
          </w:p>
        </w:tc>
        <w:tc>
          <w:tcPr>
            <w:tcW w:w="725" w:type="pct"/>
            <w:shd w:val="clear" w:color="auto" w:fill="auto"/>
            <w:noWrap/>
            <w:vAlign w:val="center"/>
          </w:tcPr>
          <w:p w14:paraId="6C03C83C"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0.576</w:t>
            </w:r>
          </w:p>
        </w:tc>
        <w:tc>
          <w:tcPr>
            <w:tcW w:w="616" w:type="pct"/>
            <w:shd w:val="clear" w:color="auto" w:fill="auto"/>
            <w:noWrap/>
            <w:vAlign w:val="center"/>
          </w:tcPr>
          <w:p w14:paraId="6825979C"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1,567</w:t>
            </w:r>
          </w:p>
        </w:tc>
        <w:tc>
          <w:tcPr>
            <w:tcW w:w="887" w:type="pct"/>
            <w:shd w:val="clear" w:color="auto" w:fill="auto"/>
            <w:noWrap/>
            <w:vAlign w:val="center"/>
          </w:tcPr>
          <w:p w14:paraId="05363895"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0.575</w:t>
            </w:r>
          </w:p>
        </w:tc>
        <w:tc>
          <w:tcPr>
            <w:tcW w:w="616" w:type="pct"/>
            <w:shd w:val="clear" w:color="auto" w:fill="auto"/>
            <w:noWrap/>
            <w:vAlign w:val="center"/>
          </w:tcPr>
          <w:p w14:paraId="0C2557BE"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0.082</w:t>
            </w:r>
          </w:p>
        </w:tc>
        <w:tc>
          <w:tcPr>
            <w:tcW w:w="859" w:type="pct"/>
            <w:shd w:val="clear" w:color="auto" w:fill="auto"/>
            <w:noWrap/>
            <w:vAlign w:val="center"/>
          </w:tcPr>
          <w:p w14:paraId="0FA3BC90"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0.935</w:t>
            </w:r>
          </w:p>
        </w:tc>
      </w:tr>
      <w:tr w:rsidR="00857B61" w:rsidRPr="00857B61" w14:paraId="4DC31078" w14:textId="77777777">
        <w:trPr>
          <w:trHeight w:val="312"/>
          <w:jc w:val="center"/>
        </w:trPr>
        <w:tc>
          <w:tcPr>
            <w:tcW w:w="673" w:type="pct"/>
            <w:shd w:val="clear" w:color="auto" w:fill="auto"/>
            <w:noWrap/>
            <w:vAlign w:val="center"/>
          </w:tcPr>
          <w:p w14:paraId="7C0D4C55" w14:textId="77777777" w:rsidR="00DE7EC6" w:rsidRPr="00857B61" w:rsidRDefault="00000000">
            <w:pPr>
              <w:widowControl/>
              <w:jc w:val="center"/>
              <w:textAlignment w:val="center"/>
              <w:rPr>
                <w:rFonts w:ascii="Times New Roman" w:eastAsia="宋体" w:hAnsi="Times New Roman" w:cs="Times New Roman"/>
                <w:i/>
                <w:iCs/>
                <w:szCs w:val="21"/>
              </w:rPr>
            </w:pPr>
            <w:r w:rsidRPr="00857B61">
              <w:rPr>
                <w:rFonts w:ascii="Times New Roman" w:eastAsia="宋体" w:hAnsi="Times New Roman" w:cs="Times New Roman"/>
                <w:i/>
                <w:iCs/>
                <w:kern w:val="0"/>
                <w:szCs w:val="21"/>
              </w:rPr>
              <w:t>Slack</w:t>
            </w:r>
          </w:p>
        </w:tc>
        <w:tc>
          <w:tcPr>
            <w:tcW w:w="620" w:type="pct"/>
            <w:shd w:val="clear" w:color="auto" w:fill="auto"/>
            <w:noWrap/>
            <w:vAlign w:val="center"/>
          </w:tcPr>
          <w:p w14:paraId="25366380"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2,715</w:t>
            </w:r>
          </w:p>
        </w:tc>
        <w:tc>
          <w:tcPr>
            <w:tcW w:w="725" w:type="pct"/>
            <w:shd w:val="clear" w:color="auto" w:fill="auto"/>
            <w:noWrap/>
            <w:vAlign w:val="center"/>
          </w:tcPr>
          <w:p w14:paraId="3293DA7A"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1.305</w:t>
            </w:r>
          </w:p>
        </w:tc>
        <w:tc>
          <w:tcPr>
            <w:tcW w:w="616" w:type="pct"/>
            <w:shd w:val="clear" w:color="auto" w:fill="auto"/>
            <w:noWrap/>
            <w:vAlign w:val="center"/>
          </w:tcPr>
          <w:p w14:paraId="6D313DE7"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1,567</w:t>
            </w:r>
          </w:p>
        </w:tc>
        <w:tc>
          <w:tcPr>
            <w:tcW w:w="887" w:type="pct"/>
            <w:shd w:val="clear" w:color="auto" w:fill="auto"/>
            <w:noWrap/>
            <w:vAlign w:val="center"/>
          </w:tcPr>
          <w:p w14:paraId="1520C0FB"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1.33</w:t>
            </w:r>
            <w:r w:rsidRPr="00857B61">
              <w:rPr>
                <w:rFonts w:ascii="Times New Roman" w:eastAsia="宋体" w:hAnsi="Times New Roman" w:cs="Times New Roman" w:hint="eastAsia"/>
                <w:kern w:val="0"/>
                <w:szCs w:val="21"/>
              </w:rPr>
              <w:t>0</w:t>
            </w:r>
          </w:p>
        </w:tc>
        <w:tc>
          <w:tcPr>
            <w:tcW w:w="616" w:type="pct"/>
            <w:shd w:val="clear" w:color="auto" w:fill="auto"/>
            <w:noWrap/>
            <w:vAlign w:val="center"/>
          </w:tcPr>
          <w:p w14:paraId="24980C9D"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-0.907</w:t>
            </w:r>
          </w:p>
        </w:tc>
        <w:tc>
          <w:tcPr>
            <w:tcW w:w="859" w:type="pct"/>
            <w:shd w:val="clear" w:color="auto" w:fill="auto"/>
            <w:noWrap/>
            <w:vAlign w:val="center"/>
          </w:tcPr>
          <w:p w14:paraId="7828BC0C"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0.365</w:t>
            </w:r>
          </w:p>
        </w:tc>
      </w:tr>
      <w:tr w:rsidR="00857B61" w:rsidRPr="00857B61" w14:paraId="706571BE" w14:textId="77777777">
        <w:trPr>
          <w:trHeight w:val="312"/>
          <w:jc w:val="center"/>
        </w:trPr>
        <w:tc>
          <w:tcPr>
            <w:tcW w:w="673" w:type="pct"/>
            <w:shd w:val="clear" w:color="auto" w:fill="auto"/>
            <w:noWrap/>
            <w:vAlign w:val="center"/>
          </w:tcPr>
          <w:p w14:paraId="4F5BAC07" w14:textId="77777777" w:rsidR="00DE7EC6" w:rsidRPr="00857B61" w:rsidRDefault="00000000">
            <w:pPr>
              <w:widowControl/>
              <w:jc w:val="center"/>
              <w:textAlignment w:val="center"/>
              <w:rPr>
                <w:rFonts w:ascii="Times New Roman" w:eastAsia="宋体" w:hAnsi="Times New Roman" w:cs="Times New Roman"/>
                <w:i/>
                <w:iCs/>
                <w:szCs w:val="21"/>
              </w:rPr>
            </w:pPr>
            <w:r w:rsidRPr="00857B61">
              <w:rPr>
                <w:rFonts w:ascii="Times New Roman" w:eastAsia="宋体" w:hAnsi="Times New Roman" w:cs="Times New Roman"/>
                <w:i/>
                <w:iCs/>
                <w:kern w:val="0"/>
                <w:szCs w:val="21"/>
              </w:rPr>
              <w:t>ROA</w:t>
            </w:r>
          </w:p>
        </w:tc>
        <w:tc>
          <w:tcPr>
            <w:tcW w:w="620" w:type="pct"/>
            <w:shd w:val="clear" w:color="auto" w:fill="auto"/>
            <w:noWrap/>
            <w:vAlign w:val="center"/>
          </w:tcPr>
          <w:p w14:paraId="0AE3599E"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2,750</w:t>
            </w:r>
          </w:p>
        </w:tc>
        <w:tc>
          <w:tcPr>
            <w:tcW w:w="725" w:type="pct"/>
            <w:shd w:val="clear" w:color="auto" w:fill="auto"/>
            <w:noWrap/>
            <w:vAlign w:val="center"/>
          </w:tcPr>
          <w:p w14:paraId="4EF1CA67"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0.013</w:t>
            </w:r>
          </w:p>
        </w:tc>
        <w:tc>
          <w:tcPr>
            <w:tcW w:w="616" w:type="pct"/>
            <w:shd w:val="clear" w:color="auto" w:fill="auto"/>
            <w:noWrap/>
            <w:vAlign w:val="center"/>
          </w:tcPr>
          <w:p w14:paraId="2CEEC09D"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1,567</w:t>
            </w:r>
          </w:p>
        </w:tc>
        <w:tc>
          <w:tcPr>
            <w:tcW w:w="887" w:type="pct"/>
            <w:shd w:val="clear" w:color="auto" w:fill="auto"/>
            <w:noWrap/>
            <w:vAlign w:val="center"/>
          </w:tcPr>
          <w:p w14:paraId="5E600FCA"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0.014</w:t>
            </w:r>
          </w:p>
        </w:tc>
        <w:tc>
          <w:tcPr>
            <w:tcW w:w="616" w:type="pct"/>
            <w:shd w:val="clear" w:color="auto" w:fill="auto"/>
            <w:noWrap/>
            <w:vAlign w:val="center"/>
          </w:tcPr>
          <w:p w14:paraId="264AA089"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-0.539</w:t>
            </w:r>
          </w:p>
        </w:tc>
        <w:tc>
          <w:tcPr>
            <w:tcW w:w="859" w:type="pct"/>
            <w:shd w:val="clear" w:color="auto" w:fill="auto"/>
            <w:noWrap/>
            <w:vAlign w:val="center"/>
          </w:tcPr>
          <w:p w14:paraId="17FD6DAE" w14:textId="77777777" w:rsidR="00DE7EC6" w:rsidRPr="00857B61" w:rsidRDefault="00000000">
            <w:pPr>
              <w:widowControl/>
              <w:jc w:val="center"/>
              <w:textAlignment w:val="center"/>
              <w:rPr>
                <w:rFonts w:ascii="Times New Roman" w:eastAsia="宋体" w:hAnsi="Times New Roman" w:cs="Times New Roman"/>
                <w:szCs w:val="21"/>
              </w:rPr>
            </w:pPr>
            <w:r w:rsidRPr="00857B61">
              <w:rPr>
                <w:rFonts w:ascii="Times New Roman" w:eastAsia="宋体" w:hAnsi="Times New Roman" w:cs="Times New Roman"/>
                <w:kern w:val="0"/>
                <w:szCs w:val="21"/>
              </w:rPr>
              <w:t>0.590</w:t>
            </w:r>
          </w:p>
        </w:tc>
      </w:tr>
    </w:tbl>
    <w:p w14:paraId="7EC97570" w14:textId="77777777" w:rsidR="00DE7EC6" w:rsidRPr="00857B61" w:rsidRDefault="00000000">
      <w:pPr>
        <w:pStyle w:val="30"/>
        <w:spacing w:before="120" w:after="120" w:line="240" w:lineRule="auto"/>
        <w:ind w:firstLineChars="200" w:firstLine="422"/>
        <w:rPr>
          <w:rFonts w:eastAsia="宋体"/>
          <w:sz w:val="21"/>
          <w:szCs w:val="21"/>
        </w:rPr>
      </w:pPr>
      <w:r w:rsidRPr="00857B61">
        <w:rPr>
          <w:rFonts w:eastAsia="宋体" w:hint="eastAsia"/>
          <w:sz w:val="21"/>
          <w:szCs w:val="21"/>
        </w:rPr>
        <w:t>（二）变量定义</w:t>
      </w:r>
    </w:p>
    <w:p w14:paraId="11AB4DCA" w14:textId="77777777" w:rsidR="00DE7EC6" w:rsidRPr="00857B61" w:rsidRDefault="00000000">
      <w:pPr>
        <w:pStyle w:val="4"/>
        <w:spacing w:before="0" w:after="0" w:line="240" w:lineRule="auto"/>
        <w:ind w:firstLineChars="200" w:firstLine="420"/>
        <w:rPr>
          <w:rFonts w:eastAsia="宋体"/>
          <w:b w:val="0"/>
          <w:bCs w:val="0"/>
          <w:sz w:val="21"/>
          <w:szCs w:val="21"/>
        </w:rPr>
      </w:pPr>
      <w:r w:rsidRPr="00857B61">
        <w:rPr>
          <w:rFonts w:ascii="Times New Roman" w:eastAsia="宋体" w:hAnsi="Times New Roman" w:cs="宋体" w:hint="eastAsia"/>
          <w:b w:val="0"/>
          <w:bCs w:val="0"/>
          <w:sz w:val="21"/>
          <w:szCs w:val="21"/>
        </w:rPr>
        <w:t>1.</w:t>
      </w:r>
      <w:r w:rsidRPr="00857B61">
        <w:rPr>
          <w:rFonts w:ascii="楷体" w:eastAsia="楷体" w:hAnsi="楷体" w:cs="楷体" w:hint="eastAsia"/>
          <w:b w:val="0"/>
          <w:bCs w:val="0"/>
          <w:sz w:val="21"/>
          <w:szCs w:val="21"/>
        </w:rPr>
        <w:t>被解释变量：并购溢价</w:t>
      </w:r>
      <w:r w:rsidRPr="00857B61">
        <w:rPr>
          <w:rFonts w:ascii="Times New Roman" w:eastAsia="楷体" w:hAnsi="Times New Roman" w:cs="宋体" w:hint="eastAsia"/>
          <w:b w:val="0"/>
          <w:bCs w:val="0"/>
          <w:sz w:val="21"/>
          <w:szCs w:val="21"/>
        </w:rPr>
        <w:t>（</w:t>
      </w:r>
      <w:r w:rsidRPr="00857B61">
        <w:rPr>
          <w:rFonts w:ascii="Times New Roman" w:eastAsia="楷体" w:hAnsi="Times New Roman" w:cs="宋体" w:hint="eastAsia"/>
          <w:b w:val="0"/>
          <w:bCs w:val="0"/>
          <w:sz w:val="21"/>
          <w:szCs w:val="21"/>
        </w:rPr>
        <w:t>Premium</w:t>
      </w:r>
      <w:r w:rsidRPr="00857B61">
        <w:rPr>
          <w:rFonts w:ascii="Times New Roman" w:eastAsia="楷体" w:hAnsi="Times New Roman" w:cs="宋体" w:hint="eastAsia"/>
          <w:b w:val="0"/>
          <w:bCs w:val="0"/>
          <w:sz w:val="21"/>
          <w:szCs w:val="21"/>
        </w:rPr>
        <w:t>）。</w:t>
      </w:r>
      <w:r w:rsidRPr="00857B61">
        <w:rPr>
          <w:rFonts w:eastAsia="宋体" w:hint="eastAsia"/>
          <w:b w:val="0"/>
          <w:bCs w:val="0"/>
          <w:sz w:val="21"/>
          <w:szCs w:val="21"/>
        </w:rPr>
        <w:t>在检察行政公益诉讼制度冲击下，本文认为最为理想的衡量国有资产流失程度的指标数据应该来自制度实施前、后期涉及国有资产流失的法律案件。但在试点之初，最高检曾内部发文要求有关检察公益诉讼的案件报道须经层报最高检批准后方可组织宣传。这就导致目前全网可查询到的涉及国有资产流失案件较少，不足以支撑整个文章的实证研究。因此，本文借鉴陈仕华和卢昌崇（</w:t>
      </w:r>
      <w:r w:rsidRPr="00857B61">
        <w:rPr>
          <w:rFonts w:ascii="Times New Roman" w:eastAsia="宋体" w:hAnsi="Times New Roman" w:cs="Times New Roman" w:hint="eastAsia"/>
          <w:b w:val="0"/>
          <w:bCs w:val="0"/>
          <w:sz w:val="21"/>
          <w:szCs w:val="21"/>
        </w:rPr>
        <w:t>2014</w:t>
      </w:r>
      <w:r w:rsidRPr="00857B61">
        <w:rPr>
          <w:rFonts w:eastAsia="宋体" w:hint="eastAsia"/>
          <w:b w:val="0"/>
          <w:bCs w:val="0"/>
          <w:sz w:val="21"/>
          <w:szCs w:val="21"/>
        </w:rPr>
        <w:t>）在研究国有资产流失时的做法，采用并购溢价指标来衡量并购中的国有资产流失程度，并购溢价值与所代表的国有资产流失程度成反比。</w:t>
      </w:r>
    </w:p>
    <w:p w14:paraId="73D3FAD9" w14:textId="77777777" w:rsidR="00DE7EC6" w:rsidRPr="00857B61" w:rsidRDefault="00000000">
      <w:pPr>
        <w:ind w:firstLineChars="200" w:firstLine="420"/>
        <w:rPr>
          <w:rFonts w:eastAsia="宋体"/>
          <w:szCs w:val="21"/>
        </w:rPr>
      </w:pPr>
      <w:r w:rsidRPr="00857B61">
        <w:rPr>
          <w:rFonts w:eastAsia="宋体" w:hint="eastAsia"/>
          <w:szCs w:val="21"/>
        </w:rPr>
        <w:t>关于并购溢价的计算方法，国外的学者们（</w:t>
      </w:r>
      <w:r w:rsidRPr="00857B61">
        <w:rPr>
          <w:rFonts w:ascii="Times New Roman" w:eastAsia="宋体" w:hAnsi="Times New Roman" w:cs="Times New Roman" w:hint="eastAsia"/>
          <w:szCs w:val="21"/>
        </w:rPr>
        <w:t>Barclay &amp; Holderness</w:t>
      </w:r>
      <w:r w:rsidRPr="00857B61">
        <w:rPr>
          <w:rFonts w:ascii="Times New Roman" w:eastAsia="宋体" w:hAnsi="Times New Roman" w:cs="Times New Roman" w:hint="eastAsia"/>
          <w:szCs w:val="21"/>
        </w:rPr>
        <w:t>，</w:t>
      </w:r>
      <w:r w:rsidRPr="00857B61">
        <w:rPr>
          <w:rFonts w:ascii="Times New Roman" w:eastAsia="宋体" w:hAnsi="Times New Roman" w:cs="Times New Roman" w:hint="eastAsia"/>
          <w:szCs w:val="21"/>
        </w:rPr>
        <w:t>1991</w:t>
      </w:r>
      <w:r w:rsidRPr="00857B61">
        <w:rPr>
          <w:rFonts w:ascii="Times New Roman" w:eastAsia="宋体" w:hAnsi="Times New Roman" w:cs="Times New Roman" w:hint="eastAsia"/>
          <w:szCs w:val="21"/>
        </w:rPr>
        <w:t>；</w:t>
      </w:r>
      <w:r w:rsidRPr="00857B61">
        <w:rPr>
          <w:rFonts w:ascii="Times New Roman" w:eastAsia="宋体" w:hAnsi="Times New Roman" w:cs="Times New Roman" w:hint="eastAsia"/>
          <w:szCs w:val="21"/>
        </w:rPr>
        <w:t>Kim et al</w:t>
      </w:r>
      <w:r w:rsidRPr="00857B61">
        <w:rPr>
          <w:rFonts w:ascii="Times New Roman" w:eastAsia="宋体" w:hAnsi="Times New Roman" w:cs="Times New Roman" w:hint="eastAsia"/>
          <w:szCs w:val="21"/>
        </w:rPr>
        <w:t>，</w:t>
      </w:r>
      <w:r w:rsidRPr="00857B61">
        <w:rPr>
          <w:rFonts w:ascii="Times New Roman" w:eastAsia="宋体" w:hAnsi="Times New Roman" w:cs="Times New Roman" w:hint="eastAsia"/>
          <w:szCs w:val="21"/>
        </w:rPr>
        <w:t>2011</w:t>
      </w:r>
      <w:r w:rsidRPr="00857B61">
        <w:rPr>
          <w:rFonts w:eastAsia="宋体" w:hint="eastAsia"/>
          <w:szCs w:val="21"/>
        </w:rPr>
        <w:t>）主要通过计算股票的收购价与市值之间的差额占市值的比例来衡量。但是由于我国国情的特殊性，像是市场化程度不高及证券市场前期实行审批制导致的“借壳上市”等众多因素的存在，这种惯用于西方资本市场的计算方法并不适合应用到国内的并购交易活动中。因此，国内学者（唐宗明、蒋位，</w:t>
      </w:r>
      <w:r w:rsidRPr="00857B61">
        <w:rPr>
          <w:rFonts w:ascii="Times New Roman" w:eastAsia="宋体" w:hAnsi="Times New Roman" w:cs="Times New Roman" w:hint="eastAsia"/>
          <w:szCs w:val="21"/>
        </w:rPr>
        <w:t>2002</w:t>
      </w:r>
      <w:r w:rsidRPr="00857B61">
        <w:rPr>
          <w:rFonts w:eastAsia="宋体" w:hint="eastAsia"/>
          <w:szCs w:val="21"/>
        </w:rPr>
        <w:t>）根据我国资本市场的特殊性，提出将账面净资产作为基础来计算并购溢价。由于本文主要研究国内市场的并购交易活动，因此决定沿用国内学者的计算方法，即</w:t>
      </w:r>
    </w:p>
    <w:p w14:paraId="264B4714" w14:textId="77777777" w:rsidR="00DE7EC6" w:rsidRPr="00857B61" w:rsidRDefault="00000000">
      <w:pPr>
        <w:ind w:firstLineChars="200" w:firstLine="420"/>
        <w:jc w:val="right"/>
        <w:rPr>
          <w:rFonts w:eastAsia="宋体"/>
          <w:sz w:val="24"/>
        </w:rPr>
      </w:pPr>
      <w:r w:rsidRPr="00857B61">
        <w:rPr>
          <w:rFonts w:eastAsia="宋体" w:hint="eastAsia"/>
          <w:szCs w:val="21"/>
        </w:rPr>
        <w:t>并购溢价</w:t>
      </w:r>
      <w:r w:rsidRPr="00857B61">
        <w:rPr>
          <w:rFonts w:eastAsia="宋体" w:hint="eastAsia"/>
          <w:szCs w:val="21"/>
        </w:rPr>
        <w:t>=</w:t>
      </w:r>
      <w:r w:rsidRPr="00857B61">
        <w:rPr>
          <w:rFonts w:eastAsia="宋体" w:hint="eastAsia"/>
          <w:szCs w:val="21"/>
        </w:rPr>
        <w:t>（交易价格—标的净资产）</w:t>
      </w:r>
      <w:r w:rsidRPr="00857B61">
        <w:rPr>
          <w:rFonts w:ascii="Arial" w:eastAsia="宋体" w:hAnsi="Arial" w:cs="Arial"/>
          <w:szCs w:val="21"/>
        </w:rPr>
        <w:t>÷</w:t>
      </w:r>
      <w:r w:rsidRPr="00857B61">
        <w:rPr>
          <w:rFonts w:eastAsia="宋体" w:hint="eastAsia"/>
          <w:szCs w:val="21"/>
        </w:rPr>
        <w:t>标的净资产</w:t>
      </w:r>
      <w:r w:rsidRPr="00857B61">
        <w:rPr>
          <w:rFonts w:eastAsia="宋体" w:hint="eastAsia"/>
          <w:szCs w:val="21"/>
        </w:rPr>
        <w:t xml:space="preserve">             </w:t>
      </w:r>
      <w:r w:rsidRPr="00857B61">
        <w:rPr>
          <w:rFonts w:eastAsia="宋体" w:hint="eastAsia"/>
          <w:szCs w:val="21"/>
        </w:rPr>
        <w:t>（</w:t>
      </w:r>
      <w:r w:rsidRPr="00857B61">
        <w:rPr>
          <w:rFonts w:ascii="Times New Roman" w:eastAsia="宋体" w:hAnsi="Times New Roman" w:cs="Times New Roman"/>
          <w:szCs w:val="21"/>
        </w:rPr>
        <w:t>1</w:t>
      </w:r>
      <w:r w:rsidRPr="00857B61">
        <w:rPr>
          <w:rFonts w:eastAsia="宋体" w:hint="eastAsia"/>
          <w:szCs w:val="21"/>
        </w:rPr>
        <w:t>）</w:t>
      </w:r>
    </w:p>
    <w:p w14:paraId="30F281A4" w14:textId="77777777" w:rsidR="00DE7EC6" w:rsidRPr="00857B61" w:rsidRDefault="00000000">
      <w:pPr>
        <w:pStyle w:val="4"/>
        <w:spacing w:before="0" w:after="0" w:line="240" w:lineRule="auto"/>
        <w:ind w:firstLineChars="200" w:firstLine="420"/>
        <w:rPr>
          <w:rFonts w:eastAsia="宋体"/>
          <w:szCs w:val="21"/>
        </w:rPr>
      </w:pPr>
      <w:r w:rsidRPr="00857B61">
        <w:rPr>
          <w:rFonts w:ascii="Times New Roman" w:eastAsia="宋体" w:hAnsi="Times New Roman" w:cs="宋体" w:hint="eastAsia"/>
          <w:b w:val="0"/>
          <w:bCs w:val="0"/>
          <w:sz w:val="21"/>
          <w:szCs w:val="21"/>
        </w:rPr>
        <w:t>2.</w:t>
      </w:r>
      <w:r w:rsidRPr="00857B61">
        <w:rPr>
          <w:rFonts w:ascii="楷体" w:eastAsia="楷体" w:hAnsi="楷体" w:cs="楷体" w:hint="eastAsia"/>
          <w:b w:val="0"/>
          <w:bCs w:val="0"/>
          <w:sz w:val="21"/>
          <w:szCs w:val="21"/>
        </w:rPr>
        <w:t>解释变量：检察行政公益诉讼制度试点</w:t>
      </w:r>
      <w:r w:rsidRPr="00857B61">
        <w:rPr>
          <w:rFonts w:ascii="Times New Roman" w:eastAsia="楷体" w:hAnsi="Times New Roman" w:cs="宋体" w:hint="eastAsia"/>
          <w:b w:val="0"/>
          <w:bCs w:val="0"/>
          <w:sz w:val="21"/>
          <w:szCs w:val="21"/>
        </w:rPr>
        <w:t>（</w:t>
      </w:r>
      <w:r w:rsidRPr="00857B61">
        <w:rPr>
          <w:rFonts w:ascii="Times New Roman" w:eastAsia="楷体" w:hAnsi="Times New Roman" w:cs="宋体" w:hint="eastAsia"/>
          <w:b w:val="0"/>
          <w:bCs w:val="0"/>
          <w:sz w:val="21"/>
          <w:szCs w:val="21"/>
        </w:rPr>
        <w:t>DID</w:t>
      </w:r>
      <w:r w:rsidRPr="00857B61">
        <w:rPr>
          <w:rFonts w:ascii="Times New Roman" w:eastAsia="楷体" w:hAnsi="Times New Roman" w:cs="宋体" w:hint="eastAsia"/>
          <w:b w:val="0"/>
          <w:bCs w:val="0"/>
          <w:sz w:val="21"/>
          <w:szCs w:val="21"/>
          <w:vertAlign w:val="subscript"/>
        </w:rPr>
        <w:t>jt</w:t>
      </w:r>
      <w:r w:rsidRPr="00857B61">
        <w:rPr>
          <w:rFonts w:ascii="Times New Roman" w:eastAsia="楷体" w:hAnsi="Times New Roman" w:cs="宋体" w:hint="eastAsia"/>
          <w:b w:val="0"/>
          <w:bCs w:val="0"/>
          <w:sz w:val="21"/>
          <w:szCs w:val="21"/>
        </w:rPr>
        <w:t>）。</w:t>
      </w:r>
      <w:r w:rsidRPr="00857B61">
        <w:rPr>
          <w:rFonts w:eastAsia="宋体" w:hint="eastAsia"/>
          <w:b w:val="0"/>
          <w:bCs w:val="0"/>
          <w:sz w:val="21"/>
          <w:szCs w:val="21"/>
        </w:rPr>
        <w:t>检察行政公益诉讼制度于</w:t>
      </w:r>
      <w:r w:rsidRPr="00857B61">
        <w:rPr>
          <w:rFonts w:ascii="Times New Roman" w:eastAsia="宋体" w:hAnsi="Times New Roman" w:cs="Times New Roman" w:hint="eastAsia"/>
          <w:b w:val="0"/>
          <w:bCs w:val="0"/>
          <w:sz w:val="21"/>
          <w:szCs w:val="21"/>
        </w:rPr>
        <w:t>2015</w:t>
      </w:r>
      <w:r w:rsidRPr="00857B61">
        <w:rPr>
          <w:rFonts w:eastAsia="宋体" w:hint="eastAsia"/>
          <w:b w:val="0"/>
          <w:bCs w:val="0"/>
          <w:sz w:val="21"/>
          <w:szCs w:val="21"/>
        </w:rPr>
        <w:t>至</w:t>
      </w:r>
      <w:r w:rsidRPr="00857B61">
        <w:rPr>
          <w:rFonts w:ascii="Times New Roman" w:eastAsia="宋体" w:hAnsi="Times New Roman" w:cs="Times New Roman" w:hint="eastAsia"/>
          <w:b w:val="0"/>
          <w:bCs w:val="0"/>
          <w:sz w:val="21"/>
          <w:szCs w:val="21"/>
        </w:rPr>
        <w:t>2017</w:t>
      </w:r>
      <w:r w:rsidRPr="00857B61">
        <w:rPr>
          <w:rFonts w:eastAsia="宋体" w:hint="eastAsia"/>
          <w:b w:val="0"/>
          <w:bCs w:val="0"/>
          <w:sz w:val="21"/>
          <w:szCs w:val="21"/>
        </w:rPr>
        <w:t>年在</w:t>
      </w:r>
      <w:r w:rsidRPr="00857B61">
        <w:rPr>
          <w:rFonts w:ascii="Times New Roman" w:eastAsia="宋体" w:hAnsi="Times New Roman" w:cs="Times New Roman" w:hint="eastAsia"/>
          <w:b w:val="0"/>
          <w:bCs w:val="0"/>
          <w:sz w:val="21"/>
          <w:szCs w:val="21"/>
        </w:rPr>
        <w:t>13</w:t>
      </w:r>
      <w:r w:rsidRPr="00857B61">
        <w:rPr>
          <w:rFonts w:eastAsia="宋体" w:hint="eastAsia"/>
          <w:b w:val="0"/>
          <w:bCs w:val="0"/>
          <w:sz w:val="21"/>
          <w:szCs w:val="21"/>
        </w:rPr>
        <w:t>个省、自治区、直辖市的</w:t>
      </w:r>
      <w:r w:rsidRPr="00857B61">
        <w:rPr>
          <w:rFonts w:ascii="Times New Roman" w:eastAsia="宋体" w:hAnsi="Times New Roman" w:cs="Times New Roman" w:hint="eastAsia"/>
          <w:b w:val="0"/>
          <w:bCs w:val="0"/>
          <w:sz w:val="21"/>
          <w:szCs w:val="21"/>
        </w:rPr>
        <w:t>73</w:t>
      </w:r>
      <w:r w:rsidRPr="00857B61">
        <w:rPr>
          <w:rFonts w:eastAsia="宋体" w:hint="eastAsia"/>
          <w:b w:val="0"/>
          <w:bCs w:val="0"/>
          <w:sz w:val="21"/>
          <w:szCs w:val="21"/>
        </w:rPr>
        <w:t>个城市开展试点工作，具体试点地区见表</w:t>
      </w:r>
      <w:r w:rsidRPr="00857B61">
        <w:rPr>
          <w:rFonts w:ascii="Times New Roman" w:eastAsia="宋体" w:hAnsi="Times New Roman" w:cs="Times New Roman"/>
          <w:b w:val="0"/>
          <w:bCs w:val="0"/>
          <w:sz w:val="21"/>
          <w:szCs w:val="21"/>
        </w:rPr>
        <w:t>2</w:t>
      </w:r>
      <w:r w:rsidRPr="00857B61">
        <w:rPr>
          <w:rFonts w:eastAsia="宋体" w:hint="eastAsia"/>
          <w:b w:val="0"/>
          <w:bCs w:val="0"/>
          <w:sz w:val="21"/>
          <w:szCs w:val="21"/>
        </w:rPr>
        <w:t>。本文设置了两个虚拟变量</w:t>
      </w:r>
      <w:r w:rsidRPr="00857B61">
        <w:rPr>
          <w:rFonts w:ascii="Times New Roman" w:eastAsia="宋体" w:hAnsi="Times New Roman" w:cs="Times New Roman" w:hint="eastAsia"/>
          <w:b w:val="0"/>
          <w:bCs w:val="0"/>
          <w:i/>
          <w:iCs/>
          <w:sz w:val="21"/>
          <w:szCs w:val="21"/>
        </w:rPr>
        <w:t>Treat</w:t>
      </w:r>
      <w:r w:rsidRPr="00857B61">
        <w:rPr>
          <w:rFonts w:ascii="Times New Roman" w:eastAsia="宋体" w:hAnsi="Times New Roman" w:cs="Times New Roman" w:hint="eastAsia"/>
          <w:b w:val="0"/>
          <w:bCs w:val="0"/>
          <w:i/>
          <w:iCs/>
          <w:sz w:val="21"/>
          <w:szCs w:val="21"/>
          <w:vertAlign w:val="subscript"/>
        </w:rPr>
        <w:t>ij</w:t>
      </w:r>
      <w:r w:rsidRPr="00857B61">
        <w:rPr>
          <w:rFonts w:eastAsia="宋体" w:hint="eastAsia"/>
          <w:b w:val="0"/>
          <w:bCs w:val="0"/>
          <w:sz w:val="21"/>
          <w:szCs w:val="21"/>
        </w:rPr>
        <w:t>和</w:t>
      </w:r>
      <w:r w:rsidRPr="00857B61">
        <w:rPr>
          <w:rFonts w:ascii="Times New Roman" w:eastAsia="宋体" w:hAnsi="Times New Roman" w:cs="Times New Roman" w:hint="eastAsia"/>
          <w:b w:val="0"/>
          <w:bCs w:val="0"/>
          <w:i/>
          <w:iCs/>
          <w:sz w:val="21"/>
          <w:szCs w:val="21"/>
        </w:rPr>
        <w:t>Policy</w:t>
      </w:r>
      <w:r w:rsidRPr="00857B61">
        <w:rPr>
          <w:rFonts w:ascii="Times New Roman" w:eastAsia="宋体" w:hAnsi="Times New Roman" w:cs="Times New Roman" w:hint="eastAsia"/>
          <w:b w:val="0"/>
          <w:bCs w:val="0"/>
          <w:i/>
          <w:iCs/>
          <w:sz w:val="21"/>
          <w:szCs w:val="21"/>
          <w:vertAlign w:val="subscript"/>
        </w:rPr>
        <w:t>it</w:t>
      </w:r>
      <w:r w:rsidRPr="00857B61">
        <w:rPr>
          <w:rFonts w:eastAsia="宋体" w:hint="eastAsia"/>
          <w:b w:val="0"/>
          <w:bCs w:val="0"/>
          <w:sz w:val="21"/>
          <w:szCs w:val="21"/>
        </w:rPr>
        <w:t>，核心解释变量</w:t>
      </w:r>
      <w:r w:rsidRPr="00857B61">
        <w:rPr>
          <w:rFonts w:ascii="Times New Roman" w:eastAsia="宋体" w:hAnsi="Times New Roman" w:cs="Times New Roman" w:hint="eastAsia"/>
          <w:b w:val="0"/>
          <w:bCs w:val="0"/>
          <w:i/>
          <w:iCs/>
          <w:sz w:val="21"/>
          <w:szCs w:val="21"/>
        </w:rPr>
        <w:t>DID</w:t>
      </w:r>
      <w:r w:rsidRPr="00857B61">
        <w:rPr>
          <w:rFonts w:ascii="Times New Roman" w:eastAsia="宋体" w:hAnsi="Times New Roman" w:cs="Times New Roman" w:hint="eastAsia"/>
          <w:b w:val="0"/>
          <w:bCs w:val="0"/>
          <w:i/>
          <w:iCs/>
          <w:sz w:val="21"/>
          <w:szCs w:val="21"/>
          <w:vertAlign w:val="subscript"/>
        </w:rPr>
        <w:t>jt</w:t>
      </w:r>
      <w:r w:rsidRPr="00857B61">
        <w:rPr>
          <w:rFonts w:ascii="Times New Roman" w:eastAsia="宋体" w:hAnsi="Times New Roman" w:cs="Times New Roman" w:hint="eastAsia"/>
          <w:b w:val="0"/>
          <w:bCs w:val="0"/>
          <w:i/>
          <w:iCs/>
          <w:sz w:val="21"/>
          <w:szCs w:val="21"/>
        </w:rPr>
        <w:t>=Treat</w:t>
      </w:r>
      <w:r w:rsidRPr="00857B61">
        <w:rPr>
          <w:rFonts w:ascii="Times New Roman" w:eastAsia="宋体" w:hAnsi="Times New Roman" w:cs="Times New Roman" w:hint="eastAsia"/>
          <w:b w:val="0"/>
          <w:bCs w:val="0"/>
          <w:i/>
          <w:iCs/>
          <w:sz w:val="21"/>
          <w:szCs w:val="21"/>
          <w:vertAlign w:val="subscript"/>
        </w:rPr>
        <w:t>ij</w:t>
      </w:r>
      <w:r w:rsidRPr="00857B61">
        <w:rPr>
          <w:rFonts w:ascii="Times New Roman" w:eastAsia="宋体" w:hAnsi="Times New Roman" w:cs="Times New Roman"/>
          <w:b w:val="0"/>
          <w:bCs w:val="0"/>
          <w:i/>
          <w:iCs/>
          <w:sz w:val="21"/>
          <w:szCs w:val="21"/>
        </w:rPr>
        <w:t>*</w:t>
      </w:r>
      <w:r w:rsidRPr="00857B61">
        <w:rPr>
          <w:rFonts w:ascii="Times New Roman" w:eastAsia="宋体" w:hAnsi="Times New Roman" w:cs="Times New Roman" w:hint="eastAsia"/>
          <w:b w:val="0"/>
          <w:bCs w:val="0"/>
          <w:i/>
          <w:iCs/>
          <w:sz w:val="21"/>
          <w:szCs w:val="21"/>
        </w:rPr>
        <w:t>Policy</w:t>
      </w:r>
      <w:r w:rsidRPr="00857B61">
        <w:rPr>
          <w:rFonts w:ascii="Times New Roman" w:eastAsia="宋体" w:hAnsi="Times New Roman" w:cs="Times New Roman" w:hint="eastAsia"/>
          <w:b w:val="0"/>
          <w:bCs w:val="0"/>
          <w:i/>
          <w:iCs/>
          <w:sz w:val="21"/>
          <w:szCs w:val="21"/>
          <w:vertAlign w:val="subscript"/>
        </w:rPr>
        <w:t>it</w:t>
      </w:r>
      <w:r w:rsidRPr="00857B61">
        <w:rPr>
          <w:rFonts w:ascii="Times New Roman" w:eastAsia="宋体" w:hAnsi="Times New Roman" w:cs="Times New Roman" w:hint="eastAsia"/>
          <w:b w:val="0"/>
          <w:bCs w:val="0"/>
          <w:sz w:val="21"/>
          <w:szCs w:val="21"/>
        </w:rPr>
        <w:t>，</w:t>
      </w:r>
      <w:r w:rsidRPr="00857B61">
        <w:rPr>
          <w:rFonts w:eastAsia="宋体" w:hint="eastAsia"/>
          <w:b w:val="0"/>
          <w:bCs w:val="0"/>
          <w:sz w:val="21"/>
          <w:szCs w:val="21"/>
        </w:rPr>
        <w:t>在研究样本期内，如果企业</w:t>
      </w:r>
      <w:r w:rsidRPr="00857B61">
        <w:rPr>
          <w:rFonts w:ascii="Times New Roman" w:eastAsia="宋体" w:hAnsi="Times New Roman" w:cs="Times New Roman"/>
          <w:b w:val="0"/>
          <w:bCs w:val="0"/>
          <w:i/>
          <w:iCs/>
          <w:sz w:val="21"/>
          <w:szCs w:val="21"/>
        </w:rPr>
        <w:t>i</w:t>
      </w:r>
      <w:r w:rsidRPr="00857B61">
        <w:rPr>
          <w:rFonts w:eastAsia="宋体" w:hint="eastAsia"/>
          <w:b w:val="0"/>
          <w:bCs w:val="0"/>
          <w:sz w:val="21"/>
          <w:szCs w:val="21"/>
        </w:rPr>
        <w:t>所在城市</w:t>
      </w:r>
      <w:r w:rsidRPr="00857B61">
        <w:rPr>
          <w:rFonts w:ascii="Times New Roman" w:eastAsia="宋体" w:hAnsi="Times New Roman" w:cs="Times New Roman" w:hint="eastAsia"/>
          <w:b w:val="0"/>
          <w:bCs w:val="0"/>
          <w:i/>
          <w:iCs/>
          <w:sz w:val="21"/>
          <w:szCs w:val="21"/>
        </w:rPr>
        <w:t>j</w:t>
      </w:r>
      <w:r w:rsidRPr="00857B61">
        <w:rPr>
          <w:rFonts w:eastAsia="宋体" w:hint="eastAsia"/>
          <w:b w:val="0"/>
          <w:bCs w:val="0"/>
          <w:sz w:val="21"/>
          <w:szCs w:val="21"/>
        </w:rPr>
        <w:t>被选为检察行政公益诉讼制度试点城市，</w:t>
      </w:r>
      <w:r w:rsidRPr="00857B61">
        <w:rPr>
          <w:rFonts w:ascii="Times New Roman" w:eastAsia="宋体" w:hAnsi="Times New Roman" w:cs="Times New Roman" w:hint="eastAsia"/>
          <w:b w:val="0"/>
          <w:bCs w:val="0"/>
          <w:i/>
          <w:iCs/>
          <w:sz w:val="21"/>
          <w:szCs w:val="21"/>
        </w:rPr>
        <w:t>Treat</w:t>
      </w:r>
      <w:r w:rsidRPr="00857B61">
        <w:rPr>
          <w:rFonts w:ascii="Times New Roman" w:eastAsia="宋体" w:hAnsi="Times New Roman" w:cs="Times New Roman" w:hint="eastAsia"/>
          <w:b w:val="0"/>
          <w:bCs w:val="0"/>
          <w:i/>
          <w:iCs/>
          <w:sz w:val="21"/>
          <w:szCs w:val="21"/>
          <w:vertAlign w:val="subscript"/>
        </w:rPr>
        <w:t>ij</w:t>
      </w:r>
      <w:r w:rsidRPr="00857B61">
        <w:rPr>
          <w:rFonts w:eastAsia="宋体" w:hint="eastAsia"/>
          <w:b w:val="0"/>
          <w:bCs w:val="0"/>
          <w:sz w:val="21"/>
          <w:szCs w:val="21"/>
        </w:rPr>
        <w:t>取</w:t>
      </w:r>
      <w:r w:rsidRPr="00857B61">
        <w:rPr>
          <w:rFonts w:ascii="Times New Roman" w:eastAsia="宋体" w:hAnsi="Times New Roman" w:cs="Times New Roman" w:hint="eastAsia"/>
          <w:b w:val="0"/>
          <w:bCs w:val="0"/>
          <w:sz w:val="21"/>
          <w:szCs w:val="21"/>
        </w:rPr>
        <w:t>1</w:t>
      </w:r>
      <w:r w:rsidRPr="00857B61">
        <w:rPr>
          <w:rFonts w:eastAsia="宋体" w:hint="eastAsia"/>
          <w:b w:val="0"/>
          <w:bCs w:val="0"/>
          <w:sz w:val="21"/>
          <w:szCs w:val="21"/>
        </w:rPr>
        <w:t>，否则取</w:t>
      </w:r>
      <w:r w:rsidRPr="00857B61">
        <w:rPr>
          <w:rFonts w:ascii="Times New Roman" w:eastAsia="宋体" w:hAnsi="Times New Roman" w:cs="Times New Roman" w:hint="eastAsia"/>
          <w:b w:val="0"/>
          <w:bCs w:val="0"/>
          <w:sz w:val="21"/>
          <w:szCs w:val="21"/>
        </w:rPr>
        <w:t>0</w:t>
      </w:r>
      <w:r w:rsidRPr="00857B61">
        <w:rPr>
          <w:rFonts w:eastAsia="宋体" w:hint="eastAsia"/>
          <w:b w:val="0"/>
          <w:bCs w:val="0"/>
          <w:sz w:val="21"/>
          <w:szCs w:val="21"/>
        </w:rPr>
        <w:t>；如果时间</w:t>
      </w:r>
      <w:r w:rsidRPr="00857B61">
        <w:rPr>
          <w:rFonts w:ascii="Times New Roman" w:eastAsia="宋体" w:hAnsi="Times New Roman" w:cs="Times New Roman" w:hint="eastAsia"/>
          <w:b w:val="0"/>
          <w:bCs w:val="0"/>
          <w:i/>
          <w:iCs/>
          <w:sz w:val="21"/>
          <w:szCs w:val="21"/>
        </w:rPr>
        <w:t>t</w:t>
      </w:r>
      <w:r w:rsidRPr="00857B61">
        <w:rPr>
          <w:rFonts w:ascii="Times New Roman" w:eastAsia="宋体" w:hAnsi="Times New Roman" w:cs="Times New Roman" w:hint="eastAsia"/>
          <w:b w:val="0"/>
          <w:bCs w:val="0"/>
          <w:sz w:val="21"/>
          <w:szCs w:val="21"/>
        </w:rPr>
        <w:t>&gt;=2015</w:t>
      </w:r>
      <w:r w:rsidRPr="00857B61">
        <w:rPr>
          <w:rFonts w:eastAsia="宋体" w:hint="eastAsia"/>
          <w:b w:val="0"/>
          <w:bCs w:val="0"/>
          <w:sz w:val="21"/>
          <w:szCs w:val="21"/>
        </w:rPr>
        <w:t>，则</w:t>
      </w:r>
      <w:r w:rsidRPr="00857B61">
        <w:rPr>
          <w:rFonts w:ascii="Times New Roman" w:eastAsia="宋体" w:hAnsi="Times New Roman" w:cs="Times New Roman" w:hint="eastAsia"/>
          <w:b w:val="0"/>
          <w:bCs w:val="0"/>
          <w:i/>
          <w:iCs/>
          <w:sz w:val="21"/>
          <w:szCs w:val="21"/>
        </w:rPr>
        <w:t>Policy</w:t>
      </w:r>
      <w:r w:rsidRPr="00857B61">
        <w:rPr>
          <w:rFonts w:ascii="Times New Roman" w:eastAsia="宋体" w:hAnsi="Times New Roman" w:cs="Times New Roman" w:hint="eastAsia"/>
          <w:b w:val="0"/>
          <w:bCs w:val="0"/>
          <w:i/>
          <w:iCs/>
          <w:sz w:val="21"/>
          <w:szCs w:val="21"/>
          <w:vertAlign w:val="subscript"/>
        </w:rPr>
        <w:t>it</w:t>
      </w:r>
      <w:r w:rsidRPr="00857B61">
        <w:rPr>
          <w:rFonts w:eastAsia="宋体" w:hint="eastAsia"/>
          <w:b w:val="0"/>
          <w:bCs w:val="0"/>
          <w:sz w:val="21"/>
          <w:szCs w:val="21"/>
        </w:rPr>
        <w:t>取</w:t>
      </w:r>
      <w:r w:rsidRPr="00857B61">
        <w:rPr>
          <w:rFonts w:ascii="Times New Roman" w:eastAsia="宋体" w:hAnsi="Times New Roman" w:cs="Times New Roman" w:hint="eastAsia"/>
          <w:b w:val="0"/>
          <w:bCs w:val="0"/>
          <w:sz w:val="21"/>
          <w:szCs w:val="21"/>
        </w:rPr>
        <w:t>1</w:t>
      </w:r>
      <w:r w:rsidRPr="00857B61">
        <w:rPr>
          <w:rFonts w:eastAsia="宋体" w:hint="eastAsia"/>
          <w:b w:val="0"/>
          <w:bCs w:val="0"/>
          <w:sz w:val="21"/>
          <w:szCs w:val="21"/>
        </w:rPr>
        <w:t>，否则取</w:t>
      </w:r>
      <w:r w:rsidRPr="00857B61">
        <w:rPr>
          <w:rFonts w:ascii="Times New Roman" w:eastAsia="宋体" w:hAnsi="Times New Roman" w:cs="Times New Roman" w:hint="eastAsia"/>
          <w:b w:val="0"/>
          <w:bCs w:val="0"/>
          <w:sz w:val="21"/>
          <w:szCs w:val="21"/>
        </w:rPr>
        <w:t>0</w:t>
      </w:r>
      <w:r w:rsidRPr="00857B61">
        <w:rPr>
          <w:rFonts w:eastAsia="宋体" w:hint="eastAsia"/>
          <w:b w:val="0"/>
          <w:bCs w:val="0"/>
          <w:sz w:val="21"/>
          <w:szCs w:val="21"/>
        </w:rPr>
        <w:t>。</w:t>
      </w:r>
    </w:p>
    <w:p w14:paraId="62642CF8" w14:textId="77777777" w:rsidR="00DE7EC6" w:rsidRPr="00857B61" w:rsidRDefault="00000000">
      <w:pPr>
        <w:jc w:val="center"/>
        <w:rPr>
          <w:rFonts w:ascii="Times New Roman" w:eastAsia="楷体" w:hAnsi="Times New Roman"/>
          <w:bCs/>
          <w:szCs w:val="21"/>
        </w:rPr>
      </w:pPr>
      <w:r w:rsidRPr="00857B61">
        <w:rPr>
          <w:rFonts w:ascii="Times New Roman" w:eastAsia="楷体" w:hAnsi="Times New Roman" w:hint="eastAsia"/>
          <w:bCs/>
          <w:szCs w:val="21"/>
        </w:rPr>
        <w:t>表</w:t>
      </w:r>
      <w:r w:rsidRPr="00857B61">
        <w:rPr>
          <w:rFonts w:ascii="Times New Roman" w:eastAsia="楷体" w:hAnsi="Times New Roman" w:hint="eastAsia"/>
          <w:bCs/>
          <w:szCs w:val="21"/>
        </w:rPr>
        <w:t xml:space="preserve">2 </w:t>
      </w:r>
      <w:r w:rsidRPr="00857B61">
        <w:rPr>
          <w:rFonts w:ascii="Times New Roman" w:eastAsia="楷体" w:hAnsi="Times New Roman" w:hint="eastAsia"/>
          <w:bCs/>
          <w:szCs w:val="21"/>
        </w:rPr>
        <w:t>检察行政公益诉讼制度试点地区</w:t>
      </w:r>
    </w:p>
    <w:tbl>
      <w:tblPr>
        <w:tblStyle w:val="a7"/>
        <w:tblW w:w="5000" w:type="pct"/>
        <w:jc w:val="center"/>
        <w:tblBorders>
          <w:top w:val="single" w:sz="8" w:space="0" w:color="auto"/>
          <w:left w:val="none" w:sz="0" w:space="0" w:color="auto"/>
          <w:bottom w:val="single" w:sz="8" w:space="0" w:color="auto"/>
          <w:right w:val="none" w:sz="0" w:space="0" w:color="auto"/>
          <w:insideH w:val="single" w:sz="8" w:space="0" w:color="auto"/>
          <w:insideV w:val="single" w:sz="8" w:space="0" w:color="auto"/>
        </w:tblBorders>
        <w:tblLook w:val="04A0" w:firstRow="1" w:lastRow="0" w:firstColumn="1" w:lastColumn="0" w:noHBand="0" w:noVBand="1"/>
      </w:tblPr>
      <w:tblGrid>
        <w:gridCol w:w="2062"/>
        <w:gridCol w:w="6942"/>
      </w:tblGrid>
      <w:tr w:rsidR="00857B61" w:rsidRPr="00857B61" w14:paraId="2C1B7D1D" w14:textId="77777777">
        <w:trPr>
          <w:jc w:val="center"/>
        </w:trPr>
        <w:tc>
          <w:tcPr>
            <w:tcW w:w="1145" w:type="pct"/>
            <w:vAlign w:val="center"/>
          </w:tcPr>
          <w:p w14:paraId="381E0F5E" w14:textId="77777777" w:rsidR="00DE7EC6" w:rsidRPr="00857B61" w:rsidRDefault="00000000">
            <w:pPr>
              <w:jc w:val="center"/>
              <w:rPr>
                <w:rFonts w:eastAsia="宋体"/>
                <w:szCs w:val="21"/>
              </w:rPr>
            </w:pPr>
            <w:r w:rsidRPr="00857B61">
              <w:rPr>
                <w:rFonts w:ascii="Times New Roman" w:eastAsia="宋体" w:hAnsi="Times New Roman" w:cs="Times New Roman" w:hint="eastAsia"/>
                <w:szCs w:val="21"/>
              </w:rPr>
              <w:t>13</w:t>
            </w:r>
            <w:r w:rsidRPr="00857B61">
              <w:rPr>
                <w:rFonts w:eastAsia="宋体" w:hint="eastAsia"/>
                <w:szCs w:val="21"/>
              </w:rPr>
              <w:t>个试点省、</w:t>
            </w:r>
          </w:p>
          <w:p w14:paraId="74406ADA" w14:textId="77777777" w:rsidR="00DE7EC6" w:rsidRPr="00857B61" w:rsidRDefault="00000000">
            <w:pPr>
              <w:jc w:val="center"/>
              <w:rPr>
                <w:rFonts w:eastAsia="宋体"/>
                <w:szCs w:val="21"/>
              </w:rPr>
            </w:pPr>
            <w:r w:rsidRPr="00857B61">
              <w:rPr>
                <w:rFonts w:eastAsia="宋体" w:hint="eastAsia"/>
                <w:szCs w:val="21"/>
              </w:rPr>
              <w:t>自治区、直辖市</w:t>
            </w:r>
          </w:p>
        </w:tc>
        <w:tc>
          <w:tcPr>
            <w:tcW w:w="3854" w:type="pct"/>
            <w:vAlign w:val="center"/>
          </w:tcPr>
          <w:p w14:paraId="66502800" w14:textId="77777777" w:rsidR="00DE7EC6" w:rsidRPr="00857B61" w:rsidRDefault="00000000">
            <w:pPr>
              <w:jc w:val="center"/>
              <w:rPr>
                <w:rFonts w:eastAsia="宋体"/>
                <w:szCs w:val="21"/>
              </w:rPr>
            </w:pPr>
            <w:r w:rsidRPr="00857B61">
              <w:rPr>
                <w:rFonts w:ascii="Times New Roman" w:eastAsia="宋体" w:hAnsi="Times New Roman" w:cs="Times New Roman" w:hint="eastAsia"/>
                <w:szCs w:val="21"/>
              </w:rPr>
              <w:t>73</w:t>
            </w:r>
            <w:r w:rsidRPr="00857B61">
              <w:rPr>
                <w:rFonts w:eastAsia="宋体" w:hint="eastAsia"/>
                <w:szCs w:val="21"/>
              </w:rPr>
              <w:t>个试点城市</w:t>
            </w:r>
          </w:p>
        </w:tc>
      </w:tr>
      <w:tr w:rsidR="00857B61" w:rsidRPr="00857B61" w14:paraId="7FDD269A" w14:textId="77777777">
        <w:trPr>
          <w:jc w:val="center"/>
        </w:trPr>
        <w:tc>
          <w:tcPr>
            <w:tcW w:w="1145" w:type="pct"/>
            <w:vAlign w:val="center"/>
          </w:tcPr>
          <w:p w14:paraId="359B97B4" w14:textId="77777777" w:rsidR="00DE7EC6" w:rsidRPr="00857B61" w:rsidRDefault="00000000">
            <w:pPr>
              <w:jc w:val="center"/>
              <w:rPr>
                <w:rFonts w:eastAsia="宋体"/>
                <w:szCs w:val="21"/>
              </w:rPr>
            </w:pPr>
            <w:r w:rsidRPr="00857B61">
              <w:rPr>
                <w:rFonts w:eastAsia="宋体" w:hint="eastAsia"/>
                <w:szCs w:val="21"/>
              </w:rPr>
              <w:t>北京市</w:t>
            </w:r>
          </w:p>
        </w:tc>
        <w:tc>
          <w:tcPr>
            <w:tcW w:w="3854" w:type="pct"/>
          </w:tcPr>
          <w:p w14:paraId="2D17A9E3" w14:textId="77777777" w:rsidR="00DE7EC6" w:rsidRPr="00857B61" w:rsidRDefault="00000000">
            <w:pPr>
              <w:rPr>
                <w:rFonts w:eastAsia="宋体"/>
                <w:szCs w:val="21"/>
              </w:rPr>
            </w:pPr>
            <w:r w:rsidRPr="00857B61">
              <w:rPr>
                <w:rFonts w:eastAsia="宋体" w:hint="eastAsia"/>
                <w:szCs w:val="21"/>
              </w:rPr>
              <w:t>北京市</w:t>
            </w:r>
          </w:p>
        </w:tc>
      </w:tr>
      <w:tr w:rsidR="00857B61" w:rsidRPr="00857B61" w14:paraId="64355E55" w14:textId="77777777">
        <w:trPr>
          <w:jc w:val="center"/>
        </w:trPr>
        <w:tc>
          <w:tcPr>
            <w:tcW w:w="1145" w:type="pct"/>
            <w:vAlign w:val="center"/>
          </w:tcPr>
          <w:p w14:paraId="621EEA8A" w14:textId="77777777" w:rsidR="00DE7EC6" w:rsidRPr="00857B61" w:rsidRDefault="00000000">
            <w:pPr>
              <w:jc w:val="center"/>
              <w:rPr>
                <w:rFonts w:eastAsia="宋体"/>
                <w:szCs w:val="21"/>
              </w:rPr>
            </w:pPr>
            <w:r w:rsidRPr="00857B61">
              <w:rPr>
                <w:rFonts w:eastAsia="宋体" w:hint="eastAsia"/>
                <w:szCs w:val="21"/>
              </w:rPr>
              <w:t>安徽省</w:t>
            </w:r>
          </w:p>
        </w:tc>
        <w:tc>
          <w:tcPr>
            <w:tcW w:w="3854" w:type="pct"/>
          </w:tcPr>
          <w:p w14:paraId="57188F11" w14:textId="77777777" w:rsidR="00DE7EC6" w:rsidRPr="00857B61" w:rsidRDefault="00000000">
            <w:pPr>
              <w:rPr>
                <w:rFonts w:eastAsia="宋体"/>
                <w:szCs w:val="21"/>
              </w:rPr>
            </w:pPr>
            <w:r w:rsidRPr="00857B61">
              <w:rPr>
                <w:rFonts w:eastAsia="宋体"/>
                <w:szCs w:val="21"/>
              </w:rPr>
              <w:t>蚌埠市</w:t>
            </w:r>
            <w:r w:rsidRPr="00857B61">
              <w:rPr>
                <w:rFonts w:eastAsia="宋体" w:hint="eastAsia"/>
                <w:szCs w:val="21"/>
              </w:rPr>
              <w:t>、</w:t>
            </w:r>
            <w:r w:rsidRPr="00857B61">
              <w:rPr>
                <w:rFonts w:eastAsia="宋体"/>
                <w:szCs w:val="21"/>
              </w:rPr>
              <w:t>滁州市</w:t>
            </w:r>
            <w:r w:rsidRPr="00857B61">
              <w:rPr>
                <w:rFonts w:eastAsia="宋体" w:hint="eastAsia"/>
                <w:szCs w:val="21"/>
              </w:rPr>
              <w:t>、</w:t>
            </w:r>
            <w:r w:rsidRPr="00857B61">
              <w:rPr>
                <w:rFonts w:eastAsia="宋体"/>
                <w:szCs w:val="21"/>
              </w:rPr>
              <w:t>阜阳市</w:t>
            </w:r>
            <w:r w:rsidRPr="00857B61">
              <w:rPr>
                <w:rFonts w:eastAsia="宋体" w:hint="eastAsia"/>
                <w:szCs w:val="21"/>
              </w:rPr>
              <w:t>、</w:t>
            </w:r>
            <w:r w:rsidRPr="00857B61">
              <w:rPr>
                <w:rFonts w:eastAsia="宋体"/>
                <w:szCs w:val="21"/>
              </w:rPr>
              <w:t>合肥市</w:t>
            </w:r>
            <w:r w:rsidRPr="00857B61">
              <w:rPr>
                <w:rFonts w:eastAsia="宋体" w:hint="eastAsia"/>
                <w:szCs w:val="21"/>
              </w:rPr>
              <w:t>、</w:t>
            </w:r>
            <w:r w:rsidRPr="00857B61">
              <w:rPr>
                <w:rFonts w:eastAsia="宋体"/>
                <w:szCs w:val="21"/>
              </w:rPr>
              <w:t>六安市</w:t>
            </w:r>
            <w:r w:rsidRPr="00857B61">
              <w:rPr>
                <w:rFonts w:eastAsia="宋体" w:hint="eastAsia"/>
                <w:szCs w:val="21"/>
              </w:rPr>
              <w:t>、</w:t>
            </w:r>
            <w:r w:rsidRPr="00857B61">
              <w:rPr>
                <w:rFonts w:eastAsia="宋体"/>
                <w:szCs w:val="21"/>
              </w:rPr>
              <w:t>芜湖市</w:t>
            </w:r>
            <w:r w:rsidRPr="00857B61">
              <w:rPr>
                <w:rFonts w:eastAsia="宋体" w:hint="eastAsia"/>
                <w:szCs w:val="21"/>
              </w:rPr>
              <w:t>、</w:t>
            </w:r>
            <w:r w:rsidRPr="00857B61">
              <w:rPr>
                <w:rFonts w:eastAsia="宋体"/>
                <w:szCs w:val="21"/>
              </w:rPr>
              <w:t>宿州市</w:t>
            </w:r>
            <w:r w:rsidRPr="00857B61">
              <w:rPr>
                <w:rFonts w:eastAsia="宋体" w:hint="eastAsia"/>
                <w:szCs w:val="21"/>
              </w:rPr>
              <w:t>、</w:t>
            </w:r>
            <w:r w:rsidRPr="00857B61">
              <w:rPr>
                <w:rFonts w:eastAsia="宋体"/>
                <w:szCs w:val="21"/>
              </w:rPr>
              <w:t>宣城市</w:t>
            </w:r>
          </w:p>
        </w:tc>
      </w:tr>
      <w:tr w:rsidR="00857B61" w:rsidRPr="00857B61" w14:paraId="71395712" w14:textId="77777777">
        <w:trPr>
          <w:jc w:val="center"/>
        </w:trPr>
        <w:tc>
          <w:tcPr>
            <w:tcW w:w="1145" w:type="pct"/>
            <w:vAlign w:val="center"/>
          </w:tcPr>
          <w:p w14:paraId="6E70D6F1" w14:textId="77777777" w:rsidR="00DE7EC6" w:rsidRPr="00857B61" w:rsidRDefault="00000000">
            <w:pPr>
              <w:jc w:val="center"/>
              <w:rPr>
                <w:rFonts w:eastAsia="宋体"/>
                <w:szCs w:val="21"/>
              </w:rPr>
            </w:pPr>
            <w:r w:rsidRPr="00857B61">
              <w:rPr>
                <w:rFonts w:eastAsia="宋体" w:hint="eastAsia"/>
                <w:szCs w:val="21"/>
              </w:rPr>
              <w:t>福建省</w:t>
            </w:r>
          </w:p>
        </w:tc>
        <w:tc>
          <w:tcPr>
            <w:tcW w:w="3854" w:type="pct"/>
          </w:tcPr>
          <w:p w14:paraId="79F2C340" w14:textId="77777777" w:rsidR="00DE7EC6" w:rsidRPr="00857B61" w:rsidRDefault="00000000">
            <w:pPr>
              <w:rPr>
                <w:rFonts w:eastAsia="宋体"/>
                <w:szCs w:val="21"/>
              </w:rPr>
            </w:pPr>
            <w:r w:rsidRPr="00857B61">
              <w:rPr>
                <w:rFonts w:eastAsia="宋体"/>
                <w:szCs w:val="21"/>
              </w:rPr>
              <w:t>福州市</w:t>
            </w:r>
            <w:r w:rsidRPr="00857B61">
              <w:rPr>
                <w:rFonts w:eastAsia="宋体" w:hint="eastAsia"/>
                <w:szCs w:val="21"/>
              </w:rPr>
              <w:t>、</w:t>
            </w:r>
            <w:r w:rsidRPr="00857B61">
              <w:rPr>
                <w:rFonts w:eastAsia="宋体"/>
                <w:szCs w:val="21"/>
              </w:rPr>
              <w:t>龙岩市</w:t>
            </w:r>
            <w:r w:rsidRPr="00857B61">
              <w:rPr>
                <w:rFonts w:eastAsia="宋体" w:hint="eastAsia"/>
                <w:szCs w:val="21"/>
              </w:rPr>
              <w:t>、</w:t>
            </w:r>
            <w:r w:rsidRPr="00857B61">
              <w:rPr>
                <w:rFonts w:eastAsia="宋体"/>
                <w:szCs w:val="21"/>
              </w:rPr>
              <w:t>南平市</w:t>
            </w:r>
            <w:r w:rsidRPr="00857B61">
              <w:rPr>
                <w:rFonts w:eastAsia="宋体" w:hint="eastAsia"/>
                <w:szCs w:val="21"/>
              </w:rPr>
              <w:t>、</w:t>
            </w:r>
            <w:r w:rsidRPr="00857B61">
              <w:rPr>
                <w:rFonts w:eastAsia="宋体"/>
                <w:szCs w:val="21"/>
              </w:rPr>
              <w:t>泉州市</w:t>
            </w:r>
            <w:r w:rsidRPr="00857B61">
              <w:rPr>
                <w:rFonts w:eastAsia="宋体" w:hint="eastAsia"/>
                <w:szCs w:val="21"/>
              </w:rPr>
              <w:t>、</w:t>
            </w:r>
            <w:r w:rsidRPr="00857B61">
              <w:rPr>
                <w:rFonts w:eastAsia="宋体"/>
                <w:szCs w:val="21"/>
              </w:rPr>
              <w:t>三明市</w:t>
            </w:r>
          </w:p>
        </w:tc>
      </w:tr>
      <w:tr w:rsidR="00857B61" w:rsidRPr="00857B61" w14:paraId="4D7A8E5D" w14:textId="77777777">
        <w:trPr>
          <w:jc w:val="center"/>
        </w:trPr>
        <w:tc>
          <w:tcPr>
            <w:tcW w:w="1145" w:type="pct"/>
            <w:vAlign w:val="center"/>
          </w:tcPr>
          <w:p w14:paraId="3FCE523D" w14:textId="77777777" w:rsidR="00DE7EC6" w:rsidRPr="00857B61" w:rsidRDefault="00000000">
            <w:pPr>
              <w:jc w:val="center"/>
              <w:rPr>
                <w:rFonts w:eastAsia="宋体"/>
                <w:szCs w:val="21"/>
              </w:rPr>
            </w:pPr>
            <w:r w:rsidRPr="00857B61">
              <w:rPr>
                <w:rFonts w:eastAsia="宋体" w:hint="eastAsia"/>
                <w:szCs w:val="21"/>
              </w:rPr>
              <w:t>甘肃省</w:t>
            </w:r>
          </w:p>
        </w:tc>
        <w:tc>
          <w:tcPr>
            <w:tcW w:w="3854" w:type="pct"/>
          </w:tcPr>
          <w:p w14:paraId="6935BC02" w14:textId="77777777" w:rsidR="00DE7EC6" w:rsidRPr="00857B61" w:rsidRDefault="00000000">
            <w:pPr>
              <w:rPr>
                <w:rFonts w:eastAsia="宋体"/>
                <w:szCs w:val="21"/>
              </w:rPr>
            </w:pPr>
            <w:r w:rsidRPr="00857B61">
              <w:rPr>
                <w:rFonts w:eastAsia="宋体"/>
                <w:szCs w:val="21"/>
              </w:rPr>
              <w:t>白银市</w:t>
            </w:r>
            <w:r w:rsidRPr="00857B61">
              <w:rPr>
                <w:rFonts w:eastAsia="宋体" w:hint="eastAsia"/>
                <w:szCs w:val="21"/>
              </w:rPr>
              <w:t>、</w:t>
            </w:r>
            <w:r w:rsidRPr="00857B61">
              <w:rPr>
                <w:rFonts w:eastAsia="宋体"/>
                <w:szCs w:val="21"/>
              </w:rPr>
              <w:t>嘉峪关市</w:t>
            </w:r>
            <w:r w:rsidRPr="00857B61">
              <w:rPr>
                <w:rFonts w:eastAsia="宋体" w:hint="eastAsia"/>
                <w:szCs w:val="21"/>
              </w:rPr>
              <w:t>、</w:t>
            </w:r>
            <w:r w:rsidRPr="00857B61">
              <w:rPr>
                <w:rFonts w:eastAsia="宋体"/>
                <w:szCs w:val="21"/>
              </w:rPr>
              <w:t>酒泉市</w:t>
            </w:r>
            <w:r w:rsidRPr="00857B61">
              <w:rPr>
                <w:rFonts w:eastAsia="宋体" w:hint="eastAsia"/>
                <w:szCs w:val="21"/>
              </w:rPr>
              <w:t>、</w:t>
            </w:r>
            <w:r w:rsidRPr="00857B61">
              <w:rPr>
                <w:rFonts w:eastAsia="宋体"/>
                <w:szCs w:val="21"/>
              </w:rPr>
              <w:t>兰州市</w:t>
            </w:r>
            <w:r w:rsidRPr="00857B61">
              <w:rPr>
                <w:rFonts w:eastAsia="宋体" w:hint="eastAsia"/>
                <w:szCs w:val="21"/>
              </w:rPr>
              <w:t>、</w:t>
            </w:r>
            <w:r w:rsidRPr="00857B61">
              <w:rPr>
                <w:rFonts w:eastAsia="宋体"/>
                <w:szCs w:val="21"/>
              </w:rPr>
              <w:t>陇南市</w:t>
            </w:r>
            <w:r w:rsidRPr="00857B61">
              <w:rPr>
                <w:rFonts w:eastAsia="宋体" w:hint="eastAsia"/>
                <w:szCs w:val="21"/>
              </w:rPr>
              <w:t>、</w:t>
            </w:r>
            <w:r w:rsidRPr="00857B61">
              <w:rPr>
                <w:rFonts w:eastAsia="宋体"/>
                <w:szCs w:val="21"/>
              </w:rPr>
              <w:t>庆阳市</w:t>
            </w:r>
            <w:r w:rsidRPr="00857B61">
              <w:rPr>
                <w:rFonts w:eastAsia="宋体" w:hint="eastAsia"/>
                <w:szCs w:val="21"/>
              </w:rPr>
              <w:t>、</w:t>
            </w:r>
            <w:r w:rsidRPr="00857B61">
              <w:rPr>
                <w:rFonts w:eastAsia="宋体"/>
                <w:szCs w:val="21"/>
              </w:rPr>
              <w:t>天水市</w:t>
            </w:r>
            <w:r w:rsidRPr="00857B61">
              <w:rPr>
                <w:rFonts w:eastAsia="宋体" w:hint="eastAsia"/>
                <w:szCs w:val="21"/>
              </w:rPr>
              <w:t>、</w:t>
            </w:r>
            <w:r w:rsidRPr="00857B61">
              <w:rPr>
                <w:rFonts w:eastAsia="宋体"/>
                <w:szCs w:val="21"/>
              </w:rPr>
              <w:t>张掖市</w:t>
            </w:r>
          </w:p>
        </w:tc>
      </w:tr>
      <w:tr w:rsidR="00857B61" w:rsidRPr="00857B61" w14:paraId="042DFBAA" w14:textId="77777777">
        <w:trPr>
          <w:jc w:val="center"/>
        </w:trPr>
        <w:tc>
          <w:tcPr>
            <w:tcW w:w="1145" w:type="pct"/>
            <w:vAlign w:val="center"/>
          </w:tcPr>
          <w:p w14:paraId="71B4665D" w14:textId="77777777" w:rsidR="00DE7EC6" w:rsidRPr="00857B61" w:rsidRDefault="00000000">
            <w:pPr>
              <w:jc w:val="center"/>
              <w:rPr>
                <w:rFonts w:eastAsia="宋体"/>
                <w:szCs w:val="21"/>
              </w:rPr>
            </w:pPr>
            <w:r w:rsidRPr="00857B61">
              <w:rPr>
                <w:rFonts w:eastAsia="宋体" w:hint="eastAsia"/>
                <w:szCs w:val="21"/>
              </w:rPr>
              <w:t>广东省</w:t>
            </w:r>
          </w:p>
        </w:tc>
        <w:tc>
          <w:tcPr>
            <w:tcW w:w="3854" w:type="pct"/>
          </w:tcPr>
          <w:p w14:paraId="30C80329" w14:textId="77777777" w:rsidR="00DE7EC6" w:rsidRPr="00857B61" w:rsidRDefault="00000000">
            <w:pPr>
              <w:rPr>
                <w:rFonts w:eastAsia="宋体"/>
                <w:szCs w:val="21"/>
              </w:rPr>
            </w:pPr>
            <w:r w:rsidRPr="00857B61">
              <w:rPr>
                <w:rFonts w:eastAsia="宋体"/>
                <w:szCs w:val="21"/>
              </w:rPr>
              <w:t>广州市</w:t>
            </w:r>
            <w:r w:rsidRPr="00857B61">
              <w:rPr>
                <w:rFonts w:eastAsia="宋体" w:hint="eastAsia"/>
                <w:szCs w:val="21"/>
              </w:rPr>
              <w:t>、</w:t>
            </w:r>
            <w:r w:rsidRPr="00857B61">
              <w:rPr>
                <w:rFonts w:eastAsia="宋体"/>
                <w:szCs w:val="21"/>
              </w:rPr>
              <w:t>清远市</w:t>
            </w:r>
            <w:r w:rsidRPr="00857B61">
              <w:rPr>
                <w:rFonts w:eastAsia="宋体" w:hint="eastAsia"/>
                <w:szCs w:val="21"/>
              </w:rPr>
              <w:t>、</w:t>
            </w:r>
            <w:r w:rsidRPr="00857B61">
              <w:rPr>
                <w:rFonts w:eastAsia="宋体"/>
                <w:szCs w:val="21"/>
              </w:rPr>
              <w:t>汕头市</w:t>
            </w:r>
            <w:r w:rsidRPr="00857B61">
              <w:rPr>
                <w:rFonts w:eastAsia="宋体" w:hint="eastAsia"/>
                <w:szCs w:val="21"/>
              </w:rPr>
              <w:t>、</w:t>
            </w:r>
            <w:r w:rsidRPr="00857B61">
              <w:rPr>
                <w:rFonts w:eastAsia="宋体"/>
                <w:szCs w:val="21"/>
              </w:rPr>
              <w:t>韶关市</w:t>
            </w:r>
            <w:r w:rsidRPr="00857B61">
              <w:rPr>
                <w:rFonts w:eastAsia="宋体" w:hint="eastAsia"/>
                <w:szCs w:val="21"/>
              </w:rPr>
              <w:t>、</w:t>
            </w:r>
            <w:r w:rsidRPr="00857B61">
              <w:rPr>
                <w:rFonts w:eastAsia="宋体"/>
                <w:szCs w:val="21"/>
              </w:rPr>
              <w:t>深圳市</w:t>
            </w:r>
            <w:r w:rsidRPr="00857B61">
              <w:rPr>
                <w:rFonts w:eastAsia="宋体" w:hint="eastAsia"/>
                <w:szCs w:val="21"/>
              </w:rPr>
              <w:t>、</w:t>
            </w:r>
            <w:r w:rsidRPr="00857B61">
              <w:rPr>
                <w:rFonts w:eastAsia="宋体"/>
                <w:szCs w:val="21"/>
              </w:rPr>
              <w:t>肇庆市</w:t>
            </w:r>
          </w:p>
        </w:tc>
      </w:tr>
      <w:tr w:rsidR="00857B61" w:rsidRPr="00857B61" w14:paraId="2A4581C9" w14:textId="77777777">
        <w:trPr>
          <w:jc w:val="center"/>
        </w:trPr>
        <w:tc>
          <w:tcPr>
            <w:tcW w:w="1145" w:type="pct"/>
            <w:vAlign w:val="center"/>
          </w:tcPr>
          <w:p w14:paraId="731C4BF9" w14:textId="77777777" w:rsidR="00DE7EC6" w:rsidRPr="00857B61" w:rsidRDefault="00000000">
            <w:pPr>
              <w:jc w:val="center"/>
              <w:rPr>
                <w:rFonts w:eastAsia="宋体"/>
                <w:szCs w:val="21"/>
              </w:rPr>
            </w:pPr>
            <w:r w:rsidRPr="00857B61">
              <w:rPr>
                <w:rFonts w:eastAsia="宋体" w:hint="eastAsia"/>
                <w:szCs w:val="21"/>
              </w:rPr>
              <w:t>贵州省</w:t>
            </w:r>
          </w:p>
        </w:tc>
        <w:tc>
          <w:tcPr>
            <w:tcW w:w="3854" w:type="pct"/>
          </w:tcPr>
          <w:p w14:paraId="1F9B7789" w14:textId="77777777" w:rsidR="00DE7EC6" w:rsidRPr="00857B61" w:rsidRDefault="00000000">
            <w:pPr>
              <w:rPr>
                <w:rFonts w:eastAsia="宋体"/>
                <w:szCs w:val="21"/>
              </w:rPr>
            </w:pPr>
            <w:r w:rsidRPr="00857B61">
              <w:rPr>
                <w:rFonts w:eastAsia="宋体"/>
                <w:szCs w:val="21"/>
              </w:rPr>
              <w:t>贵阳市</w:t>
            </w:r>
            <w:r w:rsidRPr="00857B61">
              <w:rPr>
                <w:rFonts w:eastAsia="宋体" w:hint="eastAsia"/>
                <w:szCs w:val="21"/>
              </w:rPr>
              <w:t>、</w:t>
            </w:r>
            <w:r w:rsidRPr="00857B61">
              <w:rPr>
                <w:rFonts w:eastAsia="宋体"/>
                <w:szCs w:val="21"/>
              </w:rPr>
              <w:t>六盘水市</w:t>
            </w:r>
          </w:p>
        </w:tc>
      </w:tr>
      <w:tr w:rsidR="00DE7EC6" w:rsidRPr="00857B61" w14:paraId="53BF020E" w14:textId="77777777">
        <w:trPr>
          <w:jc w:val="center"/>
        </w:trPr>
        <w:tc>
          <w:tcPr>
            <w:tcW w:w="1145" w:type="pct"/>
            <w:vAlign w:val="center"/>
          </w:tcPr>
          <w:p w14:paraId="4790CCA4" w14:textId="77777777" w:rsidR="00DE7EC6" w:rsidRPr="00857B61" w:rsidRDefault="00000000">
            <w:pPr>
              <w:jc w:val="center"/>
              <w:rPr>
                <w:rFonts w:eastAsia="宋体"/>
                <w:szCs w:val="21"/>
              </w:rPr>
            </w:pPr>
            <w:r w:rsidRPr="00857B61">
              <w:rPr>
                <w:rFonts w:eastAsia="宋体" w:hint="eastAsia"/>
                <w:szCs w:val="21"/>
              </w:rPr>
              <w:t>湖北省</w:t>
            </w:r>
          </w:p>
        </w:tc>
        <w:tc>
          <w:tcPr>
            <w:tcW w:w="3854" w:type="pct"/>
          </w:tcPr>
          <w:p w14:paraId="19079A81" w14:textId="77777777" w:rsidR="00DE7EC6" w:rsidRPr="00857B61" w:rsidRDefault="00000000">
            <w:pPr>
              <w:rPr>
                <w:rFonts w:eastAsia="宋体"/>
                <w:szCs w:val="21"/>
              </w:rPr>
            </w:pPr>
            <w:r w:rsidRPr="00857B61">
              <w:rPr>
                <w:rFonts w:eastAsia="宋体"/>
                <w:szCs w:val="21"/>
              </w:rPr>
              <w:t>黄冈市</w:t>
            </w:r>
            <w:r w:rsidRPr="00857B61">
              <w:rPr>
                <w:rFonts w:eastAsia="宋体" w:hint="eastAsia"/>
                <w:szCs w:val="21"/>
              </w:rPr>
              <w:t>、</w:t>
            </w:r>
            <w:r w:rsidRPr="00857B61">
              <w:rPr>
                <w:rFonts w:eastAsia="宋体"/>
                <w:szCs w:val="21"/>
              </w:rPr>
              <w:t>黄石市</w:t>
            </w:r>
            <w:r w:rsidRPr="00857B61">
              <w:rPr>
                <w:rFonts w:eastAsia="宋体" w:hint="eastAsia"/>
                <w:szCs w:val="21"/>
              </w:rPr>
              <w:t>、</w:t>
            </w:r>
            <w:r w:rsidRPr="00857B61">
              <w:rPr>
                <w:rFonts w:eastAsia="宋体"/>
                <w:szCs w:val="21"/>
              </w:rPr>
              <w:t>荆门市</w:t>
            </w:r>
            <w:r w:rsidRPr="00857B61">
              <w:rPr>
                <w:rFonts w:eastAsia="宋体" w:hint="eastAsia"/>
                <w:szCs w:val="21"/>
              </w:rPr>
              <w:t>、</w:t>
            </w:r>
            <w:r w:rsidRPr="00857B61">
              <w:rPr>
                <w:rFonts w:eastAsia="宋体"/>
                <w:szCs w:val="21"/>
              </w:rPr>
              <w:t>荆州市</w:t>
            </w:r>
            <w:r w:rsidRPr="00857B61">
              <w:rPr>
                <w:rFonts w:eastAsia="宋体" w:hint="eastAsia"/>
                <w:szCs w:val="21"/>
              </w:rPr>
              <w:t>、</w:t>
            </w:r>
            <w:r w:rsidRPr="00857B61">
              <w:rPr>
                <w:rFonts w:eastAsia="宋体"/>
                <w:szCs w:val="21"/>
              </w:rPr>
              <w:t>十堰市</w:t>
            </w:r>
            <w:r w:rsidRPr="00857B61">
              <w:rPr>
                <w:rFonts w:eastAsia="宋体" w:hint="eastAsia"/>
                <w:szCs w:val="21"/>
              </w:rPr>
              <w:t>、</w:t>
            </w:r>
            <w:r w:rsidRPr="00857B61">
              <w:rPr>
                <w:rFonts w:eastAsia="宋体"/>
                <w:szCs w:val="21"/>
              </w:rPr>
              <w:t>随州市</w:t>
            </w:r>
            <w:r w:rsidRPr="00857B61">
              <w:rPr>
                <w:rFonts w:eastAsia="宋体" w:hint="eastAsia"/>
                <w:szCs w:val="21"/>
              </w:rPr>
              <w:t>、</w:t>
            </w:r>
            <w:r w:rsidRPr="00857B61">
              <w:rPr>
                <w:rFonts w:eastAsia="宋体"/>
                <w:szCs w:val="21"/>
              </w:rPr>
              <w:t>武汉市</w:t>
            </w:r>
            <w:r w:rsidRPr="00857B61">
              <w:rPr>
                <w:rFonts w:eastAsia="宋体" w:hint="eastAsia"/>
                <w:szCs w:val="21"/>
              </w:rPr>
              <w:t>、</w:t>
            </w:r>
            <w:r w:rsidRPr="00857B61">
              <w:rPr>
                <w:rFonts w:eastAsia="宋体"/>
                <w:szCs w:val="21"/>
              </w:rPr>
              <w:t>咸宁市</w:t>
            </w:r>
            <w:r w:rsidRPr="00857B61">
              <w:rPr>
                <w:rFonts w:eastAsia="宋体" w:hint="eastAsia"/>
                <w:szCs w:val="21"/>
              </w:rPr>
              <w:t>、</w:t>
            </w:r>
            <w:r w:rsidRPr="00857B61">
              <w:rPr>
                <w:rFonts w:eastAsia="宋体"/>
                <w:szCs w:val="21"/>
              </w:rPr>
              <w:t>孝感市</w:t>
            </w:r>
            <w:r w:rsidRPr="00857B61">
              <w:rPr>
                <w:rFonts w:eastAsia="宋体" w:hint="eastAsia"/>
                <w:szCs w:val="21"/>
              </w:rPr>
              <w:t>、</w:t>
            </w:r>
            <w:r w:rsidRPr="00857B61">
              <w:rPr>
                <w:rFonts w:eastAsia="宋体"/>
                <w:szCs w:val="21"/>
              </w:rPr>
              <w:t>宜昌市</w:t>
            </w:r>
          </w:p>
        </w:tc>
      </w:tr>
    </w:tbl>
    <w:p w14:paraId="61BEBFF4" w14:textId="77777777" w:rsidR="00DE7EC6" w:rsidRPr="00857B61" w:rsidRDefault="00DE7EC6">
      <w:pPr>
        <w:wordWrap w:val="0"/>
        <w:jc w:val="right"/>
        <w:rPr>
          <w:rFonts w:ascii="Times New Roman" w:eastAsia="楷体" w:hAnsi="Times New Roman"/>
          <w:bCs/>
          <w:szCs w:val="21"/>
        </w:rPr>
      </w:pPr>
    </w:p>
    <w:p w14:paraId="6DD6F0EB" w14:textId="77777777" w:rsidR="00DE7EC6" w:rsidRPr="00857B61" w:rsidRDefault="00000000">
      <w:pPr>
        <w:wordWrap w:val="0"/>
        <w:jc w:val="right"/>
        <w:rPr>
          <w:rFonts w:ascii="Times New Roman" w:hAnsi="Times New Roman" w:cs="Times New Roman"/>
        </w:rPr>
      </w:pPr>
      <w:r w:rsidRPr="00857B61">
        <w:rPr>
          <w:rFonts w:ascii="Times New Roman" w:eastAsia="楷体" w:hAnsi="Times New Roman"/>
          <w:bCs/>
          <w:szCs w:val="21"/>
        </w:rPr>
        <w:lastRenderedPageBreak/>
        <w:t>续表</w:t>
      </w:r>
      <w:r w:rsidRPr="00857B61">
        <w:rPr>
          <w:rFonts w:ascii="Times New Roman" w:eastAsia="楷体" w:hAnsi="Times New Roman"/>
          <w:bCs/>
          <w:szCs w:val="21"/>
        </w:rPr>
        <w:t>2</w:t>
      </w:r>
      <w:r w:rsidRPr="00857B61">
        <w:rPr>
          <w:rFonts w:ascii="Times New Roman" w:eastAsia="楷体" w:hAnsi="Times New Roman" w:hint="eastAsia"/>
          <w:bCs/>
          <w:szCs w:val="21"/>
        </w:rPr>
        <w:t xml:space="preserve"> </w:t>
      </w:r>
      <w:r w:rsidRPr="00857B61">
        <w:rPr>
          <w:rFonts w:ascii="Times New Roman" w:hAnsi="Times New Roman" w:cs="Times New Roman" w:hint="eastAsia"/>
        </w:rPr>
        <w:t xml:space="preserve"> </w:t>
      </w:r>
    </w:p>
    <w:tbl>
      <w:tblPr>
        <w:tblStyle w:val="a7"/>
        <w:tblW w:w="5000" w:type="pct"/>
        <w:jc w:val="center"/>
        <w:tblBorders>
          <w:top w:val="single" w:sz="8" w:space="0" w:color="auto"/>
          <w:left w:val="none" w:sz="0" w:space="0" w:color="auto"/>
          <w:bottom w:val="single" w:sz="8" w:space="0" w:color="auto"/>
          <w:right w:val="none" w:sz="0" w:space="0" w:color="auto"/>
          <w:insideH w:val="single" w:sz="8" w:space="0" w:color="auto"/>
          <w:insideV w:val="single" w:sz="8" w:space="0" w:color="auto"/>
        </w:tblBorders>
        <w:tblLook w:val="04A0" w:firstRow="1" w:lastRow="0" w:firstColumn="1" w:lastColumn="0" w:noHBand="0" w:noVBand="1"/>
      </w:tblPr>
      <w:tblGrid>
        <w:gridCol w:w="2062"/>
        <w:gridCol w:w="6942"/>
      </w:tblGrid>
      <w:tr w:rsidR="00857B61" w:rsidRPr="00857B61" w14:paraId="5BB2E48A" w14:textId="77777777">
        <w:trPr>
          <w:jc w:val="center"/>
        </w:trPr>
        <w:tc>
          <w:tcPr>
            <w:tcW w:w="1145" w:type="pct"/>
            <w:vAlign w:val="center"/>
          </w:tcPr>
          <w:p w14:paraId="69E55C2F" w14:textId="77777777" w:rsidR="00DE7EC6" w:rsidRPr="00857B61" w:rsidRDefault="00000000">
            <w:pPr>
              <w:jc w:val="center"/>
              <w:rPr>
                <w:rFonts w:eastAsia="宋体"/>
                <w:szCs w:val="21"/>
              </w:rPr>
            </w:pPr>
            <w:r w:rsidRPr="00857B61">
              <w:rPr>
                <w:rFonts w:ascii="Times New Roman" w:eastAsia="宋体" w:hAnsi="Times New Roman" w:cs="Times New Roman" w:hint="eastAsia"/>
                <w:szCs w:val="21"/>
              </w:rPr>
              <w:t>13</w:t>
            </w:r>
            <w:r w:rsidRPr="00857B61">
              <w:rPr>
                <w:rFonts w:eastAsia="宋体" w:hint="eastAsia"/>
                <w:szCs w:val="21"/>
              </w:rPr>
              <w:t>个试点省、</w:t>
            </w:r>
          </w:p>
          <w:p w14:paraId="1F0E57CF" w14:textId="77777777" w:rsidR="00DE7EC6" w:rsidRPr="00857B61" w:rsidRDefault="00000000">
            <w:pPr>
              <w:jc w:val="center"/>
              <w:rPr>
                <w:rFonts w:eastAsia="宋体"/>
                <w:szCs w:val="21"/>
              </w:rPr>
            </w:pPr>
            <w:r w:rsidRPr="00857B61">
              <w:rPr>
                <w:rFonts w:eastAsia="宋体" w:hint="eastAsia"/>
                <w:szCs w:val="21"/>
              </w:rPr>
              <w:t>自治区、直辖市</w:t>
            </w:r>
          </w:p>
        </w:tc>
        <w:tc>
          <w:tcPr>
            <w:tcW w:w="3854" w:type="pct"/>
            <w:vAlign w:val="center"/>
          </w:tcPr>
          <w:p w14:paraId="044B66C9" w14:textId="77777777" w:rsidR="00DE7EC6" w:rsidRPr="00857B61" w:rsidRDefault="00000000">
            <w:pPr>
              <w:jc w:val="center"/>
              <w:rPr>
                <w:rFonts w:eastAsia="宋体"/>
                <w:szCs w:val="21"/>
              </w:rPr>
            </w:pPr>
            <w:r w:rsidRPr="00857B61">
              <w:rPr>
                <w:rFonts w:ascii="Times New Roman" w:eastAsia="宋体" w:hAnsi="Times New Roman" w:cs="Times New Roman" w:hint="eastAsia"/>
                <w:szCs w:val="21"/>
              </w:rPr>
              <w:t>73</w:t>
            </w:r>
            <w:r w:rsidRPr="00857B61">
              <w:rPr>
                <w:rFonts w:eastAsia="宋体" w:hint="eastAsia"/>
                <w:szCs w:val="21"/>
              </w:rPr>
              <w:t>个试点城市</w:t>
            </w:r>
          </w:p>
        </w:tc>
      </w:tr>
      <w:tr w:rsidR="00857B61" w:rsidRPr="00857B61" w14:paraId="0ED4C11C" w14:textId="77777777">
        <w:trPr>
          <w:jc w:val="center"/>
        </w:trPr>
        <w:tc>
          <w:tcPr>
            <w:tcW w:w="1145" w:type="pct"/>
            <w:vAlign w:val="center"/>
          </w:tcPr>
          <w:p w14:paraId="78F672D2" w14:textId="77777777" w:rsidR="00DE7EC6" w:rsidRPr="00857B61" w:rsidRDefault="00000000">
            <w:pPr>
              <w:jc w:val="center"/>
              <w:rPr>
                <w:rFonts w:eastAsia="宋体"/>
                <w:szCs w:val="21"/>
              </w:rPr>
            </w:pPr>
            <w:r w:rsidRPr="00857B61">
              <w:rPr>
                <w:rFonts w:eastAsia="宋体" w:hint="eastAsia"/>
                <w:szCs w:val="21"/>
              </w:rPr>
              <w:t>吉林省</w:t>
            </w:r>
          </w:p>
        </w:tc>
        <w:tc>
          <w:tcPr>
            <w:tcW w:w="3854" w:type="pct"/>
          </w:tcPr>
          <w:p w14:paraId="219FE9B0" w14:textId="77777777" w:rsidR="00DE7EC6" w:rsidRPr="00857B61" w:rsidRDefault="00000000">
            <w:pPr>
              <w:rPr>
                <w:rFonts w:eastAsia="宋体"/>
                <w:szCs w:val="21"/>
              </w:rPr>
            </w:pPr>
            <w:r w:rsidRPr="00857B61">
              <w:rPr>
                <w:rFonts w:eastAsia="宋体"/>
                <w:szCs w:val="21"/>
              </w:rPr>
              <w:t>白城市</w:t>
            </w:r>
            <w:r w:rsidRPr="00857B61">
              <w:rPr>
                <w:rFonts w:eastAsia="宋体" w:hint="eastAsia"/>
                <w:szCs w:val="21"/>
              </w:rPr>
              <w:t>、</w:t>
            </w:r>
            <w:r w:rsidRPr="00857B61">
              <w:rPr>
                <w:rFonts w:eastAsia="宋体"/>
                <w:szCs w:val="21"/>
              </w:rPr>
              <w:t>白山市</w:t>
            </w:r>
            <w:r w:rsidRPr="00857B61">
              <w:rPr>
                <w:rFonts w:eastAsia="宋体" w:hint="eastAsia"/>
                <w:szCs w:val="21"/>
              </w:rPr>
              <w:t>、</w:t>
            </w:r>
            <w:r w:rsidRPr="00857B61">
              <w:rPr>
                <w:rFonts w:eastAsia="宋体"/>
                <w:szCs w:val="21"/>
              </w:rPr>
              <w:t>吉林市</w:t>
            </w:r>
            <w:r w:rsidRPr="00857B61">
              <w:rPr>
                <w:rFonts w:eastAsia="宋体" w:hint="eastAsia"/>
                <w:szCs w:val="21"/>
              </w:rPr>
              <w:t>、</w:t>
            </w:r>
            <w:r w:rsidRPr="00857B61">
              <w:rPr>
                <w:rFonts w:eastAsia="宋体"/>
                <w:szCs w:val="21"/>
              </w:rPr>
              <w:t>四平市</w:t>
            </w:r>
            <w:r w:rsidRPr="00857B61">
              <w:rPr>
                <w:rFonts w:eastAsia="宋体" w:hint="eastAsia"/>
                <w:szCs w:val="21"/>
              </w:rPr>
              <w:t>、</w:t>
            </w:r>
            <w:r w:rsidRPr="00857B61">
              <w:rPr>
                <w:rFonts w:eastAsia="宋体"/>
                <w:szCs w:val="21"/>
              </w:rPr>
              <w:t>通化市</w:t>
            </w:r>
            <w:r w:rsidRPr="00857B61">
              <w:rPr>
                <w:rFonts w:eastAsia="宋体" w:hint="eastAsia"/>
                <w:szCs w:val="21"/>
              </w:rPr>
              <w:t>、</w:t>
            </w:r>
            <w:r w:rsidRPr="00857B61">
              <w:rPr>
                <w:rFonts w:eastAsia="宋体"/>
                <w:szCs w:val="21"/>
              </w:rPr>
              <w:t>长春市</w:t>
            </w:r>
          </w:p>
        </w:tc>
      </w:tr>
      <w:tr w:rsidR="00857B61" w:rsidRPr="00857B61" w14:paraId="4659FD31" w14:textId="77777777">
        <w:trPr>
          <w:jc w:val="center"/>
        </w:trPr>
        <w:tc>
          <w:tcPr>
            <w:tcW w:w="1145" w:type="pct"/>
            <w:vAlign w:val="center"/>
          </w:tcPr>
          <w:p w14:paraId="1300FD2E" w14:textId="77777777" w:rsidR="00DE7EC6" w:rsidRPr="00857B61" w:rsidRDefault="00000000">
            <w:pPr>
              <w:jc w:val="center"/>
              <w:rPr>
                <w:rFonts w:eastAsia="宋体"/>
                <w:szCs w:val="21"/>
              </w:rPr>
            </w:pPr>
            <w:r w:rsidRPr="00857B61">
              <w:rPr>
                <w:rFonts w:eastAsia="宋体" w:hint="eastAsia"/>
                <w:szCs w:val="21"/>
              </w:rPr>
              <w:t>江苏省</w:t>
            </w:r>
          </w:p>
        </w:tc>
        <w:tc>
          <w:tcPr>
            <w:tcW w:w="3854" w:type="pct"/>
          </w:tcPr>
          <w:p w14:paraId="27FD956B" w14:textId="77777777" w:rsidR="00DE7EC6" w:rsidRPr="00857B61" w:rsidRDefault="00000000">
            <w:pPr>
              <w:rPr>
                <w:rFonts w:eastAsia="宋体"/>
                <w:szCs w:val="21"/>
              </w:rPr>
            </w:pPr>
            <w:r w:rsidRPr="00857B61">
              <w:rPr>
                <w:rFonts w:eastAsia="宋体"/>
                <w:szCs w:val="21"/>
              </w:rPr>
              <w:t>常州市</w:t>
            </w:r>
            <w:r w:rsidRPr="00857B61">
              <w:rPr>
                <w:rFonts w:eastAsia="宋体" w:hint="eastAsia"/>
                <w:szCs w:val="21"/>
              </w:rPr>
              <w:t>、</w:t>
            </w:r>
            <w:r w:rsidRPr="00857B61">
              <w:rPr>
                <w:rFonts w:eastAsia="宋体"/>
                <w:szCs w:val="21"/>
              </w:rPr>
              <w:t>南京市</w:t>
            </w:r>
            <w:r w:rsidRPr="00857B61">
              <w:rPr>
                <w:rFonts w:eastAsia="宋体" w:hint="eastAsia"/>
                <w:szCs w:val="21"/>
              </w:rPr>
              <w:t>、</w:t>
            </w:r>
            <w:r w:rsidRPr="00857B61">
              <w:rPr>
                <w:rFonts w:eastAsia="宋体"/>
                <w:szCs w:val="21"/>
              </w:rPr>
              <w:t>苏州市</w:t>
            </w:r>
            <w:r w:rsidRPr="00857B61">
              <w:rPr>
                <w:rFonts w:eastAsia="宋体" w:hint="eastAsia"/>
                <w:szCs w:val="21"/>
              </w:rPr>
              <w:t>、</w:t>
            </w:r>
            <w:r w:rsidRPr="00857B61">
              <w:rPr>
                <w:rFonts w:eastAsia="宋体"/>
                <w:szCs w:val="21"/>
              </w:rPr>
              <w:t>泰州市</w:t>
            </w:r>
            <w:r w:rsidRPr="00857B61">
              <w:rPr>
                <w:rFonts w:eastAsia="宋体" w:hint="eastAsia"/>
                <w:szCs w:val="21"/>
              </w:rPr>
              <w:t>、</w:t>
            </w:r>
            <w:r w:rsidRPr="00857B61">
              <w:rPr>
                <w:rFonts w:eastAsia="宋体"/>
                <w:szCs w:val="21"/>
              </w:rPr>
              <w:t>无锡市</w:t>
            </w:r>
            <w:r w:rsidRPr="00857B61">
              <w:rPr>
                <w:rFonts w:eastAsia="宋体" w:hint="eastAsia"/>
                <w:szCs w:val="21"/>
              </w:rPr>
              <w:t>、</w:t>
            </w:r>
            <w:r w:rsidRPr="00857B61">
              <w:rPr>
                <w:rFonts w:eastAsia="宋体"/>
                <w:szCs w:val="21"/>
              </w:rPr>
              <w:t>徐州市</w:t>
            </w:r>
            <w:r w:rsidRPr="00857B61">
              <w:rPr>
                <w:rFonts w:eastAsia="宋体" w:hint="eastAsia"/>
                <w:szCs w:val="21"/>
              </w:rPr>
              <w:t>、</w:t>
            </w:r>
            <w:r w:rsidRPr="00857B61">
              <w:rPr>
                <w:rFonts w:eastAsia="宋体"/>
                <w:szCs w:val="21"/>
              </w:rPr>
              <w:t>盐城市</w:t>
            </w:r>
          </w:p>
        </w:tc>
      </w:tr>
      <w:tr w:rsidR="00857B61" w:rsidRPr="00857B61" w14:paraId="00E83C85" w14:textId="77777777">
        <w:trPr>
          <w:jc w:val="center"/>
        </w:trPr>
        <w:tc>
          <w:tcPr>
            <w:tcW w:w="1145" w:type="pct"/>
            <w:vAlign w:val="center"/>
          </w:tcPr>
          <w:p w14:paraId="05531A0B" w14:textId="77777777" w:rsidR="00DE7EC6" w:rsidRPr="00857B61" w:rsidRDefault="00000000">
            <w:pPr>
              <w:jc w:val="center"/>
              <w:rPr>
                <w:rFonts w:eastAsia="宋体"/>
                <w:szCs w:val="21"/>
              </w:rPr>
            </w:pPr>
            <w:r w:rsidRPr="00857B61">
              <w:rPr>
                <w:rFonts w:eastAsia="宋体" w:hint="eastAsia"/>
                <w:szCs w:val="21"/>
              </w:rPr>
              <w:t>内蒙古自治区</w:t>
            </w:r>
          </w:p>
        </w:tc>
        <w:tc>
          <w:tcPr>
            <w:tcW w:w="3854" w:type="pct"/>
          </w:tcPr>
          <w:p w14:paraId="601AD848" w14:textId="77777777" w:rsidR="00DE7EC6" w:rsidRPr="00857B61" w:rsidRDefault="00000000">
            <w:pPr>
              <w:rPr>
                <w:rFonts w:eastAsia="宋体"/>
                <w:szCs w:val="21"/>
              </w:rPr>
            </w:pPr>
            <w:r w:rsidRPr="00857B61">
              <w:rPr>
                <w:rFonts w:eastAsia="宋体"/>
                <w:szCs w:val="21"/>
              </w:rPr>
              <w:t>包头市</w:t>
            </w:r>
            <w:r w:rsidRPr="00857B61">
              <w:rPr>
                <w:rFonts w:eastAsia="宋体" w:hint="eastAsia"/>
                <w:szCs w:val="21"/>
              </w:rPr>
              <w:t>、</w:t>
            </w:r>
            <w:r w:rsidRPr="00857B61">
              <w:rPr>
                <w:rFonts w:eastAsia="宋体"/>
                <w:szCs w:val="21"/>
              </w:rPr>
              <w:t>赤峰市</w:t>
            </w:r>
            <w:r w:rsidRPr="00857B61">
              <w:rPr>
                <w:rFonts w:eastAsia="宋体" w:hint="eastAsia"/>
                <w:szCs w:val="21"/>
              </w:rPr>
              <w:t>、</w:t>
            </w:r>
            <w:r w:rsidRPr="00857B61">
              <w:rPr>
                <w:rFonts w:eastAsia="宋体"/>
                <w:szCs w:val="21"/>
              </w:rPr>
              <w:t>鄂尔多斯市</w:t>
            </w:r>
            <w:r w:rsidRPr="00857B61">
              <w:rPr>
                <w:rFonts w:eastAsia="宋体" w:hint="eastAsia"/>
                <w:szCs w:val="21"/>
              </w:rPr>
              <w:t>、</w:t>
            </w:r>
            <w:r w:rsidRPr="00857B61">
              <w:rPr>
                <w:rFonts w:eastAsia="宋体"/>
                <w:szCs w:val="21"/>
              </w:rPr>
              <w:t>呼和浩特市</w:t>
            </w:r>
            <w:r w:rsidRPr="00857B61">
              <w:rPr>
                <w:rFonts w:eastAsia="宋体" w:hint="eastAsia"/>
                <w:szCs w:val="21"/>
              </w:rPr>
              <w:t>、</w:t>
            </w:r>
            <w:r w:rsidRPr="00857B61">
              <w:rPr>
                <w:rFonts w:eastAsia="宋体"/>
                <w:szCs w:val="21"/>
              </w:rPr>
              <w:t>呼伦贝尔市</w:t>
            </w:r>
          </w:p>
        </w:tc>
      </w:tr>
      <w:tr w:rsidR="00857B61" w:rsidRPr="00857B61" w14:paraId="4F22030B" w14:textId="77777777">
        <w:trPr>
          <w:jc w:val="center"/>
        </w:trPr>
        <w:tc>
          <w:tcPr>
            <w:tcW w:w="1145" w:type="pct"/>
            <w:vAlign w:val="center"/>
          </w:tcPr>
          <w:p w14:paraId="68665F2E" w14:textId="77777777" w:rsidR="00DE7EC6" w:rsidRPr="00857B61" w:rsidRDefault="00000000">
            <w:pPr>
              <w:jc w:val="center"/>
              <w:rPr>
                <w:rFonts w:eastAsia="宋体"/>
                <w:szCs w:val="21"/>
              </w:rPr>
            </w:pPr>
            <w:r w:rsidRPr="00857B61">
              <w:rPr>
                <w:rFonts w:eastAsia="宋体" w:hint="eastAsia"/>
                <w:szCs w:val="21"/>
              </w:rPr>
              <w:t>山东省</w:t>
            </w:r>
          </w:p>
        </w:tc>
        <w:tc>
          <w:tcPr>
            <w:tcW w:w="3854" w:type="pct"/>
          </w:tcPr>
          <w:p w14:paraId="3A5E4FA3" w14:textId="77777777" w:rsidR="00DE7EC6" w:rsidRPr="00857B61" w:rsidRDefault="00000000">
            <w:pPr>
              <w:rPr>
                <w:rFonts w:eastAsia="宋体"/>
                <w:szCs w:val="21"/>
              </w:rPr>
            </w:pPr>
            <w:r w:rsidRPr="00857B61">
              <w:rPr>
                <w:rFonts w:eastAsia="宋体"/>
                <w:szCs w:val="21"/>
              </w:rPr>
              <w:t>德州市</w:t>
            </w:r>
            <w:r w:rsidRPr="00857B61">
              <w:rPr>
                <w:rFonts w:eastAsia="宋体" w:hint="eastAsia"/>
                <w:szCs w:val="21"/>
              </w:rPr>
              <w:t>、</w:t>
            </w:r>
            <w:r w:rsidRPr="00857B61">
              <w:rPr>
                <w:rFonts w:eastAsia="宋体"/>
                <w:szCs w:val="21"/>
              </w:rPr>
              <w:t>聊城市</w:t>
            </w:r>
            <w:r w:rsidRPr="00857B61">
              <w:rPr>
                <w:rFonts w:eastAsia="宋体" w:hint="eastAsia"/>
                <w:szCs w:val="21"/>
              </w:rPr>
              <w:t>、</w:t>
            </w:r>
            <w:r w:rsidRPr="00857B61">
              <w:rPr>
                <w:rFonts w:eastAsia="宋体"/>
                <w:szCs w:val="21"/>
              </w:rPr>
              <w:t>临沂市</w:t>
            </w:r>
            <w:r w:rsidRPr="00857B61">
              <w:rPr>
                <w:rFonts w:eastAsia="宋体" w:hint="eastAsia"/>
                <w:szCs w:val="21"/>
              </w:rPr>
              <w:t>、</w:t>
            </w:r>
            <w:r w:rsidRPr="00857B61">
              <w:rPr>
                <w:rFonts w:eastAsia="宋体"/>
                <w:szCs w:val="21"/>
              </w:rPr>
              <w:t>青岛市</w:t>
            </w:r>
            <w:r w:rsidRPr="00857B61">
              <w:rPr>
                <w:rFonts w:eastAsia="宋体" w:hint="eastAsia"/>
                <w:szCs w:val="21"/>
              </w:rPr>
              <w:t>、</w:t>
            </w:r>
            <w:r w:rsidRPr="00857B61">
              <w:rPr>
                <w:rFonts w:eastAsia="宋体"/>
                <w:szCs w:val="21"/>
              </w:rPr>
              <w:t>潍坊市</w:t>
            </w:r>
            <w:r w:rsidRPr="00857B61">
              <w:rPr>
                <w:rFonts w:eastAsia="宋体" w:hint="eastAsia"/>
                <w:szCs w:val="21"/>
              </w:rPr>
              <w:t>、</w:t>
            </w:r>
            <w:r w:rsidRPr="00857B61">
              <w:rPr>
                <w:rFonts w:eastAsia="宋体"/>
                <w:szCs w:val="21"/>
              </w:rPr>
              <w:t>烟台市</w:t>
            </w:r>
          </w:p>
        </w:tc>
      </w:tr>
      <w:tr w:rsidR="00857B61" w:rsidRPr="00857B61" w14:paraId="3A81A635" w14:textId="77777777">
        <w:trPr>
          <w:jc w:val="center"/>
        </w:trPr>
        <w:tc>
          <w:tcPr>
            <w:tcW w:w="1145" w:type="pct"/>
            <w:vAlign w:val="center"/>
          </w:tcPr>
          <w:p w14:paraId="66DBAD3D" w14:textId="77777777" w:rsidR="00DE7EC6" w:rsidRPr="00857B61" w:rsidRDefault="00000000">
            <w:pPr>
              <w:jc w:val="center"/>
              <w:rPr>
                <w:rFonts w:eastAsia="宋体"/>
                <w:szCs w:val="21"/>
              </w:rPr>
            </w:pPr>
            <w:r w:rsidRPr="00857B61">
              <w:rPr>
                <w:rFonts w:eastAsia="宋体" w:hint="eastAsia"/>
                <w:szCs w:val="21"/>
              </w:rPr>
              <w:t>陕西省</w:t>
            </w:r>
          </w:p>
        </w:tc>
        <w:tc>
          <w:tcPr>
            <w:tcW w:w="3854" w:type="pct"/>
          </w:tcPr>
          <w:p w14:paraId="1491DAC0" w14:textId="77777777" w:rsidR="00DE7EC6" w:rsidRPr="00857B61" w:rsidRDefault="00000000">
            <w:pPr>
              <w:rPr>
                <w:rFonts w:eastAsia="宋体"/>
                <w:szCs w:val="21"/>
              </w:rPr>
            </w:pPr>
            <w:r w:rsidRPr="00857B61">
              <w:rPr>
                <w:rFonts w:eastAsia="宋体"/>
                <w:szCs w:val="21"/>
              </w:rPr>
              <w:t>宝鸡市</w:t>
            </w:r>
            <w:r w:rsidRPr="00857B61">
              <w:rPr>
                <w:rFonts w:eastAsia="宋体" w:hint="eastAsia"/>
                <w:szCs w:val="21"/>
              </w:rPr>
              <w:t>、</w:t>
            </w:r>
            <w:r w:rsidRPr="00857B61">
              <w:rPr>
                <w:rFonts w:eastAsia="宋体"/>
                <w:szCs w:val="21"/>
              </w:rPr>
              <w:t>汉中市</w:t>
            </w:r>
            <w:r w:rsidRPr="00857B61">
              <w:rPr>
                <w:rFonts w:eastAsia="宋体" w:hint="eastAsia"/>
                <w:szCs w:val="21"/>
              </w:rPr>
              <w:t>、</w:t>
            </w:r>
            <w:r w:rsidRPr="00857B61">
              <w:rPr>
                <w:rFonts w:eastAsia="宋体"/>
                <w:szCs w:val="21"/>
              </w:rPr>
              <w:t>西安市</w:t>
            </w:r>
            <w:r w:rsidRPr="00857B61">
              <w:rPr>
                <w:rFonts w:eastAsia="宋体" w:hint="eastAsia"/>
                <w:szCs w:val="21"/>
              </w:rPr>
              <w:t>、</w:t>
            </w:r>
            <w:r w:rsidRPr="00857B61">
              <w:rPr>
                <w:rFonts w:eastAsia="宋体"/>
                <w:szCs w:val="21"/>
              </w:rPr>
              <w:t>咸阳市</w:t>
            </w:r>
            <w:r w:rsidRPr="00857B61">
              <w:rPr>
                <w:rFonts w:eastAsia="宋体" w:hint="eastAsia"/>
                <w:szCs w:val="21"/>
              </w:rPr>
              <w:t>、</w:t>
            </w:r>
            <w:r w:rsidRPr="00857B61">
              <w:rPr>
                <w:rFonts w:eastAsia="宋体"/>
                <w:szCs w:val="21"/>
              </w:rPr>
              <w:t>榆林市</w:t>
            </w:r>
          </w:p>
        </w:tc>
      </w:tr>
      <w:tr w:rsidR="00857B61" w:rsidRPr="00857B61" w14:paraId="444FE626" w14:textId="77777777">
        <w:trPr>
          <w:jc w:val="center"/>
        </w:trPr>
        <w:tc>
          <w:tcPr>
            <w:tcW w:w="1145" w:type="pct"/>
            <w:vAlign w:val="center"/>
          </w:tcPr>
          <w:p w14:paraId="1AD20A69" w14:textId="77777777" w:rsidR="00DE7EC6" w:rsidRPr="00857B61" w:rsidRDefault="00000000">
            <w:pPr>
              <w:jc w:val="center"/>
              <w:rPr>
                <w:rFonts w:eastAsia="宋体"/>
                <w:szCs w:val="21"/>
              </w:rPr>
            </w:pPr>
            <w:r w:rsidRPr="00857B61">
              <w:rPr>
                <w:rFonts w:eastAsia="宋体" w:hint="eastAsia"/>
                <w:szCs w:val="21"/>
              </w:rPr>
              <w:t>云南省</w:t>
            </w:r>
          </w:p>
        </w:tc>
        <w:tc>
          <w:tcPr>
            <w:tcW w:w="3854" w:type="pct"/>
          </w:tcPr>
          <w:p w14:paraId="06E618BE" w14:textId="77777777" w:rsidR="00DE7EC6" w:rsidRPr="00857B61" w:rsidRDefault="00000000">
            <w:pPr>
              <w:rPr>
                <w:rFonts w:eastAsia="宋体"/>
                <w:szCs w:val="21"/>
              </w:rPr>
            </w:pPr>
            <w:r w:rsidRPr="00857B61">
              <w:rPr>
                <w:rFonts w:eastAsia="宋体"/>
                <w:szCs w:val="21"/>
              </w:rPr>
              <w:t>昆明市</w:t>
            </w:r>
            <w:r w:rsidRPr="00857B61">
              <w:rPr>
                <w:rFonts w:eastAsia="宋体" w:hint="eastAsia"/>
                <w:szCs w:val="21"/>
              </w:rPr>
              <w:t>、</w:t>
            </w:r>
            <w:r w:rsidRPr="00857B61">
              <w:rPr>
                <w:rFonts w:eastAsia="宋体"/>
                <w:szCs w:val="21"/>
              </w:rPr>
              <w:t>临沧市</w:t>
            </w:r>
            <w:r w:rsidRPr="00857B61">
              <w:rPr>
                <w:rFonts w:eastAsia="宋体" w:hint="eastAsia"/>
                <w:szCs w:val="21"/>
              </w:rPr>
              <w:t>、</w:t>
            </w:r>
            <w:r w:rsidRPr="00857B61">
              <w:rPr>
                <w:rFonts w:eastAsia="宋体"/>
                <w:szCs w:val="21"/>
              </w:rPr>
              <w:t>普洱市</w:t>
            </w:r>
            <w:r w:rsidRPr="00857B61">
              <w:rPr>
                <w:rFonts w:eastAsia="宋体" w:hint="eastAsia"/>
                <w:szCs w:val="21"/>
              </w:rPr>
              <w:t>、</w:t>
            </w:r>
            <w:r w:rsidRPr="00857B61">
              <w:rPr>
                <w:rFonts w:eastAsia="宋体"/>
                <w:szCs w:val="21"/>
              </w:rPr>
              <w:t>曲靖市</w:t>
            </w:r>
          </w:p>
        </w:tc>
      </w:tr>
    </w:tbl>
    <w:p w14:paraId="483D1154" w14:textId="77777777" w:rsidR="00DE7EC6" w:rsidRPr="00857B61" w:rsidRDefault="00000000">
      <w:pPr>
        <w:pStyle w:val="4"/>
        <w:spacing w:before="0" w:after="0" w:line="240" w:lineRule="auto"/>
        <w:ind w:firstLineChars="200" w:firstLine="420"/>
        <w:rPr>
          <w:rFonts w:eastAsia="宋体"/>
          <w:szCs w:val="21"/>
        </w:rPr>
      </w:pPr>
      <w:r w:rsidRPr="00857B61">
        <w:rPr>
          <w:rFonts w:ascii="Times New Roman" w:eastAsia="宋体" w:hAnsi="Times New Roman" w:cs="宋体" w:hint="eastAsia"/>
          <w:b w:val="0"/>
          <w:bCs w:val="0"/>
          <w:sz w:val="21"/>
          <w:szCs w:val="21"/>
        </w:rPr>
        <w:t>3.</w:t>
      </w:r>
      <w:r w:rsidRPr="00857B61">
        <w:rPr>
          <w:rFonts w:ascii="楷体" w:eastAsia="楷体" w:hAnsi="楷体" w:cs="楷体" w:hint="eastAsia"/>
          <w:b w:val="0"/>
          <w:bCs w:val="0"/>
          <w:sz w:val="21"/>
          <w:szCs w:val="21"/>
        </w:rPr>
        <w:t>控制变量</w:t>
      </w:r>
      <w:r w:rsidRPr="00857B61">
        <w:rPr>
          <w:rFonts w:ascii="Times New Roman" w:eastAsia="宋体" w:hAnsi="Times New Roman" w:cs="宋体" w:hint="eastAsia"/>
          <w:b w:val="0"/>
          <w:bCs w:val="0"/>
          <w:sz w:val="21"/>
          <w:szCs w:val="21"/>
        </w:rPr>
        <w:t>。</w:t>
      </w:r>
      <w:r w:rsidRPr="00857B61">
        <w:rPr>
          <w:rFonts w:hint="eastAsia"/>
          <w:b w:val="0"/>
          <w:bCs w:val="0"/>
          <w:sz w:val="21"/>
          <w:szCs w:val="21"/>
        </w:rPr>
        <w:t>已有研究发现，支付方式会对并购溢价水平产生影响，在并购双方信息不完全对称情况下，买方企业若在并购交易中选择现金支付方式一定程度上就说明企业实力雄厚，进而提高其在交易中的优势地位，降低卖方企业索要的并购溢价水平（</w:t>
      </w:r>
      <w:r w:rsidRPr="00857B61">
        <w:rPr>
          <w:rFonts w:ascii="Times New Roman" w:hAnsi="Times New Roman" w:cs="Times New Roman"/>
          <w:b w:val="0"/>
          <w:bCs w:val="0"/>
          <w:sz w:val="21"/>
          <w:szCs w:val="21"/>
        </w:rPr>
        <w:t>Slusky &amp; Caves</w:t>
      </w:r>
      <w:r w:rsidRPr="00857B61">
        <w:rPr>
          <w:rFonts w:ascii="Times New Roman" w:hAnsi="Times New Roman" w:cs="Times New Roman"/>
          <w:b w:val="0"/>
          <w:bCs w:val="0"/>
          <w:sz w:val="21"/>
          <w:szCs w:val="21"/>
        </w:rPr>
        <w:t>，</w:t>
      </w:r>
      <w:r w:rsidRPr="00857B61">
        <w:rPr>
          <w:rFonts w:ascii="Times New Roman" w:hAnsi="Times New Roman" w:cs="Times New Roman"/>
          <w:b w:val="0"/>
          <w:bCs w:val="0"/>
          <w:sz w:val="21"/>
          <w:szCs w:val="21"/>
        </w:rPr>
        <w:t>1991</w:t>
      </w:r>
      <w:r w:rsidRPr="00857B61">
        <w:rPr>
          <w:rFonts w:hint="eastAsia"/>
          <w:b w:val="0"/>
          <w:bCs w:val="0"/>
          <w:sz w:val="21"/>
          <w:szCs w:val="21"/>
        </w:rPr>
        <w:t>）。关联交易同样会缓解信息不对称问题、降低代理成本，对并购行为产生影响（李善民、周小春</w:t>
      </w:r>
      <w:r w:rsidRPr="00857B61">
        <w:rPr>
          <w:rFonts w:ascii="Times New Roman" w:hAnsi="Times New Roman" w:cs="Times New Roman"/>
          <w:b w:val="0"/>
          <w:bCs w:val="0"/>
          <w:sz w:val="21"/>
          <w:szCs w:val="21"/>
        </w:rPr>
        <w:t>，</w:t>
      </w:r>
      <w:r w:rsidRPr="00857B61">
        <w:rPr>
          <w:rFonts w:ascii="Times New Roman" w:hAnsi="Times New Roman" w:cs="Times New Roman"/>
          <w:b w:val="0"/>
          <w:bCs w:val="0"/>
          <w:sz w:val="21"/>
          <w:szCs w:val="21"/>
        </w:rPr>
        <w:t>2007</w:t>
      </w:r>
      <w:r w:rsidRPr="00857B61">
        <w:rPr>
          <w:rFonts w:ascii="Times New Roman" w:hAnsi="Times New Roman" w:cs="Times New Roman"/>
          <w:b w:val="0"/>
          <w:bCs w:val="0"/>
          <w:sz w:val="21"/>
          <w:szCs w:val="21"/>
        </w:rPr>
        <w:t>；王凤荣、苗妙，</w:t>
      </w:r>
      <w:r w:rsidRPr="00857B61">
        <w:rPr>
          <w:rFonts w:ascii="Times New Roman" w:hAnsi="Times New Roman" w:cs="Times New Roman"/>
          <w:b w:val="0"/>
          <w:bCs w:val="0"/>
          <w:sz w:val="21"/>
          <w:szCs w:val="21"/>
        </w:rPr>
        <w:t>2015</w:t>
      </w:r>
      <w:r w:rsidRPr="00857B61">
        <w:rPr>
          <w:rFonts w:ascii="Times New Roman" w:hAnsi="Times New Roman" w:cs="Times New Roman"/>
          <w:b w:val="0"/>
          <w:bCs w:val="0"/>
          <w:sz w:val="21"/>
          <w:szCs w:val="21"/>
        </w:rPr>
        <w:t>）。</w:t>
      </w:r>
      <w:r w:rsidRPr="00857B61">
        <w:rPr>
          <w:rFonts w:ascii="Times New Roman" w:hAnsi="Times New Roman" w:cs="Times New Roman" w:hint="eastAsia"/>
          <w:b w:val="0"/>
          <w:bCs w:val="0"/>
          <w:sz w:val="21"/>
          <w:szCs w:val="21"/>
        </w:rPr>
        <w:t>也有研究表明，公司股权结构（</w:t>
      </w:r>
      <w:r w:rsidRPr="00857B61">
        <w:rPr>
          <w:rFonts w:ascii="Times New Roman" w:hAnsi="Times New Roman" w:cs="Times New Roman"/>
          <w:b w:val="0"/>
          <w:bCs w:val="0"/>
          <w:sz w:val="21"/>
          <w:szCs w:val="21"/>
        </w:rPr>
        <w:t>Jensen &amp; Meckling</w:t>
      </w:r>
      <w:r w:rsidRPr="00857B61">
        <w:rPr>
          <w:rFonts w:ascii="Times New Roman" w:hAnsi="Times New Roman" w:cs="Times New Roman" w:hint="eastAsia"/>
          <w:b w:val="0"/>
          <w:bCs w:val="0"/>
          <w:sz w:val="21"/>
          <w:szCs w:val="21"/>
        </w:rPr>
        <w:t>，</w:t>
      </w:r>
      <w:r w:rsidRPr="00857B61">
        <w:rPr>
          <w:rFonts w:ascii="Times New Roman" w:hAnsi="Times New Roman" w:cs="Times New Roman"/>
          <w:b w:val="0"/>
          <w:bCs w:val="0"/>
          <w:sz w:val="21"/>
          <w:szCs w:val="21"/>
        </w:rPr>
        <w:t>1976</w:t>
      </w:r>
      <w:r w:rsidRPr="00857B61">
        <w:rPr>
          <w:rFonts w:ascii="Times New Roman" w:hAnsi="Times New Roman" w:cs="Times New Roman" w:hint="eastAsia"/>
          <w:b w:val="0"/>
          <w:bCs w:val="0"/>
          <w:sz w:val="21"/>
          <w:szCs w:val="21"/>
        </w:rPr>
        <w:t>）、企业的成长性指标（</w:t>
      </w:r>
      <w:r w:rsidRPr="00857B61">
        <w:rPr>
          <w:rFonts w:ascii="Times New Roman" w:hAnsi="Times New Roman" w:cs="Times New Roman" w:hint="eastAsia"/>
          <w:b w:val="0"/>
          <w:bCs w:val="0"/>
          <w:sz w:val="21"/>
          <w:szCs w:val="21"/>
        </w:rPr>
        <w:t>Kim et al</w:t>
      </w:r>
      <w:r w:rsidRPr="00857B61">
        <w:rPr>
          <w:rFonts w:ascii="Times New Roman" w:hAnsi="Times New Roman" w:cs="Times New Roman" w:hint="eastAsia"/>
          <w:b w:val="0"/>
          <w:bCs w:val="0"/>
          <w:sz w:val="21"/>
          <w:szCs w:val="21"/>
        </w:rPr>
        <w:t>，</w:t>
      </w:r>
      <w:r w:rsidRPr="00857B61">
        <w:rPr>
          <w:rFonts w:ascii="Times New Roman" w:hAnsi="Times New Roman" w:cs="Times New Roman" w:hint="eastAsia"/>
          <w:b w:val="0"/>
          <w:bCs w:val="0"/>
          <w:sz w:val="21"/>
          <w:szCs w:val="21"/>
        </w:rPr>
        <w:t>2011</w:t>
      </w:r>
      <w:r w:rsidRPr="00857B61">
        <w:rPr>
          <w:rFonts w:ascii="Times New Roman" w:hAnsi="Times New Roman" w:cs="Times New Roman" w:hint="eastAsia"/>
          <w:b w:val="0"/>
          <w:bCs w:val="0"/>
          <w:sz w:val="21"/>
          <w:szCs w:val="21"/>
        </w:rPr>
        <w:t>）、公司规模（</w:t>
      </w:r>
      <w:r w:rsidRPr="00857B61">
        <w:rPr>
          <w:rFonts w:ascii="Times New Roman" w:hAnsi="Times New Roman" w:cs="Times New Roman"/>
          <w:b w:val="0"/>
          <w:bCs w:val="0"/>
          <w:sz w:val="21"/>
          <w:szCs w:val="21"/>
        </w:rPr>
        <w:t>Hayward &amp; Hambrick</w:t>
      </w:r>
      <w:r w:rsidRPr="00857B61">
        <w:rPr>
          <w:rFonts w:ascii="Times New Roman" w:hAnsi="Times New Roman" w:cs="Times New Roman" w:hint="eastAsia"/>
          <w:b w:val="0"/>
          <w:bCs w:val="0"/>
          <w:sz w:val="21"/>
          <w:szCs w:val="21"/>
        </w:rPr>
        <w:t>，</w:t>
      </w:r>
      <w:r w:rsidRPr="00857B61">
        <w:rPr>
          <w:rFonts w:ascii="Times New Roman" w:hAnsi="Times New Roman" w:cs="Times New Roman"/>
          <w:b w:val="0"/>
          <w:bCs w:val="0"/>
          <w:sz w:val="21"/>
          <w:szCs w:val="21"/>
        </w:rPr>
        <w:t>1997</w:t>
      </w:r>
      <w:r w:rsidRPr="00857B61">
        <w:rPr>
          <w:rFonts w:ascii="Times New Roman" w:hAnsi="Times New Roman" w:cs="Times New Roman" w:hint="eastAsia"/>
          <w:b w:val="0"/>
          <w:bCs w:val="0"/>
          <w:sz w:val="21"/>
          <w:szCs w:val="21"/>
        </w:rPr>
        <w:t>）会对并购溢价水平有显著性影响。另借鉴多位学者的研究（</w:t>
      </w:r>
      <w:r w:rsidRPr="00857B61">
        <w:rPr>
          <w:rFonts w:ascii="Times New Roman" w:hAnsi="Times New Roman" w:cs="Times New Roman"/>
          <w:b w:val="0"/>
          <w:bCs w:val="0"/>
          <w:sz w:val="21"/>
          <w:szCs w:val="21"/>
        </w:rPr>
        <w:t>潘红波等，</w:t>
      </w:r>
      <w:r w:rsidRPr="00857B61">
        <w:rPr>
          <w:rFonts w:ascii="Times New Roman" w:hAnsi="Times New Roman" w:cs="Times New Roman"/>
          <w:b w:val="0"/>
          <w:bCs w:val="0"/>
          <w:sz w:val="21"/>
          <w:szCs w:val="21"/>
        </w:rPr>
        <w:t>2008</w:t>
      </w:r>
      <w:r w:rsidRPr="00857B61">
        <w:rPr>
          <w:rFonts w:ascii="Times New Roman" w:hAnsi="Times New Roman" w:cs="Times New Roman"/>
          <w:b w:val="0"/>
          <w:bCs w:val="0"/>
          <w:sz w:val="21"/>
          <w:szCs w:val="21"/>
        </w:rPr>
        <w:t>；王凤荣</w:t>
      </w:r>
      <w:r w:rsidRPr="00857B61">
        <w:rPr>
          <w:rFonts w:ascii="Times New Roman" w:hAnsi="Times New Roman" w:cs="Times New Roman" w:hint="eastAsia"/>
          <w:b w:val="0"/>
          <w:bCs w:val="0"/>
          <w:sz w:val="21"/>
          <w:szCs w:val="21"/>
        </w:rPr>
        <w:t>、</w:t>
      </w:r>
      <w:r w:rsidRPr="00857B61">
        <w:rPr>
          <w:rFonts w:ascii="Times New Roman" w:hAnsi="Times New Roman" w:cs="Times New Roman"/>
          <w:b w:val="0"/>
          <w:bCs w:val="0"/>
          <w:sz w:val="21"/>
          <w:szCs w:val="21"/>
        </w:rPr>
        <w:t>高飞，</w:t>
      </w:r>
      <w:r w:rsidRPr="00857B61">
        <w:rPr>
          <w:rFonts w:ascii="Times New Roman" w:hAnsi="Times New Roman" w:cs="Times New Roman"/>
          <w:b w:val="0"/>
          <w:bCs w:val="0"/>
          <w:sz w:val="21"/>
          <w:szCs w:val="21"/>
        </w:rPr>
        <w:t>2012</w:t>
      </w:r>
      <w:r w:rsidRPr="00857B61">
        <w:rPr>
          <w:rFonts w:ascii="Times New Roman" w:hAnsi="Times New Roman" w:cs="Times New Roman"/>
          <w:b w:val="0"/>
          <w:bCs w:val="0"/>
          <w:sz w:val="21"/>
          <w:szCs w:val="21"/>
        </w:rPr>
        <w:t>；陈仕华</w:t>
      </w:r>
      <w:r w:rsidRPr="00857B61">
        <w:rPr>
          <w:rFonts w:ascii="Times New Roman" w:hAnsi="Times New Roman" w:cs="Times New Roman" w:hint="eastAsia"/>
          <w:b w:val="0"/>
          <w:bCs w:val="0"/>
          <w:sz w:val="21"/>
          <w:szCs w:val="21"/>
        </w:rPr>
        <w:t>、</w:t>
      </w:r>
      <w:r w:rsidRPr="00857B61">
        <w:rPr>
          <w:rFonts w:ascii="Times New Roman" w:hAnsi="Times New Roman" w:cs="Times New Roman"/>
          <w:b w:val="0"/>
          <w:bCs w:val="0"/>
          <w:sz w:val="21"/>
          <w:szCs w:val="21"/>
        </w:rPr>
        <w:t>卢昌崇，</w:t>
      </w:r>
      <w:r w:rsidRPr="00857B61">
        <w:rPr>
          <w:rFonts w:ascii="Times New Roman" w:hAnsi="Times New Roman" w:cs="Times New Roman"/>
          <w:b w:val="0"/>
          <w:bCs w:val="0"/>
          <w:sz w:val="21"/>
          <w:szCs w:val="21"/>
        </w:rPr>
        <w:t>2014</w:t>
      </w:r>
      <w:r w:rsidRPr="00857B61">
        <w:rPr>
          <w:rFonts w:ascii="Times New Roman" w:hAnsi="Times New Roman" w:cs="Times New Roman" w:hint="eastAsia"/>
          <w:b w:val="0"/>
          <w:bCs w:val="0"/>
          <w:sz w:val="21"/>
          <w:szCs w:val="21"/>
        </w:rPr>
        <w:t>），本文还选取了相对绩效、盈利能力、资产负债率、赫芬达尔指数、市场化指数、人均</w:t>
      </w:r>
      <w:r w:rsidRPr="00857B61">
        <w:rPr>
          <w:rFonts w:ascii="Times New Roman" w:hAnsi="Times New Roman" w:cs="Times New Roman" w:hint="eastAsia"/>
          <w:b w:val="0"/>
          <w:bCs w:val="0"/>
          <w:sz w:val="21"/>
          <w:szCs w:val="21"/>
        </w:rPr>
        <w:t>GDP</w:t>
      </w:r>
      <w:r w:rsidRPr="00857B61">
        <w:rPr>
          <w:rFonts w:ascii="Times New Roman" w:hAnsi="Times New Roman" w:cs="Times New Roman" w:hint="eastAsia"/>
          <w:b w:val="0"/>
          <w:bCs w:val="0"/>
          <w:sz w:val="21"/>
          <w:szCs w:val="21"/>
        </w:rPr>
        <w:t>以及地方财政收入变量作为控制变量。综上</w:t>
      </w:r>
      <w:r w:rsidRPr="00857B61">
        <w:rPr>
          <w:rFonts w:eastAsia="宋体" w:hint="eastAsia"/>
          <w:b w:val="0"/>
          <w:bCs w:val="0"/>
          <w:sz w:val="21"/>
          <w:szCs w:val="21"/>
        </w:rPr>
        <w:t>，本文从企业、行业以及地区三个层面选取了一系列控制变量，具体定义如表</w:t>
      </w:r>
      <w:r w:rsidRPr="00857B61">
        <w:rPr>
          <w:rFonts w:ascii="Times New Roman" w:eastAsia="宋体" w:hAnsi="Times New Roman" w:cs="Times New Roman" w:hint="eastAsia"/>
          <w:b w:val="0"/>
          <w:bCs w:val="0"/>
          <w:sz w:val="21"/>
          <w:szCs w:val="21"/>
        </w:rPr>
        <w:t>3</w:t>
      </w:r>
      <w:r w:rsidRPr="00857B61">
        <w:rPr>
          <w:rFonts w:eastAsia="宋体" w:hint="eastAsia"/>
          <w:b w:val="0"/>
          <w:bCs w:val="0"/>
          <w:sz w:val="21"/>
          <w:szCs w:val="21"/>
        </w:rPr>
        <w:t>所示。同时还控制了时间效应、行业效应以及地区效应。</w:t>
      </w:r>
    </w:p>
    <w:p w14:paraId="69CE8EF7" w14:textId="77777777" w:rsidR="00DE7EC6" w:rsidRPr="00857B61" w:rsidRDefault="00000000">
      <w:pPr>
        <w:jc w:val="center"/>
        <w:rPr>
          <w:rFonts w:ascii="Times New Roman" w:eastAsia="楷体" w:hAnsi="Times New Roman"/>
          <w:bCs/>
          <w:szCs w:val="21"/>
        </w:rPr>
      </w:pPr>
      <w:r w:rsidRPr="00857B61">
        <w:rPr>
          <w:rFonts w:ascii="Times New Roman" w:eastAsia="楷体" w:hAnsi="Times New Roman" w:hint="eastAsia"/>
          <w:bCs/>
          <w:szCs w:val="21"/>
        </w:rPr>
        <w:t>表</w:t>
      </w:r>
      <w:r w:rsidRPr="00857B61">
        <w:rPr>
          <w:rFonts w:ascii="Times New Roman" w:eastAsia="楷体" w:hAnsi="Times New Roman" w:cs="Times New Roman" w:hint="eastAsia"/>
          <w:bCs/>
          <w:szCs w:val="21"/>
        </w:rPr>
        <w:t xml:space="preserve">3 </w:t>
      </w:r>
      <w:r w:rsidRPr="00857B61">
        <w:rPr>
          <w:rFonts w:ascii="Times New Roman" w:eastAsia="楷体" w:hAnsi="Times New Roman" w:hint="eastAsia"/>
          <w:bCs/>
          <w:szCs w:val="21"/>
        </w:rPr>
        <w:t>控制变量</w:t>
      </w:r>
    </w:p>
    <w:tbl>
      <w:tblPr>
        <w:tblStyle w:val="a7"/>
        <w:tblpPr w:leftFromText="180" w:rightFromText="180" w:vertAnchor="text" w:tblpX="1" w:tblpY="49"/>
        <w:tblOverlap w:val="never"/>
        <w:tblW w:w="5000" w:type="pct"/>
        <w:tblBorders>
          <w:top w:val="single" w:sz="8" w:space="0" w:color="auto"/>
          <w:left w:val="none" w:sz="0" w:space="0" w:color="auto"/>
          <w:bottom w:val="single" w:sz="8" w:space="0" w:color="auto"/>
          <w:right w:val="none" w:sz="0" w:space="0" w:color="auto"/>
          <w:insideH w:val="single" w:sz="8" w:space="0" w:color="auto"/>
          <w:insideV w:val="single" w:sz="8" w:space="0" w:color="auto"/>
        </w:tblBorders>
        <w:tblLayout w:type="fixed"/>
        <w:tblLook w:val="04A0" w:firstRow="1" w:lastRow="0" w:firstColumn="1" w:lastColumn="0" w:noHBand="0" w:noVBand="1"/>
      </w:tblPr>
      <w:tblGrid>
        <w:gridCol w:w="1128"/>
        <w:gridCol w:w="2176"/>
        <w:gridCol w:w="1488"/>
        <w:gridCol w:w="4212"/>
      </w:tblGrid>
      <w:tr w:rsidR="00857B61" w:rsidRPr="00857B61" w14:paraId="4F5A4837" w14:textId="77777777">
        <w:trPr>
          <w:trHeight w:val="90"/>
        </w:trPr>
        <w:tc>
          <w:tcPr>
            <w:tcW w:w="626" w:type="pct"/>
            <w:vAlign w:val="center"/>
          </w:tcPr>
          <w:p w14:paraId="344F9690" w14:textId="77777777" w:rsidR="00DE7EC6" w:rsidRPr="00857B61" w:rsidRDefault="00000000">
            <w:pPr>
              <w:jc w:val="center"/>
              <w:rPr>
                <w:rFonts w:eastAsia="宋体"/>
                <w:szCs w:val="21"/>
              </w:rPr>
            </w:pPr>
            <w:r w:rsidRPr="00857B61">
              <w:rPr>
                <w:rFonts w:eastAsia="宋体" w:hint="eastAsia"/>
                <w:szCs w:val="21"/>
              </w:rPr>
              <w:t>分类</w:t>
            </w:r>
          </w:p>
        </w:tc>
        <w:tc>
          <w:tcPr>
            <w:tcW w:w="1208" w:type="pct"/>
            <w:vAlign w:val="center"/>
          </w:tcPr>
          <w:p w14:paraId="6C4FDD50" w14:textId="77777777" w:rsidR="00DE7EC6" w:rsidRPr="00857B61" w:rsidRDefault="00000000">
            <w:pPr>
              <w:jc w:val="center"/>
              <w:rPr>
                <w:rFonts w:eastAsia="宋体"/>
                <w:szCs w:val="21"/>
              </w:rPr>
            </w:pPr>
            <w:r w:rsidRPr="00857B61">
              <w:rPr>
                <w:rFonts w:eastAsia="宋体" w:hint="eastAsia"/>
                <w:szCs w:val="21"/>
              </w:rPr>
              <w:t>变量名称</w:t>
            </w:r>
          </w:p>
        </w:tc>
        <w:tc>
          <w:tcPr>
            <w:tcW w:w="826" w:type="pct"/>
            <w:vAlign w:val="center"/>
          </w:tcPr>
          <w:p w14:paraId="4EEA3F72" w14:textId="77777777" w:rsidR="00DE7EC6" w:rsidRPr="00857B61" w:rsidRDefault="00000000">
            <w:pPr>
              <w:jc w:val="center"/>
              <w:rPr>
                <w:rFonts w:eastAsia="宋体"/>
                <w:szCs w:val="21"/>
              </w:rPr>
            </w:pPr>
            <w:r w:rsidRPr="00857B61">
              <w:rPr>
                <w:rFonts w:eastAsia="宋体" w:hint="eastAsia"/>
                <w:szCs w:val="21"/>
              </w:rPr>
              <w:t>变量符号</w:t>
            </w:r>
          </w:p>
        </w:tc>
        <w:tc>
          <w:tcPr>
            <w:tcW w:w="2338" w:type="pct"/>
            <w:vAlign w:val="center"/>
          </w:tcPr>
          <w:p w14:paraId="0B90DC26" w14:textId="77777777" w:rsidR="00DE7EC6" w:rsidRPr="00857B61" w:rsidRDefault="00000000">
            <w:pPr>
              <w:jc w:val="center"/>
              <w:rPr>
                <w:rFonts w:eastAsia="宋体"/>
                <w:szCs w:val="21"/>
              </w:rPr>
            </w:pPr>
            <w:r w:rsidRPr="00857B61">
              <w:rPr>
                <w:rFonts w:eastAsia="宋体" w:hint="eastAsia"/>
                <w:szCs w:val="21"/>
              </w:rPr>
              <w:t>变量定义</w:t>
            </w:r>
          </w:p>
        </w:tc>
      </w:tr>
      <w:tr w:rsidR="00857B61" w:rsidRPr="00857B61" w14:paraId="764474FB" w14:textId="77777777">
        <w:trPr>
          <w:trHeight w:val="374"/>
        </w:trPr>
        <w:tc>
          <w:tcPr>
            <w:tcW w:w="626" w:type="pct"/>
            <w:vMerge w:val="restart"/>
            <w:vAlign w:val="center"/>
          </w:tcPr>
          <w:p w14:paraId="5591387A" w14:textId="77777777" w:rsidR="00DE7EC6" w:rsidRPr="00857B61" w:rsidRDefault="00000000">
            <w:pPr>
              <w:jc w:val="center"/>
              <w:rPr>
                <w:rFonts w:eastAsia="宋体"/>
                <w:szCs w:val="21"/>
              </w:rPr>
            </w:pPr>
            <w:r w:rsidRPr="00857B61">
              <w:rPr>
                <w:rFonts w:eastAsia="宋体" w:hint="eastAsia"/>
                <w:szCs w:val="21"/>
              </w:rPr>
              <w:t>企业层面</w:t>
            </w:r>
          </w:p>
        </w:tc>
        <w:tc>
          <w:tcPr>
            <w:tcW w:w="1208" w:type="pct"/>
            <w:vAlign w:val="center"/>
          </w:tcPr>
          <w:p w14:paraId="3F3079A3" w14:textId="77777777" w:rsidR="00DE7EC6" w:rsidRPr="00857B61" w:rsidRDefault="00000000">
            <w:pPr>
              <w:rPr>
                <w:rFonts w:eastAsia="宋体"/>
                <w:szCs w:val="21"/>
              </w:rPr>
            </w:pPr>
            <w:r w:rsidRPr="00857B61">
              <w:rPr>
                <w:rFonts w:eastAsia="宋体" w:hint="eastAsia"/>
                <w:szCs w:val="21"/>
              </w:rPr>
              <w:t>支付方式</w:t>
            </w:r>
          </w:p>
        </w:tc>
        <w:tc>
          <w:tcPr>
            <w:tcW w:w="826" w:type="pct"/>
            <w:vAlign w:val="center"/>
          </w:tcPr>
          <w:p w14:paraId="41B72979" w14:textId="77777777" w:rsidR="00DE7EC6" w:rsidRPr="00857B61" w:rsidRDefault="00000000">
            <w:pPr>
              <w:rPr>
                <w:rFonts w:eastAsia="宋体"/>
                <w:i/>
                <w:iCs/>
                <w:szCs w:val="21"/>
              </w:rPr>
            </w:pPr>
            <w:r w:rsidRPr="00857B61">
              <w:rPr>
                <w:rFonts w:ascii="Times New Roman" w:eastAsia="宋体" w:hAnsi="Times New Roman" w:cs="Times New Roman" w:hint="eastAsia"/>
                <w:i/>
                <w:iCs/>
                <w:szCs w:val="21"/>
              </w:rPr>
              <w:t>Method</w:t>
            </w:r>
          </w:p>
        </w:tc>
        <w:tc>
          <w:tcPr>
            <w:tcW w:w="2338" w:type="pct"/>
            <w:vAlign w:val="center"/>
          </w:tcPr>
          <w:p w14:paraId="2ABED6D5" w14:textId="77777777" w:rsidR="00DE7EC6" w:rsidRPr="00857B61" w:rsidRDefault="00000000">
            <w:pPr>
              <w:rPr>
                <w:rFonts w:eastAsia="宋体"/>
                <w:szCs w:val="21"/>
              </w:rPr>
            </w:pPr>
            <w:r w:rsidRPr="00857B61">
              <w:rPr>
                <w:rFonts w:eastAsia="宋体" w:hint="eastAsia"/>
                <w:szCs w:val="21"/>
              </w:rPr>
              <w:t>并购是否采取现金支付方式，若采取现金支付则取值为</w:t>
            </w:r>
            <w:r w:rsidRPr="00857B61">
              <w:rPr>
                <w:rFonts w:ascii="Times New Roman" w:eastAsia="宋体" w:hAnsi="Times New Roman" w:cs="Times New Roman" w:hint="eastAsia"/>
                <w:szCs w:val="21"/>
              </w:rPr>
              <w:t>1</w:t>
            </w:r>
            <w:r w:rsidRPr="00857B61">
              <w:rPr>
                <w:rFonts w:ascii="Times New Roman" w:eastAsia="宋体" w:hAnsi="Times New Roman" w:cs="Times New Roman" w:hint="eastAsia"/>
                <w:szCs w:val="21"/>
              </w:rPr>
              <w:t>，否则为</w:t>
            </w:r>
            <w:r w:rsidRPr="00857B61">
              <w:rPr>
                <w:rFonts w:ascii="Times New Roman" w:eastAsia="宋体" w:hAnsi="Times New Roman" w:cs="Times New Roman" w:hint="eastAsia"/>
                <w:szCs w:val="21"/>
              </w:rPr>
              <w:t>0</w:t>
            </w:r>
          </w:p>
        </w:tc>
      </w:tr>
      <w:tr w:rsidR="00857B61" w:rsidRPr="00857B61" w14:paraId="5756A75E" w14:textId="77777777">
        <w:trPr>
          <w:trHeight w:val="150"/>
        </w:trPr>
        <w:tc>
          <w:tcPr>
            <w:tcW w:w="626" w:type="pct"/>
            <w:vMerge/>
          </w:tcPr>
          <w:p w14:paraId="3B48A597" w14:textId="77777777" w:rsidR="00DE7EC6" w:rsidRPr="00857B61" w:rsidRDefault="00DE7EC6">
            <w:pPr>
              <w:rPr>
                <w:rFonts w:eastAsia="宋体"/>
                <w:szCs w:val="21"/>
              </w:rPr>
            </w:pPr>
          </w:p>
        </w:tc>
        <w:tc>
          <w:tcPr>
            <w:tcW w:w="1208" w:type="pct"/>
            <w:vAlign w:val="center"/>
          </w:tcPr>
          <w:p w14:paraId="6D05549D" w14:textId="77777777" w:rsidR="00DE7EC6" w:rsidRPr="00857B61" w:rsidRDefault="00000000">
            <w:pPr>
              <w:rPr>
                <w:rFonts w:eastAsia="宋体"/>
                <w:szCs w:val="21"/>
              </w:rPr>
            </w:pPr>
            <w:r w:rsidRPr="00857B61">
              <w:rPr>
                <w:rFonts w:eastAsia="宋体" w:hint="eastAsia"/>
                <w:szCs w:val="21"/>
              </w:rPr>
              <w:t>关联并购</w:t>
            </w:r>
          </w:p>
        </w:tc>
        <w:tc>
          <w:tcPr>
            <w:tcW w:w="826" w:type="pct"/>
            <w:vAlign w:val="center"/>
          </w:tcPr>
          <w:p w14:paraId="008C052C" w14:textId="77777777" w:rsidR="00DE7EC6" w:rsidRPr="00857B61" w:rsidRDefault="00000000">
            <w:pPr>
              <w:rPr>
                <w:rFonts w:ascii="Times New Roman" w:eastAsia="宋体" w:hAnsi="Times New Roman" w:cs="Times New Roman"/>
                <w:i/>
                <w:iCs/>
                <w:szCs w:val="21"/>
              </w:rPr>
            </w:pPr>
            <w:r w:rsidRPr="00857B61">
              <w:rPr>
                <w:rFonts w:ascii="Times New Roman" w:eastAsia="宋体" w:hAnsi="Times New Roman" w:cs="Times New Roman" w:hint="eastAsia"/>
                <w:i/>
                <w:iCs/>
                <w:szCs w:val="21"/>
              </w:rPr>
              <w:t>Rpt</w:t>
            </w:r>
          </w:p>
        </w:tc>
        <w:tc>
          <w:tcPr>
            <w:tcW w:w="2338" w:type="pct"/>
            <w:vAlign w:val="center"/>
          </w:tcPr>
          <w:p w14:paraId="16AF1F76" w14:textId="77777777" w:rsidR="00DE7EC6" w:rsidRPr="00857B61" w:rsidRDefault="00000000">
            <w:pPr>
              <w:rPr>
                <w:rFonts w:eastAsia="宋体"/>
                <w:szCs w:val="21"/>
              </w:rPr>
            </w:pPr>
            <w:r w:rsidRPr="00857B61">
              <w:rPr>
                <w:rFonts w:ascii="Times New Roman" w:eastAsia="宋体" w:hAnsi="Times New Roman" w:cs="Times New Roman"/>
                <w:szCs w:val="21"/>
              </w:rPr>
              <w:t>并购是否属于关联</w:t>
            </w:r>
            <w:r w:rsidRPr="00857B61">
              <w:rPr>
                <w:rFonts w:ascii="Times New Roman" w:eastAsia="宋体" w:hAnsi="Times New Roman" w:cs="Times New Roman" w:hint="eastAsia"/>
                <w:szCs w:val="21"/>
              </w:rPr>
              <w:t>交易</w:t>
            </w:r>
            <w:r w:rsidRPr="00857B61">
              <w:rPr>
                <w:rFonts w:ascii="Times New Roman" w:eastAsia="宋体" w:hAnsi="Times New Roman" w:cs="Times New Roman"/>
                <w:szCs w:val="21"/>
              </w:rPr>
              <w:t>，若属于关联交易则取值为</w:t>
            </w:r>
            <w:r w:rsidRPr="00857B61">
              <w:rPr>
                <w:rFonts w:ascii="Times New Roman" w:eastAsia="宋体" w:hAnsi="Times New Roman" w:cs="Times New Roman"/>
                <w:szCs w:val="21"/>
              </w:rPr>
              <w:t>1</w:t>
            </w:r>
            <w:r w:rsidRPr="00857B61">
              <w:rPr>
                <w:rFonts w:ascii="Times New Roman" w:eastAsia="宋体" w:hAnsi="Times New Roman" w:cs="Times New Roman"/>
                <w:szCs w:val="21"/>
              </w:rPr>
              <w:t>，否则取</w:t>
            </w:r>
            <w:r w:rsidRPr="00857B61">
              <w:rPr>
                <w:rFonts w:ascii="Times New Roman" w:eastAsia="宋体" w:hAnsi="Times New Roman" w:cs="Times New Roman"/>
                <w:szCs w:val="21"/>
              </w:rPr>
              <w:t>0</w:t>
            </w:r>
          </w:p>
        </w:tc>
      </w:tr>
      <w:tr w:rsidR="00857B61" w:rsidRPr="00857B61" w14:paraId="71B00130" w14:textId="77777777">
        <w:trPr>
          <w:trHeight w:val="150"/>
        </w:trPr>
        <w:tc>
          <w:tcPr>
            <w:tcW w:w="626" w:type="pct"/>
            <w:vMerge/>
          </w:tcPr>
          <w:p w14:paraId="325F9AA7" w14:textId="77777777" w:rsidR="00DE7EC6" w:rsidRPr="00857B61" w:rsidRDefault="00DE7EC6">
            <w:pPr>
              <w:rPr>
                <w:rFonts w:eastAsia="宋体"/>
                <w:szCs w:val="21"/>
              </w:rPr>
            </w:pPr>
          </w:p>
        </w:tc>
        <w:tc>
          <w:tcPr>
            <w:tcW w:w="1208" w:type="pct"/>
            <w:vAlign w:val="center"/>
          </w:tcPr>
          <w:p w14:paraId="18BCBE34" w14:textId="77777777" w:rsidR="00DE7EC6" w:rsidRPr="00857B61" w:rsidRDefault="00000000">
            <w:pPr>
              <w:rPr>
                <w:rFonts w:eastAsia="宋体"/>
                <w:szCs w:val="21"/>
              </w:rPr>
            </w:pPr>
            <w:r w:rsidRPr="00857B61">
              <w:rPr>
                <w:rFonts w:eastAsia="宋体" w:hint="eastAsia"/>
                <w:szCs w:val="21"/>
              </w:rPr>
              <w:t>相对绩效</w:t>
            </w:r>
            <w:r w:rsidRPr="00857B61">
              <w:rPr>
                <w:rFonts w:eastAsia="宋体" w:hint="eastAsia"/>
                <w:szCs w:val="21"/>
              </w:rPr>
              <w:t xml:space="preserve">  </w:t>
            </w:r>
          </w:p>
        </w:tc>
        <w:tc>
          <w:tcPr>
            <w:tcW w:w="826" w:type="pct"/>
            <w:vAlign w:val="center"/>
          </w:tcPr>
          <w:p w14:paraId="1BD999F3" w14:textId="77777777" w:rsidR="00DE7EC6" w:rsidRPr="00857B61" w:rsidRDefault="00000000">
            <w:pPr>
              <w:rPr>
                <w:rFonts w:eastAsia="宋体"/>
                <w:i/>
                <w:iCs/>
                <w:szCs w:val="21"/>
              </w:rPr>
            </w:pPr>
            <w:r w:rsidRPr="00857B61">
              <w:rPr>
                <w:rFonts w:ascii="Times New Roman" w:eastAsia="宋体" w:hAnsi="Times New Roman" w:cs="Times New Roman" w:hint="eastAsia"/>
                <w:i/>
                <w:iCs/>
                <w:szCs w:val="21"/>
              </w:rPr>
              <w:t>P</w:t>
            </w:r>
            <w:r w:rsidRPr="00857B61">
              <w:rPr>
                <w:rFonts w:ascii="Times New Roman" w:eastAsia="宋体" w:hAnsi="Times New Roman" w:cs="Times New Roman"/>
                <w:i/>
                <w:iCs/>
                <w:szCs w:val="21"/>
              </w:rPr>
              <w:t>rofit</w:t>
            </w:r>
          </w:p>
        </w:tc>
        <w:tc>
          <w:tcPr>
            <w:tcW w:w="2338" w:type="pct"/>
            <w:vAlign w:val="center"/>
          </w:tcPr>
          <w:p w14:paraId="05F3B694" w14:textId="77777777" w:rsidR="00DE7EC6" w:rsidRPr="00857B61" w:rsidRDefault="00000000">
            <w:pPr>
              <w:rPr>
                <w:rFonts w:eastAsia="宋体"/>
                <w:szCs w:val="21"/>
              </w:rPr>
            </w:pPr>
            <w:r w:rsidRPr="00857B61">
              <w:rPr>
                <w:rFonts w:eastAsia="宋体" w:hint="eastAsia"/>
                <w:szCs w:val="21"/>
              </w:rPr>
              <w:t>净资产收益率减去同行业平均净资产收益率</w:t>
            </w:r>
          </w:p>
        </w:tc>
      </w:tr>
      <w:tr w:rsidR="00857B61" w:rsidRPr="00857B61" w14:paraId="714394F8" w14:textId="77777777">
        <w:trPr>
          <w:trHeight w:val="150"/>
        </w:trPr>
        <w:tc>
          <w:tcPr>
            <w:tcW w:w="626" w:type="pct"/>
            <w:vMerge/>
          </w:tcPr>
          <w:p w14:paraId="082A7BD6" w14:textId="77777777" w:rsidR="00DE7EC6" w:rsidRPr="00857B61" w:rsidRDefault="00DE7EC6">
            <w:pPr>
              <w:rPr>
                <w:rFonts w:eastAsia="宋体"/>
                <w:szCs w:val="21"/>
              </w:rPr>
            </w:pPr>
          </w:p>
        </w:tc>
        <w:tc>
          <w:tcPr>
            <w:tcW w:w="1208" w:type="pct"/>
            <w:vAlign w:val="center"/>
          </w:tcPr>
          <w:p w14:paraId="60DD7BB6" w14:textId="77777777" w:rsidR="00DE7EC6" w:rsidRPr="00857B61" w:rsidRDefault="00000000">
            <w:pPr>
              <w:rPr>
                <w:rFonts w:eastAsia="宋体"/>
                <w:szCs w:val="21"/>
              </w:rPr>
            </w:pPr>
            <w:r w:rsidRPr="00857B61">
              <w:rPr>
                <w:rFonts w:eastAsia="宋体" w:hint="eastAsia"/>
                <w:szCs w:val="21"/>
              </w:rPr>
              <w:t>成长性</w:t>
            </w:r>
          </w:p>
        </w:tc>
        <w:tc>
          <w:tcPr>
            <w:tcW w:w="826" w:type="pct"/>
            <w:vAlign w:val="center"/>
          </w:tcPr>
          <w:p w14:paraId="2BDFCD16" w14:textId="77777777" w:rsidR="00DE7EC6" w:rsidRPr="00857B61" w:rsidRDefault="00000000">
            <w:pPr>
              <w:rPr>
                <w:rFonts w:eastAsia="宋体"/>
                <w:i/>
                <w:iCs/>
                <w:szCs w:val="21"/>
              </w:rPr>
            </w:pPr>
            <w:r w:rsidRPr="00857B61">
              <w:rPr>
                <w:rFonts w:ascii="Times New Roman" w:eastAsia="宋体" w:hAnsi="Times New Roman" w:cs="Times New Roman" w:hint="eastAsia"/>
                <w:i/>
                <w:iCs/>
                <w:szCs w:val="21"/>
              </w:rPr>
              <w:t>G</w:t>
            </w:r>
            <w:r w:rsidRPr="00857B61">
              <w:rPr>
                <w:rFonts w:ascii="Times New Roman" w:eastAsia="宋体" w:hAnsi="Times New Roman" w:cs="Times New Roman"/>
                <w:i/>
                <w:iCs/>
                <w:szCs w:val="21"/>
              </w:rPr>
              <w:t xml:space="preserve">rowth </w:t>
            </w:r>
          </w:p>
        </w:tc>
        <w:tc>
          <w:tcPr>
            <w:tcW w:w="2338" w:type="pct"/>
            <w:vAlign w:val="center"/>
          </w:tcPr>
          <w:p w14:paraId="43CB81E9" w14:textId="77777777" w:rsidR="00DE7EC6" w:rsidRPr="00857B61" w:rsidRDefault="00000000">
            <w:pPr>
              <w:rPr>
                <w:rFonts w:eastAsia="宋体"/>
                <w:szCs w:val="21"/>
              </w:rPr>
            </w:pPr>
            <w:r w:rsidRPr="00857B61">
              <w:rPr>
                <w:rFonts w:eastAsia="宋体" w:hint="eastAsia"/>
                <w:szCs w:val="21"/>
              </w:rPr>
              <w:t>（当年营业收入</w:t>
            </w:r>
            <w:r w:rsidRPr="00857B61">
              <w:rPr>
                <w:rFonts w:ascii="宋体" w:eastAsia="宋体" w:hAnsi="宋体" w:cs="宋体" w:hint="eastAsia"/>
                <w:szCs w:val="21"/>
              </w:rPr>
              <w:t>－</w:t>
            </w:r>
            <w:r w:rsidRPr="00857B61">
              <w:rPr>
                <w:rFonts w:eastAsia="宋体" w:hint="eastAsia"/>
                <w:szCs w:val="21"/>
              </w:rPr>
              <w:t>上一年度营业收入）</w:t>
            </w:r>
            <w:r w:rsidRPr="00857B61">
              <w:rPr>
                <w:rFonts w:eastAsia="宋体" w:hint="eastAsia"/>
                <w:szCs w:val="21"/>
              </w:rPr>
              <w:t>/</w:t>
            </w:r>
            <w:r w:rsidRPr="00857B61">
              <w:rPr>
                <w:rFonts w:eastAsia="宋体" w:hint="eastAsia"/>
                <w:szCs w:val="21"/>
              </w:rPr>
              <w:t>上一年度营业收入</w:t>
            </w:r>
          </w:p>
        </w:tc>
      </w:tr>
      <w:tr w:rsidR="00857B61" w:rsidRPr="00857B61" w14:paraId="6A6E2FA0" w14:textId="77777777">
        <w:trPr>
          <w:trHeight w:val="150"/>
        </w:trPr>
        <w:tc>
          <w:tcPr>
            <w:tcW w:w="626" w:type="pct"/>
            <w:vMerge/>
          </w:tcPr>
          <w:p w14:paraId="48B6D951" w14:textId="77777777" w:rsidR="00DE7EC6" w:rsidRPr="00857B61" w:rsidRDefault="00DE7EC6">
            <w:pPr>
              <w:rPr>
                <w:rFonts w:eastAsia="宋体"/>
                <w:szCs w:val="21"/>
              </w:rPr>
            </w:pPr>
          </w:p>
        </w:tc>
        <w:tc>
          <w:tcPr>
            <w:tcW w:w="1208" w:type="pct"/>
            <w:vAlign w:val="center"/>
          </w:tcPr>
          <w:p w14:paraId="29BBCF92" w14:textId="77777777" w:rsidR="00DE7EC6" w:rsidRPr="00857B61" w:rsidRDefault="00000000">
            <w:pPr>
              <w:rPr>
                <w:rFonts w:eastAsia="宋体"/>
                <w:szCs w:val="21"/>
              </w:rPr>
            </w:pPr>
            <w:r w:rsidRPr="00857B61">
              <w:rPr>
                <w:rFonts w:eastAsia="宋体" w:hint="eastAsia"/>
                <w:szCs w:val="21"/>
              </w:rPr>
              <w:t>高管持股</w:t>
            </w:r>
          </w:p>
        </w:tc>
        <w:tc>
          <w:tcPr>
            <w:tcW w:w="826" w:type="pct"/>
            <w:vAlign w:val="center"/>
          </w:tcPr>
          <w:p w14:paraId="2516D108" w14:textId="77777777" w:rsidR="00DE7EC6" w:rsidRPr="00857B61" w:rsidRDefault="00000000">
            <w:pPr>
              <w:rPr>
                <w:rFonts w:eastAsia="宋体"/>
                <w:i/>
                <w:iCs/>
                <w:szCs w:val="21"/>
              </w:rPr>
            </w:pPr>
            <w:r w:rsidRPr="00857B61">
              <w:rPr>
                <w:rFonts w:ascii="Times New Roman" w:eastAsia="宋体" w:hAnsi="Times New Roman" w:cs="Times New Roman" w:hint="eastAsia"/>
                <w:i/>
                <w:iCs/>
                <w:szCs w:val="21"/>
              </w:rPr>
              <w:t>Holding</w:t>
            </w:r>
            <w:r w:rsidRPr="00857B61">
              <w:rPr>
                <w:rFonts w:ascii="Times New Roman" w:eastAsia="宋体" w:hAnsi="Times New Roman" w:cs="Times New Roman"/>
                <w:i/>
                <w:iCs/>
                <w:szCs w:val="21"/>
              </w:rPr>
              <w:t xml:space="preserve"> </w:t>
            </w:r>
          </w:p>
        </w:tc>
        <w:tc>
          <w:tcPr>
            <w:tcW w:w="2338" w:type="pct"/>
            <w:vAlign w:val="center"/>
          </w:tcPr>
          <w:p w14:paraId="775DF433" w14:textId="77777777" w:rsidR="00DE7EC6" w:rsidRPr="00857B61" w:rsidRDefault="00000000">
            <w:pPr>
              <w:rPr>
                <w:rFonts w:eastAsia="宋体"/>
                <w:szCs w:val="21"/>
              </w:rPr>
            </w:pPr>
            <w:r w:rsidRPr="00857B61">
              <w:rPr>
                <w:rFonts w:eastAsia="宋体" w:hint="eastAsia"/>
                <w:szCs w:val="21"/>
              </w:rPr>
              <w:t>用公司董监高持股比例表示</w:t>
            </w:r>
          </w:p>
        </w:tc>
      </w:tr>
      <w:tr w:rsidR="00857B61" w:rsidRPr="00857B61" w14:paraId="0F29F06B" w14:textId="77777777">
        <w:trPr>
          <w:trHeight w:val="150"/>
        </w:trPr>
        <w:tc>
          <w:tcPr>
            <w:tcW w:w="626" w:type="pct"/>
            <w:vMerge/>
          </w:tcPr>
          <w:p w14:paraId="20260AEF" w14:textId="77777777" w:rsidR="00DE7EC6" w:rsidRPr="00857B61" w:rsidRDefault="00DE7EC6">
            <w:pPr>
              <w:rPr>
                <w:rFonts w:eastAsia="宋体"/>
                <w:szCs w:val="21"/>
              </w:rPr>
            </w:pPr>
          </w:p>
        </w:tc>
        <w:tc>
          <w:tcPr>
            <w:tcW w:w="1208" w:type="pct"/>
            <w:vAlign w:val="center"/>
          </w:tcPr>
          <w:p w14:paraId="6E7E2553" w14:textId="77777777" w:rsidR="00DE7EC6" w:rsidRPr="00857B61" w:rsidRDefault="00000000">
            <w:pPr>
              <w:rPr>
                <w:rFonts w:eastAsia="宋体"/>
                <w:szCs w:val="21"/>
              </w:rPr>
            </w:pPr>
            <w:r w:rsidRPr="00857B61">
              <w:rPr>
                <w:rFonts w:eastAsia="宋体" w:hint="eastAsia"/>
                <w:szCs w:val="21"/>
              </w:rPr>
              <w:t>规模</w:t>
            </w:r>
            <w:r w:rsidRPr="00857B61">
              <w:rPr>
                <w:rFonts w:eastAsia="宋体" w:hint="eastAsia"/>
                <w:szCs w:val="21"/>
              </w:rPr>
              <w:t xml:space="preserve"> </w:t>
            </w:r>
          </w:p>
        </w:tc>
        <w:tc>
          <w:tcPr>
            <w:tcW w:w="826" w:type="pct"/>
            <w:vAlign w:val="center"/>
          </w:tcPr>
          <w:p w14:paraId="786ACB53" w14:textId="77777777" w:rsidR="00DE7EC6" w:rsidRPr="00857B61" w:rsidRDefault="00000000">
            <w:pPr>
              <w:rPr>
                <w:rFonts w:eastAsia="宋体"/>
                <w:i/>
                <w:iCs/>
                <w:szCs w:val="21"/>
              </w:rPr>
            </w:pPr>
            <w:r w:rsidRPr="00857B61">
              <w:rPr>
                <w:rFonts w:ascii="Times New Roman" w:eastAsia="宋体" w:hAnsi="Times New Roman" w:cs="Times New Roman" w:hint="eastAsia"/>
                <w:i/>
                <w:iCs/>
                <w:szCs w:val="21"/>
              </w:rPr>
              <w:t>S</w:t>
            </w:r>
            <w:r w:rsidRPr="00857B61">
              <w:rPr>
                <w:rFonts w:ascii="Times New Roman" w:eastAsia="宋体" w:hAnsi="Times New Roman" w:cs="Times New Roman"/>
                <w:i/>
                <w:iCs/>
                <w:szCs w:val="21"/>
              </w:rPr>
              <w:t xml:space="preserve">ize </w:t>
            </w:r>
            <w:r w:rsidRPr="00857B61">
              <w:rPr>
                <w:rFonts w:ascii="Times New Roman" w:eastAsia="宋体" w:hAnsi="Times New Roman" w:cs="Times New Roman" w:hint="eastAsia"/>
                <w:i/>
                <w:iCs/>
                <w:szCs w:val="21"/>
              </w:rPr>
              <w:t xml:space="preserve"> </w:t>
            </w:r>
          </w:p>
        </w:tc>
        <w:tc>
          <w:tcPr>
            <w:tcW w:w="2338" w:type="pct"/>
            <w:vAlign w:val="center"/>
          </w:tcPr>
          <w:p w14:paraId="340717D4" w14:textId="77777777" w:rsidR="00DE7EC6" w:rsidRPr="00857B61" w:rsidRDefault="00000000">
            <w:pPr>
              <w:rPr>
                <w:rFonts w:eastAsia="宋体"/>
                <w:szCs w:val="21"/>
              </w:rPr>
            </w:pPr>
            <w:r w:rsidRPr="00857B61">
              <w:rPr>
                <w:rFonts w:eastAsia="宋体" w:hint="eastAsia"/>
                <w:szCs w:val="21"/>
              </w:rPr>
              <w:t>公司实现的资产总计，并取对数</w:t>
            </w:r>
          </w:p>
        </w:tc>
      </w:tr>
      <w:tr w:rsidR="00857B61" w:rsidRPr="00857B61" w14:paraId="063A2A8B" w14:textId="77777777">
        <w:trPr>
          <w:trHeight w:val="150"/>
        </w:trPr>
        <w:tc>
          <w:tcPr>
            <w:tcW w:w="626" w:type="pct"/>
            <w:vMerge/>
          </w:tcPr>
          <w:p w14:paraId="56F8E886" w14:textId="77777777" w:rsidR="00DE7EC6" w:rsidRPr="00857B61" w:rsidRDefault="00DE7EC6">
            <w:pPr>
              <w:rPr>
                <w:rFonts w:eastAsia="宋体"/>
                <w:szCs w:val="21"/>
              </w:rPr>
            </w:pPr>
          </w:p>
        </w:tc>
        <w:tc>
          <w:tcPr>
            <w:tcW w:w="1208" w:type="pct"/>
            <w:vAlign w:val="center"/>
          </w:tcPr>
          <w:p w14:paraId="25FD4A9A" w14:textId="77777777" w:rsidR="00DE7EC6" w:rsidRPr="00857B61" w:rsidRDefault="00000000">
            <w:pPr>
              <w:rPr>
                <w:rFonts w:eastAsia="宋体"/>
                <w:szCs w:val="21"/>
              </w:rPr>
            </w:pPr>
            <w:r w:rsidRPr="00857B61">
              <w:rPr>
                <w:rFonts w:eastAsia="宋体" w:hint="eastAsia"/>
                <w:szCs w:val="21"/>
              </w:rPr>
              <w:t>冗余资源</w:t>
            </w:r>
            <w:r w:rsidRPr="00857B61">
              <w:rPr>
                <w:rFonts w:eastAsia="宋体" w:hint="eastAsia"/>
                <w:szCs w:val="21"/>
              </w:rPr>
              <w:t xml:space="preserve"> </w:t>
            </w:r>
          </w:p>
        </w:tc>
        <w:tc>
          <w:tcPr>
            <w:tcW w:w="826" w:type="pct"/>
            <w:vAlign w:val="center"/>
          </w:tcPr>
          <w:p w14:paraId="0123BB55" w14:textId="77777777" w:rsidR="00DE7EC6" w:rsidRPr="00857B61" w:rsidRDefault="00000000">
            <w:pPr>
              <w:rPr>
                <w:rFonts w:eastAsia="宋体"/>
                <w:i/>
                <w:iCs/>
                <w:szCs w:val="21"/>
              </w:rPr>
            </w:pPr>
            <w:r w:rsidRPr="00857B61">
              <w:rPr>
                <w:rFonts w:ascii="Times New Roman" w:eastAsia="宋体" w:hAnsi="Times New Roman" w:cs="Times New Roman" w:hint="eastAsia"/>
                <w:i/>
                <w:iCs/>
                <w:szCs w:val="21"/>
              </w:rPr>
              <w:t>S</w:t>
            </w:r>
            <w:r w:rsidRPr="00857B61">
              <w:rPr>
                <w:rFonts w:ascii="Times New Roman" w:eastAsia="宋体" w:hAnsi="Times New Roman" w:cs="Times New Roman"/>
                <w:i/>
                <w:iCs/>
                <w:szCs w:val="21"/>
              </w:rPr>
              <w:t xml:space="preserve">lack </w:t>
            </w:r>
          </w:p>
        </w:tc>
        <w:tc>
          <w:tcPr>
            <w:tcW w:w="2338" w:type="pct"/>
            <w:vAlign w:val="center"/>
          </w:tcPr>
          <w:p w14:paraId="52D666FF" w14:textId="77777777" w:rsidR="00DE7EC6" w:rsidRPr="00857B61" w:rsidRDefault="00000000">
            <w:pPr>
              <w:rPr>
                <w:rFonts w:eastAsia="宋体"/>
                <w:szCs w:val="21"/>
              </w:rPr>
            </w:pPr>
            <w:r w:rsidRPr="00857B61">
              <w:rPr>
                <w:rFonts w:eastAsia="宋体" w:hint="eastAsia"/>
                <w:szCs w:val="21"/>
              </w:rPr>
              <w:t>流动资产</w:t>
            </w:r>
            <w:r w:rsidRPr="00857B61">
              <w:rPr>
                <w:rFonts w:eastAsia="宋体" w:hint="eastAsia"/>
                <w:szCs w:val="21"/>
              </w:rPr>
              <w:t>/</w:t>
            </w:r>
            <w:r w:rsidRPr="00857B61">
              <w:rPr>
                <w:rFonts w:eastAsia="宋体" w:hint="eastAsia"/>
                <w:szCs w:val="21"/>
              </w:rPr>
              <w:t>流动负债，即流动比率</w:t>
            </w:r>
          </w:p>
        </w:tc>
      </w:tr>
      <w:tr w:rsidR="00857B61" w:rsidRPr="00857B61" w14:paraId="00A1CB7F" w14:textId="77777777">
        <w:trPr>
          <w:trHeight w:val="150"/>
        </w:trPr>
        <w:tc>
          <w:tcPr>
            <w:tcW w:w="626" w:type="pct"/>
            <w:vMerge/>
          </w:tcPr>
          <w:p w14:paraId="007ED6A4" w14:textId="77777777" w:rsidR="00DE7EC6" w:rsidRPr="00857B61" w:rsidRDefault="00DE7EC6">
            <w:pPr>
              <w:rPr>
                <w:rFonts w:eastAsia="宋体"/>
                <w:szCs w:val="21"/>
              </w:rPr>
            </w:pPr>
          </w:p>
        </w:tc>
        <w:tc>
          <w:tcPr>
            <w:tcW w:w="1208" w:type="pct"/>
            <w:vAlign w:val="center"/>
          </w:tcPr>
          <w:p w14:paraId="1CFCF146" w14:textId="77777777" w:rsidR="00DE7EC6" w:rsidRPr="00857B61" w:rsidRDefault="00000000">
            <w:pPr>
              <w:rPr>
                <w:rFonts w:eastAsia="宋体"/>
                <w:szCs w:val="21"/>
              </w:rPr>
            </w:pPr>
            <w:r w:rsidRPr="00857B61">
              <w:rPr>
                <w:rFonts w:eastAsia="宋体" w:hint="eastAsia"/>
                <w:szCs w:val="21"/>
              </w:rPr>
              <w:t>盈利能力</w:t>
            </w:r>
          </w:p>
        </w:tc>
        <w:tc>
          <w:tcPr>
            <w:tcW w:w="826" w:type="pct"/>
            <w:vAlign w:val="center"/>
          </w:tcPr>
          <w:p w14:paraId="2EC0DDE7" w14:textId="77777777" w:rsidR="00DE7EC6" w:rsidRPr="00857B61" w:rsidRDefault="00000000">
            <w:pPr>
              <w:rPr>
                <w:rFonts w:eastAsia="宋体"/>
                <w:i/>
                <w:iCs/>
                <w:szCs w:val="21"/>
              </w:rPr>
            </w:pPr>
            <w:r w:rsidRPr="00857B61">
              <w:rPr>
                <w:rFonts w:ascii="Times New Roman" w:eastAsia="宋体" w:hAnsi="Times New Roman" w:cs="Times New Roman"/>
                <w:i/>
                <w:iCs/>
                <w:szCs w:val="21"/>
              </w:rPr>
              <w:t>ROA</w:t>
            </w:r>
          </w:p>
        </w:tc>
        <w:tc>
          <w:tcPr>
            <w:tcW w:w="2338" w:type="pct"/>
            <w:vAlign w:val="center"/>
          </w:tcPr>
          <w:p w14:paraId="380DB33C" w14:textId="77777777" w:rsidR="00DE7EC6" w:rsidRPr="00857B61" w:rsidRDefault="00000000">
            <w:pPr>
              <w:rPr>
                <w:rFonts w:eastAsia="宋体"/>
                <w:szCs w:val="21"/>
              </w:rPr>
            </w:pPr>
            <w:r w:rsidRPr="00857B61">
              <w:rPr>
                <w:rFonts w:eastAsia="宋体" w:hint="eastAsia"/>
                <w:szCs w:val="21"/>
              </w:rPr>
              <w:t>公司实现的净利润</w:t>
            </w:r>
            <w:r w:rsidRPr="00857B61">
              <w:rPr>
                <w:rFonts w:eastAsia="宋体" w:hint="eastAsia"/>
                <w:szCs w:val="21"/>
              </w:rPr>
              <w:t>/</w:t>
            </w:r>
            <w:r w:rsidRPr="00857B61">
              <w:rPr>
                <w:rFonts w:eastAsia="宋体" w:hint="eastAsia"/>
                <w:szCs w:val="21"/>
              </w:rPr>
              <w:t>总资产平均余额</w:t>
            </w:r>
          </w:p>
        </w:tc>
      </w:tr>
      <w:tr w:rsidR="00857B61" w:rsidRPr="00857B61" w14:paraId="2B35DCE6" w14:textId="77777777">
        <w:trPr>
          <w:trHeight w:val="150"/>
        </w:trPr>
        <w:tc>
          <w:tcPr>
            <w:tcW w:w="626" w:type="pct"/>
            <w:vMerge/>
          </w:tcPr>
          <w:p w14:paraId="5A0875E4" w14:textId="77777777" w:rsidR="00DE7EC6" w:rsidRPr="00857B61" w:rsidRDefault="00DE7EC6">
            <w:pPr>
              <w:rPr>
                <w:rFonts w:eastAsia="宋体"/>
                <w:szCs w:val="21"/>
              </w:rPr>
            </w:pPr>
          </w:p>
        </w:tc>
        <w:tc>
          <w:tcPr>
            <w:tcW w:w="1208" w:type="pct"/>
            <w:vAlign w:val="center"/>
          </w:tcPr>
          <w:p w14:paraId="119F92DC" w14:textId="77777777" w:rsidR="00DE7EC6" w:rsidRPr="00857B61" w:rsidRDefault="00000000">
            <w:pPr>
              <w:rPr>
                <w:rFonts w:eastAsia="宋体"/>
                <w:szCs w:val="21"/>
              </w:rPr>
            </w:pPr>
            <w:r w:rsidRPr="00857B61">
              <w:rPr>
                <w:rFonts w:eastAsia="宋体" w:hint="eastAsia"/>
                <w:szCs w:val="21"/>
              </w:rPr>
              <w:t>第一大股东持股比例</w:t>
            </w:r>
          </w:p>
        </w:tc>
        <w:tc>
          <w:tcPr>
            <w:tcW w:w="826" w:type="pct"/>
            <w:vAlign w:val="center"/>
          </w:tcPr>
          <w:p w14:paraId="31D1B77F" w14:textId="77777777" w:rsidR="00DE7EC6" w:rsidRPr="00857B61" w:rsidRDefault="00000000">
            <w:pPr>
              <w:rPr>
                <w:rFonts w:eastAsia="宋体"/>
                <w:i/>
                <w:iCs/>
                <w:szCs w:val="21"/>
              </w:rPr>
            </w:pPr>
            <w:r w:rsidRPr="00857B61">
              <w:rPr>
                <w:rFonts w:ascii="Times New Roman" w:eastAsia="宋体" w:hAnsi="Times New Roman" w:cs="Times New Roman" w:hint="eastAsia"/>
                <w:i/>
                <w:iCs/>
                <w:szCs w:val="21"/>
              </w:rPr>
              <w:t>Ls</w:t>
            </w:r>
          </w:p>
        </w:tc>
        <w:tc>
          <w:tcPr>
            <w:tcW w:w="2338" w:type="pct"/>
            <w:vAlign w:val="center"/>
          </w:tcPr>
          <w:p w14:paraId="5579581B" w14:textId="77777777" w:rsidR="00DE7EC6" w:rsidRPr="00857B61" w:rsidRDefault="00000000">
            <w:pPr>
              <w:rPr>
                <w:rFonts w:eastAsia="宋体"/>
                <w:szCs w:val="21"/>
              </w:rPr>
            </w:pPr>
            <w:r w:rsidRPr="00857B61">
              <w:rPr>
                <w:rFonts w:eastAsia="宋体" w:hint="eastAsia"/>
                <w:szCs w:val="21"/>
              </w:rPr>
              <w:t>公司第一大股东持股比例</w:t>
            </w:r>
          </w:p>
        </w:tc>
      </w:tr>
      <w:tr w:rsidR="00857B61" w:rsidRPr="00857B61" w14:paraId="65D5729E" w14:textId="77777777">
        <w:trPr>
          <w:trHeight w:val="150"/>
        </w:trPr>
        <w:tc>
          <w:tcPr>
            <w:tcW w:w="626" w:type="pct"/>
            <w:vMerge/>
          </w:tcPr>
          <w:p w14:paraId="4C683C45" w14:textId="77777777" w:rsidR="00DE7EC6" w:rsidRPr="00857B61" w:rsidRDefault="00DE7EC6">
            <w:pPr>
              <w:rPr>
                <w:rFonts w:eastAsia="宋体"/>
                <w:szCs w:val="21"/>
              </w:rPr>
            </w:pPr>
          </w:p>
        </w:tc>
        <w:tc>
          <w:tcPr>
            <w:tcW w:w="1208" w:type="pct"/>
            <w:vAlign w:val="center"/>
          </w:tcPr>
          <w:p w14:paraId="55DCFF4D" w14:textId="77777777" w:rsidR="00DE7EC6" w:rsidRPr="00857B61" w:rsidRDefault="00000000">
            <w:pPr>
              <w:rPr>
                <w:rFonts w:eastAsia="宋体"/>
                <w:szCs w:val="21"/>
              </w:rPr>
            </w:pPr>
            <w:r w:rsidRPr="00857B61">
              <w:rPr>
                <w:rFonts w:eastAsia="宋体" w:hint="eastAsia"/>
                <w:szCs w:val="21"/>
              </w:rPr>
              <w:t>资产负债率</w:t>
            </w:r>
          </w:p>
        </w:tc>
        <w:tc>
          <w:tcPr>
            <w:tcW w:w="826" w:type="pct"/>
            <w:vAlign w:val="center"/>
          </w:tcPr>
          <w:p w14:paraId="1A3B1DD1" w14:textId="77777777" w:rsidR="00DE7EC6" w:rsidRPr="00857B61" w:rsidRDefault="00000000">
            <w:pPr>
              <w:rPr>
                <w:rFonts w:eastAsia="宋体"/>
                <w:i/>
                <w:iCs/>
                <w:szCs w:val="21"/>
              </w:rPr>
            </w:pPr>
            <w:r w:rsidRPr="00857B61">
              <w:rPr>
                <w:rFonts w:ascii="Times New Roman" w:eastAsia="宋体" w:hAnsi="Times New Roman" w:cs="Times New Roman" w:hint="eastAsia"/>
                <w:i/>
                <w:iCs/>
                <w:szCs w:val="21"/>
              </w:rPr>
              <w:t>Lev</w:t>
            </w:r>
          </w:p>
        </w:tc>
        <w:tc>
          <w:tcPr>
            <w:tcW w:w="2338" w:type="pct"/>
            <w:vAlign w:val="center"/>
          </w:tcPr>
          <w:p w14:paraId="68F3A387" w14:textId="77777777" w:rsidR="00DE7EC6" w:rsidRPr="00857B61" w:rsidRDefault="00000000">
            <w:pPr>
              <w:rPr>
                <w:rFonts w:eastAsia="宋体"/>
                <w:szCs w:val="21"/>
              </w:rPr>
            </w:pPr>
            <w:r w:rsidRPr="00857B61">
              <w:rPr>
                <w:rFonts w:eastAsia="宋体" w:hint="eastAsia"/>
                <w:szCs w:val="21"/>
              </w:rPr>
              <w:t>负债总额</w:t>
            </w:r>
            <w:r w:rsidRPr="00857B61">
              <w:rPr>
                <w:rFonts w:eastAsia="宋体" w:hint="eastAsia"/>
                <w:szCs w:val="21"/>
              </w:rPr>
              <w:t>/</w:t>
            </w:r>
            <w:r w:rsidRPr="00857B61">
              <w:rPr>
                <w:rFonts w:eastAsia="宋体" w:hint="eastAsia"/>
                <w:szCs w:val="21"/>
              </w:rPr>
              <w:t>资产总计</w:t>
            </w:r>
          </w:p>
        </w:tc>
      </w:tr>
      <w:tr w:rsidR="00857B61" w:rsidRPr="00857B61" w14:paraId="73B12BBB" w14:textId="77777777">
        <w:trPr>
          <w:trHeight w:val="150"/>
        </w:trPr>
        <w:tc>
          <w:tcPr>
            <w:tcW w:w="626" w:type="pct"/>
            <w:vAlign w:val="center"/>
          </w:tcPr>
          <w:p w14:paraId="489B0BE9" w14:textId="77777777" w:rsidR="00DE7EC6" w:rsidRPr="00857B61" w:rsidRDefault="00000000">
            <w:pPr>
              <w:jc w:val="center"/>
              <w:rPr>
                <w:rFonts w:eastAsia="宋体"/>
                <w:szCs w:val="21"/>
              </w:rPr>
            </w:pPr>
            <w:r w:rsidRPr="00857B61">
              <w:rPr>
                <w:rFonts w:eastAsia="宋体" w:hint="eastAsia"/>
                <w:szCs w:val="21"/>
              </w:rPr>
              <w:t>行业层面</w:t>
            </w:r>
          </w:p>
        </w:tc>
        <w:tc>
          <w:tcPr>
            <w:tcW w:w="1208" w:type="pct"/>
            <w:vAlign w:val="center"/>
          </w:tcPr>
          <w:p w14:paraId="7F24D4CA" w14:textId="77777777" w:rsidR="00DE7EC6" w:rsidRPr="00857B61" w:rsidRDefault="00000000">
            <w:pPr>
              <w:rPr>
                <w:rFonts w:eastAsia="宋体"/>
                <w:szCs w:val="21"/>
              </w:rPr>
            </w:pPr>
            <w:r w:rsidRPr="00857B61">
              <w:rPr>
                <w:rFonts w:eastAsia="宋体" w:hint="eastAsia"/>
                <w:szCs w:val="21"/>
              </w:rPr>
              <w:t>赫芬达尔指数</w:t>
            </w:r>
            <w:r w:rsidRPr="00857B61">
              <w:rPr>
                <w:rFonts w:eastAsia="宋体" w:hint="eastAsia"/>
                <w:szCs w:val="21"/>
              </w:rPr>
              <w:t xml:space="preserve"> </w:t>
            </w:r>
          </w:p>
        </w:tc>
        <w:tc>
          <w:tcPr>
            <w:tcW w:w="826" w:type="pct"/>
            <w:vAlign w:val="center"/>
          </w:tcPr>
          <w:p w14:paraId="43043FD8" w14:textId="77777777" w:rsidR="00DE7EC6" w:rsidRPr="00857B61" w:rsidRDefault="00000000">
            <w:pPr>
              <w:rPr>
                <w:rFonts w:eastAsia="宋体"/>
                <w:i/>
                <w:iCs/>
                <w:szCs w:val="21"/>
              </w:rPr>
            </w:pPr>
            <w:r w:rsidRPr="00857B61">
              <w:rPr>
                <w:rFonts w:ascii="Times New Roman" w:eastAsia="宋体" w:hAnsi="Times New Roman" w:cs="Times New Roman"/>
                <w:i/>
                <w:iCs/>
                <w:szCs w:val="21"/>
              </w:rPr>
              <w:t xml:space="preserve">HHIA </w:t>
            </w:r>
          </w:p>
        </w:tc>
        <w:tc>
          <w:tcPr>
            <w:tcW w:w="2338" w:type="pct"/>
            <w:vAlign w:val="center"/>
          </w:tcPr>
          <w:p w14:paraId="1512220E" w14:textId="77777777" w:rsidR="00DE7EC6" w:rsidRPr="00857B61" w:rsidRDefault="00000000">
            <w:pPr>
              <w:rPr>
                <w:rFonts w:eastAsia="宋体"/>
                <w:szCs w:val="21"/>
              </w:rPr>
            </w:pPr>
            <w:r w:rsidRPr="00857B61">
              <w:rPr>
                <w:rFonts w:eastAsia="宋体" w:hint="eastAsia"/>
                <w:szCs w:val="21"/>
              </w:rPr>
              <w:t>衡量行业集中度，剔除存在新上市、退市等异常情况的公司</w:t>
            </w:r>
          </w:p>
        </w:tc>
      </w:tr>
      <w:tr w:rsidR="00857B61" w:rsidRPr="00857B61" w14:paraId="412C50F8" w14:textId="77777777">
        <w:trPr>
          <w:trHeight w:val="150"/>
        </w:trPr>
        <w:tc>
          <w:tcPr>
            <w:tcW w:w="626" w:type="pct"/>
            <w:vMerge w:val="restart"/>
          </w:tcPr>
          <w:p w14:paraId="6EE78B0F" w14:textId="77777777" w:rsidR="00DE7EC6" w:rsidRPr="00857B61" w:rsidRDefault="00DE7EC6">
            <w:pPr>
              <w:rPr>
                <w:rFonts w:eastAsia="宋体"/>
                <w:szCs w:val="21"/>
              </w:rPr>
            </w:pPr>
          </w:p>
          <w:p w14:paraId="43CEAE78" w14:textId="77777777" w:rsidR="00DE7EC6" w:rsidRPr="00857B61" w:rsidRDefault="00DE7EC6">
            <w:pPr>
              <w:rPr>
                <w:rFonts w:eastAsia="宋体"/>
                <w:szCs w:val="21"/>
              </w:rPr>
            </w:pPr>
          </w:p>
          <w:p w14:paraId="6B07FA59" w14:textId="77777777" w:rsidR="00DE7EC6" w:rsidRPr="00857B61" w:rsidRDefault="00000000">
            <w:pPr>
              <w:jc w:val="center"/>
              <w:rPr>
                <w:rFonts w:eastAsia="宋体"/>
                <w:szCs w:val="21"/>
              </w:rPr>
            </w:pPr>
            <w:r w:rsidRPr="00857B61">
              <w:rPr>
                <w:rFonts w:eastAsia="宋体" w:hint="eastAsia"/>
                <w:szCs w:val="21"/>
              </w:rPr>
              <w:t>地区层面</w:t>
            </w:r>
          </w:p>
        </w:tc>
        <w:tc>
          <w:tcPr>
            <w:tcW w:w="1208" w:type="pct"/>
            <w:vAlign w:val="center"/>
          </w:tcPr>
          <w:p w14:paraId="2C1C107C" w14:textId="77777777" w:rsidR="00DE7EC6" w:rsidRPr="00857B61" w:rsidRDefault="00000000">
            <w:pPr>
              <w:rPr>
                <w:rFonts w:eastAsia="宋体"/>
                <w:szCs w:val="21"/>
              </w:rPr>
            </w:pPr>
            <w:r w:rsidRPr="00857B61">
              <w:rPr>
                <w:rFonts w:eastAsia="宋体" w:hint="eastAsia"/>
                <w:szCs w:val="21"/>
              </w:rPr>
              <w:t>市场化指数</w:t>
            </w:r>
          </w:p>
        </w:tc>
        <w:tc>
          <w:tcPr>
            <w:tcW w:w="826" w:type="pct"/>
            <w:vAlign w:val="center"/>
          </w:tcPr>
          <w:p w14:paraId="4BB12B1B" w14:textId="77777777" w:rsidR="00DE7EC6" w:rsidRPr="00857B61" w:rsidRDefault="00000000">
            <w:pPr>
              <w:rPr>
                <w:rFonts w:eastAsia="宋体"/>
                <w:i/>
                <w:iCs/>
                <w:szCs w:val="21"/>
              </w:rPr>
            </w:pPr>
            <w:r w:rsidRPr="00857B61">
              <w:rPr>
                <w:rFonts w:ascii="Times New Roman" w:eastAsia="宋体" w:hAnsi="Times New Roman" w:cs="Times New Roman" w:hint="eastAsia"/>
                <w:i/>
                <w:iCs/>
                <w:szCs w:val="21"/>
              </w:rPr>
              <w:t>Marketization</w:t>
            </w:r>
          </w:p>
        </w:tc>
        <w:tc>
          <w:tcPr>
            <w:tcW w:w="2338" w:type="pct"/>
            <w:vAlign w:val="center"/>
          </w:tcPr>
          <w:p w14:paraId="66CF7E47" w14:textId="77777777" w:rsidR="00DE7EC6" w:rsidRPr="00857B61" w:rsidRDefault="00000000">
            <w:pPr>
              <w:rPr>
                <w:rFonts w:eastAsia="宋体"/>
                <w:szCs w:val="21"/>
              </w:rPr>
            </w:pPr>
            <w:r w:rsidRPr="00857B61">
              <w:rPr>
                <w:rFonts w:eastAsia="宋体" w:hint="eastAsia"/>
                <w:szCs w:val="21"/>
              </w:rPr>
              <w:t>各省份的市场化指数</w:t>
            </w:r>
          </w:p>
        </w:tc>
      </w:tr>
      <w:tr w:rsidR="00857B61" w:rsidRPr="00857B61" w14:paraId="263DCF12" w14:textId="77777777">
        <w:trPr>
          <w:trHeight w:val="150"/>
        </w:trPr>
        <w:tc>
          <w:tcPr>
            <w:tcW w:w="626" w:type="pct"/>
            <w:vMerge/>
          </w:tcPr>
          <w:p w14:paraId="5C2B1881" w14:textId="77777777" w:rsidR="00DE7EC6" w:rsidRPr="00857B61" w:rsidRDefault="00DE7EC6">
            <w:pPr>
              <w:rPr>
                <w:rFonts w:eastAsia="宋体"/>
                <w:szCs w:val="21"/>
              </w:rPr>
            </w:pPr>
          </w:p>
        </w:tc>
        <w:tc>
          <w:tcPr>
            <w:tcW w:w="1208" w:type="pct"/>
            <w:vAlign w:val="center"/>
          </w:tcPr>
          <w:p w14:paraId="7C57E19B" w14:textId="77777777" w:rsidR="00DE7EC6" w:rsidRPr="00857B61" w:rsidRDefault="00000000">
            <w:pPr>
              <w:rPr>
                <w:rFonts w:eastAsia="宋体"/>
                <w:szCs w:val="21"/>
              </w:rPr>
            </w:pPr>
            <w:r w:rsidRPr="00857B61">
              <w:rPr>
                <w:rFonts w:eastAsia="宋体" w:hint="eastAsia"/>
                <w:szCs w:val="21"/>
              </w:rPr>
              <w:t>人均</w:t>
            </w:r>
            <w:r w:rsidRPr="00857B61">
              <w:rPr>
                <w:rFonts w:ascii="Times New Roman" w:eastAsia="宋体" w:hAnsi="Times New Roman" w:cs="Times New Roman" w:hint="eastAsia"/>
                <w:szCs w:val="21"/>
              </w:rPr>
              <w:t>GDP</w:t>
            </w:r>
          </w:p>
        </w:tc>
        <w:tc>
          <w:tcPr>
            <w:tcW w:w="826" w:type="pct"/>
            <w:vAlign w:val="center"/>
          </w:tcPr>
          <w:p w14:paraId="5276E1DB" w14:textId="77777777" w:rsidR="00DE7EC6" w:rsidRPr="00857B61" w:rsidRDefault="00000000">
            <w:pPr>
              <w:rPr>
                <w:rFonts w:eastAsia="宋体"/>
                <w:i/>
                <w:iCs/>
                <w:szCs w:val="21"/>
              </w:rPr>
            </w:pPr>
            <w:r w:rsidRPr="00857B61">
              <w:rPr>
                <w:rFonts w:ascii="Times New Roman" w:eastAsia="宋体" w:hAnsi="Times New Roman" w:cs="Times New Roman" w:hint="eastAsia"/>
                <w:i/>
                <w:iCs/>
                <w:szCs w:val="21"/>
              </w:rPr>
              <w:t>PGDP</w:t>
            </w:r>
          </w:p>
        </w:tc>
        <w:tc>
          <w:tcPr>
            <w:tcW w:w="2338" w:type="pct"/>
            <w:vAlign w:val="center"/>
          </w:tcPr>
          <w:p w14:paraId="35C373CA" w14:textId="77777777" w:rsidR="00DE7EC6" w:rsidRPr="00857B61" w:rsidRDefault="00000000">
            <w:pPr>
              <w:rPr>
                <w:rFonts w:eastAsia="宋体"/>
                <w:szCs w:val="21"/>
              </w:rPr>
            </w:pPr>
            <w:r w:rsidRPr="00857B61">
              <w:rPr>
                <w:rFonts w:eastAsia="宋体" w:hint="eastAsia"/>
                <w:szCs w:val="21"/>
              </w:rPr>
              <w:t>我国各城市实现的人均国内生产总值，并取对数</w:t>
            </w:r>
          </w:p>
        </w:tc>
      </w:tr>
      <w:tr w:rsidR="00857B61" w:rsidRPr="00857B61" w14:paraId="4A0B31AF" w14:textId="77777777">
        <w:trPr>
          <w:trHeight w:val="411"/>
        </w:trPr>
        <w:tc>
          <w:tcPr>
            <w:tcW w:w="626" w:type="pct"/>
            <w:vMerge/>
          </w:tcPr>
          <w:p w14:paraId="2C3DB258" w14:textId="77777777" w:rsidR="00DE7EC6" w:rsidRPr="00857B61" w:rsidRDefault="00DE7EC6">
            <w:pPr>
              <w:rPr>
                <w:rFonts w:eastAsia="宋体"/>
                <w:szCs w:val="21"/>
              </w:rPr>
            </w:pPr>
          </w:p>
        </w:tc>
        <w:tc>
          <w:tcPr>
            <w:tcW w:w="1208" w:type="pct"/>
            <w:vAlign w:val="center"/>
          </w:tcPr>
          <w:p w14:paraId="55EF9469" w14:textId="77777777" w:rsidR="00DE7EC6" w:rsidRPr="00857B61" w:rsidRDefault="00000000">
            <w:pPr>
              <w:rPr>
                <w:rFonts w:eastAsia="宋体"/>
                <w:szCs w:val="21"/>
              </w:rPr>
            </w:pPr>
            <w:r w:rsidRPr="00857B61">
              <w:rPr>
                <w:rFonts w:eastAsia="宋体"/>
                <w:szCs w:val="21"/>
              </w:rPr>
              <w:t>地方财政收</w:t>
            </w:r>
            <w:r w:rsidRPr="00857B61">
              <w:rPr>
                <w:rFonts w:eastAsia="宋体" w:hint="eastAsia"/>
                <w:szCs w:val="21"/>
              </w:rPr>
              <w:t>入</w:t>
            </w:r>
          </w:p>
        </w:tc>
        <w:tc>
          <w:tcPr>
            <w:tcW w:w="826" w:type="pct"/>
            <w:vAlign w:val="center"/>
          </w:tcPr>
          <w:p w14:paraId="631D740F" w14:textId="77777777" w:rsidR="00DE7EC6" w:rsidRPr="00857B61" w:rsidRDefault="00000000">
            <w:pPr>
              <w:rPr>
                <w:rFonts w:eastAsia="宋体"/>
                <w:i/>
                <w:iCs/>
                <w:szCs w:val="21"/>
              </w:rPr>
            </w:pPr>
            <w:r w:rsidRPr="00857B61">
              <w:rPr>
                <w:rFonts w:ascii="Times New Roman" w:eastAsia="宋体" w:hAnsi="Times New Roman" w:cs="Times New Roman" w:hint="eastAsia"/>
                <w:i/>
                <w:iCs/>
                <w:szCs w:val="21"/>
              </w:rPr>
              <w:t>Revenue</w:t>
            </w:r>
          </w:p>
        </w:tc>
        <w:tc>
          <w:tcPr>
            <w:tcW w:w="2338" w:type="pct"/>
            <w:vAlign w:val="center"/>
          </w:tcPr>
          <w:p w14:paraId="7BFA3D36" w14:textId="77777777" w:rsidR="00DE7EC6" w:rsidRPr="00857B61" w:rsidRDefault="00000000">
            <w:pPr>
              <w:rPr>
                <w:rFonts w:eastAsia="宋体"/>
                <w:szCs w:val="21"/>
              </w:rPr>
            </w:pPr>
            <w:r w:rsidRPr="00857B61">
              <w:rPr>
                <w:rFonts w:eastAsia="宋体" w:hint="eastAsia"/>
                <w:szCs w:val="21"/>
              </w:rPr>
              <w:t>用我国各城市的地方财政收入数据表示，并取对数</w:t>
            </w:r>
          </w:p>
        </w:tc>
      </w:tr>
    </w:tbl>
    <w:p w14:paraId="2A7DE429" w14:textId="77777777" w:rsidR="00DE7EC6" w:rsidRPr="00857B61" w:rsidRDefault="00000000">
      <w:pPr>
        <w:pStyle w:val="30"/>
        <w:spacing w:before="120" w:after="120" w:line="240" w:lineRule="auto"/>
        <w:ind w:firstLineChars="200" w:firstLine="422"/>
        <w:rPr>
          <w:rFonts w:eastAsia="宋体"/>
          <w:sz w:val="21"/>
          <w:szCs w:val="21"/>
        </w:rPr>
      </w:pPr>
      <w:r w:rsidRPr="00857B61">
        <w:rPr>
          <w:rFonts w:eastAsia="宋体" w:hint="eastAsia"/>
          <w:sz w:val="21"/>
          <w:szCs w:val="21"/>
        </w:rPr>
        <w:lastRenderedPageBreak/>
        <w:t>（三）模型设定</w:t>
      </w:r>
    </w:p>
    <w:p w14:paraId="3AA6CDB7" w14:textId="77777777" w:rsidR="00DE7EC6" w:rsidRPr="00857B61" w:rsidRDefault="00000000">
      <w:pPr>
        <w:ind w:firstLineChars="200" w:firstLine="420"/>
        <w:rPr>
          <w:rFonts w:eastAsia="宋体"/>
          <w:szCs w:val="21"/>
        </w:rPr>
      </w:pPr>
      <w:r w:rsidRPr="00857B61">
        <w:rPr>
          <w:rFonts w:eastAsia="宋体" w:hint="eastAsia"/>
          <w:szCs w:val="21"/>
        </w:rPr>
        <w:t>本文利用基于准自然实验的双重差分模型来探索检察行政公益诉讼制度的实施给国有资产流失带来的影响，设计了如下模型来进行假设检验：</w:t>
      </w:r>
    </w:p>
    <w:p w14:paraId="2C2EB0A3" w14:textId="77777777" w:rsidR="00DE7EC6" w:rsidRPr="00857B61" w:rsidRDefault="00000000">
      <w:pPr>
        <w:spacing w:beforeLines="50" w:before="156" w:afterLines="50" w:after="156"/>
        <w:jc w:val="right"/>
        <w:rPr>
          <w:rFonts w:ascii="宋体" w:eastAsia="宋体" w:hAnsi="宋体" w:cs="宋体"/>
          <w:szCs w:val="21"/>
        </w:rPr>
      </w:pPr>
      <w:r w:rsidRPr="00857B61">
        <w:rPr>
          <w:rFonts w:ascii="Times New Roman" w:eastAsia="宋体" w:hAnsi="Times New Roman" w:cs="Times New Roman"/>
          <w:i/>
          <w:iCs/>
          <w:szCs w:val="21"/>
        </w:rPr>
        <w:t>Premium</w:t>
      </w:r>
      <w:r w:rsidRPr="00857B61">
        <w:rPr>
          <w:rFonts w:ascii="Times New Roman" w:eastAsia="宋体" w:hAnsi="Times New Roman" w:cs="Times New Roman"/>
          <w:i/>
          <w:iCs/>
          <w:szCs w:val="21"/>
          <w:vertAlign w:val="subscript"/>
        </w:rPr>
        <w:t>it</w:t>
      </w:r>
      <w:r w:rsidRPr="00857B61">
        <w:rPr>
          <w:rFonts w:ascii="Times New Roman" w:eastAsia="宋体" w:hAnsi="Times New Roman" w:cs="Times New Roman"/>
          <w:i/>
          <w:iCs/>
          <w:szCs w:val="21"/>
        </w:rPr>
        <w:t>=β</w:t>
      </w:r>
      <w:r w:rsidRPr="00857B61">
        <w:rPr>
          <w:rFonts w:ascii="Times New Roman" w:eastAsia="宋体" w:hAnsi="Times New Roman" w:cs="Times New Roman"/>
          <w:i/>
          <w:iCs/>
          <w:szCs w:val="21"/>
          <w:vertAlign w:val="subscript"/>
        </w:rPr>
        <w:t>0</w:t>
      </w:r>
      <w:r w:rsidRPr="00857B61">
        <w:rPr>
          <w:rFonts w:ascii="Times New Roman" w:eastAsia="宋体" w:hAnsi="Times New Roman" w:cs="Times New Roman"/>
          <w:szCs w:val="21"/>
        </w:rPr>
        <w:t>＋</w:t>
      </w:r>
      <w:r w:rsidRPr="00857B61">
        <w:rPr>
          <w:rFonts w:ascii="Times New Roman" w:eastAsia="宋体" w:hAnsi="Times New Roman" w:cs="Times New Roman"/>
          <w:i/>
          <w:iCs/>
          <w:szCs w:val="21"/>
        </w:rPr>
        <w:t>β</w:t>
      </w:r>
      <w:r w:rsidRPr="00857B61">
        <w:rPr>
          <w:rFonts w:ascii="Times New Roman" w:eastAsia="宋体" w:hAnsi="Times New Roman" w:cs="Times New Roman"/>
          <w:i/>
          <w:iCs/>
          <w:szCs w:val="21"/>
          <w:vertAlign w:val="subscript"/>
        </w:rPr>
        <w:t>1</w:t>
      </w:r>
      <w:r w:rsidRPr="00857B61">
        <w:rPr>
          <w:rFonts w:ascii="Times New Roman" w:eastAsia="宋体" w:hAnsi="Times New Roman" w:cs="Times New Roman"/>
          <w:i/>
          <w:iCs/>
          <w:szCs w:val="21"/>
        </w:rPr>
        <w:t>DID</w:t>
      </w:r>
      <w:r w:rsidRPr="00857B61">
        <w:rPr>
          <w:rFonts w:ascii="Times New Roman" w:eastAsia="宋体" w:hAnsi="Times New Roman" w:cs="Times New Roman"/>
          <w:i/>
          <w:iCs/>
          <w:szCs w:val="21"/>
          <w:vertAlign w:val="subscript"/>
        </w:rPr>
        <w:t>jt</w:t>
      </w:r>
      <w:r w:rsidRPr="00857B61">
        <w:rPr>
          <w:rFonts w:ascii="Times New Roman" w:eastAsia="宋体" w:hAnsi="Times New Roman" w:cs="Times New Roman"/>
          <w:szCs w:val="21"/>
        </w:rPr>
        <w:t>＋</w:t>
      </w:r>
      <w:r w:rsidRPr="00857B61">
        <w:rPr>
          <w:rFonts w:ascii="Times New Roman" w:eastAsia="宋体" w:hAnsi="Times New Roman" w:cs="Times New Roman"/>
          <w:i/>
          <w:iCs/>
          <w:szCs w:val="21"/>
        </w:rPr>
        <w:t>β</w:t>
      </w:r>
      <w:r w:rsidRPr="00857B61">
        <w:rPr>
          <w:rFonts w:ascii="Times New Roman" w:eastAsia="宋体" w:hAnsi="Times New Roman" w:cs="Times New Roman"/>
          <w:i/>
          <w:iCs/>
          <w:szCs w:val="21"/>
          <w:vertAlign w:val="subscript"/>
        </w:rPr>
        <w:t>2</w:t>
      </w:r>
      <w:r w:rsidRPr="00857B61">
        <w:rPr>
          <w:rFonts w:ascii="Times New Roman" w:eastAsia="宋体" w:hAnsi="Times New Roman" w:cs="Times New Roman"/>
          <w:i/>
          <w:iCs/>
          <w:szCs w:val="21"/>
        </w:rPr>
        <w:t>Treat</w:t>
      </w:r>
      <w:r w:rsidRPr="00857B61">
        <w:rPr>
          <w:rFonts w:ascii="Times New Roman" w:eastAsia="宋体" w:hAnsi="Times New Roman" w:cs="Times New Roman"/>
          <w:i/>
          <w:iCs/>
          <w:szCs w:val="21"/>
          <w:vertAlign w:val="subscript"/>
        </w:rPr>
        <w:t>ij</w:t>
      </w:r>
      <w:r w:rsidRPr="00857B61">
        <w:rPr>
          <w:rFonts w:ascii="Times New Roman" w:eastAsia="宋体" w:hAnsi="Times New Roman" w:cs="Times New Roman"/>
          <w:szCs w:val="21"/>
        </w:rPr>
        <w:t>＋</w:t>
      </w:r>
      <w:r w:rsidRPr="00857B61">
        <w:rPr>
          <w:rFonts w:ascii="Times New Roman" w:eastAsia="宋体" w:hAnsi="Times New Roman" w:cs="Times New Roman"/>
          <w:i/>
          <w:iCs/>
          <w:szCs w:val="21"/>
        </w:rPr>
        <w:t>β</w:t>
      </w:r>
      <w:r w:rsidRPr="00857B61">
        <w:rPr>
          <w:rFonts w:ascii="Times New Roman" w:eastAsia="宋体" w:hAnsi="Times New Roman" w:cs="Times New Roman"/>
          <w:i/>
          <w:iCs/>
          <w:szCs w:val="21"/>
          <w:vertAlign w:val="subscript"/>
        </w:rPr>
        <w:t>3</w:t>
      </w:r>
      <w:r w:rsidRPr="00857B61">
        <w:rPr>
          <w:rFonts w:ascii="Times New Roman" w:eastAsia="宋体" w:hAnsi="Times New Roman" w:cs="Times New Roman"/>
          <w:i/>
          <w:iCs/>
          <w:szCs w:val="21"/>
        </w:rPr>
        <w:t>Policy</w:t>
      </w:r>
      <w:r w:rsidRPr="00857B61">
        <w:rPr>
          <w:rFonts w:ascii="Times New Roman" w:eastAsia="宋体" w:hAnsi="Times New Roman" w:cs="Times New Roman"/>
          <w:i/>
          <w:iCs/>
          <w:szCs w:val="21"/>
          <w:vertAlign w:val="subscript"/>
        </w:rPr>
        <w:t>it</w:t>
      </w:r>
      <w:r w:rsidRPr="00857B61">
        <w:rPr>
          <w:rFonts w:ascii="Times New Roman" w:eastAsia="宋体" w:hAnsi="Times New Roman" w:cs="Times New Roman"/>
          <w:szCs w:val="21"/>
        </w:rPr>
        <w:t>＋</w:t>
      </w:r>
      <w:r w:rsidRPr="00857B61">
        <w:rPr>
          <w:rFonts w:ascii="Times New Roman" w:eastAsia="宋体" w:hAnsi="Times New Roman" w:cs="Times New Roman"/>
          <w:i/>
          <w:iCs/>
          <w:szCs w:val="21"/>
        </w:rPr>
        <w:t>β</w:t>
      </w:r>
      <w:r w:rsidRPr="00857B61">
        <w:rPr>
          <w:rFonts w:ascii="Times New Roman" w:eastAsia="宋体" w:hAnsi="Times New Roman" w:cs="Times New Roman"/>
          <w:i/>
          <w:iCs/>
          <w:szCs w:val="21"/>
          <w:vertAlign w:val="subscript"/>
        </w:rPr>
        <w:t>4</w:t>
      </w:r>
      <w:r w:rsidRPr="00857B61">
        <w:rPr>
          <w:rFonts w:ascii="Times New Roman" w:eastAsia="宋体" w:hAnsi="Times New Roman" w:cs="Times New Roman"/>
          <w:i/>
          <w:iCs/>
          <w:szCs w:val="21"/>
        </w:rPr>
        <w:t>Controls</w:t>
      </w:r>
      <w:r w:rsidRPr="00857B61">
        <w:rPr>
          <w:rFonts w:ascii="Times New Roman" w:eastAsia="宋体" w:hAnsi="Times New Roman" w:cs="Times New Roman"/>
          <w:i/>
          <w:iCs/>
          <w:szCs w:val="21"/>
          <w:vertAlign w:val="subscript"/>
        </w:rPr>
        <w:t>it-1</w:t>
      </w:r>
      <w:r w:rsidRPr="00857B61">
        <w:rPr>
          <w:rFonts w:ascii="Times New Roman" w:eastAsia="宋体" w:hAnsi="Times New Roman" w:cs="Times New Roman"/>
          <w:szCs w:val="21"/>
        </w:rPr>
        <w:t>＋</w:t>
      </w:r>
      <w:r w:rsidRPr="00857B61">
        <w:rPr>
          <w:rFonts w:ascii="Times New Roman" w:eastAsia="宋体" w:hAnsi="Times New Roman" w:cs="Times New Roman"/>
          <w:i/>
          <w:iCs/>
          <w:szCs w:val="21"/>
        </w:rPr>
        <w:t>γ</w:t>
      </w:r>
      <w:r w:rsidRPr="00857B61">
        <w:rPr>
          <w:rFonts w:ascii="Times New Roman" w:eastAsia="宋体" w:hAnsi="Times New Roman" w:cs="Times New Roman"/>
          <w:i/>
          <w:iCs/>
          <w:szCs w:val="21"/>
          <w:vertAlign w:val="subscript"/>
        </w:rPr>
        <w:t>t</w:t>
      </w:r>
      <w:r w:rsidRPr="00857B61">
        <w:rPr>
          <w:rFonts w:ascii="Times New Roman" w:eastAsia="宋体" w:hAnsi="Times New Roman" w:cs="Times New Roman"/>
          <w:szCs w:val="21"/>
        </w:rPr>
        <w:t>＋</w:t>
      </w:r>
      <w:r w:rsidRPr="00857B61">
        <w:rPr>
          <w:rFonts w:ascii="Times New Roman" w:eastAsia="宋体" w:hAnsi="Times New Roman" w:cs="Times New Roman"/>
          <w:i/>
          <w:iCs/>
          <w:szCs w:val="21"/>
        </w:rPr>
        <w:t>μ</w:t>
      </w:r>
      <w:r w:rsidRPr="00857B61">
        <w:rPr>
          <w:rFonts w:ascii="Times New Roman" w:eastAsia="宋体" w:hAnsi="Times New Roman" w:cs="Times New Roman"/>
          <w:i/>
          <w:iCs/>
          <w:szCs w:val="21"/>
          <w:vertAlign w:val="subscript"/>
        </w:rPr>
        <w:t>r</w:t>
      </w:r>
      <w:r w:rsidRPr="00857B61">
        <w:rPr>
          <w:rFonts w:ascii="Times New Roman" w:eastAsia="宋体" w:hAnsi="Times New Roman" w:cs="Times New Roman"/>
          <w:szCs w:val="21"/>
        </w:rPr>
        <w:t>＋</w:t>
      </w:r>
      <w:r w:rsidRPr="00857B61">
        <w:rPr>
          <w:rFonts w:ascii="Times New Roman" w:eastAsia="宋体" w:hAnsi="Times New Roman" w:cs="Times New Roman"/>
          <w:i/>
          <w:iCs/>
          <w:szCs w:val="21"/>
        </w:rPr>
        <w:t>θ</w:t>
      </w:r>
      <w:r w:rsidRPr="00857B61">
        <w:rPr>
          <w:rFonts w:ascii="Times New Roman" w:eastAsia="宋体" w:hAnsi="Times New Roman" w:cs="Times New Roman"/>
          <w:i/>
          <w:iCs/>
          <w:szCs w:val="21"/>
          <w:vertAlign w:val="subscript"/>
        </w:rPr>
        <w:t>j</w:t>
      </w:r>
      <w:r w:rsidRPr="00857B61">
        <w:rPr>
          <w:rFonts w:ascii="Times New Roman" w:eastAsia="宋体" w:hAnsi="Times New Roman" w:cs="Times New Roman"/>
          <w:szCs w:val="21"/>
        </w:rPr>
        <w:t>＋</w:t>
      </w:r>
      <w:r w:rsidRPr="00857B61">
        <w:rPr>
          <w:rFonts w:ascii="Times New Roman" w:eastAsia="宋体" w:hAnsi="Times New Roman" w:cs="Times New Roman"/>
          <w:i/>
          <w:iCs/>
          <w:szCs w:val="21"/>
        </w:rPr>
        <w:t>ε</w:t>
      </w:r>
      <w:r w:rsidRPr="00857B61">
        <w:rPr>
          <w:rFonts w:ascii="Times New Roman" w:eastAsia="宋体" w:hAnsi="Times New Roman" w:cs="Times New Roman" w:hint="eastAsia"/>
          <w:i/>
          <w:iCs/>
          <w:szCs w:val="21"/>
        </w:rPr>
        <w:t xml:space="preserve">     </w:t>
      </w:r>
      <w:r w:rsidRPr="00857B61">
        <w:rPr>
          <w:rFonts w:ascii="Times New Roman" w:eastAsia="宋体" w:hAnsi="Times New Roman" w:cs="Times New Roman" w:hint="eastAsia"/>
          <w:szCs w:val="21"/>
        </w:rPr>
        <w:t xml:space="preserve">   </w:t>
      </w:r>
      <w:r w:rsidRPr="00857B61">
        <w:rPr>
          <w:rFonts w:ascii="宋体" w:eastAsia="宋体" w:hAnsi="宋体" w:cs="宋体" w:hint="eastAsia"/>
          <w:szCs w:val="21"/>
        </w:rPr>
        <w:t>（</w:t>
      </w:r>
      <w:r w:rsidRPr="00857B61">
        <w:rPr>
          <w:rFonts w:ascii="Times New Roman" w:eastAsia="宋体" w:hAnsi="Times New Roman" w:cs="Times New Roman" w:hint="eastAsia"/>
          <w:szCs w:val="21"/>
        </w:rPr>
        <w:t>2</w:t>
      </w:r>
      <w:r w:rsidRPr="00857B61">
        <w:rPr>
          <w:rFonts w:ascii="Times New Roman" w:eastAsia="宋体" w:hAnsi="Times New Roman" w:cs="Times New Roman" w:hint="eastAsia"/>
          <w:szCs w:val="21"/>
        </w:rPr>
        <w:t>）</w:t>
      </w:r>
    </w:p>
    <w:p w14:paraId="163B17D0" w14:textId="77777777" w:rsidR="00DE7EC6" w:rsidRPr="00857B61" w:rsidRDefault="00000000">
      <w:pPr>
        <w:ind w:firstLineChars="200" w:firstLine="420"/>
        <w:rPr>
          <w:rFonts w:eastAsia="宋体"/>
          <w:sz w:val="24"/>
        </w:rPr>
      </w:pPr>
      <w:r w:rsidRPr="00857B61">
        <w:rPr>
          <w:rFonts w:eastAsia="宋体" w:hint="eastAsia"/>
          <w:szCs w:val="21"/>
        </w:rPr>
        <w:t>其中，</w:t>
      </w:r>
      <w:r w:rsidRPr="00857B61">
        <w:rPr>
          <w:rFonts w:ascii="Times New Roman" w:eastAsia="宋体" w:hAnsi="Times New Roman" w:cs="Times New Roman" w:hint="eastAsia"/>
          <w:i/>
          <w:iCs/>
          <w:szCs w:val="21"/>
        </w:rPr>
        <w:t>Premium</w:t>
      </w:r>
      <w:r w:rsidRPr="00857B61">
        <w:rPr>
          <w:rFonts w:ascii="Times New Roman" w:eastAsia="宋体" w:hAnsi="Times New Roman" w:cs="Times New Roman" w:hint="eastAsia"/>
          <w:i/>
          <w:iCs/>
          <w:szCs w:val="21"/>
          <w:vertAlign w:val="subscript"/>
        </w:rPr>
        <w:t>it</w:t>
      </w:r>
      <w:r w:rsidRPr="00857B61">
        <w:rPr>
          <w:rFonts w:eastAsia="宋体" w:hint="eastAsia"/>
          <w:szCs w:val="21"/>
        </w:rPr>
        <w:t>表示并购溢价；</w:t>
      </w:r>
      <w:r w:rsidRPr="00857B61">
        <w:rPr>
          <w:rFonts w:ascii="Times New Roman" w:eastAsia="宋体" w:hAnsi="Times New Roman" w:cs="Times New Roman"/>
          <w:i/>
          <w:iCs/>
          <w:szCs w:val="21"/>
        </w:rPr>
        <w:t>β</w:t>
      </w:r>
      <w:r w:rsidRPr="00857B61">
        <w:rPr>
          <w:rFonts w:ascii="Times New Roman" w:eastAsia="宋体" w:hAnsi="Times New Roman" w:cs="Times New Roman"/>
          <w:i/>
          <w:iCs/>
          <w:szCs w:val="21"/>
          <w:vertAlign w:val="subscript"/>
        </w:rPr>
        <w:t>0</w:t>
      </w:r>
      <w:r w:rsidRPr="00857B61">
        <w:rPr>
          <w:rFonts w:eastAsia="宋体" w:hint="eastAsia"/>
          <w:szCs w:val="21"/>
        </w:rPr>
        <w:t>表示常数项；</w:t>
      </w:r>
      <w:r w:rsidRPr="00857B61">
        <w:rPr>
          <w:rFonts w:ascii="Times New Roman" w:eastAsia="宋体" w:hAnsi="Times New Roman" w:cs="Times New Roman"/>
          <w:i/>
          <w:iCs/>
          <w:szCs w:val="21"/>
        </w:rPr>
        <w:t>DID</w:t>
      </w:r>
      <w:r w:rsidRPr="00857B61">
        <w:rPr>
          <w:rFonts w:ascii="Times New Roman" w:eastAsia="宋体" w:hAnsi="Times New Roman" w:cs="Times New Roman" w:hint="eastAsia"/>
          <w:i/>
          <w:iCs/>
          <w:szCs w:val="21"/>
          <w:vertAlign w:val="subscript"/>
        </w:rPr>
        <w:t>j</w:t>
      </w:r>
      <w:r w:rsidRPr="00857B61">
        <w:rPr>
          <w:rFonts w:ascii="Times New Roman" w:eastAsia="宋体" w:hAnsi="Times New Roman" w:cs="Times New Roman"/>
          <w:i/>
          <w:iCs/>
          <w:szCs w:val="21"/>
          <w:vertAlign w:val="subscript"/>
        </w:rPr>
        <w:t>t</w:t>
      </w:r>
      <w:r w:rsidRPr="00857B61">
        <w:rPr>
          <w:rFonts w:eastAsia="宋体" w:hint="eastAsia"/>
          <w:szCs w:val="21"/>
        </w:rPr>
        <w:t>表示检察行政公益诉讼制度试点实施，即本文研究的自变量，是虚拟变量</w:t>
      </w:r>
      <w:r w:rsidRPr="00857B61">
        <w:rPr>
          <w:rFonts w:ascii="Times New Roman" w:eastAsia="宋体" w:hAnsi="Times New Roman" w:cs="Times New Roman" w:hint="eastAsia"/>
          <w:i/>
          <w:iCs/>
          <w:szCs w:val="21"/>
        </w:rPr>
        <w:t>Treat</w:t>
      </w:r>
      <w:r w:rsidRPr="00857B61">
        <w:rPr>
          <w:rFonts w:ascii="Times New Roman" w:eastAsia="宋体" w:hAnsi="Times New Roman" w:cs="Times New Roman" w:hint="eastAsia"/>
          <w:i/>
          <w:iCs/>
          <w:szCs w:val="21"/>
          <w:vertAlign w:val="subscript"/>
        </w:rPr>
        <w:t>ij</w:t>
      </w:r>
      <w:r w:rsidRPr="00857B61">
        <w:rPr>
          <w:rFonts w:eastAsia="宋体" w:hint="eastAsia"/>
          <w:szCs w:val="21"/>
        </w:rPr>
        <w:t>和</w:t>
      </w:r>
      <w:r w:rsidRPr="00857B61">
        <w:rPr>
          <w:rFonts w:ascii="Times New Roman" w:eastAsia="宋体" w:hAnsi="Times New Roman" w:cs="Times New Roman" w:hint="eastAsia"/>
          <w:i/>
          <w:iCs/>
          <w:szCs w:val="21"/>
        </w:rPr>
        <w:t>Policy</w:t>
      </w:r>
      <w:r w:rsidRPr="00857B61">
        <w:rPr>
          <w:rFonts w:ascii="Times New Roman" w:eastAsia="宋体" w:hAnsi="Times New Roman" w:cs="Times New Roman" w:hint="eastAsia"/>
          <w:i/>
          <w:iCs/>
          <w:szCs w:val="21"/>
          <w:vertAlign w:val="subscript"/>
        </w:rPr>
        <w:t>it</w:t>
      </w:r>
      <w:r w:rsidRPr="00857B61">
        <w:rPr>
          <w:rFonts w:eastAsia="宋体" w:hint="eastAsia"/>
          <w:szCs w:val="21"/>
        </w:rPr>
        <w:t>的乘积，表示企业</w:t>
      </w:r>
      <w:r w:rsidRPr="00857B61">
        <w:rPr>
          <w:rFonts w:ascii="Times New Roman" w:eastAsia="宋体" w:hAnsi="Times New Roman" w:cs="Times New Roman"/>
          <w:i/>
          <w:iCs/>
          <w:szCs w:val="21"/>
        </w:rPr>
        <w:t>i</w:t>
      </w:r>
      <w:r w:rsidRPr="00857B61">
        <w:rPr>
          <w:rFonts w:ascii="Times New Roman" w:eastAsia="宋体" w:hAnsi="Times New Roman" w:cs="Times New Roman" w:hint="eastAsia"/>
          <w:szCs w:val="21"/>
        </w:rPr>
        <w:t>所属</w:t>
      </w:r>
      <w:r w:rsidRPr="00857B61">
        <w:rPr>
          <w:rFonts w:eastAsia="宋体" w:hint="eastAsia"/>
          <w:szCs w:val="21"/>
        </w:rPr>
        <w:t>城市</w:t>
      </w:r>
      <w:r w:rsidRPr="00857B61">
        <w:rPr>
          <w:rFonts w:ascii="Times New Roman" w:eastAsia="宋体" w:hAnsi="Times New Roman" w:cs="Times New Roman" w:hint="eastAsia"/>
          <w:i/>
          <w:iCs/>
          <w:szCs w:val="21"/>
        </w:rPr>
        <w:t>j</w:t>
      </w:r>
      <w:r w:rsidRPr="00857B61">
        <w:rPr>
          <w:rFonts w:eastAsia="宋体" w:hint="eastAsia"/>
          <w:szCs w:val="21"/>
        </w:rPr>
        <w:t>在时间</w:t>
      </w:r>
      <w:r w:rsidRPr="00857B61">
        <w:rPr>
          <w:rFonts w:ascii="Times New Roman" w:eastAsia="宋体" w:hAnsi="Times New Roman" w:cs="Times New Roman" w:hint="eastAsia"/>
          <w:i/>
          <w:iCs/>
          <w:szCs w:val="21"/>
        </w:rPr>
        <w:t>t</w:t>
      </w:r>
      <w:r w:rsidRPr="00857B61">
        <w:rPr>
          <w:rFonts w:eastAsia="宋体" w:hint="eastAsia"/>
          <w:szCs w:val="21"/>
        </w:rPr>
        <w:t>是否实行了检察行政公益诉讼制度，若实行则取值为</w:t>
      </w:r>
      <w:r w:rsidRPr="00857B61">
        <w:rPr>
          <w:rFonts w:ascii="Times New Roman" w:eastAsia="宋体" w:hAnsi="Times New Roman" w:cs="Times New Roman" w:hint="eastAsia"/>
          <w:szCs w:val="21"/>
        </w:rPr>
        <w:t>1</w:t>
      </w:r>
      <w:r w:rsidRPr="00857B61">
        <w:rPr>
          <w:rFonts w:eastAsia="宋体" w:hint="eastAsia"/>
          <w:szCs w:val="21"/>
        </w:rPr>
        <w:t>，否则取值为</w:t>
      </w:r>
      <w:r w:rsidRPr="00857B61">
        <w:rPr>
          <w:rFonts w:ascii="Times New Roman" w:eastAsia="宋体" w:hAnsi="Times New Roman" w:cs="Times New Roman"/>
          <w:szCs w:val="21"/>
        </w:rPr>
        <w:t>0</w:t>
      </w:r>
      <w:r w:rsidRPr="00857B61">
        <w:rPr>
          <w:rFonts w:eastAsia="宋体" w:hint="eastAsia"/>
          <w:szCs w:val="21"/>
        </w:rPr>
        <w:t>，系数</w:t>
      </w:r>
      <w:r w:rsidRPr="00857B61">
        <w:rPr>
          <w:rFonts w:ascii="Times New Roman" w:eastAsia="宋体" w:hAnsi="Times New Roman" w:cs="Times New Roman"/>
          <w:i/>
          <w:iCs/>
          <w:szCs w:val="21"/>
        </w:rPr>
        <w:t>β</w:t>
      </w:r>
      <w:r w:rsidRPr="00857B61">
        <w:rPr>
          <w:rFonts w:ascii="Times New Roman" w:eastAsia="宋体" w:hAnsi="Times New Roman" w:cs="Times New Roman"/>
          <w:i/>
          <w:iCs/>
          <w:szCs w:val="21"/>
          <w:vertAlign w:val="subscript"/>
        </w:rPr>
        <w:t>1</w:t>
      </w:r>
      <w:r w:rsidRPr="00857B61">
        <w:rPr>
          <w:rFonts w:eastAsia="宋体" w:hint="eastAsia"/>
          <w:szCs w:val="21"/>
        </w:rPr>
        <w:t>反映的是政策效应，并且因为试点时间较短，此政策效应为短期效应；在研究样本期内，如果企业</w:t>
      </w:r>
      <w:r w:rsidRPr="00857B61">
        <w:rPr>
          <w:rFonts w:ascii="Times New Roman" w:eastAsia="宋体" w:hAnsi="Times New Roman" w:cs="Times New Roman"/>
          <w:i/>
          <w:iCs/>
          <w:szCs w:val="21"/>
        </w:rPr>
        <w:t>i</w:t>
      </w:r>
      <w:r w:rsidRPr="00857B61">
        <w:rPr>
          <w:rFonts w:eastAsia="宋体" w:hint="eastAsia"/>
          <w:szCs w:val="21"/>
        </w:rPr>
        <w:t>所在城市被选为检察行政公益诉讼制度试点城市，</w:t>
      </w:r>
      <w:r w:rsidRPr="00857B61">
        <w:rPr>
          <w:rFonts w:ascii="Times New Roman" w:eastAsia="宋体" w:hAnsi="Times New Roman" w:cs="Times New Roman" w:hint="eastAsia"/>
          <w:i/>
          <w:iCs/>
          <w:szCs w:val="21"/>
        </w:rPr>
        <w:t>Treat</w:t>
      </w:r>
      <w:r w:rsidRPr="00857B61">
        <w:rPr>
          <w:rFonts w:ascii="Times New Roman" w:eastAsia="宋体" w:hAnsi="Times New Roman" w:cs="Times New Roman" w:hint="eastAsia"/>
          <w:i/>
          <w:iCs/>
          <w:szCs w:val="21"/>
          <w:vertAlign w:val="subscript"/>
        </w:rPr>
        <w:t>ij</w:t>
      </w:r>
      <w:r w:rsidRPr="00857B61">
        <w:rPr>
          <w:rFonts w:eastAsia="宋体" w:hint="eastAsia"/>
          <w:szCs w:val="21"/>
        </w:rPr>
        <w:t>取</w:t>
      </w:r>
      <w:r w:rsidRPr="00857B61">
        <w:rPr>
          <w:rFonts w:ascii="Times New Roman" w:eastAsia="宋体" w:hAnsi="Times New Roman" w:cs="Times New Roman" w:hint="eastAsia"/>
          <w:szCs w:val="21"/>
        </w:rPr>
        <w:t>1</w:t>
      </w:r>
      <w:r w:rsidRPr="00857B61">
        <w:rPr>
          <w:rFonts w:eastAsia="宋体" w:hint="eastAsia"/>
          <w:szCs w:val="21"/>
        </w:rPr>
        <w:t>，否则取</w:t>
      </w:r>
      <w:r w:rsidRPr="00857B61">
        <w:rPr>
          <w:rFonts w:ascii="Times New Roman" w:eastAsia="宋体" w:hAnsi="Times New Roman" w:cs="Times New Roman" w:hint="eastAsia"/>
          <w:szCs w:val="21"/>
        </w:rPr>
        <w:t>0</w:t>
      </w:r>
      <w:r w:rsidRPr="00857B61">
        <w:rPr>
          <w:rFonts w:eastAsia="宋体" w:hint="eastAsia"/>
          <w:szCs w:val="21"/>
        </w:rPr>
        <w:t>；当样本观测值发生在检察行政公益诉讼制度试点之后（即</w:t>
      </w:r>
      <w:r w:rsidRPr="00857B61">
        <w:rPr>
          <w:rFonts w:ascii="Times New Roman" w:eastAsia="宋体" w:hAnsi="Times New Roman" w:cs="Times New Roman"/>
          <w:szCs w:val="21"/>
        </w:rPr>
        <w:t>2015</w:t>
      </w:r>
      <w:r w:rsidRPr="00857B61">
        <w:rPr>
          <w:rFonts w:eastAsia="宋体" w:hint="eastAsia"/>
          <w:szCs w:val="21"/>
        </w:rPr>
        <w:t>年及之后），</w:t>
      </w:r>
      <w:r w:rsidRPr="00857B61">
        <w:rPr>
          <w:rFonts w:ascii="Times New Roman" w:eastAsia="宋体" w:hAnsi="Times New Roman" w:cs="Times New Roman" w:hint="eastAsia"/>
          <w:i/>
          <w:iCs/>
          <w:szCs w:val="21"/>
        </w:rPr>
        <w:t>Policy</w:t>
      </w:r>
      <w:r w:rsidRPr="00857B61">
        <w:rPr>
          <w:rFonts w:ascii="Times New Roman" w:eastAsia="宋体" w:hAnsi="Times New Roman" w:cs="Times New Roman" w:hint="eastAsia"/>
          <w:i/>
          <w:iCs/>
          <w:szCs w:val="21"/>
          <w:vertAlign w:val="subscript"/>
        </w:rPr>
        <w:t>it</w:t>
      </w:r>
      <w:r w:rsidRPr="00857B61">
        <w:rPr>
          <w:rFonts w:eastAsia="宋体" w:hint="eastAsia"/>
          <w:szCs w:val="21"/>
        </w:rPr>
        <w:t>取值为</w:t>
      </w:r>
      <w:r w:rsidRPr="00857B61">
        <w:rPr>
          <w:rFonts w:ascii="Times New Roman" w:eastAsia="宋体" w:hAnsi="Times New Roman" w:cs="Times New Roman"/>
          <w:szCs w:val="21"/>
        </w:rPr>
        <w:t>1</w:t>
      </w:r>
      <w:r w:rsidRPr="00857B61">
        <w:rPr>
          <w:rFonts w:eastAsia="宋体" w:hint="eastAsia"/>
          <w:szCs w:val="21"/>
        </w:rPr>
        <w:t>，否则取值为</w:t>
      </w:r>
      <w:r w:rsidRPr="00857B61">
        <w:rPr>
          <w:rFonts w:ascii="Times New Roman" w:eastAsia="宋体" w:hAnsi="Times New Roman" w:cs="Times New Roman"/>
          <w:szCs w:val="21"/>
        </w:rPr>
        <w:t>0</w:t>
      </w:r>
      <w:r w:rsidRPr="00857B61">
        <w:rPr>
          <w:rFonts w:ascii="Times New Roman" w:eastAsia="宋体" w:hAnsi="Times New Roman" w:cs="Times New Roman" w:hint="eastAsia"/>
          <w:szCs w:val="21"/>
        </w:rPr>
        <w:t>；</w:t>
      </w:r>
      <w:r w:rsidRPr="00857B61">
        <w:rPr>
          <w:rFonts w:ascii="Times New Roman" w:eastAsia="宋体" w:hAnsi="Times New Roman" w:cs="Times New Roman"/>
          <w:i/>
          <w:iCs/>
          <w:szCs w:val="21"/>
        </w:rPr>
        <w:t>Control</w:t>
      </w:r>
      <w:r w:rsidRPr="00857B61">
        <w:rPr>
          <w:rFonts w:ascii="Times New Roman" w:eastAsia="宋体" w:hAnsi="Times New Roman" w:cs="Times New Roman" w:hint="eastAsia"/>
          <w:i/>
          <w:iCs/>
          <w:szCs w:val="21"/>
        </w:rPr>
        <w:t>s</w:t>
      </w:r>
      <w:r w:rsidRPr="00857B61">
        <w:rPr>
          <w:rFonts w:ascii="Times New Roman" w:eastAsia="宋体" w:hAnsi="Times New Roman" w:cs="Times New Roman"/>
          <w:i/>
          <w:iCs/>
          <w:szCs w:val="21"/>
          <w:vertAlign w:val="subscript"/>
        </w:rPr>
        <w:t>it</w:t>
      </w:r>
      <w:r w:rsidRPr="00857B61">
        <w:rPr>
          <w:rFonts w:ascii="Times New Roman" w:eastAsia="宋体" w:hAnsi="Times New Roman" w:cs="Times New Roman" w:hint="eastAsia"/>
          <w:i/>
          <w:iCs/>
          <w:szCs w:val="21"/>
          <w:vertAlign w:val="subscript"/>
        </w:rPr>
        <w:t>-1</w:t>
      </w:r>
      <w:r w:rsidRPr="00857B61">
        <w:rPr>
          <w:rFonts w:ascii="宋体" w:eastAsia="宋体" w:hAnsi="宋体" w:cs="宋体" w:hint="eastAsia"/>
          <w:szCs w:val="21"/>
        </w:rPr>
        <w:t>代表一系列相关控制变量，</w:t>
      </w:r>
      <w:r w:rsidRPr="00857B61">
        <w:rPr>
          <w:rFonts w:eastAsia="宋体" w:hint="eastAsia"/>
          <w:szCs w:val="21"/>
        </w:rPr>
        <w:t>除</w:t>
      </w:r>
      <w:r w:rsidRPr="00857B61">
        <w:rPr>
          <w:rFonts w:hint="eastAsia"/>
          <w:szCs w:val="21"/>
        </w:rPr>
        <w:t>支付方式（</w:t>
      </w:r>
      <w:r w:rsidRPr="00857B61">
        <w:rPr>
          <w:rFonts w:ascii="Times New Roman" w:hAnsi="Times New Roman" w:cs="Times New Roman"/>
          <w:i/>
          <w:iCs/>
          <w:szCs w:val="21"/>
        </w:rPr>
        <w:t>Method</w:t>
      </w:r>
      <w:r w:rsidRPr="00857B61">
        <w:rPr>
          <w:rFonts w:hint="eastAsia"/>
          <w:szCs w:val="21"/>
        </w:rPr>
        <w:t>）及关联并购（</w:t>
      </w:r>
      <w:r w:rsidRPr="00857B61">
        <w:rPr>
          <w:rFonts w:ascii="Times New Roman" w:eastAsia="宋体" w:hAnsi="Times New Roman" w:cs="Times New Roman" w:hint="eastAsia"/>
          <w:i/>
          <w:iCs/>
          <w:szCs w:val="21"/>
        </w:rPr>
        <w:t>Rpt</w:t>
      </w:r>
      <w:r w:rsidRPr="00857B61">
        <w:rPr>
          <w:rFonts w:hint="eastAsia"/>
          <w:szCs w:val="21"/>
        </w:rPr>
        <w:t>）外，其余控制变量用企业并购前一年的数据表示</w:t>
      </w:r>
      <w:r w:rsidRPr="00857B61">
        <w:rPr>
          <w:rFonts w:eastAsia="宋体" w:hint="eastAsia"/>
          <w:szCs w:val="21"/>
        </w:rPr>
        <w:t>；</w:t>
      </w:r>
      <w:r w:rsidRPr="00857B61">
        <w:rPr>
          <w:rFonts w:ascii="Times New Roman" w:eastAsia="宋体" w:hAnsi="Times New Roman" w:cs="Times New Roman"/>
          <w:i/>
          <w:iCs/>
          <w:szCs w:val="21"/>
        </w:rPr>
        <w:t>γ</w:t>
      </w:r>
      <w:r w:rsidRPr="00857B61">
        <w:rPr>
          <w:rFonts w:ascii="Times New Roman" w:eastAsia="宋体" w:hAnsi="Times New Roman" w:cs="Times New Roman"/>
          <w:i/>
          <w:iCs/>
          <w:szCs w:val="21"/>
          <w:vertAlign w:val="subscript"/>
        </w:rPr>
        <w:t>t</w:t>
      </w:r>
      <w:r w:rsidRPr="00857B61">
        <w:rPr>
          <w:rFonts w:eastAsia="宋体" w:hint="eastAsia"/>
          <w:szCs w:val="21"/>
        </w:rPr>
        <w:t>为时间固定效应、</w:t>
      </w:r>
      <w:r w:rsidRPr="00857B61">
        <w:rPr>
          <w:rFonts w:ascii="Times New Roman" w:eastAsia="宋体" w:hAnsi="Times New Roman" w:cs="Times New Roman"/>
          <w:i/>
          <w:iCs/>
          <w:szCs w:val="21"/>
        </w:rPr>
        <w:t>μ</w:t>
      </w:r>
      <w:r w:rsidRPr="00857B61">
        <w:rPr>
          <w:rFonts w:ascii="Times New Roman" w:eastAsia="宋体" w:hAnsi="Times New Roman" w:cs="Times New Roman"/>
          <w:i/>
          <w:iCs/>
          <w:szCs w:val="21"/>
          <w:vertAlign w:val="subscript"/>
        </w:rPr>
        <w:t>r</w:t>
      </w:r>
      <w:r w:rsidRPr="00857B61">
        <w:rPr>
          <w:rFonts w:eastAsia="宋体" w:hint="eastAsia"/>
          <w:szCs w:val="21"/>
        </w:rPr>
        <w:t>为行业固定效应、</w:t>
      </w:r>
      <w:r w:rsidRPr="00857B61">
        <w:rPr>
          <w:rFonts w:ascii="Times New Roman" w:eastAsia="宋体" w:hAnsi="Times New Roman" w:cs="Times New Roman"/>
          <w:i/>
          <w:iCs/>
          <w:szCs w:val="21"/>
        </w:rPr>
        <w:t>θ</w:t>
      </w:r>
      <w:r w:rsidRPr="00857B61">
        <w:rPr>
          <w:rFonts w:ascii="Times New Roman" w:eastAsia="宋体" w:hAnsi="Times New Roman" w:cs="Times New Roman"/>
          <w:i/>
          <w:iCs/>
          <w:szCs w:val="21"/>
          <w:vertAlign w:val="subscript"/>
        </w:rPr>
        <w:t>j</w:t>
      </w:r>
      <w:r w:rsidRPr="00857B61">
        <w:rPr>
          <w:rFonts w:eastAsia="宋体" w:hint="eastAsia"/>
          <w:szCs w:val="21"/>
        </w:rPr>
        <w:t>为地区固定效应，</w:t>
      </w:r>
      <w:r w:rsidRPr="00857B61">
        <w:rPr>
          <w:rFonts w:ascii="Times New Roman" w:eastAsia="宋体" w:hAnsi="Times New Roman" w:cs="Times New Roman"/>
          <w:i/>
          <w:iCs/>
          <w:szCs w:val="21"/>
        </w:rPr>
        <w:t>ε</w:t>
      </w:r>
      <w:r w:rsidRPr="00857B61">
        <w:rPr>
          <w:rFonts w:ascii="宋体" w:eastAsia="宋体" w:hAnsi="宋体" w:cs="宋体" w:hint="eastAsia"/>
          <w:szCs w:val="21"/>
        </w:rPr>
        <w:t>为随机干扰项。</w:t>
      </w:r>
    </w:p>
    <w:p w14:paraId="740D3BAF" w14:textId="77777777" w:rsidR="00DE7EC6" w:rsidRPr="00857B61" w:rsidRDefault="00000000">
      <w:pPr>
        <w:pStyle w:val="30"/>
        <w:spacing w:before="120" w:after="120" w:line="240" w:lineRule="auto"/>
        <w:ind w:firstLineChars="200" w:firstLine="422"/>
        <w:rPr>
          <w:rFonts w:eastAsia="宋体"/>
          <w:sz w:val="21"/>
          <w:szCs w:val="21"/>
        </w:rPr>
      </w:pPr>
      <w:r w:rsidRPr="00857B61">
        <w:rPr>
          <w:rFonts w:eastAsia="宋体" w:hint="eastAsia"/>
          <w:sz w:val="21"/>
          <w:szCs w:val="21"/>
        </w:rPr>
        <w:t>（四）描述性统计结果</w:t>
      </w:r>
    </w:p>
    <w:p w14:paraId="3AB7A076" w14:textId="77777777" w:rsidR="00DE7EC6" w:rsidRPr="00857B61" w:rsidRDefault="00000000">
      <w:pPr>
        <w:ind w:firstLineChars="200" w:firstLine="420"/>
        <w:rPr>
          <w:rFonts w:eastAsia="宋体"/>
          <w:szCs w:val="21"/>
        </w:rPr>
      </w:pPr>
      <w:r w:rsidRPr="00857B61">
        <w:rPr>
          <w:rFonts w:eastAsia="宋体" w:hint="eastAsia"/>
          <w:szCs w:val="21"/>
        </w:rPr>
        <w:t>表</w:t>
      </w:r>
      <w:r w:rsidRPr="00857B61">
        <w:rPr>
          <w:rFonts w:ascii="Times New Roman" w:eastAsia="宋体" w:hAnsi="Times New Roman" w:cs="Times New Roman" w:hint="eastAsia"/>
          <w:szCs w:val="21"/>
        </w:rPr>
        <w:t>4</w:t>
      </w:r>
      <w:r w:rsidRPr="00857B61">
        <w:rPr>
          <w:rFonts w:eastAsia="宋体" w:hint="eastAsia"/>
          <w:szCs w:val="21"/>
        </w:rPr>
        <w:t>给出了主要变量的描述性统计结果，从表中可以看到并购溢价（</w:t>
      </w:r>
      <w:r w:rsidRPr="00857B61">
        <w:rPr>
          <w:rFonts w:ascii="Times New Roman" w:eastAsia="宋体" w:hAnsi="Times New Roman" w:cs="Times New Roman"/>
          <w:i/>
          <w:iCs/>
          <w:szCs w:val="21"/>
        </w:rPr>
        <w:t>Premium</w:t>
      </w:r>
      <w:r w:rsidRPr="00857B61">
        <w:rPr>
          <w:rFonts w:eastAsia="宋体" w:hint="eastAsia"/>
          <w:szCs w:val="21"/>
        </w:rPr>
        <w:t>）的均值是</w:t>
      </w:r>
      <w:r w:rsidRPr="00857B61">
        <w:rPr>
          <w:rFonts w:ascii="Times New Roman" w:eastAsia="宋体" w:hAnsi="Times New Roman" w:cs="Times New Roman"/>
          <w:szCs w:val="21"/>
        </w:rPr>
        <w:t>1.2</w:t>
      </w:r>
      <w:r w:rsidRPr="00857B61">
        <w:rPr>
          <w:rFonts w:ascii="Times New Roman" w:eastAsia="宋体" w:hAnsi="Times New Roman" w:cs="Times New Roman" w:hint="eastAsia"/>
          <w:szCs w:val="21"/>
        </w:rPr>
        <w:t>17</w:t>
      </w:r>
      <w:r w:rsidRPr="00857B61">
        <w:rPr>
          <w:rFonts w:eastAsia="宋体" w:hint="eastAsia"/>
          <w:szCs w:val="21"/>
        </w:rPr>
        <w:t>，标准差为</w:t>
      </w:r>
      <w:r w:rsidRPr="00857B61">
        <w:rPr>
          <w:rFonts w:ascii="Times New Roman" w:eastAsia="宋体" w:hAnsi="Times New Roman" w:cs="Times New Roman"/>
          <w:szCs w:val="21"/>
        </w:rPr>
        <w:t>4.2</w:t>
      </w:r>
      <w:r w:rsidRPr="00857B61">
        <w:rPr>
          <w:rFonts w:ascii="Times New Roman" w:eastAsia="宋体" w:hAnsi="Times New Roman" w:cs="Times New Roman" w:hint="eastAsia"/>
          <w:szCs w:val="21"/>
        </w:rPr>
        <w:t>16</w:t>
      </w:r>
      <w:r w:rsidRPr="00857B61">
        <w:rPr>
          <w:rFonts w:eastAsia="宋体" w:hint="eastAsia"/>
          <w:szCs w:val="21"/>
        </w:rPr>
        <w:t>，最小值和最大值分别为</w:t>
      </w:r>
      <w:r w:rsidRPr="00857B61">
        <w:rPr>
          <w:rFonts w:ascii="Times New Roman" w:eastAsia="宋体" w:hAnsi="Times New Roman" w:cs="Times New Roman" w:hint="eastAsia"/>
          <w:szCs w:val="21"/>
        </w:rPr>
        <w:t>-7.100</w:t>
      </w:r>
      <w:r w:rsidRPr="00857B61">
        <w:rPr>
          <w:rFonts w:eastAsia="宋体" w:hint="eastAsia"/>
          <w:szCs w:val="21"/>
        </w:rPr>
        <w:t>和</w:t>
      </w:r>
      <w:r w:rsidRPr="00857B61">
        <w:rPr>
          <w:rFonts w:ascii="Times New Roman" w:eastAsia="宋体" w:hAnsi="Times New Roman" w:cs="Times New Roman" w:hint="eastAsia"/>
          <w:szCs w:val="21"/>
        </w:rPr>
        <w:t>30.863</w:t>
      </w:r>
      <w:r w:rsidRPr="00857B61">
        <w:rPr>
          <w:rFonts w:eastAsia="宋体" w:hint="eastAsia"/>
          <w:szCs w:val="21"/>
        </w:rPr>
        <w:t>，说明企业并购交易样本中并购溢价水平存在着较大差异。</w:t>
      </w:r>
      <w:r w:rsidRPr="00857B61">
        <w:rPr>
          <w:rFonts w:hint="eastAsia"/>
          <w:szCs w:val="21"/>
        </w:rPr>
        <w:t>第一大股东持股比例（</w:t>
      </w:r>
      <w:r w:rsidRPr="00857B61">
        <w:rPr>
          <w:rFonts w:ascii="Times New Roman" w:hAnsi="Times New Roman" w:cs="Times New Roman" w:hint="eastAsia"/>
          <w:i/>
          <w:iCs/>
          <w:szCs w:val="21"/>
        </w:rPr>
        <w:t>Ls</w:t>
      </w:r>
      <w:r w:rsidRPr="00857B61">
        <w:rPr>
          <w:rFonts w:ascii="Times New Roman" w:hAnsi="Times New Roman" w:cs="Times New Roman" w:hint="eastAsia"/>
          <w:szCs w:val="21"/>
        </w:rPr>
        <w:t>）</w:t>
      </w:r>
      <w:r w:rsidRPr="00857B61">
        <w:rPr>
          <w:rFonts w:hint="eastAsia"/>
          <w:szCs w:val="21"/>
        </w:rPr>
        <w:t>的均值是</w:t>
      </w:r>
      <w:r w:rsidRPr="00857B61">
        <w:rPr>
          <w:rFonts w:ascii="Times New Roman" w:hAnsi="Times New Roman" w:cs="Times New Roman" w:hint="eastAsia"/>
          <w:szCs w:val="21"/>
        </w:rPr>
        <w:t>0.369</w:t>
      </w:r>
      <w:r w:rsidRPr="00857B61">
        <w:rPr>
          <w:rFonts w:hint="eastAsia"/>
          <w:szCs w:val="21"/>
        </w:rPr>
        <w:t>，标准差、最小值和最大值分别为</w:t>
      </w:r>
      <w:r w:rsidRPr="00857B61">
        <w:rPr>
          <w:rFonts w:ascii="Times New Roman" w:hAnsi="Times New Roman" w:cs="Times New Roman" w:hint="eastAsia"/>
          <w:szCs w:val="21"/>
        </w:rPr>
        <w:t>0.151</w:t>
      </w:r>
      <w:r w:rsidRPr="00857B61">
        <w:rPr>
          <w:rFonts w:hint="eastAsia"/>
          <w:szCs w:val="21"/>
        </w:rPr>
        <w:t>、</w:t>
      </w:r>
      <w:r w:rsidRPr="00857B61">
        <w:rPr>
          <w:rFonts w:ascii="Times New Roman" w:hAnsi="Times New Roman" w:cs="Times New Roman" w:hint="eastAsia"/>
          <w:szCs w:val="21"/>
        </w:rPr>
        <w:t>0.036</w:t>
      </w:r>
      <w:r w:rsidRPr="00857B61">
        <w:rPr>
          <w:rFonts w:hint="eastAsia"/>
          <w:szCs w:val="21"/>
        </w:rPr>
        <w:t>和</w:t>
      </w:r>
      <w:r w:rsidRPr="00857B61">
        <w:rPr>
          <w:rFonts w:ascii="Times New Roman" w:hAnsi="Times New Roman" w:cs="Times New Roman" w:hint="eastAsia"/>
          <w:szCs w:val="21"/>
        </w:rPr>
        <w:t>0.849</w:t>
      </w:r>
      <w:r w:rsidRPr="00857B61">
        <w:rPr>
          <w:rFonts w:hint="eastAsia"/>
          <w:szCs w:val="21"/>
        </w:rPr>
        <w:t>，说明企业间股权集中度存在较大的差异。市场化指数（</w:t>
      </w:r>
      <w:r w:rsidRPr="00857B61">
        <w:rPr>
          <w:rFonts w:ascii="Times New Roman" w:hAnsi="Times New Roman" w:cs="Times New Roman" w:hint="eastAsia"/>
          <w:i/>
          <w:iCs/>
          <w:szCs w:val="21"/>
        </w:rPr>
        <w:t>Marketization</w:t>
      </w:r>
      <w:r w:rsidRPr="00857B61">
        <w:rPr>
          <w:rFonts w:hint="eastAsia"/>
          <w:szCs w:val="21"/>
        </w:rPr>
        <w:t>）的最小值和最大值分别为</w:t>
      </w:r>
      <w:r w:rsidRPr="00857B61">
        <w:rPr>
          <w:rFonts w:ascii="Times New Roman" w:hAnsi="Times New Roman" w:cs="Times New Roman" w:hint="eastAsia"/>
          <w:szCs w:val="21"/>
        </w:rPr>
        <w:t>0.060</w:t>
      </w:r>
      <w:r w:rsidRPr="00857B61">
        <w:rPr>
          <w:rFonts w:hint="eastAsia"/>
          <w:szCs w:val="21"/>
        </w:rPr>
        <w:t>、</w:t>
      </w:r>
      <w:r w:rsidRPr="00857B61">
        <w:rPr>
          <w:rFonts w:ascii="Times New Roman" w:hAnsi="Times New Roman" w:cs="Times New Roman" w:hint="eastAsia"/>
          <w:szCs w:val="21"/>
        </w:rPr>
        <w:t>10.920</w:t>
      </w:r>
      <w:r w:rsidRPr="00857B61">
        <w:rPr>
          <w:rFonts w:hint="eastAsia"/>
          <w:szCs w:val="21"/>
        </w:rPr>
        <w:t>，存在较大差异。同样，地方财政收入（</w:t>
      </w:r>
      <w:r w:rsidRPr="00857B61">
        <w:rPr>
          <w:rFonts w:ascii="Times New Roman" w:eastAsia="宋体" w:hAnsi="Times New Roman" w:cs="Times New Roman" w:hint="eastAsia"/>
          <w:i/>
          <w:iCs/>
          <w:szCs w:val="21"/>
        </w:rPr>
        <w:t>Revenue</w:t>
      </w:r>
      <w:r w:rsidRPr="00857B61">
        <w:rPr>
          <w:rFonts w:hint="eastAsia"/>
          <w:szCs w:val="21"/>
        </w:rPr>
        <w:t>）、规模（</w:t>
      </w:r>
      <w:r w:rsidRPr="00857B61">
        <w:rPr>
          <w:rFonts w:ascii="Times New Roman" w:hAnsi="Times New Roman" w:cs="Times New Roman" w:hint="eastAsia"/>
          <w:i/>
          <w:iCs/>
          <w:szCs w:val="21"/>
        </w:rPr>
        <w:t>Size</w:t>
      </w:r>
      <w:r w:rsidRPr="00857B61">
        <w:rPr>
          <w:rFonts w:ascii="Times New Roman" w:hAnsi="Times New Roman" w:cs="Times New Roman" w:hint="eastAsia"/>
          <w:szCs w:val="21"/>
        </w:rPr>
        <w:t>）及冗余资源（</w:t>
      </w:r>
      <w:r w:rsidRPr="00857B61">
        <w:rPr>
          <w:rFonts w:ascii="Times New Roman" w:eastAsia="宋体" w:hAnsi="Times New Roman" w:cs="Times New Roman" w:hint="eastAsia"/>
          <w:i/>
          <w:iCs/>
          <w:szCs w:val="21"/>
        </w:rPr>
        <w:t>Slack</w:t>
      </w:r>
      <w:r w:rsidRPr="00857B61">
        <w:rPr>
          <w:rFonts w:ascii="Times New Roman" w:hAnsi="Times New Roman" w:cs="Times New Roman" w:hint="eastAsia"/>
          <w:szCs w:val="21"/>
        </w:rPr>
        <w:t>）等</w:t>
      </w:r>
      <w:r w:rsidRPr="00857B61">
        <w:rPr>
          <w:rFonts w:hint="eastAsia"/>
          <w:szCs w:val="21"/>
        </w:rPr>
        <w:t>变量均存在较大差异。</w:t>
      </w:r>
    </w:p>
    <w:p w14:paraId="31939A52" w14:textId="77777777" w:rsidR="00DE7EC6" w:rsidRPr="00857B61" w:rsidRDefault="00000000">
      <w:pPr>
        <w:jc w:val="center"/>
        <w:rPr>
          <w:rFonts w:ascii="Times New Roman" w:eastAsia="楷体" w:hAnsi="Times New Roman"/>
          <w:bCs/>
          <w:szCs w:val="21"/>
        </w:rPr>
      </w:pPr>
      <w:r w:rsidRPr="00857B61">
        <w:rPr>
          <w:rFonts w:ascii="Times New Roman" w:eastAsia="楷体" w:hAnsi="Times New Roman" w:hint="eastAsia"/>
          <w:bCs/>
          <w:szCs w:val="21"/>
        </w:rPr>
        <w:t>表</w:t>
      </w:r>
      <w:r w:rsidRPr="00857B61">
        <w:rPr>
          <w:rFonts w:ascii="Times New Roman" w:eastAsia="楷体" w:hAnsi="Times New Roman" w:hint="eastAsia"/>
          <w:bCs/>
          <w:szCs w:val="21"/>
        </w:rPr>
        <w:t xml:space="preserve">4 </w:t>
      </w:r>
      <w:r w:rsidRPr="00857B61">
        <w:rPr>
          <w:rFonts w:ascii="Times New Roman" w:eastAsia="楷体" w:hAnsi="Times New Roman" w:hint="eastAsia"/>
          <w:bCs/>
          <w:szCs w:val="21"/>
        </w:rPr>
        <w:t>主要变量描述性统计</w:t>
      </w:r>
    </w:p>
    <w:tbl>
      <w:tblPr>
        <w:tblStyle w:val="a7"/>
        <w:tblW w:w="5000" w:type="pct"/>
        <w:jc w:val="center"/>
        <w:tblBorders>
          <w:top w:val="single" w:sz="8" w:space="0" w:color="auto"/>
          <w:left w:val="none" w:sz="0" w:space="0" w:color="auto"/>
          <w:bottom w:val="single" w:sz="8" w:space="0" w:color="auto"/>
          <w:right w:val="none" w:sz="0" w:space="0" w:color="auto"/>
          <w:insideH w:val="single" w:sz="8" w:space="0" w:color="auto"/>
          <w:insideV w:val="single" w:sz="8" w:space="0" w:color="auto"/>
        </w:tblBorders>
        <w:tblLook w:val="04A0" w:firstRow="1" w:lastRow="0" w:firstColumn="1" w:lastColumn="0" w:noHBand="0" w:noVBand="1"/>
      </w:tblPr>
      <w:tblGrid>
        <w:gridCol w:w="1867"/>
        <w:gridCol w:w="1436"/>
        <w:gridCol w:w="1424"/>
        <w:gridCol w:w="1423"/>
        <w:gridCol w:w="1430"/>
        <w:gridCol w:w="1424"/>
      </w:tblGrid>
      <w:tr w:rsidR="00857B61" w:rsidRPr="00857B61" w14:paraId="07E0EDC3" w14:textId="77777777">
        <w:trPr>
          <w:jc w:val="center"/>
        </w:trPr>
        <w:tc>
          <w:tcPr>
            <w:tcW w:w="1036" w:type="pct"/>
            <w:vAlign w:val="center"/>
          </w:tcPr>
          <w:p w14:paraId="06941243" w14:textId="77777777" w:rsidR="00DE7EC6" w:rsidRPr="00857B61" w:rsidRDefault="00000000">
            <w:pPr>
              <w:jc w:val="center"/>
              <w:rPr>
                <w:rFonts w:eastAsia="宋体"/>
                <w:szCs w:val="21"/>
              </w:rPr>
            </w:pPr>
            <w:r w:rsidRPr="00857B61">
              <w:rPr>
                <w:rFonts w:eastAsia="宋体" w:hint="eastAsia"/>
                <w:szCs w:val="21"/>
              </w:rPr>
              <w:t>变量</w:t>
            </w:r>
          </w:p>
        </w:tc>
        <w:tc>
          <w:tcPr>
            <w:tcW w:w="797" w:type="pct"/>
            <w:vAlign w:val="center"/>
          </w:tcPr>
          <w:p w14:paraId="798D38FA" w14:textId="77777777" w:rsidR="00DE7EC6" w:rsidRPr="00857B61" w:rsidRDefault="00000000">
            <w:pPr>
              <w:jc w:val="center"/>
              <w:rPr>
                <w:rFonts w:eastAsia="宋体"/>
                <w:szCs w:val="21"/>
              </w:rPr>
            </w:pPr>
            <w:r w:rsidRPr="00857B61">
              <w:rPr>
                <w:rFonts w:eastAsia="宋体" w:hint="eastAsia"/>
                <w:szCs w:val="21"/>
              </w:rPr>
              <w:t>观测数量</w:t>
            </w:r>
          </w:p>
        </w:tc>
        <w:tc>
          <w:tcPr>
            <w:tcW w:w="790" w:type="pct"/>
            <w:vAlign w:val="center"/>
          </w:tcPr>
          <w:p w14:paraId="39CFC834" w14:textId="77777777" w:rsidR="00DE7EC6" w:rsidRPr="00857B61" w:rsidRDefault="00000000">
            <w:pPr>
              <w:jc w:val="center"/>
              <w:rPr>
                <w:rFonts w:eastAsia="宋体"/>
                <w:szCs w:val="21"/>
              </w:rPr>
            </w:pPr>
            <w:r w:rsidRPr="00857B61">
              <w:rPr>
                <w:rFonts w:eastAsia="宋体" w:hint="eastAsia"/>
                <w:szCs w:val="21"/>
              </w:rPr>
              <w:t>均值</w:t>
            </w:r>
          </w:p>
        </w:tc>
        <w:tc>
          <w:tcPr>
            <w:tcW w:w="790" w:type="pct"/>
            <w:vAlign w:val="center"/>
          </w:tcPr>
          <w:p w14:paraId="7340569E" w14:textId="77777777" w:rsidR="00DE7EC6" w:rsidRPr="00857B61" w:rsidRDefault="00000000">
            <w:pPr>
              <w:jc w:val="center"/>
              <w:rPr>
                <w:rFonts w:eastAsia="宋体"/>
                <w:szCs w:val="21"/>
              </w:rPr>
            </w:pPr>
            <w:r w:rsidRPr="00857B61">
              <w:rPr>
                <w:rFonts w:eastAsia="宋体" w:hint="eastAsia"/>
                <w:szCs w:val="21"/>
              </w:rPr>
              <w:t>标准差</w:t>
            </w:r>
          </w:p>
        </w:tc>
        <w:tc>
          <w:tcPr>
            <w:tcW w:w="794" w:type="pct"/>
            <w:vAlign w:val="center"/>
          </w:tcPr>
          <w:p w14:paraId="0647E28A" w14:textId="77777777" w:rsidR="00DE7EC6" w:rsidRPr="00857B61" w:rsidRDefault="00000000">
            <w:pPr>
              <w:jc w:val="center"/>
              <w:rPr>
                <w:rFonts w:eastAsia="宋体"/>
                <w:szCs w:val="21"/>
              </w:rPr>
            </w:pPr>
            <w:r w:rsidRPr="00857B61">
              <w:rPr>
                <w:rFonts w:eastAsia="宋体" w:hint="eastAsia"/>
                <w:szCs w:val="21"/>
              </w:rPr>
              <w:t>最小值</w:t>
            </w:r>
          </w:p>
        </w:tc>
        <w:tc>
          <w:tcPr>
            <w:tcW w:w="791" w:type="pct"/>
            <w:vAlign w:val="center"/>
          </w:tcPr>
          <w:p w14:paraId="0ECA746B" w14:textId="77777777" w:rsidR="00DE7EC6" w:rsidRPr="00857B61" w:rsidRDefault="00000000">
            <w:pPr>
              <w:jc w:val="center"/>
              <w:rPr>
                <w:rFonts w:eastAsia="宋体"/>
                <w:szCs w:val="21"/>
              </w:rPr>
            </w:pPr>
            <w:r w:rsidRPr="00857B61">
              <w:rPr>
                <w:rFonts w:eastAsia="宋体" w:hint="eastAsia"/>
                <w:szCs w:val="21"/>
              </w:rPr>
              <w:t>最大值</w:t>
            </w:r>
          </w:p>
        </w:tc>
      </w:tr>
      <w:tr w:rsidR="00857B61" w:rsidRPr="00857B61" w14:paraId="4E13F4F2" w14:textId="77777777">
        <w:trPr>
          <w:jc w:val="center"/>
        </w:trPr>
        <w:tc>
          <w:tcPr>
            <w:tcW w:w="1036" w:type="pct"/>
          </w:tcPr>
          <w:p w14:paraId="5B0E10DA"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Premium</w:t>
            </w:r>
          </w:p>
        </w:tc>
        <w:tc>
          <w:tcPr>
            <w:tcW w:w="797" w:type="pct"/>
            <w:vAlign w:val="center"/>
          </w:tcPr>
          <w:p w14:paraId="45A9722E"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1,567</w:t>
            </w:r>
          </w:p>
        </w:tc>
        <w:tc>
          <w:tcPr>
            <w:tcW w:w="790" w:type="pct"/>
            <w:vAlign w:val="center"/>
          </w:tcPr>
          <w:p w14:paraId="108E39A3"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1.217</w:t>
            </w:r>
          </w:p>
        </w:tc>
        <w:tc>
          <w:tcPr>
            <w:tcW w:w="790" w:type="pct"/>
            <w:vAlign w:val="center"/>
          </w:tcPr>
          <w:p w14:paraId="3B45DD69"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4.216</w:t>
            </w:r>
          </w:p>
        </w:tc>
        <w:tc>
          <w:tcPr>
            <w:tcW w:w="794" w:type="pct"/>
            <w:vAlign w:val="center"/>
          </w:tcPr>
          <w:p w14:paraId="024BCBA8"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-7.100</w:t>
            </w:r>
          </w:p>
        </w:tc>
        <w:tc>
          <w:tcPr>
            <w:tcW w:w="791" w:type="pct"/>
            <w:vAlign w:val="center"/>
          </w:tcPr>
          <w:p w14:paraId="30D09C96"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30.863</w:t>
            </w:r>
          </w:p>
        </w:tc>
      </w:tr>
      <w:tr w:rsidR="00857B61" w:rsidRPr="00857B61" w14:paraId="3DC2327C" w14:textId="77777777">
        <w:trPr>
          <w:jc w:val="center"/>
        </w:trPr>
        <w:tc>
          <w:tcPr>
            <w:tcW w:w="1036" w:type="pct"/>
          </w:tcPr>
          <w:p w14:paraId="6EA8B935"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ROA</w:t>
            </w:r>
          </w:p>
        </w:tc>
        <w:tc>
          <w:tcPr>
            <w:tcW w:w="797" w:type="pct"/>
            <w:vAlign w:val="center"/>
          </w:tcPr>
          <w:p w14:paraId="59D62987"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1,567</w:t>
            </w:r>
          </w:p>
        </w:tc>
        <w:tc>
          <w:tcPr>
            <w:tcW w:w="790" w:type="pct"/>
            <w:vAlign w:val="center"/>
          </w:tcPr>
          <w:p w14:paraId="080402E1"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0.014</w:t>
            </w:r>
          </w:p>
        </w:tc>
        <w:tc>
          <w:tcPr>
            <w:tcW w:w="790" w:type="pct"/>
            <w:vAlign w:val="center"/>
          </w:tcPr>
          <w:p w14:paraId="1CEF1542"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0.052</w:t>
            </w:r>
          </w:p>
        </w:tc>
        <w:tc>
          <w:tcPr>
            <w:tcW w:w="794" w:type="pct"/>
            <w:vAlign w:val="center"/>
          </w:tcPr>
          <w:p w14:paraId="1B0F3C34"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-0.155</w:t>
            </w:r>
          </w:p>
        </w:tc>
        <w:tc>
          <w:tcPr>
            <w:tcW w:w="791" w:type="pct"/>
            <w:vAlign w:val="center"/>
          </w:tcPr>
          <w:p w14:paraId="32854559"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0.127</w:t>
            </w:r>
          </w:p>
        </w:tc>
      </w:tr>
      <w:tr w:rsidR="00857B61" w:rsidRPr="00857B61" w14:paraId="070174D5" w14:textId="77777777">
        <w:trPr>
          <w:jc w:val="center"/>
        </w:trPr>
        <w:tc>
          <w:tcPr>
            <w:tcW w:w="1036" w:type="pct"/>
          </w:tcPr>
          <w:p w14:paraId="5E17A001"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Ls</w:t>
            </w:r>
          </w:p>
        </w:tc>
        <w:tc>
          <w:tcPr>
            <w:tcW w:w="797" w:type="pct"/>
            <w:vAlign w:val="center"/>
          </w:tcPr>
          <w:p w14:paraId="4B6221DA"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1,567</w:t>
            </w:r>
          </w:p>
        </w:tc>
        <w:tc>
          <w:tcPr>
            <w:tcW w:w="790" w:type="pct"/>
            <w:vAlign w:val="center"/>
          </w:tcPr>
          <w:p w14:paraId="0EB979B8"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hint="eastAsia"/>
                <w:kern w:val="0"/>
                <w:szCs w:val="21"/>
              </w:rPr>
              <w:t>0.</w:t>
            </w:r>
            <w:r w:rsidRPr="00857B61">
              <w:rPr>
                <w:rFonts w:ascii="Times New Roman" w:eastAsia="宋体" w:hAnsi="Times New Roman" w:cs="Times New Roman"/>
                <w:kern w:val="0"/>
                <w:szCs w:val="21"/>
              </w:rPr>
              <w:t>369</w:t>
            </w:r>
          </w:p>
        </w:tc>
        <w:tc>
          <w:tcPr>
            <w:tcW w:w="790" w:type="pct"/>
            <w:vAlign w:val="center"/>
          </w:tcPr>
          <w:p w14:paraId="7C7F534B"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hint="eastAsia"/>
                <w:kern w:val="0"/>
                <w:szCs w:val="21"/>
              </w:rPr>
              <w:t>0.</w:t>
            </w:r>
            <w:r w:rsidRPr="00857B61">
              <w:rPr>
                <w:rFonts w:ascii="Times New Roman" w:eastAsia="宋体" w:hAnsi="Times New Roman" w:cs="Times New Roman"/>
                <w:kern w:val="0"/>
                <w:szCs w:val="21"/>
              </w:rPr>
              <w:t>15</w:t>
            </w:r>
            <w:r w:rsidRPr="00857B61">
              <w:rPr>
                <w:rFonts w:ascii="Times New Roman" w:eastAsia="宋体" w:hAnsi="Times New Roman" w:cs="Times New Roman" w:hint="eastAsia"/>
                <w:kern w:val="0"/>
                <w:szCs w:val="21"/>
              </w:rPr>
              <w:t>1</w:t>
            </w:r>
          </w:p>
        </w:tc>
        <w:tc>
          <w:tcPr>
            <w:tcW w:w="794" w:type="pct"/>
            <w:vAlign w:val="center"/>
          </w:tcPr>
          <w:p w14:paraId="3BAB6114"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hint="eastAsia"/>
                <w:kern w:val="0"/>
                <w:szCs w:val="21"/>
              </w:rPr>
              <w:t>0.0</w:t>
            </w:r>
            <w:r w:rsidRPr="00857B61">
              <w:rPr>
                <w:rFonts w:ascii="Times New Roman" w:eastAsia="宋体" w:hAnsi="Times New Roman" w:cs="Times New Roman"/>
                <w:kern w:val="0"/>
                <w:szCs w:val="21"/>
              </w:rPr>
              <w:t>36</w:t>
            </w:r>
          </w:p>
        </w:tc>
        <w:tc>
          <w:tcPr>
            <w:tcW w:w="791" w:type="pct"/>
            <w:vAlign w:val="center"/>
          </w:tcPr>
          <w:p w14:paraId="38B8076B"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hint="eastAsia"/>
                <w:kern w:val="0"/>
                <w:szCs w:val="21"/>
              </w:rPr>
              <w:t>0.</w:t>
            </w:r>
            <w:r w:rsidRPr="00857B61">
              <w:rPr>
                <w:rFonts w:ascii="Times New Roman" w:eastAsia="宋体" w:hAnsi="Times New Roman" w:cs="Times New Roman"/>
                <w:kern w:val="0"/>
                <w:szCs w:val="21"/>
              </w:rPr>
              <w:t>8</w:t>
            </w:r>
            <w:r w:rsidRPr="00857B61">
              <w:rPr>
                <w:rFonts w:ascii="Times New Roman" w:eastAsia="宋体" w:hAnsi="Times New Roman" w:cs="Times New Roman" w:hint="eastAsia"/>
                <w:kern w:val="0"/>
                <w:szCs w:val="21"/>
              </w:rPr>
              <w:t>49</w:t>
            </w:r>
          </w:p>
        </w:tc>
      </w:tr>
      <w:tr w:rsidR="00857B61" w:rsidRPr="00857B61" w14:paraId="39BA9A06" w14:textId="77777777">
        <w:trPr>
          <w:jc w:val="center"/>
        </w:trPr>
        <w:tc>
          <w:tcPr>
            <w:tcW w:w="1036" w:type="pct"/>
          </w:tcPr>
          <w:p w14:paraId="5DEBC480"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Lev</w:t>
            </w:r>
          </w:p>
        </w:tc>
        <w:tc>
          <w:tcPr>
            <w:tcW w:w="797" w:type="pct"/>
            <w:vAlign w:val="center"/>
          </w:tcPr>
          <w:p w14:paraId="38DE5A63"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1,567</w:t>
            </w:r>
          </w:p>
        </w:tc>
        <w:tc>
          <w:tcPr>
            <w:tcW w:w="790" w:type="pct"/>
            <w:vAlign w:val="center"/>
          </w:tcPr>
          <w:p w14:paraId="453E536B"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0.575</w:t>
            </w:r>
          </w:p>
        </w:tc>
        <w:tc>
          <w:tcPr>
            <w:tcW w:w="790" w:type="pct"/>
            <w:vAlign w:val="center"/>
          </w:tcPr>
          <w:p w14:paraId="03130658"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0.196</w:t>
            </w:r>
          </w:p>
        </w:tc>
        <w:tc>
          <w:tcPr>
            <w:tcW w:w="794" w:type="pct"/>
            <w:vAlign w:val="center"/>
          </w:tcPr>
          <w:p w14:paraId="0BE7029D"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0.019</w:t>
            </w:r>
          </w:p>
        </w:tc>
        <w:tc>
          <w:tcPr>
            <w:tcW w:w="791" w:type="pct"/>
            <w:vAlign w:val="center"/>
          </w:tcPr>
          <w:p w14:paraId="385BEDB2"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0.996</w:t>
            </w:r>
          </w:p>
        </w:tc>
      </w:tr>
      <w:tr w:rsidR="00857B61" w:rsidRPr="00857B61" w14:paraId="4B425521" w14:textId="77777777">
        <w:trPr>
          <w:jc w:val="center"/>
        </w:trPr>
        <w:tc>
          <w:tcPr>
            <w:tcW w:w="1036" w:type="pct"/>
          </w:tcPr>
          <w:p w14:paraId="46B3B6F7"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Marketization</w:t>
            </w:r>
          </w:p>
        </w:tc>
        <w:tc>
          <w:tcPr>
            <w:tcW w:w="797" w:type="pct"/>
            <w:vAlign w:val="center"/>
          </w:tcPr>
          <w:p w14:paraId="777EF2F3"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1,567</w:t>
            </w:r>
          </w:p>
        </w:tc>
        <w:tc>
          <w:tcPr>
            <w:tcW w:w="790" w:type="pct"/>
            <w:vAlign w:val="center"/>
          </w:tcPr>
          <w:p w14:paraId="5C3B5095"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7.475</w:t>
            </w:r>
          </w:p>
        </w:tc>
        <w:tc>
          <w:tcPr>
            <w:tcW w:w="790" w:type="pct"/>
            <w:vAlign w:val="center"/>
          </w:tcPr>
          <w:p w14:paraId="6A8F4B27"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1.822</w:t>
            </w:r>
          </w:p>
        </w:tc>
        <w:tc>
          <w:tcPr>
            <w:tcW w:w="794" w:type="pct"/>
            <w:vAlign w:val="center"/>
          </w:tcPr>
          <w:p w14:paraId="16430E02"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0.060</w:t>
            </w:r>
          </w:p>
        </w:tc>
        <w:tc>
          <w:tcPr>
            <w:tcW w:w="791" w:type="pct"/>
            <w:vAlign w:val="center"/>
          </w:tcPr>
          <w:p w14:paraId="257D195A"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10.920</w:t>
            </w:r>
          </w:p>
        </w:tc>
      </w:tr>
      <w:tr w:rsidR="00857B61" w:rsidRPr="00857B61" w14:paraId="0FC34EA4" w14:textId="77777777">
        <w:trPr>
          <w:jc w:val="center"/>
        </w:trPr>
        <w:tc>
          <w:tcPr>
            <w:tcW w:w="1036" w:type="pct"/>
          </w:tcPr>
          <w:p w14:paraId="4AC8BF1C"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PGDP</w:t>
            </w:r>
          </w:p>
        </w:tc>
        <w:tc>
          <w:tcPr>
            <w:tcW w:w="797" w:type="pct"/>
            <w:vAlign w:val="center"/>
          </w:tcPr>
          <w:p w14:paraId="12587323"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1,567</w:t>
            </w:r>
          </w:p>
        </w:tc>
        <w:tc>
          <w:tcPr>
            <w:tcW w:w="790" w:type="pct"/>
            <w:vAlign w:val="center"/>
          </w:tcPr>
          <w:p w14:paraId="6645B0A6"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11.313</w:t>
            </w:r>
          </w:p>
        </w:tc>
        <w:tc>
          <w:tcPr>
            <w:tcW w:w="790" w:type="pct"/>
            <w:vAlign w:val="center"/>
          </w:tcPr>
          <w:p w14:paraId="1A96AD38"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0.745</w:t>
            </w:r>
          </w:p>
        </w:tc>
        <w:tc>
          <w:tcPr>
            <w:tcW w:w="794" w:type="pct"/>
            <w:vAlign w:val="center"/>
          </w:tcPr>
          <w:p w14:paraId="217FF9D0"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9.806</w:t>
            </w:r>
          </w:p>
        </w:tc>
        <w:tc>
          <w:tcPr>
            <w:tcW w:w="791" w:type="pct"/>
            <w:vAlign w:val="center"/>
          </w:tcPr>
          <w:p w14:paraId="459F6A71"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12.818</w:t>
            </w:r>
          </w:p>
        </w:tc>
      </w:tr>
      <w:tr w:rsidR="00857B61" w:rsidRPr="00857B61" w14:paraId="08217445" w14:textId="77777777">
        <w:trPr>
          <w:jc w:val="center"/>
        </w:trPr>
        <w:tc>
          <w:tcPr>
            <w:tcW w:w="1036" w:type="pct"/>
          </w:tcPr>
          <w:p w14:paraId="52AC9808"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Revenue</w:t>
            </w:r>
          </w:p>
        </w:tc>
        <w:tc>
          <w:tcPr>
            <w:tcW w:w="797" w:type="pct"/>
            <w:vAlign w:val="center"/>
          </w:tcPr>
          <w:p w14:paraId="42515C6C"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1,567</w:t>
            </w:r>
          </w:p>
        </w:tc>
        <w:tc>
          <w:tcPr>
            <w:tcW w:w="790" w:type="pct"/>
            <w:vAlign w:val="center"/>
          </w:tcPr>
          <w:p w14:paraId="46537C31"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24.769</w:t>
            </w:r>
          </w:p>
        </w:tc>
        <w:tc>
          <w:tcPr>
            <w:tcW w:w="790" w:type="pct"/>
            <w:vAlign w:val="center"/>
          </w:tcPr>
          <w:p w14:paraId="0BD03F4B"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1.460</w:t>
            </w:r>
          </w:p>
        </w:tc>
        <w:tc>
          <w:tcPr>
            <w:tcW w:w="794" w:type="pct"/>
            <w:vAlign w:val="center"/>
          </w:tcPr>
          <w:p w14:paraId="4F18CB67"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21.294</w:t>
            </w:r>
          </w:p>
        </w:tc>
        <w:tc>
          <w:tcPr>
            <w:tcW w:w="791" w:type="pct"/>
            <w:vAlign w:val="center"/>
          </w:tcPr>
          <w:p w14:paraId="0540203D"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27.186</w:t>
            </w:r>
          </w:p>
        </w:tc>
      </w:tr>
      <w:tr w:rsidR="00857B61" w:rsidRPr="00857B61" w14:paraId="16A53585" w14:textId="77777777">
        <w:trPr>
          <w:jc w:val="center"/>
        </w:trPr>
        <w:tc>
          <w:tcPr>
            <w:tcW w:w="1036" w:type="pct"/>
          </w:tcPr>
          <w:p w14:paraId="06761FB6"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HHIA</w:t>
            </w:r>
          </w:p>
        </w:tc>
        <w:tc>
          <w:tcPr>
            <w:tcW w:w="797" w:type="pct"/>
            <w:vAlign w:val="center"/>
          </w:tcPr>
          <w:p w14:paraId="7CAB35C5"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1,567</w:t>
            </w:r>
          </w:p>
        </w:tc>
        <w:tc>
          <w:tcPr>
            <w:tcW w:w="790" w:type="pct"/>
            <w:vAlign w:val="center"/>
          </w:tcPr>
          <w:p w14:paraId="4F3AD0A9"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0.138</w:t>
            </w:r>
          </w:p>
        </w:tc>
        <w:tc>
          <w:tcPr>
            <w:tcW w:w="790" w:type="pct"/>
            <w:vAlign w:val="center"/>
          </w:tcPr>
          <w:p w14:paraId="1E63B43F"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0.158</w:t>
            </w:r>
          </w:p>
        </w:tc>
        <w:tc>
          <w:tcPr>
            <w:tcW w:w="794" w:type="pct"/>
            <w:vAlign w:val="center"/>
          </w:tcPr>
          <w:p w14:paraId="720687FC"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0.014</w:t>
            </w:r>
          </w:p>
        </w:tc>
        <w:tc>
          <w:tcPr>
            <w:tcW w:w="791" w:type="pct"/>
            <w:vAlign w:val="center"/>
          </w:tcPr>
          <w:p w14:paraId="7F9BCA1A"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1.000</w:t>
            </w:r>
          </w:p>
        </w:tc>
      </w:tr>
      <w:tr w:rsidR="00857B61" w:rsidRPr="00857B61" w14:paraId="25DE90CA" w14:textId="77777777">
        <w:trPr>
          <w:jc w:val="center"/>
        </w:trPr>
        <w:tc>
          <w:tcPr>
            <w:tcW w:w="1036" w:type="pct"/>
          </w:tcPr>
          <w:p w14:paraId="5B02DC59"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Profit</w:t>
            </w:r>
          </w:p>
        </w:tc>
        <w:tc>
          <w:tcPr>
            <w:tcW w:w="797" w:type="pct"/>
            <w:vAlign w:val="center"/>
          </w:tcPr>
          <w:p w14:paraId="17CC228B"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1,567</w:t>
            </w:r>
          </w:p>
        </w:tc>
        <w:tc>
          <w:tcPr>
            <w:tcW w:w="790" w:type="pct"/>
            <w:vAlign w:val="center"/>
          </w:tcPr>
          <w:p w14:paraId="0D55EAAB"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w:t>
            </w:r>
            <w:r w:rsidRPr="00857B61">
              <w:rPr>
                <w:rFonts w:ascii="Times New Roman" w:eastAsia="宋体" w:hAnsi="Times New Roman" w:cs="Times New Roman" w:hint="eastAsia"/>
                <w:kern w:val="0"/>
                <w:szCs w:val="21"/>
              </w:rPr>
              <w:t>010</w:t>
            </w:r>
          </w:p>
        </w:tc>
        <w:tc>
          <w:tcPr>
            <w:tcW w:w="790" w:type="pct"/>
            <w:vAlign w:val="center"/>
          </w:tcPr>
          <w:p w14:paraId="34185021"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hint="eastAsia"/>
                <w:kern w:val="0"/>
                <w:szCs w:val="21"/>
              </w:rPr>
              <w:t>0.169</w:t>
            </w:r>
          </w:p>
        </w:tc>
        <w:tc>
          <w:tcPr>
            <w:tcW w:w="794" w:type="pct"/>
            <w:vAlign w:val="center"/>
          </w:tcPr>
          <w:p w14:paraId="23C6C9B2"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w:t>
            </w:r>
            <w:r w:rsidRPr="00857B61">
              <w:rPr>
                <w:rFonts w:ascii="Times New Roman" w:eastAsia="宋体" w:hAnsi="Times New Roman" w:cs="Times New Roman" w:hint="eastAsia"/>
                <w:kern w:val="0"/>
                <w:szCs w:val="21"/>
              </w:rPr>
              <w:t>0.225</w:t>
            </w:r>
          </w:p>
        </w:tc>
        <w:tc>
          <w:tcPr>
            <w:tcW w:w="791" w:type="pct"/>
            <w:vAlign w:val="center"/>
          </w:tcPr>
          <w:p w14:paraId="1C3484FD"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hint="eastAsia"/>
                <w:kern w:val="0"/>
                <w:szCs w:val="21"/>
              </w:rPr>
              <w:t>0.615</w:t>
            </w:r>
          </w:p>
        </w:tc>
      </w:tr>
      <w:tr w:rsidR="00857B61" w:rsidRPr="00857B61" w14:paraId="58124024" w14:textId="77777777">
        <w:trPr>
          <w:jc w:val="center"/>
        </w:trPr>
        <w:tc>
          <w:tcPr>
            <w:tcW w:w="1036" w:type="pct"/>
          </w:tcPr>
          <w:p w14:paraId="666555AB"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Growth</w:t>
            </w:r>
          </w:p>
        </w:tc>
        <w:tc>
          <w:tcPr>
            <w:tcW w:w="797" w:type="pct"/>
            <w:vAlign w:val="center"/>
          </w:tcPr>
          <w:p w14:paraId="58947B7A"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1,567</w:t>
            </w:r>
          </w:p>
        </w:tc>
        <w:tc>
          <w:tcPr>
            <w:tcW w:w="790" w:type="pct"/>
            <w:vAlign w:val="center"/>
          </w:tcPr>
          <w:p w14:paraId="5351E8E9"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0.141</w:t>
            </w:r>
          </w:p>
        </w:tc>
        <w:tc>
          <w:tcPr>
            <w:tcW w:w="790" w:type="pct"/>
            <w:vAlign w:val="center"/>
          </w:tcPr>
          <w:p w14:paraId="08611A93"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0.614</w:t>
            </w:r>
          </w:p>
        </w:tc>
        <w:tc>
          <w:tcPr>
            <w:tcW w:w="794" w:type="pct"/>
            <w:vAlign w:val="center"/>
          </w:tcPr>
          <w:p w14:paraId="10452A69"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-0.844</w:t>
            </w:r>
          </w:p>
        </w:tc>
        <w:tc>
          <w:tcPr>
            <w:tcW w:w="791" w:type="pct"/>
            <w:vAlign w:val="center"/>
          </w:tcPr>
          <w:p w14:paraId="4878A9AD"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3.073</w:t>
            </w:r>
          </w:p>
        </w:tc>
      </w:tr>
      <w:tr w:rsidR="00857B61" w:rsidRPr="00857B61" w14:paraId="42A07ADA" w14:textId="77777777">
        <w:trPr>
          <w:jc w:val="center"/>
        </w:trPr>
        <w:tc>
          <w:tcPr>
            <w:tcW w:w="1036" w:type="pct"/>
          </w:tcPr>
          <w:p w14:paraId="4F338D4E"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Holding</w:t>
            </w:r>
            <w:r w:rsidRPr="00857B61">
              <w:rPr>
                <w:rFonts w:ascii="Times New Roman" w:eastAsia="宋体" w:hAnsi="Times New Roman" w:cs="Times New Roman"/>
                <w:i/>
                <w:iCs/>
                <w:szCs w:val="21"/>
              </w:rPr>
              <w:t xml:space="preserve"> </w:t>
            </w:r>
          </w:p>
        </w:tc>
        <w:tc>
          <w:tcPr>
            <w:tcW w:w="797" w:type="pct"/>
            <w:vAlign w:val="center"/>
          </w:tcPr>
          <w:p w14:paraId="07C0B637"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1,567</w:t>
            </w:r>
          </w:p>
        </w:tc>
        <w:tc>
          <w:tcPr>
            <w:tcW w:w="790" w:type="pct"/>
            <w:vAlign w:val="center"/>
          </w:tcPr>
          <w:p w14:paraId="071B1D66"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0.002</w:t>
            </w:r>
          </w:p>
        </w:tc>
        <w:tc>
          <w:tcPr>
            <w:tcW w:w="790" w:type="pct"/>
            <w:vAlign w:val="center"/>
          </w:tcPr>
          <w:p w14:paraId="3643751F"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0.014</w:t>
            </w:r>
          </w:p>
        </w:tc>
        <w:tc>
          <w:tcPr>
            <w:tcW w:w="794" w:type="pct"/>
            <w:vAlign w:val="center"/>
          </w:tcPr>
          <w:p w14:paraId="54F10066"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0.000</w:t>
            </w:r>
          </w:p>
        </w:tc>
        <w:tc>
          <w:tcPr>
            <w:tcW w:w="791" w:type="pct"/>
            <w:vAlign w:val="center"/>
          </w:tcPr>
          <w:p w14:paraId="3CA9369A"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0.258</w:t>
            </w:r>
          </w:p>
        </w:tc>
      </w:tr>
      <w:tr w:rsidR="00857B61" w:rsidRPr="00857B61" w14:paraId="2DE80346" w14:textId="77777777">
        <w:trPr>
          <w:jc w:val="center"/>
        </w:trPr>
        <w:tc>
          <w:tcPr>
            <w:tcW w:w="1036" w:type="pct"/>
          </w:tcPr>
          <w:p w14:paraId="2195CCEC"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Size</w:t>
            </w:r>
          </w:p>
        </w:tc>
        <w:tc>
          <w:tcPr>
            <w:tcW w:w="797" w:type="pct"/>
            <w:vAlign w:val="center"/>
          </w:tcPr>
          <w:p w14:paraId="0AE33767"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1,567</w:t>
            </w:r>
          </w:p>
        </w:tc>
        <w:tc>
          <w:tcPr>
            <w:tcW w:w="790" w:type="pct"/>
            <w:vAlign w:val="center"/>
          </w:tcPr>
          <w:p w14:paraId="49D130B3"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22.472</w:t>
            </w:r>
          </w:p>
        </w:tc>
        <w:tc>
          <w:tcPr>
            <w:tcW w:w="790" w:type="pct"/>
            <w:vAlign w:val="center"/>
          </w:tcPr>
          <w:p w14:paraId="79462B66"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1.316</w:t>
            </w:r>
          </w:p>
        </w:tc>
        <w:tc>
          <w:tcPr>
            <w:tcW w:w="794" w:type="pct"/>
            <w:vAlign w:val="center"/>
          </w:tcPr>
          <w:p w14:paraId="13FBE93C"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18.428</w:t>
            </w:r>
          </w:p>
        </w:tc>
        <w:tc>
          <w:tcPr>
            <w:tcW w:w="791" w:type="pct"/>
            <w:vAlign w:val="center"/>
          </w:tcPr>
          <w:p w14:paraId="422F5BF8"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28.004</w:t>
            </w:r>
          </w:p>
        </w:tc>
      </w:tr>
      <w:tr w:rsidR="00857B61" w:rsidRPr="00857B61" w14:paraId="35D19F49" w14:textId="77777777">
        <w:trPr>
          <w:jc w:val="center"/>
        </w:trPr>
        <w:tc>
          <w:tcPr>
            <w:tcW w:w="1036" w:type="pct"/>
          </w:tcPr>
          <w:p w14:paraId="38D26787"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Slack</w:t>
            </w:r>
          </w:p>
        </w:tc>
        <w:tc>
          <w:tcPr>
            <w:tcW w:w="797" w:type="pct"/>
            <w:vAlign w:val="center"/>
          </w:tcPr>
          <w:p w14:paraId="7ADA6A60"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1,567</w:t>
            </w:r>
          </w:p>
        </w:tc>
        <w:tc>
          <w:tcPr>
            <w:tcW w:w="790" w:type="pct"/>
            <w:vAlign w:val="center"/>
          </w:tcPr>
          <w:p w14:paraId="282FD7E4"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1.330</w:t>
            </w:r>
          </w:p>
        </w:tc>
        <w:tc>
          <w:tcPr>
            <w:tcW w:w="790" w:type="pct"/>
            <w:vAlign w:val="center"/>
          </w:tcPr>
          <w:p w14:paraId="4E7A18C6"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0.839</w:t>
            </w:r>
          </w:p>
        </w:tc>
        <w:tc>
          <w:tcPr>
            <w:tcW w:w="794" w:type="pct"/>
            <w:vAlign w:val="center"/>
          </w:tcPr>
          <w:p w14:paraId="3D1540B1"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0.288</w:t>
            </w:r>
          </w:p>
        </w:tc>
        <w:tc>
          <w:tcPr>
            <w:tcW w:w="791" w:type="pct"/>
            <w:vAlign w:val="center"/>
          </w:tcPr>
          <w:p w14:paraId="735F9B31"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4.454</w:t>
            </w:r>
          </w:p>
        </w:tc>
      </w:tr>
      <w:tr w:rsidR="00857B61" w:rsidRPr="00857B61" w14:paraId="6CDD9C68" w14:textId="77777777">
        <w:trPr>
          <w:jc w:val="center"/>
        </w:trPr>
        <w:tc>
          <w:tcPr>
            <w:tcW w:w="1036" w:type="pct"/>
          </w:tcPr>
          <w:p w14:paraId="45D8905B"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Method</w:t>
            </w:r>
          </w:p>
        </w:tc>
        <w:tc>
          <w:tcPr>
            <w:tcW w:w="797" w:type="pct"/>
            <w:vAlign w:val="center"/>
          </w:tcPr>
          <w:p w14:paraId="2026CEEC"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1,567</w:t>
            </w:r>
          </w:p>
        </w:tc>
        <w:tc>
          <w:tcPr>
            <w:tcW w:w="790" w:type="pct"/>
            <w:vAlign w:val="center"/>
          </w:tcPr>
          <w:p w14:paraId="0BDD01BD"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0.955</w:t>
            </w:r>
          </w:p>
        </w:tc>
        <w:tc>
          <w:tcPr>
            <w:tcW w:w="790" w:type="pct"/>
            <w:vAlign w:val="center"/>
          </w:tcPr>
          <w:p w14:paraId="38986682"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0.208</w:t>
            </w:r>
          </w:p>
        </w:tc>
        <w:tc>
          <w:tcPr>
            <w:tcW w:w="794" w:type="pct"/>
            <w:vAlign w:val="center"/>
          </w:tcPr>
          <w:p w14:paraId="49A16191"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0.000</w:t>
            </w:r>
          </w:p>
        </w:tc>
        <w:tc>
          <w:tcPr>
            <w:tcW w:w="791" w:type="pct"/>
            <w:vAlign w:val="center"/>
          </w:tcPr>
          <w:p w14:paraId="4F28D76F"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1.000</w:t>
            </w:r>
          </w:p>
        </w:tc>
      </w:tr>
      <w:tr w:rsidR="00857B61" w:rsidRPr="00857B61" w14:paraId="7F0CD277" w14:textId="77777777">
        <w:trPr>
          <w:jc w:val="center"/>
        </w:trPr>
        <w:tc>
          <w:tcPr>
            <w:tcW w:w="1036" w:type="pct"/>
          </w:tcPr>
          <w:p w14:paraId="0CC62EE1"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Rpt</w:t>
            </w:r>
          </w:p>
        </w:tc>
        <w:tc>
          <w:tcPr>
            <w:tcW w:w="797" w:type="pct"/>
            <w:vAlign w:val="center"/>
          </w:tcPr>
          <w:p w14:paraId="2A013333"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1,567</w:t>
            </w:r>
          </w:p>
        </w:tc>
        <w:tc>
          <w:tcPr>
            <w:tcW w:w="790" w:type="pct"/>
            <w:vAlign w:val="center"/>
          </w:tcPr>
          <w:p w14:paraId="0B15ED9E"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w:t>
            </w:r>
            <w:r w:rsidRPr="00857B61">
              <w:rPr>
                <w:rFonts w:ascii="Times New Roman" w:eastAsia="宋体" w:hAnsi="Times New Roman" w:cs="Times New Roman" w:hint="eastAsia"/>
                <w:kern w:val="0"/>
                <w:szCs w:val="21"/>
              </w:rPr>
              <w:t>577</w:t>
            </w:r>
          </w:p>
        </w:tc>
        <w:tc>
          <w:tcPr>
            <w:tcW w:w="790" w:type="pct"/>
            <w:vAlign w:val="center"/>
          </w:tcPr>
          <w:p w14:paraId="634981D1"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w:t>
            </w:r>
            <w:r w:rsidRPr="00857B61">
              <w:rPr>
                <w:rFonts w:ascii="Times New Roman" w:eastAsia="宋体" w:hAnsi="Times New Roman" w:cs="Times New Roman" w:hint="eastAsia"/>
                <w:kern w:val="0"/>
                <w:szCs w:val="21"/>
              </w:rPr>
              <w:t>494</w:t>
            </w:r>
          </w:p>
        </w:tc>
        <w:tc>
          <w:tcPr>
            <w:tcW w:w="794" w:type="pct"/>
            <w:vAlign w:val="center"/>
          </w:tcPr>
          <w:p w14:paraId="16060A57"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0.000</w:t>
            </w:r>
          </w:p>
        </w:tc>
        <w:tc>
          <w:tcPr>
            <w:tcW w:w="791" w:type="pct"/>
            <w:vAlign w:val="center"/>
          </w:tcPr>
          <w:p w14:paraId="00C7762A" w14:textId="77777777" w:rsidR="00DE7EC6" w:rsidRPr="00857B61" w:rsidRDefault="00000000">
            <w:pPr>
              <w:widowControl/>
              <w:jc w:val="center"/>
              <w:textAlignment w:val="bottom"/>
              <w:rPr>
                <w:rFonts w:ascii="Times New Roman" w:eastAsia="宋体" w:hAnsi="Times New Roman" w:cs="Times New Roman"/>
                <w:szCs w:val="21"/>
              </w:rPr>
            </w:pPr>
            <w:r w:rsidRPr="00857B61">
              <w:rPr>
                <w:rFonts w:ascii="Times New Roman" w:eastAsia="宋体" w:hAnsi="Times New Roman" w:cs="Times New Roman"/>
                <w:kern w:val="0"/>
                <w:szCs w:val="21"/>
              </w:rPr>
              <w:t>1.000</w:t>
            </w:r>
          </w:p>
        </w:tc>
      </w:tr>
    </w:tbl>
    <w:p w14:paraId="29F31BB0" w14:textId="77777777" w:rsidR="00DE7EC6" w:rsidRPr="00857B61" w:rsidRDefault="00000000">
      <w:pPr>
        <w:pStyle w:val="2"/>
        <w:spacing w:before="120" w:after="120" w:line="240" w:lineRule="auto"/>
        <w:jc w:val="center"/>
        <w:rPr>
          <w:rFonts w:eastAsia="宋体"/>
          <w:sz w:val="30"/>
          <w:szCs w:val="30"/>
        </w:rPr>
      </w:pPr>
      <w:r w:rsidRPr="00857B61">
        <w:rPr>
          <w:rFonts w:ascii="宋体" w:eastAsia="宋体" w:hAnsi="宋体" w:cs="宋体" w:hint="eastAsia"/>
        </w:rPr>
        <w:t>四、实证结果与分析</w:t>
      </w:r>
    </w:p>
    <w:p w14:paraId="6E7A0913" w14:textId="77777777" w:rsidR="00DE7EC6" w:rsidRPr="00857B61" w:rsidRDefault="00000000">
      <w:pPr>
        <w:pStyle w:val="30"/>
        <w:spacing w:before="120" w:after="120" w:line="240" w:lineRule="auto"/>
        <w:ind w:firstLineChars="200" w:firstLine="422"/>
        <w:rPr>
          <w:rFonts w:eastAsia="宋体"/>
          <w:sz w:val="21"/>
          <w:szCs w:val="21"/>
        </w:rPr>
      </w:pPr>
      <w:r w:rsidRPr="00857B61">
        <w:rPr>
          <w:rFonts w:eastAsia="宋体" w:hint="eastAsia"/>
          <w:sz w:val="21"/>
          <w:szCs w:val="21"/>
        </w:rPr>
        <w:t>（一）基本回归结果</w:t>
      </w:r>
    </w:p>
    <w:p w14:paraId="5ABB0B72" w14:textId="77777777" w:rsidR="00DE7EC6" w:rsidRPr="00857B61" w:rsidRDefault="00000000">
      <w:pPr>
        <w:ind w:firstLineChars="200" w:firstLine="420"/>
        <w:rPr>
          <w:rFonts w:eastAsia="宋体"/>
          <w:szCs w:val="21"/>
        </w:rPr>
      </w:pPr>
      <w:r w:rsidRPr="00857B61">
        <w:rPr>
          <w:rFonts w:eastAsia="宋体" w:hint="eastAsia"/>
          <w:szCs w:val="21"/>
        </w:rPr>
        <w:t>表</w:t>
      </w:r>
      <w:r w:rsidRPr="00857B61">
        <w:rPr>
          <w:rFonts w:ascii="Times New Roman" w:eastAsia="宋体" w:hAnsi="Times New Roman" w:cs="Times New Roman" w:hint="eastAsia"/>
          <w:szCs w:val="21"/>
        </w:rPr>
        <w:t>5</w:t>
      </w:r>
      <w:r w:rsidRPr="00857B61">
        <w:rPr>
          <w:rFonts w:eastAsia="宋体" w:hint="eastAsia"/>
          <w:szCs w:val="21"/>
        </w:rPr>
        <w:t>中的列（</w:t>
      </w:r>
      <w:r w:rsidRPr="00857B61">
        <w:rPr>
          <w:rFonts w:ascii="Times New Roman" w:eastAsia="宋体" w:hAnsi="Times New Roman" w:cs="Times New Roman" w:hint="eastAsia"/>
          <w:szCs w:val="21"/>
        </w:rPr>
        <w:t>1</w:t>
      </w:r>
      <w:r w:rsidRPr="00857B61">
        <w:rPr>
          <w:rFonts w:ascii="Times New Roman" w:eastAsia="宋体" w:hAnsi="Times New Roman" w:cs="Times New Roman" w:hint="eastAsia"/>
          <w:szCs w:val="21"/>
        </w:rPr>
        <w:t>）</w:t>
      </w:r>
      <w:r w:rsidRPr="00857B61">
        <w:rPr>
          <w:rFonts w:eastAsia="宋体" w:hint="eastAsia"/>
          <w:szCs w:val="21"/>
        </w:rPr>
        <w:t>至（</w:t>
      </w:r>
      <w:r w:rsidRPr="00857B61">
        <w:rPr>
          <w:rFonts w:ascii="Times New Roman" w:eastAsia="宋体" w:hAnsi="Times New Roman" w:cs="Times New Roman" w:hint="eastAsia"/>
          <w:szCs w:val="21"/>
        </w:rPr>
        <w:t>3</w:t>
      </w:r>
      <w:r w:rsidRPr="00857B61">
        <w:rPr>
          <w:rFonts w:eastAsia="宋体" w:hint="eastAsia"/>
          <w:szCs w:val="21"/>
        </w:rPr>
        <w:t>）回归结果均说明检察行政公益诉讼制度的实施提高了国有企业在并</w:t>
      </w:r>
      <w:r w:rsidRPr="00857B61">
        <w:rPr>
          <w:rFonts w:eastAsia="宋体" w:hint="eastAsia"/>
          <w:szCs w:val="21"/>
        </w:rPr>
        <w:lastRenderedPageBreak/>
        <w:t>购交易中的溢价水平，亦即遏制了国有资产流失。从列（</w:t>
      </w:r>
      <w:r w:rsidRPr="00857B61">
        <w:rPr>
          <w:rFonts w:ascii="Times New Roman" w:eastAsia="宋体" w:hAnsi="Times New Roman" w:cs="Times New Roman" w:hint="eastAsia"/>
          <w:szCs w:val="21"/>
        </w:rPr>
        <w:t>1</w:t>
      </w:r>
      <w:r w:rsidRPr="00857B61">
        <w:rPr>
          <w:rFonts w:ascii="Times New Roman" w:eastAsia="宋体" w:hAnsi="Times New Roman" w:cs="Times New Roman" w:hint="eastAsia"/>
          <w:szCs w:val="21"/>
        </w:rPr>
        <w:t>）</w:t>
      </w:r>
      <w:r w:rsidRPr="00857B61">
        <w:rPr>
          <w:rFonts w:eastAsia="宋体" w:hint="eastAsia"/>
          <w:szCs w:val="21"/>
        </w:rPr>
        <w:t>可以看出，在加入控制变量时</w:t>
      </w:r>
      <w:r w:rsidRPr="00857B61">
        <w:rPr>
          <w:rFonts w:ascii="Times New Roman" w:eastAsia="宋体" w:hAnsi="Times New Roman" w:cs="Times New Roman" w:hint="eastAsia"/>
          <w:i/>
          <w:iCs/>
          <w:szCs w:val="21"/>
        </w:rPr>
        <w:t>Treat</w:t>
      </w:r>
      <w:r w:rsidRPr="00857B61">
        <w:rPr>
          <w:rFonts w:ascii="Times New Roman" w:eastAsia="宋体" w:hAnsi="Times New Roman" w:cs="Times New Roman"/>
          <w:i/>
          <w:iCs/>
          <w:szCs w:val="21"/>
        </w:rPr>
        <w:t>*</w:t>
      </w:r>
      <w:r w:rsidRPr="00857B61">
        <w:rPr>
          <w:rFonts w:ascii="Times New Roman" w:eastAsia="宋体" w:hAnsi="Times New Roman" w:cs="Times New Roman" w:hint="eastAsia"/>
          <w:i/>
          <w:iCs/>
          <w:szCs w:val="21"/>
        </w:rPr>
        <w:t>Policy</w:t>
      </w:r>
      <w:r w:rsidRPr="00857B61">
        <w:rPr>
          <w:rFonts w:eastAsia="宋体" w:hint="eastAsia"/>
          <w:szCs w:val="21"/>
        </w:rPr>
        <w:t>估计系数为</w:t>
      </w:r>
      <w:r w:rsidRPr="00857B61">
        <w:rPr>
          <w:rFonts w:ascii="Times New Roman" w:eastAsia="宋体" w:hAnsi="Times New Roman" w:cs="Times New Roman" w:hint="eastAsia"/>
          <w:szCs w:val="21"/>
        </w:rPr>
        <w:t>0.151</w:t>
      </w:r>
      <w:r w:rsidRPr="00857B61">
        <w:rPr>
          <w:rFonts w:eastAsia="宋体" w:hint="eastAsia"/>
          <w:szCs w:val="21"/>
        </w:rPr>
        <w:t>，在</w:t>
      </w:r>
      <w:r w:rsidRPr="00857B61">
        <w:rPr>
          <w:rFonts w:ascii="Times New Roman" w:eastAsia="宋体" w:hAnsi="Times New Roman" w:cs="Times New Roman" w:hint="eastAsia"/>
          <w:szCs w:val="21"/>
        </w:rPr>
        <w:t>1%</w:t>
      </w:r>
      <w:r w:rsidRPr="00857B61">
        <w:rPr>
          <w:rFonts w:eastAsia="宋体" w:hint="eastAsia"/>
          <w:szCs w:val="21"/>
        </w:rPr>
        <w:t>的水平上显著；在控制了行业和地区效应后，列（</w:t>
      </w:r>
      <w:r w:rsidRPr="00857B61">
        <w:rPr>
          <w:rFonts w:ascii="Times New Roman" w:eastAsia="宋体" w:hAnsi="Times New Roman" w:cs="Times New Roman" w:hint="eastAsia"/>
          <w:szCs w:val="21"/>
        </w:rPr>
        <w:t>2</w:t>
      </w:r>
      <w:r w:rsidRPr="00857B61">
        <w:rPr>
          <w:rFonts w:eastAsia="宋体" w:hint="eastAsia"/>
          <w:szCs w:val="21"/>
        </w:rPr>
        <w:t>）交互项的估计系数依旧显著为正；列（</w:t>
      </w:r>
      <w:r w:rsidRPr="00857B61">
        <w:rPr>
          <w:rFonts w:ascii="Times New Roman" w:eastAsia="宋体" w:hAnsi="Times New Roman" w:cs="Times New Roman" w:hint="eastAsia"/>
          <w:szCs w:val="21"/>
        </w:rPr>
        <w:t>3</w:t>
      </w:r>
      <w:r w:rsidRPr="00857B61">
        <w:rPr>
          <w:rFonts w:eastAsia="宋体" w:hint="eastAsia"/>
          <w:szCs w:val="21"/>
        </w:rPr>
        <w:t>）在列（</w:t>
      </w:r>
      <w:r w:rsidRPr="00857B61">
        <w:rPr>
          <w:rFonts w:ascii="Times New Roman" w:eastAsia="宋体" w:hAnsi="Times New Roman" w:cs="Times New Roman" w:hint="eastAsia"/>
          <w:szCs w:val="21"/>
        </w:rPr>
        <w:t>2</w:t>
      </w:r>
      <w:r w:rsidRPr="00857B61">
        <w:rPr>
          <w:rFonts w:eastAsia="宋体" w:hint="eastAsia"/>
          <w:szCs w:val="21"/>
        </w:rPr>
        <w:t>）的基础上又增加了时间固定效应，</w:t>
      </w:r>
      <w:r w:rsidRPr="00857B61">
        <w:rPr>
          <w:rFonts w:ascii="Times New Roman" w:eastAsia="宋体" w:hAnsi="Times New Roman" w:cs="Times New Roman" w:hint="eastAsia"/>
          <w:i/>
          <w:iCs/>
          <w:szCs w:val="21"/>
        </w:rPr>
        <w:t>Treat</w:t>
      </w:r>
      <w:r w:rsidRPr="00857B61">
        <w:rPr>
          <w:rFonts w:ascii="Times New Roman" w:eastAsia="宋体" w:hAnsi="Times New Roman" w:cs="Times New Roman"/>
          <w:i/>
          <w:iCs/>
          <w:szCs w:val="21"/>
        </w:rPr>
        <w:t>*</w:t>
      </w:r>
      <w:r w:rsidRPr="00857B61">
        <w:rPr>
          <w:rFonts w:ascii="Times New Roman" w:eastAsia="宋体" w:hAnsi="Times New Roman" w:cs="Times New Roman" w:hint="eastAsia"/>
          <w:i/>
          <w:iCs/>
          <w:szCs w:val="21"/>
        </w:rPr>
        <w:t>Policy</w:t>
      </w:r>
      <w:r w:rsidRPr="00857B61">
        <w:rPr>
          <w:rFonts w:eastAsia="宋体" w:hint="eastAsia"/>
          <w:szCs w:val="21"/>
        </w:rPr>
        <w:t>的估计系数在</w:t>
      </w:r>
      <w:r w:rsidRPr="00857B61">
        <w:rPr>
          <w:rFonts w:ascii="Times New Roman" w:eastAsia="宋体" w:hAnsi="Times New Roman" w:cs="Times New Roman" w:hint="eastAsia"/>
          <w:szCs w:val="21"/>
        </w:rPr>
        <w:t>5%</w:t>
      </w:r>
      <w:r w:rsidRPr="00857B61">
        <w:rPr>
          <w:rFonts w:eastAsia="宋体" w:hint="eastAsia"/>
          <w:szCs w:val="21"/>
        </w:rPr>
        <w:t>水平上显著且为</w:t>
      </w:r>
      <w:r w:rsidRPr="00857B61">
        <w:rPr>
          <w:rFonts w:ascii="Times New Roman" w:eastAsia="宋体" w:hAnsi="Times New Roman" w:cs="Times New Roman" w:hint="eastAsia"/>
          <w:szCs w:val="21"/>
        </w:rPr>
        <w:t>0.498</w:t>
      </w:r>
      <w:r w:rsidRPr="00857B61">
        <w:rPr>
          <w:rFonts w:eastAsia="宋体" w:hint="eastAsia"/>
          <w:szCs w:val="21"/>
        </w:rPr>
        <w:t>。本文由此可以得出结论，检察行政公益诉讼制度试点的实施有效地抑制了国有资产流失，假设</w:t>
      </w:r>
      <w:r w:rsidRPr="00857B61">
        <w:rPr>
          <w:rFonts w:ascii="Times New Roman" w:eastAsia="宋体" w:hAnsi="Times New Roman" w:cs="Times New Roman"/>
          <w:szCs w:val="21"/>
        </w:rPr>
        <w:t>H1</w:t>
      </w:r>
      <w:r w:rsidRPr="00857B61">
        <w:rPr>
          <w:rFonts w:eastAsia="宋体" w:hint="eastAsia"/>
          <w:szCs w:val="21"/>
        </w:rPr>
        <w:t>得到支持。国家通过法律制度层面的创新，提高了对公共利益的监督，有效维护了国有资产安全、促进国有资产保值增值。检察行政公益诉讼制度的实施给地方行政机关以及国有企业内部管理者敲响了警钟，为了不承担低价出售国有资产的责任、不担负国有资产流失的过错，他们会主动在并购交易中索要较高水平的溢价（陈仕华、卢昌崇，</w:t>
      </w:r>
      <w:r w:rsidRPr="00857B61">
        <w:rPr>
          <w:rFonts w:ascii="Times New Roman" w:eastAsia="宋体" w:hAnsi="Times New Roman" w:cs="Times New Roman"/>
          <w:szCs w:val="21"/>
        </w:rPr>
        <w:t>2014</w:t>
      </w:r>
      <w:r w:rsidRPr="00857B61">
        <w:rPr>
          <w:rFonts w:eastAsia="宋体" w:hint="eastAsia"/>
          <w:szCs w:val="21"/>
        </w:rPr>
        <w:t>）。并购溢价率的提高，最终使国有资产流失现象得到了一定程度的抑制。</w:t>
      </w:r>
    </w:p>
    <w:p w14:paraId="54B303D5" w14:textId="77777777" w:rsidR="00DE7EC6" w:rsidRPr="00857B61" w:rsidRDefault="00000000">
      <w:pPr>
        <w:jc w:val="center"/>
        <w:rPr>
          <w:rFonts w:ascii="Times New Roman" w:eastAsia="楷体" w:hAnsi="Times New Roman"/>
          <w:bCs/>
          <w:szCs w:val="21"/>
        </w:rPr>
      </w:pPr>
      <w:r w:rsidRPr="00857B61">
        <w:rPr>
          <w:rFonts w:ascii="Times New Roman" w:eastAsia="楷体" w:hAnsi="Times New Roman" w:hint="eastAsia"/>
          <w:bCs/>
          <w:szCs w:val="21"/>
        </w:rPr>
        <w:t>表</w:t>
      </w:r>
      <w:r w:rsidRPr="00857B61">
        <w:rPr>
          <w:rFonts w:ascii="Times New Roman" w:eastAsia="楷体" w:hAnsi="Times New Roman" w:hint="eastAsia"/>
          <w:bCs/>
          <w:szCs w:val="21"/>
        </w:rPr>
        <w:t xml:space="preserve">5 </w:t>
      </w:r>
      <w:r w:rsidRPr="00857B61">
        <w:rPr>
          <w:rFonts w:ascii="Times New Roman" w:eastAsia="楷体" w:hAnsi="Times New Roman" w:hint="eastAsia"/>
          <w:bCs/>
          <w:szCs w:val="21"/>
        </w:rPr>
        <w:t>基本回归结果</w:t>
      </w:r>
    </w:p>
    <w:tbl>
      <w:tblPr>
        <w:tblW w:w="5000" w:type="pct"/>
        <w:jc w:val="center"/>
        <w:tblBorders>
          <w:top w:val="single" w:sz="8" w:space="0" w:color="auto"/>
          <w:left w:val="none" w:sz="4" w:space="0" w:color="auto"/>
          <w:bottom w:val="single" w:sz="8" w:space="0" w:color="auto"/>
          <w:right w:val="none" w:sz="4" w:space="0" w:color="auto"/>
          <w:insideH w:val="single" w:sz="8" w:space="0" w:color="auto"/>
          <w:insideV w:val="single" w:sz="8" w:space="0" w:color="auto"/>
        </w:tblBorders>
        <w:tblLook w:val="04A0" w:firstRow="1" w:lastRow="0" w:firstColumn="1" w:lastColumn="0" w:noHBand="0" w:noVBand="1"/>
      </w:tblPr>
      <w:tblGrid>
        <w:gridCol w:w="3498"/>
        <w:gridCol w:w="2118"/>
        <w:gridCol w:w="1695"/>
        <w:gridCol w:w="1693"/>
      </w:tblGrid>
      <w:tr w:rsidR="00857B61" w:rsidRPr="00857B61" w14:paraId="0079F221" w14:textId="77777777">
        <w:trPr>
          <w:trHeight w:val="283"/>
          <w:jc w:val="center"/>
        </w:trPr>
        <w:tc>
          <w:tcPr>
            <w:tcW w:w="1942" w:type="pct"/>
            <w:tcBorders>
              <w:tl2br w:val="nil"/>
              <w:tr2bl w:val="nil"/>
            </w:tcBorders>
            <w:vAlign w:val="center"/>
          </w:tcPr>
          <w:p w14:paraId="72A6E00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变量名称</w:t>
            </w:r>
          </w:p>
        </w:tc>
        <w:tc>
          <w:tcPr>
            <w:tcW w:w="1176" w:type="pct"/>
            <w:tcBorders>
              <w:tl2br w:val="nil"/>
              <w:tr2bl w:val="nil"/>
            </w:tcBorders>
            <w:vAlign w:val="center"/>
          </w:tcPr>
          <w:p w14:paraId="06EDBB6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w:t>
            </w:r>
          </w:p>
        </w:tc>
        <w:tc>
          <w:tcPr>
            <w:tcW w:w="941" w:type="pct"/>
            <w:tcBorders>
              <w:tl2br w:val="nil"/>
              <w:tr2bl w:val="nil"/>
            </w:tcBorders>
            <w:vAlign w:val="center"/>
          </w:tcPr>
          <w:p w14:paraId="693BE55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w:t>
            </w:r>
          </w:p>
        </w:tc>
        <w:tc>
          <w:tcPr>
            <w:tcW w:w="940" w:type="pct"/>
            <w:tcBorders>
              <w:tl2br w:val="nil"/>
              <w:tr2bl w:val="nil"/>
            </w:tcBorders>
            <w:vAlign w:val="center"/>
          </w:tcPr>
          <w:p w14:paraId="39DA22E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w:t>
            </w:r>
          </w:p>
        </w:tc>
      </w:tr>
      <w:tr w:rsidR="00857B61" w:rsidRPr="00857B61" w14:paraId="51B0610A" w14:textId="77777777">
        <w:trPr>
          <w:trHeight w:val="90"/>
          <w:jc w:val="center"/>
        </w:trPr>
        <w:tc>
          <w:tcPr>
            <w:tcW w:w="1942" w:type="pct"/>
            <w:tcBorders>
              <w:tl2br w:val="nil"/>
              <w:tr2bl w:val="nil"/>
            </w:tcBorders>
          </w:tcPr>
          <w:p w14:paraId="614A9947"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Treat</w:t>
            </w:r>
            <w:r w:rsidRPr="00857B61">
              <w:rPr>
                <w:rFonts w:ascii="Times New Roman" w:eastAsia="宋体" w:hAnsi="Times New Roman" w:cs="Times New Roman"/>
                <w:i/>
                <w:iCs/>
                <w:szCs w:val="21"/>
              </w:rPr>
              <w:t>*</w:t>
            </w:r>
            <w:r w:rsidRPr="00857B61">
              <w:rPr>
                <w:rFonts w:ascii="Times New Roman" w:eastAsia="宋体" w:hAnsi="Times New Roman" w:cs="Times New Roman" w:hint="eastAsia"/>
                <w:i/>
                <w:iCs/>
                <w:szCs w:val="21"/>
              </w:rPr>
              <w:t>Policy</w:t>
            </w:r>
          </w:p>
        </w:tc>
        <w:tc>
          <w:tcPr>
            <w:tcW w:w="1176" w:type="pct"/>
            <w:tcBorders>
              <w:tl2br w:val="nil"/>
              <w:tr2bl w:val="nil"/>
            </w:tcBorders>
          </w:tcPr>
          <w:p w14:paraId="05E728F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0.151***</w:t>
            </w:r>
          </w:p>
          <w:p w14:paraId="101B477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(64.58)</w:t>
            </w:r>
          </w:p>
        </w:tc>
        <w:tc>
          <w:tcPr>
            <w:tcW w:w="941" w:type="pct"/>
            <w:tcBorders>
              <w:tl2br w:val="nil"/>
              <w:tr2bl w:val="nil"/>
            </w:tcBorders>
          </w:tcPr>
          <w:p w14:paraId="0190D7B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0.556*</w:t>
            </w:r>
          </w:p>
          <w:p w14:paraId="2CAFCE7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(10.30)</w:t>
            </w:r>
          </w:p>
        </w:tc>
        <w:tc>
          <w:tcPr>
            <w:tcW w:w="940" w:type="pct"/>
            <w:tcBorders>
              <w:tl2br w:val="nil"/>
              <w:tr2bl w:val="nil"/>
            </w:tcBorders>
          </w:tcPr>
          <w:p w14:paraId="6F9055F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0.498**</w:t>
            </w:r>
          </w:p>
          <w:p w14:paraId="0F3DD21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(22.03)</w:t>
            </w:r>
          </w:p>
        </w:tc>
      </w:tr>
      <w:tr w:rsidR="00857B61" w:rsidRPr="00857B61" w14:paraId="0BB4C727" w14:textId="77777777">
        <w:trPr>
          <w:trHeight w:val="454"/>
          <w:jc w:val="center"/>
        </w:trPr>
        <w:tc>
          <w:tcPr>
            <w:tcW w:w="1942" w:type="pct"/>
            <w:tcBorders>
              <w:tl2br w:val="nil"/>
              <w:tr2bl w:val="nil"/>
            </w:tcBorders>
          </w:tcPr>
          <w:p w14:paraId="7687A36E"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Treat</w:t>
            </w:r>
          </w:p>
        </w:tc>
        <w:tc>
          <w:tcPr>
            <w:tcW w:w="1176" w:type="pct"/>
            <w:tcBorders>
              <w:tl2br w:val="nil"/>
              <w:tr2bl w:val="nil"/>
            </w:tcBorders>
          </w:tcPr>
          <w:p w14:paraId="4C95BB4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-0.109</w:t>
            </w:r>
          </w:p>
          <w:p w14:paraId="273D960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(-2.27)</w:t>
            </w:r>
          </w:p>
        </w:tc>
        <w:tc>
          <w:tcPr>
            <w:tcW w:w="941" w:type="pct"/>
            <w:tcBorders>
              <w:tl2br w:val="nil"/>
              <w:tr2bl w:val="nil"/>
            </w:tcBorders>
          </w:tcPr>
          <w:p w14:paraId="00B1C6E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3.421*</w:t>
            </w:r>
          </w:p>
          <w:p w14:paraId="3F28CB3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(8.23)</w:t>
            </w:r>
          </w:p>
        </w:tc>
        <w:tc>
          <w:tcPr>
            <w:tcW w:w="940" w:type="pct"/>
            <w:tcBorders>
              <w:tl2br w:val="nil"/>
              <w:tr2bl w:val="nil"/>
            </w:tcBorders>
          </w:tcPr>
          <w:p w14:paraId="1B08A60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4.568</w:t>
            </w:r>
          </w:p>
          <w:p w14:paraId="35D6C79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(1.34)</w:t>
            </w:r>
          </w:p>
        </w:tc>
      </w:tr>
      <w:tr w:rsidR="00857B61" w:rsidRPr="00857B61" w14:paraId="40A69AB6" w14:textId="77777777">
        <w:trPr>
          <w:trHeight w:val="454"/>
          <w:jc w:val="center"/>
        </w:trPr>
        <w:tc>
          <w:tcPr>
            <w:tcW w:w="1942" w:type="pct"/>
            <w:tcBorders>
              <w:tl2br w:val="nil"/>
              <w:tr2bl w:val="nil"/>
            </w:tcBorders>
          </w:tcPr>
          <w:p w14:paraId="3148D2F9"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Policy</w:t>
            </w:r>
          </w:p>
        </w:tc>
        <w:tc>
          <w:tcPr>
            <w:tcW w:w="1176" w:type="pct"/>
            <w:tcBorders>
              <w:tl2br w:val="nil"/>
              <w:tr2bl w:val="nil"/>
            </w:tcBorders>
          </w:tcPr>
          <w:p w14:paraId="51D26FF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-0.033</w:t>
            </w:r>
          </w:p>
          <w:p w14:paraId="111DA0C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(-0.33)</w:t>
            </w:r>
          </w:p>
        </w:tc>
        <w:tc>
          <w:tcPr>
            <w:tcW w:w="941" w:type="pct"/>
            <w:tcBorders>
              <w:tl2br w:val="nil"/>
              <w:tr2bl w:val="nil"/>
            </w:tcBorders>
          </w:tcPr>
          <w:p w14:paraId="38ADFAE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-0.196</w:t>
            </w:r>
          </w:p>
          <w:p w14:paraId="057EB55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(-0.38)</w:t>
            </w:r>
          </w:p>
        </w:tc>
        <w:tc>
          <w:tcPr>
            <w:tcW w:w="940" w:type="pct"/>
            <w:tcBorders>
              <w:tl2br w:val="nil"/>
              <w:tr2bl w:val="nil"/>
            </w:tcBorders>
          </w:tcPr>
          <w:p w14:paraId="68FF095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-0.012</w:t>
            </w:r>
          </w:p>
          <w:p w14:paraId="1B1646C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(-0.01)</w:t>
            </w:r>
          </w:p>
        </w:tc>
      </w:tr>
      <w:tr w:rsidR="00857B61" w:rsidRPr="00857B61" w14:paraId="3F1440E2" w14:textId="77777777">
        <w:trPr>
          <w:trHeight w:val="454"/>
          <w:jc w:val="center"/>
        </w:trPr>
        <w:tc>
          <w:tcPr>
            <w:tcW w:w="1942" w:type="pct"/>
            <w:tcBorders>
              <w:tl2br w:val="nil"/>
              <w:tr2bl w:val="nil"/>
            </w:tcBorders>
          </w:tcPr>
          <w:p w14:paraId="5289FE19"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i/>
                <w:iCs/>
                <w:szCs w:val="21"/>
              </w:rPr>
              <w:t>ROA</w:t>
            </w:r>
          </w:p>
        </w:tc>
        <w:tc>
          <w:tcPr>
            <w:tcW w:w="1176" w:type="pct"/>
            <w:tcBorders>
              <w:tl2br w:val="nil"/>
              <w:tr2bl w:val="nil"/>
            </w:tcBorders>
          </w:tcPr>
          <w:p w14:paraId="12E5F7F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7.158</w:t>
            </w:r>
          </w:p>
          <w:p w14:paraId="1B65EA3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(2.56)</w:t>
            </w:r>
          </w:p>
        </w:tc>
        <w:tc>
          <w:tcPr>
            <w:tcW w:w="941" w:type="pct"/>
            <w:tcBorders>
              <w:tl2br w:val="nil"/>
              <w:tr2bl w:val="nil"/>
            </w:tcBorders>
          </w:tcPr>
          <w:p w14:paraId="2FD6F7A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5.760</w:t>
            </w:r>
          </w:p>
          <w:p w14:paraId="64E799E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(1.43)</w:t>
            </w:r>
          </w:p>
        </w:tc>
        <w:tc>
          <w:tcPr>
            <w:tcW w:w="940" w:type="pct"/>
            <w:tcBorders>
              <w:tl2br w:val="nil"/>
              <w:tr2bl w:val="nil"/>
            </w:tcBorders>
          </w:tcPr>
          <w:p w14:paraId="24093E9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6.602</w:t>
            </w:r>
          </w:p>
          <w:p w14:paraId="11B3F03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(1.83)</w:t>
            </w:r>
          </w:p>
        </w:tc>
      </w:tr>
      <w:tr w:rsidR="00857B61" w:rsidRPr="00857B61" w14:paraId="1D4A37AF" w14:textId="77777777">
        <w:trPr>
          <w:trHeight w:val="397"/>
          <w:jc w:val="center"/>
        </w:trPr>
        <w:tc>
          <w:tcPr>
            <w:tcW w:w="1942" w:type="pct"/>
            <w:tcBorders>
              <w:tl2br w:val="nil"/>
              <w:tr2bl w:val="nil"/>
            </w:tcBorders>
          </w:tcPr>
          <w:p w14:paraId="0709E716"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L</w:t>
            </w:r>
            <w:r w:rsidRPr="00857B61">
              <w:rPr>
                <w:rFonts w:ascii="Times New Roman" w:eastAsia="宋体" w:hAnsi="Times New Roman" w:cs="Times New Roman"/>
                <w:i/>
                <w:iCs/>
                <w:szCs w:val="21"/>
              </w:rPr>
              <w:t>s</w:t>
            </w:r>
          </w:p>
        </w:tc>
        <w:tc>
          <w:tcPr>
            <w:tcW w:w="1176" w:type="pct"/>
            <w:tcBorders>
              <w:tl2br w:val="nil"/>
              <w:tr2bl w:val="nil"/>
            </w:tcBorders>
          </w:tcPr>
          <w:p w14:paraId="21F2E75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-2.104</w:t>
            </w:r>
          </w:p>
          <w:p w14:paraId="7EA114B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(-1.20)</w:t>
            </w:r>
          </w:p>
        </w:tc>
        <w:tc>
          <w:tcPr>
            <w:tcW w:w="941" w:type="pct"/>
            <w:tcBorders>
              <w:tl2br w:val="nil"/>
              <w:tr2bl w:val="nil"/>
            </w:tcBorders>
          </w:tcPr>
          <w:p w14:paraId="04A3DDB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-1.321</w:t>
            </w:r>
          </w:p>
          <w:p w14:paraId="1D7C678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(-0.98)</w:t>
            </w:r>
          </w:p>
        </w:tc>
        <w:tc>
          <w:tcPr>
            <w:tcW w:w="940" w:type="pct"/>
            <w:tcBorders>
              <w:tl2br w:val="nil"/>
              <w:tr2bl w:val="nil"/>
            </w:tcBorders>
          </w:tcPr>
          <w:p w14:paraId="489B8D0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-1.309</w:t>
            </w:r>
          </w:p>
          <w:p w14:paraId="127E95E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(-1.03)</w:t>
            </w:r>
          </w:p>
        </w:tc>
      </w:tr>
      <w:tr w:rsidR="00857B61" w:rsidRPr="00857B61" w14:paraId="655B2F5E" w14:textId="77777777">
        <w:trPr>
          <w:trHeight w:val="397"/>
          <w:jc w:val="center"/>
        </w:trPr>
        <w:tc>
          <w:tcPr>
            <w:tcW w:w="1942" w:type="pct"/>
            <w:tcBorders>
              <w:tl2br w:val="nil"/>
              <w:tr2bl w:val="nil"/>
            </w:tcBorders>
          </w:tcPr>
          <w:p w14:paraId="4346E9D9"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L</w:t>
            </w:r>
            <w:r w:rsidRPr="00857B61">
              <w:rPr>
                <w:rFonts w:ascii="Times New Roman" w:eastAsia="宋体" w:hAnsi="Times New Roman" w:cs="Times New Roman"/>
                <w:i/>
                <w:iCs/>
                <w:szCs w:val="21"/>
              </w:rPr>
              <w:t>ev</w:t>
            </w:r>
          </w:p>
        </w:tc>
        <w:tc>
          <w:tcPr>
            <w:tcW w:w="1176" w:type="pct"/>
            <w:tcBorders>
              <w:tl2br w:val="nil"/>
              <w:tr2bl w:val="nil"/>
            </w:tcBorders>
          </w:tcPr>
          <w:p w14:paraId="1286094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1.793</w:t>
            </w:r>
          </w:p>
          <w:p w14:paraId="3B1F457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(1.68)</w:t>
            </w:r>
          </w:p>
        </w:tc>
        <w:tc>
          <w:tcPr>
            <w:tcW w:w="941" w:type="pct"/>
            <w:tcBorders>
              <w:tl2br w:val="nil"/>
              <w:tr2bl w:val="nil"/>
            </w:tcBorders>
          </w:tcPr>
          <w:p w14:paraId="39B870B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0.787</w:t>
            </w:r>
          </w:p>
          <w:p w14:paraId="73C92D2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(0.51)</w:t>
            </w:r>
          </w:p>
        </w:tc>
        <w:tc>
          <w:tcPr>
            <w:tcW w:w="940" w:type="pct"/>
            <w:tcBorders>
              <w:tl2br w:val="nil"/>
              <w:tr2bl w:val="nil"/>
            </w:tcBorders>
          </w:tcPr>
          <w:p w14:paraId="07D69AC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0.798</w:t>
            </w:r>
          </w:p>
          <w:p w14:paraId="4EFD455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(0.44)</w:t>
            </w:r>
          </w:p>
        </w:tc>
      </w:tr>
      <w:tr w:rsidR="00857B61" w:rsidRPr="00857B61" w14:paraId="5F5437A2" w14:textId="77777777">
        <w:trPr>
          <w:trHeight w:val="397"/>
          <w:jc w:val="center"/>
        </w:trPr>
        <w:tc>
          <w:tcPr>
            <w:tcW w:w="1942" w:type="pct"/>
            <w:tcBorders>
              <w:tl2br w:val="nil"/>
              <w:tr2bl w:val="nil"/>
            </w:tcBorders>
          </w:tcPr>
          <w:p w14:paraId="76350B87"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M</w:t>
            </w:r>
            <w:r w:rsidRPr="00857B61">
              <w:rPr>
                <w:rFonts w:ascii="Times New Roman" w:eastAsia="宋体" w:hAnsi="Times New Roman" w:cs="Times New Roman"/>
                <w:i/>
                <w:iCs/>
                <w:szCs w:val="21"/>
              </w:rPr>
              <w:t>arketization</w:t>
            </w:r>
          </w:p>
        </w:tc>
        <w:tc>
          <w:tcPr>
            <w:tcW w:w="1176" w:type="pct"/>
            <w:tcBorders>
              <w:tl2br w:val="nil"/>
              <w:tr2bl w:val="nil"/>
            </w:tcBorders>
          </w:tcPr>
          <w:p w14:paraId="6C0826D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0.006</w:t>
            </w:r>
          </w:p>
          <w:p w14:paraId="0FC6D60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(0.40)</w:t>
            </w:r>
          </w:p>
        </w:tc>
        <w:tc>
          <w:tcPr>
            <w:tcW w:w="941" w:type="pct"/>
            <w:tcBorders>
              <w:tl2br w:val="nil"/>
              <w:tr2bl w:val="nil"/>
            </w:tcBorders>
          </w:tcPr>
          <w:p w14:paraId="5A0EA9B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-0.064</w:t>
            </w:r>
          </w:p>
          <w:p w14:paraId="7F92522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(-0.74)</w:t>
            </w:r>
          </w:p>
        </w:tc>
        <w:tc>
          <w:tcPr>
            <w:tcW w:w="940" w:type="pct"/>
            <w:tcBorders>
              <w:tl2br w:val="nil"/>
              <w:tr2bl w:val="nil"/>
            </w:tcBorders>
          </w:tcPr>
          <w:p w14:paraId="2B67BA7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-0.234</w:t>
            </w:r>
          </w:p>
          <w:p w14:paraId="4568C4D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(-0.49)</w:t>
            </w:r>
          </w:p>
        </w:tc>
      </w:tr>
      <w:tr w:rsidR="00857B61" w:rsidRPr="00857B61" w14:paraId="6EE73DF9" w14:textId="77777777">
        <w:trPr>
          <w:trHeight w:val="397"/>
          <w:jc w:val="center"/>
        </w:trPr>
        <w:tc>
          <w:tcPr>
            <w:tcW w:w="1942" w:type="pct"/>
            <w:tcBorders>
              <w:tl2br w:val="nil"/>
              <w:tr2bl w:val="nil"/>
            </w:tcBorders>
          </w:tcPr>
          <w:p w14:paraId="3CE71F4A"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PGDP</w:t>
            </w:r>
          </w:p>
        </w:tc>
        <w:tc>
          <w:tcPr>
            <w:tcW w:w="1176" w:type="pct"/>
            <w:tcBorders>
              <w:tl2br w:val="nil"/>
              <w:tr2bl w:val="nil"/>
            </w:tcBorders>
          </w:tcPr>
          <w:p w14:paraId="09A820C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-0.134</w:t>
            </w:r>
          </w:p>
          <w:p w14:paraId="11FDD29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(-0.80)</w:t>
            </w:r>
          </w:p>
        </w:tc>
        <w:tc>
          <w:tcPr>
            <w:tcW w:w="941" w:type="pct"/>
            <w:tcBorders>
              <w:tl2br w:val="nil"/>
              <w:tr2bl w:val="nil"/>
            </w:tcBorders>
          </w:tcPr>
          <w:p w14:paraId="518517C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0.037</w:t>
            </w:r>
          </w:p>
          <w:p w14:paraId="79EE82E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(0.02)</w:t>
            </w:r>
          </w:p>
        </w:tc>
        <w:tc>
          <w:tcPr>
            <w:tcW w:w="940" w:type="pct"/>
            <w:tcBorders>
              <w:tl2br w:val="nil"/>
              <w:tr2bl w:val="nil"/>
            </w:tcBorders>
          </w:tcPr>
          <w:p w14:paraId="4E211F6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-0.183</w:t>
            </w:r>
          </w:p>
          <w:p w14:paraId="67BD941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(-0.09)</w:t>
            </w:r>
          </w:p>
        </w:tc>
      </w:tr>
      <w:tr w:rsidR="00857B61" w:rsidRPr="00857B61" w14:paraId="73355A7F" w14:textId="77777777">
        <w:trPr>
          <w:trHeight w:val="397"/>
          <w:jc w:val="center"/>
        </w:trPr>
        <w:tc>
          <w:tcPr>
            <w:tcW w:w="1942" w:type="pct"/>
            <w:tcBorders>
              <w:tl2br w:val="nil"/>
              <w:tr2bl w:val="nil"/>
            </w:tcBorders>
          </w:tcPr>
          <w:p w14:paraId="384170D2"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Revenue</w:t>
            </w:r>
          </w:p>
        </w:tc>
        <w:tc>
          <w:tcPr>
            <w:tcW w:w="1176" w:type="pct"/>
            <w:tcBorders>
              <w:tl2br w:val="nil"/>
              <w:tr2bl w:val="nil"/>
            </w:tcBorders>
          </w:tcPr>
          <w:p w14:paraId="4191E96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0.174</w:t>
            </w:r>
          </w:p>
          <w:p w14:paraId="15B3E85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(3.16)</w:t>
            </w:r>
          </w:p>
        </w:tc>
        <w:tc>
          <w:tcPr>
            <w:tcW w:w="941" w:type="pct"/>
            <w:tcBorders>
              <w:tl2br w:val="nil"/>
              <w:tr2bl w:val="nil"/>
            </w:tcBorders>
          </w:tcPr>
          <w:p w14:paraId="31E515D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0.130</w:t>
            </w:r>
          </w:p>
          <w:p w14:paraId="3C84AB5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(2.14)</w:t>
            </w:r>
          </w:p>
        </w:tc>
        <w:tc>
          <w:tcPr>
            <w:tcW w:w="940" w:type="pct"/>
            <w:tcBorders>
              <w:tl2br w:val="nil"/>
              <w:tr2bl w:val="nil"/>
            </w:tcBorders>
          </w:tcPr>
          <w:p w14:paraId="48ADB2D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0.189*</w:t>
            </w:r>
          </w:p>
          <w:p w14:paraId="4AB3EA6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(12.46)</w:t>
            </w:r>
          </w:p>
        </w:tc>
      </w:tr>
      <w:tr w:rsidR="00857B61" w:rsidRPr="00857B61" w14:paraId="212AC562" w14:textId="77777777">
        <w:trPr>
          <w:trHeight w:val="397"/>
          <w:jc w:val="center"/>
        </w:trPr>
        <w:tc>
          <w:tcPr>
            <w:tcW w:w="1942" w:type="pct"/>
            <w:tcBorders>
              <w:tl2br w:val="nil"/>
              <w:tr2bl w:val="nil"/>
            </w:tcBorders>
          </w:tcPr>
          <w:p w14:paraId="60DDA07D"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i/>
                <w:iCs/>
                <w:szCs w:val="21"/>
              </w:rPr>
              <w:t>HHIA</w:t>
            </w:r>
          </w:p>
        </w:tc>
        <w:tc>
          <w:tcPr>
            <w:tcW w:w="1176" w:type="pct"/>
            <w:tcBorders>
              <w:tl2br w:val="nil"/>
              <w:tr2bl w:val="nil"/>
            </w:tcBorders>
          </w:tcPr>
          <w:p w14:paraId="3162BA0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-0.188</w:t>
            </w:r>
          </w:p>
          <w:p w14:paraId="338821A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(-0.17)</w:t>
            </w:r>
          </w:p>
        </w:tc>
        <w:tc>
          <w:tcPr>
            <w:tcW w:w="941" w:type="pct"/>
            <w:tcBorders>
              <w:tl2br w:val="nil"/>
              <w:tr2bl w:val="nil"/>
            </w:tcBorders>
          </w:tcPr>
          <w:p w14:paraId="087F952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-0.302</w:t>
            </w:r>
          </w:p>
          <w:p w14:paraId="2188D2D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(-0.59)</w:t>
            </w:r>
          </w:p>
        </w:tc>
        <w:tc>
          <w:tcPr>
            <w:tcW w:w="940" w:type="pct"/>
            <w:tcBorders>
              <w:tl2br w:val="nil"/>
              <w:tr2bl w:val="nil"/>
            </w:tcBorders>
          </w:tcPr>
          <w:p w14:paraId="190CDF9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-0.476</w:t>
            </w:r>
          </w:p>
          <w:p w14:paraId="1DE97B4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(-0.91)</w:t>
            </w:r>
          </w:p>
        </w:tc>
      </w:tr>
      <w:tr w:rsidR="00857B61" w:rsidRPr="00857B61" w14:paraId="7136DC24" w14:textId="77777777">
        <w:trPr>
          <w:trHeight w:val="397"/>
          <w:jc w:val="center"/>
        </w:trPr>
        <w:tc>
          <w:tcPr>
            <w:tcW w:w="1942" w:type="pct"/>
            <w:tcBorders>
              <w:tl2br w:val="nil"/>
              <w:tr2bl w:val="nil"/>
            </w:tcBorders>
          </w:tcPr>
          <w:p w14:paraId="00E306BD"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P</w:t>
            </w:r>
            <w:r w:rsidRPr="00857B61">
              <w:rPr>
                <w:rFonts w:ascii="Times New Roman" w:eastAsia="宋体" w:hAnsi="Times New Roman" w:cs="Times New Roman"/>
                <w:i/>
                <w:iCs/>
                <w:szCs w:val="21"/>
              </w:rPr>
              <w:t>rofit</w:t>
            </w:r>
          </w:p>
        </w:tc>
        <w:tc>
          <w:tcPr>
            <w:tcW w:w="1176" w:type="pct"/>
            <w:tcBorders>
              <w:tl2br w:val="nil"/>
              <w:tr2bl w:val="nil"/>
            </w:tcBorders>
          </w:tcPr>
          <w:p w14:paraId="208634B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1.917**</w:t>
            </w:r>
          </w:p>
          <w:p w14:paraId="57A1F35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(15.44)</w:t>
            </w:r>
          </w:p>
        </w:tc>
        <w:tc>
          <w:tcPr>
            <w:tcW w:w="941" w:type="pct"/>
            <w:tcBorders>
              <w:tl2br w:val="nil"/>
              <w:tr2bl w:val="nil"/>
            </w:tcBorders>
          </w:tcPr>
          <w:p w14:paraId="7B01ADF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1.764*</w:t>
            </w:r>
          </w:p>
          <w:p w14:paraId="0A7C561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(8.22)</w:t>
            </w:r>
          </w:p>
        </w:tc>
        <w:tc>
          <w:tcPr>
            <w:tcW w:w="940" w:type="pct"/>
            <w:tcBorders>
              <w:tl2br w:val="nil"/>
              <w:tr2bl w:val="nil"/>
            </w:tcBorders>
          </w:tcPr>
          <w:p w14:paraId="5EFF9D6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1.973**</w:t>
            </w:r>
          </w:p>
          <w:p w14:paraId="0F4550B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(14.49)</w:t>
            </w:r>
          </w:p>
        </w:tc>
      </w:tr>
      <w:tr w:rsidR="00857B61" w:rsidRPr="00857B61" w14:paraId="65F5C11E" w14:textId="77777777">
        <w:trPr>
          <w:trHeight w:val="397"/>
          <w:jc w:val="center"/>
        </w:trPr>
        <w:tc>
          <w:tcPr>
            <w:tcW w:w="1942" w:type="pct"/>
            <w:tcBorders>
              <w:tl2br w:val="nil"/>
              <w:tr2bl w:val="nil"/>
            </w:tcBorders>
          </w:tcPr>
          <w:p w14:paraId="60A8327C"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G</w:t>
            </w:r>
            <w:r w:rsidRPr="00857B61">
              <w:rPr>
                <w:rFonts w:ascii="Times New Roman" w:eastAsia="宋体" w:hAnsi="Times New Roman" w:cs="Times New Roman"/>
                <w:i/>
                <w:iCs/>
                <w:szCs w:val="21"/>
              </w:rPr>
              <w:t>rowth</w:t>
            </w:r>
          </w:p>
        </w:tc>
        <w:tc>
          <w:tcPr>
            <w:tcW w:w="1176" w:type="pct"/>
            <w:tcBorders>
              <w:tl2br w:val="nil"/>
              <w:tr2bl w:val="nil"/>
            </w:tcBorders>
          </w:tcPr>
          <w:p w14:paraId="2FA59DF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0.011</w:t>
            </w:r>
          </w:p>
          <w:p w14:paraId="7FAA855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(0.04)</w:t>
            </w:r>
          </w:p>
        </w:tc>
        <w:tc>
          <w:tcPr>
            <w:tcW w:w="941" w:type="pct"/>
            <w:tcBorders>
              <w:tl2br w:val="nil"/>
              <w:tr2bl w:val="nil"/>
            </w:tcBorders>
          </w:tcPr>
          <w:p w14:paraId="4BCA4EA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0.019</w:t>
            </w:r>
          </w:p>
          <w:p w14:paraId="2B38DDE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(0.04)</w:t>
            </w:r>
          </w:p>
        </w:tc>
        <w:tc>
          <w:tcPr>
            <w:tcW w:w="940" w:type="pct"/>
            <w:tcBorders>
              <w:tl2br w:val="nil"/>
              <w:tr2bl w:val="nil"/>
            </w:tcBorders>
          </w:tcPr>
          <w:p w14:paraId="3FA589F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-0.043</w:t>
            </w:r>
          </w:p>
          <w:p w14:paraId="4CAB62A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(-0.07)</w:t>
            </w:r>
          </w:p>
        </w:tc>
      </w:tr>
      <w:tr w:rsidR="00857B61" w:rsidRPr="00857B61" w14:paraId="79E8956E" w14:textId="77777777">
        <w:trPr>
          <w:trHeight w:val="397"/>
          <w:jc w:val="center"/>
        </w:trPr>
        <w:tc>
          <w:tcPr>
            <w:tcW w:w="1942" w:type="pct"/>
            <w:tcBorders>
              <w:tl2br w:val="nil"/>
              <w:tr2bl w:val="nil"/>
            </w:tcBorders>
          </w:tcPr>
          <w:p w14:paraId="1FFE8B2B"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Holding</w:t>
            </w:r>
          </w:p>
        </w:tc>
        <w:tc>
          <w:tcPr>
            <w:tcW w:w="1176" w:type="pct"/>
            <w:tcBorders>
              <w:tl2br w:val="nil"/>
              <w:tr2bl w:val="nil"/>
            </w:tcBorders>
          </w:tcPr>
          <w:p w14:paraId="032DC05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-18.711***</w:t>
            </w:r>
          </w:p>
          <w:p w14:paraId="0D38D40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(-220.46)</w:t>
            </w:r>
          </w:p>
        </w:tc>
        <w:tc>
          <w:tcPr>
            <w:tcW w:w="941" w:type="pct"/>
            <w:tcBorders>
              <w:tl2br w:val="nil"/>
              <w:tr2bl w:val="nil"/>
            </w:tcBorders>
          </w:tcPr>
          <w:p w14:paraId="5829CA4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-12.809</w:t>
            </w:r>
          </w:p>
          <w:p w14:paraId="56422B8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(-0.89)</w:t>
            </w:r>
          </w:p>
        </w:tc>
        <w:tc>
          <w:tcPr>
            <w:tcW w:w="940" w:type="pct"/>
            <w:tcBorders>
              <w:tl2br w:val="nil"/>
              <w:tr2bl w:val="nil"/>
            </w:tcBorders>
          </w:tcPr>
          <w:p w14:paraId="438C9C8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-13.102</w:t>
            </w:r>
          </w:p>
          <w:p w14:paraId="045CDF2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(-0.95)</w:t>
            </w:r>
          </w:p>
        </w:tc>
      </w:tr>
      <w:tr w:rsidR="00857B61" w:rsidRPr="00857B61" w14:paraId="42F8AD39" w14:textId="77777777">
        <w:trPr>
          <w:trHeight w:val="397"/>
          <w:jc w:val="center"/>
        </w:trPr>
        <w:tc>
          <w:tcPr>
            <w:tcW w:w="1942" w:type="pct"/>
            <w:tcBorders>
              <w:tl2br w:val="nil"/>
              <w:tr2bl w:val="nil"/>
            </w:tcBorders>
          </w:tcPr>
          <w:p w14:paraId="6AB98FC0"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S</w:t>
            </w:r>
            <w:r w:rsidRPr="00857B61">
              <w:rPr>
                <w:rFonts w:ascii="Times New Roman" w:eastAsia="宋体" w:hAnsi="Times New Roman" w:cs="Times New Roman"/>
                <w:i/>
                <w:iCs/>
                <w:szCs w:val="21"/>
              </w:rPr>
              <w:t>ize</w:t>
            </w:r>
          </w:p>
        </w:tc>
        <w:tc>
          <w:tcPr>
            <w:tcW w:w="1176" w:type="pct"/>
            <w:tcBorders>
              <w:tl2br w:val="nil"/>
              <w:tr2bl w:val="nil"/>
            </w:tcBorders>
          </w:tcPr>
          <w:p w14:paraId="6BCC9D1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-0.027</w:t>
            </w:r>
          </w:p>
          <w:p w14:paraId="23B2EA6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(-0.46)</w:t>
            </w:r>
          </w:p>
        </w:tc>
        <w:tc>
          <w:tcPr>
            <w:tcW w:w="941" w:type="pct"/>
            <w:tcBorders>
              <w:tl2br w:val="nil"/>
              <w:tr2bl w:val="nil"/>
            </w:tcBorders>
          </w:tcPr>
          <w:p w14:paraId="21D8094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-0.085</w:t>
            </w:r>
          </w:p>
          <w:p w14:paraId="77E8ACA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(-1.40)</w:t>
            </w:r>
          </w:p>
        </w:tc>
        <w:tc>
          <w:tcPr>
            <w:tcW w:w="940" w:type="pct"/>
            <w:tcBorders>
              <w:tl2br w:val="nil"/>
              <w:tr2bl w:val="nil"/>
            </w:tcBorders>
          </w:tcPr>
          <w:p w14:paraId="3435586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-0.091</w:t>
            </w:r>
          </w:p>
          <w:p w14:paraId="7D8DC62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(-1.37)</w:t>
            </w:r>
          </w:p>
        </w:tc>
      </w:tr>
      <w:tr w:rsidR="00857B61" w:rsidRPr="00857B61" w14:paraId="494F5548" w14:textId="77777777">
        <w:trPr>
          <w:trHeight w:val="397"/>
          <w:jc w:val="center"/>
        </w:trPr>
        <w:tc>
          <w:tcPr>
            <w:tcW w:w="1942" w:type="pct"/>
            <w:tcBorders>
              <w:tl2br w:val="nil"/>
              <w:tr2bl w:val="nil"/>
            </w:tcBorders>
          </w:tcPr>
          <w:p w14:paraId="591A4DBB"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S</w:t>
            </w:r>
            <w:r w:rsidRPr="00857B61">
              <w:rPr>
                <w:rFonts w:ascii="Times New Roman" w:eastAsia="宋体" w:hAnsi="Times New Roman" w:cs="Times New Roman"/>
                <w:i/>
                <w:iCs/>
                <w:szCs w:val="21"/>
              </w:rPr>
              <w:t>lack</w:t>
            </w:r>
          </w:p>
        </w:tc>
        <w:tc>
          <w:tcPr>
            <w:tcW w:w="1176" w:type="pct"/>
            <w:tcBorders>
              <w:tl2br w:val="nil"/>
              <w:tr2bl w:val="nil"/>
            </w:tcBorders>
          </w:tcPr>
          <w:p w14:paraId="6124D99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0.358*</w:t>
            </w:r>
          </w:p>
          <w:p w14:paraId="5DBC942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(6.63)</w:t>
            </w:r>
          </w:p>
        </w:tc>
        <w:tc>
          <w:tcPr>
            <w:tcW w:w="941" w:type="pct"/>
            <w:tcBorders>
              <w:tl2br w:val="nil"/>
              <w:tr2bl w:val="nil"/>
            </w:tcBorders>
          </w:tcPr>
          <w:p w14:paraId="268D7B2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-0.053</w:t>
            </w:r>
          </w:p>
          <w:p w14:paraId="1CB999B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(-2.09)</w:t>
            </w:r>
          </w:p>
        </w:tc>
        <w:tc>
          <w:tcPr>
            <w:tcW w:w="940" w:type="pct"/>
            <w:tcBorders>
              <w:tl2br w:val="nil"/>
              <w:tr2bl w:val="nil"/>
            </w:tcBorders>
          </w:tcPr>
          <w:p w14:paraId="174A336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-0.053</w:t>
            </w:r>
          </w:p>
          <w:p w14:paraId="14A2EC4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(-0.67)</w:t>
            </w:r>
          </w:p>
        </w:tc>
      </w:tr>
      <w:tr w:rsidR="00857B61" w:rsidRPr="00857B61" w14:paraId="6BC9C282" w14:textId="77777777">
        <w:trPr>
          <w:trHeight w:val="397"/>
          <w:jc w:val="center"/>
        </w:trPr>
        <w:tc>
          <w:tcPr>
            <w:tcW w:w="1942" w:type="pct"/>
            <w:tcBorders>
              <w:tl2br w:val="nil"/>
              <w:tr2bl w:val="nil"/>
            </w:tcBorders>
          </w:tcPr>
          <w:p w14:paraId="03877DCE"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Method</w:t>
            </w:r>
          </w:p>
        </w:tc>
        <w:tc>
          <w:tcPr>
            <w:tcW w:w="1176" w:type="pct"/>
            <w:tcBorders>
              <w:tl2br w:val="nil"/>
              <w:tr2bl w:val="nil"/>
            </w:tcBorders>
          </w:tcPr>
          <w:p w14:paraId="7FF208B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-0.524</w:t>
            </w:r>
          </w:p>
          <w:p w14:paraId="0345869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(-1.26)</w:t>
            </w:r>
          </w:p>
        </w:tc>
        <w:tc>
          <w:tcPr>
            <w:tcW w:w="941" w:type="pct"/>
            <w:tcBorders>
              <w:tl2br w:val="nil"/>
              <w:tr2bl w:val="nil"/>
            </w:tcBorders>
          </w:tcPr>
          <w:p w14:paraId="1D48F93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-0.719</w:t>
            </w:r>
          </w:p>
          <w:p w14:paraId="138C985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(-1.95)</w:t>
            </w:r>
          </w:p>
        </w:tc>
        <w:tc>
          <w:tcPr>
            <w:tcW w:w="940" w:type="pct"/>
            <w:tcBorders>
              <w:tl2br w:val="nil"/>
              <w:tr2bl w:val="nil"/>
            </w:tcBorders>
          </w:tcPr>
          <w:p w14:paraId="13BCC2F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-0.828</w:t>
            </w:r>
          </w:p>
          <w:p w14:paraId="4B8FEED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(-1.50)</w:t>
            </w:r>
          </w:p>
        </w:tc>
      </w:tr>
    </w:tbl>
    <w:p w14:paraId="3637D55C" w14:textId="77777777" w:rsidR="00DE7EC6" w:rsidRPr="00857B61" w:rsidRDefault="00000000">
      <w:pPr>
        <w:ind w:firstLineChars="200" w:firstLine="420"/>
        <w:jc w:val="right"/>
        <w:rPr>
          <w:rFonts w:ascii="Times New Roman" w:eastAsia="楷体" w:hAnsi="Times New Roman"/>
          <w:bCs/>
          <w:szCs w:val="21"/>
        </w:rPr>
      </w:pPr>
      <w:r w:rsidRPr="00857B61">
        <w:rPr>
          <w:rFonts w:ascii="Times New Roman" w:eastAsia="楷体" w:hAnsi="Times New Roman" w:hint="eastAsia"/>
          <w:bCs/>
          <w:szCs w:val="21"/>
        </w:rPr>
        <w:lastRenderedPageBreak/>
        <w:t xml:space="preserve">                                                  </w:t>
      </w:r>
      <w:r w:rsidRPr="00857B61">
        <w:rPr>
          <w:rFonts w:ascii="Times New Roman" w:eastAsia="楷体" w:hAnsi="Times New Roman"/>
          <w:bCs/>
          <w:szCs w:val="21"/>
        </w:rPr>
        <w:t>续表</w:t>
      </w:r>
      <w:r w:rsidRPr="00857B61">
        <w:rPr>
          <w:rFonts w:ascii="Times New Roman" w:eastAsia="楷体" w:hAnsi="Times New Roman"/>
          <w:bCs/>
          <w:szCs w:val="21"/>
        </w:rPr>
        <w:t>5</w:t>
      </w:r>
      <w:r w:rsidRPr="00857B61">
        <w:rPr>
          <w:rFonts w:ascii="Times New Roman" w:eastAsia="楷体" w:hAnsi="Times New Roman" w:hint="eastAsia"/>
          <w:bCs/>
          <w:szCs w:val="21"/>
        </w:rPr>
        <w:t xml:space="preserve">    </w:t>
      </w:r>
    </w:p>
    <w:tbl>
      <w:tblPr>
        <w:tblW w:w="5000" w:type="pct"/>
        <w:jc w:val="center"/>
        <w:tblBorders>
          <w:top w:val="single" w:sz="8" w:space="0" w:color="auto"/>
          <w:left w:val="none" w:sz="4" w:space="0" w:color="auto"/>
          <w:bottom w:val="single" w:sz="8" w:space="0" w:color="auto"/>
          <w:right w:val="none" w:sz="4" w:space="0" w:color="auto"/>
          <w:insideH w:val="single" w:sz="8" w:space="0" w:color="auto"/>
          <w:insideV w:val="single" w:sz="8" w:space="0" w:color="auto"/>
        </w:tblBorders>
        <w:tblLook w:val="04A0" w:firstRow="1" w:lastRow="0" w:firstColumn="1" w:lastColumn="0" w:noHBand="0" w:noVBand="1"/>
      </w:tblPr>
      <w:tblGrid>
        <w:gridCol w:w="3498"/>
        <w:gridCol w:w="2118"/>
        <w:gridCol w:w="1695"/>
        <w:gridCol w:w="1693"/>
      </w:tblGrid>
      <w:tr w:rsidR="00857B61" w:rsidRPr="00857B61" w14:paraId="61D3EF40" w14:textId="77777777">
        <w:trPr>
          <w:trHeight w:val="397"/>
          <w:jc w:val="center"/>
        </w:trPr>
        <w:tc>
          <w:tcPr>
            <w:tcW w:w="1942" w:type="pct"/>
            <w:tcBorders>
              <w:tl2br w:val="nil"/>
              <w:tr2bl w:val="nil"/>
            </w:tcBorders>
            <w:vAlign w:val="center"/>
          </w:tcPr>
          <w:p w14:paraId="1701061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变量名称</w:t>
            </w:r>
          </w:p>
        </w:tc>
        <w:tc>
          <w:tcPr>
            <w:tcW w:w="1176" w:type="pct"/>
            <w:tcBorders>
              <w:tl2br w:val="nil"/>
              <w:tr2bl w:val="nil"/>
            </w:tcBorders>
            <w:vAlign w:val="center"/>
          </w:tcPr>
          <w:p w14:paraId="1D524CE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w:t>
            </w:r>
          </w:p>
        </w:tc>
        <w:tc>
          <w:tcPr>
            <w:tcW w:w="941" w:type="pct"/>
            <w:tcBorders>
              <w:tl2br w:val="nil"/>
              <w:tr2bl w:val="nil"/>
            </w:tcBorders>
            <w:vAlign w:val="center"/>
          </w:tcPr>
          <w:p w14:paraId="795D49D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w:t>
            </w:r>
          </w:p>
        </w:tc>
        <w:tc>
          <w:tcPr>
            <w:tcW w:w="940" w:type="pct"/>
            <w:tcBorders>
              <w:tl2br w:val="nil"/>
              <w:tr2bl w:val="nil"/>
            </w:tcBorders>
            <w:vAlign w:val="center"/>
          </w:tcPr>
          <w:p w14:paraId="0AE72DC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w:t>
            </w:r>
          </w:p>
        </w:tc>
      </w:tr>
      <w:tr w:rsidR="00857B61" w:rsidRPr="00857B61" w14:paraId="78DEE20A" w14:textId="77777777">
        <w:trPr>
          <w:trHeight w:val="397"/>
          <w:jc w:val="center"/>
        </w:trPr>
        <w:tc>
          <w:tcPr>
            <w:tcW w:w="1942" w:type="pct"/>
            <w:tcBorders>
              <w:tl2br w:val="nil"/>
              <w:tr2bl w:val="nil"/>
            </w:tcBorders>
          </w:tcPr>
          <w:p w14:paraId="1A8E60CA"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Rpt</w:t>
            </w:r>
          </w:p>
        </w:tc>
        <w:tc>
          <w:tcPr>
            <w:tcW w:w="1176" w:type="pct"/>
            <w:tcBorders>
              <w:tl2br w:val="nil"/>
              <w:tr2bl w:val="nil"/>
            </w:tcBorders>
          </w:tcPr>
          <w:p w14:paraId="6323E67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-0.491</w:t>
            </w:r>
          </w:p>
          <w:p w14:paraId="734E6A0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(-1.86)</w:t>
            </w:r>
          </w:p>
        </w:tc>
        <w:tc>
          <w:tcPr>
            <w:tcW w:w="941" w:type="pct"/>
            <w:tcBorders>
              <w:tl2br w:val="nil"/>
              <w:tr2bl w:val="nil"/>
            </w:tcBorders>
          </w:tcPr>
          <w:p w14:paraId="224785B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-0.663</w:t>
            </w:r>
          </w:p>
          <w:p w14:paraId="2CE15CE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(-2.79)</w:t>
            </w:r>
          </w:p>
        </w:tc>
        <w:tc>
          <w:tcPr>
            <w:tcW w:w="940" w:type="pct"/>
            <w:tcBorders>
              <w:tl2br w:val="nil"/>
              <w:tr2bl w:val="nil"/>
            </w:tcBorders>
          </w:tcPr>
          <w:p w14:paraId="5CB4DB5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-0.660</w:t>
            </w:r>
          </w:p>
          <w:p w14:paraId="214F438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(-4.13)</w:t>
            </w:r>
          </w:p>
        </w:tc>
      </w:tr>
      <w:tr w:rsidR="00857B61" w:rsidRPr="00857B61" w14:paraId="515A44E4" w14:textId="77777777">
        <w:trPr>
          <w:trHeight w:val="397"/>
          <w:jc w:val="center"/>
        </w:trPr>
        <w:tc>
          <w:tcPr>
            <w:tcW w:w="1942" w:type="pct"/>
            <w:tcBorders>
              <w:tl2br w:val="nil"/>
              <w:tr2bl w:val="nil"/>
            </w:tcBorders>
          </w:tcPr>
          <w:p w14:paraId="1992A2D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时间效应</w:t>
            </w:r>
          </w:p>
        </w:tc>
        <w:tc>
          <w:tcPr>
            <w:tcW w:w="1176" w:type="pct"/>
            <w:tcBorders>
              <w:tl2br w:val="nil"/>
              <w:tr2bl w:val="nil"/>
            </w:tcBorders>
            <w:vAlign w:val="center"/>
          </w:tcPr>
          <w:p w14:paraId="297D68F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NO</w:t>
            </w:r>
          </w:p>
        </w:tc>
        <w:tc>
          <w:tcPr>
            <w:tcW w:w="941" w:type="pct"/>
            <w:tcBorders>
              <w:tl2br w:val="nil"/>
              <w:tr2bl w:val="nil"/>
            </w:tcBorders>
            <w:vAlign w:val="center"/>
          </w:tcPr>
          <w:p w14:paraId="4B30D6A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NO</w:t>
            </w:r>
          </w:p>
        </w:tc>
        <w:tc>
          <w:tcPr>
            <w:tcW w:w="940" w:type="pct"/>
            <w:tcBorders>
              <w:tl2br w:val="nil"/>
              <w:tr2bl w:val="nil"/>
            </w:tcBorders>
            <w:vAlign w:val="center"/>
          </w:tcPr>
          <w:p w14:paraId="2BA76F0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r>
      <w:tr w:rsidR="00857B61" w:rsidRPr="00857B61" w14:paraId="40214104" w14:textId="77777777">
        <w:trPr>
          <w:trHeight w:val="397"/>
          <w:jc w:val="center"/>
        </w:trPr>
        <w:tc>
          <w:tcPr>
            <w:tcW w:w="1942" w:type="pct"/>
            <w:tcBorders>
              <w:tl2br w:val="nil"/>
              <w:tr2bl w:val="nil"/>
            </w:tcBorders>
          </w:tcPr>
          <w:p w14:paraId="0F11BC4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行业效应</w:t>
            </w:r>
          </w:p>
        </w:tc>
        <w:tc>
          <w:tcPr>
            <w:tcW w:w="1176" w:type="pct"/>
            <w:tcBorders>
              <w:tl2br w:val="nil"/>
              <w:tr2bl w:val="nil"/>
            </w:tcBorders>
            <w:vAlign w:val="center"/>
          </w:tcPr>
          <w:p w14:paraId="3670439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NO</w:t>
            </w:r>
          </w:p>
        </w:tc>
        <w:tc>
          <w:tcPr>
            <w:tcW w:w="941" w:type="pct"/>
            <w:tcBorders>
              <w:tl2br w:val="nil"/>
              <w:tr2bl w:val="nil"/>
            </w:tcBorders>
            <w:vAlign w:val="center"/>
          </w:tcPr>
          <w:p w14:paraId="0BDDA4E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940" w:type="pct"/>
            <w:tcBorders>
              <w:tl2br w:val="nil"/>
              <w:tr2bl w:val="nil"/>
            </w:tcBorders>
            <w:vAlign w:val="center"/>
          </w:tcPr>
          <w:p w14:paraId="510B78A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r>
      <w:tr w:rsidR="00857B61" w:rsidRPr="00857B61" w14:paraId="4B3A5EFE" w14:textId="77777777">
        <w:trPr>
          <w:trHeight w:val="397"/>
          <w:jc w:val="center"/>
        </w:trPr>
        <w:tc>
          <w:tcPr>
            <w:tcW w:w="1942" w:type="pct"/>
            <w:tcBorders>
              <w:tl2br w:val="nil"/>
              <w:tr2bl w:val="nil"/>
            </w:tcBorders>
          </w:tcPr>
          <w:p w14:paraId="56C80AD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地区效应</w:t>
            </w:r>
          </w:p>
        </w:tc>
        <w:tc>
          <w:tcPr>
            <w:tcW w:w="1176" w:type="pct"/>
            <w:tcBorders>
              <w:tl2br w:val="nil"/>
              <w:tr2bl w:val="nil"/>
            </w:tcBorders>
            <w:vAlign w:val="center"/>
          </w:tcPr>
          <w:p w14:paraId="5354085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NO</w:t>
            </w:r>
          </w:p>
        </w:tc>
        <w:tc>
          <w:tcPr>
            <w:tcW w:w="941" w:type="pct"/>
            <w:tcBorders>
              <w:tl2br w:val="nil"/>
              <w:tr2bl w:val="nil"/>
            </w:tcBorders>
            <w:vAlign w:val="center"/>
          </w:tcPr>
          <w:p w14:paraId="59D184B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940" w:type="pct"/>
            <w:tcBorders>
              <w:tl2br w:val="nil"/>
              <w:tr2bl w:val="nil"/>
            </w:tcBorders>
            <w:vAlign w:val="center"/>
          </w:tcPr>
          <w:p w14:paraId="55DE464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r>
      <w:tr w:rsidR="00857B61" w:rsidRPr="00857B61" w14:paraId="63B36343" w14:textId="77777777">
        <w:trPr>
          <w:trHeight w:val="397"/>
          <w:jc w:val="center"/>
        </w:trPr>
        <w:tc>
          <w:tcPr>
            <w:tcW w:w="1942" w:type="pct"/>
            <w:tcBorders>
              <w:tl2br w:val="nil"/>
              <w:tr2bl w:val="nil"/>
            </w:tcBorders>
          </w:tcPr>
          <w:p w14:paraId="195B0A45"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i/>
                <w:iCs/>
                <w:szCs w:val="21"/>
              </w:rPr>
              <w:t>C</w:t>
            </w:r>
          </w:p>
        </w:tc>
        <w:tc>
          <w:tcPr>
            <w:tcW w:w="1176" w:type="pct"/>
            <w:tcBorders>
              <w:tl2br w:val="nil"/>
              <w:tr2bl w:val="nil"/>
            </w:tcBorders>
            <w:vAlign w:val="center"/>
          </w:tcPr>
          <w:p w14:paraId="54A5C44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-0.957</w:t>
            </w:r>
          </w:p>
          <w:p w14:paraId="7668592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(-3.01)</w:t>
            </w:r>
          </w:p>
        </w:tc>
        <w:tc>
          <w:tcPr>
            <w:tcW w:w="941" w:type="pct"/>
            <w:tcBorders>
              <w:tl2br w:val="nil"/>
              <w:tr2bl w:val="nil"/>
            </w:tcBorders>
            <w:vAlign w:val="center"/>
          </w:tcPr>
          <w:p w14:paraId="1C31C45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-2.383</w:t>
            </w:r>
          </w:p>
          <w:p w14:paraId="3C4682B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(-0.12)</w:t>
            </w:r>
          </w:p>
        </w:tc>
        <w:tc>
          <w:tcPr>
            <w:tcW w:w="940" w:type="pct"/>
            <w:tcBorders>
              <w:tl2br w:val="nil"/>
              <w:tr2bl w:val="nil"/>
            </w:tcBorders>
            <w:vAlign w:val="center"/>
          </w:tcPr>
          <w:p w14:paraId="781288E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-0.543</w:t>
            </w:r>
          </w:p>
          <w:p w14:paraId="7A1A72C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(-0.02)</w:t>
            </w:r>
          </w:p>
        </w:tc>
      </w:tr>
      <w:tr w:rsidR="00857B61" w:rsidRPr="00857B61" w14:paraId="05391BD6" w14:textId="77777777">
        <w:trPr>
          <w:trHeight w:val="97"/>
          <w:jc w:val="center"/>
        </w:trPr>
        <w:tc>
          <w:tcPr>
            <w:tcW w:w="1942" w:type="pct"/>
            <w:tcBorders>
              <w:tl2br w:val="nil"/>
              <w:tr2bl w:val="nil"/>
            </w:tcBorders>
          </w:tcPr>
          <w:p w14:paraId="73F3E91D"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i/>
                <w:iCs/>
                <w:szCs w:val="21"/>
              </w:rPr>
              <w:t>R</w:t>
            </w:r>
            <w:r w:rsidRPr="00857B61">
              <w:rPr>
                <w:rFonts w:ascii="Times New Roman" w:eastAsia="宋体" w:hAnsi="Times New Roman" w:cs="Times New Roman" w:hint="eastAsia"/>
                <w:i/>
                <w:iCs/>
                <w:szCs w:val="21"/>
                <w:vertAlign w:val="superscript"/>
              </w:rPr>
              <w:t>2</w:t>
            </w:r>
          </w:p>
        </w:tc>
        <w:tc>
          <w:tcPr>
            <w:tcW w:w="1176" w:type="pct"/>
            <w:tcBorders>
              <w:tl2br w:val="nil"/>
              <w:tr2bl w:val="nil"/>
            </w:tcBorders>
            <w:vAlign w:val="center"/>
          </w:tcPr>
          <w:p w14:paraId="6F42ED5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0.01</w:t>
            </w:r>
            <w:r w:rsidRPr="00857B61">
              <w:rPr>
                <w:rFonts w:ascii="Times New Roman" w:eastAsia="宋体" w:hAnsi="Times New Roman" w:cs="Times New Roman" w:hint="eastAsia"/>
                <w:szCs w:val="21"/>
              </w:rPr>
              <w:t>6</w:t>
            </w:r>
          </w:p>
        </w:tc>
        <w:tc>
          <w:tcPr>
            <w:tcW w:w="941" w:type="pct"/>
            <w:tcBorders>
              <w:tl2br w:val="nil"/>
              <w:tr2bl w:val="nil"/>
            </w:tcBorders>
            <w:vAlign w:val="center"/>
          </w:tcPr>
          <w:p w14:paraId="759789A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w:t>
            </w:r>
            <w:r w:rsidRPr="00857B61">
              <w:rPr>
                <w:rFonts w:ascii="Times New Roman" w:eastAsia="宋体" w:hAnsi="Times New Roman" w:cs="Times New Roman" w:hint="eastAsia"/>
                <w:szCs w:val="21"/>
              </w:rPr>
              <w:t>76</w:t>
            </w:r>
          </w:p>
        </w:tc>
        <w:tc>
          <w:tcPr>
            <w:tcW w:w="940" w:type="pct"/>
            <w:tcBorders>
              <w:tl2br w:val="nil"/>
              <w:tr2bl w:val="nil"/>
            </w:tcBorders>
            <w:vAlign w:val="center"/>
          </w:tcPr>
          <w:p w14:paraId="5188B94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0.18</w:t>
            </w:r>
            <w:r w:rsidRPr="00857B61">
              <w:rPr>
                <w:rFonts w:ascii="Times New Roman" w:eastAsia="宋体" w:hAnsi="Times New Roman" w:cs="Times New Roman" w:hint="eastAsia"/>
                <w:szCs w:val="21"/>
              </w:rPr>
              <w:t>6</w:t>
            </w:r>
          </w:p>
        </w:tc>
      </w:tr>
      <w:tr w:rsidR="00857B61" w:rsidRPr="00857B61" w14:paraId="6141A783" w14:textId="77777777">
        <w:trPr>
          <w:trHeight w:val="102"/>
          <w:jc w:val="center"/>
        </w:trPr>
        <w:tc>
          <w:tcPr>
            <w:tcW w:w="1942" w:type="pct"/>
            <w:tcBorders>
              <w:tl2br w:val="nil"/>
              <w:tr2bl w:val="nil"/>
            </w:tcBorders>
          </w:tcPr>
          <w:p w14:paraId="7AED8CF2"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N</w:t>
            </w:r>
          </w:p>
        </w:tc>
        <w:tc>
          <w:tcPr>
            <w:tcW w:w="1176" w:type="pct"/>
            <w:tcBorders>
              <w:tl2br w:val="nil"/>
              <w:tr2bl w:val="nil"/>
            </w:tcBorders>
            <w:vAlign w:val="center"/>
          </w:tcPr>
          <w:p w14:paraId="0645269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1,567</w:t>
            </w:r>
          </w:p>
        </w:tc>
        <w:tc>
          <w:tcPr>
            <w:tcW w:w="941" w:type="pct"/>
            <w:tcBorders>
              <w:tl2br w:val="nil"/>
              <w:tr2bl w:val="nil"/>
            </w:tcBorders>
            <w:vAlign w:val="center"/>
          </w:tcPr>
          <w:p w14:paraId="25E5258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1,567</w:t>
            </w:r>
          </w:p>
        </w:tc>
        <w:tc>
          <w:tcPr>
            <w:tcW w:w="940" w:type="pct"/>
            <w:tcBorders>
              <w:tl2br w:val="nil"/>
              <w:tr2bl w:val="nil"/>
            </w:tcBorders>
            <w:vAlign w:val="center"/>
          </w:tcPr>
          <w:p w14:paraId="62DD5CE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1,567</w:t>
            </w:r>
          </w:p>
        </w:tc>
      </w:tr>
    </w:tbl>
    <w:p w14:paraId="2EC44321" w14:textId="77777777" w:rsidR="00DE7EC6" w:rsidRPr="00857B61" w:rsidRDefault="00000000">
      <w:pPr>
        <w:ind w:firstLineChars="200" w:firstLine="360"/>
        <w:jc w:val="left"/>
        <w:rPr>
          <w:rFonts w:ascii="Times New Roman" w:eastAsia="楷体" w:hAnsi="Times New Roman"/>
          <w:sz w:val="18"/>
          <w:szCs w:val="18"/>
        </w:rPr>
      </w:pPr>
      <w:r w:rsidRPr="00857B61">
        <w:rPr>
          <w:rFonts w:ascii="Times New Roman" w:eastAsia="楷体" w:hAnsi="Times New Roman" w:hint="eastAsia"/>
          <w:sz w:val="18"/>
          <w:szCs w:val="18"/>
        </w:rPr>
        <w:t>注：括号中为</w:t>
      </w:r>
      <w:r w:rsidRPr="00857B61">
        <w:rPr>
          <w:rFonts w:ascii="Times New Roman" w:eastAsia="楷体" w:hAnsi="Times New Roman" w:cs="Times New Roman" w:hint="eastAsia"/>
          <w:sz w:val="18"/>
          <w:szCs w:val="18"/>
        </w:rPr>
        <w:t>t</w:t>
      </w:r>
      <w:r w:rsidRPr="00857B61">
        <w:rPr>
          <w:rFonts w:ascii="Times New Roman" w:eastAsia="楷体" w:hAnsi="Times New Roman" w:hint="eastAsia"/>
          <w:sz w:val="18"/>
          <w:szCs w:val="18"/>
        </w:rPr>
        <w:t>值</w:t>
      </w:r>
      <w:r w:rsidRPr="00857B61">
        <w:rPr>
          <w:rFonts w:ascii="Times New Roman" w:eastAsia="楷体" w:hAnsi="Times New Roman" w:cs="Times New Roman" w:hint="eastAsia"/>
          <w:sz w:val="18"/>
          <w:szCs w:val="18"/>
        </w:rPr>
        <w:t>，</w:t>
      </w:r>
      <w:r w:rsidRPr="00857B61">
        <w:rPr>
          <w:rFonts w:ascii="Times New Roman" w:eastAsia="楷体" w:hAnsi="Times New Roman" w:cs="Times New Roman"/>
          <w:sz w:val="18"/>
          <w:szCs w:val="18"/>
        </w:rPr>
        <w:t>***</w:t>
      </w:r>
      <w:r w:rsidRPr="00857B61">
        <w:rPr>
          <w:rFonts w:ascii="Times New Roman" w:eastAsia="楷体" w:hAnsi="Times New Roman" w:cs="Times New Roman" w:hint="eastAsia"/>
          <w:sz w:val="18"/>
          <w:szCs w:val="18"/>
        </w:rPr>
        <w:t>、</w:t>
      </w:r>
      <w:r w:rsidRPr="00857B61">
        <w:rPr>
          <w:rFonts w:ascii="Times New Roman" w:eastAsia="楷体" w:hAnsi="Times New Roman" w:cs="Times New Roman"/>
          <w:sz w:val="18"/>
          <w:szCs w:val="18"/>
        </w:rPr>
        <w:t>**</w:t>
      </w:r>
      <w:r w:rsidRPr="00857B61">
        <w:rPr>
          <w:rFonts w:ascii="Times New Roman" w:eastAsia="楷体" w:hAnsi="Times New Roman" w:cs="Times New Roman" w:hint="eastAsia"/>
          <w:sz w:val="18"/>
          <w:szCs w:val="18"/>
        </w:rPr>
        <w:t>、</w:t>
      </w:r>
      <w:r w:rsidRPr="00857B61">
        <w:rPr>
          <w:rFonts w:ascii="Times New Roman" w:eastAsia="楷体" w:hAnsi="Times New Roman" w:cs="Times New Roman"/>
          <w:sz w:val="18"/>
          <w:szCs w:val="18"/>
        </w:rPr>
        <w:t>*</w:t>
      </w:r>
      <w:r w:rsidRPr="00857B61">
        <w:rPr>
          <w:rFonts w:ascii="Times New Roman" w:eastAsia="楷体" w:hAnsi="Times New Roman" w:hint="eastAsia"/>
          <w:sz w:val="18"/>
          <w:szCs w:val="18"/>
        </w:rPr>
        <w:t>分别代表在</w:t>
      </w:r>
      <w:r w:rsidRPr="00857B61">
        <w:rPr>
          <w:rFonts w:ascii="Times New Roman" w:eastAsia="楷体" w:hAnsi="Times New Roman" w:cs="Times New Roman" w:hint="eastAsia"/>
          <w:sz w:val="18"/>
          <w:szCs w:val="18"/>
        </w:rPr>
        <w:t>1%</w:t>
      </w:r>
      <w:r w:rsidRPr="00857B61">
        <w:rPr>
          <w:rFonts w:ascii="Times New Roman" w:eastAsia="楷体" w:hAnsi="Times New Roman" w:cs="Times New Roman" w:hint="eastAsia"/>
          <w:sz w:val="18"/>
          <w:szCs w:val="18"/>
        </w:rPr>
        <w:t>、</w:t>
      </w:r>
      <w:r w:rsidRPr="00857B61">
        <w:rPr>
          <w:rFonts w:ascii="Times New Roman" w:eastAsia="楷体" w:hAnsi="Times New Roman" w:cs="Times New Roman" w:hint="eastAsia"/>
          <w:sz w:val="18"/>
          <w:szCs w:val="18"/>
        </w:rPr>
        <w:t>5%</w:t>
      </w:r>
      <w:r w:rsidRPr="00857B61">
        <w:rPr>
          <w:rFonts w:ascii="Times New Roman" w:eastAsia="楷体" w:hAnsi="Times New Roman" w:hint="eastAsia"/>
          <w:sz w:val="18"/>
          <w:szCs w:val="18"/>
        </w:rPr>
        <w:t>和</w:t>
      </w:r>
      <w:r w:rsidRPr="00857B61">
        <w:rPr>
          <w:rFonts w:ascii="Times New Roman" w:eastAsia="楷体" w:hAnsi="Times New Roman" w:cs="Times New Roman" w:hint="eastAsia"/>
          <w:sz w:val="18"/>
          <w:szCs w:val="18"/>
        </w:rPr>
        <w:t>10%</w:t>
      </w:r>
      <w:r w:rsidRPr="00857B61">
        <w:rPr>
          <w:rFonts w:ascii="Times New Roman" w:eastAsia="楷体" w:hAnsi="Times New Roman" w:hint="eastAsia"/>
          <w:sz w:val="18"/>
          <w:szCs w:val="18"/>
        </w:rPr>
        <w:t>的统计水平上显著，下同。</w:t>
      </w:r>
    </w:p>
    <w:p w14:paraId="3A500A1A" w14:textId="77777777" w:rsidR="00DE7EC6" w:rsidRPr="00857B61" w:rsidRDefault="00000000">
      <w:pPr>
        <w:ind w:firstLineChars="200" w:firstLine="420"/>
        <w:rPr>
          <w:rFonts w:eastAsia="宋体"/>
          <w:sz w:val="24"/>
        </w:rPr>
      </w:pPr>
      <w:r w:rsidRPr="00857B61">
        <w:rPr>
          <w:rFonts w:eastAsia="宋体" w:hint="eastAsia"/>
          <w:szCs w:val="21"/>
        </w:rPr>
        <w:t>从控制变量来看，高管持股（</w:t>
      </w:r>
      <w:r w:rsidRPr="00857B61">
        <w:rPr>
          <w:rFonts w:ascii="Times New Roman" w:eastAsia="宋体" w:hAnsi="Times New Roman" w:cs="Times New Roman" w:hint="eastAsia"/>
          <w:i/>
          <w:iCs/>
          <w:szCs w:val="21"/>
        </w:rPr>
        <w:t>Holding</w:t>
      </w:r>
      <w:r w:rsidRPr="00857B61">
        <w:rPr>
          <w:rFonts w:eastAsia="宋体" w:hint="eastAsia"/>
          <w:szCs w:val="21"/>
        </w:rPr>
        <w:t>）在</w:t>
      </w:r>
      <w:r w:rsidRPr="00857B61">
        <w:rPr>
          <w:rFonts w:ascii="Times New Roman" w:eastAsia="宋体" w:hAnsi="Times New Roman" w:cs="Times New Roman" w:hint="eastAsia"/>
          <w:szCs w:val="21"/>
        </w:rPr>
        <w:t>1%</w:t>
      </w:r>
      <w:r w:rsidRPr="00857B61">
        <w:rPr>
          <w:rFonts w:eastAsia="宋体" w:hint="eastAsia"/>
          <w:szCs w:val="21"/>
        </w:rPr>
        <w:t>水平上显著为负，说明高管持股比例与企业出售股权或资产时索要的溢价水平呈现负相关关系。这是因为当高管持股比例相对较高时，其自身利益已经与企业利益趋于一致，盈利弱并不是由于高管的懈怠（</w:t>
      </w:r>
      <w:r w:rsidRPr="00857B61">
        <w:rPr>
          <w:rFonts w:ascii="Times New Roman" w:eastAsia="宋体" w:hAnsi="Times New Roman" w:cs="Times New Roman"/>
          <w:szCs w:val="21"/>
        </w:rPr>
        <w:t xml:space="preserve">Jensen </w:t>
      </w:r>
      <w:r w:rsidRPr="00857B61">
        <w:rPr>
          <w:rFonts w:ascii="Times New Roman" w:eastAsia="宋体" w:hAnsi="Times New Roman" w:cs="Times New Roman" w:hint="eastAsia"/>
          <w:szCs w:val="21"/>
        </w:rPr>
        <w:t>&amp;</w:t>
      </w:r>
      <w:r w:rsidRPr="00857B61">
        <w:rPr>
          <w:rFonts w:ascii="Times New Roman" w:eastAsia="宋体" w:hAnsi="Times New Roman" w:cs="Times New Roman"/>
          <w:szCs w:val="21"/>
        </w:rPr>
        <w:t xml:space="preserve"> Meckling</w:t>
      </w:r>
      <w:r w:rsidRPr="00857B61">
        <w:rPr>
          <w:rFonts w:ascii="Times New Roman" w:eastAsia="宋体" w:hAnsi="Times New Roman" w:cs="Times New Roman"/>
          <w:szCs w:val="21"/>
        </w:rPr>
        <w:t>，</w:t>
      </w:r>
      <w:r w:rsidRPr="00857B61">
        <w:rPr>
          <w:rFonts w:ascii="Times New Roman" w:eastAsia="宋体" w:hAnsi="Times New Roman" w:cs="Times New Roman"/>
          <w:szCs w:val="21"/>
        </w:rPr>
        <w:t>1976</w:t>
      </w:r>
      <w:r w:rsidRPr="00857B61">
        <w:rPr>
          <w:rFonts w:eastAsia="宋体" w:hint="eastAsia"/>
          <w:szCs w:val="21"/>
        </w:rPr>
        <w:t>），这时如果再进行股权或资产的出售则不会达到一个较高的并购溢价水平。冗余资源（</w:t>
      </w:r>
      <w:r w:rsidRPr="00857B61">
        <w:rPr>
          <w:rFonts w:ascii="Times New Roman" w:eastAsia="宋体" w:hAnsi="Times New Roman" w:cs="Times New Roman" w:hint="eastAsia"/>
          <w:i/>
          <w:iCs/>
          <w:szCs w:val="21"/>
        </w:rPr>
        <w:t>Slack</w:t>
      </w:r>
      <w:r w:rsidRPr="00857B61">
        <w:rPr>
          <w:rFonts w:eastAsia="宋体" w:hint="eastAsia"/>
          <w:szCs w:val="21"/>
        </w:rPr>
        <w:t>）显著为正，说明企业冗余资源越多时可索要的并购溢价水平就越高，与</w:t>
      </w:r>
      <w:r w:rsidRPr="00857B61">
        <w:rPr>
          <w:rFonts w:ascii="Times New Roman" w:eastAsia="宋体" w:hAnsi="Times New Roman" w:cs="Times New Roman" w:hint="eastAsia"/>
          <w:szCs w:val="21"/>
        </w:rPr>
        <w:t>Kim</w:t>
      </w:r>
      <w:r w:rsidRPr="00857B61">
        <w:rPr>
          <w:rFonts w:eastAsia="宋体" w:hint="eastAsia"/>
          <w:szCs w:val="21"/>
        </w:rPr>
        <w:t xml:space="preserve"> </w:t>
      </w:r>
      <w:r w:rsidRPr="00857B61">
        <w:rPr>
          <w:rFonts w:ascii="Times New Roman" w:eastAsia="宋体" w:hAnsi="Times New Roman" w:cs="Times New Roman"/>
          <w:szCs w:val="21"/>
        </w:rPr>
        <w:t>et al</w:t>
      </w:r>
      <w:r w:rsidRPr="00857B61">
        <w:rPr>
          <w:rFonts w:eastAsia="宋体" w:hint="eastAsia"/>
          <w:szCs w:val="21"/>
        </w:rPr>
        <w:t>（</w:t>
      </w:r>
      <w:r w:rsidRPr="00857B61">
        <w:rPr>
          <w:rFonts w:ascii="Times New Roman" w:eastAsia="宋体" w:hAnsi="Times New Roman" w:cs="Times New Roman" w:hint="eastAsia"/>
          <w:szCs w:val="21"/>
        </w:rPr>
        <w:t>2011</w:t>
      </w:r>
      <w:r w:rsidRPr="00857B61">
        <w:rPr>
          <w:rFonts w:eastAsia="宋体" w:hint="eastAsia"/>
          <w:szCs w:val="21"/>
        </w:rPr>
        <w:t>）研究结果一致。相对绩效（</w:t>
      </w:r>
      <w:r w:rsidRPr="00857B61">
        <w:rPr>
          <w:rFonts w:ascii="Times New Roman" w:eastAsia="宋体" w:hAnsi="Times New Roman" w:cs="Times New Roman" w:hint="eastAsia"/>
          <w:i/>
          <w:iCs/>
          <w:szCs w:val="21"/>
        </w:rPr>
        <w:t>Profit</w:t>
      </w:r>
      <w:r w:rsidRPr="00857B61">
        <w:rPr>
          <w:rFonts w:eastAsia="宋体" w:hint="eastAsia"/>
          <w:szCs w:val="21"/>
        </w:rPr>
        <w:t>）在列（</w:t>
      </w:r>
      <w:r w:rsidRPr="00857B61">
        <w:rPr>
          <w:rFonts w:ascii="Times New Roman" w:eastAsia="宋体" w:hAnsi="Times New Roman" w:cs="Times New Roman"/>
          <w:szCs w:val="21"/>
        </w:rPr>
        <w:t>1</w:t>
      </w:r>
      <w:r w:rsidRPr="00857B61">
        <w:rPr>
          <w:rFonts w:eastAsia="宋体" w:hint="eastAsia"/>
          <w:szCs w:val="21"/>
        </w:rPr>
        <w:t>）至（</w:t>
      </w:r>
      <w:r w:rsidRPr="00857B61">
        <w:rPr>
          <w:rFonts w:ascii="Times New Roman" w:eastAsia="宋体" w:hAnsi="Times New Roman" w:cs="Times New Roman"/>
          <w:szCs w:val="21"/>
        </w:rPr>
        <w:t>3</w:t>
      </w:r>
      <w:r w:rsidRPr="00857B61">
        <w:rPr>
          <w:rFonts w:eastAsia="宋体" w:hint="eastAsia"/>
          <w:szCs w:val="21"/>
        </w:rPr>
        <w:t>）中均显著为正，表明被并购企业在同行业中的绩效水平越高也就越有利于其在并购中索要高水平的溢价，这一结论也符合</w:t>
      </w:r>
      <w:r w:rsidRPr="00857B61">
        <w:rPr>
          <w:rFonts w:ascii="Times New Roman" w:eastAsia="宋体" w:hAnsi="Times New Roman" w:cs="Times New Roman"/>
          <w:szCs w:val="21"/>
        </w:rPr>
        <w:t xml:space="preserve">Hayward </w:t>
      </w:r>
      <w:r w:rsidRPr="00857B61">
        <w:rPr>
          <w:rFonts w:ascii="Times New Roman" w:eastAsia="宋体" w:hAnsi="Times New Roman" w:cs="Times New Roman" w:hint="eastAsia"/>
          <w:szCs w:val="21"/>
        </w:rPr>
        <w:t xml:space="preserve">&amp; </w:t>
      </w:r>
      <w:r w:rsidRPr="00857B61">
        <w:rPr>
          <w:rFonts w:ascii="Times New Roman" w:eastAsia="宋体" w:hAnsi="Times New Roman" w:cs="Times New Roman" w:hint="eastAsia"/>
        </w:rPr>
        <w:t>Donald</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1997</w:t>
      </w:r>
      <w:r w:rsidRPr="00857B61">
        <w:rPr>
          <w:rFonts w:eastAsia="宋体" w:hint="eastAsia"/>
          <w:szCs w:val="21"/>
        </w:rPr>
        <w:t>）认为相对绩效对并购溢价有显著影响的研究发现</w:t>
      </w:r>
      <w:r w:rsidRPr="00857B61">
        <w:rPr>
          <w:rFonts w:eastAsia="宋体" w:hint="eastAsia"/>
          <w:sz w:val="24"/>
        </w:rPr>
        <w:t>。</w:t>
      </w:r>
    </w:p>
    <w:p w14:paraId="2BA05B5E" w14:textId="77777777" w:rsidR="00DE7EC6" w:rsidRPr="00857B61" w:rsidRDefault="00000000">
      <w:pPr>
        <w:pStyle w:val="30"/>
        <w:spacing w:before="120" w:after="120" w:line="240" w:lineRule="auto"/>
        <w:ind w:firstLineChars="200" w:firstLine="422"/>
        <w:rPr>
          <w:rFonts w:eastAsia="宋体"/>
          <w:sz w:val="21"/>
          <w:szCs w:val="21"/>
        </w:rPr>
      </w:pPr>
      <w:r w:rsidRPr="00857B61">
        <w:rPr>
          <w:rFonts w:eastAsia="宋体" w:hint="eastAsia"/>
          <w:sz w:val="21"/>
          <w:szCs w:val="21"/>
        </w:rPr>
        <w:t>（二）稳健性检验</w:t>
      </w:r>
    </w:p>
    <w:p w14:paraId="41DDE969" w14:textId="77777777" w:rsidR="00DE7EC6" w:rsidRPr="00857B61" w:rsidRDefault="00000000">
      <w:pPr>
        <w:pStyle w:val="4"/>
        <w:spacing w:before="0" w:after="0" w:line="240" w:lineRule="auto"/>
        <w:ind w:firstLineChars="200" w:firstLine="420"/>
        <w:rPr>
          <w:rFonts w:eastAsia="宋体"/>
          <w:b w:val="0"/>
          <w:bCs w:val="0"/>
          <w:sz w:val="21"/>
          <w:szCs w:val="21"/>
        </w:rPr>
      </w:pPr>
      <w:r w:rsidRPr="00857B61">
        <w:rPr>
          <w:rFonts w:ascii="Times New Roman" w:eastAsia="宋体" w:hAnsi="Times New Roman" w:cs="宋体" w:hint="eastAsia"/>
          <w:b w:val="0"/>
          <w:bCs w:val="0"/>
          <w:sz w:val="21"/>
          <w:szCs w:val="21"/>
        </w:rPr>
        <w:t>1.</w:t>
      </w:r>
      <w:r w:rsidRPr="00857B61">
        <w:rPr>
          <w:rFonts w:ascii="楷体" w:eastAsia="楷体" w:hAnsi="楷体" w:cs="楷体" w:hint="eastAsia"/>
          <w:b w:val="0"/>
          <w:bCs w:val="0"/>
          <w:sz w:val="21"/>
          <w:szCs w:val="21"/>
        </w:rPr>
        <w:t>平行趋势及动态效果检验。</w:t>
      </w:r>
      <w:r w:rsidRPr="00857B61">
        <w:rPr>
          <w:rFonts w:eastAsia="宋体" w:hint="eastAsia"/>
          <w:b w:val="0"/>
          <w:bCs w:val="0"/>
          <w:sz w:val="21"/>
          <w:szCs w:val="21"/>
        </w:rPr>
        <w:t>满足平行趋势假设是使用双重差分模型的一个前提条件，即处理组和对照组两组样本在冲击或者政策发生前必须具有可比性。借鉴已有研究（陈天昊等，</w:t>
      </w:r>
      <w:r w:rsidRPr="00857B61">
        <w:rPr>
          <w:rFonts w:ascii="Times New Roman" w:eastAsia="宋体" w:hAnsi="Times New Roman" w:cs="Times New Roman"/>
          <w:b w:val="0"/>
          <w:bCs w:val="0"/>
          <w:sz w:val="21"/>
          <w:szCs w:val="21"/>
        </w:rPr>
        <w:t>2020</w:t>
      </w:r>
      <w:r w:rsidRPr="00857B61">
        <w:rPr>
          <w:rFonts w:eastAsia="宋体" w:hint="eastAsia"/>
          <w:b w:val="0"/>
          <w:bCs w:val="0"/>
          <w:sz w:val="21"/>
          <w:szCs w:val="21"/>
        </w:rPr>
        <w:t>），对检察行政公益诉讼制度试点实施当年以及前、后各两年的平行趋势和动态效果进行检验。检验结果如表</w:t>
      </w:r>
      <w:r w:rsidRPr="00857B61">
        <w:rPr>
          <w:rFonts w:ascii="Times New Roman" w:eastAsia="宋体" w:hAnsi="Times New Roman" w:cs="Times New Roman" w:hint="eastAsia"/>
          <w:b w:val="0"/>
          <w:bCs w:val="0"/>
          <w:sz w:val="21"/>
          <w:szCs w:val="21"/>
        </w:rPr>
        <w:t>6</w:t>
      </w:r>
      <w:r w:rsidRPr="00857B61">
        <w:rPr>
          <w:rFonts w:eastAsia="宋体" w:hint="eastAsia"/>
          <w:b w:val="0"/>
          <w:bCs w:val="0"/>
          <w:sz w:val="21"/>
          <w:szCs w:val="21"/>
        </w:rPr>
        <w:t>所示，试点实施前两年</w:t>
      </w:r>
      <w:r w:rsidRPr="00857B61">
        <w:rPr>
          <w:rFonts w:ascii="Times New Roman" w:eastAsia="宋体" w:hAnsi="Times New Roman" w:cs="Times New Roman" w:hint="eastAsia"/>
          <w:b w:val="0"/>
          <w:bCs w:val="0"/>
          <w:i/>
          <w:iCs/>
          <w:sz w:val="21"/>
          <w:szCs w:val="21"/>
        </w:rPr>
        <w:t>Before2</w:t>
      </w:r>
      <w:r w:rsidRPr="00857B61">
        <w:rPr>
          <w:rFonts w:eastAsia="宋体" w:hint="eastAsia"/>
          <w:b w:val="0"/>
          <w:bCs w:val="0"/>
          <w:sz w:val="21"/>
          <w:szCs w:val="21"/>
        </w:rPr>
        <w:t>、前一年</w:t>
      </w:r>
      <w:r w:rsidRPr="00857B61">
        <w:rPr>
          <w:rFonts w:ascii="Times New Roman" w:eastAsia="宋体" w:hAnsi="Times New Roman" w:cs="Times New Roman" w:hint="eastAsia"/>
          <w:b w:val="0"/>
          <w:bCs w:val="0"/>
          <w:i/>
          <w:iCs/>
          <w:sz w:val="21"/>
          <w:szCs w:val="21"/>
        </w:rPr>
        <w:t>Before1</w:t>
      </w:r>
      <w:r w:rsidRPr="00857B61">
        <w:rPr>
          <w:rFonts w:eastAsia="宋体" w:hint="eastAsia"/>
          <w:b w:val="0"/>
          <w:bCs w:val="0"/>
          <w:sz w:val="21"/>
          <w:szCs w:val="21"/>
        </w:rPr>
        <w:t>的估计系数均不显著，表示通过平行趋势假定，满足使用双重差分模型的前提条件。从动态效果来看，</w:t>
      </w:r>
      <w:r w:rsidRPr="00857B61">
        <w:rPr>
          <w:rFonts w:ascii="Times New Roman" w:eastAsia="宋体" w:hAnsi="Times New Roman" w:cs="Times New Roman" w:hint="eastAsia"/>
          <w:b w:val="0"/>
          <w:bCs w:val="0"/>
          <w:sz w:val="21"/>
          <w:szCs w:val="21"/>
        </w:rPr>
        <w:t>2016</w:t>
      </w:r>
      <w:r w:rsidRPr="00857B61">
        <w:rPr>
          <w:rFonts w:eastAsia="宋体" w:hint="eastAsia"/>
          <w:b w:val="0"/>
          <w:bCs w:val="0"/>
          <w:sz w:val="21"/>
          <w:szCs w:val="21"/>
        </w:rPr>
        <w:t>年后估计系数值的大小以及显著性均有所提高，说明随着检察行政公益诉讼制度试点推行的深入，部分责任人或责任单位被依法处理、典型性案例被公开，加之检察机关本身所担负的政策性压力，都使其政策效果有所增强，从而对国有资产流失产生了较强的“威慑作用”。</w:t>
      </w:r>
    </w:p>
    <w:p w14:paraId="795026D3" w14:textId="77777777" w:rsidR="00DE7EC6" w:rsidRPr="00857B61" w:rsidRDefault="00000000">
      <w:pPr>
        <w:jc w:val="center"/>
        <w:rPr>
          <w:rFonts w:ascii="Times New Roman" w:eastAsia="楷体" w:hAnsi="Times New Roman"/>
          <w:bCs/>
          <w:szCs w:val="21"/>
        </w:rPr>
      </w:pPr>
      <w:r w:rsidRPr="00857B61">
        <w:rPr>
          <w:rFonts w:ascii="Times New Roman" w:eastAsia="楷体" w:hAnsi="Times New Roman" w:hint="eastAsia"/>
          <w:bCs/>
          <w:szCs w:val="21"/>
        </w:rPr>
        <w:t>表</w:t>
      </w:r>
      <w:r w:rsidRPr="00857B61">
        <w:rPr>
          <w:rFonts w:ascii="Times New Roman" w:eastAsia="楷体" w:hAnsi="Times New Roman" w:cs="Times New Roman" w:hint="eastAsia"/>
          <w:bCs/>
          <w:szCs w:val="21"/>
        </w:rPr>
        <w:t xml:space="preserve">6 </w:t>
      </w:r>
      <w:r w:rsidRPr="00857B61">
        <w:rPr>
          <w:rFonts w:ascii="Times New Roman" w:eastAsia="楷体" w:hAnsi="Times New Roman" w:hint="eastAsia"/>
          <w:bCs/>
          <w:szCs w:val="21"/>
        </w:rPr>
        <w:t>平行趋势及动态效果检验</w:t>
      </w:r>
    </w:p>
    <w:tbl>
      <w:tblPr>
        <w:tblW w:w="5000" w:type="pct"/>
        <w:jc w:val="center"/>
        <w:tblBorders>
          <w:top w:val="single" w:sz="8" w:space="0" w:color="auto"/>
          <w:left w:val="none" w:sz="4" w:space="0" w:color="auto"/>
          <w:bottom w:val="single" w:sz="8" w:space="0" w:color="auto"/>
          <w:right w:val="none" w:sz="4" w:space="0" w:color="auto"/>
          <w:insideH w:val="single" w:sz="8" w:space="0" w:color="auto"/>
          <w:insideV w:val="single" w:sz="8" w:space="0" w:color="auto"/>
        </w:tblBorders>
        <w:tblLook w:val="04A0" w:firstRow="1" w:lastRow="0" w:firstColumn="1" w:lastColumn="0" w:noHBand="0" w:noVBand="1"/>
      </w:tblPr>
      <w:tblGrid>
        <w:gridCol w:w="3903"/>
        <w:gridCol w:w="2688"/>
        <w:gridCol w:w="2413"/>
      </w:tblGrid>
      <w:tr w:rsidR="00857B61" w:rsidRPr="00857B61" w14:paraId="6753F610" w14:textId="77777777">
        <w:trPr>
          <w:trHeight w:val="90"/>
          <w:jc w:val="center"/>
        </w:trPr>
        <w:tc>
          <w:tcPr>
            <w:tcW w:w="2167" w:type="pct"/>
            <w:tcBorders>
              <w:tl2br w:val="nil"/>
              <w:tr2bl w:val="nil"/>
            </w:tcBorders>
            <w:vAlign w:val="center"/>
          </w:tcPr>
          <w:p w14:paraId="12EE6A0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变量名称</w:t>
            </w:r>
          </w:p>
        </w:tc>
        <w:tc>
          <w:tcPr>
            <w:tcW w:w="1492" w:type="pct"/>
            <w:tcBorders>
              <w:tl2br w:val="nil"/>
              <w:tr2bl w:val="nil"/>
            </w:tcBorders>
            <w:vAlign w:val="center"/>
          </w:tcPr>
          <w:p w14:paraId="5F65A43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w:t>
            </w:r>
          </w:p>
        </w:tc>
        <w:tc>
          <w:tcPr>
            <w:tcW w:w="1339" w:type="pct"/>
            <w:tcBorders>
              <w:tl2br w:val="nil"/>
              <w:tr2bl w:val="nil"/>
            </w:tcBorders>
            <w:vAlign w:val="center"/>
          </w:tcPr>
          <w:p w14:paraId="5959DBD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2</w:t>
            </w:r>
            <w:r w:rsidRPr="00857B61">
              <w:rPr>
                <w:rFonts w:ascii="Times New Roman" w:eastAsia="宋体" w:hAnsi="Times New Roman" w:cs="Times New Roman"/>
                <w:szCs w:val="21"/>
              </w:rPr>
              <w:t>)</w:t>
            </w:r>
          </w:p>
        </w:tc>
      </w:tr>
      <w:tr w:rsidR="00857B61" w:rsidRPr="00857B61" w14:paraId="57910F57" w14:textId="77777777">
        <w:trPr>
          <w:trHeight w:val="474"/>
          <w:jc w:val="center"/>
        </w:trPr>
        <w:tc>
          <w:tcPr>
            <w:tcW w:w="2167" w:type="pct"/>
            <w:tcBorders>
              <w:tl2br w:val="nil"/>
              <w:tr2bl w:val="nil"/>
            </w:tcBorders>
          </w:tcPr>
          <w:p w14:paraId="1B13A2AD"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i/>
                <w:iCs/>
                <w:szCs w:val="21"/>
              </w:rPr>
              <w:t>Before2</w:t>
            </w:r>
          </w:p>
        </w:tc>
        <w:tc>
          <w:tcPr>
            <w:tcW w:w="1492" w:type="pct"/>
            <w:tcBorders>
              <w:tl2br w:val="nil"/>
              <w:tr2bl w:val="nil"/>
            </w:tcBorders>
          </w:tcPr>
          <w:p w14:paraId="5B5478A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-0.185</w:t>
            </w:r>
          </w:p>
          <w:p w14:paraId="52A656A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(-3.66)</w:t>
            </w:r>
          </w:p>
        </w:tc>
        <w:tc>
          <w:tcPr>
            <w:tcW w:w="1339" w:type="pct"/>
            <w:tcBorders>
              <w:tl2br w:val="nil"/>
              <w:tr2bl w:val="nil"/>
            </w:tcBorders>
          </w:tcPr>
          <w:p w14:paraId="5257C57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-0.020</w:t>
            </w:r>
          </w:p>
          <w:p w14:paraId="0C3E92C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(-0.34)</w:t>
            </w:r>
          </w:p>
        </w:tc>
      </w:tr>
      <w:tr w:rsidR="00857B61" w:rsidRPr="00857B61" w14:paraId="1D96A9B1" w14:textId="77777777">
        <w:trPr>
          <w:trHeight w:val="425"/>
          <w:jc w:val="center"/>
        </w:trPr>
        <w:tc>
          <w:tcPr>
            <w:tcW w:w="2167" w:type="pct"/>
            <w:tcBorders>
              <w:tl2br w:val="nil"/>
              <w:tr2bl w:val="nil"/>
            </w:tcBorders>
          </w:tcPr>
          <w:p w14:paraId="730667E6"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i/>
                <w:iCs/>
                <w:szCs w:val="21"/>
              </w:rPr>
              <w:t>Before</w:t>
            </w:r>
            <w:r w:rsidRPr="00857B61">
              <w:rPr>
                <w:rFonts w:ascii="Times New Roman" w:eastAsia="宋体" w:hAnsi="Times New Roman" w:cs="Times New Roman" w:hint="eastAsia"/>
                <w:i/>
                <w:iCs/>
                <w:szCs w:val="21"/>
              </w:rPr>
              <w:t>1</w:t>
            </w:r>
          </w:p>
        </w:tc>
        <w:tc>
          <w:tcPr>
            <w:tcW w:w="1492" w:type="pct"/>
            <w:tcBorders>
              <w:tl2br w:val="nil"/>
              <w:tr2bl w:val="nil"/>
            </w:tcBorders>
          </w:tcPr>
          <w:p w14:paraId="57CCE6F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-0.634</w:t>
            </w:r>
          </w:p>
          <w:p w14:paraId="6AC4F6F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(-1.95)</w:t>
            </w:r>
          </w:p>
        </w:tc>
        <w:tc>
          <w:tcPr>
            <w:tcW w:w="1339" w:type="pct"/>
            <w:tcBorders>
              <w:tl2br w:val="nil"/>
              <w:tr2bl w:val="nil"/>
            </w:tcBorders>
          </w:tcPr>
          <w:p w14:paraId="2143DAF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-0.553</w:t>
            </w:r>
          </w:p>
          <w:p w14:paraId="43332EC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(-3.50)</w:t>
            </w:r>
          </w:p>
        </w:tc>
      </w:tr>
      <w:tr w:rsidR="00857B61" w:rsidRPr="00857B61" w14:paraId="79511112" w14:textId="77777777">
        <w:trPr>
          <w:trHeight w:val="275"/>
          <w:jc w:val="center"/>
        </w:trPr>
        <w:tc>
          <w:tcPr>
            <w:tcW w:w="2167" w:type="pct"/>
            <w:tcBorders>
              <w:tl2br w:val="nil"/>
              <w:tr2bl w:val="nil"/>
            </w:tcBorders>
          </w:tcPr>
          <w:p w14:paraId="37F8A885"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C</w:t>
            </w:r>
            <w:r w:rsidRPr="00857B61">
              <w:rPr>
                <w:rFonts w:ascii="Times New Roman" w:eastAsia="宋体" w:hAnsi="Times New Roman" w:cs="Times New Roman"/>
                <w:i/>
                <w:iCs/>
                <w:szCs w:val="21"/>
              </w:rPr>
              <w:t>urrent</w:t>
            </w:r>
          </w:p>
        </w:tc>
        <w:tc>
          <w:tcPr>
            <w:tcW w:w="1492" w:type="pct"/>
            <w:tcBorders>
              <w:tl2br w:val="nil"/>
              <w:tr2bl w:val="nil"/>
            </w:tcBorders>
          </w:tcPr>
          <w:p w14:paraId="5965B92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0.748***</w:t>
            </w:r>
          </w:p>
          <w:p w14:paraId="2E7CE7E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(177.05)</w:t>
            </w:r>
          </w:p>
        </w:tc>
        <w:tc>
          <w:tcPr>
            <w:tcW w:w="1339" w:type="pct"/>
            <w:tcBorders>
              <w:tl2br w:val="nil"/>
              <w:tr2bl w:val="nil"/>
            </w:tcBorders>
          </w:tcPr>
          <w:p w14:paraId="08D987D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0.925**</w:t>
            </w:r>
          </w:p>
          <w:p w14:paraId="1C3D5E2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(17.32)</w:t>
            </w:r>
          </w:p>
        </w:tc>
      </w:tr>
      <w:tr w:rsidR="00857B61" w:rsidRPr="00857B61" w14:paraId="5FC8BDBA" w14:textId="77777777">
        <w:trPr>
          <w:trHeight w:val="519"/>
          <w:jc w:val="center"/>
        </w:trPr>
        <w:tc>
          <w:tcPr>
            <w:tcW w:w="2167" w:type="pct"/>
            <w:tcBorders>
              <w:tl2br w:val="nil"/>
              <w:tr2bl w:val="nil"/>
            </w:tcBorders>
          </w:tcPr>
          <w:p w14:paraId="3608CDC2"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i/>
                <w:iCs/>
                <w:szCs w:val="21"/>
              </w:rPr>
              <w:t>After1</w:t>
            </w:r>
          </w:p>
        </w:tc>
        <w:tc>
          <w:tcPr>
            <w:tcW w:w="1492" w:type="pct"/>
            <w:tcBorders>
              <w:tl2br w:val="nil"/>
              <w:tr2bl w:val="nil"/>
            </w:tcBorders>
          </w:tcPr>
          <w:p w14:paraId="0ACA6CD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0.852*</w:t>
            </w:r>
          </w:p>
          <w:p w14:paraId="12BD192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(7.82)</w:t>
            </w:r>
          </w:p>
        </w:tc>
        <w:tc>
          <w:tcPr>
            <w:tcW w:w="1339" w:type="pct"/>
            <w:tcBorders>
              <w:tl2br w:val="nil"/>
              <w:tr2bl w:val="nil"/>
            </w:tcBorders>
          </w:tcPr>
          <w:p w14:paraId="7B7B438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1.018*</w:t>
            </w:r>
          </w:p>
          <w:p w14:paraId="42DAD27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(7.85)</w:t>
            </w:r>
          </w:p>
        </w:tc>
      </w:tr>
      <w:tr w:rsidR="00857B61" w:rsidRPr="00857B61" w14:paraId="46F980AC" w14:textId="77777777">
        <w:trPr>
          <w:trHeight w:val="485"/>
          <w:jc w:val="center"/>
        </w:trPr>
        <w:tc>
          <w:tcPr>
            <w:tcW w:w="2167" w:type="pct"/>
            <w:tcBorders>
              <w:tl2br w:val="nil"/>
              <w:tr2bl w:val="nil"/>
            </w:tcBorders>
          </w:tcPr>
          <w:p w14:paraId="33235FA3"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i/>
                <w:iCs/>
                <w:szCs w:val="21"/>
              </w:rPr>
              <w:t>After2</w:t>
            </w:r>
          </w:p>
        </w:tc>
        <w:tc>
          <w:tcPr>
            <w:tcW w:w="1492" w:type="pct"/>
            <w:tcBorders>
              <w:tl2br w:val="nil"/>
              <w:tr2bl w:val="nil"/>
            </w:tcBorders>
          </w:tcPr>
          <w:p w14:paraId="6F18CC9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1.249**</w:t>
            </w:r>
          </w:p>
          <w:p w14:paraId="256E085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(36.78)</w:t>
            </w:r>
          </w:p>
        </w:tc>
        <w:tc>
          <w:tcPr>
            <w:tcW w:w="1339" w:type="pct"/>
            <w:tcBorders>
              <w:tl2br w:val="nil"/>
              <w:tr2bl w:val="nil"/>
            </w:tcBorders>
          </w:tcPr>
          <w:p w14:paraId="0943982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1.487*</w:t>
            </w:r>
          </w:p>
          <w:p w14:paraId="0130C4C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(6.94)</w:t>
            </w:r>
          </w:p>
        </w:tc>
      </w:tr>
    </w:tbl>
    <w:p w14:paraId="6CCA2EC9" w14:textId="77777777" w:rsidR="00DE7EC6" w:rsidRPr="00857B61" w:rsidRDefault="00DE7EC6"/>
    <w:p w14:paraId="2371B455" w14:textId="77777777" w:rsidR="00DE7EC6" w:rsidRPr="00857B61" w:rsidRDefault="00000000">
      <w:pPr>
        <w:wordWrap w:val="0"/>
        <w:jc w:val="right"/>
        <w:rPr>
          <w:rFonts w:ascii="Times New Roman" w:hAnsi="Times New Roman" w:cs="Times New Roman"/>
        </w:rPr>
      </w:pPr>
      <w:r w:rsidRPr="00857B61">
        <w:rPr>
          <w:rFonts w:ascii="Times New Roman" w:eastAsia="楷体" w:hAnsi="Times New Roman" w:cs="Times New Roman"/>
        </w:rPr>
        <w:lastRenderedPageBreak/>
        <w:t>续表</w:t>
      </w:r>
      <w:r w:rsidRPr="00857B61">
        <w:rPr>
          <w:rFonts w:ascii="Times New Roman" w:eastAsia="楷体" w:hAnsi="Times New Roman" w:cs="Times New Roman"/>
        </w:rPr>
        <w:t>6</w:t>
      </w:r>
      <w:r w:rsidRPr="00857B61">
        <w:rPr>
          <w:rFonts w:ascii="Times New Roman" w:eastAsia="楷体" w:hAnsi="Times New Roman" w:cs="Times New Roman" w:hint="eastAsia"/>
        </w:rPr>
        <w:t xml:space="preserve"> </w:t>
      </w:r>
      <w:r w:rsidRPr="00857B61">
        <w:rPr>
          <w:rFonts w:ascii="Times New Roman" w:hAnsi="Times New Roman" w:cs="Times New Roman" w:hint="eastAsia"/>
        </w:rPr>
        <w:t xml:space="preserve"> </w:t>
      </w:r>
    </w:p>
    <w:tbl>
      <w:tblPr>
        <w:tblW w:w="5000" w:type="pct"/>
        <w:jc w:val="center"/>
        <w:tblBorders>
          <w:top w:val="single" w:sz="8" w:space="0" w:color="auto"/>
          <w:left w:val="none" w:sz="4" w:space="0" w:color="auto"/>
          <w:bottom w:val="single" w:sz="8" w:space="0" w:color="auto"/>
          <w:right w:val="none" w:sz="4" w:space="0" w:color="auto"/>
          <w:insideH w:val="single" w:sz="8" w:space="0" w:color="auto"/>
          <w:insideV w:val="single" w:sz="8" w:space="0" w:color="auto"/>
        </w:tblBorders>
        <w:tblLook w:val="04A0" w:firstRow="1" w:lastRow="0" w:firstColumn="1" w:lastColumn="0" w:noHBand="0" w:noVBand="1"/>
      </w:tblPr>
      <w:tblGrid>
        <w:gridCol w:w="3903"/>
        <w:gridCol w:w="2688"/>
        <w:gridCol w:w="2413"/>
      </w:tblGrid>
      <w:tr w:rsidR="00857B61" w:rsidRPr="00857B61" w14:paraId="1ADBFE3F" w14:textId="77777777">
        <w:trPr>
          <w:trHeight w:val="236"/>
          <w:jc w:val="center"/>
        </w:trPr>
        <w:tc>
          <w:tcPr>
            <w:tcW w:w="2167" w:type="pct"/>
            <w:tcBorders>
              <w:tl2br w:val="nil"/>
              <w:tr2bl w:val="nil"/>
            </w:tcBorders>
            <w:vAlign w:val="center"/>
          </w:tcPr>
          <w:p w14:paraId="5C1FD62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变量名称</w:t>
            </w:r>
          </w:p>
        </w:tc>
        <w:tc>
          <w:tcPr>
            <w:tcW w:w="1492" w:type="pct"/>
            <w:tcBorders>
              <w:tl2br w:val="nil"/>
              <w:tr2bl w:val="nil"/>
            </w:tcBorders>
            <w:vAlign w:val="center"/>
          </w:tcPr>
          <w:p w14:paraId="4C6775A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w:t>
            </w:r>
          </w:p>
        </w:tc>
        <w:tc>
          <w:tcPr>
            <w:tcW w:w="1339" w:type="pct"/>
            <w:tcBorders>
              <w:tl2br w:val="nil"/>
              <w:tr2bl w:val="nil"/>
            </w:tcBorders>
            <w:vAlign w:val="center"/>
          </w:tcPr>
          <w:p w14:paraId="381864B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2</w:t>
            </w:r>
            <w:r w:rsidRPr="00857B61">
              <w:rPr>
                <w:rFonts w:ascii="Times New Roman" w:eastAsia="宋体" w:hAnsi="Times New Roman" w:cs="Times New Roman"/>
                <w:szCs w:val="21"/>
              </w:rPr>
              <w:t>)</w:t>
            </w:r>
          </w:p>
        </w:tc>
      </w:tr>
      <w:tr w:rsidR="00857B61" w:rsidRPr="00857B61" w14:paraId="050CE407" w14:textId="77777777">
        <w:trPr>
          <w:trHeight w:val="109"/>
          <w:jc w:val="center"/>
        </w:trPr>
        <w:tc>
          <w:tcPr>
            <w:tcW w:w="2167" w:type="pct"/>
            <w:tcBorders>
              <w:tl2br w:val="nil"/>
              <w:tr2bl w:val="nil"/>
            </w:tcBorders>
          </w:tcPr>
          <w:p w14:paraId="04B57AD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控制变量</w:t>
            </w:r>
          </w:p>
        </w:tc>
        <w:tc>
          <w:tcPr>
            <w:tcW w:w="1492" w:type="pct"/>
            <w:tcBorders>
              <w:tl2br w:val="nil"/>
              <w:tr2bl w:val="nil"/>
            </w:tcBorders>
            <w:vAlign w:val="center"/>
          </w:tcPr>
          <w:p w14:paraId="4136A70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NO</w:t>
            </w:r>
          </w:p>
        </w:tc>
        <w:tc>
          <w:tcPr>
            <w:tcW w:w="1339" w:type="pct"/>
            <w:tcBorders>
              <w:tl2br w:val="nil"/>
              <w:tr2bl w:val="nil"/>
            </w:tcBorders>
            <w:vAlign w:val="center"/>
          </w:tcPr>
          <w:p w14:paraId="68B1B8D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r>
      <w:tr w:rsidR="00857B61" w:rsidRPr="00857B61" w14:paraId="4D9D351E" w14:textId="77777777">
        <w:trPr>
          <w:trHeight w:val="109"/>
          <w:jc w:val="center"/>
        </w:trPr>
        <w:tc>
          <w:tcPr>
            <w:tcW w:w="2167" w:type="pct"/>
            <w:tcBorders>
              <w:tl2br w:val="nil"/>
              <w:tr2bl w:val="nil"/>
            </w:tcBorders>
          </w:tcPr>
          <w:p w14:paraId="5A94A4C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时间效应</w:t>
            </w:r>
          </w:p>
        </w:tc>
        <w:tc>
          <w:tcPr>
            <w:tcW w:w="1492" w:type="pct"/>
            <w:tcBorders>
              <w:tl2br w:val="nil"/>
              <w:tr2bl w:val="nil"/>
            </w:tcBorders>
            <w:vAlign w:val="center"/>
          </w:tcPr>
          <w:p w14:paraId="1383388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1339" w:type="pct"/>
            <w:tcBorders>
              <w:tl2br w:val="nil"/>
              <w:tr2bl w:val="nil"/>
            </w:tcBorders>
            <w:vAlign w:val="center"/>
          </w:tcPr>
          <w:p w14:paraId="2C1C1D4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r>
      <w:tr w:rsidR="00857B61" w:rsidRPr="00857B61" w14:paraId="1F052B98" w14:textId="77777777">
        <w:trPr>
          <w:trHeight w:val="109"/>
          <w:jc w:val="center"/>
        </w:trPr>
        <w:tc>
          <w:tcPr>
            <w:tcW w:w="2167" w:type="pct"/>
            <w:tcBorders>
              <w:tl2br w:val="nil"/>
              <w:tr2bl w:val="nil"/>
            </w:tcBorders>
          </w:tcPr>
          <w:p w14:paraId="230B9C7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行业效应</w:t>
            </w:r>
          </w:p>
        </w:tc>
        <w:tc>
          <w:tcPr>
            <w:tcW w:w="1492" w:type="pct"/>
            <w:tcBorders>
              <w:tl2br w:val="nil"/>
              <w:tr2bl w:val="nil"/>
            </w:tcBorders>
            <w:vAlign w:val="center"/>
          </w:tcPr>
          <w:p w14:paraId="0F7D34A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1339" w:type="pct"/>
            <w:tcBorders>
              <w:tl2br w:val="nil"/>
              <w:tr2bl w:val="nil"/>
            </w:tcBorders>
            <w:vAlign w:val="center"/>
          </w:tcPr>
          <w:p w14:paraId="515AAF5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r>
      <w:tr w:rsidR="00857B61" w:rsidRPr="00857B61" w14:paraId="00096E38" w14:textId="77777777">
        <w:trPr>
          <w:trHeight w:val="229"/>
          <w:jc w:val="center"/>
        </w:trPr>
        <w:tc>
          <w:tcPr>
            <w:tcW w:w="2167" w:type="pct"/>
            <w:tcBorders>
              <w:tl2br w:val="nil"/>
              <w:tr2bl w:val="nil"/>
            </w:tcBorders>
          </w:tcPr>
          <w:p w14:paraId="2466264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地区效应</w:t>
            </w:r>
          </w:p>
        </w:tc>
        <w:tc>
          <w:tcPr>
            <w:tcW w:w="1492" w:type="pct"/>
            <w:tcBorders>
              <w:tl2br w:val="nil"/>
              <w:tr2bl w:val="nil"/>
            </w:tcBorders>
            <w:vAlign w:val="center"/>
          </w:tcPr>
          <w:p w14:paraId="7DD77D9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1339" w:type="pct"/>
            <w:tcBorders>
              <w:tl2br w:val="nil"/>
              <w:tr2bl w:val="nil"/>
            </w:tcBorders>
            <w:vAlign w:val="center"/>
          </w:tcPr>
          <w:p w14:paraId="4EFAA14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r>
      <w:tr w:rsidR="00857B61" w:rsidRPr="00857B61" w14:paraId="7635FF2B" w14:textId="77777777">
        <w:trPr>
          <w:trHeight w:val="440"/>
          <w:jc w:val="center"/>
        </w:trPr>
        <w:tc>
          <w:tcPr>
            <w:tcW w:w="2167" w:type="pct"/>
            <w:tcBorders>
              <w:tl2br w:val="nil"/>
              <w:tr2bl w:val="nil"/>
            </w:tcBorders>
          </w:tcPr>
          <w:p w14:paraId="04D61CE2"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i/>
                <w:iCs/>
                <w:szCs w:val="21"/>
              </w:rPr>
              <w:t>C</w:t>
            </w:r>
          </w:p>
        </w:tc>
        <w:tc>
          <w:tcPr>
            <w:tcW w:w="1492" w:type="pct"/>
            <w:tcBorders>
              <w:tl2br w:val="nil"/>
              <w:tr2bl w:val="nil"/>
            </w:tcBorders>
            <w:vAlign w:val="center"/>
          </w:tcPr>
          <w:p w14:paraId="251EC8F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-0.155</w:t>
            </w:r>
          </w:p>
          <w:p w14:paraId="2910A27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(-0.19)</w:t>
            </w:r>
          </w:p>
        </w:tc>
        <w:tc>
          <w:tcPr>
            <w:tcW w:w="1339" w:type="pct"/>
            <w:tcBorders>
              <w:tl2br w:val="nil"/>
              <w:tr2bl w:val="nil"/>
            </w:tcBorders>
            <w:vAlign w:val="center"/>
          </w:tcPr>
          <w:p w14:paraId="7E3469D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-1.008</w:t>
            </w:r>
          </w:p>
          <w:p w14:paraId="3BCE58E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(-0.05)</w:t>
            </w:r>
          </w:p>
        </w:tc>
      </w:tr>
      <w:tr w:rsidR="00857B61" w:rsidRPr="00857B61" w14:paraId="39B5D257" w14:textId="77777777">
        <w:trPr>
          <w:trHeight w:val="229"/>
          <w:jc w:val="center"/>
        </w:trPr>
        <w:tc>
          <w:tcPr>
            <w:tcW w:w="2167" w:type="pct"/>
            <w:tcBorders>
              <w:tl2br w:val="nil"/>
              <w:tr2bl w:val="nil"/>
            </w:tcBorders>
          </w:tcPr>
          <w:p w14:paraId="108AFF9F"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i/>
                <w:iCs/>
                <w:szCs w:val="21"/>
              </w:rPr>
              <w:t>R</w:t>
            </w:r>
            <w:r w:rsidRPr="00857B61">
              <w:rPr>
                <w:rFonts w:ascii="Times New Roman" w:eastAsia="宋体" w:hAnsi="Times New Roman" w:cs="Times New Roman" w:hint="eastAsia"/>
                <w:i/>
                <w:iCs/>
                <w:szCs w:val="21"/>
                <w:vertAlign w:val="superscript"/>
              </w:rPr>
              <w:t>2</w:t>
            </w:r>
          </w:p>
        </w:tc>
        <w:tc>
          <w:tcPr>
            <w:tcW w:w="1492" w:type="pct"/>
            <w:tcBorders>
              <w:tl2br w:val="nil"/>
              <w:tr2bl w:val="nil"/>
            </w:tcBorders>
            <w:vAlign w:val="center"/>
          </w:tcPr>
          <w:p w14:paraId="3F7D38E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0.185</w:t>
            </w:r>
          </w:p>
        </w:tc>
        <w:tc>
          <w:tcPr>
            <w:tcW w:w="1339" w:type="pct"/>
            <w:tcBorders>
              <w:tl2br w:val="nil"/>
              <w:tr2bl w:val="nil"/>
            </w:tcBorders>
            <w:vAlign w:val="center"/>
          </w:tcPr>
          <w:p w14:paraId="41FD9E7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0.19</w:t>
            </w:r>
            <w:r w:rsidRPr="00857B61">
              <w:rPr>
                <w:rFonts w:ascii="Times New Roman" w:eastAsia="宋体" w:hAnsi="Times New Roman" w:cs="Times New Roman" w:hint="eastAsia"/>
                <w:szCs w:val="21"/>
              </w:rPr>
              <w:t>4</w:t>
            </w:r>
          </w:p>
        </w:tc>
      </w:tr>
      <w:tr w:rsidR="00857B61" w:rsidRPr="00857B61" w14:paraId="5AF1D67A" w14:textId="77777777">
        <w:trPr>
          <w:trHeight w:val="100"/>
          <w:jc w:val="center"/>
        </w:trPr>
        <w:tc>
          <w:tcPr>
            <w:tcW w:w="2167" w:type="pct"/>
            <w:tcBorders>
              <w:tl2br w:val="nil"/>
              <w:tr2bl w:val="nil"/>
            </w:tcBorders>
          </w:tcPr>
          <w:p w14:paraId="0F531E89"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N</w:t>
            </w:r>
          </w:p>
        </w:tc>
        <w:tc>
          <w:tcPr>
            <w:tcW w:w="1492" w:type="pct"/>
            <w:tcBorders>
              <w:tl2br w:val="nil"/>
              <w:tr2bl w:val="nil"/>
            </w:tcBorders>
            <w:vAlign w:val="center"/>
          </w:tcPr>
          <w:p w14:paraId="02C739D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1,567</w:t>
            </w:r>
          </w:p>
        </w:tc>
        <w:tc>
          <w:tcPr>
            <w:tcW w:w="1339" w:type="pct"/>
            <w:tcBorders>
              <w:tl2br w:val="nil"/>
              <w:tr2bl w:val="nil"/>
            </w:tcBorders>
            <w:vAlign w:val="center"/>
          </w:tcPr>
          <w:p w14:paraId="3002152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1,567</w:t>
            </w:r>
          </w:p>
        </w:tc>
      </w:tr>
    </w:tbl>
    <w:p w14:paraId="0ABDF358" w14:textId="77777777" w:rsidR="00DE7EC6" w:rsidRPr="00857B61" w:rsidRDefault="00000000">
      <w:pPr>
        <w:ind w:firstLineChars="200" w:firstLine="420"/>
        <w:rPr>
          <w:rFonts w:ascii="Times New Roman" w:eastAsia="宋体" w:hAnsi="Times New Roman" w:cs="Times New Roman"/>
          <w:szCs w:val="21"/>
        </w:rPr>
      </w:pPr>
      <w:r w:rsidRPr="00857B61">
        <w:rPr>
          <w:rFonts w:ascii="Times New Roman" w:eastAsia="宋体" w:hAnsi="Times New Roman" w:cs="Times New Roman" w:hint="eastAsia"/>
          <w:szCs w:val="21"/>
        </w:rPr>
        <w:t>2.</w:t>
      </w:r>
      <w:r w:rsidRPr="00857B61">
        <w:rPr>
          <w:rFonts w:ascii="楷体" w:eastAsia="楷体" w:hAnsi="楷体" w:cs="楷体" w:hint="eastAsia"/>
          <w:szCs w:val="21"/>
        </w:rPr>
        <w:t>安慰剂检验。</w:t>
      </w:r>
      <w:r w:rsidRPr="00857B61">
        <w:rPr>
          <w:rFonts w:ascii="Times New Roman" w:eastAsia="宋体" w:hAnsi="Times New Roman" w:cs="Times New Roman"/>
          <w:szCs w:val="21"/>
        </w:rPr>
        <w:t>除检察行政公益诉讼制度实施这一因素，其他的一些政策、战略以及随机性因素也可能使得国有企业资产流失情况产生差异，从而导致基本回归结果不成立。为了进一步排除其他不可观测因素所带来的影响，本文进行了安慰剂检验。首先，本文通过随机抽样的方式构建虚拟的处理组和对照组（叶永卫、李增幅，</w:t>
      </w:r>
      <w:r w:rsidRPr="00857B61">
        <w:rPr>
          <w:rFonts w:ascii="Times New Roman" w:eastAsia="宋体" w:hAnsi="Times New Roman" w:cs="Times New Roman"/>
          <w:szCs w:val="21"/>
        </w:rPr>
        <w:t>2020</w:t>
      </w:r>
      <w:r w:rsidRPr="00857B61">
        <w:rPr>
          <w:rFonts w:ascii="Times New Roman" w:eastAsia="宋体" w:hAnsi="Times New Roman" w:cs="Times New Roman"/>
          <w:szCs w:val="21"/>
        </w:rPr>
        <w:t>），并同样利用双重差分模型进行回归，结果如表</w:t>
      </w:r>
      <w:r w:rsidRPr="00857B61">
        <w:rPr>
          <w:rFonts w:ascii="Times New Roman" w:eastAsia="宋体" w:hAnsi="Times New Roman" w:cs="Times New Roman"/>
          <w:szCs w:val="21"/>
        </w:rPr>
        <w:t>7</w:t>
      </w:r>
      <w:r w:rsidRPr="00857B61">
        <w:rPr>
          <w:rFonts w:ascii="Times New Roman" w:eastAsia="宋体" w:hAnsi="Times New Roman" w:cs="Times New Roman"/>
          <w:szCs w:val="21"/>
        </w:rPr>
        <w:t>列（</w:t>
      </w:r>
      <w:r w:rsidRPr="00857B61">
        <w:rPr>
          <w:rFonts w:ascii="Times New Roman" w:eastAsia="宋体" w:hAnsi="Times New Roman" w:cs="Times New Roman"/>
          <w:szCs w:val="21"/>
        </w:rPr>
        <w:t>1</w:t>
      </w:r>
      <w:r w:rsidRPr="00857B61">
        <w:rPr>
          <w:rFonts w:ascii="Times New Roman" w:eastAsia="宋体" w:hAnsi="Times New Roman" w:cs="Times New Roman"/>
          <w:szCs w:val="21"/>
        </w:rPr>
        <w:t>）与列（</w:t>
      </w:r>
      <w:r w:rsidRPr="00857B61">
        <w:rPr>
          <w:rFonts w:ascii="Times New Roman" w:eastAsia="宋体" w:hAnsi="Times New Roman" w:cs="Times New Roman"/>
          <w:szCs w:val="21"/>
        </w:rPr>
        <w:t>2</w:t>
      </w:r>
      <w:r w:rsidRPr="00857B61">
        <w:rPr>
          <w:rFonts w:ascii="Times New Roman" w:eastAsia="宋体" w:hAnsi="Times New Roman" w:cs="Times New Roman"/>
          <w:szCs w:val="21"/>
        </w:rPr>
        <w:t>）所示。从表中可以看出无论模型中是否加入控制变量，</w:t>
      </w:r>
      <w:r w:rsidRPr="00857B61">
        <w:rPr>
          <w:rFonts w:ascii="Times New Roman" w:eastAsia="宋体" w:hAnsi="Times New Roman" w:cs="Times New Roman"/>
          <w:i/>
          <w:iCs/>
          <w:szCs w:val="21"/>
        </w:rPr>
        <w:t>Treat*Policy</w:t>
      </w:r>
      <w:r w:rsidRPr="00857B61">
        <w:rPr>
          <w:rFonts w:ascii="Times New Roman" w:eastAsia="宋体" w:hAnsi="Times New Roman" w:cs="Times New Roman"/>
          <w:szCs w:val="21"/>
        </w:rPr>
        <w:t>项均不显著。其次，本文通过虚构政策实施时间来进行安慰剂检验，将样本时间范围控制在</w:t>
      </w:r>
      <w:r w:rsidRPr="00857B61">
        <w:rPr>
          <w:rFonts w:ascii="Times New Roman" w:eastAsia="宋体" w:hAnsi="Times New Roman" w:cs="Times New Roman"/>
          <w:szCs w:val="21"/>
        </w:rPr>
        <w:t>2008</w:t>
      </w:r>
      <w:r w:rsidRPr="00857B61">
        <w:rPr>
          <w:rFonts w:ascii="Times New Roman" w:eastAsia="宋体" w:hAnsi="Times New Roman" w:cs="Times New Roman"/>
          <w:szCs w:val="21"/>
        </w:rPr>
        <w:t>年至</w:t>
      </w:r>
      <w:r w:rsidRPr="00857B61">
        <w:rPr>
          <w:rFonts w:ascii="Times New Roman" w:eastAsia="宋体" w:hAnsi="Times New Roman" w:cs="Times New Roman"/>
          <w:szCs w:val="21"/>
        </w:rPr>
        <w:t>2014</w:t>
      </w:r>
      <w:r w:rsidRPr="00857B61">
        <w:rPr>
          <w:rFonts w:ascii="Times New Roman" w:eastAsia="宋体" w:hAnsi="Times New Roman" w:cs="Times New Roman"/>
          <w:szCs w:val="21"/>
        </w:rPr>
        <w:t>年间，并假设检察行政公益诉讼制度试点的实施是在</w:t>
      </w:r>
      <w:r w:rsidRPr="00857B61">
        <w:rPr>
          <w:rFonts w:ascii="Times New Roman" w:eastAsia="宋体" w:hAnsi="Times New Roman" w:cs="Times New Roman"/>
          <w:szCs w:val="21"/>
        </w:rPr>
        <w:t>2011</w:t>
      </w:r>
      <w:r w:rsidRPr="00857B61">
        <w:rPr>
          <w:rFonts w:ascii="Times New Roman" w:eastAsia="宋体" w:hAnsi="Times New Roman" w:cs="Times New Roman"/>
          <w:szCs w:val="21"/>
        </w:rPr>
        <w:t>年，重新进行回归后的结果如列（</w:t>
      </w:r>
      <w:r w:rsidRPr="00857B61">
        <w:rPr>
          <w:rFonts w:ascii="Times New Roman" w:eastAsia="宋体" w:hAnsi="Times New Roman" w:cs="Times New Roman"/>
          <w:szCs w:val="21"/>
        </w:rPr>
        <w:t>3</w:t>
      </w:r>
      <w:r w:rsidRPr="00857B61">
        <w:rPr>
          <w:rFonts w:ascii="Times New Roman" w:eastAsia="宋体" w:hAnsi="Times New Roman" w:cs="Times New Roman"/>
          <w:szCs w:val="21"/>
        </w:rPr>
        <w:t>）所示，交互项系数并不显著。这也就说明了国有企业并购交易中溢价率的提高、国有资产流失的减少并不是由不可观测的因素带来的，而是由检察行政公益诉讼制度试点引起的。同时，更进一步的说明了本文基准回归的稳健性。</w:t>
      </w:r>
    </w:p>
    <w:p w14:paraId="342D3576" w14:textId="77777777" w:rsidR="00DE7EC6" w:rsidRPr="00857B61" w:rsidRDefault="00000000">
      <w:pPr>
        <w:ind w:firstLineChars="200" w:firstLine="420"/>
        <w:rPr>
          <w:rFonts w:ascii="Times New Roman" w:eastAsia="宋体" w:hAnsi="Times New Roman" w:cs="Times New Roman"/>
          <w:szCs w:val="21"/>
        </w:rPr>
      </w:pPr>
      <w:r w:rsidRPr="00857B61">
        <w:rPr>
          <w:rFonts w:ascii="Times New Roman" w:eastAsia="宋体" w:hAnsi="Times New Roman" w:cs="Times New Roman" w:hint="eastAsia"/>
          <w:szCs w:val="21"/>
        </w:rPr>
        <w:t>3.</w:t>
      </w:r>
      <w:r w:rsidRPr="00857B61">
        <w:rPr>
          <w:rFonts w:ascii="楷体" w:eastAsia="楷体" w:hAnsi="楷体" w:cs="楷体" w:hint="eastAsia"/>
          <w:szCs w:val="21"/>
        </w:rPr>
        <w:t>排除同期制度干扰。</w:t>
      </w:r>
      <w:r w:rsidRPr="00857B61">
        <w:rPr>
          <w:rFonts w:ascii="Times New Roman" w:eastAsia="宋体" w:hAnsi="Times New Roman" w:cs="Times New Roman"/>
          <w:szCs w:val="21"/>
        </w:rPr>
        <w:t>2016</w:t>
      </w:r>
      <w:r w:rsidRPr="00857B61">
        <w:rPr>
          <w:rFonts w:ascii="Times New Roman" w:eastAsia="宋体" w:hAnsi="Times New Roman" w:cs="Times New Roman"/>
          <w:szCs w:val="21"/>
        </w:rPr>
        <w:t>年</w:t>
      </w:r>
      <w:r w:rsidRPr="00857B61">
        <w:rPr>
          <w:rFonts w:ascii="Times New Roman" w:eastAsia="宋体" w:hAnsi="Times New Roman" w:cs="Times New Roman"/>
          <w:szCs w:val="21"/>
        </w:rPr>
        <w:t>8</w:t>
      </w:r>
      <w:r w:rsidRPr="00857B61">
        <w:rPr>
          <w:rFonts w:ascii="Times New Roman" w:eastAsia="宋体" w:hAnsi="Times New Roman" w:cs="Times New Roman"/>
          <w:szCs w:val="21"/>
        </w:rPr>
        <w:t>月，国务院办公厅印发《国务院办公厅关于建立国有企业违规经营投资责任追究制度的意见》，显然，这将对国有企业在经营过程中导致的国有资产流失产生监督作用。鉴于检察行政公益诉讼制度试点时间为</w:t>
      </w:r>
      <w:r w:rsidRPr="00857B61">
        <w:rPr>
          <w:rFonts w:ascii="Times New Roman" w:eastAsia="宋体" w:hAnsi="Times New Roman" w:cs="Times New Roman"/>
          <w:szCs w:val="21"/>
        </w:rPr>
        <w:t>2015</w:t>
      </w:r>
      <w:r w:rsidRPr="00857B61">
        <w:rPr>
          <w:rFonts w:ascii="Times New Roman" w:eastAsia="宋体" w:hAnsi="Times New Roman" w:cs="Times New Roman"/>
          <w:szCs w:val="21"/>
        </w:rPr>
        <w:t>年</w:t>
      </w:r>
      <w:r w:rsidRPr="00857B61">
        <w:rPr>
          <w:rFonts w:ascii="Times New Roman" w:eastAsia="宋体" w:hAnsi="Times New Roman" w:cs="Times New Roman"/>
          <w:szCs w:val="21"/>
        </w:rPr>
        <w:t>7</w:t>
      </w:r>
      <w:r w:rsidRPr="00857B61">
        <w:rPr>
          <w:rFonts w:ascii="Times New Roman" w:eastAsia="宋体" w:hAnsi="Times New Roman" w:cs="Times New Roman"/>
          <w:szCs w:val="21"/>
        </w:rPr>
        <w:t>月至</w:t>
      </w:r>
      <w:r w:rsidRPr="00857B61">
        <w:rPr>
          <w:rFonts w:ascii="Times New Roman" w:eastAsia="宋体" w:hAnsi="Times New Roman" w:cs="Times New Roman"/>
          <w:szCs w:val="21"/>
        </w:rPr>
        <w:t>2017</w:t>
      </w:r>
      <w:r w:rsidRPr="00857B61">
        <w:rPr>
          <w:rFonts w:ascii="Times New Roman" w:eastAsia="宋体" w:hAnsi="Times New Roman" w:cs="Times New Roman"/>
          <w:szCs w:val="21"/>
        </w:rPr>
        <w:t>年</w:t>
      </w:r>
      <w:r w:rsidRPr="00857B61">
        <w:rPr>
          <w:rFonts w:ascii="Times New Roman" w:eastAsia="宋体" w:hAnsi="Times New Roman" w:cs="Times New Roman"/>
          <w:szCs w:val="21"/>
        </w:rPr>
        <w:t>6</w:t>
      </w:r>
      <w:r w:rsidRPr="00857B61">
        <w:rPr>
          <w:rFonts w:ascii="Times New Roman" w:eastAsia="宋体" w:hAnsi="Times New Roman" w:cs="Times New Roman"/>
          <w:szCs w:val="21"/>
        </w:rPr>
        <w:t>月，试点时间与国有企业违规经营投资责任追究制度实施时间存在重叠，因此本文对干扰基本回归结果的同期制度干扰予以排除。本文特设置违规经营（</w:t>
      </w:r>
      <w:r w:rsidRPr="00857B61">
        <w:rPr>
          <w:rFonts w:ascii="Times New Roman" w:eastAsia="宋体" w:hAnsi="Times New Roman" w:cs="Times New Roman"/>
          <w:i/>
          <w:iCs/>
          <w:szCs w:val="21"/>
        </w:rPr>
        <w:t>Violation</w:t>
      </w:r>
      <w:r w:rsidRPr="00857B61">
        <w:rPr>
          <w:rFonts w:ascii="Times New Roman" w:eastAsia="宋体" w:hAnsi="Times New Roman" w:cs="Times New Roman"/>
          <w:szCs w:val="21"/>
        </w:rPr>
        <w:t>）变量，当样本观测值发生在国有企业违规经营投资责任追究制度实施以后（即</w:t>
      </w:r>
      <w:r w:rsidRPr="00857B61">
        <w:rPr>
          <w:rFonts w:ascii="Times New Roman" w:eastAsia="宋体" w:hAnsi="Times New Roman" w:cs="Times New Roman"/>
          <w:szCs w:val="21"/>
        </w:rPr>
        <w:t>2016</w:t>
      </w:r>
      <w:r w:rsidRPr="00857B61">
        <w:rPr>
          <w:rFonts w:ascii="Times New Roman" w:eastAsia="宋体" w:hAnsi="Times New Roman" w:cs="Times New Roman"/>
          <w:szCs w:val="21"/>
        </w:rPr>
        <w:t>年及之后），</w:t>
      </w:r>
      <w:r w:rsidRPr="00857B61">
        <w:rPr>
          <w:rFonts w:ascii="Times New Roman" w:eastAsia="宋体" w:hAnsi="Times New Roman" w:cs="Times New Roman"/>
          <w:i/>
          <w:iCs/>
          <w:szCs w:val="21"/>
        </w:rPr>
        <w:t>Violation</w:t>
      </w:r>
      <w:r w:rsidRPr="00857B61">
        <w:rPr>
          <w:rFonts w:ascii="Times New Roman" w:eastAsia="宋体" w:hAnsi="Times New Roman" w:cs="Times New Roman"/>
          <w:szCs w:val="21"/>
        </w:rPr>
        <w:t>取值为</w:t>
      </w:r>
      <w:r w:rsidRPr="00857B61">
        <w:rPr>
          <w:rFonts w:ascii="Times New Roman" w:eastAsia="宋体" w:hAnsi="Times New Roman" w:cs="Times New Roman"/>
          <w:szCs w:val="21"/>
        </w:rPr>
        <w:t>1</w:t>
      </w:r>
      <w:r w:rsidRPr="00857B61">
        <w:rPr>
          <w:rFonts w:ascii="Times New Roman" w:eastAsia="宋体" w:hAnsi="Times New Roman" w:cs="Times New Roman"/>
          <w:szCs w:val="21"/>
        </w:rPr>
        <w:t>，否则取值为</w:t>
      </w:r>
      <w:r w:rsidRPr="00857B61">
        <w:rPr>
          <w:rFonts w:ascii="Times New Roman" w:eastAsia="宋体" w:hAnsi="Times New Roman" w:cs="Times New Roman"/>
          <w:szCs w:val="21"/>
        </w:rPr>
        <w:t>0</w:t>
      </w:r>
      <w:r w:rsidRPr="00857B61">
        <w:rPr>
          <w:rFonts w:ascii="Times New Roman" w:eastAsia="宋体" w:hAnsi="Times New Roman" w:cs="Times New Roman"/>
          <w:szCs w:val="21"/>
        </w:rPr>
        <w:t>。将违规经营（</w:t>
      </w:r>
      <w:r w:rsidRPr="00857B61">
        <w:rPr>
          <w:rFonts w:ascii="Times New Roman" w:eastAsia="宋体" w:hAnsi="Times New Roman" w:cs="Times New Roman"/>
          <w:i/>
          <w:iCs/>
          <w:szCs w:val="21"/>
        </w:rPr>
        <w:t>Violation</w:t>
      </w:r>
      <w:r w:rsidRPr="00857B61">
        <w:rPr>
          <w:rFonts w:ascii="Times New Roman" w:eastAsia="宋体" w:hAnsi="Times New Roman" w:cs="Times New Roman"/>
          <w:szCs w:val="21"/>
        </w:rPr>
        <w:t>）变量加入基准模型后进行回归，结果如表</w:t>
      </w:r>
      <w:r w:rsidRPr="00857B61">
        <w:rPr>
          <w:rFonts w:ascii="Times New Roman" w:eastAsia="宋体" w:hAnsi="Times New Roman" w:cs="Times New Roman"/>
          <w:szCs w:val="21"/>
        </w:rPr>
        <w:t>7</w:t>
      </w:r>
      <w:r w:rsidRPr="00857B61">
        <w:rPr>
          <w:rFonts w:ascii="Times New Roman" w:eastAsia="宋体" w:hAnsi="Times New Roman" w:cs="Times New Roman"/>
          <w:szCs w:val="21"/>
        </w:rPr>
        <w:t>列（</w:t>
      </w:r>
      <w:r w:rsidRPr="00857B61">
        <w:rPr>
          <w:rFonts w:ascii="Times New Roman" w:eastAsia="宋体" w:hAnsi="Times New Roman" w:cs="Times New Roman"/>
          <w:szCs w:val="21"/>
        </w:rPr>
        <w:t>4</w:t>
      </w:r>
      <w:r w:rsidRPr="00857B61">
        <w:rPr>
          <w:rFonts w:ascii="Times New Roman" w:eastAsia="宋体" w:hAnsi="Times New Roman" w:cs="Times New Roman"/>
          <w:szCs w:val="21"/>
        </w:rPr>
        <w:t>）所示，</w:t>
      </w:r>
      <w:r w:rsidRPr="00857B61">
        <w:rPr>
          <w:rFonts w:ascii="Times New Roman" w:eastAsia="宋体" w:hAnsi="Times New Roman" w:cs="Times New Roman"/>
          <w:i/>
          <w:iCs/>
          <w:szCs w:val="21"/>
        </w:rPr>
        <w:t>Treat*Policy</w:t>
      </w:r>
      <w:r w:rsidRPr="00857B61">
        <w:rPr>
          <w:rFonts w:ascii="Times New Roman" w:eastAsia="宋体" w:hAnsi="Times New Roman" w:cs="Times New Roman"/>
          <w:szCs w:val="21"/>
        </w:rPr>
        <w:t>项系数在</w:t>
      </w:r>
      <w:r w:rsidRPr="00857B61">
        <w:rPr>
          <w:rFonts w:ascii="Times New Roman" w:eastAsia="宋体" w:hAnsi="Times New Roman" w:cs="Times New Roman"/>
          <w:szCs w:val="21"/>
        </w:rPr>
        <w:t>5%</w:t>
      </w:r>
      <w:r w:rsidRPr="00857B61">
        <w:rPr>
          <w:rFonts w:ascii="Times New Roman" w:eastAsia="宋体" w:hAnsi="Times New Roman" w:cs="Times New Roman"/>
          <w:szCs w:val="21"/>
        </w:rPr>
        <w:t>水平上显著为正，基本回归结果依旧稳健。</w:t>
      </w:r>
    </w:p>
    <w:p w14:paraId="4568B613" w14:textId="77777777" w:rsidR="00DE7EC6" w:rsidRPr="00857B61" w:rsidRDefault="00000000">
      <w:pPr>
        <w:ind w:firstLineChars="200" w:firstLine="420"/>
        <w:rPr>
          <w:rFonts w:eastAsia="宋体"/>
          <w:szCs w:val="21"/>
        </w:rPr>
      </w:pPr>
      <w:r w:rsidRPr="00857B61">
        <w:rPr>
          <w:rFonts w:ascii="Times New Roman" w:eastAsia="宋体" w:hAnsi="Times New Roman" w:cs="宋体" w:hint="eastAsia"/>
          <w:szCs w:val="21"/>
        </w:rPr>
        <w:t>4.</w:t>
      </w:r>
      <w:r w:rsidRPr="00857B61">
        <w:rPr>
          <w:rFonts w:ascii="楷体" w:eastAsia="楷体" w:hAnsi="楷体" w:cs="楷体" w:hint="eastAsia"/>
          <w:szCs w:val="21"/>
        </w:rPr>
        <w:t>更改样本范围。</w:t>
      </w:r>
      <w:r w:rsidRPr="00857B61">
        <w:rPr>
          <w:rFonts w:eastAsia="宋体" w:hint="eastAsia"/>
          <w:szCs w:val="21"/>
        </w:rPr>
        <w:t>直辖市与其他城市相比，其在政策扶持、人口规模、经济活力、开放程度等方面都有着明显的优越性。为了避免因直辖市与其他城市的不同而引起的检验误差，本文剔除直辖市样本后重新进行回归（唐松等，</w:t>
      </w:r>
      <w:r w:rsidRPr="00857B61">
        <w:rPr>
          <w:rFonts w:ascii="Times New Roman" w:eastAsia="宋体" w:hAnsi="Times New Roman" w:cs="Times New Roman" w:hint="eastAsia"/>
          <w:szCs w:val="21"/>
        </w:rPr>
        <w:t>2020</w:t>
      </w:r>
      <w:r w:rsidRPr="00857B61">
        <w:rPr>
          <w:rFonts w:eastAsia="宋体" w:hint="eastAsia"/>
          <w:szCs w:val="21"/>
        </w:rPr>
        <w:t>）。结果如表</w:t>
      </w:r>
      <w:r w:rsidRPr="00857B61">
        <w:rPr>
          <w:rFonts w:ascii="Times New Roman" w:eastAsia="宋体" w:hAnsi="Times New Roman" w:cs="Times New Roman" w:hint="eastAsia"/>
          <w:szCs w:val="21"/>
        </w:rPr>
        <w:t>7</w:t>
      </w:r>
      <w:r w:rsidRPr="00857B61">
        <w:rPr>
          <w:rFonts w:ascii="Times New Roman" w:eastAsia="宋体" w:hAnsi="Times New Roman" w:cs="Times New Roman" w:hint="eastAsia"/>
          <w:szCs w:val="21"/>
        </w:rPr>
        <w:t>列</w:t>
      </w:r>
      <w:r w:rsidRPr="00857B61">
        <w:rPr>
          <w:rFonts w:eastAsia="宋体" w:hint="eastAsia"/>
          <w:szCs w:val="21"/>
        </w:rPr>
        <w:t>（</w:t>
      </w:r>
      <w:r w:rsidRPr="00857B61">
        <w:rPr>
          <w:rFonts w:ascii="Times New Roman" w:eastAsia="宋体" w:hAnsi="Times New Roman" w:cs="Times New Roman" w:hint="eastAsia"/>
          <w:szCs w:val="21"/>
        </w:rPr>
        <w:t>5</w:t>
      </w:r>
      <w:r w:rsidRPr="00857B61">
        <w:rPr>
          <w:rFonts w:eastAsia="宋体" w:hint="eastAsia"/>
          <w:szCs w:val="21"/>
        </w:rPr>
        <w:t>）所示，在剔除直辖市样本后结果依然是显著的。另外，本文还将样本范围缩小到</w:t>
      </w:r>
      <w:r w:rsidRPr="00857B61">
        <w:rPr>
          <w:rFonts w:ascii="Times New Roman" w:eastAsia="宋体" w:hAnsi="Times New Roman" w:cs="Times New Roman" w:hint="eastAsia"/>
          <w:szCs w:val="21"/>
        </w:rPr>
        <w:t>13</w:t>
      </w:r>
      <w:r w:rsidRPr="00857B61">
        <w:rPr>
          <w:rFonts w:eastAsia="宋体" w:hint="eastAsia"/>
          <w:szCs w:val="21"/>
        </w:rPr>
        <w:t>个试点省份内已确定的试点城市和参选而未被选中的部分城市，总共</w:t>
      </w:r>
      <w:r w:rsidRPr="00857B61">
        <w:rPr>
          <w:rFonts w:ascii="Times New Roman" w:eastAsia="宋体" w:hAnsi="Times New Roman" w:cs="Times New Roman"/>
          <w:szCs w:val="21"/>
        </w:rPr>
        <w:t>143</w:t>
      </w:r>
      <w:r w:rsidRPr="00857B61">
        <w:rPr>
          <w:rFonts w:eastAsia="宋体" w:hint="eastAsia"/>
          <w:szCs w:val="21"/>
        </w:rPr>
        <w:t>个样本城市（陈天昊等，</w:t>
      </w:r>
      <w:r w:rsidRPr="00857B61">
        <w:rPr>
          <w:rFonts w:ascii="Times New Roman" w:eastAsia="宋体" w:hAnsi="Times New Roman" w:cs="Times New Roman"/>
          <w:szCs w:val="21"/>
        </w:rPr>
        <w:t>2020</w:t>
      </w:r>
      <w:r w:rsidRPr="00857B61">
        <w:rPr>
          <w:rFonts w:eastAsia="宋体" w:hint="eastAsia"/>
          <w:szCs w:val="21"/>
        </w:rPr>
        <w:t>）。如列（</w:t>
      </w:r>
      <w:r w:rsidRPr="00857B61">
        <w:rPr>
          <w:rFonts w:ascii="Times New Roman" w:eastAsia="宋体" w:hAnsi="Times New Roman" w:cs="Times New Roman" w:hint="eastAsia"/>
          <w:szCs w:val="21"/>
        </w:rPr>
        <w:t>6</w:t>
      </w:r>
      <w:r w:rsidRPr="00857B61">
        <w:rPr>
          <w:rFonts w:eastAsia="宋体" w:hint="eastAsia"/>
          <w:szCs w:val="21"/>
        </w:rPr>
        <w:t>）所示，在缩小样本范围后，回归结果中</w:t>
      </w:r>
      <w:r w:rsidRPr="00857B61">
        <w:rPr>
          <w:rFonts w:ascii="Times New Roman" w:eastAsia="宋体" w:hAnsi="Times New Roman" w:cs="Times New Roman" w:hint="eastAsia"/>
          <w:i/>
          <w:iCs/>
          <w:szCs w:val="21"/>
        </w:rPr>
        <w:t>Treat</w:t>
      </w:r>
      <w:r w:rsidRPr="00857B61">
        <w:rPr>
          <w:rFonts w:ascii="Times New Roman" w:eastAsia="宋体" w:hAnsi="Times New Roman" w:cs="Times New Roman"/>
          <w:i/>
          <w:iCs/>
          <w:szCs w:val="21"/>
        </w:rPr>
        <w:t>*</w:t>
      </w:r>
      <w:r w:rsidRPr="00857B61">
        <w:rPr>
          <w:rFonts w:ascii="Times New Roman" w:eastAsia="宋体" w:hAnsi="Times New Roman" w:cs="Times New Roman" w:hint="eastAsia"/>
          <w:i/>
          <w:iCs/>
          <w:szCs w:val="21"/>
        </w:rPr>
        <w:t>Policy</w:t>
      </w:r>
      <w:r w:rsidRPr="00857B61">
        <w:rPr>
          <w:rFonts w:eastAsia="宋体" w:hint="eastAsia"/>
          <w:szCs w:val="21"/>
        </w:rPr>
        <w:t>项系数依旧是显著为正的。</w:t>
      </w:r>
    </w:p>
    <w:p w14:paraId="5D1DD84F" w14:textId="77777777" w:rsidR="00DE7EC6" w:rsidRPr="00857B61" w:rsidRDefault="00000000">
      <w:pPr>
        <w:ind w:firstLineChars="200" w:firstLine="420"/>
        <w:rPr>
          <w:rFonts w:ascii="Times New Roman" w:eastAsia="宋体" w:hAnsi="Times New Roman" w:cs="Times New Roman"/>
          <w:szCs w:val="21"/>
        </w:rPr>
      </w:pPr>
      <w:r w:rsidRPr="00857B61">
        <w:rPr>
          <w:rFonts w:ascii="Times New Roman" w:eastAsia="宋体" w:hAnsi="Times New Roman" w:cs="Times New Roman"/>
          <w:szCs w:val="21"/>
        </w:rPr>
        <w:t>5.</w:t>
      </w:r>
      <w:r w:rsidRPr="00857B61">
        <w:rPr>
          <w:rFonts w:ascii="楷体" w:eastAsia="楷体" w:hAnsi="楷体" w:cs="楷体" w:hint="eastAsia"/>
          <w:szCs w:val="21"/>
        </w:rPr>
        <w:t>倾向得分匹配</w:t>
      </w:r>
      <w:r w:rsidRPr="00857B61">
        <w:rPr>
          <w:rFonts w:ascii="Times New Roman" w:eastAsia="宋体" w:hAnsi="Times New Roman" w:cs="Times New Roman"/>
          <w:szCs w:val="21"/>
        </w:rPr>
        <w:t>（</w:t>
      </w:r>
      <w:r w:rsidRPr="00857B61">
        <w:rPr>
          <w:rFonts w:ascii="Times New Roman" w:eastAsia="宋体" w:hAnsi="Times New Roman" w:cs="Times New Roman"/>
          <w:szCs w:val="21"/>
        </w:rPr>
        <w:t>PSM</w:t>
      </w:r>
      <w:r w:rsidRPr="00857B61">
        <w:rPr>
          <w:rFonts w:ascii="Times New Roman" w:eastAsia="宋体" w:hAnsi="Times New Roman" w:cs="Times New Roman"/>
          <w:szCs w:val="21"/>
        </w:rPr>
        <w:t>）</w:t>
      </w:r>
      <w:r w:rsidRPr="00857B61">
        <w:rPr>
          <w:rFonts w:ascii="楷体" w:eastAsia="楷体" w:hAnsi="楷体" w:cs="楷体" w:hint="eastAsia"/>
          <w:szCs w:val="21"/>
        </w:rPr>
        <w:t>。</w:t>
      </w:r>
      <w:r w:rsidRPr="00857B61">
        <w:rPr>
          <w:rFonts w:ascii="Times New Roman" w:eastAsia="宋体" w:hAnsi="Times New Roman" w:cs="Times New Roman"/>
          <w:szCs w:val="21"/>
        </w:rPr>
        <w:t>为了进一步的缓解内生性问题，本文采用倾向性得分匹配的方法进行稳健性检验，使处理组和对照组在各方面特征上尽可能</w:t>
      </w:r>
      <w:r w:rsidRPr="00857B61">
        <w:rPr>
          <w:rFonts w:ascii="Times New Roman" w:eastAsia="宋体" w:hAnsi="Times New Roman" w:cs="Times New Roman" w:hint="eastAsia"/>
          <w:szCs w:val="21"/>
        </w:rPr>
        <w:t>地</w:t>
      </w:r>
      <w:r w:rsidRPr="00857B61">
        <w:rPr>
          <w:rFonts w:ascii="Times New Roman" w:eastAsia="宋体" w:hAnsi="Times New Roman" w:cs="Times New Roman"/>
          <w:szCs w:val="21"/>
        </w:rPr>
        <w:t>接近。各变量标准化偏差如图</w:t>
      </w:r>
      <w:r w:rsidRPr="00857B61">
        <w:rPr>
          <w:rFonts w:ascii="Times New Roman" w:eastAsia="宋体" w:hAnsi="Times New Roman" w:cs="Times New Roman"/>
          <w:szCs w:val="21"/>
        </w:rPr>
        <w:t>2</w:t>
      </w:r>
      <w:r w:rsidRPr="00857B61">
        <w:rPr>
          <w:rFonts w:ascii="Times New Roman" w:eastAsia="宋体" w:hAnsi="Times New Roman" w:cs="Times New Roman"/>
          <w:szCs w:val="21"/>
        </w:rPr>
        <w:t>所示，处理组和对照组的特征变量在匹配后的偏差相比未匹配时明显变小，基本上都在</w:t>
      </w:r>
      <w:r w:rsidRPr="00857B61">
        <w:rPr>
          <w:rFonts w:ascii="Times New Roman" w:eastAsia="宋体" w:hAnsi="Times New Roman" w:cs="Times New Roman"/>
          <w:szCs w:val="21"/>
        </w:rPr>
        <w:t>0</w:t>
      </w:r>
      <w:r w:rsidRPr="00857B61">
        <w:rPr>
          <w:rFonts w:ascii="Times New Roman" w:eastAsia="宋体" w:hAnsi="Times New Roman" w:cs="Times New Roman"/>
          <w:szCs w:val="21"/>
        </w:rPr>
        <w:t>附近。在进行平衡性检验后，显示匹配后的</w:t>
      </w:r>
      <w:r w:rsidRPr="00857B61">
        <w:rPr>
          <w:rFonts w:ascii="Times New Roman" w:eastAsia="宋体" w:hAnsi="Times New Roman" w:cs="Times New Roman"/>
          <w:szCs w:val="21"/>
        </w:rPr>
        <w:t>t</w:t>
      </w:r>
      <w:r w:rsidRPr="00857B61">
        <w:rPr>
          <w:rFonts w:ascii="Times New Roman" w:eastAsia="宋体" w:hAnsi="Times New Roman" w:cs="Times New Roman"/>
          <w:szCs w:val="21"/>
        </w:rPr>
        <w:t>值并不显著异于</w:t>
      </w:r>
      <w:r w:rsidRPr="00857B61">
        <w:rPr>
          <w:rFonts w:ascii="Times New Roman" w:eastAsia="宋体" w:hAnsi="Times New Roman" w:cs="Times New Roman"/>
          <w:szCs w:val="21"/>
        </w:rPr>
        <w:t>0</w:t>
      </w:r>
      <w:r w:rsidRPr="00857B61">
        <w:rPr>
          <w:rFonts w:ascii="Times New Roman" w:eastAsia="宋体" w:hAnsi="Times New Roman" w:cs="Times New Roman"/>
          <w:szCs w:val="21"/>
        </w:rPr>
        <w:t>，满足平衡性要求</w:t>
      </w:r>
      <w:r w:rsidRPr="00857B61">
        <w:rPr>
          <w:rStyle w:val="a9"/>
          <w:rFonts w:ascii="Times New Roman" w:eastAsia="宋体" w:hAnsi="Times New Roman" w:cs="Times New Roman"/>
          <w:szCs w:val="21"/>
        </w:rPr>
        <w:footnoteReference w:id="6"/>
      </w:r>
      <w:r w:rsidRPr="00857B61">
        <w:rPr>
          <w:rFonts w:ascii="Times New Roman" w:eastAsia="宋体" w:hAnsi="Times New Roman" w:cs="Times New Roman" w:hint="eastAsia"/>
          <w:szCs w:val="21"/>
        </w:rPr>
        <w:t>。</w:t>
      </w:r>
    </w:p>
    <w:p w14:paraId="5D002DA2" w14:textId="77777777" w:rsidR="00DE7EC6" w:rsidRPr="00857B61" w:rsidRDefault="00000000">
      <w:pPr>
        <w:ind w:firstLineChars="200" w:firstLine="420"/>
        <w:rPr>
          <w:rFonts w:ascii="Times New Roman" w:eastAsia="宋体" w:hAnsi="Times New Roman" w:cs="Times New Roman"/>
          <w:szCs w:val="21"/>
        </w:rPr>
      </w:pPr>
      <w:r w:rsidRPr="00857B61">
        <w:rPr>
          <w:rFonts w:eastAsia="宋体" w:hint="eastAsia"/>
          <w:szCs w:val="21"/>
        </w:rPr>
        <w:t>在重新匹配处理组和对照组的变量之后，本文再次进行回归。表</w:t>
      </w:r>
      <w:r w:rsidRPr="00857B61">
        <w:rPr>
          <w:rFonts w:ascii="Times New Roman" w:eastAsia="宋体" w:hAnsi="Times New Roman" w:cs="Times New Roman" w:hint="eastAsia"/>
          <w:szCs w:val="21"/>
        </w:rPr>
        <w:t>7</w:t>
      </w:r>
      <w:r w:rsidRPr="00857B61">
        <w:rPr>
          <w:rFonts w:eastAsia="宋体" w:hint="eastAsia"/>
          <w:szCs w:val="21"/>
        </w:rPr>
        <w:t>列（</w:t>
      </w:r>
      <w:r w:rsidRPr="00857B61">
        <w:rPr>
          <w:rFonts w:ascii="Times New Roman" w:eastAsia="宋体" w:hAnsi="Times New Roman" w:cs="Times New Roman" w:hint="eastAsia"/>
          <w:szCs w:val="21"/>
        </w:rPr>
        <w:t>7</w:t>
      </w:r>
      <w:r w:rsidRPr="00857B61">
        <w:rPr>
          <w:rFonts w:eastAsia="宋体" w:hint="eastAsia"/>
          <w:szCs w:val="21"/>
        </w:rPr>
        <w:t>）给出了在卡尺（</w:t>
      </w:r>
      <w:r w:rsidRPr="00857B61">
        <w:rPr>
          <w:rFonts w:ascii="Times New Roman" w:eastAsia="宋体" w:hAnsi="Times New Roman" w:cs="Times New Roman" w:hint="eastAsia"/>
          <w:szCs w:val="21"/>
        </w:rPr>
        <w:t>caliper</w:t>
      </w:r>
      <w:r w:rsidRPr="00857B61">
        <w:rPr>
          <w:rFonts w:eastAsia="宋体" w:hint="eastAsia"/>
          <w:szCs w:val="21"/>
        </w:rPr>
        <w:t>）半径为</w:t>
      </w:r>
      <w:r w:rsidRPr="00857B61">
        <w:rPr>
          <w:rFonts w:ascii="Times New Roman" w:eastAsia="宋体" w:hAnsi="Times New Roman" w:cs="Times New Roman" w:hint="eastAsia"/>
          <w:szCs w:val="21"/>
        </w:rPr>
        <w:t>0.005</w:t>
      </w:r>
      <w:r w:rsidRPr="00857B61">
        <w:rPr>
          <w:rFonts w:eastAsia="宋体" w:hint="eastAsia"/>
          <w:szCs w:val="21"/>
        </w:rPr>
        <w:t>时的检验结果，可以看到</w:t>
      </w:r>
      <w:r w:rsidRPr="00857B61">
        <w:rPr>
          <w:rFonts w:ascii="Times New Roman" w:eastAsia="宋体" w:hAnsi="Times New Roman" w:cs="Times New Roman" w:hint="eastAsia"/>
          <w:i/>
          <w:iCs/>
          <w:szCs w:val="21"/>
        </w:rPr>
        <w:t>Treat</w:t>
      </w:r>
      <w:r w:rsidRPr="00857B61">
        <w:rPr>
          <w:rFonts w:ascii="Times New Roman" w:eastAsia="宋体" w:hAnsi="Times New Roman" w:cs="Times New Roman"/>
          <w:i/>
          <w:iCs/>
          <w:szCs w:val="21"/>
        </w:rPr>
        <w:t>*</w:t>
      </w:r>
      <w:r w:rsidRPr="00857B61">
        <w:rPr>
          <w:rFonts w:ascii="Times New Roman" w:eastAsia="宋体" w:hAnsi="Times New Roman" w:cs="Times New Roman" w:hint="eastAsia"/>
          <w:i/>
          <w:iCs/>
          <w:szCs w:val="21"/>
        </w:rPr>
        <w:t>Policy</w:t>
      </w:r>
      <w:r w:rsidRPr="00857B61">
        <w:rPr>
          <w:rFonts w:ascii="Times New Roman" w:eastAsia="宋体" w:hAnsi="Times New Roman" w:cs="Times New Roman" w:hint="eastAsia"/>
          <w:szCs w:val="21"/>
        </w:rPr>
        <w:t>项</w:t>
      </w:r>
      <w:r w:rsidRPr="00857B61">
        <w:rPr>
          <w:rFonts w:eastAsia="宋体" w:hint="eastAsia"/>
          <w:szCs w:val="21"/>
        </w:rPr>
        <w:t>估计系数显著为正。为了做到最大程度的消除选择性偏差，本文选择更为严格的卡尺半径</w:t>
      </w:r>
      <w:r w:rsidRPr="00857B61">
        <w:rPr>
          <w:rFonts w:ascii="Times New Roman" w:eastAsia="宋体" w:hAnsi="Times New Roman" w:cs="Times New Roman" w:hint="eastAsia"/>
          <w:szCs w:val="21"/>
        </w:rPr>
        <w:t>0.0001</w:t>
      </w:r>
      <w:r w:rsidRPr="00857B61">
        <w:rPr>
          <w:rFonts w:eastAsia="宋体" w:hint="eastAsia"/>
          <w:szCs w:val="21"/>
        </w:rPr>
        <w:t>来进行匹配，匹配后的回归结果如列（</w:t>
      </w:r>
      <w:r w:rsidRPr="00857B61">
        <w:rPr>
          <w:rFonts w:ascii="Times New Roman" w:eastAsia="宋体" w:hAnsi="Times New Roman" w:cs="Times New Roman" w:hint="eastAsia"/>
          <w:szCs w:val="21"/>
        </w:rPr>
        <w:t>8</w:t>
      </w:r>
      <w:r w:rsidRPr="00857B61">
        <w:rPr>
          <w:rFonts w:eastAsia="宋体" w:hint="eastAsia"/>
          <w:szCs w:val="21"/>
        </w:rPr>
        <w:t>）所示，</w:t>
      </w:r>
      <w:r w:rsidRPr="00857B61">
        <w:rPr>
          <w:rFonts w:ascii="Times New Roman" w:eastAsia="宋体" w:hAnsi="Times New Roman" w:cs="Times New Roman" w:hint="eastAsia"/>
          <w:i/>
          <w:iCs/>
          <w:szCs w:val="21"/>
        </w:rPr>
        <w:t>Treat</w:t>
      </w:r>
      <w:r w:rsidRPr="00857B61">
        <w:rPr>
          <w:rFonts w:ascii="Times New Roman" w:eastAsia="宋体" w:hAnsi="Times New Roman" w:cs="Times New Roman"/>
          <w:i/>
          <w:iCs/>
          <w:szCs w:val="21"/>
        </w:rPr>
        <w:t>*</w:t>
      </w:r>
      <w:r w:rsidRPr="00857B61">
        <w:rPr>
          <w:rFonts w:ascii="Times New Roman" w:eastAsia="宋体" w:hAnsi="Times New Roman" w:cs="Times New Roman" w:hint="eastAsia"/>
          <w:i/>
          <w:iCs/>
          <w:szCs w:val="21"/>
        </w:rPr>
        <w:t>Policy</w:t>
      </w:r>
      <w:r w:rsidRPr="00857B61">
        <w:rPr>
          <w:rFonts w:ascii="Times New Roman" w:eastAsia="宋体" w:hAnsi="Times New Roman" w:cs="Times New Roman" w:hint="eastAsia"/>
          <w:szCs w:val="21"/>
        </w:rPr>
        <w:t>项</w:t>
      </w:r>
      <w:r w:rsidRPr="00857B61">
        <w:rPr>
          <w:rFonts w:eastAsia="宋体" w:hint="eastAsia"/>
          <w:szCs w:val="21"/>
        </w:rPr>
        <w:t>估计系数显著为正</w:t>
      </w:r>
      <w:r w:rsidRPr="00857B61">
        <w:rPr>
          <w:rFonts w:eastAsia="宋体" w:hint="eastAsia"/>
          <w:sz w:val="24"/>
        </w:rPr>
        <w:t>。</w:t>
      </w:r>
    </w:p>
    <w:p w14:paraId="6AE37F02" w14:textId="77777777" w:rsidR="00DE7EC6" w:rsidRPr="00857B61" w:rsidRDefault="00000000">
      <w:pPr>
        <w:jc w:val="center"/>
        <w:rPr>
          <w:rFonts w:eastAsia="宋体"/>
          <w:szCs w:val="21"/>
        </w:rPr>
      </w:pPr>
      <w:r w:rsidRPr="00857B61">
        <w:rPr>
          <w:rFonts w:ascii="Times New Roman" w:eastAsia="宋体" w:hAnsi="Times New Roman" w:cs="Times New Roman" w:hint="eastAsia"/>
          <w:noProof/>
          <w:szCs w:val="21"/>
        </w:rPr>
        <w:lastRenderedPageBreak/>
        <w:drawing>
          <wp:inline distT="0" distB="0" distL="114300" distR="114300" wp14:anchorId="5F81AF22" wp14:editId="0D288B30">
            <wp:extent cx="3202940" cy="2321560"/>
            <wp:effectExtent l="0" t="0" r="16510" b="2540"/>
            <wp:docPr id="2" name="图片 2" descr="2fd8c2320664738044aa0ec97b78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fd8c2320664738044aa0ec97b782c0"/>
                    <pic:cNvPicPr>
                      <a:picLocks noChangeAspect="1"/>
                    </pic:cNvPicPr>
                  </pic:nvPicPr>
                  <pic:blipFill>
                    <a:blip r:embed="rId9"/>
                    <a:stretch>
                      <a:fillRect/>
                    </a:stretch>
                  </pic:blipFill>
                  <pic:spPr>
                    <a:xfrm>
                      <a:off x="0" y="0"/>
                      <a:ext cx="3202940" cy="2321560"/>
                    </a:xfrm>
                    <a:prstGeom prst="rect">
                      <a:avLst/>
                    </a:prstGeom>
                  </pic:spPr>
                </pic:pic>
              </a:graphicData>
            </a:graphic>
          </wp:inline>
        </w:drawing>
      </w:r>
    </w:p>
    <w:p w14:paraId="348C63CB" w14:textId="77777777" w:rsidR="00DE7EC6" w:rsidRPr="00857B61" w:rsidRDefault="00000000">
      <w:pPr>
        <w:jc w:val="center"/>
        <w:rPr>
          <w:rFonts w:ascii="Times New Roman" w:eastAsia="楷体" w:hAnsi="Times New Roman"/>
          <w:bCs/>
          <w:szCs w:val="21"/>
        </w:rPr>
      </w:pPr>
      <w:r w:rsidRPr="00857B61">
        <w:rPr>
          <w:rFonts w:ascii="Times New Roman" w:eastAsia="楷体" w:hAnsi="Times New Roman" w:hint="eastAsia"/>
          <w:bCs/>
          <w:szCs w:val="21"/>
        </w:rPr>
        <w:t>图</w:t>
      </w:r>
      <w:r w:rsidRPr="00857B61">
        <w:rPr>
          <w:rFonts w:ascii="Times New Roman" w:eastAsia="楷体" w:hAnsi="Times New Roman" w:cs="Times New Roman" w:hint="eastAsia"/>
          <w:bCs/>
          <w:szCs w:val="21"/>
        </w:rPr>
        <w:t xml:space="preserve">2 </w:t>
      </w:r>
      <w:r w:rsidRPr="00857B61">
        <w:rPr>
          <w:rFonts w:ascii="Times New Roman" w:eastAsia="楷体" w:hAnsi="Times New Roman" w:hint="eastAsia"/>
          <w:bCs/>
          <w:szCs w:val="21"/>
        </w:rPr>
        <w:t>各变量标准化偏差</w:t>
      </w:r>
    </w:p>
    <w:p w14:paraId="08DD242A" w14:textId="77777777" w:rsidR="00DE7EC6" w:rsidRPr="00857B61" w:rsidRDefault="00000000">
      <w:pPr>
        <w:jc w:val="center"/>
        <w:rPr>
          <w:rFonts w:ascii="Times New Roman" w:eastAsia="楷体" w:hAnsi="Times New Roman"/>
          <w:bCs/>
          <w:szCs w:val="21"/>
        </w:rPr>
      </w:pPr>
      <w:r w:rsidRPr="00857B61">
        <w:rPr>
          <w:rFonts w:ascii="Times New Roman" w:eastAsia="楷体" w:hAnsi="Times New Roman" w:hint="eastAsia"/>
          <w:bCs/>
          <w:szCs w:val="21"/>
        </w:rPr>
        <w:t>表</w:t>
      </w:r>
      <w:r w:rsidRPr="00857B61">
        <w:rPr>
          <w:rFonts w:ascii="Times New Roman" w:eastAsia="楷体" w:hAnsi="Times New Roman" w:cs="Times New Roman" w:hint="eastAsia"/>
          <w:bCs/>
          <w:szCs w:val="21"/>
        </w:rPr>
        <w:t xml:space="preserve">7 </w:t>
      </w:r>
      <w:r w:rsidRPr="00857B61">
        <w:rPr>
          <w:rFonts w:ascii="Times New Roman" w:eastAsia="楷体" w:hAnsi="Times New Roman" w:hint="eastAsia"/>
          <w:bCs/>
          <w:szCs w:val="21"/>
        </w:rPr>
        <w:t>安慰剂检验、排除同期制度干扰、更改样本范围和</w:t>
      </w:r>
      <w:r w:rsidRPr="00857B61">
        <w:rPr>
          <w:rFonts w:ascii="Times New Roman" w:eastAsia="楷体" w:hAnsi="Times New Roman" w:cs="Times New Roman"/>
          <w:bCs/>
          <w:szCs w:val="21"/>
        </w:rPr>
        <w:t>PSM</w:t>
      </w:r>
      <w:r w:rsidRPr="00857B61">
        <w:rPr>
          <w:rFonts w:ascii="Times New Roman" w:eastAsia="楷体" w:hAnsi="Times New Roman" w:hint="eastAsia"/>
          <w:bCs/>
          <w:szCs w:val="21"/>
        </w:rPr>
        <w:t>倾向得分匹配回归结果</w:t>
      </w:r>
    </w:p>
    <w:tbl>
      <w:tblPr>
        <w:tblW w:w="4997" w:type="pct"/>
        <w:jc w:val="center"/>
        <w:tblBorders>
          <w:top w:val="single" w:sz="8" w:space="0" w:color="auto"/>
          <w:left w:val="none" w:sz="4" w:space="0" w:color="auto"/>
          <w:bottom w:val="none" w:sz="4" w:space="0" w:color="auto"/>
          <w:right w:val="none" w:sz="4" w:space="0" w:color="auto"/>
          <w:insideH w:val="single" w:sz="8" w:space="0" w:color="auto"/>
          <w:insideV w:val="single" w:sz="8" w:space="0" w:color="auto"/>
        </w:tblBorders>
        <w:tblLook w:val="04A0" w:firstRow="1" w:lastRow="0" w:firstColumn="1" w:lastColumn="0" w:noHBand="0" w:noVBand="1"/>
      </w:tblPr>
      <w:tblGrid>
        <w:gridCol w:w="1294"/>
        <w:gridCol w:w="928"/>
        <w:gridCol w:w="1064"/>
        <w:gridCol w:w="913"/>
        <w:gridCol w:w="1036"/>
        <w:gridCol w:w="901"/>
        <w:gridCol w:w="1019"/>
        <w:gridCol w:w="901"/>
        <w:gridCol w:w="943"/>
      </w:tblGrid>
      <w:tr w:rsidR="00857B61" w:rsidRPr="00857B61" w14:paraId="47902E5C" w14:textId="77777777">
        <w:trPr>
          <w:jc w:val="center"/>
        </w:trPr>
        <w:tc>
          <w:tcPr>
            <w:tcW w:w="718" w:type="pct"/>
            <w:vMerge w:val="restart"/>
            <w:tcBorders>
              <w:left w:val="nil"/>
              <w:tl2br w:val="nil"/>
              <w:tr2bl w:val="nil"/>
            </w:tcBorders>
            <w:vAlign w:val="center"/>
          </w:tcPr>
          <w:p w14:paraId="26C1025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变量名称</w:t>
            </w:r>
          </w:p>
        </w:tc>
        <w:tc>
          <w:tcPr>
            <w:tcW w:w="515" w:type="pct"/>
            <w:tcBorders>
              <w:tl2br w:val="nil"/>
              <w:tr2bl w:val="nil"/>
            </w:tcBorders>
            <w:vAlign w:val="center"/>
          </w:tcPr>
          <w:p w14:paraId="5583044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1</w:t>
            </w:r>
            <w:r w:rsidRPr="00857B61">
              <w:rPr>
                <w:rFonts w:ascii="Times New Roman" w:eastAsia="宋体" w:hAnsi="Times New Roman" w:cs="Times New Roman"/>
                <w:szCs w:val="21"/>
              </w:rPr>
              <w:t>)</w:t>
            </w:r>
          </w:p>
        </w:tc>
        <w:tc>
          <w:tcPr>
            <w:tcW w:w="591" w:type="pct"/>
            <w:tcBorders>
              <w:tl2br w:val="nil"/>
              <w:tr2bl w:val="nil"/>
            </w:tcBorders>
            <w:vAlign w:val="center"/>
          </w:tcPr>
          <w:p w14:paraId="1E48786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2</w:t>
            </w:r>
            <w:r w:rsidRPr="00857B61">
              <w:rPr>
                <w:rFonts w:ascii="Times New Roman" w:eastAsia="宋体" w:hAnsi="Times New Roman" w:cs="Times New Roman"/>
                <w:szCs w:val="21"/>
              </w:rPr>
              <w:t>)</w:t>
            </w:r>
          </w:p>
        </w:tc>
        <w:tc>
          <w:tcPr>
            <w:tcW w:w="507" w:type="pct"/>
            <w:tcBorders>
              <w:tl2br w:val="nil"/>
              <w:tr2bl w:val="nil"/>
            </w:tcBorders>
            <w:vAlign w:val="center"/>
          </w:tcPr>
          <w:p w14:paraId="5D40DCD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w:t>
            </w:r>
          </w:p>
        </w:tc>
        <w:tc>
          <w:tcPr>
            <w:tcW w:w="575" w:type="pct"/>
            <w:tcBorders>
              <w:tl2br w:val="nil"/>
              <w:tr2bl w:val="nil"/>
            </w:tcBorders>
            <w:vAlign w:val="center"/>
          </w:tcPr>
          <w:p w14:paraId="1C66006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4</w:t>
            </w:r>
            <w:r w:rsidRPr="00857B61">
              <w:rPr>
                <w:rFonts w:ascii="Times New Roman" w:eastAsia="宋体" w:hAnsi="Times New Roman" w:cs="Times New Roman"/>
                <w:szCs w:val="21"/>
              </w:rPr>
              <w:t>)</w:t>
            </w:r>
          </w:p>
        </w:tc>
        <w:tc>
          <w:tcPr>
            <w:tcW w:w="500" w:type="pct"/>
            <w:tcBorders>
              <w:tl2br w:val="nil"/>
              <w:tr2bl w:val="nil"/>
            </w:tcBorders>
            <w:vAlign w:val="center"/>
          </w:tcPr>
          <w:p w14:paraId="1029208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5</w:t>
            </w:r>
            <w:r w:rsidRPr="00857B61">
              <w:rPr>
                <w:rFonts w:ascii="Times New Roman" w:eastAsia="宋体" w:hAnsi="Times New Roman" w:cs="Times New Roman"/>
                <w:szCs w:val="21"/>
              </w:rPr>
              <w:t>)</w:t>
            </w:r>
          </w:p>
        </w:tc>
        <w:tc>
          <w:tcPr>
            <w:tcW w:w="566" w:type="pct"/>
            <w:tcBorders>
              <w:tl2br w:val="nil"/>
              <w:tr2bl w:val="nil"/>
            </w:tcBorders>
            <w:vAlign w:val="center"/>
          </w:tcPr>
          <w:p w14:paraId="14D23AC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6</w:t>
            </w:r>
            <w:r w:rsidRPr="00857B61">
              <w:rPr>
                <w:rFonts w:ascii="Times New Roman" w:eastAsia="宋体" w:hAnsi="Times New Roman" w:cs="Times New Roman"/>
                <w:szCs w:val="21"/>
              </w:rPr>
              <w:t>)</w:t>
            </w:r>
          </w:p>
        </w:tc>
        <w:tc>
          <w:tcPr>
            <w:tcW w:w="500" w:type="pct"/>
            <w:tcBorders>
              <w:tl2br w:val="nil"/>
              <w:tr2bl w:val="nil"/>
            </w:tcBorders>
            <w:vAlign w:val="center"/>
          </w:tcPr>
          <w:p w14:paraId="6025CCA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7</w:t>
            </w:r>
            <w:r w:rsidRPr="00857B61">
              <w:rPr>
                <w:rFonts w:ascii="Times New Roman" w:eastAsia="宋体" w:hAnsi="Times New Roman" w:cs="Times New Roman"/>
                <w:szCs w:val="21"/>
              </w:rPr>
              <w:t>)</w:t>
            </w:r>
          </w:p>
        </w:tc>
        <w:tc>
          <w:tcPr>
            <w:tcW w:w="523" w:type="pct"/>
            <w:tcBorders>
              <w:right w:val="nil"/>
              <w:tl2br w:val="nil"/>
              <w:tr2bl w:val="nil"/>
            </w:tcBorders>
            <w:vAlign w:val="center"/>
          </w:tcPr>
          <w:p w14:paraId="252996F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8</w:t>
            </w:r>
            <w:r w:rsidRPr="00857B61">
              <w:rPr>
                <w:rFonts w:ascii="Times New Roman" w:eastAsia="宋体" w:hAnsi="Times New Roman" w:cs="Times New Roman"/>
                <w:szCs w:val="21"/>
              </w:rPr>
              <w:t>)</w:t>
            </w:r>
          </w:p>
        </w:tc>
      </w:tr>
      <w:tr w:rsidR="00857B61" w:rsidRPr="00857B61" w14:paraId="3AD3D080" w14:textId="77777777">
        <w:trPr>
          <w:jc w:val="center"/>
        </w:trPr>
        <w:tc>
          <w:tcPr>
            <w:tcW w:w="718" w:type="pct"/>
            <w:vMerge/>
            <w:tcBorders>
              <w:left w:val="nil"/>
              <w:tl2br w:val="nil"/>
              <w:tr2bl w:val="nil"/>
            </w:tcBorders>
            <w:vAlign w:val="center"/>
          </w:tcPr>
          <w:p w14:paraId="014F499B" w14:textId="77777777" w:rsidR="00DE7EC6" w:rsidRPr="00857B61" w:rsidRDefault="00DE7EC6">
            <w:pPr>
              <w:jc w:val="center"/>
              <w:rPr>
                <w:rFonts w:ascii="Times New Roman" w:eastAsia="宋体" w:hAnsi="Times New Roman" w:cs="Times New Roman"/>
                <w:szCs w:val="21"/>
              </w:rPr>
            </w:pPr>
          </w:p>
        </w:tc>
        <w:tc>
          <w:tcPr>
            <w:tcW w:w="1106" w:type="pct"/>
            <w:gridSpan w:val="2"/>
            <w:tcBorders>
              <w:tl2br w:val="nil"/>
              <w:tr2bl w:val="nil"/>
            </w:tcBorders>
            <w:vAlign w:val="center"/>
          </w:tcPr>
          <w:p w14:paraId="59C76C0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虚构处理组</w:t>
            </w:r>
          </w:p>
        </w:tc>
        <w:tc>
          <w:tcPr>
            <w:tcW w:w="507" w:type="pct"/>
            <w:tcBorders>
              <w:tl2br w:val="nil"/>
              <w:tr2bl w:val="nil"/>
            </w:tcBorders>
            <w:vAlign w:val="center"/>
          </w:tcPr>
          <w:p w14:paraId="5288A65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虚构政策时间</w:t>
            </w:r>
          </w:p>
        </w:tc>
        <w:tc>
          <w:tcPr>
            <w:tcW w:w="575" w:type="pct"/>
            <w:tcBorders>
              <w:tl2br w:val="nil"/>
              <w:tr2bl w:val="nil"/>
            </w:tcBorders>
            <w:vAlign w:val="center"/>
          </w:tcPr>
          <w:p w14:paraId="5F61E2F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排除同期制度干扰</w:t>
            </w:r>
          </w:p>
        </w:tc>
        <w:tc>
          <w:tcPr>
            <w:tcW w:w="500" w:type="pct"/>
            <w:tcBorders>
              <w:tl2br w:val="nil"/>
              <w:tr2bl w:val="nil"/>
            </w:tcBorders>
            <w:vAlign w:val="center"/>
          </w:tcPr>
          <w:p w14:paraId="494E1B7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剔除直辖市</w:t>
            </w:r>
          </w:p>
        </w:tc>
        <w:tc>
          <w:tcPr>
            <w:tcW w:w="566" w:type="pct"/>
            <w:tcBorders>
              <w:tl2br w:val="nil"/>
              <w:tr2bl w:val="nil"/>
            </w:tcBorders>
            <w:vAlign w:val="center"/>
          </w:tcPr>
          <w:p w14:paraId="548175D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试点</w:t>
            </w:r>
            <w:r w:rsidRPr="00857B61">
              <w:rPr>
                <w:rFonts w:ascii="Times New Roman" w:eastAsia="宋体" w:hAnsi="Times New Roman" w:cs="Times New Roman" w:hint="eastAsia"/>
                <w:szCs w:val="21"/>
              </w:rPr>
              <w:t>与参选</w:t>
            </w:r>
            <w:r w:rsidRPr="00857B61">
              <w:rPr>
                <w:rFonts w:ascii="Times New Roman" w:eastAsia="宋体" w:hAnsi="Times New Roman" w:cs="Times New Roman"/>
                <w:szCs w:val="21"/>
              </w:rPr>
              <w:t>试点</w:t>
            </w:r>
            <w:r w:rsidRPr="00857B61">
              <w:rPr>
                <w:rFonts w:ascii="Times New Roman" w:eastAsia="宋体" w:hAnsi="Times New Roman" w:cs="Times New Roman" w:hint="eastAsia"/>
                <w:szCs w:val="21"/>
              </w:rPr>
              <w:t>城市</w:t>
            </w:r>
          </w:p>
        </w:tc>
        <w:tc>
          <w:tcPr>
            <w:tcW w:w="500" w:type="pct"/>
            <w:tcBorders>
              <w:tl2br w:val="nil"/>
              <w:tr2bl w:val="nil"/>
            </w:tcBorders>
            <w:vAlign w:val="center"/>
          </w:tcPr>
          <w:p w14:paraId="05933E8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caliper</w:t>
            </w:r>
            <w:r w:rsidRPr="00857B61">
              <w:rPr>
                <w:rFonts w:ascii="Times New Roman" w:eastAsia="宋体" w:hAnsi="Times New Roman" w:cs="Times New Roman" w:hint="eastAsia"/>
                <w:szCs w:val="21"/>
              </w:rPr>
              <w:t>半径</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0.0</w:t>
            </w:r>
            <w:r w:rsidRPr="00857B61">
              <w:rPr>
                <w:rFonts w:ascii="Times New Roman" w:eastAsia="宋体" w:hAnsi="Times New Roman" w:cs="Times New Roman" w:hint="eastAsia"/>
                <w:szCs w:val="21"/>
              </w:rPr>
              <w:t>0</w:t>
            </w:r>
            <w:r w:rsidRPr="00857B61">
              <w:rPr>
                <w:rFonts w:ascii="Times New Roman" w:eastAsia="宋体" w:hAnsi="Times New Roman" w:cs="Times New Roman"/>
                <w:szCs w:val="21"/>
              </w:rPr>
              <w:t>5</w:t>
            </w:r>
          </w:p>
        </w:tc>
        <w:tc>
          <w:tcPr>
            <w:tcW w:w="523" w:type="pct"/>
            <w:tcBorders>
              <w:tl2br w:val="nil"/>
              <w:tr2bl w:val="nil"/>
            </w:tcBorders>
            <w:vAlign w:val="center"/>
          </w:tcPr>
          <w:p w14:paraId="7CD2B76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caliper</w:t>
            </w:r>
            <w:r w:rsidRPr="00857B61">
              <w:rPr>
                <w:rFonts w:ascii="Times New Roman" w:eastAsia="宋体" w:hAnsi="Times New Roman" w:cs="Times New Roman" w:hint="eastAsia"/>
                <w:szCs w:val="21"/>
              </w:rPr>
              <w:t>半径</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0.0001</w:t>
            </w:r>
          </w:p>
        </w:tc>
      </w:tr>
      <w:tr w:rsidR="00857B61" w:rsidRPr="00857B61" w14:paraId="1A63D04A" w14:textId="77777777">
        <w:trPr>
          <w:trHeight w:val="455"/>
          <w:jc w:val="center"/>
        </w:trPr>
        <w:tc>
          <w:tcPr>
            <w:tcW w:w="718" w:type="pct"/>
            <w:tcBorders>
              <w:tl2br w:val="nil"/>
              <w:tr2bl w:val="nil"/>
            </w:tcBorders>
          </w:tcPr>
          <w:p w14:paraId="6AF29AB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i/>
                <w:iCs/>
                <w:szCs w:val="21"/>
              </w:rPr>
              <w:t>Treat</w:t>
            </w:r>
            <w:r w:rsidRPr="00857B61">
              <w:rPr>
                <w:rFonts w:ascii="Times New Roman" w:eastAsia="宋体" w:hAnsi="Times New Roman" w:cs="Times New Roman"/>
                <w:i/>
                <w:iCs/>
                <w:szCs w:val="21"/>
              </w:rPr>
              <w:t>*</w:t>
            </w:r>
            <w:r w:rsidRPr="00857B61">
              <w:rPr>
                <w:rFonts w:ascii="Times New Roman" w:eastAsia="宋体" w:hAnsi="Times New Roman" w:cs="Times New Roman" w:hint="eastAsia"/>
                <w:i/>
                <w:iCs/>
                <w:szCs w:val="21"/>
              </w:rPr>
              <w:t>Policy</w:t>
            </w:r>
          </w:p>
        </w:tc>
        <w:tc>
          <w:tcPr>
            <w:tcW w:w="515" w:type="pct"/>
            <w:tcBorders>
              <w:tl2br w:val="nil"/>
              <w:tr2bl w:val="nil"/>
            </w:tcBorders>
          </w:tcPr>
          <w:p w14:paraId="78270F2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-0.095</w:t>
            </w:r>
          </w:p>
          <w:p w14:paraId="0D7CA0D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(-0.18)</w:t>
            </w:r>
          </w:p>
        </w:tc>
        <w:tc>
          <w:tcPr>
            <w:tcW w:w="591" w:type="pct"/>
            <w:tcBorders>
              <w:tl2br w:val="nil"/>
              <w:tr2bl w:val="nil"/>
            </w:tcBorders>
          </w:tcPr>
          <w:p w14:paraId="0132F39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-0.287</w:t>
            </w:r>
          </w:p>
          <w:p w14:paraId="1AB84E3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(-0.35)</w:t>
            </w:r>
          </w:p>
        </w:tc>
        <w:tc>
          <w:tcPr>
            <w:tcW w:w="507" w:type="pct"/>
            <w:tcBorders>
              <w:tl2br w:val="nil"/>
              <w:tr2bl w:val="nil"/>
            </w:tcBorders>
          </w:tcPr>
          <w:p w14:paraId="2B9C48D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-0.454</w:t>
            </w:r>
          </w:p>
          <w:p w14:paraId="25A3A82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(-1.98)</w:t>
            </w:r>
          </w:p>
        </w:tc>
        <w:tc>
          <w:tcPr>
            <w:tcW w:w="575" w:type="pct"/>
            <w:tcBorders>
              <w:tl2br w:val="nil"/>
              <w:tr2bl w:val="nil"/>
            </w:tcBorders>
          </w:tcPr>
          <w:p w14:paraId="1275BC6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0.498**</w:t>
            </w:r>
          </w:p>
          <w:p w14:paraId="49C9F61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(22.03)</w:t>
            </w:r>
          </w:p>
        </w:tc>
        <w:tc>
          <w:tcPr>
            <w:tcW w:w="500" w:type="pct"/>
            <w:tcBorders>
              <w:tl2br w:val="nil"/>
              <w:tr2bl w:val="nil"/>
            </w:tcBorders>
          </w:tcPr>
          <w:p w14:paraId="63F31F7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0.359*</w:t>
            </w:r>
          </w:p>
          <w:p w14:paraId="010C176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(7.33)</w:t>
            </w:r>
          </w:p>
        </w:tc>
        <w:tc>
          <w:tcPr>
            <w:tcW w:w="566" w:type="pct"/>
            <w:tcBorders>
              <w:tl2br w:val="nil"/>
              <w:tr2bl w:val="nil"/>
            </w:tcBorders>
          </w:tcPr>
          <w:p w14:paraId="47EB13E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0.239**</w:t>
            </w:r>
          </w:p>
          <w:p w14:paraId="206748F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(14.12)</w:t>
            </w:r>
          </w:p>
        </w:tc>
        <w:tc>
          <w:tcPr>
            <w:tcW w:w="500" w:type="pct"/>
            <w:tcBorders>
              <w:tl2br w:val="nil"/>
              <w:tr2bl w:val="nil"/>
            </w:tcBorders>
          </w:tcPr>
          <w:p w14:paraId="35669B3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0.318*</w:t>
            </w:r>
          </w:p>
          <w:p w14:paraId="3C5E9B3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(10.86)</w:t>
            </w:r>
          </w:p>
        </w:tc>
        <w:tc>
          <w:tcPr>
            <w:tcW w:w="523" w:type="pct"/>
            <w:tcBorders>
              <w:tl2br w:val="nil"/>
              <w:tr2bl w:val="nil"/>
            </w:tcBorders>
          </w:tcPr>
          <w:p w14:paraId="1475C3A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1.485*</w:t>
            </w:r>
          </w:p>
          <w:p w14:paraId="04DFD7B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(7.05)</w:t>
            </w:r>
          </w:p>
        </w:tc>
      </w:tr>
      <w:tr w:rsidR="00857B61" w:rsidRPr="00857B61" w14:paraId="0A4525AE" w14:textId="77777777">
        <w:trPr>
          <w:trHeight w:val="454"/>
          <w:jc w:val="center"/>
        </w:trPr>
        <w:tc>
          <w:tcPr>
            <w:tcW w:w="718" w:type="pct"/>
            <w:tcBorders>
              <w:tl2br w:val="nil"/>
              <w:tr2bl w:val="nil"/>
            </w:tcBorders>
          </w:tcPr>
          <w:p w14:paraId="023A78E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i/>
                <w:iCs/>
                <w:szCs w:val="21"/>
              </w:rPr>
              <w:t>Treat</w:t>
            </w:r>
          </w:p>
        </w:tc>
        <w:tc>
          <w:tcPr>
            <w:tcW w:w="515" w:type="pct"/>
            <w:tcBorders>
              <w:tl2br w:val="nil"/>
              <w:tr2bl w:val="nil"/>
            </w:tcBorders>
          </w:tcPr>
          <w:p w14:paraId="183E185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-1.256</w:t>
            </w:r>
          </w:p>
          <w:p w14:paraId="21382E8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(-1.24)</w:t>
            </w:r>
          </w:p>
        </w:tc>
        <w:tc>
          <w:tcPr>
            <w:tcW w:w="591" w:type="pct"/>
            <w:tcBorders>
              <w:tl2br w:val="nil"/>
              <w:tr2bl w:val="nil"/>
            </w:tcBorders>
          </w:tcPr>
          <w:p w14:paraId="035CC92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-4.351</w:t>
            </w:r>
          </w:p>
          <w:p w14:paraId="199CCEA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(-3.67)</w:t>
            </w:r>
          </w:p>
        </w:tc>
        <w:tc>
          <w:tcPr>
            <w:tcW w:w="507" w:type="pct"/>
            <w:tcBorders>
              <w:tl2br w:val="nil"/>
              <w:tr2bl w:val="nil"/>
            </w:tcBorders>
          </w:tcPr>
          <w:p w14:paraId="2FB0CA7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3.192</w:t>
            </w:r>
          </w:p>
          <w:p w14:paraId="2C53088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(2.32)</w:t>
            </w:r>
          </w:p>
        </w:tc>
        <w:tc>
          <w:tcPr>
            <w:tcW w:w="575" w:type="pct"/>
            <w:tcBorders>
              <w:tl2br w:val="nil"/>
              <w:tr2bl w:val="nil"/>
            </w:tcBorders>
          </w:tcPr>
          <w:p w14:paraId="0879D9D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4.568</w:t>
            </w:r>
          </w:p>
          <w:p w14:paraId="45A7B21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(1.34)</w:t>
            </w:r>
          </w:p>
        </w:tc>
        <w:tc>
          <w:tcPr>
            <w:tcW w:w="500" w:type="pct"/>
            <w:tcBorders>
              <w:tl2br w:val="nil"/>
              <w:tr2bl w:val="nil"/>
            </w:tcBorders>
          </w:tcPr>
          <w:p w14:paraId="4D6764F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-3.258</w:t>
            </w:r>
          </w:p>
          <w:p w14:paraId="1299E87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(-3.00)</w:t>
            </w:r>
          </w:p>
        </w:tc>
        <w:tc>
          <w:tcPr>
            <w:tcW w:w="566" w:type="pct"/>
            <w:tcBorders>
              <w:tl2br w:val="nil"/>
              <w:tr2bl w:val="nil"/>
            </w:tcBorders>
          </w:tcPr>
          <w:p w14:paraId="3578240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5.193</w:t>
            </w:r>
          </w:p>
          <w:p w14:paraId="5D0AF19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(2.24)</w:t>
            </w:r>
          </w:p>
        </w:tc>
        <w:tc>
          <w:tcPr>
            <w:tcW w:w="500" w:type="pct"/>
            <w:tcBorders>
              <w:tl2br w:val="nil"/>
              <w:tr2bl w:val="nil"/>
            </w:tcBorders>
          </w:tcPr>
          <w:p w14:paraId="07E4026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2.431</w:t>
            </w:r>
          </w:p>
          <w:p w14:paraId="513D189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(3.21)</w:t>
            </w:r>
          </w:p>
        </w:tc>
        <w:tc>
          <w:tcPr>
            <w:tcW w:w="523" w:type="pct"/>
            <w:tcBorders>
              <w:tl2br w:val="nil"/>
              <w:tr2bl w:val="nil"/>
            </w:tcBorders>
          </w:tcPr>
          <w:p w14:paraId="2FE607C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15.960</w:t>
            </w:r>
          </w:p>
          <w:p w14:paraId="26C5B88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(2.46)</w:t>
            </w:r>
          </w:p>
        </w:tc>
      </w:tr>
      <w:tr w:rsidR="00857B61" w:rsidRPr="00857B61" w14:paraId="4C315E4F" w14:textId="77777777">
        <w:trPr>
          <w:trHeight w:val="454"/>
          <w:jc w:val="center"/>
        </w:trPr>
        <w:tc>
          <w:tcPr>
            <w:tcW w:w="718" w:type="pct"/>
            <w:tcBorders>
              <w:tl2br w:val="nil"/>
              <w:tr2bl w:val="nil"/>
            </w:tcBorders>
          </w:tcPr>
          <w:p w14:paraId="19C349B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i/>
                <w:iCs/>
                <w:szCs w:val="21"/>
              </w:rPr>
              <w:t>Policy</w:t>
            </w:r>
          </w:p>
        </w:tc>
        <w:tc>
          <w:tcPr>
            <w:tcW w:w="515" w:type="pct"/>
            <w:tcBorders>
              <w:tl2br w:val="nil"/>
              <w:tr2bl w:val="nil"/>
            </w:tcBorders>
          </w:tcPr>
          <w:p w14:paraId="73F0ED7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0.108</w:t>
            </w:r>
          </w:p>
          <w:p w14:paraId="7CD1E5B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(1.00)</w:t>
            </w:r>
          </w:p>
        </w:tc>
        <w:tc>
          <w:tcPr>
            <w:tcW w:w="591" w:type="pct"/>
            <w:tcBorders>
              <w:tl2br w:val="nil"/>
              <w:tr2bl w:val="nil"/>
            </w:tcBorders>
          </w:tcPr>
          <w:p w14:paraId="1B66530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1.168</w:t>
            </w:r>
          </w:p>
          <w:p w14:paraId="3F8D152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(0.41)</w:t>
            </w:r>
          </w:p>
        </w:tc>
        <w:tc>
          <w:tcPr>
            <w:tcW w:w="507" w:type="pct"/>
            <w:tcBorders>
              <w:tl2br w:val="nil"/>
              <w:tr2bl w:val="nil"/>
            </w:tcBorders>
          </w:tcPr>
          <w:p w14:paraId="2270730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-0.435</w:t>
            </w:r>
          </w:p>
          <w:p w14:paraId="4EFA67F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(-0.35)</w:t>
            </w:r>
          </w:p>
        </w:tc>
        <w:tc>
          <w:tcPr>
            <w:tcW w:w="575" w:type="pct"/>
            <w:tcBorders>
              <w:tl2br w:val="nil"/>
              <w:tr2bl w:val="nil"/>
            </w:tcBorders>
          </w:tcPr>
          <w:p w14:paraId="7772D84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-0.968</w:t>
            </w:r>
          </w:p>
          <w:p w14:paraId="0BDEFC9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(-1.08)</w:t>
            </w:r>
          </w:p>
        </w:tc>
        <w:tc>
          <w:tcPr>
            <w:tcW w:w="500" w:type="pct"/>
            <w:tcBorders>
              <w:tl2br w:val="nil"/>
              <w:tr2bl w:val="nil"/>
            </w:tcBorders>
          </w:tcPr>
          <w:p w14:paraId="048C477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-0.516</w:t>
            </w:r>
          </w:p>
          <w:p w14:paraId="149EF66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(-0.23)</w:t>
            </w:r>
          </w:p>
        </w:tc>
        <w:tc>
          <w:tcPr>
            <w:tcW w:w="566" w:type="pct"/>
            <w:tcBorders>
              <w:tl2br w:val="nil"/>
              <w:tr2bl w:val="nil"/>
            </w:tcBorders>
          </w:tcPr>
          <w:p w14:paraId="315E9FA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1.737</w:t>
            </w:r>
          </w:p>
          <w:p w14:paraId="161FE79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(4.18)</w:t>
            </w:r>
          </w:p>
        </w:tc>
        <w:tc>
          <w:tcPr>
            <w:tcW w:w="500" w:type="pct"/>
            <w:tcBorders>
              <w:tl2br w:val="nil"/>
              <w:tr2bl w:val="nil"/>
            </w:tcBorders>
          </w:tcPr>
          <w:p w14:paraId="61056E5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-1.061</w:t>
            </w:r>
          </w:p>
          <w:p w14:paraId="2866E68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(-0.81)</w:t>
            </w:r>
          </w:p>
        </w:tc>
        <w:tc>
          <w:tcPr>
            <w:tcW w:w="523" w:type="pct"/>
            <w:tcBorders>
              <w:tl2br w:val="nil"/>
              <w:tr2bl w:val="nil"/>
            </w:tcBorders>
          </w:tcPr>
          <w:p w14:paraId="0EA7C57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-6.449</w:t>
            </w:r>
          </w:p>
          <w:p w14:paraId="554ED43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(-0.38)</w:t>
            </w:r>
          </w:p>
        </w:tc>
      </w:tr>
      <w:tr w:rsidR="00857B61" w:rsidRPr="00857B61" w14:paraId="5227DE1D" w14:textId="77777777">
        <w:trPr>
          <w:trHeight w:val="368"/>
          <w:jc w:val="center"/>
        </w:trPr>
        <w:tc>
          <w:tcPr>
            <w:tcW w:w="718" w:type="pct"/>
            <w:tcBorders>
              <w:tl2br w:val="nil"/>
              <w:tr2bl w:val="nil"/>
            </w:tcBorders>
          </w:tcPr>
          <w:p w14:paraId="1CFBEC58"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Violation</w:t>
            </w:r>
          </w:p>
        </w:tc>
        <w:tc>
          <w:tcPr>
            <w:tcW w:w="515" w:type="pct"/>
            <w:tcBorders>
              <w:tl2br w:val="nil"/>
              <w:tr2bl w:val="nil"/>
            </w:tcBorders>
          </w:tcPr>
          <w:p w14:paraId="07A6B82D" w14:textId="77777777" w:rsidR="00DE7EC6" w:rsidRPr="00857B61" w:rsidRDefault="00DE7EC6">
            <w:pPr>
              <w:jc w:val="center"/>
              <w:rPr>
                <w:rFonts w:ascii="Times New Roman" w:eastAsia="宋体" w:hAnsi="Times New Roman" w:cs="Times New Roman"/>
                <w:szCs w:val="21"/>
              </w:rPr>
            </w:pPr>
          </w:p>
        </w:tc>
        <w:tc>
          <w:tcPr>
            <w:tcW w:w="591" w:type="pct"/>
            <w:tcBorders>
              <w:tl2br w:val="nil"/>
              <w:tr2bl w:val="nil"/>
            </w:tcBorders>
          </w:tcPr>
          <w:p w14:paraId="21F43F69" w14:textId="77777777" w:rsidR="00DE7EC6" w:rsidRPr="00857B61" w:rsidRDefault="00DE7EC6">
            <w:pPr>
              <w:jc w:val="center"/>
              <w:rPr>
                <w:rFonts w:ascii="Times New Roman" w:eastAsia="宋体" w:hAnsi="Times New Roman" w:cs="Times New Roman"/>
                <w:szCs w:val="21"/>
              </w:rPr>
            </w:pPr>
          </w:p>
        </w:tc>
        <w:tc>
          <w:tcPr>
            <w:tcW w:w="507" w:type="pct"/>
            <w:tcBorders>
              <w:tl2br w:val="nil"/>
              <w:tr2bl w:val="nil"/>
            </w:tcBorders>
          </w:tcPr>
          <w:p w14:paraId="3231674D" w14:textId="77777777" w:rsidR="00DE7EC6" w:rsidRPr="00857B61" w:rsidRDefault="00DE7EC6">
            <w:pPr>
              <w:jc w:val="center"/>
              <w:rPr>
                <w:rFonts w:ascii="Times New Roman" w:eastAsia="宋体" w:hAnsi="Times New Roman" w:cs="Times New Roman"/>
                <w:szCs w:val="21"/>
              </w:rPr>
            </w:pPr>
          </w:p>
        </w:tc>
        <w:tc>
          <w:tcPr>
            <w:tcW w:w="575" w:type="pct"/>
            <w:tcBorders>
              <w:tl2br w:val="nil"/>
              <w:tr2bl w:val="nil"/>
            </w:tcBorders>
          </w:tcPr>
          <w:p w14:paraId="2C54CBB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0.956</w:t>
            </w:r>
          </w:p>
          <w:p w14:paraId="4C18F88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(1.21)</w:t>
            </w:r>
          </w:p>
        </w:tc>
        <w:tc>
          <w:tcPr>
            <w:tcW w:w="500" w:type="pct"/>
            <w:tcBorders>
              <w:tl2br w:val="nil"/>
              <w:tr2bl w:val="nil"/>
            </w:tcBorders>
          </w:tcPr>
          <w:p w14:paraId="750388AB" w14:textId="77777777" w:rsidR="00DE7EC6" w:rsidRPr="00857B61" w:rsidRDefault="00DE7EC6">
            <w:pPr>
              <w:jc w:val="center"/>
              <w:rPr>
                <w:rFonts w:ascii="Times New Roman" w:eastAsia="宋体" w:hAnsi="Times New Roman" w:cs="Times New Roman"/>
                <w:szCs w:val="21"/>
              </w:rPr>
            </w:pPr>
          </w:p>
        </w:tc>
        <w:tc>
          <w:tcPr>
            <w:tcW w:w="566" w:type="pct"/>
            <w:tcBorders>
              <w:tl2br w:val="nil"/>
              <w:tr2bl w:val="nil"/>
            </w:tcBorders>
          </w:tcPr>
          <w:p w14:paraId="239EED5A" w14:textId="77777777" w:rsidR="00DE7EC6" w:rsidRPr="00857B61" w:rsidRDefault="00DE7EC6">
            <w:pPr>
              <w:jc w:val="center"/>
              <w:rPr>
                <w:rFonts w:ascii="Times New Roman" w:eastAsia="宋体" w:hAnsi="Times New Roman" w:cs="Times New Roman"/>
                <w:szCs w:val="21"/>
              </w:rPr>
            </w:pPr>
          </w:p>
        </w:tc>
        <w:tc>
          <w:tcPr>
            <w:tcW w:w="500" w:type="pct"/>
            <w:tcBorders>
              <w:tl2br w:val="nil"/>
              <w:tr2bl w:val="nil"/>
            </w:tcBorders>
          </w:tcPr>
          <w:p w14:paraId="23045875" w14:textId="77777777" w:rsidR="00DE7EC6" w:rsidRPr="00857B61" w:rsidRDefault="00DE7EC6">
            <w:pPr>
              <w:jc w:val="center"/>
              <w:rPr>
                <w:rFonts w:ascii="Times New Roman" w:eastAsia="宋体" w:hAnsi="Times New Roman" w:cs="Times New Roman"/>
                <w:szCs w:val="21"/>
              </w:rPr>
            </w:pPr>
          </w:p>
        </w:tc>
        <w:tc>
          <w:tcPr>
            <w:tcW w:w="523" w:type="pct"/>
            <w:tcBorders>
              <w:tl2br w:val="nil"/>
              <w:tr2bl w:val="nil"/>
            </w:tcBorders>
          </w:tcPr>
          <w:p w14:paraId="78C25445" w14:textId="77777777" w:rsidR="00DE7EC6" w:rsidRPr="00857B61" w:rsidRDefault="00DE7EC6">
            <w:pPr>
              <w:jc w:val="center"/>
              <w:rPr>
                <w:rFonts w:ascii="Times New Roman" w:eastAsia="宋体" w:hAnsi="Times New Roman" w:cs="Times New Roman"/>
                <w:szCs w:val="21"/>
              </w:rPr>
            </w:pPr>
          </w:p>
        </w:tc>
      </w:tr>
      <w:tr w:rsidR="00857B61" w:rsidRPr="00857B61" w14:paraId="6E5E41A8" w14:textId="77777777">
        <w:trPr>
          <w:trHeight w:val="90"/>
          <w:jc w:val="center"/>
        </w:trPr>
        <w:tc>
          <w:tcPr>
            <w:tcW w:w="718" w:type="pct"/>
            <w:tcBorders>
              <w:tl2br w:val="nil"/>
              <w:tr2bl w:val="nil"/>
            </w:tcBorders>
          </w:tcPr>
          <w:p w14:paraId="5E80F2E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控制变量</w:t>
            </w:r>
          </w:p>
        </w:tc>
        <w:tc>
          <w:tcPr>
            <w:tcW w:w="515" w:type="pct"/>
            <w:tcBorders>
              <w:tl2br w:val="nil"/>
              <w:tr2bl w:val="nil"/>
            </w:tcBorders>
            <w:vAlign w:val="center"/>
          </w:tcPr>
          <w:p w14:paraId="13F33EC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NO</w:t>
            </w:r>
          </w:p>
        </w:tc>
        <w:tc>
          <w:tcPr>
            <w:tcW w:w="591" w:type="pct"/>
            <w:tcBorders>
              <w:tl2br w:val="nil"/>
              <w:tr2bl w:val="nil"/>
            </w:tcBorders>
            <w:vAlign w:val="center"/>
          </w:tcPr>
          <w:p w14:paraId="75BBBD8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507" w:type="pct"/>
            <w:tcBorders>
              <w:tl2br w:val="nil"/>
              <w:tr2bl w:val="nil"/>
            </w:tcBorders>
            <w:vAlign w:val="center"/>
          </w:tcPr>
          <w:p w14:paraId="3E635D4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575" w:type="pct"/>
            <w:tcBorders>
              <w:tl2br w:val="nil"/>
              <w:tr2bl w:val="nil"/>
            </w:tcBorders>
            <w:vAlign w:val="center"/>
          </w:tcPr>
          <w:p w14:paraId="04FD65D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500" w:type="pct"/>
            <w:tcBorders>
              <w:tl2br w:val="nil"/>
              <w:tr2bl w:val="nil"/>
            </w:tcBorders>
            <w:vAlign w:val="center"/>
          </w:tcPr>
          <w:p w14:paraId="08390A8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566" w:type="pct"/>
            <w:tcBorders>
              <w:tl2br w:val="nil"/>
              <w:tr2bl w:val="nil"/>
            </w:tcBorders>
            <w:vAlign w:val="center"/>
          </w:tcPr>
          <w:p w14:paraId="0F54B41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500" w:type="pct"/>
            <w:tcBorders>
              <w:tl2br w:val="nil"/>
              <w:tr2bl w:val="nil"/>
            </w:tcBorders>
            <w:vAlign w:val="center"/>
          </w:tcPr>
          <w:p w14:paraId="3F8D4C7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523" w:type="pct"/>
            <w:tcBorders>
              <w:tl2br w:val="nil"/>
              <w:tr2bl w:val="nil"/>
            </w:tcBorders>
            <w:vAlign w:val="center"/>
          </w:tcPr>
          <w:p w14:paraId="2ABB4BF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r>
      <w:tr w:rsidR="00857B61" w:rsidRPr="00857B61" w14:paraId="2FB198B5" w14:textId="77777777">
        <w:trPr>
          <w:trHeight w:val="334"/>
          <w:jc w:val="center"/>
        </w:trPr>
        <w:tc>
          <w:tcPr>
            <w:tcW w:w="718" w:type="pct"/>
            <w:tcBorders>
              <w:tl2br w:val="nil"/>
              <w:tr2bl w:val="nil"/>
            </w:tcBorders>
          </w:tcPr>
          <w:p w14:paraId="3109BEB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时间效应</w:t>
            </w:r>
          </w:p>
        </w:tc>
        <w:tc>
          <w:tcPr>
            <w:tcW w:w="515" w:type="pct"/>
            <w:tcBorders>
              <w:tl2br w:val="nil"/>
              <w:tr2bl w:val="nil"/>
            </w:tcBorders>
            <w:vAlign w:val="center"/>
          </w:tcPr>
          <w:p w14:paraId="5DE5857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591" w:type="pct"/>
            <w:tcBorders>
              <w:tl2br w:val="nil"/>
              <w:tr2bl w:val="nil"/>
            </w:tcBorders>
            <w:vAlign w:val="center"/>
          </w:tcPr>
          <w:p w14:paraId="493DCEB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507" w:type="pct"/>
            <w:tcBorders>
              <w:tl2br w:val="nil"/>
              <w:tr2bl w:val="nil"/>
            </w:tcBorders>
            <w:vAlign w:val="center"/>
          </w:tcPr>
          <w:p w14:paraId="632F396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575" w:type="pct"/>
            <w:tcBorders>
              <w:tl2br w:val="nil"/>
              <w:tr2bl w:val="nil"/>
            </w:tcBorders>
            <w:vAlign w:val="center"/>
          </w:tcPr>
          <w:p w14:paraId="25BB4F1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500" w:type="pct"/>
            <w:tcBorders>
              <w:tl2br w:val="nil"/>
              <w:tr2bl w:val="nil"/>
            </w:tcBorders>
            <w:vAlign w:val="center"/>
          </w:tcPr>
          <w:p w14:paraId="1DD4D65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566" w:type="pct"/>
            <w:tcBorders>
              <w:tl2br w:val="nil"/>
              <w:tr2bl w:val="nil"/>
            </w:tcBorders>
            <w:vAlign w:val="center"/>
          </w:tcPr>
          <w:p w14:paraId="092F333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500" w:type="pct"/>
            <w:tcBorders>
              <w:tl2br w:val="nil"/>
              <w:tr2bl w:val="nil"/>
            </w:tcBorders>
            <w:vAlign w:val="center"/>
          </w:tcPr>
          <w:p w14:paraId="72CD025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523" w:type="pct"/>
            <w:tcBorders>
              <w:tl2br w:val="nil"/>
              <w:tr2bl w:val="nil"/>
            </w:tcBorders>
            <w:vAlign w:val="center"/>
          </w:tcPr>
          <w:p w14:paraId="3DDF043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r>
      <w:tr w:rsidR="00857B61" w:rsidRPr="00857B61" w14:paraId="6D5DC706" w14:textId="77777777">
        <w:trPr>
          <w:trHeight w:val="244"/>
          <w:jc w:val="center"/>
        </w:trPr>
        <w:tc>
          <w:tcPr>
            <w:tcW w:w="718" w:type="pct"/>
            <w:tcBorders>
              <w:tl2br w:val="nil"/>
              <w:tr2bl w:val="nil"/>
            </w:tcBorders>
          </w:tcPr>
          <w:p w14:paraId="4B3C32B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行业效应</w:t>
            </w:r>
          </w:p>
        </w:tc>
        <w:tc>
          <w:tcPr>
            <w:tcW w:w="515" w:type="pct"/>
            <w:tcBorders>
              <w:tl2br w:val="nil"/>
              <w:tr2bl w:val="nil"/>
            </w:tcBorders>
            <w:vAlign w:val="center"/>
          </w:tcPr>
          <w:p w14:paraId="5F7283F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591" w:type="pct"/>
            <w:tcBorders>
              <w:tl2br w:val="nil"/>
              <w:tr2bl w:val="nil"/>
            </w:tcBorders>
            <w:vAlign w:val="center"/>
          </w:tcPr>
          <w:p w14:paraId="473CE99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507" w:type="pct"/>
            <w:tcBorders>
              <w:tl2br w:val="nil"/>
              <w:tr2bl w:val="nil"/>
            </w:tcBorders>
            <w:vAlign w:val="center"/>
          </w:tcPr>
          <w:p w14:paraId="06D9A69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575" w:type="pct"/>
            <w:tcBorders>
              <w:tl2br w:val="nil"/>
              <w:tr2bl w:val="nil"/>
            </w:tcBorders>
            <w:vAlign w:val="center"/>
          </w:tcPr>
          <w:p w14:paraId="66D9925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500" w:type="pct"/>
            <w:tcBorders>
              <w:tl2br w:val="nil"/>
              <w:tr2bl w:val="nil"/>
            </w:tcBorders>
            <w:vAlign w:val="center"/>
          </w:tcPr>
          <w:p w14:paraId="43CF6A5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566" w:type="pct"/>
            <w:tcBorders>
              <w:tl2br w:val="nil"/>
              <w:tr2bl w:val="nil"/>
            </w:tcBorders>
            <w:vAlign w:val="center"/>
          </w:tcPr>
          <w:p w14:paraId="072EA26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500" w:type="pct"/>
            <w:tcBorders>
              <w:tl2br w:val="nil"/>
              <w:tr2bl w:val="nil"/>
            </w:tcBorders>
            <w:vAlign w:val="center"/>
          </w:tcPr>
          <w:p w14:paraId="231948B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523" w:type="pct"/>
            <w:tcBorders>
              <w:tl2br w:val="nil"/>
              <w:tr2bl w:val="nil"/>
            </w:tcBorders>
            <w:vAlign w:val="center"/>
          </w:tcPr>
          <w:p w14:paraId="1C07ABF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r>
      <w:tr w:rsidR="00857B61" w:rsidRPr="00857B61" w14:paraId="58912A38" w14:textId="77777777">
        <w:trPr>
          <w:trHeight w:val="192"/>
          <w:jc w:val="center"/>
        </w:trPr>
        <w:tc>
          <w:tcPr>
            <w:tcW w:w="718" w:type="pct"/>
            <w:tcBorders>
              <w:tl2br w:val="nil"/>
              <w:tr2bl w:val="nil"/>
            </w:tcBorders>
          </w:tcPr>
          <w:p w14:paraId="41A9214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地区效应</w:t>
            </w:r>
          </w:p>
        </w:tc>
        <w:tc>
          <w:tcPr>
            <w:tcW w:w="515" w:type="pct"/>
            <w:tcBorders>
              <w:tl2br w:val="nil"/>
              <w:tr2bl w:val="nil"/>
            </w:tcBorders>
            <w:vAlign w:val="center"/>
          </w:tcPr>
          <w:p w14:paraId="106E4A1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591" w:type="pct"/>
            <w:tcBorders>
              <w:tl2br w:val="nil"/>
              <w:tr2bl w:val="nil"/>
            </w:tcBorders>
            <w:vAlign w:val="center"/>
          </w:tcPr>
          <w:p w14:paraId="721CBE5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507" w:type="pct"/>
            <w:tcBorders>
              <w:tl2br w:val="nil"/>
              <w:tr2bl w:val="nil"/>
            </w:tcBorders>
            <w:vAlign w:val="center"/>
          </w:tcPr>
          <w:p w14:paraId="53BE66E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575" w:type="pct"/>
            <w:tcBorders>
              <w:tl2br w:val="nil"/>
              <w:tr2bl w:val="nil"/>
            </w:tcBorders>
            <w:vAlign w:val="center"/>
          </w:tcPr>
          <w:p w14:paraId="4A7F2D7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500" w:type="pct"/>
            <w:tcBorders>
              <w:tl2br w:val="nil"/>
              <w:tr2bl w:val="nil"/>
            </w:tcBorders>
            <w:vAlign w:val="center"/>
          </w:tcPr>
          <w:p w14:paraId="0BFF53B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566" w:type="pct"/>
            <w:tcBorders>
              <w:tl2br w:val="nil"/>
              <w:tr2bl w:val="nil"/>
            </w:tcBorders>
            <w:vAlign w:val="center"/>
          </w:tcPr>
          <w:p w14:paraId="5D3B837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500" w:type="pct"/>
            <w:tcBorders>
              <w:tl2br w:val="nil"/>
              <w:tr2bl w:val="nil"/>
            </w:tcBorders>
            <w:vAlign w:val="center"/>
          </w:tcPr>
          <w:p w14:paraId="4F308E2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523" w:type="pct"/>
            <w:tcBorders>
              <w:tl2br w:val="nil"/>
              <w:tr2bl w:val="nil"/>
            </w:tcBorders>
            <w:vAlign w:val="center"/>
          </w:tcPr>
          <w:p w14:paraId="14CB5BE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r>
      <w:tr w:rsidR="00857B61" w:rsidRPr="00857B61" w14:paraId="45A32BB3" w14:textId="77777777">
        <w:trPr>
          <w:trHeight w:val="305"/>
          <w:jc w:val="center"/>
        </w:trPr>
        <w:tc>
          <w:tcPr>
            <w:tcW w:w="718" w:type="pct"/>
            <w:tcBorders>
              <w:tl2br w:val="nil"/>
              <w:tr2bl w:val="nil"/>
            </w:tcBorders>
          </w:tcPr>
          <w:p w14:paraId="540D91DD"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i/>
                <w:iCs/>
                <w:szCs w:val="21"/>
              </w:rPr>
              <w:t>C</w:t>
            </w:r>
          </w:p>
        </w:tc>
        <w:tc>
          <w:tcPr>
            <w:tcW w:w="515" w:type="pct"/>
            <w:tcBorders>
              <w:tl2br w:val="nil"/>
              <w:tr2bl w:val="nil"/>
            </w:tcBorders>
            <w:vAlign w:val="center"/>
          </w:tcPr>
          <w:p w14:paraId="27A1BE3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1.286</w:t>
            </w:r>
          </w:p>
          <w:p w14:paraId="030B82F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(2.16)</w:t>
            </w:r>
          </w:p>
        </w:tc>
        <w:tc>
          <w:tcPr>
            <w:tcW w:w="591" w:type="pct"/>
            <w:tcBorders>
              <w:tl2br w:val="nil"/>
              <w:tr2bl w:val="nil"/>
            </w:tcBorders>
            <w:vAlign w:val="center"/>
          </w:tcPr>
          <w:p w14:paraId="6BAC645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18.179</w:t>
            </w:r>
          </w:p>
          <w:p w14:paraId="4F93692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(0.82)</w:t>
            </w:r>
          </w:p>
        </w:tc>
        <w:tc>
          <w:tcPr>
            <w:tcW w:w="507" w:type="pct"/>
            <w:tcBorders>
              <w:tl2br w:val="nil"/>
              <w:tr2bl w:val="nil"/>
            </w:tcBorders>
            <w:vAlign w:val="center"/>
          </w:tcPr>
          <w:p w14:paraId="6535E97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2.806</w:t>
            </w:r>
          </w:p>
          <w:p w14:paraId="6049599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(0.14)</w:t>
            </w:r>
          </w:p>
        </w:tc>
        <w:tc>
          <w:tcPr>
            <w:tcW w:w="575" w:type="pct"/>
            <w:tcBorders>
              <w:tl2br w:val="nil"/>
              <w:tr2bl w:val="nil"/>
            </w:tcBorders>
            <w:vAlign w:val="center"/>
          </w:tcPr>
          <w:p w14:paraId="78FE988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-0.543</w:t>
            </w:r>
          </w:p>
          <w:p w14:paraId="5A2F108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(-0.02)</w:t>
            </w:r>
          </w:p>
        </w:tc>
        <w:tc>
          <w:tcPr>
            <w:tcW w:w="500" w:type="pct"/>
            <w:tcBorders>
              <w:tl2br w:val="nil"/>
              <w:tr2bl w:val="nil"/>
            </w:tcBorders>
            <w:vAlign w:val="center"/>
          </w:tcPr>
          <w:p w14:paraId="5A999A4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-6.090</w:t>
            </w:r>
          </w:p>
          <w:p w14:paraId="51BF849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(-0.40)</w:t>
            </w:r>
          </w:p>
        </w:tc>
        <w:tc>
          <w:tcPr>
            <w:tcW w:w="566" w:type="pct"/>
            <w:tcBorders>
              <w:tl2br w:val="nil"/>
              <w:tr2bl w:val="nil"/>
            </w:tcBorders>
            <w:vAlign w:val="center"/>
          </w:tcPr>
          <w:p w14:paraId="3B4E213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12.918**</w:t>
            </w:r>
          </w:p>
          <w:p w14:paraId="3F5D3A0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(20.37)</w:t>
            </w:r>
          </w:p>
        </w:tc>
        <w:tc>
          <w:tcPr>
            <w:tcW w:w="500" w:type="pct"/>
            <w:tcBorders>
              <w:tl2br w:val="nil"/>
              <w:tr2bl w:val="nil"/>
            </w:tcBorders>
            <w:vAlign w:val="center"/>
          </w:tcPr>
          <w:p w14:paraId="76892DA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-7.333</w:t>
            </w:r>
          </w:p>
          <w:p w14:paraId="07AA836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(-0.50)</w:t>
            </w:r>
          </w:p>
        </w:tc>
        <w:tc>
          <w:tcPr>
            <w:tcW w:w="523" w:type="pct"/>
            <w:tcBorders>
              <w:tl2br w:val="nil"/>
              <w:tr2bl w:val="nil"/>
            </w:tcBorders>
            <w:vAlign w:val="center"/>
          </w:tcPr>
          <w:p w14:paraId="338068A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-24.399</w:t>
            </w:r>
          </w:p>
          <w:p w14:paraId="603AAA4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(-0.17)</w:t>
            </w:r>
          </w:p>
        </w:tc>
      </w:tr>
      <w:tr w:rsidR="00857B61" w:rsidRPr="00857B61" w14:paraId="3CD4AEA6" w14:textId="77777777">
        <w:trPr>
          <w:trHeight w:val="274"/>
          <w:jc w:val="center"/>
        </w:trPr>
        <w:tc>
          <w:tcPr>
            <w:tcW w:w="718" w:type="pct"/>
            <w:tcBorders>
              <w:tl2br w:val="nil"/>
              <w:tr2bl w:val="nil"/>
            </w:tcBorders>
          </w:tcPr>
          <w:p w14:paraId="1FD05DED"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i/>
                <w:iCs/>
                <w:szCs w:val="21"/>
              </w:rPr>
              <w:t>R</w:t>
            </w:r>
            <w:r w:rsidRPr="00857B61">
              <w:rPr>
                <w:rFonts w:ascii="Times New Roman" w:eastAsia="宋体" w:hAnsi="Times New Roman" w:cs="Times New Roman" w:hint="eastAsia"/>
                <w:i/>
                <w:iCs/>
                <w:szCs w:val="21"/>
                <w:vertAlign w:val="superscript"/>
              </w:rPr>
              <w:t>2</w:t>
            </w:r>
          </w:p>
        </w:tc>
        <w:tc>
          <w:tcPr>
            <w:tcW w:w="515" w:type="pct"/>
            <w:tcBorders>
              <w:tl2br w:val="nil"/>
              <w:tr2bl w:val="nil"/>
            </w:tcBorders>
            <w:vAlign w:val="center"/>
          </w:tcPr>
          <w:p w14:paraId="17B0162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w:t>
            </w:r>
            <w:r w:rsidRPr="00857B61">
              <w:rPr>
                <w:rFonts w:ascii="Times New Roman" w:eastAsia="宋体" w:hAnsi="Times New Roman" w:cs="Times New Roman" w:hint="eastAsia"/>
                <w:szCs w:val="21"/>
              </w:rPr>
              <w:t>213</w:t>
            </w:r>
          </w:p>
        </w:tc>
        <w:tc>
          <w:tcPr>
            <w:tcW w:w="591" w:type="pct"/>
            <w:tcBorders>
              <w:tl2br w:val="nil"/>
              <w:tr2bl w:val="nil"/>
            </w:tcBorders>
            <w:vAlign w:val="center"/>
          </w:tcPr>
          <w:p w14:paraId="594EB3D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w:t>
            </w:r>
            <w:r w:rsidRPr="00857B61">
              <w:rPr>
                <w:rFonts w:ascii="Times New Roman" w:eastAsia="宋体" w:hAnsi="Times New Roman" w:cs="Times New Roman" w:hint="eastAsia"/>
                <w:szCs w:val="21"/>
              </w:rPr>
              <w:t>220</w:t>
            </w:r>
          </w:p>
        </w:tc>
        <w:tc>
          <w:tcPr>
            <w:tcW w:w="507" w:type="pct"/>
            <w:tcBorders>
              <w:tl2br w:val="nil"/>
              <w:tr2bl w:val="nil"/>
            </w:tcBorders>
            <w:vAlign w:val="center"/>
          </w:tcPr>
          <w:p w14:paraId="3B55A7C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0.198</w:t>
            </w:r>
          </w:p>
        </w:tc>
        <w:tc>
          <w:tcPr>
            <w:tcW w:w="575" w:type="pct"/>
            <w:tcBorders>
              <w:tl2br w:val="nil"/>
              <w:tr2bl w:val="nil"/>
            </w:tcBorders>
            <w:vAlign w:val="center"/>
          </w:tcPr>
          <w:p w14:paraId="601350D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0.186</w:t>
            </w:r>
          </w:p>
        </w:tc>
        <w:tc>
          <w:tcPr>
            <w:tcW w:w="500" w:type="pct"/>
            <w:tcBorders>
              <w:tl2br w:val="nil"/>
              <w:tr2bl w:val="nil"/>
            </w:tcBorders>
            <w:vAlign w:val="center"/>
          </w:tcPr>
          <w:p w14:paraId="601235F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w:t>
            </w:r>
            <w:r w:rsidRPr="00857B61">
              <w:rPr>
                <w:rFonts w:ascii="Times New Roman" w:eastAsia="宋体" w:hAnsi="Times New Roman" w:cs="Times New Roman" w:hint="eastAsia"/>
                <w:szCs w:val="21"/>
              </w:rPr>
              <w:t>183</w:t>
            </w:r>
          </w:p>
        </w:tc>
        <w:tc>
          <w:tcPr>
            <w:tcW w:w="566" w:type="pct"/>
            <w:tcBorders>
              <w:tl2br w:val="nil"/>
              <w:tr2bl w:val="nil"/>
            </w:tcBorders>
            <w:vAlign w:val="center"/>
          </w:tcPr>
          <w:p w14:paraId="35ADB62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w:t>
            </w:r>
            <w:r w:rsidRPr="00857B61">
              <w:rPr>
                <w:rFonts w:ascii="Times New Roman" w:eastAsia="宋体" w:hAnsi="Times New Roman" w:cs="Times New Roman" w:hint="eastAsia"/>
                <w:szCs w:val="21"/>
              </w:rPr>
              <w:t>53</w:t>
            </w:r>
          </w:p>
        </w:tc>
        <w:tc>
          <w:tcPr>
            <w:tcW w:w="500" w:type="pct"/>
            <w:tcBorders>
              <w:tl2br w:val="nil"/>
              <w:tr2bl w:val="nil"/>
            </w:tcBorders>
            <w:vAlign w:val="center"/>
          </w:tcPr>
          <w:p w14:paraId="6431B31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0.18</w:t>
            </w:r>
            <w:r w:rsidRPr="00857B61">
              <w:rPr>
                <w:rFonts w:ascii="Times New Roman" w:eastAsia="宋体" w:hAnsi="Times New Roman" w:cs="Times New Roman" w:hint="eastAsia"/>
                <w:szCs w:val="21"/>
              </w:rPr>
              <w:t>9</w:t>
            </w:r>
          </w:p>
        </w:tc>
        <w:tc>
          <w:tcPr>
            <w:tcW w:w="523" w:type="pct"/>
            <w:tcBorders>
              <w:tl2br w:val="nil"/>
              <w:tr2bl w:val="nil"/>
            </w:tcBorders>
            <w:vAlign w:val="center"/>
          </w:tcPr>
          <w:p w14:paraId="61B0205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w:t>
            </w:r>
            <w:r w:rsidRPr="00857B61">
              <w:rPr>
                <w:rFonts w:ascii="Times New Roman" w:eastAsia="宋体" w:hAnsi="Times New Roman" w:cs="Times New Roman" w:hint="eastAsia"/>
                <w:szCs w:val="21"/>
              </w:rPr>
              <w:t>496</w:t>
            </w:r>
          </w:p>
        </w:tc>
      </w:tr>
      <w:tr w:rsidR="00857B61" w:rsidRPr="00857B61" w14:paraId="5DD39020" w14:textId="77777777">
        <w:trPr>
          <w:trHeight w:val="244"/>
          <w:jc w:val="center"/>
        </w:trPr>
        <w:tc>
          <w:tcPr>
            <w:tcW w:w="718" w:type="pct"/>
            <w:tcBorders>
              <w:bottom w:val="single" w:sz="12" w:space="0" w:color="auto"/>
              <w:tl2br w:val="nil"/>
              <w:tr2bl w:val="nil"/>
            </w:tcBorders>
          </w:tcPr>
          <w:p w14:paraId="463CED5F"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N</w:t>
            </w:r>
          </w:p>
        </w:tc>
        <w:tc>
          <w:tcPr>
            <w:tcW w:w="515" w:type="pct"/>
            <w:tcBorders>
              <w:bottom w:val="single" w:sz="12" w:space="0" w:color="auto"/>
              <w:tl2br w:val="nil"/>
              <w:tr2bl w:val="nil"/>
            </w:tcBorders>
            <w:vAlign w:val="center"/>
          </w:tcPr>
          <w:p w14:paraId="2A6B31E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1,567</w:t>
            </w:r>
          </w:p>
        </w:tc>
        <w:tc>
          <w:tcPr>
            <w:tcW w:w="591" w:type="pct"/>
            <w:tcBorders>
              <w:bottom w:val="single" w:sz="12" w:space="0" w:color="auto"/>
              <w:tl2br w:val="nil"/>
              <w:tr2bl w:val="nil"/>
            </w:tcBorders>
            <w:vAlign w:val="center"/>
          </w:tcPr>
          <w:p w14:paraId="6D661CF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1,567</w:t>
            </w:r>
          </w:p>
        </w:tc>
        <w:tc>
          <w:tcPr>
            <w:tcW w:w="507" w:type="pct"/>
            <w:tcBorders>
              <w:bottom w:val="single" w:sz="12" w:space="0" w:color="auto"/>
              <w:tl2br w:val="nil"/>
              <w:tr2bl w:val="nil"/>
            </w:tcBorders>
            <w:vAlign w:val="center"/>
          </w:tcPr>
          <w:p w14:paraId="01723CD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1,031</w:t>
            </w:r>
          </w:p>
        </w:tc>
        <w:tc>
          <w:tcPr>
            <w:tcW w:w="575" w:type="pct"/>
            <w:tcBorders>
              <w:bottom w:val="single" w:sz="12" w:space="0" w:color="auto"/>
              <w:tl2br w:val="nil"/>
              <w:tr2bl w:val="nil"/>
            </w:tcBorders>
            <w:vAlign w:val="center"/>
          </w:tcPr>
          <w:p w14:paraId="16941F5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1,567</w:t>
            </w:r>
          </w:p>
        </w:tc>
        <w:tc>
          <w:tcPr>
            <w:tcW w:w="500" w:type="pct"/>
            <w:tcBorders>
              <w:bottom w:val="single" w:sz="12" w:space="0" w:color="auto"/>
              <w:tl2br w:val="nil"/>
              <w:tr2bl w:val="nil"/>
            </w:tcBorders>
            <w:vAlign w:val="center"/>
          </w:tcPr>
          <w:p w14:paraId="4B82A79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w:t>
            </w:r>
            <w:r w:rsidRPr="00857B61">
              <w:rPr>
                <w:rFonts w:ascii="Times New Roman" w:eastAsia="宋体" w:hAnsi="Times New Roman" w:cs="Times New Roman" w:hint="eastAsia"/>
                <w:szCs w:val="21"/>
              </w:rPr>
              <w:t>093</w:t>
            </w:r>
          </w:p>
        </w:tc>
        <w:tc>
          <w:tcPr>
            <w:tcW w:w="566" w:type="pct"/>
            <w:tcBorders>
              <w:bottom w:val="single" w:sz="12" w:space="0" w:color="auto"/>
              <w:tl2br w:val="nil"/>
              <w:tr2bl w:val="nil"/>
            </w:tcBorders>
            <w:vAlign w:val="center"/>
          </w:tcPr>
          <w:p w14:paraId="6E643B8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1,109</w:t>
            </w:r>
          </w:p>
        </w:tc>
        <w:tc>
          <w:tcPr>
            <w:tcW w:w="500" w:type="pct"/>
            <w:tcBorders>
              <w:bottom w:val="single" w:sz="12" w:space="0" w:color="auto"/>
              <w:tl2br w:val="nil"/>
              <w:tr2bl w:val="nil"/>
            </w:tcBorders>
            <w:vAlign w:val="center"/>
          </w:tcPr>
          <w:p w14:paraId="164CD9A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w:t>
            </w:r>
            <w:r w:rsidRPr="00857B61">
              <w:rPr>
                <w:rFonts w:ascii="Times New Roman" w:eastAsia="宋体" w:hAnsi="Times New Roman" w:cs="Times New Roman" w:hint="eastAsia"/>
                <w:szCs w:val="21"/>
              </w:rPr>
              <w:t>475</w:t>
            </w:r>
          </w:p>
        </w:tc>
        <w:tc>
          <w:tcPr>
            <w:tcW w:w="523" w:type="pct"/>
            <w:tcBorders>
              <w:bottom w:val="single" w:sz="12" w:space="0" w:color="auto"/>
              <w:tl2br w:val="nil"/>
              <w:tr2bl w:val="nil"/>
            </w:tcBorders>
            <w:vAlign w:val="center"/>
          </w:tcPr>
          <w:p w14:paraId="1D4792B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w:t>
            </w:r>
            <w:r w:rsidRPr="00857B61">
              <w:rPr>
                <w:rFonts w:ascii="Times New Roman" w:eastAsia="宋体" w:hAnsi="Times New Roman" w:cs="Times New Roman" w:hint="eastAsia"/>
                <w:szCs w:val="21"/>
              </w:rPr>
              <w:t>36</w:t>
            </w:r>
          </w:p>
        </w:tc>
      </w:tr>
    </w:tbl>
    <w:p w14:paraId="184D172F" w14:textId="77777777" w:rsidR="00DE7EC6" w:rsidRPr="00857B61" w:rsidRDefault="00000000">
      <w:pPr>
        <w:pStyle w:val="4"/>
        <w:spacing w:before="0" w:after="0" w:line="240" w:lineRule="auto"/>
        <w:ind w:firstLineChars="200" w:firstLine="420"/>
        <w:rPr>
          <w:rFonts w:ascii="Times New Roman" w:eastAsia="宋体" w:hAnsi="Times New Roman" w:cs="Times New Roman"/>
          <w:szCs w:val="21"/>
        </w:rPr>
      </w:pPr>
      <w:r w:rsidRPr="00857B61">
        <w:rPr>
          <w:rFonts w:ascii="Times New Roman" w:eastAsia="宋体" w:hAnsi="Times New Roman" w:cs="宋体" w:hint="eastAsia"/>
          <w:b w:val="0"/>
          <w:bCs w:val="0"/>
          <w:sz w:val="21"/>
          <w:szCs w:val="21"/>
        </w:rPr>
        <w:t>6.</w:t>
      </w:r>
      <w:r w:rsidRPr="00857B61">
        <w:rPr>
          <w:rFonts w:ascii="楷体" w:eastAsia="楷体" w:hAnsi="楷体" w:cs="楷体" w:hint="eastAsia"/>
          <w:b w:val="0"/>
          <w:bCs w:val="0"/>
          <w:sz w:val="21"/>
          <w:szCs w:val="21"/>
        </w:rPr>
        <w:t>替换被解释变量。</w:t>
      </w:r>
      <w:r w:rsidRPr="00857B61">
        <w:rPr>
          <w:rFonts w:ascii="Times New Roman" w:eastAsia="宋体" w:hAnsi="Times New Roman" w:cs="Times New Roman"/>
          <w:b w:val="0"/>
          <w:bCs w:val="0"/>
          <w:sz w:val="21"/>
          <w:szCs w:val="21"/>
        </w:rPr>
        <w:t>本文在计算被解释变量并购溢价（</w:t>
      </w:r>
      <w:r w:rsidRPr="00857B61">
        <w:rPr>
          <w:rFonts w:ascii="Times New Roman" w:eastAsia="宋体" w:hAnsi="Times New Roman" w:cs="Times New Roman"/>
          <w:b w:val="0"/>
          <w:bCs w:val="0"/>
          <w:i/>
          <w:iCs/>
          <w:sz w:val="21"/>
          <w:szCs w:val="21"/>
        </w:rPr>
        <w:t>Premium</w:t>
      </w:r>
      <w:r w:rsidRPr="00857B61">
        <w:rPr>
          <w:rFonts w:ascii="Times New Roman" w:eastAsia="宋体" w:hAnsi="Times New Roman" w:cs="Times New Roman"/>
          <w:b w:val="0"/>
          <w:bCs w:val="0"/>
          <w:sz w:val="21"/>
          <w:szCs w:val="21"/>
        </w:rPr>
        <w:t>）时，沿用了国内学者的普遍做法，用账面净资产作为基础进行了基本回归检验，且结果显著。但因本文所研究样本范围内有部分样本涉及上市公司的股权交易，为避免因计算方式</w:t>
      </w:r>
      <w:r w:rsidRPr="00857B61">
        <w:rPr>
          <w:rFonts w:ascii="Times New Roman" w:eastAsia="宋体" w:hAnsi="Times New Roman" w:cs="Times New Roman" w:hint="eastAsia"/>
          <w:b w:val="0"/>
          <w:bCs w:val="0"/>
          <w:sz w:val="21"/>
          <w:szCs w:val="21"/>
        </w:rPr>
        <w:t>的</w:t>
      </w:r>
      <w:r w:rsidRPr="00857B61">
        <w:rPr>
          <w:rFonts w:ascii="Times New Roman" w:eastAsia="宋体" w:hAnsi="Times New Roman" w:cs="Times New Roman"/>
          <w:b w:val="0"/>
          <w:bCs w:val="0"/>
          <w:sz w:val="21"/>
          <w:szCs w:val="21"/>
        </w:rPr>
        <w:t>选择</w:t>
      </w:r>
      <w:r w:rsidRPr="00857B61">
        <w:rPr>
          <w:rFonts w:ascii="Times New Roman" w:eastAsia="宋体" w:hAnsi="Times New Roman" w:cs="Times New Roman" w:hint="eastAsia"/>
          <w:b w:val="0"/>
          <w:bCs w:val="0"/>
          <w:sz w:val="21"/>
          <w:szCs w:val="21"/>
        </w:rPr>
        <w:t>而</w:t>
      </w:r>
      <w:r w:rsidRPr="00857B61">
        <w:rPr>
          <w:rFonts w:ascii="Times New Roman" w:eastAsia="宋体" w:hAnsi="Times New Roman" w:cs="Times New Roman"/>
          <w:b w:val="0"/>
          <w:bCs w:val="0"/>
          <w:sz w:val="21"/>
          <w:szCs w:val="21"/>
        </w:rPr>
        <w:t>引起的实验误差，</w:t>
      </w:r>
      <w:r w:rsidRPr="00857B61">
        <w:rPr>
          <w:rFonts w:ascii="Times New Roman" w:eastAsia="宋体" w:hAnsi="Times New Roman" w:cs="Times New Roman" w:hint="eastAsia"/>
          <w:b w:val="0"/>
          <w:bCs w:val="0"/>
          <w:sz w:val="21"/>
          <w:szCs w:val="21"/>
        </w:rPr>
        <w:t>因此通过替换被解释变量的方式进行稳健性检验（李成友等，</w:t>
      </w:r>
      <w:r w:rsidRPr="00857B61">
        <w:rPr>
          <w:rFonts w:ascii="Times New Roman" w:eastAsia="宋体" w:hAnsi="Times New Roman" w:cs="Times New Roman" w:hint="eastAsia"/>
          <w:b w:val="0"/>
          <w:bCs w:val="0"/>
          <w:sz w:val="21"/>
          <w:szCs w:val="21"/>
        </w:rPr>
        <w:t>2021</w:t>
      </w:r>
      <w:r w:rsidRPr="00857B61">
        <w:rPr>
          <w:rFonts w:ascii="Times New Roman" w:eastAsia="宋体" w:hAnsi="Times New Roman" w:cs="Times New Roman" w:hint="eastAsia"/>
          <w:b w:val="0"/>
          <w:bCs w:val="0"/>
          <w:sz w:val="21"/>
          <w:szCs w:val="21"/>
        </w:rPr>
        <w:t>）。本文</w:t>
      </w:r>
      <w:r w:rsidRPr="00857B61">
        <w:rPr>
          <w:rFonts w:ascii="Times New Roman" w:eastAsia="宋体" w:hAnsi="Times New Roman" w:cs="Times New Roman"/>
          <w:b w:val="0"/>
          <w:bCs w:val="0"/>
          <w:sz w:val="21"/>
          <w:szCs w:val="21"/>
        </w:rPr>
        <w:t>设置变量</w:t>
      </w:r>
      <w:r w:rsidRPr="00857B61">
        <w:rPr>
          <w:rFonts w:ascii="Times New Roman" w:eastAsia="宋体" w:hAnsi="Times New Roman" w:cs="Times New Roman"/>
          <w:b w:val="0"/>
          <w:bCs w:val="0"/>
          <w:i/>
          <w:iCs/>
          <w:sz w:val="21"/>
          <w:szCs w:val="21"/>
        </w:rPr>
        <w:t>Premium</w:t>
      </w:r>
      <w:r w:rsidRPr="00857B61">
        <w:rPr>
          <w:rFonts w:ascii="Times New Roman" w:eastAsia="宋体" w:hAnsi="Times New Roman" w:cs="Times New Roman" w:hint="eastAsia"/>
          <w:b w:val="0"/>
          <w:bCs w:val="0"/>
          <w:i/>
          <w:iCs/>
          <w:sz w:val="21"/>
          <w:szCs w:val="21"/>
        </w:rPr>
        <w:t>_</w:t>
      </w:r>
      <w:r w:rsidRPr="00857B61">
        <w:rPr>
          <w:rFonts w:ascii="Times New Roman" w:eastAsia="宋体" w:hAnsi="Times New Roman" w:cs="Times New Roman"/>
          <w:b w:val="0"/>
          <w:bCs w:val="0"/>
          <w:i/>
          <w:iCs/>
          <w:sz w:val="21"/>
          <w:szCs w:val="21"/>
        </w:rPr>
        <w:t>stock</w:t>
      </w:r>
      <w:r w:rsidRPr="00857B61">
        <w:rPr>
          <w:rFonts w:ascii="Times New Roman" w:eastAsia="宋体" w:hAnsi="Times New Roman" w:cs="Times New Roman"/>
          <w:b w:val="0"/>
          <w:bCs w:val="0"/>
          <w:sz w:val="21"/>
          <w:szCs w:val="21"/>
        </w:rPr>
        <w:t>代替原有</w:t>
      </w:r>
      <w:r w:rsidRPr="00857B61">
        <w:rPr>
          <w:rFonts w:ascii="Times New Roman" w:eastAsia="宋体" w:hAnsi="Times New Roman" w:cs="Times New Roman" w:hint="eastAsia"/>
          <w:b w:val="0"/>
          <w:bCs w:val="0"/>
          <w:sz w:val="21"/>
          <w:szCs w:val="21"/>
        </w:rPr>
        <w:t>被</w:t>
      </w:r>
      <w:r w:rsidRPr="00857B61">
        <w:rPr>
          <w:rFonts w:ascii="Times New Roman" w:eastAsia="宋体" w:hAnsi="Times New Roman" w:cs="Times New Roman"/>
          <w:b w:val="0"/>
          <w:bCs w:val="0"/>
          <w:sz w:val="21"/>
          <w:szCs w:val="21"/>
        </w:rPr>
        <w:t>解释变量</w:t>
      </w:r>
      <w:r w:rsidRPr="00857B61">
        <w:rPr>
          <w:rFonts w:ascii="Times New Roman" w:eastAsia="宋体" w:hAnsi="Times New Roman" w:cs="Times New Roman"/>
          <w:b w:val="0"/>
          <w:bCs w:val="0"/>
          <w:i/>
          <w:iCs/>
          <w:sz w:val="21"/>
          <w:szCs w:val="21"/>
        </w:rPr>
        <w:t>Premium</w:t>
      </w:r>
      <w:r w:rsidRPr="00857B61">
        <w:rPr>
          <w:rFonts w:ascii="Times New Roman" w:eastAsia="宋体" w:hAnsi="Times New Roman" w:cs="Times New Roman"/>
          <w:b w:val="0"/>
          <w:bCs w:val="0"/>
          <w:sz w:val="21"/>
          <w:szCs w:val="21"/>
        </w:rPr>
        <w:t>重新进行回归检验。借鉴国外学者一般做法</w:t>
      </w:r>
      <w:r w:rsidRPr="00857B61">
        <w:rPr>
          <w:rFonts w:ascii="Times New Roman" w:eastAsia="宋体" w:hAnsi="Times New Roman" w:cs="Times New Roman" w:hint="eastAsia"/>
          <w:b w:val="0"/>
          <w:bCs w:val="0"/>
          <w:sz w:val="21"/>
          <w:szCs w:val="21"/>
        </w:rPr>
        <w:t>（</w:t>
      </w:r>
      <w:r w:rsidRPr="00857B61">
        <w:rPr>
          <w:rFonts w:ascii="Times New Roman" w:eastAsia="宋体" w:hAnsi="Times New Roman" w:cs="Times New Roman" w:hint="eastAsia"/>
          <w:b w:val="0"/>
          <w:bCs w:val="0"/>
          <w:sz w:val="21"/>
          <w:szCs w:val="21"/>
        </w:rPr>
        <w:t>Barclay &amp; Holderness</w:t>
      </w:r>
      <w:r w:rsidRPr="00857B61">
        <w:rPr>
          <w:rFonts w:ascii="Times New Roman" w:eastAsia="宋体" w:hAnsi="Times New Roman" w:cs="Times New Roman" w:hint="eastAsia"/>
          <w:b w:val="0"/>
          <w:bCs w:val="0"/>
          <w:sz w:val="21"/>
          <w:szCs w:val="21"/>
        </w:rPr>
        <w:t>，</w:t>
      </w:r>
      <w:r w:rsidRPr="00857B61">
        <w:rPr>
          <w:rFonts w:ascii="Times New Roman" w:eastAsia="宋体" w:hAnsi="Times New Roman" w:cs="Times New Roman" w:hint="eastAsia"/>
          <w:b w:val="0"/>
          <w:bCs w:val="0"/>
          <w:sz w:val="21"/>
          <w:szCs w:val="21"/>
        </w:rPr>
        <w:t>1989</w:t>
      </w:r>
      <w:r w:rsidRPr="00857B61">
        <w:rPr>
          <w:rFonts w:ascii="Times New Roman" w:eastAsia="宋体" w:hAnsi="Times New Roman" w:cs="Times New Roman" w:hint="eastAsia"/>
          <w:b w:val="0"/>
          <w:bCs w:val="0"/>
          <w:sz w:val="21"/>
          <w:szCs w:val="21"/>
        </w:rPr>
        <w:t>；</w:t>
      </w:r>
      <w:r w:rsidRPr="00857B61">
        <w:rPr>
          <w:rFonts w:ascii="Times New Roman" w:eastAsia="宋体" w:hAnsi="Times New Roman" w:cs="Times New Roman" w:hint="eastAsia"/>
          <w:b w:val="0"/>
          <w:bCs w:val="0"/>
          <w:sz w:val="21"/>
          <w:szCs w:val="21"/>
        </w:rPr>
        <w:t>Kim et al</w:t>
      </w:r>
      <w:r w:rsidRPr="00857B61">
        <w:rPr>
          <w:rFonts w:ascii="Times New Roman" w:eastAsia="宋体" w:hAnsi="Times New Roman" w:cs="Times New Roman" w:hint="eastAsia"/>
          <w:b w:val="0"/>
          <w:bCs w:val="0"/>
          <w:sz w:val="21"/>
          <w:szCs w:val="21"/>
        </w:rPr>
        <w:t>，</w:t>
      </w:r>
      <w:r w:rsidRPr="00857B61">
        <w:rPr>
          <w:rFonts w:ascii="Times New Roman" w:eastAsia="宋体" w:hAnsi="Times New Roman" w:cs="Times New Roman" w:hint="eastAsia"/>
          <w:b w:val="0"/>
          <w:bCs w:val="0"/>
          <w:sz w:val="21"/>
          <w:szCs w:val="21"/>
        </w:rPr>
        <w:t>2011</w:t>
      </w:r>
      <w:r w:rsidRPr="00857B61">
        <w:rPr>
          <w:rFonts w:ascii="Times New Roman" w:eastAsia="宋体" w:hAnsi="Times New Roman" w:cs="Times New Roman" w:hint="eastAsia"/>
          <w:b w:val="0"/>
          <w:bCs w:val="0"/>
          <w:sz w:val="21"/>
          <w:szCs w:val="21"/>
        </w:rPr>
        <w:t>）</w:t>
      </w:r>
      <w:r w:rsidRPr="00857B61">
        <w:rPr>
          <w:rFonts w:ascii="Times New Roman" w:eastAsia="宋体" w:hAnsi="Times New Roman" w:cs="Times New Roman"/>
          <w:b w:val="0"/>
          <w:bCs w:val="0"/>
          <w:sz w:val="21"/>
          <w:szCs w:val="21"/>
        </w:rPr>
        <w:t>，本文将变量</w:t>
      </w:r>
      <w:r w:rsidRPr="00857B61">
        <w:rPr>
          <w:rFonts w:ascii="Times New Roman" w:eastAsia="宋体" w:hAnsi="Times New Roman" w:cs="Times New Roman"/>
          <w:b w:val="0"/>
          <w:bCs w:val="0"/>
          <w:i/>
          <w:iCs/>
          <w:sz w:val="21"/>
          <w:szCs w:val="21"/>
        </w:rPr>
        <w:t>Premium</w:t>
      </w:r>
      <w:r w:rsidRPr="00857B61">
        <w:rPr>
          <w:rFonts w:ascii="Times New Roman" w:eastAsia="宋体" w:hAnsi="Times New Roman" w:cs="Times New Roman" w:hint="eastAsia"/>
          <w:b w:val="0"/>
          <w:bCs w:val="0"/>
          <w:i/>
          <w:iCs/>
          <w:sz w:val="21"/>
          <w:szCs w:val="21"/>
        </w:rPr>
        <w:t>_</w:t>
      </w:r>
      <w:r w:rsidRPr="00857B61">
        <w:rPr>
          <w:rFonts w:ascii="Times New Roman" w:eastAsia="宋体" w:hAnsi="Times New Roman" w:cs="Times New Roman"/>
          <w:b w:val="0"/>
          <w:bCs w:val="0"/>
          <w:i/>
          <w:iCs/>
          <w:sz w:val="21"/>
          <w:szCs w:val="21"/>
        </w:rPr>
        <w:t>stock</w:t>
      </w:r>
      <w:r w:rsidRPr="00857B61">
        <w:rPr>
          <w:rFonts w:ascii="Times New Roman" w:eastAsia="宋体" w:hAnsi="Times New Roman" w:cs="Times New Roman"/>
          <w:b w:val="0"/>
          <w:bCs w:val="0"/>
          <w:sz w:val="21"/>
          <w:szCs w:val="21"/>
        </w:rPr>
        <w:t>定义为</w:t>
      </w:r>
      <w:r w:rsidRPr="00857B61">
        <w:rPr>
          <w:rFonts w:ascii="Times New Roman" w:eastAsia="宋体" w:hAnsi="Times New Roman" w:cs="Times New Roman" w:hint="eastAsia"/>
          <w:b w:val="0"/>
          <w:bCs w:val="0"/>
          <w:sz w:val="21"/>
          <w:szCs w:val="21"/>
        </w:rPr>
        <w:t>以股票市值为计算基础</w:t>
      </w:r>
      <w:r w:rsidRPr="00857B61">
        <w:rPr>
          <w:rFonts w:ascii="Times New Roman" w:eastAsia="宋体" w:hAnsi="Times New Roman" w:cs="Times New Roman"/>
          <w:b w:val="0"/>
          <w:bCs w:val="0"/>
          <w:sz w:val="21"/>
          <w:szCs w:val="21"/>
        </w:rPr>
        <w:t>得出的并购溢价。具体计算公式：</w:t>
      </w:r>
    </w:p>
    <w:p w14:paraId="607F2DB4" w14:textId="77777777" w:rsidR="00DE7EC6" w:rsidRPr="00857B61" w:rsidRDefault="00000000">
      <w:pPr>
        <w:ind w:firstLineChars="200" w:firstLine="420"/>
        <w:jc w:val="right"/>
        <w:rPr>
          <w:rFonts w:ascii="Times New Roman" w:eastAsia="宋体" w:hAnsi="Times New Roman" w:cs="Times New Roman"/>
          <w:szCs w:val="21"/>
        </w:rPr>
      </w:pPr>
      <w:r w:rsidRPr="00857B61">
        <w:rPr>
          <w:rFonts w:ascii="Times New Roman" w:eastAsia="宋体" w:hAnsi="Times New Roman" w:cs="Times New Roman"/>
          <w:szCs w:val="21"/>
        </w:rPr>
        <w:t>并购溢价</w:t>
      </w:r>
      <w:r w:rsidRPr="00857B61">
        <w:rPr>
          <w:rFonts w:ascii="Times New Roman" w:eastAsia="宋体" w:hAnsi="Times New Roman" w:cs="Times New Roman"/>
          <w:szCs w:val="21"/>
        </w:rPr>
        <w:t>=</w:t>
      </w: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每股成交</w:t>
      </w:r>
      <w:r w:rsidRPr="00857B61">
        <w:rPr>
          <w:rFonts w:ascii="Times New Roman" w:eastAsia="宋体" w:hAnsi="Times New Roman" w:cs="Times New Roman"/>
          <w:szCs w:val="21"/>
        </w:rPr>
        <w:t>价格</w:t>
      </w: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每股市值</w:t>
      </w:r>
      <w:r w:rsidRPr="00857B61">
        <w:rPr>
          <w:rFonts w:ascii="Times New Roman" w:eastAsia="宋体" w:hAnsi="Times New Roman" w:cs="Times New Roman"/>
          <w:szCs w:val="21"/>
        </w:rPr>
        <w:t>）</w:t>
      </w: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每股市值</w:t>
      </w:r>
      <w:r w:rsidRPr="00857B61">
        <w:rPr>
          <w:rFonts w:ascii="Times New Roman" w:eastAsia="宋体" w:hAnsi="Times New Roman" w:cs="Times New Roman"/>
          <w:szCs w:val="21"/>
        </w:rPr>
        <w:t xml:space="preserve">                </w:t>
      </w: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3</w:t>
      </w:r>
      <w:r w:rsidRPr="00857B61">
        <w:rPr>
          <w:rFonts w:ascii="Times New Roman" w:eastAsia="宋体" w:hAnsi="Times New Roman" w:cs="Times New Roman"/>
          <w:szCs w:val="21"/>
        </w:rPr>
        <w:t>）</w:t>
      </w:r>
    </w:p>
    <w:p w14:paraId="0A09451C" w14:textId="77777777" w:rsidR="00DE7EC6" w:rsidRPr="00857B61" w:rsidRDefault="00000000">
      <w:pPr>
        <w:ind w:firstLineChars="200" w:firstLine="420"/>
        <w:rPr>
          <w:rFonts w:ascii="Times New Roman" w:eastAsia="宋体" w:hAnsi="Times New Roman" w:cs="Times New Roman"/>
          <w:szCs w:val="21"/>
        </w:rPr>
      </w:pPr>
      <w:r w:rsidRPr="00857B61">
        <w:rPr>
          <w:rFonts w:ascii="Times New Roman" w:eastAsia="宋体" w:hAnsi="Times New Roman" w:cs="Times New Roman" w:hint="eastAsia"/>
          <w:szCs w:val="21"/>
        </w:rPr>
        <w:t>替换被解释变量后，对样本进行新一轮的实证检验，检验结果如表</w:t>
      </w:r>
      <w:r w:rsidRPr="00857B61">
        <w:rPr>
          <w:rFonts w:ascii="Times New Roman" w:eastAsia="宋体" w:hAnsi="Times New Roman" w:cs="Times New Roman" w:hint="eastAsia"/>
          <w:szCs w:val="21"/>
        </w:rPr>
        <w:t>8</w:t>
      </w:r>
      <w:r w:rsidRPr="00857B61">
        <w:rPr>
          <w:rFonts w:ascii="Times New Roman" w:eastAsia="宋体" w:hAnsi="Times New Roman" w:cs="Times New Roman" w:hint="eastAsia"/>
          <w:szCs w:val="21"/>
        </w:rPr>
        <w:t>所示。可以看到，列（</w:t>
      </w:r>
      <w:r w:rsidRPr="00857B61">
        <w:rPr>
          <w:rFonts w:ascii="Times New Roman" w:eastAsia="宋体" w:hAnsi="Times New Roman" w:cs="Times New Roman" w:hint="eastAsia"/>
          <w:szCs w:val="21"/>
        </w:rPr>
        <w:t>1</w:t>
      </w:r>
      <w:r w:rsidRPr="00857B61">
        <w:rPr>
          <w:rFonts w:ascii="Times New Roman" w:eastAsia="宋体" w:hAnsi="Times New Roman" w:cs="Times New Roman" w:hint="eastAsia"/>
          <w:szCs w:val="21"/>
        </w:rPr>
        <w:t>）</w:t>
      </w:r>
      <w:r w:rsidRPr="00857B61">
        <w:rPr>
          <w:rFonts w:ascii="Times New Roman" w:eastAsia="宋体" w:hAnsi="Times New Roman" w:cs="Times New Roman" w:hint="eastAsia"/>
          <w:szCs w:val="21"/>
        </w:rPr>
        <w:lastRenderedPageBreak/>
        <w:t>与列（</w:t>
      </w:r>
      <w:r w:rsidRPr="00857B61">
        <w:rPr>
          <w:rFonts w:ascii="Times New Roman" w:eastAsia="宋体" w:hAnsi="Times New Roman" w:cs="Times New Roman" w:hint="eastAsia"/>
          <w:szCs w:val="21"/>
        </w:rPr>
        <w:t>2</w:t>
      </w:r>
      <w:r w:rsidRPr="00857B61">
        <w:rPr>
          <w:rFonts w:ascii="Times New Roman" w:eastAsia="宋体" w:hAnsi="Times New Roman" w:cs="Times New Roman" w:hint="eastAsia"/>
          <w:szCs w:val="21"/>
        </w:rPr>
        <w:t>）结果仍然显著为正。假设</w:t>
      </w:r>
      <w:r w:rsidRPr="00857B61">
        <w:rPr>
          <w:rFonts w:ascii="Times New Roman" w:eastAsia="宋体" w:hAnsi="Times New Roman" w:cs="Times New Roman" w:hint="eastAsia"/>
          <w:szCs w:val="21"/>
        </w:rPr>
        <w:t>H1</w:t>
      </w:r>
      <w:r w:rsidRPr="00857B61">
        <w:rPr>
          <w:rFonts w:ascii="Times New Roman" w:eastAsia="宋体" w:hAnsi="Times New Roman" w:cs="Times New Roman" w:hint="eastAsia"/>
          <w:szCs w:val="21"/>
        </w:rPr>
        <w:t>依然成立，即检察行政公益诉讼制度的实施会抑制国有资产流失。本文所采用的并购事件样本中，部分样本涉及土地等资产的交易。为避免因土地等资产与股权资产之间的差异而对实验结果产生影响，列</w:t>
      </w:r>
      <w:r w:rsidRPr="00857B61">
        <w:rPr>
          <w:rFonts w:ascii="Times New Roman" w:eastAsia="宋体" w:hAnsi="Times New Roman" w:cs="Times New Roman"/>
          <w:szCs w:val="21"/>
        </w:rPr>
        <w:t>（</w:t>
      </w:r>
      <w:r w:rsidRPr="00857B61">
        <w:rPr>
          <w:rFonts w:ascii="Times New Roman" w:eastAsia="宋体" w:hAnsi="Times New Roman" w:cs="Times New Roman"/>
          <w:szCs w:val="21"/>
        </w:rPr>
        <w:t>3</w:t>
      </w: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与列</w:t>
      </w:r>
      <w:r w:rsidRPr="00857B61">
        <w:rPr>
          <w:rFonts w:ascii="Times New Roman" w:eastAsia="宋体" w:hAnsi="Times New Roman" w:cs="Times New Roman"/>
          <w:szCs w:val="21"/>
        </w:rPr>
        <w:t>（</w:t>
      </w:r>
      <w:r w:rsidRPr="00857B61">
        <w:rPr>
          <w:rFonts w:ascii="Times New Roman" w:eastAsia="宋体" w:hAnsi="Times New Roman" w:cs="Times New Roman"/>
          <w:szCs w:val="21"/>
        </w:rPr>
        <w:t>4</w:t>
      </w: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特将涉及土地等资产的并购事件剔除，只针对标的物为股权的样本进行了新的回归检验。显然，交互项</w:t>
      </w:r>
      <w:r w:rsidRPr="00857B61">
        <w:rPr>
          <w:rFonts w:ascii="Times New Roman" w:eastAsia="宋体" w:hAnsi="Times New Roman" w:cs="Times New Roman" w:hint="eastAsia"/>
          <w:i/>
          <w:iCs/>
          <w:szCs w:val="21"/>
        </w:rPr>
        <w:t>Treat</w:t>
      </w:r>
      <w:r w:rsidRPr="00857B61">
        <w:rPr>
          <w:rFonts w:ascii="Times New Roman" w:eastAsia="宋体" w:hAnsi="Times New Roman" w:cs="Times New Roman"/>
          <w:i/>
          <w:iCs/>
          <w:szCs w:val="21"/>
        </w:rPr>
        <w:t>*</w:t>
      </w:r>
      <w:r w:rsidRPr="00857B61">
        <w:rPr>
          <w:rFonts w:ascii="Times New Roman" w:eastAsia="宋体" w:hAnsi="Times New Roman" w:cs="Times New Roman" w:hint="eastAsia"/>
          <w:i/>
          <w:iCs/>
          <w:szCs w:val="21"/>
        </w:rPr>
        <w:t>Policy</w:t>
      </w:r>
      <w:r w:rsidRPr="00857B61">
        <w:rPr>
          <w:rFonts w:ascii="Times New Roman" w:eastAsia="宋体" w:hAnsi="Times New Roman" w:cs="Times New Roman" w:hint="eastAsia"/>
          <w:szCs w:val="21"/>
        </w:rPr>
        <w:t>系数显著且为正值，假设</w:t>
      </w:r>
      <w:r w:rsidRPr="00857B61">
        <w:rPr>
          <w:rFonts w:ascii="Times New Roman" w:eastAsia="宋体" w:hAnsi="Times New Roman" w:cs="Times New Roman" w:hint="eastAsia"/>
          <w:szCs w:val="21"/>
        </w:rPr>
        <w:t>H1</w:t>
      </w:r>
      <w:r w:rsidRPr="00857B61">
        <w:rPr>
          <w:rFonts w:ascii="Times New Roman" w:eastAsia="宋体" w:hAnsi="Times New Roman" w:cs="Times New Roman" w:hint="eastAsia"/>
          <w:szCs w:val="21"/>
        </w:rPr>
        <w:t>得到支持。</w:t>
      </w:r>
    </w:p>
    <w:p w14:paraId="20ACFA2C" w14:textId="77777777" w:rsidR="00DE7EC6" w:rsidRPr="00857B61" w:rsidRDefault="00000000">
      <w:pPr>
        <w:jc w:val="center"/>
        <w:rPr>
          <w:rFonts w:ascii="Times New Roman" w:eastAsia="楷体" w:hAnsi="Times New Roman"/>
          <w:bCs/>
          <w:szCs w:val="21"/>
        </w:rPr>
      </w:pPr>
      <w:r w:rsidRPr="00857B61">
        <w:rPr>
          <w:rFonts w:ascii="Times New Roman" w:eastAsia="楷体" w:hAnsi="Times New Roman" w:hint="eastAsia"/>
          <w:bCs/>
          <w:szCs w:val="21"/>
        </w:rPr>
        <w:t>表</w:t>
      </w:r>
      <w:r w:rsidRPr="00857B61">
        <w:rPr>
          <w:rFonts w:ascii="Times New Roman" w:eastAsia="楷体" w:hAnsi="Times New Roman" w:cs="Times New Roman" w:hint="eastAsia"/>
          <w:bCs/>
          <w:szCs w:val="21"/>
        </w:rPr>
        <w:t xml:space="preserve">8 </w:t>
      </w:r>
      <w:r w:rsidRPr="00857B61">
        <w:rPr>
          <w:rFonts w:ascii="Times New Roman" w:eastAsia="楷体" w:hAnsi="Times New Roman" w:hint="eastAsia"/>
          <w:bCs/>
          <w:szCs w:val="21"/>
        </w:rPr>
        <w:t>替换被解释变量</w:t>
      </w:r>
    </w:p>
    <w:tbl>
      <w:tblPr>
        <w:tblW w:w="4997" w:type="pct"/>
        <w:jc w:val="center"/>
        <w:tblBorders>
          <w:top w:val="single" w:sz="8" w:space="0" w:color="auto"/>
          <w:left w:val="none" w:sz="4" w:space="0" w:color="auto"/>
          <w:bottom w:val="single" w:sz="8" w:space="0" w:color="auto"/>
          <w:right w:val="none" w:sz="4" w:space="0" w:color="auto"/>
          <w:insideH w:val="single" w:sz="8" w:space="0" w:color="auto"/>
          <w:insideV w:val="single" w:sz="8" w:space="0" w:color="auto"/>
        </w:tblBorders>
        <w:tblLook w:val="04A0" w:firstRow="1" w:lastRow="0" w:firstColumn="1" w:lastColumn="0" w:noHBand="0" w:noVBand="1"/>
      </w:tblPr>
      <w:tblGrid>
        <w:gridCol w:w="2267"/>
        <w:gridCol w:w="1683"/>
        <w:gridCol w:w="1683"/>
        <w:gridCol w:w="1683"/>
        <w:gridCol w:w="1683"/>
      </w:tblGrid>
      <w:tr w:rsidR="00857B61" w:rsidRPr="00857B61" w14:paraId="40B15E36" w14:textId="77777777">
        <w:trPr>
          <w:trHeight w:val="484"/>
          <w:jc w:val="center"/>
        </w:trPr>
        <w:tc>
          <w:tcPr>
            <w:tcW w:w="1259" w:type="pct"/>
            <w:tcBorders>
              <w:tl2br w:val="nil"/>
              <w:tr2bl w:val="nil"/>
            </w:tcBorders>
            <w:vAlign w:val="center"/>
          </w:tcPr>
          <w:p w14:paraId="270629E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变量名称</w:t>
            </w:r>
          </w:p>
        </w:tc>
        <w:tc>
          <w:tcPr>
            <w:tcW w:w="935" w:type="pct"/>
            <w:tcBorders>
              <w:tl2br w:val="nil"/>
              <w:tr2bl w:val="nil"/>
            </w:tcBorders>
            <w:vAlign w:val="center"/>
          </w:tcPr>
          <w:p w14:paraId="3282341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w:t>
            </w:r>
          </w:p>
          <w:p w14:paraId="4814765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i/>
                <w:iCs/>
                <w:szCs w:val="21"/>
              </w:rPr>
              <w:t>Premium</w:t>
            </w:r>
            <w:r w:rsidRPr="00857B61">
              <w:rPr>
                <w:rFonts w:ascii="Times New Roman" w:eastAsia="宋体" w:hAnsi="Times New Roman" w:cs="Times New Roman" w:hint="eastAsia"/>
                <w:i/>
                <w:iCs/>
                <w:szCs w:val="21"/>
              </w:rPr>
              <w:t>_</w:t>
            </w:r>
            <w:r w:rsidRPr="00857B61">
              <w:rPr>
                <w:rFonts w:ascii="Times New Roman" w:eastAsia="宋体" w:hAnsi="Times New Roman" w:cs="Times New Roman"/>
                <w:i/>
                <w:iCs/>
                <w:szCs w:val="21"/>
              </w:rPr>
              <w:t>stock</w:t>
            </w:r>
          </w:p>
        </w:tc>
        <w:tc>
          <w:tcPr>
            <w:tcW w:w="935" w:type="pct"/>
            <w:tcBorders>
              <w:tl2br w:val="nil"/>
              <w:tr2bl w:val="nil"/>
            </w:tcBorders>
            <w:vAlign w:val="center"/>
          </w:tcPr>
          <w:p w14:paraId="540E009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w:t>
            </w:r>
          </w:p>
          <w:p w14:paraId="38387D4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i/>
                <w:iCs/>
                <w:szCs w:val="21"/>
              </w:rPr>
              <w:t>Premium</w:t>
            </w:r>
            <w:r w:rsidRPr="00857B61">
              <w:rPr>
                <w:rFonts w:ascii="Times New Roman" w:eastAsia="宋体" w:hAnsi="Times New Roman" w:cs="Times New Roman" w:hint="eastAsia"/>
                <w:i/>
                <w:iCs/>
                <w:szCs w:val="21"/>
              </w:rPr>
              <w:t>_</w:t>
            </w:r>
            <w:r w:rsidRPr="00857B61">
              <w:rPr>
                <w:rFonts w:ascii="Times New Roman" w:eastAsia="宋体" w:hAnsi="Times New Roman" w:cs="Times New Roman"/>
                <w:i/>
                <w:iCs/>
                <w:szCs w:val="21"/>
              </w:rPr>
              <w:t>stock</w:t>
            </w:r>
          </w:p>
        </w:tc>
        <w:tc>
          <w:tcPr>
            <w:tcW w:w="935" w:type="pct"/>
            <w:tcBorders>
              <w:tl2br w:val="nil"/>
              <w:tr2bl w:val="nil"/>
            </w:tcBorders>
            <w:vAlign w:val="center"/>
          </w:tcPr>
          <w:p w14:paraId="6A2B45B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3</w:t>
            </w:r>
            <w:r w:rsidRPr="00857B61">
              <w:rPr>
                <w:rFonts w:ascii="Times New Roman" w:eastAsia="宋体" w:hAnsi="Times New Roman" w:cs="Times New Roman"/>
                <w:szCs w:val="21"/>
              </w:rPr>
              <w:t>)</w:t>
            </w:r>
          </w:p>
          <w:p w14:paraId="191E626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i/>
                <w:iCs/>
                <w:szCs w:val="21"/>
              </w:rPr>
              <w:t>Premium</w:t>
            </w:r>
            <w:r w:rsidRPr="00857B61">
              <w:rPr>
                <w:rFonts w:ascii="Times New Roman" w:eastAsia="宋体" w:hAnsi="Times New Roman" w:cs="Times New Roman" w:hint="eastAsia"/>
                <w:i/>
                <w:iCs/>
                <w:szCs w:val="21"/>
              </w:rPr>
              <w:t>_</w:t>
            </w:r>
            <w:r w:rsidRPr="00857B61">
              <w:rPr>
                <w:rFonts w:ascii="Times New Roman" w:eastAsia="宋体" w:hAnsi="Times New Roman" w:cs="Times New Roman"/>
                <w:i/>
                <w:iCs/>
                <w:szCs w:val="21"/>
              </w:rPr>
              <w:t>stock</w:t>
            </w:r>
          </w:p>
        </w:tc>
        <w:tc>
          <w:tcPr>
            <w:tcW w:w="935" w:type="pct"/>
            <w:tcBorders>
              <w:tl2br w:val="nil"/>
              <w:tr2bl w:val="nil"/>
            </w:tcBorders>
            <w:vAlign w:val="center"/>
          </w:tcPr>
          <w:p w14:paraId="3DB2235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4</w:t>
            </w:r>
            <w:r w:rsidRPr="00857B61">
              <w:rPr>
                <w:rFonts w:ascii="Times New Roman" w:eastAsia="宋体" w:hAnsi="Times New Roman" w:cs="Times New Roman"/>
                <w:szCs w:val="21"/>
              </w:rPr>
              <w:t>)</w:t>
            </w:r>
          </w:p>
          <w:p w14:paraId="7601DE1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i/>
                <w:iCs/>
                <w:szCs w:val="21"/>
              </w:rPr>
              <w:t>Premium</w:t>
            </w:r>
            <w:r w:rsidRPr="00857B61">
              <w:rPr>
                <w:rFonts w:ascii="Times New Roman" w:eastAsia="宋体" w:hAnsi="Times New Roman" w:cs="Times New Roman" w:hint="eastAsia"/>
                <w:i/>
                <w:iCs/>
                <w:szCs w:val="21"/>
              </w:rPr>
              <w:t>_</w:t>
            </w:r>
            <w:r w:rsidRPr="00857B61">
              <w:rPr>
                <w:rFonts w:ascii="Times New Roman" w:eastAsia="宋体" w:hAnsi="Times New Roman" w:cs="Times New Roman"/>
                <w:i/>
                <w:iCs/>
                <w:szCs w:val="21"/>
              </w:rPr>
              <w:t>stock</w:t>
            </w:r>
          </w:p>
        </w:tc>
      </w:tr>
      <w:tr w:rsidR="00857B61" w:rsidRPr="00857B61" w14:paraId="0B8734F6" w14:textId="77777777">
        <w:trPr>
          <w:trHeight w:val="454"/>
          <w:jc w:val="center"/>
        </w:trPr>
        <w:tc>
          <w:tcPr>
            <w:tcW w:w="1259" w:type="pct"/>
            <w:tcBorders>
              <w:tl2br w:val="nil"/>
              <w:tr2bl w:val="nil"/>
            </w:tcBorders>
          </w:tcPr>
          <w:p w14:paraId="6F781940"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Treat</w:t>
            </w:r>
            <w:r w:rsidRPr="00857B61">
              <w:rPr>
                <w:rFonts w:ascii="Times New Roman" w:eastAsia="宋体" w:hAnsi="Times New Roman" w:cs="Times New Roman"/>
                <w:i/>
                <w:iCs/>
                <w:szCs w:val="21"/>
              </w:rPr>
              <w:t>*</w:t>
            </w:r>
            <w:r w:rsidRPr="00857B61">
              <w:rPr>
                <w:rFonts w:ascii="Times New Roman" w:eastAsia="宋体" w:hAnsi="Times New Roman" w:cs="Times New Roman" w:hint="eastAsia"/>
                <w:i/>
                <w:iCs/>
                <w:szCs w:val="21"/>
              </w:rPr>
              <w:t>Policy</w:t>
            </w:r>
          </w:p>
        </w:tc>
        <w:tc>
          <w:tcPr>
            <w:tcW w:w="1683" w:type="dxa"/>
            <w:tcBorders>
              <w:tl2br w:val="nil"/>
              <w:tr2bl w:val="nil"/>
            </w:tcBorders>
          </w:tcPr>
          <w:p w14:paraId="6D6DB21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0.021**</w:t>
            </w:r>
          </w:p>
          <w:p w14:paraId="2455464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(17.48)</w:t>
            </w:r>
          </w:p>
        </w:tc>
        <w:tc>
          <w:tcPr>
            <w:tcW w:w="1683" w:type="dxa"/>
            <w:tcBorders>
              <w:tl2br w:val="nil"/>
              <w:tr2bl w:val="nil"/>
            </w:tcBorders>
          </w:tcPr>
          <w:p w14:paraId="76755D9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0.021**</w:t>
            </w:r>
          </w:p>
          <w:p w14:paraId="0F936CB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(18.96)</w:t>
            </w:r>
          </w:p>
        </w:tc>
        <w:tc>
          <w:tcPr>
            <w:tcW w:w="1683" w:type="dxa"/>
            <w:tcBorders>
              <w:tl2br w:val="nil"/>
              <w:tr2bl w:val="nil"/>
            </w:tcBorders>
          </w:tcPr>
          <w:p w14:paraId="25BEE88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0.134*</w:t>
            </w:r>
          </w:p>
          <w:p w14:paraId="27EB251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(6.95)</w:t>
            </w:r>
          </w:p>
        </w:tc>
        <w:tc>
          <w:tcPr>
            <w:tcW w:w="1683" w:type="dxa"/>
            <w:tcBorders>
              <w:tl2br w:val="nil"/>
              <w:tr2bl w:val="nil"/>
            </w:tcBorders>
          </w:tcPr>
          <w:p w14:paraId="02F99C2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0.103**</w:t>
            </w:r>
          </w:p>
          <w:p w14:paraId="3CE72BC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(46.77)</w:t>
            </w:r>
          </w:p>
        </w:tc>
      </w:tr>
      <w:tr w:rsidR="00857B61" w:rsidRPr="00857B61" w14:paraId="15EE6E39" w14:textId="77777777">
        <w:trPr>
          <w:trHeight w:val="397"/>
          <w:jc w:val="center"/>
        </w:trPr>
        <w:tc>
          <w:tcPr>
            <w:tcW w:w="1259" w:type="pct"/>
            <w:tcBorders>
              <w:tl2br w:val="nil"/>
              <w:tr2bl w:val="nil"/>
            </w:tcBorders>
          </w:tcPr>
          <w:p w14:paraId="5D07664E"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Treat</w:t>
            </w:r>
          </w:p>
        </w:tc>
        <w:tc>
          <w:tcPr>
            <w:tcW w:w="1683" w:type="dxa"/>
            <w:tcBorders>
              <w:tl2br w:val="nil"/>
              <w:tr2bl w:val="nil"/>
            </w:tcBorders>
          </w:tcPr>
          <w:p w14:paraId="7FECAD3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-0.026</w:t>
            </w:r>
          </w:p>
          <w:p w14:paraId="35BE83A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(-0.71)</w:t>
            </w:r>
          </w:p>
        </w:tc>
        <w:tc>
          <w:tcPr>
            <w:tcW w:w="1683" w:type="dxa"/>
            <w:tcBorders>
              <w:tl2br w:val="nil"/>
              <w:tr2bl w:val="nil"/>
            </w:tcBorders>
          </w:tcPr>
          <w:p w14:paraId="68CE7C8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-0.046</w:t>
            </w:r>
          </w:p>
          <w:p w14:paraId="548D455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(-0.39)</w:t>
            </w:r>
          </w:p>
        </w:tc>
        <w:tc>
          <w:tcPr>
            <w:tcW w:w="1683" w:type="dxa"/>
            <w:tcBorders>
              <w:tl2br w:val="nil"/>
              <w:tr2bl w:val="nil"/>
            </w:tcBorders>
          </w:tcPr>
          <w:p w14:paraId="4AA9770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-0.143</w:t>
            </w:r>
          </w:p>
          <w:p w14:paraId="6247A39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(-1.90)</w:t>
            </w:r>
          </w:p>
        </w:tc>
        <w:tc>
          <w:tcPr>
            <w:tcW w:w="1683" w:type="dxa"/>
            <w:tcBorders>
              <w:tl2br w:val="nil"/>
              <w:tr2bl w:val="nil"/>
            </w:tcBorders>
          </w:tcPr>
          <w:p w14:paraId="715B376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-0.927</w:t>
            </w:r>
          </w:p>
          <w:p w14:paraId="53699E6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(-0.99)</w:t>
            </w:r>
          </w:p>
        </w:tc>
      </w:tr>
      <w:tr w:rsidR="00857B61" w:rsidRPr="00857B61" w14:paraId="089192F1" w14:textId="77777777">
        <w:trPr>
          <w:trHeight w:val="397"/>
          <w:jc w:val="center"/>
        </w:trPr>
        <w:tc>
          <w:tcPr>
            <w:tcW w:w="1259" w:type="pct"/>
            <w:tcBorders>
              <w:tl2br w:val="nil"/>
              <w:tr2bl w:val="nil"/>
            </w:tcBorders>
          </w:tcPr>
          <w:p w14:paraId="770738E6"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Policy</w:t>
            </w:r>
          </w:p>
        </w:tc>
        <w:tc>
          <w:tcPr>
            <w:tcW w:w="1683" w:type="dxa"/>
            <w:tcBorders>
              <w:tl2br w:val="nil"/>
              <w:tr2bl w:val="nil"/>
            </w:tcBorders>
          </w:tcPr>
          <w:p w14:paraId="6B1ED89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-0.017</w:t>
            </w:r>
          </w:p>
          <w:p w14:paraId="196847F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(-2.66)</w:t>
            </w:r>
          </w:p>
        </w:tc>
        <w:tc>
          <w:tcPr>
            <w:tcW w:w="1683" w:type="dxa"/>
            <w:tcBorders>
              <w:tl2br w:val="nil"/>
              <w:tr2bl w:val="nil"/>
            </w:tcBorders>
          </w:tcPr>
          <w:p w14:paraId="509D953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-0.005</w:t>
            </w:r>
          </w:p>
          <w:p w14:paraId="48731C1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(-0.31)</w:t>
            </w:r>
          </w:p>
        </w:tc>
        <w:tc>
          <w:tcPr>
            <w:tcW w:w="1683" w:type="dxa"/>
            <w:tcBorders>
              <w:tl2br w:val="nil"/>
              <w:tr2bl w:val="nil"/>
            </w:tcBorders>
          </w:tcPr>
          <w:p w14:paraId="0308F9B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-0.127</w:t>
            </w:r>
          </w:p>
          <w:p w14:paraId="0A60C22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(-5.17)</w:t>
            </w:r>
          </w:p>
        </w:tc>
        <w:tc>
          <w:tcPr>
            <w:tcW w:w="1683" w:type="dxa"/>
            <w:tcBorders>
              <w:tl2br w:val="nil"/>
              <w:tr2bl w:val="nil"/>
            </w:tcBorders>
          </w:tcPr>
          <w:p w14:paraId="3D049EB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-0.883</w:t>
            </w:r>
          </w:p>
          <w:p w14:paraId="7548E54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(-1.10)</w:t>
            </w:r>
          </w:p>
        </w:tc>
      </w:tr>
      <w:tr w:rsidR="00857B61" w:rsidRPr="00857B61" w14:paraId="66C95282" w14:textId="77777777">
        <w:trPr>
          <w:trHeight w:val="172"/>
          <w:jc w:val="center"/>
        </w:trPr>
        <w:tc>
          <w:tcPr>
            <w:tcW w:w="1259" w:type="pct"/>
            <w:tcBorders>
              <w:tl2br w:val="nil"/>
              <w:tr2bl w:val="nil"/>
            </w:tcBorders>
          </w:tcPr>
          <w:p w14:paraId="53BEE49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控制变量</w:t>
            </w:r>
          </w:p>
        </w:tc>
        <w:tc>
          <w:tcPr>
            <w:tcW w:w="935" w:type="pct"/>
            <w:tcBorders>
              <w:tl2br w:val="nil"/>
              <w:tr2bl w:val="nil"/>
            </w:tcBorders>
            <w:vAlign w:val="center"/>
          </w:tcPr>
          <w:p w14:paraId="5D555CA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935" w:type="pct"/>
            <w:tcBorders>
              <w:tl2br w:val="nil"/>
              <w:tr2bl w:val="nil"/>
            </w:tcBorders>
            <w:vAlign w:val="center"/>
          </w:tcPr>
          <w:p w14:paraId="2ED0A26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935" w:type="pct"/>
            <w:tcBorders>
              <w:tl2br w:val="nil"/>
              <w:tr2bl w:val="nil"/>
            </w:tcBorders>
            <w:vAlign w:val="center"/>
          </w:tcPr>
          <w:p w14:paraId="14F214B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935" w:type="pct"/>
            <w:tcBorders>
              <w:tl2br w:val="nil"/>
              <w:tr2bl w:val="nil"/>
            </w:tcBorders>
            <w:vAlign w:val="center"/>
          </w:tcPr>
          <w:p w14:paraId="26109FA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r>
      <w:tr w:rsidR="00857B61" w:rsidRPr="00857B61" w14:paraId="5A4838F9" w14:textId="77777777">
        <w:trPr>
          <w:trHeight w:val="202"/>
          <w:jc w:val="center"/>
        </w:trPr>
        <w:tc>
          <w:tcPr>
            <w:tcW w:w="1259" w:type="pct"/>
            <w:tcBorders>
              <w:tl2br w:val="nil"/>
              <w:tr2bl w:val="nil"/>
            </w:tcBorders>
          </w:tcPr>
          <w:p w14:paraId="546F2FB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时间效应</w:t>
            </w:r>
          </w:p>
        </w:tc>
        <w:tc>
          <w:tcPr>
            <w:tcW w:w="935" w:type="pct"/>
            <w:tcBorders>
              <w:tl2br w:val="nil"/>
              <w:tr2bl w:val="nil"/>
            </w:tcBorders>
            <w:vAlign w:val="center"/>
          </w:tcPr>
          <w:p w14:paraId="4885C42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NO</w:t>
            </w:r>
          </w:p>
        </w:tc>
        <w:tc>
          <w:tcPr>
            <w:tcW w:w="935" w:type="pct"/>
            <w:tcBorders>
              <w:tl2br w:val="nil"/>
              <w:tr2bl w:val="nil"/>
            </w:tcBorders>
            <w:vAlign w:val="center"/>
          </w:tcPr>
          <w:p w14:paraId="4EC251F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935" w:type="pct"/>
            <w:tcBorders>
              <w:tl2br w:val="nil"/>
              <w:tr2bl w:val="nil"/>
            </w:tcBorders>
            <w:vAlign w:val="center"/>
          </w:tcPr>
          <w:p w14:paraId="0FCEABF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NO</w:t>
            </w:r>
          </w:p>
        </w:tc>
        <w:tc>
          <w:tcPr>
            <w:tcW w:w="935" w:type="pct"/>
            <w:tcBorders>
              <w:tl2br w:val="nil"/>
              <w:tr2bl w:val="nil"/>
            </w:tcBorders>
            <w:vAlign w:val="center"/>
          </w:tcPr>
          <w:p w14:paraId="06A7467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r>
      <w:tr w:rsidR="00857B61" w:rsidRPr="00857B61" w14:paraId="68DD883D" w14:textId="77777777">
        <w:trPr>
          <w:trHeight w:val="157"/>
          <w:jc w:val="center"/>
        </w:trPr>
        <w:tc>
          <w:tcPr>
            <w:tcW w:w="1259" w:type="pct"/>
            <w:tcBorders>
              <w:tl2br w:val="nil"/>
              <w:tr2bl w:val="nil"/>
            </w:tcBorders>
          </w:tcPr>
          <w:p w14:paraId="1FBE833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行业效应</w:t>
            </w:r>
          </w:p>
        </w:tc>
        <w:tc>
          <w:tcPr>
            <w:tcW w:w="935" w:type="pct"/>
            <w:tcBorders>
              <w:tl2br w:val="nil"/>
              <w:tr2bl w:val="nil"/>
            </w:tcBorders>
            <w:vAlign w:val="center"/>
          </w:tcPr>
          <w:p w14:paraId="6ABBEDB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935" w:type="pct"/>
            <w:tcBorders>
              <w:tl2br w:val="nil"/>
              <w:tr2bl w:val="nil"/>
            </w:tcBorders>
            <w:vAlign w:val="center"/>
          </w:tcPr>
          <w:p w14:paraId="469BED3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935" w:type="pct"/>
            <w:tcBorders>
              <w:tl2br w:val="nil"/>
              <w:tr2bl w:val="nil"/>
            </w:tcBorders>
            <w:vAlign w:val="center"/>
          </w:tcPr>
          <w:p w14:paraId="66E8E98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935" w:type="pct"/>
            <w:tcBorders>
              <w:tl2br w:val="nil"/>
              <w:tr2bl w:val="nil"/>
            </w:tcBorders>
            <w:vAlign w:val="center"/>
          </w:tcPr>
          <w:p w14:paraId="10535B2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r>
      <w:tr w:rsidR="00857B61" w:rsidRPr="00857B61" w14:paraId="0CC55C25" w14:textId="77777777">
        <w:trPr>
          <w:trHeight w:val="262"/>
          <w:jc w:val="center"/>
        </w:trPr>
        <w:tc>
          <w:tcPr>
            <w:tcW w:w="1259" w:type="pct"/>
            <w:tcBorders>
              <w:tl2br w:val="nil"/>
              <w:tr2bl w:val="nil"/>
            </w:tcBorders>
          </w:tcPr>
          <w:p w14:paraId="15C0838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地区效应</w:t>
            </w:r>
          </w:p>
        </w:tc>
        <w:tc>
          <w:tcPr>
            <w:tcW w:w="935" w:type="pct"/>
            <w:tcBorders>
              <w:tl2br w:val="nil"/>
              <w:tr2bl w:val="nil"/>
            </w:tcBorders>
            <w:vAlign w:val="center"/>
          </w:tcPr>
          <w:p w14:paraId="15826CB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935" w:type="pct"/>
            <w:tcBorders>
              <w:tl2br w:val="nil"/>
              <w:tr2bl w:val="nil"/>
            </w:tcBorders>
            <w:vAlign w:val="center"/>
          </w:tcPr>
          <w:p w14:paraId="47919BC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935" w:type="pct"/>
            <w:tcBorders>
              <w:tl2br w:val="nil"/>
              <w:tr2bl w:val="nil"/>
            </w:tcBorders>
            <w:vAlign w:val="center"/>
          </w:tcPr>
          <w:p w14:paraId="3812A97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c>
          <w:tcPr>
            <w:tcW w:w="935" w:type="pct"/>
            <w:tcBorders>
              <w:tl2br w:val="nil"/>
              <w:tr2bl w:val="nil"/>
            </w:tcBorders>
            <w:vAlign w:val="center"/>
          </w:tcPr>
          <w:p w14:paraId="3EFD0C1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YES</w:t>
            </w:r>
          </w:p>
        </w:tc>
      </w:tr>
      <w:tr w:rsidR="00857B61" w:rsidRPr="00857B61" w14:paraId="6776D81C" w14:textId="77777777">
        <w:trPr>
          <w:trHeight w:val="354"/>
          <w:jc w:val="center"/>
        </w:trPr>
        <w:tc>
          <w:tcPr>
            <w:tcW w:w="1259" w:type="pct"/>
            <w:tcBorders>
              <w:tl2br w:val="nil"/>
              <w:tr2bl w:val="nil"/>
            </w:tcBorders>
          </w:tcPr>
          <w:p w14:paraId="0A6CBB1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C</w:t>
            </w:r>
          </w:p>
        </w:tc>
        <w:tc>
          <w:tcPr>
            <w:tcW w:w="935" w:type="pct"/>
            <w:tcBorders>
              <w:tl2br w:val="nil"/>
              <w:tr2bl w:val="nil"/>
            </w:tcBorders>
            <w:vAlign w:val="center"/>
          </w:tcPr>
          <w:p w14:paraId="0852AF1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-0.973*</w:t>
            </w:r>
          </w:p>
          <w:p w14:paraId="671496C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(-8.22)</w:t>
            </w:r>
          </w:p>
        </w:tc>
        <w:tc>
          <w:tcPr>
            <w:tcW w:w="935" w:type="pct"/>
            <w:tcBorders>
              <w:tl2br w:val="nil"/>
              <w:tr2bl w:val="nil"/>
            </w:tcBorders>
            <w:vAlign w:val="center"/>
          </w:tcPr>
          <w:p w14:paraId="1BE8D5F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-1.034</w:t>
            </w:r>
          </w:p>
          <w:p w14:paraId="4E661D4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(-3.68)</w:t>
            </w:r>
          </w:p>
        </w:tc>
        <w:tc>
          <w:tcPr>
            <w:tcW w:w="935" w:type="pct"/>
            <w:tcBorders>
              <w:tl2br w:val="nil"/>
              <w:tr2bl w:val="nil"/>
            </w:tcBorders>
            <w:vAlign w:val="center"/>
          </w:tcPr>
          <w:p w14:paraId="3E7D385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-1.405</w:t>
            </w:r>
          </w:p>
          <w:p w14:paraId="64E7CA8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(-2.58)</w:t>
            </w:r>
          </w:p>
        </w:tc>
        <w:tc>
          <w:tcPr>
            <w:tcW w:w="935" w:type="pct"/>
            <w:tcBorders>
              <w:tl2br w:val="nil"/>
              <w:tr2bl w:val="nil"/>
            </w:tcBorders>
            <w:vAlign w:val="center"/>
          </w:tcPr>
          <w:p w14:paraId="2B529F1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-11.408</w:t>
            </w:r>
          </w:p>
          <w:p w14:paraId="1BAD6E8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(-1.13)</w:t>
            </w:r>
          </w:p>
        </w:tc>
      </w:tr>
      <w:tr w:rsidR="00857B61" w:rsidRPr="00857B61" w14:paraId="4DA55F31" w14:textId="77777777">
        <w:trPr>
          <w:trHeight w:val="187"/>
          <w:jc w:val="center"/>
        </w:trPr>
        <w:tc>
          <w:tcPr>
            <w:tcW w:w="1259" w:type="pct"/>
            <w:tcBorders>
              <w:tl2br w:val="nil"/>
              <w:tr2bl w:val="nil"/>
            </w:tcBorders>
          </w:tcPr>
          <w:p w14:paraId="554D8F8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R</w:t>
            </w:r>
            <w:r w:rsidRPr="00857B61">
              <w:rPr>
                <w:rFonts w:ascii="Times New Roman" w:eastAsia="宋体" w:hAnsi="Times New Roman" w:cs="Times New Roman" w:hint="eastAsia"/>
                <w:szCs w:val="21"/>
                <w:vertAlign w:val="superscript"/>
              </w:rPr>
              <w:t>2</w:t>
            </w:r>
          </w:p>
        </w:tc>
        <w:tc>
          <w:tcPr>
            <w:tcW w:w="935" w:type="pct"/>
            <w:tcBorders>
              <w:tl2br w:val="nil"/>
              <w:tr2bl w:val="nil"/>
            </w:tcBorders>
            <w:vAlign w:val="center"/>
          </w:tcPr>
          <w:p w14:paraId="1B88E4D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0.226</w:t>
            </w:r>
          </w:p>
        </w:tc>
        <w:tc>
          <w:tcPr>
            <w:tcW w:w="935" w:type="pct"/>
            <w:tcBorders>
              <w:tl2br w:val="nil"/>
              <w:tr2bl w:val="nil"/>
            </w:tcBorders>
            <w:vAlign w:val="center"/>
          </w:tcPr>
          <w:p w14:paraId="6DC01D6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0.237</w:t>
            </w:r>
          </w:p>
        </w:tc>
        <w:tc>
          <w:tcPr>
            <w:tcW w:w="935" w:type="pct"/>
            <w:tcBorders>
              <w:tl2br w:val="nil"/>
              <w:tr2bl w:val="nil"/>
            </w:tcBorders>
            <w:vAlign w:val="center"/>
          </w:tcPr>
          <w:p w14:paraId="7E3466E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0.191</w:t>
            </w:r>
          </w:p>
        </w:tc>
        <w:tc>
          <w:tcPr>
            <w:tcW w:w="935" w:type="pct"/>
            <w:tcBorders>
              <w:tl2br w:val="nil"/>
              <w:tr2bl w:val="nil"/>
            </w:tcBorders>
            <w:vAlign w:val="center"/>
          </w:tcPr>
          <w:p w14:paraId="3B5BD91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0.204</w:t>
            </w:r>
          </w:p>
        </w:tc>
      </w:tr>
      <w:tr w:rsidR="00857B61" w:rsidRPr="00857B61" w14:paraId="26D15584" w14:textId="77777777">
        <w:trPr>
          <w:trHeight w:val="187"/>
          <w:jc w:val="center"/>
        </w:trPr>
        <w:tc>
          <w:tcPr>
            <w:tcW w:w="1259" w:type="pct"/>
            <w:tcBorders>
              <w:tl2br w:val="nil"/>
              <w:tr2bl w:val="nil"/>
            </w:tcBorders>
          </w:tcPr>
          <w:p w14:paraId="5C41A7F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N</w:t>
            </w:r>
          </w:p>
        </w:tc>
        <w:tc>
          <w:tcPr>
            <w:tcW w:w="935" w:type="pct"/>
            <w:tcBorders>
              <w:tl2br w:val="nil"/>
              <w:tr2bl w:val="nil"/>
            </w:tcBorders>
            <w:vAlign w:val="center"/>
          </w:tcPr>
          <w:p w14:paraId="5DD5FF1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1,567</w:t>
            </w:r>
          </w:p>
        </w:tc>
        <w:tc>
          <w:tcPr>
            <w:tcW w:w="935" w:type="pct"/>
            <w:tcBorders>
              <w:tl2br w:val="nil"/>
              <w:tr2bl w:val="nil"/>
            </w:tcBorders>
            <w:vAlign w:val="center"/>
          </w:tcPr>
          <w:p w14:paraId="75A88E1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1,567</w:t>
            </w:r>
          </w:p>
        </w:tc>
        <w:tc>
          <w:tcPr>
            <w:tcW w:w="935" w:type="pct"/>
            <w:tcBorders>
              <w:tl2br w:val="nil"/>
              <w:tr2bl w:val="nil"/>
            </w:tcBorders>
            <w:vAlign w:val="center"/>
          </w:tcPr>
          <w:p w14:paraId="5E60F08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1,337</w:t>
            </w:r>
          </w:p>
        </w:tc>
        <w:tc>
          <w:tcPr>
            <w:tcW w:w="935" w:type="pct"/>
            <w:tcBorders>
              <w:tl2br w:val="nil"/>
              <w:tr2bl w:val="nil"/>
            </w:tcBorders>
            <w:vAlign w:val="center"/>
          </w:tcPr>
          <w:p w14:paraId="47F8974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1,337</w:t>
            </w:r>
          </w:p>
        </w:tc>
      </w:tr>
    </w:tbl>
    <w:p w14:paraId="47CA7C0C" w14:textId="77777777" w:rsidR="00DE7EC6" w:rsidRPr="00857B61" w:rsidRDefault="00000000">
      <w:pPr>
        <w:pStyle w:val="30"/>
        <w:spacing w:before="120" w:after="120" w:line="240" w:lineRule="auto"/>
        <w:ind w:firstLineChars="200" w:firstLine="422"/>
        <w:rPr>
          <w:rFonts w:eastAsia="宋体"/>
          <w:sz w:val="21"/>
          <w:szCs w:val="21"/>
        </w:rPr>
      </w:pPr>
      <w:r w:rsidRPr="00857B61">
        <w:rPr>
          <w:rFonts w:eastAsia="宋体" w:hint="eastAsia"/>
          <w:sz w:val="21"/>
          <w:szCs w:val="21"/>
        </w:rPr>
        <w:t>（三）异质性分析</w:t>
      </w:r>
    </w:p>
    <w:p w14:paraId="3E05C30F" w14:textId="77777777" w:rsidR="00DE7EC6" w:rsidRPr="00857B61" w:rsidRDefault="00000000">
      <w:pPr>
        <w:pStyle w:val="4"/>
        <w:spacing w:before="0" w:after="0" w:line="240" w:lineRule="auto"/>
        <w:ind w:firstLineChars="200" w:firstLine="420"/>
      </w:pPr>
      <w:r w:rsidRPr="00857B61">
        <w:rPr>
          <w:rFonts w:ascii="Times New Roman" w:eastAsia="楷体" w:hAnsi="Times New Roman" w:cs="宋体" w:hint="eastAsia"/>
          <w:b w:val="0"/>
          <w:bCs w:val="0"/>
          <w:sz w:val="21"/>
          <w:szCs w:val="21"/>
        </w:rPr>
        <w:t>1.</w:t>
      </w:r>
      <w:r w:rsidRPr="00857B61">
        <w:rPr>
          <w:rFonts w:ascii="Times New Roman" w:eastAsia="楷体" w:hAnsi="Times New Roman" w:cs="宋体" w:hint="eastAsia"/>
          <w:b w:val="0"/>
          <w:bCs w:val="0"/>
          <w:sz w:val="21"/>
          <w:szCs w:val="21"/>
        </w:rPr>
        <w:t>卖方企业层级的异质性分析。</w:t>
      </w:r>
      <w:r w:rsidRPr="00857B61">
        <w:rPr>
          <w:rFonts w:eastAsia="宋体" w:hint="eastAsia"/>
          <w:b w:val="0"/>
          <w:bCs w:val="0"/>
          <w:sz w:val="21"/>
          <w:szCs w:val="21"/>
        </w:rPr>
        <w:t>本文从国企层级角度出发，对检察行政公益诉讼制度试点推行给国有资产流失带来的影响进行分类讨论。考虑到检察行政公益诉讼制度是在</w:t>
      </w:r>
      <w:r w:rsidRPr="00857B61">
        <w:rPr>
          <w:rFonts w:ascii="Times New Roman" w:eastAsia="宋体" w:hAnsi="Times New Roman" w:cs="Times New Roman" w:hint="eastAsia"/>
          <w:b w:val="0"/>
          <w:bCs w:val="0"/>
          <w:sz w:val="21"/>
          <w:szCs w:val="21"/>
        </w:rPr>
        <w:t>13</w:t>
      </w:r>
      <w:r w:rsidRPr="00857B61">
        <w:rPr>
          <w:rFonts w:eastAsia="宋体" w:hint="eastAsia"/>
          <w:b w:val="0"/>
          <w:bCs w:val="0"/>
          <w:sz w:val="21"/>
          <w:szCs w:val="21"/>
        </w:rPr>
        <w:t>个省、自治区、直辖市内选择了</w:t>
      </w:r>
      <w:r w:rsidRPr="00857B61">
        <w:rPr>
          <w:rFonts w:ascii="Times New Roman" w:eastAsia="宋体" w:hAnsi="Times New Roman" w:cs="Times New Roman" w:hint="eastAsia"/>
          <w:b w:val="0"/>
          <w:bCs w:val="0"/>
          <w:sz w:val="21"/>
          <w:szCs w:val="21"/>
        </w:rPr>
        <w:t>73</w:t>
      </w:r>
      <w:r w:rsidRPr="00857B61">
        <w:rPr>
          <w:rFonts w:eastAsia="宋体" w:hint="eastAsia"/>
          <w:b w:val="0"/>
          <w:bCs w:val="0"/>
          <w:sz w:val="21"/>
          <w:szCs w:val="21"/>
        </w:rPr>
        <w:t>个城市作为试点，试点地区为城市级别，所以市级及以下地方政府所控制国有企业受到的冲击最为直接，而省属国有企业及央企因不属于试点城市检察机关的直接检察范围受到的冲击会比较小。据此，本文以市为界限将国有企业按层级分成两类：一类为市及以下层级国企，另一类则为省属国有企业或央企。回归结果如表</w:t>
      </w:r>
      <w:r w:rsidRPr="00857B61">
        <w:rPr>
          <w:rFonts w:ascii="Times New Roman" w:eastAsia="宋体" w:hAnsi="Times New Roman" w:cs="Times New Roman" w:hint="eastAsia"/>
          <w:b w:val="0"/>
          <w:bCs w:val="0"/>
          <w:sz w:val="21"/>
          <w:szCs w:val="21"/>
        </w:rPr>
        <w:t>9</w:t>
      </w:r>
      <w:r w:rsidRPr="00857B61">
        <w:rPr>
          <w:rFonts w:eastAsia="宋体" w:hint="eastAsia"/>
          <w:b w:val="0"/>
          <w:bCs w:val="0"/>
          <w:sz w:val="21"/>
          <w:szCs w:val="21"/>
        </w:rPr>
        <w:t>所示，从</w:t>
      </w:r>
      <w:r w:rsidRPr="00857B61">
        <w:rPr>
          <w:rFonts w:ascii="Times New Roman" w:eastAsia="宋体" w:hAnsi="Times New Roman" w:cs="Times New Roman" w:hint="eastAsia"/>
          <w:b w:val="0"/>
          <w:bCs w:val="0"/>
          <w:sz w:val="21"/>
          <w:szCs w:val="21"/>
        </w:rPr>
        <w:t>列</w:t>
      </w:r>
      <w:r w:rsidRPr="00857B61">
        <w:rPr>
          <w:rFonts w:eastAsia="宋体" w:hint="eastAsia"/>
          <w:b w:val="0"/>
          <w:bCs w:val="0"/>
          <w:sz w:val="21"/>
          <w:szCs w:val="21"/>
        </w:rPr>
        <w:t>（</w:t>
      </w:r>
      <w:r w:rsidRPr="00857B61">
        <w:rPr>
          <w:rFonts w:ascii="Times New Roman" w:eastAsia="宋体" w:hAnsi="Times New Roman" w:cs="Times New Roman"/>
          <w:b w:val="0"/>
          <w:bCs w:val="0"/>
          <w:sz w:val="21"/>
          <w:szCs w:val="21"/>
        </w:rPr>
        <w:t>1</w:t>
      </w:r>
      <w:r w:rsidRPr="00857B61">
        <w:rPr>
          <w:rFonts w:eastAsia="宋体" w:hint="eastAsia"/>
          <w:b w:val="0"/>
          <w:bCs w:val="0"/>
          <w:sz w:val="21"/>
          <w:szCs w:val="21"/>
        </w:rPr>
        <w:t>）可以看到当并购中卖方为市及以下层级国企时，检察行政公益诉讼制度试点的实施对国有资产流失起明显的抑制作用；</w:t>
      </w:r>
      <w:r w:rsidRPr="00857B61">
        <w:rPr>
          <w:rFonts w:ascii="Times New Roman" w:eastAsia="宋体" w:hAnsi="Times New Roman" w:cs="Times New Roman" w:hint="eastAsia"/>
          <w:b w:val="0"/>
          <w:bCs w:val="0"/>
          <w:sz w:val="21"/>
          <w:szCs w:val="21"/>
        </w:rPr>
        <w:t>列</w:t>
      </w:r>
      <w:r w:rsidRPr="00857B61">
        <w:rPr>
          <w:rFonts w:eastAsia="宋体" w:hint="eastAsia"/>
          <w:b w:val="0"/>
          <w:bCs w:val="0"/>
          <w:sz w:val="21"/>
          <w:szCs w:val="21"/>
        </w:rPr>
        <w:t>（</w:t>
      </w:r>
      <w:r w:rsidRPr="00857B61">
        <w:rPr>
          <w:rFonts w:ascii="Times New Roman" w:eastAsia="宋体" w:hAnsi="Times New Roman" w:cs="Times New Roman" w:hint="eastAsia"/>
          <w:b w:val="0"/>
          <w:bCs w:val="0"/>
          <w:sz w:val="21"/>
          <w:szCs w:val="21"/>
        </w:rPr>
        <w:t>2</w:t>
      </w:r>
      <w:r w:rsidRPr="00857B61">
        <w:rPr>
          <w:rFonts w:eastAsia="宋体" w:hint="eastAsia"/>
          <w:b w:val="0"/>
          <w:bCs w:val="0"/>
          <w:sz w:val="21"/>
          <w:szCs w:val="21"/>
        </w:rPr>
        <w:t>）结果说明检察行政公益诉讼制度试点的实施对省属国有企业或央企的资产流失没有明显的抑制作用。组间系数差异检验</w:t>
      </w:r>
      <w:r w:rsidRPr="00857B61">
        <w:rPr>
          <w:rFonts w:ascii="Times New Roman" w:eastAsia="宋体" w:hAnsi="Times New Roman" w:cs="Times New Roman"/>
          <w:b w:val="0"/>
          <w:bCs w:val="0"/>
          <w:sz w:val="21"/>
          <w:szCs w:val="21"/>
        </w:rPr>
        <w:t>结果显示</w:t>
      </w:r>
      <w:r w:rsidRPr="00857B61">
        <w:rPr>
          <w:rFonts w:ascii="Times New Roman" w:eastAsia="宋体" w:hAnsi="Times New Roman" w:cs="Times New Roman" w:hint="eastAsia"/>
          <w:b w:val="0"/>
          <w:bCs w:val="0"/>
          <w:sz w:val="21"/>
          <w:szCs w:val="21"/>
        </w:rPr>
        <w:t>p</w:t>
      </w:r>
      <w:r w:rsidRPr="00857B61">
        <w:rPr>
          <w:rFonts w:ascii="Times New Roman" w:eastAsia="宋体" w:hAnsi="Times New Roman" w:cs="Times New Roman"/>
          <w:b w:val="0"/>
          <w:bCs w:val="0"/>
          <w:sz w:val="21"/>
          <w:szCs w:val="21"/>
        </w:rPr>
        <w:t>值为</w:t>
      </w:r>
      <w:r w:rsidRPr="00857B61">
        <w:rPr>
          <w:rFonts w:ascii="Times New Roman" w:eastAsia="宋体" w:hAnsi="Times New Roman" w:cs="Times New Roman"/>
          <w:b w:val="0"/>
          <w:bCs w:val="0"/>
          <w:sz w:val="21"/>
          <w:szCs w:val="21"/>
        </w:rPr>
        <w:t>0.097</w:t>
      </w:r>
      <w:r w:rsidRPr="00857B61">
        <w:rPr>
          <w:rFonts w:eastAsia="宋体" w:hint="eastAsia"/>
          <w:b w:val="0"/>
          <w:bCs w:val="0"/>
          <w:sz w:val="21"/>
          <w:szCs w:val="21"/>
        </w:rPr>
        <w:t>，表明相较于省属国有企业或央企，市及以下层级国有企业的资产流失受到检察行政公益诉讼制度实施的抑制性影响更强。基于并购交易导致的控制权转移以及对被并购企业所在地经济发展、社会就业产生的影响，地方政府确实有动机对直接控制企业的并购决策进行干预（潘红波等，</w:t>
      </w:r>
      <w:r w:rsidRPr="00857B61">
        <w:rPr>
          <w:rFonts w:ascii="Times New Roman" w:eastAsia="宋体" w:hAnsi="Times New Roman" w:cs="Times New Roman"/>
          <w:b w:val="0"/>
          <w:bCs w:val="0"/>
          <w:sz w:val="21"/>
          <w:szCs w:val="21"/>
        </w:rPr>
        <w:t>2008</w:t>
      </w:r>
      <w:r w:rsidRPr="00857B61">
        <w:rPr>
          <w:rFonts w:eastAsia="宋体" w:hint="eastAsia"/>
          <w:b w:val="0"/>
          <w:bCs w:val="0"/>
          <w:sz w:val="21"/>
          <w:szCs w:val="21"/>
        </w:rPr>
        <w:t>），这些企业更易实施本地并购以及无关的多元化并购，而央企具有中央政府背景所赋予的权威不易受地方政府干预（方军雄，</w:t>
      </w:r>
      <w:r w:rsidRPr="00857B61">
        <w:rPr>
          <w:rFonts w:ascii="Times New Roman" w:eastAsia="宋体" w:hAnsi="Times New Roman" w:cs="Times New Roman" w:hint="eastAsia"/>
          <w:b w:val="0"/>
          <w:bCs w:val="0"/>
          <w:sz w:val="21"/>
          <w:szCs w:val="21"/>
        </w:rPr>
        <w:t>2008</w:t>
      </w:r>
      <w:r w:rsidRPr="00857B61">
        <w:rPr>
          <w:rFonts w:eastAsia="宋体" w:hint="eastAsia"/>
          <w:b w:val="0"/>
          <w:bCs w:val="0"/>
          <w:sz w:val="21"/>
          <w:szCs w:val="21"/>
        </w:rPr>
        <w:t>），省属国有企业亦然。检察行政公益诉讼制度的实施，使得检察机关对地方行政机关的监督力度增强，地方政府对直接控制企业的干预行为受到约束，从而使市及以下层级的地方性国有企业资产流失受到更强烈冲击。</w:t>
      </w:r>
    </w:p>
    <w:p w14:paraId="7E18E319" w14:textId="77777777" w:rsidR="00DE7EC6" w:rsidRPr="00857B61" w:rsidRDefault="00000000">
      <w:pPr>
        <w:ind w:firstLineChars="200" w:firstLine="420"/>
        <w:rPr>
          <w:rFonts w:ascii="Times New Roman" w:eastAsia="宋体" w:hAnsi="Times New Roman" w:cs="Times New Roman"/>
          <w:szCs w:val="21"/>
        </w:rPr>
      </w:pPr>
      <w:r w:rsidRPr="00857B61">
        <w:rPr>
          <w:rFonts w:ascii="Times New Roman" w:eastAsia="楷体" w:hAnsi="Times New Roman" w:cs="宋体" w:hint="eastAsia"/>
          <w:szCs w:val="21"/>
        </w:rPr>
        <w:t>2.</w:t>
      </w:r>
      <w:r w:rsidRPr="00857B61">
        <w:rPr>
          <w:rFonts w:ascii="Times New Roman" w:eastAsia="楷体" w:hAnsi="Times New Roman" w:cs="宋体"/>
          <w:szCs w:val="21"/>
        </w:rPr>
        <w:t>买方企业性质的异质性分析。</w:t>
      </w:r>
      <w:r w:rsidRPr="00857B61">
        <w:rPr>
          <w:rFonts w:ascii="Times New Roman" w:eastAsia="宋体" w:hAnsi="Times New Roman" w:cs="Times New Roman"/>
          <w:szCs w:val="21"/>
        </w:rPr>
        <w:t>在国有企业体制改革以及大力提倡搞活民营经济的过程中必定会出现大量国有资产出售给民营企业或其他非国有企业的现象，民营企业也乐于借此机会与政府产生联系，享受</w:t>
      </w:r>
      <w:r w:rsidRPr="00857B61">
        <w:rPr>
          <w:rFonts w:ascii="宋体" w:eastAsia="宋体" w:hAnsi="宋体" w:cs="宋体" w:hint="eastAsia"/>
          <w:szCs w:val="21"/>
        </w:rPr>
        <w:t>“政府关系”</w:t>
      </w:r>
      <w:r w:rsidRPr="00857B61">
        <w:rPr>
          <w:rFonts w:ascii="Times New Roman" w:eastAsia="宋体" w:hAnsi="Times New Roman" w:cs="Times New Roman"/>
          <w:szCs w:val="21"/>
        </w:rPr>
        <w:t>带来的便利（</w:t>
      </w:r>
      <w:r w:rsidRPr="00857B61">
        <w:rPr>
          <w:rFonts w:ascii="Times New Roman" w:eastAsia="宋体" w:hAnsi="Times New Roman" w:cs="Times New Roman"/>
          <w:szCs w:val="21"/>
        </w:rPr>
        <w:t>Chen et al</w:t>
      </w:r>
      <w:r w:rsidRPr="00857B61">
        <w:rPr>
          <w:rFonts w:ascii="Times New Roman" w:eastAsia="宋体" w:hAnsi="Times New Roman" w:cs="Times New Roman"/>
          <w:szCs w:val="21"/>
        </w:rPr>
        <w:t>，</w:t>
      </w:r>
      <w:r w:rsidRPr="00857B61">
        <w:rPr>
          <w:rFonts w:ascii="Times New Roman" w:eastAsia="宋体" w:hAnsi="Times New Roman" w:cs="Times New Roman"/>
          <w:szCs w:val="21"/>
        </w:rPr>
        <w:t>2010</w:t>
      </w:r>
      <w:r w:rsidRPr="00857B61">
        <w:rPr>
          <w:rFonts w:ascii="Times New Roman" w:eastAsia="宋体" w:hAnsi="Times New Roman" w:cs="Times New Roman"/>
          <w:szCs w:val="21"/>
        </w:rPr>
        <w:t>）。因此，本文根据企业性质将买方企业分为国有企业和非国有企业两类，并进一步从并购中买方企业性质出发来讨论检察行政公</w:t>
      </w:r>
      <w:r w:rsidRPr="00857B61">
        <w:rPr>
          <w:rFonts w:ascii="Times New Roman" w:eastAsia="宋体" w:hAnsi="Times New Roman" w:cs="Times New Roman"/>
          <w:szCs w:val="21"/>
        </w:rPr>
        <w:lastRenderedPageBreak/>
        <w:t>益诉讼制度试点的实施给国有资产流失带来的影响。回归结果如表</w:t>
      </w:r>
      <w:r w:rsidRPr="00857B61">
        <w:rPr>
          <w:rFonts w:ascii="Times New Roman" w:eastAsia="宋体" w:hAnsi="Times New Roman" w:cs="Times New Roman"/>
          <w:szCs w:val="21"/>
        </w:rPr>
        <w:t>9</w:t>
      </w:r>
      <w:r w:rsidRPr="00857B61">
        <w:rPr>
          <w:rFonts w:ascii="Times New Roman" w:eastAsia="宋体" w:hAnsi="Times New Roman" w:cs="Times New Roman"/>
          <w:szCs w:val="21"/>
        </w:rPr>
        <w:t>列（</w:t>
      </w:r>
      <w:r w:rsidRPr="00857B61">
        <w:rPr>
          <w:rFonts w:ascii="Times New Roman" w:eastAsia="宋体" w:hAnsi="Times New Roman" w:cs="Times New Roman"/>
          <w:szCs w:val="21"/>
        </w:rPr>
        <w:t>3</w:t>
      </w:r>
      <w:r w:rsidRPr="00857B61">
        <w:rPr>
          <w:rFonts w:ascii="Times New Roman" w:eastAsia="宋体" w:hAnsi="Times New Roman" w:cs="Times New Roman"/>
          <w:szCs w:val="21"/>
        </w:rPr>
        <w:t>）与列（</w:t>
      </w:r>
      <w:r w:rsidRPr="00857B61">
        <w:rPr>
          <w:rFonts w:ascii="Times New Roman" w:eastAsia="宋体" w:hAnsi="Times New Roman" w:cs="Times New Roman"/>
          <w:szCs w:val="21"/>
        </w:rPr>
        <w:t>4</w:t>
      </w:r>
      <w:r w:rsidRPr="00857B61">
        <w:rPr>
          <w:rFonts w:ascii="Times New Roman" w:eastAsia="宋体" w:hAnsi="Times New Roman" w:cs="Times New Roman"/>
          <w:szCs w:val="21"/>
        </w:rPr>
        <w:t>）所示，当并购中的买方为国有企业时，制度的实施没有起到明显抑制资产流失的作用；当买方为非国有企业时，制度实施对国有资产流失起明显的抑制作用。组间系数差异检验结果显示</w:t>
      </w:r>
      <w:r w:rsidRPr="00857B61">
        <w:rPr>
          <w:rFonts w:ascii="Times New Roman" w:eastAsia="宋体" w:hAnsi="Times New Roman" w:cs="Times New Roman"/>
          <w:szCs w:val="21"/>
        </w:rPr>
        <w:t>p</w:t>
      </w:r>
      <w:r w:rsidRPr="00857B61">
        <w:rPr>
          <w:rFonts w:ascii="Times New Roman" w:eastAsia="宋体" w:hAnsi="Times New Roman" w:cs="Times New Roman"/>
          <w:szCs w:val="21"/>
        </w:rPr>
        <w:t>值为</w:t>
      </w:r>
      <w:r w:rsidRPr="00857B61">
        <w:rPr>
          <w:rFonts w:ascii="Times New Roman" w:eastAsia="宋体" w:hAnsi="Times New Roman" w:cs="Times New Roman"/>
          <w:szCs w:val="21"/>
        </w:rPr>
        <w:t>0.080</w:t>
      </w:r>
      <w:r w:rsidRPr="00857B61">
        <w:rPr>
          <w:rFonts w:ascii="Times New Roman" w:eastAsia="宋体" w:hAnsi="Times New Roman" w:cs="Times New Roman"/>
          <w:szCs w:val="21"/>
        </w:rPr>
        <w:t>，说明列（</w:t>
      </w:r>
      <w:r w:rsidRPr="00857B61">
        <w:rPr>
          <w:rFonts w:ascii="Times New Roman" w:eastAsia="宋体" w:hAnsi="Times New Roman" w:cs="Times New Roman"/>
          <w:szCs w:val="21"/>
        </w:rPr>
        <w:t>3</w:t>
      </w:r>
      <w:r w:rsidRPr="00857B61">
        <w:rPr>
          <w:rFonts w:ascii="Times New Roman" w:eastAsia="宋体" w:hAnsi="Times New Roman" w:cs="Times New Roman"/>
          <w:szCs w:val="21"/>
        </w:rPr>
        <w:t>）与列（</w:t>
      </w:r>
      <w:r w:rsidRPr="00857B61">
        <w:rPr>
          <w:rFonts w:ascii="Times New Roman" w:eastAsia="宋体" w:hAnsi="Times New Roman" w:cs="Times New Roman"/>
          <w:szCs w:val="21"/>
        </w:rPr>
        <w:t>4</w:t>
      </w:r>
      <w:r w:rsidRPr="00857B61">
        <w:rPr>
          <w:rFonts w:ascii="Times New Roman" w:eastAsia="宋体" w:hAnsi="Times New Roman" w:cs="Times New Roman"/>
          <w:szCs w:val="21"/>
        </w:rPr>
        <w:t>）中</w:t>
      </w:r>
      <w:r w:rsidRPr="00857B61">
        <w:rPr>
          <w:rFonts w:ascii="Times New Roman" w:eastAsia="宋体" w:hAnsi="Times New Roman" w:cs="Times New Roman"/>
          <w:i/>
          <w:iCs/>
          <w:szCs w:val="21"/>
        </w:rPr>
        <w:t>Treat*Policy</w:t>
      </w:r>
      <w:r w:rsidRPr="00857B61">
        <w:rPr>
          <w:rFonts w:ascii="Times New Roman" w:eastAsia="宋体" w:hAnsi="Times New Roman" w:cs="Times New Roman"/>
          <w:szCs w:val="21"/>
        </w:rPr>
        <w:t>系数差异显著，表明与国有企业相比，当买方企业为非国有性质时并购引起的国有资产流失会受到检察行政公益诉讼制度更强的抑制作用。国有企业间进行并购交易时，资产只是在国企内部进行流动，其国有属性不会发生改变，并不属于严格意义上的国有资产流失；而国有企业与非国有企业的并购交易中会出现资产性质的转变，控制权也从国家手中被转移出来，导致实际上的国有资产流失问题，需要重点关注（陈仕华、卢昌崇，</w:t>
      </w:r>
      <w:r w:rsidRPr="00857B61">
        <w:rPr>
          <w:rFonts w:ascii="Times New Roman" w:eastAsia="宋体" w:hAnsi="Times New Roman" w:cs="Times New Roman"/>
          <w:szCs w:val="21"/>
        </w:rPr>
        <w:t>2014</w:t>
      </w:r>
      <w:r w:rsidRPr="00857B61">
        <w:rPr>
          <w:rFonts w:ascii="Times New Roman" w:eastAsia="宋体" w:hAnsi="Times New Roman" w:cs="Times New Roman"/>
          <w:szCs w:val="21"/>
        </w:rPr>
        <w:t>）。因此，检察行政公益诉讼制度制度试点的实施首先对国有企业流向非国有企业的资产交易起到了一个重点监督作用。</w:t>
      </w:r>
    </w:p>
    <w:p w14:paraId="1BCD2F52" w14:textId="77777777" w:rsidR="00DE7EC6" w:rsidRPr="00857B61" w:rsidRDefault="00000000">
      <w:pPr>
        <w:ind w:firstLineChars="200" w:firstLine="420"/>
        <w:jc w:val="center"/>
        <w:rPr>
          <w:rFonts w:ascii="Times New Roman" w:eastAsia="楷体" w:hAnsi="Times New Roman" w:cs="宋体"/>
          <w:szCs w:val="21"/>
        </w:rPr>
      </w:pPr>
      <w:r w:rsidRPr="00857B61">
        <w:rPr>
          <w:rFonts w:ascii="Times New Roman" w:eastAsia="楷体" w:hAnsi="Times New Roman" w:cs="宋体" w:hint="eastAsia"/>
          <w:szCs w:val="21"/>
        </w:rPr>
        <w:t>表</w:t>
      </w:r>
      <w:r w:rsidRPr="00857B61">
        <w:rPr>
          <w:rFonts w:ascii="Times New Roman" w:eastAsia="楷体" w:hAnsi="Times New Roman" w:cs="宋体" w:hint="eastAsia"/>
          <w:szCs w:val="21"/>
        </w:rPr>
        <w:t xml:space="preserve">9 </w:t>
      </w:r>
      <w:r w:rsidRPr="00857B61">
        <w:rPr>
          <w:rFonts w:ascii="Times New Roman" w:eastAsia="楷体" w:hAnsi="Times New Roman" w:cs="宋体" w:hint="eastAsia"/>
          <w:szCs w:val="21"/>
        </w:rPr>
        <w:t>异质性分析回归结果</w:t>
      </w:r>
    </w:p>
    <w:tbl>
      <w:tblPr>
        <w:tblW w:w="4997" w:type="pct"/>
        <w:jc w:val="center"/>
        <w:tblBorders>
          <w:top w:val="single" w:sz="8" w:space="0" w:color="auto"/>
          <w:bottom w:val="single" w:sz="8" w:space="0" w:color="auto"/>
          <w:insideH w:val="single" w:sz="8" w:space="0" w:color="auto"/>
          <w:insideV w:val="single" w:sz="8" w:space="0" w:color="auto"/>
        </w:tblBorders>
        <w:tblLook w:val="04A0" w:firstRow="1" w:lastRow="0" w:firstColumn="1" w:lastColumn="0" w:noHBand="0" w:noVBand="1"/>
      </w:tblPr>
      <w:tblGrid>
        <w:gridCol w:w="1396"/>
        <w:gridCol w:w="1048"/>
        <w:gridCol w:w="931"/>
        <w:gridCol w:w="928"/>
        <w:gridCol w:w="931"/>
        <w:gridCol w:w="969"/>
        <w:gridCol w:w="909"/>
        <w:gridCol w:w="918"/>
        <w:gridCol w:w="969"/>
      </w:tblGrid>
      <w:tr w:rsidR="00857B61" w:rsidRPr="00857B61" w14:paraId="095C7D4F" w14:textId="77777777">
        <w:trPr>
          <w:jc w:val="center"/>
        </w:trPr>
        <w:tc>
          <w:tcPr>
            <w:tcW w:w="775" w:type="pct"/>
            <w:vMerge w:val="restart"/>
            <w:tcBorders>
              <w:tl2br w:val="nil"/>
              <w:tr2bl w:val="nil"/>
            </w:tcBorders>
            <w:vAlign w:val="center"/>
          </w:tcPr>
          <w:p w14:paraId="299D0C5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变量名称</w:t>
            </w:r>
          </w:p>
        </w:tc>
        <w:tc>
          <w:tcPr>
            <w:tcW w:w="582" w:type="pct"/>
            <w:tcBorders>
              <w:tl2br w:val="nil"/>
              <w:tr2bl w:val="nil"/>
            </w:tcBorders>
            <w:vAlign w:val="center"/>
          </w:tcPr>
          <w:p w14:paraId="08F0591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w:t>
            </w:r>
          </w:p>
        </w:tc>
        <w:tc>
          <w:tcPr>
            <w:tcW w:w="517" w:type="pct"/>
            <w:tcBorders>
              <w:tl2br w:val="nil"/>
              <w:tr2bl w:val="nil"/>
            </w:tcBorders>
            <w:vAlign w:val="center"/>
          </w:tcPr>
          <w:p w14:paraId="079703F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w:t>
            </w:r>
          </w:p>
        </w:tc>
        <w:tc>
          <w:tcPr>
            <w:tcW w:w="515" w:type="pct"/>
            <w:tcBorders>
              <w:tl2br w:val="nil"/>
              <w:tr2bl w:val="nil"/>
            </w:tcBorders>
            <w:vAlign w:val="center"/>
          </w:tcPr>
          <w:p w14:paraId="477F626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w:t>
            </w:r>
          </w:p>
        </w:tc>
        <w:tc>
          <w:tcPr>
            <w:tcW w:w="517" w:type="pct"/>
            <w:tcBorders>
              <w:tl2br w:val="nil"/>
              <w:tr2bl w:val="nil"/>
            </w:tcBorders>
            <w:vAlign w:val="center"/>
          </w:tcPr>
          <w:p w14:paraId="7CEE330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w:t>
            </w:r>
          </w:p>
        </w:tc>
        <w:tc>
          <w:tcPr>
            <w:tcW w:w="538" w:type="pct"/>
            <w:tcBorders>
              <w:tl2br w:val="nil"/>
              <w:tr2bl w:val="nil"/>
            </w:tcBorders>
            <w:vAlign w:val="center"/>
          </w:tcPr>
          <w:p w14:paraId="59285CD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5</w:t>
            </w:r>
            <w:r w:rsidRPr="00857B61">
              <w:rPr>
                <w:rFonts w:ascii="Times New Roman" w:eastAsia="宋体" w:hAnsi="Times New Roman" w:cs="Times New Roman"/>
                <w:szCs w:val="21"/>
              </w:rPr>
              <w:t>)</w:t>
            </w:r>
          </w:p>
        </w:tc>
        <w:tc>
          <w:tcPr>
            <w:tcW w:w="505" w:type="pct"/>
            <w:tcBorders>
              <w:tl2br w:val="nil"/>
              <w:tr2bl w:val="nil"/>
            </w:tcBorders>
            <w:vAlign w:val="center"/>
          </w:tcPr>
          <w:p w14:paraId="7C7DD70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6</w:t>
            </w:r>
            <w:r w:rsidRPr="00857B61">
              <w:rPr>
                <w:rFonts w:ascii="Times New Roman" w:eastAsia="宋体" w:hAnsi="Times New Roman" w:cs="Times New Roman"/>
                <w:szCs w:val="21"/>
              </w:rPr>
              <w:t>)</w:t>
            </w:r>
          </w:p>
        </w:tc>
        <w:tc>
          <w:tcPr>
            <w:tcW w:w="510" w:type="pct"/>
            <w:tcBorders>
              <w:tl2br w:val="nil"/>
              <w:tr2bl w:val="nil"/>
            </w:tcBorders>
            <w:vAlign w:val="center"/>
          </w:tcPr>
          <w:p w14:paraId="02AE1EB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7</w:t>
            </w:r>
            <w:r w:rsidRPr="00857B61">
              <w:rPr>
                <w:rFonts w:ascii="Times New Roman" w:eastAsia="宋体" w:hAnsi="Times New Roman" w:cs="Times New Roman"/>
                <w:szCs w:val="21"/>
              </w:rPr>
              <w:t>)</w:t>
            </w:r>
          </w:p>
        </w:tc>
        <w:tc>
          <w:tcPr>
            <w:tcW w:w="538" w:type="pct"/>
            <w:tcBorders>
              <w:tl2br w:val="nil"/>
              <w:tr2bl w:val="nil"/>
            </w:tcBorders>
            <w:vAlign w:val="center"/>
          </w:tcPr>
          <w:p w14:paraId="6CDD85A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8</w:t>
            </w:r>
            <w:r w:rsidRPr="00857B61">
              <w:rPr>
                <w:rFonts w:ascii="Times New Roman" w:eastAsia="宋体" w:hAnsi="Times New Roman" w:cs="Times New Roman"/>
                <w:szCs w:val="21"/>
              </w:rPr>
              <w:t>)</w:t>
            </w:r>
          </w:p>
        </w:tc>
      </w:tr>
      <w:tr w:rsidR="00857B61" w:rsidRPr="00857B61" w14:paraId="5A7AE62B" w14:textId="77777777">
        <w:trPr>
          <w:jc w:val="center"/>
        </w:trPr>
        <w:tc>
          <w:tcPr>
            <w:tcW w:w="775" w:type="pct"/>
            <w:vMerge/>
            <w:tcBorders>
              <w:tl2br w:val="nil"/>
              <w:tr2bl w:val="nil"/>
            </w:tcBorders>
            <w:vAlign w:val="center"/>
          </w:tcPr>
          <w:p w14:paraId="3C400801" w14:textId="77777777" w:rsidR="00DE7EC6" w:rsidRPr="00857B61" w:rsidRDefault="00DE7EC6">
            <w:pPr>
              <w:jc w:val="center"/>
              <w:rPr>
                <w:rFonts w:ascii="Times New Roman" w:eastAsia="宋体" w:hAnsi="Times New Roman" w:cs="Times New Roman"/>
                <w:szCs w:val="21"/>
              </w:rPr>
            </w:pPr>
          </w:p>
        </w:tc>
        <w:tc>
          <w:tcPr>
            <w:tcW w:w="582" w:type="pct"/>
            <w:tcBorders>
              <w:tl2br w:val="nil"/>
              <w:tr2bl w:val="nil"/>
            </w:tcBorders>
            <w:vAlign w:val="center"/>
          </w:tcPr>
          <w:p w14:paraId="7F7FF310" w14:textId="77777777" w:rsidR="00DE7EC6" w:rsidRPr="00857B61" w:rsidRDefault="00000000">
            <w:pPr>
              <w:jc w:val="center"/>
              <w:rPr>
                <w:rFonts w:ascii="Times New Roman" w:eastAsia="宋体" w:hAnsi="Times New Roman" w:cs="Times New Roman"/>
                <w:szCs w:val="21"/>
              </w:rPr>
            </w:pPr>
            <w:r w:rsidRPr="00857B61">
              <w:rPr>
                <w:rFonts w:eastAsia="宋体" w:hint="eastAsia"/>
                <w:szCs w:val="21"/>
              </w:rPr>
              <w:t>市及以下层级国企</w:t>
            </w:r>
          </w:p>
        </w:tc>
        <w:tc>
          <w:tcPr>
            <w:tcW w:w="517" w:type="pct"/>
            <w:tcBorders>
              <w:tl2br w:val="nil"/>
              <w:tr2bl w:val="nil"/>
            </w:tcBorders>
            <w:vAlign w:val="center"/>
          </w:tcPr>
          <w:p w14:paraId="6A9CB1CF" w14:textId="77777777" w:rsidR="00DE7EC6" w:rsidRPr="00857B61" w:rsidRDefault="00000000">
            <w:pPr>
              <w:rPr>
                <w:rFonts w:ascii="Times New Roman" w:eastAsia="宋体" w:hAnsi="Times New Roman" w:cs="Times New Roman"/>
                <w:szCs w:val="21"/>
              </w:rPr>
            </w:pPr>
            <w:r w:rsidRPr="00857B61">
              <w:rPr>
                <w:rFonts w:eastAsia="宋体" w:hint="eastAsia"/>
                <w:szCs w:val="21"/>
              </w:rPr>
              <w:t>省属国有企业</w:t>
            </w:r>
            <w:r w:rsidRPr="00857B61">
              <w:rPr>
                <w:rFonts w:ascii="Times New Roman" w:eastAsia="宋体" w:hAnsi="Times New Roman" w:cs="Times New Roman"/>
                <w:szCs w:val="21"/>
              </w:rPr>
              <w:t>/</w:t>
            </w:r>
            <w:r w:rsidRPr="00857B61">
              <w:rPr>
                <w:rFonts w:ascii="Times New Roman" w:eastAsia="宋体" w:hAnsi="Times New Roman" w:cs="Times New Roman"/>
                <w:szCs w:val="21"/>
              </w:rPr>
              <w:t>央企</w:t>
            </w:r>
          </w:p>
        </w:tc>
        <w:tc>
          <w:tcPr>
            <w:tcW w:w="515" w:type="pct"/>
            <w:tcBorders>
              <w:tl2br w:val="nil"/>
              <w:tr2bl w:val="nil"/>
            </w:tcBorders>
            <w:vAlign w:val="center"/>
          </w:tcPr>
          <w:p w14:paraId="185E3BE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买方为国企</w:t>
            </w:r>
          </w:p>
        </w:tc>
        <w:tc>
          <w:tcPr>
            <w:tcW w:w="517" w:type="pct"/>
            <w:tcBorders>
              <w:tl2br w:val="nil"/>
              <w:tr2bl w:val="nil"/>
            </w:tcBorders>
            <w:vAlign w:val="center"/>
          </w:tcPr>
          <w:p w14:paraId="722DB1E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买方非国企</w:t>
            </w:r>
          </w:p>
        </w:tc>
        <w:tc>
          <w:tcPr>
            <w:tcW w:w="538" w:type="pct"/>
            <w:tcBorders>
              <w:tl2br w:val="nil"/>
              <w:tr2bl w:val="nil"/>
            </w:tcBorders>
            <w:vAlign w:val="center"/>
          </w:tcPr>
          <w:p w14:paraId="5E0E338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跨省并购</w:t>
            </w:r>
          </w:p>
        </w:tc>
        <w:tc>
          <w:tcPr>
            <w:tcW w:w="505" w:type="pct"/>
            <w:tcBorders>
              <w:tl2br w:val="nil"/>
              <w:tr2bl w:val="nil"/>
            </w:tcBorders>
            <w:vAlign w:val="center"/>
          </w:tcPr>
          <w:p w14:paraId="61DC52D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非跨省并购</w:t>
            </w:r>
          </w:p>
        </w:tc>
        <w:tc>
          <w:tcPr>
            <w:tcW w:w="510" w:type="pct"/>
            <w:tcBorders>
              <w:tl2br w:val="nil"/>
              <w:tr2bl w:val="nil"/>
            </w:tcBorders>
            <w:vAlign w:val="center"/>
          </w:tcPr>
          <w:p w14:paraId="5C6382F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跨行业并购</w:t>
            </w:r>
          </w:p>
        </w:tc>
        <w:tc>
          <w:tcPr>
            <w:tcW w:w="538" w:type="pct"/>
            <w:tcBorders>
              <w:tl2br w:val="nil"/>
              <w:tr2bl w:val="nil"/>
            </w:tcBorders>
            <w:vAlign w:val="center"/>
          </w:tcPr>
          <w:p w14:paraId="70A3E45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非跨行业并购</w:t>
            </w:r>
          </w:p>
        </w:tc>
      </w:tr>
      <w:tr w:rsidR="00857B61" w:rsidRPr="00857B61" w14:paraId="49034189" w14:textId="77777777">
        <w:trPr>
          <w:trHeight w:val="604"/>
          <w:jc w:val="center"/>
        </w:trPr>
        <w:tc>
          <w:tcPr>
            <w:tcW w:w="775" w:type="pct"/>
            <w:tcBorders>
              <w:tl2br w:val="nil"/>
              <w:tr2bl w:val="nil"/>
            </w:tcBorders>
          </w:tcPr>
          <w:p w14:paraId="37DCEB72"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Treat</w:t>
            </w:r>
            <w:r w:rsidRPr="00857B61">
              <w:rPr>
                <w:rFonts w:ascii="Times New Roman" w:eastAsia="宋体" w:hAnsi="Times New Roman" w:cs="Times New Roman"/>
                <w:i/>
                <w:iCs/>
                <w:szCs w:val="21"/>
              </w:rPr>
              <w:t>*</w:t>
            </w:r>
            <w:r w:rsidRPr="00857B61">
              <w:rPr>
                <w:rFonts w:ascii="Times New Roman" w:eastAsia="宋体" w:hAnsi="Times New Roman" w:cs="Times New Roman" w:hint="eastAsia"/>
                <w:i/>
                <w:iCs/>
                <w:szCs w:val="21"/>
              </w:rPr>
              <w:t>Policy</w:t>
            </w:r>
          </w:p>
        </w:tc>
        <w:tc>
          <w:tcPr>
            <w:tcW w:w="582" w:type="pct"/>
            <w:tcBorders>
              <w:tl2br w:val="nil"/>
              <w:tr2bl w:val="nil"/>
            </w:tcBorders>
          </w:tcPr>
          <w:p w14:paraId="3141368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0.751*</w:t>
            </w:r>
          </w:p>
          <w:p w14:paraId="2DD4AE4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(6.59)</w:t>
            </w:r>
          </w:p>
        </w:tc>
        <w:tc>
          <w:tcPr>
            <w:tcW w:w="517" w:type="pct"/>
            <w:tcBorders>
              <w:tl2br w:val="nil"/>
              <w:tr2bl w:val="nil"/>
            </w:tcBorders>
          </w:tcPr>
          <w:p w14:paraId="532EDB9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1.139</w:t>
            </w:r>
          </w:p>
          <w:p w14:paraId="47AA3A9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(5.03)</w:t>
            </w:r>
          </w:p>
        </w:tc>
        <w:tc>
          <w:tcPr>
            <w:tcW w:w="515" w:type="pct"/>
            <w:tcBorders>
              <w:tl2br w:val="nil"/>
              <w:tr2bl w:val="nil"/>
            </w:tcBorders>
          </w:tcPr>
          <w:p w14:paraId="6896A8C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0.435</w:t>
            </w:r>
          </w:p>
          <w:p w14:paraId="76D649D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(2.25)</w:t>
            </w:r>
          </w:p>
        </w:tc>
        <w:tc>
          <w:tcPr>
            <w:tcW w:w="517" w:type="pct"/>
            <w:tcBorders>
              <w:tl2br w:val="nil"/>
              <w:tr2bl w:val="nil"/>
            </w:tcBorders>
          </w:tcPr>
          <w:p w14:paraId="15DB8BA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0.614**</w:t>
            </w:r>
          </w:p>
          <w:p w14:paraId="2288871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(15.89)</w:t>
            </w:r>
          </w:p>
        </w:tc>
        <w:tc>
          <w:tcPr>
            <w:tcW w:w="538" w:type="pct"/>
            <w:tcBorders>
              <w:tl2br w:val="nil"/>
              <w:tr2bl w:val="nil"/>
            </w:tcBorders>
          </w:tcPr>
          <w:p w14:paraId="6AB4456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1.317**</w:t>
            </w:r>
          </w:p>
          <w:p w14:paraId="20D6EFB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(35.51)</w:t>
            </w:r>
          </w:p>
        </w:tc>
        <w:tc>
          <w:tcPr>
            <w:tcW w:w="505" w:type="pct"/>
            <w:tcBorders>
              <w:tl2br w:val="nil"/>
              <w:tr2bl w:val="nil"/>
            </w:tcBorders>
          </w:tcPr>
          <w:p w14:paraId="70B6DF8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0.228</w:t>
            </w:r>
          </w:p>
          <w:p w14:paraId="32AAF42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(2.02)</w:t>
            </w:r>
          </w:p>
        </w:tc>
        <w:tc>
          <w:tcPr>
            <w:tcW w:w="510" w:type="pct"/>
            <w:tcBorders>
              <w:tl2br w:val="nil"/>
              <w:tr2bl w:val="nil"/>
            </w:tcBorders>
          </w:tcPr>
          <w:p w14:paraId="63660EA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0.258**</w:t>
            </w:r>
          </w:p>
          <w:p w14:paraId="5D4C1DB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(15.73)</w:t>
            </w:r>
          </w:p>
        </w:tc>
        <w:tc>
          <w:tcPr>
            <w:tcW w:w="538" w:type="pct"/>
            <w:tcBorders>
              <w:tl2br w:val="nil"/>
              <w:tr2bl w:val="nil"/>
            </w:tcBorders>
          </w:tcPr>
          <w:p w14:paraId="4C1DC10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0.169</w:t>
            </w:r>
          </w:p>
          <w:p w14:paraId="2C836D4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(0.13)</w:t>
            </w:r>
          </w:p>
        </w:tc>
      </w:tr>
      <w:tr w:rsidR="00857B61" w:rsidRPr="00857B61" w14:paraId="725A3F43" w14:textId="77777777">
        <w:trPr>
          <w:trHeight w:val="604"/>
          <w:jc w:val="center"/>
        </w:trPr>
        <w:tc>
          <w:tcPr>
            <w:tcW w:w="775" w:type="pct"/>
            <w:tcBorders>
              <w:tl2br w:val="nil"/>
              <w:tr2bl w:val="nil"/>
            </w:tcBorders>
          </w:tcPr>
          <w:p w14:paraId="1CF60654"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Treat</w:t>
            </w:r>
          </w:p>
        </w:tc>
        <w:tc>
          <w:tcPr>
            <w:tcW w:w="582" w:type="pct"/>
            <w:tcBorders>
              <w:tl2br w:val="nil"/>
              <w:tr2bl w:val="nil"/>
            </w:tcBorders>
          </w:tcPr>
          <w:p w14:paraId="255D8B0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0.595</w:t>
            </w:r>
          </w:p>
          <w:p w14:paraId="10AB3C1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(0.11)</w:t>
            </w:r>
          </w:p>
        </w:tc>
        <w:tc>
          <w:tcPr>
            <w:tcW w:w="517" w:type="pct"/>
            <w:tcBorders>
              <w:tl2br w:val="nil"/>
              <w:tr2bl w:val="nil"/>
            </w:tcBorders>
          </w:tcPr>
          <w:p w14:paraId="142D598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-6.524</w:t>
            </w:r>
          </w:p>
          <w:p w14:paraId="2AD0971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(-3.85)</w:t>
            </w:r>
          </w:p>
        </w:tc>
        <w:tc>
          <w:tcPr>
            <w:tcW w:w="515" w:type="pct"/>
            <w:tcBorders>
              <w:tl2br w:val="nil"/>
              <w:tr2bl w:val="nil"/>
            </w:tcBorders>
          </w:tcPr>
          <w:p w14:paraId="1F4026C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9.543</w:t>
            </w:r>
          </w:p>
          <w:p w14:paraId="7B1CF56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(3.85)</w:t>
            </w:r>
          </w:p>
        </w:tc>
        <w:tc>
          <w:tcPr>
            <w:tcW w:w="517" w:type="pct"/>
            <w:tcBorders>
              <w:tl2br w:val="nil"/>
              <w:tr2bl w:val="nil"/>
            </w:tcBorders>
          </w:tcPr>
          <w:p w14:paraId="20FEC74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-1.237</w:t>
            </w:r>
          </w:p>
          <w:p w14:paraId="692FF9C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(-0.45)</w:t>
            </w:r>
          </w:p>
        </w:tc>
        <w:tc>
          <w:tcPr>
            <w:tcW w:w="538" w:type="pct"/>
            <w:tcBorders>
              <w:tl2br w:val="nil"/>
              <w:tr2bl w:val="nil"/>
            </w:tcBorders>
          </w:tcPr>
          <w:p w14:paraId="708E6BA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-4.082</w:t>
            </w:r>
          </w:p>
          <w:p w14:paraId="22C6065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(-0.39)</w:t>
            </w:r>
          </w:p>
        </w:tc>
        <w:tc>
          <w:tcPr>
            <w:tcW w:w="505" w:type="pct"/>
            <w:tcBorders>
              <w:tl2br w:val="nil"/>
              <w:tr2bl w:val="nil"/>
            </w:tcBorders>
          </w:tcPr>
          <w:p w14:paraId="21EE3BD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5.359*</w:t>
            </w:r>
          </w:p>
          <w:p w14:paraId="4B7B0AE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(8.34)</w:t>
            </w:r>
          </w:p>
        </w:tc>
        <w:tc>
          <w:tcPr>
            <w:tcW w:w="510" w:type="pct"/>
            <w:tcBorders>
              <w:tl2br w:val="nil"/>
              <w:tr2bl w:val="nil"/>
            </w:tcBorders>
          </w:tcPr>
          <w:p w14:paraId="4A5D877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-0.007</w:t>
            </w:r>
          </w:p>
          <w:p w14:paraId="0123F59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(-0.00)</w:t>
            </w:r>
          </w:p>
        </w:tc>
        <w:tc>
          <w:tcPr>
            <w:tcW w:w="538" w:type="pct"/>
            <w:tcBorders>
              <w:tl2br w:val="nil"/>
              <w:tr2bl w:val="nil"/>
            </w:tcBorders>
          </w:tcPr>
          <w:p w14:paraId="5B91959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5.840*</w:t>
            </w:r>
          </w:p>
          <w:p w14:paraId="7B25C09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(7.73)</w:t>
            </w:r>
          </w:p>
        </w:tc>
      </w:tr>
      <w:tr w:rsidR="00857B61" w:rsidRPr="00857B61" w14:paraId="4E7BA9D1" w14:textId="77777777">
        <w:trPr>
          <w:trHeight w:val="604"/>
          <w:jc w:val="center"/>
        </w:trPr>
        <w:tc>
          <w:tcPr>
            <w:tcW w:w="775" w:type="pct"/>
            <w:tcBorders>
              <w:tl2br w:val="nil"/>
              <w:tr2bl w:val="nil"/>
            </w:tcBorders>
          </w:tcPr>
          <w:p w14:paraId="0B39E873"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Policy</w:t>
            </w:r>
          </w:p>
        </w:tc>
        <w:tc>
          <w:tcPr>
            <w:tcW w:w="582" w:type="pct"/>
            <w:tcBorders>
              <w:tl2br w:val="nil"/>
              <w:tr2bl w:val="nil"/>
            </w:tcBorders>
          </w:tcPr>
          <w:p w14:paraId="4797480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1.215</w:t>
            </w:r>
          </w:p>
          <w:p w14:paraId="11B36D5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(1.66)</w:t>
            </w:r>
          </w:p>
        </w:tc>
        <w:tc>
          <w:tcPr>
            <w:tcW w:w="517" w:type="pct"/>
            <w:tcBorders>
              <w:tl2br w:val="nil"/>
              <w:tr2bl w:val="nil"/>
            </w:tcBorders>
          </w:tcPr>
          <w:p w14:paraId="2B75936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-5.225</w:t>
            </w:r>
          </w:p>
          <w:p w14:paraId="58A5454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(-1.42)</w:t>
            </w:r>
          </w:p>
        </w:tc>
        <w:tc>
          <w:tcPr>
            <w:tcW w:w="515" w:type="pct"/>
            <w:tcBorders>
              <w:tl2br w:val="nil"/>
              <w:tr2bl w:val="nil"/>
            </w:tcBorders>
          </w:tcPr>
          <w:p w14:paraId="5760046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0.660</w:t>
            </w:r>
          </w:p>
          <w:p w14:paraId="1996633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(2.21)</w:t>
            </w:r>
          </w:p>
        </w:tc>
        <w:tc>
          <w:tcPr>
            <w:tcW w:w="517" w:type="pct"/>
            <w:tcBorders>
              <w:tl2br w:val="nil"/>
              <w:tr2bl w:val="nil"/>
            </w:tcBorders>
          </w:tcPr>
          <w:p w14:paraId="3969603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1.608</w:t>
            </w:r>
          </w:p>
          <w:p w14:paraId="1A9C138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(1.74)</w:t>
            </w:r>
          </w:p>
        </w:tc>
        <w:tc>
          <w:tcPr>
            <w:tcW w:w="538" w:type="pct"/>
            <w:tcBorders>
              <w:tl2br w:val="nil"/>
              <w:tr2bl w:val="nil"/>
            </w:tcBorders>
          </w:tcPr>
          <w:p w14:paraId="70A56F0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-1.934</w:t>
            </w:r>
          </w:p>
          <w:p w14:paraId="15A0D1E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(-0.63)</w:t>
            </w:r>
          </w:p>
        </w:tc>
        <w:tc>
          <w:tcPr>
            <w:tcW w:w="505" w:type="pct"/>
            <w:tcBorders>
              <w:tl2br w:val="nil"/>
              <w:tr2bl w:val="nil"/>
            </w:tcBorders>
          </w:tcPr>
          <w:p w14:paraId="55A1890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1.293</w:t>
            </w:r>
          </w:p>
          <w:p w14:paraId="3112798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(0.29)</w:t>
            </w:r>
          </w:p>
        </w:tc>
        <w:tc>
          <w:tcPr>
            <w:tcW w:w="510" w:type="pct"/>
            <w:tcBorders>
              <w:tl2br w:val="nil"/>
              <w:tr2bl w:val="nil"/>
            </w:tcBorders>
          </w:tcPr>
          <w:p w14:paraId="2CCE164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0.620</w:t>
            </w:r>
          </w:p>
          <w:p w14:paraId="7939658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(1.03)</w:t>
            </w:r>
          </w:p>
        </w:tc>
        <w:tc>
          <w:tcPr>
            <w:tcW w:w="538" w:type="pct"/>
            <w:tcBorders>
              <w:tl2br w:val="nil"/>
              <w:tr2bl w:val="nil"/>
            </w:tcBorders>
          </w:tcPr>
          <w:p w14:paraId="29F8CDA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4.288</w:t>
            </w:r>
          </w:p>
          <w:p w14:paraId="48F7336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(4.92)</w:t>
            </w:r>
          </w:p>
        </w:tc>
      </w:tr>
      <w:tr w:rsidR="00857B61" w:rsidRPr="00857B61" w14:paraId="2945C667" w14:textId="77777777">
        <w:trPr>
          <w:jc w:val="center"/>
        </w:trPr>
        <w:tc>
          <w:tcPr>
            <w:tcW w:w="775" w:type="pct"/>
            <w:tcBorders>
              <w:tl2br w:val="nil"/>
              <w:tr2bl w:val="nil"/>
            </w:tcBorders>
          </w:tcPr>
          <w:p w14:paraId="792EA7FD" w14:textId="77777777" w:rsidR="00DE7EC6" w:rsidRPr="00857B61" w:rsidRDefault="00000000">
            <w:pPr>
              <w:jc w:val="center"/>
              <w:rPr>
                <w:rFonts w:ascii="Times New Roman" w:eastAsia="宋体" w:hAnsi="Times New Roman" w:cs="Times New Roman"/>
                <w:szCs w:val="21"/>
              </w:rPr>
            </w:pPr>
            <w:r w:rsidRPr="00857B61">
              <w:rPr>
                <w:rFonts w:ascii="Times New Roman" w:hAnsi="Times New Roman" w:cs="Times New Roman"/>
                <w:i/>
                <w:iCs/>
                <w:szCs w:val="21"/>
              </w:rPr>
              <w:t>ROA</w:t>
            </w:r>
          </w:p>
        </w:tc>
        <w:tc>
          <w:tcPr>
            <w:tcW w:w="582" w:type="pct"/>
            <w:tcBorders>
              <w:tl2br w:val="nil"/>
              <w:tr2bl w:val="nil"/>
            </w:tcBorders>
          </w:tcPr>
          <w:p w14:paraId="0DEF98C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3.273**</w:t>
            </w:r>
          </w:p>
          <w:p w14:paraId="3BC524D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(19.45)</w:t>
            </w:r>
          </w:p>
        </w:tc>
        <w:tc>
          <w:tcPr>
            <w:tcW w:w="517" w:type="pct"/>
            <w:tcBorders>
              <w:tl2br w:val="nil"/>
              <w:tr2bl w:val="nil"/>
            </w:tcBorders>
          </w:tcPr>
          <w:p w14:paraId="15244E4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1.093</w:t>
            </w:r>
          </w:p>
          <w:p w14:paraId="2CDC271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(0.06)</w:t>
            </w:r>
          </w:p>
        </w:tc>
        <w:tc>
          <w:tcPr>
            <w:tcW w:w="515" w:type="pct"/>
            <w:tcBorders>
              <w:tl2br w:val="nil"/>
              <w:tr2bl w:val="nil"/>
            </w:tcBorders>
          </w:tcPr>
          <w:p w14:paraId="14D4EF7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-5.117</w:t>
            </w:r>
          </w:p>
          <w:p w14:paraId="47F31B4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(-1.05)</w:t>
            </w:r>
          </w:p>
        </w:tc>
        <w:tc>
          <w:tcPr>
            <w:tcW w:w="517" w:type="pct"/>
            <w:tcBorders>
              <w:tl2br w:val="nil"/>
              <w:tr2bl w:val="nil"/>
            </w:tcBorders>
          </w:tcPr>
          <w:p w14:paraId="5469EFA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12.165</w:t>
            </w:r>
          </w:p>
          <w:p w14:paraId="7F1B750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(1.81)</w:t>
            </w:r>
          </w:p>
        </w:tc>
        <w:tc>
          <w:tcPr>
            <w:tcW w:w="538" w:type="pct"/>
            <w:tcBorders>
              <w:tl2br w:val="nil"/>
              <w:tr2bl w:val="nil"/>
            </w:tcBorders>
          </w:tcPr>
          <w:p w14:paraId="5B64FFC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3.574</w:t>
            </w:r>
          </w:p>
          <w:p w14:paraId="4CB47F2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(0.12)</w:t>
            </w:r>
          </w:p>
        </w:tc>
        <w:tc>
          <w:tcPr>
            <w:tcW w:w="505" w:type="pct"/>
            <w:tcBorders>
              <w:tl2br w:val="nil"/>
              <w:tr2bl w:val="nil"/>
            </w:tcBorders>
          </w:tcPr>
          <w:p w14:paraId="437E040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-0.548</w:t>
            </w:r>
          </w:p>
          <w:p w14:paraId="546D881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(-4.29)</w:t>
            </w:r>
          </w:p>
        </w:tc>
        <w:tc>
          <w:tcPr>
            <w:tcW w:w="510" w:type="pct"/>
            <w:tcBorders>
              <w:tl2br w:val="nil"/>
              <w:tr2bl w:val="nil"/>
            </w:tcBorders>
          </w:tcPr>
          <w:p w14:paraId="090AA46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3.430*</w:t>
            </w:r>
          </w:p>
          <w:p w14:paraId="78512F1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(10.91)</w:t>
            </w:r>
          </w:p>
        </w:tc>
        <w:tc>
          <w:tcPr>
            <w:tcW w:w="538" w:type="pct"/>
            <w:tcBorders>
              <w:tl2br w:val="nil"/>
              <w:tr2bl w:val="nil"/>
            </w:tcBorders>
          </w:tcPr>
          <w:p w14:paraId="5D89AB3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-15.780</w:t>
            </w:r>
          </w:p>
          <w:p w14:paraId="0579B5F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(-0.92)</w:t>
            </w:r>
          </w:p>
        </w:tc>
      </w:tr>
      <w:tr w:rsidR="00857B61" w:rsidRPr="00857B61" w14:paraId="0D97A629" w14:textId="77777777">
        <w:trPr>
          <w:jc w:val="center"/>
        </w:trPr>
        <w:tc>
          <w:tcPr>
            <w:tcW w:w="775" w:type="pct"/>
            <w:tcBorders>
              <w:tl2br w:val="nil"/>
              <w:tr2bl w:val="nil"/>
            </w:tcBorders>
          </w:tcPr>
          <w:p w14:paraId="74D92DD0" w14:textId="77777777" w:rsidR="00DE7EC6" w:rsidRPr="00857B61" w:rsidRDefault="00000000">
            <w:pPr>
              <w:jc w:val="center"/>
              <w:rPr>
                <w:rFonts w:ascii="Times New Roman" w:eastAsia="宋体" w:hAnsi="Times New Roman" w:cs="Times New Roman"/>
                <w:szCs w:val="21"/>
              </w:rPr>
            </w:pPr>
            <w:r w:rsidRPr="00857B61">
              <w:rPr>
                <w:rFonts w:ascii="Times New Roman" w:hAnsi="Times New Roman" w:cs="Times New Roman"/>
                <w:i/>
                <w:iCs/>
                <w:szCs w:val="21"/>
              </w:rPr>
              <w:t>Ls</w:t>
            </w:r>
          </w:p>
        </w:tc>
        <w:tc>
          <w:tcPr>
            <w:tcW w:w="582" w:type="pct"/>
            <w:tcBorders>
              <w:tl2br w:val="nil"/>
              <w:tr2bl w:val="nil"/>
            </w:tcBorders>
          </w:tcPr>
          <w:p w14:paraId="4ABF80F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-1.378</w:t>
            </w:r>
          </w:p>
          <w:p w14:paraId="2FC28B7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(-1.01)</w:t>
            </w:r>
          </w:p>
        </w:tc>
        <w:tc>
          <w:tcPr>
            <w:tcW w:w="517" w:type="pct"/>
            <w:tcBorders>
              <w:tl2br w:val="nil"/>
              <w:tr2bl w:val="nil"/>
            </w:tcBorders>
          </w:tcPr>
          <w:p w14:paraId="556D665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-4.015*</w:t>
            </w:r>
          </w:p>
          <w:p w14:paraId="60FBF91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(-11.14)</w:t>
            </w:r>
          </w:p>
        </w:tc>
        <w:tc>
          <w:tcPr>
            <w:tcW w:w="515" w:type="pct"/>
            <w:tcBorders>
              <w:tl2br w:val="nil"/>
              <w:tr2bl w:val="nil"/>
            </w:tcBorders>
          </w:tcPr>
          <w:p w14:paraId="3D8FA6E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-0.922*</w:t>
            </w:r>
          </w:p>
          <w:p w14:paraId="4B027A3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(-11.60)</w:t>
            </w:r>
          </w:p>
        </w:tc>
        <w:tc>
          <w:tcPr>
            <w:tcW w:w="517" w:type="pct"/>
            <w:tcBorders>
              <w:tl2br w:val="nil"/>
              <w:tr2bl w:val="nil"/>
            </w:tcBorders>
          </w:tcPr>
          <w:p w14:paraId="3917F78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0.991</w:t>
            </w:r>
          </w:p>
          <w:p w14:paraId="677F1A6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(0.98)</w:t>
            </w:r>
          </w:p>
        </w:tc>
        <w:tc>
          <w:tcPr>
            <w:tcW w:w="538" w:type="pct"/>
            <w:tcBorders>
              <w:tl2br w:val="nil"/>
              <w:tr2bl w:val="nil"/>
            </w:tcBorders>
          </w:tcPr>
          <w:p w14:paraId="1224DC0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1.526</w:t>
            </w:r>
          </w:p>
          <w:p w14:paraId="2B18CC2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(1.07)</w:t>
            </w:r>
          </w:p>
        </w:tc>
        <w:tc>
          <w:tcPr>
            <w:tcW w:w="505" w:type="pct"/>
            <w:tcBorders>
              <w:tl2br w:val="nil"/>
              <w:tr2bl w:val="nil"/>
            </w:tcBorders>
          </w:tcPr>
          <w:p w14:paraId="715C0FE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-1.458</w:t>
            </w:r>
          </w:p>
          <w:p w14:paraId="73DB5C7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(-1.62)</w:t>
            </w:r>
          </w:p>
        </w:tc>
        <w:tc>
          <w:tcPr>
            <w:tcW w:w="510" w:type="pct"/>
            <w:tcBorders>
              <w:tl2br w:val="nil"/>
              <w:tr2bl w:val="nil"/>
            </w:tcBorders>
          </w:tcPr>
          <w:p w14:paraId="417861E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-0.545</w:t>
            </w:r>
          </w:p>
          <w:p w14:paraId="4250DF2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(-0.36)</w:t>
            </w:r>
          </w:p>
        </w:tc>
        <w:tc>
          <w:tcPr>
            <w:tcW w:w="538" w:type="pct"/>
            <w:tcBorders>
              <w:tl2br w:val="nil"/>
              <w:tr2bl w:val="nil"/>
            </w:tcBorders>
          </w:tcPr>
          <w:p w14:paraId="338E3EF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3.446</w:t>
            </w:r>
          </w:p>
          <w:p w14:paraId="7311D14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(3.53)</w:t>
            </w:r>
          </w:p>
        </w:tc>
      </w:tr>
      <w:tr w:rsidR="00857B61" w:rsidRPr="00857B61" w14:paraId="5CE04950" w14:textId="77777777">
        <w:trPr>
          <w:jc w:val="center"/>
        </w:trPr>
        <w:tc>
          <w:tcPr>
            <w:tcW w:w="775" w:type="pct"/>
            <w:tcBorders>
              <w:tl2br w:val="nil"/>
              <w:tr2bl w:val="nil"/>
            </w:tcBorders>
          </w:tcPr>
          <w:p w14:paraId="0DCE1A16" w14:textId="77777777" w:rsidR="00DE7EC6" w:rsidRPr="00857B61" w:rsidRDefault="00000000">
            <w:pPr>
              <w:jc w:val="center"/>
              <w:rPr>
                <w:rFonts w:ascii="Times New Roman" w:eastAsia="宋体" w:hAnsi="Times New Roman" w:cs="Times New Roman"/>
                <w:szCs w:val="21"/>
              </w:rPr>
            </w:pPr>
            <w:r w:rsidRPr="00857B61">
              <w:rPr>
                <w:rFonts w:ascii="Times New Roman" w:hAnsi="Times New Roman" w:cs="Times New Roman"/>
                <w:i/>
                <w:iCs/>
                <w:szCs w:val="21"/>
              </w:rPr>
              <w:t>Lev</w:t>
            </w:r>
          </w:p>
        </w:tc>
        <w:tc>
          <w:tcPr>
            <w:tcW w:w="582" w:type="pct"/>
            <w:tcBorders>
              <w:tl2br w:val="nil"/>
              <w:tr2bl w:val="nil"/>
            </w:tcBorders>
          </w:tcPr>
          <w:p w14:paraId="36CB716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-0.153</w:t>
            </w:r>
          </w:p>
          <w:p w14:paraId="35C9FA6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(-0.07)</w:t>
            </w:r>
          </w:p>
        </w:tc>
        <w:tc>
          <w:tcPr>
            <w:tcW w:w="517" w:type="pct"/>
            <w:tcBorders>
              <w:tl2br w:val="nil"/>
              <w:tr2bl w:val="nil"/>
            </w:tcBorders>
          </w:tcPr>
          <w:p w14:paraId="2097D23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-0.251</w:t>
            </w:r>
          </w:p>
          <w:p w14:paraId="7B67E2B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(-0.38)</w:t>
            </w:r>
          </w:p>
        </w:tc>
        <w:tc>
          <w:tcPr>
            <w:tcW w:w="515" w:type="pct"/>
            <w:tcBorders>
              <w:tl2br w:val="nil"/>
              <w:tr2bl w:val="nil"/>
            </w:tcBorders>
          </w:tcPr>
          <w:p w14:paraId="5B72624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0.853</w:t>
            </w:r>
          </w:p>
          <w:p w14:paraId="4E31DE5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(0.80)</w:t>
            </w:r>
          </w:p>
        </w:tc>
        <w:tc>
          <w:tcPr>
            <w:tcW w:w="517" w:type="pct"/>
            <w:tcBorders>
              <w:tl2br w:val="nil"/>
              <w:tr2bl w:val="nil"/>
            </w:tcBorders>
          </w:tcPr>
          <w:p w14:paraId="6A2B9C8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1.564*</w:t>
            </w:r>
          </w:p>
          <w:p w14:paraId="2621AB1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(7.70)</w:t>
            </w:r>
          </w:p>
        </w:tc>
        <w:tc>
          <w:tcPr>
            <w:tcW w:w="538" w:type="pct"/>
            <w:tcBorders>
              <w:tl2br w:val="nil"/>
              <w:tr2bl w:val="nil"/>
            </w:tcBorders>
          </w:tcPr>
          <w:p w14:paraId="74AE1B7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5.058</w:t>
            </w:r>
          </w:p>
          <w:p w14:paraId="5661DE8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(1.88)</w:t>
            </w:r>
          </w:p>
        </w:tc>
        <w:tc>
          <w:tcPr>
            <w:tcW w:w="505" w:type="pct"/>
            <w:tcBorders>
              <w:tl2br w:val="nil"/>
              <w:tr2bl w:val="nil"/>
            </w:tcBorders>
          </w:tcPr>
          <w:p w14:paraId="03A2E9F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-0.774</w:t>
            </w:r>
          </w:p>
          <w:p w14:paraId="1BF5708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(-0.39)</w:t>
            </w:r>
          </w:p>
        </w:tc>
        <w:tc>
          <w:tcPr>
            <w:tcW w:w="510" w:type="pct"/>
            <w:tcBorders>
              <w:tl2br w:val="nil"/>
              <w:tr2bl w:val="nil"/>
            </w:tcBorders>
          </w:tcPr>
          <w:p w14:paraId="31EBE5A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0.830</w:t>
            </w:r>
          </w:p>
          <w:p w14:paraId="41D6315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(0.48)</w:t>
            </w:r>
          </w:p>
        </w:tc>
        <w:tc>
          <w:tcPr>
            <w:tcW w:w="538" w:type="pct"/>
            <w:tcBorders>
              <w:tl2br w:val="nil"/>
              <w:tr2bl w:val="nil"/>
            </w:tcBorders>
          </w:tcPr>
          <w:p w14:paraId="513022E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-2.546</w:t>
            </w:r>
          </w:p>
          <w:p w14:paraId="3EB9117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(-0.76)</w:t>
            </w:r>
          </w:p>
        </w:tc>
      </w:tr>
      <w:tr w:rsidR="00857B61" w:rsidRPr="00857B61" w14:paraId="51DB02F7" w14:textId="77777777">
        <w:trPr>
          <w:jc w:val="center"/>
        </w:trPr>
        <w:tc>
          <w:tcPr>
            <w:tcW w:w="775" w:type="pct"/>
            <w:tcBorders>
              <w:tl2br w:val="nil"/>
              <w:tr2bl w:val="nil"/>
            </w:tcBorders>
          </w:tcPr>
          <w:p w14:paraId="236973A8" w14:textId="77777777" w:rsidR="00DE7EC6" w:rsidRPr="00857B61" w:rsidRDefault="00000000">
            <w:pPr>
              <w:jc w:val="center"/>
              <w:rPr>
                <w:rFonts w:ascii="Times New Roman" w:eastAsia="宋体" w:hAnsi="Times New Roman" w:cs="Times New Roman"/>
                <w:szCs w:val="21"/>
              </w:rPr>
            </w:pPr>
            <w:r w:rsidRPr="00857B61">
              <w:rPr>
                <w:rFonts w:ascii="Times New Roman" w:hAnsi="Times New Roman" w:cs="Times New Roman"/>
                <w:i/>
                <w:iCs/>
                <w:szCs w:val="21"/>
              </w:rPr>
              <w:t>Marketization</w:t>
            </w:r>
          </w:p>
        </w:tc>
        <w:tc>
          <w:tcPr>
            <w:tcW w:w="582" w:type="pct"/>
            <w:tcBorders>
              <w:tl2br w:val="nil"/>
              <w:tr2bl w:val="nil"/>
            </w:tcBorders>
          </w:tcPr>
          <w:p w14:paraId="1F86B59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-0.121</w:t>
            </w:r>
          </w:p>
          <w:p w14:paraId="0DF15F9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(-0.21)</w:t>
            </w:r>
          </w:p>
        </w:tc>
        <w:tc>
          <w:tcPr>
            <w:tcW w:w="517" w:type="pct"/>
            <w:tcBorders>
              <w:tl2br w:val="nil"/>
              <w:tr2bl w:val="nil"/>
            </w:tcBorders>
          </w:tcPr>
          <w:p w14:paraId="7FECCF6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0.889</w:t>
            </w:r>
          </w:p>
          <w:p w14:paraId="3ADCF74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(2.35)</w:t>
            </w:r>
          </w:p>
        </w:tc>
        <w:tc>
          <w:tcPr>
            <w:tcW w:w="515" w:type="pct"/>
            <w:tcBorders>
              <w:tl2br w:val="nil"/>
              <w:tr2bl w:val="nil"/>
            </w:tcBorders>
          </w:tcPr>
          <w:p w14:paraId="4A06873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-0.503</w:t>
            </w:r>
          </w:p>
          <w:p w14:paraId="777DA2C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(-6.23)</w:t>
            </w:r>
          </w:p>
        </w:tc>
        <w:tc>
          <w:tcPr>
            <w:tcW w:w="517" w:type="pct"/>
            <w:tcBorders>
              <w:tl2br w:val="nil"/>
              <w:tr2bl w:val="nil"/>
            </w:tcBorders>
          </w:tcPr>
          <w:p w14:paraId="29DA20F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0.337</w:t>
            </w:r>
          </w:p>
          <w:p w14:paraId="303006B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(1.72)</w:t>
            </w:r>
          </w:p>
        </w:tc>
        <w:tc>
          <w:tcPr>
            <w:tcW w:w="538" w:type="pct"/>
            <w:tcBorders>
              <w:tl2br w:val="nil"/>
              <w:tr2bl w:val="nil"/>
            </w:tcBorders>
          </w:tcPr>
          <w:p w14:paraId="3D7D6F0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0.525</w:t>
            </w:r>
          </w:p>
          <w:p w14:paraId="1019E26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(0.42)</w:t>
            </w:r>
          </w:p>
        </w:tc>
        <w:tc>
          <w:tcPr>
            <w:tcW w:w="505" w:type="pct"/>
            <w:tcBorders>
              <w:tl2br w:val="nil"/>
              <w:tr2bl w:val="nil"/>
            </w:tcBorders>
          </w:tcPr>
          <w:p w14:paraId="4C10128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-0.233</w:t>
            </w:r>
          </w:p>
          <w:p w14:paraId="1FA31E2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(-0.63)</w:t>
            </w:r>
          </w:p>
        </w:tc>
        <w:tc>
          <w:tcPr>
            <w:tcW w:w="510" w:type="pct"/>
            <w:tcBorders>
              <w:tl2br w:val="nil"/>
              <w:tr2bl w:val="nil"/>
            </w:tcBorders>
          </w:tcPr>
          <w:p w14:paraId="4FC8B3F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0.013</w:t>
            </w:r>
          </w:p>
          <w:p w14:paraId="61AC862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(0.07)</w:t>
            </w:r>
          </w:p>
        </w:tc>
        <w:tc>
          <w:tcPr>
            <w:tcW w:w="538" w:type="pct"/>
            <w:tcBorders>
              <w:tl2br w:val="nil"/>
              <w:tr2bl w:val="nil"/>
            </w:tcBorders>
          </w:tcPr>
          <w:p w14:paraId="32A3A9A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-0.228</w:t>
            </w:r>
          </w:p>
          <w:p w14:paraId="4BB09F4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(-0.76)</w:t>
            </w:r>
          </w:p>
        </w:tc>
      </w:tr>
      <w:tr w:rsidR="00857B61" w:rsidRPr="00857B61" w14:paraId="35D77DCF" w14:textId="77777777">
        <w:trPr>
          <w:jc w:val="center"/>
        </w:trPr>
        <w:tc>
          <w:tcPr>
            <w:tcW w:w="775" w:type="pct"/>
            <w:tcBorders>
              <w:tl2br w:val="nil"/>
              <w:tr2bl w:val="nil"/>
            </w:tcBorders>
          </w:tcPr>
          <w:p w14:paraId="5A0DA2F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i/>
                <w:iCs/>
                <w:szCs w:val="21"/>
              </w:rPr>
              <w:t>PGDP</w:t>
            </w:r>
          </w:p>
        </w:tc>
        <w:tc>
          <w:tcPr>
            <w:tcW w:w="582" w:type="pct"/>
            <w:tcBorders>
              <w:tl2br w:val="nil"/>
              <w:tr2bl w:val="nil"/>
            </w:tcBorders>
          </w:tcPr>
          <w:p w14:paraId="58317A0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-4.112</w:t>
            </w:r>
          </w:p>
          <w:p w14:paraId="7D2437E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(-4.56)</w:t>
            </w:r>
          </w:p>
        </w:tc>
        <w:tc>
          <w:tcPr>
            <w:tcW w:w="517" w:type="pct"/>
            <w:tcBorders>
              <w:tl2br w:val="nil"/>
              <w:tr2bl w:val="nil"/>
            </w:tcBorders>
          </w:tcPr>
          <w:p w14:paraId="7180E04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5.474</w:t>
            </w:r>
          </w:p>
          <w:p w14:paraId="7828AAF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(2.32)</w:t>
            </w:r>
          </w:p>
        </w:tc>
        <w:tc>
          <w:tcPr>
            <w:tcW w:w="515" w:type="pct"/>
            <w:tcBorders>
              <w:tl2br w:val="nil"/>
              <w:tr2bl w:val="nil"/>
            </w:tcBorders>
          </w:tcPr>
          <w:p w14:paraId="4B34390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1.042</w:t>
            </w:r>
          </w:p>
          <w:p w14:paraId="2D7C6CE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(3.78)</w:t>
            </w:r>
          </w:p>
        </w:tc>
        <w:tc>
          <w:tcPr>
            <w:tcW w:w="517" w:type="pct"/>
            <w:tcBorders>
              <w:tl2br w:val="nil"/>
              <w:tr2bl w:val="nil"/>
            </w:tcBorders>
          </w:tcPr>
          <w:p w14:paraId="196BA07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-2.364</w:t>
            </w:r>
          </w:p>
          <w:p w14:paraId="50F7729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(-1.08)</w:t>
            </w:r>
          </w:p>
        </w:tc>
        <w:tc>
          <w:tcPr>
            <w:tcW w:w="538" w:type="pct"/>
            <w:tcBorders>
              <w:tl2br w:val="nil"/>
              <w:tr2bl w:val="nil"/>
            </w:tcBorders>
          </w:tcPr>
          <w:p w14:paraId="3FF496C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3.073*</w:t>
            </w:r>
          </w:p>
          <w:p w14:paraId="2549FEE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(8.58)</w:t>
            </w:r>
          </w:p>
        </w:tc>
        <w:tc>
          <w:tcPr>
            <w:tcW w:w="505" w:type="pct"/>
            <w:tcBorders>
              <w:tl2br w:val="nil"/>
              <w:tr2bl w:val="nil"/>
            </w:tcBorders>
          </w:tcPr>
          <w:p w14:paraId="22C5BCB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-1.310</w:t>
            </w:r>
          </w:p>
          <w:p w14:paraId="16E6750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(-0.32)</w:t>
            </w:r>
          </w:p>
        </w:tc>
        <w:tc>
          <w:tcPr>
            <w:tcW w:w="510" w:type="pct"/>
            <w:tcBorders>
              <w:tl2br w:val="nil"/>
              <w:tr2bl w:val="nil"/>
            </w:tcBorders>
          </w:tcPr>
          <w:p w14:paraId="22255E1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-0.880</w:t>
            </w:r>
          </w:p>
          <w:p w14:paraId="0E98A26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(-0.88)</w:t>
            </w:r>
          </w:p>
        </w:tc>
        <w:tc>
          <w:tcPr>
            <w:tcW w:w="538" w:type="pct"/>
            <w:tcBorders>
              <w:tl2br w:val="nil"/>
              <w:tr2bl w:val="nil"/>
            </w:tcBorders>
          </w:tcPr>
          <w:p w14:paraId="109B2CC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-2.577</w:t>
            </w:r>
          </w:p>
          <w:p w14:paraId="2C117C3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(-0.66)</w:t>
            </w:r>
          </w:p>
        </w:tc>
      </w:tr>
      <w:tr w:rsidR="00857B61" w:rsidRPr="00857B61" w14:paraId="22CCECFD" w14:textId="77777777">
        <w:trPr>
          <w:jc w:val="center"/>
        </w:trPr>
        <w:tc>
          <w:tcPr>
            <w:tcW w:w="775" w:type="pct"/>
            <w:tcBorders>
              <w:tl2br w:val="nil"/>
              <w:tr2bl w:val="nil"/>
            </w:tcBorders>
          </w:tcPr>
          <w:p w14:paraId="270245A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i/>
                <w:iCs/>
                <w:szCs w:val="21"/>
              </w:rPr>
              <w:t>Revenue</w:t>
            </w:r>
          </w:p>
        </w:tc>
        <w:tc>
          <w:tcPr>
            <w:tcW w:w="582" w:type="pct"/>
            <w:tcBorders>
              <w:tl2br w:val="nil"/>
              <w:tr2bl w:val="nil"/>
            </w:tcBorders>
          </w:tcPr>
          <w:p w14:paraId="1D367D7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0.828</w:t>
            </w:r>
          </w:p>
          <w:p w14:paraId="4E77423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(2.07)</w:t>
            </w:r>
          </w:p>
        </w:tc>
        <w:tc>
          <w:tcPr>
            <w:tcW w:w="517" w:type="pct"/>
            <w:tcBorders>
              <w:tl2br w:val="nil"/>
              <w:tr2bl w:val="nil"/>
            </w:tcBorders>
          </w:tcPr>
          <w:p w14:paraId="50346D4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0.106</w:t>
            </w:r>
          </w:p>
          <w:p w14:paraId="0652390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(0.28)</w:t>
            </w:r>
          </w:p>
        </w:tc>
        <w:tc>
          <w:tcPr>
            <w:tcW w:w="515" w:type="pct"/>
            <w:tcBorders>
              <w:tl2br w:val="nil"/>
              <w:tr2bl w:val="nil"/>
            </w:tcBorders>
          </w:tcPr>
          <w:p w14:paraId="1B63A14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-1.011</w:t>
            </w:r>
          </w:p>
          <w:p w14:paraId="582E2C4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(-2.80)</w:t>
            </w:r>
          </w:p>
        </w:tc>
        <w:tc>
          <w:tcPr>
            <w:tcW w:w="517" w:type="pct"/>
            <w:tcBorders>
              <w:tl2br w:val="nil"/>
              <w:tr2bl w:val="nil"/>
            </w:tcBorders>
          </w:tcPr>
          <w:p w14:paraId="7E658EA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1.010*</w:t>
            </w:r>
          </w:p>
          <w:p w14:paraId="191FC92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(7.89)</w:t>
            </w:r>
          </w:p>
        </w:tc>
        <w:tc>
          <w:tcPr>
            <w:tcW w:w="538" w:type="pct"/>
            <w:tcBorders>
              <w:tl2br w:val="nil"/>
              <w:tr2bl w:val="nil"/>
            </w:tcBorders>
          </w:tcPr>
          <w:p w14:paraId="7375E26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0.476</w:t>
            </w:r>
          </w:p>
          <w:p w14:paraId="0C7C149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(0.30)</w:t>
            </w:r>
          </w:p>
        </w:tc>
        <w:tc>
          <w:tcPr>
            <w:tcW w:w="505" w:type="pct"/>
            <w:tcBorders>
              <w:tl2br w:val="nil"/>
              <w:tr2bl w:val="nil"/>
            </w:tcBorders>
          </w:tcPr>
          <w:p w14:paraId="0F2F9AB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-0.265</w:t>
            </w:r>
          </w:p>
          <w:p w14:paraId="304E08A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(-1.44)</w:t>
            </w:r>
          </w:p>
        </w:tc>
        <w:tc>
          <w:tcPr>
            <w:tcW w:w="510" w:type="pct"/>
            <w:tcBorders>
              <w:tl2br w:val="nil"/>
              <w:tr2bl w:val="nil"/>
            </w:tcBorders>
          </w:tcPr>
          <w:p w14:paraId="3CAE1F9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0.456</w:t>
            </w:r>
          </w:p>
          <w:p w14:paraId="7EFFD86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(0.62)</w:t>
            </w:r>
          </w:p>
        </w:tc>
        <w:tc>
          <w:tcPr>
            <w:tcW w:w="538" w:type="pct"/>
            <w:tcBorders>
              <w:tl2br w:val="nil"/>
              <w:tr2bl w:val="nil"/>
            </w:tcBorders>
          </w:tcPr>
          <w:p w14:paraId="381D9F6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-1.056</w:t>
            </w:r>
          </w:p>
          <w:p w14:paraId="63788D2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(-3.22)</w:t>
            </w:r>
          </w:p>
        </w:tc>
      </w:tr>
      <w:tr w:rsidR="00857B61" w:rsidRPr="00857B61" w14:paraId="1FAE1F1D" w14:textId="77777777">
        <w:trPr>
          <w:jc w:val="center"/>
        </w:trPr>
        <w:tc>
          <w:tcPr>
            <w:tcW w:w="775" w:type="pct"/>
            <w:tcBorders>
              <w:tl2br w:val="nil"/>
              <w:tr2bl w:val="nil"/>
            </w:tcBorders>
          </w:tcPr>
          <w:p w14:paraId="2AAC6022" w14:textId="77777777" w:rsidR="00DE7EC6" w:rsidRPr="00857B61" w:rsidRDefault="00000000">
            <w:pPr>
              <w:jc w:val="center"/>
              <w:rPr>
                <w:rFonts w:ascii="Times New Roman" w:eastAsia="宋体" w:hAnsi="Times New Roman" w:cs="Times New Roman"/>
                <w:szCs w:val="21"/>
              </w:rPr>
            </w:pPr>
            <w:r w:rsidRPr="00857B61">
              <w:rPr>
                <w:rFonts w:ascii="Times New Roman" w:hAnsi="Times New Roman" w:cs="Times New Roman"/>
                <w:i/>
                <w:iCs/>
                <w:szCs w:val="21"/>
              </w:rPr>
              <w:t>HHIA</w:t>
            </w:r>
          </w:p>
        </w:tc>
        <w:tc>
          <w:tcPr>
            <w:tcW w:w="582" w:type="pct"/>
            <w:tcBorders>
              <w:tl2br w:val="nil"/>
              <w:tr2bl w:val="nil"/>
            </w:tcBorders>
          </w:tcPr>
          <w:p w14:paraId="31F0B10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-2.488</w:t>
            </w:r>
          </w:p>
          <w:p w14:paraId="79C30CC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(-2.01)</w:t>
            </w:r>
          </w:p>
        </w:tc>
        <w:tc>
          <w:tcPr>
            <w:tcW w:w="517" w:type="pct"/>
            <w:tcBorders>
              <w:tl2br w:val="nil"/>
              <w:tr2bl w:val="nil"/>
            </w:tcBorders>
          </w:tcPr>
          <w:p w14:paraId="4ACD84C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1.291</w:t>
            </w:r>
          </w:p>
          <w:p w14:paraId="496BD4E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(1.02)</w:t>
            </w:r>
          </w:p>
        </w:tc>
        <w:tc>
          <w:tcPr>
            <w:tcW w:w="515" w:type="pct"/>
            <w:tcBorders>
              <w:tl2br w:val="nil"/>
              <w:tr2bl w:val="nil"/>
            </w:tcBorders>
          </w:tcPr>
          <w:p w14:paraId="48D2AEF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-0.290</w:t>
            </w:r>
          </w:p>
          <w:p w14:paraId="558F949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(-1.22)</w:t>
            </w:r>
          </w:p>
        </w:tc>
        <w:tc>
          <w:tcPr>
            <w:tcW w:w="517" w:type="pct"/>
            <w:tcBorders>
              <w:tl2br w:val="nil"/>
              <w:tr2bl w:val="nil"/>
            </w:tcBorders>
          </w:tcPr>
          <w:p w14:paraId="00447B0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-2.199</w:t>
            </w:r>
          </w:p>
          <w:p w14:paraId="5E2FFC3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(-0.35)</w:t>
            </w:r>
          </w:p>
        </w:tc>
        <w:tc>
          <w:tcPr>
            <w:tcW w:w="538" w:type="pct"/>
            <w:tcBorders>
              <w:tl2br w:val="nil"/>
              <w:tr2bl w:val="nil"/>
            </w:tcBorders>
          </w:tcPr>
          <w:p w14:paraId="71EC2A9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2.252</w:t>
            </w:r>
          </w:p>
          <w:p w14:paraId="0C2BC6B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(0.25)</w:t>
            </w:r>
          </w:p>
        </w:tc>
        <w:tc>
          <w:tcPr>
            <w:tcW w:w="505" w:type="pct"/>
            <w:tcBorders>
              <w:tl2br w:val="nil"/>
              <w:tr2bl w:val="nil"/>
            </w:tcBorders>
          </w:tcPr>
          <w:p w14:paraId="06723F4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-1.773</w:t>
            </w:r>
          </w:p>
          <w:p w14:paraId="67F3665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(-2.01)</w:t>
            </w:r>
          </w:p>
        </w:tc>
        <w:tc>
          <w:tcPr>
            <w:tcW w:w="510" w:type="pct"/>
            <w:tcBorders>
              <w:tl2br w:val="nil"/>
              <w:tr2bl w:val="nil"/>
            </w:tcBorders>
          </w:tcPr>
          <w:p w14:paraId="7FAA94C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-2.053</w:t>
            </w:r>
          </w:p>
          <w:p w14:paraId="4E1ADA2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(-1.12)</w:t>
            </w:r>
          </w:p>
        </w:tc>
        <w:tc>
          <w:tcPr>
            <w:tcW w:w="538" w:type="pct"/>
            <w:tcBorders>
              <w:tl2br w:val="nil"/>
              <w:tr2bl w:val="nil"/>
            </w:tcBorders>
          </w:tcPr>
          <w:p w14:paraId="7730032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3.360</w:t>
            </w:r>
          </w:p>
          <w:p w14:paraId="07F6BC9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(1.03)</w:t>
            </w:r>
          </w:p>
        </w:tc>
      </w:tr>
      <w:tr w:rsidR="00857B61" w:rsidRPr="00857B61" w14:paraId="16819920" w14:textId="77777777">
        <w:trPr>
          <w:jc w:val="center"/>
        </w:trPr>
        <w:tc>
          <w:tcPr>
            <w:tcW w:w="775" w:type="pct"/>
            <w:tcBorders>
              <w:tl2br w:val="nil"/>
              <w:tr2bl w:val="nil"/>
            </w:tcBorders>
          </w:tcPr>
          <w:p w14:paraId="75EC53BA" w14:textId="77777777" w:rsidR="00DE7EC6" w:rsidRPr="00857B61" w:rsidRDefault="00000000">
            <w:pPr>
              <w:jc w:val="center"/>
              <w:rPr>
                <w:rFonts w:ascii="Times New Roman" w:eastAsia="宋体" w:hAnsi="Times New Roman" w:cs="Times New Roman"/>
                <w:szCs w:val="21"/>
              </w:rPr>
            </w:pPr>
            <w:r w:rsidRPr="00857B61">
              <w:rPr>
                <w:rFonts w:ascii="Times New Roman" w:hAnsi="Times New Roman" w:cs="Times New Roman"/>
                <w:i/>
                <w:iCs/>
                <w:szCs w:val="21"/>
              </w:rPr>
              <w:t>Profit</w:t>
            </w:r>
          </w:p>
        </w:tc>
        <w:tc>
          <w:tcPr>
            <w:tcW w:w="582" w:type="pct"/>
            <w:tcBorders>
              <w:tl2br w:val="nil"/>
              <w:tr2bl w:val="nil"/>
            </w:tcBorders>
          </w:tcPr>
          <w:p w14:paraId="06550F9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1.313</w:t>
            </w:r>
          </w:p>
          <w:p w14:paraId="0844DC6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(0.83)</w:t>
            </w:r>
          </w:p>
        </w:tc>
        <w:tc>
          <w:tcPr>
            <w:tcW w:w="517" w:type="pct"/>
            <w:tcBorders>
              <w:tl2br w:val="nil"/>
              <w:tr2bl w:val="nil"/>
            </w:tcBorders>
          </w:tcPr>
          <w:p w14:paraId="54C8BB4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1.934</w:t>
            </w:r>
          </w:p>
          <w:p w14:paraId="33C66F4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(0.72)</w:t>
            </w:r>
          </w:p>
        </w:tc>
        <w:tc>
          <w:tcPr>
            <w:tcW w:w="515" w:type="pct"/>
            <w:tcBorders>
              <w:tl2br w:val="nil"/>
              <w:tr2bl w:val="nil"/>
            </w:tcBorders>
          </w:tcPr>
          <w:p w14:paraId="5EA8161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-1.691</w:t>
            </w:r>
          </w:p>
          <w:p w14:paraId="716450A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(-1.02)</w:t>
            </w:r>
          </w:p>
        </w:tc>
        <w:tc>
          <w:tcPr>
            <w:tcW w:w="517" w:type="pct"/>
            <w:tcBorders>
              <w:tl2br w:val="nil"/>
              <w:tr2bl w:val="nil"/>
            </w:tcBorders>
          </w:tcPr>
          <w:p w14:paraId="307666B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3.363</w:t>
            </w:r>
          </w:p>
          <w:p w14:paraId="494F4AB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(1.13)</w:t>
            </w:r>
          </w:p>
        </w:tc>
        <w:tc>
          <w:tcPr>
            <w:tcW w:w="538" w:type="pct"/>
            <w:tcBorders>
              <w:tl2br w:val="nil"/>
              <w:tr2bl w:val="nil"/>
            </w:tcBorders>
          </w:tcPr>
          <w:p w14:paraId="01F2B00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1.105</w:t>
            </w:r>
          </w:p>
          <w:p w14:paraId="5657594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(0.16)</w:t>
            </w:r>
          </w:p>
        </w:tc>
        <w:tc>
          <w:tcPr>
            <w:tcW w:w="505" w:type="pct"/>
            <w:tcBorders>
              <w:tl2br w:val="nil"/>
              <w:tr2bl w:val="nil"/>
            </w:tcBorders>
          </w:tcPr>
          <w:p w14:paraId="7007D73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0.235</w:t>
            </w:r>
          </w:p>
          <w:p w14:paraId="77D98B6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(0.26)</w:t>
            </w:r>
          </w:p>
        </w:tc>
        <w:tc>
          <w:tcPr>
            <w:tcW w:w="510" w:type="pct"/>
            <w:tcBorders>
              <w:tl2br w:val="nil"/>
              <w:tr2bl w:val="nil"/>
            </w:tcBorders>
          </w:tcPr>
          <w:p w14:paraId="6FC6415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0.832</w:t>
            </w:r>
          </w:p>
          <w:p w14:paraId="23C58CB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(0.90)</w:t>
            </w:r>
          </w:p>
        </w:tc>
        <w:tc>
          <w:tcPr>
            <w:tcW w:w="538" w:type="pct"/>
            <w:tcBorders>
              <w:tl2br w:val="nil"/>
              <w:tr2bl w:val="nil"/>
            </w:tcBorders>
          </w:tcPr>
          <w:p w14:paraId="6CB4D1F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-1.735**</w:t>
            </w:r>
          </w:p>
          <w:p w14:paraId="6FE7465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(-22.12)</w:t>
            </w:r>
          </w:p>
        </w:tc>
      </w:tr>
      <w:tr w:rsidR="00857B61" w:rsidRPr="00857B61" w14:paraId="65C2BB89" w14:textId="77777777">
        <w:trPr>
          <w:jc w:val="center"/>
        </w:trPr>
        <w:tc>
          <w:tcPr>
            <w:tcW w:w="775" w:type="pct"/>
            <w:tcBorders>
              <w:tl2br w:val="nil"/>
              <w:tr2bl w:val="nil"/>
            </w:tcBorders>
          </w:tcPr>
          <w:p w14:paraId="04DC124E" w14:textId="77777777" w:rsidR="00DE7EC6" w:rsidRPr="00857B61" w:rsidRDefault="00000000">
            <w:pPr>
              <w:jc w:val="center"/>
              <w:rPr>
                <w:rFonts w:ascii="Times New Roman" w:eastAsia="宋体" w:hAnsi="Times New Roman" w:cs="Times New Roman"/>
                <w:szCs w:val="21"/>
              </w:rPr>
            </w:pPr>
            <w:r w:rsidRPr="00857B61">
              <w:rPr>
                <w:rFonts w:ascii="Times New Roman" w:hAnsi="Times New Roman" w:cs="Times New Roman"/>
                <w:i/>
                <w:iCs/>
                <w:szCs w:val="21"/>
              </w:rPr>
              <w:t>Growth</w:t>
            </w:r>
          </w:p>
        </w:tc>
        <w:tc>
          <w:tcPr>
            <w:tcW w:w="582" w:type="pct"/>
            <w:tcBorders>
              <w:tl2br w:val="nil"/>
              <w:tr2bl w:val="nil"/>
            </w:tcBorders>
          </w:tcPr>
          <w:p w14:paraId="09B6FE3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-0.199</w:t>
            </w:r>
          </w:p>
          <w:p w14:paraId="4C4399E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(-0.32)</w:t>
            </w:r>
          </w:p>
        </w:tc>
        <w:tc>
          <w:tcPr>
            <w:tcW w:w="517" w:type="pct"/>
            <w:tcBorders>
              <w:tl2br w:val="nil"/>
              <w:tr2bl w:val="nil"/>
            </w:tcBorders>
          </w:tcPr>
          <w:p w14:paraId="58746B3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0.123</w:t>
            </w:r>
          </w:p>
          <w:p w14:paraId="0542FD1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(0.25)</w:t>
            </w:r>
          </w:p>
        </w:tc>
        <w:tc>
          <w:tcPr>
            <w:tcW w:w="515" w:type="pct"/>
            <w:tcBorders>
              <w:tl2br w:val="nil"/>
              <w:tr2bl w:val="nil"/>
            </w:tcBorders>
          </w:tcPr>
          <w:p w14:paraId="75F3635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-0.307</w:t>
            </w:r>
          </w:p>
          <w:p w14:paraId="15361B1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(-1.78)</w:t>
            </w:r>
          </w:p>
        </w:tc>
        <w:tc>
          <w:tcPr>
            <w:tcW w:w="517" w:type="pct"/>
            <w:tcBorders>
              <w:tl2br w:val="nil"/>
              <w:tr2bl w:val="nil"/>
            </w:tcBorders>
          </w:tcPr>
          <w:p w14:paraId="57B9A37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0.165</w:t>
            </w:r>
          </w:p>
          <w:p w14:paraId="07C0AD8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(0.27)</w:t>
            </w:r>
          </w:p>
        </w:tc>
        <w:tc>
          <w:tcPr>
            <w:tcW w:w="538" w:type="pct"/>
            <w:tcBorders>
              <w:tl2br w:val="nil"/>
              <w:tr2bl w:val="nil"/>
            </w:tcBorders>
          </w:tcPr>
          <w:p w14:paraId="05CCD3D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0.071</w:t>
            </w:r>
          </w:p>
          <w:p w14:paraId="1DE82F8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(0.29)</w:t>
            </w:r>
          </w:p>
        </w:tc>
        <w:tc>
          <w:tcPr>
            <w:tcW w:w="505" w:type="pct"/>
            <w:tcBorders>
              <w:tl2br w:val="nil"/>
              <w:tr2bl w:val="nil"/>
            </w:tcBorders>
          </w:tcPr>
          <w:p w14:paraId="6F7540D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-0.033</w:t>
            </w:r>
          </w:p>
          <w:p w14:paraId="004635C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(-0.06)</w:t>
            </w:r>
          </w:p>
        </w:tc>
        <w:tc>
          <w:tcPr>
            <w:tcW w:w="510" w:type="pct"/>
            <w:tcBorders>
              <w:tl2br w:val="nil"/>
              <w:tr2bl w:val="nil"/>
            </w:tcBorders>
          </w:tcPr>
          <w:p w14:paraId="208AD94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-0.032</w:t>
            </w:r>
          </w:p>
          <w:p w14:paraId="09BF6B6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(-0.07)</w:t>
            </w:r>
          </w:p>
        </w:tc>
        <w:tc>
          <w:tcPr>
            <w:tcW w:w="538" w:type="pct"/>
            <w:tcBorders>
              <w:tl2br w:val="nil"/>
              <w:tr2bl w:val="nil"/>
            </w:tcBorders>
          </w:tcPr>
          <w:p w14:paraId="0F87AC5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0.820</w:t>
            </w:r>
          </w:p>
          <w:p w14:paraId="62EAD38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(0.50)</w:t>
            </w:r>
          </w:p>
        </w:tc>
      </w:tr>
      <w:tr w:rsidR="00857B61" w:rsidRPr="00857B61" w14:paraId="188FFDB2" w14:textId="77777777">
        <w:trPr>
          <w:jc w:val="center"/>
        </w:trPr>
        <w:tc>
          <w:tcPr>
            <w:tcW w:w="775" w:type="pct"/>
            <w:tcBorders>
              <w:tl2br w:val="nil"/>
              <w:tr2bl w:val="nil"/>
            </w:tcBorders>
          </w:tcPr>
          <w:p w14:paraId="7AA1658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i/>
                <w:iCs/>
                <w:szCs w:val="21"/>
              </w:rPr>
              <w:t>Holding</w:t>
            </w:r>
          </w:p>
        </w:tc>
        <w:tc>
          <w:tcPr>
            <w:tcW w:w="582" w:type="pct"/>
            <w:tcBorders>
              <w:tl2br w:val="nil"/>
              <w:tr2bl w:val="nil"/>
            </w:tcBorders>
          </w:tcPr>
          <w:p w14:paraId="1CC03E4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12.617</w:t>
            </w:r>
          </w:p>
          <w:p w14:paraId="16216AE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(4.63)</w:t>
            </w:r>
          </w:p>
        </w:tc>
        <w:tc>
          <w:tcPr>
            <w:tcW w:w="517" w:type="pct"/>
            <w:tcBorders>
              <w:tl2br w:val="nil"/>
              <w:tr2bl w:val="nil"/>
            </w:tcBorders>
          </w:tcPr>
          <w:p w14:paraId="1B0FF71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4.084</w:t>
            </w:r>
          </w:p>
          <w:p w14:paraId="4E8703E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(0.16)</w:t>
            </w:r>
          </w:p>
        </w:tc>
        <w:tc>
          <w:tcPr>
            <w:tcW w:w="515" w:type="pct"/>
            <w:tcBorders>
              <w:tl2br w:val="nil"/>
              <w:tr2bl w:val="nil"/>
            </w:tcBorders>
          </w:tcPr>
          <w:p w14:paraId="2CAD608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1.556</w:t>
            </w:r>
          </w:p>
          <w:p w14:paraId="125CE9F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(0.17)</w:t>
            </w:r>
          </w:p>
        </w:tc>
        <w:tc>
          <w:tcPr>
            <w:tcW w:w="517" w:type="pct"/>
            <w:tcBorders>
              <w:tl2br w:val="nil"/>
              <w:tr2bl w:val="nil"/>
            </w:tcBorders>
          </w:tcPr>
          <w:p w14:paraId="1187A6A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-7.111</w:t>
            </w:r>
          </w:p>
          <w:p w14:paraId="1C11484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(-0.60)</w:t>
            </w:r>
          </w:p>
        </w:tc>
        <w:tc>
          <w:tcPr>
            <w:tcW w:w="538" w:type="pct"/>
            <w:tcBorders>
              <w:tl2br w:val="nil"/>
              <w:tr2bl w:val="nil"/>
            </w:tcBorders>
          </w:tcPr>
          <w:p w14:paraId="5E0ED66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-6.978</w:t>
            </w:r>
          </w:p>
          <w:p w14:paraId="7A44555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(-0.15)</w:t>
            </w:r>
          </w:p>
        </w:tc>
        <w:tc>
          <w:tcPr>
            <w:tcW w:w="505" w:type="pct"/>
            <w:tcBorders>
              <w:tl2br w:val="nil"/>
              <w:tr2bl w:val="nil"/>
            </w:tcBorders>
          </w:tcPr>
          <w:p w14:paraId="2A8A79E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-4.611</w:t>
            </w:r>
          </w:p>
          <w:p w14:paraId="1D72FBC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(-0.81)</w:t>
            </w:r>
          </w:p>
        </w:tc>
        <w:tc>
          <w:tcPr>
            <w:tcW w:w="510" w:type="pct"/>
            <w:tcBorders>
              <w:tl2br w:val="nil"/>
              <w:tr2bl w:val="nil"/>
            </w:tcBorders>
          </w:tcPr>
          <w:p w14:paraId="5F31632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-17.401</w:t>
            </w:r>
          </w:p>
          <w:p w14:paraId="04B6681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(-3.58)</w:t>
            </w:r>
          </w:p>
        </w:tc>
        <w:tc>
          <w:tcPr>
            <w:tcW w:w="538" w:type="pct"/>
            <w:tcBorders>
              <w:tl2br w:val="nil"/>
              <w:tr2bl w:val="nil"/>
            </w:tcBorders>
          </w:tcPr>
          <w:p w14:paraId="64C3799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42.262</w:t>
            </w:r>
          </w:p>
          <w:p w14:paraId="3A1D7EA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(1.28)</w:t>
            </w:r>
          </w:p>
        </w:tc>
      </w:tr>
      <w:tr w:rsidR="00857B61" w:rsidRPr="00857B61" w14:paraId="13B78DB4" w14:textId="77777777">
        <w:trPr>
          <w:jc w:val="center"/>
        </w:trPr>
        <w:tc>
          <w:tcPr>
            <w:tcW w:w="775" w:type="pct"/>
            <w:tcBorders>
              <w:tl2br w:val="nil"/>
              <w:tr2bl w:val="nil"/>
            </w:tcBorders>
          </w:tcPr>
          <w:p w14:paraId="67045E44" w14:textId="77777777" w:rsidR="00DE7EC6" w:rsidRPr="00857B61" w:rsidRDefault="00000000">
            <w:pPr>
              <w:jc w:val="center"/>
              <w:rPr>
                <w:rFonts w:ascii="Times New Roman" w:eastAsia="宋体" w:hAnsi="Times New Roman" w:cs="Times New Roman"/>
                <w:szCs w:val="21"/>
              </w:rPr>
            </w:pPr>
            <w:r w:rsidRPr="00857B61">
              <w:rPr>
                <w:rFonts w:ascii="Times New Roman" w:hAnsi="Times New Roman" w:cs="Times New Roman"/>
                <w:i/>
                <w:iCs/>
                <w:szCs w:val="21"/>
              </w:rPr>
              <w:t>Size</w:t>
            </w:r>
          </w:p>
        </w:tc>
        <w:tc>
          <w:tcPr>
            <w:tcW w:w="582" w:type="pct"/>
            <w:tcBorders>
              <w:tl2br w:val="nil"/>
              <w:tr2bl w:val="nil"/>
            </w:tcBorders>
          </w:tcPr>
          <w:p w14:paraId="2DA1574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-0.021</w:t>
            </w:r>
          </w:p>
          <w:p w14:paraId="219E334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(-0.17)</w:t>
            </w:r>
          </w:p>
        </w:tc>
        <w:tc>
          <w:tcPr>
            <w:tcW w:w="517" w:type="pct"/>
            <w:tcBorders>
              <w:tl2br w:val="nil"/>
              <w:tr2bl w:val="nil"/>
            </w:tcBorders>
          </w:tcPr>
          <w:p w14:paraId="4D23227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-0.319</w:t>
            </w:r>
          </w:p>
          <w:p w14:paraId="57EEBF2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(-1.84)</w:t>
            </w:r>
          </w:p>
        </w:tc>
        <w:tc>
          <w:tcPr>
            <w:tcW w:w="515" w:type="pct"/>
            <w:tcBorders>
              <w:tl2br w:val="nil"/>
              <w:tr2bl w:val="nil"/>
            </w:tcBorders>
          </w:tcPr>
          <w:p w14:paraId="7D27CEF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-0.053</w:t>
            </w:r>
          </w:p>
          <w:p w14:paraId="7B3B185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(-1.30)</w:t>
            </w:r>
          </w:p>
        </w:tc>
        <w:tc>
          <w:tcPr>
            <w:tcW w:w="517" w:type="pct"/>
            <w:tcBorders>
              <w:tl2br w:val="nil"/>
              <w:tr2bl w:val="nil"/>
            </w:tcBorders>
          </w:tcPr>
          <w:p w14:paraId="2520C5C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-0.054</w:t>
            </w:r>
          </w:p>
          <w:p w14:paraId="754F26F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(-0.22)</w:t>
            </w:r>
          </w:p>
        </w:tc>
        <w:tc>
          <w:tcPr>
            <w:tcW w:w="538" w:type="pct"/>
            <w:tcBorders>
              <w:tl2br w:val="nil"/>
              <w:tr2bl w:val="nil"/>
            </w:tcBorders>
          </w:tcPr>
          <w:p w14:paraId="7897F31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-0.425</w:t>
            </w:r>
          </w:p>
          <w:p w14:paraId="78553C9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(-1.16)</w:t>
            </w:r>
          </w:p>
        </w:tc>
        <w:tc>
          <w:tcPr>
            <w:tcW w:w="505" w:type="pct"/>
            <w:tcBorders>
              <w:tl2br w:val="nil"/>
              <w:tr2bl w:val="nil"/>
            </w:tcBorders>
          </w:tcPr>
          <w:p w14:paraId="7901CC6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0.007</w:t>
            </w:r>
          </w:p>
          <w:p w14:paraId="550BBF7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(0.41)</w:t>
            </w:r>
          </w:p>
        </w:tc>
        <w:tc>
          <w:tcPr>
            <w:tcW w:w="510" w:type="pct"/>
            <w:tcBorders>
              <w:tl2br w:val="nil"/>
              <w:tr2bl w:val="nil"/>
            </w:tcBorders>
          </w:tcPr>
          <w:p w14:paraId="3EBD4B0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-0.079</w:t>
            </w:r>
          </w:p>
          <w:p w14:paraId="7EF3ABE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(-0.47)</w:t>
            </w:r>
          </w:p>
        </w:tc>
        <w:tc>
          <w:tcPr>
            <w:tcW w:w="538" w:type="pct"/>
            <w:tcBorders>
              <w:tl2br w:val="nil"/>
              <w:tr2bl w:val="nil"/>
            </w:tcBorders>
          </w:tcPr>
          <w:p w14:paraId="651763E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0.124</w:t>
            </w:r>
          </w:p>
          <w:p w14:paraId="4D60C02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(1.81)</w:t>
            </w:r>
          </w:p>
        </w:tc>
      </w:tr>
    </w:tbl>
    <w:p w14:paraId="03C3F275" w14:textId="77777777" w:rsidR="00DE7EC6" w:rsidRPr="00857B61" w:rsidRDefault="00000000">
      <w:pPr>
        <w:wordWrap w:val="0"/>
        <w:jc w:val="right"/>
        <w:rPr>
          <w:rFonts w:ascii="Times New Roman" w:hAnsi="Times New Roman" w:cs="Times New Roman"/>
        </w:rPr>
      </w:pPr>
      <w:r w:rsidRPr="00857B61">
        <w:rPr>
          <w:rFonts w:ascii="Times New Roman" w:eastAsia="楷体" w:hAnsi="Times New Roman" w:cs="Times New Roman"/>
        </w:rPr>
        <w:lastRenderedPageBreak/>
        <w:t>续表</w:t>
      </w:r>
      <w:r w:rsidRPr="00857B61">
        <w:rPr>
          <w:rFonts w:ascii="Times New Roman" w:eastAsia="楷体" w:hAnsi="Times New Roman" w:cs="Times New Roman"/>
        </w:rPr>
        <w:t>9</w:t>
      </w:r>
      <w:r w:rsidRPr="00857B61">
        <w:rPr>
          <w:rFonts w:ascii="Times New Roman" w:eastAsia="楷体" w:hAnsi="Times New Roman" w:cs="Times New Roman" w:hint="eastAsia"/>
        </w:rPr>
        <w:t xml:space="preserve"> </w:t>
      </w:r>
      <w:r w:rsidRPr="00857B61">
        <w:rPr>
          <w:rFonts w:ascii="Times New Roman" w:hAnsi="Times New Roman" w:cs="Times New Roman" w:hint="eastAsia"/>
        </w:rPr>
        <w:t xml:space="preserve"> </w:t>
      </w:r>
    </w:p>
    <w:tbl>
      <w:tblPr>
        <w:tblW w:w="4997" w:type="pct"/>
        <w:jc w:val="center"/>
        <w:tblBorders>
          <w:top w:val="single" w:sz="8" w:space="0" w:color="auto"/>
          <w:bottom w:val="single" w:sz="8" w:space="0" w:color="auto"/>
          <w:insideH w:val="single" w:sz="8" w:space="0" w:color="auto"/>
          <w:insideV w:val="single" w:sz="8" w:space="0" w:color="auto"/>
        </w:tblBorders>
        <w:tblLook w:val="04A0" w:firstRow="1" w:lastRow="0" w:firstColumn="1" w:lastColumn="0" w:noHBand="0" w:noVBand="1"/>
      </w:tblPr>
      <w:tblGrid>
        <w:gridCol w:w="1395"/>
        <w:gridCol w:w="1048"/>
        <w:gridCol w:w="931"/>
        <w:gridCol w:w="928"/>
        <w:gridCol w:w="932"/>
        <w:gridCol w:w="969"/>
        <w:gridCol w:w="909"/>
        <w:gridCol w:w="918"/>
        <w:gridCol w:w="969"/>
      </w:tblGrid>
      <w:tr w:rsidR="00857B61" w:rsidRPr="00857B61" w14:paraId="0B54C3E5" w14:textId="77777777">
        <w:trPr>
          <w:jc w:val="center"/>
        </w:trPr>
        <w:tc>
          <w:tcPr>
            <w:tcW w:w="1395" w:type="dxa"/>
            <w:vMerge w:val="restart"/>
            <w:tcBorders>
              <w:tl2br w:val="nil"/>
              <w:tr2bl w:val="nil"/>
            </w:tcBorders>
            <w:vAlign w:val="center"/>
          </w:tcPr>
          <w:p w14:paraId="0F39319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变量名称</w:t>
            </w:r>
          </w:p>
          <w:p w14:paraId="20306BD0" w14:textId="77777777" w:rsidR="00DE7EC6" w:rsidRPr="00857B61" w:rsidRDefault="00DE7EC6">
            <w:pPr>
              <w:jc w:val="center"/>
              <w:rPr>
                <w:rFonts w:ascii="Times New Roman" w:hAnsi="Times New Roman" w:cs="Times New Roman"/>
                <w:i/>
                <w:iCs/>
                <w:szCs w:val="21"/>
              </w:rPr>
            </w:pPr>
          </w:p>
        </w:tc>
        <w:tc>
          <w:tcPr>
            <w:tcW w:w="1048" w:type="dxa"/>
            <w:tcBorders>
              <w:tl2br w:val="nil"/>
              <w:tr2bl w:val="nil"/>
            </w:tcBorders>
            <w:vAlign w:val="center"/>
          </w:tcPr>
          <w:p w14:paraId="7CA4CAF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w:t>
            </w:r>
          </w:p>
        </w:tc>
        <w:tc>
          <w:tcPr>
            <w:tcW w:w="931" w:type="dxa"/>
            <w:tcBorders>
              <w:tl2br w:val="nil"/>
              <w:tr2bl w:val="nil"/>
            </w:tcBorders>
            <w:vAlign w:val="center"/>
          </w:tcPr>
          <w:p w14:paraId="590CA0E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w:t>
            </w:r>
          </w:p>
        </w:tc>
        <w:tc>
          <w:tcPr>
            <w:tcW w:w="928" w:type="dxa"/>
            <w:tcBorders>
              <w:tl2br w:val="nil"/>
              <w:tr2bl w:val="nil"/>
            </w:tcBorders>
            <w:vAlign w:val="center"/>
          </w:tcPr>
          <w:p w14:paraId="5486B3E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w:t>
            </w:r>
          </w:p>
        </w:tc>
        <w:tc>
          <w:tcPr>
            <w:tcW w:w="932" w:type="dxa"/>
            <w:tcBorders>
              <w:tl2br w:val="nil"/>
              <w:tr2bl w:val="nil"/>
            </w:tcBorders>
            <w:vAlign w:val="center"/>
          </w:tcPr>
          <w:p w14:paraId="4EAFD4B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w:t>
            </w:r>
          </w:p>
        </w:tc>
        <w:tc>
          <w:tcPr>
            <w:tcW w:w="969" w:type="dxa"/>
            <w:tcBorders>
              <w:tl2br w:val="nil"/>
              <w:tr2bl w:val="nil"/>
            </w:tcBorders>
            <w:vAlign w:val="center"/>
          </w:tcPr>
          <w:p w14:paraId="4A816F9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5</w:t>
            </w:r>
            <w:r w:rsidRPr="00857B61">
              <w:rPr>
                <w:rFonts w:ascii="Times New Roman" w:eastAsia="宋体" w:hAnsi="Times New Roman" w:cs="Times New Roman"/>
                <w:szCs w:val="21"/>
              </w:rPr>
              <w:t>)</w:t>
            </w:r>
          </w:p>
        </w:tc>
        <w:tc>
          <w:tcPr>
            <w:tcW w:w="909" w:type="dxa"/>
            <w:tcBorders>
              <w:tl2br w:val="nil"/>
              <w:tr2bl w:val="nil"/>
            </w:tcBorders>
            <w:vAlign w:val="center"/>
          </w:tcPr>
          <w:p w14:paraId="62A2C34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6</w:t>
            </w:r>
            <w:r w:rsidRPr="00857B61">
              <w:rPr>
                <w:rFonts w:ascii="Times New Roman" w:eastAsia="宋体" w:hAnsi="Times New Roman" w:cs="Times New Roman"/>
                <w:szCs w:val="21"/>
              </w:rPr>
              <w:t>)</w:t>
            </w:r>
          </w:p>
        </w:tc>
        <w:tc>
          <w:tcPr>
            <w:tcW w:w="918" w:type="dxa"/>
            <w:tcBorders>
              <w:tl2br w:val="nil"/>
              <w:tr2bl w:val="nil"/>
            </w:tcBorders>
            <w:vAlign w:val="center"/>
          </w:tcPr>
          <w:p w14:paraId="192A695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7</w:t>
            </w:r>
            <w:r w:rsidRPr="00857B61">
              <w:rPr>
                <w:rFonts w:ascii="Times New Roman" w:eastAsia="宋体" w:hAnsi="Times New Roman" w:cs="Times New Roman"/>
                <w:szCs w:val="21"/>
              </w:rPr>
              <w:t>)</w:t>
            </w:r>
          </w:p>
        </w:tc>
        <w:tc>
          <w:tcPr>
            <w:tcW w:w="969" w:type="dxa"/>
            <w:tcBorders>
              <w:tl2br w:val="nil"/>
              <w:tr2bl w:val="nil"/>
            </w:tcBorders>
            <w:vAlign w:val="center"/>
          </w:tcPr>
          <w:p w14:paraId="0B16F8D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8</w:t>
            </w:r>
            <w:r w:rsidRPr="00857B61">
              <w:rPr>
                <w:rFonts w:ascii="Times New Roman" w:eastAsia="宋体" w:hAnsi="Times New Roman" w:cs="Times New Roman"/>
                <w:szCs w:val="21"/>
              </w:rPr>
              <w:t>)</w:t>
            </w:r>
          </w:p>
        </w:tc>
      </w:tr>
      <w:tr w:rsidR="00857B61" w:rsidRPr="00857B61" w14:paraId="6E726DF1" w14:textId="77777777">
        <w:trPr>
          <w:jc w:val="center"/>
        </w:trPr>
        <w:tc>
          <w:tcPr>
            <w:tcW w:w="1395" w:type="dxa"/>
            <w:vMerge/>
            <w:tcBorders>
              <w:tl2br w:val="nil"/>
              <w:tr2bl w:val="nil"/>
            </w:tcBorders>
          </w:tcPr>
          <w:p w14:paraId="4DEBEABA" w14:textId="77777777" w:rsidR="00DE7EC6" w:rsidRPr="00857B61" w:rsidRDefault="00DE7EC6">
            <w:pPr>
              <w:jc w:val="center"/>
              <w:rPr>
                <w:rFonts w:ascii="Times New Roman" w:hAnsi="Times New Roman" w:cs="Times New Roman"/>
                <w:i/>
                <w:iCs/>
                <w:szCs w:val="21"/>
              </w:rPr>
            </w:pPr>
          </w:p>
        </w:tc>
        <w:tc>
          <w:tcPr>
            <w:tcW w:w="1048" w:type="dxa"/>
            <w:tcBorders>
              <w:tl2br w:val="nil"/>
              <w:tr2bl w:val="nil"/>
            </w:tcBorders>
            <w:vAlign w:val="center"/>
          </w:tcPr>
          <w:p w14:paraId="6E98C6CC" w14:textId="77777777" w:rsidR="00DE7EC6" w:rsidRPr="00857B61" w:rsidRDefault="00000000">
            <w:pPr>
              <w:jc w:val="center"/>
              <w:rPr>
                <w:rFonts w:ascii="Times New Roman" w:eastAsia="宋体" w:hAnsi="Times New Roman" w:cs="Times New Roman"/>
                <w:szCs w:val="21"/>
              </w:rPr>
            </w:pPr>
            <w:r w:rsidRPr="00857B61">
              <w:rPr>
                <w:rFonts w:eastAsia="宋体" w:hint="eastAsia"/>
                <w:szCs w:val="21"/>
              </w:rPr>
              <w:t>市及以下层级国企</w:t>
            </w:r>
          </w:p>
        </w:tc>
        <w:tc>
          <w:tcPr>
            <w:tcW w:w="931" w:type="dxa"/>
            <w:tcBorders>
              <w:tl2br w:val="nil"/>
              <w:tr2bl w:val="nil"/>
            </w:tcBorders>
            <w:vAlign w:val="center"/>
          </w:tcPr>
          <w:p w14:paraId="760F6928" w14:textId="77777777" w:rsidR="00DE7EC6" w:rsidRPr="00857B61" w:rsidRDefault="00000000">
            <w:pPr>
              <w:jc w:val="center"/>
              <w:rPr>
                <w:rFonts w:ascii="Times New Roman" w:eastAsia="宋体" w:hAnsi="Times New Roman" w:cs="Times New Roman"/>
                <w:szCs w:val="21"/>
              </w:rPr>
            </w:pPr>
            <w:r w:rsidRPr="00857B61">
              <w:rPr>
                <w:rFonts w:eastAsia="宋体" w:hint="eastAsia"/>
                <w:szCs w:val="21"/>
              </w:rPr>
              <w:t>省属国有企业</w:t>
            </w:r>
            <w:r w:rsidRPr="00857B61">
              <w:rPr>
                <w:rFonts w:ascii="Times New Roman" w:eastAsia="宋体" w:hAnsi="Times New Roman" w:cs="Times New Roman"/>
                <w:szCs w:val="21"/>
              </w:rPr>
              <w:t>/</w:t>
            </w:r>
            <w:r w:rsidRPr="00857B61">
              <w:rPr>
                <w:rFonts w:ascii="Times New Roman" w:eastAsia="宋体" w:hAnsi="Times New Roman" w:cs="Times New Roman"/>
                <w:szCs w:val="21"/>
              </w:rPr>
              <w:t>央企</w:t>
            </w:r>
          </w:p>
        </w:tc>
        <w:tc>
          <w:tcPr>
            <w:tcW w:w="928" w:type="dxa"/>
            <w:tcBorders>
              <w:tl2br w:val="nil"/>
              <w:tr2bl w:val="nil"/>
            </w:tcBorders>
            <w:vAlign w:val="center"/>
          </w:tcPr>
          <w:p w14:paraId="484216D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买方为国企</w:t>
            </w:r>
          </w:p>
        </w:tc>
        <w:tc>
          <w:tcPr>
            <w:tcW w:w="932" w:type="dxa"/>
            <w:tcBorders>
              <w:tl2br w:val="nil"/>
              <w:tr2bl w:val="nil"/>
            </w:tcBorders>
            <w:vAlign w:val="center"/>
          </w:tcPr>
          <w:p w14:paraId="2A734B4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买方非国企</w:t>
            </w:r>
          </w:p>
        </w:tc>
        <w:tc>
          <w:tcPr>
            <w:tcW w:w="969" w:type="dxa"/>
            <w:tcBorders>
              <w:tl2br w:val="nil"/>
              <w:tr2bl w:val="nil"/>
            </w:tcBorders>
            <w:vAlign w:val="center"/>
          </w:tcPr>
          <w:p w14:paraId="241C222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跨省并购</w:t>
            </w:r>
          </w:p>
        </w:tc>
        <w:tc>
          <w:tcPr>
            <w:tcW w:w="909" w:type="dxa"/>
            <w:tcBorders>
              <w:tl2br w:val="nil"/>
              <w:tr2bl w:val="nil"/>
            </w:tcBorders>
            <w:vAlign w:val="center"/>
          </w:tcPr>
          <w:p w14:paraId="6657554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非跨省并购</w:t>
            </w:r>
          </w:p>
        </w:tc>
        <w:tc>
          <w:tcPr>
            <w:tcW w:w="918" w:type="dxa"/>
            <w:tcBorders>
              <w:tl2br w:val="nil"/>
              <w:tr2bl w:val="nil"/>
            </w:tcBorders>
            <w:vAlign w:val="center"/>
          </w:tcPr>
          <w:p w14:paraId="3F6FBBE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跨行业并购</w:t>
            </w:r>
          </w:p>
        </w:tc>
        <w:tc>
          <w:tcPr>
            <w:tcW w:w="969" w:type="dxa"/>
            <w:tcBorders>
              <w:tl2br w:val="nil"/>
              <w:tr2bl w:val="nil"/>
            </w:tcBorders>
            <w:vAlign w:val="center"/>
          </w:tcPr>
          <w:p w14:paraId="3C88FD8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非跨行业并购</w:t>
            </w:r>
          </w:p>
        </w:tc>
      </w:tr>
      <w:tr w:rsidR="00857B61" w:rsidRPr="00857B61" w14:paraId="1F5302B7" w14:textId="77777777">
        <w:trPr>
          <w:jc w:val="center"/>
        </w:trPr>
        <w:tc>
          <w:tcPr>
            <w:tcW w:w="1395" w:type="dxa"/>
            <w:tcBorders>
              <w:tl2br w:val="nil"/>
              <w:tr2bl w:val="nil"/>
            </w:tcBorders>
          </w:tcPr>
          <w:p w14:paraId="36F0B136" w14:textId="77777777" w:rsidR="00DE7EC6" w:rsidRPr="00857B61" w:rsidRDefault="00000000">
            <w:pPr>
              <w:jc w:val="center"/>
              <w:rPr>
                <w:rFonts w:ascii="Times New Roman" w:eastAsia="宋体" w:hAnsi="Times New Roman" w:cs="Times New Roman"/>
                <w:szCs w:val="21"/>
              </w:rPr>
            </w:pPr>
            <w:r w:rsidRPr="00857B61">
              <w:rPr>
                <w:rFonts w:ascii="Times New Roman" w:hAnsi="Times New Roman" w:cs="Times New Roman"/>
                <w:i/>
                <w:iCs/>
                <w:szCs w:val="21"/>
              </w:rPr>
              <w:t>Slack</w:t>
            </w:r>
          </w:p>
        </w:tc>
        <w:tc>
          <w:tcPr>
            <w:tcW w:w="1048" w:type="dxa"/>
            <w:tcBorders>
              <w:tl2br w:val="nil"/>
              <w:tr2bl w:val="nil"/>
            </w:tcBorders>
          </w:tcPr>
          <w:p w14:paraId="4ACB256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0.041</w:t>
            </w:r>
          </w:p>
          <w:p w14:paraId="6E67CB5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(0.50)</w:t>
            </w:r>
          </w:p>
        </w:tc>
        <w:tc>
          <w:tcPr>
            <w:tcW w:w="931" w:type="dxa"/>
            <w:tcBorders>
              <w:tl2br w:val="nil"/>
              <w:tr2bl w:val="nil"/>
            </w:tcBorders>
          </w:tcPr>
          <w:p w14:paraId="1EF1D04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0.066</w:t>
            </w:r>
          </w:p>
          <w:p w14:paraId="3DCF383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(0.56)</w:t>
            </w:r>
          </w:p>
        </w:tc>
        <w:tc>
          <w:tcPr>
            <w:tcW w:w="928" w:type="dxa"/>
            <w:tcBorders>
              <w:tl2br w:val="nil"/>
              <w:tr2bl w:val="nil"/>
            </w:tcBorders>
          </w:tcPr>
          <w:p w14:paraId="51AD41D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0.030</w:t>
            </w:r>
          </w:p>
          <w:p w14:paraId="7EC3D27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(0.41)</w:t>
            </w:r>
          </w:p>
        </w:tc>
        <w:tc>
          <w:tcPr>
            <w:tcW w:w="932" w:type="dxa"/>
            <w:tcBorders>
              <w:tl2br w:val="nil"/>
              <w:tr2bl w:val="nil"/>
            </w:tcBorders>
          </w:tcPr>
          <w:p w14:paraId="396DCE4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0.030</w:t>
            </w:r>
          </w:p>
          <w:p w14:paraId="448FA30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(0.47)</w:t>
            </w:r>
          </w:p>
        </w:tc>
        <w:tc>
          <w:tcPr>
            <w:tcW w:w="969" w:type="dxa"/>
            <w:tcBorders>
              <w:tl2br w:val="nil"/>
              <w:tr2bl w:val="nil"/>
            </w:tcBorders>
          </w:tcPr>
          <w:p w14:paraId="556F367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0.241</w:t>
            </w:r>
          </w:p>
          <w:p w14:paraId="2688452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(2.03)</w:t>
            </w:r>
          </w:p>
        </w:tc>
        <w:tc>
          <w:tcPr>
            <w:tcW w:w="909" w:type="dxa"/>
            <w:tcBorders>
              <w:tl2br w:val="nil"/>
              <w:tr2bl w:val="nil"/>
            </w:tcBorders>
          </w:tcPr>
          <w:p w14:paraId="54D284B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0.056</w:t>
            </w:r>
          </w:p>
          <w:p w14:paraId="2B39871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(1.65)</w:t>
            </w:r>
          </w:p>
        </w:tc>
        <w:tc>
          <w:tcPr>
            <w:tcW w:w="918" w:type="dxa"/>
            <w:tcBorders>
              <w:tl2br w:val="nil"/>
              <w:tr2bl w:val="nil"/>
            </w:tcBorders>
          </w:tcPr>
          <w:p w14:paraId="590062C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0.053</w:t>
            </w:r>
          </w:p>
          <w:p w14:paraId="7EDB76C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(0.57)</w:t>
            </w:r>
          </w:p>
        </w:tc>
        <w:tc>
          <w:tcPr>
            <w:tcW w:w="969" w:type="dxa"/>
            <w:tcBorders>
              <w:tl2br w:val="nil"/>
              <w:tr2bl w:val="nil"/>
            </w:tcBorders>
          </w:tcPr>
          <w:p w14:paraId="44690A2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0.046</w:t>
            </w:r>
          </w:p>
          <w:p w14:paraId="0CB88F0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(0.27)</w:t>
            </w:r>
          </w:p>
        </w:tc>
      </w:tr>
      <w:tr w:rsidR="00857B61" w:rsidRPr="00857B61" w14:paraId="2D4ACDEC" w14:textId="77777777">
        <w:trPr>
          <w:jc w:val="center"/>
        </w:trPr>
        <w:tc>
          <w:tcPr>
            <w:tcW w:w="1395" w:type="dxa"/>
            <w:tcBorders>
              <w:tl2br w:val="nil"/>
              <w:tr2bl w:val="nil"/>
            </w:tcBorders>
          </w:tcPr>
          <w:p w14:paraId="4E9BE8CB" w14:textId="77777777" w:rsidR="00DE7EC6" w:rsidRPr="00857B61" w:rsidRDefault="00000000">
            <w:pPr>
              <w:jc w:val="center"/>
              <w:rPr>
                <w:rFonts w:ascii="Times New Roman" w:hAnsi="Times New Roman" w:cs="Times New Roman"/>
                <w:szCs w:val="21"/>
              </w:rPr>
            </w:pPr>
            <w:r w:rsidRPr="00857B61">
              <w:rPr>
                <w:rFonts w:ascii="Times New Roman" w:hAnsi="Times New Roman" w:cs="Times New Roman"/>
                <w:i/>
                <w:iCs/>
                <w:szCs w:val="21"/>
              </w:rPr>
              <w:t>Method</w:t>
            </w:r>
          </w:p>
        </w:tc>
        <w:tc>
          <w:tcPr>
            <w:tcW w:w="1048" w:type="dxa"/>
            <w:tcBorders>
              <w:tl2br w:val="nil"/>
              <w:tr2bl w:val="nil"/>
            </w:tcBorders>
          </w:tcPr>
          <w:p w14:paraId="4E3E841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-1.978</w:t>
            </w:r>
          </w:p>
          <w:p w14:paraId="4F5D759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(-0.98)</w:t>
            </w:r>
          </w:p>
        </w:tc>
        <w:tc>
          <w:tcPr>
            <w:tcW w:w="931" w:type="dxa"/>
            <w:tcBorders>
              <w:tl2br w:val="nil"/>
              <w:tr2bl w:val="nil"/>
            </w:tcBorders>
          </w:tcPr>
          <w:p w14:paraId="4F74ED8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-0.675</w:t>
            </w:r>
          </w:p>
          <w:p w14:paraId="53C965C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(-5.18)</w:t>
            </w:r>
          </w:p>
        </w:tc>
        <w:tc>
          <w:tcPr>
            <w:tcW w:w="928" w:type="dxa"/>
            <w:tcBorders>
              <w:tl2br w:val="nil"/>
              <w:tr2bl w:val="nil"/>
            </w:tcBorders>
          </w:tcPr>
          <w:p w14:paraId="7052684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-0.297</w:t>
            </w:r>
          </w:p>
          <w:p w14:paraId="2477FFC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(-0.60)</w:t>
            </w:r>
          </w:p>
        </w:tc>
        <w:tc>
          <w:tcPr>
            <w:tcW w:w="932" w:type="dxa"/>
            <w:tcBorders>
              <w:tl2br w:val="nil"/>
              <w:tr2bl w:val="nil"/>
            </w:tcBorders>
          </w:tcPr>
          <w:p w14:paraId="2A9B685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-2.415</w:t>
            </w:r>
          </w:p>
          <w:p w14:paraId="26FF2B5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(-2.00)</w:t>
            </w:r>
          </w:p>
        </w:tc>
        <w:tc>
          <w:tcPr>
            <w:tcW w:w="969" w:type="dxa"/>
            <w:tcBorders>
              <w:tl2br w:val="nil"/>
              <w:tr2bl w:val="nil"/>
            </w:tcBorders>
          </w:tcPr>
          <w:p w14:paraId="262EC95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-2.470**</w:t>
            </w:r>
          </w:p>
          <w:p w14:paraId="6BEE66B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(-24.59)</w:t>
            </w:r>
          </w:p>
        </w:tc>
        <w:tc>
          <w:tcPr>
            <w:tcW w:w="909" w:type="dxa"/>
            <w:tcBorders>
              <w:tl2br w:val="nil"/>
              <w:tr2bl w:val="nil"/>
            </w:tcBorders>
          </w:tcPr>
          <w:p w14:paraId="33E86EF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-0.249*</w:t>
            </w:r>
          </w:p>
          <w:p w14:paraId="76F537B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(-7.32)</w:t>
            </w:r>
          </w:p>
        </w:tc>
        <w:tc>
          <w:tcPr>
            <w:tcW w:w="918" w:type="dxa"/>
            <w:tcBorders>
              <w:tl2br w:val="nil"/>
              <w:tr2bl w:val="nil"/>
            </w:tcBorders>
          </w:tcPr>
          <w:p w14:paraId="386766B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-0.943</w:t>
            </w:r>
          </w:p>
          <w:p w14:paraId="71DC181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(-4.74)</w:t>
            </w:r>
          </w:p>
        </w:tc>
        <w:tc>
          <w:tcPr>
            <w:tcW w:w="969" w:type="dxa"/>
            <w:tcBorders>
              <w:tl2br w:val="nil"/>
              <w:tr2bl w:val="nil"/>
            </w:tcBorders>
          </w:tcPr>
          <w:p w14:paraId="2394877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-1.116</w:t>
            </w:r>
          </w:p>
          <w:p w14:paraId="141CBB5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(-0.33)</w:t>
            </w:r>
          </w:p>
        </w:tc>
      </w:tr>
      <w:tr w:rsidR="00857B61" w:rsidRPr="00857B61" w14:paraId="7E528B68" w14:textId="77777777">
        <w:trPr>
          <w:jc w:val="center"/>
        </w:trPr>
        <w:tc>
          <w:tcPr>
            <w:tcW w:w="1395" w:type="dxa"/>
            <w:tcBorders>
              <w:tl2br w:val="nil"/>
              <w:tr2bl w:val="nil"/>
            </w:tcBorders>
          </w:tcPr>
          <w:p w14:paraId="29CA92C1" w14:textId="77777777" w:rsidR="00DE7EC6" w:rsidRPr="00857B61" w:rsidRDefault="00000000">
            <w:pPr>
              <w:jc w:val="center"/>
              <w:rPr>
                <w:rFonts w:ascii="Times New Roman" w:eastAsia="宋体" w:hAnsi="Times New Roman" w:cs="Times New Roman"/>
                <w:szCs w:val="21"/>
              </w:rPr>
            </w:pPr>
            <w:r w:rsidRPr="00857B61">
              <w:rPr>
                <w:rFonts w:ascii="Times New Roman" w:hAnsi="Times New Roman" w:cs="Times New Roman" w:hint="eastAsia"/>
                <w:i/>
                <w:iCs/>
                <w:szCs w:val="21"/>
              </w:rPr>
              <w:t>Rpt</w:t>
            </w:r>
          </w:p>
        </w:tc>
        <w:tc>
          <w:tcPr>
            <w:tcW w:w="1048" w:type="dxa"/>
            <w:tcBorders>
              <w:tl2br w:val="nil"/>
              <w:tr2bl w:val="nil"/>
            </w:tcBorders>
          </w:tcPr>
          <w:p w14:paraId="5B6CBC8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-0.704</w:t>
            </w:r>
          </w:p>
          <w:p w14:paraId="758A16C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(-3.44)</w:t>
            </w:r>
          </w:p>
        </w:tc>
        <w:tc>
          <w:tcPr>
            <w:tcW w:w="931" w:type="dxa"/>
            <w:tcBorders>
              <w:tl2br w:val="nil"/>
              <w:tr2bl w:val="nil"/>
            </w:tcBorders>
          </w:tcPr>
          <w:p w14:paraId="4D99D5C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-0.383</w:t>
            </w:r>
          </w:p>
          <w:p w14:paraId="21AAC70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(-0.96)</w:t>
            </w:r>
          </w:p>
        </w:tc>
        <w:tc>
          <w:tcPr>
            <w:tcW w:w="928" w:type="dxa"/>
            <w:tcBorders>
              <w:tl2br w:val="nil"/>
              <w:tr2bl w:val="nil"/>
            </w:tcBorders>
          </w:tcPr>
          <w:p w14:paraId="2FA11C1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-0.390</w:t>
            </w:r>
          </w:p>
          <w:p w14:paraId="52BECCE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(-0.99)</w:t>
            </w:r>
          </w:p>
        </w:tc>
        <w:tc>
          <w:tcPr>
            <w:tcW w:w="932" w:type="dxa"/>
            <w:tcBorders>
              <w:tl2br w:val="nil"/>
              <w:tr2bl w:val="nil"/>
            </w:tcBorders>
          </w:tcPr>
          <w:p w14:paraId="7CC7CF7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-0.277</w:t>
            </w:r>
          </w:p>
          <w:p w14:paraId="186F441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(-0.78)</w:t>
            </w:r>
          </w:p>
        </w:tc>
        <w:tc>
          <w:tcPr>
            <w:tcW w:w="969" w:type="dxa"/>
            <w:tcBorders>
              <w:tl2br w:val="nil"/>
              <w:tr2bl w:val="nil"/>
            </w:tcBorders>
          </w:tcPr>
          <w:p w14:paraId="7F93752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-0.663</w:t>
            </w:r>
          </w:p>
          <w:p w14:paraId="57013FD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(-2.00)</w:t>
            </w:r>
          </w:p>
        </w:tc>
        <w:tc>
          <w:tcPr>
            <w:tcW w:w="909" w:type="dxa"/>
            <w:tcBorders>
              <w:tl2br w:val="nil"/>
              <w:tr2bl w:val="nil"/>
            </w:tcBorders>
          </w:tcPr>
          <w:p w14:paraId="65FBE93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-0.641</w:t>
            </w:r>
          </w:p>
          <w:p w14:paraId="0C2E93F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(-3.67)</w:t>
            </w:r>
          </w:p>
        </w:tc>
        <w:tc>
          <w:tcPr>
            <w:tcW w:w="918" w:type="dxa"/>
            <w:tcBorders>
              <w:tl2br w:val="nil"/>
              <w:tr2bl w:val="nil"/>
            </w:tcBorders>
          </w:tcPr>
          <w:p w14:paraId="71EFFC7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-0.281</w:t>
            </w:r>
          </w:p>
          <w:p w14:paraId="1EB4695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(-4.16)</w:t>
            </w:r>
          </w:p>
        </w:tc>
        <w:tc>
          <w:tcPr>
            <w:tcW w:w="969" w:type="dxa"/>
            <w:tcBorders>
              <w:tl2br w:val="nil"/>
              <w:tr2bl w:val="nil"/>
            </w:tcBorders>
          </w:tcPr>
          <w:p w14:paraId="0A3A3D3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-1.341</w:t>
            </w:r>
          </w:p>
          <w:p w14:paraId="774A740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(-4.65)</w:t>
            </w:r>
          </w:p>
        </w:tc>
      </w:tr>
      <w:tr w:rsidR="00857B61" w:rsidRPr="00857B61" w14:paraId="3D33A89F" w14:textId="77777777">
        <w:trPr>
          <w:jc w:val="center"/>
        </w:trPr>
        <w:tc>
          <w:tcPr>
            <w:tcW w:w="1395" w:type="dxa"/>
            <w:tcBorders>
              <w:tl2br w:val="nil"/>
              <w:tr2bl w:val="nil"/>
            </w:tcBorders>
          </w:tcPr>
          <w:p w14:paraId="3FBB04A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时间效应</w:t>
            </w:r>
          </w:p>
        </w:tc>
        <w:tc>
          <w:tcPr>
            <w:tcW w:w="1048" w:type="dxa"/>
            <w:tcBorders>
              <w:tl2br w:val="nil"/>
              <w:tr2bl w:val="nil"/>
            </w:tcBorders>
            <w:vAlign w:val="center"/>
          </w:tcPr>
          <w:p w14:paraId="04AE357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931" w:type="dxa"/>
            <w:tcBorders>
              <w:tl2br w:val="nil"/>
              <w:tr2bl w:val="nil"/>
            </w:tcBorders>
            <w:vAlign w:val="center"/>
          </w:tcPr>
          <w:p w14:paraId="2A46C67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928" w:type="dxa"/>
            <w:tcBorders>
              <w:tl2br w:val="nil"/>
              <w:tr2bl w:val="nil"/>
            </w:tcBorders>
            <w:vAlign w:val="center"/>
          </w:tcPr>
          <w:p w14:paraId="7837A23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932" w:type="dxa"/>
            <w:tcBorders>
              <w:tl2br w:val="nil"/>
              <w:tr2bl w:val="nil"/>
            </w:tcBorders>
            <w:vAlign w:val="center"/>
          </w:tcPr>
          <w:p w14:paraId="0956BE3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969" w:type="dxa"/>
            <w:tcBorders>
              <w:tl2br w:val="nil"/>
              <w:tr2bl w:val="nil"/>
            </w:tcBorders>
            <w:vAlign w:val="center"/>
          </w:tcPr>
          <w:p w14:paraId="5FCB503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909" w:type="dxa"/>
            <w:tcBorders>
              <w:tl2br w:val="nil"/>
              <w:tr2bl w:val="nil"/>
            </w:tcBorders>
            <w:vAlign w:val="center"/>
          </w:tcPr>
          <w:p w14:paraId="15D135D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918" w:type="dxa"/>
            <w:tcBorders>
              <w:tl2br w:val="nil"/>
              <w:tr2bl w:val="nil"/>
            </w:tcBorders>
            <w:vAlign w:val="center"/>
          </w:tcPr>
          <w:p w14:paraId="160AFCC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969" w:type="dxa"/>
            <w:tcBorders>
              <w:tl2br w:val="nil"/>
              <w:tr2bl w:val="nil"/>
            </w:tcBorders>
            <w:vAlign w:val="center"/>
          </w:tcPr>
          <w:p w14:paraId="3E90345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r>
      <w:tr w:rsidR="00857B61" w:rsidRPr="00857B61" w14:paraId="637292A8" w14:textId="77777777">
        <w:trPr>
          <w:jc w:val="center"/>
        </w:trPr>
        <w:tc>
          <w:tcPr>
            <w:tcW w:w="1395" w:type="dxa"/>
            <w:tcBorders>
              <w:tl2br w:val="nil"/>
              <w:tr2bl w:val="nil"/>
            </w:tcBorders>
          </w:tcPr>
          <w:p w14:paraId="01D8A12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行业效应</w:t>
            </w:r>
          </w:p>
        </w:tc>
        <w:tc>
          <w:tcPr>
            <w:tcW w:w="1048" w:type="dxa"/>
            <w:tcBorders>
              <w:tl2br w:val="nil"/>
              <w:tr2bl w:val="nil"/>
            </w:tcBorders>
            <w:vAlign w:val="center"/>
          </w:tcPr>
          <w:p w14:paraId="6EAAE9E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931" w:type="dxa"/>
            <w:tcBorders>
              <w:tl2br w:val="nil"/>
              <w:tr2bl w:val="nil"/>
            </w:tcBorders>
            <w:vAlign w:val="center"/>
          </w:tcPr>
          <w:p w14:paraId="2DDCE8A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928" w:type="dxa"/>
            <w:tcBorders>
              <w:tl2br w:val="nil"/>
              <w:tr2bl w:val="nil"/>
            </w:tcBorders>
            <w:vAlign w:val="center"/>
          </w:tcPr>
          <w:p w14:paraId="0ED5A75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932" w:type="dxa"/>
            <w:tcBorders>
              <w:tl2br w:val="nil"/>
              <w:tr2bl w:val="nil"/>
            </w:tcBorders>
            <w:vAlign w:val="center"/>
          </w:tcPr>
          <w:p w14:paraId="358133D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969" w:type="dxa"/>
            <w:tcBorders>
              <w:tl2br w:val="nil"/>
              <w:tr2bl w:val="nil"/>
            </w:tcBorders>
            <w:vAlign w:val="center"/>
          </w:tcPr>
          <w:p w14:paraId="38AF397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909" w:type="dxa"/>
            <w:tcBorders>
              <w:tl2br w:val="nil"/>
              <w:tr2bl w:val="nil"/>
            </w:tcBorders>
            <w:vAlign w:val="center"/>
          </w:tcPr>
          <w:p w14:paraId="353B789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918" w:type="dxa"/>
            <w:tcBorders>
              <w:tl2br w:val="nil"/>
              <w:tr2bl w:val="nil"/>
            </w:tcBorders>
            <w:vAlign w:val="center"/>
          </w:tcPr>
          <w:p w14:paraId="458D4EA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969" w:type="dxa"/>
            <w:tcBorders>
              <w:tl2br w:val="nil"/>
              <w:tr2bl w:val="nil"/>
            </w:tcBorders>
            <w:vAlign w:val="center"/>
          </w:tcPr>
          <w:p w14:paraId="59105AA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r>
      <w:tr w:rsidR="00857B61" w:rsidRPr="00857B61" w14:paraId="21497A2C" w14:textId="77777777">
        <w:trPr>
          <w:jc w:val="center"/>
        </w:trPr>
        <w:tc>
          <w:tcPr>
            <w:tcW w:w="1395" w:type="dxa"/>
            <w:tcBorders>
              <w:tl2br w:val="nil"/>
              <w:tr2bl w:val="nil"/>
            </w:tcBorders>
          </w:tcPr>
          <w:p w14:paraId="3D7116A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地区效应</w:t>
            </w:r>
          </w:p>
        </w:tc>
        <w:tc>
          <w:tcPr>
            <w:tcW w:w="1048" w:type="dxa"/>
            <w:tcBorders>
              <w:tl2br w:val="nil"/>
              <w:tr2bl w:val="nil"/>
            </w:tcBorders>
            <w:vAlign w:val="center"/>
          </w:tcPr>
          <w:p w14:paraId="367E62B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931" w:type="dxa"/>
            <w:tcBorders>
              <w:tl2br w:val="nil"/>
              <w:tr2bl w:val="nil"/>
            </w:tcBorders>
            <w:vAlign w:val="center"/>
          </w:tcPr>
          <w:p w14:paraId="299E488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928" w:type="dxa"/>
            <w:tcBorders>
              <w:tl2br w:val="nil"/>
              <w:tr2bl w:val="nil"/>
            </w:tcBorders>
            <w:vAlign w:val="center"/>
          </w:tcPr>
          <w:p w14:paraId="3851E79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932" w:type="dxa"/>
            <w:tcBorders>
              <w:tl2br w:val="nil"/>
              <w:tr2bl w:val="nil"/>
            </w:tcBorders>
            <w:vAlign w:val="center"/>
          </w:tcPr>
          <w:p w14:paraId="392D952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969" w:type="dxa"/>
            <w:tcBorders>
              <w:tl2br w:val="nil"/>
              <w:tr2bl w:val="nil"/>
            </w:tcBorders>
            <w:vAlign w:val="center"/>
          </w:tcPr>
          <w:p w14:paraId="24C0774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909" w:type="dxa"/>
            <w:tcBorders>
              <w:tl2br w:val="nil"/>
              <w:tr2bl w:val="nil"/>
            </w:tcBorders>
            <w:vAlign w:val="center"/>
          </w:tcPr>
          <w:p w14:paraId="06ABA9E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918" w:type="dxa"/>
            <w:tcBorders>
              <w:tl2br w:val="nil"/>
              <w:tr2bl w:val="nil"/>
            </w:tcBorders>
            <w:vAlign w:val="center"/>
          </w:tcPr>
          <w:p w14:paraId="02A263C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969" w:type="dxa"/>
            <w:tcBorders>
              <w:tl2br w:val="nil"/>
              <w:tr2bl w:val="nil"/>
            </w:tcBorders>
            <w:vAlign w:val="center"/>
          </w:tcPr>
          <w:p w14:paraId="2ADAA71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r>
      <w:tr w:rsidR="00857B61" w:rsidRPr="00857B61" w14:paraId="1D055226" w14:textId="77777777">
        <w:trPr>
          <w:trHeight w:val="604"/>
          <w:jc w:val="center"/>
        </w:trPr>
        <w:tc>
          <w:tcPr>
            <w:tcW w:w="1395" w:type="dxa"/>
            <w:tcBorders>
              <w:tl2br w:val="nil"/>
              <w:tr2bl w:val="nil"/>
            </w:tcBorders>
          </w:tcPr>
          <w:p w14:paraId="1AE0BFC8"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i/>
                <w:iCs/>
                <w:szCs w:val="21"/>
              </w:rPr>
              <w:t>C</w:t>
            </w:r>
          </w:p>
        </w:tc>
        <w:tc>
          <w:tcPr>
            <w:tcW w:w="1048" w:type="dxa"/>
            <w:tcBorders>
              <w:tl2br w:val="nil"/>
              <w:tr2bl w:val="nil"/>
            </w:tcBorders>
            <w:vAlign w:val="center"/>
          </w:tcPr>
          <w:p w14:paraId="3B2A0E4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31.665**</w:t>
            </w:r>
          </w:p>
          <w:p w14:paraId="5773BE7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(20.82)</w:t>
            </w:r>
          </w:p>
        </w:tc>
        <w:tc>
          <w:tcPr>
            <w:tcW w:w="931" w:type="dxa"/>
            <w:tcBorders>
              <w:tl2br w:val="nil"/>
              <w:tr2bl w:val="nil"/>
            </w:tcBorders>
            <w:vAlign w:val="center"/>
          </w:tcPr>
          <w:p w14:paraId="0E5DFBC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-57.546</w:t>
            </w:r>
          </w:p>
          <w:p w14:paraId="4690A50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(-2.28)</w:t>
            </w:r>
          </w:p>
        </w:tc>
        <w:tc>
          <w:tcPr>
            <w:tcW w:w="928" w:type="dxa"/>
            <w:tcBorders>
              <w:tl2br w:val="nil"/>
              <w:tr2bl w:val="nil"/>
            </w:tcBorders>
            <w:vAlign w:val="center"/>
          </w:tcPr>
          <w:p w14:paraId="3618166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12.048</w:t>
            </w:r>
          </w:p>
          <w:p w14:paraId="55200F8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(1.16)</w:t>
            </w:r>
          </w:p>
        </w:tc>
        <w:tc>
          <w:tcPr>
            <w:tcW w:w="932" w:type="dxa"/>
            <w:tcBorders>
              <w:tl2br w:val="nil"/>
              <w:tr2bl w:val="nil"/>
            </w:tcBorders>
            <w:vAlign w:val="center"/>
          </w:tcPr>
          <w:p w14:paraId="49FFE0D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1.186</w:t>
            </w:r>
          </w:p>
          <w:p w14:paraId="78627B0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(0.07)</w:t>
            </w:r>
          </w:p>
        </w:tc>
        <w:tc>
          <w:tcPr>
            <w:tcW w:w="969" w:type="dxa"/>
            <w:tcBorders>
              <w:tl2br w:val="nil"/>
              <w:tr2bl w:val="nil"/>
            </w:tcBorders>
            <w:vAlign w:val="center"/>
          </w:tcPr>
          <w:p w14:paraId="7517190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-40.785</w:t>
            </w:r>
          </w:p>
          <w:p w14:paraId="12281F0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(-0.98)</w:t>
            </w:r>
          </w:p>
        </w:tc>
        <w:tc>
          <w:tcPr>
            <w:tcW w:w="909" w:type="dxa"/>
            <w:tcBorders>
              <w:tl2br w:val="nil"/>
              <w:tr2bl w:val="nil"/>
            </w:tcBorders>
            <w:vAlign w:val="center"/>
          </w:tcPr>
          <w:p w14:paraId="283BF2C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20.249</w:t>
            </w:r>
          </w:p>
          <w:p w14:paraId="1EDE0AA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(0.40)</w:t>
            </w:r>
          </w:p>
        </w:tc>
        <w:tc>
          <w:tcPr>
            <w:tcW w:w="918" w:type="dxa"/>
            <w:tcBorders>
              <w:tl2br w:val="nil"/>
              <w:tr2bl w:val="nil"/>
            </w:tcBorders>
            <w:vAlign w:val="center"/>
          </w:tcPr>
          <w:p w14:paraId="474B3EE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1.154</w:t>
            </w:r>
          </w:p>
          <w:p w14:paraId="2CB9BB8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(0.11)</w:t>
            </w:r>
          </w:p>
        </w:tc>
        <w:tc>
          <w:tcPr>
            <w:tcW w:w="969" w:type="dxa"/>
            <w:tcBorders>
              <w:tl2br w:val="nil"/>
              <w:tr2bl w:val="nil"/>
            </w:tcBorders>
            <w:vAlign w:val="center"/>
          </w:tcPr>
          <w:p w14:paraId="6C5CE59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55.212</w:t>
            </w:r>
          </w:p>
          <w:p w14:paraId="42DFC13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(1.21)</w:t>
            </w:r>
          </w:p>
        </w:tc>
      </w:tr>
      <w:tr w:rsidR="00857B61" w:rsidRPr="00857B61" w14:paraId="230BEF48" w14:textId="77777777">
        <w:trPr>
          <w:jc w:val="center"/>
        </w:trPr>
        <w:tc>
          <w:tcPr>
            <w:tcW w:w="1395" w:type="dxa"/>
            <w:tcBorders>
              <w:tl2br w:val="nil"/>
              <w:tr2bl w:val="nil"/>
            </w:tcBorders>
          </w:tcPr>
          <w:p w14:paraId="702D417C"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i/>
                <w:iCs/>
                <w:szCs w:val="21"/>
              </w:rPr>
              <w:t>R</w:t>
            </w:r>
            <w:r w:rsidRPr="00857B61">
              <w:rPr>
                <w:rFonts w:ascii="Times New Roman" w:eastAsia="宋体" w:hAnsi="Times New Roman" w:cs="Times New Roman"/>
                <w:i/>
                <w:iCs/>
                <w:szCs w:val="21"/>
                <w:vertAlign w:val="superscript"/>
              </w:rPr>
              <w:t>2</w:t>
            </w:r>
          </w:p>
        </w:tc>
        <w:tc>
          <w:tcPr>
            <w:tcW w:w="1048" w:type="dxa"/>
            <w:tcBorders>
              <w:tl2br w:val="nil"/>
              <w:tr2bl w:val="nil"/>
            </w:tcBorders>
            <w:vAlign w:val="center"/>
          </w:tcPr>
          <w:p w14:paraId="13362F6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w:t>
            </w:r>
            <w:r w:rsidRPr="00857B61">
              <w:rPr>
                <w:rFonts w:ascii="Times New Roman" w:eastAsia="宋体" w:hAnsi="Times New Roman" w:cs="Times New Roman" w:hint="eastAsia"/>
                <w:szCs w:val="21"/>
              </w:rPr>
              <w:t>66</w:t>
            </w:r>
          </w:p>
        </w:tc>
        <w:tc>
          <w:tcPr>
            <w:tcW w:w="931" w:type="dxa"/>
            <w:tcBorders>
              <w:tl2br w:val="nil"/>
              <w:tr2bl w:val="nil"/>
            </w:tcBorders>
            <w:vAlign w:val="center"/>
          </w:tcPr>
          <w:p w14:paraId="20C557E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w:t>
            </w:r>
            <w:r w:rsidRPr="00857B61">
              <w:rPr>
                <w:rFonts w:ascii="Times New Roman" w:eastAsia="宋体" w:hAnsi="Times New Roman" w:cs="Times New Roman" w:hint="eastAsia"/>
                <w:szCs w:val="21"/>
              </w:rPr>
              <w:t>69</w:t>
            </w:r>
          </w:p>
        </w:tc>
        <w:tc>
          <w:tcPr>
            <w:tcW w:w="928" w:type="dxa"/>
            <w:tcBorders>
              <w:tl2br w:val="nil"/>
              <w:tr2bl w:val="nil"/>
            </w:tcBorders>
            <w:vAlign w:val="center"/>
          </w:tcPr>
          <w:p w14:paraId="4DCA692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0.22</w:t>
            </w:r>
            <w:r w:rsidRPr="00857B61">
              <w:rPr>
                <w:rFonts w:ascii="Times New Roman" w:eastAsia="宋体" w:hAnsi="Times New Roman" w:cs="Times New Roman" w:hint="eastAsia"/>
                <w:szCs w:val="21"/>
              </w:rPr>
              <w:t>3</w:t>
            </w:r>
          </w:p>
        </w:tc>
        <w:tc>
          <w:tcPr>
            <w:tcW w:w="932" w:type="dxa"/>
            <w:tcBorders>
              <w:tl2br w:val="nil"/>
              <w:tr2bl w:val="nil"/>
            </w:tcBorders>
            <w:vAlign w:val="center"/>
          </w:tcPr>
          <w:p w14:paraId="6930B90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0.3</w:t>
            </w:r>
            <w:r w:rsidRPr="00857B61">
              <w:rPr>
                <w:rFonts w:ascii="Times New Roman" w:eastAsia="宋体" w:hAnsi="Times New Roman" w:cs="Times New Roman" w:hint="eastAsia"/>
                <w:szCs w:val="21"/>
              </w:rPr>
              <w:t>66</w:t>
            </w:r>
          </w:p>
        </w:tc>
        <w:tc>
          <w:tcPr>
            <w:tcW w:w="969" w:type="dxa"/>
            <w:tcBorders>
              <w:tl2br w:val="nil"/>
              <w:tr2bl w:val="nil"/>
            </w:tcBorders>
            <w:vAlign w:val="center"/>
          </w:tcPr>
          <w:p w14:paraId="0D376D2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0.437</w:t>
            </w:r>
          </w:p>
        </w:tc>
        <w:tc>
          <w:tcPr>
            <w:tcW w:w="909" w:type="dxa"/>
            <w:tcBorders>
              <w:tl2br w:val="nil"/>
              <w:tr2bl w:val="nil"/>
            </w:tcBorders>
            <w:vAlign w:val="center"/>
          </w:tcPr>
          <w:p w14:paraId="2262632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0.292</w:t>
            </w:r>
          </w:p>
        </w:tc>
        <w:tc>
          <w:tcPr>
            <w:tcW w:w="918" w:type="dxa"/>
            <w:tcBorders>
              <w:tl2br w:val="nil"/>
              <w:tr2bl w:val="nil"/>
            </w:tcBorders>
            <w:vAlign w:val="center"/>
          </w:tcPr>
          <w:p w14:paraId="3383AD8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0.207</w:t>
            </w:r>
          </w:p>
        </w:tc>
        <w:tc>
          <w:tcPr>
            <w:tcW w:w="969" w:type="dxa"/>
            <w:tcBorders>
              <w:tl2br w:val="nil"/>
              <w:tr2bl w:val="nil"/>
            </w:tcBorders>
            <w:vAlign w:val="center"/>
          </w:tcPr>
          <w:p w14:paraId="5DA521B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0.559</w:t>
            </w:r>
          </w:p>
        </w:tc>
      </w:tr>
      <w:tr w:rsidR="00857B61" w:rsidRPr="00857B61" w14:paraId="77CC81EE" w14:textId="77777777">
        <w:trPr>
          <w:jc w:val="center"/>
        </w:trPr>
        <w:tc>
          <w:tcPr>
            <w:tcW w:w="1395" w:type="dxa"/>
            <w:tcBorders>
              <w:tl2br w:val="nil"/>
              <w:tr2bl w:val="nil"/>
            </w:tcBorders>
          </w:tcPr>
          <w:p w14:paraId="1BE769A9"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i/>
                <w:iCs/>
                <w:szCs w:val="21"/>
              </w:rPr>
              <w:t>N</w:t>
            </w:r>
          </w:p>
        </w:tc>
        <w:tc>
          <w:tcPr>
            <w:tcW w:w="1048" w:type="dxa"/>
            <w:tcBorders>
              <w:tl2br w:val="nil"/>
              <w:tr2bl w:val="nil"/>
            </w:tcBorders>
            <w:vAlign w:val="center"/>
          </w:tcPr>
          <w:p w14:paraId="17CD3D5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698</w:t>
            </w:r>
          </w:p>
        </w:tc>
        <w:tc>
          <w:tcPr>
            <w:tcW w:w="931" w:type="dxa"/>
            <w:tcBorders>
              <w:tl2br w:val="nil"/>
              <w:tr2bl w:val="nil"/>
            </w:tcBorders>
            <w:vAlign w:val="center"/>
          </w:tcPr>
          <w:p w14:paraId="37B69D8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403</w:t>
            </w:r>
          </w:p>
        </w:tc>
        <w:tc>
          <w:tcPr>
            <w:tcW w:w="928" w:type="dxa"/>
            <w:tcBorders>
              <w:tl2br w:val="nil"/>
              <w:tr2bl w:val="nil"/>
            </w:tcBorders>
            <w:vAlign w:val="center"/>
          </w:tcPr>
          <w:p w14:paraId="73C7027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847</w:t>
            </w:r>
          </w:p>
        </w:tc>
        <w:tc>
          <w:tcPr>
            <w:tcW w:w="932" w:type="dxa"/>
            <w:tcBorders>
              <w:tl2br w:val="nil"/>
              <w:tr2bl w:val="nil"/>
            </w:tcBorders>
            <w:vAlign w:val="center"/>
          </w:tcPr>
          <w:p w14:paraId="34B74E3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565</w:t>
            </w:r>
          </w:p>
        </w:tc>
        <w:tc>
          <w:tcPr>
            <w:tcW w:w="969" w:type="dxa"/>
            <w:tcBorders>
              <w:tl2br w:val="nil"/>
              <w:tr2bl w:val="nil"/>
            </w:tcBorders>
            <w:vAlign w:val="center"/>
          </w:tcPr>
          <w:p w14:paraId="773FDDC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482</w:t>
            </w:r>
          </w:p>
        </w:tc>
        <w:tc>
          <w:tcPr>
            <w:tcW w:w="909" w:type="dxa"/>
            <w:tcBorders>
              <w:tl2br w:val="nil"/>
              <w:tr2bl w:val="nil"/>
            </w:tcBorders>
            <w:vAlign w:val="center"/>
          </w:tcPr>
          <w:p w14:paraId="682D1B8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883</w:t>
            </w:r>
          </w:p>
        </w:tc>
        <w:tc>
          <w:tcPr>
            <w:tcW w:w="918" w:type="dxa"/>
            <w:tcBorders>
              <w:tl2br w:val="nil"/>
              <w:tr2bl w:val="nil"/>
            </w:tcBorders>
            <w:vAlign w:val="center"/>
          </w:tcPr>
          <w:p w14:paraId="2585CEE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1,098</w:t>
            </w:r>
          </w:p>
        </w:tc>
        <w:tc>
          <w:tcPr>
            <w:tcW w:w="969" w:type="dxa"/>
            <w:tcBorders>
              <w:tl2br w:val="nil"/>
              <w:tr2bl w:val="nil"/>
            </w:tcBorders>
            <w:vAlign w:val="center"/>
          </w:tcPr>
          <w:p w14:paraId="195F4AF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210</w:t>
            </w:r>
          </w:p>
        </w:tc>
      </w:tr>
      <w:tr w:rsidR="00857B61" w:rsidRPr="00857B61" w14:paraId="630F2868" w14:textId="77777777">
        <w:trPr>
          <w:jc w:val="center"/>
        </w:trPr>
        <w:tc>
          <w:tcPr>
            <w:tcW w:w="1395" w:type="dxa"/>
            <w:tcBorders>
              <w:tl2br w:val="nil"/>
              <w:tr2bl w:val="nil"/>
            </w:tcBorders>
          </w:tcPr>
          <w:p w14:paraId="7BA1863C"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szCs w:val="21"/>
              </w:rPr>
              <w:t>组间差异</w:t>
            </w:r>
          </w:p>
        </w:tc>
        <w:tc>
          <w:tcPr>
            <w:tcW w:w="1979" w:type="dxa"/>
            <w:gridSpan w:val="2"/>
            <w:tcBorders>
              <w:tl2br w:val="nil"/>
              <w:tr2bl w:val="nil"/>
            </w:tcBorders>
            <w:vAlign w:val="center"/>
          </w:tcPr>
          <w:p w14:paraId="7EA7B8E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p value=0.097</w:t>
            </w:r>
          </w:p>
        </w:tc>
        <w:tc>
          <w:tcPr>
            <w:tcW w:w="1860" w:type="dxa"/>
            <w:gridSpan w:val="2"/>
            <w:tcBorders>
              <w:tl2br w:val="nil"/>
              <w:tr2bl w:val="nil"/>
            </w:tcBorders>
            <w:vAlign w:val="center"/>
          </w:tcPr>
          <w:p w14:paraId="036CB78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p value=0.080</w:t>
            </w:r>
          </w:p>
        </w:tc>
        <w:tc>
          <w:tcPr>
            <w:tcW w:w="1878" w:type="dxa"/>
            <w:gridSpan w:val="2"/>
            <w:tcBorders>
              <w:tl2br w:val="nil"/>
              <w:tr2bl w:val="nil"/>
            </w:tcBorders>
            <w:vAlign w:val="center"/>
          </w:tcPr>
          <w:p w14:paraId="7CC89E0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p value=0.049</w:t>
            </w:r>
          </w:p>
        </w:tc>
        <w:tc>
          <w:tcPr>
            <w:tcW w:w="1887" w:type="dxa"/>
            <w:gridSpan w:val="2"/>
            <w:tcBorders>
              <w:tl2br w:val="nil"/>
              <w:tr2bl w:val="nil"/>
            </w:tcBorders>
            <w:vAlign w:val="center"/>
          </w:tcPr>
          <w:p w14:paraId="3762C43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p value=0.381</w:t>
            </w:r>
          </w:p>
        </w:tc>
      </w:tr>
    </w:tbl>
    <w:p w14:paraId="578E0C39" w14:textId="77777777" w:rsidR="00DE7EC6" w:rsidRPr="00857B61" w:rsidRDefault="00000000">
      <w:pPr>
        <w:ind w:firstLineChars="200" w:firstLine="420"/>
        <w:rPr>
          <w:rFonts w:ascii="Times New Roman" w:eastAsia="宋体" w:hAnsi="Times New Roman" w:cs="Times New Roman"/>
          <w:szCs w:val="21"/>
        </w:rPr>
      </w:pPr>
      <w:r w:rsidRPr="00857B61">
        <w:rPr>
          <w:rFonts w:ascii="Times New Roman" w:eastAsia="宋体" w:hAnsi="Times New Roman" w:cs="Times New Roman" w:hint="eastAsia"/>
          <w:szCs w:val="21"/>
        </w:rPr>
        <w:t>3.</w:t>
      </w:r>
      <w:r w:rsidRPr="00857B61">
        <w:rPr>
          <w:rFonts w:ascii="Times New Roman" w:eastAsia="楷体" w:hAnsi="Times New Roman" w:cs="Times New Roman"/>
          <w:szCs w:val="21"/>
        </w:rPr>
        <w:t>并购交易活动是否跨越省份的异质性分析。</w:t>
      </w:r>
      <w:r w:rsidRPr="00857B61">
        <w:rPr>
          <w:rFonts w:ascii="Times New Roman" w:eastAsia="宋体" w:hAnsi="Times New Roman" w:cs="Times New Roman"/>
          <w:szCs w:val="21"/>
        </w:rPr>
        <w:t>中国存在地区市场分割，而中央政府将部分国有企业的管辖权下放到省一级使得地方政府拥有实质上的所有权是中国省际地区市场分割存在的一个重要因素（银温泉、才婉茹，</w:t>
      </w:r>
      <w:r w:rsidRPr="00857B61">
        <w:rPr>
          <w:rFonts w:ascii="Times New Roman" w:eastAsia="宋体" w:hAnsi="Times New Roman" w:cs="Times New Roman"/>
          <w:szCs w:val="21"/>
        </w:rPr>
        <w:t>2001</w:t>
      </w:r>
      <w:r w:rsidRPr="00857B61">
        <w:rPr>
          <w:rFonts w:ascii="Times New Roman" w:eastAsia="宋体" w:hAnsi="Times New Roman" w:cs="Times New Roman"/>
          <w:szCs w:val="21"/>
        </w:rPr>
        <w:t>）。我国由于存在行政力量对资源配置的干预，经济发展呈现零散分割状态、跨地区协作水平也比较低下。省际地区市场分割的存在给不少投机行为提供了可能，某些企业或个人借用地区市场分割实现自身非法利益</w:t>
      </w:r>
      <w:r w:rsidRPr="00857B61">
        <w:rPr>
          <w:rStyle w:val="a9"/>
          <w:rFonts w:ascii="Times New Roman" w:eastAsia="宋体" w:hAnsi="Times New Roman" w:cs="Times New Roman"/>
          <w:szCs w:val="21"/>
        </w:rPr>
        <w:footnoteReference w:id="7"/>
      </w:r>
      <w:r w:rsidRPr="00857B61">
        <w:rPr>
          <w:rFonts w:ascii="Times New Roman" w:eastAsia="宋体" w:hAnsi="Times New Roman" w:cs="Times New Roman"/>
          <w:szCs w:val="21"/>
        </w:rPr>
        <w:t>。但是，企业间的并购交易并不会因此而局限于其所处的行政区域内，跨省进行并购是其正常交易状态。根据以上分析，本文决定从并购活动是否跨越省份这个角度出发来进一步探索检察行政公益诉讼制度与国有资产流失之间的关系。如表</w:t>
      </w:r>
      <w:r w:rsidRPr="00857B61">
        <w:rPr>
          <w:rFonts w:ascii="Times New Roman" w:eastAsia="宋体" w:hAnsi="Times New Roman" w:cs="Times New Roman"/>
          <w:szCs w:val="21"/>
        </w:rPr>
        <w:t>9</w:t>
      </w:r>
      <w:r w:rsidRPr="00857B61">
        <w:rPr>
          <w:rFonts w:ascii="Times New Roman" w:eastAsia="宋体" w:hAnsi="Times New Roman" w:cs="Times New Roman"/>
          <w:szCs w:val="21"/>
        </w:rPr>
        <w:t>所示，列（</w:t>
      </w:r>
      <w:r w:rsidRPr="00857B61">
        <w:rPr>
          <w:rFonts w:ascii="Times New Roman" w:eastAsia="宋体" w:hAnsi="Times New Roman" w:cs="Times New Roman"/>
          <w:szCs w:val="21"/>
        </w:rPr>
        <w:t>5</w:t>
      </w:r>
      <w:r w:rsidRPr="00857B61">
        <w:rPr>
          <w:rFonts w:ascii="Times New Roman" w:eastAsia="宋体" w:hAnsi="Times New Roman" w:cs="Times New Roman"/>
          <w:szCs w:val="21"/>
        </w:rPr>
        <w:t>）、列（</w:t>
      </w:r>
      <w:r w:rsidRPr="00857B61">
        <w:rPr>
          <w:rFonts w:ascii="Times New Roman" w:eastAsia="宋体" w:hAnsi="Times New Roman" w:cs="Times New Roman"/>
          <w:szCs w:val="21"/>
        </w:rPr>
        <w:t>6</w:t>
      </w:r>
      <w:r w:rsidRPr="00857B61">
        <w:rPr>
          <w:rFonts w:ascii="Times New Roman" w:eastAsia="宋体" w:hAnsi="Times New Roman" w:cs="Times New Roman"/>
          <w:szCs w:val="21"/>
        </w:rPr>
        <w:t>）对并购交易活动是否跨越省份进行了回归，结果显示跨省并购的</w:t>
      </w:r>
      <w:r w:rsidRPr="00857B61">
        <w:rPr>
          <w:rFonts w:ascii="Times New Roman" w:eastAsia="宋体" w:hAnsi="Times New Roman" w:cs="Times New Roman"/>
          <w:i/>
          <w:iCs/>
          <w:szCs w:val="21"/>
        </w:rPr>
        <w:t>Treat*Policy</w:t>
      </w:r>
      <w:r w:rsidRPr="00857B61">
        <w:rPr>
          <w:rFonts w:ascii="Times New Roman" w:eastAsia="宋体" w:hAnsi="Times New Roman" w:cs="Times New Roman"/>
          <w:szCs w:val="21"/>
        </w:rPr>
        <w:t>估计系数显著为正，非跨省并购交易的估计系数不显著且为负值。组间系数差异检验结果显示，</w:t>
      </w:r>
      <w:r w:rsidRPr="00857B61">
        <w:rPr>
          <w:rFonts w:ascii="Times New Roman" w:eastAsia="宋体" w:hAnsi="Times New Roman" w:cs="Times New Roman"/>
          <w:i/>
          <w:iCs/>
          <w:szCs w:val="21"/>
        </w:rPr>
        <w:t>Treat*Policy</w:t>
      </w:r>
      <w:r w:rsidRPr="00857B61">
        <w:rPr>
          <w:rFonts w:ascii="Times New Roman" w:eastAsia="宋体" w:hAnsi="Times New Roman" w:cs="Times New Roman"/>
          <w:szCs w:val="21"/>
        </w:rPr>
        <w:t>系数差异在</w:t>
      </w:r>
      <w:r w:rsidRPr="00857B61">
        <w:rPr>
          <w:rFonts w:ascii="Times New Roman" w:eastAsia="宋体" w:hAnsi="Times New Roman" w:cs="Times New Roman"/>
          <w:szCs w:val="21"/>
        </w:rPr>
        <w:t>5%</w:t>
      </w:r>
      <w:r w:rsidRPr="00857B61">
        <w:rPr>
          <w:rFonts w:ascii="Times New Roman" w:eastAsia="宋体" w:hAnsi="Times New Roman" w:cs="Times New Roman"/>
          <w:szCs w:val="21"/>
        </w:rPr>
        <w:t>水平上显著。可见，相比于发生在省内的并购行为，买卖双方在跨省层面进行并购活动时，其国有资产流失受到检察行政公益诉讼制度实施带来的抑制影响更为强烈。通过对中国社会情况进行具体分析，本文发现</w:t>
      </w:r>
      <w:r w:rsidRPr="00857B61">
        <w:rPr>
          <w:rFonts w:ascii="宋体" w:eastAsia="宋体" w:hAnsi="宋体" w:cs="宋体" w:hint="eastAsia"/>
          <w:szCs w:val="21"/>
        </w:rPr>
        <w:t>“灯下黑”以及“人情社会”的存在</w:t>
      </w:r>
      <w:r w:rsidRPr="00857B61">
        <w:rPr>
          <w:rFonts w:ascii="Times New Roman" w:eastAsia="宋体" w:hAnsi="Times New Roman" w:cs="宋体" w:hint="eastAsia"/>
          <w:szCs w:val="21"/>
        </w:rPr>
        <w:t>是其重要影响因素。“灯下黑”的存在使得检察机关对于本地区内国有资产流失现象的察觉较为不敏感，毕竟相较于跨省并购来说非跨省并购交易就属于“灯下黑”的范</w:t>
      </w:r>
      <w:r w:rsidRPr="00857B61">
        <w:rPr>
          <w:rFonts w:ascii="Times New Roman" w:eastAsia="宋体" w:hAnsi="Times New Roman" w:cs="Times New Roman"/>
          <w:szCs w:val="21"/>
        </w:rPr>
        <w:t>围，这使得试点期间内非跨省并购中的国有资产流失未受到检察行政公益诉讼制度实施的明显抑制。另外，中国人自古至今一直具有很强的人情观念，极度重视人际关系，这种人际关系发展使</w:t>
      </w:r>
      <w:r w:rsidRPr="00857B61">
        <w:rPr>
          <w:rFonts w:ascii="宋体" w:eastAsia="宋体" w:hAnsi="宋体" w:cs="宋体" w:hint="eastAsia"/>
          <w:szCs w:val="21"/>
        </w:rPr>
        <w:t>得“事本主义”</w:t>
      </w:r>
      <w:r w:rsidRPr="00857B61">
        <w:rPr>
          <w:rFonts w:ascii="Times New Roman" w:eastAsia="宋体" w:hAnsi="Times New Roman" w:cs="Times New Roman"/>
          <w:szCs w:val="21"/>
        </w:rPr>
        <w:t>受到了挑战（王思斌，</w:t>
      </w:r>
      <w:r w:rsidRPr="00857B61">
        <w:rPr>
          <w:rFonts w:ascii="Times New Roman" w:eastAsia="宋体" w:hAnsi="Times New Roman" w:cs="Times New Roman"/>
          <w:szCs w:val="21"/>
        </w:rPr>
        <w:t>1996</w:t>
      </w:r>
      <w:r w:rsidRPr="00857B61">
        <w:rPr>
          <w:rFonts w:ascii="Times New Roman" w:eastAsia="宋体" w:hAnsi="Times New Roman" w:cs="Times New Roman"/>
          <w:szCs w:val="21"/>
        </w:rPr>
        <w:t>）。相比非跨省并</w:t>
      </w:r>
      <w:r w:rsidRPr="00857B61">
        <w:rPr>
          <w:rFonts w:ascii="Times New Roman" w:eastAsia="宋体" w:hAnsi="Times New Roman" w:cs="宋体" w:hint="eastAsia"/>
          <w:szCs w:val="21"/>
        </w:rPr>
        <w:t>购交易行为，跨省并购反而受到制度实施更强的抑制作用正是由于中国现阶段正处于一个“人情社会”的状态，同一省份各机关因复杂的人际关系而变得紧密相连、利益同体。为了维护地方政绩和自身人际关系的稳定，检察机关会违背“事本主义”遵从“人情主义”，忽略本省范围内某些违法违</w:t>
      </w:r>
      <w:r w:rsidRPr="00857B61">
        <w:rPr>
          <w:rFonts w:ascii="Times New Roman" w:eastAsia="宋体" w:hAnsi="Times New Roman" w:cs="Times New Roman"/>
          <w:szCs w:val="21"/>
        </w:rPr>
        <w:t>规案件，转而盯住涉及外省的违规事件。在</w:t>
      </w:r>
      <w:r w:rsidRPr="00857B61">
        <w:rPr>
          <w:rFonts w:ascii="Times New Roman" w:eastAsia="宋体" w:hAnsi="Times New Roman" w:cs="宋体" w:hint="eastAsia"/>
          <w:szCs w:val="21"/>
        </w:rPr>
        <w:t>摆脱“不作为”帽子的</w:t>
      </w:r>
      <w:r w:rsidRPr="00857B61">
        <w:rPr>
          <w:rFonts w:ascii="Times New Roman" w:eastAsia="宋体" w:hAnsi="Times New Roman" w:cs="Times New Roman"/>
          <w:szCs w:val="21"/>
        </w:rPr>
        <w:t>同时，维护同地区相关部门、相关人员的利益。</w:t>
      </w:r>
    </w:p>
    <w:p w14:paraId="7F77DCDE" w14:textId="77777777" w:rsidR="00DE7EC6" w:rsidRPr="00857B61" w:rsidRDefault="00000000">
      <w:pPr>
        <w:ind w:firstLineChars="200" w:firstLine="420"/>
        <w:rPr>
          <w:rFonts w:ascii="Times New Roman" w:eastAsia="宋体" w:hAnsi="Times New Roman" w:cs="Times New Roman"/>
          <w:szCs w:val="21"/>
        </w:rPr>
      </w:pPr>
      <w:r w:rsidRPr="00857B61">
        <w:rPr>
          <w:rFonts w:ascii="Times New Roman" w:eastAsia="楷体" w:hAnsi="Times New Roman" w:cs="Times New Roman"/>
          <w:szCs w:val="21"/>
        </w:rPr>
        <w:t>4.</w:t>
      </w:r>
      <w:r w:rsidRPr="00857B61">
        <w:rPr>
          <w:rFonts w:ascii="Times New Roman" w:eastAsia="楷体" w:hAnsi="Times New Roman" w:cs="Times New Roman"/>
          <w:szCs w:val="21"/>
        </w:rPr>
        <w:t>并购交易活动是否跨越行业的异质性分析。</w:t>
      </w:r>
      <w:r w:rsidRPr="00857B61">
        <w:rPr>
          <w:rFonts w:ascii="Times New Roman" w:eastAsia="宋体" w:hAnsi="Times New Roman" w:cs="Times New Roman"/>
          <w:szCs w:val="21"/>
        </w:rPr>
        <w:t>政府经常会利用颁布产业政策的方式来达到引</w:t>
      </w:r>
      <w:r w:rsidRPr="00857B61">
        <w:rPr>
          <w:rFonts w:ascii="Times New Roman" w:eastAsia="宋体" w:hAnsi="Times New Roman" w:cs="Times New Roman"/>
          <w:szCs w:val="21"/>
        </w:rPr>
        <w:lastRenderedPageBreak/>
        <w:t>导行业发展、调整产业结构的目的，这会激起企业的套利欲望，目前社会上涌现出的与政府战略</w:t>
      </w:r>
      <w:r w:rsidRPr="00857B61">
        <w:rPr>
          <w:rFonts w:ascii="宋体" w:eastAsia="宋体" w:hAnsi="宋体" w:cs="宋体" w:hint="eastAsia"/>
          <w:szCs w:val="21"/>
        </w:rPr>
        <w:t>“攀关系”、“蹭政策热点”的事件正</w:t>
      </w:r>
      <w:r w:rsidRPr="00857B61">
        <w:rPr>
          <w:rFonts w:ascii="Times New Roman" w:eastAsia="宋体" w:hAnsi="Times New Roman" w:cs="Times New Roman"/>
          <w:szCs w:val="21"/>
        </w:rPr>
        <w:t>体现了这一点（蔡庆丰等，</w:t>
      </w:r>
      <w:r w:rsidRPr="00857B61">
        <w:rPr>
          <w:rFonts w:ascii="Times New Roman" w:eastAsia="宋体" w:hAnsi="Times New Roman" w:cs="Times New Roman"/>
          <w:szCs w:val="21"/>
        </w:rPr>
        <w:t>2017</w:t>
      </w:r>
      <w:r w:rsidRPr="00857B61">
        <w:rPr>
          <w:rFonts w:ascii="Times New Roman" w:eastAsia="宋体" w:hAnsi="Times New Roman" w:cs="Times New Roman"/>
          <w:szCs w:val="21"/>
        </w:rPr>
        <w:t>）。企业（尤其是实体企业）在利益的驱动下会进入那些可以获得高利润的行业来实现跨行业套利。本文试图从并购活动是否跨越行业这个角度出发来进一步探索检察行政公益诉讼制度与国有资产流失之间的关系。表</w:t>
      </w:r>
      <w:r w:rsidRPr="00857B61">
        <w:rPr>
          <w:rFonts w:ascii="Times New Roman" w:eastAsia="宋体" w:hAnsi="Times New Roman" w:cs="Times New Roman"/>
          <w:szCs w:val="21"/>
        </w:rPr>
        <w:t>9</w:t>
      </w:r>
      <w:r w:rsidRPr="00857B61">
        <w:rPr>
          <w:rFonts w:ascii="Times New Roman" w:eastAsia="宋体" w:hAnsi="Times New Roman" w:cs="Times New Roman"/>
          <w:szCs w:val="21"/>
        </w:rPr>
        <w:t>列（</w:t>
      </w:r>
      <w:r w:rsidRPr="00857B61">
        <w:rPr>
          <w:rFonts w:ascii="Times New Roman" w:eastAsia="宋体" w:hAnsi="Times New Roman" w:cs="Times New Roman"/>
          <w:szCs w:val="21"/>
        </w:rPr>
        <w:t>7</w:t>
      </w:r>
      <w:r w:rsidRPr="00857B61">
        <w:rPr>
          <w:rFonts w:ascii="Times New Roman" w:eastAsia="宋体" w:hAnsi="Times New Roman" w:cs="Times New Roman"/>
          <w:szCs w:val="21"/>
        </w:rPr>
        <w:t>）、列（</w:t>
      </w:r>
      <w:r w:rsidRPr="00857B61">
        <w:rPr>
          <w:rFonts w:ascii="Times New Roman" w:eastAsia="宋体" w:hAnsi="Times New Roman" w:cs="Times New Roman"/>
          <w:szCs w:val="21"/>
        </w:rPr>
        <w:t>8</w:t>
      </w:r>
      <w:r w:rsidRPr="00857B61">
        <w:rPr>
          <w:rFonts w:ascii="Times New Roman" w:eastAsia="宋体" w:hAnsi="Times New Roman" w:cs="Times New Roman"/>
          <w:szCs w:val="21"/>
        </w:rPr>
        <w:t>）回归结果显示跨行业并购的</w:t>
      </w:r>
      <w:r w:rsidRPr="00857B61">
        <w:rPr>
          <w:rFonts w:ascii="Times New Roman" w:eastAsia="宋体" w:hAnsi="Times New Roman" w:cs="Times New Roman"/>
          <w:i/>
          <w:iCs/>
          <w:szCs w:val="21"/>
        </w:rPr>
        <w:t>Treat*Policy</w:t>
      </w:r>
      <w:r w:rsidRPr="00857B61">
        <w:rPr>
          <w:rFonts w:ascii="Times New Roman" w:eastAsia="宋体" w:hAnsi="Times New Roman" w:cs="Times New Roman"/>
          <w:szCs w:val="21"/>
        </w:rPr>
        <w:t>估计系数显著为正，非跨行业并购的估计系数不显著且为负值。组间系数差异检验结果显示</w:t>
      </w:r>
      <w:r w:rsidRPr="00857B61">
        <w:rPr>
          <w:rFonts w:ascii="Times New Roman" w:eastAsia="宋体" w:hAnsi="Times New Roman" w:cs="Times New Roman"/>
          <w:szCs w:val="21"/>
        </w:rPr>
        <w:t>p</w:t>
      </w:r>
      <w:r w:rsidRPr="00857B61">
        <w:rPr>
          <w:rFonts w:ascii="Times New Roman" w:eastAsia="宋体" w:hAnsi="Times New Roman" w:cs="Times New Roman"/>
          <w:szCs w:val="21"/>
        </w:rPr>
        <w:t>值为</w:t>
      </w:r>
      <w:r w:rsidRPr="00857B61">
        <w:rPr>
          <w:rFonts w:ascii="Times New Roman" w:eastAsia="宋体" w:hAnsi="Times New Roman" w:cs="Times New Roman"/>
          <w:szCs w:val="21"/>
        </w:rPr>
        <w:t>0.381</w:t>
      </w:r>
      <w:r w:rsidRPr="00857B61">
        <w:rPr>
          <w:rFonts w:ascii="Times New Roman" w:eastAsia="宋体" w:hAnsi="Times New Roman" w:cs="Times New Roman"/>
          <w:szCs w:val="21"/>
        </w:rPr>
        <w:t>，说明列（</w:t>
      </w:r>
      <w:r w:rsidRPr="00857B61">
        <w:rPr>
          <w:rFonts w:ascii="Times New Roman" w:eastAsia="宋体" w:hAnsi="Times New Roman" w:cs="Times New Roman"/>
          <w:szCs w:val="21"/>
        </w:rPr>
        <w:t>7</w:t>
      </w:r>
      <w:r w:rsidRPr="00857B61">
        <w:rPr>
          <w:rFonts w:ascii="Times New Roman" w:eastAsia="宋体" w:hAnsi="Times New Roman" w:cs="Times New Roman"/>
          <w:szCs w:val="21"/>
        </w:rPr>
        <w:t>）与列（</w:t>
      </w:r>
      <w:r w:rsidRPr="00857B61">
        <w:rPr>
          <w:rFonts w:ascii="Times New Roman" w:eastAsia="宋体" w:hAnsi="Times New Roman" w:cs="Times New Roman"/>
          <w:szCs w:val="21"/>
        </w:rPr>
        <w:t>8</w:t>
      </w:r>
      <w:r w:rsidRPr="00857B61">
        <w:rPr>
          <w:rFonts w:ascii="Times New Roman" w:eastAsia="宋体" w:hAnsi="Times New Roman" w:cs="Times New Roman"/>
          <w:szCs w:val="21"/>
        </w:rPr>
        <w:t>）中</w:t>
      </w:r>
      <w:r w:rsidRPr="00857B61">
        <w:rPr>
          <w:rFonts w:ascii="Times New Roman" w:eastAsia="宋体" w:hAnsi="Times New Roman" w:cs="Times New Roman"/>
          <w:i/>
          <w:iCs/>
          <w:szCs w:val="21"/>
        </w:rPr>
        <w:t>Treat*Policy</w:t>
      </w:r>
      <w:r w:rsidRPr="00857B61">
        <w:rPr>
          <w:rFonts w:ascii="Times New Roman" w:eastAsia="宋体" w:hAnsi="Times New Roman" w:cs="Times New Roman"/>
          <w:szCs w:val="21"/>
        </w:rPr>
        <w:t>系数差异并不显著，但列（</w:t>
      </w:r>
      <w:r w:rsidRPr="00857B61">
        <w:rPr>
          <w:rFonts w:ascii="Times New Roman" w:eastAsia="宋体" w:hAnsi="Times New Roman" w:cs="Times New Roman"/>
          <w:szCs w:val="21"/>
        </w:rPr>
        <w:t>7</w:t>
      </w:r>
      <w:r w:rsidRPr="00857B61">
        <w:rPr>
          <w:rFonts w:ascii="Times New Roman" w:eastAsia="宋体" w:hAnsi="Times New Roman" w:cs="Times New Roman"/>
          <w:szCs w:val="21"/>
        </w:rPr>
        <w:t>）比列（</w:t>
      </w:r>
      <w:r w:rsidRPr="00857B61">
        <w:rPr>
          <w:rFonts w:ascii="Times New Roman" w:eastAsia="宋体" w:hAnsi="Times New Roman" w:cs="Times New Roman"/>
          <w:szCs w:val="21"/>
        </w:rPr>
        <w:t>8</w:t>
      </w:r>
      <w:r w:rsidRPr="00857B61">
        <w:rPr>
          <w:rFonts w:ascii="Times New Roman" w:eastAsia="宋体" w:hAnsi="Times New Roman" w:cs="Times New Roman"/>
          <w:szCs w:val="21"/>
        </w:rPr>
        <w:t>）中的交互项系数数值大且显著性高。因此，同样可以得出结论，即相比于发生在同行业内的并购行为，买卖双方跨行业进行并购交易时其国有资产流失受到检察行政公益诉讼制度实施带来的抑制影响更为强烈。从代理成本角度来讲，我国的国有上市公司高管多由政府行政任命，与股东利益不完全一致，为了分散其在职风险及谋求政治生涯发展，他们有动机在任期内开展跨行业并购（李善民、周小春，</w:t>
      </w:r>
      <w:r w:rsidRPr="00857B61">
        <w:rPr>
          <w:rFonts w:ascii="Times New Roman" w:eastAsia="宋体" w:hAnsi="Times New Roman" w:cs="Times New Roman"/>
          <w:szCs w:val="21"/>
        </w:rPr>
        <w:t>2007</w:t>
      </w:r>
      <w:r w:rsidRPr="00857B61">
        <w:rPr>
          <w:rFonts w:ascii="Times New Roman" w:eastAsia="宋体" w:hAnsi="Times New Roman" w:cs="Times New Roman"/>
          <w:szCs w:val="21"/>
        </w:rPr>
        <w:t>）。另外，国有企业比非国有企业承担了更多的政策性负担，其经营决策通常要在地方政府部门的干预、指导下进行，政府经常会采取利用其控制企业对困难企业进行跨行业并购等措施来帮助</w:t>
      </w:r>
      <w:r w:rsidRPr="00857B61">
        <w:rPr>
          <w:rFonts w:ascii="Times New Roman" w:eastAsia="宋体" w:hAnsi="Times New Roman" w:cs="Times New Roman" w:hint="eastAsia"/>
          <w:szCs w:val="21"/>
        </w:rPr>
        <w:t>这些困难</w:t>
      </w:r>
      <w:r w:rsidRPr="00857B61">
        <w:rPr>
          <w:rFonts w:ascii="Times New Roman" w:eastAsia="宋体" w:hAnsi="Times New Roman" w:cs="Times New Roman"/>
          <w:szCs w:val="21"/>
        </w:rPr>
        <w:t>企业脱离困境（陈信元、黄俊，</w:t>
      </w:r>
      <w:r w:rsidRPr="00857B61">
        <w:rPr>
          <w:rFonts w:ascii="Times New Roman" w:eastAsia="宋体" w:hAnsi="Times New Roman" w:cs="Times New Roman"/>
          <w:szCs w:val="21"/>
        </w:rPr>
        <w:t>2007</w:t>
      </w:r>
      <w:r w:rsidRPr="00857B61">
        <w:rPr>
          <w:rFonts w:ascii="Times New Roman" w:eastAsia="宋体" w:hAnsi="Times New Roman" w:cs="Times New Roman"/>
          <w:szCs w:val="21"/>
        </w:rPr>
        <w:t>）。在制度试点后，国有资产受到的监督力度加强，地方政府的行政权力以及国有企业高管的管理权力受到约束，跨行业并购作</w:t>
      </w:r>
      <w:r w:rsidRPr="00857B61">
        <w:rPr>
          <w:rFonts w:ascii="宋体" w:eastAsia="宋体" w:hAnsi="宋体" w:cs="宋体" w:hint="eastAsia"/>
          <w:szCs w:val="21"/>
        </w:rPr>
        <w:t>为其“牟利”行</w:t>
      </w:r>
      <w:r w:rsidRPr="00857B61">
        <w:rPr>
          <w:rFonts w:ascii="Times New Roman" w:eastAsia="宋体" w:hAnsi="Times New Roman" w:cs="Times New Roman"/>
          <w:szCs w:val="21"/>
        </w:rPr>
        <w:t>为首先受到冲击，通过无偿划转、高价购买及低价出售等措施来帮扶困难企业、分散在职风险的行为备受监督，进而使国有资产流失现象得到抑制。</w:t>
      </w:r>
    </w:p>
    <w:p w14:paraId="34611BA6" w14:textId="77777777" w:rsidR="00DE7EC6" w:rsidRPr="00857B61" w:rsidRDefault="00000000">
      <w:pPr>
        <w:ind w:firstLineChars="200" w:firstLine="422"/>
        <w:rPr>
          <w:rFonts w:ascii="Times New Roman" w:eastAsia="宋体" w:hAnsi="Times New Roman" w:cs="Times New Roman"/>
          <w:b/>
          <w:bCs/>
          <w:szCs w:val="21"/>
        </w:rPr>
      </w:pPr>
      <w:r w:rsidRPr="00857B61">
        <w:rPr>
          <w:rFonts w:ascii="Times New Roman" w:eastAsia="宋体" w:hAnsi="Times New Roman" w:cs="Times New Roman"/>
          <w:b/>
          <w:bCs/>
          <w:szCs w:val="21"/>
        </w:rPr>
        <w:t>（四）调节效应分析</w:t>
      </w:r>
    </w:p>
    <w:p w14:paraId="0C6E7178" w14:textId="77777777" w:rsidR="00DE7EC6" w:rsidRPr="00857B61" w:rsidRDefault="00000000">
      <w:pPr>
        <w:ind w:firstLineChars="200" w:firstLine="420"/>
        <w:rPr>
          <w:rFonts w:ascii="Times New Roman" w:eastAsia="宋体" w:hAnsi="Times New Roman" w:cs="Times New Roman"/>
          <w:szCs w:val="21"/>
        </w:rPr>
      </w:pPr>
      <w:r w:rsidRPr="00857B61">
        <w:rPr>
          <w:rFonts w:ascii="Times New Roman" w:eastAsia="楷体" w:hAnsi="Times New Roman" w:cs="Times New Roman"/>
          <w:szCs w:val="21"/>
        </w:rPr>
        <w:t>1.</w:t>
      </w:r>
      <w:r w:rsidRPr="00857B61">
        <w:rPr>
          <w:rFonts w:ascii="Times New Roman" w:eastAsia="楷体" w:hAnsi="Times New Roman" w:cs="Times New Roman"/>
          <w:szCs w:val="21"/>
        </w:rPr>
        <w:t>企业亏损状态的调节效应分析。</w:t>
      </w:r>
      <w:r w:rsidRPr="00857B61">
        <w:rPr>
          <w:rFonts w:ascii="Times New Roman" w:eastAsia="宋体" w:hAnsi="Times New Roman" w:cs="Times New Roman"/>
          <w:szCs w:val="21"/>
        </w:rPr>
        <w:t>本文将企业的亏损状态（</w:t>
      </w:r>
      <w:r w:rsidRPr="00857B61">
        <w:rPr>
          <w:rFonts w:ascii="Times New Roman" w:eastAsia="宋体" w:hAnsi="Times New Roman" w:cs="Times New Roman"/>
          <w:i/>
          <w:iCs/>
          <w:szCs w:val="21"/>
        </w:rPr>
        <w:t>Loss</w:t>
      </w:r>
      <w:r w:rsidRPr="00857B61">
        <w:rPr>
          <w:rFonts w:ascii="Times New Roman" w:eastAsia="宋体" w:hAnsi="Times New Roman" w:cs="Times New Roman"/>
          <w:szCs w:val="21"/>
        </w:rPr>
        <w:t>）设为调节变量，当卖方企业在并购交易前一年度的净利润为负值时</w:t>
      </w:r>
      <w:r w:rsidRPr="00857B61">
        <w:rPr>
          <w:rFonts w:ascii="Times New Roman" w:eastAsia="宋体" w:hAnsi="Times New Roman" w:cs="Times New Roman"/>
          <w:i/>
          <w:iCs/>
          <w:szCs w:val="21"/>
        </w:rPr>
        <w:t>Loss</w:t>
      </w:r>
      <w:r w:rsidRPr="00857B61">
        <w:rPr>
          <w:rFonts w:ascii="Times New Roman" w:eastAsia="宋体" w:hAnsi="Times New Roman" w:cs="Times New Roman"/>
          <w:szCs w:val="21"/>
        </w:rPr>
        <w:t>取值为</w:t>
      </w:r>
      <w:r w:rsidRPr="00857B61">
        <w:rPr>
          <w:rFonts w:ascii="Times New Roman" w:eastAsia="宋体" w:hAnsi="Times New Roman" w:cs="Times New Roman"/>
          <w:szCs w:val="21"/>
        </w:rPr>
        <w:t>1</w:t>
      </w:r>
      <w:r w:rsidRPr="00857B61">
        <w:rPr>
          <w:rFonts w:ascii="Times New Roman" w:eastAsia="宋体" w:hAnsi="Times New Roman" w:cs="Times New Roman"/>
          <w:szCs w:val="21"/>
        </w:rPr>
        <w:t>，否则取值为</w:t>
      </w:r>
      <w:r w:rsidRPr="00857B61">
        <w:rPr>
          <w:rFonts w:ascii="Times New Roman" w:eastAsia="宋体" w:hAnsi="Times New Roman" w:cs="Times New Roman"/>
          <w:szCs w:val="21"/>
        </w:rPr>
        <w:t>0</w:t>
      </w:r>
      <w:r w:rsidRPr="00857B61">
        <w:rPr>
          <w:rFonts w:ascii="Times New Roman" w:eastAsia="宋体" w:hAnsi="Times New Roman" w:cs="Times New Roman"/>
          <w:szCs w:val="21"/>
        </w:rPr>
        <w:t>。表</w:t>
      </w:r>
      <w:r w:rsidRPr="00857B61">
        <w:rPr>
          <w:rFonts w:ascii="Times New Roman" w:eastAsia="宋体" w:hAnsi="Times New Roman" w:cs="Times New Roman"/>
          <w:szCs w:val="21"/>
        </w:rPr>
        <w:t>10</w:t>
      </w:r>
      <w:r w:rsidRPr="00857B61">
        <w:rPr>
          <w:rFonts w:ascii="Times New Roman" w:eastAsia="宋体" w:hAnsi="Times New Roman" w:cs="Times New Roman"/>
          <w:szCs w:val="21"/>
        </w:rPr>
        <w:t>中列（</w:t>
      </w:r>
      <w:r w:rsidRPr="00857B61">
        <w:rPr>
          <w:rFonts w:ascii="Times New Roman" w:eastAsia="宋体" w:hAnsi="Times New Roman" w:cs="Times New Roman"/>
          <w:szCs w:val="21"/>
        </w:rPr>
        <w:t>1</w:t>
      </w:r>
      <w:r w:rsidRPr="00857B61">
        <w:rPr>
          <w:rFonts w:ascii="Times New Roman" w:eastAsia="宋体" w:hAnsi="Times New Roman" w:cs="Times New Roman"/>
          <w:szCs w:val="21"/>
        </w:rPr>
        <w:t>）至列（</w:t>
      </w:r>
      <w:r w:rsidRPr="00857B61">
        <w:rPr>
          <w:rFonts w:ascii="Times New Roman" w:eastAsia="宋体" w:hAnsi="Times New Roman" w:cs="Times New Roman"/>
          <w:szCs w:val="21"/>
        </w:rPr>
        <w:t>3</w:t>
      </w:r>
      <w:r w:rsidRPr="00857B61">
        <w:rPr>
          <w:rFonts w:ascii="Times New Roman" w:eastAsia="宋体" w:hAnsi="Times New Roman" w:cs="Times New Roman"/>
          <w:szCs w:val="21"/>
        </w:rPr>
        <w:t>）是将调节变量</w:t>
      </w:r>
      <w:r w:rsidRPr="00857B61">
        <w:rPr>
          <w:rFonts w:ascii="Times New Roman" w:eastAsia="宋体" w:hAnsi="Times New Roman" w:cs="Times New Roman"/>
          <w:i/>
          <w:iCs/>
          <w:szCs w:val="21"/>
        </w:rPr>
        <w:t>Loss</w:t>
      </w:r>
      <w:r w:rsidRPr="00857B61">
        <w:rPr>
          <w:rFonts w:ascii="Times New Roman" w:eastAsia="宋体" w:hAnsi="Times New Roman" w:cs="Times New Roman"/>
          <w:szCs w:val="21"/>
        </w:rPr>
        <w:t>以及其与各变量交互项加入回归中所得结果，</w:t>
      </w:r>
      <w:r w:rsidRPr="00857B61">
        <w:rPr>
          <w:rFonts w:ascii="Times New Roman" w:eastAsia="宋体" w:hAnsi="Times New Roman" w:cs="Times New Roman"/>
          <w:i/>
          <w:iCs/>
          <w:szCs w:val="21"/>
        </w:rPr>
        <w:t>Treat*Policy*Loss</w:t>
      </w:r>
      <w:r w:rsidRPr="00857B61">
        <w:rPr>
          <w:rFonts w:ascii="Times New Roman" w:eastAsia="宋体" w:hAnsi="Times New Roman" w:cs="Times New Roman"/>
          <w:szCs w:val="21"/>
        </w:rPr>
        <w:t>的系数均显著为负，说明企业的亏损状态将减弱检察行政公益诉讼制度与国有资产流失之间的负相关关系，假设</w:t>
      </w:r>
      <w:r w:rsidRPr="00857B61">
        <w:rPr>
          <w:rFonts w:ascii="Times New Roman" w:eastAsia="宋体" w:hAnsi="Times New Roman" w:cs="Times New Roman"/>
          <w:szCs w:val="21"/>
        </w:rPr>
        <w:t>H2</w:t>
      </w:r>
      <w:r w:rsidRPr="00857B61">
        <w:rPr>
          <w:rFonts w:ascii="Times New Roman" w:eastAsia="宋体" w:hAnsi="Times New Roman" w:cs="Times New Roman"/>
          <w:szCs w:val="21"/>
        </w:rPr>
        <w:t>得到支持。卖方企业的盈利或者亏损状态，对于其参与并购交易的目的以及能否占据主动权有很大的影响。当企业处于亏损状态时为了尽快套取资金摆脱困境，其在并购活动中很难处于有利地位，难以索要并购高价；而当企业处于盈利状态时，其参与并购活动的动机多是为了实现更优的资本结构、战略布局，在并购活动中可以借助优势地位择优挑选买方，从而更易在并购中索要高水平的溢价。此研究结果也支持了流动性假设理论，即在并购交易活动中被并购企业会计信息质量越高，买方企业支付的并购价格就越高。</w:t>
      </w:r>
    </w:p>
    <w:p w14:paraId="0403CAFC" w14:textId="77777777" w:rsidR="00DE7EC6" w:rsidRPr="00857B61" w:rsidRDefault="00000000">
      <w:pPr>
        <w:jc w:val="center"/>
        <w:rPr>
          <w:rFonts w:ascii="Times New Roman" w:eastAsia="楷体" w:hAnsi="Times New Roman"/>
          <w:bCs/>
          <w:szCs w:val="21"/>
        </w:rPr>
      </w:pPr>
      <w:r w:rsidRPr="00857B61">
        <w:rPr>
          <w:rFonts w:ascii="Times New Roman" w:eastAsia="楷体" w:hAnsi="Times New Roman" w:hint="eastAsia"/>
          <w:bCs/>
          <w:szCs w:val="21"/>
        </w:rPr>
        <w:t>表</w:t>
      </w:r>
      <w:r w:rsidRPr="00857B61">
        <w:rPr>
          <w:rFonts w:ascii="Times New Roman" w:eastAsia="楷体" w:hAnsi="Times New Roman" w:cs="Times New Roman"/>
          <w:bCs/>
          <w:szCs w:val="21"/>
        </w:rPr>
        <w:t>1</w:t>
      </w:r>
      <w:r w:rsidRPr="00857B61">
        <w:rPr>
          <w:rFonts w:ascii="Times New Roman" w:eastAsia="楷体" w:hAnsi="Times New Roman" w:cs="Times New Roman" w:hint="eastAsia"/>
          <w:bCs/>
          <w:szCs w:val="21"/>
        </w:rPr>
        <w:t xml:space="preserve">0 </w:t>
      </w:r>
      <w:r w:rsidRPr="00857B61">
        <w:rPr>
          <w:rFonts w:ascii="Times New Roman" w:eastAsia="楷体" w:hAnsi="Times New Roman" w:hint="eastAsia"/>
          <w:bCs/>
          <w:szCs w:val="21"/>
        </w:rPr>
        <w:t>调节效应回归结果</w:t>
      </w:r>
    </w:p>
    <w:tbl>
      <w:tblPr>
        <w:tblW w:w="4997" w:type="pct"/>
        <w:jc w:val="center"/>
        <w:tblBorders>
          <w:top w:val="single" w:sz="8" w:space="0" w:color="auto"/>
          <w:left w:val="none" w:sz="4" w:space="0" w:color="auto"/>
          <w:bottom w:val="single" w:sz="8" w:space="0" w:color="auto"/>
          <w:right w:val="none" w:sz="4" w:space="0" w:color="auto"/>
          <w:insideH w:val="single" w:sz="8" w:space="0" w:color="auto"/>
          <w:insideV w:val="single" w:sz="8" w:space="0" w:color="auto"/>
        </w:tblBorders>
        <w:tblLook w:val="04A0" w:firstRow="1" w:lastRow="0" w:firstColumn="1" w:lastColumn="0" w:noHBand="0" w:noVBand="1"/>
      </w:tblPr>
      <w:tblGrid>
        <w:gridCol w:w="2344"/>
        <w:gridCol w:w="1396"/>
        <w:gridCol w:w="1246"/>
        <w:gridCol w:w="1247"/>
        <w:gridCol w:w="1456"/>
        <w:gridCol w:w="1310"/>
      </w:tblGrid>
      <w:tr w:rsidR="00857B61" w:rsidRPr="00857B61" w14:paraId="19779495" w14:textId="77777777">
        <w:trPr>
          <w:trHeight w:val="90"/>
          <w:jc w:val="center"/>
        </w:trPr>
        <w:tc>
          <w:tcPr>
            <w:tcW w:w="1301" w:type="pct"/>
            <w:vMerge w:val="restart"/>
            <w:tcBorders>
              <w:left w:val="nil"/>
              <w:tl2br w:val="nil"/>
              <w:tr2bl w:val="nil"/>
            </w:tcBorders>
            <w:vAlign w:val="center"/>
          </w:tcPr>
          <w:p w14:paraId="208ED67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变量名称</w:t>
            </w:r>
          </w:p>
        </w:tc>
        <w:tc>
          <w:tcPr>
            <w:tcW w:w="775" w:type="pct"/>
            <w:tcBorders>
              <w:tl2br w:val="nil"/>
              <w:tr2bl w:val="nil"/>
            </w:tcBorders>
            <w:vAlign w:val="center"/>
          </w:tcPr>
          <w:p w14:paraId="22C6D14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w:t>
            </w:r>
          </w:p>
        </w:tc>
        <w:tc>
          <w:tcPr>
            <w:tcW w:w="692" w:type="pct"/>
            <w:tcBorders>
              <w:tl2br w:val="nil"/>
              <w:tr2bl w:val="nil"/>
            </w:tcBorders>
            <w:vAlign w:val="center"/>
          </w:tcPr>
          <w:p w14:paraId="4056504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2</w:t>
            </w:r>
            <w:r w:rsidRPr="00857B61">
              <w:rPr>
                <w:rFonts w:ascii="Times New Roman" w:eastAsia="宋体" w:hAnsi="Times New Roman" w:cs="Times New Roman"/>
                <w:szCs w:val="21"/>
              </w:rPr>
              <w:t>)</w:t>
            </w:r>
          </w:p>
        </w:tc>
        <w:tc>
          <w:tcPr>
            <w:tcW w:w="693" w:type="pct"/>
            <w:tcBorders>
              <w:tl2br w:val="nil"/>
              <w:tr2bl w:val="nil"/>
            </w:tcBorders>
            <w:vAlign w:val="center"/>
          </w:tcPr>
          <w:p w14:paraId="4A5381D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3</w:t>
            </w:r>
            <w:r w:rsidRPr="00857B61">
              <w:rPr>
                <w:rFonts w:ascii="Times New Roman" w:eastAsia="宋体" w:hAnsi="Times New Roman" w:cs="Times New Roman"/>
                <w:szCs w:val="21"/>
              </w:rPr>
              <w:t>)</w:t>
            </w:r>
          </w:p>
        </w:tc>
        <w:tc>
          <w:tcPr>
            <w:tcW w:w="809" w:type="pct"/>
            <w:tcBorders>
              <w:tl2br w:val="nil"/>
              <w:tr2bl w:val="nil"/>
            </w:tcBorders>
            <w:vAlign w:val="center"/>
          </w:tcPr>
          <w:p w14:paraId="00A84C0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4</w:t>
            </w:r>
            <w:r w:rsidRPr="00857B61">
              <w:rPr>
                <w:rFonts w:ascii="Times New Roman" w:eastAsia="宋体" w:hAnsi="Times New Roman" w:cs="Times New Roman"/>
                <w:szCs w:val="21"/>
              </w:rPr>
              <w:t>)</w:t>
            </w:r>
          </w:p>
        </w:tc>
        <w:tc>
          <w:tcPr>
            <w:tcW w:w="728" w:type="pct"/>
            <w:tcBorders>
              <w:right w:val="nil"/>
              <w:tl2br w:val="nil"/>
              <w:tr2bl w:val="nil"/>
            </w:tcBorders>
            <w:vAlign w:val="center"/>
          </w:tcPr>
          <w:p w14:paraId="537A64B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5</w:t>
            </w:r>
            <w:r w:rsidRPr="00857B61">
              <w:rPr>
                <w:rFonts w:ascii="Times New Roman" w:eastAsia="宋体" w:hAnsi="Times New Roman" w:cs="Times New Roman"/>
                <w:szCs w:val="21"/>
              </w:rPr>
              <w:t>)</w:t>
            </w:r>
          </w:p>
        </w:tc>
      </w:tr>
      <w:tr w:rsidR="00857B61" w:rsidRPr="00857B61" w14:paraId="38951D1D" w14:textId="77777777">
        <w:trPr>
          <w:jc w:val="center"/>
        </w:trPr>
        <w:tc>
          <w:tcPr>
            <w:tcW w:w="1301" w:type="pct"/>
            <w:vMerge/>
            <w:tcBorders>
              <w:left w:val="nil"/>
              <w:tl2br w:val="nil"/>
              <w:tr2bl w:val="nil"/>
            </w:tcBorders>
          </w:tcPr>
          <w:p w14:paraId="1B8BE8FB" w14:textId="77777777" w:rsidR="00DE7EC6" w:rsidRPr="00857B61" w:rsidRDefault="00DE7EC6">
            <w:pPr>
              <w:jc w:val="center"/>
              <w:rPr>
                <w:rFonts w:ascii="Times New Roman" w:eastAsia="宋体" w:hAnsi="Times New Roman" w:cs="Times New Roman"/>
                <w:szCs w:val="21"/>
              </w:rPr>
            </w:pPr>
          </w:p>
        </w:tc>
        <w:tc>
          <w:tcPr>
            <w:tcW w:w="2160" w:type="pct"/>
            <w:gridSpan w:val="3"/>
            <w:tcBorders>
              <w:tl2br w:val="nil"/>
              <w:tr2bl w:val="nil"/>
            </w:tcBorders>
            <w:vAlign w:val="center"/>
          </w:tcPr>
          <w:p w14:paraId="6175984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亏损状态的调节效应</w:t>
            </w:r>
          </w:p>
        </w:tc>
        <w:tc>
          <w:tcPr>
            <w:tcW w:w="1537" w:type="pct"/>
            <w:gridSpan w:val="2"/>
            <w:tcBorders>
              <w:tl2br w:val="nil"/>
              <w:tr2bl w:val="nil"/>
            </w:tcBorders>
            <w:vAlign w:val="center"/>
          </w:tcPr>
          <w:p w14:paraId="775FFDB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地区执法强度调节效应</w:t>
            </w:r>
          </w:p>
        </w:tc>
      </w:tr>
      <w:tr w:rsidR="00857B61" w:rsidRPr="00857B61" w14:paraId="3C34095E" w14:textId="77777777">
        <w:trPr>
          <w:trHeight w:val="639"/>
          <w:jc w:val="center"/>
        </w:trPr>
        <w:tc>
          <w:tcPr>
            <w:tcW w:w="1301" w:type="pct"/>
            <w:tcBorders>
              <w:tl2br w:val="nil"/>
              <w:tr2bl w:val="nil"/>
            </w:tcBorders>
          </w:tcPr>
          <w:p w14:paraId="4B8AADE3"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Treat</w:t>
            </w:r>
            <w:r w:rsidRPr="00857B61">
              <w:rPr>
                <w:rFonts w:ascii="Times New Roman" w:eastAsia="宋体" w:hAnsi="Times New Roman" w:cs="Times New Roman"/>
                <w:i/>
                <w:iCs/>
                <w:szCs w:val="21"/>
              </w:rPr>
              <w:t>*</w:t>
            </w:r>
            <w:r w:rsidRPr="00857B61">
              <w:rPr>
                <w:rFonts w:ascii="Times New Roman" w:eastAsia="宋体" w:hAnsi="Times New Roman" w:cs="Times New Roman" w:hint="eastAsia"/>
                <w:i/>
                <w:iCs/>
                <w:szCs w:val="21"/>
              </w:rPr>
              <w:t>Policy</w:t>
            </w:r>
          </w:p>
        </w:tc>
        <w:tc>
          <w:tcPr>
            <w:tcW w:w="775" w:type="pct"/>
            <w:tcBorders>
              <w:tl2br w:val="nil"/>
              <w:tr2bl w:val="nil"/>
            </w:tcBorders>
          </w:tcPr>
          <w:p w14:paraId="223DBAD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2.263*</w:t>
            </w:r>
          </w:p>
          <w:p w14:paraId="353516E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(6.57)</w:t>
            </w:r>
          </w:p>
        </w:tc>
        <w:tc>
          <w:tcPr>
            <w:tcW w:w="692" w:type="pct"/>
            <w:tcBorders>
              <w:tl2br w:val="nil"/>
              <w:tr2bl w:val="nil"/>
            </w:tcBorders>
          </w:tcPr>
          <w:p w14:paraId="50BD7FF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1.529**</w:t>
            </w:r>
          </w:p>
          <w:p w14:paraId="10E379A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(16.56)</w:t>
            </w:r>
          </w:p>
        </w:tc>
        <w:tc>
          <w:tcPr>
            <w:tcW w:w="693" w:type="pct"/>
            <w:tcBorders>
              <w:tl2br w:val="nil"/>
              <w:tr2bl w:val="nil"/>
            </w:tcBorders>
          </w:tcPr>
          <w:p w14:paraId="01BEE1B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2.736**</w:t>
            </w:r>
          </w:p>
          <w:p w14:paraId="12E638D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(15.21)</w:t>
            </w:r>
          </w:p>
        </w:tc>
        <w:tc>
          <w:tcPr>
            <w:tcW w:w="809" w:type="pct"/>
            <w:tcBorders>
              <w:tl2br w:val="nil"/>
              <w:tr2bl w:val="nil"/>
            </w:tcBorders>
          </w:tcPr>
          <w:p w14:paraId="251E962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0.904**</w:t>
            </w:r>
          </w:p>
          <w:p w14:paraId="21721F3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(13.33)</w:t>
            </w:r>
          </w:p>
        </w:tc>
        <w:tc>
          <w:tcPr>
            <w:tcW w:w="728" w:type="pct"/>
            <w:tcBorders>
              <w:tl2br w:val="nil"/>
              <w:tr2bl w:val="nil"/>
            </w:tcBorders>
          </w:tcPr>
          <w:p w14:paraId="3223854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0.977**</w:t>
            </w:r>
          </w:p>
          <w:p w14:paraId="17BCAC8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(14.25)</w:t>
            </w:r>
          </w:p>
        </w:tc>
      </w:tr>
      <w:tr w:rsidR="00857B61" w:rsidRPr="00857B61" w14:paraId="120B4807" w14:textId="77777777">
        <w:trPr>
          <w:trHeight w:val="624"/>
          <w:jc w:val="center"/>
        </w:trPr>
        <w:tc>
          <w:tcPr>
            <w:tcW w:w="1301" w:type="pct"/>
            <w:tcBorders>
              <w:tl2br w:val="nil"/>
              <w:tr2bl w:val="nil"/>
            </w:tcBorders>
          </w:tcPr>
          <w:p w14:paraId="33582FD2"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Treat</w:t>
            </w:r>
          </w:p>
        </w:tc>
        <w:tc>
          <w:tcPr>
            <w:tcW w:w="775" w:type="pct"/>
            <w:tcBorders>
              <w:tl2br w:val="nil"/>
              <w:tr2bl w:val="nil"/>
            </w:tcBorders>
          </w:tcPr>
          <w:p w14:paraId="592F488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0.738</w:t>
            </w:r>
          </w:p>
          <w:p w14:paraId="05FD661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(1.99)</w:t>
            </w:r>
          </w:p>
        </w:tc>
        <w:tc>
          <w:tcPr>
            <w:tcW w:w="692" w:type="pct"/>
            <w:tcBorders>
              <w:tl2br w:val="nil"/>
              <w:tr2bl w:val="nil"/>
            </w:tcBorders>
          </w:tcPr>
          <w:p w14:paraId="65414E8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-1.748</w:t>
            </w:r>
          </w:p>
          <w:p w14:paraId="156F4FC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(-4.95)</w:t>
            </w:r>
          </w:p>
        </w:tc>
        <w:tc>
          <w:tcPr>
            <w:tcW w:w="693" w:type="pct"/>
            <w:tcBorders>
              <w:tl2br w:val="nil"/>
              <w:tr2bl w:val="nil"/>
            </w:tcBorders>
          </w:tcPr>
          <w:p w14:paraId="6A54C6A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4.531</w:t>
            </w:r>
          </w:p>
          <w:p w14:paraId="5156FA4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(0.96)</w:t>
            </w:r>
          </w:p>
        </w:tc>
        <w:tc>
          <w:tcPr>
            <w:tcW w:w="809" w:type="pct"/>
            <w:tcBorders>
              <w:tl2br w:val="nil"/>
              <w:tr2bl w:val="nil"/>
            </w:tcBorders>
          </w:tcPr>
          <w:p w14:paraId="10CCFD7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2.721</w:t>
            </w:r>
          </w:p>
          <w:p w14:paraId="23249F7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(6.21)</w:t>
            </w:r>
          </w:p>
        </w:tc>
        <w:tc>
          <w:tcPr>
            <w:tcW w:w="728" w:type="pct"/>
            <w:tcBorders>
              <w:tl2br w:val="nil"/>
              <w:tr2bl w:val="nil"/>
            </w:tcBorders>
          </w:tcPr>
          <w:p w14:paraId="4F074F6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3.846</w:t>
            </w:r>
          </w:p>
          <w:p w14:paraId="667E302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(1.32)</w:t>
            </w:r>
          </w:p>
        </w:tc>
      </w:tr>
      <w:tr w:rsidR="00857B61" w:rsidRPr="00857B61" w14:paraId="695F4B0C" w14:textId="77777777">
        <w:trPr>
          <w:trHeight w:val="624"/>
          <w:jc w:val="center"/>
        </w:trPr>
        <w:tc>
          <w:tcPr>
            <w:tcW w:w="1301" w:type="pct"/>
            <w:tcBorders>
              <w:tl2br w:val="nil"/>
              <w:tr2bl w:val="nil"/>
            </w:tcBorders>
          </w:tcPr>
          <w:p w14:paraId="55D6FCEC"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Policy</w:t>
            </w:r>
          </w:p>
        </w:tc>
        <w:tc>
          <w:tcPr>
            <w:tcW w:w="775" w:type="pct"/>
            <w:tcBorders>
              <w:tl2br w:val="nil"/>
              <w:tr2bl w:val="nil"/>
            </w:tcBorders>
          </w:tcPr>
          <w:p w14:paraId="33B1D56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-2.846</w:t>
            </w:r>
          </w:p>
          <w:p w14:paraId="4854D14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(-5.86)</w:t>
            </w:r>
          </w:p>
        </w:tc>
        <w:tc>
          <w:tcPr>
            <w:tcW w:w="692" w:type="pct"/>
            <w:tcBorders>
              <w:tl2br w:val="nil"/>
              <w:tr2bl w:val="nil"/>
            </w:tcBorders>
          </w:tcPr>
          <w:p w14:paraId="78EE144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-0.976</w:t>
            </w:r>
          </w:p>
          <w:p w14:paraId="608C75B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(-4.44)</w:t>
            </w:r>
          </w:p>
        </w:tc>
        <w:tc>
          <w:tcPr>
            <w:tcW w:w="693" w:type="pct"/>
            <w:tcBorders>
              <w:tl2br w:val="nil"/>
              <w:tr2bl w:val="nil"/>
            </w:tcBorders>
          </w:tcPr>
          <w:p w14:paraId="078D58A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-1.852</w:t>
            </w:r>
          </w:p>
          <w:p w14:paraId="548FEB9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(-0.83)</w:t>
            </w:r>
          </w:p>
        </w:tc>
        <w:tc>
          <w:tcPr>
            <w:tcW w:w="809" w:type="pct"/>
            <w:tcBorders>
              <w:tl2br w:val="nil"/>
              <w:tr2bl w:val="nil"/>
            </w:tcBorders>
          </w:tcPr>
          <w:p w14:paraId="304D0A2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-0.248</w:t>
            </w:r>
          </w:p>
          <w:p w14:paraId="168AF99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(-0.74)</w:t>
            </w:r>
          </w:p>
        </w:tc>
        <w:tc>
          <w:tcPr>
            <w:tcW w:w="728" w:type="pct"/>
            <w:tcBorders>
              <w:tl2br w:val="nil"/>
              <w:tr2bl w:val="nil"/>
            </w:tcBorders>
          </w:tcPr>
          <w:p w14:paraId="6C951E7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0.135</w:t>
            </w:r>
          </w:p>
          <w:p w14:paraId="2FBFBA6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(0.20)</w:t>
            </w:r>
          </w:p>
        </w:tc>
      </w:tr>
      <w:tr w:rsidR="00857B61" w:rsidRPr="00857B61" w14:paraId="73207C03" w14:textId="77777777">
        <w:trPr>
          <w:trHeight w:val="624"/>
          <w:jc w:val="center"/>
        </w:trPr>
        <w:tc>
          <w:tcPr>
            <w:tcW w:w="1301" w:type="pct"/>
            <w:tcBorders>
              <w:tl2br w:val="nil"/>
              <w:tr2bl w:val="nil"/>
            </w:tcBorders>
          </w:tcPr>
          <w:p w14:paraId="07CF03B3"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Treat</w:t>
            </w:r>
            <w:r w:rsidRPr="00857B61">
              <w:rPr>
                <w:rFonts w:ascii="Times New Roman" w:eastAsia="宋体" w:hAnsi="Times New Roman" w:cs="Times New Roman"/>
                <w:i/>
                <w:iCs/>
                <w:szCs w:val="21"/>
              </w:rPr>
              <w:t>*</w:t>
            </w:r>
            <w:r w:rsidRPr="00857B61">
              <w:rPr>
                <w:rFonts w:ascii="Times New Roman" w:eastAsia="宋体" w:hAnsi="Times New Roman" w:cs="Times New Roman" w:hint="eastAsia"/>
                <w:i/>
                <w:iCs/>
                <w:szCs w:val="21"/>
              </w:rPr>
              <w:t>Policy</w:t>
            </w:r>
            <w:r w:rsidRPr="00857B61">
              <w:rPr>
                <w:rFonts w:ascii="Times New Roman" w:eastAsia="宋体" w:hAnsi="Times New Roman" w:cs="Times New Roman"/>
                <w:i/>
                <w:iCs/>
                <w:szCs w:val="21"/>
              </w:rPr>
              <w:t>*Loss</w:t>
            </w:r>
          </w:p>
        </w:tc>
        <w:tc>
          <w:tcPr>
            <w:tcW w:w="775" w:type="pct"/>
            <w:tcBorders>
              <w:tl2br w:val="nil"/>
              <w:tr2bl w:val="nil"/>
            </w:tcBorders>
          </w:tcPr>
          <w:p w14:paraId="2BCD929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-2.378*</w:t>
            </w:r>
          </w:p>
          <w:p w14:paraId="087C826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(-12.67)</w:t>
            </w:r>
          </w:p>
        </w:tc>
        <w:tc>
          <w:tcPr>
            <w:tcW w:w="692" w:type="pct"/>
            <w:tcBorders>
              <w:tl2br w:val="nil"/>
              <w:tr2bl w:val="nil"/>
            </w:tcBorders>
          </w:tcPr>
          <w:p w14:paraId="2BA4102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-1.717**</w:t>
            </w:r>
          </w:p>
          <w:p w14:paraId="500B598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(-28.55)</w:t>
            </w:r>
          </w:p>
        </w:tc>
        <w:tc>
          <w:tcPr>
            <w:tcW w:w="693" w:type="pct"/>
            <w:tcBorders>
              <w:tl2br w:val="nil"/>
              <w:tr2bl w:val="nil"/>
            </w:tcBorders>
          </w:tcPr>
          <w:p w14:paraId="5E75F82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-2.705***</w:t>
            </w:r>
          </w:p>
          <w:p w14:paraId="6EBD591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(-75.80)</w:t>
            </w:r>
          </w:p>
        </w:tc>
        <w:tc>
          <w:tcPr>
            <w:tcW w:w="809" w:type="pct"/>
            <w:tcBorders>
              <w:tl2br w:val="nil"/>
              <w:tr2bl w:val="nil"/>
            </w:tcBorders>
          </w:tcPr>
          <w:p w14:paraId="710FA34A" w14:textId="77777777" w:rsidR="00DE7EC6" w:rsidRPr="00857B61" w:rsidRDefault="00DE7EC6">
            <w:pPr>
              <w:jc w:val="center"/>
              <w:rPr>
                <w:rFonts w:ascii="Times New Roman" w:eastAsia="宋体" w:hAnsi="Times New Roman" w:cs="Times New Roman"/>
                <w:szCs w:val="21"/>
              </w:rPr>
            </w:pPr>
          </w:p>
        </w:tc>
        <w:tc>
          <w:tcPr>
            <w:tcW w:w="728" w:type="pct"/>
            <w:tcBorders>
              <w:tl2br w:val="nil"/>
              <w:tr2bl w:val="nil"/>
            </w:tcBorders>
          </w:tcPr>
          <w:p w14:paraId="7FF84949" w14:textId="77777777" w:rsidR="00DE7EC6" w:rsidRPr="00857B61" w:rsidRDefault="00DE7EC6">
            <w:pPr>
              <w:jc w:val="center"/>
              <w:rPr>
                <w:rFonts w:ascii="Times New Roman" w:eastAsia="宋体" w:hAnsi="Times New Roman" w:cs="Times New Roman"/>
                <w:szCs w:val="21"/>
              </w:rPr>
            </w:pPr>
          </w:p>
        </w:tc>
      </w:tr>
      <w:tr w:rsidR="00857B61" w:rsidRPr="00857B61" w14:paraId="229C1582" w14:textId="77777777">
        <w:trPr>
          <w:trHeight w:val="624"/>
          <w:jc w:val="center"/>
        </w:trPr>
        <w:tc>
          <w:tcPr>
            <w:tcW w:w="1301" w:type="pct"/>
            <w:tcBorders>
              <w:tl2br w:val="nil"/>
              <w:tr2bl w:val="nil"/>
            </w:tcBorders>
          </w:tcPr>
          <w:p w14:paraId="40428117"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Treat</w:t>
            </w:r>
            <w:r w:rsidRPr="00857B61">
              <w:rPr>
                <w:rFonts w:ascii="Times New Roman" w:eastAsia="宋体" w:hAnsi="Times New Roman" w:cs="Times New Roman"/>
                <w:i/>
                <w:iCs/>
                <w:szCs w:val="21"/>
              </w:rPr>
              <w:t>*Loss</w:t>
            </w:r>
            <w:r w:rsidRPr="00857B61">
              <w:rPr>
                <w:rFonts w:ascii="Times New Roman" w:eastAsia="宋体" w:hAnsi="Times New Roman" w:cs="Times New Roman" w:hint="eastAsia"/>
                <w:i/>
                <w:iCs/>
                <w:szCs w:val="21"/>
              </w:rPr>
              <w:t xml:space="preserve"> </w:t>
            </w:r>
          </w:p>
        </w:tc>
        <w:tc>
          <w:tcPr>
            <w:tcW w:w="775" w:type="pct"/>
            <w:tcBorders>
              <w:tl2br w:val="nil"/>
              <w:tr2bl w:val="nil"/>
            </w:tcBorders>
          </w:tcPr>
          <w:p w14:paraId="525F2EE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1.544*</w:t>
            </w:r>
          </w:p>
          <w:p w14:paraId="2896AB0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(11.51)</w:t>
            </w:r>
          </w:p>
        </w:tc>
        <w:tc>
          <w:tcPr>
            <w:tcW w:w="692" w:type="pct"/>
            <w:tcBorders>
              <w:tl2br w:val="nil"/>
              <w:tr2bl w:val="nil"/>
            </w:tcBorders>
          </w:tcPr>
          <w:p w14:paraId="372B3ED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1.651*</w:t>
            </w:r>
          </w:p>
          <w:p w14:paraId="1115E8F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(11.27)</w:t>
            </w:r>
          </w:p>
        </w:tc>
        <w:tc>
          <w:tcPr>
            <w:tcW w:w="693" w:type="pct"/>
            <w:tcBorders>
              <w:tl2br w:val="nil"/>
              <w:tr2bl w:val="nil"/>
            </w:tcBorders>
          </w:tcPr>
          <w:p w14:paraId="1097FE9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1.586**</w:t>
            </w:r>
          </w:p>
          <w:p w14:paraId="320DAD2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(17.87)</w:t>
            </w:r>
          </w:p>
        </w:tc>
        <w:tc>
          <w:tcPr>
            <w:tcW w:w="809" w:type="pct"/>
            <w:tcBorders>
              <w:tl2br w:val="nil"/>
              <w:tr2bl w:val="nil"/>
            </w:tcBorders>
          </w:tcPr>
          <w:p w14:paraId="51B9B9DE" w14:textId="77777777" w:rsidR="00DE7EC6" w:rsidRPr="00857B61" w:rsidRDefault="00DE7EC6">
            <w:pPr>
              <w:jc w:val="center"/>
              <w:rPr>
                <w:rFonts w:ascii="Times New Roman" w:eastAsia="宋体" w:hAnsi="Times New Roman" w:cs="Times New Roman"/>
                <w:szCs w:val="21"/>
              </w:rPr>
            </w:pPr>
          </w:p>
        </w:tc>
        <w:tc>
          <w:tcPr>
            <w:tcW w:w="728" w:type="pct"/>
            <w:tcBorders>
              <w:tl2br w:val="nil"/>
              <w:tr2bl w:val="nil"/>
            </w:tcBorders>
          </w:tcPr>
          <w:p w14:paraId="5D1C52A9" w14:textId="77777777" w:rsidR="00DE7EC6" w:rsidRPr="00857B61" w:rsidRDefault="00DE7EC6">
            <w:pPr>
              <w:jc w:val="center"/>
              <w:rPr>
                <w:rFonts w:ascii="Times New Roman" w:eastAsia="宋体" w:hAnsi="Times New Roman" w:cs="Times New Roman"/>
                <w:szCs w:val="21"/>
              </w:rPr>
            </w:pPr>
          </w:p>
        </w:tc>
      </w:tr>
      <w:tr w:rsidR="00857B61" w:rsidRPr="00857B61" w14:paraId="2A3E78BF" w14:textId="77777777">
        <w:trPr>
          <w:trHeight w:val="624"/>
          <w:jc w:val="center"/>
        </w:trPr>
        <w:tc>
          <w:tcPr>
            <w:tcW w:w="1301" w:type="pct"/>
            <w:tcBorders>
              <w:tl2br w:val="nil"/>
              <w:tr2bl w:val="nil"/>
            </w:tcBorders>
          </w:tcPr>
          <w:p w14:paraId="58F1D638"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Policy</w:t>
            </w:r>
            <w:r w:rsidRPr="00857B61">
              <w:rPr>
                <w:rFonts w:ascii="Times New Roman" w:eastAsia="宋体" w:hAnsi="Times New Roman" w:cs="Times New Roman"/>
                <w:i/>
                <w:iCs/>
                <w:szCs w:val="21"/>
              </w:rPr>
              <w:t>*Loss</w:t>
            </w:r>
          </w:p>
        </w:tc>
        <w:tc>
          <w:tcPr>
            <w:tcW w:w="775" w:type="pct"/>
            <w:tcBorders>
              <w:tl2br w:val="nil"/>
              <w:tr2bl w:val="nil"/>
            </w:tcBorders>
          </w:tcPr>
          <w:p w14:paraId="50B412C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3.250*</w:t>
            </w:r>
          </w:p>
          <w:p w14:paraId="274281B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(9.68)</w:t>
            </w:r>
          </w:p>
        </w:tc>
        <w:tc>
          <w:tcPr>
            <w:tcW w:w="692" w:type="pct"/>
            <w:tcBorders>
              <w:tl2br w:val="nil"/>
              <w:tr2bl w:val="nil"/>
            </w:tcBorders>
            <w:vAlign w:val="center"/>
          </w:tcPr>
          <w:p w14:paraId="3D762BC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1.997</w:t>
            </w:r>
          </w:p>
          <w:p w14:paraId="79797DC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(5.77)</w:t>
            </w:r>
          </w:p>
        </w:tc>
        <w:tc>
          <w:tcPr>
            <w:tcW w:w="693" w:type="pct"/>
            <w:tcBorders>
              <w:tl2br w:val="nil"/>
              <w:tr2bl w:val="nil"/>
            </w:tcBorders>
          </w:tcPr>
          <w:p w14:paraId="44DA2B8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3.347**</w:t>
            </w:r>
          </w:p>
          <w:p w14:paraId="00C3DE5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(13.48)</w:t>
            </w:r>
          </w:p>
        </w:tc>
        <w:tc>
          <w:tcPr>
            <w:tcW w:w="809" w:type="pct"/>
            <w:tcBorders>
              <w:tl2br w:val="nil"/>
              <w:tr2bl w:val="nil"/>
            </w:tcBorders>
          </w:tcPr>
          <w:p w14:paraId="75356759" w14:textId="77777777" w:rsidR="00DE7EC6" w:rsidRPr="00857B61" w:rsidRDefault="00DE7EC6">
            <w:pPr>
              <w:jc w:val="center"/>
              <w:rPr>
                <w:rFonts w:ascii="Times New Roman" w:eastAsia="宋体" w:hAnsi="Times New Roman" w:cs="Times New Roman"/>
                <w:szCs w:val="21"/>
              </w:rPr>
            </w:pPr>
          </w:p>
        </w:tc>
        <w:tc>
          <w:tcPr>
            <w:tcW w:w="728" w:type="pct"/>
            <w:tcBorders>
              <w:tl2br w:val="nil"/>
              <w:tr2bl w:val="nil"/>
            </w:tcBorders>
          </w:tcPr>
          <w:p w14:paraId="1CCAC6EF" w14:textId="77777777" w:rsidR="00DE7EC6" w:rsidRPr="00857B61" w:rsidRDefault="00DE7EC6">
            <w:pPr>
              <w:jc w:val="center"/>
              <w:rPr>
                <w:rFonts w:ascii="Times New Roman" w:eastAsia="宋体" w:hAnsi="Times New Roman" w:cs="Times New Roman"/>
                <w:szCs w:val="21"/>
              </w:rPr>
            </w:pPr>
          </w:p>
        </w:tc>
      </w:tr>
    </w:tbl>
    <w:p w14:paraId="39AAFA86" w14:textId="77777777" w:rsidR="00DE7EC6" w:rsidRPr="00857B61" w:rsidRDefault="00DE7EC6">
      <w:pPr>
        <w:wordWrap w:val="0"/>
        <w:jc w:val="right"/>
        <w:rPr>
          <w:rFonts w:ascii="Times New Roman" w:eastAsia="楷体" w:hAnsi="Times New Roman" w:cs="Times New Roman"/>
        </w:rPr>
      </w:pPr>
    </w:p>
    <w:p w14:paraId="6F59B6ED" w14:textId="77777777" w:rsidR="00DE7EC6" w:rsidRPr="00857B61" w:rsidRDefault="00000000">
      <w:pPr>
        <w:wordWrap w:val="0"/>
        <w:jc w:val="right"/>
        <w:rPr>
          <w:rFonts w:ascii="Times New Roman" w:hAnsi="Times New Roman" w:cs="Times New Roman"/>
        </w:rPr>
      </w:pPr>
      <w:r w:rsidRPr="00857B61">
        <w:rPr>
          <w:rFonts w:ascii="Times New Roman" w:eastAsia="楷体" w:hAnsi="Times New Roman" w:cs="Times New Roman"/>
        </w:rPr>
        <w:lastRenderedPageBreak/>
        <w:t>续表</w:t>
      </w:r>
      <w:r w:rsidRPr="00857B61">
        <w:rPr>
          <w:rFonts w:ascii="Times New Roman" w:eastAsia="楷体" w:hAnsi="Times New Roman" w:cs="Times New Roman"/>
        </w:rPr>
        <w:t>10</w:t>
      </w:r>
      <w:r w:rsidRPr="00857B61">
        <w:rPr>
          <w:rFonts w:ascii="Times New Roman" w:hAnsi="Times New Roman" w:cs="Times New Roman" w:hint="eastAsia"/>
        </w:rPr>
        <w:t xml:space="preserve">  </w:t>
      </w:r>
    </w:p>
    <w:tbl>
      <w:tblPr>
        <w:tblW w:w="4997" w:type="pct"/>
        <w:jc w:val="center"/>
        <w:tblBorders>
          <w:top w:val="single" w:sz="8" w:space="0" w:color="auto"/>
          <w:left w:val="none" w:sz="4" w:space="0" w:color="auto"/>
          <w:bottom w:val="single" w:sz="8" w:space="0" w:color="auto"/>
          <w:right w:val="none" w:sz="4" w:space="0" w:color="auto"/>
          <w:insideH w:val="single" w:sz="8" w:space="0" w:color="auto"/>
          <w:insideV w:val="single" w:sz="8" w:space="0" w:color="auto"/>
        </w:tblBorders>
        <w:tblLook w:val="04A0" w:firstRow="1" w:lastRow="0" w:firstColumn="1" w:lastColumn="0" w:noHBand="0" w:noVBand="1"/>
      </w:tblPr>
      <w:tblGrid>
        <w:gridCol w:w="1894"/>
        <w:gridCol w:w="1074"/>
        <w:gridCol w:w="794"/>
        <w:gridCol w:w="3447"/>
        <w:gridCol w:w="821"/>
        <w:gridCol w:w="969"/>
      </w:tblGrid>
      <w:tr w:rsidR="00857B61" w:rsidRPr="00857B61" w14:paraId="472C12F9" w14:textId="77777777">
        <w:trPr>
          <w:trHeight w:val="202"/>
          <w:jc w:val="center"/>
        </w:trPr>
        <w:tc>
          <w:tcPr>
            <w:tcW w:w="2342" w:type="dxa"/>
            <w:vMerge w:val="restart"/>
            <w:tcBorders>
              <w:tl2br w:val="nil"/>
              <w:tr2bl w:val="nil"/>
            </w:tcBorders>
            <w:vAlign w:val="center"/>
          </w:tcPr>
          <w:p w14:paraId="5FCB908A"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szCs w:val="21"/>
              </w:rPr>
              <w:t>变量名称</w:t>
            </w:r>
          </w:p>
        </w:tc>
        <w:tc>
          <w:tcPr>
            <w:tcW w:w="1395" w:type="dxa"/>
            <w:tcBorders>
              <w:tl2br w:val="nil"/>
              <w:tr2bl w:val="nil"/>
            </w:tcBorders>
            <w:vAlign w:val="center"/>
          </w:tcPr>
          <w:p w14:paraId="1F74F47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w:t>
            </w:r>
          </w:p>
        </w:tc>
        <w:tc>
          <w:tcPr>
            <w:tcW w:w="1246" w:type="dxa"/>
            <w:tcBorders>
              <w:tl2br w:val="nil"/>
              <w:tr2bl w:val="nil"/>
            </w:tcBorders>
            <w:vAlign w:val="center"/>
          </w:tcPr>
          <w:p w14:paraId="64D28BF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2</w:t>
            </w:r>
            <w:r w:rsidRPr="00857B61">
              <w:rPr>
                <w:rFonts w:ascii="Times New Roman" w:eastAsia="宋体" w:hAnsi="Times New Roman" w:cs="Times New Roman"/>
                <w:szCs w:val="21"/>
              </w:rPr>
              <w:t>)</w:t>
            </w:r>
          </w:p>
        </w:tc>
        <w:tc>
          <w:tcPr>
            <w:tcW w:w="1248" w:type="dxa"/>
            <w:tcBorders>
              <w:tl2br w:val="nil"/>
              <w:tr2bl w:val="nil"/>
            </w:tcBorders>
            <w:vAlign w:val="center"/>
          </w:tcPr>
          <w:p w14:paraId="7C5122D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3</w:t>
            </w:r>
            <w:r w:rsidRPr="00857B61">
              <w:rPr>
                <w:rFonts w:ascii="Times New Roman" w:eastAsia="宋体" w:hAnsi="Times New Roman" w:cs="Times New Roman"/>
                <w:szCs w:val="21"/>
              </w:rPr>
              <w:t>)</w:t>
            </w:r>
          </w:p>
        </w:tc>
        <w:tc>
          <w:tcPr>
            <w:tcW w:w="1457" w:type="dxa"/>
            <w:tcBorders>
              <w:tl2br w:val="nil"/>
              <w:tr2bl w:val="nil"/>
            </w:tcBorders>
            <w:vAlign w:val="center"/>
          </w:tcPr>
          <w:p w14:paraId="4FB2088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4</w:t>
            </w:r>
            <w:r w:rsidRPr="00857B61">
              <w:rPr>
                <w:rFonts w:ascii="Times New Roman" w:eastAsia="宋体" w:hAnsi="Times New Roman" w:cs="Times New Roman"/>
                <w:szCs w:val="21"/>
              </w:rPr>
              <w:t>)</w:t>
            </w:r>
          </w:p>
        </w:tc>
        <w:tc>
          <w:tcPr>
            <w:tcW w:w="1311" w:type="dxa"/>
            <w:tcBorders>
              <w:tl2br w:val="nil"/>
              <w:tr2bl w:val="nil"/>
            </w:tcBorders>
            <w:vAlign w:val="center"/>
          </w:tcPr>
          <w:p w14:paraId="7BFD803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5</w:t>
            </w:r>
            <w:r w:rsidRPr="00857B61">
              <w:rPr>
                <w:rFonts w:ascii="Times New Roman" w:eastAsia="宋体" w:hAnsi="Times New Roman" w:cs="Times New Roman"/>
                <w:szCs w:val="21"/>
              </w:rPr>
              <w:t>)</w:t>
            </w:r>
          </w:p>
        </w:tc>
      </w:tr>
      <w:tr w:rsidR="00857B61" w:rsidRPr="00857B61" w14:paraId="5EB6D1C8" w14:textId="77777777">
        <w:trPr>
          <w:trHeight w:val="184"/>
          <w:jc w:val="center"/>
        </w:trPr>
        <w:tc>
          <w:tcPr>
            <w:tcW w:w="2342" w:type="dxa"/>
            <w:vMerge/>
            <w:tcBorders>
              <w:tl2br w:val="nil"/>
              <w:tr2bl w:val="nil"/>
            </w:tcBorders>
          </w:tcPr>
          <w:p w14:paraId="00E0AA69" w14:textId="77777777" w:rsidR="00DE7EC6" w:rsidRPr="00857B61" w:rsidRDefault="00DE7EC6">
            <w:pPr>
              <w:jc w:val="center"/>
              <w:rPr>
                <w:rFonts w:ascii="Times New Roman" w:eastAsia="宋体" w:hAnsi="Times New Roman" w:cs="Times New Roman"/>
                <w:i/>
                <w:iCs/>
                <w:szCs w:val="21"/>
              </w:rPr>
            </w:pPr>
          </w:p>
        </w:tc>
        <w:tc>
          <w:tcPr>
            <w:tcW w:w="3889" w:type="dxa"/>
            <w:gridSpan w:val="3"/>
            <w:tcBorders>
              <w:tl2br w:val="nil"/>
              <w:tr2bl w:val="nil"/>
            </w:tcBorders>
            <w:vAlign w:val="center"/>
          </w:tcPr>
          <w:p w14:paraId="45F62A5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亏损状态的调节效应</w:t>
            </w:r>
          </w:p>
        </w:tc>
        <w:tc>
          <w:tcPr>
            <w:tcW w:w="2768" w:type="dxa"/>
            <w:gridSpan w:val="2"/>
            <w:tcBorders>
              <w:tl2br w:val="nil"/>
              <w:tr2bl w:val="nil"/>
            </w:tcBorders>
            <w:vAlign w:val="center"/>
          </w:tcPr>
          <w:p w14:paraId="0FC39EF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地区执法强度调节效应</w:t>
            </w:r>
          </w:p>
        </w:tc>
      </w:tr>
      <w:tr w:rsidR="00857B61" w:rsidRPr="00857B61" w14:paraId="33775129" w14:textId="77777777">
        <w:trPr>
          <w:trHeight w:val="624"/>
          <w:jc w:val="center"/>
        </w:trPr>
        <w:tc>
          <w:tcPr>
            <w:tcW w:w="1301" w:type="pct"/>
            <w:tcBorders>
              <w:tl2br w:val="nil"/>
              <w:tr2bl w:val="nil"/>
            </w:tcBorders>
          </w:tcPr>
          <w:p w14:paraId="269AD441"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i/>
                <w:iCs/>
                <w:szCs w:val="21"/>
              </w:rPr>
              <w:t>Loss</w:t>
            </w:r>
          </w:p>
        </w:tc>
        <w:tc>
          <w:tcPr>
            <w:tcW w:w="775" w:type="pct"/>
            <w:tcBorders>
              <w:tl2br w:val="nil"/>
              <w:tr2bl w:val="nil"/>
            </w:tcBorders>
          </w:tcPr>
          <w:p w14:paraId="1CCD78F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-2.152***</w:t>
            </w:r>
          </w:p>
          <w:p w14:paraId="11A73E4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(-84.10)</w:t>
            </w:r>
          </w:p>
        </w:tc>
        <w:tc>
          <w:tcPr>
            <w:tcW w:w="692" w:type="pct"/>
            <w:tcBorders>
              <w:tl2br w:val="nil"/>
              <w:tr2bl w:val="nil"/>
            </w:tcBorders>
            <w:vAlign w:val="center"/>
          </w:tcPr>
          <w:p w14:paraId="580DF93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-1.670</w:t>
            </w:r>
          </w:p>
          <w:p w14:paraId="2B1FC79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(-2.62)</w:t>
            </w:r>
          </w:p>
        </w:tc>
        <w:tc>
          <w:tcPr>
            <w:tcW w:w="693" w:type="pct"/>
            <w:tcBorders>
              <w:tl2br w:val="nil"/>
              <w:tr2bl w:val="nil"/>
            </w:tcBorders>
          </w:tcPr>
          <w:p w14:paraId="7D38E6A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-2.111</w:t>
            </w:r>
          </w:p>
          <w:p w14:paraId="0AF5D67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(-2.85)</w:t>
            </w:r>
          </w:p>
        </w:tc>
        <w:tc>
          <w:tcPr>
            <w:tcW w:w="809" w:type="pct"/>
            <w:tcBorders>
              <w:tl2br w:val="nil"/>
              <w:tr2bl w:val="nil"/>
            </w:tcBorders>
          </w:tcPr>
          <w:p w14:paraId="14302FAD" w14:textId="77777777" w:rsidR="00DE7EC6" w:rsidRPr="00857B61" w:rsidRDefault="00DE7EC6">
            <w:pPr>
              <w:jc w:val="center"/>
              <w:rPr>
                <w:rFonts w:ascii="Times New Roman" w:eastAsia="宋体" w:hAnsi="Times New Roman" w:cs="Times New Roman"/>
                <w:szCs w:val="21"/>
              </w:rPr>
            </w:pPr>
          </w:p>
        </w:tc>
        <w:tc>
          <w:tcPr>
            <w:tcW w:w="728" w:type="pct"/>
            <w:tcBorders>
              <w:tl2br w:val="nil"/>
              <w:tr2bl w:val="nil"/>
            </w:tcBorders>
          </w:tcPr>
          <w:p w14:paraId="17A1C10A" w14:textId="77777777" w:rsidR="00DE7EC6" w:rsidRPr="00857B61" w:rsidRDefault="00DE7EC6">
            <w:pPr>
              <w:jc w:val="center"/>
              <w:rPr>
                <w:rFonts w:ascii="Times New Roman" w:eastAsia="宋体" w:hAnsi="Times New Roman" w:cs="Times New Roman"/>
                <w:szCs w:val="21"/>
              </w:rPr>
            </w:pPr>
          </w:p>
        </w:tc>
      </w:tr>
      <w:tr w:rsidR="00857B61" w:rsidRPr="00857B61" w14:paraId="730C9867" w14:textId="77777777">
        <w:trPr>
          <w:trHeight w:val="624"/>
          <w:jc w:val="center"/>
        </w:trPr>
        <w:tc>
          <w:tcPr>
            <w:tcW w:w="1301" w:type="pct"/>
            <w:tcBorders>
              <w:tl2br w:val="nil"/>
              <w:tr2bl w:val="nil"/>
            </w:tcBorders>
          </w:tcPr>
          <w:p w14:paraId="0371520A"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Treat</w:t>
            </w:r>
            <w:r w:rsidRPr="00857B61">
              <w:rPr>
                <w:rFonts w:ascii="Times New Roman" w:eastAsia="宋体" w:hAnsi="Times New Roman" w:cs="Times New Roman"/>
                <w:i/>
                <w:iCs/>
                <w:szCs w:val="21"/>
              </w:rPr>
              <w:t>*</w:t>
            </w:r>
            <w:r w:rsidRPr="00857B61">
              <w:rPr>
                <w:rFonts w:ascii="Times New Roman" w:eastAsia="宋体" w:hAnsi="Times New Roman" w:cs="Times New Roman" w:hint="eastAsia"/>
                <w:i/>
                <w:iCs/>
                <w:szCs w:val="21"/>
              </w:rPr>
              <w:t>Policy</w:t>
            </w:r>
            <w:r w:rsidRPr="00857B61">
              <w:rPr>
                <w:rFonts w:ascii="Times New Roman" w:eastAsia="宋体" w:hAnsi="Times New Roman" w:cs="Times New Roman"/>
                <w:i/>
                <w:iCs/>
                <w:szCs w:val="21"/>
              </w:rPr>
              <w:t>*L</w:t>
            </w:r>
            <w:r w:rsidRPr="00857B61">
              <w:rPr>
                <w:rFonts w:ascii="Times New Roman" w:eastAsia="宋体" w:hAnsi="Times New Roman" w:cs="Times New Roman" w:hint="eastAsia"/>
                <w:i/>
                <w:iCs/>
                <w:szCs w:val="21"/>
              </w:rPr>
              <w:t>aw</w:t>
            </w:r>
          </w:p>
          <w:p w14:paraId="2D64E954" w14:textId="77777777" w:rsidR="00DE7EC6" w:rsidRPr="00857B61" w:rsidRDefault="00DE7EC6">
            <w:pPr>
              <w:jc w:val="center"/>
              <w:rPr>
                <w:rFonts w:ascii="Times New Roman" w:eastAsia="宋体" w:hAnsi="Times New Roman" w:cs="Times New Roman"/>
                <w:i/>
                <w:iCs/>
                <w:szCs w:val="21"/>
              </w:rPr>
            </w:pPr>
          </w:p>
        </w:tc>
        <w:tc>
          <w:tcPr>
            <w:tcW w:w="775" w:type="pct"/>
            <w:tcBorders>
              <w:tl2br w:val="nil"/>
              <w:tr2bl w:val="nil"/>
            </w:tcBorders>
            <w:vAlign w:val="center"/>
          </w:tcPr>
          <w:p w14:paraId="13580EFD" w14:textId="77777777" w:rsidR="00DE7EC6" w:rsidRPr="00857B61" w:rsidRDefault="00DE7EC6">
            <w:pPr>
              <w:jc w:val="center"/>
              <w:rPr>
                <w:rFonts w:ascii="Times New Roman" w:eastAsia="宋体" w:hAnsi="Times New Roman" w:cs="Times New Roman"/>
                <w:szCs w:val="21"/>
              </w:rPr>
            </w:pPr>
          </w:p>
        </w:tc>
        <w:tc>
          <w:tcPr>
            <w:tcW w:w="692" w:type="pct"/>
            <w:tcBorders>
              <w:tl2br w:val="nil"/>
              <w:tr2bl w:val="nil"/>
            </w:tcBorders>
            <w:vAlign w:val="center"/>
          </w:tcPr>
          <w:p w14:paraId="3443C0B9" w14:textId="77777777" w:rsidR="00DE7EC6" w:rsidRPr="00857B61" w:rsidRDefault="00DE7EC6">
            <w:pPr>
              <w:jc w:val="center"/>
              <w:rPr>
                <w:rFonts w:ascii="Times New Roman" w:eastAsia="宋体" w:hAnsi="Times New Roman" w:cs="Times New Roman"/>
                <w:szCs w:val="21"/>
              </w:rPr>
            </w:pPr>
          </w:p>
        </w:tc>
        <w:tc>
          <w:tcPr>
            <w:tcW w:w="693" w:type="pct"/>
            <w:tcBorders>
              <w:tl2br w:val="nil"/>
              <w:tr2bl w:val="nil"/>
            </w:tcBorders>
            <w:vAlign w:val="center"/>
          </w:tcPr>
          <w:p w14:paraId="2645579E" w14:textId="77777777" w:rsidR="00DE7EC6" w:rsidRPr="00857B61" w:rsidRDefault="00DE7EC6">
            <w:pPr>
              <w:jc w:val="center"/>
              <w:rPr>
                <w:rFonts w:ascii="Times New Roman" w:eastAsia="宋体" w:hAnsi="Times New Roman" w:cs="Times New Roman"/>
                <w:szCs w:val="21"/>
              </w:rPr>
            </w:pPr>
          </w:p>
        </w:tc>
        <w:tc>
          <w:tcPr>
            <w:tcW w:w="809" w:type="pct"/>
            <w:tcBorders>
              <w:tl2br w:val="nil"/>
              <w:tr2bl w:val="nil"/>
            </w:tcBorders>
          </w:tcPr>
          <w:p w14:paraId="4D3F1D2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0.640*</w:t>
            </w:r>
          </w:p>
          <w:p w14:paraId="094DD8A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(11.94)</w:t>
            </w:r>
          </w:p>
        </w:tc>
        <w:tc>
          <w:tcPr>
            <w:tcW w:w="728" w:type="pct"/>
            <w:tcBorders>
              <w:tl2br w:val="nil"/>
              <w:tr2bl w:val="nil"/>
            </w:tcBorders>
          </w:tcPr>
          <w:p w14:paraId="0A7C573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0.822**</w:t>
            </w:r>
          </w:p>
          <w:p w14:paraId="5F2A410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(20.67)</w:t>
            </w:r>
          </w:p>
        </w:tc>
      </w:tr>
      <w:tr w:rsidR="00857B61" w:rsidRPr="00857B61" w14:paraId="6CCBAC5D" w14:textId="77777777">
        <w:trPr>
          <w:trHeight w:val="624"/>
          <w:jc w:val="center"/>
        </w:trPr>
        <w:tc>
          <w:tcPr>
            <w:tcW w:w="1301" w:type="pct"/>
            <w:tcBorders>
              <w:tl2br w:val="nil"/>
              <w:tr2bl w:val="nil"/>
            </w:tcBorders>
          </w:tcPr>
          <w:p w14:paraId="453FADD7"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i/>
                <w:iCs/>
                <w:szCs w:val="21"/>
              </w:rPr>
              <w:t>L</w:t>
            </w:r>
            <w:r w:rsidRPr="00857B61">
              <w:rPr>
                <w:rFonts w:ascii="Times New Roman" w:eastAsia="宋体" w:hAnsi="Times New Roman" w:cs="Times New Roman" w:hint="eastAsia"/>
                <w:i/>
                <w:iCs/>
                <w:szCs w:val="21"/>
              </w:rPr>
              <w:t>aw</w:t>
            </w:r>
          </w:p>
          <w:p w14:paraId="36FCE5DA" w14:textId="77777777" w:rsidR="00DE7EC6" w:rsidRPr="00857B61" w:rsidRDefault="00DE7EC6">
            <w:pPr>
              <w:jc w:val="center"/>
              <w:rPr>
                <w:rFonts w:ascii="Times New Roman" w:eastAsia="宋体" w:hAnsi="Times New Roman" w:cs="Times New Roman"/>
                <w:i/>
                <w:iCs/>
                <w:szCs w:val="21"/>
              </w:rPr>
            </w:pPr>
          </w:p>
        </w:tc>
        <w:tc>
          <w:tcPr>
            <w:tcW w:w="775" w:type="pct"/>
            <w:tcBorders>
              <w:tl2br w:val="nil"/>
              <w:tr2bl w:val="nil"/>
            </w:tcBorders>
            <w:vAlign w:val="center"/>
          </w:tcPr>
          <w:p w14:paraId="1F0AA062" w14:textId="77777777" w:rsidR="00DE7EC6" w:rsidRPr="00857B61" w:rsidRDefault="00DE7EC6">
            <w:pPr>
              <w:jc w:val="center"/>
              <w:rPr>
                <w:rFonts w:ascii="Times New Roman" w:eastAsia="宋体" w:hAnsi="Times New Roman" w:cs="Times New Roman"/>
                <w:szCs w:val="21"/>
              </w:rPr>
            </w:pPr>
          </w:p>
        </w:tc>
        <w:tc>
          <w:tcPr>
            <w:tcW w:w="692" w:type="pct"/>
            <w:tcBorders>
              <w:tl2br w:val="nil"/>
              <w:tr2bl w:val="nil"/>
            </w:tcBorders>
            <w:vAlign w:val="center"/>
          </w:tcPr>
          <w:p w14:paraId="75B78E50" w14:textId="77777777" w:rsidR="00DE7EC6" w:rsidRPr="00857B61" w:rsidRDefault="00DE7EC6">
            <w:pPr>
              <w:jc w:val="center"/>
              <w:rPr>
                <w:rFonts w:ascii="Times New Roman" w:eastAsia="宋体" w:hAnsi="Times New Roman" w:cs="Times New Roman"/>
                <w:szCs w:val="21"/>
              </w:rPr>
            </w:pPr>
          </w:p>
        </w:tc>
        <w:tc>
          <w:tcPr>
            <w:tcW w:w="693" w:type="pct"/>
            <w:tcBorders>
              <w:tl2br w:val="nil"/>
              <w:tr2bl w:val="nil"/>
            </w:tcBorders>
            <w:vAlign w:val="center"/>
          </w:tcPr>
          <w:p w14:paraId="1DDB948A" w14:textId="77777777" w:rsidR="00DE7EC6" w:rsidRPr="00857B61" w:rsidRDefault="00DE7EC6">
            <w:pPr>
              <w:jc w:val="center"/>
              <w:rPr>
                <w:rFonts w:ascii="Times New Roman" w:eastAsia="宋体" w:hAnsi="Times New Roman" w:cs="Times New Roman"/>
                <w:szCs w:val="21"/>
              </w:rPr>
            </w:pPr>
          </w:p>
        </w:tc>
        <w:tc>
          <w:tcPr>
            <w:tcW w:w="809" w:type="pct"/>
            <w:tcBorders>
              <w:tl2br w:val="nil"/>
              <w:tr2bl w:val="nil"/>
            </w:tcBorders>
          </w:tcPr>
          <w:p w14:paraId="0BDE472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-0.865</w:t>
            </w:r>
          </w:p>
          <w:p w14:paraId="695D696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(-4.21)</w:t>
            </w:r>
          </w:p>
        </w:tc>
        <w:tc>
          <w:tcPr>
            <w:tcW w:w="728" w:type="pct"/>
            <w:tcBorders>
              <w:tl2br w:val="nil"/>
              <w:tr2bl w:val="nil"/>
            </w:tcBorders>
          </w:tcPr>
          <w:p w14:paraId="3FA18F6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-0.921**</w:t>
            </w:r>
          </w:p>
          <w:p w14:paraId="3406327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(-17.35)</w:t>
            </w:r>
          </w:p>
        </w:tc>
      </w:tr>
      <w:tr w:rsidR="00857B61" w:rsidRPr="00857B61" w14:paraId="3409EAD9" w14:textId="77777777">
        <w:trPr>
          <w:jc w:val="center"/>
        </w:trPr>
        <w:tc>
          <w:tcPr>
            <w:tcW w:w="1301" w:type="pct"/>
            <w:tcBorders>
              <w:tl2br w:val="nil"/>
              <w:tr2bl w:val="nil"/>
            </w:tcBorders>
          </w:tcPr>
          <w:p w14:paraId="5CA06C8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控制变量</w:t>
            </w:r>
          </w:p>
        </w:tc>
        <w:tc>
          <w:tcPr>
            <w:tcW w:w="775" w:type="pct"/>
            <w:tcBorders>
              <w:tl2br w:val="nil"/>
              <w:tr2bl w:val="nil"/>
            </w:tcBorders>
            <w:vAlign w:val="center"/>
          </w:tcPr>
          <w:p w14:paraId="116FB9D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NO</w:t>
            </w:r>
          </w:p>
        </w:tc>
        <w:tc>
          <w:tcPr>
            <w:tcW w:w="692" w:type="pct"/>
            <w:tcBorders>
              <w:tl2br w:val="nil"/>
              <w:tr2bl w:val="nil"/>
            </w:tcBorders>
            <w:vAlign w:val="center"/>
          </w:tcPr>
          <w:p w14:paraId="0638C48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693" w:type="pct"/>
            <w:tcBorders>
              <w:tl2br w:val="nil"/>
              <w:tr2bl w:val="nil"/>
            </w:tcBorders>
            <w:vAlign w:val="center"/>
          </w:tcPr>
          <w:p w14:paraId="4AD704B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809" w:type="pct"/>
            <w:tcBorders>
              <w:tl2br w:val="nil"/>
              <w:tr2bl w:val="nil"/>
            </w:tcBorders>
            <w:vAlign w:val="center"/>
          </w:tcPr>
          <w:p w14:paraId="35DDC73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NO</w:t>
            </w:r>
          </w:p>
        </w:tc>
        <w:tc>
          <w:tcPr>
            <w:tcW w:w="728" w:type="pct"/>
            <w:tcBorders>
              <w:tl2br w:val="nil"/>
              <w:tr2bl w:val="nil"/>
            </w:tcBorders>
            <w:vAlign w:val="center"/>
          </w:tcPr>
          <w:p w14:paraId="18313D5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r>
      <w:tr w:rsidR="00857B61" w:rsidRPr="00857B61" w14:paraId="4657B4E9" w14:textId="77777777">
        <w:trPr>
          <w:jc w:val="center"/>
        </w:trPr>
        <w:tc>
          <w:tcPr>
            <w:tcW w:w="1301" w:type="pct"/>
            <w:tcBorders>
              <w:tl2br w:val="nil"/>
              <w:tr2bl w:val="nil"/>
            </w:tcBorders>
          </w:tcPr>
          <w:p w14:paraId="7B8356E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时间效应</w:t>
            </w:r>
          </w:p>
        </w:tc>
        <w:tc>
          <w:tcPr>
            <w:tcW w:w="775" w:type="pct"/>
            <w:tcBorders>
              <w:tl2br w:val="nil"/>
              <w:tr2bl w:val="nil"/>
            </w:tcBorders>
            <w:vAlign w:val="center"/>
          </w:tcPr>
          <w:p w14:paraId="78AAC8F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692" w:type="pct"/>
            <w:tcBorders>
              <w:tl2br w:val="nil"/>
              <w:tr2bl w:val="nil"/>
            </w:tcBorders>
            <w:vAlign w:val="center"/>
          </w:tcPr>
          <w:p w14:paraId="4AECAA2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693" w:type="pct"/>
            <w:tcBorders>
              <w:tl2br w:val="nil"/>
              <w:tr2bl w:val="nil"/>
            </w:tcBorders>
            <w:vAlign w:val="center"/>
          </w:tcPr>
          <w:p w14:paraId="7447C4A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809" w:type="pct"/>
            <w:tcBorders>
              <w:tl2br w:val="nil"/>
              <w:tr2bl w:val="nil"/>
            </w:tcBorders>
            <w:vAlign w:val="center"/>
          </w:tcPr>
          <w:p w14:paraId="0050F10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728" w:type="pct"/>
            <w:tcBorders>
              <w:tl2br w:val="nil"/>
              <w:tr2bl w:val="nil"/>
            </w:tcBorders>
            <w:vAlign w:val="center"/>
          </w:tcPr>
          <w:p w14:paraId="3C3B347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r>
      <w:tr w:rsidR="00857B61" w:rsidRPr="00857B61" w14:paraId="2F25FBD2" w14:textId="77777777">
        <w:trPr>
          <w:jc w:val="center"/>
        </w:trPr>
        <w:tc>
          <w:tcPr>
            <w:tcW w:w="1301" w:type="pct"/>
            <w:tcBorders>
              <w:tl2br w:val="nil"/>
              <w:tr2bl w:val="nil"/>
            </w:tcBorders>
          </w:tcPr>
          <w:p w14:paraId="2DC4190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行业效应</w:t>
            </w:r>
          </w:p>
        </w:tc>
        <w:tc>
          <w:tcPr>
            <w:tcW w:w="775" w:type="pct"/>
            <w:tcBorders>
              <w:tl2br w:val="nil"/>
              <w:tr2bl w:val="nil"/>
            </w:tcBorders>
            <w:vAlign w:val="center"/>
          </w:tcPr>
          <w:p w14:paraId="5701C95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692" w:type="pct"/>
            <w:tcBorders>
              <w:tl2br w:val="nil"/>
              <w:tr2bl w:val="nil"/>
            </w:tcBorders>
            <w:vAlign w:val="center"/>
          </w:tcPr>
          <w:p w14:paraId="7A96ACC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693" w:type="pct"/>
            <w:tcBorders>
              <w:tl2br w:val="nil"/>
              <w:tr2bl w:val="nil"/>
            </w:tcBorders>
            <w:vAlign w:val="center"/>
          </w:tcPr>
          <w:p w14:paraId="016E5C4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809" w:type="pct"/>
            <w:tcBorders>
              <w:tl2br w:val="nil"/>
              <w:tr2bl w:val="nil"/>
            </w:tcBorders>
            <w:vAlign w:val="center"/>
          </w:tcPr>
          <w:p w14:paraId="01D5F21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728" w:type="pct"/>
            <w:tcBorders>
              <w:tl2br w:val="nil"/>
              <w:tr2bl w:val="nil"/>
            </w:tcBorders>
            <w:vAlign w:val="center"/>
          </w:tcPr>
          <w:p w14:paraId="07B468D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r>
      <w:tr w:rsidR="00857B61" w:rsidRPr="00857B61" w14:paraId="74158FD8" w14:textId="77777777">
        <w:trPr>
          <w:jc w:val="center"/>
        </w:trPr>
        <w:tc>
          <w:tcPr>
            <w:tcW w:w="1301" w:type="pct"/>
            <w:tcBorders>
              <w:tl2br w:val="nil"/>
              <w:tr2bl w:val="nil"/>
            </w:tcBorders>
          </w:tcPr>
          <w:p w14:paraId="5F3A62F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地区效应</w:t>
            </w:r>
          </w:p>
        </w:tc>
        <w:tc>
          <w:tcPr>
            <w:tcW w:w="775" w:type="pct"/>
            <w:tcBorders>
              <w:tl2br w:val="nil"/>
              <w:tr2bl w:val="nil"/>
            </w:tcBorders>
            <w:vAlign w:val="center"/>
          </w:tcPr>
          <w:p w14:paraId="5DF400B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692" w:type="pct"/>
            <w:tcBorders>
              <w:tl2br w:val="nil"/>
              <w:tr2bl w:val="nil"/>
            </w:tcBorders>
            <w:vAlign w:val="center"/>
          </w:tcPr>
          <w:p w14:paraId="74CB410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NO</w:t>
            </w:r>
          </w:p>
        </w:tc>
        <w:tc>
          <w:tcPr>
            <w:tcW w:w="693" w:type="pct"/>
            <w:tcBorders>
              <w:tl2br w:val="nil"/>
              <w:tr2bl w:val="nil"/>
            </w:tcBorders>
            <w:vAlign w:val="center"/>
          </w:tcPr>
          <w:p w14:paraId="348B2C6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809" w:type="pct"/>
            <w:tcBorders>
              <w:tl2br w:val="nil"/>
              <w:tr2bl w:val="nil"/>
            </w:tcBorders>
            <w:vAlign w:val="center"/>
          </w:tcPr>
          <w:p w14:paraId="5A33F49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728" w:type="pct"/>
            <w:tcBorders>
              <w:tl2br w:val="nil"/>
              <w:tr2bl w:val="nil"/>
            </w:tcBorders>
            <w:vAlign w:val="center"/>
          </w:tcPr>
          <w:p w14:paraId="163B180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r>
      <w:tr w:rsidR="00857B61" w:rsidRPr="00857B61" w14:paraId="7D970AF9" w14:textId="77777777">
        <w:trPr>
          <w:trHeight w:val="624"/>
          <w:jc w:val="center"/>
        </w:trPr>
        <w:tc>
          <w:tcPr>
            <w:tcW w:w="1301" w:type="pct"/>
            <w:tcBorders>
              <w:tl2br w:val="nil"/>
              <w:tr2bl w:val="nil"/>
            </w:tcBorders>
          </w:tcPr>
          <w:p w14:paraId="7A3C405C"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i/>
                <w:iCs/>
                <w:szCs w:val="21"/>
              </w:rPr>
              <w:t>C</w:t>
            </w:r>
          </w:p>
        </w:tc>
        <w:tc>
          <w:tcPr>
            <w:tcW w:w="775" w:type="pct"/>
            <w:tcBorders>
              <w:tl2br w:val="nil"/>
              <w:tr2bl w:val="nil"/>
            </w:tcBorders>
            <w:vAlign w:val="center"/>
          </w:tcPr>
          <w:p w14:paraId="747E030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0.968</w:t>
            </w:r>
          </w:p>
          <w:p w14:paraId="21471C4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(1.59)</w:t>
            </w:r>
          </w:p>
        </w:tc>
        <w:tc>
          <w:tcPr>
            <w:tcW w:w="692" w:type="pct"/>
            <w:tcBorders>
              <w:tl2br w:val="nil"/>
              <w:tr2bl w:val="nil"/>
            </w:tcBorders>
            <w:vAlign w:val="center"/>
          </w:tcPr>
          <w:p w14:paraId="4013B51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4.386</w:t>
            </w:r>
          </w:p>
          <w:p w14:paraId="4F1623A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(0.86)</w:t>
            </w:r>
          </w:p>
        </w:tc>
        <w:tc>
          <w:tcPr>
            <w:tcW w:w="693" w:type="pct"/>
            <w:tcBorders>
              <w:tl2br w:val="nil"/>
              <w:tr2bl w:val="nil"/>
            </w:tcBorders>
            <w:vAlign w:val="center"/>
          </w:tcPr>
          <w:p w14:paraId="1F623BF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18.797</w:t>
            </w:r>
          </w:p>
          <w:p w14:paraId="16A285F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(0.73)</w:t>
            </w:r>
          </w:p>
        </w:tc>
        <w:tc>
          <w:tcPr>
            <w:tcW w:w="809" w:type="pct"/>
            <w:tcBorders>
              <w:tl2br w:val="nil"/>
              <w:tr2bl w:val="nil"/>
            </w:tcBorders>
            <w:vAlign w:val="center"/>
          </w:tcPr>
          <w:p w14:paraId="73F9058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-1.707</w:t>
            </w:r>
          </w:p>
          <w:p w14:paraId="3356E95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(-2.13)</w:t>
            </w:r>
          </w:p>
        </w:tc>
        <w:tc>
          <w:tcPr>
            <w:tcW w:w="728" w:type="pct"/>
            <w:tcBorders>
              <w:tl2br w:val="nil"/>
              <w:tr2bl w:val="nil"/>
            </w:tcBorders>
            <w:vAlign w:val="center"/>
          </w:tcPr>
          <w:p w14:paraId="2843411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4.172</w:t>
            </w:r>
          </w:p>
          <w:p w14:paraId="3724106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(0.36)</w:t>
            </w:r>
          </w:p>
        </w:tc>
      </w:tr>
      <w:tr w:rsidR="00857B61" w:rsidRPr="00857B61" w14:paraId="0F94B7C1" w14:textId="77777777">
        <w:trPr>
          <w:jc w:val="center"/>
        </w:trPr>
        <w:tc>
          <w:tcPr>
            <w:tcW w:w="1301" w:type="pct"/>
            <w:tcBorders>
              <w:tl2br w:val="nil"/>
              <w:tr2bl w:val="nil"/>
            </w:tcBorders>
          </w:tcPr>
          <w:p w14:paraId="268CE972"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i/>
                <w:iCs/>
                <w:szCs w:val="21"/>
              </w:rPr>
              <w:t>R2</w:t>
            </w:r>
          </w:p>
        </w:tc>
        <w:tc>
          <w:tcPr>
            <w:tcW w:w="775" w:type="pct"/>
            <w:tcBorders>
              <w:tl2br w:val="nil"/>
              <w:tr2bl w:val="nil"/>
            </w:tcBorders>
            <w:vAlign w:val="center"/>
          </w:tcPr>
          <w:p w14:paraId="06E47EF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0.219</w:t>
            </w:r>
          </w:p>
        </w:tc>
        <w:tc>
          <w:tcPr>
            <w:tcW w:w="692" w:type="pct"/>
            <w:tcBorders>
              <w:tl2br w:val="nil"/>
              <w:tr2bl w:val="nil"/>
            </w:tcBorders>
            <w:vAlign w:val="center"/>
          </w:tcPr>
          <w:p w14:paraId="06E7F80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0.071</w:t>
            </w:r>
          </w:p>
        </w:tc>
        <w:tc>
          <w:tcPr>
            <w:tcW w:w="693" w:type="pct"/>
            <w:tcBorders>
              <w:tl2br w:val="nil"/>
              <w:tr2bl w:val="nil"/>
            </w:tcBorders>
            <w:vAlign w:val="center"/>
          </w:tcPr>
          <w:p w14:paraId="0C2277F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0.227</w:t>
            </w:r>
          </w:p>
        </w:tc>
        <w:tc>
          <w:tcPr>
            <w:tcW w:w="809" w:type="pct"/>
            <w:tcBorders>
              <w:tl2br w:val="nil"/>
              <w:tr2bl w:val="nil"/>
            </w:tcBorders>
            <w:vAlign w:val="center"/>
          </w:tcPr>
          <w:p w14:paraId="2160EF4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0.190</w:t>
            </w:r>
          </w:p>
        </w:tc>
        <w:tc>
          <w:tcPr>
            <w:tcW w:w="728" w:type="pct"/>
            <w:tcBorders>
              <w:tl2br w:val="nil"/>
              <w:tr2bl w:val="nil"/>
            </w:tcBorders>
            <w:vAlign w:val="center"/>
          </w:tcPr>
          <w:p w14:paraId="1EC891F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0.195</w:t>
            </w:r>
          </w:p>
        </w:tc>
      </w:tr>
      <w:tr w:rsidR="00857B61" w:rsidRPr="00857B61" w14:paraId="70CEEA03" w14:textId="77777777">
        <w:trPr>
          <w:jc w:val="center"/>
        </w:trPr>
        <w:tc>
          <w:tcPr>
            <w:tcW w:w="1301" w:type="pct"/>
            <w:tcBorders>
              <w:tl2br w:val="nil"/>
              <w:tr2bl w:val="nil"/>
            </w:tcBorders>
          </w:tcPr>
          <w:p w14:paraId="575A26BA"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i/>
                <w:iCs/>
                <w:szCs w:val="21"/>
              </w:rPr>
              <w:t>N</w:t>
            </w:r>
          </w:p>
        </w:tc>
        <w:tc>
          <w:tcPr>
            <w:tcW w:w="775" w:type="pct"/>
            <w:tcBorders>
              <w:tl2br w:val="nil"/>
              <w:tr2bl w:val="nil"/>
            </w:tcBorders>
            <w:vAlign w:val="center"/>
          </w:tcPr>
          <w:p w14:paraId="388C8F9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1,567</w:t>
            </w:r>
          </w:p>
        </w:tc>
        <w:tc>
          <w:tcPr>
            <w:tcW w:w="692" w:type="pct"/>
            <w:tcBorders>
              <w:tl2br w:val="nil"/>
              <w:tr2bl w:val="nil"/>
            </w:tcBorders>
            <w:vAlign w:val="center"/>
          </w:tcPr>
          <w:p w14:paraId="036CEAB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1,567</w:t>
            </w:r>
          </w:p>
        </w:tc>
        <w:tc>
          <w:tcPr>
            <w:tcW w:w="693" w:type="pct"/>
            <w:tcBorders>
              <w:tl2br w:val="nil"/>
              <w:tr2bl w:val="nil"/>
            </w:tcBorders>
            <w:vAlign w:val="center"/>
          </w:tcPr>
          <w:p w14:paraId="0475796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1,567</w:t>
            </w:r>
          </w:p>
        </w:tc>
        <w:tc>
          <w:tcPr>
            <w:tcW w:w="809" w:type="pct"/>
            <w:tcBorders>
              <w:tl2br w:val="nil"/>
              <w:tr2bl w:val="nil"/>
            </w:tcBorders>
            <w:vAlign w:val="center"/>
          </w:tcPr>
          <w:p w14:paraId="29BF0EC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1,567</w:t>
            </w:r>
          </w:p>
        </w:tc>
        <w:tc>
          <w:tcPr>
            <w:tcW w:w="728" w:type="pct"/>
            <w:tcBorders>
              <w:tl2br w:val="nil"/>
              <w:tr2bl w:val="nil"/>
            </w:tcBorders>
            <w:vAlign w:val="center"/>
          </w:tcPr>
          <w:p w14:paraId="21A5CDA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1,567</w:t>
            </w:r>
          </w:p>
        </w:tc>
      </w:tr>
    </w:tbl>
    <w:p w14:paraId="4CF46256" w14:textId="77777777" w:rsidR="00DE7EC6" w:rsidRPr="00857B61" w:rsidRDefault="00000000">
      <w:pPr>
        <w:pStyle w:val="4"/>
        <w:spacing w:before="0" w:after="0" w:line="240" w:lineRule="auto"/>
        <w:ind w:firstLineChars="200" w:firstLine="360"/>
        <w:rPr>
          <w:rFonts w:ascii="Times New Roman" w:eastAsia="楷体" w:hAnsi="Times New Roman" w:cstheme="minorBidi"/>
          <w:b w:val="0"/>
          <w:bCs w:val="0"/>
          <w:sz w:val="18"/>
          <w:szCs w:val="18"/>
        </w:rPr>
      </w:pPr>
      <w:r w:rsidRPr="00857B61">
        <w:rPr>
          <w:rFonts w:ascii="Times New Roman" w:eastAsia="楷体" w:hAnsi="Times New Roman" w:cstheme="minorBidi" w:hint="eastAsia"/>
          <w:b w:val="0"/>
          <w:bCs w:val="0"/>
          <w:sz w:val="18"/>
          <w:szCs w:val="18"/>
        </w:rPr>
        <w:t>注：因地区执法强度（</w:t>
      </w:r>
      <w:r w:rsidRPr="00857B61">
        <w:rPr>
          <w:rFonts w:ascii="Times New Roman" w:eastAsia="楷体" w:hAnsi="Times New Roman" w:cs="Times New Roman"/>
          <w:b w:val="0"/>
          <w:bCs w:val="0"/>
          <w:i/>
          <w:iCs/>
          <w:sz w:val="18"/>
          <w:szCs w:val="18"/>
        </w:rPr>
        <w:t>Law</w:t>
      </w:r>
      <w:r w:rsidRPr="00857B61">
        <w:rPr>
          <w:rFonts w:ascii="Times New Roman" w:eastAsia="楷体" w:hAnsi="Times New Roman" w:cstheme="minorBidi" w:hint="eastAsia"/>
          <w:b w:val="0"/>
          <w:bCs w:val="0"/>
          <w:sz w:val="18"/>
          <w:szCs w:val="18"/>
        </w:rPr>
        <w:t>）变量的取值与试点地区以及时间相关，为避免共线性问题，未将其与</w:t>
      </w:r>
      <w:r w:rsidRPr="00857B61">
        <w:rPr>
          <w:rFonts w:ascii="Times New Roman" w:eastAsia="楷体" w:hAnsi="Times New Roman" w:cs="Times New Roman"/>
          <w:b w:val="0"/>
          <w:bCs w:val="0"/>
          <w:i/>
          <w:iCs/>
          <w:sz w:val="18"/>
          <w:szCs w:val="18"/>
        </w:rPr>
        <w:t>Treat</w:t>
      </w:r>
      <w:r w:rsidRPr="00857B61">
        <w:rPr>
          <w:rFonts w:ascii="Times New Roman" w:eastAsia="楷体" w:hAnsi="Times New Roman" w:cs="Times New Roman" w:hint="eastAsia"/>
          <w:b w:val="0"/>
          <w:bCs w:val="0"/>
          <w:sz w:val="18"/>
          <w:szCs w:val="18"/>
        </w:rPr>
        <w:t>、</w:t>
      </w:r>
      <w:r w:rsidRPr="00857B61">
        <w:rPr>
          <w:rFonts w:ascii="Times New Roman" w:eastAsia="楷体" w:hAnsi="Times New Roman" w:cs="Times New Roman"/>
          <w:b w:val="0"/>
          <w:bCs w:val="0"/>
          <w:i/>
          <w:iCs/>
          <w:sz w:val="18"/>
          <w:szCs w:val="18"/>
        </w:rPr>
        <w:t>Policy</w:t>
      </w:r>
      <w:r w:rsidRPr="00857B61">
        <w:rPr>
          <w:rFonts w:ascii="Times New Roman" w:eastAsia="楷体" w:hAnsi="Times New Roman" w:cs="Times New Roman" w:hint="eastAsia"/>
          <w:b w:val="0"/>
          <w:bCs w:val="0"/>
          <w:sz w:val="18"/>
          <w:szCs w:val="18"/>
        </w:rPr>
        <w:t>的交互项加入回归。</w:t>
      </w:r>
    </w:p>
    <w:p w14:paraId="566D50C9" w14:textId="77777777" w:rsidR="00DE7EC6" w:rsidRPr="00857B61" w:rsidRDefault="00000000">
      <w:pPr>
        <w:ind w:firstLineChars="200" w:firstLine="420"/>
        <w:rPr>
          <w:rFonts w:ascii="Times New Roman" w:eastAsia="宋体" w:hAnsi="Times New Roman" w:cs="Times New Roman"/>
          <w:szCs w:val="21"/>
        </w:rPr>
      </w:pPr>
      <w:r w:rsidRPr="00857B61">
        <w:rPr>
          <w:rFonts w:ascii="Times New Roman" w:eastAsia="宋体" w:hAnsi="Times New Roman" w:cs="Times New Roman" w:hint="eastAsia"/>
          <w:szCs w:val="21"/>
        </w:rPr>
        <w:t>2.</w:t>
      </w:r>
      <w:r w:rsidRPr="00857B61">
        <w:rPr>
          <w:rFonts w:ascii="Times New Roman" w:eastAsia="楷体" w:hAnsi="Times New Roman" w:cs="Times New Roman"/>
          <w:szCs w:val="21"/>
        </w:rPr>
        <w:t>地区执法强度的调节效应分析。</w:t>
      </w:r>
      <w:r w:rsidRPr="00857B61">
        <w:rPr>
          <w:rFonts w:ascii="Times New Roman" w:eastAsia="宋体" w:hAnsi="Times New Roman" w:cs="Times New Roman"/>
          <w:szCs w:val="21"/>
        </w:rPr>
        <w:t>本文将各地区的执法强度（</w:t>
      </w:r>
      <w:r w:rsidRPr="00857B61">
        <w:rPr>
          <w:rFonts w:ascii="Times New Roman" w:eastAsia="宋体" w:hAnsi="Times New Roman" w:cs="Times New Roman"/>
          <w:i/>
          <w:iCs/>
          <w:szCs w:val="21"/>
        </w:rPr>
        <w:t>Law</w:t>
      </w:r>
      <w:r w:rsidRPr="00857B61">
        <w:rPr>
          <w:rFonts w:ascii="Times New Roman" w:eastAsia="宋体" w:hAnsi="Times New Roman" w:cs="Times New Roman"/>
          <w:szCs w:val="21"/>
        </w:rPr>
        <w:t>）设为调节变量。借鉴覃慧（</w:t>
      </w:r>
      <w:r w:rsidRPr="00857B61">
        <w:rPr>
          <w:rFonts w:ascii="Times New Roman" w:eastAsia="宋体" w:hAnsi="Times New Roman" w:cs="Times New Roman"/>
          <w:szCs w:val="21"/>
        </w:rPr>
        <w:t>2019</w:t>
      </w:r>
      <w:r w:rsidRPr="00857B61">
        <w:rPr>
          <w:rFonts w:ascii="Times New Roman" w:eastAsia="宋体" w:hAnsi="Times New Roman" w:cs="Times New Roman"/>
          <w:szCs w:val="21"/>
        </w:rPr>
        <w:t>）文章数据，并通过查阅、整理在试点期间各省份检察院、高级法院的出台文件以及党政主要领导的发言，本文决定如果省份在试点期间出台过对检察行政公益诉讼制度的相关支持性文件或者主要党政领导人有明确表示支持检察行政公益诉讼制度的发言，其执法强度则赋值为</w:t>
      </w:r>
      <w:r w:rsidRPr="00857B61">
        <w:rPr>
          <w:rFonts w:ascii="Times New Roman" w:eastAsia="宋体" w:hAnsi="Times New Roman" w:cs="Times New Roman"/>
          <w:szCs w:val="21"/>
        </w:rPr>
        <w:t>1</w:t>
      </w:r>
      <w:r w:rsidRPr="00857B61">
        <w:rPr>
          <w:rFonts w:ascii="Times New Roman" w:eastAsia="宋体" w:hAnsi="Times New Roman" w:cs="Times New Roman"/>
          <w:szCs w:val="21"/>
        </w:rPr>
        <w:t>，否则赋值为</w:t>
      </w:r>
      <w:r w:rsidRPr="00857B61">
        <w:rPr>
          <w:rFonts w:ascii="Times New Roman" w:eastAsia="宋体" w:hAnsi="Times New Roman" w:cs="Times New Roman"/>
          <w:szCs w:val="21"/>
        </w:rPr>
        <w:t>0</w:t>
      </w:r>
      <w:r w:rsidRPr="00857B61">
        <w:rPr>
          <w:rFonts w:ascii="Times New Roman" w:eastAsia="宋体" w:hAnsi="Times New Roman" w:cs="Times New Roman"/>
          <w:szCs w:val="21"/>
        </w:rPr>
        <w:t>。具体情况如表</w:t>
      </w:r>
      <w:r w:rsidRPr="00857B61">
        <w:rPr>
          <w:rFonts w:ascii="Times New Roman" w:eastAsia="宋体" w:hAnsi="Times New Roman" w:cs="Times New Roman"/>
          <w:szCs w:val="21"/>
        </w:rPr>
        <w:t>11</w:t>
      </w:r>
      <w:r w:rsidRPr="00857B61">
        <w:rPr>
          <w:rFonts w:ascii="Times New Roman" w:eastAsia="宋体" w:hAnsi="Times New Roman" w:cs="Times New Roman"/>
          <w:szCs w:val="21"/>
        </w:rPr>
        <w:t>所示。将执法强度加入回归后的结果如表</w:t>
      </w:r>
      <w:r w:rsidRPr="00857B61">
        <w:rPr>
          <w:rFonts w:ascii="Times New Roman" w:eastAsia="宋体" w:hAnsi="Times New Roman" w:cs="Times New Roman"/>
          <w:szCs w:val="21"/>
        </w:rPr>
        <w:t>10</w:t>
      </w:r>
      <w:r w:rsidRPr="00857B61">
        <w:rPr>
          <w:rFonts w:ascii="Times New Roman" w:eastAsia="宋体" w:hAnsi="Times New Roman" w:cs="Times New Roman"/>
          <w:szCs w:val="21"/>
        </w:rPr>
        <w:t>列（</w:t>
      </w:r>
      <w:r w:rsidRPr="00857B61">
        <w:rPr>
          <w:rFonts w:ascii="Times New Roman" w:eastAsia="宋体" w:hAnsi="Times New Roman" w:cs="Times New Roman"/>
          <w:szCs w:val="21"/>
        </w:rPr>
        <w:t>4</w:t>
      </w:r>
      <w:r w:rsidRPr="00857B61">
        <w:rPr>
          <w:rFonts w:ascii="Times New Roman" w:eastAsia="宋体" w:hAnsi="Times New Roman" w:cs="Times New Roman"/>
          <w:szCs w:val="21"/>
        </w:rPr>
        <w:t>）、列（</w:t>
      </w:r>
      <w:r w:rsidRPr="00857B61">
        <w:rPr>
          <w:rFonts w:ascii="Times New Roman" w:eastAsia="宋体" w:hAnsi="Times New Roman" w:cs="Times New Roman"/>
          <w:szCs w:val="21"/>
        </w:rPr>
        <w:t>5</w:t>
      </w:r>
      <w:r w:rsidRPr="00857B61">
        <w:rPr>
          <w:rFonts w:ascii="Times New Roman" w:eastAsia="宋体" w:hAnsi="Times New Roman" w:cs="Times New Roman"/>
          <w:szCs w:val="21"/>
        </w:rPr>
        <w:t>）所示，交互项</w:t>
      </w:r>
      <w:r w:rsidRPr="00857B61">
        <w:rPr>
          <w:rFonts w:ascii="Times New Roman" w:eastAsia="宋体" w:hAnsi="Times New Roman" w:cs="Times New Roman"/>
          <w:i/>
          <w:iCs/>
          <w:szCs w:val="21"/>
        </w:rPr>
        <w:t>Treat*Policy*Law</w:t>
      </w:r>
      <w:r w:rsidRPr="00857B61">
        <w:rPr>
          <w:rFonts w:ascii="Times New Roman" w:eastAsia="宋体" w:hAnsi="Times New Roman" w:cs="Times New Roman"/>
          <w:szCs w:val="21"/>
        </w:rPr>
        <w:t>的系数均显著为正，说明各地区执法强度确实会对检察行政公益诉讼制度与国有资产流失的关系产生影响，并且会加剧两者之间的负相关关系，假设</w:t>
      </w:r>
      <w:r w:rsidRPr="00857B61">
        <w:rPr>
          <w:rFonts w:ascii="Times New Roman" w:eastAsia="宋体" w:hAnsi="Times New Roman" w:cs="Times New Roman"/>
          <w:szCs w:val="21"/>
        </w:rPr>
        <w:t>H3</w:t>
      </w:r>
      <w:r w:rsidRPr="00857B61">
        <w:rPr>
          <w:rFonts w:ascii="Times New Roman" w:eastAsia="宋体" w:hAnsi="Times New Roman" w:cs="Times New Roman"/>
          <w:szCs w:val="21"/>
        </w:rPr>
        <w:t>得到支持。此结果符合余明桂和潘红波（</w:t>
      </w:r>
      <w:r w:rsidRPr="00857B61">
        <w:rPr>
          <w:rFonts w:ascii="Times New Roman" w:eastAsia="宋体" w:hAnsi="Times New Roman" w:cs="Times New Roman"/>
          <w:szCs w:val="21"/>
        </w:rPr>
        <w:t>2008</w:t>
      </w:r>
      <w:r w:rsidRPr="00857B61">
        <w:rPr>
          <w:rFonts w:ascii="Times New Roman" w:eastAsia="宋体" w:hAnsi="Times New Roman" w:cs="Times New Roman"/>
          <w:szCs w:val="21"/>
        </w:rPr>
        <w:t>）的研究发现，即法治和金融发展可以减少地方政府干预给国有企业带来的影响。执法强度的高低体现出各地区党政机关对其的重视程度，当执法强度高时，检察机关自身便面临更大的政策性负担，各部门也会遵照指示精神提供最大程度的配合，这有利于促进检察机关权威性的提升，也有利于促进政府依法行政、维持社会和谐稳定；反之，检察机关失去政策性负担就会有所懈怠、各相关部门也会怠于配合，进而影响试点成效。</w:t>
      </w:r>
    </w:p>
    <w:p w14:paraId="3AC11D2A" w14:textId="77777777" w:rsidR="00DE7EC6" w:rsidRPr="00857B61" w:rsidRDefault="00000000">
      <w:pPr>
        <w:jc w:val="center"/>
        <w:rPr>
          <w:rFonts w:ascii="Times New Roman" w:eastAsia="楷体" w:hAnsi="Times New Roman" w:cs="Times New Roman"/>
          <w:bCs/>
          <w:szCs w:val="21"/>
        </w:rPr>
      </w:pPr>
      <w:r w:rsidRPr="00857B61">
        <w:rPr>
          <w:rFonts w:ascii="Times New Roman" w:eastAsia="楷体" w:hAnsi="Times New Roman" w:cs="Times New Roman"/>
          <w:bCs/>
          <w:szCs w:val="21"/>
        </w:rPr>
        <w:t>表</w:t>
      </w:r>
      <w:r w:rsidRPr="00857B61">
        <w:rPr>
          <w:rFonts w:ascii="Times New Roman" w:eastAsia="楷体" w:hAnsi="Times New Roman" w:cs="Times New Roman"/>
          <w:bCs/>
          <w:szCs w:val="21"/>
        </w:rPr>
        <w:t xml:space="preserve">11 </w:t>
      </w:r>
      <w:r w:rsidRPr="00857B61">
        <w:rPr>
          <w:rFonts w:ascii="Times New Roman" w:eastAsia="楷体" w:hAnsi="Times New Roman" w:cs="Times New Roman"/>
          <w:bCs/>
          <w:szCs w:val="21"/>
        </w:rPr>
        <w:t>各试点省份对检察行政公益诉讼制度支持情况</w:t>
      </w:r>
    </w:p>
    <w:tbl>
      <w:tblPr>
        <w:tblW w:w="5000" w:type="pct"/>
        <w:jc w:val="center"/>
        <w:tblBorders>
          <w:top w:val="single" w:sz="8" w:space="0" w:color="auto"/>
          <w:left w:val="none" w:sz="4" w:space="0" w:color="auto"/>
          <w:bottom w:val="single" w:sz="8" w:space="0" w:color="auto"/>
          <w:right w:val="none" w:sz="4" w:space="0" w:color="auto"/>
          <w:insideH w:val="single" w:sz="8" w:space="0" w:color="auto"/>
          <w:insideV w:val="single" w:sz="8" w:space="0" w:color="auto"/>
        </w:tblBorders>
        <w:tblLook w:val="04A0" w:firstRow="1" w:lastRow="0" w:firstColumn="1" w:lastColumn="0" w:noHBand="0" w:noVBand="1"/>
      </w:tblPr>
      <w:tblGrid>
        <w:gridCol w:w="7203"/>
        <w:gridCol w:w="1801"/>
      </w:tblGrid>
      <w:tr w:rsidR="00857B61" w:rsidRPr="00857B61" w14:paraId="65FB2ED8" w14:textId="77777777">
        <w:trPr>
          <w:trHeight w:val="270"/>
          <w:jc w:val="center"/>
        </w:trPr>
        <w:tc>
          <w:tcPr>
            <w:tcW w:w="3999" w:type="pct"/>
            <w:shd w:val="clear" w:color="auto" w:fill="auto"/>
            <w:vAlign w:val="center"/>
          </w:tcPr>
          <w:p w14:paraId="1D88AE8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试点</w:t>
            </w:r>
            <w:r w:rsidRPr="00857B61">
              <w:rPr>
                <w:rFonts w:ascii="Times New Roman" w:eastAsia="宋体" w:hAnsi="Times New Roman" w:cs="Times New Roman" w:hint="eastAsia"/>
                <w:szCs w:val="21"/>
              </w:rPr>
              <w:t>省份</w:t>
            </w:r>
          </w:p>
        </w:tc>
        <w:tc>
          <w:tcPr>
            <w:tcW w:w="1000" w:type="pct"/>
            <w:shd w:val="clear" w:color="auto" w:fill="auto"/>
            <w:vAlign w:val="center"/>
          </w:tcPr>
          <w:p w14:paraId="1F9D05F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支持</w:t>
            </w:r>
            <w:r w:rsidRPr="00857B61">
              <w:rPr>
                <w:rFonts w:ascii="Times New Roman" w:eastAsia="宋体" w:hAnsi="Times New Roman" w:cs="Times New Roman" w:hint="eastAsia"/>
                <w:szCs w:val="21"/>
              </w:rPr>
              <w:t>性文件</w:t>
            </w:r>
          </w:p>
        </w:tc>
      </w:tr>
      <w:tr w:rsidR="00857B61" w:rsidRPr="00857B61" w14:paraId="75230FA9" w14:textId="77777777">
        <w:trPr>
          <w:trHeight w:val="270"/>
          <w:jc w:val="center"/>
        </w:trPr>
        <w:tc>
          <w:tcPr>
            <w:tcW w:w="3999" w:type="pct"/>
            <w:shd w:val="clear" w:color="auto" w:fill="auto"/>
            <w:vAlign w:val="center"/>
          </w:tcPr>
          <w:p w14:paraId="70410B4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安徽</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福建</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甘肃</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广东</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贵州</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湖北</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吉林</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江苏</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内蒙古</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山东</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陕西</w:t>
            </w:r>
          </w:p>
        </w:tc>
        <w:tc>
          <w:tcPr>
            <w:tcW w:w="1000" w:type="pct"/>
            <w:shd w:val="clear" w:color="auto" w:fill="auto"/>
            <w:vAlign w:val="center"/>
          </w:tcPr>
          <w:p w14:paraId="0A5B8C5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有</w:t>
            </w:r>
          </w:p>
        </w:tc>
      </w:tr>
      <w:tr w:rsidR="00857B61" w:rsidRPr="00857B61" w14:paraId="77100D22" w14:textId="77777777">
        <w:trPr>
          <w:trHeight w:val="270"/>
          <w:jc w:val="center"/>
        </w:trPr>
        <w:tc>
          <w:tcPr>
            <w:tcW w:w="3999" w:type="pct"/>
            <w:shd w:val="clear" w:color="auto" w:fill="auto"/>
            <w:vAlign w:val="center"/>
          </w:tcPr>
          <w:p w14:paraId="5D1CB97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北京</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云南</w:t>
            </w:r>
          </w:p>
        </w:tc>
        <w:tc>
          <w:tcPr>
            <w:tcW w:w="1000" w:type="pct"/>
            <w:shd w:val="clear" w:color="auto" w:fill="auto"/>
            <w:vAlign w:val="center"/>
          </w:tcPr>
          <w:p w14:paraId="3204A3E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没有</w:t>
            </w:r>
          </w:p>
        </w:tc>
      </w:tr>
    </w:tbl>
    <w:p w14:paraId="3DD4D11B" w14:textId="77777777" w:rsidR="00DE7EC6" w:rsidRPr="00857B61" w:rsidRDefault="00000000">
      <w:pPr>
        <w:pStyle w:val="2"/>
        <w:spacing w:before="120" w:after="120" w:line="240" w:lineRule="auto"/>
        <w:jc w:val="center"/>
        <w:rPr>
          <w:rFonts w:ascii="宋体" w:eastAsia="宋体" w:hAnsi="宋体" w:cs="宋体"/>
        </w:rPr>
      </w:pPr>
      <w:r w:rsidRPr="00857B61">
        <w:rPr>
          <w:rFonts w:ascii="宋体" w:eastAsia="宋体" w:hAnsi="宋体" w:cs="宋体" w:hint="eastAsia"/>
        </w:rPr>
        <w:t>五、机制检验</w:t>
      </w:r>
    </w:p>
    <w:p w14:paraId="2866C71C" w14:textId="77777777" w:rsidR="00DE7EC6" w:rsidRPr="00857B61" w:rsidRDefault="00000000">
      <w:pPr>
        <w:pStyle w:val="30"/>
        <w:spacing w:before="120" w:after="120" w:line="240" w:lineRule="auto"/>
        <w:ind w:firstLineChars="200" w:firstLine="422"/>
        <w:rPr>
          <w:rFonts w:eastAsia="宋体"/>
          <w:sz w:val="21"/>
          <w:szCs w:val="21"/>
        </w:rPr>
      </w:pPr>
      <w:r w:rsidRPr="00857B61">
        <w:rPr>
          <w:rFonts w:eastAsia="宋体" w:hint="eastAsia"/>
          <w:sz w:val="21"/>
          <w:szCs w:val="21"/>
        </w:rPr>
        <w:t>（一）机制设计</w:t>
      </w:r>
    </w:p>
    <w:p w14:paraId="09F14FE5" w14:textId="77777777" w:rsidR="00DE7EC6" w:rsidRPr="00857B61" w:rsidRDefault="00000000">
      <w:pPr>
        <w:ind w:firstLineChars="200" w:firstLine="420"/>
        <w:rPr>
          <w:rFonts w:ascii="宋体" w:eastAsia="宋体" w:hAnsi="宋体" w:cs="宋体"/>
          <w:sz w:val="24"/>
        </w:rPr>
      </w:pPr>
      <w:r w:rsidRPr="00857B61">
        <w:rPr>
          <w:rFonts w:eastAsia="宋体" w:hint="eastAsia"/>
          <w:szCs w:val="21"/>
        </w:rPr>
        <w:t>本文前期实证结果已证实假设</w:t>
      </w:r>
      <w:r w:rsidRPr="00857B61">
        <w:rPr>
          <w:rFonts w:ascii="Times New Roman" w:eastAsia="宋体" w:hAnsi="Times New Roman" w:cs="Times New Roman"/>
          <w:szCs w:val="21"/>
        </w:rPr>
        <w:t>1</w:t>
      </w:r>
      <w:r w:rsidRPr="00857B61">
        <w:rPr>
          <w:rFonts w:ascii="Times New Roman" w:eastAsia="宋体" w:hAnsi="Times New Roman" w:cs="Times New Roman" w:hint="eastAsia"/>
          <w:szCs w:val="21"/>
        </w:rPr>
        <w:t>的正确性，即检察行政公益诉讼制度试点的实施有效抑制了国有资产流失。那么检察行政公益诉讼制度的实施究竟通过什么渠道促进了并购交易中溢价水平的提高，进而导致国有资产流失现象被抑制的呢？这值得本文进一步探究。多数学者认为</w:t>
      </w:r>
      <w:r w:rsidRPr="00857B61">
        <w:rPr>
          <w:rFonts w:eastAsia="宋体" w:hint="eastAsia"/>
          <w:szCs w:val="21"/>
        </w:rPr>
        <w:t>所有权</w:t>
      </w:r>
      <w:r w:rsidRPr="00857B61">
        <w:rPr>
          <w:rFonts w:eastAsia="宋体" w:hint="eastAsia"/>
          <w:szCs w:val="21"/>
        </w:rPr>
        <w:lastRenderedPageBreak/>
        <w:t>与经营权分离导致的“代理人问题”是造成国有资产流失的主要因素</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Lin et al</w:t>
      </w:r>
      <w:r w:rsidRPr="00857B61">
        <w:rPr>
          <w:rFonts w:ascii="Times New Roman" w:eastAsia="宋体" w:hAnsi="Times New Roman" w:cs="Times New Roman"/>
          <w:szCs w:val="21"/>
        </w:rPr>
        <w:t>，</w:t>
      </w:r>
      <w:r w:rsidRPr="00857B61">
        <w:rPr>
          <w:rFonts w:ascii="Times New Roman" w:eastAsia="宋体" w:hAnsi="Times New Roman" w:cs="Times New Roman"/>
          <w:szCs w:val="21"/>
        </w:rPr>
        <w:t>1998</w:t>
      </w:r>
      <w:r w:rsidRPr="00857B61">
        <w:rPr>
          <w:rFonts w:ascii="Times New Roman" w:eastAsia="宋体" w:hAnsi="Times New Roman" w:cs="Times New Roman"/>
          <w:szCs w:val="21"/>
        </w:rPr>
        <w:t>；潘</w:t>
      </w:r>
      <w:r w:rsidRPr="00857B61">
        <w:rPr>
          <w:rFonts w:ascii="Times New Roman" w:eastAsia="宋体" w:hAnsi="Times New Roman" w:cs="Times New Roman" w:hint="eastAsia"/>
          <w:szCs w:val="21"/>
        </w:rPr>
        <w:t>红</w:t>
      </w:r>
      <w:r w:rsidRPr="00857B61">
        <w:rPr>
          <w:rFonts w:ascii="Times New Roman" w:eastAsia="宋体" w:hAnsi="Times New Roman" w:cs="Times New Roman"/>
          <w:szCs w:val="21"/>
        </w:rPr>
        <w:t>波等，</w:t>
      </w:r>
      <w:r w:rsidRPr="00857B61">
        <w:rPr>
          <w:rFonts w:ascii="Times New Roman" w:eastAsia="宋体" w:hAnsi="Times New Roman" w:cs="Times New Roman"/>
          <w:szCs w:val="21"/>
        </w:rPr>
        <w:t>20</w:t>
      </w:r>
      <w:r w:rsidRPr="00857B61">
        <w:rPr>
          <w:rFonts w:ascii="Times New Roman" w:eastAsia="宋体" w:hAnsi="Times New Roman" w:cs="Times New Roman" w:hint="eastAsia"/>
          <w:szCs w:val="21"/>
        </w:rPr>
        <w:t>0</w:t>
      </w:r>
      <w:r w:rsidRPr="00857B61">
        <w:rPr>
          <w:rFonts w:ascii="Times New Roman" w:eastAsia="宋体" w:hAnsi="Times New Roman" w:cs="Times New Roman"/>
          <w:szCs w:val="21"/>
        </w:rPr>
        <w:t>8</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王凤荣</w:t>
      </w:r>
      <w:r w:rsidRPr="00857B61">
        <w:rPr>
          <w:rFonts w:ascii="Times New Roman" w:eastAsia="宋体" w:hAnsi="Times New Roman" w:cs="Times New Roman" w:hint="eastAsia"/>
          <w:szCs w:val="21"/>
        </w:rPr>
        <w:t>、</w:t>
      </w:r>
      <w:r w:rsidRPr="00857B61">
        <w:rPr>
          <w:rFonts w:ascii="Times New Roman" w:eastAsia="宋体" w:hAnsi="Times New Roman" w:cs="Times New Roman"/>
          <w:szCs w:val="21"/>
        </w:rPr>
        <w:t>高飞，</w:t>
      </w:r>
      <w:r w:rsidRPr="00857B61">
        <w:rPr>
          <w:rFonts w:ascii="Times New Roman" w:eastAsia="宋体" w:hAnsi="Times New Roman" w:cs="Times New Roman"/>
          <w:szCs w:val="21"/>
        </w:rPr>
        <w:t>2012</w:t>
      </w:r>
      <w:r w:rsidRPr="00857B61">
        <w:rPr>
          <w:rFonts w:ascii="Times New Roman" w:eastAsia="宋体" w:hAnsi="Times New Roman" w:cs="Times New Roman" w:hint="eastAsia"/>
          <w:szCs w:val="21"/>
        </w:rPr>
        <w:t>），而企业内存在的“代理人问题”严重与否一定程度上是通过代理成本的高低来反映</w:t>
      </w:r>
      <w:r w:rsidRPr="00857B61">
        <w:rPr>
          <w:rFonts w:ascii="Times New Roman" w:eastAsia="宋体" w:hAnsi="Times New Roman" w:cs="Times New Roman"/>
          <w:szCs w:val="21"/>
        </w:rPr>
        <w:t>（刘灿雷等，</w:t>
      </w:r>
      <w:r w:rsidRPr="00857B61">
        <w:rPr>
          <w:rFonts w:ascii="Times New Roman" w:eastAsia="宋体" w:hAnsi="Times New Roman" w:cs="Times New Roman"/>
          <w:szCs w:val="21"/>
        </w:rPr>
        <w:t>2020</w:t>
      </w: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加之，检察行政公益诉讼制度的实施理论上不仅可以利用行政公益诉讼手段加强对政府机关的约束、减少地方政府机关作为所有者对国有企业经营行为的不恰当干预，而且可以提高对国有企业高管行为的外部监督、降低其在职期间侵害国有资产的动机，从而降低代理成本，缓解国有企业内部“代理人问题”。因此，本文认为代理成本可能是</w:t>
      </w:r>
      <w:r w:rsidRPr="00857B61">
        <w:rPr>
          <w:rFonts w:eastAsia="宋体" w:hint="eastAsia"/>
          <w:szCs w:val="21"/>
        </w:rPr>
        <w:t>检察行政公益诉讼制度与国有资产流失之间的作用渠道。另外，信息披露质量的高低也可以影响企业的“代理人问题”（</w:t>
      </w:r>
      <w:r w:rsidRPr="00857B61">
        <w:rPr>
          <w:rFonts w:ascii="Times New Roman" w:eastAsia="宋体" w:hAnsi="Times New Roman" w:cs="Times New Roman"/>
          <w:szCs w:val="21"/>
        </w:rPr>
        <w:t xml:space="preserve">Healy </w:t>
      </w:r>
      <w:r w:rsidRPr="00857B61">
        <w:rPr>
          <w:rFonts w:ascii="Times New Roman" w:eastAsia="宋体" w:hAnsi="Times New Roman" w:cs="Times New Roman" w:hint="eastAsia"/>
          <w:szCs w:val="21"/>
        </w:rPr>
        <w:t>&amp;</w:t>
      </w:r>
      <w:r w:rsidRPr="00857B61">
        <w:rPr>
          <w:rFonts w:ascii="Times New Roman" w:eastAsia="宋体" w:hAnsi="Times New Roman" w:cs="Times New Roman"/>
          <w:szCs w:val="21"/>
        </w:rPr>
        <w:t xml:space="preserve"> Palepu</w:t>
      </w:r>
      <w:r w:rsidRPr="00857B61">
        <w:rPr>
          <w:rFonts w:ascii="Times New Roman" w:eastAsia="宋体" w:hAnsi="Times New Roman" w:cs="Times New Roman"/>
          <w:szCs w:val="21"/>
        </w:rPr>
        <w:t>，</w:t>
      </w:r>
      <w:r w:rsidRPr="00857B61">
        <w:rPr>
          <w:rFonts w:ascii="Times New Roman" w:eastAsia="宋体" w:hAnsi="Times New Roman" w:cs="Times New Roman"/>
          <w:szCs w:val="21"/>
        </w:rPr>
        <w:t>2001</w:t>
      </w:r>
      <w:r w:rsidRPr="00857B61">
        <w:rPr>
          <w:rFonts w:eastAsia="宋体" w:hint="eastAsia"/>
          <w:szCs w:val="21"/>
        </w:rPr>
        <w:t>）。在大力推行信息公开制度、强调信息公开透明的当下，随着典型案例在全网的逐步公开以及政府、公众对公共利益关注度的日益提高，检察行政公益诉讼制度实施必定会进一步加强企业的信息披露质量，从而加强国有企业的管理效率，最终达到提高国有资产安全性、使国有资产得到保值增值的目的。据此，本文将从代理成本以及信息披露质量两个方面对检察行政公益诉讼制度与国有资产流失之间可能的作用渠道展开实证分析</w:t>
      </w:r>
      <w:r w:rsidRPr="00857B61">
        <w:rPr>
          <w:rFonts w:eastAsia="宋体" w:hint="eastAsia"/>
          <w:sz w:val="24"/>
        </w:rPr>
        <w:t>。</w:t>
      </w:r>
    </w:p>
    <w:p w14:paraId="0992CC0D" w14:textId="77777777" w:rsidR="00DE7EC6" w:rsidRPr="00857B61" w:rsidRDefault="00000000">
      <w:pPr>
        <w:ind w:firstLineChars="200" w:firstLine="422"/>
        <w:rPr>
          <w:rFonts w:ascii="Times New Roman" w:eastAsia="宋体" w:hAnsi="Times New Roman" w:cs="Times New Roman"/>
          <w:b/>
          <w:bCs/>
          <w:szCs w:val="21"/>
        </w:rPr>
      </w:pPr>
      <w:r w:rsidRPr="00857B61">
        <w:rPr>
          <w:rFonts w:ascii="Times New Roman" w:eastAsia="宋体" w:hAnsi="Times New Roman" w:cs="Times New Roman"/>
          <w:b/>
          <w:bCs/>
          <w:szCs w:val="21"/>
        </w:rPr>
        <w:t>（二）机制检验结果与分析</w:t>
      </w:r>
    </w:p>
    <w:p w14:paraId="5FAAC99D" w14:textId="77777777" w:rsidR="00DE7EC6" w:rsidRPr="00857B61" w:rsidRDefault="00000000">
      <w:pPr>
        <w:ind w:firstLineChars="200" w:firstLine="420"/>
        <w:rPr>
          <w:rFonts w:ascii="Times New Roman" w:eastAsia="宋体" w:hAnsi="Times New Roman" w:cs="Times New Roman"/>
          <w:szCs w:val="21"/>
        </w:rPr>
      </w:pPr>
      <w:r w:rsidRPr="00857B61">
        <w:rPr>
          <w:rFonts w:ascii="Times New Roman" w:eastAsia="宋体" w:hAnsi="Times New Roman" w:cs="Times New Roman"/>
          <w:szCs w:val="21"/>
        </w:rPr>
        <w:t>本文采用三步骤</w:t>
      </w:r>
      <w:r w:rsidRPr="00857B61">
        <w:rPr>
          <w:rFonts w:ascii="Times New Roman" w:eastAsia="宋体" w:hAnsi="Times New Roman" w:cs="Times New Roman"/>
          <w:szCs w:val="21"/>
        </w:rPr>
        <w:t>DID</w:t>
      </w:r>
      <w:r w:rsidRPr="00857B61">
        <w:rPr>
          <w:rFonts w:ascii="Times New Roman" w:eastAsia="宋体" w:hAnsi="Times New Roman" w:cs="Times New Roman"/>
          <w:szCs w:val="21"/>
        </w:rPr>
        <w:t>进行机制检验，第一步检验检察行政公益诉讼制度实施对国有资产流失的影响；第二步将机制变量作为被解释变量，考察检察行政公益诉讼制度实施对机制变量的影响；第三步将机制变量加入第一步的回归中进行检验。</w:t>
      </w:r>
    </w:p>
    <w:p w14:paraId="36058366" w14:textId="77777777" w:rsidR="00DE7EC6" w:rsidRPr="00857B61" w:rsidRDefault="00000000">
      <w:pPr>
        <w:ind w:firstLineChars="200" w:firstLine="420"/>
        <w:rPr>
          <w:rFonts w:ascii="Times New Roman" w:eastAsia="宋体" w:hAnsi="Times New Roman" w:cs="Times New Roman"/>
          <w:szCs w:val="21"/>
        </w:rPr>
      </w:pPr>
      <w:r w:rsidRPr="00857B61">
        <w:rPr>
          <w:rFonts w:ascii="Times New Roman" w:eastAsia="楷体" w:hAnsi="Times New Roman" w:cs="Times New Roman" w:hint="eastAsia"/>
          <w:szCs w:val="21"/>
        </w:rPr>
        <w:t>1.</w:t>
      </w:r>
      <w:r w:rsidRPr="00857B61">
        <w:rPr>
          <w:rFonts w:ascii="Times New Roman" w:eastAsia="楷体" w:hAnsi="Times New Roman" w:cs="Times New Roman"/>
          <w:szCs w:val="21"/>
        </w:rPr>
        <w:t>代理成本机制分析。</w:t>
      </w:r>
      <w:r w:rsidRPr="00857B61">
        <w:rPr>
          <w:rFonts w:ascii="Times New Roman" w:eastAsia="宋体" w:hAnsi="Times New Roman" w:cs="Times New Roman"/>
          <w:szCs w:val="21"/>
        </w:rPr>
        <w:t>企业的代理成本越高，说明内</w:t>
      </w:r>
      <w:r w:rsidRPr="00857B61">
        <w:rPr>
          <w:rFonts w:ascii="宋体" w:eastAsia="宋体" w:hAnsi="宋体" w:cs="宋体" w:hint="eastAsia"/>
          <w:szCs w:val="21"/>
        </w:rPr>
        <w:t>部“代理人问题”越严</w:t>
      </w:r>
      <w:r w:rsidRPr="00857B61">
        <w:rPr>
          <w:rFonts w:ascii="Times New Roman" w:eastAsia="宋体" w:hAnsi="Times New Roman" w:cs="Times New Roman"/>
          <w:szCs w:val="21"/>
        </w:rPr>
        <w:t>重、管理效率越低下（刘灿雷等，</w:t>
      </w:r>
      <w:r w:rsidRPr="00857B61">
        <w:rPr>
          <w:rFonts w:ascii="Times New Roman" w:eastAsia="宋体" w:hAnsi="Times New Roman" w:cs="Times New Roman"/>
          <w:szCs w:val="21"/>
        </w:rPr>
        <w:t>2020</w:t>
      </w:r>
      <w:r w:rsidRPr="00857B61">
        <w:rPr>
          <w:rFonts w:ascii="Times New Roman" w:eastAsia="宋体" w:hAnsi="Times New Roman" w:cs="Times New Roman"/>
          <w:szCs w:val="21"/>
        </w:rPr>
        <w:t>），越不利于缓解国有资产流失严重的状况。本文将代理成本（</w:t>
      </w:r>
      <w:r w:rsidRPr="00857B61">
        <w:rPr>
          <w:rFonts w:ascii="Times New Roman" w:eastAsia="宋体" w:hAnsi="Times New Roman" w:cs="Times New Roman"/>
          <w:i/>
          <w:iCs/>
          <w:szCs w:val="21"/>
        </w:rPr>
        <w:t>Agencycost</w:t>
      </w:r>
      <w:r w:rsidRPr="00857B61">
        <w:rPr>
          <w:rFonts w:ascii="Times New Roman" w:eastAsia="宋体" w:hAnsi="Times New Roman" w:cs="Times New Roman"/>
          <w:szCs w:val="21"/>
        </w:rPr>
        <w:t>）变量引入机制分析，该指标用并购交易前一年</w:t>
      </w:r>
      <w:r w:rsidRPr="00857B61">
        <w:rPr>
          <w:rFonts w:ascii="Times New Roman" w:eastAsia="宋体" w:hAnsi="Times New Roman" w:cs="Times New Roman" w:hint="eastAsia"/>
          <w:szCs w:val="21"/>
        </w:rPr>
        <w:t>度</w:t>
      </w:r>
      <w:r w:rsidRPr="00857B61">
        <w:rPr>
          <w:rFonts w:ascii="Times New Roman" w:eastAsia="宋体" w:hAnsi="Times New Roman" w:cs="Times New Roman"/>
          <w:szCs w:val="21"/>
        </w:rPr>
        <w:t>企业管理费用支出在总销售收入中的占比来表示（甄红线等，</w:t>
      </w:r>
      <w:r w:rsidRPr="00857B61">
        <w:rPr>
          <w:rFonts w:ascii="Times New Roman" w:eastAsia="宋体" w:hAnsi="Times New Roman" w:cs="Times New Roman"/>
          <w:szCs w:val="21"/>
        </w:rPr>
        <w:t>2015</w:t>
      </w:r>
      <w:r w:rsidRPr="00857B61">
        <w:rPr>
          <w:rFonts w:ascii="Times New Roman" w:eastAsia="宋体" w:hAnsi="Times New Roman" w:cs="Times New Roman"/>
          <w:szCs w:val="21"/>
        </w:rPr>
        <w:t>）。表</w:t>
      </w:r>
      <w:r w:rsidRPr="00857B61">
        <w:rPr>
          <w:rFonts w:ascii="Times New Roman" w:eastAsia="宋体" w:hAnsi="Times New Roman" w:cs="Times New Roman"/>
          <w:szCs w:val="21"/>
        </w:rPr>
        <w:t>12</w:t>
      </w:r>
      <w:r w:rsidRPr="00857B61">
        <w:rPr>
          <w:rFonts w:ascii="Times New Roman" w:eastAsia="宋体" w:hAnsi="Times New Roman" w:cs="Times New Roman"/>
          <w:szCs w:val="21"/>
        </w:rPr>
        <w:t>展示了代理成本</w:t>
      </w:r>
      <w:r w:rsidRPr="00857B61">
        <w:rPr>
          <w:rFonts w:ascii="Times New Roman" w:eastAsia="宋体" w:hAnsi="Times New Roman" w:cs="Times New Roman" w:hint="eastAsia"/>
          <w:szCs w:val="21"/>
        </w:rPr>
        <w:t>机制检验结果</w:t>
      </w:r>
      <w:r w:rsidRPr="00857B61">
        <w:rPr>
          <w:rFonts w:ascii="Times New Roman" w:eastAsia="宋体" w:hAnsi="Times New Roman" w:cs="Times New Roman"/>
          <w:szCs w:val="21"/>
        </w:rPr>
        <w:t>，列（</w:t>
      </w:r>
      <w:r w:rsidRPr="00857B61">
        <w:rPr>
          <w:rFonts w:ascii="Times New Roman" w:eastAsia="宋体" w:hAnsi="Times New Roman" w:cs="Times New Roman"/>
          <w:szCs w:val="21"/>
        </w:rPr>
        <w:t>1</w:t>
      </w:r>
      <w:r w:rsidRPr="00857B61">
        <w:rPr>
          <w:rFonts w:ascii="Times New Roman" w:eastAsia="宋体" w:hAnsi="Times New Roman" w:cs="Times New Roman"/>
          <w:szCs w:val="21"/>
        </w:rPr>
        <w:t>）为基本回归结果；列（</w:t>
      </w:r>
      <w:r w:rsidRPr="00857B61">
        <w:rPr>
          <w:rFonts w:ascii="Times New Roman" w:eastAsia="宋体" w:hAnsi="Times New Roman" w:cs="Times New Roman"/>
          <w:szCs w:val="21"/>
        </w:rPr>
        <w:t>2</w:t>
      </w:r>
      <w:r w:rsidRPr="00857B61">
        <w:rPr>
          <w:rFonts w:ascii="Times New Roman" w:eastAsia="宋体" w:hAnsi="Times New Roman" w:cs="Times New Roman"/>
          <w:szCs w:val="21"/>
        </w:rPr>
        <w:t>）的被解释变量是</w:t>
      </w:r>
      <w:r w:rsidRPr="00857B61">
        <w:rPr>
          <w:rFonts w:ascii="Times New Roman" w:eastAsia="宋体" w:hAnsi="Times New Roman" w:cs="Times New Roman"/>
          <w:i/>
          <w:iCs/>
          <w:szCs w:val="21"/>
        </w:rPr>
        <w:t>Agencycost</w:t>
      </w:r>
      <w:r w:rsidRPr="00857B61">
        <w:rPr>
          <w:rFonts w:ascii="Times New Roman" w:eastAsia="宋体" w:hAnsi="Times New Roman" w:cs="Times New Roman"/>
          <w:szCs w:val="21"/>
        </w:rPr>
        <w:t>，可以看到</w:t>
      </w:r>
      <w:r w:rsidRPr="00857B61">
        <w:rPr>
          <w:rFonts w:ascii="Times New Roman" w:eastAsia="宋体" w:hAnsi="Times New Roman" w:cs="Times New Roman"/>
          <w:i/>
          <w:iCs/>
          <w:szCs w:val="21"/>
        </w:rPr>
        <w:t>Treat*Policy</w:t>
      </w:r>
      <w:r w:rsidRPr="00857B61">
        <w:rPr>
          <w:rFonts w:ascii="Times New Roman" w:eastAsia="宋体" w:hAnsi="Times New Roman" w:cs="Times New Roman"/>
          <w:szCs w:val="21"/>
        </w:rPr>
        <w:t>显著为负，说明检察行政公益诉讼制度的实施能够加强对国有企业管理人员的约束，从而有效降低了企业的代理成本；相较于列（</w:t>
      </w:r>
      <w:r w:rsidRPr="00857B61">
        <w:rPr>
          <w:rFonts w:ascii="Times New Roman" w:eastAsia="宋体" w:hAnsi="Times New Roman" w:cs="Times New Roman"/>
          <w:szCs w:val="21"/>
        </w:rPr>
        <w:t>1</w:t>
      </w:r>
      <w:r w:rsidRPr="00857B61">
        <w:rPr>
          <w:rFonts w:ascii="Times New Roman" w:eastAsia="宋体" w:hAnsi="Times New Roman" w:cs="Times New Roman"/>
          <w:szCs w:val="21"/>
        </w:rPr>
        <w:t>），列（</w:t>
      </w:r>
      <w:r w:rsidRPr="00857B61">
        <w:rPr>
          <w:rFonts w:ascii="Times New Roman" w:eastAsia="宋体" w:hAnsi="Times New Roman" w:cs="Times New Roman"/>
          <w:szCs w:val="21"/>
        </w:rPr>
        <w:t>3</w:t>
      </w:r>
      <w:r w:rsidRPr="00857B61">
        <w:rPr>
          <w:rFonts w:ascii="Times New Roman" w:eastAsia="宋体" w:hAnsi="Times New Roman" w:cs="Times New Roman"/>
          <w:szCs w:val="21"/>
        </w:rPr>
        <w:t>）将</w:t>
      </w:r>
      <w:r w:rsidRPr="00857B61">
        <w:rPr>
          <w:rFonts w:ascii="Times New Roman" w:eastAsia="宋体" w:hAnsi="Times New Roman" w:cs="Times New Roman"/>
          <w:i/>
          <w:iCs/>
          <w:szCs w:val="21"/>
        </w:rPr>
        <w:t>Agencycost</w:t>
      </w:r>
      <w:r w:rsidRPr="00857B61">
        <w:rPr>
          <w:rFonts w:ascii="Times New Roman" w:eastAsia="宋体" w:hAnsi="Times New Roman" w:cs="Times New Roman"/>
          <w:szCs w:val="21"/>
        </w:rPr>
        <w:t>加入基本回归后其系数在</w:t>
      </w:r>
      <w:r w:rsidRPr="00857B61">
        <w:rPr>
          <w:rFonts w:ascii="Times New Roman" w:eastAsia="宋体" w:hAnsi="Times New Roman" w:cs="Times New Roman"/>
          <w:szCs w:val="21"/>
        </w:rPr>
        <w:t>5%</w:t>
      </w:r>
      <w:r w:rsidRPr="00857B61">
        <w:rPr>
          <w:rFonts w:ascii="Times New Roman" w:eastAsia="宋体" w:hAnsi="Times New Roman" w:cs="Times New Roman"/>
          <w:szCs w:val="21"/>
        </w:rPr>
        <w:t>水平上显著为负，但交互项</w:t>
      </w:r>
      <w:r w:rsidRPr="00857B61">
        <w:rPr>
          <w:rFonts w:ascii="Times New Roman" w:eastAsia="宋体" w:hAnsi="Times New Roman" w:cs="Times New Roman"/>
          <w:i/>
          <w:iCs/>
          <w:szCs w:val="21"/>
        </w:rPr>
        <w:t>Treat*Policy</w:t>
      </w:r>
      <w:r w:rsidRPr="00857B61">
        <w:rPr>
          <w:rFonts w:ascii="Times New Roman" w:eastAsia="宋体" w:hAnsi="Times New Roman" w:cs="Times New Roman"/>
          <w:szCs w:val="21"/>
        </w:rPr>
        <w:t>的系数与基本回归结果相比明显变小且显著性降低，说明代理成本是检察行政公益诉讼制度抑制国有资产流失的一个机制。检察行政公益诉讼制度的推行为国有资产，尤其是以权力价值形式存在的国有资产提供了司法监督，它以兜底保障式的制度设计弥补了地方政府机关以及国资委对国有企业的监管漏洞，通过独立的司法运转机制加强对董事长、总经理等管理人员的监督，降低其大肆占用国有资源来实现自身利益的动机，从而使代理成本得以降低、管理效率得到提高，最终使国有资产流失现象得到抑制。</w:t>
      </w:r>
    </w:p>
    <w:p w14:paraId="0C8EA119" w14:textId="77777777" w:rsidR="00DE7EC6" w:rsidRPr="00857B61" w:rsidRDefault="00000000">
      <w:pPr>
        <w:ind w:firstLineChars="200" w:firstLine="420"/>
        <w:rPr>
          <w:rFonts w:eastAsia="宋体"/>
          <w:szCs w:val="21"/>
        </w:rPr>
      </w:pPr>
      <w:r w:rsidRPr="00857B61">
        <w:rPr>
          <w:rFonts w:ascii="Times New Roman" w:eastAsia="楷体" w:hAnsi="Times New Roman" w:cs="宋体" w:hint="eastAsia"/>
          <w:szCs w:val="21"/>
        </w:rPr>
        <w:t>2.</w:t>
      </w:r>
      <w:r w:rsidRPr="00857B61">
        <w:rPr>
          <w:rFonts w:ascii="Times New Roman" w:eastAsia="楷体" w:hAnsi="Times New Roman" w:cs="宋体" w:hint="eastAsia"/>
          <w:szCs w:val="21"/>
        </w:rPr>
        <w:t>信息披露质量机制分析。</w:t>
      </w:r>
      <w:r w:rsidRPr="00857B61">
        <w:rPr>
          <w:rFonts w:eastAsia="宋体" w:hint="eastAsia"/>
          <w:szCs w:val="21"/>
        </w:rPr>
        <w:t>更透明、更全面、更完整的信息披露有助于解决企业代理问题、缓解信息不对称，达到保护利益相关者的目的（</w:t>
      </w:r>
      <w:r w:rsidRPr="00857B61">
        <w:rPr>
          <w:rFonts w:ascii="Times New Roman" w:eastAsia="宋体" w:hAnsi="Times New Roman" w:cs="Times New Roman"/>
          <w:szCs w:val="21"/>
        </w:rPr>
        <w:t xml:space="preserve">Healy </w:t>
      </w:r>
      <w:r w:rsidRPr="00857B61">
        <w:rPr>
          <w:rFonts w:ascii="Times New Roman" w:eastAsia="宋体" w:hAnsi="Times New Roman" w:cs="Times New Roman" w:hint="eastAsia"/>
          <w:szCs w:val="21"/>
        </w:rPr>
        <w:t>&amp;</w:t>
      </w:r>
      <w:r w:rsidRPr="00857B61">
        <w:rPr>
          <w:rFonts w:ascii="Times New Roman" w:eastAsia="宋体" w:hAnsi="Times New Roman" w:cs="Times New Roman"/>
          <w:szCs w:val="21"/>
        </w:rPr>
        <w:t xml:space="preserve"> Palepu</w:t>
      </w:r>
      <w:r w:rsidRPr="00857B61">
        <w:rPr>
          <w:rFonts w:ascii="Times New Roman" w:eastAsia="宋体" w:hAnsi="Times New Roman" w:cs="Times New Roman"/>
          <w:szCs w:val="21"/>
        </w:rPr>
        <w:t>，</w:t>
      </w:r>
      <w:r w:rsidRPr="00857B61">
        <w:rPr>
          <w:rFonts w:ascii="Times New Roman" w:eastAsia="宋体" w:hAnsi="Times New Roman" w:cs="Times New Roman"/>
          <w:szCs w:val="21"/>
        </w:rPr>
        <w:t>2001</w:t>
      </w:r>
      <w:r w:rsidRPr="00857B61">
        <w:rPr>
          <w:rFonts w:eastAsia="宋体" w:hint="eastAsia"/>
          <w:szCs w:val="21"/>
        </w:rPr>
        <w:t>）。本文将信息披露质量（</w:t>
      </w:r>
      <w:r w:rsidRPr="00857B61">
        <w:rPr>
          <w:rFonts w:ascii="Times New Roman" w:eastAsia="宋体" w:hAnsi="Times New Roman" w:cs="Times New Roman"/>
          <w:i/>
          <w:iCs/>
          <w:szCs w:val="21"/>
        </w:rPr>
        <w:t>K</w:t>
      </w:r>
      <w:r w:rsidRPr="00857B61">
        <w:rPr>
          <w:rFonts w:ascii="Times New Roman" w:eastAsia="宋体" w:hAnsi="Times New Roman" w:cs="Times New Roman" w:hint="eastAsia"/>
          <w:i/>
          <w:iCs/>
          <w:szCs w:val="21"/>
        </w:rPr>
        <w:t>V</w:t>
      </w:r>
      <w:r w:rsidRPr="00857B61">
        <w:rPr>
          <w:rFonts w:eastAsia="宋体" w:hint="eastAsia"/>
          <w:szCs w:val="21"/>
        </w:rPr>
        <w:t>）这一指标引入机制分析，采用并购交易卖方企业的年度信息披露质量数据并滞后一期。该指标有</w:t>
      </w:r>
      <w:r w:rsidRPr="00857B61">
        <w:rPr>
          <w:rFonts w:ascii="Times New Roman" w:eastAsia="宋体" w:hAnsi="Times New Roman" w:cs="Times New Roman"/>
          <w:szCs w:val="21"/>
        </w:rPr>
        <w:t xml:space="preserve">KV </w:t>
      </w:r>
      <w:r w:rsidRPr="00857B61">
        <w:rPr>
          <w:rFonts w:eastAsia="宋体" w:hint="eastAsia"/>
          <w:szCs w:val="21"/>
        </w:rPr>
        <w:t>度量法、应计利润测度法以及信息披露指数法等多种衡量方法。基于</w:t>
      </w:r>
      <w:r w:rsidRPr="00857B61">
        <w:rPr>
          <w:rFonts w:ascii="Times New Roman" w:eastAsia="宋体" w:hAnsi="Times New Roman" w:cs="Times New Roman"/>
          <w:szCs w:val="21"/>
        </w:rPr>
        <w:t>KV</w:t>
      </w:r>
      <w:r w:rsidRPr="00857B61">
        <w:rPr>
          <w:rFonts w:eastAsia="宋体" w:hint="eastAsia"/>
          <w:szCs w:val="21"/>
        </w:rPr>
        <w:t xml:space="preserve"> </w:t>
      </w:r>
      <w:r w:rsidRPr="00857B61">
        <w:rPr>
          <w:rFonts w:eastAsia="宋体" w:hint="eastAsia"/>
          <w:szCs w:val="21"/>
        </w:rPr>
        <w:t>值能够真正反映上市公司信息披露的实际效果的优点（林长泉等，</w:t>
      </w:r>
      <w:r w:rsidRPr="00857B61">
        <w:rPr>
          <w:rFonts w:ascii="Times New Roman" w:eastAsia="宋体" w:hAnsi="Times New Roman" w:cs="Times New Roman"/>
          <w:szCs w:val="21"/>
        </w:rPr>
        <w:t>2016</w:t>
      </w:r>
      <w:r w:rsidRPr="00857B61">
        <w:rPr>
          <w:rFonts w:eastAsia="宋体" w:hint="eastAsia"/>
          <w:szCs w:val="21"/>
        </w:rPr>
        <w:t>），本文决定采取</w:t>
      </w:r>
      <w:r w:rsidRPr="00857B61">
        <w:rPr>
          <w:rFonts w:ascii="Times New Roman" w:eastAsia="宋体" w:hAnsi="Times New Roman" w:cs="Times New Roman" w:hint="eastAsia"/>
          <w:szCs w:val="21"/>
        </w:rPr>
        <w:t>KV</w:t>
      </w:r>
      <w:r w:rsidRPr="00857B61">
        <w:rPr>
          <w:rFonts w:eastAsia="宋体" w:hint="eastAsia"/>
          <w:szCs w:val="21"/>
        </w:rPr>
        <w:t>度量法来测算信息披露质量，具体计算方法参考</w:t>
      </w:r>
      <w:r w:rsidRPr="00857B61">
        <w:rPr>
          <w:rFonts w:ascii="Times New Roman" w:eastAsia="宋体" w:hAnsi="Times New Roman" w:cs="Times New Roman"/>
          <w:szCs w:val="21"/>
        </w:rPr>
        <w:t xml:space="preserve">Kim </w:t>
      </w:r>
      <w:r w:rsidRPr="00857B61">
        <w:rPr>
          <w:rFonts w:ascii="Times New Roman" w:eastAsia="宋体" w:hAnsi="Times New Roman" w:cs="Times New Roman" w:hint="eastAsia"/>
          <w:szCs w:val="21"/>
        </w:rPr>
        <w:t xml:space="preserve">&amp; </w:t>
      </w:r>
      <w:r w:rsidRPr="00857B61">
        <w:rPr>
          <w:rFonts w:ascii="Times New Roman" w:eastAsia="宋体" w:hAnsi="Times New Roman" w:cs="Times New Roman"/>
          <w:szCs w:val="21"/>
        </w:rPr>
        <w:t>Verrecchia</w:t>
      </w:r>
      <w:r w:rsidRPr="00857B61">
        <w:rPr>
          <w:rFonts w:ascii="Times New Roman" w:eastAsia="宋体" w:hAnsi="Times New Roman" w:cs="Times New Roman"/>
          <w:szCs w:val="21"/>
        </w:rPr>
        <w:t>（</w:t>
      </w:r>
      <w:r w:rsidRPr="00857B61">
        <w:rPr>
          <w:rFonts w:ascii="Times New Roman" w:eastAsia="宋体" w:hAnsi="Times New Roman" w:cs="Times New Roman"/>
          <w:szCs w:val="21"/>
        </w:rPr>
        <w:t>2001</w:t>
      </w:r>
      <w:r w:rsidRPr="00857B61">
        <w:rPr>
          <w:rFonts w:eastAsia="宋体" w:hint="eastAsia"/>
          <w:szCs w:val="21"/>
        </w:rPr>
        <w:t>）。</w:t>
      </w:r>
    </w:p>
    <w:p w14:paraId="56C6E2AB" w14:textId="77777777" w:rsidR="00DE7EC6" w:rsidRPr="00857B61" w:rsidRDefault="00000000">
      <w:pPr>
        <w:ind w:firstLineChars="200" w:firstLine="420"/>
        <w:rPr>
          <w:rFonts w:ascii="Times New Roman" w:eastAsia="宋体" w:hAnsi="Times New Roman" w:cs="Times New Roman"/>
          <w:i/>
          <w:iCs/>
          <w:szCs w:val="21"/>
        </w:rPr>
      </w:pPr>
      <w:r w:rsidRPr="00857B61">
        <w:rPr>
          <w:rFonts w:ascii="Times New Roman" w:eastAsia="宋体" w:hAnsi="Times New Roman" w:cs="Times New Roman" w:hint="eastAsia"/>
          <w:szCs w:val="21"/>
        </w:rPr>
        <w:t>KV</w:t>
      </w:r>
      <w:r w:rsidRPr="00857B61">
        <w:rPr>
          <w:rFonts w:eastAsia="宋体" w:hint="eastAsia"/>
          <w:szCs w:val="21"/>
        </w:rPr>
        <w:t>度量法：</w:t>
      </w:r>
    </w:p>
    <w:p w14:paraId="26F2A8DE" w14:textId="77777777" w:rsidR="00DE7EC6" w:rsidRPr="00857B61" w:rsidRDefault="00000000">
      <w:pPr>
        <w:ind w:firstLineChars="200" w:firstLine="420"/>
        <w:jc w:val="center"/>
        <w:rPr>
          <w:rFonts w:ascii="Times New Roman" w:eastAsia="宋体" w:hAnsi="Times New Roman" w:cs="Times New Roman"/>
          <w:i/>
          <w:iCs/>
          <w:szCs w:val="21"/>
        </w:rPr>
      </w:pPr>
      <w:r w:rsidRPr="00857B61">
        <w:rPr>
          <w:rFonts w:ascii="Times New Roman" w:eastAsia="宋体" w:hAnsi="Times New Roman" w:cs="Times New Roman" w:hint="eastAsia"/>
          <w:i/>
          <w:iCs/>
          <w:szCs w:val="21"/>
        </w:rPr>
        <w:t xml:space="preserve">          </w:t>
      </w:r>
      <w:r w:rsidRPr="00857B61">
        <w:rPr>
          <w:rFonts w:ascii="Times New Roman" w:eastAsia="宋体" w:hAnsi="Times New Roman" w:cs="Times New Roman"/>
          <w:i/>
          <w:iCs/>
          <w:szCs w:val="21"/>
        </w:rPr>
        <w:t>Ln | (P</w:t>
      </w:r>
      <w:r w:rsidRPr="00857B61">
        <w:rPr>
          <w:rFonts w:ascii="Times New Roman" w:eastAsia="宋体" w:hAnsi="Times New Roman" w:cs="Times New Roman"/>
          <w:i/>
          <w:iCs/>
          <w:szCs w:val="21"/>
          <w:vertAlign w:val="subscript"/>
        </w:rPr>
        <w:t>t</w:t>
      </w:r>
      <w:r w:rsidRPr="00857B61">
        <w:rPr>
          <w:rFonts w:ascii="Times New Roman" w:eastAsia="宋体" w:hAnsi="Times New Roman" w:cs="Times New Roman"/>
          <w:i/>
          <w:iCs/>
          <w:szCs w:val="21"/>
        </w:rPr>
        <w:t>－</w:t>
      </w:r>
      <w:r w:rsidRPr="00857B61">
        <w:rPr>
          <w:rFonts w:ascii="Times New Roman" w:eastAsia="宋体" w:hAnsi="Times New Roman" w:cs="Times New Roman"/>
          <w:i/>
          <w:iCs/>
          <w:szCs w:val="21"/>
        </w:rPr>
        <w:t>P</w:t>
      </w:r>
      <w:r w:rsidRPr="00857B61">
        <w:rPr>
          <w:rFonts w:ascii="Times New Roman" w:eastAsia="宋体" w:hAnsi="Times New Roman" w:cs="Times New Roman"/>
          <w:i/>
          <w:iCs/>
          <w:szCs w:val="21"/>
          <w:vertAlign w:val="subscript"/>
        </w:rPr>
        <w:t>t</w:t>
      </w:r>
      <w:r w:rsidRPr="00857B61">
        <w:rPr>
          <w:rFonts w:ascii="Times New Roman" w:eastAsia="宋体" w:hAnsi="Times New Roman" w:cs="Times New Roman"/>
          <w:i/>
          <w:iCs/>
          <w:szCs w:val="21"/>
          <w:vertAlign w:val="subscript"/>
        </w:rPr>
        <w:t>－</w:t>
      </w:r>
      <w:r w:rsidRPr="00857B61">
        <w:rPr>
          <w:rFonts w:ascii="Times New Roman" w:eastAsia="宋体" w:hAnsi="Times New Roman" w:cs="Times New Roman"/>
          <w:i/>
          <w:iCs/>
          <w:szCs w:val="21"/>
          <w:vertAlign w:val="subscript"/>
        </w:rPr>
        <w:t>1</w:t>
      </w:r>
      <w:r w:rsidRPr="00857B61">
        <w:rPr>
          <w:rFonts w:ascii="Times New Roman" w:eastAsia="宋体" w:hAnsi="Times New Roman" w:cs="Times New Roman"/>
          <w:i/>
          <w:iCs/>
          <w:szCs w:val="21"/>
        </w:rPr>
        <w:t>) / P</w:t>
      </w:r>
      <w:r w:rsidRPr="00857B61">
        <w:rPr>
          <w:rFonts w:ascii="Times New Roman" w:eastAsia="宋体" w:hAnsi="Times New Roman" w:cs="Times New Roman"/>
          <w:i/>
          <w:iCs/>
          <w:szCs w:val="21"/>
          <w:vertAlign w:val="subscript"/>
        </w:rPr>
        <w:t>t</w:t>
      </w:r>
      <w:r w:rsidRPr="00857B61">
        <w:rPr>
          <w:rFonts w:ascii="Times New Roman" w:eastAsia="宋体" w:hAnsi="Times New Roman" w:cs="Times New Roman"/>
          <w:i/>
          <w:iCs/>
          <w:szCs w:val="21"/>
          <w:vertAlign w:val="subscript"/>
        </w:rPr>
        <w:t>－</w:t>
      </w:r>
      <w:r w:rsidRPr="00857B61">
        <w:rPr>
          <w:rFonts w:ascii="Times New Roman" w:eastAsia="宋体" w:hAnsi="Times New Roman" w:cs="Times New Roman"/>
          <w:i/>
          <w:iCs/>
          <w:szCs w:val="21"/>
          <w:vertAlign w:val="subscript"/>
        </w:rPr>
        <w:t>1</w:t>
      </w:r>
      <w:r w:rsidRPr="00857B61">
        <w:rPr>
          <w:rFonts w:ascii="Times New Roman" w:eastAsia="宋体" w:hAnsi="Times New Roman" w:cs="Times New Roman"/>
          <w:i/>
          <w:iCs/>
          <w:szCs w:val="21"/>
        </w:rPr>
        <w:t xml:space="preserve"> | =α+ β (Vol</w:t>
      </w:r>
      <w:r w:rsidRPr="00857B61">
        <w:rPr>
          <w:rFonts w:ascii="Times New Roman" w:eastAsia="宋体" w:hAnsi="Times New Roman" w:cs="Times New Roman"/>
          <w:i/>
          <w:iCs/>
          <w:szCs w:val="21"/>
          <w:vertAlign w:val="subscript"/>
        </w:rPr>
        <w:t xml:space="preserve">t </w:t>
      </w:r>
      <w:r w:rsidRPr="00857B61">
        <w:rPr>
          <w:rFonts w:ascii="Times New Roman" w:eastAsia="宋体" w:hAnsi="Times New Roman" w:cs="Times New Roman"/>
          <w:i/>
          <w:iCs/>
          <w:szCs w:val="21"/>
        </w:rPr>
        <w:t>－</w:t>
      </w:r>
      <w:r w:rsidRPr="00857B61">
        <w:rPr>
          <w:rFonts w:ascii="Times New Roman" w:eastAsia="宋体" w:hAnsi="Times New Roman" w:cs="Times New Roman"/>
          <w:i/>
          <w:iCs/>
          <w:szCs w:val="21"/>
        </w:rPr>
        <w:t>Vol</w:t>
      </w:r>
      <w:r w:rsidRPr="00857B61">
        <w:rPr>
          <w:rFonts w:ascii="Times New Roman" w:eastAsia="宋体" w:hAnsi="Times New Roman" w:cs="Times New Roman"/>
          <w:i/>
          <w:iCs/>
          <w:szCs w:val="21"/>
          <w:vertAlign w:val="subscript"/>
        </w:rPr>
        <w:t>0</w:t>
      </w:r>
      <w:r w:rsidRPr="00857B61">
        <w:rPr>
          <w:rFonts w:ascii="Times New Roman" w:eastAsia="宋体" w:hAnsi="Times New Roman" w:cs="Times New Roman"/>
          <w:i/>
          <w:iCs/>
          <w:szCs w:val="21"/>
        </w:rPr>
        <w:t xml:space="preserve"> ) +ε</w:t>
      </w:r>
      <w:r w:rsidRPr="00857B61">
        <w:rPr>
          <w:rFonts w:ascii="Times New Roman" w:eastAsia="宋体" w:hAnsi="Times New Roman" w:cs="Times New Roman" w:hint="eastAsia"/>
          <w:i/>
          <w:iCs/>
          <w:szCs w:val="21"/>
        </w:rPr>
        <w:t xml:space="preserve">      </w:t>
      </w:r>
    </w:p>
    <w:p w14:paraId="464511F5" w14:textId="77777777" w:rsidR="00DE7EC6" w:rsidRPr="00857B61" w:rsidRDefault="00000000">
      <w:pPr>
        <w:ind w:firstLineChars="200" w:firstLine="420"/>
        <w:jc w:val="right"/>
        <w:rPr>
          <w:rFonts w:ascii="Times New Roman" w:eastAsia="宋体" w:hAnsi="Times New Roman" w:cs="Times New Roman"/>
          <w:szCs w:val="21"/>
        </w:rPr>
      </w:pPr>
      <w:r w:rsidRPr="00857B61">
        <w:rPr>
          <w:rFonts w:ascii="Times New Roman" w:eastAsia="宋体" w:hAnsi="Times New Roman" w:cs="Times New Roman"/>
          <w:szCs w:val="21"/>
        </w:rPr>
        <w:t xml:space="preserve"> </w:t>
      </w:r>
      <w:r w:rsidRPr="00857B61">
        <w:rPr>
          <w:rFonts w:ascii="Times New Roman" w:eastAsia="宋体" w:hAnsi="Times New Roman" w:cs="Times New Roman"/>
          <w:i/>
          <w:iCs/>
          <w:szCs w:val="21"/>
        </w:rPr>
        <w:t xml:space="preserve">KV = β </w:t>
      </w:r>
      <w:r w:rsidRPr="00857B61">
        <w:rPr>
          <w:rFonts w:ascii="Times New Roman" w:eastAsia="宋体" w:hAnsi="Times New Roman" w:cs="Times New Roman"/>
          <w:szCs w:val="21"/>
        </w:rPr>
        <w:t>×10</w:t>
      </w:r>
      <w:r w:rsidRPr="00857B61">
        <w:rPr>
          <w:rFonts w:ascii="Times New Roman" w:eastAsia="宋体" w:hAnsi="Times New Roman" w:cs="Times New Roman"/>
          <w:szCs w:val="21"/>
          <w:vertAlign w:val="superscript"/>
        </w:rPr>
        <w:t xml:space="preserve">6    </w:t>
      </w:r>
      <w:r w:rsidRPr="00857B61">
        <w:rPr>
          <w:rFonts w:ascii="Times New Roman" w:eastAsia="宋体" w:hAnsi="Times New Roman" w:cs="Times New Roman" w:hint="eastAsia"/>
          <w:szCs w:val="21"/>
          <w:vertAlign w:val="superscript"/>
        </w:rPr>
        <w:t xml:space="preserve">                                        </w:t>
      </w:r>
      <w:r w:rsidRPr="00857B61">
        <w:rPr>
          <w:rFonts w:ascii="Times New Roman" w:eastAsia="宋体" w:hAnsi="Times New Roman" w:cs="Times New Roman" w:hint="eastAsia"/>
          <w:szCs w:val="21"/>
        </w:rPr>
        <w:t>（</w:t>
      </w:r>
      <w:r w:rsidRPr="00857B61">
        <w:rPr>
          <w:rFonts w:ascii="Times New Roman" w:eastAsia="宋体" w:hAnsi="Times New Roman" w:cs="Times New Roman" w:hint="eastAsia"/>
          <w:szCs w:val="21"/>
        </w:rPr>
        <w:t>4</w:t>
      </w:r>
      <w:r w:rsidRPr="00857B61">
        <w:rPr>
          <w:rFonts w:ascii="Times New Roman" w:eastAsia="宋体" w:hAnsi="Times New Roman" w:cs="Times New Roman" w:hint="eastAsia"/>
          <w:szCs w:val="21"/>
        </w:rPr>
        <w:t>）</w:t>
      </w:r>
    </w:p>
    <w:p w14:paraId="62CEBE84" w14:textId="77777777" w:rsidR="00DE7EC6" w:rsidRPr="00857B61" w:rsidRDefault="00000000">
      <w:pPr>
        <w:ind w:firstLineChars="200" w:firstLine="420"/>
        <w:rPr>
          <w:rFonts w:eastAsia="宋体"/>
          <w:szCs w:val="21"/>
        </w:rPr>
      </w:pPr>
      <w:r w:rsidRPr="00857B61">
        <w:rPr>
          <w:rFonts w:ascii="Times New Roman" w:eastAsia="宋体" w:hAnsi="Times New Roman" w:cs="Times New Roman" w:hint="eastAsia"/>
          <w:szCs w:val="21"/>
        </w:rPr>
        <w:t>其中，</w:t>
      </w:r>
      <w:r w:rsidRPr="00857B61">
        <w:rPr>
          <w:rFonts w:ascii="Times New Roman" w:eastAsia="宋体" w:hAnsi="Times New Roman" w:cs="Times New Roman" w:hint="eastAsia"/>
          <w:i/>
          <w:iCs/>
          <w:szCs w:val="21"/>
        </w:rPr>
        <w:t>P</w:t>
      </w:r>
      <w:r w:rsidRPr="00857B61">
        <w:rPr>
          <w:rFonts w:ascii="Times New Roman" w:eastAsia="宋体" w:hAnsi="Times New Roman" w:cs="Times New Roman" w:hint="eastAsia"/>
          <w:i/>
          <w:iCs/>
          <w:szCs w:val="21"/>
          <w:vertAlign w:val="subscript"/>
        </w:rPr>
        <w:t>t</w:t>
      </w:r>
      <w:r w:rsidRPr="00857B61">
        <w:rPr>
          <w:rFonts w:ascii="Times New Roman" w:eastAsia="宋体" w:hAnsi="Times New Roman" w:cs="Times New Roman" w:hint="eastAsia"/>
          <w:szCs w:val="21"/>
          <w:vertAlign w:val="subscript"/>
        </w:rPr>
        <w:t xml:space="preserve"> </w:t>
      </w:r>
      <w:r w:rsidRPr="00857B61">
        <w:rPr>
          <w:rFonts w:ascii="Times New Roman" w:eastAsia="宋体" w:hAnsi="Times New Roman" w:cs="Times New Roman" w:hint="eastAsia"/>
          <w:szCs w:val="21"/>
        </w:rPr>
        <w:t>是第</w:t>
      </w:r>
      <w:r w:rsidRPr="00857B61">
        <w:rPr>
          <w:rFonts w:ascii="Times New Roman" w:eastAsia="宋体" w:hAnsi="Times New Roman" w:cs="Times New Roman" w:hint="eastAsia"/>
          <w:szCs w:val="21"/>
        </w:rPr>
        <w:t xml:space="preserve"> t </w:t>
      </w:r>
      <w:r w:rsidRPr="00857B61">
        <w:rPr>
          <w:rFonts w:ascii="Times New Roman" w:eastAsia="宋体" w:hAnsi="Times New Roman" w:cs="Times New Roman" w:hint="eastAsia"/>
          <w:szCs w:val="21"/>
        </w:rPr>
        <w:t>日的收盘价，</w:t>
      </w:r>
      <w:r w:rsidRPr="00857B61">
        <w:rPr>
          <w:rFonts w:ascii="Times New Roman" w:eastAsia="宋体" w:hAnsi="Times New Roman" w:cs="Times New Roman" w:hint="eastAsia"/>
          <w:i/>
          <w:iCs/>
          <w:szCs w:val="21"/>
        </w:rPr>
        <w:t>Vol</w:t>
      </w:r>
      <w:r w:rsidRPr="00857B61">
        <w:rPr>
          <w:rFonts w:ascii="Times New Roman" w:eastAsia="宋体" w:hAnsi="Times New Roman" w:cs="Times New Roman" w:hint="eastAsia"/>
          <w:i/>
          <w:iCs/>
          <w:szCs w:val="21"/>
          <w:vertAlign w:val="subscript"/>
        </w:rPr>
        <w:t>t</w:t>
      </w:r>
      <w:r w:rsidRPr="00857B61">
        <w:rPr>
          <w:rFonts w:ascii="Times New Roman" w:eastAsia="宋体" w:hAnsi="Times New Roman" w:cs="Times New Roman" w:hint="eastAsia"/>
          <w:i/>
          <w:iCs/>
          <w:szCs w:val="21"/>
        </w:rPr>
        <w:t xml:space="preserve"> </w:t>
      </w:r>
      <w:r w:rsidRPr="00857B61">
        <w:rPr>
          <w:rFonts w:ascii="Times New Roman" w:eastAsia="宋体" w:hAnsi="Times New Roman" w:cs="Times New Roman" w:hint="eastAsia"/>
          <w:szCs w:val="21"/>
        </w:rPr>
        <w:t>是第</w:t>
      </w:r>
      <w:r w:rsidRPr="00857B61">
        <w:rPr>
          <w:rFonts w:ascii="Times New Roman" w:eastAsia="宋体" w:hAnsi="Times New Roman" w:cs="Times New Roman"/>
          <w:szCs w:val="21"/>
        </w:rPr>
        <w:t xml:space="preserve"> t </w:t>
      </w:r>
      <w:r w:rsidRPr="00857B61">
        <w:rPr>
          <w:rFonts w:ascii="Times New Roman" w:eastAsia="宋体" w:hAnsi="Times New Roman" w:cs="Times New Roman" w:hint="eastAsia"/>
          <w:szCs w:val="21"/>
        </w:rPr>
        <w:t>日的交易量，</w:t>
      </w:r>
      <w:r w:rsidRPr="00857B61">
        <w:rPr>
          <w:rFonts w:ascii="Times New Roman" w:eastAsia="宋体" w:hAnsi="Times New Roman" w:cs="Times New Roman" w:hint="eastAsia"/>
          <w:i/>
          <w:iCs/>
          <w:szCs w:val="21"/>
        </w:rPr>
        <w:t>Vol</w:t>
      </w:r>
      <w:r w:rsidRPr="00857B61">
        <w:rPr>
          <w:rFonts w:ascii="Times New Roman" w:eastAsia="宋体" w:hAnsi="Times New Roman" w:cs="Times New Roman" w:hint="eastAsia"/>
          <w:i/>
          <w:iCs/>
          <w:szCs w:val="21"/>
          <w:vertAlign w:val="subscript"/>
        </w:rPr>
        <w:t>0</w:t>
      </w:r>
      <w:r w:rsidRPr="00857B61">
        <w:rPr>
          <w:rFonts w:ascii="Times New Roman" w:eastAsia="宋体" w:hAnsi="Times New Roman" w:cs="Times New Roman" w:hint="eastAsia"/>
          <w:szCs w:val="21"/>
          <w:vertAlign w:val="subscript"/>
        </w:rPr>
        <w:t xml:space="preserve"> </w:t>
      </w:r>
      <w:r w:rsidRPr="00857B61">
        <w:rPr>
          <w:rFonts w:ascii="Times New Roman" w:eastAsia="宋体" w:hAnsi="Times New Roman" w:cs="Times New Roman" w:hint="eastAsia"/>
          <w:szCs w:val="21"/>
        </w:rPr>
        <w:t>是年内平均每日交易量。</w:t>
      </w:r>
      <w:r w:rsidRPr="00857B61">
        <w:rPr>
          <w:rFonts w:ascii="Times New Roman" w:eastAsia="宋体" w:hAnsi="Times New Roman" w:cs="Times New Roman"/>
          <w:i/>
          <w:iCs/>
          <w:szCs w:val="21"/>
        </w:rPr>
        <w:t>β</w:t>
      </w:r>
      <w:r w:rsidRPr="00857B61">
        <w:rPr>
          <w:rFonts w:ascii="Times New Roman" w:eastAsia="宋体" w:hAnsi="Times New Roman" w:cs="Times New Roman" w:hint="eastAsia"/>
          <w:i/>
          <w:iCs/>
          <w:szCs w:val="21"/>
        </w:rPr>
        <w:t xml:space="preserve"> </w:t>
      </w:r>
      <w:r w:rsidRPr="00857B61">
        <w:rPr>
          <w:rFonts w:ascii="Times New Roman" w:eastAsia="宋体" w:hAnsi="Times New Roman" w:cs="Times New Roman" w:hint="eastAsia"/>
          <w:szCs w:val="21"/>
        </w:rPr>
        <w:t>由最小二乘法的回归得到。</w:t>
      </w:r>
      <w:r w:rsidRPr="00857B61">
        <w:rPr>
          <w:rFonts w:ascii="Times New Roman" w:eastAsia="宋体" w:hAnsi="Times New Roman" w:cs="Times New Roman"/>
          <w:i/>
          <w:iCs/>
          <w:szCs w:val="21"/>
        </w:rPr>
        <w:t>KV</w:t>
      </w:r>
      <w:r w:rsidRPr="00857B61">
        <w:rPr>
          <w:rFonts w:ascii="Times New Roman" w:eastAsia="宋体" w:hAnsi="Times New Roman" w:cs="Times New Roman" w:hint="eastAsia"/>
          <w:szCs w:val="21"/>
        </w:rPr>
        <w:t>指标</w:t>
      </w:r>
      <w:r w:rsidRPr="00857B61">
        <w:rPr>
          <w:rFonts w:eastAsia="宋体" w:hint="eastAsia"/>
          <w:szCs w:val="21"/>
        </w:rPr>
        <w:t>值与企业的信息披露质量成反比，</w:t>
      </w:r>
      <w:r w:rsidRPr="00857B61">
        <w:rPr>
          <w:rFonts w:ascii="Times New Roman" w:eastAsia="宋体" w:hAnsi="Times New Roman" w:cs="Times New Roman"/>
          <w:i/>
          <w:iCs/>
          <w:szCs w:val="21"/>
        </w:rPr>
        <w:t>KV</w:t>
      </w:r>
      <w:r w:rsidRPr="00857B61">
        <w:rPr>
          <w:rFonts w:eastAsia="宋体" w:hint="eastAsia"/>
          <w:szCs w:val="21"/>
        </w:rPr>
        <w:t>值越高说明企业的信息披露质量越低；反之，则越高。</w:t>
      </w:r>
    </w:p>
    <w:p w14:paraId="306FB7FA" w14:textId="77777777" w:rsidR="00DE7EC6" w:rsidRPr="00857B61" w:rsidRDefault="00000000">
      <w:pPr>
        <w:ind w:firstLineChars="200" w:firstLine="420"/>
        <w:rPr>
          <w:rFonts w:eastAsia="宋体"/>
          <w:b/>
          <w:szCs w:val="21"/>
        </w:rPr>
      </w:pPr>
      <w:r w:rsidRPr="00857B61">
        <w:rPr>
          <w:rFonts w:eastAsia="宋体" w:hint="eastAsia"/>
          <w:szCs w:val="21"/>
        </w:rPr>
        <w:t>表</w:t>
      </w:r>
      <w:r w:rsidRPr="00857B61">
        <w:rPr>
          <w:rFonts w:ascii="Times New Roman" w:eastAsia="宋体" w:hAnsi="Times New Roman" w:cs="Times New Roman"/>
          <w:szCs w:val="21"/>
        </w:rPr>
        <w:t>1</w:t>
      </w:r>
      <w:r w:rsidRPr="00857B61">
        <w:rPr>
          <w:rFonts w:ascii="Times New Roman" w:eastAsia="宋体" w:hAnsi="Times New Roman" w:cs="Times New Roman" w:hint="eastAsia"/>
          <w:szCs w:val="21"/>
        </w:rPr>
        <w:t>2</w:t>
      </w:r>
      <w:r w:rsidRPr="00857B61">
        <w:rPr>
          <w:rFonts w:eastAsia="宋体" w:hint="eastAsia"/>
          <w:szCs w:val="21"/>
        </w:rPr>
        <w:t>中</w:t>
      </w:r>
      <w:r w:rsidRPr="00857B61">
        <w:rPr>
          <w:rFonts w:ascii="Times New Roman" w:eastAsia="宋体" w:hAnsi="Times New Roman" w:cs="Times New Roman" w:hint="eastAsia"/>
          <w:szCs w:val="21"/>
        </w:rPr>
        <w:t>列</w:t>
      </w:r>
      <w:r w:rsidRPr="00857B61">
        <w:rPr>
          <w:rFonts w:eastAsia="宋体" w:hint="eastAsia"/>
          <w:szCs w:val="21"/>
        </w:rPr>
        <w:t>（</w:t>
      </w:r>
      <w:r w:rsidRPr="00857B61">
        <w:rPr>
          <w:rFonts w:ascii="Times New Roman" w:eastAsia="宋体" w:hAnsi="Times New Roman" w:cs="Times New Roman" w:hint="eastAsia"/>
          <w:szCs w:val="21"/>
        </w:rPr>
        <w:t>1</w:t>
      </w:r>
      <w:r w:rsidRPr="00857B61">
        <w:rPr>
          <w:rFonts w:eastAsia="宋体" w:hint="eastAsia"/>
          <w:szCs w:val="21"/>
        </w:rPr>
        <w:t>）为基本回归结果；</w:t>
      </w:r>
      <w:r w:rsidRPr="00857B61">
        <w:rPr>
          <w:rFonts w:ascii="Times New Roman" w:eastAsia="宋体" w:hAnsi="Times New Roman" w:cs="Times New Roman" w:hint="eastAsia"/>
          <w:szCs w:val="21"/>
        </w:rPr>
        <w:t>列</w:t>
      </w:r>
      <w:r w:rsidRPr="00857B61">
        <w:rPr>
          <w:rFonts w:ascii="Times New Roman" w:eastAsia="宋体" w:hAnsi="Times New Roman" w:cs="Times New Roman"/>
          <w:szCs w:val="21"/>
        </w:rPr>
        <w:t>（</w:t>
      </w:r>
      <w:r w:rsidRPr="00857B61">
        <w:rPr>
          <w:rFonts w:ascii="Times New Roman" w:eastAsia="宋体" w:hAnsi="Times New Roman" w:cs="Times New Roman"/>
          <w:szCs w:val="21"/>
        </w:rPr>
        <w:t>2</w:t>
      </w:r>
      <w:r w:rsidRPr="00857B61">
        <w:rPr>
          <w:rFonts w:ascii="Times New Roman" w:eastAsia="宋体" w:hAnsi="Times New Roman" w:cs="Times New Roman"/>
          <w:szCs w:val="21"/>
        </w:rPr>
        <w:t>）</w:t>
      </w:r>
      <w:r w:rsidRPr="00857B61">
        <w:rPr>
          <w:rFonts w:ascii="Times New Roman" w:eastAsia="宋体" w:hAnsi="Times New Roman" w:cs="Times New Roman" w:hint="eastAsia"/>
          <w:szCs w:val="21"/>
        </w:rPr>
        <w:t>的被解释变量是</w:t>
      </w:r>
      <w:r w:rsidRPr="00857B61">
        <w:rPr>
          <w:rFonts w:ascii="Times New Roman" w:eastAsia="宋体" w:hAnsi="Times New Roman" w:cs="Times New Roman" w:hint="eastAsia"/>
          <w:i/>
          <w:iCs/>
          <w:szCs w:val="21"/>
        </w:rPr>
        <w:t>KV</w:t>
      </w:r>
      <w:r w:rsidRPr="00857B61">
        <w:rPr>
          <w:rFonts w:ascii="Times New Roman" w:eastAsia="宋体" w:hAnsi="Times New Roman" w:cs="Times New Roman" w:hint="eastAsia"/>
          <w:szCs w:val="21"/>
        </w:rPr>
        <w:t>，可以看到</w:t>
      </w:r>
      <w:r w:rsidRPr="00857B61">
        <w:rPr>
          <w:rFonts w:ascii="Times New Roman" w:eastAsia="宋体" w:hAnsi="Times New Roman" w:cs="Times New Roman"/>
          <w:i/>
          <w:iCs/>
          <w:szCs w:val="21"/>
        </w:rPr>
        <w:t>Treat*Policy</w:t>
      </w:r>
      <w:r w:rsidRPr="00857B61">
        <w:rPr>
          <w:rFonts w:ascii="Times New Roman" w:eastAsia="宋体" w:hAnsi="Times New Roman" w:cs="Times New Roman" w:hint="eastAsia"/>
          <w:szCs w:val="21"/>
        </w:rPr>
        <w:t>显著为负，说明检察行政公益诉讼制度的实施有效提高企业的信息披露质量；相较于列（</w:t>
      </w:r>
      <w:r w:rsidRPr="00857B61">
        <w:rPr>
          <w:rFonts w:ascii="Times New Roman" w:eastAsia="宋体" w:hAnsi="Times New Roman" w:cs="Times New Roman" w:hint="eastAsia"/>
          <w:szCs w:val="21"/>
        </w:rPr>
        <w:t>1</w:t>
      </w:r>
      <w:r w:rsidRPr="00857B61">
        <w:rPr>
          <w:rFonts w:ascii="Times New Roman" w:eastAsia="宋体" w:hAnsi="Times New Roman" w:cs="Times New Roman" w:hint="eastAsia"/>
          <w:szCs w:val="21"/>
        </w:rPr>
        <w:t>），列</w:t>
      </w:r>
      <w:r w:rsidRPr="00857B61">
        <w:rPr>
          <w:rFonts w:eastAsia="宋体" w:hint="eastAsia"/>
          <w:szCs w:val="21"/>
        </w:rPr>
        <w:t>（</w:t>
      </w:r>
      <w:r w:rsidRPr="00857B61">
        <w:rPr>
          <w:rFonts w:ascii="Times New Roman" w:eastAsia="宋体" w:hAnsi="Times New Roman" w:cs="Times New Roman" w:hint="eastAsia"/>
          <w:szCs w:val="21"/>
        </w:rPr>
        <w:t>3</w:t>
      </w:r>
      <w:r w:rsidRPr="00857B61">
        <w:rPr>
          <w:rFonts w:eastAsia="宋体" w:hint="eastAsia"/>
          <w:szCs w:val="21"/>
        </w:rPr>
        <w:t>）</w:t>
      </w:r>
      <w:r w:rsidRPr="00857B61">
        <w:rPr>
          <w:rFonts w:eastAsia="宋体" w:hint="eastAsia"/>
          <w:szCs w:val="21"/>
        </w:rPr>
        <w:lastRenderedPageBreak/>
        <w:t>将</w:t>
      </w:r>
      <w:r w:rsidRPr="00857B61">
        <w:rPr>
          <w:rFonts w:ascii="Times New Roman" w:eastAsia="宋体" w:hAnsi="Times New Roman" w:cs="Times New Roman"/>
          <w:i/>
          <w:iCs/>
          <w:szCs w:val="21"/>
        </w:rPr>
        <w:t>KV</w:t>
      </w:r>
      <w:r w:rsidRPr="00857B61">
        <w:rPr>
          <w:rFonts w:eastAsia="宋体" w:hint="eastAsia"/>
          <w:szCs w:val="21"/>
        </w:rPr>
        <w:t>变量加入回归后交互项</w:t>
      </w:r>
      <w:r w:rsidRPr="00857B61">
        <w:rPr>
          <w:rFonts w:ascii="Times New Roman" w:eastAsia="宋体" w:hAnsi="Times New Roman" w:cs="Times New Roman"/>
          <w:i/>
          <w:iCs/>
          <w:szCs w:val="21"/>
        </w:rPr>
        <w:t>Treat*Policy</w:t>
      </w:r>
      <w:r w:rsidRPr="00857B61">
        <w:rPr>
          <w:rFonts w:ascii="Times New Roman" w:eastAsia="宋体" w:hAnsi="Times New Roman" w:cs="Times New Roman" w:hint="eastAsia"/>
          <w:szCs w:val="21"/>
        </w:rPr>
        <w:t>的系数明显变小且显著性下降，</w:t>
      </w:r>
      <w:r w:rsidRPr="00857B61">
        <w:rPr>
          <w:rFonts w:ascii="Times New Roman" w:eastAsia="宋体" w:hAnsi="Times New Roman" w:cs="Times New Roman"/>
          <w:i/>
          <w:iCs/>
          <w:szCs w:val="21"/>
        </w:rPr>
        <w:t>KV</w:t>
      </w:r>
      <w:r w:rsidRPr="00857B61">
        <w:rPr>
          <w:rFonts w:ascii="Times New Roman" w:eastAsia="宋体" w:hAnsi="Times New Roman" w:cs="Times New Roman" w:hint="eastAsia"/>
          <w:szCs w:val="21"/>
        </w:rPr>
        <w:t>系数在</w:t>
      </w:r>
      <w:r w:rsidRPr="00857B61">
        <w:rPr>
          <w:rFonts w:ascii="Times New Roman" w:eastAsia="宋体" w:hAnsi="Times New Roman" w:cs="Times New Roman" w:hint="eastAsia"/>
          <w:szCs w:val="21"/>
        </w:rPr>
        <w:t>1%</w:t>
      </w:r>
      <w:r w:rsidRPr="00857B61">
        <w:rPr>
          <w:rFonts w:ascii="Times New Roman" w:eastAsia="宋体" w:hAnsi="Times New Roman" w:cs="Times New Roman" w:hint="eastAsia"/>
          <w:szCs w:val="21"/>
        </w:rPr>
        <w:t>水平上显著为负，说明</w:t>
      </w:r>
      <w:r w:rsidRPr="00857B61">
        <w:rPr>
          <w:rFonts w:eastAsia="宋体" w:hint="eastAsia"/>
          <w:szCs w:val="21"/>
        </w:rPr>
        <w:t>信息披露质量同样是</w:t>
      </w:r>
      <w:r w:rsidRPr="00857B61">
        <w:rPr>
          <w:rFonts w:ascii="Times New Roman" w:eastAsia="宋体" w:hAnsi="Times New Roman" w:cs="Times New Roman" w:hint="eastAsia"/>
          <w:szCs w:val="21"/>
        </w:rPr>
        <w:t>检察行政公益诉讼制度抑制国有资产流失的一个机制。检察行政公益诉讼制度实施后，涉及国有资产流失的典型案例陆续在全网公布，各界对国有资产领域关注度得到提高。此制度通过有效提高国有企业信息披露质量，改善了“代理人问题”，同时也使得社会公众对国有资产监督力度增加，为国有资产保护创造了良好的环境</w:t>
      </w:r>
      <w:r w:rsidRPr="00857B61">
        <w:rPr>
          <w:rFonts w:ascii="Times New Roman" w:eastAsia="宋体" w:hAnsi="Times New Roman" w:cs="Times New Roman" w:hint="eastAsia"/>
          <w:sz w:val="24"/>
        </w:rPr>
        <w:t>。</w:t>
      </w:r>
    </w:p>
    <w:p w14:paraId="48F1CC7C" w14:textId="77777777" w:rsidR="00DE7EC6" w:rsidRPr="00857B61" w:rsidRDefault="00000000">
      <w:pPr>
        <w:jc w:val="center"/>
        <w:rPr>
          <w:rFonts w:ascii="Times New Roman" w:eastAsia="楷体" w:hAnsi="Times New Roman" w:cs="黑体"/>
          <w:bCs/>
          <w:szCs w:val="21"/>
        </w:rPr>
      </w:pPr>
      <w:r w:rsidRPr="00857B61">
        <w:rPr>
          <w:rFonts w:ascii="Times New Roman" w:eastAsia="楷体" w:hAnsi="Times New Roman" w:hint="eastAsia"/>
          <w:bCs/>
          <w:szCs w:val="21"/>
        </w:rPr>
        <w:t>表</w:t>
      </w:r>
      <w:r w:rsidRPr="00857B61">
        <w:rPr>
          <w:rFonts w:ascii="Times New Roman" w:eastAsia="楷体" w:hAnsi="Times New Roman" w:cs="Times New Roman"/>
          <w:bCs/>
          <w:szCs w:val="21"/>
        </w:rPr>
        <w:t>1</w:t>
      </w:r>
      <w:r w:rsidRPr="00857B61">
        <w:rPr>
          <w:rFonts w:ascii="Times New Roman" w:eastAsia="楷体" w:hAnsi="Times New Roman" w:cs="Times New Roman" w:hint="eastAsia"/>
          <w:bCs/>
          <w:szCs w:val="21"/>
        </w:rPr>
        <w:t xml:space="preserve">2 </w:t>
      </w:r>
      <w:r w:rsidRPr="00857B61">
        <w:rPr>
          <w:rFonts w:ascii="Times New Roman" w:eastAsia="楷体" w:hAnsi="Times New Roman" w:hint="eastAsia"/>
          <w:bCs/>
          <w:szCs w:val="21"/>
        </w:rPr>
        <w:t>机制检验回归结果</w:t>
      </w:r>
    </w:p>
    <w:tbl>
      <w:tblPr>
        <w:tblW w:w="4997" w:type="pct"/>
        <w:jc w:val="center"/>
        <w:tblBorders>
          <w:top w:val="single" w:sz="8" w:space="0" w:color="auto"/>
          <w:left w:val="none" w:sz="4" w:space="0" w:color="auto"/>
          <w:bottom w:val="single" w:sz="8" w:space="0" w:color="auto"/>
          <w:right w:val="none" w:sz="4" w:space="0" w:color="auto"/>
          <w:insideH w:val="single" w:sz="8" w:space="0" w:color="auto"/>
          <w:insideV w:val="single" w:sz="8" w:space="0" w:color="auto"/>
        </w:tblBorders>
        <w:tblLayout w:type="fixed"/>
        <w:tblLook w:val="04A0" w:firstRow="1" w:lastRow="0" w:firstColumn="1" w:lastColumn="0" w:noHBand="0" w:noVBand="1"/>
      </w:tblPr>
      <w:tblGrid>
        <w:gridCol w:w="1797"/>
        <w:gridCol w:w="1397"/>
        <w:gridCol w:w="1469"/>
        <w:gridCol w:w="1150"/>
        <w:gridCol w:w="1064"/>
        <w:gridCol w:w="1042"/>
        <w:gridCol w:w="1080"/>
      </w:tblGrid>
      <w:tr w:rsidR="00857B61" w:rsidRPr="00857B61" w14:paraId="6135D3BA" w14:textId="77777777">
        <w:trPr>
          <w:trHeight w:val="250"/>
          <w:jc w:val="center"/>
        </w:trPr>
        <w:tc>
          <w:tcPr>
            <w:tcW w:w="998" w:type="pct"/>
            <w:vMerge w:val="restart"/>
            <w:tcBorders>
              <w:left w:val="nil"/>
              <w:tl2br w:val="nil"/>
              <w:tr2bl w:val="nil"/>
            </w:tcBorders>
            <w:vAlign w:val="center"/>
          </w:tcPr>
          <w:p w14:paraId="7F3E82A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变量名称</w:t>
            </w:r>
          </w:p>
        </w:tc>
        <w:tc>
          <w:tcPr>
            <w:tcW w:w="2231" w:type="pct"/>
            <w:gridSpan w:val="3"/>
            <w:tcBorders>
              <w:tl2br w:val="nil"/>
              <w:tr2bl w:val="nil"/>
            </w:tcBorders>
            <w:vAlign w:val="center"/>
          </w:tcPr>
          <w:p w14:paraId="1C26C65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代理成本机制检验</w:t>
            </w:r>
          </w:p>
        </w:tc>
        <w:tc>
          <w:tcPr>
            <w:tcW w:w="1770" w:type="pct"/>
            <w:gridSpan w:val="3"/>
            <w:tcBorders>
              <w:right w:val="nil"/>
            </w:tcBorders>
            <w:vAlign w:val="center"/>
          </w:tcPr>
          <w:p w14:paraId="1694B02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信息披露质量机制检验</w:t>
            </w:r>
          </w:p>
        </w:tc>
      </w:tr>
      <w:tr w:rsidR="00857B61" w:rsidRPr="00857B61" w14:paraId="442B3B78" w14:textId="77777777">
        <w:trPr>
          <w:trHeight w:val="301"/>
          <w:jc w:val="center"/>
        </w:trPr>
        <w:tc>
          <w:tcPr>
            <w:tcW w:w="998" w:type="pct"/>
            <w:vMerge/>
            <w:tcBorders>
              <w:left w:val="nil"/>
              <w:tl2br w:val="nil"/>
              <w:tr2bl w:val="nil"/>
            </w:tcBorders>
            <w:vAlign w:val="center"/>
          </w:tcPr>
          <w:p w14:paraId="69087C6E" w14:textId="77777777" w:rsidR="00DE7EC6" w:rsidRPr="00857B61" w:rsidRDefault="00DE7EC6">
            <w:pPr>
              <w:jc w:val="center"/>
              <w:rPr>
                <w:rFonts w:ascii="Times New Roman" w:eastAsia="宋体" w:hAnsi="Times New Roman" w:cs="Times New Roman"/>
                <w:szCs w:val="21"/>
              </w:rPr>
            </w:pPr>
          </w:p>
        </w:tc>
        <w:tc>
          <w:tcPr>
            <w:tcW w:w="776" w:type="pct"/>
            <w:tcBorders>
              <w:tl2br w:val="nil"/>
              <w:tr2bl w:val="nil"/>
            </w:tcBorders>
          </w:tcPr>
          <w:p w14:paraId="059A7D7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w:t>
            </w:r>
            <w:r w:rsidRPr="00857B61">
              <w:rPr>
                <w:rFonts w:ascii="Times New Roman" w:eastAsia="宋体" w:hAnsi="Times New Roman" w:cs="Times New Roman" w:hint="eastAsia"/>
                <w:szCs w:val="21"/>
              </w:rPr>
              <w:t>1</w:t>
            </w:r>
            <w:r w:rsidRPr="00857B61">
              <w:rPr>
                <w:rFonts w:ascii="Times New Roman" w:eastAsia="宋体" w:hAnsi="Times New Roman" w:cs="Times New Roman" w:hint="eastAsia"/>
                <w:szCs w:val="21"/>
              </w:rPr>
              <w:t>）</w:t>
            </w:r>
          </w:p>
          <w:p w14:paraId="12CB776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i/>
                <w:iCs/>
                <w:szCs w:val="21"/>
              </w:rPr>
              <w:t>Premium</w:t>
            </w:r>
          </w:p>
        </w:tc>
        <w:tc>
          <w:tcPr>
            <w:tcW w:w="816" w:type="pct"/>
            <w:tcBorders>
              <w:tl2br w:val="nil"/>
              <w:tr2bl w:val="nil"/>
            </w:tcBorders>
          </w:tcPr>
          <w:p w14:paraId="22B1517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w:t>
            </w:r>
            <w:r w:rsidRPr="00857B61">
              <w:rPr>
                <w:rFonts w:ascii="Times New Roman" w:eastAsia="宋体" w:hAnsi="Times New Roman" w:cs="Times New Roman" w:hint="eastAsia"/>
                <w:szCs w:val="21"/>
              </w:rPr>
              <w:t>2</w:t>
            </w:r>
            <w:r w:rsidRPr="00857B61">
              <w:rPr>
                <w:rFonts w:ascii="Times New Roman" w:eastAsia="宋体" w:hAnsi="Times New Roman" w:cs="Times New Roman" w:hint="eastAsia"/>
                <w:szCs w:val="21"/>
              </w:rPr>
              <w:t>）</w:t>
            </w:r>
          </w:p>
          <w:p w14:paraId="078FE76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i/>
                <w:iCs/>
                <w:szCs w:val="21"/>
              </w:rPr>
              <w:t>Agencycost</w:t>
            </w:r>
          </w:p>
        </w:tc>
        <w:tc>
          <w:tcPr>
            <w:tcW w:w="637" w:type="pct"/>
          </w:tcPr>
          <w:p w14:paraId="36AE113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w:t>
            </w:r>
            <w:r w:rsidRPr="00857B61">
              <w:rPr>
                <w:rFonts w:ascii="Times New Roman" w:eastAsia="宋体" w:hAnsi="Times New Roman" w:cs="Times New Roman" w:hint="eastAsia"/>
                <w:szCs w:val="21"/>
              </w:rPr>
              <w:t>3</w:t>
            </w:r>
            <w:r w:rsidRPr="00857B61">
              <w:rPr>
                <w:rFonts w:ascii="Times New Roman" w:eastAsia="宋体" w:hAnsi="Times New Roman" w:cs="Times New Roman" w:hint="eastAsia"/>
                <w:szCs w:val="21"/>
              </w:rPr>
              <w:t>）</w:t>
            </w:r>
          </w:p>
          <w:p w14:paraId="4ED77C4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i/>
                <w:iCs/>
                <w:szCs w:val="21"/>
              </w:rPr>
              <w:t>Premium</w:t>
            </w:r>
          </w:p>
        </w:tc>
        <w:tc>
          <w:tcPr>
            <w:tcW w:w="591" w:type="pct"/>
          </w:tcPr>
          <w:p w14:paraId="3BC71E4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w:t>
            </w:r>
            <w:r w:rsidRPr="00857B61">
              <w:rPr>
                <w:rFonts w:ascii="Times New Roman" w:eastAsia="宋体" w:hAnsi="Times New Roman" w:cs="Times New Roman" w:hint="eastAsia"/>
                <w:szCs w:val="21"/>
              </w:rPr>
              <w:t>1</w:t>
            </w:r>
            <w:r w:rsidRPr="00857B61">
              <w:rPr>
                <w:rFonts w:ascii="Times New Roman" w:eastAsia="宋体" w:hAnsi="Times New Roman" w:cs="Times New Roman" w:hint="eastAsia"/>
                <w:szCs w:val="21"/>
              </w:rPr>
              <w:t>）</w:t>
            </w:r>
          </w:p>
          <w:p w14:paraId="60E0B6D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i/>
                <w:iCs/>
                <w:szCs w:val="21"/>
              </w:rPr>
              <w:t>Premium</w:t>
            </w:r>
          </w:p>
        </w:tc>
        <w:tc>
          <w:tcPr>
            <w:tcW w:w="579" w:type="pct"/>
          </w:tcPr>
          <w:p w14:paraId="27D379C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w:t>
            </w:r>
            <w:r w:rsidRPr="00857B61">
              <w:rPr>
                <w:rFonts w:ascii="Times New Roman" w:eastAsia="宋体" w:hAnsi="Times New Roman" w:cs="Times New Roman" w:hint="eastAsia"/>
                <w:szCs w:val="21"/>
              </w:rPr>
              <w:t>2</w:t>
            </w:r>
            <w:r w:rsidRPr="00857B61">
              <w:rPr>
                <w:rFonts w:ascii="Times New Roman" w:eastAsia="宋体" w:hAnsi="Times New Roman" w:cs="Times New Roman" w:hint="eastAsia"/>
                <w:szCs w:val="21"/>
              </w:rPr>
              <w:t>）</w:t>
            </w:r>
          </w:p>
          <w:p w14:paraId="76F2893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i/>
                <w:iCs/>
                <w:szCs w:val="21"/>
              </w:rPr>
              <w:t>KV</w:t>
            </w:r>
          </w:p>
        </w:tc>
        <w:tc>
          <w:tcPr>
            <w:tcW w:w="598" w:type="pct"/>
            <w:tcBorders>
              <w:right w:val="nil"/>
            </w:tcBorders>
          </w:tcPr>
          <w:p w14:paraId="51864A2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w:t>
            </w:r>
            <w:r w:rsidRPr="00857B61">
              <w:rPr>
                <w:rFonts w:ascii="Times New Roman" w:eastAsia="宋体" w:hAnsi="Times New Roman" w:cs="Times New Roman" w:hint="eastAsia"/>
                <w:szCs w:val="21"/>
              </w:rPr>
              <w:t>3</w:t>
            </w:r>
            <w:r w:rsidRPr="00857B61">
              <w:rPr>
                <w:rFonts w:ascii="Times New Roman" w:eastAsia="宋体" w:hAnsi="Times New Roman" w:cs="Times New Roman" w:hint="eastAsia"/>
                <w:szCs w:val="21"/>
              </w:rPr>
              <w:t>）</w:t>
            </w:r>
          </w:p>
          <w:p w14:paraId="27D8D33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i/>
                <w:iCs/>
                <w:szCs w:val="21"/>
              </w:rPr>
              <w:t>Premium</w:t>
            </w:r>
          </w:p>
        </w:tc>
      </w:tr>
      <w:tr w:rsidR="00857B61" w:rsidRPr="00857B61" w14:paraId="57B9515C" w14:textId="77777777">
        <w:trPr>
          <w:trHeight w:val="624"/>
          <w:jc w:val="center"/>
        </w:trPr>
        <w:tc>
          <w:tcPr>
            <w:tcW w:w="998" w:type="pct"/>
            <w:tcBorders>
              <w:tl2br w:val="nil"/>
              <w:tr2bl w:val="nil"/>
            </w:tcBorders>
          </w:tcPr>
          <w:p w14:paraId="499552A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i/>
                <w:iCs/>
                <w:szCs w:val="21"/>
              </w:rPr>
              <w:t>Treat*Policy</w:t>
            </w:r>
          </w:p>
        </w:tc>
        <w:tc>
          <w:tcPr>
            <w:tcW w:w="776" w:type="pct"/>
            <w:tcBorders>
              <w:tl2br w:val="nil"/>
              <w:tr2bl w:val="nil"/>
            </w:tcBorders>
          </w:tcPr>
          <w:p w14:paraId="00914F6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0.498**</w:t>
            </w:r>
          </w:p>
          <w:p w14:paraId="61A0D24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(22.03)</w:t>
            </w:r>
          </w:p>
        </w:tc>
        <w:tc>
          <w:tcPr>
            <w:tcW w:w="816" w:type="pct"/>
            <w:tcBorders>
              <w:tl2br w:val="nil"/>
              <w:tr2bl w:val="nil"/>
            </w:tcBorders>
          </w:tcPr>
          <w:p w14:paraId="71AED04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-0.001*</w:t>
            </w:r>
          </w:p>
          <w:p w14:paraId="5A79B9E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(-6.72)</w:t>
            </w:r>
          </w:p>
        </w:tc>
        <w:tc>
          <w:tcPr>
            <w:tcW w:w="637" w:type="pct"/>
          </w:tcPr>
          <w:p w14:paraId="0ADD485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0.400*</w:t>
            </w:r>
          </w:p>
          <w:p w14:paraId="662D8D7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(10.30)</w:t>
            </w:r>
          </w:p>
        </w:tc>
        <w:tc>
          <w:tcPr>
            <w:tcW w:w="591" w:type="pct"/>
          </w:tcPr>
          <w:p w14:paraId="7C9825B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0.498**</w:t>
            </w:r>
          </w:p>
          <w:p w14:paraId="73EB5BA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(22.03)</w:t>
            </w:r>
          </w:p>
        </w:tc>
        <w:tc>
          <w:tcPr>
            <w:tcW w:w="579" w:type="pct"/>
          </w:tcPr>
          <w:p w14:paraId="272914A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-0.009*</w:t>
            </w:r>
          </w:p>
          <w:p w14:paraId="6E09260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(-6.35)</w:t>
            </w:r>
          </w:p>
        </w:tc>
        <w:tc>
          <w:tcPr>
            <w:tcW w:w="1078" w:type="dxa"/>
          </w:tcPr>
          <w:p w14:paraId="7005981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0.404*</w:t>
            </w:r>
          </w:p>
          <w:p w14:paraId="21A87C6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(10.29)</w:t>
            </w:r>
          </w:p>
        </w:tc>
      </w:tr>
      <w:tr w:rsidR="00857B61" w:rsidRPr="00857B61" w14:paraId="4EB380C8" w14:textId="77777777">
        <w:trPr>
          <w:trHeight w:val="624"/>
          <w:jc w:val="center"/>
        </w:trPr>
        <w:tc>
          <w:tcPr>
            <w:tcW w:w="998" w:type="pct"/>
            <w:tcBorders>
              <w:tl2br w:val="nil"/>
              <w:tr2bl w:val="nil"/>
            </w:tcBorders>
          </w:tcPr>
          <w:p w14:paraId="7B731D5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i/>
                <w:iCs/>
                <w:szCs w:val="21"/>
              </w:rPr>
              <w:t>Treat</w:t>
            </w:r>
          </w:p>
        </w:tc>
        <w:tc>
          <w:tcPr>
            <w:tcW w:w="776" w:type="pct"/>
            <w:tcBorders>
              <w:tl2br w:val="nil"/>
              <w:tr2bl w:val="nil"/>
            </w:tcBorders>
          </w:tcPr>
          <w:p w14:paraId="0A3AB56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4.568</w:t>
            </w:r>
          </w:p>
          <w:p w14:paraId="094D2B6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(1.34)</w:t>
            </w:r>
          </w:p>
        </w:tc>
        <w:tc>
          <w:tcPr>
            <w:tcW w:w="816" w:type="pct"/>
            <w:tcBorders>
              <w:tl2br w:val="nil"/>
              <w:tr2bl w:val="nil"/>
            </w:tcBorders>
          </w:tcPr>
          <w:p w14:paraId="7087984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-0.003</w:t>
            </w:r>
          </w:p>
          <w:p w14:paraId="1CE92DD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(-1.42)</w:t>
            </w:r>
          </w:p>
        </w:tc>
        <w:tc>
          <w:tcPr>
            <w:tcW w:w="637" w:type="pct"/>
          </w:tcPr>
          <w:p w14:paraId="389143F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0.879</w:t>
            </w:r>
          </w:p>
          <w:p w14:paraId="37E8210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(0.68)</w:t>
            </w:r>
          </w:p>
        </w:tc>
        <w:tc>
          <w:tcPr>
            <w:tcW w:w="591" w:type="pct"/>
          </w:tcPr>
          <w:p w14:paraId="5F49123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4.568</w:t>
            </w:r>
          </w:p>
          <w:p w14:paraId="114DAD8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(1.34)</w:t>
            </w:r>
          </w:p>
        </w:tc>
        <w:tc>
          <w:tcPr>
            <w:tcW w:w="579" w:type="pct"/>
          </w:tcPr>
          <w:p w14:paraId="6C0758E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-0.034</w:t>
            </w:r>
          </w:p>
          <w:p w14:paraId="70E9901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(-6.06)</w:t>
            </w:r>
          </w:p>
        </w:tc>
        <w:tc>
          <w:tcPr>
            <w:tcW w:w="1078" w:type="dxa"/>
          </w:tcPr>
          <w:p w14:paraId="4B49D95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5.408</w:t>
            </w:r>
          </w:p>
          <w:p w14:paraId="6B23926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(5.51)</w:t>
            </w:r>
          </w:p>
        </w:tc>
      </w:tr>
      <w:tr w:rsidR="00857B61" w:rsidRPr="00857B61" w14:paraId="5BC9BCF0" w14:textId="77777777">
        <w:trPr>
          <w:trHeight w:val="624"/>
          <w:jc w:val="center"/>
        </w:trPr>
        <w:tc>
          <w:tcPr>
            <w:tcW w:w="998" w:type="pct"/>
            <w:tcBorders>
              <w:tl2br w:val="nil"/>
              <w:tr2bl w:val="nil"/>
            </w:tcBorders>
          </w:tcPr>
          <w:p w14:paraId="5760681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i/>
                <w:iCs/>
                <w:szCs w:val="21"/>
              </w:rPr>
              <w:t>Policy</w:t>
            </w:r>
          </w:p>
        </w:tc>
        <w:tc>
          <w:tcPr>
            <w:tcW w:w="776" w:type="pct"/>
            <w:tcBorders>
              <w:tl2br w:val="nil"/>
              <w:tr2bl w:val="nil"/>
            </w:tcBorders>
          </w:tcPr>
          <w:p w14:paraId="28857E9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-0.012</w:t>
            </w:r>
          </w:p>
          <w:p w14:paraId="2455361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(-0.01)</w:t>
            </w:r>
          </w:p>
        </w:tc>
        <w:tc>
          <w:tcPr>
            <w:tcW w:w="816" w:type="pct"/>
            <w:tcBorders>
              <w:tl2br w:val="nil"/>
              <w:tr2bl w:val="nil"/>
            </w:tcBorders>
          </w:tcPr>
          <w:p w14:paraId="74094A7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0.004</w:t>
            </w:r>
          </w:p>
          <w:p w14:paraId="237B0BA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(2.61)</w:t>
            </w:r>
          </w:p>
        </w:tc>
        <w:tc>
          <w:tcPr>
            <w:tcW w:w="637" w:type="pct"/>
          </w:tcPr>
          <w:p w14:paraId="427ADDB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0.791</w:t>
            </w:r>
          </w:p>
          <w:p w14:paraId="7E98530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(0.71)</w:t>
            </w:r>
          </w:p>
        </w:tc>
        <w:tc>
          <w:tcPr>
            <w:tcW w:w="591" w:type="pct"/>
          </w:tcPr>
          <w:p w14:paraId="34B5169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-0.012</w:t>
            </w:r>
          </w:p>
          <w:p w14:paraId="222FA45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(-0.01)</w:t>
            </w:r>
          </w:p>
        </w:tc>
        <w:tc>
          <w:tcPr>
            <w:tcW w:w="579" w:type="pct"/>
          </w:tcPr>
          <w:p w14:paraId="18C0C4D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0.207**</w:t>
            </w:r>
          </w:p>
          <w:p w14:paraId="364C7C7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(35.20)</w:t>
            </w:r>
          </w:p>
        </w:tc>
        <w:tc>
          <w:tcPr>
            <w:tcW w:w="1078" w:type="dxa"/>
          </w:tcPr>
          <w:p w14:paraId="2F50C87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1.902*</w:t>
            </w:r>
          </w:p>
          <w:p w14:paraId="4926424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(6.75)</w:t>
            </w:r>
          </w:p>
        </w:tc>
      </w:tr>
      <w:tr w:rsidR="00857B61" w:rsidRPr="00857B61" w14:paraId="1F2DC289" w14:textId="77777777">
        <w:trPr>
          <w:trHeight w:val="624"/>
          <w:jc w:val="center"/>
        </w:trPr>
        <w:tc>
          <w:tcPr>
            <w:tcW w:w="998" w:type="pct"/>
            <w:tcBorders>
              <w:tl2br w:val="nil"/>
              <w:tr2bl w:val="nil"/>
            </w:tcBorders>
          </w:tcPr>
          <w:p w14:paraId="65623BE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i/>
                <w:iCs/>
                <w:szCs w:val="21"/>
              </w:rPr>
              <w:t>Agencycost</w:t>
            </w:r>
          </w:p>
        </w:tc>
        <w:tc>
          <w:tcPr>
            <w:tcW w:w="776" w:type="pct"/>
            <w:tcBorders>
              <w:tl2br w:val="nil"/>
              <w:tr2bl w:val="nil"/>
            </w:tcBorders>
          </w:tcPr>
          <w:p w14:paraId="04A0B1F0" w14:textId="77777777" w:rsidR="00DE7EC6" w:rsidRPr="00857B61" w:rsidRDefault="00DE7EC6">
            <w:pPr>
              <w:jc w:val="center"/>
              <w:rPr>
                <w:rFonts w:ascii="Times New Roman" w:eastAsia="宋体" w:hAnsi="Times New Roman" w:cs="Times New Roman"/>
                <w:szCs w:val="21"/>
              </w:rPr>
            </w:pPr>
          </w:p>
        </w:tc>
        <w:tc>
          <w:tcPr>
            <w:tcW w:w="816" w:type="pct"/>
            <w:tcBorders>
              <w:tl2br w:val="nil"/>
              <w:tr2bl w:val="nil"/>
            </w:tcBorders>
          </w:tcPr>
          <w:p w14:paraId="23D6ED53" w14:textId="77777777" w:rsidR="00DE7EC6" w:rsidRPr="00857B61" w:rsidRDefault="00DE7EC6">
            <w:pPr>
              <w:jc w:val="center"/>
              <w:rPr>
                <w:rFonts w:ascii="Times New Roman" w:eastAsia="宋体" w:hAnsi="Times New Roman" w:cs="Times New Roman"/>
                <w:szCs w:val="21"/>
              </w:rPr>
            </w:pPr>
          </w:p>
        </w:tc>
        <w:tc>
          <w:tcPr>
            <w:tcW w:w="637" w:type="pct"/>
            <w:tcBorders>
              <w:tl2br w:val="nil"/>
              <w:tr2bl w:val="nil"/>
            </w:tcBorders>
          </w:tcPr>
          <w:p w14:paraId="075B584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-1.469**</w:t>
            </w:r>
          </w:p>
          <w:p w14:paraId="56566E7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(-21.25)</w:t>
            </w:r>
          </w:p>
        </w:tc>
        <w:tc>
          <w:tcPr>
            <w:tcW w:w="591" w:type="pct"/>
            <w:tcBorders>
              <w:tl2br w:val="nil"/>
              <w:tr2bl w:val="nil"/>
            </w:tcBorders>
          </w:tcPr>
          <w:p w14:paraId="4CD7A5F0" w14:textId="77777777" w:rsidR="00DE7EC6" w:rsidRPr="00857B61" w:rsidRDefault="00DE7EC6">
            <w:pPr>
              <w:jc w:val="center"/>
              <w:rPr>
                <w:rFonts w:ascii="Times New Roman" w:eastAsia="宋体" w:hAnsi="Times New Roman" w:cs="Times New Roman"/>
                <w:szCs w:val="21"/>
              </w:rPr>
            </w:pPr>
          </w:p>
        </w:tc>
        <w:tc>
          <w:tcPr>
            <w:tcW w:w="579" w:type="pct"/>
            <w:tcBorders>
              <w:tl2br w:val="nil"/>
              <w:tr2bl w:val="nil"/>
            </w:tcBorders>
          </w:tcPr>
          <w:p w14:paraId="0805CD92" w14:textId="77777777" w:rsidR="00DE7EC6" w:rsidRPr="00857B61" w:rsidRDefault="00DE7EC6">
            <w:pPr>
              <w:jc w:val="center"/>
              <w:rPr>
                <w:rFonts w:ascii="Times New Roman" w:eastAsia="宋体" w:hAnsi="Times New Roman" w:cs="Times New Roman"/>
                <w:szCs w:val="21"/>
              </w:rPr>
            </w:pPr>
          </w:p>
        </w:tc>
        <w:tc>
          <w:tcPr>
            <w:tcW w:w="598" w:type="pct"/>
            <w:tcBorders>
              <w:tl2br w:val="nil"/>
              <w:tr2bl w:val="nil"/>
            </w:tcBorders>
          </w:tcPr>
          <w:p w14:paraId="61AC044C" w14:textId="77777777" w:rsidR="00DE7EC6" w:rsidRPr="00857B61" w:rsidRDefault="00DE7EC6">
            <w:pPr>
              <w:jc w:val="center"/>
              <w:rPr>
                <w:rFonts w:ascii="Times New Roman" w:eastAsia="宋体" w:hAnsi="Times New Roman" w:cs="Times New Roman"/>
                <w:szCs w:val="21"/>
              </w:rPr>
            </w:pPr>
          </w:p>
        </w:tc>
      </w:tr>
      <w:tr w:rsidR="00857B61" w:rsidRPr="00857B61" w14:paraId="49BD5E39" w14:textId="77777777">
        <w:trPr>
          <w:trHeight w:val="624"/>
          <w:jc w:val="center"/>
        </w:trPr>
        <w:tc>
          <w:tcPr>
            <w:tcW w:w="998" w:type="pct"/>
            <w:tcBorders>
              <w:tl2br w:val="nil"/>
              <w:tr2bl w:val="nil"/>
            </w:tcBorders>
          </w:tcPr>
          <w:p w14:paraId="398CBCF7" w14:textId="77777777" w:rsidR="00DE7EC6" w:rsidRPr="00857B61" w:rsidRDefault="00000000">
            <w:pPr>
              <w:jc w:val="center"/>
              <w:rPr>
                <w:rFonts w:ascii="Times New Roman" w:eastAsia="宋体" w:hAnsi="Times New Roman" w:cs="Times New Roman"/>
                <w:i/>
                <w:iCs/>
                <w:szCs w:val="21"/>
              </w:rPr>
            </w:pPr>
            <w:r w:rsidRPr="00857B61">
              <w:rPr>
                <w:rFonts w:ascii="Times New Roman" w:eastAsia="宋体" w:hAnsi="Times New Roman" w:cs="Times New Roman"/>
                <w:i/>
                <w:iCs/>
                <w:szCs w:val="21"/>
              </w:rPr>
              <w:t>K</w:t>
            </w:r>
            <w:r w:rsidRPr="00857B61">
              <w:rPr>
                <w:rFonts w:ascii="Times New Roman" w:eastAsia="宋体" w:hAnsi="Times New Roman" w:cs="Times New Roman" w:hint="eastAsia"/>
                <w:i/>
                <w:iCs/>
                <w:szCs w:val="21"/>
              </w:rPr>
              <w:t>V</w:t>
            </w:r>
          </w:p>
        </w:tc>
        <w:tc>
          <w:tcPr>
            <w:tcW w:w="776" w:type="pct"/>
            <w:tcBorders>
              <w:tl2br w:val="nil"/>
              <w:tr2bl w:val="nil"/>
            </w:tcBorders>
          </w:tcPr>
          <w:p w14:paraId="673A163C" w14:textId="77777777" w:rsidR="00DE7EC6" w:rsidRPr="00857B61" w:rsidRDefault="00DE7EC6">
            <w:pPr>
              <w:jc w:val="center"/>
              <w:rPr>
                <w:rFonts w:ascii="Times New Roman" w:eastAsia="宋体" w:hAnsi="Times New Roman" w:cs="Times New Roman"/>
                <w:szCs w:val="21"/>
              </w:rPr>
            </w:pPr>
          </w:p>
        </w:tc>
        <w:tc>
          <w:tcPr>
            <w:tcW w:w="816" w:type="pct"/>
            <w:tcBorders>
              <w:tl2br w:val="nil"/>
              <w:tr2bl w:val="nil"/>
            </w:tcBorders>
          </w:tcPr>
          <w:p w14:paraId="3A73F914" w14:textId="77777777" w:rsidR="00DE7EC6" w:rsidRPr="00857B61" w:rsidRDefault="00DE7EC6">
            <w:pPr>
              <w:jc w:val="center"/>
              <w:rPr>
                <w:rFonts w:ascii="Times New Roman" w:eastAsia="宋体" w:hAnsi="Times New Roman" w:cs="Times New Roman"/>
                <w:szCs w:val="21"/>
              </w:rPr>
            </w:pPr>
          </w:p>
        </w:tc>
        <w:tc>
          <w:tcPr>
            <w:tcW w:w="637" w:type="pct"/>
          </w:tcPr>
          <w:p w14:paraId="0E2742B8" w14:textId="77777777" w:rsidR="00DE7EC6" w:rsidRPr="00857B61" w:rsidRDefault="00DE7EC6">
            <w:pPr>
              <w:jc w:val="center"/>
              <w:rPr>
                <w:rFonts w:ascii="Times New Roman" w:eastAsia="宋体" w:hAnsi="Times New Roman" w:cs="Times New Roman"/>
                <w:szCs w:val="21"/>
              </w:rPr>
            </w:pPr>
          </w:p>
        </w:tc>
        <w:tc>
          <w:tcPr>
            <w:tcW w:w="591" w:type="pct"/>
          </w:tcPr>
          <w:p w14:paraId="13374724" w14:textId="77777777" w:rsidR="00DE7EC6" w:rsidRPr="00857B61" w:rsidRDefault="00DE7EC6">
            <w:pPr>
              <w:jc w:val="center"/>
              <w:rPr>
                <w:rFonts w:ascii="Times New Roman" w:eastAsia="宋体" w:hAnsi="Times New Roman" w:cs="Times New Roman"/>
                <w:szCs w:val="21"/>
              </w:rPr>
            </w:pPr>
          </w:p>
        </w:tc>
        <w:tc>
          <w:tcPr>
            <w:tcW w:w="579" w:type="pct"/>
            <w:vAlign w:val="center"/>
          </w:tcPr>
          <w:p w14:paraId="4AB0EFB1" w14:textId="77777777" w:rsidR="00DE7EC6" w:rsidRPr="00857B61" w:rsidRDefault="00DE7EC6">
            <w:pPr>
              <w:jc w:val="center"/>
              <w:rPr>
                <w:rFonts w:ascii="Times New Roman" w:eastAsia="宋体" w:hAnsi="Times New Roman" w:cs="Times New Roman"/>
                <w:szCs w:val="21"/>
              </w:rPr>
            </w:pPr>
          </w:p>
        </w:tc>
        <w:tc>
          <w:tcPr>
            <w:tcW w:w="598" w:type="pct"/>
            <w:vAlign w:val="center"/>
          </w:tcPr>
          <w:p w14:paraId="00E83B5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-1.651***</w:t>
            </w:r>
          </w:p>
          <w:p w14:paraId="68380FA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(-93.11)</w:t>
            </w:r>
          </w:p>
        </w:tc>
      </w:tr>
      <w:tr w:rsidR="00857B61" w:rsidRPr="00857B61" w14:paraId="47C83E55" w14:textId="77777777">
        <w:trPr>
          <w:jc w:val="center"/>
        </w:trPr>
        <w:tc>
          <w:tcPr>
            <w:tcW w:w="998" w:type="pct"/>
            <w:tcBorders>
              <w:tl2br w:val="nil"/>
              <w:tr2bl w:val="nil"/>
            </w:tcBorders>
          </w:tcPr>
          <w:p w14:paraId="00D48CD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控制变量</w:t>
            </w:r>
          </w:p>
        </w:tc>
        <w:tc>
          <w:tcPr>
            <w:tcW w:w="776" w:type="pct"/>
            <w:tcBorders>
              <w:tl2br w:val="nil"/>
              <w:tr2bl w:val="nil"/>
            </w:tcBorders>
            <w:vAlign w:val="center"/>
          </w:tcPr>
          <w:p w14:paraId="752D0A85"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816" w:type="pct"/>
            <w:tcBorders>
              <w:tl2br w:val="nil"/>
              <w:tr2bl w:val="nil"/>
            </w:tcBorders>
            <w:vAlign w:val="center"/>
          </w:tcPr>
          <w:p w14:paraId="5BF9836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637" w:type="pct"/>
            <w:vAlign w:val="center"/>
          </w:tcPr>
          <w:p w14:paraId="0E33122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591" w:type="pct"/>
            <w:vAlign w:val="center"/>
          </w:tcPr>
          <w:p w14:paraId="584C7F8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579" w:type="pct"/>
            <w:vAlign w:val="center"/>
          </w:tcPr>
          <w:p w14:paraId="09C4D5E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598" w:type="pct"/>
            <w:vAlign w:val="center"/>
          </w:tcPr>
          <w:p w14:paraId="5F4DD3E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r>
      <w:tr w:rsidR="00857B61" w:rsidRPr="00857B61" w14:paraId="0467F881" w14:textId="77777777">
        <w:trPr>
          <w:jc w:val="center"/>
        </w:trPr>
        <w:tc>
          <w:tcPr>
            <w:tcW w:w="998" w:type="pct"/>
            <w:tcBorders>
              <w:tl2br w:val="nil"/>
              <w:tr2bl w:val="nil"/>
            </w:tcBorders>
          </w:tcPr>
          <w:p w14:paraId="680C19C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时间效应</w:t>
            </w:r>
          </w:p>
        </w:tc>
        <w:tc>
          <w:tcPr>
            <w:tcW w:w="776" w:type="pct"/>
            <w:tcBorders>
              <w:tl2br w:val="nil"/>
              <w:tr2bl w:val="nil"/>
            </w:tcBorders>
            <w:vAlign w:val="center"/>
          </w:tcPr>
          <w:p w14:paraId="3346758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816" w:type="pct"/>
            <w:tcBorders>
              <w:tl2br w:val="nil"/>
              <w:tr2bl w:val="nil"/>
            </w:tcBorders>
            <w:vAlign w:val="center"/>
          </w:tcPr>
          <w:p w14:paraId="3118CF9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637" w:type="pct"/>
            <w:vAlign w:val="center"/>
          </w:tcPr>
          <w:p w14:paraId="1FE1534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591" w:type="pct"/>
            <w:vAlign w:val="center"/>
          </w:tcPr>
          <w:p w14:paraId="2244F98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579" w:type="pct"/>
            <w:vAlign w:val="center"/>
          </w:tcPr>
          <w:p w14:paraId="4B2579F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598" w:type="pct"/>
            <w:vAlign w:val="center"/>
          </w:tcPr>
          <w:p w14:paraId="77C6103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r>
      <w:tr w:rsidR="00857B61" w:rsidRPr="00857B61" w14:paraId="18452D86" w14:textId="77777777">
        <w:trPr>
          <w:jc w:val="center"/>
        </w:trPr>
        <w:tc>
          <w:tcPr>
            <w:tcW w:w="998" w:type="pct"/>
            <w:tcBorders>
              <w:tl2br w:val="nil"/>
              <w:tr2bl w:val="nil"/>
            </w:tcBorders>
          </w:tcPr>
          <w:p w14:paraId="23B5121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行业效应</w:t>
            </w:r>
          </w:p>
        </w:tc>
        <w:tc>
          <w:tcPr>
            <w:tcW w:w="776" w:type="pct"/>
            <w:tcBorders>
              <w:tl2br w:val="nil"/>
              <w:tr2bl w:val="nil"/>
            </w:tcBorders>
            <w:vAlign w:val="center"/>
          </w:tcPr>
          <w:p w14:paraId="748453D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816" w:type="pct"/>
            <w:tcBorders>
              <w:tl2br w:val="nil"/>
              <w:tr2bl w:val="nil"/>
            </w:tcBorders>
            <w:vAlign w:val="center"/>
          </w:tcPr>
          <w:p w14:paraId="139194F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637" w:type="pct"/>
            <w:vAlign w:val="center"/>
          </w:tcPr>
          <w:p w14:paraId="530C4ED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591" w:type="pct"/>
            <w:vAlign w:val="center"/>
          </w:tcPr>
          <w:p w14:paraId="1A39BE7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579" w:type="pct"/>
            <w:vAlign w:val="center"/>
          </w:tcPr>
          <w:p w14:paraId="344D8B3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598" w:type="pct"/>
            <w:vAlign w:val="center"/>
          </w:tcPr>
          <w:p w14:paraId="1DE2939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r>
      <w:tr w:rsidR="00857B61" w:rsidRPr="00857B61" w14:paraId="23E950C6" w14:textId="77777777">
        <w:trPr>
          <w:jc w:val="center"/>
        </w:trPr>
        <w:tc>
          <w:tcPr>
            <w:tcW w:w="998" w:type="pct"/>
            <w:tcBorders>
              <w:tl2br w:val="nil"/>
              <w:tr2bl w:val="nil"/>
            </w:tcBorders>
          </w:tcPr>
          <w:p w14:paraId="30F0387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地区效应</w:t>
            </w:r>
          </w:p>
        </w:tc>
        <w:tc>
          <w:tcPr>
            <w:tcW w:w="776" w:type="pct"/>
            <w:tcBorders>
              <w:tl2br w:val="nil"/>
              <w:tr2bl w:val="nil"/>
            </w:tcBorders>
            <w:vAlign w:val="center"/>
          </w:tcPr>
          <w:p w14:paraId="0AB2C4FC"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816" w:type="pct"/>
            <w:tcBorders>
              <w:tl2br w:val="nil"/>
              <w:tr2bl w:val="nil"/>
            </w:tcBorders>
            <w:vAlign w:val="center"/>
          </w:tcPr>
          <w:p w14:paraId="073BC14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637" w:type="pct"/>
            <w:vAlign w:val="center"/>
          </w:tcPr>
          <w:p w14:paraId="1A72907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591" w:type="pct"/>
            <w:vAlign w:val="center"/>
          </w:tcPr>
          <w:p w14:paraId="381C1C1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579" w:type="pct"/>
            <w:vAlign w:val="center"/>
          </w:tcPr>
          <w:p w14:paraId="296F4EF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c>
          <w:tcPr>
            <w:tcW w:w="598" w:type="pct"/>
          </w:tcPr>
          <w:p w14:paraId="2E343530"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YES</w:t>
            </w:r>
          </w:p>
        </w:tc>
      </w:tr>
      <w:tr w:rsidR="00857B61" w:rsidRPr="00857B61" w14:paraId="54965540" w14:textId="77777777">
        <w:trPr>
          <w:trHeight w:val="624"/>
          <w:jc w:val="center"/>
        </w:trPr>
        <w:tc>
          <w:tcPr>
            <w:tcW w:w="998" w:type="pct"/>
            <w:tcBorders>
              <w:tl2br w:val="nil"/>
              <w:tr2bl w:val="nil"/>
            </w:tcBorders>
          </w:tcPr>
          <w:p w14:paraId="48CC89B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i/>
                <w:iCs/>
                <w:szCs w:val="21"/>
              </w:rPr>
              <w:t>C</w:t>
            </w:r>
          </w:p>
        </w:tc>
        <w:tc>
          <w:tcPr>
            <w:tcW w:w="776" w:type="pct"/>
            <w:tcBorders>
              <w:tl2br w:val="nil"/>
              <w:tr2bl w:val="nil"/>
            </w:tcBorders>
            <w:vAlign w:val="center"/>
          </w:tcPr>
          <w:p w14:paraId="69CBAD0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-0.543</w:t>
            </w:r>
          </w:p>
          <w:p w14:paraId="45BAFD27"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(-0.02)</w:t>
            </w:r>
          </w:p>
        </w:tc>
        <w:tc>
          <w:tcPr>
            <w:tcW w:w="816" w:type="pct"/>
            <w:tcBorders>
              <w:tl2br w:val="nil"/>
              <w:tr2bl w:val="nil"/>
            </w:tcBorders>
          </w:tcPr>
          <w:p w14:paraId="318E9FC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0.070</w:t>
            </w:r>
          </w:p>
          <w:p w14:paraId="4795651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(1.79)</w:t>
            </w:r>
          </w:p>
        </w:tc>
        <w:tc>
          <w:tcPr>
            <w:tcW w:w="637" w:type="pct"/>
          </w:tcPr>
          <w:p w14:paraId="49553472"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7.265</w:t>
            </w:r>
          </w:p>
          <w:p w14:paraId="64C9DF9D"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(0.83)</w:t>
            </w:r>
          </w:p>
        </w:tc>
        <w:tc>
          <w:tcPr>
            <w:tcW w:w="591" w:type="pct"/>
            <w:vAlign w:val="center"/>
          </w:tcPr>
          <w:p w14:paraId="2F9480F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-0.543</w:t>
            </w:r>
          </w:p>
          <w:p w14:paraId="6F23A7D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(-0.02)</w:t>
            </w:r>
          </w:p>
        </w:tc>
        <w:tc>
          <w:tcPr>
            <w:tcW w:w="579" w:type="pct"/>
          </w:tcPr>
          <w:p w14:paraId="45EBD553"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-0.307*</w:t>
            </w:r>
          </w:p>
          <w:p w14:paraId="0363BDB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(-12.35)</w:t>
            </w:r>
          </w:p>
        </w:tc>
        <w:tc>
          <w:tcPr>
            <w:tcW w:w="598" w:type="pct"/>
          </w:tcPr>
          <w:p w14:paraId="2472439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20.866*</w:t>
            </w:r>
          </w:p>
          <w:p w14:paraId="4E98BCF8"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(12.34)</w:t>
            </w:r>
          </w:p>
        </w:tc>
      </w:tr>
      <w:tr w:rsidR="00857B61" w:rsidRPr="00857B61" w14:paraId="77780DC8" w14:textId="77777777">
        <w:trPr>
          <w:jc w:val="center"/>
        </w:trPr>
        <w:tc>
          <w:tcPr>
            <w:tcW w:w="998" w:type="pct"/>
            <w:tcBorders>
              <w:tl2br w:val="nil"/>
              <w:tr2bl w:val="nil"/>
            </w:tcBorders>
          </w:tcPr>
          <w:p w14:paraId="26516C51"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i/>
                <w:iCs/>
                <w:szCs w:val="21"/>
              </w:rPr>
              <w:t>R</w:t>
            </w:r>
            <w:r w:rsidRPr="00857B61">
              <w:rPr>
                <w:rFonts w:ascii="Times New Roman" w:eastAsia="宋体" w:hAnsi="Times New Roman" w:cs="Times New Roman"/>
                <w:i/>
                <w:iCs/>
                <w:szCs w:val="21"/>
                <w:vertAlign w:val="superscript"/>
              </w:rPr>
              <w:t>2</w:t>
            </w:r>
          </w:p>
        </w:tc>
        <w:tc>
          <w:tcPr>
            <w:tcW w:w="776" w:type="pct"/>
            <w:tcBorders>
              <w:tl2br w:val="nil"/>
              <w:tr2bl w:val="nil"/>
            </w:tcBorders>
            <w:vAlign w:val="center"/>
          </w:tcPr>
          <w:p w14:paraId="1CB520C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0.18</w:t>
            </w:r>
            <w:r w:rsidRPr="00857B61">
              <w:rPr>
                <w:rFonts w:ascii="Times New Roman" w:eastAsia="宋体" w:hAnsi="Times New Roman" w:cs="Times New Roman" w:hint="eastAsia"/>
                <w:szCs w:val="21"/>
              </w:rPr>
              <w:t>6</w:t>
            </w:r>
          </w:p>
        </w:tc>
        <w:tc>
          <w:tcPr>
            <w:tcW w:w="816" w:type="pct"/>
            <w:tcBorders>
              <w:tl2br w:val="nil"/>
              <w:tr2bl w:val="nil"/>
            </w:tcBorders>
          </w:tcPr>
          <w:p w14:paraId="6BB6C1A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0.566</w:t>
            </w:r>
          </w:p>
        </w:tc>
        <w:tc>
          <w:tcPr>
            <w:tcW w:w="637" w:type="pct"/>
          </w:tcPr>
          <w:p w14:paraId="5D307504"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0.17</w:t>
            </w:r>
            <w:r w:rsidRPr="00857B61">
              <w:rPr>
                <w:rFonts w:ascii="Times New Roman" w:eastAsia="宋体" w:hAnsi="Times New Roman" w:cs="Times New Roman" w:hint="eastAsia"/>
                <w:szCs w:val="21"/>
              </w:rPr>
              <w:t>3</w:t>
            </w:r>
          </w:p>
        </w:tc>
        <w:tc>
          <w:tcPr>
            <w:tcW w:w="591" w:type="pct"/>
            <w:vAlign w:val="center"/>
          </w:tcPr>
          <w:p w14:paraId="270607C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0.18</w:t>
            </w:r>
            <w:r w:rsidRPr="00857B61">
              <w:rPr>
                <w:rFonts w:ascii="Times New Roman" w:eastAsia="宋体" w:hAnsi="Times New Roman" w:cs="Times New Roman" w:hint="eastAsia"/>
                <w:szCs w:val="21"/>
              </w:rPr>
              <w:t>6</w:t>
            </w:r>
          </w:p>
        </w:tc>
        <w:tc>
          <w:tcPr>
            <w:tcW w:w="579" w:type="pct"/>
          </w:tcPr>
          <w:p w14:paraId="2D65114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hint="eastAsia"/>
                <w:szCs w:val="21"/>
              </w:rPr>
              <w:t>0.486</w:t>
            </w:r>
          </w:p>
        </w:tc>
        <w:tc>
          <w:tcPr>
            <w:tcW w:w="598" w:type="pct"/>
          </w:tcPr>
          <w:p w14:paraId="19554656"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0.</w:t>
            </w:r>
            <w:r w:rsidRPr="00857B61">
              <w:rPr>
                <w:rFonts w:ascii="Times New Roman" w:eastAsia="宋体" w:hAnsi="Times New Roman" w:cs="Times New Roman" w:hint="eastAsia"/>
                <w:szCs w:val="21"/>
              </w:rPr>
              <w:t>203</w:t>
            </w:r>
          </w:p>
        </w:tc>
      </w:tr>
      <w:tr w:rsidR="00857B61" w:rsidRPr="00857B61" w14:paraId="0B290516" w14:textId="77777777">
        <w:trPr>
          <w:jc w:val="center"/>
        </w:trPr>
        <w:tc>
          <w:tcPr>
            <w:tcW w:w="998" w:type="pct"/>
            <w:tcBorders>
              <w:tl2br w:val="nil"/>
              <w:tr2bl w:val="nil"/>
            </w:tcBorders>
          </w:tcPr>
          <w:p w14:paraId="53B5A8D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i/>
                <w:iCs/>
                <w:szCs w:val="21"/>
              </w:rPr>
              <w:t>N</w:t>
            </w:r>
          </w:p>
        </w:tc>
        <w:tc>
          <w:tcPr>
            <w:tcW w:w="776" w:type="pct"/>
            <w:tcBorders>
              <w:tl2br w:val="nil"/>
              <w:tr2bl w:val="nil"/>
            </w:tcBorders>
            <w:vAlign w:val="center"/>
          </w:tcPr>
          <w:p w14:paraId="7B1C262F"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1,567</w:t>
            </w:r>
          </w:p>
        </w:tc>
        <w:tc>
          <w:tcPr>
            <w:tcW w:w="816" w:type="pct"/>
            <w:tcBorders>
              <w:tl2br w:val="nil"/>
              <w:tr2bl w:val="nil"/>
            </w:tcBorders>
          </w:tcPr>
          <w:p w14:paraId="01F1DB9A"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1,392</w:t>
            </w:r>
          </w:p>
        </w:tc>
        <w:tc>
          <w:tcPr>
            <w:tcW w:w="637" w:type="pct"/>
          </w:tcPr>
          <w:p w14:paraId="3682669B"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1,392</w:t>
            </w:r>
          </w:p>
        </w:tc>
        <w:tc>
          <w:tcPr>
            <w:tcW w:w="591" w:type="pct"/>
            <w:vAlign w:val="center"/>
          </w:tcPr>
          <w:p w14:paraId="43A722F9"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1,567</w:t>
            </w:r>
          </w:p>
        </w:tc>
        <w:tc>
          <w:tcPr>
            <w:tcW w:w="579" w:type="pct"/>
          </w:tcPr>
          <w:p w14:paraId="7DF5930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1,337</w:t>
            </w:r>
          </w:p>
        </w:tc>
        <w:tc>
          <w:tcPr>
            <w:tcW w:w="598" w:type="pct"/>
          </w:tcPr>
          <w:p w14:paraId="51176FCE" w14:textId="77777777" w:rsidR="00DE7EC6" w:rsidRPr="00857B61" w:rsidRDefault="00000000">
            <w:pPr>
              <w:jc w:val="center"/>
              <w:rPr>
                <w:rFonts w:ascii="Times New Roman" w:eastAsia="宋体" w:hAnsi="Times New Roman" w:cs="Times New Roman"/>
                <w:szCs w:val="21"/>
              </w:rPr>
            </w:pPr>
            <w:r w:rsidRPr="00857B61">
              <w:rPr>
                <w:rFonts w:ascii="Times New Roman" w:eastAsia="宋体" w:hAnsi="Times New Roman" w:cs="Times New Roman"/>
                <w:szCs w:val="21"/>
              </w:rPr>
              <w:t>1,337</w:t>
            </w:r>
          </w:p>
        </w:tc>
      </w:tr>
    </w:tbl>
    <w:p w14:paraId="3FB4C8E7" w14:textId="77777777" w:rsidR="00DE7EC6" w:rsidRPr="00857B61" w:rsidRDefault="00000000">
      <w:pPr>
        <w:pStyle w:val="4"/>
        <w:spacing w:before="0" w:after="0" w:line="240" w:lineRule="auto"/>
        <w:ind w:firstLineChars="200" w:firstLine="360"/>
        <w:rPr>
          <w:rFonts w:ascii="Times New Roman" w:eastAsia="楷体" w:hAnsi="Times New Roman" w:cs="Times New Roman"/>
          <w:sz w:val="18"/>
          <w:szCs w:val="18"/>
        </w:rPr>
      </w:pPr>
      <w:r w:rsidRPr="00857B61">
        <w:rPr>
          <w:rFonts w:ascii="Times New Roman" w:eastAsia="楷体" w:hAnsi="Times New Roman" w:cstheme="minorBidi" w:hint="eastAsia"/>
          <w:b w:val="0"/>
          <w:bCs w:val="0"/>
          <w:sz w:val="18"/>
          <w:szCs w:val="18"/>
        </w:rPr>
        <w:t>注：加入</w:t>
      </w:r>
      <w:r w:rsidRPr="00857B61">
        <w:rPr>
          <w:rFonts w:ascii="Times New Roman" w:eastAsia="楷体" w:hAnsi="Times New Roman" w:cs="Times New Roman"/>
          <w:b w:val="0"/>
          <w:bCs w:val="0"/>
          <w:i/>
          <w:iCs/>
          <w:sz w:val="18"/>
          <w:szCs w:val="18"/>
        </w:rPr>
        <w:t>Agencycost</w:t>
      </w:r>
      <w:r w:rsidRPr="00857B61">
        <w:rPr>
          <w:rFonts w:ascii="Times New Roman" w:eastAsia="楷体" w:hAnsi="Times New Roman" w:cs="Times New Roman"/>
          <w:b w:val="0"/>
          <w:bCs w:val="0"/>
          <w:sz w:val="18"/>
          <w:szCs w:val="18"/>
        </w:rPr>
        <w:t>和</w:t>
      </w:r>
      <w:r w:rsidRPr="00857B61">
        <w:rPr>
          <w:rFonts w:ascii="Times New Roman" w:eastAsia="楷体" w:hAnsi="Times New Roman" w:cs="Times New Roman"/>
          <w:b w:val="0"/>
          <w:bCs w:val="0"/>
          <w:i/>
          <w:iCs/>
          <w:sz w:val="18"/>
          <w:szCs w:val="18"/>
        </w:rPr>
        <w:t>KV</w:t>
      </w:r>
      <w:r w:rsidRPr="00857B61">
        <w:rPr>
          <w:rFonts w:ascii="Times New Roman" w:eastAsia="楷体" w:hAnsi="Times New Roman" w:cstheme="minorBidi" w:hint="eastAsia"/>
          <w:b w:val="0"/>
          <w:bCs w:val="0"/>
          <w:sz w:val="18"/>
          <w:szCs w:val="18"/>
        </w:rPr>
        <w:t>变量后，部分研究样本因缺少这两个变量的测算信息而导致参与回归的样本量减少。</w:t>
      </w:r>
    </w:p>
    <w:p w14:paraId="158C0A55" w14:textId="77777777" w:rsidR="00DE7EC6" w:rsidRPr="00857B61" w:rsidRDefault="00000000">
      <w:pPr>
        <w:pStyle w:val="2"/>
        <w:spacing w:before="120" w:after="120" w:line="240" w:lineRule="auto"/>
        <w:jc w:val="center"/>
        <w:rPr>
          <w:rFonts w:eastAsia="宋体"/>
        </w:rPr>
      </w:pPr>
      <w:r w:rsidRPr="00857B61">
        <w:rPr>
          <w:rFonts w:eastAsia="宋体"/>
        </w:rPr>
        <w:t>六、研究结论与政策建议</w:t>
      </w:r>
    </w:p>
    <w:p w14:paraId="38750C23" w14:textId="77777777" w:rsidR="00DE7EC6" w:rsidRPr="00857B61" w:rsidRDefault="00000000">
      <w:pPr>
        <w:ind w:firstLineChars="200" w:firstLine="420"/>
        <w:rPr>
          <w:rFonts w:eastAsia="宋体"/>
          <w:szCs w:val="21"/>
        </w:rPr>
      </w:pPr>
      <w:r w:rsidRPr="00857B61">
        <w:rPr>
          <w:rFonts w:eastAsia="宋体"/>
          <w:szCs w:val="21"/>
        </w:rPr>
        <w:t>国有资产是社会经济发展的重要基础，要想更加健康、高效、可持续</w:t>
      </w:r>
      <w:r w:rsidRPr="00857B61">
        <w:rPr>
          <w:rFonts w:eastAsia="宋体" w:hint="eastAsia"/>
          <w:szCs w:val="21"/>
        </w:rPr>
        <w:t>地</w:t>
      </w:r>
      <w:r w:rsidRPr="00857B61">
        <w:rPr>
          <w:rFonts w:eastAsia="宋体"/>
          <w:szCs w:val="21"/>
        </w:rPr>
        <w:t>推进我国经济建设，社会各界需要更加积极</w:t>
      </w:r>
      <w:r w:rsidRPr="00857B61">
        <w:rPr>
          <w:rFonts w:eastAsia="宋体" w:hint="eastAsia"/>
          <w:szCs w:val="21"/>
        </w:rPr>
        <w:t>地</w:t>
      </w:r>
      <w:r w:rsidRPr="00857B61">
        <w:rPr>
          <w:rFonts w:eastAsia="宋体"/>
          <w:szCs w:val="21"/>
        </w:rPr>
        <w:t>付出努力来保护国有资产、减少国有资产的流失。本文利用双重差分模型对</w:t>
      </w:r>
      <w:r w:rsidRPr="00857B61">
        <w:rPr>
          <w:rFonts w:ascii="Times New Roman" w:eastAsia="宋体" w:hAnsi="Times New Roman" w:cs="Times New Roman"/>
          <w:szCs w:val="21"/>
        </w:rPr>
        <w:t>2008</w:t>
      </w:r>
      <w:r w:rsidRPr="00857B61">
        <w:rPr>
          <w:rFonts w:ascii="Times New Roman" w:eastAsia="宋体" w:hAnsi="Times New Roman" w:cs="Times New Roman" w:hint="eastAsia"/>
          <w:szCs w:val="21"/>
        </w:rPr>
        <w:t>年</w:t>
      </w:r>
      <w:r w:rsidRPr="00857B61">
        <w:rPr>
          <w:rFonts w:ascii="Times New Roman" w:eastAsia="宋体" w:hAnsi="Times New Roman" w:cs="Times New Roman"/>
          <w:szCs w:val="21"/>
        </w:rPr>
        <w:t>至</w:t>
      </w:r>
      <w:r w:rsidRPr="00857B61">
        <w:rPr>
          <w:rFonts w:ascii="Times New Roman" w:eastAsia="宋体" w:hAnsi="Times New Roman" w:cs="Times New Roman"/>
          <w:szCs w:val="21"/>
        </w:rPr>
        <w:t>2017</w:t>
      </w:r>
      <w:r w:rsidRPr="00857B61">
        <w:rPr>
          <w:rFonts w:eastAsia="宋体"/>
          <w:szCs w:val="21"/>
        </w:rPr>
        <w:t>年间的国有上市企业并购数据进行了研究，结果表明：首先，检察行政公益诉讼制度试点的实施有效地抑制了国有资产流失，这一结论在经过多重稳健性讨论后依然成立。其次，本文从国企层级、企业性质以及并购类型等多方面进行异质性分析后发现：相比省属国有企业、央企的国有资产流失，其他国有企业的资产流失与该制度的负相关关系更强，说明地方</w:t>
      </w:r>
      <w:r w:rsidRPr="00857B61">
        <w:rPr>
          <w:rFonts w:eastAsia="宋体" w:hint="eastAsia"/>
          <w:szCs w:val="21"/>
        </w:rPr>
        <w:t>检察</w:t>
      </w:r>
      <w:r w:rsidRPr="00857B61">
        <w:rPr>
          <w:rFonts w:eastAsia="宋体"/>
          <w:szCs w:val="21"/>
        </w:rPr>
        <w:t>机关对直接控制企业的监督力度更大；与国有企业相比，当买方企业为非国有性质时并购引起的国有资产流失会受到检察行政公益诉讼制度明显</w:t>
      </w:r>
      <w:r w:rsidRPr="00857B61">
        <w:rPr>
          <w:rFonts w:ascii="宋体" w:eastAsia="宋体" w:hAnsi="宋体" w:cs="宋体" w:hint="eastAsia"/>
          <w:szCs w:val="21"/>
        </w:rPr>
        <w:t>的“威慑效应”，</w:t>
      </w:r>
      <w:r w:rsidRPr="00857B61">
        <w:rPr>
          <w:rFonts w:eastAsia="宋体"/>
          <w:szCs w:val="21"/>
        </w:rPr>
        <w:t>进一步说明当资产从国有企业流向非国有企业时更易发生国有资产流失；相比于发生在省内或行业内的并购行为，买卖双方在跨省或跨行业层面进行并购活动时，其国有资产流失受到检察行政公益诉讼制度实施带来的抑制影响更为强烈，说明跨省、跨行业并购更易成为不法分子攫取国有资产这种公共利益的途径。再次，本文在调节效应分析中发现卖方企业在并购实施前的亏损状态会减轻检察行政公益诉讼制</w:t>
      </w:r>
      <w:r w:rsidRPr="00857B61">
        <w:rPr>
          <w:rFonts w:eastAsia="宋体"/>
          <w:szCs w:val="21"/>
        </w:rPr>
        <w:lastRenderedPageBreak/>
        <w:t>度与国有资产流失之间的负相关关系；而地区的执法强度会加强这种关系。结合实际，检察机关需要对涉及亏损卖方国有企业的并购交易重点关注，各地区则要加强对检察行政公益诉讼制度的推行力度。最后，本文从代理成本以及信息披露质量两个方面对检察行政公益诉讼制度与国有资产流失之间可能的作用渠道展开实证分析。研究证明检察行政公益诉讼制度不仅可以降低代理成本，而且可以通过提高信息披露质量来有效抑制国有资产的流失。</w:t>
      </w:r>
    </w:p>
    <w:p w14:paraId="7D5F6976" w14:textId="77777777" w:rsidR="00DE7EC6" w:rsidRPr="00857B61" w:rsidRDefault="00000000">
      <w:pPr>
        <w:ind w:firstLineChars="200" w:firstLine="420"/>
        <w:rPr>
          <w:rFonts w:eastAsia="宋体"/>
          <w:szCs w:val="21"/>
        </w:rPr>
      </w:pPr>
      <w:r w:rsidRPr="00857B61">
        <w:rPr>
          <w:rFonts w:eastAsia="宋体" w:hint="eastAsia"/>
          <w:szCs w:val="21"/>
        </w:rPr>
        <w:t>本文创造性的从法律制度创新视角出发研究国有资产流失问题，并从法律制度环境变化如何影响并购中国有资产流失的角度拓展了“法与金融”相关研究；首次基于双重差分模型对检察行政公益诉讼制度与国有资产流失之间的关系进行了实证检验，其研究结果充分说明检察行政公益诉讼制度的实施加强了对国有资产等公共利益领域的监督，更进一步地丰富了国家全面推进检察行政公益诉讼制度并以立法形式将其载入《行政诉讼法》的理论依据。基于本文的研究结果，提出以下政策建议：</w:t>
      </w:r>
    </w:p>
    <w:p w14:paraId="505DD066" w14:textId="77777777" w:rsidR="00DE7EC6" w:rsidRPr="00857B61" w:rsidRDefault="00000000">
      <w:pPr>
        <w:ind w:firstLineChars="200" w:firstLine="420"/>
        <w:rPr>
          <w:rFonts w:eastAsia="宋体"/>
          <w:szCs w:val="21"/>
        </w:rPr>
      </w:pPr>
      <w:r w:rsidRPr="00857B61">
        <w:rPr>
          <w:rFonts w:eastAsia="宋体" w:hint="eastAsia"/>
          <w:szCs w:val="21"/>
        </w:rPr>
        <w:t>（</w:t>
      </w:r>
      <w:r w:rsidRPr="00857B61">
        <w:rPr>
          <w:rFonts w:ascii="Times New Roman" w:eastAsia="宋体" w:hAnsi="Times New Roman" w:cs="Times New Roman"/>
          <w:szCs w:val="21"/>
        </w:rPr>
        <w:t>1</w:t>
      </w:r>
      <w:r w:rsidRPr="00857B61">
        <w:rPr>
          <w:rFonts w:eastAsia="宋体" w:hint="eastAsia"/>
          <w:szCs w:val="21"/>
        </w:rPr>
        <w:t>）加大检察行政公益诉讼制度的落实力度，强化其国有资产保护效应。检察行政公益诉讼制度对于并购中国有资产流失的抑制作用得到论证，为了进一步发挥其制度效果，应该强化该创新性法律制度在各地区的执行、落实力度。检察机关可以利用多种方式来展示其“查错纠错”的决心，像是通报典型案件、进行普法宣传、明确违反检察机关合理检察权应承担的责任、加大惩戒力度等。各地区应积极提高检察机关的公信力及独立性，发挥好检察行政公益诉讼制度在公共利益领域的司法救济作用。</w:t>
      </w:r>
    </w:p>
    <w:p w14:paraId="3A10AEB3" w14:textId="77777777" w:rsidR="00DE7EC6" w:rsidRPr="00857B61" w:rsidRDefault="00000000">
      <w:pPr>
        <w:ind w:firstLineChars="200" w:firstLine="420"/>
        <w:rPr>
          <w:rFonts w:eastAsia="宋体"/>
          <w:szCs w:val="21"/>
        </w:rPr>
      </w:pPr>
      <w:r w:rsidRPr="00857B61">
        <w:rPr>
          <w:rFonts w:ascii="Times New Roman" w:eastAsia="宋体" w:hAnsi="Times New Roman" w:cs="Times New Roman" w:hint="eastAsia"/>
          <w:szCs w:val="21"/>
        </w:rPr>
        <w:t>（</w:t>
      </w:r>
      <w:r w:rsidRPr="00857B61">
        <w:rPr>
          <w:rFonts w:ascii="Times New Roman" w:eastAsia="宋体" w:hAnsi="Times New Roman" w:cs="Times New Roman" w:hint="eastAsia"/>
          <w:szCs w:val="21"/>
        </w:rPr>
        <w:t>2</w:t>
      </w:r>
      <w:r w:rsidRPr="00857B61">
        <w:rPr>
          <w:rFonts w:ascii="Times New Roman" w:eastAsia="宋体" w:hAnsi="Times New Roman" w:cs="Times New Roman" w:hint="eastAsia"/>
          <w:szCs w:val="21"/>
        </w:rPr>
        <w:t>）</w:t>
      </w:r>
      <w:r w:rsidRPr="00857B61">
        <w:rPr>
          <w:rFonts w:eastAsia="宋体" w:hint="eastAsia"/>
          <w:szCs w:val="21"/>
        </w:rPr>
        <w:t>建立全面监督和重点检察的工作机制，防止制度监管漏洞。检察行政公益诉讼制度对并购中国有资产流失的抑制作用会因为企业性质、是否跨地区以及行业并购等因素的不同而有不同表现。因此在我国全面推进检察行政公益诉讼制度的时期，还要注重一些领域的重点检察，防止“灯下黑”、“人情主义”等现象的出现。检察机关可以借助现代技术力量，主动作为、主动监督，利用网络信息技术与大数据库对有可能发生的国有资产流失进行</w:t>
      </w:r>
      <w:r w:rsidRPr="00857B61">
        <w:rPr>
          <w:rFonts w:ascii="Times New Roman" w:eastAsia="宋体" w:hAnsi="Times New Roman" w:cs="Times New Roman"/>
          <w:szCs w:val="21"/>
        </w:rPr>
        <w:t>24</w:t>
      </w:r>
      <w:r w:rsidRPr="00857B61">
        <w:rPr>
          <w:rFonts w:eastAsia="宋体" w:hint="eastAsia"/>
          <w:szCs w:val="21"/>
        </w:rPr>
        <w:t>小时无间歇、全面、重点地监督。</w:t>
      </w:r>
    </w:p>
    <w:p w14:paraId="2D0AD41B" w14:textId="77777777" w:rsidR="00DE7EC6" w:rsidRPr="00857B61" w:rsidRDefault="00000000">
      <w:pPr>
        <w:ind w:firstLineChars="200" w:firstLine="420"/>
        <w:rPr>
          <w:rFonts w:ascii="Times New Roman" w:eastAsia="宋体" w:hAnsi="Times New Roman" w:cs="Times New Roman"/>
          <w:szCs w:val="21"/>
        </w:rPr>
      </w:pPr>
      <w:r w:rsidRPr="00857B61">
        <w:rPr>
          <w:rFonts w:ascii="Times New Roman" w:eastAsia="宋体" w:hAnsi="Times New Roman" w:cs="Times New Roman" w:hint="eastAsia"/>
          <w:szCs w:val="21"/>
        </w:rPr>
        <w:t>（</w:t>
      </w:r>
      <w:r w:rsidRPr="00857B61">
        <w:rPr>
          <w:rFonts w:ascii="Times New Roman" w:eastAsia="宋体" w:hAnsi="Times New Roman" w:cs="Times New Roman" w:hint="eastAsia"/>
          <w:szCs w:val="21"/>
        </w:rPr>
        <w:t>3</w:t>
      </w:r>
      <w:r w:rsidRPr="00857B61">
        <w:rPr>
          <w:rFonts w:ascii="Times New Roman" w:eastAsia="宋体" w:hAnsi="Times New Roman" w:cs="Times New Roman" w:hint="eastAsia"/>
          <w:szCs w:val="21"/>
        </w:rPr>
        <w:t>）完善国有资产增值保值制度，发挥国有企业主体作用。本文研究发现代理成本与信息披露质量是检察行政公益诉讼制度与并购中国有资产流失之间的两个作用渠道，加之，国有资产流失具有一定隐蔽性，因此各地区应该发挥国有企业在减少国有资产流失以及保护国有资产安全方面的主体作用，并且可以通过完善相关法规、加强审计或畅通各方监督等方式来提高国有企业的信息披露质量、降低其代理成本，最终达到抑制国有资产流失的目的。</w:t>
      </w:r>
    </w:p>
    <w:p w14:paraId="1377E9CD" w14:textId="77777777" w:rsidR="00DE7EC6" w:rsidRPr="00857B61" w:rsidRDefault="00000000">
      <w:pPr>
        <w:pStyle w:val="2"/>
        <w:spacing w:before="0" w:after="0" w:line="240" w:lineRule="auto"/>
        <w:ind w:firstLineChars="200" w:firstLine="562"/>
        <w:jc w:val="left"/>
        <w:rPr>
          <w:rFonts w:ascii="宋体" w:eastAsia="宋体" w:hAnsi="宋体" w:cs="宋体"/>
          <w:sz w:val="28"/>
          <w:szCs w:val="28"/>
        </w:rPr>
      </w:pPr>
      <w:r w:rsidRPr="00857B61">
        <w:rPr>
          <w:rFonts w:ascii="宋体" w:eastAsia="宋体" w:hAnsi="宋体" w:cs="宋体" w:hint="eastAsia"/>
          <w:sz w:val="28"/>
          <w:szCs w:val="28"/>
        </w:rPr>
        <w:t>参考文献:</w:t>
      </w:r>
    </w:p>
    <w:p w14:paraId="7A5116B7"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hint="eastAsia"/>
        </w:rPr>
        <w:t>蔡庆丰</w:t>
      </w:r>
      <w:r w:rsidRPr="00857B61">
        <w:rPr>
          <w:rFonts w:ascii="Times New Roman" w:hAnsi="Times New Roman" w:cs="Times New Roman" w:hint="eastAsia"/>
        </w:rPr>
        <w:t xml:space="preserve"> </w:t>
      </w:r>
      <w:r w:rsidRPr="00857B61">
        <w:rPr>
          <w:rFonts w:ascii="Times New Roman" w:hAnsi="Times New Roman" w:cs="Times New Roman" w:hint="eastAsia"/>
        </w:rPr>
        <w:t>田霖</w:t>
      </w:r>
      <w:r w:rsidRPr="00857B61">
        <w:rPr>
          <w:rFonts w:ascii="Times New Roman" w:hAnsi="Times New Roman" w:cs="Times New Roman" w:hint="eastAsia"/>
        </w:rPr>
        <w:t xml:space="preserve"> </w:t>
      </w:r>
      <w:r w:rsidRPr="00857B61">
        <w:rPr>
          <w:rFonts w:ascii="Times New Roman" w:hAnsi="Times New Roman" w:cs="Times New Roman" w:hint="eastAsia"/>
        </w:rPr>
        <w:t>郭俊峰，</w:t>
      </w:r>
      <w:r w:rsidRPr="00857B61">
        <w:rPr>
          <w:rFonts w:ascii="Times New Roman" w:hAnsi="Times New Roman" w:cs="Times New Roman" w:hint="eastAsia"/>
        </w:rPr>
        <w:t>2017</w:t>
      </w:r>
      <w:r w:rsidRPr="00857B61">
        <w:rPr>
          <w:rFonts w:ascii="Times New Roman" w:hAnsi="Times New Roman" w:cs="Times New Roman" w:hint="eastAsia"/>
        </w:rPr>
        <w:t>：《民营企业家的影响力与企业的异地并购——基于中小板企业实际控制人政治关联层级的实证发现》，《中国工业经济》第</w:t>
      </w:r>
      <w:r w:rsidRPr="00857B61">
        <w:rPr>
          <w:rFonts w:ascii="Times New Roman" w:hAnsi="Times New Roman" w:cs="Times New Roman" w:hint="eastAsia"/>
        </w:rPr>
        <w:t>3</w:t>
      </w:r>
      <w:r w:rsidRPr="00857B61">
        <w:rPr>
          <w:rFonts w:ascii="Times New Roman" w:hAnsi="Times New Roman" w:cs="Times New Roman" w:hint="eastAsia"/>
        </w:rPr>
        <w:t>期。</w:t>
      </w:r>
    </w:p>
    <w:p w14:paraId="13E161FE"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hint="eastAsia"/>
        </w:rPr>
        <w:t>陈仕华</w:t>
      </w:r>
      <w:r w:rsidRPr="00857B61">
        <w:rPr>
          <w:rFonts w:ascii="Times New Roman" w:hAnsi="Times New Roman" w:cs="Times New Roman" w:hint="eastAsia"/>
        </w:rPr>
        <w:t xml:space="preserve"> </w:t>
      </w:r>
      <w:r w:rsidRPr="00857B61">
        <w:rPr>
          <w:rFonts w:ascii="Times New Roman" w:hAnsi="Times New Roman" w:cs="Times New Roman" w:hint="eastAsia"/>
        </w:rPr>
        <w:t>卢昌崇</w:t>
      </w:r>
      <w:r w:rsidRPr="00857B61">
        <w:rPr>
          <w:rFonts w:ascii="Times New Roman" w:hAnsi="Times New Roman" w:cs="Times New Roman" w:hint="eastAsia"/>
        </w:rPr>
        <w:t xml:space="preserve"> </w:t>
      </w:r>
      <w:r w:rsidRPr="00857B61">
        <w:rPr>
          <w:rFonts w:ascii="Times New Roman" w:hAnsi="Times New Roman" w:cs="Times New Roman" w:hint="eastAsia"/>
        </w:rPr>
        <w:t>姜广省</w:t>
      </w:r>
      <w:r w:rsidRPr="00857B61">
        <w:rPr>
          <w:rFonts w:ascii="Times New Roman" w:hAnsi="Times New Roman" w:cs="Times New Roman" w:hint="eastAsia"/>
        </w:rPr>
        <w:t xml:space="preserve"> </w:t>
      </w:r>
      <w:r w:rsidRPr="00857B61">
        <w:rPr>
          <w:rFonts w:ascii="Times New Roman" w:hAnsi="Times New Roman" w:cs="Times New Roman" w:hint="eastAsia"/>
        </w:rPr>
        <w:t>王雅茹，</w:t>
      </w:r>
      <w:r w:rsidRPr="00857B61">
        <w:rPr>
          <w:rFonts w:ascii="Times New Roman" w:hAnsi="Times New Roman" w:cs="Times New Roman" w:hint="eastAsia"/>
        </w:rPr>
        <w:t>2015</w:t>
      </w:r>
      <w:r w:rsidRPr="00857B61">
        <w:rPr>
          <w:rFonts w:ascii="Times New Roman" w:hAnsi="Times New Roman" w:cs="Times New Roman" w:hint="eastAsia"/>
        </w:rPr>
        <w:t>：《国企高管政治晋升对企业并购行为的影响——基于企业成长压力理论的实证研究》，《管理世界》第</w:t>
      </w:r>
      <w:r w:rsidRPr="00857B61">
        <w:rPr>
          <w:rFonts w:ascii="Times New Roman" w:hAnsi="Times New Roman" w:cs="Times New Roman" w:hint="eastAsia"/>
        </w:rPr>
        <w:t>9</w:t>
      </w:r>
      <w:r w:rsidRPr="00857B61">
        <w:rPr>
          <w:rFonts w:ascii="Times New Roman" w:hAnsi="Times New Roman" w:cs="Times New Roman" w:hint="eastAsia"/>
        </w:rPr>
        <w:t>期。</w:t>
      </w:r>
    </w:p>
    <w:p w14:paraId="48791C53"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hint="eastAsia"/>
        </w:rPr>
        <w:t>陈仕华</w:t>
      </w:r>
      <w:r w:rsidRPr="00857B61">
        <w:rPr>
          <w:rFonts w:ascii="Times New Roman" w:hAnsi="Times New Roman" w:cs="Times New Roman" w:hint="eastAsia"/>
        </w:rPr>
        <w:t xml:space="preserve"> </w:t>
      </w:r>
      <w:r w:rsidRPr="00857B61">
        <w:rPr>
          <w:rFonts w:ascii="Times New Roman" w:hAnsi="Times New Roman" w:cs="Times New Roman" w:hint="eastAsia"/>
        </w:rPr>
        <w:t>卢昌崇，</w:t>
      </w:r>
      <w:r w:rsidRPr="00857B61">
        <w:rPr>
          <w:rFonts w:ascii="Times New Roman" w:hAnsi="Times New Roman" w:cs="Times New Roman" w:hint="eastAsia"/>
        </w:rPr>
        <w:t>2014</w:t>
      </w:r>
      <w:r w:rsidRPr="00857B61">
        <w:rPr>
          <w:rFonts w:ascii="Times New Roman" w:hAnsi="Times New Roman" w:cs="Times New Roman" w:hint="eastAsia"/>
        </w:rPr>
        <w:t>：《国有企业党组织的治理参与能够有效抑制并购中的“国有资产流失”吗</w:t>
      </w:r>
      <w:r w:rsidRPr="00857B61">
        <w:rPr>
          <w:rFonts w:ascii="Times New Roman" w:hAnsi="Times New Roman" w:cs="Times New Roman" w:hint="eastAsia"/>
        </w:rPr>
        <w:t>?</w:t>
      </w:r>
      <w:r w:rsidRPr="00857B61">
        <w:rPr>
          <w:rFonts w:ascii="Times New Roman" w:hAnsi="Times New Roman" w:cs="Times New Roman" w:hint="eastAsia"/>
        </w:rPr>
        <w:t>》，《管理世界》第</w:t>
      </w:r>
      <w:r w:rsidRPr="00857B61">
        <w:rPr>
          <w:rFonts w:ascii="Times New Roman" w:hAnsi="Times New Roman" w:cs="Times New Roman" w:hint="eastAsia"/>
        </w:rPr>
        <w:t>5</w:t>
      </w:r>
      <w:r w:rsidRPr="00857B61">
        <w:rPr>
          <w:rFonts w:ascii="Times New Roman" w:hAnsi="Times New Roman" w:cs="Times New Roman" w:hint="eastAsia"/>
        </w:rPr>
        <w:t>期。</w:t>
      </w:r>
    </w:p>
    <w:p w14:paraId="694067D4"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hint="eastAsia"/>
        </w:rPr>
        <w:t>陈天昊</w:t>
      </w:r>
      <w:r w:rsidRPr="00857B61">
        <w:rPr>
          <w:rFonts w:ascii="Times New Roman" w:hAnsi="Times New Roman" w:cs="Times New Roman" w:hint="eastAsia"/>
        </w:rPr>
        <w:t xml:space="preserve"> </w:t>
      </w:r>
      <w:r w:rsidRPr="00857B61">
        <w:rPr>
          <w:rFonts w:ascii="Times New Roman" w:hAnsi="Times New Roman" w:cs="Times New Roman" w:hint="eastAsia"/>
        </w:rPr>
        <w:t>邵建树</w:t>
      </w:r>
      <w:r w:rsidRPr="00857B61">
        <w:rPr>
          <w:rFonts w:ascii="Times New Roman" w:hAnsi="Times New Roman" w:cs="Times New Roman" w:hint="eastAsia"/>
        </w:rPr>
        <w:t xml:space="preserve"> </w:t>
      </w:r>
      <w:r w:rsidRPr="00857B61">
        <w:rPr>
          <w:rFonts w:ascii="Times New Roman" w:hAnsi="Times New Roman" w:cs="Times New Roman" w:hint="eastAsia"/>
        </w:rPr>
        <w:t>王雪纯，</w:t>
      </w:r>
      <w:r w:rsidRPr="00857B61">
        <w:rPr>
          <w:rFonts w:ascii="Times New Roman" w:hAnsi="Times New Roman" w:cs="Times New Roman" w:hint="eastAsia"/>
        </w:rPr>
        <w:t>2020</w:t>
      </w:r>
      <w:r w:rsidRPr="00857B61">
        <w:rPr>
          <w:rFonts w:ascii="Times New Roman" w:hAnsi="Times New Roman" w:cs="Times New Roman" w:hint="eastAsia"/>
        </w:rPr>
        <w:t>：《检察行政公益诉讼制度的效果检验与完善路径</w:t>
      </w:r>
      <w:r w:rsidRPr="00857B61">
        <w:rPr>
          <w:rFonts w:ascii="Times New Roman" w:hAnsi="Times New Roman" w:cs="Times New Roman" w:hint="eastAsia"/>
        </w:rPr>
        <w:t xml:space="preserve">  </w:t>
      </w:r>
      <w:r w:rsidRPr="00857B61">
        <w:rPr>
          <w:rFonts w:ascii="Times New Roman" w:hAnsi="Times New Roman" w:cs="Times New Roman" w:hint="eastAsia"/>
        </w:rPr>
        <w:t>基于双重差分法的实证分析》，《中外法学》第</w:t>
      </w:r>
      <w:r w:rsidRPr="00857B61">
        <w:rPr>
          <w:rFonts w:ascii="Times New Roman" w:hAnsi="Times New Roman" w:cs="Times New Roman" w:hint="eastAsia"/>
        </w:rPr>
        <w:t>5</w:t>
      </w:r>
      <w:r w:rsidRPr="00857B61">
        <w:rPr>
          <w:rFonts w:ascii="Times New Roman" w:hAnsi="Times New Roman" w:cs="Times New Roman" w:hint="eastAsia"/>
        </w:rPr>
        <w:t>期。</w:t>
      </w:r>
    </w:p>
    <w:p w14:paraId="66DC1B63" w14:textId="77777777" w:rsidR="00DE7EC6" w:rsidRPr="00857B61" w:rsidRDefault="00000000">
      <w:pPr>
        <w:rPr>
          <w:rFonts w:ascii="Times New Roman" w:hAnsi="Times New Roman" w:cs="Times New Roman"/>
        </w:rPr>
      </w:pPr>
      <w:r w:rsidRPr="00857B61">
        <w:rPr>
          <w:rFonts w:ascii="Times New Roman" w:hAnsi="Times New Roman" w:cs="Times New Roman" w:hint="eastAsia"/>
        </w:rPr>
        <w:t>陈信元</w:t>
      </w:r>
      <w:r w:rsidRPr="00857B61">
        <w:rPr>
          <w:rFonts w:ascii="Times New Roman" w:hAnsi="Times New Roman" w:cs="Times New Roman" w:hint="eastAsia"/>
        </w:rPr>
        <w:t xml:space="preserve"> </w:t>
      </w:r>
      <w:r w:rsidRPr="00857B61">
        <w:rPr>
          <w:rFonts w:ascii="Times New Roman" w:hAnsi="Times New Roman" w:cs="Times New Roman" w:hint="eastAsia"/>
        </w:rPr>
        <w:t>黄俊，</w:t>
      </w:r>
      <w:r w:rsidRPr="00857B61">
        <w:rPr>
          <w:rFonts w:ascii="Times New Roman" w:hAnsi="Times New Roman" w:cs="Times New Roman" w:hint="eastAsia"/>
        </w:rPr>
        <w:t>2007</w:t>
      </w:r>
      <w:r w:rsidRPr="00857B61">
        <w:rPr>
          <w:rFonts w:ascii="Times New Roman" w:hAnsi="Times New Roman" w:cs="Times New Roman" w:hint="eastAsia"/>
        </w:rPr>
        <w:t>：《政府干预、多元化经营与公司业绩》，《管理世界》第</w:t>
      </w:r>
      <w:r w:rsidRPr="00857B61">
        <w:rPr>
          <w:rFonts w:ascii="Times New Roman" w:hAnsi="Times New Roman" w:cs="Times New Roman" w:hint="eastAsia"/>
        </w:rPr>
        <w:t>1</w:t>
      </w:r>
      <w:r w:rsidRPr="00857B61">
        <w:rPr>
          <w:rFonts w:ascii="Times New Roman" w:hAnsi="Times New Roman" w:cs="Times New Roman" w:hint="eastAsia"/>
        </w:rPr>
        <w:t>期。</w:t>
      </w:r>
    </w:p>
    <w:p w14:paraId="251389F8" w14:textId="77777777" w:rsidR="00DE7EC6" w:rsidRPr="00857B61" w:rsidRDefault="00000000">
      <w:pPr>
        <w:rPr>
          <w:rFonts w:ascii="Times New Roman" w:hAnsi="Times New Roman" w:cs="Times New Roman"/>
        </w:rPr>
      </w:pPr>
      <w:r w:rsidRPr="00857B61">
        <w:rPr>
          <w:rFonts w:ascii="Times New Roman" w:hAnsi="Times New Roman" w:cs="Times New Roman" w:hint="eastAsia"/>
        </w:rPr>
        <w:t>方军雄，</w:t>
      </w:r>
      <w:r w:rsidRPr="00857B61">
        <w:rPr>
          <w:rFonts w:ascii="Times New Roman" w:hAnsi="Times New Roman" w:cs="Times New Roman" w:hint="eastAsia"/>
        </w:rPr>
        <w:t>2008</w:t>
      </w:r>
      <w:r w:rsidRPr="00857B61">
        <w:rPr>
          <w:rFonts w:ascii="Times New Roman" w:hAnsi="Times New Roman" w:cs="Times New Roman" w:hint="eastAsia"/>
        </w:rPr>
        <w:t>：《政府干预、所有权性质与企业并购》，《管理世界》第</w:t>
      </w:r>
      <w:r w:rsidRPr="00857B61">
        <w:rPr>
          <w:rFonts w:ascii="Times New Roman" w:hAnsi="Times New Roman" w:cs="Times New Roman" w:hint="eastAsia"/>
        </w:rPr>
        <w:t>9</w:t>
      </w:r>
      <w:r w:rsidRPr="00857B61">
        <w:rPr>
          <w:rFonts w:ascii="Times New Roman" w:hAnsi="Times New Roman" w:cs="Times New Roman" w:hint="eastAsia"/>
        </w:rPr>
        <w:t>期。</w:t>
      </w:r>
    </w:p>
    <w:p w14:paraId="79A0C33C" w14:textId="77777777" w:rsidR="00DE7EC6" w:rsidRPr="00857B61" w:rsidRDefault="00000000">
      <w:pPr>
        <w:rPr>
          <w:rFonts w:ascii="Times New Roman" w:hAnsi="Times New Roman" w:cs="Times New Roman"/>
        </w:rPr>
      </w:pPr>
      <w:r w:rsidRPr="00857B61">
        <w:rPr>
          <w:rFonts w:ascii="Times New Roman" w:hAnsi="Times New Roman" w:cs="Times New Roman" w:hint="eastAsia"/>
        </w:rPr>
        <w:t>黄学贤，</w:t>
      </w:r>
      <w:r w:rsidRPr="00857B61">
        <w:rPr>
          <w:rFonts w:ascii="Times New Roman" w:hAnsi="Times New Roman" w:cs="Times New Roman" w:hint="eastAsia"/>
        </w:rPr>
        <w:t>2005</w:t>
      </w:r>
      <w:r w:rsidRPr="00857B61">
        <w:rPr>
          <w:rFonts w:ascii="Times New Roman" w:hAnsi="Times New Roman" w:cs="Times New Roman" w:hint="eastAsia"/>
        </w:rPr>
        <w:t>：《行政公益诉讼若干热点问题探讨》，《法学》第</w:t>
      </w:r>
      <w:r w:rsidRPr="00857B61">
        <w:rPr>
          <w:rFonts w:ascii="Times New Roman" w:hAnsi="Times New Roman" w:cs="Times New Roman" w:hint="eastAsia"/>
        </w:rPr>
        <w:t>10</w:t>
      </w:r>
      <w:r w:rsidRPr="00857B61">
        <w:rPr>
          <w:rFonts w:ascii="Times New Roman" w:hAnsi="Times New Roman" w:cs="Times New Roman" w:hint="eastAsia"/>
        </w:rPr>
        <w:t>期。</w:t>
      </w:r>
    </w:p>
    <w:p w14:paraId="276ED454" w14:textId="77777777" w:rsidR="00DE7EC6" w:rsidRPr="00857B61" w:rsidRDefault="00000000">
      <w:pPr>
        <w:rPr>
          <w:rFonts w:ascii="Times New Roman" w:hAnsi="Times New Roman" w:cs="Times New Roman"/>
        </w:rPr>
      </w:pPr>
      <w:r w:rsidRPr="00857B61">
        <w:rPr>
          <w:rFonts w:ascii="Times New Roman" w:hAnsi="Times New Roman" w:cs="Times New Roman" w:hint="eastAsia"/>
        </w:rPr>
        <w:t>姜涛，</w:t>
      </w:r>
      <w:r w:rsidRPr="00857B61">
        <w:rPr>
          <w:rFonts w:ascii="Times New Roman" w:hAnsi="Times New Roman" w:cs="Times New Roman" w:hint="eastAsia"/>
        </w:rPr>
        <w:t>2015</w:t>
      </w:r>
      <w:r w:rsidRPr="00857B61">
        <w:rPr>
          <w:rFonts w:ascii="Times New Roman" w:hAnsi="Times New Roman" w:cs="Times New Roman" w:hint="eastAsia"/>
        </w:rPr>
        <w:t>：《检察机关提起行政公益诉讼制度</w:t>
      </w:r>
      <w:r w:rsidRPr="00857B61">
        <w:rPr>
          <w:rFonts w:ascii="Times New Roman" w:hAnsi="Times New Roman" w:cs="Times New Roman" w:hint="eastAsia"/>
        </w:rPr>
        <w:t>:</w:t>
      </w:r>
      <w:r w:rsidRPr="00857B61">
        <w:rPr>
          <w:rFonts w:ascii="Times New Roman" w:hAnsi="Times New Roman" w:cs="Times New Roman" w:hint="eastAsia"/>
        </w:rPr>
        <w:t>一个中国问题的思考》，《政法论坛》第</w:t>
      </w:r>
      <w:r w:rsidRPr="00857B61">
        <w:rPr>
          <w:rFonts w:ascii="Times New Roman" w:hAnsi="Times New Roman" w:cs="Times New Roman" w:hint="eastAsia"/>
        </w:rPr>
        <w:t>6</w:t>
      </w:r>
      <w:r w:rsidRPr="00857B61">
        <w:rPr>
          <w:rFonts w:ascii="Times New Roman" w:hAnsi="Times New Roman" w:cs="Times New Roman" w:hint="eastAsia"/>
        </w:rPr>
        <w:t>期。</w:t>
      </w:r>
    </w:p>
    <w:p w14:paraId="61D453FC"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hint="eastAsia"/>
        </w:rPr>
        <w:t>孔祥稳</w:t>
      </w:r>
      <w:r w:rsidRPr="00857B61">
        <w:rPr>
          <w:rFonts w:ascii="Times New Roman" w:hAnsi="Times New Roman" w:cs="Times New Roman" w:hint="eastAsia"/>
        </w:rPr>
        <w:t xml:space="preserve"> </w:t>
      </w:r>
      <w:r w:rsidRPr="00857B61">
        <w:rPr>
          <w:rFonts w:ascii="Times New Roman" w:hAnsi="Times New Roman" w:cs="Times New Roman" w:hint="eastAsia"/>
        </w:rPr>
        <w:t>王玎</w:t>
      </w:r>
      <w:r w:rsidRPr="00857B61">
        <w:rPr>
          <w:rFonts w:ascii="Times New Roman" w:hAnsi="Times New Roman" w:cs="Times New Roman" w:hint="eastAsia"/>
        </w:rPr>
        <w:t xml:space="preserve"> </w:t>
      </w:r>
      <w:r w:rsidRPr="00857B61">
        <w:rPr>
          <w:rFonts w:ascii="Times New Roman" w:hAnsi="Times New Roman" w:cs="Times New Roman" w:hint="eastAsia"/>
        </w:rPr>
        <w:t>余积明，</w:t>
      </w:r>
      <w:r w:rsidRPr="00857B61">
        <w:rPr>
          <w:rFonts w:ascii="Times New Roman" w:hAnsi="Times New Roman" w:cs="Times New Roman" w:hint="eastAsia"/>
        </w:rPr>
        <w:t>2017</w:t>
      </w:r>
      <w:r w:rsidRPr="00857B61">
        <w:rPr>
          <w:rFonts w:ascii="Times New Roman" w:hAnsi="Times New Roman" w:cs="Times New Roman" w:hint="eastAsia"/>
        </w:rPr>
        <w:t>：《检察机关提起行政公益诉讼试点工作调研报告》，《行政法学研究》第</w:t>
      </w:r>
      <w:r w:rsidRPr="00857B61">
        <w:rPr>
          <w:rFonts w:ascii="Times New Roman" w:hAnsi="Times New Roman" w:cs="Times New Roman" w:hint="eastAsia"/>
        </w:rPr>
        <w:t>5</w:t>
      </w:r>
      <w:r w:rsidRPr="00857B61">
        <w:rPr>
          <w:rFonts w:ascii="Times New Roman" w:hAnsi="Times New Roman" w:cs="Times New Roman" w:hint="eastAsia"/>
        </w:rPr>
        <w:t>期。</w:t>
      </w:r>
    </w:p>
    <w:p w14:paraId="29A6D09A"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hint="eastAsia"/>
        </w:rPr>
        <w:lastRenderedPageBreak/>
        <w:t>李成友</w:t>
      </w:r>
      <w:r w:rsidRPr="00857B61">
        <w:rPr>
          <w:rFonts w:ascii="Times New Roman" w:hAnsi="Times New Roman" w:cs="Times New Roman" w:hint="eastAsia"/>
        </w:rPr>
        <w:t xml:space="preserve"> </w:t>
      </w:r>
      <w:r w:rsidRPr="00857B61">
        <w:rPr>
          <w:rFonts w:ascii="Times New Roman" w:hAnsi="Times New Roman" w:cs="Times New Roman" w:hint="eastAsia"/>
        </w:rPr>
        <w:t>孙涛</w:t>
      </w:r>
      <w:r w:rsidRPr="00857B61">
        <w:rPr>
          <w:rFonts w:ascii="Times New Roman" w:hAnsi="Times New Roman" w:cs="Times New Roman" w:hint="eastAsia"/>
        </w:rPr>
        <w:t xml:space="preserve"> </w:t>
      </w:r>
      <w:r w:rsidRPr="00857B61">
        <w:rPr>
          <w:rFonts w:ascii="Times New Roman" w:hAnsi="Times New Roman" w:cs="Times New Roman" w:hint="eastAsia"/>
        </w:rPr>
        <w:t>王硕，</w:t>
      </w:r>
      <w:r w:rsidRPr="00857B61">
        <w:rPr>
          <w:rFonts w:ascii="Times New Roman" w:hAnsi="Times New Roman" w:cs="Times New Roman" w:hint="eastAsia"/>
        </w:rPr>
        <w:t>2021</w:t>
      </w:r>
      <w:r w:rsidRPr="00857B61">
        <w:rPr>
          <w:rFonts w:ascii="Times New Roman" w:hAnsi="Times New Roman" w:cs="Times New Roman" w:hint="eastAsia"/>
        </w:rPr>
        <w:t>：《人口结构红利、财政支出偏向与中国城乡收入差距》，《经济学动态》</w:t>
      </w:r>
      <w:r w:rsidRPr="00857B61">
        <w:rPr>
          <w:rFonts w:ascii="Times New Roman" w:hAnsi="Times New Roman" w:cs="Times New Roman" w:hint="eastAsia"/>
        </w:rPr>
        <w:t xml:space="preserve">   </w:t>
      </w:r>
      <w:r w:rsidRPr="00857B61">
        <w:rPr>
          <w:rFonts w:ascii="Times New Roman" w:hAnsi="Times New Roman" w:cs="Times New Roman" w:hint="eastAsia"/>
        </w:rPr>
        <w:t>第</w:t>
      </w:r>
      <w:r w:rsidRPr="00857B61">
        <w:rPr>
          <w:rFonts w:ascii="Times New Roman" w:hAnsi="Times New Roman" w:cs="Times New Roman" w:hint="eastAsia"/>
        </w:rPr>
        <w:t>1</w:t>
      </w:r>
      <w:r w:rsidRPr="00857B61">
        <w:rPr>
          <w:rFonts w:ascii="Times New Roman" w:hAnsi="Times New Roman" w:cs="Times New Roman" w:hint="eastAsia"/>
        </w:rPr>
        <w:t>期。</w:t>
      </w:r>
    </w:p>
    <w:p w14:paraId="7F9D668E" w14:textId="77777777" w:rsidR="00DE7EC6" w:rsidRPr="00857B61" w:rsidRDefault="00000000">
      <w:pPr>
        <w:rPr>
          <w:rFonts w:ascii="Times New Roman" w:hAnsi="Times New Roman" w:cs="Times New Roman"/>
        </w:rPr>
      </w:pPr>
      <w:r w:rsidRPr="00857B61">
        <w:rPr>
          <w:rFonts w:ascii="Times New Roman" w:hAnsi="Times New Roman" w:cs="Times New Roman" w:hint="eastAsia"/>
        </w:rPr>
        <w:t>李善民</w:t>
      </w:r>
      <w:r w:rsidRPr="00857B61">
        <w:rPr>
          <w:rFonts w:ascii="Times New Roman" w:hAnsi="Times New Roman" w:cs="Times New Roman" w:hint="eastAsia"/>
        </w:rPr>
        <w:t xml:space="preserve"> </w:t>
      </w:r>
      <w:r w:rsidRPr="00857B61">
        <w:rPr>
          <w:rFonts w:ascii="Times New Roman" w:hAnsi="Times New Roman" w:cs="Times New Roman" w:hint="eastAsia"/>
        </w:rPr>
        <w:t>周小春，</w:t>
      </w:r>
      <w:r w:rsidRPr="00857B61">
        <w:rPr>
          <w:rFonts w:ascii="Times New Roman" w:hAnsi="Times New Roman" w:cs="Times New Roman" w:hint="eastAsia"/>
        </w:rPr>
        <w:t>2007</w:t>
      </w:r>
      <w:r w:rsidRPr="00857B61">
        <w:rPr>
          <w:rFonts w:ascii="Times New Roman" w:hAnsi="Times New Roman" w:cs="Times New Roman" w:hint="eastAsia"/>
        </w:rPr>
        <w:t>：《公司特征、行业特征和并购战略类型的实证研究》，《管理世界》第</w:t>
      </w:r>
      <w:r w:rsidRPr="00857B61">
        <w:rPr>
          <w:rFonts w:ascii="Times New Roman" w:hAnsi="Times New Roman" w:cs="Times New Roman" w:hint="eastAsia"/>
        </w:rPr>
        <w:t>3</w:t>
      </w:r>
      <w:r w:rsidRPr="00857B61">
        <w:rPr>
          <w:rFonts w:ascii="Times New Roman" w:hAnsi="Times New Roman" w:cs="Times New Roman" w:hint="eastAsia"/>
        </w:rPr>
        <w:t>期。</w:t>
      </w:r>
    </w:p>
    <w:p w14:paraId="547441C8"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hint="eastAsia"/>
        </w:rPr>
        <w:t>林长泉</w:t>
      </w:r>
      <w:r w:rsidRPr="00857B61">
        <w:rPr>
          <w:rFonts w:ascii="Times New Roman" w:hAnsi="Times New Roman" w:cs="Times New Roman" w:hint="eastAsia"/>
        </w:rPr>
        <w:t xml:space="preserve"> </w:t>
      </w:r>
      <w:r w:rsidRPr="00857B61">
        <w:rPr>
          <w:rFonts w:ascii="Times New Roman" w:hAnsi="Times New Roman" w:cs="Times New Roman" w:hint="eastAsia"/>
        </w:rPr>
        <w:t>毛新述</w:t>
      </w:r>
      <w:r w:rsidRPr="00857B61">
        <w:rPr>
          <w:rFonts w:ascii="Times New Roman" w:hAnsi="Times New Roman" w:cs="Times New Roman" w:hint="eastAsia"/>
        </w:rPr>
        <w:t xml:space="preserve"> </w:t>
      </w:r>
      <w:r w:rsidRPr="00857B61">
        <w:rPr>
          <w:rFonts w:ascii="Times New Roman" w:hAnsi="Times New Roman" w:cs="Times New Roman" w:hint="eastAsia"/>
        </w:rPr>
        <w:t>刘凯璇，</w:t>
      </w:r>
      <w:r w:rsidRPr="00857B61">
        <w:rPr>
          <w:rFonts w:ascii="Times New Roman" w:hAnsi="Times New Roman" w:cs="Times New Roman" w:hint="eastAsia"/>
        </w:rPr>
        <w:t>2016</w:t>
      </w:r>
      <w:r w:rsidRPr="00857B61">
        <w:rPr>
          <w:rFonts w:ascii="Times New Roman" w:hAnsi="Times New Roman" w:cs="Times New Roman" w:hint="eastAsia"/>
        </w:rPr>
        <w:t>：《董秘性别与信息披露质量——来自沪深</w:t>
      </w:r>
      <w:r w:rsidRPr="00857B61">
        <w:rPr>
          <w:rFonts w:ascii="Times New Roman" w:hAnsi="Times New Roman" w:cs="Times New Roman" w:hint="eastAsia"/>
        </w:rPr>
        <w:t>A</w:t>
      </w:r>
      <w:r w:rsidRPr="00857B61">
        <w:rPr>
          <w:rFonts w:ascii="Times New Roman" w:hAnsi="Times New Roman" w:cs="Times New Roman" w:hint="eastAsia"/>
        </w:rPr>
        <w:t>股市场的经验证据》，《金融研究》第</w:t>
      </w:r>
      <w:r w:rsidRPr="00857B61">
        <w:rPr>
          <w:rFonts w:ascii="Times New Roman" w:hAnsi="Times New Roman" w:cs="Times New Roman" w:hint="eastAsia"/>
        </w:rPr>
        <w:t>9</w:t>
      </w:r>
      <w:r w:rsidRPr="00857B61">
        <w:rPr>
          <w:rFonts w:ascii="Times New Roman" w:hAnsi="Times New Roman" w:cs="Times New Roman" w:hint="eastAsia"/>
        </w:rPr>
        <w:t>期。</w:t>
      </w:r>
    </w:p>
    <w:p w14:paraId="0B0C7A97" w14:textId="77777777" w:rsidR="00DE7EC6" w:rsidRPr="00857B61" w:rsidRDefault="00000000">
      <w:pPr>
        <w:rPr>
          <w:rFonts w:ascii="Times New Roman" w:hAnsi="Times New Roman" w:cs="Times New Roman"/>
        </w:rPr>
      </w:pPr>
      <w:r w:rsidRPr="00857B61">
        <w:rPr>
          <w:rFonts w:ascii="Times New Roman" w:hAnsi="Times New Roman" w:cs="Times New Roman" w:hint="eastAsia"/>
        </w:rPr>
        <w:t>刘灿雷</w:t>
      </w:r>
      <w:r w:rsidRPr="00857B61">
        <w:rPr>
          <w:rFonts w:ascii="Times New Roman" w:hAnsi="Times New Roman" w:cs="Times New Roman" w:hint="eastAsia"/>
        </w:rPr>
        <w:t xml:space="preserve"> </w:t>
      </w:r>
      <w:r w:rsidRPr="00857B61">
        <w:rPr>
          <w:rFonts w:ascii="Times New Roman" w:hAnsi="Times New Roman" w:cs="Times New Roman" w:hint="eastAsia"/>
        </w:rPr>
        <w:t>王若兰</w:t>
      </w:r>
      <w:r w:rsidRPr="00857B61">
        <w:rPr>
          <w:rFonts w:ascii="Times New Roman" w:hAnsi="Times New Roman" w:cs="Times New Roman" w:hint="eastAsia"/>
        </w:rPr>
        <w:t xml:space="preserve"> </w:t>
      </w:r>
      <w:r w:rsidRPr="00857B61">
        <w:rPr>
          <w:rFonts w:ascii="Times New Roman" w:hAnsi="Times New Roman" w:cs="Times New Roman" w:hint="eastAsia"/>
        </w:rPr>
        <w:t>王永进，</w:t>
      </w:r>
      <w:r w:rsidRPr="00857B61">
        <w:rPr>
          <w:rFonts w:ascii="Times New Roman" w:hAnsi="Times New Roman" w:cs="Times New Roman" w:hint="eastAsia"/>
        </w:rPr>
        <w:t>2020</w:t>
      </w:r>
      <w:r w:rsidRPr="00857B61">
        <w:rPr>
          <w:rFonts w:ascii="Times New Roman" w:hAnsi="Times New Roman" w:cs="Times New Roman" w:hint="eastAsia"/>
        </w:rPr>
        <w:t>：《国企监管模式改革的创新驱动效应》，《世界经济》第</w:t>
      </w:r>
      <w:r w:rsidRPr="00857B61">
        <w:rPr>
          <w:rFonts w:ascii="Times New Roman" w:hAnsi="Times New Roman" w:cs="Times New Roman" w:hint="eastAsia"/>
        </w:rPr>
        <w:t>11</w:t>
      </w:r>
      <w:r w:rsidRPr="00857B61">
        <w:rPr>
          <w:rFonts w:ascii="Times New Roman" w:hAnsi="Times New Roman" w:cs="Times New Roman" w:hint="eastAsia"/>
        </w:rPr>
        <w:t>期。</w:t>
      </w:r>
    </w:p>
    <w:p w14:paraId="78C799AA" w14:textId="77777777" w:rsidR="00DE7EC6" w:rsidRPr="00857B61" w:rsidRDefault="00000000">
      <w:pPr>
        <w:rPr>
          <w:rFonts w:ascii="Times New Roman" w:hAnsi="Times New Roman" w:cs="Times New Roman"/>
        </w:rPr>
      </w:pPr>
      <w:r w:rsidRPr="00857B61">
        <w:rPr>
          <w:rFonts w:ascii="Times New Roman" w:hAnsi="Times New Roman" w:cs="Times New Roman" w:hint="eastAsia"/>
        </w:rPr>
        <w:t>马亚军</w:t>
      </w:r>
      <w:r w:rsidRPr="00857B61">
        <w:rPr>
          <w:rFonts w:ascii="Times New Roman" w:hAnsi="Times New Roman" w:cs="Times New Roman" w:hint="eastAsia"/>
        </w:rPr>
        <w:t xml:space="preserve"> </w:t>
      </w:r>
      <w:r w:rsidRPr="00857B61">
        <w:rPr>
          <w:rFonts w:ascii="Times New Roman" w:hAnsi="Times New Roman" w:cs="Times New Roman" w:hint="eastAsia"/>
        </w:rPr>
        <w:t>韩文明，</w:t>
      </w:r>
      <w:r w:rsidRPr="00857B61">
        <w:rPr>
          <w:rFonts w:ascii="Times New Roman" w:hAnsi="Times New Roman" w:cs="Times New Roman" w:hint="eastAsia"/>
        </w:rPr>
        <w:t>2003</w:t>
      </w:r>
      <w:r w:rsidRPr="00857B61">
        <w:rPr>
          <w:rFonts w:ascii="Times New Roman" w:hAnsi="Times New Roman" w:cs="Times New Roman" w:hint="eastAsia"/>
        </w:rPr>
        <w:t>：《上市公司国有资产价值流失分析》，《中国工业经济》第</w:t>
      </w:r>
      <w:r w:rsidRPr="00857B61">
        <w:rPr>
          <w:rFonts w:ascii="Times New Roman" w:hAnsi="Times New Roman" w:cs="Times New Roman" w:hint="eastAsia"/>
        </w:rPr>
        <w:t>5</w:t>
      </w:r>
      <w:r w:rsidRPr="00857B61">
        <w:rPr>
          <w:rFonts w:ascii="Times New Roman" w:hAnsi="Times New Roman" w:cs="Times New Roman" w:hint="eastAsia"/>
        </w:rPr>
        <w:t>期。</w:t>
      </w:r>
    </w:p>
    <w:p w14:paraId="1C5F1269" w14:textId="77777777" w:rsidR="00DE7EC6" w:rsidRPr="00857B61" w:rsidRDefault="00000000">
      <w:pPr>
        <w:rPr>
          <w:rFonts w:ascii="Times New Roman" w:hAnsi="Times New Roman" w:cs="Times New Roman"/>
        </w:rPr>
      </w:pPr>
      <w:r w:rsidRPr="00857B61">
        <w:rPr>
          <w:rFonts w:ascii="Times New Roman" w:hAnsi="Times New Roman" w:cs="Times New Roman" w:hint="eastAsia"/>
        </w:rPr>
        <w:t>梅傲寒</w:t>
      </w:r>
      <w:r w:rsidRPr="00857B61">
        <w:rPr>
          <w:rFonts w:ascii="Times New Roman" w:hAnsi="Times New Roman" w:cs="Times New Roman" w:hint="eastAsia"/>
        </w:rPr>
        <w:t xml:space="preserve"> </w:t>
      </w:r>
      <w:r w:rsidRPr="00857B61">
        <w:rPr>
          <w:rFonts w:ascii="Times New Roman" w:hAnsi="Times New Roman" w:cs="Times New Roman" w:hint="eastAsia"/>
        </w:rPr>
        <w:t>石晓波，</w:t>
      </w:r>
      <w:r w:rsidRPr="00857B61">
        <w:rPr>
          <w:rFonts w:ascii="Times New Roman" w:hAnsi="Times New Roman" w:cs="Times New Roman" w:hint="eastAsia"/>
        </w:rPr>
        <w:t>2019</w:t>
      </w:r>
      <w:r w:rsidRPr="00857B61">
        <w:rPr>
          <w:rFonts w:ascii="Times New Roman" w:hAnsi="Times New Roman" w:cs="Times New Roman" w:hint="eastAsia"/>
        </w:rPr>
        <w:t>：《论国有资产公益诉讼的价值功能与完善路径》，《南京社会科学》第</w:t>
      </w:r>
      <w:r w:rsidRPr="00857B61">
        <w:rPr>
          <w:rFonts w:ascii="Times New Roman" w:hAnsi="Times New Roman" w:cs="Times New Roman" w:hint="eastAsia"/>
        </w:rPr>
        <w:t>8</w:t>
      </w:r>
      <w:r w:rsidRPr="00857B61">
        <w:rPr>
          <w:rFonts w:ascii="Times New Roman" w:hAnsi="Times New Roman" w:cs="Times New Roman" w:hint="eastAsia"/>
        </w:rPr>
        <w:t>期。</w:t>
      </w:r>
    </w:p>
    <w:p w14:paraId="0651FF2B" w14:textId="77777777" w:rsidR="00DE7EC6" w:rsidRPr="00857B61" w:rsidRDefault="00000000">
      <w:pPr>
        <w:rPr>
          <w:rFonts w:ascii="Times New Roman" w:hAnsi="Times New Roman" w:cs="Times New Roman"/>
        </w:rPr>
      </w:pPr>
      <w:r w:rsidRPr="00857B61">
        <w:rPr>
          <w:rFonts w:ascii="Times New Roman" w:hAnsi="Times New Roman" w:cs="Times New Roman" w:hint="eastAsia"/>
        </w:rPr>
        <w:t>米盈，</w:t>
      </w:r>
      <w:r w:rsidRPr="00857B61">
        <w:rPr>
          <w:rFonts w:ascii="Times New Roman" w:hAnsi="Times New Roman" w:cs="Times New Roman" w:hint="eastAsia"/>
        </w:rPr>
        <w:t>2006</w:t>
      </w:r>
      <w:r w:rsidRPr="00857B61">
        <w:rPr>
          <w:rFonts w:ascii="Times New Roman" w:hAnsi="Times New Roman" w:cs="Times New Roman" w:hint="eastAsia"/>
        </w:rPr>
        <w:t>：《中国上市公司</w:t>
      </w:r>
      <w:r w:rsidRPr="00857B61">
        <w:rPr>
          <w:rFonts w:ascii="Times New Roman" w:hAnsi="Times New Roman" w:cs="Times New Roman" w:hint="eastAsia"/>
        </w:rPr>
        <w:t>MBO</w:t>
      </w:r>
      <w:r w:rsidRPr="00857B61">
        <w:rPr>
          <w:rFonts w:ascii="Times New Roman" w:hAnsi="Times New Roman" w:cs="Times New Roman" w:hint="eastAsia"/>
        </w:rPr>
        <w:t>过程中国有资产流失研究》，《管理世界》第</w:t>
      </w:r>
      <w:r w:rsidRPr="00857B61">
        <w:rPr>
          <w:rFonts w:ascii="Times New Roman" w:hAnsi="Times New Roman" w:cs="Times New Roman" w:hint="eastAsia"/>
        </w:rPr>
        <w:t>8</w:t>
      </w:r>
      <w:r w:rsidRPr="00857B61">
        <w:rPr>
          <w:rFonts w:ascii="Times New Roman" w:hAnsi="Times New Roman" w:cs="Times New Roman" w:hint="eastAsia"/>
        </w:rPr>
        <w:t>期。</w:t>
      </w:r>
    </w:p>
    <w:p w14:paraId="12B6D0DE"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hint="eastAsia"/>
        </w:rPr>
        <w:t>潘红波</w:t>
      </w:r>
      <w:r w:rsidRPr="00857B61">
        <w:rPr>
          <w:rFonts w:ascii="Times New Roman" w:hAnsi="Times New Roman" w:cs="Times New Roman" w:hint="eastAsia"/>
        </w:rPr>
        <w:t xml:space="preserve"> </w:t>
      </w:r>
      <w:r w:rsidRPr="00857B61">
        <w:rPr>
          <w:rFonts w:ascii="Times New Roman" w:hAnsi="Times New Roman" w:cs="Times New Roman" w:hint="eastAsia"/>
        </w:rPr>
        <w:t>夏新平</w:t>
      </w:r>
      <w:r w:rsidRPr="00857B61">
        <w:rPr>
          <w:rFonts w:ascii="Times New Roman" w:hAnsi="Times New Roman" w:cs="Times New Roman" w:hint="eastAsia"/>
        </w:rPr>
        <w:t xml:space="preserve"> </w:t>
      </w:r>
      <w:r w:rsidRPr="00857B61">
        <w:rPr>
          <w:rFonts w:ascii="Times New Roman" w:hAnsi="Times New Roman" w:cs="Times New Roman" w:hint="eastAsia"/>
        </w:rPr>
        <w:t>余明桂，</w:t>
      </w:r>
      <w:r w:rsidRPr="00857B61">
        <w:rPr>
          <w:rFonts w:ascii="Times New Roman" w:hAnsi="Times New Roman" w:cs="Times New Roman" w:hint="eastAsia"/>
        </w:rPr>
        <w:t>2008</w:t>
      </w:r>
      <w:r w:rsidRPr="00857B61">
        <w:rPr>
          <w:rFonts w:ascii="Times New Roman" w:hAnsi="Times New Roman" w:cs="Times New Roman" w:hint="eastAsia"/>
        </w:rPr>
        <w:t>：《政府干预、政治关联与地方国有企业并购》，《经济研究》第</w:t>
      </w:r>
      <w:r w:rsidRPr="00857B61">
        <w:rPr>
          <w:rFonts w:ascii="Times New Roman" w:hAnsi="Times New Roman" w:cs="Times New Roman" w:hint="eastAsia"/>
        </w:rPr>
        <w:t>4</w:t>
      </w:r>
      <w:r w:rsidRPr="00857B61">
        <w:rPr>
          <w:rFonts w:ascii="Times New Roman" w:hAnsi="Times New Roman" w:cs="Times New Roman" w:hint="eastAsia"/>
        </w:rPr>
        <w:t>期。</w:t>
      </w:r>
    </w:p>
    <w:p w14:paraId="0A7789A0" w14:textId="77777777" w:rsidR="00DE7EC6" w:rsidRPr="00857B61" w:rsidRDefault="00000000">
      <w:pPr>
        <w:rPr>
          <w:rFonts w:ascii="Times New Roman" w:hAnsi="Times New Roman" w:cs="Times New Roman"/>
        </w:rPr>
      </w:pPr>
      <w:r w:rsidRPr="00857B61">
        <w:rPr>
          <w:rFonts w:ascii="Times New Roman" w:hAnsi="Times New Roman" w:cs="Times New Roman" w:hint="eastAsia"/>
        </w:rPr>
        <w:t>苏锡坤</w:t>
      </w:r>
      <w:r w:rsidRPr="00857B61">
        <w:rPr>
          <w:rFonts w:ascii="Times New Roman" w:hAnsi="Times New Roman" w:cs="Times New Roman" w:hint="eastAsia"/>
        </w:rPr>
        <w:t xml:space="preserve"> </w:t>
      </w:r>
      <w:r w:rsidRPr="00857B61">
        <w:rPr>
          <w:rFonts w:ascii="Times New Roman" w:hAnsi="Times New Roman" w:cs="Times New Roman" w:hint="eastAsia"/>
        </w:rPr>
        <w:t>刘永清，</w:t>
      </w:r>
      <w:r w:rsidRPr="00857B61">
        <w:rPr>
          <w:rFonts w:ascii="Times New Roman" w:hAnsi="Times New Roman" w:cs="Times New Roman" w:hint="eastAsia"/>
        </w:rPr>
        <w:t>1998</w:t>
      </w:r>
      <w:r w:rsidRPr="00857B61">
        <w:rPr>
          <w:rFonts w:ascii="Times New Roman" w:hAnsi="Times New Roman" w:cs="Times New Roman" w:hint="eastAsia"/>
        </w:rPr>
        <w:t>：《企业兼并收购中的问题和对策研究》，《中国软科学》第</w:t>
      </w:r>
      <w:r w:rsidRPr="00857B61">
        <w:rPr>
          <w:rFonts w:ascii="Times New Roman" w:hAnsi="Times New Roman" w:cs="Times New Roman" w:hint="eastAsia"/>
        </w:rPr>
        <w:t>1</w:t>
      </w:r>
      <w:r w:rsidRPr="00857B61">
        <w:rPr>
          <w:rFonts w:ascii="Times New Roman" w:hAnsi="Times New Roman" w:cs="Times New Roman" w:hint="eastAsia"/>
        </w:rPr>
        <w:t>期。</w:t>
      </w:r>
    </w:p>
    <w:p w14:paraId="26E782B6" w14:textId="77777777" w:rsidR="00DE7EC6" w:rsidRPr="00857B61" w:rsidRDefault="00000000">
      <w:pPr>
        <w:rPr>
          <w:rFonts w:ascii="Times New Roman" w:hAnsi="Times New Roman" w:cs="Times New Roman"/>
        </w:rPr>
      </w:pPr>
      <w:r w:rsidRPr="00857B61">
        <w:rPr>
          <w:rFonts w:ascii="Times New Roman" w:hAnsi="Times New Roman" w:cs="Times New Roman" w:hint="eastAsia"/>
        </w:rPr>
        <w:t>覃慧，</w:t>
      </w:r>
      <w:r w:rsidRPr="00857B61">
        <w:rPr>
          <w:rFonts w:ascii="Times New Roman" w:hAnsi="Times New Roman" w:cs="Times New Roman" w:hint="eastAsia"/>
        </w:rPr>
        <w:t>2019</w:t>
      </w:r>
      <w:r w:rsidRPr="00857B61">
        <w:rPr>
          <w:rFonts w:ascii="Times New Roman" w:hAnsi="Times New Roman" w:cs="Times New Roman" w:hint="eastAsia"/>
        </w:rPr>
        <w:t>：《检察机关提起行政公益诉讼的实证考察》，《行政法学研究》第</w:t>
      </w:r>
      <w:r w:rsidRPr="00857B61">
        <w:rPr>
          <w:rFonts w:ascii="Times New Roman" w:hAnsi="Times New Roman" w:cs="Times New Roman" w:hint="eastAsia"/>
        </w:rPr>
        <w:t>3</w:t>
      </w:r>
      <w:r w:rsidRPr="00857B61">
        <w:rPr>
          <w:rFonts w:ascii="Times New Roman" w:hAnsi="Times New Roman" w:cs="Times New Roman" w:hint="eastAsia"/>
        </w:rPr>
        <w:t>期。</w:t>
      </w:r>
    </w:p>
    <w:p w14:paraId="1A8E53D1"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hint="eastAsia"/>
        </w:rPr>
        <w:t>唐松</w:t>
      </w:r>
      <w:r w:rsidRPr="00857B61">
        <w:rPr>
          <w:rFonts w:ascii="Times New Roman" w:hAnsi="Times New Roman" w:cs="Times New Roman" w:hint="eastAsia"/>
        </w:rPr>
        <w:t xml:space="preserve"> </w:t>
      </w:r>
      <w:r w:rsidRPr="00857B61">
        <w:rPr>
          <w:rFonts w:ascii="Times New Roman" w:hAnsi="Times New Roman" w:cs="Times New Roman" w:hint="eastAsia"/>
        </w:rPr>
        <w:t>伍旭川</w:t>
      </w:r>
      <w:r w:rsidRPr="00857B61">
        <w:rPr>
          <w:rFonts w:ascii="Times New Roman" w:hAnsi="Times New Roman" w:cs="Times New Roman" w:hint="eastAsia"/>
        </w:rPr>
        <w:t xml:space="preserve"> </w:t>
      </w:r>
      <w:r w:rsidRPr="00857B61">
        <w:rPr>
          <w:rFonts w:ascii="Times New Roman" w:hAnsi="Times New Roman" w:cs="Times New Roman" w:hint="eastAsia"/>
        </w:rPr>
        <w:t>祝佳，</w:t>
      </w:r>
      <w:r w:rsidRPr="00857B61">
        <w:rPr>
          <w:rFonts w:ascii="Times New Roman" w:hAnsi="Times New Roman" w:cs="Times New Roman" w:hint="eastAsia"/>
        </w:rPr>
        <w:t>2020</w:t>
      </w:r>
      <w:r w:rsidRPr="00857B61">
        <w:rPr>
          <w:rFonts w:ascii="Times New Roman" w:hAnsi="Times New Roman" w:cs="Times New Roman" w:hint="eastAsia"/>
        </w:rPr>
        <w:t>：《数字金融与企业技术创新——结构特征、机制识别与金融监管下的效应差异》，《管理世界》第</w:t>
      </w:r>
      <w:r w:rsidRPr="00857B61">
        <w:rPr>
          <w:rFonts w:ascii="Times New Roman" w:hAnsi="Times New Roman" w:cs="Times New Roman" w:hint="eastAsia"/>
        </w:rPr>
        <w:t>5</w:t>
      </w:r>
      <w:r w:rsidRPr="00857B61">
        <w:rPr>
          <w:rFonts w:ascii="Times New Roman" w:hAnsi="Times New Roman" w:cs="Times New Roman" w:hint="eastAsia"/>
        </w:rPr>
        <w:t>期。</w:t>
      </w:r>
    </w:p>
    <w:p w14:paraId="61322847" w14:textId="77777777" w:rsidR="00DE7EC6" w:rsidRPr="00857B61" w:rsidRDefault="00000000">
      <w:pPr>
        <w:rPr>
          <w:rFonts w:ascii="Times New Roman" w:hAnsi="Times New Roman" w:cs="Times New Roman"/>
        </w:rPr>
      </w:pPr>
      <w:r w:rsidRPr="00857B61">
        <w:rPr>
          <w:rFonts w:ascii="Times New Roman" w:hAnsi="Times New Roman" w:cs="Times New Roman" w:hint="eastAsia"/>
        </w:rPr>
        <w:t>唐宗明</w:t>
      </w:r>
      <w:r w:rsidRPr="00857B61">
        <w:rPr>
          <w:rFonts w:ascii="Times New Roman" w:hAnsi="Times New Roman" w:cs="Times New Roman" w:hint="eastAsia"/>
        </w:rPr>
        <w:t xml:space="preserve"> </w:t>
      </w:r>
      <w:r w:rsidRPr="00857B61">
        <w:rPr>
          <w:rFonts w:ascii="Times New Roman" w:hAnsi="Times New Roman" w:cs="Times New Roman" w:hint="eastAsia"/>
        </w:rPr>
        <w:t>蒋位，</w:t>
      </w:r>
      <w:r w:rsidRPr="00857B61">
        <w:rPr>
          <w:rFonts w:ascii="Times New Roman" w:hAnsi="Times New Roman" w:cs="Times New Roman" w:hint="eastAsia"/>
        </w:rPr>
        <w:t>2002</w:t>
      </w:r>
      <w:r w:rsidRPr="00857B61">
        <w:rPr>
          <w:rFonts w:ascii="Times New Roman" w:hAnsi="Times New Roman" w:cs="Times New Roman" w:hint="eastAsia"/>
        </w:rPr>
        <w:t>：《中国上市公司大股东侵害度实证分析》，《经济研究》第</w:t>
      </w:r>
      <w:r w:rsidRPr="00857B61">
        <w:rPr>
          <w:rFonts w:ascii="Times New Roman" w:hAnsi="Times New Roman" w:cs="Times New Roman" w:hint="eastAsia"/>
        </w:rPr>
        <w:t>4</w:t>
      </w:r>
      <w:r w:rsidRPr="00857B61">
        <w:rPr>
          <w:rFonts w:ascii="Times New Roman" w:hAnsi="Times New Roman" w:cs="Times New Roman" w:hint="eastAsia"/>
        </w:rPr>
        <w:t>期。</w:t>
      </w:r>
    </w:p>
    <w:p w14:paraId="5C402434"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hint="eastAsia"/>
        </w:rPr>
        <w:t>王凤荣</w:t>
      </w:r>
      <w:r w:rsidRPr="00857B61">
        <w:rPr>
          <w:rFonts w:ascii="Times New Roman" w:hAnsi="Times New Roman" w:cs="Times New Roman" w:hint="eastAsia"/>
        </w:rPr>
        <w:t xml:space="preserve"> </w:t>
      </w:r>
      <w:r w:rsidRPr="00857B61">
        <w:rPr>
          <w:rFonts w:ascii="Times New Roman" w:hAnsi="Times New Roman" w:cs="Times New Roman" w:hint="eastAsia"/>
        </w:rPr>
        <w:t>苗妙，</w:t>
      </w:r>
      <w:r w:rsidRPr="00857B61">
        <w:rPr>
          <w:rFonts w:ascii="Times New Roman" w:hAnsi="Times New Roman" w:cs="Times New Roman" w:hint="eastAsia"/>
        </w:rPr>
        <w:t>2015</w:t>
      </w:r>
      <w:r w:rsidRPr="00857B61">
        <w:rPr>
          <w:rFonts w:ascii="Times New Roman" w:hAnsi="Times New Roman" w:cs="Times New Roman" w:hint="eastAsia"/>
        </w:rPr>
        <w:t>：《税收竞争、区域环境与资本跨区流动——基于企业异地并购视角的实证研究》，《经济研究》第</w:t>
      </w:r>
      <w:r w:rsidRPr="00857B61">
        <w:rPr>
          <w:rFonts w:ascii="Times New Roman" w:hAnsi="Times New Roman" w:cs="Times New Roman" w:hint="eastAsia"/>
        </w:rPr>
        <w:t>2</w:t>
      </w:r>
      <w:r w:rsidRPr="00857B61">
        <w:rPr>
          <w:rFonts w:ascii="Times New Roman" w:hAnsi="Times New Roman" w:cs="Times New Roman" w:hint="eastAsia"/>
        </w:rPr>
        <w:t>期。</w:t>
      </w:r>
    </w:p>
    <w:p w14:paraId="23B9B4C3"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hint="eastAsia"/>
        </w:rPr>
        <w:t>王凤荣</w:t>
      </w:r>
      <w:r w:rsidRPr="00857B61">
        <w:rPr>
          <w:rFonts w:ascii="Times New Roman" w:hAnsi="Times New Roman" w:cs="Times New Roman" w:hint="eastAsia"/>
        </w:rPr>
        <w:t xml:space="preserve"> </w:t>
      </w:r>
      <w:r w:rsidRPr="00857B61">
        <w:rPr>
          <w:rFonts w:ascii="Times New Roman" w:hAnsi="Times New Roman" w:cs="Times New Roman" w:hint="eastAsia"/>
        </w:rPr>
        <w:t>高飞，</w:t>
      </w:r>
      <w:r w:rsidRPr="00857B61">
        <w:rPr>
          <w:rFonts w:ascii="Times New Roman" w:hAnsi="Times New Roman" w:cs="Times New Roman" w:hint="eastAsia"/>
        </w:rPr>
        <w:t>2012</w:t>
      </w:r>
      <w:r w:rsidRPr="00857B61">
        <w:rPr>
          <w:rFonts w:ascii="Times New Roman" w:hAnsi="Times New Roman" w:cs="Times New Roman" w:hint="eastAsia"/>
        </w:rPr>
        <w:t>：《政府干预、企业生命周期与并购绩效——基于我国地方国有上市公司的经验数据》，《金融研究》第</w:t>
      </w:r>
      <w:r w:rsidRPr="00857B61">
        <w:rPr>
          <w:rFonts w:ascii="Times New Roman" w:hAnsi="Times New Roman" w:cs="Times New Roman" w:hint="eastAsia"/>
        </w:rPr>
        <w:t>12</w:t>
      </w:r>
      <w:r w:rsidRPr="00857B61">
        <w:rPr>
          <w:rFonts w:ascii="Times New Roman" w:hAnsi="Times New Roman" w:cs="Times New Roman" w:hint="eastAsia"/>
        </w:rPr>
        <w:t>期。</w:t>
      </w:r>
    </w:p>
    <w:p w14:paraId="26585676" w14:textId="77777777" w:rsidR="00DE7EC6" w:rsidRPr="00857B61" w:rsidRDefault="00000000">
      <w:pPr>
        <w:rPr>
          <w:rFonts w:ascii="Times New Roman" w:hAnsi="Times New Roman" w:cs="Times New Roman"/>
        </w:rPr>
      </w:pPr>
      <w:r w:rsidRPr="00857B61">
        <w:rPr>
          <w:rFonts w:ascii="Times New Roman" w:hAnsi="Times New Roman" w:cs="Times New Roman" w:hint="eastAsia"/>
        </w:rPr>
        <w:t>王思斌，</w:t>
      </w:r>
      <w:r w:rsidRPr="00857B61">
        <w:rPr>
          <w:rFonts w:ascii="Times New Roman" w:hAnsi="Times New Roman" w:cs="Times New Roman" w:hint="eastAsia"/>
        </w:rPr>
        <w:t>1996</w:t>
      </w:r>
      <w:r w:rsidRPr="00857B61">
        <w:rPr>
          <w:rFonts w:ascii="Times New Roman" w:hAnsi="Times New Roman" w:cs="Times New Roman" w:hint="eastAsia"/>
        </w:rPr>
        <w:t>：《中国人际关系初级化与社会变迁》，《管理世界》第</w:t>
      </w:r>
      <w:r w:rsidRPr="00857B61">
        <w:rPr>
          <w:rFonts w:ascii="Times New Roman" w:hAnsi="Times New Roman" w:cs="Times New Roman" w:hint="eastAsia"/>
        </w:rPr>
        <w:t>3</w:t>
      </w:r>
      <w:r w:rsidRPr="00857B61">
        <w:rPr>
          <w:rFonts w:ascii="Times New Roman" w:hAnsi="Times New Roman" w:cs="Times New Roman" w:hint="eastAsia"/>
        </w:rPr>
        <w:t>期。</w:t>
      </w:r>
    </w:p>
    <w:p w14:paraId="25F9BA7F" w14:textId="77777777" w:rsidR="00DE7EC6" w:rsidRPr="00857B61" w:rsidRDefault="00000000">
      <w:pPr>
        <w:rPr>
          <w:rFonts w:ascii="Times New Roman" w:hAnsi="Times New Roman" w:cs="Times New Roman"/>
        </w:rPr>
      </w:pPr>
      <w:r w:rsidRPr="00857B61">
        <w:rPr>
          <w:rFonts w:ascii="Times New Roman" w:hAnsi="Times New Roman" w:cs="Times New Roman" w:hint="eastAsia"/>
        </w:rPr>
        <w:t>王太高，</w:t>
      </w:r>
      <w:r w:rsidRPr="00857B61">
        <w:rPr>
          <w:rFonts w:ascii="Times New Roman" w:hAnsi="Times New Roman" w:cs="Times New Roman" w:hint="eastAsia"/>
        </w:rPr>
        <w:t>2002</w:t>
      </w:r>
      <w:r w:rsidRPr="00857B61">
        <w:rPr>
          <w:rFonts w:ascii="Times New Roman" w:hAnsi="Times New Roman" w:cs="Times New Roman" w:hint="eastAsia"/>
        </w:rPr>
        <w:t>：《论行政公益诉讼》，《法学研究》第</w:t>
      </w:r>
      <w:r w:rsidRPr="00857B61">
        <w:rPr>
          <w:rFonts w:ascii="Times New Roman" w:hAnsi="Times New Roman" w:cs="Times New Roman" w:hint="eastAsia"/>
        </w:rPr>
        <w:t>5</w:t>
      </w:r>
      <w:r w:rsidRPr="00857B61">
        <w:rPr>
          <w:rFonts w:ascii="Times New Roman" w:hAnsi="Times New Roman" w:cs="Times New Roman" w:hint="eastAsia"/>
        </w:rPr>
        <w:t>期。</w:t>
      </w:r>
    </w:p>
    <w:p w14:paraId="78745481" w14:textId="77777777" w:rsidR="00DE7EC6" w:rsidRPr="00857B61" w:rsidRDefault="00000000">
      <w:pPr>
        <w:rPr>
          <w:rFonts w:ascii="Times New Roman" w:hAnsi="Times New Roman" w:cs="Times New Roman"/>
        </w:rPr>
      </w:pPr>
      <w:r w:rsidRPr="00857B61">
        <w:rPr>
          <w:rFonts w:ascii="Times New Roman" w:hAnsi="Times New Roman" w:cs="Times New Roman" w:hint="eastAsia"/>
        </w:rPr>
        <w:t>王万华，</w:t>
      </w:r>
      <w:r w:rsidRPr="00857B61">
        <w:rPr>
          <w:rFonts w:ascii="Times New Roman" w:hAnsi="Times New Roman" w:cs="Times New Roman" w:hint="eastAsia"/>
        </w:rPr>
        <w:t>2018</w:t>
      </w:r>
      <w:r w:rsidRPr="00857B61">
        <w:rPr>
          <w:rFonts w:ascii="Times New Roman" w:hAnsi="Times New Roman" w:cs="Times New Roman" w:hint="eastAsia"/>
        </w:rPr>
        <w:t>：《完善检察机关</w:t>
      </w:r>
      <w:r w:rsidRPr="00857B61">
        <w:rPr>
          <w:rFonts w:ascii="Times New Roman" w:hAnsi="Times New Roman" w:cs="Times New Roman" w:hint="eastAsia"/>
        </w:rPr>
        <w:t xml:space="preserve">  </w:t>
      </w:r>
      <w:r w:rsidRPr="00857B61">
        <w:rPr>
          <w:rFonts w:ascii="Times New Roman" w:hAnsi="Times New Roman" w:cs="Times New Roman" w:hint="eastAsia"/>
        </w:rPr>
        <w:t>提起行政公益诉讼制度的若干问题》，《法学杂志》第</w:t>
      </w:r>
      <w:r w:rsidRPr="00857B61">
        <w:rPr>
          <w:rFonts w:ascii="Times New Roman" w:hAnsi="Times New Roman" w:cs="Times New Roman" w:hint="eastAsia"/>
        </w:rPr>
        <w:t>1</w:t>
      </w:r>
      <w:r w:rsidRPr="00857B61">
        <w:rPr>
          <w:rFonts w:ascii="Times New Roman" w:hAnsi="Times New Roman" w:cs="Times New Roman" w:hint="eastAsia"/>
        </w:rPr>
        <w:t>期。</w:t>
      </w:r>
    </w:p>
    <w:p w14:paraId="21DAC5D0" w14:textId="77777777" w:rsidR="00DE7EC6" w:rsidRPr="00857B61" w:rsidRDefault="00000000">
      <w:pPr>
        <w:rPr>
          <w:rFonts w:ascii="Times New Roman" w:hAnsi="Times New Roman" w:cs="Times New Roman"/>
        </w:rPr>
      </w:pPr>
      <w:r w:rsidRPr="00857B61">
        <w:rPr>
          <w:rFonts w:ascii="Times New Roman" w:hAnsi="Times New Roman" w:cs="Times New Roman" w:hint="eastAsia"/>
        </w:rPr>
        <w:t>叶永卫</w:t>
      </w:r>
      <w:r w:rsidRPr="00857B61">
        <w:rPr>
          <w:rFonts w:ascii="Times New Roman" w:hAnsi="Times New Roman" w:cs="Times New Roman" w:hint="eastAsia"/>
        </w:rPr>
        <w:t xml:space="preserve"> </w:t>
      </w:r>
      <w:r w:rsidRPr="00857B61">
        <w:rPr>
          <w:rFonts w:ascii="Times New Roman" w:hAnsi="Times New Roman" w:cs="Times New Roman" w:hint="eastAsia"/>
        </w:rPr>
        <w:t>李增福，</w:t>
      </w:r>
      <w:r w:rsidRPr="00857B61">
        <w:rPr>
          <w:rFonts w:ascii="Times New Roman" w:hAnsi="Times New Roman" w:cs="Times New Roman" w:hint="eastAsia"/>
        </w:rPr>
        <w:t>2020</w:t>
      </w:r>
      <w:r w:rsidRPr="00857B61">
        <w:rPr>
          <w:rFonts w:ascii="Times New Roman" w:hAnsi="Times New Roman" w:cs="Times New Roman" w:hint="eastAsia"/>
        </w:rPr>
        <w:t>：《续贷限制与企业技术创新》，《金融研究》第</w:t>
      </w:r>
      <w:r w:rsidRPr="00857B61">
        <w:rPr>
          <w:rFonts w:ascii="Times New Roman" w:hAnsi="Times New Roman" w:cs="Times New Roman" w:hint="eastAsia"/>
        </w:rPr>
        <w:t>11</w:t>
      </w:r>
      <w:r w:rsidRPr="00857B61">
        <w:rPr>
          <w:rFonts w:ascii="Times New Roman" w:hAnsi="Times New Roman" w:cs="Times New Roman" w:hint="eastAsia"/>
        </w:rPr>
        <w:t>期。</w:t>
      </w:r>
    </w:p>
    <w:p w14:paraId="60E3743C" w14:textId="77777777" w:rsidR="00DE7EC6" w:rsidRPr="00857B61" w:rsidRDefault="00000000">
      <w:pPr>
        <w:rPr>
          <w:rFonts w:ascii="Times New Roman" w:hAnsi="Times New Roman" w:cs="Times New Roman"/>
        </w:rPr>
      </w:pPr>
      <w:r w:rsidRPr="00857B61">
        <w:rPr>
          <w:rFonts w:ascii="Times New Roman" w:hAnsi="Times New Roman" w:cs="Times New Roman" w:hint="eastAsia"/>
        </w:rPr>
        <w:t>银温泉</w:t>
      </w:r>
      <w:r w:rsidRPr="00857B61">
        <w:rPr>
          <w:rFonts w:ascii="Times New Roman" w:hAnsi="Times New Roman" w:cs="Times New Roman" w:hint="eastAsia"/>
        </w:rPr>
        <w:t xml:space="preserve"> </w:t>
      </w:r>
      <w:r w:rsidRPr="00857B61">
        <w:rPr>
          <w:rFonts w:ascii="Times New Roman" w:hAnsi="Times New Roman" w:cs="Times New Roman" w:hint="eastAsia"/>
        </w:rPr>
        <w:t>才婉茹，</w:t>
      </w:r>
      <w:r w:rsidRPr="00857B61">
        <w:rPr>
          <w:rFonts w:ascii="Times New Roman" w:hAnsi="Times New Roman" w:cs="Times New Roman" w:hint="eastAsia"/>
        </w:rPr>
        <w:t>2001</w:t>
      </w:r>
      <w:r w:rsidRPr="00857B61">
        <w:rPr>
          <w:rFonts w:ascii="Times New Roman" w:hAnsi="Times New Roman" w:cs="Times New Roman" w:hint="eastAsia"/>
        </w:rPr>
        <w:t>：《我国地方市场分割的成因和治理》，《经济研究》第</w:t>
      </w:r>
      <w:r w:rsidRPr="00857B61">
        <w:rPr>
          <w:rFonts w:ascii="Times New Roman" w:hAnsi="Times New Roman" w:cs="Times New Roman" w:hint="eastAsia"/>
        </w:rPr>
        <w:t>6</w:t>
      </w:r>
      <w:r w:rsidRPr="00857B61">
        <w:rPr>
          <w:rFonts w:ascii="Times New Roman" w:hAnsi="Times New Roman" w:cs="Times New Roman" w:hint="eastAsia"/>
        </w:rPr>
        <w:t>期。</w:t>
      </w:r>
    </w:p>
    <w:p w14:paraId="10EEFA11" w14:textId="77777777" w:rsidR="00DE7EC6" w:rsidRPr="00857B61" w:rsidRDefault="00000000">
      <w:pPr>
        <w:rPr>
          <w:rFonts w:ascii="Times New Roman" w:hAnsi="Times New Roman" w:cs="Times New Roman"/>
        </w:rPr>
      </w:pPr>
      <w:r w:rsidRPr="00857B61">
        <w:rPr>
          <w:rFonts w:ascii="Times New Roman" w:hAnsi="Times New Roman" w:cs="Times New Roman" w:hint="eastAsia"/>
        </w:rPr>
        <w:t>余明桂</w:t>
      </w:r>
      <w:r w:rsidRPr="00857B61">
        <w:rPr>
          <w:rFonts w:ascii="Times New Roman" w:hAnsi="Times New Roman" w:cs="Times New Roman" w:hint="eastAsia"/>
        </w:rPr>
        <w:t xml:space="preserve"> </w:t>
      </w:r>
      <w:r w:rsidRPr="00857B61">
        <w:rPr>
          <w:rFonts w:ascii="Times New Roman" w:hAnsi="Times New Roman" w:cs="Times New Roman" w:hint="eastAsia"/>
        </w:rPr>
        <w:t>潘红波，</w:t>
      </w:r>
      <w:r w:rsidRPr="00857B61">
        <w:rPr>
          <w:rFonts w:ascii="Times New Roman" w:hAnsi="Times New Roman" w:cs="Times New Roman" w:hint="eastAsia"/>
        </w:rPr>
        <w:t>2008</w:t>
      </w:r>
      <w:r w:rsidRPr="00857B61">
        <w:rPr>
          <w:rFonts w:ascii="Times New Roman" w:hAnsi="Times New Roman" w:cs="Times New Roman" w:hint="eastAsia"/>
        </w:rPr>
        <w:t>：《政府干预、法治、金融发展与国有企业银行贷款》，《金融研究》第</w:t>
      </w:r>
      <w:r w:rsidRPr="00857B61">
        <w:rPr>
          <w:rFonts w:ascii="Times New Roman" w:hAnsi="Times New Roman" w:cs="Times New Roman" w:hint="eastAsia"/>
        </w:rPr>
        <w:t>9</w:t>
      </w:r>
      <w:r w:rsidRPr="00857B61">
        <w:rPr>
          <w:rFonts w:ascii="Times New Roman" w:hAnsi="Times New Roman" w:cs="Times New Roman" w:hint="eastAsia"/>
        </w:rPr>
        <w:t>期。</w:t>
      </w:r>
    </w:p>
    <w:p w14:paraId="3AFC109A" w14:textId="77777777" w:rsidR="00DE7EC6" w:rsidRPr="00857B61" w:rsidRDefault="00000000">
      <w:pPr>
        <w:rPr>
          <w:rFonts w:ascii="Times New Roman" w:hAnsi="Times New Roman" w:cs="Times New Roman"/>
        </w:rPr>
      </w:pPr>
      <w:r w:rsidRPr="00857B61">
        <w:rPr>
          <w:rFonts w:ascii="Times New Roman" w:hAnsi="Times New Roman" w:cs="Times New Roman" w:hint="eastAsia"/>
        </w:rPr>
        <w:t>袁志刚，</w:t>
      </w:r>
      <w:r w:rsidRPr="00857B61">
        <w:rPr>
          <w:rFonts w:ascii="Times New Roman" w:hAnsi="Times New Roman" w:cs="Times New Roman" w:hint="eastAsia"/>
        </w:rPr>
        <w:t>1995</w:t>
      </w:r>
      <w:r w:rsidRPr="00857B61">
        <w:rPr>
          <w:rFonts w:ascii="Times New Roman" w:hAnsi="Times New Roman" w:cs="Times New Roman" w:hint="eastAsia"/>
        </w:rPr>
        <w:t>：《关于国有资产流失问题的若干思考》，《经济研究》第</w:t>
      </w:r>
      <w:r w:rsidRPr="00857B61">
        <w:rPr>
          <w:rFonts w:ascii="Times New Roman" w:hAnsi="Times New Roman" w:cs="Times New Roman" w:hint="eastAsia"/>
        </w:rPr>
        <w:t>4</w:t>
      </w:r>
      <w:r w:rsidRPr="00857B61">
        <w:rPr>
          <w:rFonts w:ascii="Times New Roman" w:hAnsi="Times New Roman" w:cs="Times New Roman" w:hint="eastAsia"/>
        </w:rPr>
        <w:t>期。</w:t>
      </w:r>
    </w:p>
    <w:p w14:paraId="7315C726"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hint="eastAsia"/>
        </w:rPr>
        <w:t>张宁</w:t>
      </w:r>
      <w:r w:rsidRPr="00857B61">
        <w:rPr>
          <w:rFonts w:ascii="Times New Roman" w:hAnsi="Times New Roman" w:cs="Times New Roman" w:hint="eastAsia"/>
        </w:rPr>
        <w:t xml:space="preserve"> </w:t>
      </w:r>
      <w:r w:rsidRPr="00857B61">
        <w:rPr>
          <w:rFonts w:ascii="Times New Roman" w:hAnsi="Times New Roman" w:cs="Times New Roman" w:hint="eastAsia"/>
        </w:rPr>
        <w:t>才国伟，</w:t>
      </w:r>
      <w:r w:rsidRPr="00857B61">
        <w:rPr>
          <w:rFonts w:ascii="Times New Roman" w:hAnsi="Times New Roman" w:cs="Times New Roman" w:hint="eastAsia"/>
        </w:rPr>
        <w:t>2021</w:t>
      </w:r>
      <w:r w:rsidRPr="00857B61">
        <w:rPr>
          <w:rFonts w:ascii="Times New Roman" w:hAnsi="Times New Roman" w:cs="Times New Roman" w:hint="eastAsia"/>
        </w:rPr>
        <w:t>：《国有资本投资运营公司双向治理路径研究——基于沪深两地治理实践的探索性扎根理论分析》，《管理世界》第</w:t>
      </w:r>
      <w:r w:rsidRPr="00857B61">
        <w:rPr>
          <w:rFonts w:ascii="Times New Roman" w:hAnsi="Times New Roman" w:cs="Times New Roman" w:hint="eastAsia"/>
        </w:rPr>
        <w:t>1</w:t>
      </w:r>
      <w:r w:rsidRPr="00857B61">
        <w:rPr>
          <w:rFonts w:ascii="Times New Roman" w:hAnsi="Times New Roman" w:cs="Times New Roman" w:hint="eastAsia"/>
        </w:rPr>
        <w:t>期。</w:t>
      </w:r>
    </w:p>
    <w:p w14:paraId="2585E987"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hint="eastAsia"/>
        </w:rPr>
        <w:t>甄红线</w:t>
      </w:r>
      <w:r w:rsidRPr="00857B61">
        <w:rPr>
          <w:rFonts w:ascii="Times New Roman" w:hAnsi="Times New Roman" w:cs="Times New Roman" w:hint="eastAsia"/>
        </w:rPr>
        <w:t xml:space="preserve"> </w:t>
      </w:r>
      <w:r w:rsidRPr="00857B61">
        <w:rPr>
          <w:rFonts w:ascii="Times New Roman" w:hAnsi="Times New Roman" w:cs="Times New Roman" w:hint="eastAsia"/>
        </w:rPr>
        <w:t>张先治</w:t>
      </w:r>
      <w:r w:rsidRPr="00857B61">
        <w:rPr>
          <w:rFonts w:ascii="Times New Roman" w:hAnsi="Times New Roman" w:cs="Times New Roman" w:hint="eastAsia"/>
        </w:rPr>
        <w:t xml:space="preserve"> </w:t>
      </w:r>
      <w:r w:rsidRPr="00857B61">
        <w:rPr>
          <w:rFonts w:ascii="Times New Roman" w:hAnsi="Times New Roman" w:cs="Times New Roman" w:hint="eastAsia"/>
        </w:rPr>
        <w:t>迟国泰，</w:t>
      </w:r>
      <w:r w:rsidRPr="00857B61">
        <w:rPr>
          <w:rFonts w:ascii="Times New Roman" w:hAnsi="Times New Roman" w:cs="Times New Roman" w:hint="eastAsia"/>
        </w:rPr>
        <w:t>2015</w:t>
      </w:r>
      <w:r w:rsidRPr="00857B61">
        <w:rPr>
          <w:rFonts w:ascii="Times New Roman" w:hAnsi="Times New Roman" w:cs="Times New Roman" w:hint="eastAsia"/>
        </w:rPr>
        <w:t>：《制度环境、终极控制权对公司绩效的影响——基于代理成本的中介效应检验》，《金融研究》第</w:t>
      </w:r>
      <w:r w:rsidRPr="00857B61">
        <w:rPr>
          <w:rFonts w:ascii="Times New Roman" w:hAnsi="Times New Roman" w:cs="Times New Roman" w:hint="eastAsia"/>
        </w:rPr>
        <w:t>12</w:t>
      </w:r>
      <w:r w:rsidRPr="00857B61">
        <w:rPr>
          <w:rFonts w:ascii="Times New Roman" w:hAnsi="Times New Roman" w:cs="Times New Roman" w:hint="eastAsia"/>
        </w:rPr>
        <w:t>期。</w:t>
      </w:r>
    </w:p>
    <w:p w14:paraId="1D5CA91A"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hint="eastAsia"/>
        </w:rPr>
        <w:t>周煊，</w:t>
      </w:r>
      <w:r w:rsidRPr="00857B61">
        <w:rPr>
          <w:rFonts w:ascii="Times New Roman" w:hAnsi="Times New Roman" w:cs="Times New Roman" w:hint="eastAsia"/>
        </w:rPr>
        <w:t>2012</w:t>
      </w:r>
      <w:r w:rsidRPr="00857B61">
        <w:rPr>
          <w:rFonts w:ascii="Times New Roman" w:hAnsi="Times New Roman" w:cs="Times New Roman" w:hint="eastAsia"/>
        </w:rPr>
        <w:t>：《中国国有企业境外资产监管问题研究——基于内部控制整体框架的视角》，《中国工业经济》第</w:t>
      </w:r>
      <w:r w:rsidRPr="00857B61">
        <w:rPr>
          <w:rFonts w:ascii="Times New Roman" w:hAnsi="Times New Roman" w:cs="Times New Roman" w:hint="eastAsia"/>
        </w:rPr>
        <w:t>1</w:t>
      </w:r>
      <w:r w:rsidRPr="00857B61">
        <w:rPr>
          <w:rFonts w:ascii="Times New Roman" w:hAnsi="Times New Roman" w:cs="Times New Roman" w:hint="eastAsia"/>
        </w:rPr>
        <w:t>期。</w:t>
      </w:r>
    </w:p>
    <w:p w14:paraId="06D001BF" w14:textId="77777777" w:rsidR="00DE7EC6" w:rsidRPr="00857B61" w:rsidRDefault="00000000">
      <w:pPr>
        <w:rPr>
          <w:rFonts w:ascii="Times New Roman" w:hAnsi="Times New Roman" w:cs="Times New Roman"/>
        </w:rPr>
      </w:pPr>
      <w:r w:rsidRPr="00857B61">
        <w:rPr>
          <w:rFonts w:ascii="Times New Roman" w:hAnsi="Times New Roman" w:cs="Times New Roman" w:hint="eastAsia"/>
        </w:rPr>
        <w:t>朱全宝，</w:t>
      </w:r>
      <w:r w:rsidRPr="00857B61">
        <w:rPr>
          <w:rFonts w:ascii="Times New Roman" w:hAnsi="Times New Roman" w:cs="Times New Roman" w:hint="eastAsia"/>
        </w:rPr>
        <w:t>2017</w:t>
      </w:r>
      <w:r w:rsidRPr="00857B61">
        <w:rPr>
          <w:rFonts w:ascii="Times New Roman" w:hAnsi="Times New Roman" w:cs="Times New Roman" w:hint="eastAsia"/>
        </w:rPr>
        <w:t>：《检察机关提起环境行政公益诉讼</w:t>
      </w:r>
      <w:r w:rsidRPr="00857B61">
        <w:rPr>
          <w:rFonts w:ascii="Times New Roman" w:hAnsi="Times New Roman" w:cs="Times New Roman" w:hint="eastAsia"/>
        </w:rPr>
        <w:t>:</w:t>
      </w:r>
      <w:r w:rsidRPr="00857B61">
        <w:rPr>
          <w:rFonts w:ascii="Times New Roman" w:hAnsi="Times New Roman" w:cs="Times New Roman" w:hint="eastAsia"/>
        </w:rPr>
        <w:t>试点检视与制度完善》，《法学杂志》第</w:t>
      </w:r>
      <w:r w:rsidRPr="00857B61">
        <w:rPr>
          <w:rFonts w:ascii="Times New Roman" w:hAnsi="Times New Roman" w:cs="Times New Roman" w:hint="eastAsia"/>
        </w:rPr>
        <w:t>8</w:t>
      </w:r>
      <w:r w:rsidRPr="00857B61">
        <w:rPr>
          <w:rFonts w:ascii="Times New Roman" w:hAnsi="Times New Roman" w:cs="Times New Roman" w:hint="eastAsia"/>
        </w:rPr>
        <w:t>期。</w:t>
      </w:r>
    </w:p>
    <w:p w14:paraId="74DFB1CF"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rPr>
        <w:t>Barclay, M. J. &amp; C. G. Holderness(19</w:t>
      </w:r>
      <w:r w:rsidRPr="00857B61">
        <w:rPr>
          <w:rFonts w:ascii="Times New Roman" w:hAnsi="Times New Roman" w:cs="Times New Roman" w:hint="eastAsia"/>
        </w:rPr>
        <w:t>89</w:t>
      </w:r>
      <w:r w:rsidRPr="00857B61">
        <w:rPr>
          <w:rFonts w:ascii="Times New Roman" w:hAnsi="Times New Roman" w:cs="Times New Roman"/>
        </w:rPr>
        <w:t xml:space="preserve">),“Private Benefits from Control of Public Corporations”, </w:t>
      </w:r>
      <w:r w:rsidRPr="00857B61">
        <w:rPr>
          <w:rFonts w:ascii="Times New Roman" w:hAnsi="Times New Roman" w:cs="Times New Roman"/>
          <w:i/>
          <w:iCs/>
        </w:rPr>
        <w:t>Journal of Financial Economics</w:t>
      </w:r>
      <w:r w:rsidRPr="00857B61">
        <w:rPr>
          <w:rFonts w:ascii="Times New Roman" w:hAnsi="Times New Roman" w:cs="Times New Roman"/>
        </w:rPr>
        <w:t xml:space="preserve"> 25(2):371-395.</w:t>
      </w:r>
    </w:p>
    <w:p w14:paraId="44B53F98"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rPr>
        <w:t>Chen, C. J. P. et al(201</w:t>
      </w:r>
      <w:r w:rsidRPr="00857B61">
        <w:rPr>
          <w:rFonts w:ascii="Times New Roman" w:hAnsi="Times New Roman" w:cs="Times New Roman" w:hint="eastAsia"/>
        </w:rPr>
        <w:t>0</w:t>
      </w:r>
      <w:r w:rsidRPr="00857B61">
        <w:rPr>
          <w:rFonts w:ascii="Times New Roman" w:hAnsi="Times New Roman" w:cs="Times New Roman"/>
        </w:rPr>
        <w:t xml:space="preserve">), “Rent-seeking incentives, corporate political connections, and the control structure of private firms: Chinese evidence”, </w:t>
      </w:r>
      <w:r w:rsidRPr="00857B61">
        <w:rPr>
          <w:rFonts w:ascii="Times New Roman" w:hAnsi="Times New Roman" w:cs="Times New Roman"/>
          <w:i/>
          <w:iCs/>
        </w:rPr>
        <w:t>Journal of Corporate Finance</w:t>
      </w:r>
      <w:r w:rsidRPr="00857B61">
        <w:rPr>
          <w:rFonts w:ascii="Times New Roman" w:hAnsi="Times New Roman" w:cs="Times New Roman"/>
        </w:rPr>
        <w:t xml:space="preserve"> 17(2): 229-243.</w:t>
      </w:r>
    </w:p>
    <w:p w14:paraId="78558B8C"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rPr>
        <w:t>Chen, S. et al(201</w:t>
      </w:r>
      <w:r w:rsidRPr="00857B61">
        <w:rPr>
          <w:rFonts w:ascii="Times New Roman" w:hAnsi="Times New Roman" w:cs="Times New Roman" w:hint="eastAsia"/>
        </w:rPr>
        <w:t>0</w:t>
      </w:r>
      <w:r w:rsidRPr="00857B61">
        <w:rPr>
          <w:rFonts w:ascii="Times New Roman" w:hAnsi="Times New Roman" w:cs="Times New Roman"/>
        </w:rPr>
        <w:t xml:space="preserve">), "Government intervention and investment efficiency: Evidence from China" , </w:t>
      </w:r>
      <w:r w:rsidRPr="00857B61">
        <w:rPr>
          <w:rFonts w:ascii="Times New Roman" w:hAnsi="Times New Roman" w:cs="Times New Roman"/>
          <w:i/>
          <w:iCs/>
        </w:rPr>
        <w:t>Journal of Corporate Finance</w:t>
      </w:r>
      <w:r w:rsidRPr="00857B61">
        <w:rPr>
          <w:rFonts w:ascii="Times New Roman" w:hAnsi="Times New Roman" w:cs="Times New Roman"/>
        </w:rPr>
        <w:t xml:space="preserve"> 17(2):259-271.</w:t>
      </w:r>
    </w:p>
    <w:p w14:paraId="04D77831" w14:textId="77777777" w:rsidR="00DE7EC6" w:rsidRPr="00857B61" w:rsidRDefault="00000000">
      <w:pPr>
        <w:rPr>
          <w:rFonts w:ascii="Times New Roman" w:hAnsi="Times New Roman" w:cs="Times New Roman"/>
        </w:rPr>
      </w:pPr>
      <w:r w:rsidRPr="00857B61">
        <w:rPr>
          <w:rFonts w:ascii="Times New Roman" w:hAnsi="Times New Roman" w:cs="Times New Roman"/>
        </w:rPr>
        <w:t>Finkelstein, S. et al(2009), Strategic Leadership,Oxford University press.</w:t>
      </w:r>
    </w:p>
    <w:p w14:paraId="592AACDE"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rPr>
        <w:t xml:space="preserve">Hayward, L. A. M. &amp; Donald C. H.(1997),“Explaining the Premiums Paid for Large Acquisitions: Evidence of CEO Hubris”, </w:t>
      </w:r>
      <w:r w:rsidRPr="00857B61">
        <w:rPr>
          <w:rFonts w:ascii="Times New Roman" w:hAnsi="Times New Roman" w:cs="Times New Roman"/>
          <w:i/>
          <w:iCs/>
        </w:rPr>
        <w:t>Administrative Science Quarterly</w:t>
      </w:r>
      <w:r w:rsidRPr="00857B61">
        <w:rPr>
          <w:rFonts w:ascii="Times New Roman" w:hAnsi="Times New Roman" w:cs="Times New Roman"/>
        </w:rPr>
        <w:t xml:space="preserve"> 42(1):103-127.</w:t>
      </w:r>
    </w:p>
    <w:p w14:paraId="55369BE9"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rPr>
        <w:t xml:space="preserve">Healy, P. M. &amp; K. G. Palepu (2001) ,“Information asymmetry, corporate disclosure, and the capital </w:t>
      </w:r>
      <w:r w:rsidRPr="00857B61">
        <w:rPr>
          <w:rFonts w:ascii="Times New Roman" w:hAnsi="Times New Roman" w:cs="Times New Roman"/>
        </w:rPr>
        <w:lastRenderedPageBreak/>
        <w:t xml:space="preserve">markets: A review of the empirical disclosure literature”, </w:t>
      </w:r>
      <w:r w:rsidRPr="00857B61">
        <w:rPr>
          <w:rFonts w:ascii="Times New Roman" w:hAnsi="Times New Roman" w:cs="Times New Roman"/>
          <w:i/>
          <w:iCs/>
        </w:rPr>
        <w:t>Journal of Accounting and Economics</w:t>
      </w:r>
      <w:r w:rsidRPr="00857B61">
        <w:rPr>
          <w:rFonts w:ascii="Times New Roman" w:hAnsi="Times New Roman" w:cs="Times New Roman" w:hint="eastAsia"/>
        </w:rPr>
        <w:t xml:space="preserve"> </w:t>
      </w:r>
      <w:r w:rsidRPr="00857B61">
        <w:rPr>
          <w:rFonts w:ascii="Times New Roman" w:hAnsi="Times New Roman" w:cs="Times New Roman"/>
        </w:rPr>
        <w:t>31(1):405-440.</w:t>
      </w:r>
    </w:p>
    <w:p w14:paraId="2B081CA0"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rPr>
        <w:t>Jensen, M. C. &amp; W. H. Meckling(1976),“Theory of the firm: Managerial behavior, agency costs and ownership structure”,</w:t>
      </w:r>
      <w:r w:rsidRPr="00857B61">
        <w:rPr>
          <w:rFonts w:ascii="Times New Roman" w:hAnsi="Times New Roman" w:cs="Times New Roman"/>
          <w:i/>
          <w:iCs/>
        </w:rPr>
        <w:t xml:space="preserve"> Journal of Financial Economics</w:t>
      </w:r>
      <w:r w:rsidRPr="00857B61">
        <w:rPr>
          <w:rFonts w:ascii="Times New Roman" w:hAnsi="Times New Roman" w:cs="Times New Roman"/>
        </w:rPr>
        <w:t xml:space="preserve"> 3(4):305-360.</w:t>
      </w:r>
    </w:p>
    <w:p w14:paraId="713EFDF0"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rPr>
        <w:t>Jia, N.(2014),“Are Collective Political Actions and Private Political Actions Substitutes or</w:t>
      </w:r>
      <w:r w:rsidRPr="00857B61">
        <w:rPr>
          <w:rFonts w:ascii="Times New Roman" w:hAnsi="Times New Roman" w:cs="Times New Roman" w:hint="eastAsia"/>
        </w:rPr>
        <w:t xml:space="preserve">             Complements?Empirical Evidence from China's Private Sector</w:t>
      </w:r>
      <w:r w:rsidRPr="00857B61">
        <w:rPr>
          <w:rFonts w:ascii="Times New Roman" w:hAnsi="Times New Roman" w:cs="Times New Roman"/>
        </w:rPr>
        <w:t>”,</w:t>
      </w:r>
      <w:r w:rsidRPr="00857B61">
        <w:rPr>
          <w:rFonts w:ascii="Times New Roman" w:hAnsi="Times New Roman" w:cs="Times New Roman" w:hint="eastAsia"/>
        </w:rPr>
        <w:t>Strategic Management Journal   35(2):292-315.</w:t>
      </w:r>
    </w:p>
    <w:p w14:paraId="18A0DBE6"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rPr>
        <w:t xml:space="preserve">Kim, J-Y. et al(2011),“When Firms are Desperate to Grow via Acquisition: The Effect of Growth Patterns and Acquisition Experience on Acquisition Premiums”, </w:t>
      </w:r>
      <w:r w:rsidRPr="00857B61">
        <w:rPr>
          <w:rFonts w:ascii="Times New Roman" w:hAnsi="Times New Roman" w:cs="Times New Roman"/>
          <w:i/>
          <w:iCs/>
        </w:rPr>
        <w:t>Administrative Science Quarterly</w:t>
      </w:r>
      <w:r w:rsidRPr="00857B61">
        <w:rPr>
          <w:rFonts w:ascii="Times New Roman" w:hAnsi="Times New Roman" w:cs="Times New Roman"/>
        </w:rPr>
        <w:t xml:space="preserve"> 56(1): 26-60.</w:t>
      </w:r>
    </w:p>
    <w:p w14:paraId="6E20B5D5"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rPr>
        <w:t>Kim,O. &amp; R. E. Verrecchia(2001),“The Relation Among Disclosure,Returns and Trading”,</w:t>
      </w:r>
      <w:r w:rsidRPr="00857B61">
        <w:rPr>
          <w:rFonts w:ascii="Times New Roman" w:hAnsi="Times New Roman" w:cs="Times New Roman"/>
          <w:i/>
          <w:iCs/>
        </w:rPr>
        <w:t>The</w:t>
      </w:r>
      <w:r w:rsidRPr="00857B61">
        <w:rPr>
          <w:rFonts w:ascii="Times New Roman" w:hAnsi="Times New Roman" w:cs="Times New Roman"/>
        </w:rPr>
        <w:t xml:space="preserve"> </w:t>
      </w:r>
      <w:r w:rsidRPr="00857B61">
        <w:rPr>
          <w:rFonts w:ascii="Times New Roman" w:hAnsi="Times New Roman" w:cs="Times New Roman"/>
          <w:i/>
          <w:iCs/>
        </w:rPr>
        <w:t>Accounting Review</w:t>
      </w:r>
      <w:r w:rsidRPr="00857B61">
        <w:rPr>
          <w:rFonts w:ascii="Times New Roman" w:hAnsi="Times New Roman" w:cs="Times New Roman"/>
        </w:rPr>
        <w:t xml:space="preserve"> 76(4):633-654.</w:t>
      </w:r>
    </w:p>
    <w:p w14:paraId="77EC9DD1"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rPr>
        <w:t xml:space="preserve">Lin, J. Y. et al(1998),“Competition, Policy Burdens, and State-Owned Enterprise Reform”, </w:t>
      </w:r>
      <w:r w:rsidRPr="00857B61">
        <w:rPr>
          <w:rFonts w:ascii="Times New Roman" w:hAnsi="Times New Roman" w:cs="Times New Roman"/>
          <w:i/>
          <w:iCs/>
        </w:rPr>
        <w:t>The</w:t>
      </w:r>
      <w:r w:rsidRPr="00857B61">
        <w:rPr>
          <w:rFonts w:ascii="Times New Roman" w:hAnsi="Times New Roman" w:cs="Times New Roman"/>
        </w:rPr>
        <w:t xml:space="preserve"> </w:t>
      </w:r>
      <w:r w:rsidRPr="00857B61">
        <w:rPr>
          <w:rFonts w:ascii="Times New Roman" w:hAnsi="Times New Roman" w:cs="Times New Roman"/>
          <w:i/>
          <w:iCs/>
        </w:rPr>
        <w:t>American Economic Review</w:t>
      </w:r>
      <w:r w:rsidRPr="00857B61">
        <w:rPr>
          <w:rFonts w:ascii="Times New Roman" w:hAnsi="Times New Roman" w:cs="Times New Roman"/>
        </w:rPr>
        <w:t xml:space="preserve"> 88(2):422-427.</w:t>
      </w:r>
    </w:p>
    <w:p w14:paraId="4B6F5B6D" w14:textId="77777777" w:rsidR="00DE7EC6" w:rsidRPr="00857B61" w:rsidRDefault="00000000">
      <w:pPr>
        <w:ind w:left="210" w:hangingChars="100" w:hanging="210"/>
        <w:rPr>
          <w:rFonts w:ascii="Times New Roman" w:hAnsi="Times New Roman" w:cs="Times New Roman"/>
        </w:rPr>
      </w:pPr>
      <w:r w:rsidRPr="00857B61">
        <w:rPr>
          <w:rFonts w:ascii="Times New Roman" w:hAnsi="Times New Roman" w:cs="Times New Roman" w:hint="eastAsia"/>
        </w:rPr>
        <w:t>Slusky, A. &amp; R. E. Caves(1991),</w:t>
      </w:r>
      <w:r w:rsidRPr="00857B61">
        <w:rPr>
          <w:rFonts w:ascii="Times New Roman" w:hAnsi="Times New Roman" w:cs="Times New Roman"/>
        </w:rPr>
        <w:t>“</w:t>
      </w:r>
      <w:r w:rsidRPr="00857B61">
        <w:rPr>
          <w:rFonts w:ascii="Times New Roman" w:hAnsi="Times New Roman" w:cs="Times New Roman" w:hint="eastAsia"/>
        </w:rPr>
        <w:t>Synergy, Agency, and the Determinants of Premia Paid in Mergers</w:t>
      </w:r>
      <w:r w:rsidRPr="00857B61">
        <w:rPr>
          <w:rFonts w:ascii="Times New Roman" w:hAnsi="Times New Roman" w:cs="Times New Roman"/>
        </w:rPr>
        <w:t>”</w:t>
      </w:r>
      <w:r w:rsidRPr="00857B61">
        <w:rPr>
          <w:rFonts w:ascii="Times New Roman" w:hAnsi="Times New Roman" w:cs="Times New Roman" w:hint="eastAsia"/>
        </w:rPr>
        <w:t xml:space="preserve">, </w:t>
      </w:r>
      <w:r w:rsidRPr="00857B61">
        <w:rPr>
          <w:rFonts w:ascii="Times New Roman" w:hAnsi="Times New Roman" w:cs="Times New Roman" w:hint="eastAsia"/>
          <w:i/>
          <w:iCs/>
        </w:rPr>
        <w:t xml:space="preserve">Journal of Industrial Economics </w:t>
      </w:r>
      <w:r w:rsidRPr="00857B61">
        <w:rPr>
          <w:rFonts w:ascii="Times New Roman" w:hAnsi="Times New Roman" w:cs="Times New Roman" w:hint="eastAsia"/>
        </w:rPr>
        <w:t>39(3):277-296.</w:t>
      </w:r>
    </w:p>
    <w:p w14:paraId="0A135239" w14:textId="77777777" w:rsidR="00DE7EC6" w:rsidRPr="00857B61" w:rsidRDefault="00DE7EC6">
      <w:pPr>
        <w:rPr>
          <w:rFonts w:ascii="Times New Roman" w:hAnsi="Times New Roman" w:cs="Times New Roman"/>
        </w:rPr>
      </w:pPr>
    </w:p>
    <w:p w14:paraId="2245FE38" w14:textId="77777777" w:rsidR="00DE7EC6" w:rsidRPr="00857B61" w:rsidRDefault="00000000">
      <w:pPr>
        <w:jc w:val="center"/>
        <w:rPr>
          <w:rFonts w:ascii="Times New Roman" w:hAnsi="Times New Roman" w:cs="Times New Roman"/>
          <w:b/>
          <w:bCs/>
          <w:sz w:val="24"/>
        </w:rPr>
      </w:pPr>
      <w:r w:rsidRPr="00857B61">
        <w:rPr>
          <w:rFonts w:ascii="Times New Roman" w:hAnsi="Times New Roman" w:cs="Times New Roman" w:hint="eastAsia"/>
          <w:b/>
          <w:bCs/>
          <w:sz w:val="24"/>
        </w:rPr>
        <w:t>Can the Administrative Public Interest Litigation System of Procuratorate Organ Effectively Protect State-owned Assets</w:t>
      </w:r>
    </w:p>
    <w:p w14:paraId="723675F2" w14:textId="77777777" w:rsidR="00DE7EC6" w:rsidRPr="00857B61" w:rsidRDefault="00000000">
      <w:pPr>
        <w:jc w:val="center"/>
        <w:rPr>
          <w:rFonts w:ascii="Times New Roman" w:hAnsi="Times New Roman" w:cs="Times New Roman"/>
          <w:b/>
          <w:bCs/>
          <w:sz w:val="24"/>
        </w:rPr>
      </w:pPr>
      <w:r w:rsidRPr="00857B61">
        <w:rPr>
          <w:rFonts w:ascii="Times New Roman" w:hAnsi="Times New Roman" w:cs="Times New Roman" w:hint="eastAsia"/>
          <w:b/>
          <w:bCs/>
          <w:sz w:val="24"/>
        </w:rPr>
        <w:t>——</w:t>
      </w:r>
      <w:r w:rsidRPr="00857B61">
        <w:rPr>
          <w:rFonts w:ascii="Times New Roman" w:hAnsi="Times New Roman" w:cs="Times New Roman" w:hint="eastAsia"/>
          <w:b/>
          <w:bCs/>
          <w:sz w:val="24"/>
        </w:rPr>
        <w:t>Discussion on M &amp; A of state-owned enterprises</w:t>
      </w:r>
    </w:p>
    <w:p w14:paraId="2E57A952" w14:textId="77777777" w:rsidR="00DE7EC6" w:rsidRPr="00857B61" w:rsidRDefault="00000000">
      <w:pPr>
        <w:ind w:firstLine="422"/>
        <w:jc w:val="center"/>
        <w:rPr>
          <w:rFonts w:ascii="Times New Roman" w:hAnsi="Times New Roman"/>
          <w:bCs/>
        </w:rPr>
      </w:pPr>
      <w:r w:rsidRPr="00857B61">
        <w:rPr>
          <w:rFonts w:ascii="Times New Roman" w:hAnsi="Times New Roman" w:hint="eastAsia"/>
          <w:bCs/>
        </w:rPr>
        <w:t>BU Xiaoning</w:t>
      </w:r>
      <w:r w:rsidRPr="00857B61">
        <w:rPr>
          <w:rFonts w:ascii="Times New Roman" w:hAnsi="Times New Roman" w:hint="eastAsia"/>
          <w:bCs/>
          <w:vertAlign w:val="superscript"/>
        </w:rPr>
        <w:t>1</w:t>
      </w:r>
      <w:r w:rsidRPr="00857B61">
        <w:rPr>
          <w:rFonts w:ascii="Times New Roman" w:hAnsi="Times New Roman" w:hint="eastAsia"/>
          <w:bCs/>
        </w:rPr>
        <w:t xml:space="preserve">  PAN Xiaoshan</w:t>
      </w:r>
      <w:r w:rsidRPr="00857B61">
        <w:rPr>
          <w:rFonts w:ascii="Times New Roman" w:hAnsi="Times New Roman" w:hint="eastAsia"/>
          <w:bCs/>
          <w:vertAlign w:val="superscript"/>
        </w:rPr>
        <w:t>1</w:t>
      </w:r>
      <w:r w:rsidRPr="00857B61">
        <w:rPr>
          <w:rFonts w:ascii="Times New Roman" w:hAnsi="Times New Roman"/>
          <w:bCs/>
        </w:rPr>
        <w:t xml:space="preserve"> </w:t>
      </w:r>
      <w:r w:rsidRPr="00857B61">
        <w:rPr>
          <w:rFonts w:ascii="Times New Roman" w:hAnsi="Times New Roman" w:hint="eastAsia"/>
          <w:bCs/>
        </w:rPr>
        <w:t xml:space="preserve"> </w:t>
      </w:r>
      <w:r w:rsidRPr="00857B61">
        <w:rPr>
          <w:rFonts w:ascii="Times New Roman" w:hAnsi="Times New Roman"/>
          <w:bCs/>
        </w:rPr>
        <w:t xml:space="preserve">ZHANG </w:t>
      </w:r>
      <w:r w:rsidRPr="00857B61">
        <w:rPr>
          <w:rFonts w:ascii="Times New Roman" w:hAnsi="Times New Roman" w:hint="eastAsia"/>
          <w:bCs/>
        </w:rPr>
        <w:t>S</w:t>
      </w:r>
      <w:r w:rsidRPr="00857B61">
        <w:rPr>
          <w:rFonts w:ascii="Times New Roman" w:hAnsi="Times New Roman"/>
          <w:bCs/>
        </w:rPr>
        <w:t>haohua</w:t>
      </w:r>
      <w:r w:rsidRPr="00857B61">
        <w:rPr>
          <w:rFonts w:ascii="Times New Roman" w:hAnsi="Times New Roman" w:hint="eastAsia"/>
          <w:bCs/>
          <w:vertAlign w:val="superscript"/>
        </w:rPr>
        <w:t xml:space="preserve"> 2</w:t>
      </w:r>
    </w:p>
    <w:p w14:paraId="7407718C" w14:textId="77777777" w:rsidR="00DE7EC6" w:rsidRPr="00857B61" w:rsidRDefault="00000000">
      <w:pPr>
        <w:jc w:val="center"/>
        <w:rPr>
          <w:rFonts w:ascii="Times New Roman" w:hAnsi="Times New Roman" w:cs="Times New Roman"/>
          <w:b/>
          <w:bCs/>
          <w:sz w:val="24"/>
        </w:rPr>
      </w:pPr>
      <w:r w:rsidRPr="00857B61">
        <w:rPr>
          <w:rFonts w:ascii="Times New Roman" w:hAnsi="Times New Roman" w:cs="Times New Roman" w:hint="eastAsia"/>
          <w:bCs/>
        </w:rPr>
        <w:t>(</w:t>
      </w:r>
      <w:r w:rsidRPr="00857B61">
        <w:rPr>
          <w:rFonts w:ascii="Times New Roman" w:hAnsi="Times New Roman" w:cs="Times New Roman"/>
          <w:bCs/>
        </w:rPr>
        <w:t>1.Shandong University of Finance and Economics</w:t>
      </w:r>
      <w:r w:rsidRPr="00857B61">
        <w:rPr>
          <w:rFonts w:ascii="Times New Roman" w:hAnsi="Times New Roman" w:cs="Times New Roman" w:hint="eastAsia"/>
          <w:bCs/>
        </w:rPr>
        <w:t xml:space="preserve">;  </w:t>
      </w:r>
      <w:r w:rsidRPr="00857B61">
        <w:rPr>
          <w:rFonts w:ascii="Times New Roman" w:hAnsi="Times New Roman" w:cs="Times New Roman"/>
          <w:bCs/>
        </w:rPr>
        <w:t>2.Guangzhou University</w:t>
      </w:r>
      <w:r w:rsidRPr="00857B61">
        <w:rPr>
          <w:rFonts w:ascii="Times New Roman" w:hAnsi="Times New Roman" w:cs="Times New Roman" w:hint="eastAsia"/>
          <w:bCs/>
        </w:rPr>
        <w:t>)</w:t>
      </w:r>
    </w:p>
    <w:p w14:paraId="5C9C01FE" w14:textId="77777777" w:rsidR="00DE7EC6" w:rsidRPr="00857B61" w:rsidRDefault="00000000">
      <w:pPr>
        <w:ind w:firstLineChars="200" w:firstLine="422"/>
        <w:rPr>
          <w:rFonts w:ascii="Times New Roman" w:hAnsi="Times New Roman" w:cs="Times New Roman"/>
          <w:szCs w:val="21"/>
        </w:rPr>
      </w:pPr>
      <w:r w:rsidRPr="00857B61">
        <w:rPr>
          <w:rFonts w:ascii="Times New Roman" w:hAnsi="Times New Roman" w:cs="Times New Roman" w:hint="eastAsia"/>
          <w:b/>
          <w:bCs/>
          <w:szCs w:val="21"/>
        </w:rPr>
        <w:t>Abstract</w:t>
      </w:r>
      <w:r w:rsidRPr="00857B61">
        <w:rPr>
          <w:rFonts w:ascii="Times New Roman" w:hAnsi="Times New Roman" w:cs="Times New Roman" w:hint="eastAsia"/>
          <w:b/>
          <w:bCs/>
          <w:szCs w:val="21"/>
        </w:rPr>
        <w:t>：</w:t>
      </w:r>
      <w:r w:rsidRPr="00857B61">
        <w:rPr>
          <w:rFonts w:ascii="Times New Roman" w:hAnsi="Times New Roman" w:cs="Times New Roman" w:hint="eastAsia"/>
          <w:szCs w:val="21"/>
        </w:rPr>
        <w:t>As the common wealth of the whole nation, state-owned assets are facing the problem of loss.Administrative public interest litigation system of procuratorate organ is a system innovation, but whether it can effectively supervise the public interest and prevent the loss of state-owned assets needs to be further explored.This paper uses the difference-in-differences method to study whether the implementation of the system has effectively restrained the loss of state-owned assets during the pilot period.It is found that the implementation of the system has effectively restrained the loss of state-owned assets and produced a strong "deterrent effect".Compared with provincial enterprises and central enterprises, this system has a stronger inhibitory effect on the loss of assets of other state-owned enterprises; Compared with the state-owned enterprises, when the buyer enterprise is non-state-owned, the loss of state-owned assets caused by M &amp; A will be more restrained by the system; The system also has a stronger inhibitory effect on the loss of state-owned assets caused by M &amp; A in different provinces and industries.The regulatory effect analysis shows that the loss of the seller enterprises before the implementation of M &amp; A will reduce the inhibitory effect of this system,but the strength of system enforcement will strengthen the inhibitory effect.Mechanism analysis shows that the procuratorial administrative public interest litigation system can reduce the loss of state-owned assets by reducing agency costs and improving the quality of information disclosure.This study provides a theoretical basis for China to explore the role of legal system innovation in protecting state-owned assets.</w:t>
      </w:r>
    </w:p>
    <w:p w14:paraId="68054A1C" w14:textId="77777777" w:rsidR="00DE7EC6" w:rsidRPr="00857B61" w:rsidRDefault="00000000">
      <w:pPr>
        <w:ind w:firstLineChars="200" w:firstLine="422"/>
        <w:rPr>
          <w:rFonts w:ascii="Times New Roman" w:hAnsi="Times New Roman" w:cs="Times New Roman"/>
          <w:szCs w:val="21"/>
        </w:rPr>
      </w:pPr>
      <w:r w:rsidRPr="00857B61">
        <w:rPr>
          <w:rFonts w:ascii="Times New Roman" w:hAnsi="Times New Roman" w:cs="Times New Roman"/>
          <w:b/>
          <w:bCs/>
          <w:szCs w:val="21"/>
        </w:rPr>
        <w:t>Keywords:</w:t>
      </w:r>
      <w:r w:rsidRPr="00857B61">
        <w:rPr>
          <w:rFonts w:ascii="Times New Roman" w:hAnsi="Times New Roman" w:cs="Times New Roman"/>
          <w:szCs w:val="21"/>
        </w:rPr>
        <w:t xml:space="preserve"> </w:t>
      </w:r>
      <w:r w:rsidRPr="00857B61">
        <w:rPr>
          <w:rFonts w:ascii="Times New Roman" w:hAnsi="Times New Roman" w:cs="Times New Roman" w:hint="eastAsia"/>
          <w:szCs w:val="21"/>
        </w:rPr>
        <w:t xml:space="preserve">Administrative Public Interest Litigation; </w:t>
      </w:r>
      <w:r w:rsidRPr="00857B61">
        <w:rPr>
          <w:rFonts w:ascii="Times New Roman" w:hAnsi="Times New Roman" w:cs="Times New Roman"/>
          <w:szCs w:val="21"/>
        </w:rPr>
        <w:t>State-owned Assets Loss</w:t>
      </w:r>
      <w:r w:rsidRPr="00857B61">
        <w:rPr>
          <w:rFonts w:ascii="Times New Roman" w:hAnsi="Times New Roman" w:cs="Times New Roman" w:hint="eastAsia"/>
          <w:szCs w:val="21"/>
        </w:rPr>
        <w:t>; Merger and Acquisition</w:t>
      </w:r>
    </w:p>
    <w:p w14:paraId="2DF8F009" w14:textId="77777777" w:rsidR="00DE7EC6" w:rsidRPr="00857B61" w:rsidRDefault="00DE7EC6">
      <w:pPr>
        <w:ind w:firstLineChars="200" w:firstLine="420"/>
        <w:rPr>
          <w:rFonts w:eastAsia="宋体"/>
          <w:szCs w:val="21"/>
        </w:rPr>
      </w:pPr>
    </w:p>
    <w:sectPr w:rsidR="00DE7EC6" w:rsidRPr="00857B61">
      <w:footerReference w:type="default" r:id="rId10"/>
      <w:footnotePr>
        <w:numFmt w:val="decimalEnclosedCircleChinese"/>
        <w:numRestart w:val="eachPage"/>
      </w:footnotePr>
      <w:pgSz w:w="11906" w:h="16838"/>
      <w:pgMar w:top="1417" w:right="1417" w:bottom="141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8D661" w14:textId="77777777" w:rsidR="00C72D5F" w:rsidRDefault="00C72D5F">
      <w:r>
        <w:separator/>
      </w:r>
    </w:p>
  </w:endnote>
  <w:endnote w:type="continuationSeparator" w:id="0">
    <w:p w14:paraId="22EE9A0A" w14:textId="77777777" w:rsidR="00C72D5F" w:rsidRDefault="00C7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5BA2" w14:textId="77777777" w:rsidR="00DE7EC6" w:rsidRDefault="00000000">
    <w:pPr>
      <w:pStyle w:val="a4"/>
    </w:pPr>
    <w:r>
      <w:rPr>
        <w:noProof/>
      </w:rPr>
      <mc:AlternateContent>
        <mc:Choice Requires="wps">
          <w:drawing>
            <wp:anchor distT="0" distB="0" distL="114300" distR="114300" simplePos="0" relativeHeight="251659264" behindDoc="0" locked="0" layoutInCell="1" allowOverlap="1" wp14:anchorId="19AC88E3" wp14:editId="0B0C3CA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EBFEE" w14:textId="77777777" w:rsidR="00DE7EC6" w:rsidRDefault="00000000">
                          <w:pPr>
                            <w:pStyle w:val="a4"/>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AC88E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32EBFEE" w14:textId="77777777" w:rsidR="00DE7EC6" w:rsidRDefault="00000000">
                    <w:pPr>
                      <w:pStyle w:val="a4"/>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70391" w14:textId="77777777" w:rsidR="00C72D5F" w:rsidRDefault="00C72D5F">
      <w:r>
        <w:separator/>
      </w:r>
    </w:p>
  </w:footnote>
  <w:footnote w:type="continuationSeparator" w:id="0">
    <w:p w14:paraId="4D5EE211" w14:textId="77777777" w:rsidR="00C72D5F" w:rsidRDefault="00C72D5F">
      <w:r>
        <w:continuationSeparator/>
      </w:r>
    </w:p>
  </w:footnote>
  <w:footnote w:id="1">
    <w:p w14:paraId="6F7F20B0" w14:textId="77777777" w:rsidR="00DE7EC6" w:rsidRDefault="00000000">
      <w:pPr>
        <w:pStyle w:val="a6"/>
        <w:ind w:firstLineChars="200" w:firstLine="360"/>
        <w:rPr>
          <w:rStyle w:val="a9"/>
          <w:rFonts w:ascii="Times New Roman" w:hAnsi="Times New Roman"/>
          <w:szCs w:val="18"/>
          <w:vertAlign w:val="baseline"/>
        </w:rPr>
      </w:pPr>
      <w:r>
        <w:rPr>
          <w:rFonts w:ascii="Times New Roman" w:eastAsia="宋体" w:hAnsi="Times New Roman" w:hint="eastAsia"/>
          <w:szCs w:val="18"/>
        </w:rPr>
        <w:t xml:space="preserve">** </w:t>
      </w:r>
      <w:r>
        <w:rPr>
          <w:rFonts w:ascii="Times New Roman" w:eastAsia="宋体" w:hAnsi="Times New Roman" w:hint="eastAsia"/>
          <w:szCs w:val="18"/>
        </w:rPr>
        <w:t>步晓宁，山东财经大学金融学院，邮编：</w:t>
      </w:r>
      <w:r>
        <w:rPr>
          <w:rFonts w:ascii="Times New Roman" w:eastAsia="宋体" w:hAnsi="Times New Roman" w:hint="eastAsia"/>
          <w:szCs w:val="18"/>
        </w:rPr>
        <w:t>250014</w:t>
      </w:r>
      <w:r>
        <w:rPr>
          <w:rFonts w:ascii="Times New Roman" w:eastAsia="宋体" w:hAnsi="Times New Roman" w:hint="eastAsia"/>
          <w:szCs w:val="18"/>
        </w:rPr>
        <w:t>，电子邮箱：</w:t>
      </w:r>
      <w:r>
        <w:rPr>
          <w:rFonts w:ascii="Times New Roman" w:eastAsia="宋体" w:hAnsi="Times New Roman" w:hint="eastAsia"/>
          <w:szCs w:val="18"/>
        </w:rPr>
        <w:t>buxiaoning@126.com</w:t>
      </w:r>
      <w:r>
        <w:rPr>
          <w:rFonts w:ascii="Times New Roman" w:eastAsia="宋体" w:hAnsi="Times New Roman" w:hint="eastAsia"/>
          <w:szCs w:val="18"/>
        </w:rPr>
        <w:t>；潘晓珊，山东财经大学金融学院，邮编：</w:t>
      </w:r>
      <w:r>
        <w:rPr>
          <w:rFonts w:ascii="Times New Roman" w:eastAsia="宋体" w:hAnsi="Times New Roman" w:hint="eastAsia"/>
          <w:szCs w:val="18"/>
        </w:rPr>
        <w:t>250014</w:t>
      </w:r>
      <w:r>
        <w:rPr>
          <w:rFonts w:ascii="Times New Roman" w:eastAsia="宋体" w:hAnsi="Times New Roman" w:hint="eastAsia"/>
          <w:szCs w:val="18"/>
        </w:rPr>
        <w:t>，电子邮箱：</w:t>
      </w:r>
      <w:r>
        <w:rPr>
          <w:rFonts w:ascii="Times New Roman" w:eastAsia="宋体" w:hAnsi="Times New Roman" w:hint="eastAsia"/>
          <w:szCs w:val="18"/>
        </w:rPr>
        <w:t>1124258904@qq.com</w:t>
      </w:r>
      <w:r>
        <w:rPr>
          <w:rFonts w:ascii="Times New Roman" w:eastAsia="宋体" w:hAnsi="Times New Roman" w:hint="eastAsia"/>
          <w:szCs w:val="18"/>
        </w:rPr>
        <w:t>；张少华，广州大学经济与统计学院，邮编：</w:t>
      </w:r>
      <w:r>
        <w:rPr>
          <w:rFonts w:ascii="Times New Roman" w:eastAsia="宋体" w:hAnsi="Times New Roman" w:hint="eastAsia"/>
          <w:szCs w:val="18"/>
        </w:rPr>
        <w:t>510006</w:t>
      </w:r>
      <w:r>
        <w:rPr>
          <w:rFonts w:ascii="Times New Roman" w:eastAsia="宋体" w:hAnsi="Times New Roman" w:hint="eastAsia"/>
          <w:szCs w:val="18"/>
        </w:rPr>
        <w:t>，电子邮箱：</w:t>
      </w:r>
      <w:r>
        <w:rPr>
          <w:rFonts w:ascii="Times New Roman" w:eastAsia="宋体" w:hAnsi="Times New Roman" w:hint="eastAsia"/>
          <w:szCs w:val="18"/>
        </w:rPr>
        <w:t>ahua1688@126.com</w:t>
      </w:r>
      <w:r>
        <w:rPr>
          <w:rFonts w:ascii="Times New Roman" w:eastAsia="宋体" w:hAnsi="Times New Roman" w:hint="eastAsia"/>
          <w:szCs w:val="18"/>
        </w:rPr>
        <w:t>。感谢审稿专家的宝贵意见，文责自负。</w:t>
      </w:r>
    </w:p>
    <w:p w14:paraId="7B15FA38" w14:textId="77777777" w:rsidR="00DE7EC6" w:rsidRDefault="00DE7EC6">
      <w:pPr>
        <w:pStyle w:val="a6"/>
      </w:pPr>
    </w:p>
  </w:footnote>
  <w:footnote w:id="2">
    <w:p w14:paraId="152D20F8" w14:textId="77777777" w:rsidR="00DE7EC6" w:rsidRDefault="00000000">
      <w:pPr>
        <w:pStyle w:val="a6"/>
        <w:ind w:firstLineChars="200" w:firstLine="360"/>
      </w:pPr>
      <w:r>
        <w:rPr>
          <w:rStyle w:val="a9"/>
          <w:rFonts w:ascii="Times New Roman" w:hAnsi="Times New Roman" w:cs="Times New Roman"/>
          <w:vertAlign w:val="baseline"/>
        </w:rPr>
        <w:footnoteRef/>
      </w:r>
      <w:r>
        <w:t xml:space="preserve"> </w:t>
      </w:r>
      <w:r>
        <w:rPr>
          <w:rFonts w:ascii="Times New Roman" w:eastAsia="宋体" w:hAnsi="Times New Roman" w:cs="楷体" w:hint="eastAsia"/>
          <w:color w:val="000000" w:themeColor="text1"/>
          <w:szCs w:val="21"/>
        </w:rPr>
        <w:t>试点期间广州市南沙区检察院在履行职责中发现原黄阁镇党委书记陈某某在</w:t>
      </w:r>
      <w:r>
        <w:rPr>
          <w:rFonts w:ascii="Times New Roman" w:eastAsia="宋体" w:hAnsi="Times New Roman" w:cs="楷体" w:hint="eastAsia"/>
          <w:color w:val="000000" w:themeColor="text1"/>
          <w:szCs w:val="21"/>
        </w:rPr>
        <w:t>2010</w:t>
      </w:r>
      <w:r>
        <w:rPr>
          <w:rFonts w:ascii="Times New Roman" w:eastAsia="宋体" w:hAnsi="Times New Roman" w:cs="楷体" w:hint="eastAsia"/>
          <w:color w:val="000000" w:themeColor="text1"/>
          <w:szCs w:val="21"/>
        </w:rPr>
        <w:t>年</w:t>
      </w:r>
      <w:r>
        <w:rPr>
          <w:rFonts w:ascii="Times New Roman" w:eastAsia="宋体" w:hAnsi="Times New Roman" w:cs="楷体" w:hint="eastAsia"/>
          <w:color w:val="000000" w:themeColor="text1"/>
          <w:szCs w:val="21"/>
        </w:rPr>
        <w:t>5</w:t>
      </w:r>
      <w:r>
        <w:rPr>
          <w:rFonts w:ascii="Times New Roman" w:eastAsia="宋体" w:hAnsi="Times New Roman" w:cs="楷体" w:hint="eastAsia"/>
          <w:color w:val="000000" w:themeColor="text1"/>
          <w:szCs w:val="21"/>
        </w:rPr>
        <w:t>月期间滥用其手中权力，通过其任职镇政府下辖的集体企业黄阁镇房地产开发公司对华星酒店进行投资，达到变相低价出让国有土地资源的目的，使得国有资产流失了</w:t>
      </w:r>
      <w:r>
        <w:rPr>
          <w:rFonts w:ascii="Times New Roman" w:eastAsia="宋体" w:hAnsi="Times New Roman" w:cs="楷体" w:hint="eastAsia"/>
          <w:color w:val="000000" w:themeColor="text1"/>
          <w:szCs w:val="21"/>
        </w:rPr>
        <w:t>9000</w:t>
      </w:r>
      <w:r>
        <w:rPr>
          <w:rFonts w:ascii="Times New Roman" w:eastAsia="宋体" w:hAnsi="Times New Roman" w:cs="楷体" w:hint="eastAsia"/>
          <w:color w:val="000000" w:themeColor="text1"/>
          <w:szCs w:val="21"/>
        </w:rPr>
        <w:t>多万元。直至</w:t>
      </w:r>
      <w:r>
        <w:rPr>
          <w:rFonts w:ascii="Times New Roman" w:eastAsia="宋体" w:hAnsi="Times New Roman" w:cs="楷体" w:hint="eastAsia"/>
          <w:color w:val="000000" w:themeColor="text1"/>
          <w:szCs w:val="21"/>
        </w:rPr>
        <w:t>2016</w:t>
      </w:r>
      <w:r>
        <w:rPr>
          <w:rFonts w:ascii="Times New Roman" w:eastAsia="宋体" w:hAnsi="Times New Roman" w:cs="楷体" w:hint="eastAsia"/>
          <w:color w:val="000000" w:themeColor="text1"/>
          <w:szCs w:val="21"/>
        </w:rPr>
        <w:t>年</w:t>
      </w:r>
      <w:r>
        <w:rPr>
          <w:rFonts w:ascii="Times New Roman" w:eastAsia="宋体" w:hAnsi="Times New Roman" w:cs="楷体" w:hint="eastAsia"/>
          <w:color w:val="000000" w:themeColor="text1"/>
          <w:szCs w:val="21"/>
        </w:rPr>
        <w:t>6</w:t>
      </w:r>
      <w:r>
        <w:rPr>
          <w:rFonts w:ascii="Times New Roman" w:eastAsia="宋体" w:hAnsi="Times New Roman" w:cs="楷体" w:hint="eastAsia"/>
          <w:color w:val="000000" w:themeColor="text1"/>
          <w:szCs w:val="21"/>
        </w:rPr>
        <w:t>月</w:t>
      </w:r>
      <w:r>
        <w:rPr>
          <w:rFonts w:ascii="Times New Roman" w:eastAsia="宋体" w:hAnsi="Times New Roman" w:cs="楷体" w:hint="eastAsia"/>
          <w:color w:val="000000" w:themeColor="text1"/>
          <w:szCs w:val="21"/>
        </w:rPr>
        <w:t>15</w:t>
      </w:r>
      <w:r>
        <w:rPr>
          <w:rFonts w:ascii="Times New Roman" w:eastAsia="宋体" w:hAnsi="Times New Roman" w:cs="楷体" w:hint="eastAsia"/>
          <w:color w:val="000000" w:themeColor="text1"/>
          <w:szCs w:val="21"/>
        </w:rPr>
        <w:t>日，南沙区检察院发现此国有资产受损的情况向黄阁镇政府发出检察建议书才使得事件曝光。后期在南沙区检察院的监督以及大力支持下，黄阁镇房地产开发公司得以追索因低价转让国有土地而导致的国有资产损失，最终得到了</w:t>
      </w:r>
      <w:r>
        <w:rPr>
          <w:rFonts w:ascii="Times New Roman" w:eastAsia="宋体" w:hAnsi="Times New Roman" w:cs="楷体" w:hint="eastAsia"/>
          <w:color w:val="000000" w:themeColor="text1"/>
          <w:szCs w:val="21"/>
        </w:rPr>
        <w:t>1.2</w:t>
      </w:r>
      <w:r>
        <w:rPr>
          <w:rFonts w:ascii="Times New Roman" w:eastAsia="宋体" w:hAnsi="Times New Roman" w:cs="楷体" w:hint="eastAsia"/>
          <w:color w:val="000000" w:themeColor="text1"/>
          <w:szCs w:val="21"/>
        </w:rPr>
        <w:t>亿元的资金赔偿。</w:t>
      </w:r>
    </w:p>
  </w:footnote>
  <w:footnote w:id="3">
    <w:p w14:paraId="7F568FD9" w14:textId="77777777" w:rsidR="00DE7EC6" w:rsidRDefault="00000000">
      <w:pPr>
        <w:pStyle w:val="a6"/>
        <w:ind w:firstLineChars="200" w:firstLine="360"/>
      </w:pPr>
      <w:r>
        <w:rPr>
          <w:rStyle w:val="a9"/>
          <w:rFonts w:ascii="Times New Roman" w:eastAsia="宋体" w:hAnsi="Times New Roman" w:cs="楷体" w:hint="eastAsia"/>
          <w:color w:val="000000" w:themeColor="text1"/>
          <w:vertAlign w:val="baseline"/>
        </w:rPr>
        <w:footnoteRef/>
      </w:r>
      <w:r>
        <w:rPr>
          <w:rFonts w:ascii="Times New Roman" w:eastAsia="宋体" w:hAnsi="Times New Roman" w:cs="楷体" w:hint="eastAsia"/>
          <w:color w:val="000000" w:themeColor="text1"/>
        </w:rPr>
        <w:t xml:space="preserve"> </w:t>
      </w:r>
      <w:r>
        <w:rPr>
          <w:rFonts w:ascii="Times New Roman" w:eastAsia="宋体" w:hAnsi="Times New Roman" w:cs="楷体" w:hint="eastAsia"/>
          <w:color w:val="000000" w:themeColor="text1"/>
        </w:rPr>
        <w:t>地方环保督察遇难题</w:t>
      </w:r>
      <w:r>
        <w:rPr>
          <w:rFonts w:ascii="Times New Roman" w:eastAsia="宋体" w:hAnsi="Times New Roman" w:cs="楷体" w:hint="eastAsia"/>
          <w:color w:val="000000" w:themeColor="text1"/>
        </w:rPr>
        <w:t xml:space="preserve"> </w:t>
      </w:r>
      <w:r>
        <w:rPr>
          <w:rFonts w:ascii="Times New Roman" w:eastAsia="宋体" w:hAnsi="Times New Roman" w:cs="楷体" w:hint="eastAsia"/>
          <w:color w:val="000000" w:themeColor="text1"/>
        </w:rPr>
        <w:t>“基层科长”难管“国企厅官”</w:t>
      </w:r>
      <w:r>
        <w:rPr>
          <w:rFonts w:ascii="Times New Roman" w:eastAsia="宋体" w:hAnsi="Times New Roman" w:cs="楷体" w:hint="eastAsia"/>
          <w:color w:val="000000" w:themeColor="text1"/>
        </w:rPr>
        <w:t xml:space="preserve"> </w:t>
      </w:r>
      <w:r>
        <w:rPr>
          <w:rFonts w:ascii="Times New Roman" w:eastAsia="宋体" w:hAnsi="Times New Roman" w:cs="Times New Roman"/>
          <w:color w:val="000000" w:themeColor="text1"/>
        </w:rPr>
        <w:t>http://www.xinhuanet.com/2020-05/13/c_1125976695.htm</w:t>
      </w:r>
      <w:r>
        <w:rPr>
          <w:rFonts w:ascii="Times New Roman" w:eastAsia="宋体" w:hAnsi="Times New Roman" w:cs="Times New Roman" w:hint="eastAsia"/>
          <w:color w:val="000000" w:themeColor="text1"/>
        </w:rPr>
        <w:t>。</w:t>
      </w:r>
      <w:r>
        <w:rPr>
          <w:rFonts w:ascii="Times New Roman" w:eastAsia="宋体" w:hAnsi="Times New Roman" w:cs="楷体" w:hint="eastAsia"/>
          <w:color w:val="000000" w:themeColor="text1"/>
        </w:rPr>
        <w:t xml:space="preserve"> </w:t>
      </w:r>
      <w:r>
        <w:rPr>
          <w:rFonts w:ascii="楷体" w:eastAsia="楷体" w:hAnsi="楷体" w:cs="楷体" w:hint="eastAsia"/>
          <w:color w:val="000000" w:themeColor="text1"/>
        </w:rPr>
        <w:t xml:space="preserve"> </w:t>
      </w:r>
    </w:p>
  </w:footnote>
  <w:footnote w:id="4">
    <w:p w14:paraId="36D97C28" w14:textId="77777777" w:rsidR="00DE7EC6" w:rsidRDefault="00000000">
      <w:pPr>
        <w:pStyle w:val="a6"/>
        <w:ind w:firstLineChars="200" w:firstLine="360"/>
      </w:pPr>
      <w:r>
        <w:rPr>
          <w:rStyle w:val="a9"/>
          <w:rFonts w:ascii="Times New Roman" w:eastAsia="宋体" w:hAnsi="Times New Roman" w:cs="楷体" w:hint="eastAsia"/>
          <w:color w:val="000000" w:themeColor="text1"/>
          <w:vertAlign w:val="baseline"/>
        </w:rPr>
        <w:footnoteRef/>
      </w:r>
      <w:r>
        <w:t xml:space="preserve"> </w:t>
      </w:r>
      <w:r>
        <w:rPr>
          <w:rFonts w:hint="eastAsia"/>
        </w:rPr>
        <w:t>央企华润电力控股有限公司早年间花费</w:t>
      </w:r>
      <w:r>
        <w:rPr>
          <w:rFonts w:ascii="Times New Roman" w:hAnsi="Times New Roman" w:cs="Times New Roman"/>
        </w:rPr>
        <w:t>80</w:t>
      </w:r>
      <w:r>
        <w:rPr>
          <w:rFonts w:ascii="Times New Roman" w:hAnsi="Times New Roman" w:cs="Times New Roman"/>
        </w:rPr>
        <w:t>亿元收购民营企业山西金业集团所属煤矿以及焦化厂等资产，其中仅股权一项的估价就比大同煤矿集团公司出价高</w:t>
      </w:r>
      <w:r>
        <w:rPr>
          <w:rFonts w:ascii="Times New Roman" w:hAnsi="Times New Roman" w:cs="Times New Roman"/>
        </w:rPr>
        <w:t>50</w:t>
      </w:r>
      <w:r>
        <w:rPr>
          <w:rFonts w:hint="eastAsia"/>
        </w:rPr>
        <w:t>亿，一煤矿更是已成为当地农民放羊场地的未开发井田，单此一项收购或致数十亿元的国有资产流失。</w:t>
      </w:r>
    </w:p>
  </w:footnote>
  <w:footnote w:id="5">
    <w:p w14:paraId="507CDBFA" w14:textId="77777777" w:rsidR="00DE7EC6" w:rsidRDefault="00000000">
      <w:pPr>
        <w:pStyle w:val="a6"/>
        <w:ind w:firstLineChars="200" w:firstLine="360"/>
      </w:pPr>
      <w:r>
        <w:rPr>
          <w:rStyle w:val="a9"/>
          <w:rFonts w:ascii="Times New Roman" w:eastAsia="宋体" w:hAnsi="Times New Roman" w:cs="楷体"/>
          <w:vertAlign w:val="baseline"/>
        </w:rPr>
        <w:footnoteRef/>
      </w:r>
      <w:r>
        <w:rPr>
          <w:rStyle w:val="a9"/>
          <w:rFonts w:ascii="Times New Roman" w:eastAsia="宋体" w:hAnsi="Times New Roman" w:cs="楷体"/>
          <w:vertAlign w:val="baseline"/>
        </w:rPr>
        <w:t xml:space="preserve"> </w:t>
      </w:r>
      <w:r>
        <w:rPr>
          <w:rStyle w:val="a9"/>
          <w:rFonts w:ascii="Times New Roman" w:eastAsia="宋体" w:hAnsi="Times New Roman" w:cs="楷体" w:hint="eastAsia"/>
          <w:vertAlign w:val="baseline"/>
        </w:rPr>
        <w:t>安徽省高级人民法院与人民检察院经过共同研讨形成了《关于办理人民检察院提起行政公益诉讼案件适用法律若干问题的会议纪要》，且安徽省人民政府办公厅印发了《关于加强行政公益诉讼有关工作的意见》，要求全省政府系统坚决支持配合检察机关开展公益诉讼试点工作。</w:t>
      </w:r>
    </w:p>
  </w:footnote>
  <w:footnote w:id="6">
    <w:p w14:paraId="610FF0AB" w14:textId="77777777" w:rsidR="00DE7EC6" w:rsidRDefault="00000000">
      <w:pPr>
        <w:pStyle w:val="a6"/>
        <w:ind w:firstLineChars="200" w:firstLine="360"/>
      </w:pPr>
      <w:r>
        <w:rPr>
          <w:rStyle w:val="a9"/>
          <w:rFonts w:ascii="Times New Roman" w:hAnsi="Times New Roman" w:cs="Times New Roman"/>
          <w:vertAlign w:val="baseline"/>
        </w:rPr>
        <w:footnoteRef/>
      </w:r>
      <w:r>
        <w:rPr>
          <w:rFonts w:ascii="Times New Roman" w:hAnsi="Times New Roman" w:cs="Times New Roman"/>
        </w:rPr>
        <w:t xml:space="preserve"> </w:t>
      </w:r>
      <w:r>
        <w:rPr>
          <w:rFonts w:hint="eastAsia"/>
        </w:rPr>
        <w:t>篇幅所限，这里没有列出平衡性检验结果，有兴趣的读者可以向作者索取。</w:t>
      </w:r>
    </w:p>
  </w:footnote>
  <w:footnote w:id="7">
    <w:p w14:paraId="3B90AAB6" w14:textId="77777777" w:rsidR="00DE7EC6" w:rsidRDefault="00000000">
      <w:pPr>
        <w:pStyle w:val="a6"/>
        <w:ind w:firstLineChars="200" w:firstLine="360"/>
        <w:rPr>
          <w:rFonts w:ascii="Times New Roman" w:hAnsi="Times New Roman" w:cs="Times New Roman"/>
        </w:rPr>
      </w:pPr>
      <w:r>
        <w:rPr>
          <w:rStyle w:val="a9"/>
          <w:rFonts w:ascii="Times New Roman" w:hAnsi="Times New Roman" w:cs="Times New Roman"/>
          <w:vertAlign w:val="baseline"/>
        </w:rPr>
        <w:footnoteRef/>
      </w:r>
      <w:r>
        <w:rPr>
          <w:rFonts w:ascii="Times New Roman" w:hAnsi="Times New Roman" w:cs="Times New Roman"/>
        </w:rPr>
        <w:t xml:space="preserve"> 2020</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月江西省峡江县人民法院宣判了一起跨省非法倾倒危险废物案件，被告人孙某坡等</w:t>
      </w:r>
      <w:r>
        <w:rPr>
          <w:rFonts w:ascii="Times New Roman" w:hAnsi="Times New Roman" w:cs="Times New Roman"/>
        </w:rPr>
        <w:t>5</w:t>
      </w:r>
      <w:r>
        <w:rPr>
          <w:rFonts w:ascii="Times New Roman" w:hAnsi="Times New Roman" w:cs="Times New Roman"/>
        </w:rPr>
        <w:t>人犯有污染环境罪被判处有期徒刑并处罚金，这些案件造成了公众受损、政府埋单的恶劣后果。</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71F4F5"/>
    <w:multiLevelType w:val="singleLevel"/>
    <w:tmpl w:val="9F71F4F5"/>
    <w:lvl w:ilvl="0">
      <w:start w:val="1"/>
      <w:numFmt w:val="chineseCounting"/>
      <w:suff w:val="nothing"/>
      <w:lvlText w:val="第%1，"/>
      <w:lvlJc w:val="left"/>
      <w:rPr>
        <w:rFonts w:hint="eastAsia"/>
      </w:rPr>
    </w:lvl>
  </w:abstractNum>
  <w:abstractNum w:abstractNumId="1" w15:restartNumberingAfterBreak="0">
    <w:nsid w:val="B118F252"/>
    <w:multiLevelType w:val="singleLevel"/>
    <w:tmpl w:val="B118F252"/>
    <w:lvl w:ilvl="0">
      <w:start w:val="1"/>
      <w:numFmt w:val="decimalEnclosedCircleChinese"/>
      <w:pStyle w:val="3"/>
      <w:suff w:val="nothing"/>
      <w:lvlText w:val="%1　"/>
      <w:lvlJc w:val="left"/>
      <w:pPr>
        <w:ind w:left="0" w:firstLine="400"/>
      </w:pPr>
      <w:rPr>
        <w:rFonts w:hint="eastAsia"/>
      </w:rPr>
    </w:lvl>
  </w:abstractNum>
  <w:abstractNum w:abstractNumId="2" w15:restartNumberingAfterBreak="0">
    <w:nsid w:val="D19F15F2"/>
    <w:multiLevelType w:val="singleLevel"/>
    <w:tmpl w:val="D19F15F2"/>
    <w:lvl w:ilvl="0">
      <w:start w:val="1"/>
      <w:numFmt w:val="decimalEnclosedCircleChinese"/>
      <w:pStyle w:val="1"/>
      <w:suff w:val="nothing"/>
      <w:lvlText w:val="%1　"/>
      <w:lvlJc w:val="left"/>
      <w:pPr>
        <w:ind w:left="0" w:firstLine="397"/>
      </w:pPr>
      <w:rPr>
        <w:rFonts w:hint="eastAsia"/>
      </w:rPr>
    </w:lvl>
  </w:abstractNum>
  <w:num w:numId="1" w16cid:durableId="331177231">
    <w:abstractNumId w:val="1"/>
  </w:num>
  <w:num w:numId="2" w16cid:durableId="356079038">
    <w:abstractNumId w:val="2"/>
  </w:num>
  <w:num w:numId="3" w16cid:durableId="2105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JiNmY5MWY3NjllYmM1ZWYwZDJmNGIzYTFkZmMxNDcifQ=="/>
  </w:docVars>
  <w:rsids>
    <w:rsidRoot w:val="40A3441C"/>
    <w:rsid w:val="00857B61"/>
    <w:rsid w:val="00C72D5F"/>
    <w:rsid w:val="00DE7EC6"/>
    <w:rsid w:val="013E2932"/>
    <w:rsid w:val="01B70CC2"/>
    <w:rsid w:val="04D10FF9"/>
    <w:rsid w:val="052D1EEA"/>
    <w:rsid w:val="06FD0BBC"/>
    <w:rsid w:val="07FC35D5"/>
    <w:rsid w:val="08A4634F"/>
    <w:rsid w:val="09092DE7"/>
    <w:rsid w:val="095D0765"/>
    <w:rsid w:val="0A156932"/>
    <w:rsid w:val="0A1A2AD5"/>
    <w:rsid w:val="0A263EEA"/>
    <w:rsid w:val="0A8C214E"/>
    <w:rsid w:val="0B587AF1"/>
    <w:rsid w:val="0C54227B"/>
    <w:rsid w:val="0C9920F0"/>
    <w:rsid w:val="0D162E22"/>
    <w:rsid w:val="0DFC20D9"/>
    <w:rsid w:val="0E712CAB"/>
    <w:rsid w:val="100C4F3C"/>
    <w:rsid w:val="106F1EB4"/>
    <w:rsid w:val="122A307D"/>
    <w:rsid w:val="12B400C2"/>
    <w:rsid w:val="12BA66E6"/>
    <w:rsid w:val="159C0046"/>
    <w:rsid w:val="172A5323"/>
    <w:rsid w:val="17CE1BA5"/>
    <w:rsid w:val="192A4CD3"/>
    <w:rsid w:val="19B26BFB"/>
    <w:rsid w:val="19BF16EC"/>
    <w:rsid w:val="1A8D67F3"/>
    <w:rsid w:val="1C6716E2"/>
    <w:rsid w:val="1CD8551B"/>
    <w:rsid w:val="1CF90EC8"/>
    <w:rsid w:val="1D43117C"/>
    <w:rsid w:val="1FE96652"/>
    <w:rsid w:val="2068201C"/>
    <w:rsid w:val="20F73191"/>
    <w:rsid w:val="215A3EA4"/>
    <w:rsid w:val="226129C8"/>
    <w:rsid w:val="22D93FC7"/>
    <w:rsid w:val="230B046F"/>
    <w:rsid w:val="23B2764E"/>
    <w:rsid w:val="24251606"/>
    <w:rsid w:val="2467601C"/>
    <w:rsid w:val="25C65131"/>
    <w:rsid w:val="25E02770"/>
    <w:rsid w:val="26C90F10"/>
    <w:rsid w:val="27221FD1"/>
    <w:rsid w:val="29583B08"/>
    <w:rsid w:val="29DF4A2D"/>
    <w:rsid w:val="2AA077A9"/>
    <w:rsid w:val="2B2C0C20"/>
    <w:rsid w:val="2B8B4429"/>
    <w:rsid w:val="2CE51A84"/>
    <w:rsid w:val="2D823DF4"/>
    <w:rsid w:val="2F745AFB"/>
    <w:rsid w:val="2F7B4DDE"/>
    <w:rsid w:val="317B22F3"/>
    <w:rsid w:val="33B04DF4"/>
    <w:rsid w:val="3430248E"/>
    <w:rsid w:val="34C136BA"/>
    <w:rsid w:val="34D45F81"/>
    <w:rsid w:val="34E56D35"/>
    <w:rsid w:val="360C14CF"/>
    <w:rsid w:val="367F46EA"/>
    <w:rsid w:val="371A65D4"/>
    <w:rsid w:val="374E46CA"/>
    <w:rsid w:val="37BE545B"/>
    <w:rsid w:val="3828316D"/>
    <w:rsid w:val="388E2B96"/>
    <w:rsid w:val="39873E6A"/>
    <w:rsid w:val="3CD557A3"/>
    <w:rsid w:val="3D5064B9"/>
    <w:rsid w:val="3F34080C"/>
    <w:rsid w:val="3FDA73C7"/>
    <w:rsid w:val="40043FF3"/>
    <w:rsid w:val="40210BCD"/>
    <w:rsid w:val="40A3441C"/>
    <w:rsid w:val="412D6CD6"/>
    <w:rsid w:val="43996A7F"/>
    <w:rsid w:val="43CC374D"/>
    <w:rsid w:val="443611C6"/>
    <w:rsid w:val="4AE208F9"/>
    <w:rsid w:val="4DBA20AE"/>
    <w:rsid w:val="4E0A5FB9"/>
    <w:rsid w:val="4EA87FBA"/>
    <w:rsid w:val="51176437"/>
    <w:rsid w:val="51B23B3C"/>
    <w:rsid w:val="557064FF"/>
    <w:rsid w:val="557362B4"/>
    <w:rsid w:val="5633325D"/>
    <w:rsid w:val="56547701"/>
    <w:rsid w:val="574C4FFF"/>
    <w:rsid w:val="57733356"/>
    <w:rsid w:val="58CB5722"/>
    <w:rsid w:val="58D477A5"/>
    <w:rsid w:val="5A165ADE"/>
    <w:rsid w:val="5B16689C"/>
    <w:rsid w:val="5C62468B"/>
    <w:rsid w:val="5CD32EEC"/>
    <w:rsid w:val="5D0A3484"/>
    <w:rsid w:val="5F8D65E5"/>
    <w:rsid w:val="615A6DEC"/>
    <w:rsid w:val="63466E33"/>
    <w:rsid w:val="650636D4"/>
    <w:rsid w:val="67643476"/>
    <w:rsid w:val="68AA6958"/>
    <w:rsid w:val="68F47B92"/>
    <w:rsid w:val="694357D9"/>
    <w:rsid w:val="695B664F"/>
    <w:rsid w:val="69C17F22"/>
    <w:rsid w:val="6BB22C67"/>
    <w:rsid w:val="6BB81597"/>
    <w:rsid w:val="6D2C03D5"/>
    <w:rsid w:val="7045339A"/>
    <w:rsid w:val="71FD139C"/>
    <w:rsid w:val="73262E4C"/>
    <w:rsid w:val="769E4703"/>
    <w:rsid w:val="781D3BA9"/>
    <w:rsid w:val="7A7F0907"/>
    <w:rsid w:val="7B78249A"/>
    <w:rsid w:val="7C7A6994"/>
    <w:rsid w:val="7EF145AE"/>
    <w:rsid w:val="7F1B3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CE32B0B"/>
  <w15:docId w15:val="{8B5561E1-7512-4DE7-B439-4FBB6E99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unhideWhenUsed/>
    <w:qFormat/>
    <w:pPr>
      <w:keepNext/>
      <w:keepLines/>
      <w:spacing w:before="260" w:after="260" w:line="416" w:lineRule="auto"/>
      <w:outlineLvl w:val="2"/>
    </w:pPr>
    <w:rPr>
      <w:b/>
      <w:bCs/>
      <w:sz w:val="32"/>
      <w:szCs w:val="32"/>
    </w:rPr>
  </w:style>
  <w:style w:type="paragraph" w:styleId="4">
    <w:name w:val="heading 4"/>
    <w:basedOn w:val="a"/>
    <w:next w:val="a"/>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qFormat/>
    <w:pPr>
      <w:snapToGrid w:val="0"/>
      <w:jc w:val="left"/>
    </w:pPr>
    <w:rPr>
      <w:sz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qFormat/>
    <w:rPr>
      <w:sz w:val="21"/>
      <w:szCs w:val="21"/>
    </w:rPr>
  </w:style>
  <w:style w:type="character" w:styleId="a9">
    <w:name w:val="footnote reference"/>
    <w:basedOn w:val="a0"/>
    <w:qFormat/>
    <w:rPr>
      <w:vertAlign w:val="superscript"/>
    </w:rPr>
  </w:style>
  <w:style w:type="paragraph" w:customStyle="1" w:styleId="3">
    <w:name w:val="样式3"/>
    <w:basedOn w:val="a6"/>
    <w:qFormat/>
    <w:pPr>
      <w:numPr>
        <w:numId w:val="1"/>
      </w:numPr>
    </w:pPr>
  </w:style>
  <w:style w:type="paragraph" w:customStyle="1" w:styleId="1">
    <w:name w:val="样式1"/>
    <w:basedOn w:val="a6"/>
    <w:qFormat/>
    <w:pPr>
      <w:numPr>
        <w:numId w:val="2"/>
      </w:numPr>
    </w:pPr>
  </w:style>
  <w:style w:type="paragraph" w:customStyle="1" w:styleId="40">
    <w:name w:val="样式4"/>
    <w:basedOn w:val="a"/>
    <w:next w:val="a"/>
    <w:qFormat/>
    <w:pPr>
      <w:keepNext/>
      <w:keepLines/>
      <w:spacing w:beforeLines="50" w:before="50" w:afterLines="50" w:after="50" w:line="360" w:lineRule="auto"/>
      <w:jc w:val="center"/>
      <w:outlineLvl w:val="0"/>
    </w:pPr>
    <w:rPr>
      <w:rFonts w:ascii="黑体" w:eastAsia="黑体" w:hAnsi="黑体" w:cs="黑体" w:hint="eastAsi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binggou\08-17&#34987;&#24182;&#36141;&#31508;&#25968;&#37329;&#3906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03702244978298E-2"/>
          <c:y val="1.4278914802475E-2"/>
          <c:w val="0.94820795588814499"/>
          <c:h val="0.78553069966682498"/>
        </c:manualLayout>
      </c:layout>
      <c:barChart>
        <c:barDir val="col"/>
        <c:grouping val="clustered"/>
        <c:varyColors val="0"/>
        <c:ser>
          <c:idx val="1"/>
          <c:order val="0"/>
          <c:tx>
            <c:strRef>
              <c:f>'08-17被并购笔数金额.xls'!$B$1</c:f>
              <c:strCache>
                <c:ptCount val="1"/>
                <c:pt idx="0">
                  <c:v>笔数</c:v>
                </c:pt>
              </c:strCache>
            </c:strRef>
          </c:tx>
          <c:spPr>
            <a:solidFill>
              <a:schemeClr val="tx2">
                <a:alpha val="91000"/>
              </a:schemeClr>
            </a:solidFill>
            <a:ln w="12700" cmpd="sng">
              <a:noFill/>
              <a:prstDash val="solid"/>
            </a:ln>
            <a:effectLst/>
            <a:sp3d contourW="12700"/>
          </c:spPr>
          <c:invertIfNegative val="0"/>
          <c:dLbls>
            <c:dLbl>
              <c:idx val="0"/>
              <c:tx>
                <c:rich>
                  <a:bodyPr/>
                  <a:lstStyle/>
                  <a:p>
                    <a:r>
                      <a:rPr lang="en-US" altLang="zh-CN"/>
                      <a:t>86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662-448B-8F1B-E34348AC9247}"/>
                </c:ext>
              </c:extLst>
            </c:dLbl>
            <c:dLbl>
              <c:idx val="9"/>
              <c:tx>
                <c:rich>
                  <a:bodyPr/>
                  <a:lstStyle/>
                  <a:p>
                    <a:r>
                      <a:rPr lang="en-US" altLang="zh-CN"/>
                      <a:t>187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662-448B-8F1B-E34348AC9247}"/>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'08-17被并购笔数金额.xls'!$A$2:$A$11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'08-17被并购笔数金额.xls'!$B$2:$B$11</c:f>
              <c:numCache>
                <c:formatCode>General</c:formatCode>
                <c:ptCount val="10"/>
                <c:pt idx="0">
                  <c:v>87</c:v>
                </c:pt>
                <c:pt idx="1">
                  <c:v>102</c:v>
                </c:pt>
                <c:pt idx="2">
                  <c:v>142</c:v>
                </c:pt>
                <c:pt idx="3">
                  <c:v>153</c:v>
                </c:pt>
                <c:pt idx="4">
                  <c:v>185</c:v>
                </c:pt>
                <c:pt idx="5">
                  <c:v>197</c:v>
                </c:pt>
                <c:pt idx="6">
                  <c:v>166</c:v>
                </c:pt>
                <c:pt idx="7">
                  <c:v>183</c:v>
                </c:pt>
                <c:pt idx="8">
                  <c:v>166</c:v>
                </c:pt>
                <c:pt idx="9">
                  <c:v>186</c:v>
                </c:pt>
              </c:numCache>
            </c:numRef>
          </c:val>
          <c:extLst>
            <c:ext xmlns:c16="http://schemas.microsoft.com/office/drawing/2014/chart" uri="{C3380CC4-5D6E-409C-BE32-E72D297353CC}">
              <c16:uniqueId val="{00000002-5662-448B-8F1B-E34348AC9247}"/>
            </c:ext>
          </c:extLst>
        </c:ser>
        <c:dLbls>
          <c:showLegendKey val="0"/>
          <c:showVal val="1"/>
          <c:showCatName val="0"/>
          <c:showSerName val="0"/>
          <c:showPercent val="0"/>
          <c:showBubbleSize val="0"/>
        </c:dLbls>
        <c:gapWidth val="219"/>
        <c:overlap val="-27"/>
        <c:axId val="240202112"/>
        <c:axId val="240203648"/>
      </c:barChart>
      <c:catAx>
        <c:axId val="24020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240203648"/>
        <c:crosses val="autoZero"/>
        <c:auto val="1"/>
        <c:lblAlgn val="ctr"/>
        <c:lblOffset val="100"/>
        <c:noMultiLvlLbl val="0"/>
      </c:catAx>
      <c:valAx>
        <c:axId val="240203648"/>
        <c:scaling>
          <c:orientation val="minMax"/>
        </c:scaling>
        <c:delete val="1"/>
        <c:axPos val="l"/>
        <c:majorGridlines>
          <c:spPr>
            <a:ln w="9525" cap="flat" cmpd="sng" algn="ctr">
              <a:noFill/>
              <a:prstDash val="solid"/>
              <a:round/>
            </a:ln>
            <a:effectLst>
              <a:outerShdw blurRad="76200" dir="13500000" sy="23000" kx="1200000" algn="br" rotWithShape="0">
                <a:prstClr val="black">
                  <a:alpha val="20000"/>
                </a:prstClr>
              </a:outerShdw>
            </a:effectLst>
          </c:spPr>
        </c:majorGridlines>
        <c:numFmt formatCode="General" sourceLinked="1"/>
        <c:majorTickMark val="none"/>
        <c:minorTickMark val="none"/>
        <c:tickLblPos val="none"/>
        <c:crossAx val="240202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5523</Words>
  <Characters>31486</Characters>
  <Application>Microsoft Office Word</Application>
  <DocSecurity>0</DocSecurity>
  <Lines>262</Lines>
  <Paragraphs>73</Paragraphs>
  <ScaleCrop>false</ScaleCrop>
  <Company/>
  <LinksUpToDate>false</LinksUpToDate>
  <CharactersWithSpaces>36936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Poker face</dc:creator>
  <cp:lastModifiedBy>He Wei</cp:lastModifiedBy>
  <cp:revision>3</cp:revision>
  <dcterms:created xsi:type="dcterms:W3CDTF">2022-06-03T02:43:00Z</dcterms:created>
  <dcterms:modified xsi:type="dcterms:W3CDTF">2022-08-12T14:05:00Z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6E467C87855343008FF23B5658417FB5</vt:lpwstr>
  </property>
</Properties>
</file>