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1.xml" ContentType="application/vnd.openxmlformats-officedocument.themeOverride+xml"/>
  <Override PartName="/word/charts/chart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6C7" w:rsidRPr="00C408F6" w:rsidRDefault="00894944" w:rsidP="00AC343F">
      <w:pPr>
        <w:jc w:val="center"/>
        <w:rPr>
          <w:rFonts w:ascii="黑体" w:eastAsia="黑体" w:hAnsi="黑体" w:cs="Times New Roman"/>
          <w:b/>
          <w:sz w:val="30"/>
          <w:szCs w:val="30"/>
        </w:rPr>
      </w:pPr>
      <w:r w:rsidRPr="00C408F6">
        <w:rPr>
          <w:rFonts w:ascii="黑体" w:eastAsia="黑体" w:hAnsi="黑体" w:cs="Times New Roman"/>
          <w:sz w:val="44"/>
          <w:szCs w:val="44"/>
        </w:rPr>
        <w:t>业绩</w:t>
      </w:r>
      <w:r w:rsidR="00AC343F" w:rsidRPr="00C408F6">
        <w:rPr>
          <w:rFonts w:ascii="黑体" w:eastAsia="黑体" w:hAnsi="黑体" w:cs="Times New Roman"/>
          <w:sz w:val="44"/>
          <w:szCs w:val="44"/>
        </w:rPr>
        <w:t>承诺、</w:t>
      </w:r>
      <w:r w:rsidR="00EE3EBC" w:rsidRPr="00C408F6">
        <w:rPr>
          <w:rFonts w:ascii="黑体" w:eastAsia="黑体" w:hAnsi="黑体" w:cs="Times New Roman"/>
          <w:sz w:val="44"/>
          <w:szCs w:val="44"/>
        </w:rPr>
        <w:t>机会主义</w:t>
      </w:r>
      <w:r w:rsidR="00AC343F" w:rsidRPr="00C408F6">
        <w:rPr>
          <w:rFonts w:ascii="黑体" w:eastAsia="黑体" w:hAnsi="黑体" w:cs="Times New Roman"/>
          <w:sz w:val="44"/>
          <w:szCs w:val="44"/>
        </w:rPr>
        <w:t>与</w:t>
      </w:r>
      <w:r w:rsidR="00A13E1B" w:rsidRPr="00C408F6">
        <w:rPr>
          <w:rFonts w:ascii="黑体" w:eastAsia="黑体" w:hAnsi="黑体" w:cs="Times New Roman" w:hint="eastAsia"/>
          <w:sz w:val="44"/>
          <w:szCs w:val="44"/>
        </w:rPr>
        <w:t>企业金融化</w:t>
      </w:r>
      <w:r w:rsidR="00713B74" w:rsidRPr="00713B74">
        <w:rPr>
          <w:rStyle w:val="a6"/>
          <w:rFonts w:ascii="黑体" w:eastAsia="黑体" w:hAnsi="黑体" w:cs="Times New Roman"/>
          <w:sz w:val="44"/>
          <w:szCs w:val="44"/>
        </w:rPr>
        <w:footnoteReference w:customMarkFollows="1" w:id="1"/>
        <w:sym w:font="Symbol" w:char="F02A"/>
      </w:r>
    </w:p>
    <w:p w:rsidR="000203C2" w:rsidRPr="00FE771B" w:rsidRDefault="000203C2" w:rsidP="000A2DA1">
      <w:pPr>
        <w:rPr>
          <w:rFonts w:ascii="Times New Roman" w:eastAsia="楷体" w:hAnsi="Times New Roman" w:cs="Times New Roman"/>
          <w:color w:val="00B0F0"/>
          <w:sz w:val="24"/>
          <w:szCs w:val="24"/>
        </w:rPr>
      </w:pPr>
    </w:p>
    <w:p w:rsidR="000203C2" w:rsidRPr="00316147" w:rsidRDefault="000203C2" w:rsidP="00316147">
      <w:pPr>
        <w:ind w:firstLineChars="100" w:firstLine="240"/>
        <w:jc w:val="center"/>
        <w:rPr>
          <w:rFonts w:ascii="仿宋" w:eastAsia="仿宋" w:hAnsi="仿宋" w:cs="Times New Roman"/>
          <w:sz w:val="24"/>
          <w:szCs w:val="24"/>
        </w:rPr>
      </w:pPr>
      <w:r w:rsidRPr="00316147">
        <w:rPr>
          <w:rFonts w:ascii="仿宋" w:eastAsia="仿宋" w:hAnsi="仿宋" w:cs="Times New Roman"/>
          <w:sz w:val="24"/>
          <w:szCs w:val="24"/>
        </w:rPr>
        <w:t>张</w:t>
      </w:r>
      <w:r w:rsidR="003A6B10" w:rsidRPr="00316147">
        <w:rPr>
          <w:rFonts w:ascii="仿宋" w:eastAsia="仿宋" w:hAnsi="仿宋" w:cs="Times New Roman"/>
          <w:sz w:val="24"/>
          <w:szCs w:val="24"/>
        </w:rPr>
        <w:t xml:space="preserve">  </w:t>
      </w:r>
      <w:r w:rsidRPr="00316147">
        <w:rPr>
          <w:rFonts w:ascii="仿宋" w:eastAsia="仿宋" w:hAnsi="仿宋" w:cs="Times New Roman"/>
          <w:sz w:val="24"/>
          <w:szCs w:val="24"/>
        </w:rPr>
        <w:t>鹏</w:t>
      </w:r>
    </w:p>
    <w:p w:rsidR="000203C2" w:rsidRPr="00FE771B" w:rsidRDefault="000203C2" w:rsidP="000203C2">
      <w:pPr>
        <w:ind w:firstLineChars="100" w:firstLine="240"/>
        <w:jc w:val="center"/>
        <w:rPr>
          <w:rFonts w:ascii="Times New Roman" w:eastAsia="楷体" w:hAnsi="Times New Roman" w:cs="Times New Roman"/>
          <w:color w:val="00B0F0"/>
          <w:sz w:val="24"/>
          <w:szCs w:val="24"/>
        </w:rPr>
      </w:pPr>
    </w:p>
    <w:p w:rsidR="000A2DA1" w:rsidRPr="00FE771B" w:rsidRDefault="000A2DA1" w:rsidP="000A2DA1">
      <w:pPr>
        <w:rPr>
          <w:rFonts w:ascii="Times New Roman" w:eastAsia="楷体" w:hAnsi="Times New Roman" w:cs="Times New Roman"/>
          <w:color w:val="00B0F0"/>
          <w:sz w:val="24"/>
          <w:szCs w:val="24"/>
        </w:rPr>
      </w:pPr>
      <w:r w:rsidRPr="00FE771B">
        <w:rPr>
          <w:rFonts w:ascii="Times New Roman" w:eastAsia="黑体" w:hAnsi="Times New Roman" w:cs="Times New Roman"/>
        </w:rPr>
        <w:t>摘要</w:t>
      </w:r>
      <w:r w:rsidR="000203C2" w:rsidRPr="00FE771B">
        <w:rPr>
          <w:rFonts w:ascii="Times New Roman" w:eastAsia="黑体" w:hAnsi="Times New Roman" w:cs="Times New Roman"/>
        </w:rPr>
        <w:t>：</w:t>
      </w:r>
      <w:r w:rsidR="002D29DC" w:rsidRPr="00FE771B">
        <w:rPr>
          <w:rFonts w:ascii="Times New Roman" w:eastAsia="楷体" w:hAnsi="Times New Roman" w:cs="Times New Roman"/>
        </w:rPr>
        <w:t>业绩承诺</w:t>
      </w:r>
      <w:r w:rsidRPr="00FE771B">
        <w:rPr>
          <w:rFonts w:ascii="Times New Roman" w:eastAsia="楷体" w:hAnsi="Times New Roman" w:cs="Times New Roman"/>
        </w:rPr>
        <w:t>是上市公司并购重组中估值调整和降低交易风险的重要制度安排，其本质在于促进并购双方协同协进效应发挥，促进上市公司</w:t>
      </w:r>
      <w:r w:rsidR="006226DB" w:rsidRPr="00FE771B">
        <w:rPr>
          <w:rFonts w:ascii="Times New Roman" w:eastAsia="楷体" w:hAnsi="Times New Roman" w:cs="Times New Roman"/>
        </w:rPr>
        <w:t>实体领域不断壮大</w:t>
      </w:r>
      <w:r w:rsidRPr="00FE771B">
        <w:rPr>
          <w:rFonts w:ascii="Times New Roman" w:eastAsia="楷体" w:hAnsi="Times New Roman" w:cs="Times New Roman"/>
        </w:rPr>
        <w:t>。本文使用</w:t>
      </w:r>
      <w:r w:rsidRPr="00FE771B">
        <w:rPr>
          <w:rFonts w:ascii="Times New Roman" w:eastAsia="楷体" w:hAnsi="Times New Roman" w:cs="Times New Roman"/>
        </w:rPr>
        <w:t>201</w:t>
      </w:r>
      <w:r w:rsidR="00C676C6" w:rsidRPr="00FE771B">
        <w:rPr>
          <w:rFonts w:ascii="Times New Roman" w:eastAsia="楷体" w:hAnsi="Times New Roman" w:cs="Times New Roman"/>
        </w:rPr>
        <w:t>0</w:t>
      </w:r>
      <w:r w:rsidRPr="00FE771B">
        <w:rPr>
          <w:rFonts w:ascii="Times New Roman" w:eastAsia="楷体" w:hAnsi="Times New Roman" w:cs="Times New Roman"/>
        </w:rPr>
        <w:t xml:space="preserve">—2019 </w:t>
      </w:r>
      <w:r w:rsidRPr="00FE771B">
        <w:rPr>
          <w:rFonts w:ascii="Times New Roman" w:eastAsia="楷体" w:hAnsi="Times New Roman" w:cs="Times New Roman"/>
        </w:rPr>
        <w:t>年中国</w:t>
      </w:r>
      <w:r w:rsidRPr="00FE771B">
        <w:rPr>
          <w:rFonts w:ascii="Times New Roman" w:eastAsia="楷体" w:hAnsi="Times New Roman" w:cs="Times New Roman"/>
        </w:rPr>
        <w:t>A</w:t>
      </w:r>
      <w:r w:rsidRPr="00FE771B">
        <w:rPr>
          <w:rFonts w:ascii="Times New Roman" w:eastAsia="楷体" w:hAnsi="Times New Roman" w:cs="Times New Roman"/>
        </w:rPr>
        <w:t>股市场开展并购和重大资产重组事件的上市公司样本数据，实证检验了并购重组交易中业绩承诺对上市公司</w:t>
      </w:r>
      <w:r w:rsidR="006226DB" w:rsidRPr="00FE771B">
        <w:rPr>
          <w:rFonts w:ascii="Times New Roman" w:eastAsia="楷体" w:hAnsi="Times New Roman" w:cs="Times New Roman"/>
        </w:rPr>
        <w:t>金融化</w:t>
      </w:r>
      <w:r w:rsidRPr="00FE771B">
        <w:rPr>
          <w:rFonts w:ascii="Times New Roman" w:eastAsia="楷体" w:hAnsi="Times New Roman" w:cs="Times New Roman"/>
        </w:rPr>
        <w:t>的影响。研究发现：业绩承诺导致上市公司更加偏好</w:t>
      </w:r>
      <w:r w:rsidR="00021259" w:rsidRPr="00FE771B">
        <w:rPr>
          <w:rFonts w:ascii="Times New Roman" w:eastAsia="楷体" w:hAnsi="Times New Roman" w:cs="Times New Roman"/>
        </w:rPr>
        <w:t>金融化投资</w:t>
      </w:r>
      <w:r w:rsidRPr="00FE771B">
        <w:rPr>
          <w:rFonts w:ascii="Times New Roman" w:eastAsia="楷体" w:hAnsi="Times New Roman" w:cs="Times New Roman"/>
        </w:rPr>
        <w:t>，</w:t>
      </w:r>
      <w:r w:rsidR="00021259" w:rsidRPr="00FE771B">
        <w:rPr>
          <w:rFonts w:ascii="Times New Roman" w:eastAsia="楷体" w:hAnsi="Times New Roman" w:cs="Times New Roman"/>
        </w:rPr>
        <w:t>诱发上市公司投资策略</w:t>
      </w:r>
      <w:r w:rsidR="00C676C6" w:rsidRPr="00FE771B">
        <w:rPr>
          <w:rFonts w:ascii="Times New Roman" w:eastAsia="楷体" w:hAnsi="Times New Roman" w:cs="Times New Roman"/>
        </w:rPr>
        <w:t>“</w:t>
      </w:r>
      <w:r w:rsidR="00F06868" w:rsidRPr="00FE771B">
        <w:rPr>
          <w:rFonts w:ascii="Times New Roman" w:eastAsia="楷体" w:hAnsi="Times New Roman" w:cs="Times New Roman"/>
        </w:rPr>
        <w:t>脱</w:t>
      </w:r>
      <w:r w:rsidR="00C676C6" w:rsidRPr="00FE771B">
        <w:rPr>
          <w:rFonts w:ascii="Times New Roman" w:eastAsia="楷体" w:hAnsi="Times New Roman" w:cs="Times New Roman"/>
        </w:rPr>
        <w:t>实向虚</w:t>
      </w:r>
      <w:r w:rsidR="00C676C6" w:rsidRPr="00FE771B">
        <w:rPr>
          <w:rFonts w:ascii="Times New Roman" w:eastAsia="楷体" w:hAnsi="Times New Roman" w:cs="Times New Roman"/>
        </w:rPr>
        <w:t>”</w:t>
      </w:r>
      <w:r w:rsidR="00021259" w:rsidRPr="00FE771B">
        <w:rPr>
          <w:rFonts w:ascii="Times New Roman" w:eastAsia="楷体" w:hAnsi="Times New Roman" w:cs="Times New Roman"/>
        </w:rPr>
        <w:t>，造成上市公司经营金融化现象日趋严重</w:t>
      </w:r>
      <w:r w:rsidRPr="00FE771B">
        <w:rPr>
          <w:rFonts w:ascii="Times New Roman" w:eastAsia="楷体" w:hAnsi="Times New Roman" w:cs="Times New Roman"/>
        </w:rPr>
        <w:t>，这一结果在各种稳健性分析和控制内生性问题后依然保持不变。造成这一结果的机制在于，业绩承诺将会显著增加上市公司</w:t>
      </w:r>
      <w:r w:rsidR="00F06868" w:rsidRPr="00FE771B">
        <w:rPr>
          <w:rFonts w:ascii="Times New Roman" w:eastAsia="楷体" w:hAnsi="Times New Roman" w:cs="Times New Roman"/>
        </w:rPr>
        <w:t>机会主义行径，通过</w:t>
      </w:r>
      <w:r w:rsidRPr="00FE771B">
        <w:rPr>
          <w:rFonts w:ascii="Times New Roman" w:eastAsia="楷体" w:hAnsi="Times New Roman" w:cs="Times New Roman"/>
        </w:rPr>
        <w:t>盈余管理</w:t>
      </w:r>
      <w:r w:rsidR="00F06868" w:rsidRPr="00FE771B">
        <w:rPr>
          <w:rFonts w:ascii="Times New Roman" w:eastAsia="楷体" w:hAnsi="Times New Roman" w:cs="Times New Roman"/>
        </w:rPr>
        <w:t>手段</w:t>
      </w:r>
      <w:r w:rsidRPr="00FE771B">
        <w:rPr>
          <w:rFonts w:ascii="Times New Roman" w:eastAsia="楷体" w:hAnsi="Times New Roman" w:cs="Times New Roman"/>
        </w:rPr>
        <w:t>对上市公司</w:t>
      </w:r>
      <w:r w:rsidR="00021259" w:rsidRPr="00FE771B">
        <w:rPr>
          <w:rFonts w:ascii="Times New Roman" w:eastAsia="楷体" w:hAnsi="Times New Roman" w:cs="Times New Roman"/>
        </w:rPr>
        <w:t>金融</w:t>
      </w:r>
      <w:r w:rsidR="00F06868" w:rsidRPr="00FE771B">
        <w:rPr>
          <w:rFonts w:ascii="Times New Roman" w:eastAsia="楷体" w:hAnsi="Times New Roman" w:cs="Times New Roman"/>
        </w:rPr>
        <w:t>化投资产生作用</w:t>
      </w:r>
      <w:r w:rsidRPr="00FE771B">
        <w:rPr>
          <w:rFonts w:ascii="Times New Roman" w:eastAsia="楷体" w:hAnsi="Times New Roman" w:cs="Times New Roman"/>
        </w:rPr>
        <w:t>，使</w:t>
      </w:r>
      <w:r w:rsidR="00FD54D6" w:rsidRPr="00FE771B">
        <w:rPr>
          <w:rFonts w:ascii="Times New Roman" w:eastAsia="楷体" w:hAnsi="Times New Roman" w:cs="Times New Roman"/>
        </w:rPr>
        <w:t>上市公司运营</w:t>
      </w:r>
      <w:r w:rsidRPr="00FE771B">
        <w:rPr>
          <w:rFonts w:ascii="Times New Roman" w:eastAsia="楷体" w:hAnsi="Times New Roman" w:cs="Times New Roman"/>
        </w:rPr>
        <w:t>背离</w:t>
      </w:r>
      <w:r w:rsidR="00FD54D6" w:rsidRPr="00FE771B">
        <w:rPr>
          <w:rFonts w:ascii="Times New Roman" w:eastAsia="楷体" w:hAnsi="Times New Roman" w:cs="Times New Roman"/>
        </w:rPr>
        <w:t>实体</w:t>
      </w:r>
      <w:r w:rsidRPr="00FE771B">
        <w:rPr>
          <w:rFonts w:ascii="Times New Roman" w:eastAsia="楷体" w:hAnsi="Times New Roman" w:cs="Times New Roman"/>
        </w:rPr>
        <w:t>正常</w:t>
      </w:r>
      <w:r w:rsidR="00FD54D6" w:rsidRPr="00FE771B">
        <w:rPr>
          <w:rFonts w:ascii="Times New Roman" w:eastAsia="楷体" w:hAnsi="Times New Roman" w:cs="Times New Roman"/>
        </w:rPr>
        <w:t>发展</w:t>
      </w:r>
      <w:r w:rsidRPr="00FE771B">
        <w:rPr>
          <w:rFonts w:ascii="Times New Roman" w:eastAsia="楷体" w:hAnsi="Times New Roman" w:cs="Times New Roman"/>
        </w:rPr>
        <w:t>轨道。本文的研究结论进一步丰富了对现有业绩承诺制度的认识，有利于发现该项制度在运行中所出现的各类问题，并在此基础上提出完善并购监管的政策措施。</w:t>
      </w:r>
    </w:p>
    <w:p w:rsidR="00BB6CE1" w:rsidRPr="00FE771B" w:rsidRDefault="000A2DA1" w:rsidP="000A2DA1">
      <w:pPr>
        <w:jc w:val="left"/>
        <w:rPr>
          <w:rFonts w:ascii="Times New Roman" w:eastAsia="楷体" w:hAnsi="Times New Roman" w:cs="Times New Roman"/>
        </w:rPr>
      </w:pPr>
      <w:r w:rsidRPr="00FE771B">
        <w:rPr>
          <w:rFonts w:ascii="Times New Roman" w:eastAsia="黑体" w:hAnsi="Times New Roman" w:cs="Times New Roman"/>
        </w:rPr>
        <w:t>关键词</w:t>
      </w:r>
      <w:r w:rsidR="000A4482" w:rsidRPr="00FE771B">
        <w:rPr>
          <w:rFonts w:ascii="Times New Roman" w:eastAsia="黑体" w:hAnsi="Times New Roman" w:cs="Times New Roman"/>
        </w:rPr>
        <w:t>：</w:t>
      </w:r>
      <w:r w:rsidR="002D29DC" w:rsidRPr="00FE771B">
        <w:rPr>
          <w:rFonts w:ascii="Times New Roman" w:eastAsia="楷体" w:hAnsi="Times New Roman" w:cs="Times New Roman"/>
        </w:rPr>
        <w:t>业绩承诺</w:t>
      </w:r>
      <w:r w:rsidRPr="00FE771B">
        <w:rPr>
          <w:rFonts w:ascii="Times New Roman" w:eastAsia="楷体" w:hAnsi="Times New Roman" w:cs="Times New Roman"/>
        </w:rPr>
        <w:t xml:space="preserve"> </w:t>
      </w:r>
      <w:r w:rsidRPr="00FE771B">
        <w:rPr>
          <w:rFonts w:ascii="Times New Roman" w:eastAsia="楷体" w:hAnsi="Times New Roman" w:cs="Times New Roman"/>
        </w:rPr>
        <w:t>盈余管理</w:t>
      </w:r>
      <w:r w:rsidRPr="00FE771B">
        <w:rPr>
          <w:rFonts w:ascii="Times New Roman" w:eastAsia="楷体" w:hAnsi="Times New Roman" w:cs="Times New Roman"/>
        </w:rPr>
        <w:t xml:space="preserve"> </w:t>
      </w:r>
      <w:r w:rsidR="005313FF" w:rsidRPr="00FE771B">
        <w:rPr>
          <w:rFonts w:ascii="Times New Roman" w:eastAsia="楷体" w:hAnsi="Times New Roman" w:cs="Times New Roman"/>
        </w:rPr>
        <w:t>“</w:t>
      </w:r>
      <w:r w:rsidR="005313FF" w:rsidRPr="00FE771B">
        <w:rPr>
          <w:rFonts w:ascii="Times New Roman" w:eastAsia="楷体" w:hAnsi="Times New Roman" w:cs="Times New Roman"/>
        </w:rPr>
        <w:t>脱实向虚</w:t>
      </w:r>
      <w:r w:rsidR="005313FF" w:rsidRPr="00FE771B">
        <w:rPr>
          <w:rFonts w:ascii="Times New Roman" w:eastAsia="楷体" w:hAnsi="Times New Roman" w:cs="Times New Roman"/>
        </w:rPr>
        <w:t>”</w:t>
      </w:r>
    </w:p>
    <w:p w:rsidR="00AC343F" w:rsidRPr="00FE771B" w:rsidRDefault="008810E1" w:rsidP="000E4628">
      <w:pPr>
        <w:pStyle w:val="1"/>
        <w:rPr>
          <w:rFonts w:ascii="Times New Roman" w:eastAsia="黑体" w:hAnsi="Times New Roman" w:cs="Times New Roman"/>
          <w:b w:val="0"/>
          <w:bCs w:val="0"/>
          <w:kern w:val="2"/>
          <w:szCs w:val="28"/>
        </w:rPr>
      </w:pPr>
      <w:r w:rsidRPr="00FE771B">
        <w:rPr>
          <w:rFonts w:ascii="Times New Roman" w:eastAsia="黑体" w:hAnsi="Times New Roman" w:cs="Times New Roman"/>
          <w:b w:val="0"/>
          <w:bCs w:val="0"/>
          <w:kern w:val="2"/>
          <w:szCs w:val="28"/>
        </w:rPr>
        <w:t>一、引言</w:t>
      </w:r>
    </w:p>
    <w:p w:rsidR="002F0BB5" w:rsidRPr="00FE771B" w:rsidRDefault="00997244" w:rsidP="006256F0">
      <w:pPr>
        <w:overflowPunct w:val="0"/>
        <w:ind w:firstLineChars="200" w:firstLine="420"/>
        <w:rPr>
          <w:rFonts w:ascii="Times New Roman" w:hAnsi="Times New Roman" w:cs="Times New Roman"/>
        </w:rPr>
      </w:pPr>
      <w:r w:rsidRPr="00FE771B">
        <w:rPr>
          <w:rFonts w:ascii="Times New Roman" w:hAnsi="Times New Roman" w:cs="Times New Roman"/>
        </w:rPr>
        <w:t>近年来，实体经济式微而虚拟经济过热现象对中国经济资源配置产生了重要影响。</w:t>
      </w:r>
      <w:r w:rsidR="006256F0" w:rsidRPr="00FE771B">
        <w:rPr>
          <w:rFonts w:ascii="Times New Roman" w:hAnsi="Times New Roman" w:cs="Times New Roman"/>
        </w:rPr>
        <w:t>党的十九届五中全会通过的《中共中央关于制定国民经济和社会发展第十四个五年规划和二〇三五年远景目标的建议》指出</w:t>
      </w:r>
      <w:r w:rsidR="006256F0" w:rsidRPr="00FE771B">
        <w:rPr>
          <w:rFonts w:ascii="Times New Roman" w:hAnsi="Times New Roman" w:cs="Times New Roman"/>
        </w:rPr>
        <w:t>“</w:t>
      </w:r>
      <w:r w:rsidR="006256F0" w:rsidRPr="00FE771B">
        <w:rPr>
          <w:rFonts w:ascii="Times New Roman" w:hAnsi="Times New Roman" w:cs="Times New Roman"/>
        </w:rPr>
        <w:t>坚持把发展经济着力点放在实体经济上</w:t>
      </w:r>
      <w:r w:rsidR="006256F0" w:rsidRPr="00FE771B">
        <w:rPr>
          <w:rFonts w:ascii="Times New Roman" w:hAnsi="Times New Roman" w:cs="Times New Roman"/>
        </w:rPr>
        <w:t>”</w:t>
      </w:r>
      <w:r w:rsidR="00254E10" w:rsidRPr="00FE771B">
        <w:rPr>
          <w:rFonts w:ascii="Times New Roman" w:hAnsi="Times New Roman" w:cs="Times New Roman"/>
        </w:rPr>
        <w:t>和</w:t>
      </w:r>
      <w:r w:rsidR="006256F0" w:rsidRPr="00FE771B">
        <w:rPr>
          <w:rFonts w:ascii="Times New Roman" w:hAnsi="Times New Roman" w:cs="Times New Roman"/>
        </w:rPr>
        <w:t>首次提及</w:t>
      </w:r>
      <w:r w:rsidR="006256F0" w:rsidRPr="00FE771B">
        <w:rPr>
          <w:rFonts w:ascii="Times New Roman" w:hAnsi="Times New Roman" w:cs="Times New Roman"/>
        </w:rPr>
        <w:t>“</w:t>
      </w:r>
      <w:r w:rsidR="006256F0" w:rsidRPr="00FE771B">
        <w:rPr>
          <w:rFonts w:ascii="Times New Roman" w:hAnsi="Times New Roman" w:cs="Times New Roman"/>
        </w:rPr>
        <w:t>保持制造业比重基本稳定</w:t>
      </w:r>
      <w:r w:rsidR="006256F0" w:rsidRPr="00FE771B">
        <w:rPr>
          <w:rFonts w:ascii="Times New Roman" w:hAnsi="Times New Roman" w:cs="Times New Roman"/>
        </w:rPr>
        <w:t>”</w:t>
      </w:r>
      <w:r w:rsidR="006256F0" w:rsidRPr="00FE771B">
        <w:rPr>
          <w:rFonts w:ascii="Times New Roman" w:hAnsi="Times New Roman" w:cs="Times New Roman"/>
        </w:rPr>
        <w:t>这一新论断，反映了我国</w:t>
      </w:r>
      <w:r w:rsidR="003B3CD9" w:rsidRPr="00FE771B">
        <w:rPr>
          <w:rFonts w:ascii="Times New Roman" w:hAnsi="Times New Roman" w:cs="Times New Roman"/>
        </w:rPr>
        <w:t>工业和</w:t>
      </w:r>
      <w:r w:rsidR="006256F0" w:rsidRPr="00FE771B">
        <w:rPr>
          <w:rFonts w:ascii="Times New Roman" w:hAnsi="Times New Roman" w:cs="Times New Roman"/>
        </w:rPr>
        <w:t>制造业比重下降过快引起了关注，</w:t>
      </w:r>
      <w:r w:rsidR="006256F0" w:rsidRPr="00FE771B">
        <w:rPr>
          <w:rFonts w:ascii="Times New Roman" w:hAnsi="Times New Roman" w:cs="Times New Roman"/>
        </w:rPr>
        <w:t>“</w:t>
      </w:r>
      <w:r w:rsidR="006256F0" w:rsidRPr="00FE771B">
        <w:rPr>
          <w:rFonts w:ascii="Times New Roman" w:hAnsi="Times New Roman" w:cs="Times New Roman"/>
        </w:rPr>
        <w:t>过早去工业化</w:t>
      </w:r>
      <w:r w:rsidR="006256F0" w:rsidRPr="00FE771B">
        <w:rPr>
          <w:rFonts w:ascii="Times New Roman" w:hAnsi="Times New Roman" w:cs="Times New Roman"/>
        </w:rPr>
        <w:t>”</w:t>
      </w:r>
      <w:r w:rsidR="00415A9B" w:rsidRPr="00FE771B">
        <w:rPr>
          <w:rFonts w:ascii="Times New Roman" w:hAnsi="Times New Roman" w:cs="Times New Roman"/>
        </w:rPr>
        <w:t>（黄群慧等，</w:t>
      </w:r>
      <w:r w:rsidR="00415A9B" w:rsidRPr="00FE771B">
        <w:rPr>
          <w:rFonts w:ascii="Times New Roman" w:hAnsi="Times New Roman" w:cs="Times New Roman"/>
        </w:rPr>
        <w:t>2017</w:t>
      </w:r>
      <w:r w:rsidR="00415A9B" w:rsidRPr="00FE771B">
        <w:rPr>
          <w:rFonts w:ascii="Times New Roman" w:hAnsi="Times New Roman" w:cs="Times New Roman"/>
        </w:rPr>
        <w:t>）</w:t>
      </w:r>
      <w:r w:rsidR="006256F0" w:rsidRPr="00FE771B">
        <w:rPr>
          <w:rFonts w:ascii="Times New Roman" w:hAnsi="Times New Roman" w:cs="Times New Roman"/>
        </w:rPr>
        <w:t>、</w:t>
      </w:r>
      <w:r w:rsidR="006256F0" w:rsidRPr="00FE771B">
        <w:rPr>
          <w:rFonts w:ascii="Times New Roman" w:hAnsi="Times New Roman" w:cs="Times New Roman"/>
        </w:rPr>
        <w:t>“</w:t>
      </w:r>
      <w:r w:rsidR="006256F0" w:rsidRPr="00FE771B">
        <w:rPr>
          <w:rFonts w:ascii="Times New Roman" w:hAnsi="Times New Roman" w:cs="Times New Roman"/>
        </w:rPr>
        <w:t>过度去工业化</w:t>
      </w:r>
      <w:r w:rsidR="006256F0" w:rsidRPr="00FE771B">
        <w:rPr>
          <w:rFonts w:ascii="Times New Roman" w:hAnsi="Times New Roman" w:cs="Times New Roman"/>
        </w:rPr>
        <w:t>”</w:t>
      </w:r>
      <w:r w:rsidR="006256F0" w:rsidRPr="00FE771B">
        <w:rPr>
          <w:rFonts w:ascii="Times New Roman" w:hAnsi="Times New Roman" w:cs="Times New Roman"/>
        </w:rPr>
        <w:t>（魏后凯、王颂吉，</w:t>
      </w:r>
      <w:r w:rsidR="006256F0" w:rsidRPr="00FE771B">
        <w:rPr>
          <w:rFonts w:ascii="Times New Roman" w:hAnsi="Times New Roman" w:cs="Times New Roman"/>
        </w:rPr>
        <w:t>2019</w:t>
      </w:r>
      <w:r w:rsidR="006256F0" w:rsidRPr="00FE771B">
        <w:rPr>
          <w:rFonts w:ascii="Times New Roman" w:hAnsi="Times New Roman" w:cs="Times New Roman"/>
        </w:rPr>
        <w:t>）现象引发人们担忧，过早和过快显然不能用正常产业结构调整来解释。图</w:t>
      </w:r>
      <w:r w:rsidR="006256F0" w:rsidRPr="00FE771B">
        <w:rPr>
          <w:rFonts w:ascii="Times New Roman" w:hAnsi="Times New Roman" w:cs="Times New Roman"/>
        </w:rPr>
        <w:t>1</w:t>
      </w:r>
      <w:r w:rsidR="006256F0" w:rsidRPr="00FE771B">
        <w:rPr>
          <w:rFonts w:ascii="Times New Roman" w:hAnsi="Times New Roman" w:cs="Times New Roman"/>
        </w:rPr>
        <w:t>中显示我国工业和制造业比重在</w:t>
      </w:r>
      <w:r w:rsidR="006256F0" w:rsidRPr="00FE771B">
        <w:rPr>
          <w:rFonts w:ascii="Times New Roman" w:hAnsi="Times New Roman" w:cs="Times New Roman"/>
        </w:rPr>
        <w:t>2006</w:t>
      </w:r>
      <w:r w:rsidR="006256F0" w:rsidRPr="00FE771B">
        <w:rPr>
          <w:rFonts w:ascii="Times New Roman" w:hAnsi="Times New Roman" w:cs="Times New Roman"/>
        </w:rPr>
        <w:t>年分别达到</w:t>
      </w:r>
      <w:r w:rsidR="006256F0" w:rsidRPr="00FE771B">
        <w:rPr>
          <w:rFonts w:ascii="Times New Roman" w:hAnsi="Times New Roman" w:cs="Times New Roman"/>
        </w:rPr>
        <w:t>42.03%</w:t>
      </w:r>
      <w:r w:rsidR="006256F0" w:rsidRPr="00FE771B">
        <w:rPr>
          <w:rFonts w:ascii="Times New Roman" w:hAnsi="Times New Roman" w:cs="Times New Roman"/>
        </w:rPr>
        <w:t>、</w:t>
      </w:r>
      <w:r w:rsidR="006256F0" w:rsidRPr="00FE771B">
        <w:rPr>
          <w:rFonts w:ascii="Times New Roman" w:hAnsi="Times New Roman" w:cs="Times New Roman"/>
        </w:rPr>
        <w:t>32.45%</w:t>
      </w:r>
      <w:r w:rsidR="006256F0" w:rsidRPr="00FE771B">
        <w:rPr>
          <w:rFonts w:ascii="Times New Roman" w:hAnsi="Times New Roman" w:cs="Times New Roman"/>
        </w:rPr>
        <w:t>顶峰后持续下降，特别是</w:t>
      </w:r>
      <w:r w:rsidR="006256F0" w:rsidRPr="00FE771B">
        <w:rPr>
          <w:rFonts w:ascii="Times New Roman" w:hAnsi="Times New Roman" w:cs="Times New Roman"/>
        </w:rPr>
        <w:t>2011</w:t>
      </w:r>
      <w:r w:rsidR="006256F0" w:rsidRPr="00FE771B">
        <w:rPr>
          <w:rFonts w:ascii="Times New Roman" w:hAnsi="Times New Roman" w:cs="Times New Roman"/>
        </w:rPr>
        <w:t>年后工业和制造业比重下滑过快，十年间我国工业和制造业比重分别下降九个百分点和近六个百分点，如果进一步下降势必造成产业</w:t>
      </w:r>
      <w:r w:rsidR="006256F0" w:rsidRPr="00FE771B">
        <w:rPr>
          <w:rFonts w:ascii="Times New Roman" w:hAnsi="Times New Roman" w:cs="Times New Roman"/>
        </w:rPr>
        <w:t>“</w:t>
      </w:r>
      <w:r w:rsidR="006256F0" w:rsidRPr="00FE771B">
        <w:rPr>
          <w:rFonts w:ascii="Times New Roman" w:hAnsi="Times New Roman" w:cs="Times New Roman"/>
        </w:rPr>
        <w:t>空心化</w:t>
      </w:r>
      <w:r w:rsidR="006256F0" w:rsidRPr="00FE771B">
        <w:rPr>
          <w:rFonts w:ascii="Times New Roman" w:hAnsi="Times New Roman" w:cs="Times New Roman"/>
        </w:rPr>
        <w:t>”</w:t>
      </w:r>
      <w:r w:rsidR="006256F0" w:rsidRPr="00FE771B">
        <w:rPr>
          <w:rFonts w:ascii="Times New Roman" w:hAnsi="Times New Roman" w:cs="Times New Roman"/>
        </w:rPr>
        <w:t>和产业链条出现</w:t>
      </w:r>
      <w:r w:rsidR="006256F0" w:rsidRPr="00FE771B">
        <w:rPr>
          <w:rFonts w:ascii="Times New Roman" w:hAnsi="Times New Roman" w:cs="Times New Roman"/>
        </w:rPr>
        <w:t>“</w:t>
      </w:r>
      <w:r w:rsidR="006256F0" w:rsidRPr="00FE771B">
        <w:rPr>
          <w:rFonts w:ascii="Times New Roman" w:hAnsi="Times New Roman" w:cs="Times New Roman"/>
        </w:rPr>
        <w:t>间断点</w:t>
      </w:r>
      <w:r w:rsidR="006256F0" w:rsidRPr="00FE771B">
        <w:rPr>
          <w:rFonts w:ascii="Times New Roman" w:hAnsi="Times New Roman" w:cs="Times New Roman"/>
        </w:rPr>
        <w:t>”</w:t>
      </w:r>
      <w:r w:rsidR="006256F0" w:rsidRPr="00FE771B">
        <w:rPr>
          <w:rFonts w:ascii="Times New Roman" w:hAnsi="Times New Roman" w:cs="Times New Roman"/>
        </w:rPr>
        <w:t>，对我国产业升级和安全、就业稳定以及经济高质量发展造成负面影响。</w:t>
      </w:r>
      <w:r w:rsidR="00971E97" w:rsidRPr="00FE771B">
        <w:rPr>
          <w:rFonts w:ascii="Times New Roman" w:hAnsi="Times New Roman" w:cs="Times New Roman"/>
        </w:rPr>
        <w:t>与制造业等实体部门下滑形成对比的是金融业等虚拟经济部门在近十年得到了快速扩张。宏观上，中国货币化率</w:t>
      </w:r>
      <w:r w:rsidR="002D1417" w:rsidRPr="00FE771B">
        <w:rPr>
          <w:rFonts w:ascii="Times New Roman" w:hAnsi="Times New Roman" w:cs="Times New Roman"/>
        </w:rPr>
        <w:t>持续</w:t>
      </w:r>
      <w:r w:rsidR="00971E97" w:rsidRPr="00FE771B">
        <w:rPr>
          <w:rFonts w:ascii="Times New Roman" w:hAnsi="Times New Roman" w:cs="Times New Roman"/>
        </w:rPr>
        <w:t>上升，</w:t>
      </w:r>
      <w:r w:rsidR="00971E97" w:rsidRPr="00FE771B">
        <w:rPr>
          <w:rFonts w:ascii="Times New Roman" w:hAnsi="Times New Roman" w:cs="Times New Roman"/>
        </w:rPr>
        <w:t>2011</w:t>
      </w:r>
      <w:r w:rsidR="00971E97" w:rsidRPr="00FE771B">
        <w:rPr>
          <w:rFonts w:ascii="Times New Roman" w:hAnsi="Times New Roman" w:cs="Times New Roman"/>
        </w:rPr>
        <w:t>年中国货币化率为</w:t>
      </w:r>
      <w:r w:rsidR="00971E97" w:rsidRPr="00FE771B">
        <w:rPr>
          <w:rFonts w:ascii="Times New Roman" w:hAnsi="Times New Roman" w:cs="Times New Roman"/>
        </w:rPr>
        <w:t>175%</w:t>
      </w:r>
      <w:r w:rsidR="00971E97" w:rsidRPr="00FE771B">
        <w:rPr>
          <w:rFonts w:ascii="Times New Roman" w:hAnsi="Times New Roman" w:cs="Times New Roman"/>
        </w:rPr>
        <w:t>，</w:t>
      </w:r>
      <w:r w:rsidR="00971E97" w:rsidRPr="00FE771B">
        <w:rPr>
          <w:rFonts w:ascii="Times New Roman" w:hAnsi="Times New Roman" w:cs="Times New Roman"/>
        </w:rPr>
        <w:t>2020</w:t>
      </w:r>
      <w:r w:rsidR="00971E97" w:rsidRPr="00FE771B">
        <w:rPr>
          <w:rFonts w:ascii="Times New Roman" w:hAnsi="Times New Roman" w:cs="Times New Roman"/>
        </w:rPr>
        <w:t>年为</w:t>
      </w:r>
      <w:r w:rsidR="00971E97" w:rsidRPr="00FE771B">
        <w:rPr>
          <w:rFonts w:ascii="Times New Roman" w:hAnsi="Times New Roman" w:cs="Times New Roman"/>
        </w:rPr>
        <w:t>215%</w:t>
      </w:r>
      <w:r w:rsidR="00971E97" w:rsidRPr="00FE771B">
        <w:rPr>
          <w:rFonts w:ascii="Times New Roman" w:hAnsi="Times New Roman" w:cs="Times New Roman"/>
        </w:rPr>
        <w:t>（图</w:t>
      </w:r>
      <w:r w:rsidR="00971E97" w:rsidRPr="00FE771B">
        <w:rPr>
          <w:rFonts w:ascii="Times New Roman" w:hAnsi="Times New Roman" w:cs="Times New Roman"/>
        </w:rPr>
        <w:t>2</w:t>
      </w:r>
      <w:r w:rsidR="00971E97" w:rsidRPr="00FE771B">
        <w:rPr>
          <w:rFonts w:ascii="Times New Roman" w:hAnsi="Times New Roman" w:cs="Times New Roman"/>
        </w:rPr>
        <w:t>）</w:t>
      </w:r>
      <w:r w:rsidR="00EE43DA" w:rsidRPr="00FE771B">
        <w:rPr>
          <w:rStyle w:val="a6"/>
          <w:rFonts w:ascii="Times New Roman" w:hAnsi="Times New Roman" w:cs="Times New Roman"/>
        </w:rPr>
        <w:footnoteReference w:id="2"/>
      </w:r>
      <w:r w:rsidR="00971E97" w:rsidRPr="00FE771B">
        <w:rPr>
          <w:rFonts w:ascii="Times New Roman" w:hAnsi="Times New Roman" w:cs="Times New Roman"/>
        </w:rPr>
        <w:t>，中国货币化率变动与货币政策直接相关，货币政策宽松年份货币化</w:t>
      </w:r>
      <w:proofErr w:type="gramStart"/>
      <w:r w:rsidR="00971E97" w:rsidRPr="00FE771B">
        <w:rPr>
          <w:rFonts w:ascii="Times New Roman" w:hAnsi="Times New Roman" w:cs="Times New Roman"/>
        </w:rPr>
        <w:t>率增长</w:t>
      </w:r>
      <w:proofErr w:type="gramEnd"/>
      <w:r w:rsidR="00971E97" w:rsidRPr="00FE771B">
        <w:rPr>
          <w:rFonts w:ascii="Times New Roman" w:hAnsi="Times New Roman" w:cs="Times New Roman"/>
        </w:rPr>
        <w:t>加快，货币政策从紧年份货币化率就会下降和调整。也正是由于较为宽裕的流动性供给，为虚拟经济部门扩张提供了有源之水，超过实体经济所需的资金必然游离于实体经济之外进入金融以及吸金的房地产等部门</w:t>
      </w:r>
      <w:r w:rsidR="008535C7" w:rsidRPr="00FE771B">
        <w:rPr>
          <w:rFonts w:ascii="Times New Roman" w:hAnsi="Times New Roman" w:cs="Times New Roman"/>
        </w:rPr>
        <w:t>，所以</w:t>
      </w:r>
      <w:r w:rsidR="00971E97" w:rsidRPr="00FE771B">
        <w:rPr>
          <w:rFonts w:ascii="Times New Roman" w:hAnsi="Times New Roman" w:cs="Times New Roman"/>
        </w:rPr>
        <w:t>中观上无论是单独的金融业还是包含金融业和房地产业在内的</w:t>
      </w:r>
      <w:r w:rsidR="00971E97" w:rsidRPr="00FE771B">
        <w:rPr>
          <w:rFonts w:ascii="Times New Roman" w:hAnsi="Times New Roman" w:cs="Times New Roman"/>
        </w:rPr>
        <w:t>“</w:t>
      </w:r>
      <w:r w:rsidR="00971E97" w:rsidRPr="00FE771B">
        <w:rPr>
          <w:rFonts w:ascii="Times New Roman" w:hAnsi="Times New Roman" w:cs="Times New Roman"/>
        </w:rPr>
        <w:t>泛</w:t>
      </w:r>
      <w:r w:rsidR="00971E97" w:rsidRPr="00FE771B">
        <w:rPr>
          <w:rFonts w:ascii="Times New Roman" w:hAnsi="Times New Roman" w:cs="Times New Roman"/>
        </w:rPr>
        <w:t>”</w:t>
      </w:r>
      <w:r w:rsidR="00971E97" w:rsidRPr="00FE771B">
        <w:rPr>
          <w:rFonts w:ascii="Times New Roman" w:hAnsi="Times New Roman" w:cs="Times New Roman"/>
        </w:rPr>
        <w:t>金融等虚拟经济形式都经历了快速扩张趋势（图</w:t>
      </w:r>
      <w:r w:rsidR="00971E97" w:rsidRPr="00FE771B">
        <w:rPr>
          <w:rFonts w:ascii="Times New Roman" w:hAnsi="Times New Roman" w:cs="Times New Roman"/>
        </w:rPr>
        <w:t>3</w:t>
      </w:r>
      <w:r w:rsidR="00971E97" w:rsidRPr="00FE771B">
        <w:rPr>
          <w:rFonts w:ascii="Times New Roman" w:hAnsi="Times New Roman" w:cs="Times New Roman"/>
        </w:rPr>
        <w:t>）</w:t>
      </w:r>
      <w:r w:rsidR="00EE43DA" w:rsidRPr="00FE771B">
        <w:rPr>
          <w:rStyle w:val="a6"/>
          <w:rFonts w:ascii="Times New Roman" w:hAnsi="Times New Roman" w:cs="Times New Roman"/>
        </w:rPr>
        <w:footnoteReference w:id="3"/>
      </w:r>
      <w:r w:rsidR="008535C7" w:rsidRPr="00FE771B">
        <w:rPr>
          <w:rFonts w:ascii="Times New Roman" w:hAnsi="Times New Roman" w:cs="Times New Roman"/>
        </w:rPr>
        <w:t>。</w:t>
      </w:r>
      <w:r w:rsidR="00971E97" w:rsidRPr="00FE771B">
        <w:rPr>
          <w:rFonts w:ascii="Times New Roman" w:hAnsi="Times New Roman" w:cs="Times New Roman"/>
        </w:rPr>
        <w:t>微观上，中国证券化率</w:t>
      </w:r>
      <w:r w:rsidR="00971E97" w:rsidRPr="00FE771B">
        <w:rPr>
          <w:rStyle w:val="a6"/>
          <w:rFonts w:ascii="Times New Roman" w:hAnsi="Times New Roman" w:cs="Times New Roman"/>
        </w:rPr>
        <w:footnoteReference w:id="4"/>
      </w:r>
      <w:r w:rsidR="00971E97" w:rsidRPr="00FE771B">
        <w:rPr>
          <w:rFonts w:ascii="Times New Roman" w:hAnsi="Times New Roman" w:cs="Times New Roman"/>
        </w:rPr>
        <w:t>虽然波动较大但依然保持了较为明显的上升趋势（图</w:t>
      </w:r>
      <w:r w:rsidR="00971E97" w:rsidRPr="00FE771B">
        <w:rPr>
          <w:rFonts w:ascii="Times New Roman" w:hAnsi="Times New Roman" w:cs="Times New Roman"/>
        </w:rPr>
        <w:t>4</w:t>
      </w:r>
      <w:r w:rsidR="00971E97" w:rsidRPr="00FE771B">
        <w:rPr>
          <w:rFonts w:ascii="Times New Roman" w:hAnsi="Times New Roman" w:cs="Times New Roman"/>
        </w:rPr>
        <w:t>），</w:t>
      </w:r>
      <w:r w:rsidR="00971E97" w:rsidRPr="00FE771B">
        <w:rPr>
          <w:rFonts w:ascii="Times New Roman" w:hAnsi="Times New Roman" w:cs="Times New Roman"/>
        </w:rPr>
        <w:t>2011</w:t>
      </w:r>
      <w:r w:rsidR="00971E97" w:rsidRPr="00FE771B">
        <w:rPr>
          <w:rFonts w:ascii="Times New Roman" w:hAnsi="Times New Roman" w:cs="Times New Roman"/>
        </w:rPr>
        <w:t>年</w:t>
      </w:r>
      <w:r w:rsidR="00971E97" w:rsidRPr="00FE771B">
        <w:rPr>
          <w:rFonts w:ascii="Times New Roman" w:hAnsi="Times New Roman" w:cs="Times New Roman"/>
        </w:rPr>
        <w:t>-2020</w:t>
      </w:r>
      <w:r w:rsidR="00971E97" w:rsidRPr="00FE771B">
        <w:rPr>
          <w:rFonts w:ascii="Times New Roman" w:hAnsi="Times New Roman" w:cs="Times New Roman"/>
        </w:rPr>
        <w:t>年平均证券化率达到</w:t>
      </w:r>
      <w:r w:rsidR="00971E97" w:rsidRPr="00FE771B">
        <w:rPr>
          <w:rFonts w:ascii="Times New Roman" w:hAnsi="Times New Roman" w:cs="Times New Roman"/>
        </w:rPr>
        <w:t>60%</w:t>
      </w:r>
      <w:r w:rsidR="00971E97" w:rsidRPr="00FE771B">
        <w:rPr>
          <w:rFonts w:ascii="Times New Roman" w:hAnsi="Times New Roman" w:cs="Times New Roman"/>
        </w:rPr>
        <w:t>左右。所以，无论从宏观、中观还是微观看，中国虚拟部门在近十年都经历了较为明显的扩张趋势，这与实体经济部</w:t>
      </w:r>
      <w:proofErr w:type="gramStart"/>
      <w:r w:rsidR="00971E97" w:rsidRPr="00FE771B">
        <w:rPr>
          <w:rFonts w:ascii="Times New Roman" w:hAnsi="Times New Roman" w:cs="Times New Roman"/>
        </w:rPr>
        <w:t>门快速</w:t>
      </w:r>
      <w:proofErr w:type="gramEnd"/>
      <w:r w:rsidR="00971E97" w:rsidRPr="00FE771B">
        <w:rPr>
          <w:rFonts w:ascii="Times New Roman" w:hAnsi="Times New Roman" w:cs="Times New Roman"/>
        </w:rPr>
        <w:t>下降形成鲜明对比。</w:t>
      </w:r>
    </w:p>
    <w:p w:rsidR="006256F0" w:rsidRPr="00FE771B" w:rsidRDefault="0081445C" w:rsidP="002D1417">
      <w:pPr>
        <w:jc w:val="left"/>
        <w:rPr>
          <w:rFonts w:ascii="Times New Roman" w:hAnsi="Times New Roman" w:cs="Times New Roman"/>
        </w:rPr>
      </w:pPr>
      <w:r w:rsidRPr="00FE771B">
        <w:rPr>
          <w:rFonts w:ascii="Times New Roman" w:hAnsi="Times New Roman" w:cs="Times New Roman"/>
          <w:noProof/>
        </w:rPr>
        <w:lastRenderedPageBreak/>
        <w:drawing>
          <wp:inline distT="0" distB="0" distL="0" distR="0" wp14:anchorId="066DCAEB" wp14:editId="3D0E40DC">
            <wp:extent cx="2622430" cy="1966823"/>
            <wp:effectExtent l="0" t="0" r="6985"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2D1417" w:rsidRPr="00FE771B">
        <w:rPr>
          <w:rFonts w:ascii="Times New Roman" w:hAnsi="Times New Roman" w:cs="Times New Roman"/>
          <w:noProof/>
        </w:rPr>
        <w:t xml:space="preserve"> </w:t>
      </w:r>
      <w:r w:rsidRPr="00FE771B">
        <w:rPr>
          <w:rFonts w:ascii="Times New Roman" w:hAnsi="Times New Roman" w:cs="Times New Roman"/>
          <w:noProof/>
        </w:rPr>
        <w:drawing>
          <wp:inline distT="0" distB="0" distL="0" distR="0" wp14:anchorId="66DB0732" wp14:editId="7BAFE9BE">
            <wp:extent cx="2562045" cy="1966823"/>
            <wp:effectExtent l="0" t="0" r="0" b="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256F0" w:rsidRPr="00FE771B" w:rsidRDefault="006256F0" w:rsidP="003A790D">
      <w:pPr>
        <w:spacing w:line="400" w:lineRule="exact"/>
        <w:jc w:val="center"/>
        <w:rPr>
          <w:rFonts w:ascii="Times New Roman" w:eastAsia="楷体" w:hAnsi="Times New Roman" w:cs="Times New Roman"/>
        </w:rPr>
      </w:pPr>
      <w:r w:rsidRPr="00FE771B">
        <w:rPr>
          <w:rFonts w:ascii="Times New Roman" w:eastAsia="楷体" w:hAnsi="Times New Roman" w:cs="Times New Roman"/>
        </w:rPr>
        <w:t>图</w:t>
      </w:r>
      <w:r w:rsidRPr="00FE771B">
        <w:rPr>
          <w:rFonts w:ascii="Times New Roman" w:eastAsia="楷体" w:hAnsi="Times New Roman" w:cs="Times New Roman"/>
        </w:rPr>
        <w:t>1</w:t>
      </w:r>
      <w:r w:rsidR="003A790D" w:rsidRPr="00FE771B">
        <w:rPr>
          <w:rFonts w:ascii="Times New Roman" w:eastAsia="楷体" w:hAnsi="Times New Roman" w:cs="Times New Roman"/>
        </w:rPr>
        <w:t xml:space="preserve">  </w:t>
      </w:r>
      <w:r w:rsidRPr="00FE771B">
        <w:rPr>
          <w:rFonts w:ascii="Times New Roman" w:eastAsia="楷体" w:hAnsi="Times New Roman" w:cs="Times New Roman"/>
        </w:rPr>
        <w:t>中国第二产业与制造业占比变化</w:t>
      </w:r>
      <w:r w:rsidR="003A790D" w:rsidRPr="00FE771B">
        <w:rPr>
          <w:rFonts w:ascii="Times New Roman" w:hAnsi="Times New Roman" w:cs="Times New Roman"/>
          <w:b/>
          <w:color w:val="FF0000"/>
          <w:sz w:val="18"/>
          <w:szCs w:val="18"/>
        </w:rPr>
        <w:t xml:space="preserve">                 </w:t>
      </w:r>
      <w:r w:rsidR="002D1417" w:rsidRPr="00FE771B">
        <w:rPr>
          <w:rFonts w:ascii="Times New Roman" w:eastAsia="楷体" w:hAnsi="Times New Roman" w:cs="Times New Roman"/>
        </w:rPr>
        <w:t>图</w:t>
      </w:r>
      <w:r w:rsidR="002D1417" w:rsidRPr="00FE771B">
        <w:rPr>
          <w:rFonts w:ascii="Times New Roman" w:eastAsia="楷体" w:hAnsi="Times New Roman" w:cs="Times New Roman"/>
        </w:rPr>
        <w:t>2</w:t>
      </w:r>
      <w:r w:rsidR="003A790D" w:rsidRPr="00FE771B">
        <w:rPr>
          <w:rFonts w:ascii="Times New Roman" w:eastAsia="楷体" w:hAnsi="Times New Roman" w:cs="Times New Roman"/>
        </w:rPr>
        <w:t xml:space="preserve">  </w:t>
      </w:r>
      <w:r w:rsidR="002D1417" w:rsidRPr="00FE771B">
        <w:rPr>
          <w:rFonts w:ascii="Times New Roman" w:eastAsia="楷体" w:hAnsi="Times New Roman" w:cs="Times New Roman"/>
        </w:rPr>
        <w:t>中国货币化率</w:t>
      </w:r>
    </w:p>
    <w:p w:rsidR="006256F0" w:rsidRPr="00FE771B" w:rsidRDefault="006256F0" w:rsidP="00F9489D">
      <w:pPr>
        <w:ind w:firstLineChars="200" w:firstLine="420"/>
        <w:rPr>
          <w:rFonts w:ascii="Times New Roman" w:hAnsi="Times New Roman" w:cs="Times New Roman"/>
        </w:rPr>
      </w:pPr>
    </w:p>
    <w:p w:rsidR="006256F0" w:rsidRPr="00FE771B" w:rsidRDefault="002D1417" w:rsidP="002D1417">
      <w:pPr>
        <w:jc w:val="left"/>
        <w:rPr>
          <w:rFonts w:ascii="Times New Roman" w:hAnsi="Times New Roman" w:cs="Times New Roman"/>
        </w:rPr>
      </w:pPr>
      <w:r w:rsidRPr="00FE771B">
        <w:rPr>
          <w:rFonts w:ascii="Times New Roman" w:hAnsi="Times New Roman" w:cs="Times New Roman"/>
          <w:noProof/>
        </w:rPr>
        <w:t xml:space="preserve"> </w:t>
      </w:r>
      <w:r w:rsidR="0081445C" w:rsidRPr="00FE771B">
        <w:rPr>
          <w:rFonts w:ascii="Times New Roman" w:hAnsi="Times New Roman" w:cs="Times New Roman"/>
          <w:noProof/>
        </w:rPr>
        <w:drawing>
          <wp:inline distT="0" distB="0" distL="0" distR="0" wp14:anchorId="26A72366" wp14:editId="7505BFD1">
            <wp:extent cx="2622430" cy="1958196"/>
            <wp:effectExtent l="0" t="0" r="6985" b="444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FE771B">
        <w:rPr>
          <w:rFonts w:ascii="Times New Roman" w:hAnsi="Times New Roman" w:cs="Times New Roman"/>
          <w:noProof/>
        </w:rPr>
        <w:drawing>
          <wp:inline distT="0" distB="0" distL="0" distR="0" wp14:anchorId="789CA4DE" wp14:editId="2C6DC0E0">
            <wp:extent cx="2570671" cy="2009955"/>
            <wp:effectExtent l="0" t="0" r="1270" b="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256F0" w:rsidRPr="00FE771B" w:rsidRDefault="006256F0" w:rsidP="003A790D">
      <w:pPr>
        <w:spacing w:line="400" w:lineRule="exact"/>
        <w:jc w:val="center"/>
        <w:rPr>
          <w:rFonts w:ascii="Times New Roman" w:eastAsia="楷体" w:hAnsi="Times New Roman" w:cs="Times New Roman"/>
        </w:rPr>
      </w:pPr>
      <w:r w:rsidRPr="00FE771B">
        <w:rPr>
          <w:rFonts w:ascii="Times New Roman" w:eastAsia="楷体" w:hAnsi="Times New Roman" w:cs="Times New Roman"/>
        </w:rPr>
        <w:t>图</w:t>
      </w:r>
      <w:r w:rsidRPr="00FE771B">
        <w:rPr>
          <w:rFonts w:ascii="Times New Roman" w:eastAsia="楷体" w:hAnsi="Times New Roman" w:cs="Times New Roman"/>
        </w:rPr>
        <w:t xml:space="preserve">3 </w:t>
      </w:r>
      <w:r w:rsidR="003A790D" w:rsidRPr="00FE771B">
        <w:rPr>
          <w:rFonts w:ascii="Times New Roman" w:eastAsia="楷体" w:hAnsi="Times New Roman" w:cs="Times New Roman"/>
        </w:rPr>
        <w:t xml:space="preserve"> </w:t>
      </w:r>
      <w:r w:rsidRPr="00FE771B">
        <w:rPr>
          <w:rFonts w:ascii="Times New Roman" w:eastAsia="楷体" w:hAnsi="Times New Roman" w:cs="Times New Roman"/>
        </w:rPr>
        <w:t>中国金融化率</w:t>
      </w:r>
      <w:r w:rsidR="002D1417" w:rsidRPr="00FE771B">
        <w:rPr>
          <w:rFonts w:ascii="Times New Roman" w:eastAsia="楷体" w:hAnsi="Times New Roman" w:cs="Times New Roman"/>
        </w:rPr>
        <w:t xml:space="preserve">    </w:t>
      </w:r>
      <w:r w:rsidR="002D1417" w:rsidRPr="00FE771B">
        <w:rPr>
          <w:rFonts w:ascii="Times New Roman" w:hAnsi="Times New Roman" w:cs="Times New Roman"/>
          <w:b/>
          <w:color w:val="FF0000"/>
          <w:sz w:val="18"/>
          <w:szCs w:val="18"/>
        </w:rPr>
        <w:t xml:space="preserve">                        </w:t>
      </w:r>
      <w:r w:rsidRPr="00FE771B">
        <w:rPr>
          <w:rFonts w:ascii="Times New Roman" w:eastAsia="楷体" w:hAnsi="Times New Roman" w:cs="Times New Roman"/>
        </w:rPr>
        <w:t>图</w:t>
      </w:r>
      <w:r w:rsidRPr="00FE771B">
        <w:rPr>
          <w:rFonts w:ascii="Times New Roman" w:eastAsia="楷体" w:hAnsi="Times New Roman" w:cs="Times New Roman"/>
        </w:rPr>
        <w:t xml:space="preserve">4 </w:t>
      </w:r>
      <w:r w:rsidR="003A790D" w:rsidRPr="00FE771B">
        <w:rPr>
          <w:rFonts w:ascii="Times New Roman" w:eastAsia="楷体" w:hAnsi="Times New Roman" w:cs="Times New Roman"/>
        </w:rPr>
        <w:t xml:space="preserve"> </w:t>
      </w:r>
      <w:r w:rsidRPr="00FE771B">
        <w:rPr>
          <w:rFonts w:ascii="Times New Roman" w:eastAsia="楷体" w:hAnsi="Times New Roman" w:cs="Times New Roman"/>
        </w:rPr>
        <w:t>中国证券化率</w:t>
      </w:r>
    </w:p>
    <w:p w:rsidR="00CD621C" w:rsidRPr="00FE771B" w:rsidRDefault="00CD621C" w:rsidP="00CD621C">
      <w:pPr>
        <w:spacing w:line="400" w:lineRule="exact"/>
        <w:jc w:val="left"/>
        <w:rPr>
          <w:rFonts w:ascii="Times New Roman" w:eastAsia="楷体" w:hAnsi="Times New Roman" w:cs="Times New Roman"/>
          <w:sz w:val="15"/>
          <w:szCs w:val="15"/>
        </w:rPr>
      </w:pPr>
      <w:r w:rsidRPr="00FE771B">
        <w:rPr>
          <w:rFonts w:ascii="Times New Roman" w:eastAsia="楷体" w:hAnsi="Times New Roman" w:cs="Times New Roman"/>
          <w:sz w:val="15"/>
          <w:szCs w:val="15"/>
        </w:rPr>
        <w:t>资料来源：</w:t>
      </w:r>
      <w:r w:rsidRPr="00FE771B">
        <w:rPr>
          <w:rFonts w:ascii="Times New Roman" w:eastAsia="楷体" w:hAnsi="Times New Roman" w:cs="Times New Roman"/>
          <w:sz w:val="15"/>
          <w:szCs w:val="15"/>
        </w:rPr>
        <w:t>Wind</w:t>
      </w:r>
      <w:r w:rsidRPr="00FE771B">
        <w:rPr>
          <w:rFonts w:ascii="Times New Roman" w:eastAsia="楷体" w:hAnsi="Times New Roman" w:cs="Times New Roman"/>
          <w:sz w:val="15"/>
          <w:szCs w:val="15"/>
        </w:rPr>
        <w:t>金融资讯终端。</w:t>
      </w:r>
    </w:p>
    <w:p w:rsidR="00F934CB" w:rsidRPr="00FE771B" w:rsidRDefault="00803DC3" w:rsidP="00D61AD2">
      <w:pPr>
        <w:overflowPunct w:val="0"/>
        <w:ind w:firstLineChars="200" w:firstLine="420"/>
        <w:rPr>
          <w:rFonts w:ascii="Times New Roman" w:hAnsi="Times New Roman" w:cs="Times New Roman"/>
        </w:rPr>
      </w:pPr>
      <w:r w:rsidRPr="00FE771B">
        <w:rPr>
          <w:rFonts w:ascii="Times New Roman" w:hAnsi="Times New Roman" w:cs="Times New Roman"/>
          <w:color w:val="000000" w:themeColor="text1"/>
        </w:rPr>
        <w:t>虚拟经济依赖于实体经济而生（</w:t>
      </w:r>
      <w:proofErr w:type="gramStart"/>
      <w:r w:rsidR="00DC696D" w:rsidRPr="00FE771B">
        <w:rPr>
          <w:rFonts w:ascii="Times New Roman" w:hAnsi="Times New Roman" w:cs="Times New Roman"/>
          <w:color w:val="000000" w:themeColor="text1"/>
        </w:rPr>
        <w:t>苏治等</w:t>
      </w:r>
      <w:proofErr w:type="gramEnd"/>
      <w:r w:rsidR="00000866" w:rsidRPr="00FE771B">
        <w:rPr>
          <w:rFonts w:ascii="Times New Roman" w:hAnsi="Times New Roman" w:cs="Times New Roman"/>
          <w:color w:val="000000" w:themeColor="text1"/>
        </w:rPr>
        <w:t>，</w:t>
      </w:r>
      <w:r w:rsidR="00000866" w:rsidRPr="00FE771B">
        <w:rPr>
          <w:rFonts w:ascii="Times New Roman" w:hAnsi="Times New Roman" w:cs="Times New Roman"/>
          <w:color w:val="000000" w:themeColor="text1"/>
        </w:rPr>
        <w:t>20</w:t>
      </w:r>
      <w:r w:rsidR="00DC696D" w:rsidRPr="00FE771B">
        <w:rPr>
          <w:rFonts w:ascii="Times New Roman" w:hAnsi="Times New Roman" w:cs="Times New Roman"/>
          <w:color w:val="000000" w:themeColor="text1"/>
        </w:rPr>
        <w:t>17</w:t>
      </w:r>
      <w:r w:rsidRPr="00FE771B">
        <w:rPr>
          <w:rFonts w:ascii="Times New Roman" w:hAnsi="Times New Roman" w:cs="Times New Roman"/>
          <w:color w:val="000000" w:themeColor="text1"/>
        </w:rPr>
        <w:t>），</w:t>
      </w:r>
      <w:r w:rsidR="00B44D95" w:rsidRPr="00FE771B">
        <w:rPr>
          <w:rFonts w:ascii="Times New Roman" w:hAnsi="Times New Roman" w:cs="Times New Roman"/>
          <w:color w:val="000000" w:themeColor="text1"/>
        </w:rPr>
        <w:t>而</w:t>
      </w:r>
      <w:r w:rsidR="00000866" w:rsidRPr="00FE771B">
        <w:rPr>
          <w:rFonts w:ascii="Times New Roman" w:hAnsi="Times New Roman" w:cs="Times New Roman"/>
          <w:color w:val="000000" w:themeColor="text1"/>
        </w:rPr>
        <w:t>虚拟经济繁荣导致</w:t>
      </w:r>
      <w:r w:rsidRPr="00FE771B">
        <w:rPr>
          <w:rFonts w:ascii="Times New Roman" w:hAnsi="Times New Roman" w:cs="Times New Roman"/>
          <w:color w:val="000000" w:themeColor="text1"/>
        </w:rPr>
        <w:t>“</w:t>
      </w:r>
      <w:r w:rsidRPr="00FE771B">
        <w:rPr>
          <w:rFonts w:ascii="Times New Roman" w:hAnsi="Times New Roman" w:cs="Times New Roman"/>
          <w:color w:val="000000" w:themeColor="text1"/>
        </w:rPr>
        <w:t>金融活动、金融市场、金融主体和金融机构在经济中地位日益凸显</w:t>
      </w:r>
      <w:r w:rsidRPr="00FE771B">
        <w:rPr>
          <w:rFonts w:ascii="Times New Roman" w:hAnsi="Times New Roman" w:cs="Times New Roman"/>
          <w:color w:val="000000" w:themeColor="text1"/>
        </w:rPr>
        <w:t>”</w:t>
      </w:r>
      <w:r w:rsidRPr="00FE771B">
        <w:rPr>
          <w:rFonts w:ascii="Times New Roman" w:hAnsi="Times New Roman" w:cs="Times New Roman"/>
          <w:color w:val="000000" w:themeColor="text1"/>
        </w:rPr>
        <w:t>（</w:t>
      </w:r>
      <w:r w:rsidRPr="00FE771B">
        <w:rPr>
          <w:rFonts w:ascii="Times New Roman" w:hAnsi="Times New Roman" w:cs="Times New Roman"/>
          <w:color w:val="000000" w:themeColor="text1"/>
        </w:rPr>
        <w:t>Epstein</w:t>
      </w:r>
      <w:r w:rsidR="000C16DD" w:rsidRPr="00FE771B">
        <w:rPr>
          <w:rFonts w:ascii="Times New Roman" w:hAnsi="Times New Roman" w:cs="Times New Roman"/>
          <w:color w:val="000000" w:themeColor="text1"/>
        </w:rPr>
        <w:t>，</w:t>
      </w:r>
      <w:r w:rsidRPr="00FE771B">
        <w:rPr>
          <w:rFonts w:ascii="Times New Roman" w:hAnsi="Times New Roman" w:cs="Times New Roman"/>
          <w:color w:val="000000" w:themeColor="text1"/>
        </w:rPr>
        <w:t>2005</w:t>
      </w:r>
      <w:r w:rsidRPr="00FE771B">
        <w:rPr>
          <w:rFonts w:ascii="Times New Roman" w:hAnsi="Times New Roman" w:cs="Times New Roman"/>
          <w:color w:val="000000" w:themeColor="text1"/>
        </w:rPr>
        <w:t>），任其发展必然</w:t>
      </w:r>
      <w:r w:rsidR="00000866" w:rsidRPr="00FE771B">
        <w:rPr>
          <w:rFonts w:ascii="Times New Roman" w:hAnsi="Times New Roman" w:cs="Times New Roman"/>
          <w:color w:val="000000" w:themeColor="text1"/>
        </w:rPr>
        <w:t>使金融活动居于国民经济主导地位从而对</w:t>
      </w:r>
      <w:r w:rsidR="00B44D95" w:rsidRPr="00FE771B">
        <w:rPr>
          <w:rFonts w:ascii="Times New Roman" w:hAnsi="Times New Roman" w:cs="Times New Roman"/>
          <w:color w:val="000000" w:themeColor="text1"/>
        </w:rPr>
        <w:t>经济主体行为和</w:t>
      </w:r>
      <w:r w:rsidR="00000866" w:rsidRPr="00FE771B">
        <w:rPr>
          <w:rFonts w:ascii="Times New Roman" w:hAnsi="Times New Roman" w:cs="Times New Roman"/>
          <w:color w:val="000000" w:themeColor="text1"/>
        </w:rPr>
        <w:t>经济结构转型产生重要影响（</w:t>
      </w:r>
      <w:proofErr w:type="spellStart"/>
      <w:r w:rsidR="00000866" w:rsidRPr="00FE771B">
        <w:rPr>
          <w:rFonts w:ascii="Times New Roman" w:hAnsi="Times New Roman" w:cs="Times New Roman"/>
          <w:color w:val="000000" w:themeColor="text1"/>
        </w:rPr>
        <w:t>Aalbers</w:t>
      </w:r>
      <w:proofErr w:type="spellEnd"/>
      <w:r w:rsidR="000C16DD" w:rsidRPr="00FE771B">
        <w:rPr>
          <w:rFonts w:ascii="Times New Roman" w:hAnsi="Times New Roman" w:cs="Times New Roman"/>
          <w:color w:val="000000" w:themeColor="text1"/>
        </w:rPr>
        <w:t>，</w:t>
      </w:r>
      <w:r w:rsidR="00000866" w:rsidRPr="00FE771B">
        <w:rPr>
          <w:rFonts w:ascii="Times New Roman" w:hAnsi="Times New Roman" w:cs="Times New Roman"/>
          <w:color w:val="000000" w:themeColor="text1"/>
        </w:rPr>
        <w:t>2019</w:t>
      </w:r>
      <w:r w:rsidR="00000866" w:rsidRPr="00FE771B">
        <w:rPr>
          <w:rFonts w:ascii="Times New Roman" w:hAnsi="Times New Roman" w:cs="Times New Roman"/>
          <w:color w:val="000000" w:themeColor="text1"/>
        </w:rPr>
        <w:t>）</w:t>
      </w:r>
      <w:r w:rsidR="00B44D95" w:rsidRPr="00FE771B">
        <w:rPr>
          <w:rFonts w:ascii="Times New Roman" w:hAnsi="Times New Roman" w:cs="Times New Roman"/>
          <w:color w:val="000000" w:themeColor="text1"/>
        </w:rPr>
        <w:t>。因此，</w:t>
      </w:r>
      <w:r w:rsidR="00B44D95" w:rsidRPr="00FE771B">
        <w:rPr>
          <w:rFonts w:ascii="Times New Roman" w:hAnsi="Times New Roman" w:cs="Times New Roman"/>
          <w:color w:val="000000" w:themeColor="text1"/>
        </w:rPr>
        <w:t>“</w:t>
      </w:r>
      <w:r w:rsidR="00B44D95" w:rsidRPr="00FE771B">
        <w:rPr>
          <w:rFonts w:ascii="Times New Roman" w:hAnsi="Times New Roman" w:cs="Times New Roman"/>
          <w:color w:val="000000" w:themeColor="text1"/>
        </w:rPr>
        <w:t>脱实向虚</w:t>
      </w:r>
      <w:r w:rsidR="00B44D95" w:rsidRPr="00FE771B">
        <w:rPr>
          <w:rFonts w:ascii="Times New Roman" w:hAnsi="Times New Roman" w:cs="Times New Roman"/>
          <w:color w:val="000000" w:themeColor="text1"/>
        </w:rPr>
        <w:t>”</w:t>
      </w:r>
      <w:r w:rsidR="00B44D95" w:rsidRPr="00FE771B">
        <w:rPr>
          <w:rFonts w:ascii="Times New Roman" w:hAnsi="Times New Roman" w:cs="Times New Roman"/>
          <w:color w:val="000000" w:themeColor="text1"/>
        </w:rPr>
        <w:t>一方面</w:t>
      </w:r>
      <w:r w:rsidR="00EA1CA5" w:rsidRPr="00FE771B">
        <w:rPr>
          <w:rFonts w:ascii="Times New Roman" w:hAnsi="Times New Roman" w:cs="Times New Roman"/>
          <w:color w:val="000000" w:themeColor="text1"/>
        </w:rPr>
        <w:t>说明</w:t>
      </w:r>
      <w:r w:rsidR="00B44D95" w:rsidRPr="00FE771B">
        <w:rPr>
          <w:rFonts w:ascii="Times New Roman" w:hAnsi="Times New Roman" w:cs="Times New Roman"/>
          <w:color w:val="000000" w:themeColor="text1"/>
        </w:rPr>
        <w:t>了实体经济与虚拟经济的从属地位发生变化</w:t>
      </w:r>
      <w:r w:rsidR="0056779F" w:rsidRPr="00FE771B">
        <w:rPr>
          <w:rFonts w:ascii="Times New Roman" w:hAnsi="Times New Roman" w:cs="Times New Roman"/>
          <w:color w:val="000000" w:themeColor="text1"/>
        </w:rPr>
        <w:t>，</w:t>
      </w:r>
      <w:r w:rsidR="00B44D95" w:rsidRPr="00FE771B">
        <w:rPr>
          <w:rFonts w:ascii="Times New Roman" w:hAnsi="Times New Roman" w:cs="Times New Roman"/>
          <w:color w:val="000000" w:themeColor="text1"/>
        </w:rPr>
        <w:t>另一方面</w:t>
      </w:r>
      <w:r w:rsidR="0056779F" w:rsidRPr="00FE771B">
        <w:rPr>
          <w:rFonts w:ascii="Times New Roman" w:hAnsi="Times New Roman" w:cs="Times New Roman"/>
          <w:color w:val="000000" w:themeColor="text1"/>
        </w:rPr>
        <w:t>也将导致经济资源配置从实体领域转向虚拟部门，</w:t>
      </w:r>
      <w:r w:rsidR="00EA1CA5" w:rsidRPr="00FE771B">
        <w:rPr>
          <w:rFonts w:ascii="Times New Roman" w:hAnsi="Times New Roman" w:cs="Times New Roman"/>
          <w:color w:val="000000" w:themeColor="text1"/>
        </w:rPr>
        <w:t>去工业化或产业</w:t>
      </w:r>
      <w:r w:rsidR="00EA1CA5" w:rsidRPr="00FE771B">
        <w:rPr>
          <w:rFonts w:ascii="Times New Roman" w:hAnsi="Times New Roman" w:cs="Times New Roman"/>
          <w:color w:val="000000" w:themeColor="text1"/>
        </w:rPr>
        <w:t>“</w:t>
      </w:r>
      <w:r w:rsidR="00EA1CA5" w:rsidRPr="00FE771B">
        <w:rPr>
          <w:rFonts w:ascii="Times New Roman" w:hAnsi="Times New Roman" w:cs="Times New Roman"/>
          <w:color w:val="000000" w:themeColor="text1"/>
        </w:rPr>
        <w:t>空心化</w:t>
      </w:r>
      <w:r w:rsidR="00EA1CA5" w:rsidRPr="00FE771B">
        <w:rPr>
          <w:rFonts w:ascii="Times New Roman" w:hAnsi="Times New Roman" w:cs="Times New Roman"/>
          <w:color w:val="000000" w:themeColor="text1"/>
        </w:rPr>
        <w:t>”</w:t>
      </w:r>
      <w:r w:rsidR="00EA1CA5" w:rsidRPr="00FE771B">
        <w:rPr>
          <w:rFonts w:ascii="Times New Roman" w:hAnsi="Times New Roman" w:cs="Times New Roman"/>
          <w:color w:val="000000" w:themeColor="text1"/>
        </w:rPr>
        <w:t>问题不可避免。</w:t>
      </w:r>
      <w:r w:rsidR="000B29E9" w:rsidRPr="00FE771B">
        <w:rPr>
          <w:rFonts w:ascii="Times New Roman" w:hAnsi="Times New Roman" w:cs="Times New Roman"/>
          <w:color w:val="000000" w:themeColor="text1"/>
        </w:rPr>
        <w:t>由于</w:t>
      </w:r>
      <w:r w:rsidR="00D61AD2" w:rsidRPr="00FE771B">
        <w:rPr>
          <w:rFonts w:ascii="Times New Roman" w:hAnsi="Times New Roman" w:cs="Times New Roman"/>
          <w:color w:val="000000" w:themeColor="text1"/>
        </w:rPr>
        <w:t>企业</w:t>
      </w:r>
      <w:r w:rsidR="000B29E9" w:rsidRPr="00FE771B">
        <w:rPr>
          <w:rFonts w:ascii="Times New Roman" w:hAnsi="Times New Roman" w:cs="Times New Roman"/>
          <w:color w:val="000000" w:themeColor="text1"/>
        </w:rPr>
        <w:t>是社会主义市场经</w:t>
      </w:r>
      <w:r w:rsidR="00D9794A" w:rsidRPr="00FE771B">
        <w:rPr>
          <w:rFonts w:ascii="Times New Roman" w:hAnsi="Times New Roman" w:cs="Times New Roman"/>
          <w:color w:val="000000" w:themeColor="text1"/>
        </w:rPr>
        <w:t>济的主体和宏观经济的细胞，</w:t>
      </w:r>
      <w:r w:rsidR="00A86DAB" w:rsidRPr="00FE771B">
        <w:rPr>
          <w:rFonts w:ascii="Times New Roman" w:hAnsi="Times New Roman" w:cs="Times New Roman"/>
          <w:color w:val="000000" w:themeColor="text1"/>
        </w:rPr>
        <w:t>所以宏观经济上</w:t>
      </w:r>
      <w:r w:rsidR="00A86DAB" w:rsidRPr="00FE771B">
        <w:rPr>
          <w:rFonts w:ascii="Times New Roman" w:hAnsi="Times New Roman" w:cs="Times New Roman"/>
          <w:color w:val="000000" w:themeColor="text1"/>
        </w:rPr>
        <w:t>“</w:t>
      </w:r>
      <w:r w:rsidR="00A86DAB" w:rsidRPr="00FE771B">
        <w:rPr>
          <w:rFonts w:ascii="Times New Roman" w:hAnsi="Times New Roman" w:cs="Times New Roman"/>
          <w:color w:val="000000" w:themeColor="text1"/>
        </w:rPr>
        <w:t>脱实向虚</w:t>
      </w:r>
      <w:r w:rsidR="00A86DAB" w:rsidRPr="00FE771B">
        <w:rPr>
          <w:rFonts w:ascii="Times New Roman" w:hAnsi="Times New Roman" w:cs="Times New Roman"/>
          <w:color w:val="000000" w:themeColor="text1"/>
        </w:rPr>
        <w:t>”</w:t>
      </w:r>
      <w:r w:rsidR="00A86DAB" w:rsidRPr="00FE771B">
        <w:rPr>
          <w:rFonts w:ascii="Times New Roman" w:hAnsi="Times New Roman" w:cs="Times New Roman"/>
          <w:color w:val="000000" w:themeColor="text1"/>
        </w:rPr>
        <w:t>必然通过市场微观主体行为呈现出来，</w:t>
      </w:r>
      <w:r w:rsidR="00EA1CA5" w:rsidRPr="00FE771B">
        <w:rPr>
          <w:rFonts w:ascii="Times New Roman" w:hAnsi="Times New Roman" w:cs="Times New Roman"/>
          <w:color w:val="000000" w:themeColor="text1"/>
        </w:rPr>
        <w:t>除了表现为</w:t>
      </w:r>
      <w:r w:rsidR="00D61AD2" w:rsidRPr="00FE771B">
        <w:rPr>
          <w:rFonts w:ascii="Times New Roman" w:hAnsi="Times New Roman" w:cs="Times New Roman"/>
          <w:color w:val="000000" w:themeColor="text1"/>
        </w:rPr>
        <w:t>金融类</w:t>
      </w:r>
      <w:r w:rsidR="00A86DAB" w:rsidRPr="00FE771B">
        <w:rPr>
          <w:rFonts w:ascii="Times New Roman" w:hAnsi="Times New Roman" w:cs="Times New Roman"/>
          <w:color w:val="000000" w:themeColor="text1"/>
        </w:rPr>
        <w:t>企业</w:t>
      </w:r>
      <w:r w:rsidR="00D61AD2" w:rsidRPr="00FE771B">
        <w:rPr>
          <w:rFonts w:ascii="Times New Roman" w:hAnsi="Times New Roman" w:cs="Times New Roman"/>
          <w:color w:val="000000" w:themeColor="text1"/>
        </w:rPr>
        <w:t>规模扩张，营收、资产、净利润等占据所有企业前列</w:t>
      </w:r>
      <w:r w:rsidR="00EA1CA5" w:rsidRPr="00FE771B">
        <w:rPr>
          <w:rFonts w:ascii="Times New Roman" w:hAnsi="Times New Roman" w:cs="Times New Roman"/>
          <w:color w:val="000000" w:themeColor="text1"/>
        </w:rPr>
        <w:t>等现象</w:t>
      </w:r>
      <w:r w:rsidR="00A86DAB" w:rsidRPr="00FE771B">
        <w:rPr>
          <w:rStyle w:val="a6"/>
          <w:rFonts w:ascii="Times New Roman" w:hAnsi="Times New Roman" w:cs="Times New Roman"/>
          <w:color w:val="000000" w:themeColor="text1"/>
        </w:rPr>
        <w:footnoteReference w:id="5"/>
      </w:r>
      <w:r w:rsidR="00D61AD2" w:rsidRPr="00FE771B">
        <w:rPr>
          <w:rFonts w:ascii="Times New Roman" w:hAnsi="Times New Roman" w:cs="Times New Roman"/>
          <w:color w:val="000000" w:themeColor="text1"/>
        </w:rPr>
        <w:t>，</w:t>
      </w:r>
      <w:r w:rsidR="00EA1CA5" w:rsidRPr="00FE771B">
        <w:rPr>
          <w:rFonts w:ascii="Times New Roman" w:hAnsi="Times New Roman" w:cs="Times New Roman"/>
          <w:color w:val="000000" w:themeColor="text1"/>
        </w:rPr>
        <w:t>主要还是指微观层面上实体企业金融化</w:t>
      </w:r>
      <w:r w:rsidR="00A4219B">
        <w:rPr>
          <w:rFonts w:ascii="Times New Roman" w:hAnsi="Times New Roman" w:cs="Times New Roman" w:hint="eastAsia"/>
          <w:color w:val="000000" w:themeColor="text1"/>
        </w:rPr>
        <w:t>（</w:t>
      </w:r>
      <w:proofErr w:type="spellStart"/>
      <w:r w:rsidR="00A4219B" w:rsidRPr="00690468">
        <w:rPr>
          <w:rFonts w:ascii="Times New Roman" w:hAnsi="Times New Roman" w:cs="Times New Roman"/>
          <w:color w:val="000000" w:themeColor="text1"/>
        </w:rPr>
        <w:t>Financialization</w:t>
      </w:r>
      <w:proofErr w:type="spellEnd"/>
      <w:r w:rsidR="00A4219B">
        <w:rPr>
          <w:rFonts w:ascii="Times New Roman" w:hAnsi="Times New Roman" w:cs="Times New Roman" w:hint="eastAsia"/>
          <w:color w:val="000000" w:themeColor="text1"/>
        </w:rPr>
        <w:t>）</w:t>
      </w:r>
      <w:r w:rsidR="00EA1CA5" w:rsidRPr="00FE771B">
        <w:rPr>
          <w:rFonts w:ascii="Times New Roman" w:hAnsi="Times New Roman" w:cs="Times New Roman"/>
          <w:color w:val="000000" w:themeColor="text1"/>
        </w:rPr>
        <w:t>，</w:t>
      </w:r>
      <w:r w:rsidR="00D61AD2" w:rsidRPr="00FE771B">
        <w:rPr>
          <w:rFonts w:ascii="Times New Roman" w:hAnsi="Times New Roman" w:cs="Times New Roman"/>
          <w:color w:val="000000" w:themeColor="text1"/>
        </w:rPr>
        <w:t>实体企业经营活动逐步热衷于金融投资和房地产投资，越来越多的企业将资金投入于股票、债券、理财、结构性产品以及投资性房地产等领域，</w:t>
      </w:r>
      <w:r w:rsidR="00F146C8" w:rsidRPr="00FE771B">
        <w:rPr>
          <w:rFonts w:ascii="Times New Roman" w:hAnsi="Times New Roman" w:cs="Times New Roman"/>
          <w:color w:val="000000" w:themeColor="text1"/>
        </w:rPr>
        <w:t>即非金融企业增加金融资产投资而减少生产性投资的现象</w:t>
      </w:r>
      <w:r w:rsidR="000C16DD" w:rsidRPr="00FE771B">
        <w:rPr>
          <w:rFonts w:ascii="Times New Roman" w:hAnsi="Times New Roman" w:cs="Times New Roman"/>
          <w:color w:val="000000" w:themeColor="text1"/>
        </w:rPr>
        <w:t>（</w:t>
      </w:r>
      <w:r w:rsidR="000C16DD" w:rsidRPr="00FE771B">
        <w:rPr>
          <w:rFonts w:ascii="Times New Roman" w:hAnsi="Times New Roman" w:cs="Times New Roman"/>
          <w:color w:val="000000" w:themeColor="text1"/>
        </w:rPr>
        <w:t>Epstein</w:t>
      </w:r>
      <w:r w:rsidR="000C16DD" w:rsidRPr="00FE771B">
        <w:rPr>
          <w:rFonts w:ascii="Times New Roman" w:hAnsi="Times New Roman" w:cs="Times New Roman"/>
          <w:color w:val="000000" w:themeColor="text1"/>
        </w:rPr>
        <w:t>，</w:t>
      </w:r>
      <w:r w:rsidR="000C16DD" w:rsidRPr="00FE771B">
        <w:rPr>
          <w:rFonts w:ascii="Times New Roman" w:hAnsi="Times New Roman" w:cs="Times New Roman"/>
          <w:color w:val="000000" w:themeColor="text1"/>
        </w:rPr>
        <w:t>2005</w:t>
      </w:r>
      <w:r w:rsidR="000C16DD" w:rsidRPr="00FE771B">
        <w:rPr>
          <w:rFonts w:ascii="Times New Roman" w:hAnsi="Times New Roman" w:cs="Times New Roman"/>
          <w:color w:val="000000" w:themeColor="text1"/>
        </w:rPr>
        <w:t>；文春晖等，</w:t>
      </w:r>
      <w:r w:rsidR="000C16DD" w:rsidRPr="00FE771B">
        <w:rPr>
          <w:rFonts w:ascii="Times New Roman" w:hAnsi="Times New Roman" w:cs="Times New Roman"/>
          <w:color w:val="000000" w:themeColor="text1"/>
        </w:rPr>
        <w:t>2015</w:t>
      </w:r>
      <w:r w:rsidR="000C16DD" w:rsidRPr="00FE771B">
        <w:rPr>
          <w:rFonts w:ascii="Times New Roman" w:hAnsi="Times New Roman" w:cs="Times New Roman"/>
          <w:color w:val="000000" w:themeColor="text1"/>
        </w:rPr>
        <w:t>；彭俞超和黄志刚，</w:t>
      </w:r>
      <w:r w:rsidR="000C16DD" w:rsidRPr="00FE771B">
        <w:rPr>
          <w:rFonts w:ascii="Times New Roman" w:hAnsi="Times New Roman" w:cs="Times New Roman"/>
          <w:color w:val="000000" w:themeColor="text1"/>
        </w:rPr>
        <w:t>2018</w:t>
      </w:r>
      <w:r w:rsidR="000C16DD" w:rsidRPr="00FE771B">
        <w:rPr>
          <w:rFonts w:ascii="Times New Roman" w:hAnsi="Times New Roman" w:cs="Times New Roman"/>
          <w:color w:val="000000" w:themeColor="text1"/>
        </w:rPr>
        <w:t>）</w:t>
      </w:r>
      <w:r w:rsidR="00B25763" w:rsidRPr="00FE771B">
        <w:rPr>
          <w:rFonts w:ascii="Times New Roman" w:hAnsi="Times New Roman" w:cs="Times New Roman"/>
          <w:color w:val="000000" w:themeColor="text1"/>
        </w:rPr>
        <w:t>。关于实体企业金融化的影响因素方面，已有研究发现</w:t>
      </w:r>
      <w:r w:rsidR="00B86E8E" w:rsidRPr="00FE771B">
        <w:rPr>
          <w:rFonts w:ascii="Times New Roman" w:hAnsi="Times New Roman" w:cs="Times New Roman"/>
          <w:color w:val="000000" w:themeColor="text1"/>
        </w:rPr>
        <w:t>机构投资者结构（刘伟</w:t>
      </w:r>
      <w:r w:rsidR="000C16DD" w:rsidRPr="00FE771B">
        <w:rPr>
          <w:rFonts w:ascii="Times New Roman" w:hAnsi="Times New Roman" w:cs="Times New Roman"/>
          <w:color w:val="000000" w:themeColor="text1"/>
        </w:rPr>
        <w:t>、</w:t>
      </w:r>
      <w:r w:rsidR="00B86E8E" w:rsidRPr="00FE771B">
        <w:rPr>
          <w:rFonts w:ascii="Times New Roman" w:hAnsi="Times New Roman" w:cs="Times New Roman"/>
          <w:color w:val="000000" w:themeColor="text1"/>
        </w:rPr>
        <w:t>曹瑜强，</w:t>
      </w:r>
      <w:r w:rsidR="00B86E8E" w:rsidRPr="00FE771B">
        <w:rPr>
          <w:rFonts w:ascii="Times New Roman" w:hAnsi="Times New Roman" w:cs="Times New Roman"/>
          <w:color w:val="000000" w:themeColor="text1"/>
        </w:rPr>
        <w:t>2018</w:t>
      </w:r>
      <w:r w:rsidR="00B86E8E" w:rsidRPr="00FE771B">
        <w:rPr>
          <w:rFonts w:ascii="Times New Roman" w:hAnsi="Times New Roman" w:cs="Times New Roman"/>
          <w:color w:val="000000" w:themeColor="text1"/>
        </w:rPr>
        <w:t>）、</w:t>
      </w:r>
      <w:r w:rsidR="00C43337" w:rsidRPr="00FE771B">
        <w:rPr>
          <w:rFonts w:ascii="Times New Roman" w:hAnsi="Times New Roman" w:cs="Times New Roman"/>
          <w:color w:val="000000" w:themeColor="text1"/>
        </w:rPr>
        <w:t>社会责任履行（孟庆斌</w:t>
      </w:r>
      <w:r w:rsidR="000C16DD" w:rsidRPr="00FE771B">
        <w:rPr>
          <w:rFonts w:ascii="Times New Roman" w:hAnsi="Times New Roman" w:cs="Times New Roman"/>
          <w:color w:val="000000" w:themeColor="text1"/>
        </w:rPr>
        <w:t>、</w:t>
      </w:r>
      <w:r w:rsidR="00C43337" w:rsidRPr="00FE771B">
        <w:rPr>
          <w:rFonts w:ascii="Times New Roman" w:hAnsi="Times New Roman" w:cs="Times New Roman"/>
          <w:color w:val="000000" w:themeColor="text1"/>
        </w:rPr>
        <w:t>侯粲然，</w:t>
      </w:r>
      <w:r w:rsidR="00C43337" w:rsidRPr="00FE771B">
        <w:rPr>
          <w:rFonts w:ascii="Times New Roman" w:hAnsi="Times New Roman" w:cs="Times New Roman"/>
          <w:color w:val="000000" w:themeColor="text1"/>
        </w:rPr>
        <w:t>2020</w:t>
      </w:r>
      <w:r w:rsidR="00C43337" w:rsidRPr="00FE771B">
        <w:rPr>
          <w:rFonts w:ascii="Times New Roman" w:hAnsi="Times New Roman" w:cs="Times New Roman"/>
          <w:color w:val="000000" w:themeColor="text1"/>
        </w:rPr>
        <w:t>）、</w:t>
      </w:r>
      <w:r w:rsidR="00B86E8E" w:rsidRPr="00FE771B">
        <w:rPr>
          <w:rFonts w:ascii="Times New Roman" w:hAnsi="Times New Roman" w:cs="Times New Roman"/>
          <w:color w:val="000000" w:themeColor="text1"/>
        </w:rPr>
        <w:t>融资融券（杜勇</w:t>
      </w:r>
      <w:r w:rsidR="000C16DD" w:rsidRPr="00FE771B">
        <w:rPr>
          <w:rFonts w:ascii="Times New Roman" w:hAnsi="Times New Roman" w:cs="Times New Roman"/>
          <w:color w:val="000000" w:themeColor="text1"/>
        </w:rPr>
        <w:t>、</w:t>
      </w:r>
      <w:r w:rsidR="00B86E8E" w:rsidRPr="00FE771B">
        <w:rPr>
          <w:rFonts w:ascii="Times New Roman" w:hAnsi="Times New Roman" w:cs="Times New Roman"/>
          <w:color w:val="000000" w:themeColor="text1"/>
        </w:rPr>
        <w:t>邓旭，</w:t>
      </w:r>
      <w:r w:rsidR="00B86E8E" w:rsidRPr="00FE771B">
        <w:rPr>
          <w:rFonts w:ascii="Times New Roman" w:hAnsi="Times New Roman" w:cs="Times New Roman"/>
          <w:color w:val="000000" w:themeColor="text1"/>
        </w:rPr>
        <w:t>2020</w:t>
      </w:r>
      <w:r w:rsidR="00B86E8E" w:rsidRPr="00FE771B">
        <w:rPr>
          <w:rFonts w:ascii="Times New Roman" w:hAnsi="Times New Roman" w:cs="Times New Roman"/>
          <w:color w:val="000000" w:themeColor="text1"/>
        </w:rPr>
        <w:t>）、经济政策不确定性（</w:t>
      </w:r>
      <w:proofErr w:type="gramStart"/>
      <w:r w:rsidR="00B86E8E" w:rsidRPr="00FE771B">
        <w:rPr>
          <w:rFonts w:ascii="Times New Roman" w:hAnsi="Times New Roman" w:cs="Times New Roman"/>
          <w:color w:val="000000" w:themeColor="text1"/>
        </w:rPr>
        <w:t>刘贯春等</w:t>
      </w:r>
      <w:proofErr w:type="gramEnd"/>
      <w:r w:rsidR="00B86E8E" w:rsidRPr="00FE771B">
        <w:rPr>
          <w:rFonts w:ascii="Times New Roman" w:hAnsi="Times New Roman" w:cs="Times New Roman"/>
          <w:color w:val="000000" w:themeColor="text1"/>
        </w:rPr>
        <w:t>，</w:t>
      </w:r>
      <w:r w:rsidR="00B86E8E" w:rsidRPr="00FE771B">
        <w:rPr>
          <w:rFonts w:ascii="Times New Roman" w:hAnsi="Times New Roman" w:cs="Times New Roman"/>
          <w:color w:val="000000" w:themeColor="text1"/>
        </w:rPr>
        <w:t>2020</w:t>
      </w:r>
      <w:r w:rsidR="00B86E8E" w:rsidRPr="00FE771B">
        <w:rPr>
          <w:rFonts w:ascii="Times New Roman" w:hAnsi="Times New Roman" w:cs="Times New Roman"/>
          <w:color w:val="000000" w:themeColor="text1"/>
        </w:rPr>
        <w:t>）、非国有股东治理结构（曹丰</w:t>
      </w:r>
      <w:r w:rsidR="000C16DD" w:rsidRPr="00FE771B">
        <w:rPr>
          <w:rFonts w:ascii="Times New Roman" w:hAnsi="Times New Roman" w:cs="Times New Roman"/>
          <w:color w:val="000000" w:themeColor="text1"/>
        </w:rPr>
        <w:t>、</w:t>
      </w:r>
      <w:r w:rsidR="00B86E8E" w:rsidRPr="00FE771B">
        <w:rPr>
          <w:rFonts w:ascii="Times New Roman" w:hAnsi="Times New Roman" w:cs="Times New Roman"/>
          <w:color w:val="000000" w:themeColor="text1"/>
        </w:rPr>
        <w:t>谷孝颖，</w:t>
      </w:r>
      <w:r w:rsidR="00B86E8E" w:rsidRPr="00FE771B">
        <w:rPr>
          <w:rFonts w:ascii="Times New Roman" w:hAnsi="Times New Roman" w:cs="Times New Roman"/>
          <w:color w:val="000000" w:themeColor="text1"/>
        </w:rPr>
        <w:t>2021</w:t>
      </w:r>
      <w:r w:rsidR="00B86E8E" w:rsidRPr="00FE771B">
        <w:rPr>
          <w:rFonts w:ascii="Times New Roman" w:hAnsi="Times New Roman" w:cs="Times New Roman"/>
          <w:color w:val="000000" w:themeColor="text1"/>
        </w:rPr>
        <w:t>）、国资介入（赵晓阳</w:t>
      </w:r>
      <w:r w:rsidR="000C16DD" w:rsidRPr="00FE771B">
        <w:rPr>
          <w:rFonts w:ascii="Times New Roman" w:hAnsi="Times New Roman" w:cs="Times New Roman"/>
          <w:color w:val="000000" w:themeColor="text1"/>
        </w:rPr>
        <w:t>、</w:t>
      </w:r>
      <w:r w:rsidR="00B86E8E" w:rsidRPr="00FE771B">
        <w:rPr>
          <w:rFonts w:ascii="Times New Roman" w:hAnsi="Times New Roman" w:cs="Times New Roman"/>
          <w:color w:val="000000" w:themeColor="text1"/>
        </w:rPr>
        <w:t>衣长军，</w:t>
      </w:r>
      <w:r w:rsidR="00B86E8E" w:rsidRPr="00FE771B">
        <w:rPr>
          <w:rFonts w:ascii="Times New Roman" w:hAnsi="Times New Roman" w:cs="Times New Roman"/>
          <w:color w:val="000000" w:themeColor="text1"/>
        </w:rPr>
        <w:t>2021</w:t>
      </w:r>
      <w:r w:rsidR="00B86E8E" w:rsidRPr="00FE771B">
        <w:rPr>
          <w:rFonts w:ascii="Times New Roman" w:hAnsi="Times New Roman" w:cs="Times New Roman"/>
          <w:color w:val="000000" w:themeColor="text1"/>
        </w:rPr>
        <w:t>）、控股股东股权质押（王海芳</w:t>
      </w:r>
      <w:r w:rsidR="000C16DD" w:rsidRPr="00FE771B">
        <w:rPr>
          <w:rFonts w:ascii="Times New Roman" w:hAnsi="Times New Roman" w:cs="Times New Roman"/>
          <w:color w:val="000000" w:themeColor="text1"/>
        </w:rPr>
        <w:t>、</w:t>
      </w:r>
      <w:r w:rsidR="00B86E8E" w:rsidRPr="00FE771B">
        <w:rPr>
          <w:rFonts w:ascii="Times New Roman" w:hAnsi="Times New Roman" w:cs="Times New Roman"/>
          <w:color w:val="000000" w:themeColor="text1"/>
        </w:rPr>
        <w:t>张笑愚，</w:t>
      </w:r>
      <w:r w:rsidR="00B86E8E" w:rsidRPr="00FE771B">
        <w:rPr>
          <w:rFonts w:ascii="Times New Roman" w:hAnsi="Times New Roman" w:cs="Times New Roman"/>
          <w:color w:val="000000" w:themeColor="text1"/>
        </w:rPr>
        <w:t>2021</w:t>
      </w:r>
      <w:r w:rsidR="00B86E8E" w:rsidRPr="00FE771B">
        <w:rPr>
          <w:rFonts w:ascii="Times New Roman" w:hAnsi="Times New Roman" w:cs="Times New Roman"/>
          <w:color w:val="000000" w:themeColor="text1"/>
        </w:rPr>
        <w:t>）是导致资产配置从实体领域转向虚拟</w:t>
      </w:r>
      <w:r w:rsidR="00B86E8E" w:rsidRPr="00FE771B">
        <w:rPr>
          <w:rFonts w:ascii="Times New Roman" w:hAnsi="Times New Roman" w:cs="Times New Roman"/>
          <w:color w:val="000000" w:themeColor="text1"/>
        </w:rPr>
        <w:lastRenderedPageBreak/>
        <w:t>或金融领域的</w:t>
      </w:r>
      <w:r w:rsidR="00B86E8E" w:rsidRPr="00FE771B">
        <w:rPr>
          <w:rFonts w:ascii="Times New Roman" w:hAnsi="Times New Roman" w:cs="Times New Roman"/>
        </w:rPr>
        <w:t>重要原因。</w:t>
      </w:r>
      <w:r w:rsidR="00CB66C1" w:rsidRPr="00FE771B">
        <w:rPr>
          <w:rFonts w:ascii="Times New Roman" w:hAnsi="Times New Roman" w:cs="Times New Roman"/>
        </w:rPr>
        <w:t>但</w:t>
      </w:r>
      <w:r w:rsidR="00B86E8E" w:rsidRPr="00FE771B">
        <w:rPr>
          <w:rFonts w:ascii="Times New Roman" w:hAnsi="Times New Roman" w:cs="Times New Roman"/>
        </w:rPr>
        <w:t>上述研究在探讨金融化动机时都主要基于上市公司内部发展与结构方面，还没有从并购等外部横向或纵向拓展等</w:t>
      </w:r>
      <w:r w:rsidR="005A751C" w:rsidRPr="00FE771B">
        <w:rPr>
          <w:rFonts w:ascii="Times New Roman" w:hAnsi="Times New Roman" w:cs="Times New Roman"/>
        </w:rPr>
        <w:t>方面</w:t>
      </w:r>
      <w:r w:rsidR="00B86E8E" w:rsidRPr="00FE771B">
        <w:rPr>
          <w:rFonts w:ascii="Times New Roman" w:hAnsi="Times New Roman" w:cs="Times New Roman"/>
        </w:rPr>
        <w:t>进行研究。因此，本文将从上市公司内部发展与结构的各类异质性因素视角转向上市公司外源性并购方面，从上市公司并购样本出发，讨论近些年较为流行的并购中采用业绩承诺协议对上市公司经营投资决策的影响，研究并购中业绩承诺协议的引入是否加剧了上市公司经营</w:t>
      </w:r>
      <w:r w:rsidR="00B86E8E" w:rsidRPr="00FE771B">
        <w:rPr>
          <w:rFonts w:ascii="Times New Roman" w:hAnsi="Times New Roman" w:cs="Times New Roman"/>
        </w:rPr>
        <w:t>“</w:t>
      </w:r>
      <w:r w:rsidR="00B86E8E" w:rsidRPr="00FE771B">
        <w:rPr>
          <w:rFonts w:ascii="Times New Roman" w:hAnsi="Times New Roman" w:cs="Times New Roman"/>
        </w:rPr>
        <w:t>脱实向虚</w:t>
      </w:r>
      <w:r w:rsidR="00B86E8E" w:rsidRPr="00FE771B">
        <w:rPr>
          <w:rFonts w:ascii="Times New Roman" w:hAnsi="Times New Roman" w:cs="Times New Roman"/>
        </w:rPr>
        <w:t>”</w:t>
      </w:r>
      <w:r w:rsidR="00B86E8E" w:rsidRPr="00FE771B">
        <w:rPr>
          <w:rFonts w:ascii="Times New Roman" w:hAnsi="Times New Roman" w:cs="Times New Roman"/>
        </w:rPr>
        <w:t>，并探讨其内在机制和潜在后果。</w:t>
      </w:r>
    </w:p>
    <w:p w:rsidR="00FE4C97" w:rsidRPr="00FE771B" w:rsidRDefault="00FE4C97" w:rsidP="00D61AD2">
      <w:pPr>
        <w:overflowPunct w:val="0"/>
        <w:ind w:firstLineChars="200" w:firstLine="420"/>
        <w:rPr>
          <w:rFonts w:ascii="Times New Roman" w:hAnsi="Times New Roman" w:cs="Times New Roman"/>
        </w:rPr>
      </w:pPr>
      <w:r w:rsidRPr="00FE771B">
        <w:rPr>
          <w:rFonts w:ascii="Times New Roman" w:hAnsi="Times New Roman" w:cs="Times New Roman"/>
        </w:rPr>
        <w:t>并购永远是中国资本市场追捧的热点话题。根据</w:t>
      </w:r>
      <w:r w:rsidRPr="00FE771B">
        <w:rPr>
          <w:rFonts w:ascii="Times New Roman" w:hAnsi="Times New Roman" w:cs="Times New Roman"/>
        </w:rPr>
        <w:t>Wind</w:t>
      </w:r>
      <w:r w:rsidRPr="00FE771B">
        <w:rPr>
          <w:rFonts w:ascii="Times New Roman" w:hAnsi="Times New Roman" w:cs="Times New Roman"/>
        </w:rPr>
        <w:t>统计，</w:t>
      </w:r>
      <w:r w:rsidRPr="00FE771B">
        <w:rPr>
          <w:rFonts w:ascii="Times New Roman" w:hAnsi="Times New Roman" w:cs="Times New Roman"/>
        </w:rPr>
        <w:t>2012</w:t>
      </w:r>
      <w:r w:rsidRPr="00FE771B">
        <w:rPr>
          <w:rFonts w:ascii="Times New Roman" w:hAnsi="Times New Roman" w:cs="Times New Roman"/>
        </w:rPr>
        <w:t>年第一季度，中国上市公司共发生并购事件数量为</w:t>
      </w:r>
      <w:r w:rsidRPr="00FE771B">
        <w:rPr>
          <w:rFonts w:ascii="Times New Roman" w:hAnsi="Times New Roman" w:cs="Times New Roman"/>
        </w:rPr>
        <w:t>528</w:t>
      </w:r>
      <w:r w:rsidRPr="00FE771B">
        <w:rPr>
          <w:rFonts w:ascii="Times New Roman" w:hAnsi="Times New Roman" w:cs="Times New Roman"/>
        </w:rPr>
        <w:t>起，涉及并购金额为</w:t>
      </w:r>
      <w:r w:rsidRPr="00FE771B">
        <w:rPr>
          <w:rFonts w:ascii="Times New Roman" w:hAnsi="Times New Roman" w:cs="Times New Roman"/>
        </w:rPr>
        <w:t>3913</w:t>
      </w:r>
      <w:r w:rsidRPr="00FE771B">
        <w:rPr>
          <w:rFonts w:ascii="Times New Roman" w:hAnsi="Times New Roman" w:cs="Times New Roman"/>
        </w:rPr>
        <w:t>亿元，</w:t>
      </w:r>
      <w:r w:rsidRPr="00FE771B">
        <w:rPr>
          <w:rFonts w:ascii="Times New Roman" w:hAnsi="Times New Roman" w:cs="Times New Roman"/>
        </w:rPr>
        <w:t>2017</w:t>
      </w:r>
      <w:r w:rsidRPr="00FE771B">
        <w:rPr>
          <w:rFonts w:ascii="Times New Roman" w:hAnsi="Times New Roman" w:cs="Times New Roman"/>
        </w:rPr>
        <w:t>年第四季度中国上市公司并购达到高潮，当季共发生并购事件数量为</w:t>
      </w:r>
      <w:r w:rsidRPr="00FE771B">
        <w:rPr>
          <w:rFonts w:ascii="Times New Roman" w:hAnsi="Times New Roman" w:cs="Times New Roman"/>
        </w:rPr>
        <w:t>4456</w:t>
      </w:r>
      <w:r w:rsidRPr="00FE771B">
        <w:rPr>
          <w:rFonts w:ascii="Times New Roman" w:hAnsi="Times New Roman" w:cs="Times New Roman"/>
        </w:rPr>
        <w:t>起，涉及并购金额为</w:t>
      </w:r>
      <w:r w:rsidRPr="00FE771B">
        <w:rPr>
          <w:rFonts w:ascii="Times New Roman" w:hAnsi="Times New Roman" w:cs="Times New Roman"/>
        </w:rPr>
        <w:t>24278</w:t>
      </w:r>
      <w:r w:rsidRPr="00FE771B">
        <w:rPr>
          <w:rFonts w:ascii="Times New Roman" w:hAnsi="Times New Roman" w:cs="Times New Roman"/>
        </w:rPr>
        <w:t>亿，随后并购数量和金额虽有下降，但仍然维持在较高水平。</w:t>
      </w:r>
      <w:r w:rsidR="00751801" w:rsidRPr="00FE771B">
        <w:rPr>
          <w:rFonts w:ascii="Times New Roman" w:hAnsi="Times New Roman" w:cs="Times New Roman"/>
        </w:rPr>
        <w:t>上市公司通过并购可以使企业扩大生产经营规模降低企业成本费用、提高</w:t>
      </w:r>
      <w:proofErr w:type="gramStart"/>
      <w:r w:rsidR="00751801" w:rsidRPr="00FE771B">
        <w:rPr>
          <w:rFonts w:ascii="Times New Roman" w:hAnsi="Times New Roman" w:cs="Times New Roman"/>
        </w:rPr>
        <w:t>市占率巩固</w:t>
      </w:r>
      <w:proofErr w:type="gramEnd"/>
      <w:r w:rsidR="00751801" w:rsidRPr="00FE771B">
        <w:rPr>
          <w:rFonts w:ascii="Times New Roman" w:hAnsi="Times New Roman" w:cs="Times New Roman"/>
        </w:rPr>
        <w:t>市场优势地位、垂直一体化生产流程降低企业交易费用、获得品牌和技术进入新的行业，从而实现上市公司主业跨越生命周期实现永续增长。</w:t>
      </w:r>
      <w:r w:rsidRPr="00FE771B">
        <w:rPr>
          <w:rFonts w:ascii="Times New Roman" w:hAnsi="Times New Roman" w:cs="Times New Roman"/>
        </w:rPr>
        <w:t>上市公司并购重组实践中最重要事项即为科学确定标的企业实际价值，从而确定合理的并购价格。为降低并购双方信息不对称和并购交易中标的公司估价</w:t>
      </w:r>
      <w:r w:rsidR="005A751C" w:rsidRPr="00FE771B">
        <w:rPr>
          <w:rFonts w:ascii="Times New Roman" w:hAnsi="Times New Roman" w:cs="Times New Roman"/>
        </w:rPr>
        <w:t>不合理</w:t>
      </w:r>
      <w:r w:rsidRPr="00FE771B">
        <w:rPr>
          <w:rFonts w:ascii="Times New Roman" w:hAnsi="Times New Roman" w:cs="Times New Roman"/>
        </w:rPr>
        <w:t>风险，中国证监会于</w:t>
      </w:r>
      <w:r w:rsidRPr="00FE771B">
        <w:rPr>
          <w:rFonts w:ascii="Times New Roman" w:hAnsi="Times New Roman" w:cs="Times New Roman"/>
        </w:rPr>
        <w:t>2008</w:t>
      </w:r>
      <w:r w:rsidRPr="00FE771B">
        <w:rPr>
          <w:rFonts w:ascii="Times New Roman" w:hAnsi="Times New Roman" w:cs="Times New Roman"/>
        </w:rPr>
        <w:t>年通过的《上市公司重大资产重组管理办法》及</w:t>
      </w:r>
      <w:r w:rsidRPr="00FE771B">
        <w:rPr>
          <w:rFonts w:ascii="Times New Roman" w:hAnsi="Times New Roman" w:cs="Times New Roman"/>
        </w:rPr>
        <w:t>2014</w:t>
      </w:r>
      <w:r w:rsidRPr="00FE771B">
        <w:rPr>
          <w:rFonts w:ascii="Times New Roman" w:hAnsi="Times New Roman" w:cs="Times New Roman"/>
        </w:rPr>
        <w:t>年通过的修订版《上市公司重大资产重组管理办法》中引入</w:t>
      </w:r>
      <w:r w:rsidR="002D29DC" w:rsidRPr="00FE771B">
        <w:rPr>
          <w:rFonts w:ascii="Times New Roman" w:hAnsi="Times New Roman" w:cs="Times New Roman"/>
        </w:rPr>
        <w:t>业绩承诺</w:t>
      </w:r>
      <w:r w:rsidRPr="00FE771B">
        <w:rPr>
          <w:rFonts w:ascii="Times New Roman" w:hAnsi="Times New Roman" w:cs="Times New Roman"/>
        </w:rPr>
        <w:t>工具来达到对并购估值的合理调整。</w:t>
      </w:r>
      <w:r w:rsidR="002D29DC" w:rsidRPr="00FE771B">
        <w:rPr>
          <w:rFonts w:ascii="Times New Roman" w:hAnsi="Times New Roman" w:cs="Times New Roman"/>
        </w:rPr>
        <w:t>业绩承诺</w:t>
      </w:r>
      <w:r w:rsidRPr="00FE771B">
        <w:rPr>
          <w:rFonts w:ascii="Times New Roman" w:hAnsi="Times New Roman" w:cs="Times New Roman"/>
        </w:rPr>
        <w:t>近年来在上市公司并购交易中广泛采用，且呈逐年增长的趋势，成为我国企业并购重组中的基本特征</w:t>
      </w:r>
      <w:r w:rsidR="000C16DD" w:rsidRPr="00FE771B">
        <w:rPr>
          <w:rFonts w:ascii="Times New Roman" w:hAnsi="Times New Roman" w:cs="Times New Roman"/>
        </w:rPr>
        <w:t>（翟进步等，</w:t>
      </w:r>
      <w:r w:rsidR="000C16DD" w:rsidRPr="00FE771B">
        <w:rPr>
          <w:rFonts w:ascii="Times New Roman" w:hAnsi="Times New Roman" w:cs="Times New Roman"/>
        </w:rPr>
        <w:t>2019</w:t>
      </w:r>
      <w:r w:rsidR="000C16DD" w:rsidRPr="00FE771B">
        <w:rPr>
          <w:rFonts w:ascii="Times New Roman" w:hAnsi="Times New Roman" w:cs="Times New Roman"/>
        </w:rPr>
        <w:t>）</w:t>
      </w:r>
      <w:r w:rsidRPr="00FE771B">
        <w:rPr>
          <w:rFonts w:ascii="Times New Roman" w:hAnsi="Times New Roman" w:cs="Times New Roman"/>
        </w:rPr>
        <w:t>。显然，由于</w:t>
      </w:r>
      <w:r w:rsidR="002D29DC" w:rsidRPr="00FE771B">
        <w:rPr>
          <w:rFonts w:ascii="Times New Roman" w:hAnsi="Times New Roman" w:cs="Times New Roman"/>
        </w:rPr>
        <w:t>业绩承诺</w:t>
      </w:r>
      <w:r w:rsidRPr="00FE771B">
        <w:rPr>
          <w:rFonts w:ascii="Times New Roman" w:hAnsi="Times New Roman" w:cs="Times New Roman"/>
        </w:rPr>
        <w:t>锁定未来一定时期内标的资产业绩表现，一定程度上</w:t>
      </w:r>
      <w:r w:rsidRPr="00FE771B">
        <w:rPr>
          <w:rFonts w:ascii="Times New Roman" w:hAnsi="Times New Roman" w:cs="Times New Roman"/>
        </w:rPr>
        <w:t>“</w:t>
      </w:r>
      <w:r w:rsidRPr="00FE771B">
        <w:rPr>
          <w:rFonts w:ascii="Times New Roman" w:hAnsi="Times New Roman" w:cs="Times New Roman"/>
        </w:rPr>
        <w:t>兜底</w:t>
      </w:r>
      <w:r w:rsidRPr="00FE771B">
        <w:rPr>
          <w:rFonts w:ascii="Times New Roman" w:hAnsi="Times New Roman" w:cs="Times New Roman"/>
        </w:rPr>
        <w:t>”</w:t>
      </w:r>
      <w:r w:rsidRPr="00FE771B">
        <w:rPr>
          <w:rFonts w:ascii="Times New Roman" w:hAnsi="Times New Roman" w:cs="Times New Roman"/>
        </w:rPr>
        <w:t>或保障了标的资产在未来承诺期内聚焦精力于主业经营，与上市公司之间协作性增强和专业化投资增加</w:t>
      </w:r>
      <w:r w:rsidR="000C16DD" w:rsidRPr="00FE771B">
        <w:rPr>
          <w:rFonts w:ascii="Times New Roman" w:hAnsi="Times New Roman" w:cs="Times New Roman"/>
        </w:rPr>
        <w:t>（</w:t>
      </w:r>
      <w:r w:rsidR="000C16DD" w:rsidRPr="00FE771B">
        <w:rPr>
          <w:rFonts w:ascii="Times New Roman" w:hAnsi="Times New Roman" w:cs="Times New Roman"/>
        </w:rPr>
        <w:t>Williamson</w:t>
      </w:r>
      <w:r w:rsidR="000C16DD" w:rsidRPr="00FE771B">
        <w:rPr>
          <w:rFonts w:ascii="Times New Roman" w:hAnsi="Times New Roman" w:cs="Times New Roman"/>
        </w:rPr>
        <w:t>，</w:t>
      </w:r>
      <w:r w:rsidR="000C16DD" w:rsidRPr="00FE771B">
        <w:rPr>
          <w:rFonts w:ascii="Times New Roman" w:hAnsi="Times New Roman" w:cs="Times New Roman"/>
        </w:rPr>
        <w:t>1971</w:t>
      </w:r>
      <w:r w:rsidR="000C16DD" w:rsidRPr="00FE771B">
        <w:rPr>
          <w:rFonts w:ascii="Times New Roman" w:hAnsi="Times New Roman" w:cs="Times New Roman"/>
        </w:rPr>
        <w:t>；</w:t>
      </w:r>
      <w:r w:rsidR="000C16DD" w:rsidRPr="00FE771B">
        <w:rPr>
          <w:rFonts w:ascii="Times New Roman" w:hAnsi="Times New Roman" w:cs="Times New Roman"/>
        </w:rPr>
        <w:t>Klein et al</w:t>
      </w:r>
      <w:r w:rsidR="000C16DD" w:rsidRPr="00FE771B">
        <w:rPr>
          <w:rFonts w:ascii="Times New Roman" w:hAnsi="Times New Roman" w:cs="Times New Roman"/>
        </w:rPr>
        <w:t>，</w:t>
      </w:r>
      <w:r w:rsidR="000C16DD" w:rsidRPr="00FE771B">
        <w:rPr>
          <w:rFonts w:ascii="Times New Roman" w:hAnsi="Times New Roman" w:cs="Times New Roman"/>
        </w:rPr>
        <w:t>1978</w:t>
      </w:r>
      <w:r w:rsidR="000C16DD" w:rsidRPr="00FE771B">
        <w:rPr>
          <w:rFonts w:ascii="Times New Roman" w:hAnsi="Times New Roman" w:cs="Times New Roman"/>
        </w:rPr>
        <w:t>）</w:t>
      </w:r>
      <w:r w:rsidRPr="00FE771B">
        <w:rPr>
          <w:rFonts w:ascii="Times New Roman" w:hAnsi="Times New Roman" w:cs="Times New Roman"/>
        </w:rPr>
        <w:t>，促使上市公司通过加大主业投资与标的公司形成优势互补和促进协同、协进效应发挥</w:t>
      </w:r>
      <w:r w:rsidR="000C16DD" w:rsidRPr="00FE771B">
        <w:rPr>
          <w:rFonts w:ascii="Times New Roman" w:hAnsi="Times New Roman" w:cs="Times New Roman"/>
        </w:rPr>
        <w:t>（</w:t>
      </w:r>
      <w:proofErr w:type="spellStart"/>
      <w:r w:rsidR="000C16DD" w:rsidRPr="00FE771B">
        <w:rPr>
          <w:rFonts w:ascii="Times New Roman" w:hAnsi="Times New Roman" w:cs="Times New Roman"/>
        </w:rPr>
        <w:t>Kohers&amp;Ang</w:t>
      </w:r>
      <w:proofErr w:type="spellEnd"/>
      <w:r w:rsidR="000C16DD" w:rsidRPr="00FE771B">
        <w:rPr>
          <w:rFonts w:ascii="Times New Roman" w:hAnsi="Times New Roman" w:cs="Times New Roman"/>
        </w:rPr>
        <w:t>，</w:t>
      </w:r>
      <w:r w:rsidR="000C16DD" w:rsidRPr="00FE771B">
        <w:rPr>
          <w:rFonts w:ascii="Times New Roman" w:hAnsi="Times New Roman" w:cs="Times New Roman"/>
        </w:rPr>
        <w:t>2000</w:t>
      </w:r>
      <w:r w:rsidR="000C16DD" w:rsidRPr="00FE771B">
        <w:rPr>
          <w:rFonts w:ascii="Times New Roman" w:hAnsi="Times New Roman" w:cs="Times New Roman"/>
        </w:rPr>
        <w:t>；</w:t>
      </w:r>
      <w:r w:rsidR="000C16DD" w:rsidRPr="00FE771B">
        <w:rPr>
          <w:rFonts w:ascii="Times New Roman" w:hAnsi="Times New Roman" w:cs="Times New Roman"/>
        </w:rPr>
        <w:t>Cain et al</w:t>
      </w:r>
      <w:r w:rsidR="000C16DD" w:rsidRPr="00FE771B">
        <w:rPr>
          <w:rFonts w:ascii="Times New Roman" w:hAnsi="Times New Roman" w:cs="Times New Roman"/>
        </w:rPr>
        <w:t>，</w:t>
      </w:r>
      <w:r w:rsidR="000C16DD" w:rsidRPr="00FE771B">
        <w:rPr>
          <w:rFonts w:ascii="Times New Roman" w:hAnsi="Times New Roman" w:cs="Times New Roman"/>
        </w:rPr>
        <w:t>2011</w:t>
      </w:r>
      <w:r w:rsidR="000C16DD" w:rsidRPr="00FE771B">
        <w:rPr>
          <w:rFonts w:ascii="Times New Roman" w:hAnsi="Times New Roman" w:cs="Times New Roman"/>
        </w:rPr>
        <w:t>；吕长江、韩慧博，</w:t>
      </w:r>
      <w:r w:rsidR="000C16DD" w:rsidRPr="00FE771B">
        <w:rPr>
          <w:rFonts w:ascii="Times New Roman" w:hAnsi="Times New Roman" w:cs="Times New Roman"/>
        </w:rPr>
        <w:t>2014</w:t>
      </w:r>
      <w:r w:rsidR="000C16DD" w:rsidRPr="00FE771B">
        <w:rPr>
          <w:rFonts w:ascii="Times New Roman" w:hAnsi="Times New Roman" w:cs="Times New Roman"/>
        </w:rPr>
        <w:t>；潘爱玲等，</w:t>
      </w:r>
      <w:r w:rsidR="000C16DD" w:rsidRPr="00FE771B">
        <w:rPr>
          <w:rFonts w:ascii="Times New Roman" w:hAnsi="Times New Roman" w:cs="Times New Roman"/>
        </w:rPr>
        <w:t>2017</w:t>
      </w:r>
      <w:r w:rsidR="000C16DD" w:rsidRPr="00FE771B">
        <w:rPr>
          <w:rFonts w:ascii="Times New Roman" w:hAnsi="Times New Roman" w:cs="Times New Roman"/>
        </w:rPr>
        <w:t>）</w:t>
      </w:r>
      <w:r w:rsidRPr="00FE771B">
        <w:rPr>
          <w:rFonts w:ascii="Times New Roman" w:hAnsi="Times New Roman" w:cs="Times New Roman"/>
        </w:rPr>
        <w:t>。</w:t>
      </w:r>
    </w:p>
    <w:p w:rsidR="002F0BB5" w:rsidRPr="00FE771B" w:rsidRDefault="002F0BB5" w:rsidP="002F0BB5">
      <w:pPr>
        <w:overflowPunct w:val="0"/>
        <w:ind w:firstLineChars="200" w:firstLine="420"/>
        <w:rPr>
          <w:rFonts w:ascii="Times New Roman" w:hAnsi="Times New Roman" w:cs="Times New Roman"/>
        </w:rPr>
      </w:pPr>
      <w:r w:rsidRPr="00FE771B">
        <w:rPr>
          <w:rFonts w:ascii="Times New Roman" w:hAnsi="Times New Roman" w:cs="Times New Roman"/>
        </w:rPr>
        <w:t>但从多年的实践经验看，</w:t>
      </w:r>
      <w:r w:rsidR="002D29DC" w:rsidRPr="00FE771B">
        <w:rPr>
          <w:rFonts w:ascii="Times New Roman" w:hAnsi="Times New Roman" w:cs="Times New Roman"/>
        </w:rPr>
        <w:t>业绩承诺</w:t>
      </w:r>
      <w:r w:rsidRPr="00FE771B">
        <w:rPr>
          <w:rFonts w:ascii="Times New Roman" w:hAnsi="Times New Roman" w:cs="Times New Roman"/>
        </w:rPr>
        <w:t>协议并没有促进并购双方协同效应发挥，反而使承诺期结束后上市公司业绩出现大幅</w:t>
      </w:r>
      <w:r w:rsidRPr="00FE771B">
        <w:rPr>
          <w:rFonts w:ascii="Times New Roman" w:hAnsi="Times New Roman" w:cs="Times New Roman"/>
        </w:rPr>
        <w:t>“</w:t>
      </w:r>
      <w:r w:rsidRPr="00FE771B">
        <w:rPr>
          <w:rFonts w:ascii="Times New Roman" w:hAnsi="Times New Roman" w:cs="Times New Roman"/>
        </w:rPr>
        <w:t>变脸</w:t>
      </w:r>
      <w:r w:rsidRPr="00FE771B">
        <w:rPr>
          <w:rFonts w:ascii="Times New Roman" w:hAnsi="Times New Roman" w:cs="Times New Roman"/>
        </w:rPr>
        <w:t>”</w:t>
      </w:r>
      <w:r w:rsidRPr="00FE771B">
        <w:rPr>
          <w:rFonts w:ascii="Times New Roman" w:hAnsi="Times New Roman" w:cs="Times New Roman"/>
        </w:rPr>
        <w:t>（</w:t>
      </w:r>
      <w:r w:rsidR="003E468B" w:rsidRPr="00FE771B">
        <w:rPr>
          <w:rFonts w:ascii="Times New Roman" w:hAnsi="Times New Roman" w:cs="Times New Roman"/>
        </w:rPr>
        <w:t>周科竞，</w:t>
      </w:r>
      <w:r w:rsidR="003E468B" w:rsidRPr="00FE771B">
        <w:rPr>
          <w:rFonts w:ascii="Times New Roman" w:hAnsi="Times New Roman" w:cs="Times New Roman"/>
        </w:rPr>
        <w:t>2019</w:t>
      </w:r>
      <w:r w:rsidRPr="00FE771B">
        <w:rPr>
          <w:rFonts w:ascii="Times New Roman" w:hAnsi="Times New Roman" w:cs="Times New Roman"/>
        </w:rPr>
        <w:t>）。</w:t>
      </w:r>
      <w:proofErr w:type="gramStart"/>
      <w:r w:rsidRPr="00FE771B">
        <w:rPr>
          <w:rFonts w:ascii="Times New Roman" w:hAnsi="Times New Roman" w:cs="Times New Roman"/>
        </w:rPr>
        <w:t>个</w:t>
      </w:r>
      <w:proofErr w:type="gramEnd"/>
      <w:r w:rsidRPr="00FE771B">
        <w:rPr>
          <w:rFonts w:ascii="Times New Roman" w:hAnsi="Times New Roman" w:cs="Times New Roman"/>
        </w:rPr>
        <w:t>中原因主要在于现有</w:t>
      </w:r>
      <w:r w:rsidR="002D29DC" w:rsidRPr="00FE771B">
        <w:rPr>
          <w:rFonts w:ascii="Times New Roman" w:hAnsi="Times New Roman" w:cs="Times New Roman"/>
        </w:rPr>
        <w:t>业绩承诺</w:t>
      </w:r>
      <w:r w:rsidRPr="00FE771B">
        <w:rPr>
          <w:rFonts w:ascii="Times New Roman" w:hAnsi="Times New Roman" w:cs="Times New Roman"/>
        </w:rPr>
        <w:t>协议过度关注承诺</w:t>
      </w:r>
      <w:proofErr w:type="gramStart"/>
      <w:r w:rsidRPr="00FE771B">
        <w:rPr>
          <w:rFonts w:ascii="Times New Roman" w:hAnsi="Times New Roman" w:cs="Times New Roman"/>
        </w:rPr>
        <w:t>期业绩</w:t>
      </w:r>
      <w:proofErr w:type="gramEnd"/>
      <w:r w:rsidRPr="00FE771B">
        <w:rPr>
          <w:rFonts w:ascii="Times New Roman" w:hAnsi="Times New Roman" w:cs="Times New Roman"/>
        </w:rPr>
        <w:t>表现。加之目前</w:t>
      </w:r>
      <w:r w:rsidR="002D29DC" w:rsidRPr="00FE771B">
        <w:rPr>
          <w:rFonts w:ascii="Times New Roman" w:hAnsi="Times New Roman" w:cs="Times New Roman"/>
        </w:rPr>
        <w:t>业绩承诺</w:t>
      </w:r>
      <w:r w:rsidRPr="00FE771B">
        <w:rPr>
          <w:rFonts w:ascii="Times New Roman" w:hAnsi="Times New Roman" w:cs="Times New Roman"/>
        </w:rPr>
        <w:t>协议大多伴有</w:t>
      </w:r>
      <w:r w:rsidR="00221CFD" w:rsidRPr="00FE771B">
        <w:rPr>
          <w:rFonts w:ascii="Times New Roman" w:hAnsi="Times New Roman" w:cs="Times New Roman"/>
        </w:rPr>
        <w:t>“</w:t>
      </w:r>
      <w:r w:rsidR="00221CFD" w:rsidRPr="00FE771B">
        <w:rPr>
          <w:rFonts w:ascii="Times New Roman" w:hAnsi="Times New Roman" w:cs="Times New Roman"/>
        </w:rPr>
        <w:t>高溢价</w:t>
      </w:r>
      <w:r w:rsidR="00221CFD" w:rsidRPr="00FE771B">
        <w:rPr>
          <w:rFonts w:ascii="Times New Roman" w:hAnsi="Times New Roman" w:cs="Times New Roman"/>
        </w:rPr>
        <w:t>”</w:t>
      </w:r>
      <w:r w:rsidRPr="00FE771B">
        <w:rPr>
          <w:rFonts w:ascii="Times New Roman" w:hAnsi="Times New Roman" w:cs="Times New Roman"/>
        </w:rPr>
        <w:t>和</w:t>
      </w:r>
      <w:r w:rsidR="00221CFD" w:rsidRPr="00FE771B">
        <w:rPr>
          <w:rFonts w:ascii="Times New Roman" w:hAnsi="Times New Roman" w:cs="Times New Roman"/>
        </w:rPr>
        <w:t>“</w:t>
      </w:r>
      <w:r w:rsidR="00221CFD" w:rsidRPr="00FE771B">
        <w:rPr>
          <w:rFonts w:ascii="Times New Roman" w:hAnsi="Times New Roman" w:cs="Times New Roman"/>
        </w:rPr>
        <w:t>高承诺</w:t>
      </w:r>
      <w:r w:rsidR="00221CFD" w:rsidRPr="00FE771B">
        <w:rPr>
          <w:rFonts w:ascii="Times New Roman" w:hAnsi="Times New Roman" w:cs="Times New Roman"/>
        </w:rPr>
        <w:t>”</w:t>
      </w:r>
      <w:r w:rsidRPr="00FE771B">
        <w:rPr>
          <w:rFonts w:ascii="Times New Roman" w:hAnsi="Times New Roman" w:cs="Times New Roman"/>
        </w:rPr>
        <w:t>特征</w:t>
      </w:r>
      <w:r w:rsidR="005A751C" w:rsidRPr="00FE771B">
        <w:rPr>
          <w:rFonts w:ascii="Times New Roman" w:hAnsi="Times New Roman" w:cs="Times New Roman"/>
        </w:rPr>
        <w:t>（</w:t>
      </w:r>
      <w:r w:rsidR="00850591" w:rsidRPr="00FE771B">
        <w:rPr>
          <w:rFonts w:ascii="Times New Roman" w:hAnsi="Times New Roman" w:cs="Times New Roman"/>
        </w:rPr>
        <w:t>王竞达</w:t>
      </w:r>
      <w:r w:rsidR="000C16DD" w:rsidRPr="00FE771B">
        <w:rPr>
          <w:rFonts w:ascii="Times New Roman" w:hAnsi="Times New Roman" w:cs="Times New Roman"/>
        </w:rPr>
        <w:t>、</w:t>
      </w:r>
      <w:r w:rsidR="00850591" w:rsidRPr="00FE771B">
        <w:rPr>
          <w:rFonts w:ascii="Times New Roman" w:hAnsi="Times New Roman" w:cs="Times New Roman"/>
        </w:rPr>
        <w:t>范庆泉，</w:t>
      </w:r>
      <w:r w:rsidR="00850591" w:rsidRPr="00FE771B">
        <w:rPr>
          <w:rFonts w:ascii="Times New Roman" w:hAnsi="Times New Roman" w:cs="Times New Roman"/>
        </w:rPr>
        <w:t>2017</w:t>
      </w:r>
      <w:r w:rsidR="00E96DF2" w:rsidRPr="00FE771B">
        <w:rPr>
          <w:rFonts w:ascii="Times New Roman" w:hAnsi="Times New Roman" w:cs="Times New Roman"/>
        </w:rPr>
        <w:t>；徐莉萍等，</w:t>
      </w:r>
      <w:r w:rsidR="00E96DF2" w:rsidRPr="00FE771B">
        <w:rPr>
          <w:rFonts w:ascii="Times New Roman" w:hAnsi="Times New Roman" w:cs="Times New Roman"/>
        </w:rPr>
        <w:t>2021</w:t>
      </w:r>
      <w:r w:rsidR="005A751C" w:rsidRPr="00FE771B">
        <w:rPr>
          <w:rFonts w:ascii="Times New Roman" w:hAnsi="Times New Roman" w:cs="Times New Roman"/>
        </w:rPr>
        <w:t>）</w:t>
      </w:r>
      <w:r w:rsidRPr="00FE771B">
        <w:rPr>
          <w:rFonts w:ascii="Times New Roman" w:hAnsi="Times New Roman" w:cs="Times New Roman"/>
        </w:rPr>
        <w:t>，这些高增长信号必然在资本市场上表现出来带来上市公司股价持续上涨</w:t>
      </w:r>
      <w:r w:rsidR="000C16DD" w:rsidRPr="00FE771B">
        <w:rPr>
          <w:rFonts w:ascii="Times New Roman" w:hAnsi="Times New Roman" w:cs="Times New Roman"/>
        </w:rPr>
        <w:t>（吕长江、韩慧博，</w:t>
      </w:r>
      <w:r w:rsidR="000C16DD" w:rsidRPr="00FE771B">
        <w:rPr>
          <w:rFonts w:ascii="Times New Roman" w:hAnsi="Times New Roman" w:cs="Times New Roman"/>
        </w:rPr>
        <w:t>2014</w:t>
      </w:r>
      <w:r w:rsidR="000C16DD" w:rsidRPr="00FE771B">
        <w:rPr>
          <w:rFonts w:ascii="Times New Roman" w:hAnsi="Times New Roman" w:cs="Times New Roman"/>
        </w:rPr>
        <w:t>；沈华玉、林永坚，</w:t>
      </w:r>
      <w:r w:rsidR="000C16DD" w:rsidRPr="00FE771B">
        <w:rPr>
          <w:rFonts w:ascii="Times New Roman" w:hAnsi="Times New Roman" w:cs="Times New Roman"/>
        </w:rPr>
        <w:t>2018</w:t>
      </w:r>
      <w:r w:rsidR="000C16DD" w:rsidRPr="00FE771B">
        <w:rPr>
          <w:rFonts w:ascii="Times New Roman" w:hAnsi="Times New Roman" w:cs="Times New Roman"/>
        </w:rPr>
        <w:t>；徐莉萍等，</w:t>
      </w:r>
      <w:r w:rsidR="000C16DD" w:rsidRPr="00FE771B">
        <w:rPr>
          <w:rFonts w:ascii="Times New Roman" w:hAnsi="Times New Roman" w:cs="Times New Roman"/>
        </w:rPr>
        <w:t>2021</w:t>
      </w:r>
      <w:r w:rsidR="000C16DD" w:rsidRPr="00FE771B">
        <w:rPr>
          <w:rFonts w:ascii="Times New Roman" w:hAnsi="Times New Roman" w:cs="Times New Roman"/>
        </w:rPr>
        <w:t>）</w:t>
      </w:r>
      <w:r w:rsidRPr="00FE771B">
        <w:rPr>
          <w:rFonts w:ascii="Times New Roman" w:hAnsi="Times New Roman" w:cs="Times New Roman"/>
        </w:rPr>
        <w:t>。</w:t>
      </w:r>
      <w:r w:rsidRPr="00FE771B">
        <w:rPr>
          <w:rFonts w:ascii="Times New Roman" w:hAnsi="Times New Roman" w:cs="Times New Roman"/>
          <w:color w:val="000000" w:themeColor="text1"/>
        </w:rPr>
        <w:t>由于委托代理关系的存在，</w:t>
      </w:r>
      <w:r w:rsidR="00423A19" w:rsidRPr="00FE771B">
        <w:rPr>
          <w:rFonts w:ascii="Times New Roman" w:hAnsi="Times New Roman" w:cs="Times New Roman"/>
          <w:color w:val="000000" w:themeColor="text1"/>
        </w:rPr>
        <w:t>加剧了上市公司</w:t>
      </w:r>
      <w:r w:rsidR="00B86E8E" w:rsidRPr="00FE771B">
        <w:rPr>
          <w:rFonts w:ascii="Times New Roman" w:hAnsi="Times New Roman" w:cs="Times New Roman"/>
          <w:color w:val="000000" w:themeColor="text1"/>
        </w:rPr>
        <w:t>短期机会主义</w:t>
      </w:r>
      <w:r w:rsidRPr="00FE771B">
        <w:rPr>
          <w:rFonts w:ascii="Times New Roman" w:hAnsi="Times New Roman" w:cs="Times New Roman"/>
          <w:color w:val="000000" w:themeColor="text1"/>
        </w:rPr>
        <w:t>行为</w:t>
      </w:r>
      <w:r w:rsidR="00423A19" w:rsidRPr="00FE771B">
        <w:rPr>
          <w:rFonts w:ascii="Times New Roman" w:hAnsi="Times New Roman" w:cs="Times New Roman"/>
          <w:color w:val="000000" w:themeColor="text1"/>
        </w:rPr>
        <w:t>。这里机会主义行为主要反映了委托代理存在前提下大股东不完全如实地披露所有的信息及从事有利于自身利益最大化的行为，因此在业绩承诺期内大股东有动力通过盈余管理等机会主义行为反映企业高成长性，从而托住或抬高股价走势</w:t>
      </w:r>
      <w:r w:rsidRPr="00FE771B">
        <w:rPr>
          <w:rFonts w:ascii="Times New Roman" w:hAnsi="Times New Roman" w:cs="Times New Roman"/>
          <w:color w:val="000000" w:themeColor="text1"/>
        </w:rPr>
        <w:t>，促进自身利益最大化。</w:t>
      </w:r>
      <w:r w:rsidRPr="00FE771B">
        <w:rPr>
          <w:rFonts w:ascii="Times New Roman" w:hAnsi="Times New Roman" w:cs="Times New Roman"/>
        </w:rPr>
        <w:t>但是，考虑到</w:t>
      </w:r>
      <w:r w:rsidR="00373EF0" w:rsidRPr="00FE771B">
        <w:rPr>
          <w:rFonts w:ascii="Times New Roman" w:hAnsi="Times New Roman" w:cs="Times New Roman"/>
        </w:rPr>
        <w:t>企业实体</w:t>
      </w:r>
      <w:r w:rsidR="00335C4E" w:rsidRPr="00FE771B">
        <w:rPr>
          <w:rFonts w:ascii="Times New Roman" w:hAnsi="Times New Roman" w:cs="Times New Roman"/>
        </w:rPr>
        <w:t>经济</w:t>
      </w:r>
      <w:r w:rsidRPr="00FE771B">
        <w:rPr>
          <w:rFonts w:ascii="Times New Roman" w:hAnsi="Times New Roman" w:cs="Times New Roman"/>
        </w:rPr>
        <w:t>发展具有稳定性和</w:t>
      </w:r>
      <w:proofErr w:type="gramStart"/>
      <w:r w:rsidRPr="00FE771B">
        <w:rPr>
          <w:rFonts w:ascii="Times New Roman" w:hAnsi="Times New Roman" w:cs="Times New Roman"/>
        </w:rPr>
        <w:t>可</w:t>
      </w:r>
      <w:proofErr w:type="gramEnd"/>
      <w:r w:rsidRPr="00FE771B">
        <w:rPr>
          <w:rFonts w:ascii="Times New Roman" w:hAnsi="Times New Roman" w:cs="Times New Roman"/>
        </w:rPr>
        <w:t>持续等特征，相应地在短期内技术进步和核心竞争力不可能发生较大变化的情况下</w:t>
      </w:r>
      <w:r w:rsidR="00335C4E" w:rsidRPr="00FE771B">
        <w:rPr>
          <w:rFonts w:ascii="Times New Roman" w:hAnsi="Times New Roman" w:cs="Times New Roman"/>
        </w:rPr>
        <w:t>实体</w:t>
      </w:r>
      <w:r w:rsidRPr="00FE771B">
        <w:rPr>
          <w:rFonts w:ascii="Times New Roman" w:hAnsi="Times New Roman" w:cs="Times New Roman"/>
        </w:rPr>
        <w:t>经营收益率也不可能产生突变，而</w:t>
      </w:r>
      <w:r w:rsidR="002D29DC" w:rsidRPr="00FE771B">
        <w:rPr>
          <w:rFonts w:ascii="Times New Roman" w:hAnsi="Times New Roman" w:cs="Times New Roman"/>
        </w:rPr>
        <w:t>业绩承诺</w:t>
      </w:r>
      <w:r w:rsidRPr="00FE771B">
        <w:rPr>
          <w:rFonts w:ascii="Times New Roman" w:hAnsi="Times New Roman" w:cs="Times New Roman"/>
        </w:rPr>
        <w:t>的</w:t>
      </w:r>
      <w:r w:rsidR="00221CFD" w:rsidRPr="00FE771B">
        <w:rPr>
          <w:rFonts w:ascii="Times New Roman" w:hAnsi="Times New Roman" w:cs="Times New Roman"/>
        </w:rPr>
        <w:t>“</w:t>
      </w:r>
      <w:r w:rsidR="00221CFD" w:rsidRPr="00FE771B">
        <w:rPr>
          <w:rFonts w:ascii="Times New Roman" w:hAnsi="Times New Roman" w:cs="Times New Roman"/>
        </w:rPr>
        <w:t>高溢价</w:t>
      </w:r>
      <w:r w:rsidR="00221CFD" w:rsidRPr="00FE771B">
        <w:rPr>
          <w:rFonts w:ascii="Times New Roman" w:hAnsi="Times New Roman" w:cs="Times New Roman"/>
        </w:rPr>
        <w:t>”</w:t>
      </w:r>
      <w:r w:rsidR="00221CFD" w:rsidRPr="00FE771B">
        <w:rPr>
          <w:rFonts w:ascii="Times New Roman" w:hAnsi="Times New Roman" w:cs="Times New Roman"/>
        </w:rPr>
        <w:t>和</w:t>
      </w:r>
      <w:r w:rsidR="00221CFD" w:rsidRPr="00FE771B">
        <w:rPr>
          <w:rFonts w:ascii="Times New Roman" w:hAnsi="Times New Roman" w:cs="Times New Roman"/>
        </w:rPr>
        <w:t>“</w:t>
      </w:r>
      <w:r w:rsidR="00221CFD" w:rsidRPr="00FE771B">
        <w:rPr>
          <w:rFonts w:ascii="Times New Roman" w:hAnsi="Times New Roman" w:cs="Times New Roman"/>
        </w:rPr>
        <w:t>高承诺</w:t>
      </w:r>
      <w:r w:rsidR="00221CFD" w:rsidRPr="00FE771B">
        <w:rPr>
          <w:rFonts w:ascii="Times New Roman" w:hAnsi="Times New Roman" w:cs="Times New Roman"/>
        </w:rPr>
        <w:t>”</w:t>
      </w:r>
      <w:r w:rsidRPr="00FE771B">
        <w:rPr>
          <w:rFonts w:ascii="Times New Roman" w:hAnsi="Times New Roman" w:cs="Times New Roman"/>
        </w:rPr>
        <w:t>特征在资本市场的积极信号可能诱使</w:t>
      </w:r>
      <w:r w:rsidR="004159FE" w:rsidRPr="00FE771B">
        <w:rPr>
          <w:rFonts w:ascii="Times New Roman" w:hAnsi="Times New Roman" w:cs="Times New Roman"/>
        </w:rPr>
        <w:t>上市公司</w:t>
      </w:r>
      <w:r w:rsidRPr="00FE771B">
        <w:rPr>
          <w:rFonts w:ascii="Times New Roman" w:hAnsi="Times New Roman" w:cs="Times New Roman"/>
        </w:rPr>
        <w:t>将持续、长期和收益较低的主业投资置换为不可持续、短期和收益较高的</w:t>
      </w:r>
      <w:r w:rsidR="00373EF0" w:rsidRPr="00FE771B">
        <w:rPr>
          <w:rFonts w:ascii="Times New Roman" w:hAnsi="Times New Roman" w:cs="Times New Roman"/>
        </w:rPr>
        <w:t>虚拟</w:t>
      </w:r>
      <w:r w:rsidRPr="00FE771B">
        <w:rPr>
          <w:rFonts w:ascii="Times New Roman" w:hAnsi="Times New Roman" w:cs="Times New Roman"/>
        </w:rPr>
        <w:t>投资，例如金融投资和房地产投资等手段来获得业绩短期高速增长，带来的直接结果就是管理层视野缩短，更加倾向于通过配置金融、房地产</w:t>
      </w:r>
      <w:r w:rsidR="00373EF0" w:rsidRPr="00FE771B">
        <w:rPr>
          <w:rFonts w:ascii="Times New Roman" w:hAnsi="Times New Roman" w:cs="Times New Roman"/>
        </w:rPr>
        <w:t>等虚拟业务</w:t>
      </w:r>
      <w:r w:rsidRPr="00FE771B">
        <w:rPr>
          <w:rFonts w:ascii="Times New Roman" w:hAnsi="Times New Roman" w:cs="Times New Roman"/>
        </w:rPr>
        <w:t>的超额收益来向资本市场释放积极信号，虽然托住了股价稳住了市场但却有可能导致</w:t>
      </w:r>
      <w:r w:rsidR="00373EF0" w:rsidRPr="00FE771B">
        <w:rPr>
          <w:rFonts w:ascii="Times New Roman" w:hAnsi="Times New Roman" w:cs="Times New Roman"/>
        </w:rPr>
        <w:t>企业实体不断羸弱</w:t>
      </w:r>
      <w:r w:rsidRPr="00FE771B">
        <w:rPr>
          <w:rFonts w:ascii="Times New Roman" w:hAnsi="Times New Roman" w:cs="Times New Roman"/>
        </w:rPr>
        <w:t>，从长期</w:t>
      </w:r>
      <w:proofErr w:type="gramStart"/>
      <w:r w:rsidRPr="00FE771B">
        <w:rPr>
          <w:rFonts w:ascii="Times New Roman" w:hAnsi="Times New Roman" w:cs="Times New Roman"/>
        </w:rPr>
        <w:t>看其实</w:t>
      </w:r>
      <w:proofErr w:type="gramEnd"/>
      <w:r w:rsidRPr="00FE771B">
        <w:rPr>
          <w:rFonts w:ascii="Times New Roman" w:hAnsi="Times New Roman" w:cs="Times New Roman"/>
        </w:rPr>
        <w:t>透支了企业的长期竞争力。所以，</w:t>
      </w:r>
      <w:r w:rsidR="002D29DC" w:rsidRPr="00FE771B">
        <w:rPr>
          <w:rFonts w:ascii="Times New Roman" w:hAnsi="Times New Roman" w:cs="Times New Roman"/>
        </w:rPr>
        <w:t>业绩承诺</w:t>
      </w:r>
      <w:r w:rsidRPr="00FE771B">
        <w:rPr>
          <w:rFonts w:ascii="Times New Roman" w:hAnsi="Times New Roman" w:cs="Times New Roman"/>
        </w:rPr>
        <w:t>的</w:t>
      </w:r>
      <w:r w:rsidR="00E350D2" w:rsidRPr="00FE771B">
        <w:rPr>
          <w:rFonts w:ascii="Times New Roman" w:hAnsi="Times New Roman" w:cs="Times New Roman"/>
        </w:rPr>
        <w:t>“</w:t>
      </w:r>
      <w:r w:rsidR="00E350D2" w:rsidRPr="00FE771B">
        <w:rPr>
          <w:rFonts w:ascii="Times New Roman" w:hAnsi="Times New Roman" w:cs="Times New Roman"/>
        </w:rPr>
        <w:t>高溢价</w:t>
      </w:r>
      <w:r w:rsidR="00E350D2" w:rsidRPr="00FE771B">
        <w:rPr>
          <w:rFonts w:ascii="Times New Roman" w:hAnsi="Times New Roman" w:cs="Times New Roman"/>
        </w:rPr>
        <w:t>”</w:t>
      </w:r>
      <w:r w:rsidR="00E350D2" w:rsidRPr="00FE771B">
        <w:rPr>
          <w:rFonts w:ascii="Times New Roman" w:hAnsi="Times New Roman" w:cs="Times New Roman"/>
        </w:rPr>
        <w:t>和</w:t>
      </w:r>
      <w:r w:rsidR="00E350D2" w:rsidRPr="00FE771B">
        <w:rPr>
          <w:rFonts w:ascii="Times New Roman" w:hAnsi="Times New Roman" w:cs="Times New Roman"/>
        </w:rPr>
        <w:t>“</w:t>
      </w:r>
      <w:r w:rsidR="00E350D2" w:rsidRPr="00FE771B">
        <w:rPr>
          <w:rFonts w:ascii="Times New Roman" w:hAnsi="Times New Roman" w:cs="Times New Roman"/>
        </w:rPr>
        <w:t>高承诺</w:t>
      </w:r>
      <w:r w:rsidR="00E350D2" w:rsidRPr="00FE771B">
        <w:rPr>
          <w:rFonts w:ascii="Times New Roman" w:hAnsi="Times New Roman" w:cs="Times New Roman"/>
        </w:rPr>
        <w:t>”</w:t>
      </w:r>
      <w:r w:rsidRPr="00FE771B">
        <w:rPr>
          <w:rFonts w:ascii="Times New Roman" w:hAnsi="Times New Roman" w:cs="Times New Roman"/>
        </w:rPr>
        <w:t>特征对资本市场的积极信号作用，在委托代理存在的情况下，可能加剧上市公司的</w:t>
      </w:r>
      <w:r w:rsidR="0042259D" w:rsidRPr="00FE771B">
        <w:rPr>
          <w:rFonts w:ascii="Times New Roman" w:hAnsi="Times New Roman" w:cs="Times New Roman"/>
        </w:rPr>
        <w:t>投机</w:t>
      </w:r>
      <w:r w:rsidR="002D29DC" w:rsidRPr="00FE771B">
        <w:rPr>
          <w:rFonts w:ascii="Times New Roman" w:hAnsi="Times New Roman" w:cs="Times New Roman"/>
        </w:rPr>
        <w:t>主义</w:t>
      </w:r>
      <w:r w:rsidRPr="00FE771B">
        <w:rPr>
          <w:rFonts w:ascii="Times New Roman" w:hAnsi="Times New Roman" w:cs="Times New Roman"/>
        </w:rPr>
        <w:t>行为（刘向强等，</w:t>
      </w:r>
      <w:r w:rsidRPr="00FE771B">
        <w:rPr>
          <w:rFonts w:ascii="Times New Roman" w:hAnsi="Times New Roman" w:cs="Times New Roman"/>
        </w:rPr>
        <w:t>2018</w:t>
      </w:r>
      <w:r w:rsidRPr="00FE771B">
        <w:rPr>
          <w:rFonts w:ascii="Times New Roman" w:hAnsi="Times New Roman" w:cs="Times New Roman"/>
        </w:rPr>
        <w:t>；李晶晶等，</w:t>
      </w:r>
      <w:r w:rsidRPr="00FE771B">
        <w:rPr>
          <w:rFonts w:ascii="Times New Roman" w:hAnsi="Times New Roman" w:cs="Times New Roman"/>
        </w:rPr>
        <w:t>2020</w:t>
      </w:r>
      <w:r w:rsidRPr="00FE771B">
        <w:rPr>
          <w:rFonts w:ascii="Times New Roman" w:hAnsi="Times New Roman" w:cs="Times New Roman"/>
        </w:rPr>
        <w:t>），最直接的表现就是在经营中</w:t>
      </w:r>
      <w:r w:rsidR="00FF7DEF" w:rsidRPr="00FE771B">
        <w:rPr>
          <w:rFonts w:ascii="Times New Roman" w:hAnsi="Times New Roman" w:cs="Times New Roman"/>
        </w:rPr>
        <w:t>投资偏好由实业投资转向金融投资，以金融</w:t>
      </w:r>
      <w:r w:rsidR="00F81BCD" w:rsidRPr="00FE771B">
        <w:rPr>
          <w:rFonts w:ascii="Times New Roman" w:hAnsi="Times New Roman" w:cs="Times New Roman"/>
        </w:rPr>
        <w:t>投资</w:t>
      </w:r>
      <w:r w:rsidR="00FF7DEF" w:rsidRPr="00FE771B">
        <w:rPr>
          <w:rFonts w:ascii="Times New Roman" w:hAnsi="Times New Roman" w:cs="Times New Roman"/>
        </w:rPr>
        <w:t>的高收益、</w:t>
      </w:r>
      <w:proofErr w:type="gramStart"/>
      <w:r w:rsidR="00FF7DEF" w:rsidRPr="00FE771B">
        <w:rPr>
          <w:rFonts w:ascii="Times New Roman" w:hAnsi="Times New Roman" w:cs="Times New Roman"/>
        </w:rPr>
        <w:t>快收益</w:t>
      </w:r>
      <w:proofErr w:type="gramEnd"/>
      <w:r w:rsidR="00FF7DEF" w:rsidRPr="00FE771B">
        <w:rPr>
          <w:rFonts w:ascii="Times New Roman" w:hAnsi="Times New Roman" w:cs="Times New Roman"/>
        </w:rPr>
        <w:t>来满足短期内业绩承诺的</w:t>
      </w:r>
      <w:r w:rsidR="00FF7DEF" w:rsidRPr="00FE771B">
        <w:rPr>
          <w:rFonts w:ascii="Times New Roman" w:hAnsi="Times New Roman" w:cs="Times New Roman"/>
        </w:rPr>
        <w:t>“</w:t>
      </w:r>
      <w:r w:rsidR="00FF7DEF" w:rsidRPr="00FE771B">
        <w:rPr>
          <w:rFonts w:ascii="Times New Roman" w:hAnsi="Times New Roman" w:cs="Times New Roman"/>
        </w:rPr>
        <w:t>高溢价</w:t>
      </w:r>
      <w:r w:rsidR="00FF7DEF" w:rsidRPr="00FE771B">
        <w:rPr>
          <w:rFonts w:ascii="Times New Roman" w:hAnsi="Times New Roman" w:cs="Times New Roman"/>
        </w:rPr>
        <w:t>”</w:t>
      </w:r>
      <w:r w:rsidR="00FF7DEF" w:rsidRPr="00FE771B">
        <w:rPr>
          <w:rFonts w:ascii="Times New Roman" w:hAnsi="Times New Roman" w:cs="Times New Roman"/>
        </w:rPr>
        <w:t>和</w:t>
      </w:r>
      <w:r w:rsidR="00FF7DEF" w:rsidRPr="00FE771B">
        <w:rPr>
          <w:rFonts w:ascii="Times New Roman" w:hAnsi="Times New Roman" w:cs="Times New Roman"/>
        </w:rPr>
        <w:t>“</w:t>
      </w:r>
      <w:r w:rsidR="00FF7DEF" w:rsidRPr="00FE771B">
        <w:rPr>
          <w:rFonts w:ascii="Times New Roman" w:hAnsi="Times New Roman" w:cs="Times New Roman"/>
        </w:rPr>
        <w:t>高承诺</w:t>
      </w:r>
      <w:r w:rsidR="00FF7DEF" w:rsidRPr="00FE771B">
        <w:rPr>
          <w:rFonts w:ascii="Times New Roman" w:hAnsi="Times New Roman" w:cs="Times New Roman"/>
        </w:rPr>
        <w:t>”</w:t>
      </w:r>
      <w:r w:rsidR="00FF7DEF" w:rsidRPr="00FE771B">
        <w:rPr>
          <w:rFonts w:ascii="Times New Roman" w:hAnsi="Times New Roman" w:cs="Times New Roman"/>
        </w:rPr>
        <w:t>要求，从而加剧实体上市公司</w:t>
      </w:r>
      <w:r w:rsidR="00FF7DEF" w:rsidRPr="00FE771B">
        <w:rPr>
          <w:rFonts w:ascii="Times New Roman" w:hAnsi="Times New Roman" w:cs="Times New Roman"/>
        </w:rPr>
        <w:t>“</w:t>
      </w:r>
      <w:r w:rsidR="00FF7DEF" w:rsidRPr="00FE771B">
        <w:rPr>
          <w:rFonts w:ascii="Times New Roman" w:hAnsi="Times New Roman" w:cs="Times New Roman"/>
        </w:rPr>
        <w:t>脱实向虚</w:t>
      </w:r>
      <w:r w:rsidR="00FF7DEF" w:rsidRPr="00FE771B">
        <w:rPr>
          <w:rFonts w:ascii="Times New Roman" w:hAnsi="Times New Roman" w:cs="Times New Roman"/>
        </w:rPr>
        <w:t>”</w:t>
      </w:r>
      <w:r w:rsidRPr="00FE771B">
        <w:rPr>
          <w:rFonts w:ascii="Times New Roman" w:hAnsi="Times New Roman" w:cs="Times New Roman"/>
        </w:rPr>
        <w:t>。</w:t>
      </w:r>
    </w:p>
    <w:p w:rsidR="002F0BB5" w:rsidRPr="00FE771B" w:rsidRDefault="002F0BB5" w:rsidP="002F0BB5">
      <w:pPr>
        <w:overflowPunct w:val="0"/>
        <w:ind w:firstLineChars="200" w:firstLine="420"/>
        <w:rPr>
          <w:rFonts w:ascii="Times New Roman" w:hAnsi="Times New Roman" w:cs="Times New Roman"/>
        </w:rPr>
      </w:pPr>
      <w:r w:rsidRPr="00FE771B">
        <w:rPr>
          <w:rFonts w:ascii="Times New Roman" w:hAnsi="Times New Roman" w:cs="Times New Roman"/>
        </w:rPr>
        <w:t>基于此，本文以我国资本市场</w:t>
      </w:r>
      <w:r w:rsidRPr="00FE771B">
        <w:rPr>
          <w:rFonts w:ascii="Times New Roman" w:hAnsi="Times New Roman" w:cs="Times New Roman"/>
        </w:rPr>
        <w:t>201</w:t>
      </w:r>
      <w:r w:rsidR="00B86E8E" w:rsidRPr="00FE771B">
        <w:rPr>
          <w:rFonts w:ascii="Times New Roman" w:hAnsi="Times New Roman" w:cs="Times New Roman"/>
        </w:rPr>
        <w:t>0</w:t>
      </w:r>
      <w:r w:rsidRPr="00FE771B">
        <w:rPr>
          <w:rFonts w:ascii="Times New Roman" w:hAnsi="Times New Roman" w:cs="Times New Roman"/>
        </w:rPr>
        <w:t>-2019</w:t>
      </w:r>
      <w:r w:rsidRPr="00FE771B">
        <w:rPr>
          <w:rFonts w:ascii="Times New Roman" w:hAnsi="Times New Roman" w:cs="Times New Roman"/>
        </w:rPr>
        <w:t>年间并购和重大资产重组交易为样本，研究了</w:t>
      </w:r>
      <w:r w:rsidR="002D29DC" w:rsidRPr="00FE771B">
        <w:rPr>
          <w:rFonts w:ascii="Times New Roman" w:hAnsi="Times New Roman" w:cs="Times New Roman"/>
        </w:rPr>
        <w:t>业绩承诺</w:t>
      </w:r>
      <w:r w:rsidRPr="00FE771B">
        <w:rPr>
          <w:rFonts w:ascii="Times New Roman" w:hAnsi="Times New Roman" w:cs="Times New Roman"/>
        </w:rPr>
        <w:t>对上市公司</w:t>
      </w:r>
      <w:r w:rsidR="00FF7DEF" w:rsidRPr="00FE771B">
        <w:rPr>
          <w:rFonts w:ascii="Times New Roman" w:hAnsi="Times New Roman" w:cs="Times New Roman"/>
        </w:rPr>
        <w:t>“</w:t>
      </w:r>
      <w:r w:rsidR="00FF7DEF" w:rsidRPr="00FE771B">
        <w:rPr>
          <w:rFonts w:ascii="Times New Roman" w:hAnsi="Times New Roman" w:cs="Times New Roman"/>
        </w:rPr>
        <w:t>脱实向虚</w:t>
      </w:r>
      <w:r w:rsidR="00FF7DEF" w:rsidRPr="00FE771B">
        <w:rPr>
          <w:rFonts w:ascii="Times New Roman" w:hAnsi="Times New Roman" w:cs="Times New Roman"/>
        </w:rPr>
        <w:t>”</w:t>
      </w:r>
      <w:r w:rsidRPr="00FE771B">
        <w:rPr>
          <w:rFonts w:ascii="Times New Roman" w:hAnsi="Times New Roman" w:cs="Times New Roman"/>
        </w:rPr>
        <w:t>的影响，</w:t>
      </w:r>
      <w:r w:rsidR="00E96DF2" w:rsidRPr="00FE771B">
        <w:rPr>
          <w:rFonts w:ascii="Times New Roman" w:hAnsi="Times New Roman" w:cs="Times New Roman"/>
        </w:rPr>
        <w:t>并从</w:t>
      </w:r>
      <w:r w:rsidRPr="00FE771B">
        <w:rPr>
          <w:rFonts w:ascii="Times New Roman" w:hAnsi="Times New Roman" w:cs="Times New Roman"/>
        </w:rPr>
        <w:t>机制</w:t>
      </w:r>
      <w:r w:rsidR="00E96DF2" w:rsidRPr="00FE771B">
        <w:rPr>
          <w:rFonts w:ascii="Times New Roman" w:hAnsi="Times New Roman" w:cs="Times New Roman"/>
        </w:rPr>
        <w:t>上揭示</w:t>
      </w:r>
      <w:r w:rsidRPr="00FE771B">
        <w:rPr>
          <w:rFonts w:ascii="Times New Roman" w:hAnsi="Times New Roman" w:cs="Times New Roman"/>
        </w:rPr>
        <w:t>诱发</w:t>
      </w:r>
      <w:r w:rsidR="00E96DF2" w:rsidRPr="00FE771B">
        <w:rPr>
          <w:rFonts w:ascii="Times New Roman" w:hAnsi="Times New Roman" w:cs="Times New Roman"/>
        </w:rPr>
        <w:t>并购后</w:t>
      </w:r>
      <w:r w:rsidRPr="00FE771B">
        <w:rPr>
          <w:rFonts w:ascii="Times New Roman" w:hAnsi="Times New Roman" w:cs="Times New Roman"/>
        </w:rPr>
        <w:t>上市公司</w:t>
      </w:r>
      <w:r w:rsidR="00E96DF2" w:rsidRPr="00FE771B">
        <w:rPr>
          <w:rFonts w:ascii="Times New Roman" w:hAnsi="Times New Roman" w:cs="Times New Roman"/>
        </w:rPr>
        <w:t>“</w:t>
      </w:r>
      <w:r w:rsidR="00E96DF2" w:rsidRPr="00FE771B">
        <w:rPr>
          <w:rFonts w:ascii="Times New Roman" w:hAnsi="Times New Roman" w:cs="Times New Roman"/>
        </w:rPr>
        <w:t>脱实向虚</w:t>
      </w:r>
      <w:r w:rsidR="00E96DF2" w:rsidRPr="00FE771B">
        <w:rPr>
          <w:rFonts w:ascii="Times New Roman" w:hAnsi="Times New Roman" w:cs="Times New Roman"/>
        </w:rPr>
        <w:t>”</w:t>
      </w:r>
      <w:r w:rsidR="00E96DF2" w:rsidRPr="00FE771B">
        <w:rPr>
          <w:rFonts w:ascii="Times New Roman" w:hAnsi="Times New Roman" w:cs="Times New Roman"/>
        </w:rPr>
        <w:lastRenderedPageBreak/>
        <w:t>的根本原因</w:t>
      </w:r>
      <w:r w:rsidRPr="00FE771B">
        <w:rPr>
          <w:rFonts w:ascii="Times New Roman" w:hAnsi="Times New Roman" w:cs="Times New Roman"/>
        </w:rPr>
        <w:t>。</w:t>
      </w:r>
      <w:r w:rsidR="00F27682" w:rsidRPr="00FE771B">
        <w:rPr>
          <w:rFonts w:ascii="Times New Roman" w:hAnsi="Times New Roman" w:cs="Times New Roman"/>
        </w:rPr>
        <w:t>本文</w:t>
      </w:r>
      <w:r w:rsidRPr="00FE771B">
        <w:rPr>
          <w:rFonts w:ascii="Times New Roman" w:hAnsi="Times New Roman" w:cs="Times New Roman"/>
        </w:rPr>
        <w:t>的主要贡献在于</w:t>
      </w:r>
      <w:r w:rsidRPr="00FE771B">
        <w:rPr>
          <w:rFonts w:ascii="Times New Roman" w:hAnsi="Times New Roman" w:cs="Times New Roman"/>
        </w:rPr>
        <w:t xml:space="preserve">: </w:t>
      </w:r>
      <w:r w:rsidRPr="00FE771B">
        <w:rPr>
          <w:rFonts w:ascii="Times New Roman" w:hAnsi="Times New Roman" w:cs="Times New Roman"/>
        </w:rPr>
        <w:t>一是首次考察</w:t>
      </w:r>
      <w:r w:rsidR="002D29DC" w:rsidRPr="00FE771B">
        <w:rPr>
          <w:rFonts w:ascii="Times New Roman" w:hAnsi="Times New Roman" w:cs="Times New Roman"/>
        </w:rPr>
        <w:t>业绩承诺</w:t>
      </w:r>
      <w:r w:rsidR="00B90F0C" w:rsidRPr="00FE771B">
        <w:rPr>
          <w:rFonts w:ascii="Times New Roman" w:hAnsi="Times New Roman" w:cs="Times New Roman"/>
        </w:rPr>
        <w:t>对上市公司金融化的影响</w:t>
      </w:r>
      <w:r w:rsidR="00730B15" w:rsidRPr="00FE771B">
        <w:rPr>
          <w:rFonts w:ascii="Times New Roman" w:hAnsi="Times New Roman" w:cs="Times New Roman"/>
        </w:rPr>
        <w:t>，从微观角度</w:t>
      </w:r>
      <w:r w:rsidR="00707A81" w:rsidRPr="00FE771B">
        <w:rPr>
          <w:rFonts w:ascii="Times New Roman" w:hAnsi="Times New Roman" w:cs="Times New Roman"/>
        </w:rPr>
        <w:t>解释中国实体经济下降和虚拟经济过热的原因</w:t>
      </w:r>
      <w:r w:rsidR="00D551ED" w:rsidRPr="00FE771B">
        <w:rPr>
          <w:rFonts w:ascii="Times New Roman" w:hAnsi="Times New Roman" w:cs="Times New Roman"/>
        </w:rPr>
        <w:t>，为更深认识中国上市公司</w:t>
      </w:r>
      <w:r w:rsidR="00D551ED" w:rsidRPr="00FE771B">
        <w:rPr>
          <w:rFonts w:ascii="Times New Roman" w:hAnsi="Times New Roman" w:cs="Times New Roman"/>
        </w:rPr>
        <w:t>“</w:t>
      </w:r>
      <w:r w:rsidR="00D551ED" w:rsidRPr="00FE771B">
        <w:rPr>
          <w:rFonts w:ascii="Times New Roman" w:hAnsi="Times New Roman" w:cs="Times New Roman"/>
        </w:rPr>
        <w:t>脱实向虚</w:t>
      </w:r>
      <w:r w:rsidR="00D551ED" w:rsidRPr="00FE771B">
        <w:rPr>
          <w:rFonts w:ascii="Times New Roman" w:hAnsi="Times New Roman" w:cs="Times New Roman"/>
        </w:rPr>
        <w:t>”</w:t>
      </w:r>
      <w:r w:rsidR="00D551ED" w:rsidRPr="00FE771B">
        <w:rPr>
          <w:rFonts w:ascii="Times New Roman" w:hAnsi="Times New Roman" w:cs="Times New Roman"/>
        </w:rPr>
        <w:t>行为提供了参考</w:t>
      </w:r>
      <w:r w:rsidR="00E25BD9" w:rsidRPr="00FE771B">
        <w:rPr>
          <w:rFonts w:ascii="Times New Roman" w:hAnsi="Times New Roman" w:cs="Times New Roman"/>
        </w:rPr>
        <w:t>；第二，本文结合中国目前业绩承诺通常所具有的</w:t>
      </w:r>
      <w:r w:rsidR="002A087D" w:rsidRPr="00FE771B">
        <w:rPr>
          <w:rFonts w:ascii="Times New Roman" w:hAnsi="Times New Roman" w:cs="Times New Roman"/>
        </w:rPr>
        <w:t>“</w:t>
      </w:r>
      <w:r w:rsidR="002A087D" w:rsidRPr="00FE771B">
        <w:rPr>
          <w:rFonts w:ascii="Times New Roman" w:hAnsi="Times New Roman" w:cs="Times New Roman"/>
        </w:rPr>
        <w:t>高溢价</w:t>
      </w:r>
      <w:r w:rsidR="002A087D" w:rsidRPr="00FE771B">
        <w:rPr>
          <w:rFonts w:ascii="Times New Roman" w:hAnsi="Times New Roman" w:cs="Times New Roman"/>
        </w:rPr>
        <w:t>”</w:t>
      </w:r>
      <w:r w:rsidR="00E25BD9" w:rsidRPr="00FE771B">
        <w:rPr>
          <w:rFonts w:ascii="Times New Roman" w:hAnsi="Times New Roman" w:cs="Times New Roman"/>
        </w:rPr>
        <w:t>、</w:t>
      </w:r>
      <w:r w:rsidR="002A087D" w:rsidRPr="00FE771B">
        <w:rPr>
          <w:rFonts w:ascii="Times New Roman" w:hAnsi="Times New Roman" w:cs="Times New Roman"/>
        </w:rPr>
        <w:t>“</w:t>
      </w:r>
      <w:r w:rsidR="002A087D" w:rsidRPr="00FE771B">
        <w:rPr>
          <w:rFonts w:ascii="Times New Roman" w:hAnsi="Times New Roman" w:cs="Times New Roman"/>
        </w:rPr>
        <w:t>高承诺</w:t>
      </w:r>
      <w:r w:rsidR="002A087D" w:rsidRPr="00FE771B">
        <w:rPr>
          <w:rFonts w:ascii="Times New Roman" w:hAnsi="Times New Roman" w:cs="Times New Roman"/>
        </w:rPr>
        <w:t>”</w:t>
      </w:r>
      <w:r w:rsidR="00E25BD9" w:rsidRPr="00FE771B">
        <w:rPr>
          <w:rFonts w:ascii="Times New Roman" w:hAnsi="Times New Roman" w:cs="Times New Roman"/>
        </w:rPr>
        <w:t>特征</w:t>
      </w:r>
      <w:r w:rsidR="00D551ED" w:rsidRPr="00FE771B">
        <w:rPr>
          <w:rFonts w:ascii="Times New Roman" w:hAnsi="Times New Roman" w:cs="Times New Roman"/>
        </w:rPr>
        <w:t>，</w:t>
      </w:r>
      <w:r w:rsidR="00D551ED" w:rsidRPr="00FE771B">
        <w:rPr>
          <w:rFonts w:ascii="Times New Roman" w:hAnsi="Times New Roman" w:cs="Times New Roman"/>
        </w:rPr>
        <w:t>“</w:t>
      </w:r>
      <w:r w:rsidR="00D551ED" w:rsidRPr="00FE771B">
        <w:rPr>
          <w:rFonts w:ascii="Times New Roman" w:hAnsi="Times New Roman" w:cs="Times New Roman"/>
        </w:rPr>
        <w:t>双高</w:t>
      </w:r>
      <w:r w:rsidR="00D551ED" w:rsidRPr="00FE771B">
        <w:rPr>
          <w:rFonts w:ascii="Times New Roman" w:hAnsi="Times New Roman" w:cs="Times New Roman"/>
        </w:rPr>
        <w:t>”</w:t>
      </w:r>
      <w:r w:rsidR="00D551ED" w:rsidRPr="00FE771B">
        <w:rPr>
          <w:rFonts w:ascii="Times New Roman" w:hAnsi="Times New Roman" w:cs="Times New Roman"/>
        </w:rPr>
        <w:t>积极信号可能诱发上市公司投资策略</w:t>
      </w:r>
      <w:r w:rsidR="00423A19" w:rsidRPr="00FE771B">
        <w:rPr>
          <w:rFonts w:ascii="Times New Roman" w:hAnsi="Times New Roman" w:cs="Times New Roman"/>
        </w:rPr>
        <w:t>“</w:t>
      </w:r>
      <w:r w:rsidR="00C8718F" w:rsidRPr="00FE771B">
        <w:rPr>
          <w:rFonts w:ascii="Times New Roman" w:hAnsi="Times New Roman" w:cs="Times New Roman"/>
        </w:rPr>
        <w:t>脱</w:t>
      </w:r>
      <w:r w:rsidR="00423A19" w:rsidRPr="00FE771B">
        <w:rPr>
          <w:rFonts w:ascii="Times New Roman" w:hAnsi="Times New Roman" w:cs="Times New Roman"/>
        </w:rPr>
        <w:t>实向虚</w:t>
      </w:r>
      <w:r w:rsidR="00423A19" w:rsidRPr="00FE771B">
        <w:rPr>
          <w:rFonts w:ascii="Times New Roman" w:hAnsi="Times New Roman" w:cs="Times New Roman"/>
        </w:rPr>
        <w:t>”</w:t>
      </w:r>
      <w:r w:rsidR="00D551ED" w:rsidRPr="00FE771B">
        <w:rPr>
          <w:rFonts w:ascii="Times New Roman" w:hAnsi="Times New Roman" w:cs="Times New Roman"/>
        </w:rPr>
        <w:t>，加大上市公司短期性和非常态性操作概率，造成上市公司经营金融化现象日趋严重，</w:t>
      </w:r>
      <w:r w:rsidR="00707A81" w:rsidRPr="00FE771B">
        <w:rPr>
          <w:rFonts w:ascii="Times New Roman" w:hAnsi="Times New Roman" w:cs="Times New Roman"/>
        </w:rPr>
        <w:t>这对于更好地从微观企业主体了解其经营和投资的异质性行为有更深刻的意义</w:t>
      </w:r>
      <w:r w:rsidRPr="00FE771B">
        <w:rPr>
          <w:rFonts w:ascii="Times New Roman" w:hAnsi="Times New Roman" w:cs="Times New Roman"/>
        </w:rPr>
        <w:t>；</w:t>
      </w:r>
      <w:r w:rsidR="00D551ED" w:rsidRPr="00FE771B">
        <w:rPr>
          <w:rFonts w:ascii="Times New Roman" w:hAnsi="Times New Roman" w:cs="Times New Roman"/>
        </w:rPr>
        <w:t>第三，本文</w:t>
      </w:r>
      <w:r w:rsidR="00707A81" w:rsidRPr="00FE771B">
        <w:rPr>
          <w:rFonts w:ascii="Times New Roman" w:hAnsi="Times New Roman" w:cs="Times New Roman"/>
        </w:rPr>
        <w:t>丰富</w:t>
      </w:r>
      <w:r w:rsidR="00D551ED" w:rsidRPr="00FE771B">
        <w:rPr>
          <w:rFonts w:ascii="Times New Roman" w:hAnsi="Times New Roman" w:cs="Times New Roman"/>
        </w:rPr>
        <w:t>了</w:t>
      </w:r>
      <w:r w:rsidR="002D29DC" w:rsidRPr="00FE771B">
        <w:rPr>
          <w:rFonts w:ascii="Times New Roman" w:hAnsi="Times New Roman" w:cs="Times New Roman"/>
        </w:rPr>
        <w:t>业绩承诺</w:t>
      </w:r>
      <w:r w:rsidRPr="00FE771B">
        <w:rPr>
          <w:rFonts w:ascii="Times New Roman" w:hAnsi="Times New Roman" w:cs="Times New Roman"/>
        </w:rPr>
        <w:t>制度影响上市公司</w:t>
      </w:r>
      <w:r w:rsidR="00770B5D" w:rsidRPr="00FE771B">
        <w:rPr>
          <w:rFonts w:ascii="Times New Roman" w:hAnsi="Times New Roman" w:cs="Times New Roman"/>
        </w:rPr>
        <w:t>经营行为</w:t>
      </w:r>
      <w:r w:rsidRPr="00FE771B">
        <w:rPr>
          <w:rFonts w:ascii="Times New Roman" w:hAnsi="Times New Roman" w:cs="Times New Roman"/>
        </w:rPr>
        <w:t>渠道的认识，中国</w:t>
      </w:r>
      <w:r w:rsidRPr="00FE771B">
        <w:rPr>
          <w:rFonts w:ascii="Times New Roman" w:hAnsi="Times New Roman" w:cs="Times New Roman"/>
        </w:rPr>
        <w:t>“</w:t>
      </w:r>
      <w:r w:rsidRPr="00FE771B">
        <w:rPr>
          <w:rFonts w:ascii="Times New Roman" w:hAnsi="Times New Roman" w:cs="Times New Roman"/>
        </w:rPr>
        <w:t>一股独大</w:t>
      </w:r>
      <w:r w:rsidRPr="00FE771B">
        <w:rPr>
          <w:rFonts w:ascii="Times New Roman" w:hAnsi="Times New Roman" w:cs="Times New Roman"/>
        </w:rPr>
        <w:t>”</w:t>
      </w:r>
      <w:r w:rsidRPr="00FE771B">
        <w:rPr>
          <w:rFonts w:ascii="Times New Roman" w:hAnsi="Times New Roman" w:cs="Times New Roman"/>
        </w:rPr>
        <w:t>和以散户为主的市场结构，</w:t>
      </w:r>
      <w:r w:rsidR="00707A81" w:rsidRPr="00FE771B">
        <w:rPr>
          <w:rFonts w:ascii="Times New Roman" w:hAnsi="Times New Roman" w:cs="Times New Roman"/>
        </w:rPr>
        <w:t>有利于大股东采取</w:t>
      </w:r>
      <w:r w:rsidR="00B86E8E" w:rsidRPr="00FE771B">
        <w:rPr>
          <w:rFonts w:ascii="Times New Roman" w:hAnsi="Times New Roman" w:cs="Times New Roman"/>
        </w:rPr>
        <w:t>机会主义</w:t>
      </w:r>
      <w:r w:rsidR="00707A81" w:rsidRPr="00FE771B">
        <w:rPr>
          <w:rFonts w:ascii="Times New Roman" w:hAnsi="Times New Roman" w:cs="Times New Roman"/>
        </w:rPr>
        <w:t>行为，</w:t>
      </w:r>
      <w:r w:rsidR="00770B5D" w:rsidRPr="00FE771B">
        <w:rPr>
          <w:rFonts w:ascii="Times New Roman" w:hAnsi="Times New Roman" w:cs="Times New Roman"/>
        </w:rPr>
        <w:t>通过盈余管理</w:t>
      </w:r>
      <w:r w:rsidR="00B86E8E" w:rsidRPr="00FE771B">
        <w:rPr>
          <w:rFonts w:ascii="Times New Roman" w:hAnsi="Times New Roman" w:cs="Times New Roman"/>
        </w:rPr>
        <w:t>等机会主义行为</w:t>
      </w:r>
      <w:r w:rsidR="00770B5D" w:rsidRPr="00FE771B">
        <w:rPr>
          <w:rFonts w:ascii="Times New Roman" w:hAnsi="Times New Roman" w:cs="Times New Roman"/>
        </w:rPr>
        <w:t>可以达到业绩承诺所要求的短期目的，但也加剧了上市公司</w:t>
      </w:r>
      <w:r w:rsidR="00770B5D" w:rsidRPr="00FE771B">
        <w:rPr>
          <w:rFonts w:ascii="Times New Roman" w:hAnsi="Times New Roman" w:cs="Times New Roman"/>
        </w:rPr>
        <w:t>“</w:t>
      </w:r>
      <w:r w:rsidR="00770B5D" w:rsidRPr="00FE771B">
        <w:rPr>
          <w:rFonts w:ascii="Times New Roman" w:hAnsi="Times New Roman" w:cs="Times New Roman"/>
        </w:rPr>
        <w:t>脱实向虚</w:t>
      </w:r>
      <w:r w:rsidR="00770B5D" w:rsidRPr="00FE771B">
        <w:rPr>
          <w:rFonts w:ascii="Times New Roman" w:hAnsi="Times New Roman" w:cs="Times New Roman"/>
        </w:rPr>
        <w:t>”</w:t>
      </w:r>
      <w:r w:rsidR="00770B5D" w:rsidRPr="00FE771B">
        <w:rPr>
          <w:rFonts w:ascii="Times New Roman" w:hAnsi="Times New Roman" w:cs="Times New Roman"/>
        </w:rPr>
        <w:t>的概率</w:t>
      </w:r>
      <w:r w:rsidR="00E25BD9" w:rsidRPr="00FE771B">
        <w:rPr>
          <w:rFonts w:ascii="Times New Roman" w:hAnsi="Times New Roman" w:cs="Times New Roman"/>
        </w:rPr>
        <w:t>。</w:t>
      </w:r>
    </w:p>
    <w:p w:rsidR="000C16DD" w:rsidRPr="00FE771B" w:rsidRDefault="000C16DD" w:rsidP="002F0BB5">
      <w:pPr>
        <w:overflowPunct w:val="0"/>
        <w:ind w:firstLineChars="200" w:firstLine="420"/>
        <w:rPr>
          <w:rFonts w:ascii="Times New Roman" w:hAnsi="Times New Roman" w:cs="Times New Roman"/>
        </w:rPr>
      </w:pPr>
    </w:p>
    <w:p w:rsidR="008B6E5C" w:rsidRPr="00FE771B" w:rsidRDefault="008810E1" w:rsidP="000E4628">
      <w:pPr>
        <w:pStyle w:val="1"/>
        <w:rPr>
          <w:rFonts w:ascii="Times New Roman" w:eastAsia="黑体" w:hAnsi="Times New Roman" w:cs="Times New Roman"/>
          <w:b w:val="0"/>
          <w:bCs w:val="0"/>
          <w:kern w:val="2"/>
          <w:szCs w:val="28"/>
        </w:rPr>
      </w:pPr>
      <w:r w:rsidRPr="00FE771B">
        <w:rPr>
          <w:rFonts w:ascii="Times New Roman" w:eastAsia="黑体" w:hAnsi="Times New Roman" w:cs="Times New Roman"/>
          <w:b w:val="0"/>
          <w:bCs w:val="0"/>
          <w:kern w:val="2"/>
          <w:szCs w:val="28"/>
        </w:rPr>
        <w:t>二、</w:t>
      </w:r>
      <w:r w:rsidR="00757332" w:rsidRPr="00FE771B">
        <w:rPr>
          <w:rFonts w:ascii="Times New Roman" w:eastAsia="黑体" w:hAnsi="Times New Roman" w:cs="Times New Roman"/>
          <w:b w:val="0"/>
          <w:bCs w:val="0"/>
          <w:kern w:val="2"/>
          <w:szCs w:val="28"/>
        </w:rPr>
        <w:t>文献综述、</w:t>
      </w:r>
      <w:r w:rsidR="000E4628" w:rsidRPr="00FE771B">
        <w:rPr>
          <w:rFonts w:ascii="Times New Roman" w:eastAsia="黑体" w:hAnsi="Times New Roman" w:cs="Times New Roman"/>
          <w:b w:val="0"/>
          <w:bCs w:val="0"/>
          <w:kern w:val="2"/>
          <w:szCs w:val="28"/>
        </w:rPr>
        <w:t>理论分析</w:t>
      </w:r>
      <w:r w:rsidRPr="00FE771B">
        <w:rPr>
          <w:rFonts w:ascii="Times New Roman" w:eastAsia="黑体" w:hAnsi="Times New Roman" w:cs="Times New Roman"/>
          <w:b w:val="0"/>
          <w:bCs w:val="0"/>
          <w:kern w:val="2"/>
          <w:szCs w:val="28"/>
        </w:rPr>
        <w:t>与研究假</w:t>
      </w:r>
      <w:r w:rsidR="00FA58DE" w:rsidRPr="00FE771B">
        <w:rPr>
          <w:rFonts w:ascii="Times New Roman" w:eastAsia="黑体" w:hAnsi="Times New Roman" w:cs="Times New Roman"/>
          <w:b w:val="0"/>
          <w:bCs w:val="0"/>
          <w:kern w:val="2"/>
          <w:szCs w:val="28"/>
        </w:rPr>
        <w:t>说</w:t>
      </w:r>
    </w:p>
    <w:p w:rsidR="000C16DD" w:rsidRPr="00FE771B" w:rsidRDefault="000C16DD" w:rsidP="000C16DD">
      <w:pPr>
        <w:rPr>
          <w:rFonts w:ascii="Times New Roman" w:hAnsi="Times New Roman" w:cs="Times New Roman"/>
        </w:rPr>
      </w:pPr>
    </w:p>
    <w:p w:rsidR="00757332" w:rsidRPr="00FE771B" w:rsidRDefault="00892AC9" w:rsidP="00FA58DE">
      <w:pPr>
        <w:pStyle w:val="2"/>
        <w:ind w:firstLine="422"/>
        <w:rPr>
          <w:rFonts w:ascii="Times New Roman" w:hAnsi="Times New Roman" w:cs="Times New Roman"/>
          <w:color w:val="000000" w:themeColor="text1"/>
        </w:rPr>
      </w:pPr>
      <w:r w:rsidRPr="00FE771B">
        <w:rPr>
          <w:rFonts w:ascii="Times New Roman" w:hAnsi="Times New Roman" w:cs="Times New Roman"/>
          <w:color w:val="000000" w:themeColor="text1"/>
        </w:rPr>
        <w:t>（一）</w:t>
      </w:r>
      <w:r w:rsidR="00757332" w:rsidRPr="00FE771B">
        <w:rPr>
          <w:rFonts w:ascii="Times New Roman" w:hAnsi="Times New Roman" w:cs="Times New Roman"/>
          <w:color w:val="000000" w:themeColor="text1"/>
        </w:rPr>
        <w:t>文献综述</w:t>
      </w:r>
    </w:p>
    <w:p w:rsidR="00FA58DE" w:rsidRPr="00FE771B" w:rsidRDefault="0007052B" w:rsidP="00A86DAB">
      <w:pPr>
        <w:overflowPunct w:val="0"/>
        <w:ind w:firstLineChars="200" w:firstLine="420"/>
        <w:rPr>
          <w:rFonts w:ascii="Times New Roman" w:hAnsi="Times New Roman" w:cs="Times New Roman"/>
          <w:color w:val="000000" w:themeColor="text1"/>
        </w:rPr>
      </w:pPr>
      <w:r w:rsidRPr="00FE771B">
        <w:rPr>
          <w:rFonts w:ascii="Times New Roman" w:hAnsi="Times New Roman" w:cs="Times New Roman"/>
          <w:color w:val="000000" w:themeColor="text1"/>
        </w:rPr>
        <w:t>随着</w:t>
      </w:r>
      <w:r w:rsidRPr="00FE771B">
        <w:rPr>
          <w:rFonts w:ascii="Times New Roman" w:hAnsi="Times New Roman" w:cs="Times New Roman"/>
          <w:color w:val="000000" w:themeColor="text1"/>
        </w:rPr>
        <w:t>2008</w:t>
      </w:r>
      <w:r w:rsidRPr="00FE771B">
        <w:rPr>
          <w:rFonts w:ascii="Times New Roman" w:hAnsi="Times New Roman" w:cs="Times New Roman"/>
          <w:color w:val="000000" w:themeColor="text1"/>
        </w:rPr>
        <w:t>年中国证监会在《上市公司重大资产重组管理办法》引入业绩承诺作为并购估值的调整工具，</w:t>
      </w:r>
      <w:r w:rsidR="00721107" w:rsidRPr="00FE771B">
        <w:rPr>
          <w:rFonts w:ascii="Times New Roman" w:hAnsi="Times New Roman" w:cs="Times New Roman"/>
          <w:color w:val="000000" w:themeColor="text1"/>
        </w:rPr>
        <w:t>并购实践中签订业绩承诺的上市公司逐渐增多，实践的丰富必然催生理论方面的深入研究，目前</w:t>
      </w:r>
      <w:r w:rsidRPr="00FE771B">
        <w:rPr>
          <w:rFonts w:ascii="Times New Roman" w:hAnsi="Times New Roman" w:cs="Times New Roman"/>
          <w:color w:val="000000" w:themeColor="text1"/>
        </w:rPr>
        <w:t>学术界对业绩承诺产生原因及</w:t>
      </w:r>
      <w:r w:rsidR="00721107" w:rsidRPr="00FE771B">
        <w:rPr>
          <w:rFonts w:ascii="Times New Roman" w:hAnsi="Times New Roman" w:cs="Times New Roman"/>
          <w:color w:val="000000" w:themeColor="text1"/>
        </w:rPr>
        <w:t>其</w:t>
      </w:r>
      <w:r w:rsidRPr="00FE771B">
        <w:rPr>
          <w:rFonts w:ascii="Times New Roman" w:hAnsi="Times New Roman" w:cs="Times New Roman"/>
          <w:color w:val="000000" w:themeColor="text1"/>
        </w:rPr>
        <w:t>对企业并购绩效展开了详细研究</w:t>
      </w:r>
      <w:r w:rsidR="00721107" w:rsidRPr="00FE771B">
        <w:rPr>
          <w:rFonts w:ascii="Times New Roman" w:hAnsi="Times New Roman" w:cs="Times New Roman"/>
          <w:color w:val="000000" w:themeColor="text1"/>
        </w:rPr>
        <w:t>，这对于我们更加深刻把握业绩承诺</w:t>
      </w:r>
      <w:r w:rsidR="009562D1" w:rsidRPr="00FE771B">
        <w:rPr>
          <w:rFonts w:ascii="Times New Roman" w:hAnsi="Times New Roman" w:cs="Times New Roman"/>
          <w:color w:val="000000" w:themeColor="text1"/>
        </w:rPr>
        <w:t>制度</w:t>
      </w:r>
      <w:r w:rsidR="00AF5387" w:rsidRPr="00FE771B">
        <w:rPr>
          <w:rFonts w:ascii="Times New Roman" w:hAnsi="Times New Roman" w:cs="Times New Roman"/>
          <w:color w:val="000000" w:themeColor="text1"/>
        </w:rPr>
        <w:t>对于企业</w:t>
      </w:r>
      <w:r w:rsidR="00AF5387" w:rsidRPr="00FE771B">
        <w:rPr>
          <w:rFonts w:ascii="Times New Roman" w:hAnsi="Times New Roman" w:cs="Times New Roman"/>
          <w:color w:val="000000" w:themeColor="text1"/>
        </w:rPr>
        <w:t>“</w:t>
      </w:r>
      <w:r w:rsidR="00AF5387" w:rsidRPr="00FE771B">
        <w:rPr>
          <w:rFonts w:ascii="Times New Roman" w:hAnsi="Times New Roman" w:cs="Times New Roman"/>
          <w:color w:val="000000" w:themeColor="text1"/>
        </w:rPr>
        <w:t>脱实向虚</w:t>
      </w:r>
      <w:r w:rsidR="00AF5387" w:rsidRPr="00FE771B">
        <w:rPr>
          <w:rFonts w:ascii="Times New Roman" w:hAnsi="Times New Roman" w:cs="Times New Roman"/>
          <w:color w:val="000000" w:themeColor="text1"/>
        </w:rPr>
        <w:t>”</w:t>
      </w:r>
      <w:r w:rsidR="00AF5387" w:rsidRPr="00FE771B">
        <w:rPr>
          <w:rFonts w:ascii="Times New Roman" w:hAnsi="Times New Roman" w:cs="Times New Roman"/>
          <w:color w:val="000000" w:themeColor="text1"/>
        </w:rPr>
        <w:t>的影响提供了重要参考。</w:t>
      </w:r>
    </w:p>
    <w:p w:rsidR="00A825BF" w:rsidRPr="00FE771B" w:rsidRDefault="00721107" w:rsidP="00757F8D">
      <w:pPr>
        <w:overflowPunct w:val="0"/>
        <w:ind w:firstLineChars="200" w:firstLine="420"/>
        <w:rPr>
          <w:rFonts w:ascii="Times New Roman" w:hAnsi="Times New Roman" w:cs="Times New Roman"/>
          <w:color w:val="000000" w:themeColor="text1"/>
        </w:rPr>
      </w:pPr>
      <w:r w:rsidRPr="00FE771B">
        <w:rPr>
          <w:rFonts w:ascii="Times New Roman" w:hAnsi="Times New Roman" w:cs="Times New Roman"/>
          <w:color w:val="000000" w:themeColor="text1"/>
        </w:rPr>
        <w:t>从业绩承诺产生的原因</w:t>
      </w:r>
      <w:r w:rsidR="00AF5387" w:rsidRPr="00FE771B">
        <w:rPr>
          <w:rFonts w:ascii="Times New Roman" w:hAnsi="Times New Roman" w:cs="Times New Roman"/>
          <w:color w:val="000000" w:themeColor="text1"/>
        </w:rPr>
        <w:t>看</w:t>
      </w:r>
      <w:r w:rsidR="00990CD2" w:rsidRPr="00FE771B">
        <w:rPr>
          <w:rFonts w:ascii="Times New Roman" w:hAnsi="Times New Roman" w:cs="Times New Roman"/>
          <w:color w:val="000000" w:themeColor="text1"/>
        </w:rPr>
        <w:t>，</w:t>
      </w:r>
      <w:r w:rsidR="004D29D9" w:rsidRPr="00FE771B">
        <w:rPr>
          <w:rFonts w:ascii="Times New Roman" w:hAnsi="Times New Roman" w:cs="Times New Roman"/>
          <w:color w:val="000000" w:themeColor="text1"/>
        </w:rPr>
        <w:t>并购中签订业绩承诺协议的动机可以归结为两个方面：第一，业绩承诺能够显著降低并购双方的信息不对称问题。</w:t>
      </w:r>
      <w:proofErr w:type="spellStart"/>
      <w:r w:rsidR="004D29D9" w:rsidRPr="00FE771B">
        <w:rPr>
          <w:rFonts w:ascii="Times New Roman" w:hAnsi="Times New Roman" w:cs="Times New Roman"/>
          <w:color w:val="000000" w:themeColor="text1"/>
        </w:rPr>
        <w:t>Tallau</w:t>
      </w:r>
      <w:proofErr w:type="spellEnd"/>
      <w:r w:rsidR="008971C1" w:rsidRPr="00FE771B">
        <w:rPr>
          <w:rFonts w:ascii="Times New Roman" w:hAnsi="Times New Roman" w:cs="Times New Roman"/>
          <w:color w:val="000000" w:themeColor="text1"/>
        </w:rPr>
        <w:t>（</w:t>
      </w:r>
      <w:r w:rsidR="008971C1" w:rsidRPr="00FE771B">
        <w:rPr>
          <w:rFonts w:ascii="Times New Roman" w:hAnsi="Times New Roman" w:cs="Times New Roman"/>
          <w:color w:val="000000" w:themeColor="text1"/>
        </w:rPr>
        <w:t>20</w:t>
      </w:r>
      <w:r w:rsidR="004D29D9" w:rsidRPr="00FE771B">
        <w:rPr>
          <w:rFonts w:ascii="Times New Roman" w:hAnsi="Times New Roman" w:cs="Times New Roman"/>
          <w:color w:val="000000" w:themeColor="text1"/>
        </w:rPr>
        <w:t>09</w:t>
      </w:r>
      <w:r w:rsidR="008971C1" w:rsidRPr="00FE771B">
        <w:rPr>
          <w:rFonts w:ascii="Times New Roman" w:hAnsi="Times New Roman" w:cs="Times New Roman"/>
          <w:color w:val="000000" w:themeColor="text1"/>
        </w:rPr>
        <w:t>）认为业绩承诺本质上是一种期权协议，特别是对于并购</w:t>
      </w:r>
      <w:proofErr w:type="gramStart"/>
      <w:r w:rsidR="008971C1" w:rsidRPr="00FE771B">
        <w:rPr>
          <w:rFonts w:ascii="Times New Roman" w:hAnsi="Times New Roman" w:cs="Times New Roman"/>
          <w:color w:val="000000" w:themeColor="text1"/>
        </w:rPr>
        <w:t>方上市</w:t>
      </w:r>
      <w:proofErr w:type="gramEnd"/>
      <w:r w:rsidR="008971C1" w:rsidRPr="00FE771B">
        <w:rPr>
          <w:rFonts w:ascii="Times New Roman" w:hAnsi="Times New Roman" w:cs="Times New Roman"/>
          <w:color w:val="000000" w:themeColor="text1"/>
        </w:rPr>
        <w:t>公司而言，其对标的公司的实际价值评估中处于信息弱势方，而标的公司对其自身价值明显处于信息优势方，此外标的公司一般都为非上市公司，其公开信息或获得审计的透明信息相对较少，这就更加加剧了买卖双方的信息不对称问题，而通过业绩承诺工具能够有效缓解买卖双方之间的信息不对称</w:t>
      </w:r>
      <w:r w:rsidR="00DB450E" w:rsidRPr="00FE771B">
        <w:rPr>
          <w:rFonts w:ascii="Times New Roman" w:hAnsi="Times New Roman" w:cs="Times New Roman"/>
          <w:color w:val="000000" w:themeColor="text1"/>
        </w:rPr>
        <w:t>（吕长江</w:t>
      </w:r>
      <w:r w:rsidR="00892AC9" w:rsidRPr="00FE771B">
        <w:rPr>
          <w:rFonts w:ascii="Times New Roman" w:hAnsi="Times New Roman" w:cs="Times New Roman"/>
          <w:color w:val="000000" w:themeColor="text1"/>
        </w:rPr>
        <w:t>\</w:t>
      </w:r>
      <w:r w:rsidR="00DB450E" w:rsidRPr="00FE771B">
        <w:rPr>
          <w:rFonts w:ascii="Times New Roman" w:hAnsi="Times New Roman" w:cs="Times New Roman"/>
          <w:color w:val="000000" w:themeColor="text1"/>
        </w:rPr>
        <w:t>韩慧博，</w:t>
      </w:r>
      <w:r w:rsidR="00DB450E" w:rsidRPr="00FE771B">
        <w:rPr>
          <w:rFonts w:ascii="Times New Roman" w:hAnsi="Times New Roman" w:cs="Times New Roman"/>
          <w:color w:val="000000" w:themeColor="text1"/>
        </w:rPr>
        <w:t>2014</w:t>
      </w:r>
      <w:r w:rsidR="00DD7798" w:rsidRPr="00FE771B">
        <w:rPr>
          <w:rFonts w:ascii="Times New Roman" w:hAnsi="Times New Roman" w:cs="Times New Roman"/>
          <w:color w:val="000000" w:themeColor="text1"/>
        </w:rPr>
        <w:t>；</w:t>
      </w:r>
      <w:r w:rsidR="00DD7798" w:rsidRPr="00FE771B">
        <w:rPr>
          <w:rFonts w:ascii="Times New Roman" w:hAnsi="Times New Roman" w:cs="Times New Roman"/>
          <w:color w:val="000000" w:themeColor="text1"/>
        </w:rPr>
        <w:t>Choi</w:t>
      </w:r>
      <w:r w:rsidR="00DD7798" w:rsidRPr="00FE771B">
        <w:rPr>
          <w:rFonts w:ascii="Times New Roman" w:hAnsi="Times New Roman" w:cs="Times New Roman"/>
          <w:color w:val="000000" w:themeColor="text1"/>
        </w:rPr>
        <w:t>，</w:t>
      </w:r>
      <w:r w:rsidR="00DD7798" w:rsidRPr="00FE771B">
        <w:rPr>
          <w:rFonts w:ascii="Times New Roman" w:hAnsi="Times New Roman" w:cs="Times New Roman"/>
          <w:color w:val="000000" w:themeColor="text1"/>
        </w:rPr>
        <w:t>2017</w:t>
      </w:r>
      <w:r w:rsidR="00DB450E" w:rsidRPr="00FE771B">
        <w:rPr>
          <w:rFonts w:ascii="Times New Roman" w:hAnsi="Times New Roman" w:cs="Times New Roman"/>
          <w:color w:val="000000" w:themeColor="text1"/>
        </w:rPr>
        <w:t>）</w:t>
      </w:r>
      <w:r w:rsidR="008971C1" w:rsidRPr="00FE771B">
        <w:rPr>
          <w:rFonts w:ascii="Times New Roman" w:hAnsi="Times New Roman" w:cs="Times New Roman"/>
          <w:color w:val="000000" w:themeColor="text1"/>
        </w:rPr>
        <w:t>，</w:t>
      </w:r>
      <w:r w:rsidR="00DB450E" w:rsidRPr="00FE771B">
        <w:rPr>
          <w:rFonts w:ascii="Times New Roman" w:hAnsi="Times New Roman" w:cs="Times New Roman"/>
          <w:color w:val="000000" w:themeColor="text1"/>
        </w:rPr>
        <w:t>通过类似于期权的安排</w:t>
      </w:r>
      <w:r w:rsidR="008971C1" w:rsidRPr="00FE771B">
        <w:rPr>
          <w:rFonts w:ascii="Times New Roman" w:hAnsi="Times New Roman" w:cs="Times New Roman"/>
          <w:color w:val="000000" w:themeColor="text1"/>
        </w:rPr>
        <w:t>弥补双方对未来期望的差距，有利于并购交易在未来存在高度不确定的情况下顺利达成</w:t>
      </w:r>
      <w:r w:rsidR="00DD7798" w:rsidRPr="00FE771B">
        <w:rPr>
          <w:rFonts w:ascii="Times New Roman" w:hAnsi="Times New Roman" w:cs="Times New Roman"/>
          <w:color w:val="000000" w:themeColor="text1"/>
        </w:rPr>
        <w:t>（</w:t>
      </w:r>
      <w:r w:rsidR="00DD7798" w:rsidRPr="00FE771B">
        <w:rPr>
          <w:rFonts w:ascii="Times New Roman" w:hAnsi="Times New Roman" w:cs="Times New Roman"/>
          <w:color w:val="000000" w:themeColor="text1"/>
        </w:rPr>
        <w:t>Cain</w:t>
      </w:r>
      <w:r w:rsidR="00892AC9" w:rsidRPr="00FE771B">
        <w:rPr>
          <w:rFonts w:ascii="Times New Roman" w:hAnsi="Times New Roman" w:cs="Times New Roman"/>
          <w:color w:val="000000" w:themeColor="text1"/>
        </w:rPr>
        <w:t xml:space="preserve"> et al</w:t>
      </w:r>
      <w:r w:rsidR="00DD7798" w:rsidRPr="00FE771B">
        <w:rPr>
          <w:rFonts w:ascii="Times New Roman" w:hAnsi="Times New Roman" w:cs="Times New Roman"/>
          <w:color w:val="000000" w:themeColor="text1"/>
        </w:rPr>
        <w:t>，</w:t>
      </w:r>
      <w:r w:rsidR="00DD7798" w:rsidRPr="00FE771B">
        <w:rPr>
          <w:rFonts w:ascii="Times New Roman" w:hAnsi="Times New Roman" w:cs="Times New Roman"/>
          <w:color w:val="000000" w:themeColor="text1"/>
        </w:rPr>
        <w:t>2011</w:t>
      </w:r>
      <w:r w:rsidR="00DD7798" w:rsidRPr="00FE771B">
        <w:rPr>
          <w:rFonts w:ascii="Times New Roman" w:hAnsi="Times New Roman" w:cs="Times New Roman"/>
          <w:color w:val="000000" w:themeColor="text1"/>
        </w:rPr>
        <w:t>）</w:t>
      </w:r>
      <w:r w:rsidR="008971C1" w:rsidRPr="00FE771B">
        <w:rPr>
          <w:rFonts w:ascii="Times New Roman" w:hAnsi="Times New Roman" w:cs="Times New Roman"/>
          <w:color w:val="000000" w:themeColor="text1"/>
        </w:rPr>
        <w:t>。</w:t>
      </w:r>
      <w:r w:rsidR="004D29D9" w:rsidRPr="00FE771B">
        <w:rPr>
          <w:rFonts w:ascii="Times New Roman" w:hAnsi="Times New Roman" w:cs="Times New Roman"/>
          <w:color w:val="000000" w:themeColor="text1"/>
        </w:rPr>
        <w:t>第二，业绩承诺的信号作用能够提高并购效率</w:t>
      </w:r>
      <w:r w:rsidR="00CE136C" w:rsidRPr="00FE771B">
        <w:rPr>
          <w:rFonts w:ascii="Times New Roman" w:hAnsi="Times New Roman" w:cs="Times New Roman"/>
          <w:color w:val="000000" w:themeColor="text1"/>
        </w:rPr>
        <w:t>并对标的公司形成正向激励</w:t>
      </w:r>
      <w:r w:rsidR="004D29D9" w:rsidRPr="00FE771B">
        <w:rPr>
          <w:rFonts w:ascii="Times New Roman" w:hAnsi="Times New Roman" w:cs="Times New Roman"/>
          <w:color w:val="000000" w:themeColor="text1"/>
        </w:rPr>
        <w:t>。</w:t>
      </w:r>
      <w:proofErr w:type="spellStart"/>
      <w:r w:rsidR="004D29D9" w:rsidRPr="00FE771B">
        <w:rPr>
          <w:rFonts w:ascii="Times New Roman" w:hAnsi="Times New Roman" w:cs="Times New Roman"/>
          <w:color w:val="000000" w:themeColor="text1"/>
        </w:rPr>
        <w:t>Kohers</w:t>
      </w:r>
      <w:r w:rsidR="00892AC9" w:rsidRPr="00FE771B">
        <w:rPr>
          <w:rFonts w:ascii="Times New Roman" w:hAnsi="Times New Roman" w:cs="Times New Roman"/>
          <w:color w:val="000000" w:themeColor="text1"/>
        </w:rPr>
        <w:t>&amp;</w:t>
      </w:r>
      <w:r w:rsidR="004D29D9" w:rsidRPr="00FE771B">
        <w:rPr>
          <w:rFonts w:ascii="Times New Roman" w:hAnsi="Times New Roman" w:cs="Times New Roman"/>
          <w:color w:val="000000" w:themeColor="text1"/>
        </w:rPr>
        <w:t>Ang</w:t>
      </w:r>
      <w:proofErr w:type="spellEnd"/>
      <w:r w:rsidR="004D29D9" w:rsidRPr="00FE771B">
        <w:rPr>
          <w:rFonts w:ascii="Times New Roman" w:hAnsi="Times New Roman" w:cs="Times New Roman"/>
          <w:color w:val="000000" w:themeColor="text1"/>
        </w:rPr>
        <w:t>（</w:t>
      </w:r>
      <w:r w:rsidR="004D29D9" w:rsidRPr="00FE771B">
        <w:rPr>
          <w:rFonts w:ascii="Times New Roman" w:hAnsi="Times New Roman" w:cs="Times New Roman"/>
          <w:color w:val="000000" w:themeColor="text1"/>
        </w:rPr>
        <w:t>2000</w:t>
      </w:r>
      <w:r w:rsidR="004D29D9" w:rsidRPr="00FE771B">
        <w:rPr>
          <w:rFonts w:ascii="Times New Roman" w:hAnsi="Times New Roman" w:cs="Times New Roman"/>
          <w:color w:val="000000" w:themeColor="text1"/>
        </w:rPr>
        <w:t>）认为业绩承诺将部分支付基于目标企业在以后年度实现的业绩表现从而能够在一定程度上跨越估值的差距，其信号作用对于激励目标企业管理层具有重要意义。此外，</w:t>
      </w:r>
      <w:proofErr w:type="spellStart"/>
      <w:r w:rsidR="004D29D9" w:rsidRPr="00FE771B">
        <w:rPr>
          <w:rFonts w:ascii="Times New Roman" w:hAnsi="Times New Roman" w:cs="Times New Roman"/>
          <w:color w:val="000000" w:themeColor="text1"/>
        </w:rPr>
        <w:t>Datar</w:t>
      </w:r>
      <w:proofErr w:type="spellEnd"/>
      <w:r w:rsidR="004D29D9" w:rsidRPr="00FE771B">
        <w:rPr>
          <w:rFonts w:ascii="Times New Roman" w:hAnsi="Times New Roman" w:cs="Times New Roman"/>
          <w:color w:val="000000" w:themeColor="text1"/>
        </w:rPr>
        <w:t xml:space="preserve"> et al</w:t>
      </w:r>
      <w:r w:rsidR="004D29D9" w:rsidRPr="00FE771B">
        <w:rPr>
          <w:rFonts w:ascii="Times New Roman" w:hAnsi="Times New Roman" w:cs="Times New Roman"/>
          <w:color w:val="000000" w:themeColor="text1"/>
        </w:rPr>
        <w:t>（</w:t>
      </w:r>
      <w:r w:rsidR="004D29D9" w:rsidRPr="00FE771B">
        <w:rPr>
          <w:rFonts w:ascii="Times New Roman" w:hAnsi="Times New Roman" w:cs="Times New Roman"/>
          <w:color w:val="000000" w:themeColor="text1"/>
        </w:rPr>
        <w:t>2001</w:t>
      </w:r>
      <w:r w:rsidR="004D29D9" w:rsidRPr="00FE771B">
        <w:rPr>
          <w:rFonts w:ascii="Times New Roman" w:hAnsi="Times New Roman" w:cs="Times New Roman"/>
          <w:color w:val="000000" w:themeColor="text1"/>
        </w:rPr>
        <w:t>）、</w:t>
      </w:r>
      <w:proofErr w:type="spellStart"/>
      <w:r w:rsidR="004D29D9" w:rsidRPr="00FE771B">
        <w:rPr>
          <w:rFonts w:ascii="Times New Roman" w:hAnsi="Times New Roman" w:cs="Times New Roman"/>
          <w:color w:val="000000" w:themeColor="text1"/>
        </w:rPr>
        <w:t>Chatterjee</w:t>
      </w:r>
      <w:proofErr w:type="spellEnd"/>
      <w:r w:rsidR="004D29D9" w:rsidRPr="00FE771B">
        <w:rPr>
          <w:rFonts w:ascii="Times New Roman" w:hAnsi="Times New Roman" w:cs="Times New Roman"/>
          <w:color w:val="000000" w:themeColor="text1"/>
        </w:rPr>
        <w:t xml:space="preserve"> et al</w:t>
      </w:r>
      <w:r w:rsidR="004D29D9" w:rsidRPr="00FE771B">
        <w:rPr>
          <w:rFonts w:ascii="Times New Roman" w:hAnsi="Times New Roman" w:cs="Times New Roman"/>
          <w:color w:val="000000" w:themeColor="text1"/>
        </w:rPr>
        <w:t>（</w:t>
      </w:r>
      <w:r w:rsidR="004D29D9" w:rsidRPr="00FE771B">
        <w:rPr>
          <w:rFonts w:ascii="Times New Roman" w:hAnsi="Times New Roman" w:cs="Times New Roman"/>
          <w:color w:val="000000" w:themeColor="text1"/>
        </w:rPr>
        <w:t>2004</w:t>
      </w:r>
      <w:r w:rsidR="004D29D9" w:rsidRPr="00FE771B">
        <w:rPr>
          <w:rFonts w:ascii="Times New Roman" w:hAnsi="Times New Roman" w:cs="Times New Roman"/>
          <w:color w:val="000000" w:themeColor="text1"/>
        </w:rPr>
        <w:t>）</w:t>
      </w:r>
      <w:r w:rsidR="00A825BF" w:rsidRPr="00FE771B">
        <w:rPr>
          <w:rFonts w:ascii="Times New Roman" w:hAnsi="Times New Roman" w:cs="Times New Roman"/>
          <w:color w:val="000000" w:themeColor="text1"/>
        </w:rPr>
        <w:t>、</w:t>
      </w:r>
      <w:proofErr w:type="spellStart"/>
      <w:r w:rsidR="00A825BF" w:rsidRPr="00FE771B">
        <w:rPr>
          <w:rFonts w:ascii="Times New Roman" w:hAnsi="Times New Roman" w:cs="Times New Roman"/>
          <w:color w:val="000000" w:themeColor="text1"/>
        </w:rPr>
        <w:t>Barbopoulos</w:t>
      </w:r>
      <w:proofErr w:type="spellEnd"/>
      <w:r w:rsidR="00A825BF" w:rsidRPr="00FE771B">
        <w:rPr>
          <w:rFonts w:ascii="Times New Roman" w:hAnsi="Times New Roman" w:cs="Times New Roman"/>
          <w:color w:val="000000" w:themeColor="text1"/>
        </w:rPr>
        <w:t xml:space="preserve"> </w:t>
      </w:r>
      <w:r w:rsidR="00892AC9" w:rsidRPr="00FE771B">
        <w:rPr>
          <w:rFonts w:ascii="Times New Roman" w:hAnsi="Times New Roman" w:cs="Times New Roman"/>
          <w:color w:val="000000" w:themeColor="text1"/>
        </w:rPr>
        <w:t>&amp;</w:t>
      </w:r>
      <w:proofErr w:type="spellStart"/>
      <w:r w:rsidR="00A825BF" w:rsidRPr="00FE771B">
        <w:rPr>
          <w:rFonts w:ascii="Times New Roman" w:hAnsi="Times New Roman" w:cs="Times New Roman"/>
          <w:color w:val="000000" w:themeColor="text1"/>
        </w:rPr>
        <w:t>Sudarsanam</w:t>
      </w:r>
      <w:proofErr w:type="spellEnd"/>
      <w:r w:rsidR="00892AC9" w:rsidRPr="00FE771B">
        <w:rPr>
          <w:rFonts w:ascii="Times New Roman" w:hAnsi="Times New Roman" w:cs="Times New Roman"/>
          <w:color w:val="000000" w:themeColor="text1"/>
        </w:rPr>
        <w:t>（</w:t>
      </w:r>
      <w:r w:rsidR="00892AC9" w:rsidRPr="00FE771B">
        <w:rPr>
          <w:rFonts w:ascii="Times New Roman" w:hAnsi="Times New Roman" w:cs="Times New Roman"/>
          <w:color w:val="000000" w:themeColor="text1"/>
        </w:rPr>
        <w:t>2012</w:t>
      </w:r>
      <w:r w:rsidR="00892AC9" w:rsidRPr="00FE771B">
        <w:rPr>
          <w:rFonts w:ascii="Times New Roman" w:hAnsi="Times New Roman" w:cs="Times New Roman"/>
          <w:color w:val="000000" w:themeColor="text1"/>
        </w:rPr>
        <w:t>）</w:t>
      </w:r>
      <w:r w:rsidR="00A825BF" w:rsidRPr="00FE771B">
        <w:rPr>
          <w:rFonts w:ascii="Times New Roman" w:hAnsi="Times New Roman" w:cs="Times New Roman"/>
          <w:color w:val="000000" w:themeColor="text1"/>
        </w:rPr>
        <w:t>、</w:t>
      </w:r>
      <w:proofErr w:type="spellStart"/>
      <w:r w:rsidR="00A825BF" w:rsidRPr="00FE771B">
        <w:rPr>
          <w:rFonts w:ascii="Times New Roman" w:hAnsi="Times New Roman" w:cs="Times New Roman"/>
          <w:color w:val="000000" w:themeColor="text1"/>
        </w:rPr>
        <w:t>Kohli</w:t>
      </w:r>
      <w:r w:rsidR="00892AC9" w:rsidRPr="00FE771B">
        <w:rPr>
          <w:rFonts w:ascii="Times New Roman" w:hAnsi="Times New Roman" w:cs="Times New Roman"/>
          <w:color w:val="000000" w:themeColor="text1"/>
        </w:rPr>
        <w:t>&amp;</w:t>
      </w:r>
      <w:r w:rsidR="00A825BF" w:rsidRPr="00FE771B">
        <w:rPr>
          <w:rFonts w:ascii="Times New Roman" w:hAnsi="Times New Roman" w:cs="Times New Roman"/>
          <w:color w:val="000000" w:themeColor="text1"/>
        </w:rPr>
        <w:t>Mann</w:t>
      </w:r>
      <w:proofErr w:type="spellEnd"/>
      <w:r w:rsidR="00892AC9" w:rsidRPr="00FE771B">
        <w:rPr>
          <w:rFonts w:ascii="Times New Roman" w:hAnsi="Times New Roman" w:cs="Times New Roman"/>
          <w:color w:val="000000" w:themeColor="text1"/>
        </w:rPr>
        <w:t>（</w:t>
      </w:r>
      <w:r w:rsidR="00892AC9" w:rsidRPr="00FE771B">
        <w:rPr>
          <w:rFonts w:ascii="Times New Roman" w:hAnsi="Times New Roman" w:cs="Times New Roman"/>
          <w:color w:val="000000" w:themeColor="text1"/>
        </w:rPr>
        <w:t>2013</w:t>
      </w:r>
      <w:r w:rsidR="00892AC9" w:rsidRPr="00FE771B">
        <w:rPr>
          <w:rFonts w:ascii="Times New Roman" w:hAnsi="Times New Roman" w:cs="Times New Roman"/>
          <w:color w:val="000000" w:themeColor="text1"/>
        </w:rPr>
        <w:t>）</w:t>
      </w:r>
      <w:r w:rsidR="00A825BF" w:rsidRPr="00FE771B">
        <w:rPr>
          <w:rFonts w:ascii="Times New Roman" w:hAnsi="Times New Roman" w:cs="Times New Roman"/>
          <w:color w:val="000000" w:themeColor="text1"/>
        </w:rPr>
        <w:t>等</w:t>
      </w:r>
      <w:r w:rsidR="004D29D9" w:rsidRPr="00FE771B">
        <w:rPr>
          <w:rFonts w:ascii="Times New Roman" w:hAnsi="Times New Roman" w:cs="Times New Roman"/>
          <w:color w:val="000000" w:themeColor="text1"/>
        </w:rPr>
        <w:t>都发现业绩承诺可以帮助并购方对冲风险，降低收购成本，并</w:t>
      </w:r>
      <w:r w:rsidR="00CE136C" w:rsidRPr="00FE771B">
        <w:rPr>
          <w:rFonts w:ascii="Times New Roman" w:hAnsi="Times New Roman" w:cs="Times New Roman"/>
          <w:color w:val="000000" w:themeColor="text1"/>
        </w:rPr>
        <w:t>对并购双方都</w:t>
      </w:r>
      <w:r w:rsidR="004D29D9" w:rsidRPr="00FE771B">
        <w:rPr>
          <w:rFonts w:ascii="Times New Roman" w:hAnsi="Times New Roman" w:cs="Times New Roman"/>
          <w:color w:val="000000" w:themeColor="text1"/>
        </w:rPr>
        <w:t>产生正向激励作用。</w:t>
      </w:r>
      <w:r w:rsidR="00A825BF" w:rsidRPr="00FE771B">
        <w:rPr>
          <w:rFonts w:ascii="Times New Roman" w:hAnsi="Times New Roman" w:cs="Times New Roman"/>
          <w:color w:val="000000" w:themeColor="text1"/>
        </w:rPr>
        <w:t>因此，业绩承诺产生的原因主要在于随着并购活动的频繁和交易风险的扩大，</w:t>
      </w:r>
      <w:r w:rsidR="00CE136C" w:rsidRPr="00FE771B">
        <w:rPr>
          <w:rFonts w:ascii="Times New Roman" w:hAnsi="Times New Roman" w:cs="Times New Roman"/>
          <w:color w:val="000000" w:themeColor="text1"/>
        </w:rPr>
        <w:t>需要业绩承诺这样的估值调整工具降低并购双方的信息不对称风险，并通过其积极信号传递效应产生正向激励作用，提高并购效率</w:t>
      </w:r>
      <w:r w:rsidR="00757F8D" w:rsidRPr="00FE771B">
        <w:rPr>
          <w:rFonts w:ascii="Times New Roman" w:hAnsi="Times New Roman" w:cs="Times New Roman"/>
          <w:color w:val="000000" w:themeColor="text1"/>
        </w:rPr>
        <w:t>。</w:t>
      </w:r>
    </w:p>
    <w:p w:rsidR="00B825AA" w:rsidRPr="00FE771B" w:rsidRDefault="00D45AA0" w:rsidP="00D615EA">
      <w:pPr>
        <w:overflowPunct w:val="0"/>
        <w:ind w:firstLineChars="200" w:firstLine="420"/>
        <w:rPr>
          <w:rFonts w:ascii="Times New Roman" w:hAnsi="Times New Roman" w:cs="Times New Roman"/>
          <w:color w:val="000000" w:themeColor="text1"/>
        </w:rPr>
      </w:pPr>
      <w:r w:rsidRPr="00FE771B">
        <w:rPr>
          <w:rFonts w:ascii="Times New Roman" w:hAnsi="Times New Roman" w:cs="Times New Roman"/>
          <w:color w:val="000000" w:themeColor="text1"/>
        </w:rPr>
        <w:t>随着签订业绩承诺协议数量的增加（</w:t>
      </w:r>
      <w:proofErr w:type="spellStart"/>
      <w:r w:rsidRPr="00FE771B">
        <w:rPr>
          <w:rFonts w:ascii="Times New Roman" w:hAnsi="Times New Roman" w:cs="Times New Roman"/>
          <w:color w:val="000000" w:themeColor="text1"/>
        </w:rPr>
        <w:t>Allee</w:t>
      </w:r>
      <w:proofErr w:type="spellEnd"/>
      <w:r w:rsidRPr="00FE771B">
        <w:rPr>
          <w:rFonts w:ascii="Times New Roman" w:hAnsi="Times New Roman" w:cs="Times New Roman"/>
          <w:color w:val="000000" w:themeColor="text1"/>
        </w:rPr>
        <w:t xml:space="preserve"> </w:t>
      </w:r>
      <w:r w:rsidR="00892AC9" w:rsidRPr="00FE771B">
        <w:rPr>
          <w:rFonts w:ascii="Times New Roman" w:hAnsi="Times New Roman" w:cs="Times New Roman"/>
          <w:color w:val="000000" w:themeColor="text1"/>
        </w:rPr>
        <w:t>&amp;</w:t>
      </w:r>
      <w:proofErr w:type="spellStart"/>
      <w:r w:rsidRPr="00FE771B">
        <w:rPr>
          <w:rFonts w:ascii="Times New Roman" w:hAnsi="Times New Roman" w:cs="Times New Roman"/>
          <w:color w:val="000000" w:themeColor="text1"/>
        </w:rPr>
        <w:t>Wangerin</w:t>
      </w:r>
      <w:proofErr w:type="spellEnd"/>
      <w:r w:rsidRPr="00FE771B">
        <w:rPr>
          <w:rFonts w:ascii="Times New Roman" w:hAnsi="Times New Roman" w:cs="Times New Roman"/>
          <w:color w:val="000000" w:themeColor="text1"/>
        </w:rPr>
        <w:t>，</w:t>
      </w:r>
      <w:r w:rsidRPr="00FE771B">
        <w:rPr>
          <w:rFonts w:ascii="Times New Roman" w:hAnsi="Times New Roman" w:cs="Times New Roman"/>
          <w:color w:val="000000" w:themeColor="text1"/>
        </w:rPr>
        <w:t>2018</w:t>
      </w:r>
      <w:r w:rsidRPr="00FE771B">
        <w:rPr>
          <w:rFonts w:ascii="Times New Roman" w:hAnsi="Times New Roman" w:cs="Times New Roman"/>
          <w:color w:val="000000" w:themeColor="text1"/>
        </w:rPr>
        <w:t>）</w:t>
      </w:r>
      <w:r w:rsidR="00D93637" w:rsidRPr="00FE771B">
        <w:rPr>
          <w:rFonts w:ascii="Times New Roman" w:hAnsi="Times New Roman" w:cs="Times New Roman"/>
          <w:color w:val="000000" w:themeColor="text1"/>
        </w:rPr>
        <w:t>，</w:t>
      </w:r>
      <w:r w:rsidRPr="00FE771B">
        <w:rPr>
          <w:rFonts w:ascii="Times New Roman" w:hAnsi="Times New Roman" w:cs="Times New Roman"/>
          <w:color w:val="000000" w:themeColor="text1"/>
        </w:rPr>
        <w:t>业绩承诺作为估值调整和风险调整工具一方面促进了并购协同效应的发挥，使得并购双方都</w:t>
      </w:r>
      <w:r w:rsidR="002A0E4F" w:rsidRPr="00FE771B">
        <w:rPr>
          <w:rFonts w:ascii="Times New Roman" w:hAnsi="Times New Roman" w:cs="Times New Roman"/>
          <w:color w:val="000000" w:themeColor="text1"/>
        </w:rPr>
        <w:t>能</w:t>
      </w:r>
      <w:r w:rsidRPr="00FE771B">
        <w:rPr>
          <w:rFonts w:ascii="Times New Roman" w:hAnsi="Times New Roman" w:cs="Times New Roman"/>
          <w:color w:val="000000" w:themeColor="text1"/>
        </w:rPr>
        <w:t>达到双赢效果。吕长江和韩慧博（</w:t>
      </w:r>
      <w:r w:rsidRPr="00FE771B">
        <w:rPr>
          <w:rFonts w:ascii="Times New Roman" w:hAnsi="Times New Roman" w:cs="Times New Roman"/>
          <w:color w:val="000000" w:themeColor="text1"/>
        </w:rPr>
        <w:t>2014</w:t>
      </w:r>
      <w:r w:rsidRPr="00FE771B">
        <w:rPr>
          <w:rFonts w:ascii="Times New Roman" w:hAnsi="Times New Roman" w:cs="Times New Roman"/>
          <w:color w:val="000000" w:themeColor="text1"/>
        </w:rPr>
        <w:t>）认为并购交易中引入业绩补偿承诺可以显著提升并购的协同效应水平，积极有效地运用业绩承诺这一契约工具，能够有效地</w:t>
      </w:r>
      <w:r w:rsidR="00757F8D" w:rsidRPr="00FE771B">
        <w:rPr>
          <w:rFonts w:ascii="Times New Roman" w:hAnsi="Times New Roman" w:cs="Times New Roman"/>
          <w:color w:val="000000" w:themeColor="text1"/>
        </w:rPr>
        <w:t>降低了交易中的谈判成本及</w:t>
      </w:r>
      <w:r w:rsidR="002A0E4F" w:rsidRPr="00FE771B">
        <w:rPr>
          <w:rFonts w:ascii="Times New Roman" w:hAnsi="Times New Roman" w:cs="Times New Roman"/>
          <w:color w:val="000000" w:themeColor="text1"/>
        </w:rPr>
        <w:t>信息不对称风险</w:t>
      </w:r>
      <w:r w:rsidR="00757F8D" w:rsidRPr="00FE771B">
        <w:rPr>
          <w:rFonts w:ascii="Times New Roman" w:hAnsi="Times New Roman" w:cs="Times New Roman"/>
          <w:color w:val="000000" w:themeColor="text1"/>
        </w:rPr>
        <w:t>，</w:t>
      </w:r>
      <w:r w:rsidR="002A0E4F" w:rsidRPr="00FE771B">
        <w:rPr>
          <w:rFonts w:ascii="Times New Roman" w:hAnsi="Times New Roman" w:cs="Times New Roman"/>
          <w:color w:val="000000" w:themeColor="text1"/>
        </w:rPr>
        <w:t>降低企业在资产重组中出现决策失误的可能性，为交易顺利达成以及交易</w:t>
      </w:r>
      <w:proofErr w:type="gramStart"/>
      <w:r w:rsidR="002A0E4F" w:rsidRPr="00FE771B">
        <w:rPr>
          <w:rFonts w:ascii="Times New Roman" w:hAnsi="Times New Roman" w:cs="Times New Roman"/>
          <w:color w:val="000000" w:themeColor="text1"/>
        </w:rPr>
        <w:t>后道德</w:t>
      </w:r>
      <w:proofErr w:type="gramEnd"/>
      <w:r w:rsidR="002A0E4F" w:rsidRPr="00FE771B">
        <w:rPr>
          <w:rFonts w:ascii="Times New Roman" w:hAnsi="Times New Roman" w:cs="Times New Roman"/>
          <w:color w:val="000000" w:themeColor="text1"/>
        </w:rPr>
        <w:t>风险治理都提供了一定保障；同时，业绩承诺安排能够</w:t>
      </w:r>
      <w:r w:rsidR="00757F8D" w:rsidRPr="00FE771B">
        <w:rPr>
          <w:rFonts w:ascii="Times New Roman" w:hAnsi="Times New Roman" w:cs="Times New Roman"/>
          <w:color w:val="000000" w:themeColor="text1"/>
        </w:rPr>
        <w:t>激励目标企业管理层努力工作</w:t>
      </w:r>
      <w:r w:rsidR="002A0E4F" w:rsidRPr="00FE771B">
        <w:rPr>
          <w:rFonts w:ascii="Times New Roman" w:hAnsi="Times New Roman" w:cs="Times New Roman"/>
          <w:color w:val="000000" w:themeColor="text1"/>
        </w:rPr>
        <w:t>以便达到承诺业绩</w:t>
      </w:r>
      <w:r w:rsidR="00757F8D" w:rsidRPr="00FE771B">
        <w:rPr>
          <w:rFonts w:ascii="Times New Roman" w:hAnsi="Times New Roman" w:cs="Times New Roman"/>
          <w:color w:val="000000" w:themeColor="text1"/>
        </w:rPr>
        <w:t>（潘爱玲等，</w:t>
      </w:r>
      <w:r w:rsidR="00757F8D" w:rsidRPr="00FE771B">
        <w:rPr>
          <w:rFonts w:ascii="Times New Roman" w:hAnsi="Times New Roman" w:cs="Times New Roman"/>
          <w:color w:val="000000" w:themeColor="text1"/>
        </w:rPr>
        <w:t>2017</w:t>
      </w:r>
      <w:r w:rsidR="00757F8D" w:rsidRPr="00FE771B">
        <w:rPr>
          <w:rFonts w:ascii="Times New Roman" w:hAnsi="Times New Roman" w:cs="Times New Roman"/>
          <w:color w:val="000000" w:themeColor="text1"/>
        </w:rPr>
        <w:t>）</w:t>
      </w:r>
      <w:r w:rsidR="00AC6268" w:rsidRPr="00FE771B">
        <w:rPr>
          <w:rFonts w:ascii="Times New Roman" w:hAnsi="Times New Roman" w:cs="Times New Roman"/>
          <w:color w:val="000000" w:themeColor="text1"/>
        </w:rPr>
        <w:t>，</w:t>
      </w:r>
      <w:r w:rsidR="00757F8D" w:rsidRPr="00FE771B">
        <w:rPr>
          <w:rFonts w:ascii="Times New Roman" w:hAnsi="Times New Roman" w:cs="Times New Roman"/>
          <w:color w:val="000000" w:themeColor="text1"/>
        </w:rPr>
        <w:t>最终提高并购</w:t>
      </w:r>
      <w:r w:rsidR="00AC6268" w:rsidRPr="00FE771B">
        <w:rPr>
          <w:rFonts w:ascii="Times New Roman" w:hAnsi="Times New Roman" w:cs="Times New Roman"/>
          <w:color w:val="000000" w:themeColor="text1"/>
        </w:rPr>
        <w:t>协同效应</w:t>
      </w:r>
      <w:r w:rsidR="00757F8D" w:rsidRPr="00FE771B">
        <w:rPr>
          <w:rFonts w:ascii="Times New Roman" w:hAnsi="Times New Roman" w:cs="Times New Roman"/>
          <w:color w:val="000000" w:themeColor="text1"/>
        </w:rPr>
        <w:t>与</w:t>
      </w:r>
      <w:r w:rsidR="00AC6268" w:rsidRPr="00FE771B">
        <w:rPr>
          <w:rFonts w:ascii="Times New Roman" w:hAnsi="Times New Roman" w:cs="Times New Roman"/>
          <w:color w:val="000000" w:themeColor="text1"/>
        </w:rPr>
        <w:t>上市公司经营</w:t>
      </w:r>
      <w:r w:rsidR="00757F8D" w:rsidRPr="00FE771B">
        <w:rPr>
          <w:rFonts w:ascii="Times New Roman" w:hAnsi="Times New Roman" w:cs="Times New Roman"/>
          <w:color w:val="000000" w:themeColor="text1"/>
        </w:rPr>
        <w:t>绩效（李秉祥等，</w:t>
      </w:r>
      <w:r w:rsidR="00757F8D" w:rsidRPr="00FE771B">
        <w:rPr>
          <w:rFonts w:ascii="Times New Roman" w:hAnsi="Times New Roman" w:cs="Times New Roman"/>
          <w:color w:val="000000" w:themeColor="text1"/>
        </w:rPr>
        <w:t>2019</w:t>
      </w:r>
      <w:r w:rsidR="00757F8D" w:rsidRPr="00FE771B">
        <w:rPr>
          <w:rFonts w:ascii="Times New Roman" w:hAnsi="Times New Roman" w:cs="Times New Roman"/>
          <w:color w:val="000000" w:themeColor="text1"/>
        </w:rPr>
        <w:t>），增加并购溢价和股东收益（王竞达、范庆泉，</w:t>
      </w:r>
      <w:r w:rsidR="00757F8D" w:rsidRPr="00FE771B">
        <w:rPr>
          <w:rFonts w:ascii="Times New Roman" w:hAnsi="Times New Roman" w:cs="Times New Roman"/>
          <w:color w:val="000000" w:themeColor="text1"/>
        </w:rPr>
        <w:t>2017</w:t>
      </w:r>
      <w:r w:rsidR="00757F8D" w:rsidRPr="00FE771B">
        <w:rPr>
          <w:rFonts w:ascii="Times New Roman" w:hAnsi="Times New Roman" w:cs="Times New Roman"/>
          <w:color w:val="000000" w:themeColor="text1"/>
        </w:rPr>
        <w:t>；翟进步等，</w:t>
      </w:r>
      <w:r w:rsidR="00757F8D" w:rsidRPr="00FE771B">
        <w:rPr>
          <w:rFonts w:ascii="Times New Roman" w:hAnsi="Times New Roman" w:cs="Times New Roman"/>
          <w:color w:val="000000" w:themeColor="text1"/>
        </w:rPr>
        <w:t>2019</w:t>
      </w:r>
      <w:r w:rsidR="00757F8D" w:rsidRPr="00FE771B">
        <w:rPr>
          <w:rFonts w:ascii="Times New Roman" w:hAnsi="Times New Roman" w:cs="Times New Roman"/>
          <w:color w:val="000000" w:themeColor="text1"/>
        </w:rPr>
        <w:t>）。但另一方面，</w:t>
      </w:r>
      <w:r w:rsidR="00AC6268" w:rsidRPr="00FE771B">
        <w:rPr>
          <w:rFonts w:ascii="Times New Roman" w:hAnsi="Times New Roman" w:cs="Times New Roman"/>
          <w:color w:val="000000" w:themeColor="text1"/>
        </w:rPr>
        <w:t>在我国企业并购中，业绩承诺期一般为三年到五年（翟进步等，</w:t>
      </w:r>
      <w:r w:rsidR="00AC6268" w:rsidRPr="00FE771B">
        <w:rPr>
          <w:rFonts w:ascii="Times New Roman" w:hAnsi="Times New Roman" w:cs="Times New Roman"/>
          <w:color w:val="000000" w:themeColor="text1"/>
        </w:rPr>
        <w:t>2019</w:t>
      </w:r>
      <w:r w:rsidR="00AC6268" w:rsidRPr="00FE771B">
        <w:rPr>
          <w:rFonts w:ascii="Times New Roman" w:hAnsi="Times New Roman" w:cs="Times New Roman"/>
          <w:color w:val="000000" w:themeColor="text1"/>
        </w:rPr>
        <w:t>），业绩承诺期的较短也可能使得正向激励作用产生异化，即过度关注短期业绩而忽视长期业绩增长</w:t>
      </w:r>
      <w:r w:rsidR="00311F1B" w:rsidRPr="00FE771B">
        <w:rPr>
          <w:rFonts w:ascii="Times New Roman" w:hAnsi="Times New Roman" w:cs="Times New Roman"/>
          <w:color w:val="000000" w:themeColor="text1"/>
        </w:rPr>
        <w:t>，无法带来并购协同效应和上市公司经营效率改善</w:t>
      </w:r>
      <w:r w:rsidR="00AC6268" w:rsidRPr="00FE771B">
        <w:rPr>
          <w:rFonts w:ascii="Times New Roman" w:hAnsi="Times New Roman" w:cs="Times New Roman"/>
          <w:color w:val="000000" w:themeColor="text1"/>
        </w:rPr>
        <w:t>。</w:t>
      </w:r>
      <w:r w:rsidR="009B7AB1" w:rsidRPr="00FE771B">
        <w:rPr>
          <w:rFonts w:ascii="Times New Roman" w:hAnsi="Times New Roman" w:cs="Times New Roman"/>
          <w:color w:val="000000" w:themeColor="text1"/>
        </w:rPr>
        <w:t>Cadman et al</w:t>
      </w:r>
      <w:r w:rsidR="00AC6268" w:rsidRPr="00FE771B">
        <w:rPr>
          <w:rFonts w:ascii="Times New Roman" w:hAnsi="Times New Roman" w:cs="Times New Roman"/>
          <w:color w:val="000000" w:themeColor="text1"/>
        </w:rPr>
        <w:t>（</w:t>
      </w:r>
      <w:r w:rsidR="00AC6268" w:rsidRPr="00FE771B">
        <w:rPr>
          <w:rFonts w:ascii="Times New Roman" w:hAnsi="Times New Roman" w:cs="Times New Roman"/>
          <w:color w:val="000000" w:themeColor="text1"/>
        </w:rPr>
        <w:t>2014</w:t>
      </w:r>
      <w:r w:rsidR="00AC6268" w:rsidRPr="00FE771B">
        <w:rPr>
          <w:rFonts w:ascii="Times New Roman" w:hAnsi="Times New Roman" w:cs="Times New Roman"/>
          <w:color w:val="000000" w:themeColor="text1"/>
        </w:rPr>
        <w:t>）的研究表明，业绩承诺虽然能够起</w:t>
      </w:r>
      <w:r w:rsidR="00AC6268" w:rsidRPr="00FE771B">
        <w:rPr>
          <w:rFonts w:ascii="Times New Roman" w:hAnsi="Times New Roman" w:cs="Times New Roman"/>
          <w:color w:val="000000" w:themeColor="text1"/>
        </w:rPr>
        <w:lastRenderedPageBreak/>
        <w:t>到一定的正向激励作用，但也会促使标的公司出现短视行为，透支公司长期竞争力。</w:t>
      </w:r>
      <w:r w:rsidR="00B825AA" w:rsidRPr="00FE771B">
        <w:rPr>
          <w:rFonts w:ascii="Times New Roman" w:hAnsi="Times New Roman" w:cs="Times New Roman"/>
          <w:color w:val="000000" w:themeColor="text1"/>
        </w:rPr>
        <w:t>赵立新和姚又文（</w:t>
      </w:r>
      <w:r w:rsidR="00B825AA" w:rsidRPr="00FE771B">
        <w:rPr>
          <w:rFonts w:ascii="Times New Roman" w:hAnsi="Times New Roman" w:cs="Times New Roman"/>
          <w:color w:val="000000" w:themeColor="text1"/>
        </w:rPr>
        <w:t>2014</w:t>
      </w:r>
      <w:r w:rsidR="00B825AA" w:rsidRPr="00FE771B">
        <w:rPr>
          <w:rFonts w:ascii="Times New Roman" w:hAnsi="Times New Roman" w:cs="Times New Roman"/>
          <w:color w:val="000000" w:themeColor="text1"/>
        </w:rPr>
        <w:t>）指出目前业绩承诺存在的一些弊端，即将并购标的是否在一定期限提供持续的盈利能力作为判断标准容易导致忽视盈利之外的目的，引起企业短期行为和忽视长期增长效率。</w:t>
      </w:r>
      <w:r w:rsidR="002741C9" w:rsidRPr="00FE771B">
        <w:rPr>
          <w:rFonts w:ascii="Times New Roman" w:hAnsi="Times New Roman" w:cs="Times New Roman"/>
          <w:color w:val="000000" w:themeColor="text1"/>
        </w:rPr>
        <w:t>王竞达和范庆泉（</w:t>
      </w:r>
      <w:r w:rsidR="002741C9" w:rsidRPr="00FE771B">
        <w:rPr>
          <w:rFonts w:ascii="Times New Roman" w:hAnsi="Times New Roman" w:cs="Times New Roman"/>
          <w:color w:val="000000" w:themeColor="text1"/>
        </w:rPr>
        <w:t>2017</w:t>
      </w:r>
      <w:r w:rsidR="002741C9" w:rsidRPr="00FE771B">
        <w:rPr>
          <w:rFonts w:ascii="Times New Roman" w:hAnsi="Times New Roman" w:cs="Times New Roman"/>
          <w:color w:val="000000" w:themeColor="text1"/>
        </w:rPr>
        <w:t>）进一步得出我国并购重组中普遍存在高业绩承诺问题，高业绩承诺使得标的资产交易时产生了</w:t>
      </w:r>
      <w:r w:rsidR="002741C9" w:rsidRPr="00FE771B">
        <w:rPr>
          <w:rFonts w:ascii="Times New Roman" w:hAnsi="Times New Roman" w:cs="Times New Roman"/>
          <w:color w:val="000000" w:themeColor="text1"/>
        </w:rPr>
        <w:t>“</w:t>
      </w:r>
      <w:r w:rsidR="002741C9" w:rsidRPr="00FE771B">
        <w:rPr>
          <w:rFonts w:ascii="Times New Roman" w:hAnsi="Times New Roman" w:cs="Times New Roman"/>
          <w:color w:val="000000" w:themeColor="text1"/>
        </w:rPr>
        <w:t>高溢价</w:t>
      </w:r>
      <w:r w:rsidR="002741C9" w:rsidRPr="00FE771B">
        <w:rPr>
          <w:rFonts w:ascii="Times New Roman" w:hAnsi="Times New Roman" w:cs="Times New Roman"/>
          <w:color w:val="000000" w:themeColor="text1"/>
        </w:rPr>
        <w:t>”</w:t>
      </w:r>
      <w:r w:rsidR="002741C9" w:rsidRPr="00FE771B">
        <w:rPr>
          <w:rFonts w:ascii="Times New Roman" w:hAnsi="Times New Roman" w:cs="Times New Roman"/>
          <w:color w:val="000000" w:themeColor="text1"/>
        </w:rPr>
        <w:t>现象。业绩承诺在前期业绩实现期的达成率要显著高于后期，而并购交易相关方有动机在承诺期内</w:t>
      </w:r>
      <w:r w:rsidR="004034EE" w:rsidRPr="00FE771B">
        <w:rPr>
          <w:rFonts w:ascii="Times New Roman" w:hAnsi="Times New Roman" w:cs="Times New Roman"/>
          <w:color w:val="000000" w:themeColor="text1"/>
        </w:rPr>
        <w:t>“</w:t>
      </w:r>
      <w:r w:rsidR="004034EE" w:rsidRPr="00FE771B">
        <w:rPr>
          <w:rFonts w:ascii="Times New Roman" w:hAnsi="Times New Roman" w:cs="Times New Roman"/>
          <w:color w:val="000000" w:themeColor="text1"/>
        </w:rPr>
        <w:t>拼凑</w:t>
      </w:r>
      <w:r w:rsidR="004034EE" w:rsidRPr="00FE771B">
        <w:rPr>
          <w:rFonts w:ascii="Times New Roman" w:hAnsi="Times New Roman" w:cs="Times New Roman"/>
          <w:color w:val="000000" w:themeColor="text1"/>
        </w:rPr>
        <w:t>”</w:t>
      </w:r>
      <w:proofErr w:type="gramStart"/>
      <w:r w:rsidR="004034EE" w:rsidRPr="00FE771B">
        <w:rPr>
          <w:rFonts w:ascii="Times New Roman" w:hAnsi="Times New Roman" w:cs="Times New Roman"/>
          <w:color w:val="000000" w:themeColor="text1"/>
        </w:rPr>
        <w:t>当年业绩</w:t>
      </w:r>
      <w:proofErr w:type="gramEnd"/>
      <w:r w:rsidR="004034EE" w:rsidRPr="00FE771B">
        <w:rPr>
          <w:rFonts w:ascii="Times New Roman" w:hAnsi="Times New Roman" w:cs="Times New Roman"/>
          <w:color w:val="000000" w:themeColor="text1"/>
        </w:rPr>
        <w:t>或</w:t>
      </w:r>
      <w:r w:rsidR="004034EE" w:rsidRPr="00FE771B">
        <w:rPr>
          <w:rFonts w:ascii="Times New Roman" w:hAnsi="Times New Roman" w:cs="Times New Roman"/>
          <w:color w:val="000000" w:themeColor="text1"/>
        </w:rPr>
        <w:t>“</w:t>
      </w:r>
      <w:r w:rsidR="004034EE" w:rsidRPr="00FE771B">
        <w:rPr>
          <w:rFonts w:ascii="Times New Roman" w:hAnsi="Times New Roman" w:cs="Times New Roman"/>
          <w:color w:val="000000" w:themeColor="text1"/>
        </w:rPr>
        <w:t>预留</w:t>
      </w:r>
      <w:r w:rsidR="004034EE" w:rsidRPr="00FE771B">
        <w:rPr>
          <w:rFonts w:ascii="Times New Roman" w:hAnsi="Times New Roman" w:cs="Times New Roman"/>
          <w:color w:val="000000" w:themeColor="text1"/>
        </w:rPr>
        <w:t>”</w:t>
      </w:r>
      <w:r w:rsidR="004034EE" w:rsidRPr="00FE771B">
        <w:rPr>
          <w:rFonts w:ascii="Times New Roman" w:hAnsi="Times New Roman" w:cs="Times New Roman"/>
          <w:color w:val="000000" w:themeColor="text1"/>
        </w:rPr>
        <w:t>以后年度经营业绩</w:t>
      </w:r>
      <w:r w:rsidR="002741C9" w:rsidRPr="00FE771B">
        <w:rPr>
          <w:rFonts w:ascii="Times New Roman" w:hAnsi="Times New Roman" w:cs="Times New Roman"/>
          <w:color w:val="000000" w:themeColor="text1"/>
        </w:rPr>
        <w:t>，如将未来利润提早确认或为未来盈余预留空间而财务造假。刘向强等（</w:t>
      </w:r>
      <w:r w:rsidR="002741C9" w:rsidRPr="00FE771B">
        <w:rPr>
          <w:rFonts w:ascii="Times New Roman" w:hAnsi="Times New Roman" w:cs="Times New Roman"/>
          <w:color w:val="000000" w:themeColor="text1"/>
        </w:rPr>
        <w:t>2018</w:t>
      </w:r>
      <w:r w:rsidR="002741C9" w:rsidRPr="00FE771B">
        <w:rPr>
          <w:rFonts w:ascii="Times New Roman" w:hAnsi="Times New Roman" w:cs="Times New Roman"/>
          <w:color w:val="000000" w:themeColor="text1"/>
        </w:rPr>
        <w:t>）认为</w:t>
      </w:r>
      <w:r w:rsidR="00DD1248" w:rsidRPr="00FE771B">
        <w:rPr>
          <w:rFonts w:ascii="Times New Roman" w:hAnsi="Times New Roman" w:cs="Times New Roman"/>
          <w:color w:val="000000" w:themeColor="text1"/>
        </w:rPr>
        <w:t>业绩承诺</w:t>
      </w:r>
      <w:proofErr w:type="gramStart"/>
      <w:r w:rsidR="00DD1248" w:rsidRPr="00FE771B">
        <w:rPr>
          <w:rFonts w:ascii="Times New Roman" w:hAnsi="Times New Roman" w:cs="Times New Roman"/>
          <w:color w:val="000000" w:themeColor="text1"/>
        </w:rPr>
        <w:t>约束仅</w:t>
      </w:r>
      <w:proofErr w:type="gramEnd"/>
      <w:r w:rsidR="00DD1248" w:rsidRPr="00FE771B">
        <w:rPr>
          <w:rFonts w:ascii="Times New Roman" w:hAnsi="Times New Roman" w:cs="Times New Roman"/>
          <w:color w:val="000000" w:themeColor="text1"/>
        </w:rPr>
        <w:t>在承诺期内有效、承诺期后约束不再，使得</w:t>
      </w:r>
      <w:r w:rsidR="002741C9" w:rsidRPr="00FE771B">
        <w:rPr>
          <w:rFonts w:ascii="Times New Roman" w:hAnsi="Times New Roman" w:cs="Times New Roman"/>
          <w:color w:val="000000" w:themeColor="text1"/>
        </w:rPr>
        <w:t>目标企业在并购完成后有动机将未来业绩通过盈余管理手段转移到承诺期内</w:t>
      </w:r>
      <w:r w:rsidR="009A41A1" w:rsidRPr="00FE771B">
        <w:rPr>
          <w:rFonts w:ascii="Times New Roman" w:hAnsi="Times New Roman" w:cs="Times New Roman"/>
          <w:color w:val="000000" w:themeColor="text1"/>
        </w:rPr>
        <w:t>。</w:t>
      </w:r>
      <w:r w:rsidR="00D015A4" w:rsidRPr="00FE771B">
        <w:rPr>
          <w:rFonts w:ascii="Times New Roman" w:hAnsi="Times New Roman" w:cs="Times New Roman"/>
          <w:color w:val="000000" w:themeColor="text1"/>
        </w:rPr>
        <w:t>翟进步等（</w:t>
      </w:r>
      <w:r w:rsidR="00D015A4" w:rsidRPr="00FE771B">
        <w:rPr>
          <w:rFonts w:ascii="Times New Roman" w:hAnsi="Times New Roman" w:cs="Times New Roman"/>
          <w:color w:val="000000" w:themeColor="text1"/>
        </w:rPr>
        <w:t>2019</w:t>
      </w:r>
      <w:r w:rsidR="00D015A4" w:rsidRPr="00FE771B">
        <w:rPr>
          <w:rFonts w:ascii="Times New Roman" w:hAnsi="Times New Roman" w:cs="Times New Roman"/>
          <w:color w:val="000000" w:themeColor="text1"/>
        </w:rPr>
        <w:t>）</w:t>
      </w:r>
      <w:r w:rsidR="00D615EA" w:rsidRPr="00FE771B">
        <w:rPr>
          <w:rFonts w:ascii="Times New Roman" w:hAnsi="Times New Roman" w:cs="Times New Roman"/>
          <w:color w:val="000000" w:themeColor="text1"/>
        </w:rPr>
        <w:t>指出业绩承诺推高资产估值</w:t>
      </w:r>
      <w:r w:rsidR="00D015A4" w:rsidRPr="00FE771B">
        <w:rPr>
          <w:rFonts w:ascii="Times New Roman" w:hAnsi="Times New Roman" w:cs="Times New Roman"/>
          <w:color w:val="000000" w:themeColor="text1"/>
        </w:rPr>
        <w:t>，</w:t>
      </w:r>
      <w:r w:rsidR="00D615EA" w:rsidRPr="00FE771B">
        <w:rPr>
          <w:rFonts w:ascii="Times New Roman" w:hAnsi="Times New Roman" w:cs="Times New Roman"/>
          <w:color w:val="000000" w:themeColor="text1"/>
        </w:rPr>
        <w:t>而标的资产高估值带来上市公司股价虚高对业绩承诺完成率形成拖累，加剧了中小投资者风险；</w:t>
      </w:r>
      <w:r w:rsidR="004034EE" w:rsidRPr="00FE771B">
        <w:rPr>
          <w:rFonts w:ascii="Times New Roman" w:hAnsi="Times New Roman" w:cs="Times New Roman"/>
          <w:color w:val="000000" w:themeColor="text1"/>
        </w:rPr>
        <w:t>徐莉萍等（</w:t>
      </w:r>
      <w:r w:rsidR="004034EE" w:rsidRPr="00FE771B">
        <w:rPr>
          <w:rFonts w:ascii="Times New Roman" w:hAnsi="Times New Roman" w:cs="Times New Roman"/>
          <w:color w:val="000000" w:themeColor="text1"/>
        </w:rPr>
        <w:t>2021</w:t>
      </w:r>
      <w:r w:rsidR="004034EE" w:rsidRPr="00FE771B">
        <w:rPr>
          <w:rFonts w:ascii="Times New Roman" w:hAnsi="Times New Roman" w:cs="Times New Roman"/>
          <w:color w:val="000000" w:themeColor="text1"/>
        </w:rPr>
        <w:t>）</w:t>
      </w:r>
      <w:r w:rsidR="00EA52D7" w:rsidRPr="00FE771B">
        <w:rPr>
          <w:rFonts w:ascii="Times New Roman" w:hAnsi="Times New Roman" w:cs="Times New Roman"/>
          <w:color w:val="000000" w:themeColor="text1"/>
        </w:rPr>
        <w:t>发现</w:t>
      </w:r>
      <w:r w:rsidR="00C64B0C" w:rsidRPr="00FE771B">
        <w:rPr>
          <w:rFonts w:ascii="Times New Roman" w:hAnsi="Times New Roman" w:cs="Times New Roman"/>
          <w:color w:val="000000" w:themeColor="text1"/>
        </w:rPr>
        <w:t>控股股东股权质押期间签订了并购业绩承诺的次年，上市公司可以维持其经营业绩保持不变，但签订了并购业绩承诺的第</w:t>
      </w:r>
      <w:r w:rsidR="00C64B0C" w:rsidRPr="00FE771B">
        <w:rPr>
          <w:rFonts w:ascii="Times New Roman" w:hAnsi="Times New Roman" w:cs="Times New Roman"/>
          <w:color w:val="000000" w:themeColor="text1"/>
        </w:rPr>
        <w:t>2</w:t>
      </w:r>
      <w:r w:rsidR="00C64B0C" w:rsidRPr="00FE771B">
        <w:rPr>
          <w:rFonts w:ascii="Times New Roman" w:hAnsi="Times New Roman" w:cs="Times New Roman"/>
          <w:color w:val="000000" w:themeColor="text1"/>
        </w:rPr>
        <w:t>年和第</w:t>
      </w:r>
      <w:r w:rsidR="00850591" w:rsidRPr="00FE771B">
        <w:rPr>
          <w:rFonts w:ascii="Times New Roman" w:hAnsi="Times New Roman" w:cs="Times New Roman"/>
          <w:color w:val="000000" w:themeColor="text1"/>
        </w:rPr>
        <w:t>3</w:t>
      </w:r>
      <w:r w:rsidR="00C64B0C" w:rsidRPr="00FE771B">
        <w:rPr>
          <w:rFonts w:ascii="Times New Roman" w:hAnsi="Times New Roman" w:cs="Times New Roman"/>
          <w:color w:val="000000" w:themeColor="text1"/>
        </w:rPr>
        <w:t>年，其经营绩效显著下降。</w:t>
      </w:r>
    </w:p>
    <w:p w:rsidR="008971C1" w:rsidRPr="00FE771B" w:rsidRDefault="00311F1B" w:rsidP="00DC1841">
      <w:pPr>
        <w:overflowPunct w:val="0"/>
        <w:ind w:firstLineChars="200" w:firstLine="420"/>
        <w:rPr>
          <w:rFonts w:ascii="Times New Roman" w:hAnsi="Times New Roman" w:cs="Times New Roman"/>
          <w:color w:val="000000" w:themeColor="text1"/>
        </w:rPr>
      </w:pPr>
      <w:r w:rsidRPr="00FE771B">
        <w:rPr>
          <w:rFonts w:ascii="Times New Roman" w:hAnsi="Times New Roman" w:cs="Times New Roman"/>
          <w:color w:val="000000" w:themeColor="text1"/>
        </w:rPr>
        <w:t>综上所述，已有研究从不同角度解释了业绩承诺产生原因及其对上市公司并购效率的影响</w:t>
      </w:r>
      <w:r w:rsidR="00961E42" w:rsidRPr="00FE771B">
        <w:rPr>
          <w:rFonts w:ascii="Times New Roman" w:hAnsi="Times New Roman" w:cs="Times New Roman"/>
          <w:color w:val="000000" w:themeColor="text1"/>
        </w:rPr>
        <w:t>，</w:t>
      </w:r>
      <w:r w:rsidR="00C4015E" w:rsidRPr="00FE771B">
        <w:rPr>
          <w:rFonts w:ascii="Times New Roman" w:hAnsi="Times New Roman" w:cs="Times New Roman"/>
          <w:color w:val="000000" w:themeColor="text1"/>
        </w:rPr>
        <w:t>总得来说业绩承诺在实践中似乎并没有更好地发挥估值调整功能，而是加剧了市场波动和</w:t>
      </w:r>
      <w:r w:rsidR="00ED2224" w:rsidRPr="00FE771B">
        <w:rPr>
          <w:rFonts w:ascii="Times New Roman" w:hAnsi="Times New Roman" w:cs="Times New Roman"/>
          <w:color w:val="000000" w:themeColor="text1"/>
        </w:rPr>
        <w:t>更加重视短期业绩增长</w:t>
      </w:r>
      <w:r w:rsidR="00C4015E" w:rsidRPr="00FE771B">
        <w:rPr>
          <w:rFonts w:ascii="Times New Roman" w:hAnsi="Times New Roman" w:cs="Times New Roman"/>
          <w:color w:val="000000" w:themeColor="text1"/>
        </w:rPr>
        <w:t>。</w:t>
      </w:r>
      <w:r w:rsidR="00ED2224" w:rsidRPr="00FE771B">
        <w:rPr>
          <w:rFonts w:ascii="Times New Roman" w:hAnsi="Times New Roman" w:cs="Times New Roman"/>
          <w:color w:val="000000" w:themeColor="text1"/>
        </w:rPr>
        <w:t>考虑到</w:t>
      </w:r>
      <w:r w:rsidR="00ED2224" w:rsidRPr="00FE771B">
        <w:rPr>
          <w:rFonts w:ascii="Times New Roman" w:hAnsi="Times New Roman" w:cs="Times New Roman"/>
          <w:color w:val="000000" w:themeColor="text1"/>
        </w:rPr>
        <w:t>“</w:t>
      </w:r>
      <w:r w:rsidR="00ED2224" w:rsidRPr="00FE771B">
        <w:rPr>
          <w:rFonts w:ascii="Times New Roman" w:hAnsi="Times New Roman" w:cs="Times New Roman"/>
          <w:color w:val="000000" w:themeColor="text1"/>
        </w:rPr>
        <w:t>脱实向虚</w:t>
      </w:r>
      <w:r w:rsidR="00ED2224" w:rsidRPr="00FE771B">
        <w:rPr>
          <w:rFonts w:ascii="Times New Roman" w:hAnsi="Times New Roman" w:cs="Times New Roman"/>
          <w:color w:val="000000" w:themeColor="text1"/>
        </w:rPr>
        <w:t>”</w:t>
      </w:r>
      <w:r w:rsidR="00ED2224" w:rsidRPr="00FE771B">
        <w:rPr>
          <w:rFonts w:ascii="Times New Roman" w:hAnsi="Times New Roman" w:cs="Times New Roman"/>
          <w:color w:val="000000" w:themeColor="text1"/>
        </w:rPr>
        <w:t>正是企业将经营视野较长的实业投资置换为视野较短虚拟投资，本文欲在已有研究基础上从并购样本角度发掘业绩承诺是否</w:t>
      </w:r>
      <w:r w:rsidR="00F30648" w:rsidRPr="00FE771B">
        <w:rPr>
          <w:rFonts w:ascii="Times New Roman" w:hAnsi="Times New Roman" w:cs="Times New Roman"/>
          <w:color w:val="000000" w:themeColor="text1"/>
        </w:rPr>
        <w:t>加剧上市公司</w:t>
      </w:r>
      <w:r w:rsidR="00F30648" w:rsidRPr="00FE771B">
        <w:rPr>
          <w:rFonts w:ascii="Times New Roman" w:hAnsi="Times New Roman" w:cs="Times New Roman"/>
          <w:color w:val="000000" w:themeColor="text1"/>
        </w:rPr>
        <w:t>“</w:t>
      </w:r>
      <w:r w:rsidR="00F30648" w:rsidRPr="00FE771B">
        <w:rPr>
          <w:rFonts w:ascii="Times New Roman" w:hAnsi="Times New Roman" w:cs="Times New Roman"/>
          <w:color w:val="000000" w:themeColor="text1"/>
        </w:rPr>
        <w:t>脱实向虚</w:t>
      </w:r>
      <w:r w:rsidR="00F30648" w:rsidRPr="00FE771B">
        <w:rPr>
          <w:rFonts w:ascii="Times New Roman" w:hAnsi="Times New Roman" w:cs="Times New Roman"/>
          <w:color w:val="000000" w:themeColor="text1"/>
        </w:rPr>
        <w:t>”</w:t>
      </w:r>
      <w:r w:rsidR="00F30648" w:rsidRPr="00FE771B">
        <w:rPr>
          <w:rFonts w:ascii="Times New Roman" w:hAnsi="Times New Roman" w:cs="Times New Roman"/>
          <w:color w:val="000000" w:themeColor="text1"/>
        </w:rPr>
        <w:t>，即金融化倾向，从业绩承诺这一全新角度揭示导致企业</w:t>
      </w:r>
      <w:r w:rsidR="00F30648" w:rsidRPr="00FE771B">
        <w:rPr>
          <w:rFonts w:ascii="Times New Roman" w:hAnsi="Times New Roman" w:cs="Times New Roman"/>
          <w:color w:val="000000" w:themeColor="text1"/>
        </w:rPr>
        <w:t>“</w:t>
      </w:r>
      <w:r w:rsidR="00F30648" w:rsidRPr="00FE771B">
        <w:rPr>
          <w:rFonts w:ascii="Times New Roman" w:hAnsi="Times New Roman" w:cs="Times New Roman"/>
          <w:color w:val="000000" w:themeColor="text1"/>
        </w:rPr>
        <w:t>脱实向虚</w:t>
      </w:r>
      <w:r w:rsidR="00F30648" w:rsidRPr="00FE771B">
        <w:rPr>
          <w:rFonts w:ascii="Times New Roman" w:hAnsi="Times New Roman" w:cs="Times New Roman"/>
          <w:color w:val="000000" w:themeColor="text1"/>
        </w:rPr>
        <w:t>”</w:t>
      </w:r>
      <w:r w:rsidR="00F30648" w:rsidRPr="00FE771B">
        <w:rPr>
          <w:rFonts w:ascii="Times New Roman" w:hAnsi="Times New Roman" w:cs="Times New Roman"/>
          <w:color w:val="000000" w:themeColor="text1"/>
        </w:rPr>
        <w:t>的原因和内在机制，</w:t>
      </w:r>
      <w:r w:rsidR="00941F78" w:rsidRPr="00FE771B">
        <w:rPr>
          <w:rFonts w:ascii="Times New Roman" w:hAnsi="Times New Roman" w:cs="Times New Roman"/>
          <w:color w:val="000000" w:themeColor="text1"/>
        </w:rPr>
        <w:t>为认识和治理企业</w:t>
      </w:r>
      <w:r w:rsidR="00941F78" w:rsidRPr="00FE771B">
        <w:rPr>
          <w:rFonts w:ascii="Times New Roman" w:hAnsi="Times New Roman" w:cs="Times New Roman"/>
          <w:color w:val="000000" w:themeColor="text1"/>
        </w:rPr>
        <w:t>“</w:t>
      </w:r>
      <w:r w:rsidR="00941F78" w:rsidRPr="00FE771B">
        <w:rPr>
          <w:rFonts w:ascii="Times New Roman" w:hAnsi="Times New Roman" w:cs="Times New Roman"/>
          <w:color w:val="000000" w:themeColor="text1"/>
        </w:rPr>
        <w:t>脱虚向实</w:t>
      </w:r>
      <w:r w:rsidR="00941F78" w:rsidRPr="00FE771B">
        <w:rPr>
          <w:rFonts w:ascii="Times New Roman" w:hAnsi="Times New Roman" w:cs="Times New Roman"/>
          <w:color w:val="000000" w:themeColor="text1"/>
        </w:rPr>
        <w:t>”</w:t>
      </w:r>
      <w:r w:rsidR="00941F78" w:rsidRPr="00FE771B">
        <w:rPr>
          <w:rFonts w:ascii="Times New Roman" w:hAnsi="Times New Roman" w:cs="Times New Roman"/>
          <w:color w:val="000000" w:themeColor="text1"/>
        </w:rPr>
        <w:t>提供理论和经验支撑。</w:t>
      </w:r>
    </w:p>
    <w:p w:rsidR="00757332" w:rsidRPr="00FE771B" w:rsidRDefault="00892AC9" w:rsidP="00FA58DE">
      <w:pPr>
        <w:pStyle w:val="2"/>
        <w:ind w:firstLine="422"/>
        <w:rPr>
          <w:rFonts w:ascii="Times New Roman" w:hAnsi="Times New Roman" w:cs="Times New Roman"/>
          <w:color w:val="000000" w:themeColor="text1"/>
        </w:rPr>
      </w:pPr>
      <w:r w:rsidRPr="00FE771B">
        <w:rPr>
          <w:rFonts w:ascii="Times New Roman" w:hAnsi="Times New Roman" w:cs="Times New Roman"/>
          <w:color w:val="000000" w:themeColor="text1"/>
        </w:rPr>
        <w:t>（二）</w:t>
      </w:r>
      <w:r w:rsidR="00757332" w:rsidRPr="00FE771B">
        <w:rPr>
          <w:rFonts w:ascii="Times New Roman" w:hAnsi="Times New Roman" w:cs="Times New Roman"/>
          <w:color w:val="000000" w:themeColor="text1"/>
        </w:rPr>
        <w:t>理论分析与研究假说</w:t>
      </w:r>
    </w:p>
    <w:p w:rsidR="00C65540" w:rsidRPr="00FE771B" w:rsidRDefault="00A86DAB" w:rsidP="00A86DAB">
      <w:pPr>
        <w:overflowPunct w:val="0"/>
        <w:ind w:firstLineChars="200" w:firstLine="420"/>
        <w:rPr>
          <w:rFonts w:ascii="Times New Roman" w:hAnsi="Times New Roman" w:cs="Times New Roman"/>
        </w:rPr>
      </w:pPr>
      <w:r w:rsidRPr="00FE771B">
        <w:rPr>
          <w:rFonts w:ascii="Times New Roman" w:hAnsi="Times New Roman" w:cs="Times New Roman"/>
        </w:rPr>
        <w:t>科学和合理确定并购标的价值是上市公司并购成功与否的重要因素。根据现金流折现估值模型</w:t>
      </w:r>
      <w:r w:rsidRPr="00FE771B">
        <w:rPr>
          <w:rFonts w:ascii="Times New Roman" w:hAnsi="Times New Roman" w:cs="Times New Roman"/>
        </w:rPr>
        <w:t>(DCF)</w:t>
      </w:r>
      <w:r w:rsidRPr="00FE771B">
        <w:rPr>
          <w:rFonts w:ascii="Times New Roman" w:hAnsi="Times New Roman" w:cs="Times New Roman"/>
        </w:rPr>
        <w:t>，标的公司价值确定的难点就在于其未来现金流产生能力，进一步说是盈利能力存在较大不确定性。</w:t>
      </w:r>
      <w:r w:rsidR="002D29DC" w:rsidRPr="00FE771B">
        <w:rPr>
          <w:rFonts w:ascii="Times New Roman" w:hAnsi="Times New Roman" w:cs="Times New Roman"/>
        </w:rPr>
        <w:t>业绩承诺</w:t>
      </w:r>
      <w:r w:rsidRPr="00FE771B">
        <w:rPr>
          <w:rFonts w:ascii="Times New Roman" w:hAnsi="Times New Roman" w:cs="Times New Roman"/>
        </w:rPr>
        <w:t>协议通过对标的公司未来三年到五年的业绩进行承诺不仅缓解了并购方因信息不对称而致的并购风险问题</w:t>
      </w:r>
      <w:r w:rsidR="00892AC9" w:rsidRPr="00FE771B">
        <w:rPr>
          <w:rFonts w:ascii="Times New Roman" w:hAnsi="Times New Roman" w:cs="Times New Roman"/>
        </w:rPr>
        <w:t>（潘爱玲等，</w:t>
      </w:r>
      <w:r w:rsidR="00892AC9" w:rsidRPr="00FE771B">
        <w:rPr>
          <w:rFonts w:ascii="Times New Roman" w:hAnsi="Times New Roman" w:cs="Times New Roman"/>
        </w:rPr>
        <w:t>2017</w:t>
      </w:r>
      <w:r w:rsidR="00892AC9" w:rsidRPr="00FE771B">
        <w:rPr>
          <w:rFonts w:ascii="Times New Roman" w:hAnsi="Times New Roman" w:cs="Times New Roman"/>
        </w:rPr>
        <w:t>；李晶晶等，</w:t>
      </w:r>
      <w:r w:rsidR="00892AC9" w:rsidRPr="00FE771B">
        <w:rPr>
          <w:rFonts w:ascii="Times New Roman" w:hAnsi="Times New Roman" w:cs="Times New Roman"/>
        </w:rPr>
        <w:t>2020</w:t>
      </w:r>
      <w:r w:rsidR="00892AC9" w:rsidRPr="00FE771B">
        <w:rPr>
          <w:rFonts w:ascii="Times New Roman" w:hAnsi="Times New Roman" w:cs="Times New Roman"/>
        </w:rPr>
        <w:t>）</w:t>
      </w:r>
      <w:r w:rsidRPr="00FE771B">
        <w:rPr>
          <w:rFonts w:ascii="Times New Roman" w:hAnsi="Times New Roman" w:cs="Times New Roman"/>
        </w:rPr>
        <w:t>，更会对上市公司经营决策造成重要影响。</w:t>
      </w:r>
      <w:r w:rsidR="002D29DC" w:rsidRPr="00FE771B">
        <w:rPr>
          <w:rFonts w:ascii="Times New Roman" w:hAnsi="Times New Roman" w:cs="Times New Roman"/>
        </w:rPr>
        <w:t>业绩承诺</w:t>
      </w:r>
      <w:r w:rsidRPr="00FE771B">
        <w:rPr>
          <w:rFonts w:ascii="Times New Roman" w:hAnsi="Times New Roman" w:cs="Times New Roman"/>
        </w:rPr>
        <w:t>这一积极信号必然资本市场异动，导致上市公司股价发生变化</w:t>
      </w:r>
      <w:r w:rsidR="00892AC9" w:rsidRPr="00FE771B">
        <w:rPr>
          <w:rFonts w:ascii="Times New Roman" w:hAnsi="Times New Roman" w:cs="Times New Roman"/>
        </w:rPr>
        <w:t>（沈华玉、林永坚，</w:t>
      </w:r>
      <w:r w:rsidR="00892AC9" w:rsidRPr="00FE771B">
        <w:rPr>
          <w:rFonts w:ascii="Times New Roman" w:hAnsi="Times New Roman" w:cs="Times New Roman"/>
        </w:rPr>
        <w:t>2018</w:t>
      </w:r>
      <w:r w:rsidR="00892AC9" w:rsidRPr="00FE771B">
        <w:rPr>
          <w:rFonts w:ascii="Times New Roman" w:hAnsi="Times New Roman" w:cs="Times New Roman"/>
        </w:rPr>
        <w:t>；徐莉萍等，</w:t>
      </w:r>
      <w:r w:rsidR="00892AC9" w:rsidRPr="00FE771B">
        <w:rPr>
          <w:rFonts w:ascii="Times New Roman" w:hAnsi="Times New Roman" w:cs="Times New Roman"/>
        </w:rPr>
        <w:t>2021</w:t>
      </w:r>
      <w:r w:rsidR="00892AC9" w:rsidRPr="00FE771B">
        <w:rPr>
          <w:rFonts w:ascii="Times New Roman" w:hAnsi="Times New Roman" w:cs="Times New Roman"/>
        </w:rPr>
        <w:t>）</w:t>
      </w:r>
      <w:r w:rsidRPr="00FE771B">
        <w:rPr>
          <w:rFonts w:ascii="Times New Roman" w:hAnsi="Times New Roman" w:cs="Times New Roman"/>
        </w:rPr>
        <w:t>，特别是中国目前实践中</w:t>
      </w:r>
      <w:r w:rsidR="002D29DC" w:rsidRPr="00FE771B">
        <w:rPr>
          <w:rFonts w:ascii="Times New Roman" w:hAnsi="Times New Roman" w:cs="Times New Roman"/>
        </w:rPr>
        <w:t>业绩承诺</w:t>
      </w:r>
      <w:r w:rsidRPr="00FE771B">
        <w:rPr>
          <w:rFonts w:ascii="Times New Roman" w:hAnsi="Times New Roman" w:cs="Times New Roman"/>
        </w:rPr>
        <w:t>通常都具有</w:t>
      </w:r>
      <w:r w:rsidR="008516D5" w:rsidRPr="00FE771B">
        <w:rPr>
          <w:rFonts w:ascii="Times New Roman" w:hAnsi="Times New Roman" w:cs="Times New Roman"/>
        </w:rPr>
        <w:t>“</w:t>
      </w:r>
      <w:r w:rsidR="008516D5" w:rsidRPr="00FE771B">
        <w:rPr>
          <w:rFonts w:ascii="Times New Roman" w:hAnsi="Times New Roman" w:cs="Times New Roman"/>
        </w:rPr>
        <w:t>高溢价</w:t>
      </w:r>
      <w:r w:rsidR="008516D5" w:rsidRPr="00FE771B">
        <w:rPr>
          <w:rFonts w:ascii="Times New Roman" w:hAnsi="Times New Roman" w:cs="Times New Roman"/>
        </w:rPr>
        <w:t>”</w:t>
      </w:r>
      <w:r w:rsidR="008516D5" w:rsidRPr="00FE771B">
        <w:rPr>
          <w:rFonts w:ascii="Times New Roman" w:hAnsi="Times New Roman" w:cs="Times New Roman"/>
        </w:rPr>
        <w:t>特征，即上市公司收购价格远远高于标的公司净资产账面价值，</w:t>
      </w:r>
      <w:r w:rsidR="008516D5" w:rsidRPr="00FE771B">
        <w:rPr>
          <w:rFonts w:ascii="Times New Roman" w:hAnsi="Times New Roman" w:cs="Times New Roman"/>
        </w:rPr>
        <w:t>“</w:t>
      </w:r>
      <w:r w:rsidR="008516D5" w:rsidRPr="00FE771B">
        <w:rPr>
          <w:rFonts w:ascii="Times New Roman" w:hAnsi="Times New Roman" w:cs="Times New Roman"/>
        </w:rPr>
        <w:t>高溢价</w:t>
      </w:r>
      <w:r w:rsidR="008516D5" w:rsidRPr="00FE771B">
        <w:rPr>
          <w:rFonts w:ascii="Times New Roman" w:hAnsi="Times New Roman" w:cs="Times New Roman"/>
        </w:rPr>
        <w:t>”</w:t>
      </w:r>
      <w:r w:rsidRPr="00FE771B">
        <w:rPr>
          <w:rFonts w:ascii="Times New Roman" w:hAnsi="Times New Roman" w:cs="Times New Roman"/>
        </w:rPr>
        <w:t>必然会通过高业绩承诺来反映，这使得</w:t>
      </w:r>
      <w:r w:rsidR="002D29DC" w:rsidRPr="00FE771B">
        <w:rPr>
          <w:rFonts w:ascii="Times New Roman" w:hAnsi="Times New Roman" w:cs="Times New Roman"/>
        </w:rPr>
        <w:t>业绩承诺</w:t>
      </w:r>
      <w:r w:rsidRPr="00FE771B">
        <w:rPr>
          <w:rFonts w:ascii="Times New Roman" w:hAnsi="Times New Roman" w:cs="Times New Roman"/>
        </w:rPr>
        <w:t>的积极信号更加强烈，</w:t>
      </w:r>
      <w:r w:rsidR="008516D5" w:rsidRPr="00FE771B">
        <w:rPr>
          <w:rFonts w:ascii="Times New Roman" w:hAnsi="Times New Roman" w:cs="Times New Roman"/>
        </w:rPr>
        <w:t>“</w:t>
      </w:r>
      <w:r w:rsidR="008516D5" w:rsidRPr="00FE771B">
        <w:rPr>
          <w:rFonts w:ascii="Times New Roman" w:hAnsi="Times New Roman" w:cs="Times New Roman"/>
        </w:rPr>
        <w:t>高溢价</w:t>
      </w:r>
      <w:r w:rsidR="008516D5" w:rsidRPr="00FE771B">
        <w:rPr>
          <w:rFonts w:ascii="Times New Roman" w:hAnsi="Times New Roman" w:cs="Times New Roman"/>
        </w:rPr>
        <w:t>”</w:t>
      </w:r>
      <w:r w:rsidRPr="00FE771B">
        <w:rPr>
          <w:rFonts w:ascii="Times New Roman" w:hAnsi="Times New Roman" w:cs="Times New Roman"/>
        </w:rPr>
        <w:t>和</w:t>
      </w:r>
      <w:r w:rsidR="008516D5" w:rsidRPr="00FE771B">
        <w:rPr>
          <w:rFonts w:ascii="Times New Roman" w:hAnsi="Times New Roman" w:cs="Times New Roman"/>
        </w:rPr>
        <w:t>“</w:t>
      </w:r>
      <w:r w:rsidR="008516D5" w:rsidRPr="00FE771B">
        <w:rPr>
          <w:rFonts w:ascii="Times New Roman" w:hAnsi="Times New Roman" w:cs="Times New Roman"/>
        </w:rPr>
        <w:t>高承诺</w:t>
      </w:r>
      <w:r w:rsidR="008516D5" w:rsidRPr="00FE771B">
        <w:rPr>
          <w:rFonts w:ascii="Times New Roman" w:hAnsi="Times New Roman" w:cs="Times New Roman"/>
        </w:rPr>
        <w:t>”</w:t>
      </w:r>
      <w:r w:rsidRPr="00FE771B">
        <w:rPr>
          <w:rFonts w:ascii="Times New Roman" w:hAnsi="Times New Roman" w:cs="Times New Roman"/>
        </w:rPr>
        <w:t>带动股价进一步上升。而在现代企业委托代理关系下，资本市场的变动会对上市公司控股股东或管理层的投资决策和经营行为形成重要影响，导致上市公司投资经营行为发生一定程度异化，企业</w:t>
      </w:r>
      <w:r w:rsidRPr="00FE771B">
        <w:rPr>
          <w:rFonts w:ascii="Times New Roman" w:hAnsi="Times New Roman" w:cs="Times New Roman"/>
        </w:rPr>
        <w:t>“</w:t>
      </w:r>
      <w:r w:rsidRPr="00FE771B">
        <w:rPr>
          <w:rFonts w:ascii="Times New Roman" w:hAnsi="Times New Roman" w:cs="Times New Roman"/>
        </w:rPr>
        <w:t>脱实向虚</w:t>
      </w:r>
      <w:r w:rsidRPr="00FE771B">
        <w:rPr>
          <w:rFonts w:ascii="Times New Roman" w:hAnsi="Times New Roman" w:cs="Times New Roman"/>
        </w:rPr>
        <w:t>”</w:t>
      </w:r>
      <w:r w:rsidRPr="00FE771B">
        <w:rPr>
          <w:rFonts w:ascii="Times New Roman" w:hAnsi="Times New Roman" w:cs="Times New Roman"/>
        </w:rPr>
        <w:t>，即金融化便是行为异化的表现之一。</w:t>
      </w:r>
    </w:p>
    <w:p w:rsidR="00E9672E" w:rsidRPr="00FE771B" w:rsidRDefault="00850591" w:rsidP="00E9672E">
      <w:pPr>
        <w:overflowPunct w:val="0"/>
        <w:ind w:firstLineChars="200" w:firstLine="420"/>
        <w:rPr>
          <w:rFonts w:ascii="Times New Roman" w:hAnsi="Times New Roman" w:cs="Times New Roman"/>
          <w:color w:val="000000" w:themeColor="text1"/>
        </w:rPr>
      </w:pPr>
      <w:r w:rsidRPr="00FE771B">
        <w:rPr>
          <w:rFonts w:ascii="Times New Roman" w:hAnsi="Times New Roman" w:cs="Times New Roman"/>
          <w:color w:val="000000" w:themeColor="text1"/>
        </w:rPr>
        <w:t>从理论上讲，</w:t>
      </w:r>
      <w:r w:rsidR="008516D5" w:rsidRPr="00FE771B">
        <w:rPr>
          <w:rFonts w:ascii="Times New Roman" w:hAnsi="Times New Roman" w:cs="Times New Roman"/>
          <w:color w:val="000000" w:themeColor="text1"/>
        </w:rPr>
        <w:t>金融资产作为上市公司资产的重要组成部分，</w:t>
      </w:r>
      <w:r w:rsidR="00F20551" w:rsidRPr="00FE771B">
        <w:rPr>
          <w:rFonts w:ascii="Times New Roman" w:hAnsi="Times New Roman" w:cs="Times New Roman"/>
          <w:color w:val="000000" w:themeColor="text1"/>
        </w:rPr>
        <w:t>持有金融资产并不一定说明企业</w:t>
      </w:r>
      <w:r w:rsidR="00F20551" w:rsidRPr="00FE771B">
        <w:rPr>
          <w:rFonts w:ascii="Times New Roman" w:hAnsi="Times New Roman" w:cs="Times New Roman"/>
          <w:color w:val="000000" w:themeColor="text1"/>
        </w:rPr>
        <w:t>“</w:t>
      </w:r>
      <w:r w:rsidR="00F20551" w:rsidRPr="00FE771B">
        <w:rPr>
          <w:rFonts w:ascii="Times New Roman" w:hAnsi="Times New Roman" w:cs="Times New Roman"/>
          <w:color w:val="000000" w:themeColor="text1"/>
        </w:rPr>
        <w:t>脱实向虚</w:t>
      </w:r>
      <w:r w:rsidR="00F20551" w:rsidRPr="00FE771B">
        <w:rPr>
          <w:rFonts w:ascii="Times New Roman" w:hAnsi="Times New Roman" w:cs="Times New Roman"/>
          <w:color w:val="000000" w:themeColor="text1"/>
        </w:rPr>
        <w:t>”</w:t>
      </w:r>
      <w:r w:rsidR="00F20551" w:rsidRPr="00FE771B">
        <w:rPr>
          <w:rFonts w:ascii="Times New Roman" w:hAnsi="Times New Roman" w:cs="Times New Roman"/>
          <w:color w:val="000000" w:themeColor="text1"/>
        </w:rPr>
        <w:t>，相反其能作为上市公司经营的有益补充平滑经营中偶发性突发性事件，有利于上市公司经营保持稳定，当然也有利于上市公司更加聚集于实业。持有金融资产作用类似于资金</w:t>
      </w:r>
      <w:r w:rsidR="00F20551" w:rsidRPr="00FE771B">
        <w:rPr>
          <w:rFonts w:ascii="Times New Roman" w:hAnsi="Times New Roman" w:cs="Times New Roman"/>
          <w:color w:val="000000" w:themeColor="text1"/>
        </w:rPr>
        <w:t>“</w:t>
      </w:r>
      <w:r w:rsidR="00F20551" w:rsidRPr="00FE771B">
        <w:rPr>
          <w:rFonts w:ascii="Times New Roman" w:hAnsi="Times New Roman" w:cs="Times New Roman"/>
          <w:color w:val="000000" w:themeColor="text1"/>
        </w:rPr>
        <w:t>蓄水池</w:t>
      </w:r>
      <w:r w:rsidR="00F20551" w:rsidRPr="00FE771B">
        <w:rPr>
          <w:rFonts w:ascii="Times New Roman" w:hAnsi="Times New Roman" w:cs="Times New Roman"/>
          <w:color w:val="000000" w:themeColor="text1"/>
        </w:rPr>
        <w:t>”</w:t>
      </w:r>
      <w:r w:rsidR="00F20551" w:rsidRPr="00FE771B">
        <w:rPr>
          <w:rFonts w:ascii="Times New Roman" w:hAnsi="Times New Roman" w:cs="Times New Roman"/>
          <w:color w:val="000000" w:themeColor="text1"/>
        </w:rPr>
        <w:t>效应，能够有效调节企业淡季和旺季、</w:t>
      </w:r>
      <w:r w:rsidR="00E9672E" w:rsidRPr="00FE771B">
        <w:rPr>
          <w:rFonts w:ascii="Times New Roman" w:hAnsi="Times New Roman" w:cs="Times New Roman"/>
          <w:color w:val="000000" w:themeColor="text1"/>
        </w:rPr>
        <w:t>“</w:t>
      </w:r>
      <w:r w:rsidR="00E9672E" w:rsidRPr="00FE771B">
        <w:rPr>
          <w:rFonts w:ascii="Times New Roman" w:hAnsi="Times New Roman" w:cs="Times New Roman"/>
          <w:color w:val="000000" w:themeColor="text1"/>
        </w:rPr>
        <w:t>丰期</w:t>
      </w:r>
      <w:r w:rsidR="00E9672E" w:rsidRPr="00FE771B">
        <w:rPr>
          <w:rFonts w:ascii="Times New Roman" w:hAnsi="Times New Roman" w:cs="Times New Roman"/>
          <w:color w:val="000000" w:themeColor="text1"/>
        </w:rPr>
        <w:t>”</w:t>
      </w:r>
      <w:r w:rsidR="00E9672E" w:rsidRPr="00FE771B">
        <w:rPr>
          <w:rFonts w:ascii="Times New Roman" w:hAnsi="Times New Roman" w:cs="Times New Roman"/>
          <w:color w:val="000000" w:themeColor="text1"/>
        </w:rPr>
        <w:t>和</w:t>
      </w:r>
      <w:r w:rsidR="00E9672E" w:rsidRPr="00FE771B">
        <w:rPr>
          <w:rFonts w:ascii="Times New Roman" w:hAnsi="Times New Roman" w:cs="Times New Roman"/>
          <w:color w:val="000000" w:themeColor="text1"/>
        </w:rPr>
        <w:t>“</w:t>
      </w:r>
      <w:r w:rsidR="00E9672E" w:rsidRPr="00FE771B">
        <w:rPr>
          <w:rFonts w:ascii="Times New Roman" w:hAnsi="Times New Roman" w:cs="Times New Roman"/>
          <w:color w:val="000000" w:themeColor="text1"/>
        </w:rPr>
        <w:t>枯期</w:t>
      </w:r>
      <w:r w:rsidR="00E9672E" w:rsidRPr="00FE771B">
        <w:rPr>
          <w:rFonts w:ascii="Times New Roman" w:hAnsi="Times New Roman" w:cs="Times New Roman"/>
          <w:color w:val="000000" w:themeColor="text1"/>
        </w:rPr>
        <w:t>”</w:t>
      </w:r>
      <w:r w:rsidR="00E9672E" w:rsidRPr="00FE771B">
        <w:rPr>
          <w:rFonts w:ascii="Times New Roman" w:hAnsi="Times New Roman" w:cs="Times New Roman"/>
          <w:color w:val="000000" w:themeColor="text1"/>
        </w:rPr>
        <w:t>资金需求，也有效缓解了</w:t>
      </w:r>
      <w:r w:rsidR="00A4109A" w:rsidRPr="00FE771B">
        <w:rPr>
          <w:rFonts w:ascii="Times New Roman" w:hAnsi="Times New Roman" w:cs="Times New Roman"/>
          <w:color w:val="000000" w:themeColor="text1"/>
        </w:rPr>
        <w:t>企业经营过程</w:t>
      </w:r>
      <w:r w:rsidR="00E9672E" w:rsidRPr="00FE771B">
        <w:rPr>
          <w:rFonts w:ascii="Times New Roman" w:hAnsi="Times New Roman" w:cs="Times New Roman"/>
          <w:color w:val="000000" w:themeColor="text1"/>
        </w:rPr>
        <w:t>所面临较大的不确定性，譬如宏观冲击、技术创新、内外部环境等因素对上市公司正常经营的冲击。</w:t>
      </w:r>
      <w:r w:rsidR="00A4109A" w:rsidRPr="00FE771B">
        <w:rPr>
          <w:rFonts w:ascii="Times New Roman" w:hAnsi="Times New Roman" w:cs="Times New Roman"/>
          <w:color w:val="000000" w:themeColor="text1"/>
        </w:rPr>
        <w:t>由于金融资产通常具有较好的流动性，</w:t>
      </w:r>
      <w:r w:rsidR="00E9672E" w:rsidRPr="00FE771B">
        <w:rPr>
          <w:rFonts w:ascii="Times New Roman" w:hAnsi="Times New Roman" w:cs="Times New Roman"/>
          <w:color w:val="000000" w:themeColor="text1"/>
        </w:rPr>
        <w:t>在经营较好时期</w:t>
      </w:r>
      <w:r w:rsidR="00A4109A" w:rsidRPr="00FE771B">
        <w:rPr>
          <w:rFonts w:ascii="Times New Roman" w:hAnsi="Times New Roman" w:cs="Times New Roman"/>
          <w:color w:val="000000" w:themeColor="text1"/>
        </w:rPr>
        <w:t>适当配置有利于风险对冲和减少风险冲击对企业经营的重大打击，</w:t>
      </w:r>
      <w:r w:rsidR="00E10879" w:rsidRPr="00FE771B">
        <w:rPr>
          <w:rFonts w:ascii="Times New Roman" w:hAnsi="Times New Roman" w:cs="Times New Roman"/>
          <w:color w:val="000000" w:themeColor="text1"/>
        </w:rPr>
        <w:t>使很多企业在投融资活动中能够及</w:t>
      </w:r>
      <w:r w:rsidR="001843E1" w:rsidRPr="00FE771B">
        <w:rPr>
          <w:rFonts w:ascii="Times New Roman" w:hAnsi="Times New Roman" w:cs="Times New Roman"/>
          <w:color w:val="000000" w:themeColor="text1"/>
        </w:rPr>
        <w:t>时获得资金支持，缓解了融资约束，平衡了企业投融资决策和现金流管理的匹配程度</w:t>
      </w:r>
      <w:r w:rsidR="0077415B" w:rsidRPr="00FE771B">
        <w:rPr>
          <w:rFonts w:ascii="Times New Roman" w:hAnsi="Times New Roman" w:cs="Times New Roman"/>
          <w:color w:val="000000" w:themeColor="text1"/>
        </w:rPr>
        <w:t>（</w:t>
      </w:r>
      <w:proofErr w:type="spellStart"/>
      <w:r w:rsidR="00112D54" w:rsidRPr="00FE771B">
        <w:rPr>
          <w:rFonts w:ascii="Times New Roman" w:hAnsi="Times New Roman" w:cs="Times New Roman"/>
          <w:color w:val="000000" w:themeColor="text1"/>
        </w:rPr>
        <w:t>Demir</w:t>
      </w:r>
      <w:proofErr w:type="spellEnd"/>
      <w:r w:rsidR="00112D54" w:rsidRPr="00FE771B">
        <w:rPr>
          <w:rFonts w:ascii="Times New Roman" w:hAnsi="Times New Roman" w:cs="Times New Roman"/>
          <w:color w:val="000000" w:themeColor="text1"/>
        </w:rPr>
        <w:t>，</w:t>
      </w:r>
      <w:r w:rsidR="00112D54" w:rsidRPr="00FE771B">
        <w:rPr>
          <w:rFonts w:ascii="Times New Roman" w:hAnsi="Times New Roman" w:cs="Times New Roman"/>
          <w:color w:val="000000" w:themeColor="text1"/>
        </w:rPr>
        <w:t>2009</w:t>
      </w:r>
      <w:r w:rsidR="00112D54" w:rsidRPr="00FE771B">
        <w:rPr>
          <w:rFonts w:ascii="Times New Roman" w:hAnsi="Times New Roman" w:cs="Times New Roman"/>
          <w:color w:val="000000" w:themeColor="text1"/>
        </w:rPr>
        <w:t>；</w:t>
      </w:r>
      <w:r w:rsidR="008516D5" w:rsidRPr="00FE771B">
        <w:rPr>
          <w:rFonts w:ascii="Times New Roman" w:hAnsi="Times New Roman" w:cs="Times New Roman"/>
          <w:color w:val="000000" w:themeColor="text1"/>
        </w:rPr>
        <w:t>刘贯春等</w:t>
      </w:r>
      <w:r w:rsidR="008516D5" w:rsidRPr="00FE771B">
        <w:rPr>
          <w:rFonts w:ascii="Times New Roman" w:hAnsi="Times New Roman" w:cs="Times New Roman"/>
          <w:color w:val="000000" w:themeColor="text1"/>
        </w:rPr>
        <w:t>2018</w:t>
      </w:r>
      <w:r w:rsidR="0077415B" w:rsidRPr="00FE771B">
        <w:rPr>
          <w:rFonts w:ascii="Times New Roman" w:hAnsi="Times New Roman" w:cs="Times New Roman"/>
          <w:color w:val="000000" w:themeColor="text1"/>
        </w:rPr>
        <w:t>）</w:t>
      </w:r>
      <w:r w:rsidR="001843E1" w:rsidRPr="00FE771B">
        <w:rPr>
          <w:rFonts w:ascii="Times New Roman" w:hAnsi="Times New Roman" w:cs="Times New Roman"/>
          <w:color w:val="000000" w:themeColor="text1"/>
        </w:rPr>
        <w:t>。</w:t>
      </w:r>
      <w:r w:rsidR="00E9672E" w:rsidRPr="00FE771B">
        <w:rPr>
          <w:rFonts w:ascii="Times New Roman" w:hAnsi="Times New Roman" w:cs="Times New Roman"/>
          <w:color w:val="000000" w:themeColor="text1"/>
        </w:rPr>
        <w:t>具体到上市公司，</w:t>
      </w:r>
      <w:r w:rsidR="004F6C17" w:rsidRPr="00FE771B">
        <w:rPr>
          <w:rFonts w:ascii="Times New Roman" w:hAnsi="Times New Roman" w:cs="Times New Roman"/>
          <w:color w:val="000000" w:themeColor="text1"/>
        </w:rPr>
        <w:t>在会计准则中划分为金融工具科目的资产就有类似特征，</w:t>
      </w:r>
      <w:r w:rsidR="0077415B" w:rsidRPr="00FE771B">
        <w:rPr>
          <w:rFonts w:ascii="Times New Roman" w:hAnsi="Times New Roman" w:cs="Times New Roman"/>
          <w:color w:val="000000" w:themeColor="text1"/>
        </w:rPr>
        <w:t>上市公司</w:t>
      </w:r>
      <w:r w:rsidR="00990701" w:rsidRPr="00FE771B">
        <w:rPr>
          <w:rFonts w:ascii="Times New Roman" w:hAnsi="Times New Roman" w:cs="Times New Roman"/>
          <w:color w:val="000000" w:themeColor="text1"/>
        </w:rPr>
        <w:t>将闲置资金投资于资本市场，进行预防性储蓄，同时在投融资出现资金缺口时可以随时将这些流动性好的资产卖出或转让，</w:t>
      </w:r>
      <w:r w:rsidR="0077415B" w:rsidRPr="00FE771B">
        <w:rPr>
          <w:rFonts w:ascii="Times New Roman" w:hAnsi="Times New Roman" w:cs="Times New Roman"/>
          <w:color w:val="000000" w:themeColor="text1"/>
        </w:rPr>
        <w:t>充分发挥金融资产投资的</w:t>
      </w:r>
      <w:r w:rsidR="0077415B" w:rsidRPr="00FE771B">
        <w:rPr>
          <w:rFonts w:ascii="Times New Roman" w:hAnsi="Times New Roman" w:cs="Times New Roman"/>
          <w:color w:val="000000" w:themeColor="text1"/>
        </w:rPr>
        <w:t>“</w:t>
      </w:r>
      <w:r w:rsidR="0077415B" w:rsidRPr="00FE771B">
        <w:rPr>
          <w:rFonts w:ascii="Times New Roman" w:hAnsi="Times New Roman" w:cs="Times New Roman"/>
          <w:color w:val="000000" w:themeColor="text1"/>
        </w:rPr>
        <w:t>蓄水池</w:t>
      </w:r>
      <w:r w:rsidR="0077415B" w:rsidRPr="00FE771B">
        <w:rPr>
          <w:rFonts w:ascii="Times New Roman" w:hAnsi="Times New Roman" w:cs="Times New Roman"/>
          <w:color w:val="000000" w:themeColor="text1"/>
        </w:rPr>
        <w:t>”</w:t>
      </w:r>
      <w:r w:rsidR="0077415B" w:rsidRPr="00FE771B">
        <w:rPr>
          <w:rFonts w:ascii="Times New Roman" w:hAnsi="Times New Roman" w:cs="Times New Roman"/>
          <w:color w:val="000000" w:themeColor="text1"/>
        </w:rPr>
        <w:t>效应</w:t>
      </w:r>
      <w:r w:rsidR="00392039" w:rsidRPr="00FE771B">
        <w:rPr>
          <w:rFonts w:ascii="Times New Roman" w:hAnsi="Times New Roman" w:cs="Times New Roman"/>
          <w:color w:val="000000" w:themeColor="text1"/>
        </w:rPr>
        <w:t>，补缺淡季、</w:t>
      </w:r>
      <w:r w:rsidR="00392039" w:rsidRPr="00FE771B">
        <w:rPr>
          <w:rFonts w:ascii="Times New Roman" w:hAnsi="Times New Roman" w:cs="Times New Roman"/>
          <w:color w:val="000000" w:themeColor="text1"/>
        </w:rPr>
        <w:t>“</w:t>
      </w:r>
      <w:r w:rsidR="00392039" w:rsidRPr="00FE771B">
        <w:rPr>
          <w:rFonts w:ascii="Times New Roman" w:hAnsi="Times New Roman" w:cs="Times New Roman"/>
          <w:color w:val="000000" w:themeColor="text1"/>
        </w:rPr>
        <w:t>枯期</w:t>
      </w:r>
      <w:r w:rsidR="00392039" w:rsidRPr="00FE771B">
        <w:rPr>
          <w:rFonts w:ascii="Times New Roman" w:hAnsi="Times New Roman" w:cs="Times New Roman"/>
          <w:color w:val="000000" w:themeColor="text1"/>
        </w:rPr>
        <w:t>”</w:t>
      </w:r>
      <w:r w:rsidR="00392039" w:rsidRPr="00FE771B">
        <w:rPr>
          <w:rFonts w:ascii="Times New Roman" w:hAnsi="Times New Roman" w:cs="Times New Roman"/>
          <w:color w:val="000000" w:themeColor="text1"/>
        </w:rPr>
        <w:t>以及面临重大不确定性事件时亟需的资金需求</w:t>
      </w:r>
      <w:r w:rsidR="00E9672E" w:rsidRPr="00FE771B">
        <w:rPr>
          <w:rFonts w:ascii="Times New Roman" w:hAnsi="Times New Roman" w:cs="Times New Roman"/>
          <w:color w:val="000000" w:themeColor="text1"/>
        </w:rPr>
        <w:t>。</w:t>
      </w:r>
    </w:p>
    <w:p w:rsidR="00D52C16" w:rsidRPr="00FE771B" w:rsidRDefault="002E0394" w:rsidP="00E9672E">
      <w:pPr>
        <w:overflowPunct w:val="0"/>
        <w:ind w:firstLineChars="200" w:firstLine="420"/>
        <w:rPr>
          <w:rFonts w:ascii="Times New Roman" w:hAnsi="Times New Roman" w:cs="Times New Roman"/>
          <w:color w:val="000000" w:themeColor="text1"/>
        </w:rPr>
      </w:pPr>
      <w:r w:rsidRPr="00FE771B">
        <w:rPr>
          <w:rFonts w:ascii="Times New Roman" w:hAnsi="Times New Roman" w:cs="Times New Roman"/>
          <w:color w:val="000000" w:themeColor="text1"/>
        </w:rPr>
        <w:t>与</w:t>
      </w:r>
      <w:r w:rsidRPr="00FE771B">
        <w:rPr>
          <w:rFonts w:ascii="Times New Roman" w:hAnsi="Times New Roman" w:cs="Times New Roman"/>
          <w:color w:val="000000" w:themeColor="text1"/>
        </w:rPr>
        <w:t>“</w:t>
      </w:r>
      <w:r w:rsidRPr="00FE771B">
        <w:rPr>
          <w:rFonts w:ascii="Times New Roman" w:hAnsi="Times New Roman" w:cs="Times New Roman"/>
          <w:color w:val="000000" w:themeColor="text1"/>
        </w:rPr>
        <w:t>蓄水池</w:t>
      </w:r>
      <w:r w:rsidRPr="00FE771B">
        <w:rPr>
          <w:rFonts w:ascii="Times New Roman" w:hAnsi="Times New Roman" w:cs="Times New Roman"/>
          <w:color w:val="000000" w:themeColor="text1"/>
        </w:rPr>
        <w:t>”</w:t>
      </w:r>
      <w:r w:rsidRPr="00FE771B">
        <w:rPr>
          <w:rFonts w:ascii="Times New Roman" w:hAnsi="Times New Roman" w:cs="Times New Roman"/>
          <w:color w:val="000000" w:themeColor="text1"/>
        </w:rPr>
        <w:t>相比，已有研究还指出金融资产具有</w:t>
      </w:r>
      <w:r w:rsidR="00DD65E1" w:rsidRPr="00FE771B">
        <w:rPr>
          <w:rFonts w:ascii="Times New Roman" w:hAnsi="Times New Roman" w:cs="Times New Roman"/>
          <w:color w:val="000000" w:themeColor="text1"/>
        </w:rPr>
        <w:t>“</w:t>
      </w:r>
      <w:r w:rsidR="00DD65E1" w:rsidRPr="00FE771B">
        <w:rPr>
          <w:rFonts w:ascii="Times New Roman" w:hAnsi="Times New Roman" w:cs="Times New Roman"/>
          <w:color w:val="000000" w:themeColor="text1"/>
        </w:rPr>
        <w:t>套利</w:t>
      </w:r>
      <w:r w:rsidR="00DD65E1" w:rsidRPr="00FE771B">
        <w:rPr>
          <w:rFonts w:ascii="Times New Roman" w:hAnsi="Times New Roman" w:cs="Times New Roman"/>
          <w:color w:val="000000" w:themeColor="text1"/>
        </w:rPr>
        <w:t>”</w:t>
      </w:r>
      <w:r w:rsidR="00DD65E1" w:rsidRPr="00FE771B">
        <w:rPr>
          <w:rFonts w:ascii="Times New Roman" w:hAnsi="Times New Roman" w:cs="Times New Roman"/>
          <w:color w:val="000000" w:themeColor="text1"/>
        </w:rPr>
        <w:t>效应</w:t>
      </w:r>
      <w:r w:rsidRPr="00FE771B">
        <w:rPr>
          <w:rFonts w:ascii="Times New Roman" w:hAnsi="Times New Roman" w:cs="Times New Roman"/>
          <w:color w:val="000000" w:themeColor="text1"/>
        </w:rPr>
        <w:t>特征，</w:t>
      </w:r>
      <w:r w:rsidR="00DD65E1" w:rsidRPr="00FE771B">
        <w:rPr>
          <w:rFonts w:ascii="Times New Roman" w:hAnsi="Times New Roman" w:cs="Times New Roman"/>
          <w:color w:val="000000" w:themeColor="text1"/>
        </w:rPr>
        <w:t>主要反映金融资产投</w:t>
      </w:r>
      <w:r w:rsidR="00DD65E1" w:rsidRPr="00FE771B">
        <w:rPr>
          <w:rFonts w:ascii="Times New Roman" w:hAnsi="Times New Roman" w:cs="Times New Roman"/>
          <w:color w:val="000000" w:themeColor="text1"/>
        </w:rPr>
        <w:lastRenderedPageBreak/>
        <w:t>资</w:t>
      </w:r>
      <w:r w:rsidR="00E31BB5" w:rsidRPr="00FE771B">
        <w:rPr>
          <w:rFonts w:ascii="Times New Roman" w:hAnsi="Times New Roman" w:cs="Times New Roman"/>
          <w:color w:val="000000" w:themeColor="text1"/>
        </w:rPr>
        <w:t>高</w:t>
      </w:r>
      <w:r w:rsidR="00990701" w:rsidRPr="00FE771B">
        <w:rPr>
          <w:rFonts w:ascii="Times New Roman" w:hAnsi="Times New Roman" w:cs="Times New Roman"/>
          <w:color w:val="000000" w:themeColor="text1"/>
        </w:rPr>
        <w:t>收益</w:t>
      </w:r>
      <w:r w:rsidRPr="00FE771B">
        <w:rPr>
          <w:rFonts w:ascii="Times New Roman" w:hAnsi="Times New Roman" w:cs="Times New Roman"/>
          <w:color w:val="000000" w:themeColor="text1"/>
        </w:rPr>
        <w:t>特征会诱使企业主体将投资转向金融领域</w:t>
      </w:r>
      <w:r w:rsidR="00990701" w:rsidRPr="00FE771B">
        <w:rPr>
          <w:rFonts w:ascii="Times New Roman" w:hAnsi="Times New Roman" w:cs="Times New Roman"/>
          <w:color w:val="000000" w:themeColor="text1"/>
        </w:rPr>
        <w:t>，</w:t>
      </w:r>
      <w:r w:rsidRPr="00FE771B">
        <w:rPr>
          <w:rFonts w:ascii="Times New Roman" w:hAnsi="Times New Roman" w:cs="Times New Roman"/>
          <w:color w:val="000000" w:themeColor="text1"/>
        </w:rPr>
        <w:t>以博取短期和高额收益。</w:t>
      </w:r>
      <w:r w:rsidR="00DD65E1" w:rsidRPr="00FE771B">
        <w:rPr>
          <w:rFonts w:ascii="Times New Roman" w:hAnsi="Times New Roman" w:cs="Times New Roman"/>
          <w:color w:val="000000" w:themeColor="text1"/>
        </w:rPr>
        <w:t>特别是在过去数年金融业扩张大背景下，金融产品收益率较高，诱致上市公司通过金融资产投资博取高收益，</w:t>
      </w:r>
      <w:r w:rsidR="00DD65E1" w:rsidRPr="00FE771B">
        <w:rPr>
          <w:rFonts w:ascii="Times New Roman" w:hAnsi="Times New Roman" w:cs="Times New Roman"/>
          <w:color w:val="000000" w:themeColor="text1"/>
        </w:rPr>
        <w:t>“</w:t>
      </w:r>
      <w:r w:rsidR="00DD65E1" w:rsidRPr="00FE771B">
        <w:rPr>
          <w:rFonts w:ascii="Times New Roman" w:hAnsi="Times New Roman" w:cs="Times New Roman"/>
          <w:color w:val="000000" w:themeColor="text1"/>
        </w:rPr>
        <w:t>套利</w:t>
      </w:r>
      <w:r w:rsidR="00DD65E1" w:rsidRPr="00FE771B">
        <w:rPr>
          <w:rFonts w:ascii="Times New Roman" w:hAnsi="Times New Roman" w:cs="Times New Roman"/>
          <w:color w:val="000000" w:themeColor="text1"/>
        </w:rPr>
        <w:t>”</w:t>
      </w:r>
      <w:r w:rsidRPr="00FE771B">
        <w:rPr>
          <w:rFonts w:ascii="Times New Roman" w:hAnsi="Times New Roman" w:cs="Times New Roman"/>
          <w:color w:val="000000" w:themeColor="text1"/>
        </w:rPr>
        <w:t>效应</w:t>
      </w:r>
      <w:r w:rsidR="00DD65E1" w:rsidRPr="00FE771B">
        <w:rPr>
          <w:rFonts w:ascii="Times New Roman" w:hAnsi="Times New Roman" w:cs="Times New Roman"/>
          <w:color w:val="000000" w:themeColor="text1"/>
        </w:rPr>
        <w:t>明显。</w:t>
      </w:r>
      <w:r w:rsidR="00E4547E" w:rsidRPr="00FE771B">
        <w:rPr>
          <w:rFonts w:ascii="Times New Roman" w:hAnsi="Times New Roman" w:cs="Times New Roman"/>
          <w:color w:val="000000" w:themeColor="text1"/>
        </w:rPr>
        <w:t>具体而言，</w:t>
      </w:r>
      <w:r w:rsidRPr="00FE771B">
        <w:rPr>
          <w:rFonts w:ascii="Times New Roman" w:hAnsi="Times New Roman" w:cs="Times New Roman"/>
          <w:color w:val="000000" w:themeColor="text1"/>
        </w:rPr>
        <w:t>上市公司财务报表中划分为</w:t>
      </w:r>
      <w:r w:rsidR="00DD65E1" w:rsidRPr="00FE771B">
        <w:rPr>
          <w:rFonts w:ascii="Times New Roman" w:hAnsi="Times New Roman" w:cs="Times New Roman"/>
          <w:color w:val="000000" w:themeColor="text1"/>
        </w:rPr>
        <w:t>金融工具或者划分为投资性房地产的资产</w:t>
      </w:r>
      <w:r w:rsidR="001019C9" w:rsidRPr="00FE771B">
        <w:rPr>
          <w:rFonts w:ascii="Times New Roman" w:hAnsi="Times New Roman" w:cs="Times New Roman"/>
          <w:color w:val="000000" w:themeColor="text1"/>
        </w:rPr>
        <w:t>就有类似特征，特别是虚拟经济过盛使得</w:t>
      </w:r>
      <w:r w:rsidR="00E31BB5" w:rsidRPr="00FE771B">
        <w:rPr>
          <w:rFonts w:ascii="Times New Roman" w:hAnsi="Times New Roman" w:cs="Times New Roman"/>
          <w:color w:val="000000" w:themeColor="text1"/>
        </w:rPr>
        <w:t>金融资产价格上升能够通过公允价值变动损益或其他综合收益等科目显著改善上</w:t>
      </w:r>
      <w:r w:rsidR="00C93734" w:rsidRPr="00FE771B">
        <w:rPr>
          <w:rFonts w:ascii="Times New Roman" w:hAnsi="Times New Roman" w:cs="Times New Roman"/>
          <w:color w:val="000000" w:themeColor="text1"/>
        </w:rPr>
        <w:t>市公司利润表等，能够让</w:t>
      </w:r>
      <w:r w:rsidR="001019C9" w:rsidRPr="00FE771B">
        <w:rPr>
          <w:rFonts w:ascii="Times New Roman" w:hAnsi="Times New Roman" w:cs="Times New Roman"/>
          <w:color w:val="000000" w:themeColor="text1"/>
        </w:rPr>
        <w:t>上市公司</w:t>
      </w:r>
      <w:r w:rsidR="00C93734" w:rsidRPr="00FE771B">
        <w:rPr>
          <w:rFonts w:ascii="Times New Roman" w:hAnsi="Times New Roman" w:cs="Times New Roman"/>
          <w:color w:val="000000" w:themeColor="text1"/>
        </w:rPr>
        <w:t>业绩在短期内获得更显著的提升。</w:t>
      </w:r>
      <w:r w:rsidR="001019C9" w:rsidRPr="00FE771B">
        <w:rPr>
          <w:rFonts w:ascii="Times New Roman" w:hAnsi="Times New Roman" w:cs="Times New Roman"/>
          <w:color w:val="000000" w:themeColor="text1"/>
        </w:rPr>
        <w:t>此外，</w:t>
      </w:r>
      <w:r w:rsidR="00C93734" w:rsidRPr="00FE771B">
        <w:rPr>
          <w:rFonts w:ascii="Times New Roman" w:hAnsi="Times New Roman" w:cs="Times New Roman"/>
          <w:color w:val="000000" w:themeColor="text1"/>
        </w:rPr>
        <w:t>随着近年来金融创新的加速推进，上市公司可投资的金融产品也逐渐增多，一些金融工具通过镶嵌金融衍生品和其他股票、债券等组合，使得金融工具套期保值功能更加完</w:t>
      </w:r>
      <w:r w:rsidR="001E62E2" w:rsidRPr="00FE771B">
        <w:rPr>
          <w:rFonts w:ascii="Times New Roman" w:hAnsi="Times New Roman" w:cs="Times New Roman"/>
          <w:color w:val="000000" w:themeColor="text1"/>
        </w:rPr>
        <w:t>善，能够在很大程度上保障金融工具有高于定期储蓄收益率的同时但</w:t>
      </w:r>
      <w:r w:rsidR="00C93734" w:rsidRPr="00FE771B">
        <w:rPr>
          <w:rFonts w:ascii="Times New Roman" w:hAnsi="Times New Roman" w:cs="Times New Roman"/>
          <w:color w:val="000000" w:themeColor="text1"/>
        </w:rPr>
        <w:t>又能在</w:t>
      </w:r>
      <w:r w:rsidR="00802B98" w:rsidRPr="00FE771B">
        <w:rPr>
          <w:rFonts w:ascii="Times New Roman" w:hAnsi="Times New Roman" w:cs="Times New Roman"/>
          <w:color w:val="000000" w:themeColor="text1"/>
        </w:rPr>
        <w:t>市场行情提高之时获得超额收益</w:t>
      </w:r>
      <w:r w:rsidR="00663AC3" w:rsidRPr="00FE771B">
        <w:rPr>
          <w:rFonts w:ascii="Times New Roman" w:hAnsi="Times New Roman" w:cs="Times New Roman"/>
          <w:color w:val="000000" w:themeColor="text1"/>
        </w:rPr>
        <w:t>。因此，金融资产的高收益特征可能一定程度上会对上市公司实体投资产生</w:t>
      </w:r>
      <w:r w:rsidR="00663AC3" w:rsidRPr="00FE771B">
        <w:rPr>
          <w:rFonts w:ascii="Times New Roman" w:hAnsi="Times New Roman" w:cs="Times New Roman"/>
          <w:color w:val="000000" w:themeColor="text1"/>
        </w:rPr>
        <w:t>“</w:t>
      </w:r>
      <w:r w:rsidR="00663AC3" w:rsidRPr="00FE771B">
        <w:rPr>
          <w:rFonts w:ascii="Times New Roman" w:hAnsi="Times New Roman" w:cs="Times New Roman"/>
          <w:color w:val="000000" w:themeColor="text1"/>
        </w:rPr>
        <w:t>挤出</w:t>
      </w:r>
      <w:r w:rsidR="00663AC3" w:rsidRPr="00FE771B">
        <w:rPr>
          <w:rFonts w:ascii="Times New Roman" w:hAnsi="Times New Roman" w:cs="Times New Roman"/>
          <w:color w:val="000000" w:themeColor="text1"/>
        </w:rPr>
        <w:t>”</w:t>
      </w:r>
      <w:r w:rsidR="00663AC3" w:rsidRPr="00FE771B">
        <w:rPr>
          <w:rFonts w:ascii="Times New Roman" w:hAnsi="Times New Roman" w:cs="Times New Roman"/>
          <w:color w:val="000000" w:themeColor="text1"/>
        </w:rPr>
        <w:t>效应</w:t>
      </w:r>
      <w:r w:rsidR="00140636" w:rsidRPr="00FE771B">
        <w:rPr>
          <w:rFonts w:ascii="Times New Roman" w:hAnsi="Times New Roman" w:cs="Times New Roman"/>
          <w:color w:val="000000" w:themeColor="text1"/>
        </w:rPr>
        <w:t>（王红建等，</w:t>
      </w:r>
      <w:r w:rsidR="00140636" w:rsidRPr="00FE771B">
        <w:rPr>
          <w:rFonts w:ascii="Times New Roman" w:hAnsi="Times New Roman" w:cs="Times New Roman"/>
          <w:color w:val="000000" w:themeColor="text1"/>
        </w:rPr>
        <w:t>2016</w:t>
      </w:r>
      <w:r w:rsidR="00140636" w:rsidRPr="00FE771B">
        <w:rPr>
          <w:rFonts w:ascii="Times New Roman" w:hAnsi="Times New Roman" w:cs="Times New Roman"/>
          <w:color w:val="000000" w:themeColor="text1"/>
        </w:rPr>
        <w:t>）</w:t>
      </w:r>
      <w:r w:rsidR="00E84576" w:rsidRPr="00FE771B">
        <w:rPr>
          <w:rFonts w:ascii="Times New Roman" w:hAnsi="Times New Roman" w:cs="Times New Roman"/>
          <w:color w:val="000000" w:themeColor="text1"/>
        </w:rPr>
        <w:t>，导致上市公司资本积累速度下降，金融资产投资取代实物资产投资，这</w:t>
      </w:r>
      <w:r w:rsidR="00157F88" w:rsidRPr="00FE771B">
        <w:rPr>
          <w:rFonts w:ascii="Times New Roman" w:hAnsi="Times New Roman" w:cs="Times New Roman"/>
          <w:color w:val="000000" w:themeColor="text1"/>
        </w:rPr>
        <w:t>种套利行为会加剧控股股东或管理层的投资决策和经营决策中的短期投机主义行为</w:t>
      </w:r>
      <w:r w:rsidR="00E84576" w:rsidRPr="00FE771B">
        <w:rPr>
          <w:rFonts w:ascii="Times New Roman" w:hAnsi="Times New Roman" w:cs="Times New Roman"/>
          <w:color w:val="000000" w:themeColor="text1"/>
        </w:rPr>
        <w:t>。</w:t>
      </w:r>
    </w:p>
    <w:p w:rsidR="0083735A" w:rsidRPr="00FE771B" w:rsidRDefault="00393FBF" w:rsidP="00803759">
      <w:pPr>
        <w:overflowPunct w:val="0"/>
        <w:ind w:firstLineChars="200" w:firstLine="420"/>
        <w:rPr>
          <w:rFonts w:ascii="Times New Roman" w:hAnsi="Times New Roman" w:cs="Times New Roman"/>
          <w:color w:val="000000" w:themeColor="text1"/>
        </w:rPr>
      </w:pPr>
      <w:r w:rsidRPr="00FE771B">
        <w:rPr>
          <w:rFonts w:ascii="Times New Roman" w:hAnsi="Times New Roman" w:cs="Times New Roman"/>
          <w:color w:val="000000" w:themeColor="text1"/>
        </w:rPr>
        <w:t>从签订业绩承诺的并购重组事件看，其</w:t>
      </w:r>
      <w:r w:rsidR="00D752F1" w:rsidRPr="00FE771B">
        <w:rPr>
          <w:rFonts w:ascii="Times New Roman" w:hAnsi="Times New Roman" w:cs="Times New Roman"/>
          <w:color w:val="000000" w:themeColor="text1"/>
        </w:rPr>
        <w:t>协议</w:t>
      </w:r>
      <w:r w:rsidR="00066F44" w:rsidRPr="00FE771B">
        <w:rPr>
          <w:rFonts w:ascii="Times New Roman" w:hAnsi="Times New Roman" w:cs="Times New Roman"/>
          <w:color w:val="000000" w:themeColor="text1"/>
        </w:rPr>
        <w:t>设置</w:t>
      </w:r>
      <w:r w:rsidR="00574448" w:rsidRPr="00FE771B">
        <w:rPr>
          <w:rFonts w:ascii="Times New Roman" w:hAnsi="Times New Roman" w:cs="Times New Roman"/>
          <w:color w:val="000000" w:themeColor="text1"/>
        </w:rPr>
        <w:t>中通常</w:t>
      </w:r>
      <w:r w:rsidR="008B6E5C" w:rsidRPr="00FE771B">
        <w:rPr>
          <w:rFonts w:ascii="Times New Roman" w:hAnsi="Times New Roman" w:cs="Times New Roman"/>
          <w:color w:val="000000" w:themeColor="text1"/>
        </w:rPr>
        <w:t>伴有</w:t>
      </w:r>
      <w:r w:rsidR="005C41AA" w:rsidRPr="00FE771B">
        <w:rPr>
          <w:rFonts w:ascii="Times New Roman" w:hAnsi="Times New Roman" w:cs="Times New Roman"/>
          <w:color w:val="000000" w:themeColor="text1"/>
        </w:rPr>
        <w:t>“</w:t>
      </w:r>
      <w:r w:rsidR="005C41AA" w:rsidRPr="00FE771B">
        <w:rPr>
          <w:rFonts w:ascii="Times New Roman" w:hAnsi="Times New Roman" w:cs="Times New Roman"/>
          <w:color w:val="000000" w:themeColor="text1"/>
        </w:rPr>
        <w:t>高溢价</w:t>
      </w:r>
      <w:r w:rsidR="005C41AA" w:rsidRPr="00FE771B">
        <w:rPr>
          <w:rFonts w:ascii="Times New Roman" w:hAnsi="Times New Roman" w:cs="Times New Roman"/>
          <w:color w:val="000000" w:themeColor="text1"/>
        </w:rPr>
        <w:t>”</w:t>
      </w:r>
      <w:r w:rsidR="00060B1D" w:rsidRPr="00FE771B">
        <w:rPr>
          <w:rFonts w:ascii="Times New Roman" w:hAnsi="Times New Roman" w:cs="Times New Roman"/>
          <w:color w:val="000000" w:themeColor="text1"/>
        </w:rPr>
        <w:t>、</w:t>
      </w:r>
      <w:r w:rsidR="005C41AA" w:rsidRPr="00FE771B">
        <w:rPr>
          <w:rFonts w:ascii="Times New Roman" w:hAnsi="Times New Roman" w:cs="Times New Roman"/>
          <w:color w:val="000000" w:themeColor="text1"/>
        </w:rPr>
        <w:t>“</w:t>
      </w:r>
      <w:r w:rsidR="005C41AA" w:rsidRPr="00FE771B">
        <w:rPr>
          <w:rFonts w:ascii="Times New Roman" w:hAnsi="Times New Roman" w:cs="Times New Roman"/>
          <w:color w:val="000000" w:themeColor="text1"/>
        </w:rPr>
        <w:t>高承诺</w:t>
      </w:r>
      <w:r w:rsidR="005C41AA" w:rsidRPr="00FE771B">
        <w:rPr>
          <w:rFonts w:ascii="Times New Roman" w:hAnsi="Times New Roman" w:cs="Times New Roman"/>
          <w:color w:val="000000" w:themeColor="text1"/>
        </w:rPr>
        <w:t>”</w:t>
      </w:r>
      <w:r w:rsidR="00060B1D" w:rsidRPr="00FE771B">
        <w:rPr>
          <w:rFonts w:ascii="Times New Roman" w:hAnsi="Times New Roman" w:cs="Times New Roman"/>
          <w:color w:val="000000" w:themeColor="text1"/>
        </w:rPr>
        <w:t>等</w:t>
      </w:r>
      <w:r w:rsidR="008B6E5C" w:rsidRPr="00FE771B">
        <w:rPr>
          <w:rFonts w:ascii="Times New Roman" w:hAnsi="Times New Roman" w:cs="Times New Roman"/>
          <w:color w:val="000000" w:themeColor="text1"/>
        </w:rPr>
        <w:t>特征</w:t>
      </w:r>
      <w:r w:rsidR="000B08E8" w:rsidRPr="00FE771B">
        <w:rPr>
          <w:rFonts w:ascii="Times New Roman" w:hAnsi="Times New Roman" w:cs="Times New Roman"/>
          <w:color w:val="000000" w:themeColor="text1"/>
        </w:rPr>
        <w:t>，这些特征客观上与金融资产短期性和高收益的</w:t>
      </w:r>
      <w:r w:rsidR="000B08E8" w:rsidRPr="00FE771B">
        <w:rPr>
          <w:rFonts w:ascii="Times New Roman" w:hAnsi="Times New Roman" w:cs="Times New Roman"/>
          <w:color w:val="000000" w:themeColor="text1"/>
        </w:rPr>
        <w:t>“</w:t>
      </w:r>
      <w:r w:rsidR="000B08E8" w:rsidRPr="00FE771B">
        <w:rPr>
          <w:rFonts w:ascii="Times New Roman" w:hAnsi="Times New Roman" w:cs="Times New Roman"/>
          <w:color w:val="000000" w:themeColor="text1"/>
        </w:rPr>
        <w:t>套利</w:t>
      </w:r>
      <w:r w:rsidR="000B08E8" w:rsidRPr="00FE771B">
        <w:rPr>
          <w:rFonts w:ascii="Times New Roman" w:hAnsi="Times New Roman" w:cs="Times New Roman"/>
          <w:color w:val="000000" w:themeColor="text1"/>
        </w:rPr>
        <w:t>”</w:t>
      </w:r>
      <w:r w:rsidR="000B08E8" w:rsidRPr="00FE771B">
        <w:rPr>
          <w:rFonts w:ascii="Times New Roman" w:hAnsi="Times New Roman" w:cs="Times New Roman"/>
          <w:color w:val="000000" w:themeColor="text1"/>
        </w:rPr>
        <w:t>效应比较一致。作为转轨和新兴市场国家，中国上市公司股权结构比较集中（梁上坤、陈冬华，</w:t>
      </w:r>
      <w:r w:rsidR="000B08E8" w:rsidRPr="00FE771B">
        <w:rPr>
          <w:rFonts w:ascii="Times New Roman" w:hAnsi="Times New Roman" w:cs="Times New Roman"/>
          <w:color w:val="000000" w:themeColor="text1"/>
        </w:rPr>
        <w:t>2018</w:t>
      </w:r>
      <w:r w:rsidR="000B08E8" w:rsidRPr="00FE771B">
        <w:rPr>
          <w:rFonts w:ascii="Times New Roman" w:hAnsi="Times New Roman" w:cs="Times New Roman"/>
          <w:color w:val="000000" w:themeColor="text1"/>
        </w:rPr>
        <w:t>）大股东和中小股东之间的第二类代理问题也很严重</w:t>
      </w:r>
      <w:r w:rsidR="000B08E8" w:rsidRPr="00FE771B">
        <w:rPr>
          <w:rFonts w:ascii="Times New Roman" w:hAnsi="Times New Roman" w:cs="Times New Roman"/>
          <w:color w:val="000000" w:themeColor="text1"/>
        </w:rPr>
        <w:t>(</w:t>
      </w:r>
      <w:r w:rsidR="005C5DAC" w:rsidRPr="00FE771B">
        <w:rPr>
          <w:rFonts w:ascii="Times New Roman" w:hAnsi="Times New Roman" w:cs="Times New Roman"/>
          <w:color w:val="000000" w:themeColor="text1"/>
        </w:rPr>
        <w:t>Shleifer</w:t>
      </w:r>
      <w:r w:rsidR="00FE771B" w:rsidRPr="00FE771B">
        <w:rPr>
          <w:rFonts w:ascii="Times New Roman" w:hAnsi="Times New Roman" w:cs="Times New Roman"/>
          <w:color w:val="000000" w:themeColor="text1"/>
        </w:rPr>
        <w:t>&amp;</w:t>
      </w:r>
      <w:r w:rsidR="005C5DAC" w:rsidRPr="00FE771B">
        <w:rPr>
          <w:rFonts w:ascii="Times New Roman" w:hAnsi="Times New Roman" w:cs="Times New Roman"/>
          <w:color w:val="000000" w:themeColor="text1"/>
        </w:rPr>
        <w:t>Vishny,1986</w:t>
      </w:r>
      <w:r w:rsidR="005C5DAC" w:rsidRPr="00FE771B">
        <w:rPr>
          <w:rFonts w:ascii="Times New Roman" w:hAnsi="Times New Roman" w:cs="Times New Roman"/>
          <w:color w:val="000000" w:themeColor="text1"/>
        </w:rPr>
        <w:t>；</w:t>
      </w:r>
      <w:r w:rsidR="000B08E8" w:rsidRPr="00FE771B">
        <w:rPr>
          <w:rFonts w:ascii="Times New Roman" w:hAnsi="Times New Roman" w:cs="Times New Roman"/>
          <w:color w:val="000000" w:themeColor="text1"/>
        </w:rPr>
        <w:t>杜勇等，</w:t>
      </w:r>
      <w:r w:rsidR="000B08E8" w:rsidRPr="00FE771B">
        <w:rPr>
          <w:rFonts w:ascii="Times New Roman" w:hAnsi="Times New Roman" w:cs="Times New Roman"/>
          <w:color w:val="000000" w:themeColor="text1"/>
        </w:rPr>
        <w:t>2017)</w:t>
      </w:r>
      <w:r w:rsidR="000B08E8" w:rsidRPr="00FE771B">
        <w:rPr>
          <w:rFonts w:ascii="Times New Roman" w:hAnsi="Times New Roman" w:cs="Times New Roman"/>
          <w:color w:val="000000" w:themeColor="text1"/>
        </w:rPr>
        <w:t>。当第二类代理问题出现时，大股东对企业的支配程度远超中小投资者，大股东在并购中居于主导地位。</w:t>
      </w:r>
      <w:r w:rsidR="005C41AA" w:rsidRPr="00FE771B">
        <w:rPr>
          <w:rFonts w:ascii="Times New Roman" w:hAnsi="Times New Roman" w:cs="Times New Roman"/>
          <w:color w:val="000000" w:themeColor="text1"/>
        </w:rPr>
        <w:t>“</w:t>
      </w:r>
      <w:r w:rsidR="005C41AA" w:rsidRPr="00FE771B">
        <w:rPr>
          <w:rFonts w:ascii="Times New Roman" w:hAnsi="Times New Roman" w:cs="Times New Roman"/>
          <w:color w:val="000000" w:themeColor="text1"/>
        </w:rPr>
        <w:t>高溢价</w:t>
      </w:r>
      <w:r w:rsidR="005C41AA" w:rsidRPr="00FE771B">
        <w:rPr>
          <w:rFonts w:ascii="Times New Roman" w:hAnsi="Times New Roman" w:cs="Times New Roman"/>
          <w:color w:val="000000" w:themeColor="text1"/>
        </w:rPr>
        <w:t>”</w:t>
      </w:r>
      <w:r w:rsidR="005C41AA" w:rsidRPr="00FE771B">
        <w:rPr>
          <w:rFonts w:ascii="Times New Roman" w:hAnsi="Times New Roman" w:cs="Times New Roman"/>
          <w:color w:val="000000" w:themeColor="text1"/>
        </w:rPr>
        <w:t>、</w:t>
      </w:r>
      <w:r w:rsidR="005C41AA" w:rsidRPr="00FE771B">
        <w:rPr>
          <w:rFonts w:ascii="Times New Roman" w:hAnsi="Times New Roman" w:cs="Times New Roman"/>
          <w:color w:val="000000" w:themeColor="text1"/>
        </w:rPr>
        <w:t>“</w:t>
      </w:r>
      <w:r w:rsidR="005C41AA" w:rsidRPr="00FE771B">
        <w:rPr>
          <w:rFonts w:ascii="Times New Roman" w:hAnsi="Times New Roman" w:cs="Times New Roman"/>
          <w:color w:val="000000" w:themeColor="text1"/>
        </w:rPr>
        <w:t>高承诺</w:t>
      </w:r>
      <w:r w:rsidR="005C41AA" w:rsidRPr="00FE771B">
        <w:rPr>
          <w:rFonts w:ascii="Times New Roman" w:hAnsi="Times New Roman" w:cs="Times New Roman"/>
          <w:color w:val="000000" w:themeColor="text1"/>
        </w:rPr>
        <w:t>”</w:t>
      </w:r>
      <w:r w:rsidR="008B6E5C" w:rsidRPr="00FE771B">
        <w:rPr>
          <w:rFonts w:ascii="Times New Roman" w:hAnsi="Times New Roman" w:cs="Times New Roman"/>
          <w:color w:val="000000" w:themeColor="text1"/>
        </w:rPr>
        <w:t>这一信号表现在资本市场上必然带来上市公司股价持续上涨</w:t>
      </w:r>
      <w:r w:rsidR="008B6E5C" w:rsidRPr="00FE771B">
        <w:rPr>
          <w:rFonts w:ascii="Times New Roman" w:hAnsi="Times New Roman" w:cs="Times New Roman"/>
          <w:color w:val="000000" w:themeColor="text1"/>
        </w:rPr>
        <w:t>(</w:t>
      </w:r>
      <w:r w:rsidR="008B6E5C" w:rsidRPr="00FE771B">
        <w:rPr>
          <w:rFonts w:ascii="Times New Roman" w:hAnsi="Times New Roman" w:cs="Times New Roman"/>
          <w:color w:val="000000" w:themeColor="text1"/>
        </w:rPr>
        <w:t>吕长江和韩慧博，</w:t>
      </w:r>
      <w:r w:rsidR="008B6E5C" w:rsidRPr="00FE771B">
        <w:rPr>
          <w:rFonts w:ascii="Times New Roman" w:hAnsi="Times New Roman" w:cs="Times New Roman"/>
          <w:color w:val="000000" w:themeColor="text1"/>
        </w:rPr>
        <w:t>2014</w:t>
      </w:r>
      <w:r w:rsidR="008B6E5C" w:rsidRPr="00FE771B">
        <w:rPr>
          <w:rFonts w:ascii="Times New Roman" w:hAnsi="Times New Roman" w:cs="Times New Roman"/>
          <w:color w:val="000000" w:themeColor="text1"/>
        </w:rPr>
        <w:t>；沈华玉和林永坚，</w:t>
      </w:r>
      <w:r w:rsidR="008B6E5C" w:rsidRPr="00FE771B">
        <w:rPr>
          <w:rFonts w:ascii="Times New Roman" w:hAnsi="Times New Roman" w:cs="Times New Roman"/>
          <w:color w:val="000000" w:themeColor="text1"/>
        </w:rPr>
        <w:t>2018</w:t>
      </w:r>
      <w:r w:rsidR="008B6E5C" w:rsidRPr="00FE771B">
        <w:rPr>
          <w:rFonts w:ascii="Times New Roman" w:hAnsi="Times New Roman" w:cs="Times New Roman"/>
          <w:color w:val="000000" w:themeColor="text1"/>
        </w:rPr>
        <w:t>；徐莉萍等，</w:t>
      </w:r>
      <w:r w:rsidR="008B6E5C" w:rsidRPr="00FE771B">
        <w:rPr>
          <w:rFonts w:ascii="Times New Roman" w:hAnsi="Times New Roman" w:cs="Times New Roman"/>
          <w:color w:val="000000" w:themeColor="text1"/>
        </w:rPr>
        <w:t>202</w:t>
      </w:r>
      <w:r w:rsidR="00D87ED1" w:rsidRPr="00FE771B">
        <w:rPr>
          <w:rFonts w:ascii="Times New Roman" w:hAnsi="Times New Roman" w:cs="Times New Roman"/>
          <w:color w:val="000000" w:themeColor="text1"/>
        </w:rPr>
        <w:t>1</w:t>
      </w:r>
      <w:r w:rsidR="008B6E5C" w:rsidRPr="00FE771B">
        <w:rPr>
          <w:rFonts w:ascii="Times New Roman" w:hAnsi="Times New Roman" w:cs="Times New Roman"/>
          <w:color w:val="000000" w:themeColor="text1"/>
        </w:rPr>
        <w:t>)</w:t>
      </w:r>
      <w:r w:rsidR="00066F44" w:rsidRPr="00FE771B">
        <w:rPr>
          <w:rFonts w:ascii="Times New Roman" w:hAnsi="Times New Roman" w:cs="Times New Roman"/>
          <w:color w:val="000000" w:themeColor="text1"/>
        </w:rPr>
        <w:t>。</w:t>
      </w:r>
      <w:r w:rsidR="00CD352C" w:rsidRPr="00FE771B">
        <w:rPr>
          <w:rFonts w:ascii="Times New Roman" w:hAnsi="Times New Roman" w:cs="Times New Roman"/>
          <w:color w:val="000000" w:themeColor="text1"/>
        </w:rPr>
        <w:t>为了持续向市场释放积极信号，大股东有动机</w:t>
      </w:r>
      <w:r w:rsidR="006C34D1" w:rsidRPr="00FE771B">
        <w:rPr>
          <w:rFonts w:ascii="Times New Roman" w:hAnsi="Times New Roman" w:cs="Times New Roman"/>
          <w:color w:val="000000" w:themeColor="text1"/>
        </w:rPr>
        <w:t>干预上市公司经营以便在业绩承诺</w:t>
      </w:r>
      <w:proofErr w:type="gramStart"/>
      <w:r w:rsidR="006C34D1" w:rsidRPr="00FE771B">
        <w:rPr>
          <w:rFonts w:ascii="Times New Roman" w:hAnsi="Times New Roman" w:cs="Times New Roman"/>
          <w:color w:val="000000" w:themeColor="text1"/>
        </w:rPr>
        <w:t>期获得</w:t>
      </w:r>
      <w:proofErr w:type="gramEnd"/>
      <w:r w:rsidR="006C34D1" w:rsidRPr="00FE771B">
        <w:rPr>
          <w:rFonts w:ascii="Times New Roman" w:hAnsi="Times New Roman" w:cs="Times New Roman"/>
          <w:color w:val="000000" w:themeColor="text1"/>
        </w:rPr>
        <w:t>高增长，</w:t>
      </w:r>
      <w:r w:rsidR="0083735A" w:rsidRPr="00FE771B">
        <w:rPr>
          <w:rFonts w:ascii="Times New Roman" w:hAnsi="Times New Roman" w:cs="Times New Roman"/>
          <w:color w:val="000000" w:themeColor="text1"/>
        </w:rPr>
        <w:t>而通过配置金融资产获得短期性的高收益能够满足这一要求。</w:t>
      </w:r>
      <w:r w:rsidR="006C34D1" w:rsidRPr="00FE771B">
        <w:rPr>
          <w:rFonts w:ascii="Times New Roman" w:hAnsi="Times New Roman" w:cs="Times New Roman"/>
          <w:color w:val="000000" w:themeColor="text1"/>
        </w:rPr>
        <w:t>文春晖和任国良（</w:t>
      </w:r>
      <w:r w:rsidR="006C34D1" w:rsidRPr="00FE771B">
        <w:rPr>
          <w:rFonts w:ascii="Times New Roman" w:hAnsi="Times New Roman" w:cs="Times New Roman"/>
          <w:color w:val="000000" w:themeColor="text1"/>
        </w:rPr>
        <w:t>2015</w:t>
      </w:r>
      <w:r w:rsidR="006C34D1" w:rsidRPr="00FE771B">
        <w:rPr>
          <w:rFonts w:ascii="Times New Roman" w:hAnsi="Times New Roman" w:cs="Times New Roman"/>
          <w:color w:val="000000" w:themeColor="text1"/>
        </w:rPr>
        <w:t>）指出，在大股东和中小股东权利失衡情况下，大股东往往热衷于将企业投资从实体经济领域投向房地产、</w:t>
      </w:r>
      <w:r w:rsidR="00634571" w:rsidRPr="00FE771B">
        <w:rPr>
          <w:rFonts w:ascii="Times New Roman" w:hAnsi="Times New Roman" w:cs="Times New Roman"/>
          <w:color w:val="000000" w:themeColor="text1"/>
        </w:rPr>
        <w:t>金融等虚拟经济领域，以较为激进的投融资策略来获取短期高增长收益</w:t>
      </w:r>
      <w:r w:rsidR="00CD352C" w:rsidRPr="00FE771B">
        <w:rPr>
          <w:rFonts w:ascii="Times New Roman" w:hAnsi="Times New Roman" w:cs="Times New Roman"/>
          <w:color w:val="000000" w:themeColor="text1"/>
        </w:rPr>
        <w:t>。</w:t>
      </w:r>
      <w:r w:rsidR="00634571" w:rsidRPr="00FE771B">
        <w:rPr>
          <w:rFonts w:ascii="Times New Roman" w:hAnsi="Times New Roman" w:cs="Times New Roman"/>
          <w:color w:val="000000" w:themeColor="text1"/>
        </w:rPr>
        <w:t>因此，在</w:t>
      </w:r>
      <w:r w:rsidR="002D29DC" w:rsidRPr="00FE771B">
        <w:rPr>
          <w:rFonts w:ascii="Times New Roman" w:hAnsi="Times New Roman" w:cs="Times New Roman"/>
          <w:color w:val="000000" w:themeColor="text1"/>
        </w:rPr>
        <w:t>业绩承诺</w:t>
      </w:r>
      <w:r w:rsidR="008B6E5C" w:rsidRPr="00FE771B">
        <w:rPr>
          <w:rFonts w:ascii="Times New Roman" w:hAnsi="Times New Roman" w:cs="Times New Roman"/>
          <w:color w:val="000000" w:themeColor="text1"/>
        </w:rPr>
        <w:t>的</w:t>
      </w:r>
      <w:r w:rsidR="005C41AA" w:rsidRPr="00FE771B">
        <w:rPr>
          <w:rFonts w:ascii="Times New Roman" w:hAnsi="Times New Roman" w:cs="Times New Roman"/>
          <w:color w:val="000000" w:themeColor="text1"/>
        </w:rPr>
        <w:t>“</w:t>
      </w:r>
      <w:r w:rsidR="005C41AA" w:rsidRPr="00FE771B">
        <w:rPr>
          <w:rFonts w:ascii="Times New Roman" w:hAnsi="Times New Roman" w:cs="Times New Roman"/>
          <w:color w:val="000000" w:themeColor="text1"/>
        </w:rPr>
        <w:t>高溢价</w:t>
      </w:r>
      <w:r w:rsidR="005C41AA" w:rsidRPr="00FE771B">
        <w:rPr>
          <w:rFonts w:ascii="Times New Roman" w:hAnsi="Times New Roman" w:cs="Times New Roman"/>
          <w:color w:val="000000" w:themeColor="text1"/>
        </w:rPr>
        <w:t>”</w:t>
      </w:r>
      <w:r w:rsidR="005C41AA" w:rsidRPr="00FE771B">
        <w:rPr>
          <w:rFonts w:ascii="Times New Roman" w:hAnsi="Times New Roman" w:cs="Times New Roman"/>
          <w:color w:val="000000" w:themeColor="text1"/>
        </w:rPr>
        <w:t>、</w:t>
      </w:r>
      <w:r w:rsidR="005C41AA" w:rsidRPr="00FE771B">
        <w:rPr>
          <w:rFonts w:ascii="Times New Roman" w:hAnsi="Times New Roman" w:cs="Times New Roman"/>
          <w:color w:val="000000" w:themeColor="text1"/>
        </w:rPr>
        <w:t>“</w:t>
      </w:r>
      <w:r w:rsidR="005C41AA" w:rsidRPr="00FE771B">
        <w:rPr>
          <w:rFonts w:ascii="Times New Roman" w:hAnsi="Times New Roman" w:cs="Times New Roman"/>
          <w:color w:val="000000" w:themeColor="text1"/>
        </w:rPr>
        <w:t>高承诺</w:t>
      </w:r>
      <w:r w:rsidR="005C41AA" w:rsidRPr="00FE771B">
        <w:rPr>
          <w:rFonts w:ascii="Times New Roman" w:hAnsi="Times New Roman" w:cs="Times New Roman"/>
          <w:color w:val="000000" w:themeColor="text1"/>
        </w:rPr>
        <w:t>”</w:t>
      </w:r>
      <w:r w:rsidR="00634571" w:rsidRPr="00FE771B">
        <w:rPr>
          <w:rFonts w:ascii="Times New Roman" w:hAnsi="Times New Roman" w:cs="Times New Roman"/>
          <w:color w:val="000000" w:themeColor="text1"/>
        </w:rPr>
        <w:t>诱导下，</w:t>
      </w:r>
      <w:r w:rsidR="00060B1D" w:rsidRPr="00FE771B">
        <w:rPr>
          <w:rFonts w:ascii="Times New Roman" w:hAnsi="Times New Roman" w:cs="Times New Roman"/>
          <w:color w:val="000000" w:themeColor="text1"/>
        </w:rPr>
        <w:t>大股东</w:t>
      </w:r>
      <w:r w:rsidR="00634571" w:rsidRPr="00FE771B">
        <w:rPr>
          <w:rFonts w:ascii="Times New Roman" w:hAnsi="Times New Roman" w:cs="Times New Roman"/>
          <w:color w:val="000000" w:themeColor="text1"/>
        </w:rPr>
        <w:t>有动机</w:t>
      </w:r>
      <w:r w:rsidR="008B6E5C" w:rsidRPr="00FE771B">
        <w:rPr>
          <w:rFonts w:ascii="Times New Roman" w:hAnsi="Times New Roman" w:cs="Times New Roman"/>
          <w:color w:val="000000" w:themeColor="text1"/>
        </w:rPr>
        <w:t>将持续、长期和收益较低的主业投资置换为不可持续、短期和收益较高的非主业投资，例如金融投资和房地产投资，或者会计政策与估计变更</w:t>
      </w:r>
      <w:r w:rsidR="0083735A" w:rsidRPr="00FE771B">
        <w:rPr>
          <w:rStyle w:val="a6"/>
          <w:rFonts w:ascii="Times New Roman" w:hAnsi="Times New Roman" w:cs="Times New Roman"/>
          <w:color w:val="000000" w:themeColor="text1"/>
        </w:rPr>
        <w:footnoteReference w:id="6"/>
      </w:r>
      <w:r w:rsidR="008B6E5C" w:rsidRPr="00FE771B">
        <w:rPr>
          <w:rFonts w:ascii="Times New Roman" w:hAnsi="Times New Roman" w:cs="Times New Roman"/>
          <w:color w:val="000000" w:themeColor="text1"/>
        </w:rPr>
        <w:t>等手段来</w:t>
      </w:r>
      <w:r w:rsidR="0083735A" w:rsidRPr="00FE771B">
        <w:rPr>
          <w:rFonts w:ascii="Times New Roman" w:hAnsi="Times New Roman" w:cs="Times New Roman"/>
          <w:color w:val="000000" w:themeColor="text1"/>
        </w:rPr>
        <w:t>博取业绩承诺期的</w:t>
      </w:r>
      <w:r w:rsidR="0083735A" w:rsidRPr="00FE771B">
        <w:rPr>
          <w:rFonts w:ascii="Times New Roman" w:hAnsi="Times New Roman" w:cs="Times New Roman"/>
          <w:color w:val="000000" w:themeColor="text1"/>
        </w:rPr>
        <w:t>“</w:t>
      </w:r>
      <w:r w:rsidR="0083735A" w:rsidRPr="00FE771B">
        <w:rPr>
          <w:rFonts w:ascii="Times New Roman" w:hAnsi="Times New Roman" w:cs="Times New Roman"/>
          <w:color w:val="000000" w:themeColor="text1"/>
        </w:rPr>
        <w:t>套利</w:t>
      </w:r>
      <w:r w:rsidR="0083735A" w:rsidRPr="00FE771B">
        <w:rPr>
          <w:rFonts w:ascii="Times New Roman" w:hAnsi="Times New Roman" w:cs="Times New Roman"/>
          <w:color w:val="000000" w:themeColor="text1"/>
        </w:rPr>
        <w:t>”</w:t>
      </w:r>
      <w:r w:rsidR="0083735A" w:rsidRPr="00FE771B">
        <w:rPr>
          <w:rFonts w:ascii="Times New Roman" w:hAnsi="Times New Roman" w:cs="Times New Roman"/>
          <w:color w:val="000000" w:themeColor="text1"/>
        </w:rPr>
        <w:t>高收益</w:t>
      </w:r>
      <w:r w:rsidR="00634571" w:rsidRPr="00FE771B">
        <w:rPr>
          <w:rFonts w:ascii="Times New Roman" w:hAnsi="Times New Roman" w:cs="Times New Roman"/>
          <w:color w:val="000000" w:themeColor="text1"/>
        </w:rPr>
        <w:t>。</w:t>
      </w:r>
    </w:p>
    <w:p w:rsidR="008B6E5C" w:rsidRPr="00FE771B" w:rsidRDefault="00B150A9" w:rsidP="00803759">
      <w:pPr>
        <w:overflowPunct w:val="0"/>
        <w:ind w:firstLineChars="200" w:firstLine="420"/>
        <w:rPr>
          <w:rFonts w:ascii="Times New Roman" w:hAnsi="Times New Roman" w:cs="Times New Roman"/>
          <w:color w:val="000000" w:themeColor="text1"/>
        </w:rPr>
      </w:pPr>
      <w:r w:rsidRPr="00FE771B">
        <w:rPr>
          <w:rFonts w:ascii="Times New Roman" w:hAnsi="Times New Roman" w:cs="Times New Roman"/>
          <w:color w:val="000000" w:themeColor="text1"/>
        </w:rPr>
        <w:t>虽然</w:t>
      </w:r>
      <w:r w:rsidR="008B6E5C" w:rsidRPr="00FE771B">
        <w:rPr>
          <w:rFonts w:ascii="Times New Roman" w:hAnsi="Times New Roman" w:cs="Times New Roman"/>
          <w:color w:val="000000" w:themeColor="text1"/>
        </w:rPr>
        <w:t>倾向于配置金融、房地产</w:t>
      </w:r>
      <w:r w:rsidRPr="00FE771B">
        <w:rPr>
          <w:rFonts w:ascii="Times New Roman" w:hAnsi="Times New Roman" w:cs="Times New Roman"/>
          <w:color w:val="000000" w:themeColor="text1"/>
        </w:rPr>
        <w:t>的投资策略带来超额收益</w:t>
      </w:r>
      <w:r w:rsidR="008B6E5C" w:rsidRPr="00FE771B">
        <w:rPr>
          <w:rFonts w:ascii="Times New Roman" w:hAnsi="Times New Roman" w:cs="Times New Roman"/>
          <w:color w:val="000000" w:themeColor="text1"/>
        </w:rPr>
        <w:t>托住了股价稳住了市场但却有可能导致主业</w:t>
      </w:r>
      <w:r w:rsidR="008B6E5C" w:rsidRPr="00FE771B">
        <w:rPr>
          <w:rFonts w:ascii="Times New Roman" w:hAnsi="Times New Roman" w:cs="Times New Roman"/>
          <w:color w:val="000000" w:themeColor="text1"/>
        </w:rPr>
        <w:t>“</w:t>
      </w:r>
      <w:r w:rsidR="008B6E5C" w:rsidRPr="00FE771B">
        <w:rPr>
          <w:rFonts w:ascii="Times New Roman" w:hAnsi="Times New Roman" w:cs="Times New Roman"/>
          <w:color w:val="000000" w:themeColor="text1"/>
        </w:rPr>
        <w:t>荒废</w:t>
      </w:r>
      <w:r w:rsidR="008B6E5C" w:rsidRPr="00FE771B">
        <w:rPr>
          <w:rFonts w:ascii="Times New Roman" w:hAnsi="Times New Roman" w:cs="Times New Roman"/>
          <w:color w:val="000000" w:themeColor="text1"/>
        </w:rPr>
        <w:t>”</w:t>
      </w:r>
      <w:r w:rsidR="008B6E5C" w:rsidRPr="00FE771B">
        <w:rPr>
          <w:rFonts w:ascii="Times New Roman" w:hAnsi="Times New Roman" w:cs="Times New Roman"/>
          <w:color w:val="000000" w:themeColor="text1"/>
        </w:rPr>
        <w:t>，从长期</w:t>
      </w:r>
      <w:proofErr w:type="gramStart"/>
      <w:r w:rsidR="008B6E5C" w:rsidRPr="00FE771B">
        <w:rPr>
          <w:rFonts w:ascii="Times New Roman" w:hAnsi="Times New Roman" w:cs="Times New Roman"/>
          <w:color w:val="000000" w:themeColor="text1"/>
        </w:rPr>
        <w:t>看其实</w:t>
      </w:r>
      <w:proofErr w:type="gramEnd"/>
      <w:r w:rsidR="008B6E5C" w:rsidRPr="00FE771B">
        <w:rPr>
          <w:rFonts w:ascii="Times New Roman" w:hAnsi="Times New Roman" w:cs="Times New Roman"/>
          <w:color w:val="000000" w:themeColor="text1"/>
        </w:rPr>
        <w:t>透支了企业的长期竞争力。所以，从上文分析可知，</w:t>
      </w:r>
      <w:r w:rsidR="002D29DC" w:rsidRPr="00FE771B">
        <w:rPr>
          <w:rFonts w:ascii="Times New Roman" w:hAnsi="Times New Roman" w:cs="Times New Roman"/>
          <w:color w:val="000000" w:themeColor="text1"/>
        </w:rPr>
        <w:t>业绩承诺</w:t>
      </w:r>
      <w:r w:rsidR="008B6E5C" w:rsidRPr="00FE771B">
        <w:rPr>
          <w:rFonts w:ascii="Times New Roman" w:hAnsi="Times New Roman" w:cs="Times New Roman"/>
          <w:color w:val="000000" w:themeColor="text1"/>
        </w:rPr>
        <w:t>的</w:t>
      </w:r>
      <w:r w:rsidR="005C41AA" w:rsidRPr="00FE771B">
        <w:rPr>
          <w:rFonts w:ascii="Times New Roman" w:hAnsi="Times New Roman" w:cs="Times New Roman"/>
          <w:color w:val="000000" w:themeColor="text1"/>
        </w:rPr>
        <w:t>“</w:t>
      </w:r>
      <w:r w:rsidR="005C41AA" w:rsidRPr="00FE771B">
        <w:rPr>
          <w:rFonts w:ascii="Times New Roman" w:hAnsi="Times New Roman" w:cs="Times New Roman"/>
          <w:color w:val="000000" w:themeColor="text1"/>
        </w:rPr>
        <w:t>高溢价</w:t>
      </w:r>
      <w:r w:rsidR="005C41AA" w:rsidRPr="00FE771B">
        <w:rPr>
          <w:rFonts w:ascii="Times New Roman" w:hAnsi="Times New Roman" w:cs="Times New Roman"/>
          <w:color w:val="000000" w:themeColor="text1"/>
        </w:rPr>
        <w:t>”</w:t>
      </w:r>
      <w:r w:rsidR="005C41AA" w:rsidRPr="00FE771B">
        <w:rPr>
          <w:rFonts w:ascii="Times New Roman" w:hAnsi="Times New Roman" w:cs="Times New Roman"/>
          <w:color w:val="000000" w:themeColor="text1"/>
        </w:rPr>
        <w:t>、</w:t>
      </w:r>
      <w:r w:rsidR="005C41AA" w:rsidRPr="00FE771B">
        <w:rPr>
          <w:rFonts w:ascii="Times New Roman" w:hAnsi="Times New Roman" w:cs="Times New Roman"/>
          <w:color w:val="000000" w:themeColor="text1"/>
        </w:rPr>
        <w:t>“</w:t>
      </w:r>
      <w:r w:rsidR="005C41AA" w:rsidRPr="00FE771B">
        <w:rPr>
          <w:rFonts w:ascii="Times New Roman" w:hAnsi="Times New Roman" w:cs="Times New Roman"/>
          <w:color w:val="000000" w:themeColor="text1"/>
        </w:rPr>
        <w:t>高承诺</w:t>
      </w:r>
      <w:r w:rsidR="005C41AA" w:rsidRPr="00FE771B">
        <w:rPr>
          <w:rFonts w:ascii="Times New Roman" w:hAnsi="Times New Roman" w:cs="Times New Roman"/>
          <w:color w:val="000000" w:themeColor="text1"/>
        </w:rPr>
        <w:t>”</w:t>
      </w:r>
      <w:r w:rsidR="008B6E5C" w:rsidRPr="00FE771B">
        <w:rPr>
          <w:rFonts w:ascii="Times New Roman" w:hAnsi="Times New Roman" w:cs="Times New Roman"/>
          <w:color w:val="000000" w:themeColor="text1"/>
        </w:rPr>
        <w:t>特征对资本市场的积极信号作用，在</w:t>
      </w:r>
      <w:r w:rsidRPr="00FE771B">
        <w:rPr>
          <w:rFonts w:ascii="Times New Roman" w:hAnsi="Times New Roman" w:cs="Times New Roman"/>
          <w:color w:val="000000" w:themeColor="text1"/>
        </w:rPr>
        <w:t>第二类委托代理</w:t>
      </w:r>
      <w:r w:rsidR="008B6E5C" w:rsidRPr="00FE771B">
        <w:rPr>
          <w:rFonts w:ascii="Times New Roman" w:hAnsi="Times New Roman" w:cs="Times New Roman"/>
          <w:color w:val="000000" w:themeColor="text1"/>
        </w:rPr>
        <w:t>情况下，可能加剧上市公司异化行为，最直接的表现就是在经营中</w:t>
      </w:r>
      <w:r w:rsidRPr="00FE771B">
        <w:rPr>
          <w:rFonts w:ascii="Times New Roman" w:hAnsi="Times New Roman" w:cs="Times New Roman"/>
          <w:color w:val="000000" w:themeColor="text1"/>
        </w:rPr>
        <w:t>将</w:t>
      </w:r>
      <w:r w:rsidR="008B6E5C" w:rsidRPr="00FE771B">
        <w:rPr>
          <w:rFonts w:ascii="Times New Roman" w:hAnsi="Times New Roman" w:cs="Times New Roman"/>
          <w:color w:val="000000" w:themeColor="text1"/>
        </w:rPr>
        <w:t>收益率低、见效慢但却对公司生存发展具有重要意义的</w:t>
      </w:r>
      <w:r w:rsidRPr="00FE771B">
        <w:rPr>
          <w:rFonts w:ascii="Times New Roman" w:hAnsi="Times New Roman" w:cs="Times New Roman"/>
          <w:color w:val="000000" w:themeColor="text1"/>
        </w:rPr>
        <w:t>实体</w:t>
      </w:r>
      <w:r w:rsidR="008B6E5C" w:rsidRPr="00FE771B">
        <w:rPr>
          <w:rFonts w:ascii="Times New Roman" w:hAnsi="Times New Roman" w:cs="Times New Roman"/>
          <w:color w:val="000000" w:themeColor="text1"/>
        </w:rPr>
        <w:t>投资</w:t>
      </w:r>
      <w:r w:rsidRPr="00FE771B">
        <w:rPr>
          <w:rFonts w:ascii="Times New Roman" w:hAnsi="Times New Roman" w:cs="Times New Roman"/>
          <w:color w:val="000000" w:themeColor="text1"/>
        </w:rPr>
        <w:t>置换为金融、房地产等虚拟投资</w:t>
      </w:r>
      <w:r w:rsidR="008B6E5C" w:rsidRPr="00FE771B">
        <w:rPr>
          <w:rFonts w:ascii="Times New Roman" w:hAnsi="Times New Roman" w:cs="Times New Roman"/>
          <w:color w:val="000000" w:themeColor="text1"/>
        </w:rPr>
        <w:t>。据此，本文提出如下假设：</w:t>
      </w:r>
      <w:r w:rsidRPr="00FE771B">
        <w:rPr>
          <w:rFonts w:ascii="Times New Roman" w:hAnsi="Times New Roman" w:cs="Times New Roman"/>
          <w:color w:val="000000" w:themeColor="text1"/>
        </w:rPr>
        <w:t xml:space="preserve"> </w:t>
      </w:r>
    </w:p>
    <w:p w:rsidR="008B6E5C" w:rsidRPr="00FE771B" w:rsidRDefault="008B6E5C" w:rsidP="00803759">
      <w:pPr>
        <w:overflowPunct w:val="0"/>
        <w:ind w:firstLineChars="200" w:firstLine="420"/>
        <w:rPr>
          <w:rFonts w:ascii="Times New Roman" w:eastAsia="楷体" w:hAnsi="Times New Roman" w:cs="Times New Roman"/>
        </w:rPr>
      </w:pPr>
      <w:r w:rsidRPr="00FE771B">
        <w:rPr>
          <w:rFonts w:ascii="Times New Roman" w:eastAsia="楷体" w:hAnsi="Times New Roman" w:cs="Times New Roman"/>
        </w:rPr>
        <w:t>假设</w:t>
      </w:r>
      <w:r w:rsidRPr="00FE771B">
        <w:rPr>
          <w:rFonts w:ascii="Times New Roman" w:eastAsia="楷体" w:hAnsi="Times New Roman" w:cs="Times New Roman"/>
        </w:rPr>
        <w:t>1</w:t>
      </w:r>
      <w:r w:rsidRPr="00FE771B">
        <w:rPr>
          <w:rFonts w:ascii="Times New Roman" w:eastAsia="楷体" w:hAnsi="Times New Roman" w:cs="Times New Roman"/>
        </w:rPr>
        <w:t>：在其他条件相同情况下，</w:t>
      </w:r>
      <w:r w:rsidR="002D29DC" w:rsidRPr="00FE771B">
        <w:rPr>
          <w:rFonts w:ascii="Times New Roman" w:eastAsia="楷体" w:hAnsi="Times New Roman" w:cs="Times New Roman"/>
        </w:rPr>
        <w:t>业绩承诺</w:t>
      </w:r>
      <w:r w:rsidR="005C41AA" w:rsidRPr="00FE771B">
        <w:rPr>
          <w:rFonts w:ascii="Times New Roman" w:eastAsia="楷体" w:hAnsi="Times New Roman" w:cs="Times New Roman"/>
        </w:rPr>
        <w:t>“</w:t>
      </w:r>
      <w:r w:rsidR="005C41AA" w:rsidRPr="00FE771B">
        <w:rPr>
          <w:rFonts w:ascii="Times New Roman" w:eastAsia="楷体" w:hAnsi="Times New Roman" w:cs="Times New Roman"/>
        </w:rPr>
        <w:t>高溢价</w:t>
      </w:r>
      <w:r w:rsidR="005C41AA" w:rsidRPr="00FE771B">
        <w:rPr>
          <w:rFonts w:ascii="Times New Roman" w:eastAsia="楷体" w:hAnsi="Times New Roman" w:cs="Times New Roman"/>
        </w:rPr>
        <w:t>”</w:t>
      </w:r>
      <w:r w:rsidR="005C41AA" w:rsidRPr="00FE771B">
        <w:rPr>
          <w:rFonts w:ascii="Times New Roman" w:eastAsia="楷体" w:hAnsi="Times New Roman" w:cs="Times New Roman"/>
        </w:rPr>
        <w:t>、</w:t>
      </w:r>
      <w:r w:rsidR="005C41AA" w:rsidRPr="00FE771B">
        <w:rPr>
          <w:rFonts w:ascii="Times New Roman" w:eastAsia="楷体" w:hAnsi="Times New Roman" w:cs="Times New Roman"/>
        </w:rPr>
        <w:t>“</w:t>
      </w:r>
      <w:r w:rsidR="005C41AA" w:rsidRPr="00FE771B">
        <w:rPr>
          <w:rFonts w:ascii="Times New Roman" w:eastAsia="楷体" w:hAnsi="Times New Roman" w:cs="Times New Roman"/>
        </w:rPr>
        <w:t>高承诺</w:t>
      </w:r>
      <w:r w:rsidR="005C41AA" w:rsidRPr="00FE771B">
        <w:rPr>
          <w:rFonts w:ascii="Times New Roman" w:eastAsia="楷体" w:hAnsi="Times New Roman" w:cs="Times New Roman"/>
        </w:rPr>
        <w:t>”</w:t>
      </w:r>
      <w:r w:rsidR="00B150A9" w:rsidRPr="00FE771B">
        <w:rPr>
          <w:rFonts w:ascii="Times New Roman" w:eastAsia="楷体" w:hAnsi="Times New Roman" w:cs="Times New Roman"/>
        </w:rPr>
        <w:t>的积极信号可能诱发上市公司投资策略</w:t>
      </w:r>
      <w:proofErr w:type="gramStart"/>
      <w:r w:rsidR="00B150A9" w:rsidRPr="00FE771B">
        <w:rPr>
          <w:rFonts w:ascii="Times New Roman" w:eastAsia="楷体" w:hAnsi="Times New Roman" w:cs="Times New Roman"/>
        </w:rPr>
        <w:t>由实向虚</w:t>
      </w:r>
      <w:proofErr w:type="gramEnd"/>
      <w:r w:rsidR="00B150A9" w:rsidRPr="00FE771B">
        <w:rPr>
          <w:rFonts w:ascii="Times New Roman" w:eastAsia="楷体" w:hAnsi="Times New Roman" w:cs="Times New Roman"/>
        </w:rPr>
        <w:t>、</w:t>
      </w:r>
      <w:proofErr w:type="gramStart"/>
      <w:r w:rsidR="00B150A9" w:rsidRPr="00FE771B">
        <w:rPr>
          <w:rFonts w:ascii="Times New Roman" w:eastAsia="楷体" w:hAnsi="Times New Roman" w:cs="Times New Roman"/>
        </w:rPr>
        <w:t>由长趋短</w:t>
      </w:r>
      <w:proofErr w:type="gramEnd"/>
      <w:r w:rsidRPr="00FE771B">
        <w:rPr>
          <w:rFonts w:ascii="Times New Roman" w:eastAsia="楷体" w:hAnsi="Times New Roman" w:cs="Times New Roman"/>
        </w:rPr>
        <w:t>，造成上市公司</w:t>
      </w:r>
      <w:r w:rsidR="00B150A9" w:rsidRPr="00FE771B">
        <w:rPr>
          <w:rFonts w:ascii="Times New Roman" w:eastAsia="楷体" w:hAnsi="Times New Roman" w:cs="Times New Roman"/>
        </w:rPr>
        <w:t>经营金融化现象日趋严重</w:t>
      </w:r>
      <w:r w:rsidRPr="00FE771B">
        <w:rPr>
          <w:rFonts w:ascii="Times New Roman" w:eastAsia="楷体" w:hAnsi="Times New Roman" w:cs="Times New Roman"/>
        </w:rPr>
        <w:t>。</w:t>
      </w:r>
    </w:p>
    <w:p w:rsidR="000F3A52" w:rsidRPr="00FE771B" w:rsidRDefault="000F3A52" w:rsidP="00803759">
      <w:pPr>
        <w:overflowPunct w:val="0"/>
        <w:ind w:firstLineChars="200" w:firstLine="420"/>
        <w:rPr>
          <w:rFonts w:ascii="Times New Roman" w:hAnsi="Times New Roman" w:cs="Times New Roman"/>
          <w:color w:val="000000" w:themeColor="text1"/>
        </w:rPr>
      </w:pPr>
      <w:r w:rsidRPr="00FE771B">
        <w:rPr>
          <w:rFonts w:ascii="Times New Roman" w:hAnsi="Times New Roman" w:cs="Times New Roman"/>
          <w:color w:val="000000" w:themeColor="text1"/>
        </w:rPr>
        <w:t>上文分析了</w:t>
      </w:r>
      <w:r w:rsidR="002D29DC" w:rsidRPr="00FE771B">
        <w:rPr>
          <w:rFonts w:ascii="Times New Roman" w:hAnsi="Times New Roman" w:cs="Times New Roman"/>
          <w:color w:val="000000" w:themeColor="text1"/>
        </w:rPr>
        <w:t>业绩承诺</w:t>
      </w:r>
      <w:r w:rsidRPr="00FE771B">
        <w:rPr>
          <w:rFonts w:ascii="Times New Roman" w:hAnsi="Times New Roman" w:cs="Times New Roman"/>
          <w:color w:val="000000" w:themeColor="text1"/>
        </w:rPr>
        <w:t>内嵌的</w:t>
      </w:r>
      <w:r w:rsidR="005C41AA" w:rsidRPr="00FE771B">
        <w:rPr>
          <w:rFonts w:ascii="Times New Roman" w:hAnsi="Times New Roman" w:cs="Times New Roman"/>
          <w:color w:val="000000" w:themeColor="text1"/>
        </w:rPr>
        <w:t>“</w:t>
      </w:r>
      <w:r w:rsidR="005C41AA" w:rsidRPr="00FE771B">
        <w:rPr>
          <w:rFonts w:ascii="Times New Roman" w:hAnsi="Times New Roman" w:cs="Times New Roman"/>
          <w:color w:val="000000" w:themeColor="text1"/>
        </w:rPr>
        <w:t>高溢价</w:t>
      </w:r>
      <w:r w:rsidR="005C41AA" w:rsidRPr="00FE771B">
        <w:rPr>
          <w:rFonts w:ascii="Times New Roman" w:hAnsi="Times New Roman" w:cs="Times New Roman"/>
          <w:color w:val="000000" w:themeColor="text1"/>
        </w:rPr>
        <w:t>”</w:t>
      </w:r>
      <w:r w:rsidR="005C41AA" w:rsidRPr="00FE771B">
        <w:rPr>
          <w:rFonts w:ascii="Times New Roman" w:hAnsi="Times New Roman" w:cs="Times New Roman"/>
          <w:color w:val="000000" w:themeColor="text1"/>
        </w:rPr>
        <w:t>、</w:t>
      </w:r>
      <w:r w:rsidR="005C41AA" w:rsidRPr="00FE771B">
        <w:rPr>
          <w:rFonts w:ascii="Times New Roman" w:hAnsi="Times New Roman" w:cs="Times New Roman"/>
          <w:color w:val="000000" w:themeColor="text1"/>
        </w:rPr>
        <w:t>“</w:t>
      </w:r>
      <w:r w:rsidR="005C41AA" w:rsidRPr="00FE771B">
        <w:rPr>
          <w:rFonts w:ascii="Times New Roman" w:hAnsi="Times New Roman" w:cs="Times New Roman"/>
          <w:color w:val="000000" w:themeColor="text1"/>
        </w:rPr>
        <w:t>高承诺</w:t>
      </w:r>
      <w:r w:rsidR="005C41AA" w:rsidRPr="00FE771B">
        <w:rPr>
          <w:rFonts w:ascii="Times New Roman" w:hAnsi="Times New Roman" w:cs="Times New Roman"/>
          <w:color w:val="000000" w:themeColor="text1"/>
        </w:rPr>
        <w:t>”</w:t>
      </w:r>
      <w:r w:rsidRPr="00FE771B">
        <w:rPr>
          <w:rFonts w:ascii="Times New Roman" w:hAnsi="Times New Roman" w:cs="Times New Roman"/>
          <w:color w:val="000000" w:themeColor="text1"/>
        </w:rPr>
        <w:t>等关键词所发出的积极信号将会对资本市场产生推动作用，上市公司管理层也必然在这一积极影响下对其经营决策造成重要影响，其主要表现之一便是更加热衷于</w:t>
      </w:r>
      <w:r w:rsidR="0083735A" w:rsidRPr="00FE771B">
        <w:rPr>
          <w:rFonts w:ascii="Times New Roman" w:hAnsi="Times New Roman" w:cs="Times New Roman"/>
          <w:color w:val="000000" w:themeColor="text1"/>
        </w:rPr>
        <w:t>金融资产投资</w:t>
      </w:r>
      <w:r w:rsidRPr="00FE771B">
        <w:rPr>
          <w:rFonts w:ascii="Times New Roman" w:hAnsi="Times New Roman" w:cs="Times New Roman"/>
          <w:color w:val="000000" w:themeColor="text1"/>
        </w:rPr>
        <w:t>，偏离主业经营轨道，通过短期高收益</w:t>
      </w:r>
      <w:r w:rsidR="0083735A" w:rsidRPr="00FE771B">
        <w:rPr>
          <w:rFonts w:ascii="Times New Roman" w:hAnsi="Times New Roman" w:cs="Times New Roman"/>
          <w:color w:val="000000" w:themeColor="text1"/>
        </w:rPr>
        <w:t>的</w:t>
      </w:r>
      <w:r w:rsidR="0083735A" w:rsidRPr="00FE771B">
        <w:rPr>
          <w:rFonts w:ascii="Times New Roman" w:hAnsi="Times New Roman" w:cs="Times New Roman"/>
          <w:color w:val="000000" w:themeColor="text1"/>
        </w:rPr>
        <w:t>“</w:t>
      </w:r>
      <w:r w:rsidR="0083735A" w:rsidRPr="00FE771B">
        <w:rPr>
          <w:rFonts w:ascii="Times New Roman" w:hAnsi="Times New Roman" w:cs="Times New Roman"/>
          <w:color w:val="000000" w:themeColor="text1"/>
        </w:rPr>
        <w:t>套利</w:t>
      </w:r>
      <w:r w:rsidR="0083735A" w:rsidRPr="00FE771B">
        <w:rPr>
          <w:rFonts w:ascii="Times New Roman" w:hAnsi="Times New Roman" w:cs="Times New Roman"/>
          <w:color w:val="000000" w:themeColor="text1"/>
        </w:rPr>
        <w:t>”</w:t>
      </w:r>
      <w:r w:rsidR="0083735A" w:rsidRPr="00FE771B">
        <w:rPr>
          <w:rFonts w:ascii="Times New Roman" w:hAnsi="Times New Roman" w:cs="Times New Roman"/>
          <w:color w:val="000000" w:themeColor="text1"/>
        </w:rPr>
        <w:t>效应</w:t>
      </w:r>
      <w:r w:rsidRPr="00FE771B">
        <w:rPr>
          <w:rFonts w:ascii="Times New Roman" w:hAnsi="Times New Roman" w:cs="Times New Roman"/>
          <w:color w:val="000000" w:themeColor="text1"/>
        </w:rPr>
        <w:t>来获得利润高增长，从而短期内能够提振股价，并使高管自身利益最大化（窦超、翟进步，</w:t>
      </w:r>
      <w:r w:rsidRPr="00FE771B">
        <w:rPr>
          <w:rFonts w:ascii="Times New Roman" w:hAnsi="Times New Roman" w:cs="Times New Roman"/>
          <w:color w:val="000000" w:themeColor="text1"/>
        </w:rPr>
        <w:t>2020</w:t>
      </w:r>
      <w:r w:rsidRPr="00FE771B">
        <w:rPr>
          <w:rFonts w:ascii="Times New Roman" w:hAnsi="Times New Roman" w:cs="Times New Roman"/>
          <w:color w:val="000000" w:themeColor="text1"/>
        </w:rPr>
        <w:t>）。不过，在存在</w:t>
      </w:r>
      <w:r w:rsidR="002D29DC" w:rsidRPr="00FE771B">
        <w:rPr>
          <w:rFonts w:ascii="Times New Roman" w:hAnsi="Times New Roman" w:cs="Times New Roman"/>
          <w:color w:val="000000" w:themeColor="text1"/>
        </w:rPr>
        <w:t>业绩承诺</w:t>
      </w:r>
      <w:r w:rsidRPr="00FE771B">
        <w:rPr>
          <w:rFonts w:ascii="Times New Roman" w:hAnsi="Times New Roman" w:cs="Times New Roman"/>
          <w:color w:val="000000" w:themeColor="text1"/>
        </w:rPr>
        <w:t>协议情况下，是什么原因或机理导致管理</w:t>
      </w:r>
      <w:proofErr w:type="gramStart"/>
      <w:r w:rsidRPr="00FE771B">
        <w:rPr>
          <w:rFonts w:ascii="Times New Roman" w:hAnsi="Times New Roman" w:cs="Times New Roman"/>
          <w:color w:val="000000" w:themeColor="text1"/>
        </w:rPr>
        <w:t>层行为</w:t>
      </w:r>
      <w:proofErr w:type="gramEnd"/>
      <w:r w:rsidRPr="00FE771B">
        <w:rPr>
          <w:rFonts w:ascii="Times New Roman" w:hAnsi="Times New Roman" w:cs="Times New Roman"/>
          <w:color w:val="000000" w:themeColor="text1"/>
        </w:rPr>
        <w:t>异化，进而影响上市公司运营</w:t>
      </w:r>
      <w:r w:rsidR="00C8739F" w:rsidRPr="00FE771B">
        <w:rPr>
          <w:rFonts w:ascii="Times New Roman" w:hAnsi="Times New Roman" w:cs="Times New Roman"/>
          <w:color w:val="000000" w:themeColor="text1"/>
        </w:rPr>
        <w:t>“</w:t>
      </w:r>
      <w:r w:rsidR="00C8739F" w:rsidRPr="00FE771B">
        <w:rPr>
          <w:rFonts w:ascii="Times New Roman" w:hAnsi="Times New Roman" w:cs="Times New Roman"/>
          <w:color w:val="000000" w:themeColor="text1"/>
        </w:rPr>
        <w:t>脱</w:t>
      </w:r>
      <w:r w:rsidR="004D7222" w:rsidRPr="00FE771B">
        <w:rPr>
          <w:rFonts w:ascii="Times New Roman" w:hAnsi="Times New Roman" w:cs="Times New Roman"/>
          <w:color w:val="000000" w:themeColor="text1"/>
        </w:rPr>
        <w:t>实</w:t>
      </w:r>
      <w:r w:rsidR="00C8739F" w:rsidRPr="00FE771B">
        <w:rPr>
          <w:rFonts w:ascii="Times New Roman" w:hAnsi="Times New Roman" w:cs="Times New Roman"/>
          <w:color w:val="000000" w:themeColor="text1"/>
        </w:rPr>
        <w:t>向</w:t>
      </w:r>
      <w:r w:rsidR="004D7222" w:rsidRPr="00FE771B">
        <w:rPr>
          <w:rFonts w:ascii="Times New Roman" w:hAnsi="Times New Roman" w:cs="Times New Roman"/>
          <w:color w:val="000000" w:themeColor="text1"/>
        </w:rPr>
        <w:t>虚</w:t>
      </w:r>
      <w:r w:rsidR="00C8739F" w:rsidRPr="00FE771B">
        <w:rPr>
          <w:rFonts w:ascii="Times New Roman" w:hAnsi="Times New Roman" w:cs="Times New Roman"/>
          <w:color w:val="000000" w:themeColor="text1"/>
        </w:rPr>
        <w:t>”</w:t>
      </w:r>
      <w:r w:rsidRPr="00FE771B">
        <w:rPr>
          <w:rFonts w:ascii="Times New Roman" w:hAnsi="Times New Roman" w:cs="Times New Roman"/>
          <w:color w:val="000000" w:themeColor="text1"/>
        </w:rPr>
        <w:t>？本文欲从盈余管理视角对这一问题进行分析。盈余管理</w:t>
      </w:r>
      <w:r w:rsidRPr="00FE771B">
        <w:rPr>
          <w:rFonts w:ascii="Times New Roman" w:hAnsi="Times New Roman" w:cs="Times New Roman"/>
          <w:color w:val="000000" w:themeColor="text1"/>
        </w:rPr>
        <w:t>(Earnings Management)</w:t>
      </w:r>
      <w:r w:rsidRPr="00FE771B">
        <w:rPr>
          <w:rFonts w:ascii="Times New Roman" w:hAnsi="Times New Roman" w:cs="Times New Roman"/>
          <w:color w:val="000000" w:themeColor="text1"/>
        </w:rPr>
        <w:t>说明了</w:t>
      </w:r>
      <w:r w:rsidR="004D7222" w:rsidRPr="00FE771B">
        <w:rPr>
          <w:rFonts w:ascii="Times New Roman" w:hAnsi="Times New Roman" w:cs="Times New Roman"/>
          <w:color w:val="000000" w:themeColor="text1"/>
        </w:rPr>
        <w:t>上市公司通过合理运用会计政策或构建真实交易对财务报告中的会计信息进行调整，</w:t>
      </w:r>
      <w:r w:rsidR="00E727C4" w:rsidRPr="00FE771B">
        <w:rPr>
          <w:rFonts w:ascii="Times New Roman" w:hAnsi="Times New Roman" w:cs="Times New Roman"/>
          <w:color w:val="000000" w:themeColor="text1"/>
        </w:rPr>
        <w:t>诱致企业</w:t>
      </w:r>
      <w:r w:rsidR="004D7222" w:rsidRPr="00FE771B">
        <w:rPr>
          <w:rFonts w:ascii="Times New Roman" w:hAnsi="Times New Roman" w:cs="Times New Roman"/>
          <w:color w:val="000000" w:themeColor="text1"/>
        </w:rPr>
        <w:t>利益相关者的</w:t>
      </w:r>
      <w:r w:rsidR="00E727C4" w:rsidRPr="00FE771B">
        <w:rPr>
          <w:rFonts w:ascii="Times New Roman" w:hAnsi="Times New Roman" w:cs="Times New Roman"/>
          <w:color w:val="000000" w:themeColor="text1"/>
        </w:rPr>
        <w:t>决定决策和相关契约设计与执行</w:t>
      </w:r>
      <w:r w:rsidR="004D7222" w:rsidRPr="00FE771B">
        <w:rPr>
          <w:rFonts w:ascii="Times New Roman" w:hAnsi="Times New Roman" w:cs="Times New Roman"/>
          <w:color w:val="000000" w:themeColor="text1"/>
        </w:rPr>
        <w:t xml:space="preserve"> (</w:t>
      </w:r>
      <w:proofErr w:type="spellStart"/>
      <w:r w:rsidR="004D7222" w:rsidRPr="00FE771B">
        <w:rPr>
          <w:rFonts w:ascii="Times New Roman" w:hAnsi="Times New Roman" w:cs="Times New Roman"/>
          <w:color w:val="000000" w:themeColor="text1"/>
        </w:rPr>
        <w:t>Healy</w:t>
      </w:r>
      <w:r w:rsidR="00892AC9" w:rsidRPr="00FE771B">
        <w:rPr>
          <w:rFonts w:ascii="Times New Roman" w:hAnsi="Times New Roman" w:cs="Times New Roman"/>
          <w:color w:val="000000" w:themeColor="text1"/>
        </w:rPr>
        <w:t>&amp;</w:t>
      </w:r>
      <w:r w:rsidR="004D7222" w:rsidRPr="00FE771B">
        <w:rPr>
          <w:rFonts w:ascii="Times New Roman" w:hAnsi="Times New Roman" w:cs="Times New Roman"/>
          <w:color w:val="000000" w:themeColor="text1"/>
        </w:rPr>
        <w:t>Wahlen</w:t>
      </w:r>
      <w:proofErr w:type="spellEnd"/>
      <w:r w:rsidR="00E727C4" w:rsidRPr="00FE771B">
        <w:rPr>
          <w:rFonts w:ascii="Times New Roman" w:hAnsi="Times New Roman" w:cs="Times New Roman"/>
          <w:color w:val="000000" w:themeColor="text1"/>
        </w:rPr>
        <w:t>，</w:t>
      </w:r>
      <w:r w:rsidR="004D7222" w:rsidRPr="00FE771B">
        <w:rPr>
          <w:rFonts w:ascii="Times New Roman" w:hAnsi="Times New Roman" w:cs="Times New Roman"/>
          <w:color w:val="000000" w:themeColor="text1"/>
        </w:rPr>
        <w:t>1999)</w:t>
      </w:r>
      <w:r w:rsidR="00E727C4" w:rsidRPr="00FE771B">
        <w:rPr>
          <w:rFonts w:ascii="Times New Roman" w:hAnsi="Times New Roman" w:cs="Times New Roman"/>
          <w:color w:val="000000" w:themeColor="text1"/>
        </w:rPr>
        <w:t>，</w:t>
      </w:r>
      <w:r w:rsidRPr="00FE771B">
        <w:rPr>
          <w:rFonts w:ascii="Times New Roman" w:hAnsi="Times New Roman" w:cs="Times New Roman"/>
          <w:color w:val="000000" w:themeColor="text1"/>
        </w:rPr>
        <w:t>已有文献发现媒体和分析师关注、定向增发、高管薪酬激励、独立董事、高管变更、公司治理、股权激励等内容都将会对上市公司盈余管理行为产生影响</w:t>
      </w:r>
      <w:r w:rsidR="00D87ED1" w:rsidRPr="00FE771B">
        <w:rPr>
          <w:rFonts w:ascii="Times New Roman" w:hAnsi="Times New Roman" w:cs="Times New Roman"/>
          <w:color w:val="000000" w:themeColor="text1"/>
        </w:rPr>
        <w:t>，</w:t>
      </w:r>
      <w:r w:rsidRPr="00FE771B">
        <w:rPr>
          <w:rFonts w:ascii="Times New Roman" w:hAnsi="Times New Roman" w:cs="Times New Roman"/>
          <w:color w:val="000000" w:themeColor="text1"/>
        </w:rPr>
        <w:t>上</w:t>
      </w:r>
      <w:r w:rsidRPr="00FE771B">
        <w:rPr>
          <w:rFonts w:ascii="Times New Roman" w:hAnsi="Times New Roman" w:cs="Times New Roman"/>
          <w:color w:val="000000" w:themeColor="text1"/>
        </w:rPr>
        <w:lastRenderedPageBreak/>
        <w:t>述事项既有上市公司内部调整也有外在的影响因素，充分说明了上市公司作为公众企业在面临来自内外的监督或压力时，上市公司</w:t>
      </w:r>
      <w:r w:rsidR="00D82604" w:rsidRPr="00FE771B">
        <w:rPr>
          <w:rFonts w:ascii="Times New Roman" w:hAnsi="Times New Roman" w:cs="Times New Roman"/>
          <w:color w:val="000000" w:themeColor="text1"/>
        </w:rPr>
        <w:t>大股东</w:t>
      </w:r>
      <w:r w:rsidRPr="00FE771B">
        <w:rPr>
          <w:rFonts w:ascii="Times New Roman" w:hAnsi="Times New Roman" w:cs="Times New Roman"/>
          <w:color w:val="000000" w:themeColor="text1"/>
        </w:rPr>
        <w:t>会调整经营决策行为从而迎合或满足这些来自内外的各种关注。在签订业绩补偿协议情况下，由于有未来业绩承诺期约束，相当于将未来一定时期的业绩不确定性降为确定性，加之我国资本市场以散户为主的投资结构，有并购题材和</w:t>
      </w:r>
      <w:r w:rsidR="002D29DC" w:rsidRPr="00FE771B">
        <w:rPr>
          <w:rFonts w:ascii="Times New Roman" w:hAnsi="Times New Roman" w:cs="Times New Roman"/>
          <w:color w:val="000000" w:themeColor="text1"/>
        </w:rPr>
        <w:t>业绩承诺</w:t>
      </w:r>
      <w:r w:rsidRPr="00FE771B">
        <w:rPr>
          <w:rFonts w:ascii="Times New Roman" w:hAnsi="Times New Roman" w:cs="Times New Roman"/>
          <w:color w:val="000000" w:themeColor="text1"/>
        </w:rPr>
        <w:t>协议的上市公司也必然成为资本市场和投资者追捧的热点，股价也会在未来业绩高预期推动下不断上涨。在这种情况下，上市公司</w:t>
      </w:r>
      <w:r w:rsidR="00B764D8" w:rsidRPr="00FE771B">
        <w:rPr>
          <w:rFonts w:ascii="Times New Roman" w:hAnsi="Times New Roman" w:cs="Times New Roman"/>
          <w:color w:val="000000" w:themeColor="text1"/>
        </w:rPr>
        <w:t>基于内外部压力下通过</w:t>
      </w:r>
      <w:r w:rsidR="0083735A" w:rsidRPr="00FE771B">
        <w:rPr>
          <w:rFonts w:ascii="Times New Roman" w:hAnsi="Times New Roman" w:cs="Times New Roman"/>
          <w:color w:val="000000" w:themeColor="text1"/>
        </w:rPr>
        <w:t>盈余管理</w:t>
      </w:r>
      <w:r w:rsidR="00B764D8" w:rsidRPr="00FE771B">
        <w:rPr>
          <w:rFonts w:ascii="Times New Roman" w:hAnsi="Times New Roman" w:cs="Times New Roman"/>
          <w:color w:val="000000" w:themeColor="text1"/>
        </w:rPr>
        <w:t>等机会主义</w:t>
      </w:r>
      <w:r w:rsidR="0083735A" w:rsidRPr="00FE771B">
        <w:rPr>
          <w:rFonts w:ascii="Times New Roman" w:hAnsi="Times New Roman" w:cs="Times New Roman"/>
          <w:color w:val="000000" w:themeColor="text1"/>
        </w:rPr>
        <w:t>行为</w:t>
      </w:r>
      <w:r w:rsidR="00D90745" w:rsidRPr="00FE771B">
        <w:rPr>
          <w:rFonts w:ascii="Times New Roman" w:hAnsi="Times New Roman" w:cs="Times New Roman"/>
          <w:color w:val="000000" w:themeColor="text1"/>
        </w:rPr>
        <w:t>对经营进行干预，</w:t>
      </w:r>
      <w:r w:rsidR="0083735A" w:rsidRPr="00FE771B">
        <w:rPr>
          <w:rFonts w:ascii="Times New Roman" w:hAnsi="Times New Roman" w:cs="Times New Roman"/>
          <w:color w:val="000000" w:themeColor="text1"/>
        </w:rPr>
        <w:t>主要表现为</w:t>
      </w:r>
      <w:r w:rsidRPr="00FE771B">
        <w:rPr>
          <w:rFonts w:ascii="Times New Roman" w:hAnsi="Times New Roman" w:cs="Times New Roman"/>
          <w:color w:val="000000" w:themeColor="text1"/>
        </w:rPr>
        <w:t>将经营从主业更加偏向于金融</w:t>
      </w:r>
      <w:r w:rsidR="0083735A" w:rsidRPr="00FE771B">
        <w:rPr>
          <w:rFonts w:ascii="Times New Roman" w:hAnsi="Times New Roman" w:cs="Times New Roman"/>
          <w:color w:val="000000" w:themeColor="text1"/>
        </w:rPr>
        <w:t>、房地产等虚拟领域</w:t>
      </w:r>
      <w:r w:rsidRPr="00FE771B">
        <w:rPr>
          <w:rFonts w:ascii="Times New Roman" w:hAnsi="Times New Roman" w:cs="Times New Roman"/>
          <w:color w:val="000000" w:themeColor="text1"/>
        </w:rPr>
        <w:t>，以赢得期限短、收益高和流动性好的超额收益，这一方面满足了市场对上市公司</w:t>
      </w:r>
      <w:proofErr w:type="gramStart"/>
      <w:r w:rsidRPr="00FE771B">
        <w:rPr>
          <w:rFonts w:ascii="Times New Roman" w:hAnsi="Times New Roman" w:cs="Times New Roman"/>
          <w:color w:val="000000" w:themeColor="text1"/>
        </w:rPr>
        <w:t>并购热点</w:t>
      </w:r>
      <w:proofErr w:type="gramEnd"/>
      <w:r w:rsidRPr="00FE771B">
        <w:rPr>
          <w:rFonts w:ascii="Times New Roman" w:hAnsi="Times New Roman" w:cs="Times New Roman"/>
          <w:color w:val="000000" w:themeColor="text1"/>
        </w:rPr>
        <w:t>题材关注所致的股价不断上涨期望，另一方面特别需要指出的是在很多上市公司主业本身较为</w:t>
      </w:r>
      <w:proofErr w:type="gramStart"/>
      <w:r w:rsidRPr="00FE771B">
        <w:rPr>
          <w:rFonts w:ascii="Times New Roman" w:hAnsi="Times New Roman" w:cs="Times New Roman"/>
          <w:color w:val="000000" w:themeColor="text1"/>
        </w:rPr>
        <w:t>羸弱情况</w:t>
      </w:r>
      <w:proofErr w:type="gramEnd"/>
      <w:r w:rsidRPr="00FE771B">
        <w:rPr>
          <w:rFonts w:ascii="Times New Roman" w:hAnsi="Times New Roman" w:cs="Times New Roman"/>
          <w:color w:val="000000" w:themeColor="text1"/>
        </w:rPr>
        <w:t>下，上市公司可能会通过并购重组和签订</w:t>
      </w:r>
      <w:r w:rsidR="002D29DC" w:rsidRPr="00FE771B">
        <w:rPr>
          <w:rFonts w:ascii="Times New Roman" w:hAnsi="Times New Roman" w:cs="Times New Roman"/>
          <w:color w:val="000000" w:themeColor="text1"/>
        </w:rPr>
        <w:t>业绩承诺</w:t>
      </w:r>
      <w:r w:rsidRPr="00FE771B">
        <w:rPr>
          <w:rFonts w:ascii="Times New Roman" w:hAnsi="Times New Roman" w:cs="Times New Roman"/>
          <w:color w:val="000000" w:themeColor="text1"/>
        </w:rPr>
        <w:t>协议向市场释放公司转型和竞争力不断提高的</w:t>
      </w:r>
      <w:r w:rsidRPr="00FE771B">
        <w:rPr>
          <w:rFonts w:ascii="Times New Roman" w:hAnsi="Times New Roman" w:cs="Times New Roman"/>
          <w:color w:val="000000" w:themeColor="text1"/>
        </w:rPr>
        <w:t>“</w:t>
      </w:r>
      <w:r w:rsidRPr="00FE771B">
        <w:rPr>
          <w:rFonts w:ascii="Times New Roman" w:hAnsi="Times New Roman" w:cs="Times New Roman"/>
          <w:color w:val="000000" w:themeColor="text1"/>
        </w:rPr>
        <w:t>信息</w:t>
      </w:r>
      <w:r w:rsidRPr="00FE771B">
        <w:rPr>
          <w:rFonts w:ascii="Times New Roman" w:hAnsi="Times New Roman" w:cs="Times New Roman"/>
          <w:color w:val="000000" w:themeColor="text1"/>
        </w:rPr>
        <w:t>”</w:t>
      </w:r>
      <w:r w:rsidRPr="00FE771B">
        <w:rPr>
          <w:rFonts w:ascii="Times New Roman" w:hAnsi="Times New Roman" w:cs="Times New Roman"/>
          <w:color w:val="000000" w:themeColor="text1"/>
        </w:rPr>
        <w:t>，在高预期和高增长幻觉下，上市公司重新受到资本市场热捧，上市公司可能更加需要通过盈余管理</w:t>
      </w:r>
      <w:r w:rsidR="00B764D8" w:rsidRPr="00FE771B">
        <w:rPr>
          <w:rFonts w:ascii="Times New Roman" w:hAnsi="Times New Roman" w:cs="Times New Roman"/>
          <w:color w:val="000000" w:themeColor="text1"/>
        </w:rPr>
        <w:t>等机会主义行为</w:t>
      </w:r>
      <w:r w:rsidRPr="00FE771B">
        <w:rPr>
          <w:rFonts w:ascii="Times New Roman" w:hAnsi="Times New Roman" w:cs="Times New Roman"/>
          <w:color w:val="000000" w:themeColor="text1"/>
        </w:rPr>
        <w:t>来</w:t>
      </w:r>
      <w:r w:rsidRPr="00FE771B">
        <w:rPr>
          <w:rFonts w:ascii="Times New Roman" w:hAnsi="Times New Roman" w:cs="Times New Roman"/>
          <w:color w:val="000000" w:themeColor="text1"/>
        </w:rPr>
        <w:t>“</w:t>
      </w:r>
      <w:r w:rsidRPr="00FE771B">
        <w:rPr>
          <w:rFonts w:ascii="Times New Roman" w:hAnsi="Times New Roman" w:cs="Times New Roman"/>
          <w:color w:val="000000" w:themeColor="text1"/>
        </w:rPr>
        <w:t>证明</w:t>
      </w:r>
      <w:r w:rsidRPr="00FE771B">
        <w:rPr>
          <w:rFonts w:ascii="Times New Roman" w:hAnsi="Times New Roman" w:cs="Times New Roman"/>
          <w:color w:val="000000" w:themeColor="text1"/>
        </w:rPr>
        <w:t>”</w:t>
      </w:r>
      <w:r w:rsidRPr="00FE771B">
        <w:rPr>
          <w:rFonts w:ascii="Times New Roman" w:hAnsi="Times New Roman" w:cs="Times New Roman"/>
          <w:color w:val="000000" w:themeColor="text1"/>
        </w:rPr>
        <w:t>公司业绩的高增长性，而在主业羸弱的情形这必然使</w:t>
      </w:r>
      <w:r w:rsidR="00E4547E" w:rsidRPr="00FE771B">
        <w:rPr>
          <w:rFonts w:ascii="Times New Roman" w:hAnsi="Times New Roman" w:cs="Times New Roman"/>
          <w:color w:val="000000" w:themeColor="text1"/>
        </w:rPr>
        <w:t>企业</w:t>
      </w:r>
      <w:r w:rsidRPr="00FE771B">
        <w:rPr>
          <w:rFonts w:ascii="Times New Roman" w:hAnsi="Times New Roman" w:cs="Times New Roman"/>
          <w:color w:val="000000" w:themeColor="text1"/>
        </w:rPr>
        <w:t>愈加依赖短期性、非经常性业务</w:t>
      </w:r>
      <w:r w:rsidR="0083735A" w:rsidRPr="00FE771B">
        <w:rPr>
          <w:rFonts w:ascii="Times New Roman" w:hAnsi="Times New Roman" w:cs="Times New Roman"/>
          <w:color w:val="000000" w:themeColor="text1"/>
        </w:rPr>
        <w:t>的金融、房地出等虚拟投资</w:t>
      </w:r>
      <w:r w:rsidRPr="00FE771B">
        <w:rPr>
          <w:rFonts w:ascii="Times New Roman" w:hAnsi="Times New Roman" w:cs="Times New Roman"/>
          <w:color w:val="000000" w:themeColor="text1"/>
        </w:rPr>
        <w:t>。</w:t>
      </w:r>
    </w:p>
    <w:p w:rsidR="008B6E5C" w:rsidRPr="00FE771B" w:rsidRDefault="008B6E5C" w:rsidP="00803759">
      <w:pPr>
        <w:overflowPunct w:val="0"/>
        <w:ind w:firstLineChars="200" w:firstLine="420"/>
        <w:rPr>
          <w:rFonts w:ascii="Times New Roman" w:eastAsia="楷体" w:hAnsi="Times New Roman" w:cs="Times New Roman"/>
          <w:color w:val="000000" w:themeColor="text1"/>
        </w:rPr>
      </w:pPr>
      <w:r w:rsidRPr="00FE771B">
        <w:rPr>
          <w:rFonts w:ascii="Times New Roman" w:eastAsia="楷体" w:hAnsi="Times New Roman" w:cs="Times New Roman"/>
          <w:color w:val="000000" w:themeColor="text1"/>
        </w:rPr>
        <w:t>假设</w:t>
      </w:r>
      <w:r w:rsidRPr="00FE771B">
        <w:rPr>
          <w:rFonts w:ascii="Times New Roman" w:eastAsia="楷体" w:hAnsi="Times New Roman" w:cs="Times New Roman"/>
          <w:color w:val="000000" w:themeColor="text1"/>
        </w:rPr>
        <w:t>2:</w:t>
      </w:r>
      <w:r w:rsidR="002D29DC" w:rsidRPr="00FE771B">
        <w:rPr>
          <w:rFonts w:ascii="Times New Roman" w:eastAsia="楷体" w:hAnsi="Times New Roman" w:cs="Times New Roman"/>
          <w:color w:val="000000" w:themeColor="text1"/>
        </w:rPr>
        <w:t>业绩承诺</w:t>
      </w:r>
      <w:r w:rsidRPr="00FE771B">
        <w:rPr>
          <w:rFonts w:ascii="Times New Roman" w:eastAsia="楷体" w:hAnsi="Times New Roman" w:cs="Times New Roman"/>
          <w:color w:val="000000" w:themeColor="text1"/>
        </w:rPr>
        <w:t>将会通过盈余管理</w:t>
      </w:r>
      <w:r w:rsidR="009C2B32" w:rsidRPr="00FE771B">
        <w:rPr>
          <w:rFonts w:ascii="Times New Roman" w:eastAsia="楷体" w:hAnsi="Times New Roman" w:cs="Times New Roman"/>
          <w:color w:val="000000" w:themeColor="text1"/>
        </w:rPr>
        <w:t>等机会主义</w:t>
      </w:r>
      <w:r w:rsidRPr="00FE771B">
        <w:rPr>
          <w:rFonts w:ascii="Times New Roman" w:eastAsia="楷体" w:hAnsi="Times New Roman" w:cs="Times New Roman"/>
          <w:color w:val="000000" w:themeColor="text1"/>
        </w:rPr>
        <w:t>行为</w:t>
      </w:r>
      <w:r w:rsidR="00D82604" w:rsidRPr="00FE771B">
        <w:rPr>
          <w:rFonts w:ascii="Times New Roman" w:eastAsia="楷体" w:hAnsi="Times New Roman" w:cs="Times New Roman"/>
          <w:color w:val="000000" w:themeColor="text1"/>
        </w:rPr>
        <w:t>加剧上市公司</w:t>
      </w:r>
      <w:r w:rsidR="00D82604" w:rsidRPr="00FE771B">
        <w:rPr>
          <w:rFonts w:ascii="Times New Roman" w:eastAsia="楷体" w:hAnsi="Times New Roman" w:cs="Times New Roman"/>
          <w:color w:val="000000" w:themeColor="text1"/>
        </w:rPr>
        <w:t>“</w:t>
      </w:r>
      <w:r w:rsidR="00D82604" w:rsidRPr="00FE771B">
        <w:rPr>
          <w:rFonts w:ascii="Times New Roman" w:eastAsia="楷体" w:hAnsi="Times New Roman" w:cs="Times New Roman"/>
          <w:color w:val="000000" w:themeColor="text1"/>
        </w:rPr>
        <w:t>脱实向虚</w:t>
      </w:r>
      <w:r w:rsidR="00D82604" w:rsidRPr="00FE771B">
        <w:rPr>
          <w:rFonts w:ascii="Times New Roman" w:eastAsia="楷体" w:hAnsi="Times New Roman" w:cs="Times New Roman"/>
          <w:color w:val="000000" w:themeColor="text1"/>
        </w:rPr>
        <w:t>”</w:t>
      </w:r>
      <w:r w:rsidRPr="00FE771B">
        <w:rPr>
          <w:rFonts w:ascii="Times New Roman" w:eastAsia="楷体" w:hAnsi="Times New Roman" w:cs="Times New Roman"/>
          <w:color w:val="000000" w:themeColor="text1"/>
        </w:rPr>
        <w:t>。</w:t>
      </w:r>
    </w:p>
    <w:p w:rsidR="00892AC9" w:rsidRPr="00FE771B" w:rsidRDefault="00892AC9" w:rsidP="00803759">
      <w:pPr>
        <w:overflowPunct w:val="0"/>
        <w:ind w:firstLineChars="200" w:firstLine="420"/>
        <w:rPr>
          <w:rFonts w:ascii="Times New Roman" w:hAnsi="Times New Roman" w:cs="Times New Roman"/>
          <w:color w:val="000000" w:themeColor="text1"/>
        </w:rPr>
      </w:pPr>
    </w:p>
    <w:p w:rsidR="008810E1" w:rsidRPr="00FE771B" w:rsidRDefault="008810E1" w:rsidP="000E4628">
      <w:pPr>
        <w:pStyle w:val="1"/>
        <w:rPr>
          <w:rFonts w:ascii="Times New Roman" w:eastAsia="黑体" w:hAnsi="Times New Roman" w:cs="Times New Roman"/>
          <w:b w:val="0"/>
          <w:bCs w:val="0"/>
          <w:kern w:val="2"/>
          <w:szCs w:val="28"/>
        </w:rPr>
      </w:pPr>
      <w:r w:rsidRPr="00FE771B">
        <w:rPr>
          <w:rFonts w:ascii="Times New Roman" w:eastAsia="黑体" w:hAnsi="Times New Roman" w:cs="Times New Roman"/>
          <w:b w:val="0"/>
          <w:bCs w:val="0"/>
          <w:kern w:val="2"/>
          <w:szCs w:val="28"/>
        </w:rPr>
        <w:t>三、研究设计</w:t>
      </w:r>
    </w:p>
    <w:p w:rsidR="008810E1" w:rsidRPr="00FE771B" w:rsidRDefault="00892AC9" w:rsidP="00EE0516">
      <w:pPr>
        <w:pStyle w:val="2"/>
        <w:ind w:firstLine="422"/>
        <w:rPr>
          <w:rFonts w:ascii="Times New Roman" w:hAnsi="Times New Roman" w:cs="Times New Roman"/>
        </w:rPr>
      </w:pPr>
      <w:r w:rsidRPr="00FE771B">
        <w:rPr>
          <w:rFonts w:ascii="Times New Roman" w:hAnsi="Times New Roman" w:cs="Times New Roman"/>
        </w:rPr>
        <w:t>(</w:t>
      </w:r>
      <w:proofErr w:type="gramStart"/>
      <w:r w:rsidRPr="00FE771B">
        <w:rPr>
          <w:rFonts w:ascii="Times New Roman" w:hAnsi="Times New Roman" w:cs="Times New Roman"/>
        </w:rPr>
        <w:t>一</w:t>
      </w:r>
      <w:proofErr w:type="gramEnd"/>
      <w:r w:rsidRPr="00FE771B">
        <w:rPr>
          <w:rFonts w:ascii="Times New Roman" w:hAnsi="Times New Roman" w:cs="Times New Roman"/>
        </w:rPr>
        <w:t>)</w:t>
      </w:r>
      <w:r w:rsidR="00CE5CCE" w:rsidRPr="00FE771B">
        <w:rPr>
          <w:rFonts w:ascii="Times New Roman" w:hAnsi="Times New Roman" w:cs="Times New Roman"/>
        </w:rPr>
        <w:t>样本选择说明</w:t>
      </w:r>
    </w:p>
    <w:p w:rsidR="00CE5CCE" w:rsidRPr="00FE771B" w:rsidRDefault="000A3B31" w:rsidP="00390E28">
      <w:pPr>
        <w:ind w:firstLineChars="200" w:firstLine="420"/>
        <w:rPr>
          <w:rFonts w:ascii="Times New Roman" w:hAnsi="Times New Roman" w:cs="Times New Roman"/>
        </w:rPr>
      </w:pPr>
      <w:r w:rsidRPr="00FE771B">
        <w:rPr>
          <w:rFonts w:ascii="Times New Roman" w:hAnsi="Times New Roman" w:cs="Times New Roman"/>
        </w:rPr>
        <w:t>本文选用</w:t>
      </w:r>
      <w:r w:rsidRPr="00FE771B">
        <w:rPr>
          <w:rFonts w:ascii="Times New Roman" w:hAnsi="Times New Roman" w:cs="Times New Roman"/>
        </w:rPr>
        <w:t>201</w:t>
      </w:r>
      <w:r w:rsidR="00F27682" w:rsidRPr="00FE771B">
        <w:rPr>
          <w:rFonts w:ascii="Times New Roman" w:hAnsi="Times New Roman" w:cs="Times New Roman"/>
        </w:rPr>
        <w:t>0</w:t>
      </w:r>
      <w:r w:rsidRPr="00FE771B">
        <w:rPr>
          <w:rFonts w:ascii="Times New Roman" w:hAnsi="Times New Roman" w:cs="Times New Roman"/>
        </w:rPr>
        <w:t>-2019</w:t>
      </w:r>
      <w:r w:rsidRPr="00FE771B">
        <w:rPr>
          <w:rFonts w:ascii="Times New Roman" w:hAnsi="Times New Roman" w:cs="Times New Roman"/>
        </w:rPr>
        <w:t>年的沪深</w:t>
      </w:r>
      <w:r w:rsidRPr="00FE771B">
        <w:rPr>
          <w:rFonts w:ascii="Times New Roman" w:hAnsi="Times New Roman" w:cs="Times New Roman"/>
        </w:rPr>
        <w:t>A</w:t>
      </w:r>
      <w:r w:rsidRPr="00FE771B">
        <w:rPr>
          <w:rFonts w:ascii="Times New Roman" w:hAnsi="Times New Roman" w:cs="Times New Roman"/>
        </w:rPr>
        <w:t>股上市公司开展并购业务作为考察样本来研究业绩承诺、投机行为和</w:t>
      </w:r>
      <w:r w:rsidRPr="00FE771B">
        <w:rPr>
          <w:rFonts w:ascii="Times New Roman" w:hAnsi="Times New Roman" w:cs="Times New Roman"/>
        </w:rPr>
        <w:t>“</w:t>
      </w:r>
      <w:r w:rsidRPr="00FE771B">
        <w:rPr>
          <w:rFonts w:ascii="Times New Roman" w:hAnsi="Times New Roman" w:cs="Times New Roman"/>
        </w:rPr>
        <w:t>脱实向虚</w:t>
      </w:r>
      <w:r w:rsidRPr="00FE771B">
        <w:rPr>
          <w:rFonts w:ascii="Times New Roman" w:hAnsi="Times New Roman" w:cs="Times New Roman"/>
        </w:rPr>
        <w:t>”</w:t>
      </w:r>
      <w:r w:rsidRPr="00FE771B">
        <w:rPr>
          <w:rFonts w:ascii="Times New Roman" w:hAnsi="Times New Roman" w:cs="Times New Roman"/>
        </w:rPr>
        <w:t>的关系与内在机制。在初始样本基础上，本文</w:t>
      </w:r>
      <w:r w:rsidR="00390E28" w:rsidRPr="00FE771B">
        <w:rPr>
          <w:rFonts w:ascii="Times New Roman" w:hAnsi="Times New Roman" w:cs="Times New Roman"/>
        </w:rPr>
        <w:t>对样本进行如下筛选：（</w:t>
      </w:r>
      <w:r w:rsidR="00390E28" w:rsidRPr="00FE771B">
        <w:rPr>
          <w:rFonts w:ascii="Times New Roman" w:hAnsi="Times New Roman" w:cs="Times New Roman"/>
        </w:rPr>
        <w:t>1</w:t>
      </w:r>
      <w:r w:rsidR="00390E28" w:rsidRPr="00FE771B">
        <w:rPr>
          <w:rFonts w:ascii="Times New Roman" w:hAnsi="Times New Roman" w:cs="Times New Roman"/>
        </w:rPr>
        <w:t>）剔除银行业、非银金融业上市公司样本；（</w:t>
      </w:r>
      <w:r w:rsidR="00390E28" w:rsidRPr="00FE771B">
        <w:rPr>
          <w:rFonts w:ascii="Times New Roman" w:hAnsi="Times New Roman" w:cs="Times New Roman"/>
        </w:rPr>
        <w:t>2</w:t>
      </w:r>
      <w:r w:rsidR="00390E28" w:rsidRPr="00FE771B">
        <w:rPr>
          <w:rFonts w:ascii="Times New Roman" w:hAnsi="Times New Roman" w:cs="Times New Roman"/>
        </w:rPr>
        <w:t>）剔除主要变量数据缺失的样本；（</w:t>
      </w:r>
      <w:r w:rsidR="00390E28" w:rsidRPr="00FE771B">
        <w:rPr>
          <w:rFonts w:ascii="Times New Roman" w:hAnsi="Times New Roman" w:cs="Times New Roman"/>
        </w:rPr>
        <w:t>3</w:t>
      </w:r>
      <w:r w:rsidR="00390E28" w:rsidRPr="00FE771B">
        <w:rPr>
          <w:rFonts w:ascii="Times New Roman" w:hAnsi="Times New Roman" w:cs="Times New Roman"/>
        </w:rPr>
        <w:t>）为避免出现极端值，对连续变量的首尾</w:t>
      </w:r>
      <w:r w:rsidR="00390E28" w:rsidRPr="00FE771B">
        <w:rPr>
          <w:rFonts w:ascii="Times New Roman" w:hAnsi="Times New Roman" w:cs="Times New Roman"/>
        </w:rPr>
        <w:t>1%</w:t>
      </w:r>
      <w:r w:rsidR="00390E28" w:rsidRPr="00FE771B">
        <w:rPr>
          <w:rFonts w:ascii="Times New Roman" w:hAnsi="Times New Roman" w:cs="Times New Roman"/>
        </w:rPr>
        <w:t>进行缩尾处理。最终</w:t>
      </w:r>
      <w:r w:rsidR="00316C0C" w:rsidRPr="00FE771B">
        <w:rPr>
          <w:rFonts w:ascii="Times New Roman" w:hAnsi="Times New Roman" w:cs="Times New Roman"/>
        </w:rPr>
        <w:t>我们</w:t>
      </w:r>
      <w:r w:rsidR="00390E28" w:rsidRPr="00FE771B">
        <w:rPr>
          <w:rFonts w:ascii="Times New Roman" w:hAnsi="Times New Roman" w:cs="Times New Roman"/>
        </w:rPr>
        <w:t>获得</w:t>
      </w:r>
      <w:r w:rsidR="00390E28" w:rsidRPr="00FE771B">
        <w:rPr>
          <w:rFonts w:ascii="Times New Roman" w:hAnsi="Times New Roman" w:cs="Times New Roman"/>
        </w:rPr>
        <w:t>12930</w:t>
      </w:r>
      <w:r w:rsidR="00390E28" w:rsidRPr="00FE771B">
        <w:rPr>
          <w:rFonts w:ascii="Times New Roman" w:hAnsi="Times New Roman" w:cs="Times New Roman"/>
        </w:rPr>
        <w:t>份公司</w:t>
      </w:r>
      <w:r w:rsidR="00390E28" w:rsidRPr="00FE771B">
        <w:rPr>
          <w:rFonts w:ascii="Times New Roman" w:hAnsi="Times New Roman" w:cs="Times New Roman"/>
        </w:rPr>
        <w:t>-</w:t>
      </w:r>
      <w:r w:rsidR="00390E28" w:rsidRPr="00FE771B">
        <w:rPr>
          <w:rFonts w:ascii="Times New Roman" w:hAnsi="Times New Roman" w:cs="Times New Roman"/>
        </w:rPr>
        <w:t>年度财务数据。</w:t>
      </w:r>
      <w:r w:rsidR="00316C0C" w:rsidRPr="00FE771B">
        <w:rPr>
          <w:rFonts w:ascii="Times New Roman" w:hAnsi="Times New Roman" w:cs="Times New Roman"/>
        </w:rPr>
        <w:t>本文处理数据使用的软件为</w:t>
      </w:r>
      <w:r w:rsidR="00316C0C" w:rsidRPr="00FE771B">
        <w:rPr>
          <w:rFonts w:ascii="Times New Roman" w:hAnsi="Times New Roman" w:cs="Times New Roman"/>
        </w:rPr>
        <w:t>EXCEL</w:t>
      </w:r>
      <w:r w:rsidR="00500D2E" w:rsidRPr="00FE771B">
        <w:rPr>
          <w:rFonts w:ascii="Times New Roman" w:hAnsi="Times New Roman" w:cs="Times New Roman"/>
        </w:rPr>
        <w:t>-</w:t>
      </w:r>
      <w:r w:rsidR="00316C0C" w:rsidRPr="00FE771B">
        <w:rPr>
          <w:rFonts w:ascii="Times New Roman" w:hAnsi="Times New Roman" w:cs="Times New Roman"/>
        </w:rPr>
        <w:t>VBA</w:t>
      </w:r>
      <w:r w:rsidR="00316C0C" w:rsidRPr="00FE771B">
        <w:rPr>
          <w:rFonts w:ascii="Times New Roman" w:hAnsi="Times New Roman" w:cs="Times New Roman"/>
        </w:rPr>
        <w:t>与</w:t>
      </w:r>
      <w:r w:rsidR="00316C0C" w:rsidRPr="00FE771B">
        <w:rPr>
          <w:rFonts w:ascii="Times New Roman" w:hAnsi="Times New Roman" w:cs="Times New Roman"/>
        </w:rPr>
        <w:t>Stata15</w:t>
      </w:r>
      <w:r w:rsidR="00390E28" w:rsidRPr="00FE771B">
        <w:rPr>
          <w:rFonts w:ascii="Times New Roman" w:hAnsi="Times New Roman" w:cs="Times New Roman"/>
        </w:rPr>
        <w:t>。</w:t>
      </w:r>
      <w:r w:rsidR="00316C0C" w:rsidRPr="00FE771B">
        <w:rPr>
          <w:rFonts w:ascii="Times New Roman" w:hAnsi="Times New Roman" w:cs="Times New Roman"/>
        </w:rPr>
        <w:t>业绩承诺数据来源于</w:t>
      </w:r>
      <w:r w:rsidR="00316C0C" w:rsidRPr="00FE771B">
        <w:rPr>
          <w:rFonts w:ascii="Times New Roman" w:hAnsi="Times New Roman" w:cs="Times New Roman"/>
        </w:rPr>
        <w:t>Wind</w:t>
      </w:r>
      <w:r w:rsidR="00316C0C" w:rsidRPr="00FE771B">
        <w:rPr>
          <w:rFonts w:ascii="Times New Roman" w:hAnsi="Times New Roman" w:cs="Times New Roman"/>
        </w:rPr>
        <w:t>金融资讯终端</w:t>
      </w:r>
      <w:r w:rsidR="000D3A6B" w:rsidRPr="00FE771B">
        <w:rPr>
          <w:rFonts w:ascii="Times New Roman" w:hAnsi="Times New Roman" w:cs="Times New Roman"/>
        </w:rPr>
        <w:t>并购重组数据库中对</w:t>
      </w:r>
      <w:proofErr w:type="gramStart"/>
      <w:r w:rsidR="000D3A6B" w:rsidRPr="00FE771B">
        <w:rPr>
          <w:rFonts w:ascii="Times New Roman" w:hAnsi="Times New Roman" w:cs="Times New Roman"/>
        </w:rPr>
        <w:t>赌协议</w:t>
      </w:r>
      <w:proofErr w:type="gramEnd"/>
      <w:r w:rsidR="000D3A6B" w:rsidRPr="00FE771B">
        <w:rPr>
          <w:rFonts w:ascii="Times New Roman" w:hAnsi="Times New Roman" w:cs="Times New Roman"/>
        </w:rPr>
        <w:t>子库，我们提取了</w:t>
      </w:r>
      <w:r w:rsidR="000D3A6B" w:rsidRPr="00FE771B">
        <w:rPr>
          <w:rFonts w:ascii="Times New Roman" w:hAnsi="Times New Roman" w:cs="Times New Roman"/>
        </w:rPr>
        <w:t>201</w:t>
      </w:r>
      <w:r w:rsidR="00F27682" w:rsidRPr="00FE771B">
        <w:rPr>
          <w:rFonts w:ascii="Times New Roman" w:hAnsi="Times New Roman" w:cs="Times New Roman"/>
        </w:rPr>
        <w:t>0</w:t>
      </w:r>
      <w:r w:rsidR="000D3A6B" w:rsidRPr="00FE771B">
        <w:rPr>
          <w:rFonts w:ascii="Times New Roman" w:hAnsi="Times New Roman" w:cs="Times New Roman"/>
        </w:rPr>
        <w:t>年</w:t>
      </w:r>
      <w:r w:rsidR="000D3A6B" w:rsidRPr="00FE771B">
        <w:rPr>
          <w:rFonts w:ascii="Times New Roman" w:hAnsi="Times New Roman" w:cs="Times New Roman"/>
        </w:rPr>
        <w:t>1</w:t>
      </w:r>
      <w:r w:rsidR="000D3A6B" w:rsidRPr="00FE771B">
        <w:rPr>
          <w:rFonts w:ascii="Times New Roman" w:hAnsi="Times New Roman" w:cs="Times New Roman"/>
        </w:rPr>
        <w:t>月</w:t>
      </w:r>
      <w:r w:rsidR="000D3A6B" w:rsidRPr="00FE771B">
        <w:rPr>
          <w:rFonts w:ascii="Times New Roman" w:hAnsi="Times New Roman" w:cs="Times New Roman"/>
        </w:rPr>
        <w:t>1</w:t>
      </w:r>
      <w:r w:rsidR="000D3A6B" w:rsidRPr="00FE771B">
        <w:rPr>
          <w:rFonts w:ascii="Times New Roman" w:hAnsi="Times New Roman" w:cs="Times New Roman"/>
        </w:rPr>
        <w:t>日至</w:t>
      </w:r>
      <w:r w:rsidR="000D3A6B" w:rsidRPr="00FE771B">
        <w:rPr>
          <w:rFonts w:ascii="Times New Roman" w:hAnsi="Times New Roman" w:cs="Times New Roman"/>
        </w:rPr>
        <w:t>2019</w:t>
      </w:r>
      <w:r w:rsidR="000D3A6B" w:rsidRPr="00FE771B">
        <w:rPr>
          <w:rFonts w:ascii="Times New Roman" w:hAnsi="Times New Roman" w:cs="Times New Roman"/>
        </w:rPr>
        <w:t>年</w:t>
      </w:r>
      <w:r w:rsidR="000D3A6B" w:rsidRPr="00FE771B">
        <w:rPr>
          <w:rFonts w:ascii="Times New Roman" w:hAnsi="Times New Roman" w:cs="Times New Roman"/>
        </w:rPr>
        <w:t>12</w:t>
      </w:r>
      <w:r w:rsidR="000D3A6B" w:rsidRPr="00FE771B">
        <w:rPr>
          <w:rFonts w:ascii="Times New Roman" w:hAnsi="Times New Roman" w:cs="Times New Roman"/>
        </w:rPr>
        <w:t>月</w:t>
      </w:r>
      <w:r w:rsidR="000D3A6B" w:rsidRPr="00FE771B">
        <w:rPr>
          <w:rFonts w:ascii="Times New Roman" w:hAnsi="Times New Roman" w:cs="Times New Roman"/>
        </w:rPr>
        <w:t>31</w:t>
      </w:r>
      <w:r w:rsidR="000D3A6B" w:rsidRPr="00FE771B">
        <w:rPr>
          <w:rFonts w:ascii="Times New Roman" w:hAnsi="Times New Roman" w:cs="Times New Roman"/>
        </w:rPr>
        <w:t>日签订对</w:t>
      </w:r>
      <w:proofErr w:type="gramStart"/>
      <w:r w:rsidR="000D3A6B" w:rsidRPr="00FE771B">
        <w:rPr>
          <w:rFonts w:ascii="Times New Roman" w:hAnsi="Times New Roman" w:cs="Times New Roman"/>
        </w:rPr>
        <w:t>赌协议</w:t>
      </w:r>
      <w:proofErr w:type="gramEnd"/>
      <w:r w:rsidR="000D3A6B" w:rsidRPr="00FE771B">
        <w:rPr>
          <w:rFonts w:ascii="Times New Roman" w:hAnsi="Times New Roman" w:cs="Times New Roman"/>
        </w:rPr>
        <w:t>的样本，并以此数据库为基础并手工查阅公司相关公告对其中部分数据进行了补充与完善。本文所涉及的其他变量</w:t>
      </w:r>
      <w:r w:rsidR="00390E28" w:rsidRPr="00FE771B">
        <w:rPr>
          <w:rFonts w:ascii="Times New Roman" w:hAnsi="Times New Roman" w:cs="Times New Roman"/>
        </w:rPr>
        <w:t>相关数据均来源于</w:t>
      </w:r>
      <w:r w:rsidR="00500D2E" w:rsidRPr="00FE771B">
        <w:rPr>
          <w:rFonts w:ascii="Times New Roman" w:hAnsi="Times New Roman" w:cs="Times New Roman"/>
        </w:rPr>
        <w:t>Wind</w:t>
      </w:r>
      <w:r w:rsidR="00390E28" w:rsidRPr="00FE771B">
        <w:rPr>
          <w:rFonts w:ascii="Times New Roman" w:hAnsi="Times New Roman" w:cs="Times New Roman"/>
        </w:rPr>
        <w:t>数据库。</w:t>
      </w:r>
    </w:p>
    <w:p w:rsidR="00CE5CCE" w:rsidRPr="00FE771B" w:rsidRDefault="00892AC9" w:rsidP="00EE0516">
      <w:pPr>
        <w:pStyle w:val="2"/>
        <w:ind w:firstLine="422"/>
        <w:rPr>
          <w:rFonts w:ascii="Times New Roman" w:hAnsi="Times New Roman" w:cs="Times New Roman"/>
        </w:rPr>
      </w:pPr>
      <w:r w:rsidRPr="00FE771B">
        <w:rPr>
          <w:rFonts w:ascii="Times New Roman" w:hAnsi="Times New Roman" w:cs="Times New Roman"/>
        </w:rPr>
        <w:t>(</w:t>
      </w:r>
      <w:r w:rsidRPr="00FE771B">
        <w:rPr>
          <w:rFonts w:ascii="Times New Roman" w:hAnsi="Times New Roman" w:cs="Times New Roman"/>
        </w:rPr>
        <w:t>二</w:t>
      </w:r>
      <w:r w:rsidRPr="00FE771B">
        <w:rPr>
          <w:rFonts w:ascii="Times New Roman" w:hAnsi="Times New Roman" w:cs="Times New Roman"/>
        </w:rPr>
        <w:t>)</w:t>
      </w:r>
      <w:r w:rsidR="00CE5CCE" w:rsidRPr="00FE771B">
        <w:rPr>
          <w:rFonts w:ascii="Times New Roman" w:hAnsi="Times New Roman" w:cs="Times New Roman"/>
        </w:rPr>
        <w:t>变量定义与测度</w:t>
      </w:r>
    </w:p>
    <w:p w:rsidR="00390E28" w:rsidRPr="00FE771B" w:rsidRDefault="00390E28" w:rsidP="00316147">
      <w:pPr>
        <w:ind w:firstLineChars="200" w:firstLine="420"/>
        <w:rPr>
          <w:rFonts w:ascii="Times New Roman" w:hAnsi="Times New Roman" w:cs="Times New Roman"/>
          <w:color w:val="000000" w:themeColor="text1"/>
        </w:rPr>
      </w:pPr>
      <w:r w:rsidRPr="00316147">
        <w:rPr>
          <w:rFonts w:ascii="楷体" w:eastAsia="楷体" w:hAnsi="楷体" w:cs="Times New Roman"/>
        </w:rPr>
        <w:t>1.</w:t>
      </w:r>
      <w:r w:rsidR="000D3A6B" w:rsidRPr="00316147">
        <w:rPr>
          <w:rFonts w:ascii="楷体" w:eastAsia="楷体" w:hAnsi="楷体" w:cs="Times New Roman"/>
        </w:rPr>
        <w:t>企业金融化</w:t>
      </w:r>
      <w:r w:rsidR="00316147" w:rsidRPr="00316147">
        <w:rPr>
          <w:rFonts w:ascii="楷体" w:eastAsia="楷体" w:hAnsi="楷体" w:cs="Times New Roman" w:hint="eastAsia"/>
        </w:rPr>
        <w:t>。</w:t>
      </w:r>
      <w:r w:rsidR="000B45B6" w:rsidRPr="00FE771B">
        <w:rPr>
          <w:rFonts w:ascii="Times New Roman" w:hAnsi="Times New Roman" w:cs="Times New Roman"/>
          <w:color w:val="000000" w:themeColor="text1"/>
        </w:rPr>
        <w:t>本文将</w:t>
      </w:r>
      <w:r w:rsidR="00FE7C39" w:rsidRPr="00FE771B">
        <w:rPr>
          <w:rFonts w:ascii="Times New Roman" w:hAnsi="Times New Roman" w:cs="Times New Roman"/>
          <w:color w:val="000000" w:themeColor="text1"/>
        </w:rPr>
        <w:t>上市公司</w:t>
      </w:r>
      <w:r w:rsidR="000B45B6" w:rsidRPr="00FE771B">
        <w:rPr>
          <w:rFonts w:ascii="Times New Roman" w:hAnsi="Times New Roman" w:cs="Times New Roman"/>
          <w:color w:val="000000" w:themeColor="text1"/>
        </w:rPr>
        <w:t>金融化</w:t>
      </w:r>
      <w:r w:rsidR="00FE7C39" w:rsidRPr="00FE771B">
        <w:rPr>
          <w:rFonts w:ascii="Times New Roman" w:hAnsi="Times New Roman" w:cs="Times New Roman"/>
          <w:color w:val="000000" w:themeColor="text1"/>
        </w:rPr>
        <w:t>(</w:t>
      </w:r>
      <w:r w:rsidR="000B45B6" w:rsidRPr="00FE771B">
        <w:rPr>
          <w:rFonts w:ascii="Times New Roman" w:hAnsi="Times New Roman" w:cs="Times New Roman"/>
          <w:color w:val="000000" w:themeColor="text1"/>
        </w:rPr>
        <w:t>Fin</w:t>
      </w:r>
      <w:r w:rsidR="00FE7C39" w:rsidRPr="00FE771B">
        <w:rPr>
          <w:rFonts w:ascii="Times New Roman" w:hAnsi="Times New Roman" w:cs="Times New Roman"/>
          <w:color w:val="000000" w:themeColor="text1"/>
        </w:rPr>
        <w:t>)</w:t>
      </w:r>
      <w:r w:rsidR="00FE7C39" w:rsidRPr="00FE771B">
        <w:rPr>
          <w:rFonts w:ascii="Times New Roman" w:hAnsi="Times New Roman" w:cs="Times New Roman"/>
          <w:color w:val="000000" w:themeColor="text1"/>
        </w:rPr>
        <w:t>界定为上市公司在经营中逐渐将更多的投资配置于金融资产的过程，我们</w:t>
      </w:r>
      <w:r w:rsidR="000B45B6" w:rsidRPr="00FE771B">
        <w:rPr>
          <w:rFonts w:ascii="Times New Roman" w:hAnsi="Times New Roman" w:cs="Times New Roman"/>
          <w:color w:val="000000" w:themeColor="text1"/>
        </w:rPr>
        <w:t>参考</w:t>
      </w:r>
      <w:r w:rsidR="00D87ED1" w:rsidRPr="00FE771B">
        <w:rPr>
          <w:rFonts w:ascii="Times New Roman" w:hAnsi="Times New Roman" w:cs="Times New Roman"/>
          <w:color w:val="000000" w:themeColor="text1"/>
        </w:rPr>
        <w:t>现有文献</w:t>
      </w:r>
      <w:r w:rsidR="000B45B6" w:rsidRPr="00FE771B">
        <w:rPr>
          <w:rFonts w:ascii="Times New Roman" w:hAnsi="Times New Roman" w:cs="Times New Roman"/>
          <w:color w:val="000000" w:themeColor="text1"/>
        </w:rPr>
        <w:t>做法，用</w:t>
      </w:r>
      <w:r w:rsidR="00FE7C39" w:rsidRPr="00FE771B">
        <w:rPr>
          <w:rFonts w:ascii="Times New Roman" w:hAnsi="Times New Roman" w:cs="Times New Roman"/>
          <w:color w:val="000000" w:themeColor="text1"/>
        </w:rPr>
        <w:t>上市公司中划分为金融工具科目和投资性房地产科目的相关资产总额与总资产之比来衡量</w:t>
      </w:r>
      <w:r w:rsidR="000B45B6" w:rsidRPr="00FE771B">
        <w:rPr>
          <w:rFonts w:ascii="Times New Roman" w:hAnsi="Times New Roman" w:cs="Times New Roman"/>
          <w:color w:val="000000" w:themeColor="text1"/>
        </w:rPr>
        <w:t>。</w:t>
      </w:r>
      <w:r w:rsidR="00F6484D" w:rsidRPr="00FE771B">
        <w:rPr>
          <w:rFonts w:ascii="Times New Roman" w:hAnsi="Times New Roman" w:cs="Times New Roman"/>
          <w:color w:val="000000" w:themeColor="text1"/>
        </w:rPr>
        <w:t>需要指出的是</w:t>
      </w:r>
      <w:r w:rsidR="00D05A6A" w:rsidRPr="00FE771B">
        <w:rPr>
          <w:rFonts w:ascii="Times New Roman" w:hAnsi="Times New Roman" w:cs="Times New Roman"/>
          <w:color w:val="000000" w:themeColor="text1"/>
        </w:rPr>
        <w:t>，</w:t>
      </w:r>
      <w:r w:rsidR="00F6484D" w:rsidRPr="00FE771B">
        <w:rPr>
          <w:rFonts w:ascii="Times New Roman" w:hAnsi="Times New Roman" w:cs="Times New Roman"/>
          <w:color w:val="000000" w:themeColor="text1"/>
        </w:rPr>
        <w:t>金融工具会计准则在</w:t>
      </w:r>
      <w:r w:rsidR="00F6484D" w:rsidRPr="00FE771B">
        <w:rPr>
          <w:rFonts w:ascii="Times New Roman" w:hAnsi="Times New Roman" w:cs="Times New Roman"/>
          <w:color w:val="000000" w:themeColor="text1"/>
        </w:rPr>
        <w:t>201</w:t>
      </w:r>
      <w:r w:rsidR="00D05A6A" w:rsidRPr="00FE771B">
        <w:rPr>
          <w:rFonts w:ascii="Times New Roman" w:hAnsi="Times New Roman" w:cs="Times New Roman"/>
          <w:color w:val="000000" w:themeColor="text1"/>
        </w:rPr>
        <w:t>7</w:t>
      </w:r>
      <w:r w:rsidR="00F6484D" w:rsidRPr="00FE771B">
        <w:rPr>
          <w:rFonts w:ascii="Times New Roman" w:hAnsi="Times New Roman" w:cs="Times New Roman"/>
          <w:color w:val="000000" w:themeColor="text1"/>
        </w:rPr>
        <w:t>年</w:t>
      </w:r>
      <w:r w:rsidR="00D05A6A" w:rsidRPr="00FE771B">
        <w:rPr>
          <w:rFonts w:ascii="Times New Roman" w:hAnsi="Times New Roman" w:cs="Times New Roman"/>
          <w:color w:val="000000" w:themeColor="text1"/>
        </w:rPr>
        <w:t>发生较大变动，使得金融资产计量科目也发生较大变化。</w:t>
      </w:r>
      <w:r w:rsidR="00D05A6A" w:rsidRPr="00FE771B">
        <w:rPr>
          <w:rFonts w:ascii="Times New Roman" w:hAnsi="Times New Roman" w:cs="Times New Roman"/>
          <w:color w:val="000000" w:themeColor="text1"/>
        </w:rPr>
        <w:t>2017</w:t>
      </w:r>
      <w:r w:rsidR="00D05A6A" w:rsidRPr="00FE771B">
        <w:rPr>
          <w:rFonts w:ascii="Times New Roman" w:hAnsi="Times New Roman" w:cs="Times New Roman"/>
          <w:color w:val="000000" w:themeColor="text1"/>
        </w:rPr>
        <w:t>年之前金融工具主要</w:t>
      </w:r>
      <w:r w:rsidR="00FE7C39" w:rsidRPr="00FE771B">
        <w:rPr>
          <w:rFonts w:ascii="Times New Roman" w:hAnsi="Times New Roman" w:cs="Times New Roman"/>
          <w:color w:val="000000" w:themeColor="text1"/>
        </w:rPr>
        <w:t>包含交易性金融资产、可供出售金融资产、持有至到期投资、发放贷款与垫款以及衍生金融资产等五大类，</w:t>
      </w:r>
      <w:r w:rsidR="00D05A6A" w:rsidRPr="00FE771B">
        <w:rPr>
          <w:rFonts w:ascii="Times New Roman" w:hAnsi="Times New Roman" w:cs="Times New Roman"/>
          <w:color w:val="000000" w:themeColor="text1"/>
        </w:rPr>
        <w:t>2017</w:t>
      </w:r>
      <w:r w:rsidR="00D05A6A" w:rsidRPr="00FE771B">
        <w:rPr>
          <w:rFonts w:ascii="Times New Roman" w:hAnsi="Times New Roman" w:cs="Times New Roman"/>
          <w:color w:val="000000" w:themeColor="text1"/>
        </w:rPr>
        <w:t>年后金融资产主要分为以公允价值计量且其变动计入当期损益的金融资产、以公允价值计量且其变动计入其他综合收益的金融资产、以摊</w:t>
      </w:r>
      <w:proofErr w:type="gramStart"/>
      <w:r w:rsidR="00D05A6A" w:rsidRPr="00FE771B">
        <w:rPr>
          <w:rFonts w:ascii="Times New Roman" w:hAnsi="Times New Roman" w:cs="Times New Roman"/>
          <w:color w:val="000000" w:themeColor="text1"/>
        </w:rPr>
        <w:t>余成本</w:t>
      </w:r>
      <w:proofErr w:type="gramEnd"/>
      <w:r w:rsidR="00D05A6A" w:rsidRPr="00FE771B">
        <w:rPr>
          <w:rFonts w:ascii="Times New Roman" w:hAnsi="Times New Roman" w:cs="Times New Roman"/>
          <w:color w:val="000000" w:themeColor="text1"/>
        </w:rPr>
        <w:t>计量的金融资产和衍生金融资产，实践中以公允价值计量且其变动计入当期损益的金融资产在报表中一般列为交易性金融资产，而以公允价值计量且其变动计入其他综合收益的金融资产则因企业管理金融资产的业务模式和合现金流量特征在报表中列为其他债权投资</w:t>
      </w:r>
      <w:r w:rsidR="002A6DF1" w:rsidRPr="00FE771B">
        <w:rPr>
          <w:rFonts w:ascii="Times New Roman" w:hAnsi="Times New Roman" w:cs="Times New Roman"/>
          <w:color w:val="000000" w:themeColor="text1"/>
        </w:rPr>
        <w:t>或</w:t>
      </w:r>
      <w:r w:rsidR="00D05A6A" w:rsidRPr="00FE771B">
        <w:rPr>
          <w:rFonts w:ascii="Times New Roman" w:hAnsi="Times New Roman" w:cs="Times New Roman"/>
          <w:color w:val="000000" w:themeColor="text1"/>
        </w:rPr>
        <w:t>其他权益工具投资。</w:t>
      </w:r>
      <w:r w:rsidR="00FE7C39" w:rsidRPr="00FE771B">
        <w:rPr>
          <w:rFonts w:ascii="Times New Roman" w:hAnsi="Times New Roman" w:cs="Times New Roman"/>
          <w:color w:val="000000" w:themeColor="text1"/>
        </w:rPr>
        <w:t>投资性房地产是指为赚取租金或资本增值（房地产买卖的差价），或两者兼有而持有的房地产，特别是在公允价值计</w:t>
      </w:r>
      <w:r w:rsidR="001D327C" w:rsidRPr="00FE771B">
        <w:rPr>
          <w:rFonts w:ascii="Times New Roman" w:hAnsi="Times New Roman" w:cs="Times New Roman"/>
          <w:color w:val="000000" w:themeColor="text1"/>
        </w:rPr>
        <w:t>量模式下，其计量方法与交易性金融资产等具有很大相似性。因此，金融资产与投资性房地产都是为赚取资产增值而持有的资产，其增值模式与实业投资有本质区别。</w:t>
      </w:r>
      <w:r w:rsidR="000F2F91" w:rsidRPr="00FE771B">
        <w:rPr>
          <w:rFonts w:ascii="Times New Roman" w:hAnsi="Times New Roman" w:cs="Times New Roman"/>
          <w:color w:val="000000" w:themeColor="text1"/>
        </w:rPr>
        <w:t>综上</w:t>
      </w:r>
      <w:r w:rsidR="00D05A6A" w:rsidRPr="00FE771B">
        <w:rPr>
          <w:rFonts w:ascii="Times New Roman" w:hAnsi="Times New Roman" w:cs="Times New Roman"/>
          <w:color w:val="000000" w:themeColor="text1"/>
        </w:rPr>
        <w:t>，本文金融资产衡量分为两种情况，在</w:t>
      </w:r>
      <w:r w:rsidR="00D05A6A" w:rsidRPr="00FE771B">
        <w:rPr>
          <w:rFonts w:ascii="Times New Roman" w:hAnsi="Times New Roman" w:cs="Times New Roman"/>
          <w:color w:val="000000" w:themeColor="text1"/>
        </w:rPr>
        <w:t>2010</w:t>
      </w:r>
      <w:r w:rsidR="00D05A6A" w:rsidRPr="00FE771B">
        <w:rPr>
          <w:rFonts w:ascii="Times New Roman" w:hAnsi="Times New Roman" w:cs="Times New Roman"/>
          <w:color w:val="000000" w:themeColor="text1"/>
        </w:rPr>
        <w:t>年</w:t>
      </w:r>
      <w:r w:rsidR="00D05A6A" w:rsidRPr="00FE771B">
        <w:rPr>
          <w:rFonts w:ascii="Times New Roman" w:hAnsi="Times New Roman" w:cs="Times New Roman"/>
          <w:color w:val="000000" w:themeColor="text1"/>
        </w:rPr>
        <w:t>-2017</w:t>
      </w:r>
      <w:r w:rsidR="00D05A6A" w:rsidRPr="00FE771B">
        <w:rPr>
          <w:rFonts w:ascii="Times New Roman" w:hAnsi="Times New Roman" w:cs="Times New Roman"/>
          <w:color w:val="000000" w:themeColor="text1"/>
        </w:rPr>
        <w:t>年为交易性金融资产、可供出售金融资产、持有至到期投资、发放贷款与垫款、衍生金融资产以及投资性房地产之和与总资产比率，而</w:t>
      </w:r>
      <w:r w:rsidR="00D05A6A" w:rsidRPr="00FE771B">
        <w:rPr>
          <w:rFonts w:ascii="Times New Roman" w:hAnsi="Times New Roman" w:cs="Times New Roman"/>
          <w:color w:val="000000" w:themeColor="text1"/>
        </w:rPr>
        <w:t>2018</w:t>
      </w:r>
      <w:r w:rsidR="00D05A6A" w:rsidRPr="00FE771B">
        <w:rPr>
          <w:rFonts w:ascii="Times New Roman" w:hAnsi="Times New Roman" w:cs="Times New Roman"/>
          <w:color w:val="000000" w:themeColor="text1"/>
        </w:rPr>
        <w:t>年后为交易性金融资产、</w:t>
      </w:r>
      <w:r w:rsidR="00B24B6B" w:rsidRPr="00FE771B">
        <w:rPr>
          <w:rFonts w:ascii="Times New Roman" w:hAnsi="Times New Roman" w:cs="Times New Roman"/>
          <w:color w:val="000000" w:themeColor="text1"/>
        </w:rPr>
        <w:t>以摊</w:t>
      </w:r>
      <w:proofErr w:type="gramStart"/>
      <w:r w:rsidR="00B24B6B" w:rsidRPr="00FE771B">
        <w:rPr>
          <w:rFonts w:ascii="Times New Roman" w:hAnsi="Times New Roman" w:cs="Times New Roman"/>
          <w:color w:val="000000" w:themeColor="text1"/>
        </w:rPr>
        <w:t>余成本</w:t>
      </w:r>
      <w:proofErr w:type="gramEnd"/>
      <w:r w:rsidR="00B24B6B" w:rsidRPr="00FE771B">
        <w:rPr>
          <w:rFonts w:ascii="Times New Roman" w:hAnsi="Times New Roman" w:cs="Times New Roman"/>
          <w:color w:val="000000" w:themeColor="text1"/>
        </w:rPr>
        <w:t>计量的金融资产、其他债权投资、其他权益工具投资、衍生金融资产以及投资性房地产之和与总资产比率。</w:t>
      </w:r>
    </w:p>
    <w:p w:rsidR="00390E28" w:rsidRPr="00FE771B" w:rsidRDefault="00390E28" w:rsidP="00390E28">
      <w:pPr>
        <w:rPr>
          <w:rFonts w:ascii="Times New Roman" w:hAnsi="Times New Roman" w:cs="Times New Roman"/>
          <w:color w:val="000000" w:themeColor="text1"/>
        </w:rPr>
      </w:pPr>
      <w:r w:rsidRPr="00FE771B">
        <w:rPr>
          <w:rFonts w:ascii="Times New Roman" w:hAnsi="Times New Roman" w:cs="Times New Roman"/>
          <w:color w:val="000000" w:themeColor="text1"/>
        </w:rPr>
        <w:lastRenderedPageBreak/>
        <w:tab/>
      </w:r>
      <w:r w:rsidRPr="00FE771B">
        <w:rPr>
          <w:rFonts w:ascii="Times New Roman" w:hAnsi="Times New Roman" w:cs="Times New Roman"/>
          <w:color w:val="000000" w:themeColor="text1"/>
        </w:rPr>
        <w:t>在</w:t>
      </w:r>
      <w:r w:rsidR="002D29DC" w:rsidRPr="00FE771B">
        <w:rPr>
          <w:rFonts w:ascii="Times New Roman" w:hAnsi="Times New Roman" w:cs="Times New Roman"/>
          <w:color w:val="000000" w:themeColor="text1"/>
        </w:rPr>
        <w:t>业绩承诺</w:t>
      </w:r>
      <w:r w:rsidRPr="00FE771B">
        <w:rPr>
          <w:rFonts w:ascii="Times New Roman" w:hAnsi="Times New Roman" w:cs="Times New Roman"/>
          <w:color w:val="000000" w:themeColor="text1"/>
        </w:rPr>
        <w:t>影响企业</w:t>
      </w:r>
      <w:r w:rsidR="001D327C" w:rsidRPr="00FE771B">
        <w:rPr>
          <w:rFonts w:ascii="Times New Roman" w:hAnsi="Times New Roman" w:cs="Times New Roman"/>
          <w:color w:val="000000" w:themeColor="text1"/>
        </w:rPr>
        <w:t>金融化</w:t>
      </w:r>
      <w:r w:rsidRPr="00FE771B">
        <w:rPr>
          <w:rFonts w:ascii="Times New Roman" w:hAnsi="Times New Roman" w:cs="Times New Roman"/>
          <w:color w:val="000000" w:themeColor="text1"/>
        </w:rPr>
        <w:t>发展的机制分析中，本文设置了</w:t>
      </w:r>
      <w:r w:rsidR="00C0044D" w:rsidRPr="00FE771B">
        <w:rPr>
          <w:rFonts w:ascii="Times New Roman" w:hAnsi="Times New Roman" w:cs="Times New Roman"/>
          <w:color w:val="000000" w:themeColor="text1"/>
        </w:rPr>
        <w:t>2</w:t>
      </w:r>
      <w:r w:rsidRPr="00FE771B">
        <w:rPr>
          <w:rFonts w:ascii="Times New Roman" w:hAnsi="Times New Roman" w:cs="Times New Roman"/>
          <w:color w:val="000000" w:themeColor="text1"/>
        </w:rPr>
        <w:t>个</w:t>
      </w:r>
      <w:r w:rsidR="008C39A0" w:rsidRPr="00FE771B">
        <w:rPr>
          <w:rFonts w:ascii="Times New Roman" w:hAnsi="Times New Roman" w:cs="Times New Roman"/>
          <w:color w:val="000000" w:themeColor="text1"/>
        </w:rPr>
        <w:t>盈余管理的中间</w:t>
      </w:r>
      <w:r w:rsidRPr="00FE771B">
        <w:rPr>
          <w:rFonts w:ascii="Times New Roman" w:hAnsi="Times New Roman" w:cs="Times New Roman"/>
          <w:color w:val="000000" w:themeColor="text1"/>
        </w:rPr>
        <w:t>变量：盈余管理（</w:t>
      </w:r>
      <w:r w:rsidRPr="00FE771B">
        <w:rPr>
          <w:rFonts w:ascii="Times New Roman" w:hAnsi="Times New Roman" w:cs="Times New Roman"/>
          <w:color w:val="000000" w:themeColor="text1"/>
        </w:rPr>
        <w:t>DA</w:t>
      </w:r>
      <w:r w:rsidRPr="00FE771B">
        <w:rPr>
          <w:rFonts w:ascii="Times New Roman" w:hAnsi="Times New Roman" w:cs="Times New Roman"/>
          <w:color w:val="000000" w:themeColor="text1"/>
        </w:rPr>
        <w:t>）、</w:t>
      </w:r>
      <w:r w:rsidR="008C39A0" w:rsidRPr="00FE771B">
        <w:rPr>
          <w:rFonts w:ascii="Times New Roman" w:hAnsi="Times New Roman" w:cs="Times New Roman"/>
          <w:color w:val="000000" w:themeColor="text1"/>
        </w:rPr>
        <w:t>真实盈余管理</w:t>
      </w:r>
      <w:r w:rsidRPr="00FE771B">
        <w:rPr>
          <w:rFonts w:ascii="Times New Roman" w:hAnsi="Times New Roman" w:cs="Times New Roman"/>
          <w:color w:val="000000" w:themeColor="text1"/>
        </w:rPr>
        <w:t>（</w:t>
      </w:r>
      <w:r w:rsidR="008C39A0" w:rsidRPr="00FE771B">
        <w:rPr>
          <w:rFonts w:ascii="Times New Roman" w:hAnsi="Times New Roman" w:cs="Times New Roman"/>
          <w:color w:val="000000" w:themeColor="text1"/>
        </w:rPr>
        <w:t>Rem</w:t>
      </w:r>
      <w:r w:rsidRPr="00FE771B">
        <w:rPr>
          <w:rFonts w:ascii="Times New Roman" w:hAnsi="Times New Roman" w:cs="Times New Roman"/>
          <w:color w:val="000000" w:themeColor="text1"/>
        </w:rPr>
        <w:t>）。盈余管理</w:t>
      </w:r>
      <w:r w:rsidR="00D90745" w:rsidRPr="00FE771B">
        <w:rPr>
          <w:rFonts w:ascii="Times New Roman" w:hAnsi="Times New Roman" w:cs="Times New Roman"/>
          <w:color w:val="000000" w:themeColor="text1"/>
        </w:rPr>
        <w:t>DA</w:t>
      </w:r>
      <w:r w:rsidRPr="00FE771B">
        <w:rPr>
          <w:rFonts w:ascii="Times New Roman" w:hAnsi="Times New Roman" w:cs="Times New Roman"/>
          <w:color w:val="000000" w:themeColor="text1"/>
        </w:rPr>
        <w:t>根据</w:t>
      </w:r>
      <w:r w:rsidR="00293262" w:rsidRPr="00FE771B">
        <w:rPr>
          <w:rFonts w:ascii="Times New Roman" w:hAnsi="Times New Roman" w:cs="Times New Roman"/>
          <w:color w:val="000000" w:themeColor="text1"/>
        </w:rPr>
        <w:t>修正琼斯</w:t>
      </w:r>
      <w:r w:rsidRPr="00FE771B">
        <w:rPr>
          <w:rFonts w:ascii="Times New Roman" w:hAnsi="Times New Roman" w:cs="Times New Roman"/>
          <w:color w:val="000000" w:themeColor="text1"/>
        </w:rPr>
        <w:t>模型计算而得，</w:t>
      </w:r>
      <w:r w:rsidR="008C39A0" w:rsidRPr="00FE771B">
        <w:rPr>
          <w:rFonts w:ascii="Times New Roman" w:hAnsi="Times New Roman" w:cs="Times New Roman"/>
          <w:color w:val="000000" w:themeColor="text1"/>
        </w:rPr>
        <w:t>而</w:t>
      </w:r>
      <w:r w:rsidR="008C39A0" w:rsidRPr="00FE771B">
        <w:rPr>
          <w:rFonts w:ascii="Times New Roman" w:hAnsi="Times New Roman" w:cs="Times New Roman"/>
          <w:color w:val="000000" w:themeColor="text1"/>
        </w:rPr>
        <w:t>Rem</w:t>
      </w:r>
      <w:r w:rsidR="008C39A0" w:rsidRPr="00FE771B">
        <w:rPr>
          <w:rFonts w:ascii="Times New Roman" w:hAnsi="Times New Roman" w:cs="Times New Roman"/>
          <w:color w:val="000000" w:themeColor="text1"/>
        </w:rPr>
        <w:t>主要参考</w:t>
      </w:r>
      <w:proofErr w:type="spellStart"/>
      <w:r w:rsidR="00293262" w:rsidRPr="00FE771B">
        <w:rPr>
          <w:rFonts w:ascii="Times New Roman" w:hAnsi="Times New Roman" w:cs="Times New Roman"/>
          <w:color w:val="000000" w:themeColor="text1"/>
        </w:rPr>
        <w:t>Dechow</w:t>
      </w:r>
      <w:proofErr w:type="spellEnd"/>
      <w:r w:rsidR="00293262" w:rsidRPr="00FE771B">
        <w:rPr>
          <w:rFonts w:ascii="Times New Roman" w:hAnsi="Times New Roman" w:cs="Times New Roman"/>
          <w:color w:val="000000" w:themeColor="text1"/>
        </w:rPr>
        <w:t xml:space="preserve"> et al</w:t>
      </w:r>
      <w:r w:rsidR="00D90745" w:rsidRPr="00FE771B">
        <w:rPr>
          <w:rFonts w:ascii="Times New Roman" w:hAnsi="Times New Roman" w:cs="Times New Roman"/>
          <w:color w:val="000000" w:themeColor="text1"/>
        </w:rPr>
        <w:t>（</w:t>
      </w:r>
      <w:r w:rsidR="00D90745" w:rsidRPr="00FE771B">
        <w:rPr>
          <w:rFonts w:ascii="Times New Roman" w:hAnsi="Times New Roman" w:cs="Times New Roman"/>
          <w:color w:val="000000" w:themeColor="text1"/>
        </w:rPr>
        <w:t>1998</w:t>
      </w:r>
      <w:r w:rsidR="00D90745" w:rsidRPr="00FE771B">
        <w:rPr>
          <w:rFonts w:ascii="Times New Roman" w:hAnsi="Times New Roman" w:cs="Times New Roman"/>
          <w:color w:val="000000" w:themeColor="text1"/>
        </w:rPr>
        <w:t>）</w:t>
      </w:r>
      <w:r w:rsidR="00293262" w:rsidRPr="00FE771B">
        <w:rPr>
          <w:rFonts w:ascii="Times New Roman" w:hAnsi="Times New Roman" w:cs="Times New Roman"/>
          <w:color w:val="000000" w:themeColor="text1"/>
        </w:rPr>
        <w:t>，</w:t>
      </w:r>
      <w:proofErr w:type="spellStart"/>
      <w:r w:rsidR="00293262" w:rsidRPr="00FE771B">
        <w:rPr>
          <w:rFonts w:ascii="Times New Roman" w:hAnsi="Times New Roman" w:cs="Times New Roman"/>
          <w:color w:val="000000" w:themeColor="text1"/>
        </w:rPr>
        <w:t>Roychowdhury</w:t>
      </w:r>
      <w:proofErr w:type="spellEnd"/>
      <w:r w:rsidR="00D90745" w:rsidRPr="00FE771B">
        <w:rPr>
          <w:rFonts w:ascii="Times New Roman" w:hAnsi="Times New Roman" w:cs="Times New Roman"/>
          <w:color w:val="000000" w:themeColor="text1"/>
        </w:rPr>
        <w:t>（</w:t>
      </w:r>
      <w:r w:rsidR="00D90745" w:rsidRPr="00FE771B">
        <w:rPr>
          <w:rFonts w:ascii="Times New Roman" w:hAnsi="Times New Roman" w:cs="Times New Roman"/>
          <w:color w:val="000000" w:themeColor="text1"/>
        </w:rPr>
        <w:t>2006</w:t>
      </w:r>
      <w:r w:rsidR="00D90745" w:rsidRPr="00FE771B">
        <w:rPr>
          <w:rFonts w:ascii="Times New Roman" w:hAnsi="Times New Roman" w:cs="Times New Roman"/>
          <w:color w:val="000000" w:themeColor="text1"/>
        </w:rPr>
        <w:t>）</w:t>
      </w:r>
      <w:r w:rsidR="008C39A0" w:rsidRPr="00FE771B">
        <w:rPr>
          <w:rFonts w:ascii="Times New Roman" w:hAnsi="Times New Roman" w:cs="Times New Roman"/>
          <w:color w:val="000000" w:themeColor="text1"/>
        </w:rPr>
        <w:t>模型来测量企业的真实盈余管理水平</w:t>
      </w:r>
      <w:r w:rsidRPr="00FE771B">
        <w:rPr>
          <w:rFonts w:ascii="Times New Roman" w:hAnsi="Times New Roman" w:cs="Times New Roman"/>
          <w:color w:val="000000" w:themeColor="text1"/>
        </w:rPr>
        <w:t>。</w:t>
      </w:r>
    </w:p>
    <w:p w:rsidR="00CD3D3C" w:rsidRPr="00FE771B" w:rsidRDefault="00390E28" w:rsidP="00316147">
      <w:pPr>
        <w:ind w:firstLineChars="200" w:firstLine="420"/>
        <w:rPr>
          <w:rFonts w:ascii="Times New Roman" w:hAnsi="Times New Roman" w:cs="Times New Roman"/>
        </w:rPr>
      </w:pPr>
      <w:r w:rsidRPr="00316147">
        <w:rPr>
          <w:rFonts w:ascii="楷体" w:eastAsia="楷体" w:hAnsi="楷体" w:cs="Times New Roman"/>
        </w:rPr>
        <w:t>2.核心解释变量</w:t>
      </w:r>
      <w:r w:rsidR="00316147" w:rsidRPr="00316147">
        <w:rPr>
          <w:rFonts w:ascii="楷体" w:eastAsia="楷体" w:hAnsi="楷体" w:cs="Times New Roman" w:hint="eastAsia"/>
        </w:rPr>
        <w:t>。</w:t>
      </w:r>
      <w:r w:rsidRPr="00FE771B">
        <w:rPr>
          <w:rFonts w:ascii="Times New Roman" w:hAnsi="Times New Roman" w:cs="Times New Roman"/>
        </w:rPr>
        <w:t>本文分别用是否存在</w:t>
      </w:r>
      <w:r w:rsidR="002D29DC" w:rsidRPr="00FE771B">
        <w:rPr>
          <w:rFonts w:ascii="Times New Roman" w:hAnsi="Times New Roman" w:cs="Times New Roman"/>
        </w:rPr>
        <w:t>业绩承诺</w:t>
      </w:r>
      <w:r w:rsidRPr="00FE771B">
        <w:rPr>
          <w:rFonts w:ascii="Times New Roman" w:hAnsi="Times New Roman" w:cs="Times New Roman"/>
        </w:rPr>
        <w:t>（</w:t>
      </w:r>
      <w:proofErr w:type="spellStart"/>
      <w:r w:rsidRPr="00FE771B">
        <w:rPr>
          <w:rFonts w:ascii="Times New Roman" w:hAnsi="Times New Roman" w:cs="Times New Roman"/>
          <w:i/>
        </w:rPr>
        <w:t>Vam_logit</w:t>
      </w:r>
      <w:proofErr w:type="spellEnd"/>
      <w:r w:rsidRPr="00FE771B">
        <w:rPr>
          <w:rFonts w:ascii="Times New Roman" w:hAnsi="Times New Roman" w:cs="Times New Roman"/>
        </w:rPr>
        <w:t>）和</w:t>
      </w:r>
      <w:r w:rsidR="002D29DC" w:rsidRPr="00FE771B">
        <w:rPr>
          <w:rFonts w:ascii="Times New Roman" w:hAnsi="Times New Roman" w:cs="Times New Roman"/>
        </w:rPr>
        <w:t>业绩承诺</w:t>
      </w:r>
      <w:r w:rsidRPr="00FE771B">
        <w:rPr>
          <w:rFonts w:ascii="Times New Roman" w:hAnsi="Times New Roman" w:cs="Times New Roman"/>
        </w:rPr>
        <w:t>数量（</w:t>
      </w:r>
      <w:proofErr w:type="spellStart"/>
      <w:r w:rsidRPr="00FE771B">
        <w:rPr>
          <w:rFonts w:ascii="Times New Roman" w:hAnsi="Times New Roman" w:cs="Times New Roman"/>
          <w:i/>
        </w:rPr>
        <w:t>Vam_numbers</w:t>
      </w:r>
      <w:proofErr w:type="spellEnd"/>
      <w:r w:rsidRPr="00FE771B">
        <w:rPr>
          <w:rFonts w:ascii="Times New Roman" w:hAnsi="Times New Roman" w:cs="Times New Roman"/>
        </w:rPr>
        <w:t>）作为模型核心解释变量。</w:t>
      </w:r>
      <w:proofErr w:type="spellStart"/>
      <w:r w:rsidR="008C39A0" w:rsidRPr="00FE771B">
        <w:rPr>
          <w:rFonts w:ascii="Times New Roman" w:hAnsi="Times New Roman" w:cs="Times New Roman"/>
          <w:i/>
        </w:rPr>
        <w:t>Vam_logit</w:t>
      </w:r>
      <w:proofErr w:type="spellEnd"/>
      <w:r w:rsidR="008C39A0" w:rsidRPr="00FE771B">
        <w:rPr>
          <w:rFonts w:ascii="Times New Roman" w:hAnsi="Times New Roman" w:cs="Times New Roman"/>
        </w:rPr>
        <w:t>的衡量方式如下：若上市公司在某一年度并购中签署了</w:t>
      </w:r>
      <w:r w:rsidR="002D29DC" w:rsidRPr="00FE771B">
        <w:rPr>
          <w:rFonts w:ascii="Times New Roman" w:hAnsi="Times New Roman" w:cs="Times New Roman"/>
        </w:rPr>
        <w:t>业绩承诺</w:t>
      </w:r>
      <w:r w:rsidR="008C39A0" w:rsidRPr="00FE771B">
        <w:rPr>
          <w:rFonts w:ascii="Times New Roman" w:hAnsi="Times New Roman" w:cs="Times New Roman"/>
        </w:rPr>
        <w:t>协议，则本年设定为</w:t>
      </w:r>
      <w:r w:rsidR="008C39A0" w:rsidRPr="00FE771B">
        <w:rPr>
          <w:rFonts w:ascii="Times New Roman" w:hAnsi="Times New Roman" w:cs="Times New Roman"/>
        </w:rPr>
        <w:t>1</w:t>
      </w:r>
      <w:r w:rsidR="008C39A0" w:rsidRPr="00FE771B">
        <w:rPr>
          <w:rFonts w:ascii="Times New Roman" w:hAnsi="Times New Roman" w:cs="Times New Roman"/>
        </w:rPr>
        <w:t>，若在某一年度没有签订</w:t>
      </w:r>
      <w:r w:rsidR="002D29DC" w:rsidRPr="00FE771B">
        <w:rPr>
          <w:rFonts w:ascii="Times New Roman" w:hAnsi="Times New Roman" w:cs="Times New Roman"/>
        </w:rPr>
        <w:t>业绩承诺</w:t>
      </w:r>
      <w:r w:rsidR="008C39A0" w:rsidRPr="00FE771B">
        <w:rPr>
          <w:rFonts w:ascii="Times New Roman" w:hAnsi="Times New Roman" w:cs="Times New Roman"/>
        </w:rPr>
        <w:t>协议，则本年设为</w:t>
      </w:r>
      <w:r w:rsidR="008C39A0" w:rsidRPr="00FE771B">
        <w:rPr>
          <w:rFonts w:ascii="Times New Roman" w:hAnsi="Times New Roman" w:cs="Times New Roman"/>
        </w:rPr>
        <w:t>0</w:t>
      </w:r>
      <w:r w:rsidR="008C39A0" w:rsidRPr="00FE771B">
        <w:rPr>
          <w:rFonts w:ascii="Times New Roman" w:hAnsi="Times New Roman" w:cs="Times New Roman"/>
        </w:rPr>
        <w:t>。</w:t>
      </w:r>
      <w:proofErr w:type="spellStart"/>
      <w:r w:rsidR="008C39A0" w:rsidRPr="00FE771B">
        <w:rPr>
          <w:rFonts w:ascii="Times New Roman" w:hAnsi="Times New Roman" w:cs="Times New Roman"/>
          <w:i/>
        </w:rPr>
        <w:t>Vam_numbers</w:t>
      </w:r>
      <w:proofErr w:type="spellEnd"/>
      <w:r w:rsidR="008C39A0" w:rsidRPr="00FE771B">
        <w:rPr>
          <w:rFonts w:ascii="Times New Roman" w:hAnsi="Times New Roman" w:cs="Times New Roman"/>
        </w:rPr>
        <w:t>则衡量上市公司某一年度所签署的</w:t>
      </w:r>
      <w:r w:rsidR="002D29DC" w:rsidRPr="00FE771B">
        <w:rPr>
          <w:rFonts w:ascii="Times New Roman" w:hAnsi="Times New Roman" w:cs="Times New Roman"/>
        </w:rPr>
        <w:t>业绩承诺</w:t>
      </w:r>
      <w:r w:rsidR="008C39A0" w:rsidRPr="00FE771B">
        <w:rPr>
          <w:rFonts w:ascii="Times New Roman" w:hAnsi="Times New Roman" w:cs="Times New Roman"/>
        </w:rPr>
        <w:t>次数</w:t>
      </w:r>
      <w:r w:rsidR="00573786" w:rsidRPr="00FE771B">
        <w:rPr>
          <w:rFonts w:ascii="Times New Roman" w:hAnsi="Times New Roman" w:cs="Times New Roman"/>
        </w:rPr>
        <w:t>，由于很多上市公司在同</w:t>
      </w:r>
      <w:proofErr w:type="gramStart"/>
      <w:r w:rsidR="00573786" w:rsidRPr="00FE771B">
        <w:rPr>
          <w:rFonts w:ascii="Times New Roman" w:hAnsi="Times New Roman" w:cs="Times New Roman"/>
        </w:rPr>
        <w:t>一</w:t>
      </w:r>
      <w:proofErr w:type="gramEnd"/>
      <w:r w:rsidR="00573786" w:rsidRPr="00FE771B">
        <w:rPr>
          <w:rFonts w:ascii="Times New Roman" w:hAnsi="Times New Roman" w:cs="Times New Roman"/>
        </w:rPr>
        <w:t>年度开展多</w:t>
      </w:r>
      <w:r w:rsidR="00CD3D3C" w:rsidRPr="00FE771B">
        <w:rPr>
          <w:rFonts w:ascii="Times New Roman" w:hAnsi="Times New Roman" w:cs="Times New Roman"/>
        </w:rPr>
        <w:t>次</w:t>
      </w:r>
      <w:r w:rsidR="00573786" w:rsidRPr="00FE771B">
        <w:rPr>
          <w:rFonts w:ascii="Times New Roman" w:hAnsi="Times New Roman" w:cs="Times New Roman"/>
        </w:rPr>
        <w:t>并购并可能与多个标的资产签署多项</w:t>
      </w:r>
      <w:r w:rsidR="002D29DC" w:rsidRPr="00FE771B">
        <w:rPr>
          <w:rFonts w:ascii="Times New Roman" w:hAnsi="Times New Roman" w:cs="Times New Roman"/>
        </w:rPr>
        <w:t>业绩承诺</w:t>
      </w:r>
      <w:r w:rsidR="00573786" w:rsidRPr="00FE771B">
        <w:rPr>
          <w:rFonts w:ascii="Times New Roman" w:hAnsi="Times New Roman" w:cs="Times New Roman"/>
        </w:rPr>
        <w:t>协议，</w:t>
      </w:r>
      <w:r w:rsidR="00601FDF" w:rsidRPr="00FE771B">
        <w:rPr>
          <w:rFonts w:ascii="Times New Roman" w:hAnsi="Times New Roman" w:cs="Times New Roman"/>
        </w:rPr>
        <w:t>显然</w:t>
      </w:r>
      <w:r w:rsidR="0046662E" w:rsidRPr="00FE771B">
        <w:rPr>
          <w:rFonts w:ascii="Times New Roman" w:hAnsi="Times New Roman" w:cs="Times New Roman"/>
        </w:rPr>
        <w:t>多项业绩承诺协议意味着更高的承诺净利润和更高的收购溢价率，</w:t>
      </w:r>
      <w:r w:rsidR="00CD3D3C" w:rsidRPr="00FE771B">
        <w:rPr>
          <w:rFonts w:ascii="Times New Roman" w:hAnsi="Times New Roman" w:cs="Times New Roman"/>
        </w:rPr>
        <w:t>从上文理论分析可知，签订多项</w:t>
      </w:r>
      <w:r w:rsidR="002D29DC" w:rsidRPr="00FE771B">
        <w:rPr>
          <w:rFonts w:ascii="Times New Roman" w:hAnsi="Times New Roman" w:cs="Times New Roman"/>
        </w:rPr>
        <w:t>业绩承诺</w:t>
      </w:r>
      <w:r w:rsidR="00CD3D3C" w:rsidRPr="00FE771B">
        <w:rPr>
          <w:rFonts w:ascii="Times New Roman" w:hAnsi="Times New Roman" w:cs="Times New Roman"/>
        </w:rPr>
        <w:t>协议更会加剧上市公司</w:t>
      </w:r>
      <w:proofErr w:type="gramStart"/>
      <w:r w:rsidR="00CD3D3C" w:rsidRPr="00FE771B">
        <w:rPr>
          <w:rFonts w:ascii="Times New Roman" w:hAnsi="Times New Roman" w:cs="Times New Roman"/>
        </w:rPr>
        <w:t>由实向虚</w:t>
      </w:r>
      <w:proofErr w:type="gramEnd"/>
      <w:r w:rsidR="00CD3D3C" w:rsidRPr="00FE771B">
        <w:rPr>
          <w:rFonts w:ascii="Times New Roman" w:hAnsi="Times New Roman" w:cs="Times New Roman"/>
        </w:rPr>
        <w:t>、</w:t>
      </w:r>
      <w:proofErr w:type="gramStart"/>
      <w:r w:rsidR="00CD3D3C" w:rsidRPr="00FE771B">
        <w:rPr>
          <w:rFonts w:ascii="Times New Roman" w:hAnsi="Times New Roman" w:cs="Times New Roman"/>
        </w:rPr>
        <w:t>由长趋短</w:t>
      </w:r>
      <w:proofErr w:type="gramEnd"/>
      <w:r w:rsidR="00CD3D3C" w:rsidRPr="00FE771B">
        <w:rPr>
          <w:rFonts w:ascii="Times New Roman" w:hAnsi="Times New Roman" w:cs="Times New Roman"/>
        </w:rPr>
        <w:t>，业绩承诺次数的增加将会对上市公司金融投资行为产生更大影响。</w:t>
      </w:r>
    </w:p>
    <w:p w:rsidR="00CE5CCE" w:rsidRPr="00FE771B" w:rsidRDefault="00390E28" w:rsidP="00316147">
      <w:pPr>
        <w:ind w:firstLineChars="200" w:firstLine="420"/>
        <w:rPr>
          <w:rFonts w:ascii="Times New Roman" w:hAnsi="Times New Roman" w:cs="Times New Roman"/>
        </w:rPr>
      </w:pPr>
      <w:r w:rsidRPr="00316147">
        <w:rPr>
          <w:rFonts w:ascii="楷体" w:eastAsia="楷体" w:hAnsi="楷体" w:cs="Times New Roman"/>
        </w:rPr>
        <w:t>3.控制变量</w:t>
      </w:r>
      <w:r w:rsidR="00316147" w:rsidRPr="00316147">
        <w:rPr>
          <w:rFonts w:ascii="楷体" w:eastAsia="楷体" w:hAnsi="楷体" w:cs="Times New Roman" w:hint="eastAsia"/>
        </w:rPr>
        <w:t>。</w:t>
      </w:r>
      <w:r w:rsidRPr="00FE771B">
        <w:rPr>
          <w:rFonts w:ascii="Times New Roman" w:hAnsi="Times New Roman" w:cs="Times New Roman"/>
        </w:rPr>
        <w:t>参考</w:t>
      </w:r>
      <w:r w:rsidR="00370A7F" w:rsidRPr="00FE771B">
        <w:rPr>
          <w:rFonts w:ascii="Times New Roman" w:hAnsi="Times New Roman" w:cs="Times New Roman"/>
        </w:rPr>
        <w:t>王海芳和张笑愚</w:t>
      </w:r>
      <w:r w:rsidR="00D87ED1" w:rsidRPr="00FE771B">
        <w:rPr>
          <w:rFonts w:ascii="Times New Roman" w:hAnsi="Times New Roman" w:cs="Times New Roman"/>
        </w:rPr>
        <w:t>(</w:t>
      </w:r>
      <w:r w:rsidR="00370A7F" w:rsidRPr="00FE771B">
        <w:rPr>
          <w:rFonts w:ascii="Times New Roman" w:hAnsi="Times New Roman" w:cs="Times New Roman"/>
        </w:rPr>
        <w:t>2021</w:t>
      </w:r>
      <w:r w:rsidR="00D87ED1" w:rsidRPr="00FE771B">
        <w:rPr>
          <w:rFonts w:ascii="Times New Roman" w:hAnsi="Times New Roman" w:cs="Times New Roman"/>
        </w:rPr>
        <w:t>)</w:t>
      </w:r>
      <w:r w:rsidRPr="00FE771B">
        <w:rPr>
          <w:rFonts w:ascii="Times New Roman" w:hAnsi="Times New Roman" w:cs="Times New Roman"/>
        </w:rPr>
        <w:t>，本文在模型中加入了如下</w:t>
      </w:r>
      <w:r w:rsidRPr="00FE771B">
        <w:rPr>
          <w:rFonts w:ascii="Times New Roman" w:hAnsi="Times New Roman" w:cs="Times New Roman"/>
        </w:rPr>
        <w:t>1</w:t>
      </w:r>
      <w:r w:rsidR="00D90745" w:rsidRPr="00FE771B">
        <w:rPr>
          <w:rFonts w:ascii="Times New Roman" w:hAnsi="Times New Roman" w:cs="Times New Roman"/>
        </w:rPr>
        <w:t>1</w:t>
      </w:r>
      <w:r w:rsidRPr="00FE771B">
        <w:rPr>
          <w:rFonts w:ascii="Times New Roman" w:hAnsi="Times New Roman" w:cs="Times New Roman"/>
        </w:rPr>
        <w:t>个控制变量：企业年龄（</w:t>
      </w:r>
      <w:r w:rsidRPr="00FE771B">
        <w:rPr>
          <w:rFonts w:ascii="Times New Roman" w:hAnsi="Times New Roman" w:cs="Times New Roman"/>
        </w:rPr>
        <w:t>Age</w:t>
      </w:r>
      <w:r w:rsidRPr="00FE771B">
        <w:rPr>
          <w:rFonts w:ascii="Times New Roman" w:hAnsi="Times New Roman" w:cs="Times New Roman"/>
        </w:rPr>
        <w:t>）、总资产收益率（</w:t>
      </w:r>
      <w:proofErr w:type="spellStart"/>
      <w:r w:rsidRPr="00FE771B">
        <w:rPr>
          <w:rFonts w:ascii="Times New Roman" w:hAnsi="Times New Roman" w:cs="Times New Roman"/>
        </w:rPr>
        <w:t>Roa</w:t>
      </w:r>
      <w:proofErr w:type="spellEnd"/>
      <w:r w:rsidRPr="00FE771B">
        <w:rPr>
          <w:rFonts w:ascii="Times New Roman" w:hAnsi="Times New Roman" w:cs="Times New Roman"/>
        </w:rPr>
        <w:t>）、企业规模（</w:t>
      </w:r>
      <w:r w:rsidRPr="00FE771B">
        <w:rPr>
          <w:rFonts w:ascii="Times New Roman" w:hAnsi="Times New Roman" w:cs="Times New Roman"/>
        </w:rPr>
        <w:t>Size</w:t>
      </w:r>
      <w:r w:rsidRPr="00FE771B">
        <w:rPr>
          <w:rFonts w:ascii="Times New Roman" w:hAnsi="Times New Roman" w:cs="Times New Roman"/>
        </w:rPr>
        <w:t>）、资产负债率（</w:t>
      </w:r>
      <w:r w:rsidRPr="00FE771B">
        <w:rPr>
          <w:rFonts w:ascii="Times New Roman" w:hAnsi="Times New Roman" w:cs="Times New Roman"/>
        </w:rPr>
        <w:t>Debt</w:t>
      </w:r>
      <w:r w:rsidRPr="00FE771B">
        <w:rPr>
          <w:rFonts w:ascii="Times New Roman" w:hAnsi="Times New Roman" w:cs="Times New Roman"/>
        </w:rPr>
        <w:t>）、经营活动现金流</w:t>
      </w:r>
      <w:r w:rsidR="00363F6D" w:rsidRPr="00FE771B">
        <w:rPr>
          <w:rFonts w:ascii="Times New Roman" w:hAnsi="Times New Roman" w:cs="Times New Roman"/>
        </w:rPr>
        <w:t>增长率</w:t>
      </w:r>
      <w:r w:rsidRPr="00FE771B">
        <w:rPr>
          <w:rFonts w:ascii="Times New Roman" w:hAnsi="Times New Roman" w:cs="Times New Roman"/>
        </w:rPr>
        <w:t>（</w:t>
      </w:r>
      <w:r w:rsidRPr="00FE771B">
        <w:rPr>
          <w:rFonts w:ascii="Times New Roman" w:hAnsi="Times New Roman" w:cs="Times New Roman"/>
        </w:rPr>
        <w:t>Cash</w:t>
      </w:r>
      <w:r w:rsidRPr="00FE771B">
        <w:rPr>
          <w:rFonts w:ascii="Times New Roman" w:hAnsi="Times New Roman" w:cs="Times New Roman"/>
        </w:rPr>
        <w:t>）、营业收入增长率（</w:t>
      </w:r>
      <w:r w:rsidRPr="00FE771B">
        <w:rPr>
          <w:rFonts w:ascii="Times New Roman" w:hAnsi="Times New Roman" w:cs="Times New Roman"/>
        </w:rPr>
        <w:t>Income</w:t>
      </w:r>
      <w:r w:rsidRPr="00FE771B">
        <w:rPr>
          <w:rFonts w:ascii="Times New Roman" w:hAnsi="Times New Roman" w:cs="Times New Roman"/>
        </w:rPr>
        <w:t>）、</w:t>
      </w:r>
      <w:r w:rsidR="00363F6D" w:rsidRPr="00FE771B">
        <w:rPr>
          <w:rFonts w:ascii="Times New Roman" w:hAnsi="Times New Roman" w:cs="Times New Roman"/>
        </w:rPr>
        <w:t>董事会规模</w:t>
      </w:r>
      <w:r w:rsidRPr="00FE771B">
        <w:rPr>
          <w:rFonts w:ascii="Times New Roman" w:hAnsi="Times New Roman" w:cs="Times New Roman"/>
        </w:rPr>
        <w:t>（</w:t>
      </w:r>
      <w:r w:rsidR="00363F6D" w:rsidRPr="00FE771B">
        <w:rPr>
          <w:rFonts w:ascii="Times New Roman" w:hAnsi="Times New Roman" w:cs="Times New Roman"/>
        </w:rPr>
        <w:t>Board</w:t>
      </w:r>
      <w:r w:rsidRPr="00FE771B">
        <w:rPr>
          <w:rFonts w:ascii="Times New Roman" w:hAnsi="Times New Roman" w:cs="Times New Roman"/>
        </w:rPr>
        <w:t>）、机构持股比例（</w:t>
      </w:r>
      <w:r w:rsidRPr="00FE771B">
        <w:rPr>
          <w:rFonts w:ascii="Times New Roman" w:hAnsi="Times New Roman" w:cs="Times New Roman"/>
        </w:rPr>
        <w:t>Institution</w:t>
      </w:r>
      <w:r w:rsidRPr="00FE771B">
        <w:rPr>
          <w:rFonts w:ascii="Times New Roman" w:hAnsi="Times New Roman" w:cs="Times New Roman"/>
        </w:rPr>
        <w:t>）、</w:t>
      </w:r>
      <w:r w:rsidR="00363F6D" w:rsidRPr="00FE771B">
        <w:rPr>
          <w:rFonts w:ascii="Times New Roman" w:hAnsi="Times New Roman" w:cs="Times New Roman"/>
        </w:rPr>
        <w:t>管理层持股比例（</w:t>
      </w:r>
      <w:proofErr w:type="spellStart"/>
      <w:r w:rsidR="00363F6D" w:rsidRPr="00FE771B">
        <w:rPr>
          <w:rFonts w:ascii="Times New Roman" w:hAnsi="Times New Roman" w:cs="Times New Roman"/>
        </w:rPr>
        <w:t>ManageH</w:t>
      </w:r>
      <w:proofErr w:type="spellEnd"/>
      <w:r w:rsidR="00363F6D" w:rsidRPr="00FE771B">
        <w:rPr>
          <w:rFonts w:ascii="Times New Roman" w:hAnsi="Times New Roman" w:cs="Times New Roman"/>
        </w:rPr>
        <w:t>）、</w:t>
      </w:r>
      <w:r w:rsidR="00D014DB" w:rsidRPr="00FE771B">
        <w:rPr>
          <w:rFonts w:ascii="Times New Roman" w:hAnsi="Times New Roman" w:cs="Times New Roman"/>
        </w:rPr>
        <w:t>独立董事比例</w:t>
      </w:r>
      <w:r w:rsidRPr="00FE771B">
        <w:rPr>
          <w:rFonts w:ascii="Times New Roman" w:hAnsi="Times New Roman" w:cs="Times New Roman"/>
        </w:rPr>
        <w:t>（</w:t>
      </w:r>
      <w:r w:rsidR="00D014DB" w:rsidRPr="00FE771B">
        <w:rPr>
          <w:rFonts w:ascii="Times New Roman" w:hAnsi="Times New Roman" w:cs="Times New Roman"/>
        </w:rPr>
        <w:t>Independent</w:t>
      </w:r>
      <w:r w:rsidR="00363F6D" w:rsidRPr="00FE771B">
        <w:rPr>
          <w:rFonts w:ascii="Times New Roman" w:hAnsi="Times New Roman" w:cs="Times New Roman"/>
        </w:rPr>
        <w:t>）</w:t>
      </w:r>
      <w:r w:rsidR="00D014DB" w:rsidRPr="00FE771B">
        <w:rPr>
          <w:rFonts w:ascii="Times New Roman" w:hAnsi="Times New Roman" w:cs="Times New Roman"/>
        </w:rPr>
        <w:t>、</w:t>
      </w:r>
      <w:r w:rsidRPr="00FE771B">
        <w:rPr>
          <w:rFonts w:ascii="Times New Roman" w:hAnsi="Times New Roman" w:cs="Times New Roman"/>
        </w:rPr>
        <w:t>董事长、总经理两职分离（</w:t>
      </w:r>
      <w:r w:rsidRPr="00FE771B">
        <w:rPr>
          <w:rFonts w:ascii="Times New Roman" w:hAnsi="Times New Roman" w:cs="Times New Roman"/>
        </w:rPr>
        <w:t>Dual</w:t>
      </w:r>
      <w:r w:rsidRPr="00FE771B">
        <w:rPr>
          <w:rFonts w:ascii="Times New Roman" w:hAnsi="Times New Roman" w:cs="Times New Roman"/>
        </w:rPr>
        <w:t>），变量具体定义见表</w:t>
      </w:r>
      <w:r w:rsidR="00D014DB" w:rsidRPr="00FE771B">
        <w:rPr>
          <w:rFonts w:ascii="Times New Roman" w:hAnsi="Times New Roman" w:cs="Times New Roman"/>
        </w:rPr>
        <w:t>1</w:t>
      </w:r>
      <w:r w:rsidRPr="00FE771B">
        <w:rPr>
          <w:rFonts w:ascii="Times New Roman" w:hAnsi="Times New Roman" w:cs="Times New Roman"/>
        </w:rPr>
        <w:t>。另外对样本区间</w:t>
      </w:r>
      <w:r w:rsidRPr="00FE771B">
        <w:rPr>
          <w:rFonts w:ascii="Times New Roman" w:hAnsi="Times New Roman" w:cs="Times New Roman"/>
        </w:rPr>
        <w:t>201</w:t>
      </w:r>
      <w:r w:rsidR="00363F6D" w:rsidRPr="00FE771B">
        <w:rPr>
          <w:rFonts w:ascii="Times New Roman" w:hAnsi="Times New Roman" w:cs="Times New Roman"/>
        </w:rPr>
        <w:t>0</w:t>
      </w:r>
      <w:r w:rsidRPr="00FE771B">
        <w:rPr>
          <w:rFonts w:ascii="Times New Roman" w:hAnsi="Times New Roman" w:cs="Times New Roman"/>
        </w:rPr>
        <w:t>-2019</w:t>
      </w:r>
      <w:r w:rsidRPr="00FE771B">
        <w:rPr>
          <w:rFonts w:ascii="Times New Roman" w:hAnsi="Times New Roman" w:cs="Times New Roman"/>
        </w:rPr>
        <w:t>年设置</w:t>
      </w:r>
      <w:r w:rsidR="00D014DB" w:rsidRPr="00FE771B">
        <w:rPr>
          <w:rFonts w:ascii="Times New Roman" w:hAnsi="Times New Roman" w:cs="Times New Roman"/>
        </w:rPr>
        <w:t>年份</w:t>
      </w:r>
      <w:r w:rsidRPr="00FE771B">
        <w:rPr>
          <w:rFonts w:ascii="Times New Roman" w:hAnsi="Times New Roman" w:cs="Times New Roman"/>
        </w:rPr>
        <w:t>虚拟变量</w:t>
      </w:r>
      <w:r w:rsidRPr="00FE771B">
        <w:rPr>
          <w:rFonts w:ascii="Times New Roman" w:hAnsi="Times New Roman" w:cs="Times New Roman"/>
        </w:rPr>
        <w:t>Year</w:t>
      </w:r>
      <w:r w:rsidR="00D014DB" w:rsidRPr="00FE771B">
        <w:rPr>
          <w:rFonts w:ascii="Times New Roman" w:hAnsi="Times New Roman" w:cs="Times New Roman"/>
        </w:rPr>
        <w:t>以控制</w:t>
      </w:r>
      <w:r w:rsidRPr="00FE771B">
        <w:rPr>
          <w:rFonts w:ascii="Times New Roman" w:hAnsi="Times New Roman" w:cs="Times New Roman"/>
        </w:rPr>
        <w:t>时间效应，</w:t>
      </w:r>
      <w:r w:rsidR="00D014DB" w:rsidRPr="00FE771B">
        <w:rPr>
          <w:rFonts w:ascii="Times New Roman" w:hAnsi="Times New Roman" w:cs="Times New Roman"/>
        </w:rPr>
        <w:t>同时</w:t>
      </w:r>
      <w:r w:rsidRPr="00FE771B">
        <w:rPr>
          <w:rFonts w:ascii="Times New Roman" w:hAnsi="Times New Roman" w:cs="Times New Roman"/>
        </w:rPr>
        <w:t>根据</w:t>
      </w:r>
      <w:proofErr w:type="gramStart"/>
      <w:r w:rsidRPr="00FE771B">
        <w:rPr>
          <w:rFonts w:ascii="Times New Roman" w:hAnsi="Times New Roman" w:cs="Times New Roman"/>
        </w:rPr>
        <w:t>申万行业</w:t>
      </w:r>
      <w:proofErr w:type="gramEnd"/>
      <w:r w:rsidRPr="00FE771B">
        <w:rPr>
          <w:rFonts w:ascii="Times New Roman" w:hAnsi="Times New Roman" w:cs="Times New Roman"/>
        </w:rPr>
        <w:t>分类标准设置</w:t>
      </w:r>
      <w:r w:rsidR="00D014DB" w:rsidRPr="00FE771B">
        <w:rPr>
          <w:rFonts w:ascii="Times New Roman" w:hAnsi="Times New Roman" w:cs="Times New Roman"/>
        </w:rPr>
        <w:t>行业</w:t>
      </w:r>
      <w:r w:rsidRPr="00FE771B">
        <w:rPr>
          <w:rFonts w:ascii="Times New Roman" w:hAnsi="Times New Roman" w:cs="Times New Roman"/>
        </w:rPr>
        <w:t>虚拟变量</w:t>
      </w:r>
      <w:r w:rsidRPr="00FE771B">
        <w:rPr>
          <w:rFonts w:ascii="Times New Roman" w:hAnsi="Times New Roman" w:cs="Times New Roman"/>
        </w:rPr>
        <w:t>Industry</w:t>
      </w:r>
      <w:r w:rsidR="00D014DB" w:rsidRPr="00FE771B">
        <w:rPr>
          <w:rFonts w:ascii="Times New Roman" w:hAnsi="Times New Roman" w:cs="Times New Roman"/>
        </w:rPr>
        <w:t>来控制</w:t>
      </w:r>
      <w:r w:rsidRPr="00FE771B">
        <w:rPr>
          <w:rFonts w:ascii="Times New Roman" w:hAnsi="Times New Roman" w:cs="Times New Roman"/>
        </w:rPr>
        <w:t>行业效应。</w:t>
      </w:r>
    </w:p>
    <w:p w:rsidR="00CE5CCE" w:rsidRPr="00FE771B" w:rsidRDefault="00D014DB" w:rsidP="00D014DB">
      <w:pPr>
        <w:jc w:val="center"/>
        <w:rPr>
          <w:rFonts w:ascii="Times New Roman" w:eastAsia="楷体" w:hAnsi="Times New Roman" w:cs="Times New Roman"/>
          <w:bCs/>
          <w:szCs w:val="21"/>
        </w:rPr>
      </w:pPr>
      <w:r w:rsidRPr="00FE771B">
        <w:rPr>
          <w:rFonts w:ascii="Times New Roman" w:eastAsia="楷体" w:hAnsi="Times New Roman" w:cs="Times New Roman"/>
          <w:bCs/>
          <w:szCs w:val="21"/>
        </w:rPr>
        <w:t>表</w:t>
      </w:r>
      <w:r w:rsidRPr="00FE771B">
        <w:rPr>
          <w:rFonts w:ascii="Times New Roman" w:eastAsia="楷体" w:hAnsi="Times New Roman" w:cs="Times New Roman"/>
          <w:bCs/>
          <w:szCs w:val="21"/>
        </w:rPr>
        <w:t>1</w:t>
      </w:r>
      <w:r w:rsidR="0038276F" w:rsidRPr="00FE771B">
        <w:rPr>
          <w:rFonts w:ascii="Times New Roman" w:eastAsia="楷体" w:hAnsi="Times New Roman" w:cs="Times New Roman"/>
          <w:bCs/>
          <w:szCs w:val="21"/>
        </w:rPr>
        <w:t xml:space="preserve">  </w:t>
      </w:r>
      <w:r w:rsidRPr="00FE771B">
        <w:rPr>
          <w:rFonts w:ascii="Times New Roman" w:eastAsia="楷体" w:hAnsi="Times New Roman" w:cs="Times New Roman"/>
          <w:bCs/>
          <w:szCs w:val="21"/>
        </w:rPr>
        <w:t>变量说明</w:t>
      </w:r>
    </w:p>
    <w:tbl>
      <w:tblPr>
        <w:tblStyle w:val="TableNormal"/>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2048"/>
        <w:gridCol w:w="2062"/>
        <w:gridCol w:w="4196"/>
      </w:tblGrid>
      <w:tr w:rsidR="00DD5875" w:rsidRPr="00FE771B" w:rsidTr="00853BE3">
        <w:trPr>
          <w:trHeight w:val="284"/>
        </w:trPr>
        <w:tc>
          <w:tcPr>
            <w:tcW w:w="1233" w:type="pct"/>
            <w:tcBorders>
              <w:left w:val="nil"/>
              <w:bottom w:val="single" w:sz="4" w:space="0" w:color="000000"/>
              <w:right w:val="single" w:sz="4" w:space="0" w:color="000000"/>
            </w:tcBorders>
          </w:tcPr>
          <w:p w:rsidR="006A333A" w:rsidRPr="00FE771B" w:rsidRDefault="006A333A" w:rsidP="00853BE3">
            <w:pPr>
              <w:pStyle w:val="TableParagraph"/>
              <w:adjustRightInd w:val="0"/>
              <w:snapToGrid w:val="0"/>
              <w:rPr>
                <w:rFonts w:ascii="Times New Roman" w:eastAsiaTheme="minorEastAsia" w:hAnsi="Times New Roman" w:cs="Times New Roman"/>
                <w:color w:val="000000" w:themeColor="text1"/>
                <w:sz w:val="18"/>
                <w:szCs w:val="18"/>
                <w:lang w:eastAsia="zh-CN"/>
              </w:rPr>
            </w:pPr>
            <w:r w:rsidRPr="00FE771B">
              <w:rPr>
                <w:rFonts w:ascii="Times New Roman" w:eastAsiaTheme="minorEastAsia" w:hAnsi="Times New Roman" w:cs="Times New Roman"/>
                <w:color w:val="000000" w:themeColor="text1"/>
                <w:sz w:val="18"/>
                <w:szCs w:val="18"/>
                <w:lang w:eastAsia="zh-CN"/>
              </w:rPr>
              <w:t>变量名</w:t>
            </w:r>
          </w:p>
        </w:tc>
        <w:tc>
          <w:tcPr>
            <w:tcW w:w="1241" w:type="pct"/>
            <w:tcBorders>
              <w:left w:val="single" w:sz="4" w:space="0" w:color="000000"/>
              <w:bottom w:val="single" w:sz="4" w:space="0" w:color="000000"/>
              <w:right w:val="single" w:sz="4" w:space="0" w:color="000000"/>
            </w:tcBorders>
          </w:tcPr>
          <w:p w:rsidR="006A333A" w:rsidRPr="00FE771B" w:rsidRDefault="006A333A" w:rsidP="00853BE3">
            <w:pPr>
              <w:pStyle w:val="TableParagraph"/>
              <w:adjustRightInd w:val="0"/>
              <w:snapToGrid w:val="0"/>
              <w:rPr>
                <w:rFonts w:ascii="Times New Roman" w:eastAsiaTheme="minorEastAsia" w:hAnsi="Times New Roman" w:cs="Times New Roman"/>
                <w:color w:val="000000" w:themeColor="text1"/>
                <w:sz w:val="18"/>
                <w:szCs w:val="18"/>
                <w:lang w:eastAsia="zh-CN"/>
              </w:rPr>
            </w:pPr>
            <w:proofErr w:type="spellStart"/>
            <w:r w:rsidRPr="00FE771B">
              <w:rPr>
                <w:rFonts w:ascii="Times New Roman" w:eastAsiaTheme="minorEastAsia" w:hAnsi="Times New Roman" w:cs="Times New Roman"/>
                <w:color w:val="000000" w:themeColor="text1"/>
                <w:w w:val="105"/>
                <w:sz w:val="18"/>
                <w:szCs w:val="18"/>
              </w:rPr>
              <w:t>变量符号</w:t>
            </w:r>
            <w:proofErr w:type="spellEnd"/>
          </w:p>
        </w:tc>
        <w:tc>
          <w:tcPr>
            <w:tcW w:w="2526" w:type="pct"/>
            <w:tcBorders>
              <w:left w:val="single" w:sz="4" w:space="0" w:color="000000"/>
              <w:bottom w:val="single" w:sz="4" w:space="0" w:color="000000"/>
              <w:right w:val="nil"/>
            </w:tcBorders>
          </w:tcPr>
          <w:p w:rsidR="006A333A" w:rsidRPr="00FE771B" w:rsidRDefault="006A333A" w:rsidP="00853BE3">
            <w:pPr>
              <w:pStyle w:val="TableParagraph"/>
              <w:adjustRightInd w:val="0"/>
              <w:snapToGrid w:val="0"/>
              <w:rPr>
                <w:rFonts w:ascii="Times New Roman" w:eastAsiaTheme="minorEastAsia" w:hAnsi="Times New Roman" w:cs="Times New Roman"/>
                <w:color w:val="000000" w:themeColor="text1"/>
                <w:sz w:val="18"/>
                <w:szCs w:val="18"/>
              </w:rPr>
            </w:pPr>
            <w:r w:rsidRPr="00FE771B">
              <w:rPr>
                <w:rFonts w:ascii="Times New Roman" w:eastAsiaTheme="minorEastAsia" w:hAnsi="Times New Roman" w:cs="Times New Roman"/>
                <w:color w:val="000000" w:themeColor="text1"/>
                <w:sz w:val="18"/>
                <w:szCs w:val="18"/>
                <w:lang w:eastAsia="zh-CN"/>
              </w:rPr>
              <w:t>变量定义</w:t>
            </w:r>
          </w:p>
        </w:tc>
      </w:tr>
      <w:tr w:rsidR="00DD5875" w:rsidRPr="00FE771B" w:rsidTr="00853BE3">
        <w:trPr>
          <w:trHeight w:val="284"/>
        </w:trPr>
        <w:tc>
          <w:tcPr>
            <w:tcW w:w="1233" w:type="pct"/>
            <w:vMerge w:val="restart"/>
            <w:tcBorders>
              <w:top w:val="single" w:sz="4" w:space="0" w:color="000000"/>
              <w:left w:val="nil"/>
              <w:right w:val="single" w:sz="4" w:space="0" w:color="000000"/>
            </w:tcBorders>
          </w:tcPr>
          <w:p w:rsidR="006A333A" w:rsidRPr="00FE771B" w:rsidRDefault="006A333A" w:rsidP="00853BE3">
            <w:pPr>
              <w:pStyle w:val="TableParagraph"/>
              <w:adjustRightInd w:val="0"/>
              <w:snapToGrid w:val="0"/>
              <w:rPr>
                <w:rFonts w:ascii="Times New Roman" w:eastAsiaTheme="minorEastAsia" w:hAnsi="Times New Roman" w:cs="Times New Roman"/>
                <w:color w:val="000000" w:themeColor="text1"/>
                <w:sz w:val="18"/>
                <w:szCs w:val="18"/>
                <w:lang w:eastAsia="zh-CN"/>
              </w:rPr>
            </w:pPr>
          </w:p>
          <w:p w:rsidR="00B24B6B" w:rsidRPr="00FE771B" w:rsidRDefault="00B24B6B" w:rsidP="00853BE3">
            <w:pPr>
              <w:pStyle w:val="TableParagraph"/>
              <w:adjustRightInd w:val="0"/>
              <w:snapToGrid w:val="0"/>
              <w:rPr>
                <w:rFonts w:ascii="Times New Roman" w:eastAsiaTheme="minorEastAsia" w:hAnsi="Times New Roman" w:cs="Times New Roman"/>
                <w:color w:val="000000" w:themeColor="text1"/>
                <w:sz w:val="18"/>
                <w:szCs w:val="18"/>
                <w:lang w:eastAsia="zh-CN"/>
              </w:rPr>
            </w:pPr>
          </w:p>
          <w:p w:rsidR="00B24B6B" w:rsidRPr="00FE771B" w:rsidRDefault="00B24B6B" w:rsidP="00853BE3">
            <w:pPr>
              <w:pStyle w:val="TableParagraph"/>
              <w:adjustRightInd w:val="0"/>
              <w:snapToGrid w:val="0"/>
              <w:rPr>
                <w:rFonts w:ascii="Times New Roman" w:eastAsiaTheme="minorEastAsia" w:hAnsi="Times New Roman" w:cs="Times New Roman"/>
                <w:color w:val="000000" w:themeColor="text1"/>
                <w:sz w:val="18"/>
                <w:szCs w:val="18"/>
                <w:lang w:eastAsia="zh-CN"/>
              </w:rPr>
            </w:pPr>
          </w:p>
          <w:p w:rsidR="006A333A" w:rsidRPr="00FE771B" w:rsidRDefault="00837178" w:rsidP="00853BE3">
            <w:pPr>
              <w:pStyle w:val="TableParagraph"/>
              <w:adjustRightInd w:val="0"/>
              <w:snapToGrid w:val="0"/>
              <w:rPr>
                <w:rFonts w:ascii="Times New Roman" w:eastAsiaTheme="minorEastAsia" w:hAnsi="Times New Roman" w:cs="Times New Roman"/>
                <w:color w:val="000000" w:themeColor="text1"/>
                <w:sz w:val="18"/>
                <w:szCs w:val="18"/>
                <w:lang w:eastAsia="zh-CN"/>
              </w:rPr>
            </w:pPr>
            <w:r w:rsidRPr="00FE771B">
              <w:rPr>
                <w:rFonts w:ascii="Times New Roman" w:eastAsiaTheme="minorEastAsia" w:hAnsi="Times New Roman" w:cs="Times New Roman"/>
                <w:color w:val="000000" w:themeColor="text1"/>
                <w:sz w:val="18"/>
                <w:szCs w:val="18"/>
                <w:lang w:eastAsia="zh-CN"/>
              </w:rPr>
              <w:t>金融化</w:t>
            </w:r>
          </w:p>
        </w:tc>
        <w:tc>
          <w:tcPr>
            <w:tcW w:w="1241" w:type="pct"/>
            <w:tcBorders>
              <w:top w:val="single" w:sz="4" w:space="0" w:color="000000"/>
              <w:left w:val="single" w:sz="4" w:space="0" w:color="000000"/>
              <w:bottom w:val="single" w:sz="4" w:space="0" w:color="000000"/>
              <w:right w:val="single" w:sz="4" w:space="0" w:color="000000"/>
            </w:tcBorders>
          </w:tcPr>
          <w:p w:rsidR="00B24B6B" w:rsidRPr="00FE771B" w:rsidRDefault="00B24B6B" w:rsidP="00853BE3">
            <w:pPr>
              <w:pStyle w:val="TableParagraph"/>
              <w:adjustRightInd w:val="0"/>
              <w:snapToGrid w:val="0"/>
              <w:rPr>
                <w:rFonts w:ascii="Times New Roman" w:eastAsiaTheme="minorEastAsia" w:hAnsi="Times New Roman" w:cs="Times New Roman"/>
                <w:i/>
                <w:color w:val="000000" w:themeColor="text1"/>
                <w:sz w:val="18"/>
                <w:szCs w:val="18"/>
                <w:lang w:eastAsia="zh-CN"/>
              </w:rPr>
            </w:pPr>
          </w:p>
          <w:p w:rsidR="00B24B6B" w:rsidRPr="00FE771B" w:rsidRDefault="00B24B6B" w:rsidP="00853BE3">
            <w:pPr>
              <w:pStyle w:val="TableParagraph"/>
              <w:adjustRightInd w:val="0"/>
              <w:snapToGrid w:val="0"/>
              <w:rPr>
                <w:rFonts w:ascii="Times New Roman" w:eastAsiaTheme="minorEastAsia" w:hAnsi="Times New Roman" w:cs="Times New Roman"/>
                <w:i/>
                <w:color w:val="000000" w:themeColor="text1"/>
                <w:sz w:val="18"/>
                <w:szCs w:val="18"/>
                <w:lang w:eastAsia="zh-CN"/>
              </w:rPr>
            </w:pPr>
          </w:p>
          <w:p w:rsidR="006A333A" w:rsidRPr="00FE771B" w:rsidRDefault="006A333A" w:rsidP="00853BE3">
            <w:pPr>
              <w:pStyle w:val="TableParagraph"/>
              <w:adjustRightInd w:val="0"/>
              <w:snapToGrid w:val="0"/>
              <w:rPr>
                <w:rFonts w:ascii="Times New Roman" w:eastAsiaTheme="minorEastAsia" w:hAnsi="Times New Roman" w:cs="Times New Roman"/>
                <w:i/>
                <w:color w:val="000000" w:themeColor="text1"/>
                <w:sz w:val="18"/>
                <w:szCs w:val="18"/>
                <w:lang w:eastAsia="zh-CN"/>
              </w:rPr>
            </w:pPr>
            <w:r w:rsidRPr="00FE771B">
              <w:rPr>
                <w:rFonts w:ascii="Times New Roman" w:eastAsiaTheme="minorEastAsia" w:hAnsi="Times New Roman" w:cs="Times New Roman"/>
                <w:i/>
                <w:color w:val="000000" w:themeColor="text1"/>
                <w:sz w:val="18"/>
                <w:szCs w:val="18"/>
                <w:lang w:eastAsia="zh-CN"/>
              </w:rPr>
              <w:t>Fin</w:t>
            </w:r>
          </w:p>
        </w:tc>
        <w:tc>
          <w:tcPr>
            <w:tcW w:w="2526" w:type="pct"/>
            <w:tcBorders>
              <w:top w:val="single" w:sz="4" w:space="0" w:color="000000"/>
              <w:left w:val="single" w:sz="4" w:space="0" w:color="000000"/>
              <w:bottom w:val="single" w:sz="4" w:space="0" w:color="000000"/>
              <w:right w:val="nil"/>
            </w:tcBorders>
          </w:tcPr>
          <w:p w:rsidR="006A333A" w:rsidRPr="00FE771B" w:rsidRDefault="00B24B6B" w:rsidP="00A56676">
            <w:pPr>
              <w:pStyle w:val="TableParagraph"/>
              <w:adjustRightInd w:val="0"/>
              <w:snapToGrid w:val="0"/>
              <w:rPr>
                <w:rFonts w:ascii="Times New Roman" w:eastAsiaTheme="minorEastAsia" w:hAnsi="Times New Roman" w:cs="Times New Roman"/>
                <w:color w:val="000000" w:themeColor="text1"/>
                <w:sz w:val="18"/>
                <w:szCs w:val="18"/>
                <w:lang w:eastAsia="zh-CN"/>
              </w:rPr>
            </w:pPr>
            <w:r w:rsidRPr="00FE771B">
              <w:rPr>
                <w:rFonts w:ascii="Times New Roman" w:eastAsiaTheme="minorEastAsia" w:hAnsi="Times New Roman" w:cs="Times New Roman"/>
                <w:color w:val="000000" w:themeColor="text1"/>
                <w:sz w:val="18"/>
                <w:szCs w:val="18"/>
                <w:lang w:eastAsia="zh-CN"/>
              </w:rPr>
              <w:t>2010</w:t>
            </w:r>
            <w:r w:rsidRPr="00FE771B">
              <w:rPr>
                <w:rFonts w:ascii="Times New Roman" w:eastAsiaTheme="minorEastAsia" w:hAnsi="Times New Roman" w:cs="Times New Roman"/>
                <w:color w:val="000000" w:themeColor="text1"/>
                <w:sz w:val="18"/>
                <w:szCs w:val="18"/>
                <w:lang w:eastAsia="zh-CN"/>
              </w:rPr>
              <w:t>年</w:t>
            </w:r>
            <w:r w:rsidRPr="00FE771B">
              <w:rPr>
                <w:rFonts w:ascii="Times New Roman" w:eastAsiaTheme="minorEastAsia" w:hAnsi="Times New Roman" w:cs="Times New Roman"/>
                <w:color w:val="000000" w:themeColor="text1"/>
                <w:sz w:val="18"/>
                <w:szCs w:val="18"/>
                <w:lang w:eastAsia="zh-CN"/>
              </w:rPr>
              <w:t>-2017</w:t>
            </w:r>
            <w:r w:rsidRPr="00FE771B">
              <w:rPr>
                <w:rFonts w:ascii="Times New Roman" w:eastAsiaTheme="minorEastAsia" w:hAnsi="Times New Roman" w:cs="Times New Roman"/>
                <w:color w:val="000000" w:themeColor="text1"/>
                <w:sz w:val="18"/>
                <w:szCs w:val="18"/>
                <w:lang w:eastAsia="zh-CN"/>
              </w:rPr>
              <w:t>年：</w:t>
            </w:r>
            <w:r w:rsidR="00A56676" w:rsidRPr="00FE771B">
              <w:rPr>
                <w:rFonts w:ascii="Times New Roman" w:eastAsiaTheme="minorEastAsia" w:hAnsi="Times New Roman" w:cs="Times New Roman"/>
                <w:color w:val="000000" w:themeColor="text1"/>
                <w:sz w:val="18"/>
                <w:szCs w:val="18"/>
                <w:lang w:eastAsia="zh-CN"/>
              </w:rPr>
              <w:t>(</w:t>
            </w:r>
            <w:r w:rsidR="006A333A" w:rsidRPr="00FE771B">
              <w:rPr>
                <w:rFonts w:ascii="Times New Roman" w:eastAsiaTheme="minorEastAsia" w:hAnsi="Times New Roman" w:cs="Times New Roman"/>
                <w:color w:val="000000" w:themeColor="text1"/>
                <w:sz w:val="18"/>
                <w:szCs w:val="18"/>
                <w:lang w:eastAsia="zh-CN"/>
              </w:rPr>
              <w:t>交易性金融资产</w:t>
            </w:r>
            <w:r w:rsidR="006A333A" w:rsidRPr="00FE771B">
              <w:rPr>
                <w:rFonts w:ascii="Times New Roman" w:eastAsiaTheme="minorEastAsia" w:hAnsi="Times New Roman" w:cs="Times New Roman"/>
                <w:color w:val="000000" w:themeColor="text1"/>
                <w:sz w:val="18"/>
                <w:szCs w:val="18"/>
                <w:lang w:eastAsia="zh-CN"/>
              </w:rPr>
              <w:t>+</w:t>
            </w:r>
            <w:r w:rsidR="006A333A" w:rsidRPr="00FE771B">
              <w:rPr>
                <w:rFonts w:ascii="Times New Roman" w:eastAsiaTheme="minorEastAsia" w:hAnsi="Times New Roman" w:cs="Times New Roman"/>
                <w:color w:val="000000" w:themeColor="text1"/>
                <w:sz w:val="18"/>
                <w:szCs w:val="18"/>
                <w:lang w:eastAsia="zh-CN"/>
              </w:rPr>
              <w:t>衍生金融资产</w:t>
            </w:r>
            <w:r w:rsidR="006A333A" w:rsidRPr="00FE771B">
              <w:rPr>
                <w:rFonts w:ascii="Times New Roman" w:eastAsiaTheme="minorEastAsia" w:hAnsi="Times New Roman" w:cs="Times New Roman"/>
                <w:color w:val="000000" w:themeColor="text1"/>
                <w:sz w:val="18"/>
                <w:szCs w:val="18"/>
                <w:lang w:eastAsia="zh-CN"/>
              </w:rPr>
              <w:t>+</w:t>
            </w:r>
            <w:r w:rsidR="006A333A" w:rsidRPr="00FE771B">
              <w:rPr>
                <w:rFonts w:ascii="Times New Roman" w:eastAsiaTheme="minorEastAsia" w:hAnsi="Times New Roman" w:cs="Times New Roman"/>
                <w:color w:val="000000" w:themeColor="text1"/>
                <w:sz w:val="18"/>
                <w:szCs w:val="18"/>
                <w:lang w:eastAsia="zh-CN"/>
              </w:rPr>
              <w:t>发放贷款及垫款</w:t>
            </w:r>
            <w:r w:rsidR="006A333A" w:rsidRPr="00FE771B">
              <w:rPr>
                <w:rFonts w:ascii="Times New Roman" w:eastAsiaTheme="minorEastAsia" w:hAnsi="Times New Roman" w:cs="Times New Roman"/>
                <w:color w:val="000000" w:themeColor="text1"/>
                <w:sz w:val="18"/>
                <w:szCs w:val="18"/>
                <w:lang w:eastAsia="zh-CN"/>
              </w:rPr>
              <w:t>+</w:t>
            </w:r>
            <w:r w:rsidR="006A333A" w:rsidRPr="00FE771B">
              <w:rPr>
                <w:rFonts w:ascii="Times New Roman" w:eastAsiaTheme="minorEastAsia" w:hAnsi="Times New Roman" w:cs="Times New Roman"/>
                <w:color w:val="000000" w:themeColor="text1"/>
                <w:sz w:val="18"/>
                <w:szCs w:val="18"/>
                <w:lang w:eastAsia="zh-CN"/>
              </w:rPr>
              <w:t>可供出售金融资产</w:t>
            </w:r>
            <w:r w:rsidR="006A333A" w:rsidRPr="00FE771B">
              <w:rPr>
                <w:rFonts w:ascii="Times New Roman" w:eastAsiaTheme="minorEastAsia" w:hAnsi="Times New Roman" w:cs="Times New Roman"/>
                <w:color w:val="000000" w:themeColor="text1"/>
                <w:sz w:val="18"/>
                <w:szCs w:val="18"/>
                <w:lang w:eastAsia="zh-CN"/>
              </w:rPr>
              <w:t>+</w:t>
            </w:r>
            <w:r w:rsidR="006A333A" w:rsidRPr="00FE771B">
              <w:rPr>
                <w:rFonts w:ascii="Times New Roman" w:eastAsiaTheme="minorEastAsia" w:hAnsi="Times New Roman" w:cs="Times New Roman"/>
                <w:color w:val="000000" w:themeColor="text1"/>
                <w:sz w:val="18"/>
                <w:szCs w:val="18"/>
                <w:lang w:eastAsia="zh-CN"/>
              </w:rPr>
              <w:t>持有至到期投资</w:t>
            </w:r>
            <w:r w:rsidR="00A56676" w:rsidRPr="00FE771B">
              <w:rPr>
                <w:rFonts w:ascii="Times New Roman" w:eastAsiaTheme="minorEastAsia" w:hAnsi="Times New Roman" w:cs="Times New Roman"/>
                <w:color w:val="000000" w:themeColor="text1"/>
                <w:sz w:val="18"/>
                <w:szCs w:val="18"/>
                <w:lang w:eastAsia="zh-CN"/>
              </w:rPr>
              <w:t>+</w:t>
            </w:r>
            <w:r w:rsidR="006A333A" w:rsidRPr="00FE771B">
              <w:rPr>
                <w:rFonts w:ascii="Times New Roman" w:eastAsiaTheme="minorEastAsia" w:hAnsi="Times New Roman" w:cs="Times New Roman"/>
                <w:color w:val="000000" w:themeColor="text1"/>
                <w:sz w:val="18"/>
                <w:szCs w:val="18"/>
                <w:lang w:eastAsia="zh-CN"/>
              </w:rPr>
              <w:t>投资性房地产</w:t>
            </w:r>
            <w:r w:rsidR="00A56676" w:rsidRPr="00FE771B">
              <w:rPr>
                <w:rFonts w:ascii="Times New Roman" w:eastAsiaTheme="minorEastAsia" w:hAnsi="Times New Roman" w:cs="Times New Roman"/>
                <w:color w:val="000000" w:themeColor="text1"/>
                <w:sz w:val="18"/>
                <w:szCs w:val="18"/>
                <w:lang w:eastAsia="zh-CN"/>
              </w:rPr>
              <w:t>)/</w:t>
            </w:r>
            <w:r w:rsidR="00A56676" w:rsidRPr="00FE771B">
              <w:rPr>
                <w:rFonts w:ascii="Times New Roman" w:eastAsiaTheme="minorEastAsia" w:hAnsi="Times New Roman" w:cs="Times New Roman"/>
                <w:color w:val="000000" w:themeColor="text1"/>
                <w:sz w:val="18"/>
                <w:szCs w:val="18"/>
                <w:lang w:eastAsia="zh-CN"/>
              </w:rPr>
              <w:t>总资产</w:t>
            </w:r>
          </w:p>
          <w:p w:rsidR="00B24B6B" w:rsidRPr="00FE771B" w:rsidRDefault="00B24B6B" w:rsidP="00053026">
            <w:pPr>
              <w:pStyle w:val="TableParagraph"/>
              <w:adjustRightInd w:val="0"/>
              <w:snapToGrid w:val="0"/>
              <w:rPr>
                <w:rFonts w:ascii="Times New Roman" w:eastAsiaTheme="minorEastAsia" w:hAnsi="Times New Roman" w:cs="Times New Roman"/>
                <w:color w:val="000000" w:themeColor="text1"/>
                <w:sz w:val="18"/>
                <w:szCs w:val="18"/>
                <w:lang w:eastAsia="zh-CN"/>
              </w:rPr>
            </w:pPr>
            <w:r w:rsidRPr="00FE771B">
              <w:rPr>
                <w:rFonts w:ascii="Times New Roman" w:eastAsiaTheme="minorEastAsia" w:hAnsi="Times New Roman" w:cs="Times New Roman"/>
                <w:color w:val="000000" w:themeColor="text1"/>
                <w:sz w:val="18"/>
                <w:szCs w:val="18"/>
                <w:lang w:eastAsia="zh-CN"/>
              </w:rPr>
              <w:t>2018</w:t>
            </w:r>
            <w:r w:rsidRPr="00FE771B">
              <w:rPr>
                <w:rFonts w:ascii="Times New Roman" w:eastAsiaTheme="minorEastAsia" w:hAnsi="Times New Roman" w:cs="Times New Roman"/>
                <w:color w:val="000000" w:themeColor="text1"/>
                <w:sz w:val="18"/>
                <w:szCs w:val="18"/>
                <w:lang w:eastAsia="zh-CN"/>
              </w:rPr>
              <w:t>年</w:t>
            </w:r>
            <w:r w:rsidRPr="00FE771B">
              <w:rPr>
                <w:rFonts w:ascii="Times New Roman" w:eastAsiaTheme="minorEastAsia" w:hAnsi="Times New Roman" w:cs="Times New Roman"/>
                <w:color w:val="000000" w:themeColor="text1"/>
                <w:sz w:val="18"/>
                <w:szCs w:val="18"/>
                <w:lang w:eastAsia="zh-CN"/>
              </w:rPr>
              <w:t>-2019</w:t>
            </w:r>
            <w:r w:rsidRPr="00FE771B">
              <w:rPr>
                <w:rFonts w:ascii="Times New Roman" w:eastAsiaTheme="minorEastAsia" w:hAnsi="Times New Roman" w:cs="Times New Roman"/>
                <w:color w:val="000000" w:themeColor="text1"/>
                <w:sz w:val="18"/>
                <w:szCs w:val="18"/>
                <w:lang w:eastAsia="zh-CN"/>
              </w:rPr>
              <w:t>年：</w:t>
            </w:r>
            <w:r w:rsidRPr="00FE771B">
              <w:rPr>
                <w:rFonts w:ascii="Times New Roman" w:eastAsiaTheme="minorEastAsia" w:hAnsi="Times New Roman" w:cs="Times New Roman"/>
                <w:color w:val="000000" w:themeColor="text1"/>
                <w:sz w:val="18"/>
                <w:szCs w:val="18"/>
                <w:lang w:eastAsia="zh-CN"/>
              </w:rPr>
              <w:t>(</w:t>
            </w:r>
            <w:r w:rsidRPr="00FE771B">
              <w:rPr>
                <w:rFonts w:ascii="Times New Roman" w:eastAsiaTheme="minorEastAsia" w:hAnsi="Times New Roman" w:cs="Times New Roman"/>
                <w:color w:val="000000" w:themeColor="text1"/>
                <w:sz w:val="18"/>
                <w:szCs w:val="18"/>
                <w:lang w:eastAsia="zh-CN"/>
              </w:rPr>
              <w:t>交易性金融资产</w:t>
            </w:r>
            <w:r w:rsidRPr="00FE771B">
              <w:rPr>
                <w:rFonts w:ascii="Times New Roman" w:eastAsiaTheme="minorEastAsia" w:hAnsi="Times New Roman" w:cs="Times New Roman"/>
                <w:color w:val="000000" w:themeColor="text1"/>
                <w:sz w:val="18"/>
                <w:szCs w:val="18"/>
                <w:lang w:eastAsia="zh-CN"/>
              </w:rPr>
              <w:t>+</w:t>
            </w:r>
            <w:r w:rsidRPr="00FE771B">
              <w:rPr>
                <w:rFonts w:ascii="Times New Roman" w:eastAsiaTheme="minorEastAsia" w:hAnsi="Times New Roman" w:cs="Times New Roman"/>
                <w:color w:val="000000" w:themeColor="text1"/>
                <w:sz w:val="18"/>
                <w:szCs w:val="18"/>
                <w:lang w:eastAsia="zh-CN"/>
              </w:rPr>
              <w:t>衍生金融资产</w:t>
            </w:r>
            <w:r w:rsidRPr="00FE771B">
              <w:rPr>
                <w:rFonts w:ascii="Times New Roman" w:eastAsiaTheme="minorEastAsia" w:hAnsi="Times New Roman" w:cs="Times New Roman"/>
                <w:color w:val="000000" w:themeColor="text1"/>
                <w:sz w:val="18"/>
                <w:szCs w:val="18"/>
                <w:lang w:eastAsia="zh-CN"/>
              </w:rPr>
              <w:t>+</w:t>
            </w:r>
            <w:r w:rsidRPr="00FE771B">
              <w:rPr>
                <w:rFonts w:ascii="Times New Roman" w:eastAsiaTheme="minorEastAsia" w:hAnsi="Times New Roman" w:cs="Times New Roman"/>
                <w:color w:val="000000" w:themeColor="text1"/>
                <w:sz w:val="18"/>
                <w:szCs w:val="18"/>
                <w:lang w:eastAsia="zh-CN"/>
              </w:rPr>
              <w:t>以摊</w:t>
            </w:r>
            <w:proofErr w:type="gramStart"/>
            <w:r w:rsidRPr="00FE771B">
              <w:rPr>
                <w:rFonts w:ascii="Times New Roman" w:eastAsiaTheme="minorEastAsia" w:hAnsi="Times New Roman" w:cs="Times New Roman"/>
                <w:color w:val="000000" w:themeColor="text1"/>
                <w:sz w:val="18"/>
                <w:szCs w:val="18"/>
                <w:lang w:eastAsia="zh-CN"/>
              </w:rPr>
              <w:t>余成本</w:t>
            </w:r>
            <w:proofErr w:type="gramEnd"/>
            <w:r w:rsidRPr="00FE771B">
              <w:rPr>
                <w:rFonts w:ascii="Times New Roman" w:eastAsiaTheme="minorEastAsia" w:hAnsi="Times New Roman" w:cs="Times New Roman"/>
                <w:color w:val="000000" w:themeColor="text1"/>
                <w:sz w:val="18"/>
                <w:szCs w:val="18"/>
                <w:lang w:eastAsia="zh-CN"/>
              </w:rPr>
              <w:t>计量的金融</w:t>
            </w:r>
            <w:r w:rsidR="00053026" w:rsidRPr="00FE771B">
              <w:rPr>
                <w:rFonts w:ascii="Times New Roman" w:eastAsiaTheme="minorEastAsia" w:hAnsi="Times New Roman" w:cs="Times New Roman"/>
                <w:color w:val="000000" w:themeColor="text1"/>
                <w:sz w:val="18"/>
                <w:szCs w:val="18"/>
                <w:lang w:eastAsia="zh-CN"/>
              </w:rPr>
              <w:t>资产</w:t>
            </w:r>
            <w:r w:rsidRPr="00FE771B">
              <w:rPr>
                <w:rFonts w:ascii="Times New Roman" w:eastAsiaTheme="minorEastAsia" w:hAnsi="Times New Roman" w:cs="Times New Roman"/>
                <w:color w:val="000000" w:themeColor="text1"/>
                <w:sz w:val="18"/>
                <w:szCs w:val="18"/>
                <w:lang w:eastAsia="zh-CN"/>
              </w:rPr>
              <w:t>+</w:t>
            </w:r>
            <w:r w:rsidRPr="00FE771B">
              <w:rPr>
                <w:rFonts w:ascii="Times New Roman" w:eastAsiaTheme="minorEastAsia" w:hAnsi="Times New Roman" w:cs="Times New Roman"/>
                <w:color w:val="000000" w:themeColor="text1"/>
                <w:sz w:val="18"/>
                <w:szCs w:val="18"/>
                <w:lang w:eastAsia="zh-CN"/>
              </w:rPr>
              <w:t>其他债权投资</w:t>
            </w:r>
            <w:r w:rsidRPr="00FE771B">
              <w:rPr>
                <w:rFonts w:ascii="Times New Roman" w:eastAsiaTheme="minorEastAsia" w:hAnsi="Times New Roman" w:cs="Times New Roman"/>
                <w:color w:val="000000" w:themeColor="text1"/>
                <w:sz w:val="18"/>
                <w:szCs w:val="18"/>
                <w:lang w:eastAsia="zh-CN"/>
              </w:rPr>
              <w:t>+</w:t>
            </w:r>
            <w:r w:rsidRPr="00FE771B">
              <w:rPr>
                <w:rFonts w:ascii="Times New Roman" w:eastAsiaTheme="minorEastAsia" w:hAnsi="Times New Roman" w:cs="Times New Roman"/>
                <w:color w:val="000000" w:themeColor="text1"/>
                <w:sz w:val="18"/>
                <w:szCs w:val="18"/>
                <w:lang w:eastAsia="zh-CN"/>
              </w:rPr>
              <w:t>其他权益工具投资</w:t>
            </w:r>
            <w:r w:rsidRPr="00FE771B">
              <w:rPr>
                <w:rFonts w:ascii="Times New Roman" w:eastAsiaTheme="minorEastAsia" w:hAnsi="Times New Roman" w:cs="Times New Roman"/>
                <w:color w:val="000000" w:themeColor="text1"/>
                <w:sz w:val="18"/>
                <w:szCs w:val="18"/>
                <w:lang w:eastAsia="zh-CN"/>
              </w:rPr>
              <w:t>+</w:t>
            </w:r>
            <w:r w:rsidRPr="00FE771B">
              <w:rPr>
                <w:rFonts w:ascii="Times New Roman" w:eastAsiaTheme="minorEastAsia" w:hAnsi="Times New Roman" w:cs="Times New Roman"/>
                <w:color w:val="000000" w:themeColor="text1"/>
                <w:sz w:val="18"/>
                <w:szCs w:val="18"/>
                <w:lang w:eastAsia="zh-CN"/>
              </w:rPr>
              <w:t>投资性房地产</w:t>
            </w:r>
            <w:r w:rsidRPr="00FE771B">
              <w:rPr>
                <w:rFonts w:ascii="Times New Roman" w:eastAsiaTheme="minorEastAsia" w:hAnsi="Times New Roman" w:cs="Times New Roman"/>
                <w:color w:val="000000" w:themeColor="text1"/>
                <w:sz w:val="18"/>
                <w:szCs w:val="18"/>
                <w:lang w:eastAsia="zh-CN"/>
              </w:rPr>
              <w:t>)/</w:t>
            </w:r>
            <w:r w:rsidRPr="00FE771B">
              <w:rPr>
                <w:rFonts w:ascii="Times New Roman" w:eastAsiaTheme="minorEastAsia" w:hAnsi="Times New Roman" w:cs="Times New Roman"/>
                <w:color w:val="000000" w:themeColor="text1"/>
                <w:sz w:val="18"/>
                <w:szCs w:val="18"/>
                <w:lang w:eastAsia="zh-CN"/>
              </w:rPr>
              <w:t>总资产</w:t>
            </w:r>
          </w:p>
        </w:tc>
      </w:tr>
      <w:tr w:rsidR="00DD5875" w:rsidRPr="00FE771B" w:rsidTr="00853BE3">
        <w:trPr>
          <w:trHeight w:val="284"/>
        </w:trPr>
        <w:tc>
          <w:tcPr>
            <w:tcW w:w="1233" w:type="pct"/>
            <w:vMerge/>
            <w:tcBorders>
              <w:left w:val="nil"/>
              <w:bottom w:val="single" w:sz="4" w:space="0" w:color="000000"/>
              <w:right w:val="single" w:sz="4" w:space="0" w:color="000000"/>
            </w:tcBorders>
          </w:tcPr>
          <w:p w:rsidR="006A333A" w:rsidRPr="00FE771B" w:rsidRDefault="006A333A" w:rsidP="00853BE3">
            <w:pPr>
              <w:pStyle w:val="TableParagraph"/>
              <w:adjustRightInd w:val="0"/>
              <w:snapToGrid w:val="0"/>
              <w:rPr>
                <w:rFonts w:ascii="Times New Roman" w:eastAsiaTheme="minorEastAsia" w:hAnsi="Times New Roman" w:cs="Times New Roman"/>
                <w:color w:val="000000" w:themeColor="text1"/>
                <w:sz w:val="18"/>
                <w:szCs w:val="18"/>
                <w:lang w:eastAsia="zh-CN"/>
              </w:rPr>
            </w:pPr>
          </w:p>
        </w:tc>
        <w:tc>
          <w:tcPr>
            <w:tcW w:w="1241" w:type="pct"/>
            <w:tcBorders>
              <w:top w:val="single" w:sz="4" w:space="0" w:color="000000"/>
              <w:left w:val="single" w:sz="4" w:space="0" w:color="000000"/>
              <w:bottom w:val="single" w:sz="4" w:space="0" w:color="000000"/>
              <w:right w:val="single" w:sz="4" w:space="0" w:color="000000"/>
            </w:tcBorders>
          </w:tcPr>
          <w:p w:rsidR="006A333A" w:rsidRPr="00FE771B" w:rsidRDefault="006A333A" w:rsidP="00853BE3">
            <w:pPr>
              <w:pStyle w:val="TableParagraph"/>
              <w:adjustRightInd w:val="0"/>
              <w:snapToGrid w:val="0"/>
              <w:rPr>
                <w:rFonts w:ascii="Times New Roman" w:eastAsiaTheme="minorEastAsia" w:hAnsi="Times New Roman" w:cs="Times New Roman"/>
                <w:i/>
                <w:color w:val="000000" w:themeColor="text1"/>
                <w:sz w:val="18"/>
                <w:szCs w:val="18"/>
                <w:lang w:eastAsia="zh-CN"/>
              </w:rPr>
            </w:pPr>
            <w:proofErr w:type="spellStart"/>
            <w:r w:rsidRPr="00FE771B">
              <w:rPr>
                <w:rFonts w:ascii="Times New Roman" w:eastAsiaTheme="minorEastAsia" w:hAnsi="Times New Roman" w:cs="Times New Roman"/>
                <w:i/>
                <w:color w:val="000000" w:themeColor="text1"/>
                <w:sz w:val="18"/>
                <w:szCs w:val="18"/>
                <w:lang w:eastAsia="zh-CN"/>
              </w:rPr>
              <w:t>FinDummy</w:t>
            </w:r>
            <w:proofErr w:type="spellEnd"/>
          </w:p>
        </w:tc>
        <w:tc>
          <w:tcPr>
            <w:tcW w:w="2526" w:type="pct"/>
            <w:tcBorders>
              <w:top w:val="single" w:sz="4" w:space="0" w:color="000000"/>
              <w:left w:val="single" w:sz="4" w:space="0" w:color="000000"/>
              <w:bottom w:val="single" w:sz="4" w:space="0" w:color="000000"/>
              <w:right w:val="nil"/>
            </w:tcBorders>
          </w:tcPr>
          <w:p w:rsidR="006A333A" w:rsidRPr="00FE771B" w:rsidRDefault="00326AB7" w:rsidP="00853BE3">
            <w:pPr>
              <w:pStyle w:val="TableParagraph"/>
              <w:adjustRightInd w:val="0"/>
              <w:snapToGrid w:val="0"/>
              <w:rPr>
                <w:rFonts w:ascii="Times New Roman" w:eastAsiaTheme="minorEastAsia" w:hAnsi="Times New Roman" w:cs="Times New Roman"/>
                <w:color w:val="000000" w:themeColor="text1"/>
                <w:sz w:val="18"/>
                <w:szCs w:val="18"/>
                <w:lang w:eastAsia="zh-CN"/>
              </w:rPr>
            </w:pPr>
            <w:r w:rsidRPr="00FE771B">
              <w:rPr>
                <w:rFonts w:ascii="Times New Roman" w:eastAsiaTheme="minorEastAsia" w:hAnsi="Times New Roman" w:cs="Times New Roman"/>
                <w:color w:val="000000" w:themeColor="text1"/>
                <w:sz w:val="18"/>
                <w:szCs w:val="18"/>
                <w:lang w:eastAsia="zh-CN"/>
              </w:rPr>
              <w:t>若</w:t>
            </w:r>
            <w:r w:rsidR="00A56676" w:rsidRPr="00FE771B">
              <w:rPr>
                <w:rFonts w:ascii="Times New Roman" w:eastAsiaTheme="minorEastAsia" w:hAnsi="Times New Roman" w:cs="Times New Roman"/>
                <w:color w:val="000000" w:themeColor="text1"/>
                <w:sz w:val="18"/>
                <w:szCs w:val="18"/>
                <w:lang w:eastAsia="zh-CN"/>
              </w:rPr>
              <w:t>上市公司</w:t>
            </w:r>
            <w:r w:rsidRPr="00FE771B">
              <w:rPr>
                <w:rFonts w:ascii="Times New Roman" w:eastAsiaTheme="minorEastAsia" w:hAnsi="Times New Roman" w:cs="Times New Roman"/>
                <w:color w:val="000000" w:themeColor="text1"/>
                <w:sz w:val="18"/>
                <w:szCs w:val="18"/>
                <w:lang w:eastAsia="zh-CN"/>
              </w:rPr>
              <w:t>在某年</w:t>
            </w:r>
            <w:r w:rsidR="00A56676" w:rsidRPr="00FE771B">
              <w:rPr>
                <w:rFonts w:ascii="Times New Roman" w:eastAsiaTheme="minorEastAsia" w:hAnsi="Times New Roman" w:cs="Times New Roman"/>
                <w:color w:val="000000" w:themeColor="text1"/>
                <w:sz w:val="18"/>
                <w:szCs w:val="18"/>
                <w:lang w:eastAsia="zh-CN"/>
              </w:rPr>
              <w:t>持有金融资产为</w:t>
            </w:r>
            <w:r w:rsidR="00A56676" w:rsidRPr="00FE771B">
              <w:rPr>
                <w:rFonts w:ascii="Times New Roman" w:eastAsiaTheme="minorEastAsia" w:hAnsi="Times New Roman" w:cs="Times New Roman"/>
                <w:color w:val="000000" w:themeColor="text1"/>
                <w:sz w:val="18"/>
                <w:szCs w:val="18"/>
                <w:lang w:eastAsia="zh-CN"/>
              </w:rPr>
              <w:t>1</w:t>
            </w:r>
            <w:r w:rsidR="00A56676" w:rsidRPr="00FE771B">
              <w:rPr>
                <w:rFonts w:ascii="Times New Roman" w:eastAsiaTheme="minorEastAsia" w:hAnsi="Times New Roman" w:cs="Times New Roman"/>
                <w:color w:val="000000" w:themeColor="text1"/>
                <w:sz w:val="18"/>
                <w:szCs w:val="18"/>
                <w:lang w:eastAsia="zh-CN"/>
              </w:rPr>
              <w:t>，否则为</w:t>
            </w:r>
            <w:r w:rsidR="00A56676" w:rsidRPr="00FE771B">
              <w:rPr>
                <w:rFonts w:ascii="Times New Roman" w:eastAsiaTheme="minorEastAsia" w:hAnsi="Times New Roman" w:cs="Times New Roman"/>
                <w:color w:val="000000" w:themeColor="text1"/>
                <w:sz w:val="18"/>
                <w:szCs w:val="18"/>
                <w:lang w:eastAsia="zh-CN"/>
              </w:rPr>
              <w:t>0</w:t>
            </w:r>
          </w:p>
        </w:tc>
      </w:tr>
      <w:tr w:rsidR="00DD5875" w:rsidRPr="00FE771B" w:rsidTr="00853BE3">
        <w:trPr>
          <w:trHeight w:val="284"/>
        </w:trPr>
        <w:tc>
          <w:tcPr>
            <w:tcW w:w="1233" w:type="pct"/>
            <w:vMerge w:val="restart"/>
            <w:tcBorders>
              <w:top w:val="single" w:sz="4" w:space="0" w:color="000000"/>
              <w:left w:val="nil"/>
              <w:right w:val="single" w:sz="4" w:space="0" w:color="000000"/>
            </w:tcBorders>
          </w:tcPr>
          <w:p w:rsidR="006A333A" w:rsidRPr="00FE771B" w:rsidRDefault="006A333A" w:rsidP="00853BE3">
            <w:pPr>
              <w:pStyle w:val="TableParagraph"/>
              <w:adjustRightInd w:val="0"/>
              <w:snapToGrid w:val="0"/>
              <w:rPr>
                <w:rFonts w:ascii="Times New Roman" w:eastAsiaTheme="minorEastAsia" w:hAnsi="Times New Roman" w:cs="Times New Roman"/>
                <w:color w:val="000000" w:themeColor="text1"/>
                <w:sz w:val="18"/>
                <w:szCs w:val="18"/>
                <w:lang w:eastAsia="zh-CN"/>
              </w:rPr>
            </w:pPr>
          </w:p>
          <w:p w:rsidR="006A333A" w:rsidRPr="00FE771B" w:rsidRDefault="002D29DC" w:rsidP="00853BE3">
            <w:pPr>
              <w:pStyle w:val="TableParagraph"/>
              <w:adjustRightInd w:val="0"/>
              <w:snapToGrid w:val="0"/>
              <w:rPr>
                <w:rFonts w:ascii="Times New Roman" w:eastAsiaTheme="minorEastAsia" w:hAnsi="Times New Roman" w:cs="Times New Roman"/>
                <w:color w:val="000000" w:themeColor="text1"/>
                <w:sz w:val="18"/>
                <w:szCs w:val="18"/>
                <w:lang w:eastAsia="zh-CN"/>
              </w:rPr>
            </w:pPr>
            <w:r w:rsidRPr="00FE771B">
              <w:rPr>
                <w:rFonts w:ascii="Times New Roman" w:eastAsiaTheme="minorEastAsia" w:hAnsi="Times New Roman" w:cs="Times New Roman"/>
                <w:color w:val="000000" w:themeColor="text1"/>
                <w:sz w:val="18"/>
                <w:szCs w:val="18"/>
                <w:lang w:eastAsia="zh-CN"/>
              </w:rPr>
              <w:t>业绩承诺</w:t>
            </w:r>
          </w:p>
        </w:tc>
        <w:tc>
          <w:tcPr>
            <w:tcW w:w="1241" w:type="pct"/>
            <w:tcBorders>
              <w:top w:val="single" w:sz="4" w:space="0" w:color="000000"/>
              <w:left w:val="single" w:sz="4" w:space="0" w:color="000000"/>
              <w:bottom w:val="single" w:sz="4" w:space="0" w:color="000000"/>
              <w:right w:val="single" w:sz="4" w:space="0" w:color="000000"/>
            </w:tcBorders>
          </w:tcPr>
          <w:p w:rsidR="006A333A" w:rsidRPr="00FE771B" w:rsidRDefault="006A333A" w:rsidP="00853BE3">
            <w:pPr>
              <w:pStyle w:val="TableParagraph"/>
              <w:adjustRightInd w:val="0"/>
              <w:snapToGrid w:val="0"/>
              <w:rPr>
                <w:rFonts w:ascii="Times New Roman" w:eastAsiaTheme="minorEastAsia" w:hAnsi="Times New Roman" w:cs="Times New Roman"/>
                <w:i/>
                <w:color w:val="000000" w:themeColor="text1"/>
                <w:sz w:val="18"/>
                <w:szCs w:val="18"/>
              </w:rPr>
            </w:pPr>
            <w:proofErr w:type="spellStart"/>
            <w:r w:rsidRPr="00FE771B">
              <w:rPr>
                <w:rFonts w:ascii="Times New Roman" w:eastAsiaTheme="minorEastAsia" w:hAnsi="Times New Roman" w:cs="Times New Roman"/>
                <w:i/>
                <w:color w:val="000000" w:themeColor="text1"/>
                <w:sz w:val="18"/>
                <w:szCs w:val="18"/>
              </w:rPr>
              <w:t>Vam_logit</w:t>
            </w:r>
            <w:proofErr w:type="spellEnd"/>
          </w:p>
        </w:tc>
        <w:tc>
          <w:tcPr>
            <w:tcW w:w="2526" w:type="pct"/>
            <w:tcBorders>
              <w:top w:val="single" w:sz="4" w:space="0" w:color="000000"/>
              <w:left w:val="single" w:sz="4" w:space="0" w:color="000000"/>
              <w:bottom w:val="single" w:sz="4" w:space="0" w:color="000000"/>
              <w:right w:val="nil"/>
            </w:tcBorders>
          </w:tcPr>
          <w:p w:rsidR="006A333A" w:rsidRPr="00FE771B" w:rsidRDefault="006A333A" w:rsidP="00853BE3">
            <w:pPr>
              <w:pStyle w:val="TableParagraph"/>
              <w:adjustRightInd w:val="0"/>
              <w:snapToGrid w:val="0"/>
              <w:rPr>
                <w:rFonts w:ascii="Times New Roman" w:eastAsiaTheme="minorEastAsia" w:hAnsi="Times New Roman" w:cs="Times New Roman"/>
                <w:color w:val="000000" w:themeColor="text1"/>
                <w:sz w:val="18"/>
                <w:szCs w:val="18"/>
                <w:lang w:eastAsia="zh-CN"/>
              </w:rPr>
            </w:pPr>
            <w:r w:rsidRPr="00FE771B">
              <w:rPr>
                <w:rFonts w:ascii="Times New Roman" w:eastAsiaTheme="minorEastAsia" w:hAnsi="Times New Roman" w:cs="Times New Roman"/>
                <w:color w:val="000000" w:themeColor="text1"/>
                <w:sz w:val="18"/>
                <w:szCs w:val="18"/>
                <w:lang w:eastAsia="zh-CN"/>
              </w:rPr>
              <w:t>上市公司在报表年度签有</w:t>
            </w:r>
            <w:r w:rsidR="002D29DC" w:rsidRPr="00FE771B">
              <w:rPr>
                <w:rFonts w:ascii="Times New Roman" w:eastAsiaTheme="minorEastAsia" w:hAnsi="Times New Roman" w:cs="Times New Roman"/>
                <w:color w:val="000000" w:themeColor="text1"/>
                <w:sz w:val="18"/>
                <w:szCs w:val="18"/>
                <w:lang w:eastAsia="zh-CN"/>
              </w:rPr>
              <w:t>业绩承诺</w:t>
            </w:r>
            <w:r w:rsidRPr="00FE771B">
              <w:rPr>
                <w:rFonts w:ascii="Times New Roman" w:eastAsiaTheme="minorEastAsia" w:hAnsi="Times New Roman" w:cs="Times New Roman"/>
                <w:color w:val="000000" w:themeColor="text1"/>
                <w:sz w:val="18"/>
                <w:szCs w:val="18"/>
                <w:lang w:eastAsia="zh-CN"/>
              </w:rPr>
              <w:t>协议时取</w:t>
            </w:r>
            <w:r w:rsidRPr="00FE771B">
              <w:rPr>
                <w:rFonts w:ascii="Times New Roman" w:eastAsiaTheme="minorEastAsia" w:hAnsi="Times New Roman" w:cs="Times New Roman"/>
                <w:color w:val="000000" w:themeColor="text1"/>
                <w:sz w:val="18"/>
                <w:szCs w:val="18"/>
                <w:lang w:eastAsia="zh-CN"/>
              </w:rPr>
              <w:t>1</w:t>
            </w:r>
            <w:r w:rsidRPr="00FE771B">
              <w:rPr>
                <w:rFonts w:ascii="Times New Roman" w:eastAsiaTheme="minorEastAsia" w:hAnsi="Times New Roman" w:cs="Times New Roman"/>
                <w:color w:val="000000" w:themeColor="text1"/>
                <w:sz w:val="18"/>
                <w:szCs w:val="18"/>
                <w:lang w:eastAsia="zh-CN"/>
              </w:rPr>
              <w:t>，否则取</w:t>
            </w:r>
            <w:r w:rsidRPr="00FE771B">
              <w:rPr>
                <w:rFonts w:ascii="Times New Roman" w:eastAsiaTheme="minorEastAsia" w:hAnsi="Times New Roman" w:cs="Times New Roman"/>
                <w:color w:val="000000" w:themeColor="text1"/>
                <w:sz w:val="18"/>
                <w:szCs w:val="18"/>
                <w:lang w:eastAsia="zh-CN"/>
              </w:rPr>
              <w:t>0</w:t>
            </w:r>
          </w:p>
        </w:tc>
      </w:tr>
      <w:tr w:rsidR="00DD5875" w:rsidRPr="00FE771B" w:rsidTr="00853BE3">
        <w:trPr>
          <w:trHeight w:val="284"/>
        </w:trPr>
        <w:tc>
          <w:tcPr>
            <w:tcW w:w="1233" w:type="pct"/>
            <w:vMerge/>
            <w:tcBorders>
              <w:left w:val="nil"/>
              <w:bottom w:val="single" w:sz="4" w:space="0" w:color="000000"/>
              <w:right w:val="single" w:sz="4" w:space="0" w:color="000000"/>
            </w:tcBorders>
          </w:tcPr>
          <w:p w:rsidR="006A333A" w:rsidRPr="00FE771B" w:rsidRDefault="006A333A" w:rsidP="00853BE3">
            <w:pPr>
              <w:adjustRightInd w:val="0"/>
              <w:snapToGrid w:val="0"/>
              <w:jc w:val="left"/>
              <w:rPr>
                <w:rFonts w:ascii="Times New Roman" w:hAnsi="Times New Roman" w:cs="Times New Roman"/>
                <w:color w:val="000000" w:themeColor="text1"/>
                <w:sz w:val="18"/>
                <w:szCs w:val="18"/>
                <w:lang w:eastAsia="zh-CN"/>
              </w:rPr>
            </w:pPr>
          </w:p>
        </w:tc>
        <w:tc>
          <w:tcPr>
            <w:tcW w:w="1241" w:type="pct"/>
            <w:tcBorders>
              <w:top w:val="single" w:sz="4" w:space="0" w:color="000000"/>
              <w:left w:val="single" w:sz="4" w:space="0" w:color="000000"/>
              <w:bottom w:val="single" w:sz="4" w:space="0" w:color="000000"/>
              <w:right w:val="single" w:sz="4" w:space="0" w:color="000000"/>
            </w:tcBorders>
          </w:tcPr>
          <w:p w:rsidR="006A333A" w:rsidRPr="00FE771B" w:rsidRDefault="006A333A" w:rsidP="00853BE3">
            <w:pPr>
              <w:adjustRightInd w:val="0"/>
              <w:snapToGrid w:val="0"/>
              <w:jc w:val="center"/>
              <w:rPr>
                <w:rFonts w:ascii="Times New Roman" w:hAnsi="Times New Roman" w:cs="Times New Roman"/>
                <w:i/>
                <w:color w:val="000000" w:themeColor="text1"/>
                <w:sz w:val="18"/>
                <w:szCs w:val="18"/>
                <w:lang w:eastAsia="zh-CN"/>
              </w:rPr>
            </w:pPr>
            <w:proofErr w:type="spellStart"/>
            <w:r w:rsidRPr="00FE771B">
              <w:rPr>
                <w:rFonts w:ascii="Times New Roman" w:hAnsi="Times New Roman" w:cs="Times New Roman"/>
                <w:i/>
                <w:color w:val="000000" w:themeColor="text1"/>
                <w:sz w:val="18"/>
                <w:szCs w:val="18"/>
              </w:rPr>
              <w:t>Vam_numb</w:t>
            </w:r>
            <w:r w:rsidR="0088590B" w:rsidRPr="00FE771B">
              <w:rPr>
                <w:rFonts w:ascii="Times New Roman" w:hAnsi="Times New Roman" w:cs="Times New Roman"/>
                <w:i/>
                <w:color w:val="000000" w:themeColor="text1"/>
                <w:sz w:val="18"/>
                <w:szCs w:val="18"/>
                <w:lang w:eastAsia="zh-CN"/>
              </w:rPr>
              <w:t>ers</w:t>
            </w:r>
            <w:proofErr w:type="spellEnd"/>
          </w:p>
        </w:tc>
        <w:tc>
          <w:tcPr>
            <w:tcW w:w="2526" w:type="pct"/>
            <w:tcBorders>
              <w:top w:val="single" w:sz="4" w:space="0" w:color="000000"/>
              <w:left w:val="single" w:sz="4" w:space="0" w:color="000000"/>
              <w:bottom w:val="single" w:sz="4" w:space="0" w:color="000000"/>
              <w:right w:val="nil"/>
            </w:tcBorders>
          </w:tcPr>
          <w:p w:rsidR="006A333A" w:rsidRPr="00FE771B" w:rsidRDefault="006A333A" w:rsidP="00853BE3">
            <w:pPr>
              <w:pStyle w:val="TableParagraph"/>
              <w:adjustRightInd w:val="0"/>
              <w:snapToGrid w:val="0"/>
              <w:rPr>
                <w:rFonts w:ascii="Times New Roman" w:eastAsiaTheme="minorEastAsia" w:hAnsi="Times New Roman" w:cs="Times New Roman"/>
                <w:color w:val="000000" w:themeColor="text1"/>
                <w:sz w:val="18"/>
                <w:szCs w:val="18"/>
                <w:lang w:eastAsia="zh-CN"/>
              </w:rPr>
            </w:pPr>
            <w:r w:rsidRPr="00FE771B">
              <w:rPr>
                <w:rFonts w:ascii="Times New Roman" w:eastAsiaTheme="minorEastAsia" w:hAnsi="Times New Roman" w:cs="Times New Roman"/>
                <w:color w:val="000000" w:themeColor="text1"/>
                <w:sz w:val="18"/>
                <w:szCs w:val="18"/>
                <w:lang w:eastAsia="zh-CN"/>
              </w:rPr>
              <w:t>上市公司在报表年度签有</w:t>
            </w:r>
            <w:r w:rsidR="002D29DC" w:rsidRPr="00FE771B">
              <w:rPr>
                <w:rFonts w:ascii="Times New Roman" w:eastAsiaTheme="minorEastAsia" w:hAnsi="Times New Roman" w:cs="Times New Roman"/>
                <w:color w:val="000000" w:themeColor="text1"/>
                <w:sz w:val="18"/>
                <w:szCs w:val="18"/>
                <w:lang w:eastAsia="zh-CN"/>
              </w:rPr>
              <w:t>业绩承诺</w:t>
            </w:r>
            <w:r w:rsidRPr="00FE771B">
              <w:rPr>
                <w:rFonts w:ascii="Times New Roman" w:eastAsiaTheme="minorEastAsia" w:hAnsi="Times New Roman" w:cs="Times New Roman"/>
                <w:color w:val="000000" w:themeColor="text1"/>
                <w:sz w:val="18"/>
                <w:szCs w:val="18"/>
                <w:lang w:eastAsia="zh-CN"/>
              </w:rPr>
              <w:t>协议的数量</w:t>
            </w:r>
          </w:p>
        </w:tc>
      </w:tr>
      <w:tr w:rsidR="00DD5875" w:rsidRPr="00FE771B" w:rsidTr="00A735BC">
        <w:trPr>
          <w:trHeight w:val="284"/>
        </w:trPr>
        <w:tc>
          <w:tcPr>
            <w:tcW w:w="1233" w:type="pct"/>
            <w:vMerge w:val="restart"/>
            <w:tcBorders>
              <w:top w:val="single" w:sz="4" w:space="0" w:color="000000"/>
              <w:left w:val="nil"/>
              <w:right w:val="single" w:sz="4" w:space="0" w:color="000000"/>
            </w:tcBorders>
          </w:tcPr>
          <w:p w:rsidR="00370A7F" w:rsidRPr="00FE771B" w:rsidRDefault="00370A7F" w:rsidP="00853BE3">
            <w:pPr>
              <w:pStyle w:val="TableParagraph"/>
              <w:adjustRightInd w:val="0"/>
              <w:snapToGrid w:val="0"/>
              <w:rPr>
                <w:rFonts w:ascii="Times New Roman" w:eastAsiaTheme="minorEastAsia" w:hAnsi="Times New Roman" w:cs="Times New Roman"/>
                <w:color w:val="000000" w:themeColor="text1"/>
                <w:sz w:val="18"/>
                <w:szCs w:val="18"/>
                <w:lang w:eastAsia="zh-CN"/>
              </w:rPr>
            </w:pPr>
          </w:p>
          <w:p w:rsidR="00370A7F" w:rsidRPr="00FE771B" w:rsidRDefault="00370A7F" w:rsidP="00853BE3">
            <w:pPr>
              <w:pStyle w:val="TableParagraph"/>
              <w:adjustRightInd w:val="0"/>
              <w:snapToGrid w:val="0"/>
              <w:rPr>
                <w:rFonts w:ascii="Times New Roman" w:eastAsiaTheme="minorEastAsia" w:hAnsi="Times New Roman" w:cs="Times New Roman"/>
                <w:color w:val="000000" w:themeColor="text1"/>
                <w:sz w:val="18"/>
                <w:szCs w:val="18"/>
                <w:lang w:eastAsia="zh-CN"/>
              </w:rPr>
            </w:pPr>
            <w:r w:rsidRPr="00FE771B">
              <w:rPr>
                <w:rFonts w:ascii="Times New Roman" w:eastAsiaTheme="minorEastAsia" w:hAnsi="Times New Roman" w:cs="Times New Roman"/>
                <w:color w:val="000000" w:themeColor="text1"/>
                <w:sz w:val="18"/>
                <w:szCs w:val="18"/>
                <w:lang w:eastAsia="zh-CN"/>
              </w:rPr>
              <w:t>盈余管理</w:t>
            </w:r>
          </w:p>
        </w:tc>
        <w:tc>
          <w:tcPr>
            <w:tcW w:w="1241" w:type="pct"/>
            <w:tcBorders>
              <w:top w:val="single" w:sz="4" w:space="0" w:color="000000"/>
              <w:left w:val="single" w:sz="4" w:space="0" w:color="000000"/>
              <w:bottom w:val="single" w:sz="4" w:space="0" w:color="000000"/>
              <w:right w:val="single" w:sz="4" w:space="0" w:color="000000"/>
            </w:tcBorders>
          </w:tcPr>
          <w:p w:rsidR="00370A7F" w:rsidRPr="00FE771B" w:rsidRDefault="00370A7F" w:rsidP="00853BE3">
            <w:pPr>
              <w:pStyle w:val="TableParagraph"/>
              <w:adjustRightInd w:val="0"/>
              <w:snapToGrid w:val="0"/>
              <w:rPr>
                <w:rFonts w:ascii="Times New Roman" w:eastAsiaTheme="minorEastAsia" w:hAnsi="Times New Roman" w:cs="Times New Roman"/>
                <w:i/>
                <w:color w:val="000000" w:themeColor="text1"/>
                <w:sz w:val="18"/>
                <w:szCs w:val="18"/>
                <w:lang w:eastAsia="zh-CN"/>
              </w:rPr>
            </w:pPr>
            <w:r w:rsidRPr="00FE771B">
              <w:rPr>
                <w:rFonts w:ascii="Times New Roman" w:eastAsiaTheme="minorEastAsia" w:hAnsi="Times New Roman" w:cs="Times New Roman"/>
                <w:i/>
                <w:color w:val="000000" w:themeColor="text1"/>
                <w:sz w:val="18"/>
                <w:szCs w:val="18"/>
                <w:lang w:eastAsia="zh-CN"/>
              </w:rPr>
              <w:t>DA</w:t>
            </w:r>
          </w:p>
        </w:tc>
        <w:tc>
          <w:tcPr>
            <w:tcW w:w="2526" w:type="pct"/>
            <w:tcBorders>
              <w:top w:val="single" w:sz="4" w:space="0" w:color="000000"/>
              <w:left w:val="single" w:sz="4" w:space="0" w:color="000000"/>
              <w:bottom w:val="single" w:sz="4" w:space="0" w:color="000000"/>
              <w:right w:val="nil"/>
            </w:tcBorders>
          </w:tcPr>
          <w:p w:rsidR="00370A7F" w:rsidRPr="00FE771B" w:rsidRDefault="00370A7F" w:rsidP="00293262">
            <w:pPr>
              <w:pStyle w:val="TableParagraph"/>
              <w:adjustRightInd w:val="0"/>
              <w:snapToGrid w:val="0"/>
              <w:rPr>
                <w:rFonts w:ascii="Times New Roman" w:eastAsiaTheme="minorEastAsia" w:hAnsi="Times New Roman" w:cs="Times New Roman"/>
                <w:color w:val="000000" w:themeColor="text1"/>
                <w:sz w:val="18"/>
                <w:szCs w:val="18"/>
                <w:lang w:eastAsia="zh-CN"/>
              </w:rPr>
            </w:pPr>
            <w:r w:rsidRPr="00FE771B">
              <w:rPr>
                <w:rFonts w:ascii="Times New Roman" w:eastAsiaTheme="minorEastAsia" w:hAnsi="Times New Roman" w:cs="Times New Roman"/>
                <w:color w:val="000000" w:themeColor="text1"/>
                <w:sz w:val="18"/>
                <w:szCs w:val="18"/>
                <w:lang w:eastAsia="zh-CN"/>
              </w:rPr>
              <w:t>根据</w:t>
            </w:r>
            <w:r w:rsidR="00293262" w:rsidRPr="00FE771B">
              <w:rPr>
                <w:rFonts w:ascii="Times New Roman" w:eastAsiaTheme="minorEastAsia" w:hAnsi="Times New Roman" w:cs="Times New Roman"/>
                <w:color w:val="000000" w:themeColor="text1"/>
                <w:sz w:val="18"/>
                <w:szCs w:val="18"/>
                <w:lang w:eastAsia="zh-CN"/>
              </w:rPr>
              <w:t>修正琼斯模型</w:t>
            </w:r>
            <w:r w:rsidRPr="00FE771B">
              <w:rPr>
                <w:rFonts w:ascii="Times New Roman" w:eastAsiaTheme="minorEastAsia" w:hAnsi="Times New Roman" w:cs="Times New Roman"/>
                <w:color w:val="000000" w:themeColor="text1"/>
                <w:sz w:val="18"/>
                <w:szCs w:val="18"/>
                <w:lang w:eastAsia="zh-CN"/>
              </w:rPr>
              <w:t>计算</w:t>
            </w:r>
          </w:p>
        </w:tc>
      </w:tr>
      <w:tr w:rsidR="00DD5875" w:rsidRPr="00FE771B" w:rsidTr="00A735BC">
        <w:trPr>
          <w:trHeight w:val="284"/>
        </w:trPr>
        <w:tc>
          <w:tcPr>
            <w:tcW w:w="1233" w:type="pct"/>
            <w:vMerge/>
            <w:tcBorders>
              <w:left w:val="nil"/>
              <w:bottom w:val="single" w:sz="4" w:space="0" w:color="000000"/>
              <w:right w:val="single" w:sz="4" w:space="0" w:color="000000"/>
            </w:tcBorders>
          </w:tcPr>
          <w:p w:rsidR="00370A7F" w:rsidRPr="00FE771B" w:rsidRDefault="00370A7F" w:rsidP="00A735BC">
            <w:pPr>
              <w:pStyle w:val="TableParagraph"/>
              <w:adjustRightInd w:val="0"/>
              <w:snapToGrid w:val="0"/>
              <w:rPr>
                <w:rFonts w:ascii="Times New Roman" w:eastAsiaTheme="minorEastAsia" w:hAnsi="Times New Roman" w:cs="Times New Roman"/>
                <w:color w:val="000000" w:themeColor="text1"/>
                <w:sz w:val="18"/>
                <w:szCs w:val="18"/>
                <w:lang w:eastAsia="zh-CN"/>
              </w:rPr>
            </w:pPr>
          </w:p>
        </w:tc>
        <w:tc>
          <w:tcPr>
            <w:tcW w:w="1241" w:type="pct"/>
            <w:tcBorders>
              <w:top w:val="single" w:sz="4" w:space="0" w:color="000000"/>
              <w:left w:val="single" w:sz="4" w:space="0" w:color="000000"/>
              <w:bottom w:val="single" w:sz="4" w:space="0" w:color="000000"/>
              <w:right w:val="single" w:sz="4" w:space="0" w:color="000000"/>
            </w:tcBorders>
          </w:tcPr>
          <w:p w:rsidR="00370A7F" w:rsidRPr="00FE771B" w:rsidRDefault="00370A7F" w:rsidP="00A735BC">
            <w:pPr>
              <w:pStyle w:val="TableParagraph"/>
              <w:adjustRightInd w:val="0"/>
              <w:snapToGrid w:val="0"/>
              <w:rPr>
                <w:rFonts w:ascii="Times New Roman" w:eastAsiaTheme="minorEastAsia" w:hAnsi="Times New Roman" w:cs="Times New Roman"/>
                <w:i/>
                <w:color w:val="000000" w:themeColor="text1"/>
                <w:sz w:val="18"/>
                <w:szCs w:val="18"/>
                <w:lang w:eastAsia="zh-CN"/>
              </w:rPr>
            </w:pPr>
            <w:r w:rsidRPr="00FE771B">
              <w:rPr>
                <w:rFonts w:ascii="Times New Roman" w:eastAsiaTheme="minorEastAsia" w:hAnsi="Times New Roman" w:cs="Times New Roman"/>
                <w:i/>
                <w:color w:val="000000" w:themeColor="text1"/>
                <w:sz w:val="18"/>
                <w:szCs w:val="18"/>
                <w:lang w:eastAsia="zh-CN"/>
              </w:rPr>
              <w:t>Rem</w:t>
            </w:r>
          </w:p>
        </w:tc>
        <w:tc>
          <w:tcPr>
            <w:tcW w:w="2526" w:type="pct"/>
            <w:tcBorders>
              <w:top w:val="single" w:sz="4" w:space="0" w:color="000000"/>
              <w:left w:val="single" w:sz="4" w:space="0" w:color="000000"/>
              <w:bottom w:val="single" w:sz="4" w:space="0" w:color="000000"/>
              <w:right w:val="nil"/>
            </w:tcBorders>
          </w:tcPr>
          <w:p w:rsidR="00370A7F" w:rsidRPr="00FE771B" w:rsidRDefault="00370A7F" w:rsidP="00293262">
            <w:pPr>
              <w:pStyle w:val="TableParagraph"/>
              <w:adjustRightInd w:val="0"/>
              <w:snapToGrid w:val="0"/>
              <w:rPr>
                <w:rFonts w:ascii="Times New Roman" w:eastAsiaTheme="minorEastAsia" w:hAnsi="Times New Roman" w:cs="Times New Roman"/>
                <w:color w:val="000000" w:themeColor="text1"/>
                <w:sz w:val="18"/>
                <w:szCs w:val="18"/>
                <w:lang w:eastAsia="zh-CN"/>
              </w:rPr>
            </w:pPr>
            <w:r w:rsidRPr="00FE771B">
              <w:rPr>
                <w:rFonts w:ascii="Times New Roman" w:eastAsiaTheme="minorEastAsia" w:hAnsi="Times New Roman" w:cs="Times New Roman"/>
                <w:color w:val="000000" w:themeColor="text1"/>
                <w:sz w:val="18"/>
                <w:szCs w:val="18"/>
                <w:lang w:eastAsia="zh-CN"/>
              </w:rPr>
              <w:t>根据</w:t>
            </w:r>
            <w:proofErr w:type="spellStart"/>
            <w:r w:rsidRPr="00FE771B">
              <w:rPr>
                <w:rFonts w:ascii="Times New Roman" w:eastAsiaTheme="minorEastAsia" w:hAnsi="Times New Roman" w:cs="Times New Roman"/>
                <w:color w:val="000000" w:themeColor="text1"/>
                <w:sz w:val="18"/>
                <w:szCs w:val="18"/>
                <w:lang w:eastAsia="zh-CN"/>
              </w:rPr>
              <w:t>Dechow</w:t>
            </w:r>
            <w:proofErr w:type="spellEnd"/>
            <w:r w:rsidR="00293262" w:rsidRPr="00FE771B">
              <w:rPr>
                <w:rFonts w:ascii="Times New Roman" w:eastAsiaTheme="minorEastAsia" w:hAnsi="Times New Roman" w:cs="Times New Roman"/>
                <w:color w:val="000000" w:themeColor="text1"/>
                <w:sz w:val="18"/>
                <w:szCs w:val="18"/>
                <w:lang w:eastAsia="zh-CN"/>
              </w:rPr>
              <w:t xml:space="preserve"> et al</w:t>
            </w:r>
            <w:r w:rsidRPr="00FE771B">
              <w:rPr>
                <w:rFonts w:ascii="Times New Roman" w:eastAsiaTheme="minorEastAsia" w:hAnsi="Times New Roman" w:cs="Times New Roman"/>
                <w:color w:val="000000" w:themeColor="text1"/>
                <w:sz w:val="18"/>
                <w:szCs w:val="18"/>
                <w:lang w:eastAsia="zh-CN"/>
              </w:rPr>
              <w:t>(1998)</w:t>
            </w:r>
            <w:r w:rsidR="00293262" w:rsidRPr="00FE771B">
              <w:rPr>
                <w:rFonts w:ascii="Times New Roman" w:eastAsiaTheme="minorEastAsia" w:hAnsi="Times New Roman" w:cs="Times New Roman"/>
                <w:color w:val="000000" w:themeColor="text1"/>
                <w:sz w:val="18"/>
                <w:szCs w:val="18"/>
                <w:lang w:eastAsia="zh-CN"/>
              </w:rPr>
              <w:t>，</w:t>
            </w:r>
            <w:proofErr w:type="spellStart"/>
            <w:r w:rsidRPr="00FE771B">
              <w:rPr>
                <w:rFonts w:ascii="Times New Roman" w:eastAsiaTheme="minorEastAsia" w:hAnsi="Times New Roman" w:cs="Times New Roman"/>
                <w:color w:val="000000" w:themeColor="text1"/>
                <w:sz w:val="18"/>
                <w:szCs w:val="18"/>
                <w:lang w:eastAsia="zh-CN"/>
              </w:rPr>
              <w:t>Roychowdhury</w:t>
            </w:r>
            <w:proofErr w:type="spellEnd"/>
            <w:r w:rsidRPr="00FE771B">
              <w:rPr>
                <w:rFonts w:ascii="Times New Roman" w:eastAsiaTheme="minorEastAsia" w:hAnsi="Times New Roman" w:cs="Times New Roman"/>
                <w:color w:val="000000" w:themeColor="text1"/>
                <w:sz w:val="18"/>
                <w:szCs w:val="18"/>
                <w:lang w:eastAsia="zh-CN"/>
              </w:rPr>
              <w:t>(2006)</w:t>
            </w:r>
            <w:r w:rsidRPr="00FE771B">
              <w:rPr>
                <w:rFonts w:ascii="Times New Roman" w:eastAsiaTheme="minorEastAsia" w:hAnsi="Times New Roman" w:cs="Times New Roman"/>
                <w:color w:val="000000" w:themeColor="text1"/>
                <w:sz w:val="18"/>
                <w:szCs w:val="18"/>
                <w:lang w:eastAsia="zh-CN"/>
              </w:rPr>
              <w:t>模型来测算</w:t>
            </w:r>
          </w:p>
        </w:tc>
      </w:tr>
      <w:tr w:rsidR="00DD5875" w:rsidRPr="00FE771B" w:rsidTr="00853BE3">
        <w:trPr>
          <w:trHeight w:val="284"/>
        </w:trPr>
        <w:tc>
          <w:tcPr>
            <w:tcW w:w="1233" w:type="pct"/>
            <w:tcBorders>
              <w:top w:val="single" w:sz="4" w:space="0" w:color="000000"/>
              <w:left w:val="nil"/>
              <w:bottom w:val="single" w:sz="4" w:space="0" w:color="000000"/>
              <w:right w:val="single" w:sz="4" w:space="0" w:color="000000"/>
            </w:tcBorders>
          </w:tcPr>
          <w:p w:rsidR="00370A7F" w:rsidRPr="00FE771B" w:rsidRDefault="00370A7F" w:rsidP="00A735BC">
            <w:pPr>
              <w:pStyle w:val="TableParagraph"/>
              <w:adjustRightInd w:val="0"/>
              <w:snapToGrid w:val="0"/>
              <w:rPr>
                <w:rFonts w:ascii="Times New Roman" w:eastAsiaTheme="minorEastAsia" w:hAnsi="Times New Roman" w:cs="Times New Roman"/>
                <w:color w:val="000000" w:themeColor="text1"/>
                <w:sz w:val="18"/>
                <w:szCs w:val="18"/>
                <w:lang w:eastAsia="zh-CN"/>
              </w:rPr>
            </w:pPr>
            <w:r w:rsidRPr="00FE771B">
              <w:rPr>
                <w:rFonts w:ascii="Times New Roman" w:eastAsiaTheme="minorEastAsia" w:hAnsi="Times New Roman" w:cs="Times New Roman"/>
                <w:color w:val="000000" w:themeColor="text1"/>
                <w:sz w:val="18"/>
                <w:szCs w:val="18"/>
                <w:lang w:eastAsia="zh-CN"/>
              </w:rPr>
              <w:t>企业年龄</w:t>
            </w:r>
          </w:p>
        </w:tc>
        <w:tc>
          <w:tcPr>
            <w:tcW w:w="1241" w:type="pct"/>
            <w:tcBorders>
              <w:top w:val="single" w:sz="4" w:space="0" w:color="000000"/>
              <w:left w:val="single" w:sz="4" w:space="0" w:color="000000"/>
              <w:bottom w:val="single" w:sz="4" w:space="0" w:color="000000"/>
              <w:right w:val="single" w:sz="4" w:space="0" w:color="000000"/>
            </w:tcBorders>
          </w:tcPr>
          <w:p w:rsidR="00370A7F" w:rsidRPr="00FE771B" w:rsidRDefault="00370A7F" w:rsidP="00A735BC">
            <w:pPr>
              <w:pStyle w:val="TableParagraph"/>
              <w:adjustRightInd w:val="0"/>
              <w:snapToGrid w:val="0"/>
              <w:rPr>
                <w:rFonts w:ascii="Times New Roman" w:eastAsiaTheme="minorEastAsia" w:hAnsi="Times New Roman" w:cs="Times New Roman"/>
                <w:i/>
                <w:color w:val="000000" w:themeColor="text1"/>
                <w:sz w:val="18"/>
                <w:szCs w:val="18"/>
                <w:lang w:eastAsia="zh-CN"/>
              </w:rPr>
            </w:pPr>
            <w:r w:rsidRPr="00FE771B">
              <w:rPr>
                <w:rFonts w:ascii="Times New Roman" w:eastAsiaTheme="minorEastAsia" w:hAnsi="Times New Roman" w:cs="Times New Roman"/>
                <w:i/>
                <w:color w:val="000000" w:themeColor="text1"/>
                <w:sz w:val="18"/>
                <w:szCs w:val="18"/>
                <w:lang w:eastAsia="zh-CN"/>
              </w:rPr>
              <w:t>Age</w:t>
            </w:r>
          </w:p>
        </w:tc>
        <w:tc>
          <w:tcPr>
            <w:tcW w:w="2526" w:type="pct"/>
            <w:tcBorders>
              <w:top w:val="single" w:sz="4" w:space="0" w:color="000000"/>
              <w:left w:val="single" w:sz="4" w:space="0" w:color="000000"/>
              <w:bottom w:val="single" w:sz="4" w:space="0" w:color="000000"/>
              <w:right w:val="nil"/>
            </w:tcBorders>
          </w:tcPr>
          <w:p w:rsidR="00370A7F" w:rsidRPr="00FE771B" w:rsidRDefault="00370A7F" w:rsidP="00A735BC">
            <w:pPr>
              <w:pStyle w:val="TableParagraph"/>
              <w:adjustRightInd w:val="0"/>
              <w:snapToGrid w:val="0"/>
              <w:rPr>
                <w:rFonts w:ascii="Times New Roman" w:eastAsiaTheme="minorEastAsia" w:hAnsi="Times New Roman" w:cs="Times New Roman"/>
                <w:color w:val="000000" w:themeColor="text1"/>
                <w:sz w:val="18"/>
                <w:szCs w:val="18"/>
                <w:lang w:eastAsia="zh-CN"/>
              </w:rPr>
            </w:pPr>
            <w:r w:rsidRPr="00FE771B">
              <w:rPr>
                <w:rFonts w:ascii="Times New Roman" w:eastAsiaTheme="minorEastAsia" w:hAnsi="Times New Roman" w:cs="Times New Roman"/>
                <w:color w:val="000000" w:themeColor="text1"/>
                <w:sz w:val="18"/>
                <w:szCs w:val="18"/>
                <w:lang w:eastAsia="zh-CN"/>
              </w:rPr>
              <w:t>Ln(</w:t>
            </w:r>
            <w:r w:rsidRPr="00FE771B">
              <w:rPr>
                <w:rFonts w:ascii="Times New Roman" w:eastAsiaTheme="minorEastAsia" w:hAnsi="Times New Roman" w:cs="Times New Roman"/>
                <w:color w:val="000000" w:themeColor="text1"/>
                <w:sz w:val="18"/>
                <w:szCs w:val="18"/>
                <w:lang w:eastAsia="zh-CN"/>
              </w:rPr>
              <w:t>报表年份</w:t>
            </w:r>
            <w:r w:rsidRPr="00FE771B">
              <w:rPr>
                <w:rFonts w:ascii="Times New Roman" w:eastAsiaTheme="minorEastAsia" w:hAnsi="Times New Roman" w:cs="Times New Roman"/>
                <w:color w:val="000000" w:themeColor="text1"/>
                <w:sz w:val="18"/>
                <w:szCs w:val="18"/>
                <w:lang w:eastAsia="zh-CN"/>
              </w:rPr>
              <w:t>-</w:t>
            </w:r>
            <w:r w:rsidRPr="00FE771B">
              <w:rPr>
                <w:rFonts w:ascii="Times New Roman" w:eastAsiaTheme="minorEastAsia" w:hAnsi="Times New Roman" w:cs="Times New Roman"/>
                <w:color w:val="000000" w:themeColor="text1"/>
                <w:sz w:val="18"/>
                <w:szCs w:val="18"/>
                <w:lang w:eastAsia="zh-CN"/>
              </w:rPr>
              <w:t>公司成立年份</w:t>
            </w:r>
            <w:r w:rsidRPr="00FE771B">
              <w:rPr>
                <w:rFonts w:ascii="Times New Roman" w:eastAsiaTheme="minorEastAsia" w:hAnsi="Times New Roman" w:cs="Times New Roman"/>
                <w:color w:val="000000" w:themeColor="text1"/>
                <w:sz w:val="18"/>
                <w:szCs w:val="18"/>
                <w:lang w:eastAsia="zh-CN"/>
              </w:rPr>
              <w:t>)</w:t>
            </w:r>
          </w:p>
        </w:tc>
      </w:tr>
      <w:tr w:rsidR="00DD5875" w:rsidRPr="00FE771B" w:rsidTr="00853BE3">
        <w:trPr>
          <w:trHeight w:val="284"/>
        </w:trPr>
        <w:tc>
          <w:tcPr>
            <w:tcW w:w="1233" w:type="pct"/>
            <w:tcBorders>
              <w:top w:val="single" w:sz="4" w:space="0" w:color="000000"/>
              <w:left w:val="nil"/>
              <w:bottom w:val="single" w:sz="4" w:space="0" w:color="000000"/>
              <w:right w:val="single" w:sz="4" w:space="0" w:color="000000"/>
            </w:tcBorders>
          </w:tcPr>
          <w:p w:rsidR="00370A7F" w:rsidRPr="00FE771B" w:rsidRDefault="00370A7F" w:rsidP="00853BE3">
            <w:pPr>
              <w:pStyle w:val="TableParagraph"/>
              <w:adjustRightInd w:val="0"/>
              <w:snapToGrid w:val="0"/>
              <w:rPr>
                <w:rFonts w:ascii="Times New Roman" w:eastAsiaTheme="minorEastAsia" w:hAnsi="Times New Roman" w:cs="Times New Roman"/>
                <w:color w:val="000000" w:themeColor="text1"/>
                <w:sz w:val="18"/>
                <w:szCs w:val="18"/>
                <w:lang w:eastAsia="zh-CN"/>
              </w:rPr>
            </w:pPr>
            <w:r w:rsidRPr="00FE771B">
              <w:rPr>
                <w:rFonts w:ascii="Times New Roman" w:eastAsiaTheme="minorEastAsia" w:hAnsi="Times New Roman" w:cs="Times New Roman"/>
                <w:color w:val="000000" w:themeColor="text1"/>
                <w:sz w:val="18"/>
                <w:szCs w:val="18"/>
                <w:lang w:eastAsia="zh-CN"/>
              </w:rPr>
              <w:t>总资产收益率</w:t>
            </w:r>
          </w:p>
        </w:tc>
        <w:tc>
          <w:tcPr>
            <w:tcW w:w="1241" w:type="pct"/>
            <w:tcBorders>
              <w:top w:val="single" w:sz="4" w:space="0" w:color="000000"/>
              <w:left w:val="single" w:sz="4" w:space="0" w:color="000000"/>
              <w:bottom w:val="single" w:sz="4" w:space="0" w:color="000000"/>
              <w:right w:val="single" w:sz="4" w:space="0" w:color="000000"/>
            </w:tcBorders>
          </w:tcPr>
          <w:p w:rsidR="00370A7F" w:rsidRPr="00FE771B" w:rsidRDefault="00370A7F" w:rsidP="00363F6D">
            <w:pPr>
              <w:pStyle w:val="TableParagraph"/>
              <w:adjustRightInd w:val="0"/>
              <w:snapToGrid w:val="0"/>
              <w:rPr>
                <w:rFonts w:ascii="Times New Roman" w:eastAsiaTheme="minorEastAsia" w:hAnsi="Times New Roman" w:cs="Times New Roman"/>
                <w:i/>
                <w:color w:val="000000" w:themeColor="text1"/>
                <w:sz w:val="18"/>
                <w:szCs w:val="18"/>
                <w:lang w:eastAsia="zh-CN"/>
              </w:rPr>
            </w:pPr>
            <w:proofErr w:type="spellStart"/>
            <w:r w:rsidRPr="00FE771B">
              <w:rPr>
                <w:rFonts w:ascii="Times New Roman" w:eastAsiaTheme="minorEastAsia" w:hAnsi="Times New Roman" w:cs="Times New Roman"/>
                <w:i/>
                <w:color w:val="000000" w:themeColor="text1"/>
                <w:sz w:val="18"/>
                <w:szCs w:val="18"/>
                <w:lang w:eastAsia="zh-CN"/>
              </w:rPr>
              <w:t>Ro</w:t>
            </w:r>
            <w:r w:rsidR="00363F6D" w:rsidRPr="00FE771B">
              <w:rPr>
                <w:rFonts w:ascii="Times New Roman" w:eastAsiaTheme="minorEastAsia" w:hAnsi="Times New Roman" w:cs="Times New Roman"/>
                <w:i/>
                <w:color w:val="000000" w:themeColor="text1"/>
                <w:sz w:val="18"/>
                <w:szCs w:val="18"/>
                <w:lang w:eastAsia="zh-CN"/>
              </w:rPr>
              <w:t>a</w:t>
            </w:r>
            <w:proofErr w:type="spellEnd"/>
          </w:p>
        </w:tc>
        <w:tc>
          <w:tcPr>
            <w:tcW w:w="2526" w:type="pct"/>
            <w:tcBorders>
              <w:top w:val="single" w:sz="4" w:space="0" w:color="000000"/>
              <w:left w:val="single" w:sz="4" w:space="0" w:color="000000"/>
              <w:bottom w:val="single" w:sz="4" w:space="0" w:color="000000"/>
              <w:right w:val="nil"/>
            </w:tcBorders>
          </w:tcPr>
          <w:p w:rsidR="00370A7F" w:rsidRPr="00FE771B" w:rsidRDefault="00370A7F" w:rsidP="00853BE3">
            <w:pPr>
              <w:pStyle w:val="TableParagraph"/>
              <w:adjustRightInd w:val="0"/>
              <w:snapToGrid w:val="0"/>
              <w:rPr>
                <w:rFonts w:ascii="Times New Roman" w:eastAsiaTheme="minorEastAsia" w:hAnsi="Times New Roman" w:cs="Times New Roman"/>
                <w:color w:val="000000" w:themeColor="text1"/>
                <w:sz w:val="18"/>
                <w:szCs w:val="18"/>
              </w:rPr>
            </w:pPr>
            <w:proofErr w:type="spellStart"/>
            <w:r w:rsidRPr="00FE771B">
              <w:rPr>
                <w:rFonts w:ascii="Times New Roman" w:eastAsiaTheme="minorEastAsia" w:hAnsi="Times New Roman" w:cs="Times New Roman"/>
                <w:color w:val="000000" w:themeColor="text1"/>
                <w:sz w:val="18"/>
                <w:szCs w:val="18"/>
              </w:rPr>
              <w:t>净利润</w:t>
            </w:r>
            <w:proofErr w:type="spellEnd"/>
            <w:r w:rsidRPr="00FE771B">
              <w:rPr>
                <w:rFonts w:ascii="Times New Roman" w:eastAsiaTheme="minorEastAsia" w:hAnsi="Times New Roman" w:cs="Times New Roman"/>
                <w:color w:val="000000" w:themeColor="text1"/>
                <w:sz w:val="18"/>
                <w:szCs w:val="18"/>
              </w:rPr>
              <w:t>/</w:t>
            </w:r>
            <w:r w:rsidRPr="00FE771B">
              <w:rPr>
                <w:rFonts w:ascii="Times New Roman" w:eastAsiaTheme="minorEastAsia" w:hAnsi="Times New Roman" w:cs="Times New Roman"/>
                <w:color w:val="000000" w:themeColor="text1"/>
                <w:sz w:val="18"/>
                <w:szCs w:val="18"/>
                <w:lang w:eastAsia="zh-CN"/>
              </w:rPr>
              <w:t>净</w:t>
            </w:r>
            <w:proofErr w:type="spellStart"/>
            <w:r w:rsidRPr="00FE771B">
              <w:rPr>
                <w:rFonts w:ascii="Times New Roman" w:eastAsiaTheme="minorEastAsia" w:hAnsi="Times New Roman" w:cs="Times New Roman"/>
                <w:color w:val="000000" w:themeColor="text1"/>
                <w:sz w:val="18"/>
                <w:szCs w:val="18"/>
              </w:rPr>
              <w:t>资产</w:t>
            </w:r>
            <w:proofErr w:type="spellEnd"/>
          </w:p>
        </w:tc>
      </w:tr>
      <w:tr w:rsidR="00DD5875" w:rsidRPr="00FE771B" w:rsidTr="00853BE3">
        <w:trPr>
          <w:trHeight w:val="284"/>
        </w:trPr>
        <w:tc>
          <w:tcPr>
            <w:tcW w:w="1233" w:type="pct"/>
            <w:tcBorders>
              <w:top w:val="single" w:sz="4" w:space="0" w:color="000000"/>
              <w:left w:val="nil"/>
              <w:bottom w:val="single" w:sz="4" w:space="0" w:color="000000"/>
              <w:right w:val="single" w:sz="4" w:space="0" w:color="000000"/>
            </w:tcBorders>
          </w:tcPr>
          <w:p w:rsidR="00370A7F" w:rsidRPr="00FE771B" w:rsidRDefault="00370A7F" w:rsidP="00853BE3">
            <w:pPr>
              <w:pStyle w:val="TableParagraph"/>
              <w:adjustRightInd w:val="0"/>
              <w:snapToGrid w:val="0"/>
              <w:rPr>
                <w:rFonts w:ascii="Times New Roman" w:eastAsiaTheme="minorEastAsia" w:hAnsi="Times New Roman" w:cs="Times New Roman"/>
                <w:color w:val="000000" w:themeColor="text1"/>
                <w:sz w:val="18"/>
                <w:szCs w:val="18"/>
                <w:lang w:eastAsia="zh-CN"/>
              </w:rPr>
            </w:pPr>
            <w:r w:rsidRPr="00FE771B">
              <w:rPr>
                <w:rFonts w:ascii="Times New Roman" w:eastAsiaTheme="minorEastAsia" w:hAnsi="Times New Roman" w:cs="Times New Roman"/>
                <w:color w:val="000000" w:themeColor="text1"/>
                <w:sz w:val="18"/>
                <w:szCs w:val="18"/>
                <w:lang w:eastAsia="zh-CN"/>
              </w:rPr>
              <w:t>企业规模</w:t>
            </w:r>
          </w:p>
        </w:tc>
        <w:tc>
          <w:tcPr>
            <w:tcW w:w="1241" w:type="pct"/>
            <w:tcBorders>
              <w:top w:val="single" w:sz="4" w:space="0" w:color="000000"/>
              <w:left w:val="single" w:sz="4" w:space="0" w:color="000000"/>
              <w:bottom w:val="single" w:sz="4" w:space="0" w:color="000000"/>
              <w:right w:val="single" w:sz="4" w:space="0" w:color="000000"/>
            </w:tcBorders>
          </w:tcPr>
          <w:p w:rsidR="00370A7F" w:rsidRPr="00FE771B" w:rsidRDefault="00370A7F" w:rsidP="00853BE3">
            <w:pPr>
              <w:pStyle w:val="TableParagraph"/>
              <w:adjustRightInd w:val="0"/>
              <w:snapToGrid w:val="0"/>
              <w:rPr>
                <w:rFonts w:ascii="Times New Roman" w:eastAsiaTheme="minorEastAsia" w:hAnsi="Times New Roman" w:cs="Times New Roman"/>
                <w:i/>
                <w:color w:val="000000" w:themeColor="text1"/>
                <w:sz w:val="18"/>
                <w:szCs w:val="18"/>
                <w:lang w:eastAsia="zh-CN"/>
              </w:rPr>
            </w:pPr>
            <w:r w:rsidRPr="00FE771B">
              <w:rPr>
                <w:rFonts w:ascii="Times New Roman" w:eastAsiaTheme="minorEastAsia" w:hAnsi="Times New Roman" w:cs="Times New Roman"/>
                <w:i/>
                <w:color w:val="000000" w:themeColor="text1"/>
                <w:sz w:val="18"/>
                <w:szCs w:val="18"/>
                <w:lang w:eastAsia="zh-CN"/>
              </w:rPr>
              <w:t>Size</w:t>
            </w:r>
          </w:p>
        </w:tc>
        <w:tc>
          <w:tcPr>
            <w:tcW w:w="2526" w:type="pct"/>
            <w:tcBorders>
              <w:top w:val="single" w:sz="4" w:space="0" w:color="000000"/>
              <w:left w:val="single" w:sz="4" w:space="0" w:color="000000"/>
              <w:bottom w:val="single" w:sz="4" w:space="0" w:color="000000"/>
              <w:right w:val="nil"/>
            </w:tcBorders>
          </w:tcPr>
          <w:p w:rsidR="00370A7F" w:rsidRPr="00FE771B" w:rsidRDefault="00370A7F" w:rsidP="00853BE3">
            <w:pPr>
              <w:pStyle w:val="TableParagraph"/>
              <w:adjustRightInd w:val="0"/>
              <w:snapToGrid w:val="0"/>
              <w:rPr>
                <w:rFonts w:ascii="Times New Roman" w:eastAsiaTheme="minorEastAsia" w:hAnsi="Times New Roman" w:cs="Times New Roman"/>
                <w:color w:val="000000" w:themeColor="text1"/>
                <w:sz w:val="18"/>
                <w:szCs w:val="18"/>
              </w:rPr>
            </w:pPr>
            <w:r w:rsidRPr="00FE771B">
              <w:rPr>
                <w:rFonts w:ascii="Times New Roman" w:eastAsiaTheme="minorEastAsia" w:hAnsi="Times New Roman" w:cs="Times New Roman"/>
                <w:color w:val="000000" w:themeColor="text1"/>
                <w:sz w:val="18"/>
                <w:szCs w:val="18"/>
              </w:rPr>
              <w:t>Ln</w:t>
            </w:r>
            <w:r w:rsidRPr="00FE771B">
              <w:rPr>
                <w:rFonts w:ascii="Times New Roman" w:eastAsiaTheme="minorEastAsia" w:hAnsi="Times New Roman" w:cs="Times New Roman"/>
                <w:color w:val="000000" w:themeColor="text1"/>
                <w:sz w:val="18"/>
                <w:szCs w:val="18"/>
              </w:rPr>
              <w:t>（</w:t>
            </w:r>
            <w:r w:rsidRPr="00FE771B">
              <w:rPr>
                <w:rFonts w:ascii="Times New Roman" w:eastAsiaTheme="minorEastAsia" w:hAnsi="Times New Roman" w:cs="Times New Roman"/>
                <w:color w:val="000000" w:themeColor="text1"/>
                <w:sz w:val="18"/>
                <w:szCs w:val="18"/>
              </w:rPr>
              <w:t>1+</w:t>
            </w:r>
            <w:r w:rsidRPr="00FE771B">
              <w:rPr>
                <w:rFonts w:ascii="Times New Roman" w:eastAsiaTheme="minorEastAsia" w:hAnsi="Times New Roman" w:cs="Times New Roman"/>
                <w:color w:val="000000" w:themeColor="text1"/>
                <w:sz w:val="18"/>
                <w:szCs w:val="18"/>
              </w:rPr>
              <w:t>总资产）</w:t>
            </w:r>
          </w:p>
        </w:tc>
      </w:tr>
      <w:tr w:rsidR="00DD5875" w:rsidRPr="00FE771B" w:rsidTr="00853BE3">
        <w:trPr>
          <w:trHeight w:val="284"/>
        </w:trPr>
        <w:tc>
          <w:tcPr>
            <w:tcW w:w="1233" w:type="pct"/>
            <w:tcBorders>
              <w:top w:val="single" w:sz="4" w:space="0" w:color="000000"/>
              <w:left w:val="nil"/>
              <w:bottom w:val="single" w:sz="4" w:space="0" w:color="000000"/>
              <w:right w:val="single" w:sz="4" w:space="0" w:color="000000"/>
            </w:tcBorders>
          </w:tcPr>
          <w:p w:rsidR="00370A7F" w:rsidRPr="00FE771B" w:rsidRDefault="00370A7F" w:rsidP="00853BE3">
            <w:pPr>
              <w:pStyle w:val="TableParagraph"/>
              <w:adjustRightInd w:val="0"/>
              <w:snapToGrid w:val="0"/>
              <w:rPr>
                <w:rFonts w:ascii="Times New Roman" w:eastAsiaTheme="minorEastAsia" w:hAnsi="Times New Roman" w:cs="Times New Roman"/>
                <w:color w:val="000000" w:themeColor="text1"/>
                <w:sz w:val="18"/>
                <w:szCs w:val="18"/>
                <w:lang w:eastAsia="zh-CN"/>
              </w:rPr>
            </w:pPr>
            <w:r w:rsidRPr="00FE771B">
              <w:rPr>
                <w:rFonts w:ascii="Times New Roman" w:eastAsiaTheme="minorEastAsia" w:hAnsi="Times New Roman" w:cs="Times New Roman"/>
                <w:color w:val="000000" w:themeColor="text1"/>
                <w:sz w:val="18"/>
                <w:szCs w:val="18"/>
                <w:lang w:eastAsia="zh-CN"/>
              </w:rPr>
              <w:t>资产负债率</w:t>
            </w:r>
          </w:p>
        </w:tc>
        <w:tc>
          <w:tcPr>
            <w:tcW w:w="1241" w:type="pct"/>
            <w:tcBorders>
              <w:top w:val="single" w:sz="4" w:space="0" w:color="000000"/>
              <w:left w:val="single" w:sz="4" w:space="0" w:color="000000"/>
              <w:bottom w:val="single" w:sz="4" w:space="0" w:color="000000"/>
              <w:right w:val="single" w:sz="4" w:space="0" w:color="000000"/>
            </w:tcBorders>
          </w:tcPr>
          <w:p w:rsidR="00370A7F" w:rsidRPr="00FE771B" w:rsidRDefault="00370A7F" w:rsidP="00853BE3">
            <w:pPr>
              <w:pStyle w:val="TableParagraph"/>
              <w:adjustRightInd w:val="0"/>
              <w:snapToGrid w:val="0"/>
              <w:rPr>
                <w:rFonts w:ascii="Times New Roman" w:eastAsiaTheme="minorEastAsia" w:hAnsi="Times New Roman" w:cs="Times New Roman"/>
                <w:i/>
                <w:color w:val="000000" w:themeColor="text1"/>
                <w:sz w:val="18"/>
                <w:szCs w:val="18"/>
                <w:lang w:eastAsia="zh-CN"/>
              </w:rPr>
            </w:pPr>
            <w:r w:rsidRPr="00FE771B">
              <w:rPr>
                <w:rFonts w:ascii="Times New Roman" w:eastAsiaTheme="minorEastAsia" w:hAnsi="Times New Roman" w:cs="Times New Roman"/>
                <w:i/>
                <w:color w:val="000000" w:themeColor="text1"/>
                <w:sz w:val="18"/>
                <w:szCs w:val="18"/>
                <w:lang w:eastAsia="zh-CN"/>
              </w:rPr>
              <w:t>Debt</w:t>
            </w:r>
          </w:p>
        </w:tc>
        <w:tc>
          <w:tcPr>
            <w:tcW w:w="2526" w:type="pct"/>
            <w:tcBorders>
              <w:top w:val="single" w:sz="4" w:space="0" w:color="000000"/>
              <w:left w:val="single" w:sz="4" w:space="0" w:color="000000"/>
              <w:bottom w:val="single" w:sz="4" w:space="0" w:color="000000"/>
              <w:right w:val="nil"/>
            </w:tcBorders>
          </w:tcPr>
          <w:p w:rsidR="00370A7F" w:rsidRPr="00FE771B" w:rsidRDefault="00370A7F" w:rsidP="00853BE3">
            <w:pPr>
              <w:pStyle w:val="TableParagraph"/>
              <w:adjustRightInd w:val="0"/>
              <w:snapToGrid w:val="0"/>
              <w:rPr>
                <w:rFonts w:ascii="Times New Roman" w:eastAsiaTheme="minorEastAsia" w:hAnsi="Times New Roman" w:cs="Times New Roman"/>
                <w:color w:val="000000" w:themeColor="text1"/>
                <w:sz w:val="18"/>
                <w:szCs w:val="18"/>
              </w:rPr>
            </w:pPr>
            <w:proofErr w:type="spellStart"/>
            <w:r w:rsidRPr="00FE771B">
              <w:rPr>
                <w:rFonts w:ascii="Times New Roman" w:eastAsiaTheme="minorEastAsia" w:hAnsi="Times New Roman" w:cs="Times New Roman"/>
                <w:color w:val="000000" w:themeColor="text1"/>
                <w:sz w:val="18"/>
                <w:szCs w:val="18"/>
              </w:rPr>
              <w:t>负债</w:t>
            </w:r>
            <w:proofErr w:type="spellEnd"/>
            <w:r w:rsidRPr="00FE771B">
              <w:rPr>
                <w:rFonts w:ascii="Times New Roman" w:eastAsiaTheme="minorEastAsia" w:hAnsi="Times New Roman" w:cs="Times New Roman"/>
                <w:color w:val="000000" w:themeColor="text1"/>
                <w:sz w:val="18"/>
                <w:szCs w:val="18"/>
              </w:rPr>
              <w:t>/</w:t>
            </w:r>
            <w:proofErr w:type="spellStart"/>
            <w:r w:rsidRPr="00FE771B">
              <w:rPr>
                <w:rFonts w:ascii="Times New Roman" w:eastAsiaTheme="minorEastAsia" w:hAnsi="Times New Roman" w:cs="Times New Roman"/>
                <w:color w:val="000000" w:themeColor="text1"/>
                <w:sz w:val="18"/>
                <w:szCs w:val="18"/>
              </w:rPr>
              <w:t>总资产</w:t>
            </w:r>
            <w:proofErr w:type="spellEnd"/>
          </w:p>
        </w:tc>
      </w:tr>
      <w:tr w:rsidR="00DD5875" w:rsidRPr="00FE771B" w:rsidTr="00853BE3">
        <w:trPr>
          <w:trHeight w:val="284"/>
        </w:trPr>
        <w:tc>
          <w:tcPr>
            <w:tcW w:w="1233" w:type="pct"/>
            <w:tcBorders>
              <w:top w:val="single" w:sz="4" w:space="0" w:color="000000"/>
              <w:left w:val="nil"/>
              <w:right w:val="single" w:sz="4" w:space="0" w:color="000000"/>
            </w:tcBorders>
          </w:tcPr>
          <w:p w:rsidR="00370A7F" w:rsidRPr="00FE771B" w:rsidRDefault="00370A7F" w:rsidP="00853BE3">
            <w:pPr>
              <w:pStyle w:val="TableParagraph"/>
              <w:adjustRightInd w:val="0"/>
              <w:snapToGrid w:val="0"/>
              <w:rPr>
                <w:rFonts w:ascii="Times New Roman" w:eastAsiaTheme="minorEastAsia" w:hAnsi="Times New Roman" w:cs="Times New Roman"/>
                <w:color w:val="000000" w:themeColor="text1"/>
                <w:sz w:val="18"/>
                <w:szCs w:val="18"/>
                <w:lang w:eastAsia="zh-CN"/>
              </w:rPr>
            </w:pPr>
            <w:r w:rsidRPr="00FE771B">
              <w:rPr>
                <w:rFonts w:ascii="Times New Roman" w:eastAsiaTheme="minorEastAsia" w:hAnsi="Times New Roman" w:cs="Times New Roman"/>
                <w:color w:val="000000" w:themeColor="text1"/>
                <w:sz w:val="18"/>
                <w:szCs w:val="18"/>
                <w:lang w:eastAsia="zh-CN"/>
              </w:rPr>
              <w:t>经营活动现金流</w:t>
            </w:r>
          </w:p>
        </w:tc>
        <w:tc>
          <w:tcPr>
            <w:tcW w:w="1241" w:type="pct"/>
            <w:tcBorders>
              <w:top w:val="single" w:sz="4" w:space="0" w:color="000000"/>
              <w:left w:val="single" w:sz="4" w:space="0" w:color="000000"/>
              <w:right w:val="single" w:sz="4" w:space="0" w:color="000000"/>
            </w:tcBorders>
          </w:tcPr>
          <w:p w:rsidR="00370A7F" w:rsidRPr="00FE771B" w:rsidRDefault="00370A7F" w:rsidP="00853BE3">
            <w:pPr>
              <w:pStyle w:val="TableParagraph"/>
              <w:adjustRightInd w:val="0"/>
              <w:snapToGrid w:val="0"/>
              <w:rPr>
                <w:rFonts w:ascii="Times New Roman" w:eastAsiaTheme="minorEastAsia" w:hAnsi="Times New Roman" w:cs="Times New Roman"/>
                <w:i/>
                <w:color w:val="000000" w:themeColor="text1"/>
                <w:sz w:val="18"/>
                <w:szCs w:val="18"/>
                <w:lang w:eastAsia="zh-CN"/>
              </w:rPr>
            </w:pPr>
            <w:r w:rsidRPr="00FE771B">
              <w:rPr>
                <w:rFonts w:ascii="Times New Roman" w:eastAsiaTheme="minorEastAsia" w:hAnsi="Times New Roman" w:cs="Times New Roman"/>
                <w:i/>
                <w:color w:val="000000" w:themeColor="text1"/>
                <w:sz w:val="18"/>
                <w:szCs w:val="18"/>
                <w:lang w:eastAsia="zh-CN"/>
              </w:rPr>
              <w:t>Cash</w:t>
            </w:r>
          </w:p>
        </w:tc>
        <w:tc>
          <w:tcPr>
            <w:tcW w:w="2526" w:type="pct"/>
            <w:tcBorders>
              <w:top w:val="single" w:sz="4" w:space="0" w:color="000000"/>
              <w:left w:val="single" w:sz="4" w:space="0" w:color="000000"/>
              <w:right w:val="nil"/>
            </w:tcBorders>
          </w:tcPr>
          <w:p w:rsidR="00370A7F" w:rsidRPr="00FE771B" w:rsidRDefault="00370A7F" w:rsidP="00853BE3">
            <w:pPr>
              <w:pStyle w:val="TableParagraph"/>
              <w:adjustRightInd w:val="0"/>
              <w:snapToGrid w:val="0"/>
              <w:rPr>
                <w:rFonts w:ascii="Times New Roman" w:eastAsiaTheme="minorEastAsia" w:hAnsi="Times New Roman" w:cs="Times New Roman"/>
                <w:color w:val="000000" w:themeColor="text1"/>
                <w:sz w:val="18"/>
                <w:szCs w:val="18"/>
                <w:lang w:eastAsia="zh-CN"/>
              </w:rPr>
            </w:pPr>
            <w:r w:rsidRPr="00FE771B">
              <w:rPr>
                <w:rFonts w:ascii="Times New Roman" w:eastAsiaTheme="minorEastAsia" w:hAnsi="Times New Roman" w:cs="Times New Roman"/>
                <w:color w:val="000000" w:themeColor="text1"/>
                <w:sz w:val="18"/>
                <w:szCs w:val="18"/>
                <w:lang w:eastAsia="zh-CN"/>
              </w:rPr>
              <w:t>经营活动现金流量净额</w:t>
            </w:r>
            <w:r w:rsidRPr="00FE771B">
              <w:rPr>
                <w:rFonts w:ascii="Times New Roman" w:eastAsiaTheme="minorEastAsia" w:hAnsi="Times New Roman" w:cs="Times New Roman"/>
                <w:color w:val="000000" w:themeColor="text1"/>
                <w:sz w:val="18"/>
                <w:szCs w:val="18"/>
                <w:lang w:eastAsia="zh-CN"/>
              </w:rPr>
              <w:t>/</w:t>
            </w:r>
            <w:r w:rsidRPr="00FE771B">
              <w:rPr>
                <w:rFonts w:ascii="Times New Roman" w:eastAsiaTheme="minorEastAsia" w:hAnsi="Times New Roman" w:cs="Times New Roman"/>
                <w:color w:val="000000" w:themeColor="text1"/>
                <w:sz w:val="18"/>
                <w:szCs w:val="18"/>
                <w:lang w:eastAsia="zh-CN"/>
              </w:rPr>
              <w:t>总资产</w:t>
            </w:r>
          </w:p>
        </w:tc>
      </w:tr>
      <w:tr w:rsidR="00DD5875" w:rsidRPr="00FE771B" w:rsidTr="00853BE3">
        <w:trPr>
          <w:trHeight w:val="284"/>
        </w:trPr>
        <w:tc>
          <w:tcPr>
            <w:tcW w:w="1233" w:type="pct"/>
            <w:tcBorders>
              <w:top w:val="single" w:sz="4" w:space="0" w:color="000000"/>
              <w:left w:val="nil"/>
              <w:bottom w:val="single" w:sz="4" w:space="0" w:color="000000"/>
              <w:right w:val="single" w:sz="4" w:space="0" w:color="000000"/>
            </w:tcBorders>
          </w:tcPr>
          <w:p w:rsidR="00370A7F" w:rsidRPr="00FE771B" w:rsidRDefault="00370A7F" w:rsidP="00853BE3">
            <w:pPr>
              <w:pStyle w:val="TableParagraph"/>
              <w:adjustRightInd w:val="0"/>
              <w:snapToGrid w:val="0"/>
              <w:rPr>
                <w:rFonts w:ascii="Times New Roman" w:eastAsiaTheme="minorEastAsia" w:hAnsi="Times New Roman" w:cs="Times New Roman"/>
                <w:color w:val="000000" w:themeColor="text1"/>
                <w:sz w:val="18"/>
                <w:szCs w:val="18"/>
                <w:lang w:eastAsia="zh-CN"/>
              </w:rPr>
            </w:pPr>
            <w:r w:rsidRPr="00FE771B">
              <w:rPr>
                <w:rFonts w:ascii="Times New Roman" w:eastAsiaTheme="minorEastAsia" w:hAnsi="Times New Roman" w:cs="Times New Roman"/>
                <w:color w:val="000000" w:themeColor="text1"/>
                <w:sz w:val="18"/>
                <w:szCs w:val="18"/>
                <w:lang w:eastAsia="zh-CN"/>
              </w:rPr>
              <w:t>营业收入增长率</w:t>
            </w:r>
          </w:p>
        </w:tc>
        <w:tc>
          <w:tcPr>
            <w:tcW w:w="1241" w:type="pct"/>
            <w:tcBorders>
              <w:top w:val="single" w:sz="4" w:space="0" w:color="000000"/>
              <w:left w:val="single" w:sz="4" w:space="0" w:color="000000"/>
              <w:bottom w:val="single" w:sz="4" w:space="0" w:color="000000"/>
              <w:right w:val="single" w:sz="4" w:space="0" w:color="000000"/>
            </w:tcBorders>
          </w:tcPr>
          <w:p w:rsidR="00370A7F" w:rsidRPr="00FE771B" w:rsidRDefault="00370A7F" w:rsidP="00853BE3">
            <w:pPr>
              <w:pStyle w:val="TableParagraph"/>
              <w:adjustRightInd w:val="0"/>
              <w:snapToGrid w:val="0"/>
              <w:rPr>
                <w:rFonts w:ascii="Times New Roman" w:eastAsiaTheme="minorEastAsia" w:hAnsi="Times New Roman" w:cs="Times New Roman"/>
                <w:i/>
                <w:color w:val="000000" w:themeColor="text1"/>
                <w:sz w:val="18"/>
                <w:szCs w:val="18"/>
                <w:lang w:eastAsia="zh-CN"/>
              </w:rPr>
            </w:pPr>
            <w:r w:rsidRPr="00FE771B">
              <w:rPr>
                <w:rFonts w:ascii="Times New Roman" w:eastAsiaTheme="minorEastAsia" w:hAnsi="Times New Roman" w:cs="Times New Roman"/>
                <w:i/>
                <w:color w:val="000000" w:themeColor="text1"/>
                <w:sz w:val="18"/>
                <w:szCs w:val="18"/>
                <w:lang w:eastAsia="zh-CN"/>
              </w:rPr>
              <w:t>Income</w:t>
            </w:r>
          </w:p>
        </w:tc>
        <w:tc>
          <w:tcPr>
            <w:tcW w:w="2526" w:type="pct"/>
            <w:tcBorders>
              <w:top w:val="single" w:sz="4" w:space="0" w:color="000000"/>
              <w:left w:val="single" w:sz="4" w:space="0" w:color="000000"/>
              <w:bottom w:val="single" w:sz="4" w:space="0" w:color="000000"/>
              <w:right w:val="nil"/>
            </w:tcBorders>
          </w:tcPr>
          <w:p w:rsidR="00370A7F" w:rsidRPr="00FE771B" w:rsidRDefault="00370A7F" w:rsidP="00853BE3">
            <w:pPr>
              <w:pStyle w:val="TableParagraph"/>
              <w:adjustRightInd w:val="0"/>
              <w:snapToGrid w:val="0"/>
              <w:rPr>
                <w:rFonts w:ascii="Times New Roman" w:eastAsiaTheme="minorEastAsia" w:hAnsi="Times New Roman" w:cs="Times New Roman"/>
                <w:color w:val="000000" w:themeColor="text1"/>
                <w:sz w:val="18"/>
                <w:szCs w:val="18"/>
                <w:lang w:eastAsia="zh-CN"/>
              </w:rPr>
            </w:pPr>
            <w:r w:rsidRPr="00FE771B">
              <w:rPr>
                <w:rFonts w:ascii="Times New Roman" w:eastAsiaTheme="minorEastAsia" w:hAnsi="Times New Roman" w:cs="Times New Roman"/>
                <w:color w:val="000000" w:themeColor="text1"/>
                <w:sz w:val="18"/>
                <w:szCs w:val="18"/>
                <w:lang w:eastAsia="zh-CN"/>
              </w:rPr>
              <w:t>(</w:t>
            </w:r>
            <w:r w:rsidRPr="00FE771B">
              <w:rPr>
                <w:rFonts w:ascii="Times New Roman" w:eastAsiaTheme="minorEastAsia" w:hAnsi="Times New Roman" w:cs="Times New Roman"/>
                <w:color w:val="000000" w:themeColor="text1"/>
                <w:sz w:val="18"/>
                <w:szCs w:val="18"/>
                <w:lang w:eastAsia="zh-CN"/>
              </w:rPr>
              <w:t>本年营业收入</w:t>
            </w:r>
            <w:r w:rsidRPr="00FE771B">
              <w:rPr>
                <w:rFonts w:ascii="Times New Roman" w:eastAsiaTheme="minorEastAsia" w:hAnsi="Times New Roman" w:cs="Times New Roman"/>
                <w:color w:val="000000" w:themeColor="text1"/>
                <w:sz w:val="18"/>
                <w:szCs w:val="18"/>
                <w:lang w:eastAsia="zh-CN"/>
              </w:rPr>
              <w:t>-</w:t>
            </w:r>
            <w:r w:rsidRPr="00FE771B">
              <w:rPr>
                <w:rFonts w:ascii="Times New Roman" w:eastAsiaTheme="minorEastAsia" w:hAnsi="Times New Roman" w:cs="Times New Roman"/>
                <w:color w:val="000000" w:themeColor="text1"/>
                <w:sz w:val="18"/>
                <w:szCs w:val="18"/>
                <w:lang w:eastAsia="zh-CN"/>
              </w:rPr>
              <w:t>上年营业收入</w:t>
            </w:r>
            <w:r w:rsidRPr="00FE771B">
              <w:rPr>
                <w:rFonts w:ascii="Times New Roman" w:eastAsiaTheme="minorEastAsia" w:hAnsi="Times New Roman" w:cs="Times New Roman"/>
                <w:color w:val="000000" w:themeColor="text1"/>
                <w:sz w:val="18"/>
                <w:szCs w:val="18"/>
                <w:lang w:eastAsia="zh-CN"/>
              </w:rPr>
              <w:t>)/</w:t>
            </w:r>
            <w:r w:rsidRPr="00FE771B">
              <w:rPr>
                <w:rFonts w:ascii="Times New Roman" w:eastAsiaTheme="minorEastAsia" w:hAnsi="Times New Roman" w:cs="Times New Roman"/>
                <w:color w:val="000000" w:themeColor="text1"/>
                <w:sz w:val="18"/>
                <w:szCs w:val="18"/>
                <w:lang w:eastAsia="zh-CN"/>
              </w:rPr>
              <w:t>上年营业收入</w:t>
            </w:r>
          </w:p>
        </w:tc>
      </w:tr>
      <w:tr w:rsidR="00DD5875" w:rsidRPr="00FE771B" w:rsidTr="00853BE3">
        <w:trPr>
          <w:trHeight w:val="284"/>
        </w:trPr>
        <w:tc>
          <w:tcPr>
            <w:tcW w:w="1233" w:type="pct"/>
            <w:tcBorders>
              <w:top w:val="single" w:sz="4" w:space="0" w:color="000000"/>
              <w:left w:val="nil"/>
              <w:bottom w:val="single" w:sz="4" w:space="0" w:color="000000"/>
              <w:right w:val="single" w:sz="4" w:space="0" w:color="000000"/>
            </w:tcBorders>
          </w:tcPr>
          <w:p w:rsidR="00370A7F" w:rsidRPr="00FE771B" w:rsidRDefault="00837178" w:rsidP="00853BE3">
            <w:pPr>
              <w:pStyle w:val="TableParagraph"/>
              <w:adjustRightInd w:val="0"/>
              <w:snapToGrid w:val="0"/>
              <w:rPr>
                <w:rFonts w:ascii="Times New Roman" w:eastAsiaTheme="minorEastAsia" w:hAnsi="Times New Roman" w:cs="Times New Roman"/>
                <w:color w:val="000000" w:themeColor="text1"/>
                <w:sz w:val="18"/>
                <w:szCs w:val="18"/>
                <w:lang w:eastAsia="zh-CN"/>
              </w:rPr>
            </w:pPr>
            <w:r w:rsidRPr="00FE771B">
              <w:rPr>
                <w:rFonts w:ascii="Times New Roman" w:eastAsiaTheme="minorEastAsia" w:hAnsi="Times New Roman" w:cs="Times New Roman"/>
                <w:color w:val="000000" w:themeColor="text1"/>
                <w:sz w:val="18"/>
                <w:szCs w:val="18"/>
                <w:lang w:eastAsia="zh-CN"/>
              </w:rPr>
              <w:t>董事会规模</w:t>
            </w:r>
          </w:p>
        </w:tc>
        <w:tc>
          <w:tcPr>
            <w:tcW w:w="1241" w:type="pct"/>
            <w:tcBorders>
              <w:top w:val="single" w:sz="4" w:space="0" w:color="000000"/>
              <w:left w:val="single" w:sz="4" w:space="0" w:color="000000"/>
              <w:bottom w:val="single" w:sz="4" w:space="0" w:color="000000"/>
              <w:right w:val="single" w:sz="4" w:space="0" w:color="000000"/>
            </w:tcBorders>
          </w:tcPr>
          <w:p w:rsidR="00370A7F" w:rsidRPr="00FE771B" w:rsidRDefault="00BD6DB0" w:rsidP="00853BE3">
            <w:pPr>
              <w:pStyle w:val="TableParagraph"/>
              <w:adjustRightInd w:val="0"/>
              <w:snapToGrid w:val="0"/>
              <w:rPr>
                <w:rFonts w:ascii="Times New Roman" w:eastAsiaTheme="minorEastAsia" w:hAnsi="Times New Roman" w:cs="Times New Roman"/>
                <w:i/>
                <w:color w:val="000000" w:themeColor="text1"/>
                <w:sz w:val="18"/>
                <w:szCs w:val="18"/>
                <w:lang w:eastAsia="zh-CN"/>
              </w:rPr>
            </w:pPr>
            <w:r w:rsidRPr="00FE771B">
              <w:rPr>
                <w:rFonts w:ascii="Times New Roman" w:eastAsiaTheme="minorEastAsia" w:hAnsi="Times New Roman" w:cs="Times New Roman"/>
                <w:i/>
                <w:color w:val="000000" w:themeColor="text1"/>
                <w:sz w:val="18"/>
                <w:szCs w:val="18"/>
                <w:lang w:eastAsia="zh-CN"/>
              </w:rPr>
              <w:t>Board</w:t>
            </w:r>
          </w:p>
        </w:tc>
        <w:tc>
          <w:tcPr>
            <w:tcW w:w="2526" w:type="pct"/>
            <w:tcBorders>
              <w:top w:val="single" w:sz="4" w:space="0" w:color="000000"/>
              <w:left w:val="single" w:sz="4" w:space="0" w:color="000000"/>
              <w:bottom w:val="single" w:sz="4" w:space="0" w:color="000000"/>
              <w:right w:val="nil"/>
            </w:tcBorders>
          </w:tcPr>
          <w:p w:rsidR="00370A7F" w:rsidRPr="00FE771B" w:rsidRDefault="00BD6DB0" w:rsidP="00853BE3">
            <w:pPr>
              <w:pStyle w:val="TableParagraph"/>
              <w:adjustRightInd w:val="0"/>
              <w:snapToGrid w:val="0"/>
              <w:rPr>
                <w:rFonts w:ascii="Times New Roman" w:eastAsiaTheme="minorEastAsia" w:hAnsi="Times New Roman" w:cs="Times New Roman"/>
                <w:color w:val="000000" w:themeColor="text1"/>
                <w:sz w:val="18"/>
                <w:szCs w:val="18"/>
                <w:lang w:eastAsia="zh-CN"/>
              </w:rPr>
            </w:pPr>
            <w:r w:rsidRPr="00FE771B">
              <w:rPr>
                <w:rFonts w:ascii="Times New Roman" w:eastAsiaTheme="minorEastAsia" w:hAnsi="Times New Roman" w:cs="Times New Roman"/>
                <w:color w:val="000000" w:themeColor="text1"/>
                <w:sz w:val="18"/>
                <w:szCs w:val="18"/>
                <w:lang w:eastAsia="zh-CN"/>
              </w:rPr>
              <w:t>Ln(</w:t>
            </w:r>
            <w:r w:rsidRPr="00FE771B">
              <w:rPr>
                <w:rFonts w:ascii="Times New Roman" w:eastAsiaTheme="minorEastAsia" w:hAnsi="Times New Roman" w:cs="Times New Roman"/>
                <w:color w:val="000000" w:themeColor="text1"/>
                <w:sz w:val="18"/>
                <w:szCs w:val="18"/>
                <w:lang w:eastAsia="zh-CN"/>
              </w:rPr>
              <w:t>董事会成员人数</w:t>
            </w:r>
            <w:r w:rsidRPr="00FE771B">
              <w:rPr>
                <w:rFonts w:ascii="Times New Roman" w:eastAsiaTheme="minorEastAsia" w:hAnsi="Times New Roman" w:cs="Times New Roman"/>
                <w:color w:val="000000" w:themeColor="text1"/>
                <w:sz w:val="18"/>
                <w:szCs w:val="18"/>
                <w:lang w:eastAsia="zh-CN"/>
              </w:rPr>
              <w:t>)</w:t>
            </w:r>
          </w:p>
        </w:tc>
      </w:tr>
      <w:tr w:rsidR="00DD5875" w:rsidRPr="00FE771B" w:rsidTr="00853BE3">
        <w:trPr>
          <w:trHeight w:val="284"/>
        </w:trPr>
        <w:tc>
          <w:tcPr>
            <w:tcW w:w="1233" w:type="pct"/>
            <w:tcBorders>
              <w:top w:val="single" w:sz="4" w:space="0" w:color="000000"/>
              <w:left w:val="nil"/>
              <w:bottom w:val="single" w:sz="4" w:space="0" w:color="000000"/>
              <w:right w:val="single" w:sz="4" w:space="0" w:color="000000"/>
            </w:tcBorders>
          </w:tcPr>
          <w:p w:rsidR="00370A7F" w:rsidRPr="00FE771B" w:rsidRDefault="00370A7F" w:rsidP="00853BE3">
            <w:pPr>
              <w:pStyle w:val="TableParagraph"/>
              <w:adjustRightInd w:val="0"/>
              <w:snapToGrid w:val="0"/>
              <w:rPr>
                <w:rFonts w:ascii="Times New Roman" w:eastAsiaTheme="minorEastAsia" w:hAnsi="Times New Roman" w:cs="Times New Roman"/>
                <w:color w:val="000000" w:themeColor="text1"/>
                <w:sz w:val="18"/>
                <w:szCs w:val="18"/>
                <w:lang w:eastAsia="zh-CN"/>
              </w:rPr>
            </w:pPr>
            <w:r w:rsidRPr="00FE771B">
              <w:rPr>
                <w:rFonts w:ascii="Times New Roman" w:eastAsiaTheme="minorEastAsia" w:hAnsi="Times New Roman" w:cs="Times New Roman"/>
                <w:color w:val="000000" w:themeColor="text1"/>
                <w:sz w:val="18"/>
                <w:szCs w:val="18"/>
                <w:lang w:eastAsia="zh-CN"/>
              </w:rPr>
              <w:t>机构持股比例</w:t>
            </w:r>
          </w:p>
        </w:tc>
        <w:tc>
          <w:tcPr>
            <w:tcW w:w="1241" w:type="pct"/>
            <w:tcBorders>
              <w:top w:val="single" w:sz="4" w:space="0" w:color="000000"/>
              <w:left w:val="single" w:sz="4" w:space="0" w:color="000000"/>
              <w:bottom w:val="single" w:sz="4" w:space="0" w:color="000000"/>
              <w:right w:val="single" w:sz="4" w:space="0" w:color="000000"/>
            </w:tcBorders>
          </w:tcPr>
          <w:p w:rsidR="00370A7F" w:rsidRPr="00FE771B" w:rsidRDefault="00370A7F" w:rsidP="00853BE3">
            <w:pPr>
              <w:pStyle w:val="TableParagraph"/>
              <w:adjustRightInd w:val="0"/>
              <w:snapToGrid w:val="0"/>
              <w:rPr>
                <w:rFonts w:ascii="Times New Roman" w:eastAsiaTheme="minorEastAsia" w:hAnsi="Times New Roman" w:cs="Times New Roman"/>
                <w:i/>
                <w:color w:val="000000" w:themeColor="text1"/>
                <w:sz w:val="18"/>
                <w:szCs w:val="18"/>
                <w:lang w:eastAsia="zh-CN"/>
              </w:rPr>
            </w:pPr>
            <w:r w:rsidRPr="00FE771B">
              <w:rPr>
                <w:rFonts w:ascii="Times New Roman" w:eastAsiaTheme="minorEastAsia" w:hAnsi="Times New Roman" w:cs="Times New Roman"/>
                <w:i/>
                <w:color w:val="000000" w:themeColor="text1"/>
                <w:sz w:val="18"/>
                <w:szCs w:val="18"/>
                <w:lang w:eastAsia="zh-CN"/>
              </w:rPr>
              <w:t>Institution</w:t>
            </w:r>
          </w:p>
        </w:tc>
        <w:tc>
          <w:tcPr>
            <w:tcW w:w="2526" w:type="pct"/>
            <w:tcBorders>
              <w:top w:val="single" w:sz="4" w:space="0" w:color="000000"/>
              <w:left w:val="single" w:sz="4" w:space="0" w:color="000000"/>
              <w:bottom w:val="single" w:sz="4" w:space="0" w:color="000000"/>
              <w:right w:val="nil"/>
            </w:tcBorders>
          </w:tcPr>
          <w:p w:rsidR="00370A7F" w:rsidRPr="00FE771B" w:rsidRDefault="00370A7F" w:rsidP="00853BE3">
            <w:pPr>
              <w:pStyle w:val="TableParagraph"/>
              <w:adjustRightInd w:val="0"/>
              <w:snapToGrid w:val="0"/>
              <w:rPr>
                <w:rFonts w:ascii="Times New Roman" w:eastAsiaTheme="minorEastAsia" w:hAnsi="Times New Roman" w:cs="Times New Roman"/>
                <w:color w:val="000000" w:themeColor="text1"/>
                <w:sz w:val="18"/>
                <w:szCs w:val="18"/>
                <w:lang w:eastAsia="zh-CN"/>
              </w:rPr>
            </w:pPr>
            <w:r w:rsidRPr="00FE771B">
              <w:rPr>
                <w:rFonts w:ascii="Times New Roman" w:eastAsiaTheme="minorEastAsia" w:hAnsi="Times New Roman" w:cs="Times New Roman"/>
                <w:color w:val="000000" w:themeColor="text1"/>
                <w:sz w:val="18"/>
                <w:szCs w:val="18"/>
                <w:lang w:eastAsia="zh-CN"/>
              </w:rPr>
              <w:t>机构持股数量</w:t>
            </w:r>
            <w:r w:rsidRPr="00FE771B">
              <w:rPr>
                <w:rFonts w:ascii="Times New Roman" w:eastAsiaTheme="minorEastAsia" w:hAnsi="Times New Roman" w:cs="Times New Roman"/>
                <w:color w:val="000000" w:themeColor="text1"/>
                <w:sz w:val="18"/>
                <w:szCs w:val="18"/>
                <w:lang w:eastAsia="zh-CN"/>
              </w:rPr>
              <w:t>/</w:t>
            </w:r>
            <w:r w:rsidRPr="00FE771B">
              <w:rPr>
                <w:rFonts w:ascii="Times New Roman" w:eastAsiaTheme="minorEastAsia" w:hAnsi="Times New Roman" w:cs="Times New Roman"/>
                <w:color w:val="000000" w:themeColor="text1"/>
                <w:sz w:val="18"/>
                <w:szCs w:val="18"/>
                <w:lang w:eastAsia="zh-CN"/>
              </w:rPr>
              <w:t>企业总股本</w:t>
            </w:r>
          </w:p>
        </w:tc>
      </w:tr>
      <w:tr w:rsidR="00DD5875" w:rsidRPr="00FE771B" w:rsidTr="00853BE3">
        <w:trPr>
          <w:trHeight w:val="284"/>
        </w:trPr>
        <w:tc>
          <w:tcPr>
            <w:tcW w:w="1233" w:type="pct"/>
            <w:tcBorders>
              <w:top w:val="single" w:sz="4" w:space="0" w:color="000000"/>
              <w:left w:val="nil"/>
              <w:bottom w:val="single" w:sz="4" w:space="0" w:color="000000"/>
              <w:right w:val="single" w:sz="4" w:space="0" w:color="000000"/>
            </w:tcBorders>
          </w:tcPr>
          <w:p w:rsidR="00837178" w:rsidRPr="00FE771B" w:rsidRDefault="00837178" w:rsidP="00853BE3">
            <w:pPr>
              <w:pStyle w:val="TableParagraph"/>
              <w:adjustRightInd w:val="0"/>
              <w:snapToGrid w:val="0"/>
              <w:rPr>
                <w:rFonts w:ascii="Times New Roman" w:eastAsiaTheme="minorEastAsia" w:hAnsi="Times New Roman" w:cs="Times New Roman"/>
                <w:color w:val="000000" w:themeColor="text1"/>
                <w:sz w:val="18"/>
                <w:szCs w:val="18"/>
                <w:lang w:eastAsia="zh-CN"/>
              </w:rPr>
            </w:pPr>
            <w:r w:rsidRPr="00FE771B">
              <w:rPr>
                <w:rFonts w:ascii="Times New Roman" w:eastAsiaTheme="minorEastAsia" w:hAnsi="Times New Roman" w:cs="Times New Roman"/>
                <w:color w:val="000000" w:themeColor="text1"/>
                <w:sz w:val="18"/>
                <w:szCs w:val="18"/>
                <w:lang w:eastAsia="zh-CN"/>
              </w:rPr>
              <w:t>管理层持股比例</w:t>
            </w:r>
          </w:p>
        </w:tc>
        <w:tc>
          <w:tcPr>
            <w:tcW w:w="1241" w:type="pct"/>
            <w:tcBorders>
              <w:top w:val="single" w:sz="4" w:space="0" w:color="000000"/>
              <w:left w:val="single" w:sz="4" w:space="0" w:color="000000"/>
              <w:bottom w:val="single" w:sz="4" w:space="0" w:color="000000"/>
              <w:right w:val="single" w:sz="4" w:space="0" w:color="000000"/>
            </w:tcBorders>
          </w:tcPr>
          <w:p w:rsidR="00837178" w:rsidRPr="00FE771B" w:rsidRDefault="00837178" w:rsidP="00853BE3">
            <w:pPr>
              <w:pStyle w:val="TableParagraph"/>
              <w:adjustRightInd w:val="0"/>
              <w:snapToGrid w:val="0"/>
              <w:rPr>
                <w:rFonts w:ascii="Times New Roman" w:eastAsiaTheme="minorEastAsia" w:hAnsi="Times New Roman" w:cs="Times New Roman"/>
                <w:i/>
                <w:color w:val="000000" w:themeColor="text1"/>
                <w:sz w:val="18"/>
                <w:szCs w:val="18"/>
                <w:lang w:eastAsia="zh-CN"/>
              </w:rPr>
            </w:pPr>
            <w:proofErr w:type="spellStart"/>
            <w:r w:rsidRPr="00FE771B">
              <w:rPr>
                <w:rFonts w:ascii="Times New Roman" w:eastAsiaTheme="minorEastAsia" w:hAnsi="Times New Roman" w:cs="Times New Roman"/>
                <w:i/>
                <w:color w:val="000000" w:themeColor="text1"/>
                <w:sz w:val="18"/>
                <w:szCs w:val="18"/>
                <w:lang w:eastAsia="zh-CN"/>
              </w:rPr>
              <w:t>ManageH</w:t>
            </w:r>
            <w:proofErr w:type="spellEnd"/>
          </w:p>
        </w:tc>
        <w:tc>
          <w:tcPr>
            <w:tcW w:w="2526" w:type="pct"/>
            <w:tcBorders>
              <w:top w:val="single" w:sz="4" w:space="0" w:color="000000"/>
              <w:left w:val="single" w:sz="4" w:space="0" w:color="000000"/>
              <w:bottom w:val="single" w:sz="4" w:space="0" w:color="000000"/>
              <w:right w:val="nil"/>
            </w:tcBorders>
          </w:tcPr>
          <w:p w:rsidR="00837178" w:rsidRPr="00FE771B" w:rsidRDefault="00837178" w:rsidP="00853BE3">
            <w:pPr>
              <w:pStyle w:val="TableParagraph"/>
              <w:adjustRightInd w:val="0"/>
              <w:snapToGrid w:val="0"/>
              <w:rPr>
                <w:rFonts w:ascii="Times New Roman" w:eastAsiaTheme="minorEastAsia" w:hAnsi="Times New Roman" w:cs="Times New Roman"/>
                <w:color w:val="000000" w:themeColor="text1"/>
                <w:sz w:val="18"/>
                <w:szCs w:val="18"/>
                <w:lang w:eastAsia="zh-CN"/>
              </w:rPr>
            </w:pPr>
            <w:r w:rsidRPr="00FE771B">
              <w:rPr>
                <w:rFonts w:ascii="Times New Roman" w:eastAsiaTheme="minorEastAsia" w:hAnsi="Times New Roman" w:cs="Times New Roman"/>
                <w:color w:val="000000" w:themeColor="text1"/>
                <w:sz w:val="18"/>
                <w:szCs w:val="18"/>
                <w:lang w:eastAsia="zh-CN"/>
              </w:rPr>
              <w:t>管理层持股数量</w:t>
            </w:r>
            <w:r w:rsidRPr="00FE771B">
              <w:rPr>
                <w:rFonts w:ascii="Times New Roman" w:eastAsiaTheme="minorEastAsia" w:hAnsi="Times New Roman" w:cs="Times New Roman"/>
                <w:color w:val="000000" w:themeColor="text1"/>
                <w:sz w:val="18"/>
                <w:szCs w:val="18"/>
                <w:lang w:eastAsia="zh-CN"/>
              </w:rPr>
              <w:t>/</w:t>
            </w:r>
            <w:r w:rsidRPr="00FE771B">
              <w:rPr>
                <w:rFonts w:ascii="Times New Roman" w:eastAsiaTheme="minorEastAsia" w:hAnsi="Times New Roman" w:cs="Times New Roman"/>
                <w:color w:val="000000" w:themeColor="text1"/>
                <w:sz w:val="18"/>
                <w:szCs w:val="18"/>
                <w:lang w:eastAsia="zh-CN"/>
              </w:rPr>
              <w:t>企业总股本</w:t>
            </w:r>
          </w:p>
        </w:tc>
      </w:tr>
      <w:tr w:rsidR="00DD5875" w:rsidRPr="00FE771B" w:rsidTr="00853BE3">
        <w:trPr>
          <w:trHeight w:val="284"/>
        </w:trPr>
        <w:tc>
          <w:tcPr>
            <w:tcW w:w="1233" w:type="pct"/>
            <w:tcBorders>
              <w:top w:val="single" w:sz="4" w:space="0" w:color="000000"/>
              <w:left w:val="nil"/>
              <w:bottom w:val="single" w:sz="4" w:space="0" w:color="000000"/>
              <w:right w:val="single" w:sz="4" w:space="0" w:color="000000"/>
            </w:tcBorders>
          </w:tcPr>
          <w:p w:rsidR="00370A7F" w:rsidRPr="00FE771B" w:rsidRDefault="00370A7F" w:rsidP="00853BE3">
            <w:pPr>
              <w:pStyle w:val="TableParagraph"/>
              <w:adjustRightInd w:val="0"/>
              <w:snapToGrid w:val="0"/>
              <w:rPr>
                <w:rFonts w:ascii="Times New Roman" w:eastAsiaTheme="minorEastAsia" w:hAnsi="Times New Roman" w:cs="Times New Roman"/>
                <w:color w:val="000000" w:themeColor="text1"/>
                <w:sz w:val="18"/>
                <w:szCs w:val="18"/>
                <w:lang w:eastAsia="zh-CN"/>
              </w:rPr>
            </w:pPr>
            <w:r w:rsidRPr="00FE771B">
              <w:rPr>
                <w:rFonts w:ascii="Times New Roman" w:eastAsiaTheme="minorEastAsia" w:hAnsi="Times New Roman" w:cs="Times New Roman"/>
                <w:color w:val="000000" w:themeColor="text1"/>
                <w:sz w:val="18"/>
                <w:szCs w:val="18"/>
                <w:lang w:eastAsia="zh-CN"/>
              </w:rPr>
              <w:t>独立董事比例</w:t>
            </w:r>
          </w:p>
        </w:tc>
        <w:tc>
          <w:tcPr>
            <w:tcW w:w="1241" w:type="pct"/>
            <w:tcBorders>
              <w:top w:val="single" w:sz="4" w:space="0" w:color="000000"/>
              <w:left w:val="single" w:sz="4" w:space="0" w:color="000000"/>
              <w:bottom w:val="single" w:sz="4" w:space="0" w:color="000000"/>
              <w:right w:val="single" w:sz="4" w:space="0" w:color="000000"/>
            </w:tcBorders>
          </w:tcPr>
          <w:p w:rsidR="00370A7F" w:rsidRPr="00FE771B" w:rsidRDefault="00370A7F" w:rsidP="00853BE3">
            <w:pPr>
              <w:pStyle w:val="TableParagraph"/>
              <w:adjustRightInd w:val="0"/>
              <w:snapToGrid w:val="0"/>
              <w:rPr>
                <w:rFonts w:ascii="Times New Roman" w:eastAsiaTheme="minorEastAsia" w:hAnsi="Times New Roman" w:cs="Times New Roman"/>
                <w:i/>
                <w:color w:val="000000" w:themeColor="text1"/>
                <w:sz w:val="18"/>
                <w:szCs w:val="18"/>
                <w:lang w:eastAsia="zh-CN"/>
              </w:rPr>
            </w:pPr>
            <w:r w:rsidRPr="00FE771B">
              <w:rPr>
                <w:rFonts w:ascii="Times New Roman" w:eastAsiaTheme="minorEastAsia" w:hAnsi="Times New Roman" w:cs="Times New Roman"/>
                <w:i/>
                <w:color w:val="000000" w:themeColor="text1"/>
                <w:sz w:val="18"/>
                <w:szCs w:val="18"/>
                <w:lang w:eastAsia="zh-CN"/>
              </w:rPr>
              <w:t>Independent</w:t>
            </w:r>
          </w:p>
        </w:tc>
        <w:tc>
          <w:tcPr>
            <w:tcW w:w="2526" w:type="pct"/>
            <w:tcBorders>
              <w:top w:val="single" w:sz="4" w:space="0" w:color="000000"/>
              <w:left w:val="single" w:sz="4" w:space="0" w:color="000000"/>
              <w:bottom w:val="single" w:sz="4" w:space="0" w:color="000000"/>
              <w:right w:val="nil"/>
            </w:tcBorders>
          </w:tcPr>
          <w:p w:rsidR="00370A7F" w:rsidRPr="00FE771B" w:rsidRDefault="00370A7F" w:rsidP="00853BE3">
            <w:pPr>
              <w:pStyle w:val="TableParagraph"/>
              <w:adjustRightInd w:val="0"/>
              <w:snapToGrid w:val="0"/>
              <w:rPr>
                <w:rFonts w:ascii="Times New Roman" w:eastAsiaTheme="minorEastAsia" w:hAnsi="Times New Roman" w:cs="Times New Roman"/>
                <w:color w:val="000000" w:themeColor="text1"/>
                <w:sz w:val="18"/>
                <w:szCs w:val="18"/>
                <w:lang w:eastAsia="zh-CN"/>
              </w:rPr>
            </w:pPr>
            <w:r w:rsidRPr="00FE771B">
              <w:rPr>
                <w:rFonts w:ascii="Times New Roman" w:eastAsiaTheme="minorEastAsia" w:hAnsi="Times New Roman" w:cs="Times New Roman"/>
                <w:color w:val="000000" w:themeColor="text1"/>
                <w:sz w:val="18"/>
                <w:szCs w:val="18"/>
                <w:lang w:eastAsia="zh-CN"/>
              </w:rPr>
              <w:t>独立董事人数</w:t>
            </w:r>
            <w:r w:rsidRPr="00FE771B">
              <w:rPr>
                <w:rFonts w:ascii="Times New Roman" w:eastAsiaTheme="minorEastAsia" w:hAnsi="Times New Roman" w:cs="Times New Roman"/>
                <w:color w:val="000000" w:themeColor="text1"/>
                <w:sz w:val="18"/>
                <w:szCs w:val="18"/>
                <w:lang w:eastAsia="zh-CN"/>
              </w:rPr>
              <w:t>/</w:t>
            </w:r>
            <w:r w:rsidRPr="00FE771B">
              <w:rPr>
                <w:rFonts w:ascii="Times New Roman" w:eastAsiaTheme="minorEastAsia" w:hAnsi="Times New Roman" w:cs="Times New Roman"/>
                <w:color w:val="000000" w:themeColor="text1"/>
                <w:sz w:val="18"/>
                <w:szCs w:val="18"/>
                <w:lang w:eastAsia="zh-CN"/>
              </w:rPr>
              <w:t>董事会人数</w:t>
            </w:r>
          </w:p>
        </w:tc>
      </w:tr>
      <w:tr w:rsidR="00DD5875" w:rsidRPr="00FE771B" w:rsidTr="00853BE3">
        <w:trPr>
          <w:trHeight w:val="284"/>
        </w:trPr>
        <w:tc>
          <w:tcPr>
            <w:tcW w:w="1233" w:type="pct"/>
            <w:tcBorders>
              <w:top w:val="single" w:sz="4" w:space="0" w:color="000000"/>
              <w:left w:val="nil"/>
              <w:bottom w:val="single" w:sz="4" w:space="0" w:color="000000"/>
              <w:right w:val="single" w:sz="4" w:space="0" w:color="000000"/>
            </w:tcBorders>
          </w:tcPr>
          <w:p w:rsidR="00370A7F" w:rsidRPr="00FE771B" w:rsidRDefault="00370A7F" w:rsidP="00853BE3">
            <w:pPr>
              <w:pStyle w:val="TableParagraph"/>
              <w:adjustRightInd w:val="0"/>
              <w:snapToGrid w:val="0"/>
              <w:rPr>
                <w:rFonts w:ascii="Times New Roman" w:eastAsiaTheme="minorEastAsia" w:hAnsi="Times New Roman" w:cs="Times New Roman"/>
                <w:color w:val="000000" w:themeColor="text1"/>
                <w:sz w:val="18"/>
                <w:szCs w:val="18"/>
                <w:lang w:eastAsia="zh-CN"/>
              </w:rPr>
            </w:pPr>
            <w:r w:rsidRPr="00FE771B">
              <w:rPr>
                <w:rFonts w:ascii="Times New Roman" w:eastAsiaTheme="minorEastAsia" w:hAnsi="Times New Roman" w:cs="Times New Roman"/>
                <w:color w:val="000000" w:themeColor="text1"/>
                <w:sz w:val="18"/>
                <w:szCs w:val="18"/>
                <w:lang w:eastAsia="zh-CN"/>
              </w:rPr>
              <w:t>董事长、总经理两职分离</w:t>
            </w:r>
          </w:p>
        </w:tc>
        <w:tc>
          <w:tcPr>
            <w:tcW w:w="1241" w:type="pct"/>
            <w:tcBorders>
              <w:top w:val="single" w:sz="4" w:space="0" w:color="000000"/>
              <w:left w:val="single" w:sz="4" w:space="0" w:color="000000"/>
              <w:bottom w:val="single" w:sz="4" w:space="0" w:color="000000"/>
              <w:right w:val="single" w:sz="4" w:space="0" w:color="000000"/>
            </w:tcBorders>
          </w:tcPr>
          <w:p w:rsidR="00370A7F" w:rsidRPr="00FE771B" w:rsidRDefault="00370A7F" w:rsidP="00853BE3">
            <w:pPr>
              <w:pStyle w:val="TableParagraph"/>
              <w:adjustRightInd w:val="0"/>
              <w:snapToGrid w:val="0"/>
              <w:rPr>
                <w:rFonts w:ascii="Times New Roman" w:eastAsiaTheme="minorEastAsia" w:hAnsi="Times New Roman" w:cs="Times New Roman"/>
                <w:i/>
                <w:color w:val="000000" w:themeColor="text1"/>
                <w:sz w:val="18"/>
                <w:szCs w:val="18"/>
                <w:lang w:eastAsia="zh-CN"/>
              </w:rPr>
            </w:pPr>
            <w:r w:rsidRPr="00FE771B">
              <w:rPr>
                <w:rFonts w:ascii="Times New Roman" w:eastAsiaTheme="minorEastAsia" w:hAnsi="Times New Roman" w:cs="Times New Roman"/>
                <w:i/>
                <w:color w:val="000000" w:themeColor="text1"/>
                <w:sz w:val="18"/>
                <w:szCs w:val="18"/>
                <w:lang w:eastAsia="zh-CN"/>
              </w:rPr>
              <w:t>Dual</w:t>
            </w:r>
          </w:p>
        </w:tc>
        <w:tc>
          <w:tcPr>
            <w:tcW w:w="2526" w:type="pct"/>
            <w:tcBorders>
              <w:top w:val="single" w:sz="4" w:space="0" w:color="000000"/>
              <w:left w:val="single" w:sz="4" w:space="0" w:color="000000"/>
              <w:bottom w:val="single" w:sz="4" w:space="0" w:color="000000"/>
              <w:right w:val="nil"/>
            </w:tcBorders>
          </w:tcPr>
          <w:p w:rsidR="00370A7F" w:rsidRPr="00FE771B" w:rsidRDefault="00370A7F" w:rsidP="00363F6D">
            <w:pPr>
              <w:pStyle w:val="TableParagraph"/>
              <w:adjustRightInd w:val="0"/>
              <w:snapToGrid w:val="0"/>
              <w:rPr>
                <w:rFonts w:ascii="Times New Roman" w:eastAsiaTheme="minorEastAsia" w:hAnsi="Times New Roman" w:cs="Times New Roman"/>
                <w:color w:val="000000" w:themeColor="text1"/>
                <w:sz w:val="18"/>
                <w:szCs w:val="18"/>
                <w:lang w:eastAsia="zh-CN"/>
              </w:rPr>
            </w:pPr>
            <w:r w:rsidRPr="00FE771B">
              <w:rPr>
                <w:rFonts w:ascii="Times New Roman" w:eastAsiaTheme="minorEastAsia" w:hAnsi="Times New Roman" w:cs="Times New Roman"/>
                <w:color w:val="000000" w:themeColor="text1"/>
                <w:sz w:val="18"/>
                <w:szCs w:val="18"/>
                <w:lang w:eastAsia="zh-CN"/>
              </w:rPr>
              <w:t>董事长总经理两职兼任时取</w:t>
            </w:r>
            <w:r w:rsidR="00363F6D" w:rsidRPr="00FE771B">
              <w:rPr>
                <w:rFonts w:ascii="Times New Roman" w:eastAsiaTheme="minorEastAsia" w:hAnsi="Times New Roman" w:cs="Times New Roman"/>
                <w:color w:val="000000" w:themeColor="text1"/>
                <w:sz w:val="18"/>
                <w:szCs w:val="18"/>
                <w:lang w:eastAsia="zh-CN"/>
              </w:rPr>
              <w:t>0</w:t>
            </w:r>
            <w:r w:rsidRPr="00FE771B">
              <w:rPr>
                <w:rFonts w:ascii="Times New Roman" w:eastAsiaTheme="minorEastAsia" w:hAnsi="Times New Roman" w:cs="Times New Roman"/>
                <w:color w:val="000000" w:themeColor="text1"/>
                <w:sz w:val="18"/>
                <w:szCs w:val="18"/>
                <w:lang w:eastAsia="zh-CN"/>
              </w:rPr>
              <w:t>，否则为</w:t>
            </w:r>
            <w:r w:rsidR="00363F6D" w:rsidRPr="00FE771B">
              <w:rPr>
                <w:rFonts w:ascii="Times New Roman" w:eastAsiaTheme="minorEastAsia" w:hAnsi="Times New Roman" w:cs="Times New Roman"/>
                <w:color w:val="000000" w:themeColor="text1"/>
                <w:sz w:val="18"/>
                <w:szCs w:val="18"/>
                <w:lang w:eastAsia="zh-CN"/>
              </w:rPr>
              <w:t>1</w:t>
            </w:r>
          </w:p>
        </w:tc>
      </w:tr>
      <w:tr w:rsidR="00DD5875" w:rsidRPr="00FE771B" w:rsidTr="00853BE3">
        <w:trPr>
          <w:trHeight w:val="284"/>
        </w:trPr>
        <w:tc>
          <w:tcPr>
            <w:tcW w:w="1233" w:type="pct"/>
            <w:tcBorders>
              <w:top w:val="single" w:sz="4" w:space="0" w:color="000000"/>
              <w:left w:val="nil"/>
              <w:bottom w:val="single" w:sz="4" w:space="0" w:color="000000"/>
              <w:right w:val="single" w:sz="4" w:space="0" w:color="000000"/>
            </w:tcBorders>
          </w:tcPr>
          <w:p w:rsidR="00370A7F" w:rsidRPr="00FE771B" w:rsidRDefault="00370A7F" w:rsidP="00853BE3">
            <w:pPr>
              <w:pStyle w:val="TableParagraph"/>
              <w:adjustRightInd w:val="0"/>
              <w:snapToGrid w:val="0"/>
              <w:rPr>
                <w:rFonts w:ascii="Times New Roman" w:eastAsiaTheme="minorEastAsia" w:hAnsi="Times New Roman" w:cs="Times New Roman"/>
                <w:color w:val="000000" w:themeColor="text1"/>
                <w:sz w:val="18"/>
                <w:szCs w:val="18"/>
                <w:lang w:eastAsia="zh-CN"/>
              </w:rPr>
            </w:pPr>
            <w:r w:rsidRPr="00FE771B">
              <w:rPr>
                <w:rFonts w:ascii="Times New Roman" w:eastAsiaTheme="minorEastAsia" w:hAnsi="Times New Roman" w:cs="Times New Roman"/>
                <w:color w:val="000000" w:themeColor="text1"/>
                <w:sz w:val="18"/>
                <w:szCs w:val="18"/>
                <w:lang w:eastAsia="zh-CN"/>
              </w:rPr>
              <w:t>行业效应</w:t>
            </w:r>
          </w:p>
        </w:tc>
        <w:tc>
          <w:tcPr>
            <w:tcW w:w="1241" w:type="pct"/>
            <w:tcBorders>
              <w:top w:val="single" w:sz="4" w:space="0" w:color="000000"/>
              <w:left w:val="single" w:sz="4" w:space="0" w:color="000000"/>
              <w:bottom w:val="single" w:sz="4" w:space="0" w:color="000000"/>
              <w:right w:val="single" w:sz="4" w:space="0" w:color="000000"/>
            </w:tcBorders>
          </w:tcPr>
          <w:p w:rsidR="00370A7F" w:rsidRPr="00FE771B" w:rsidRDefault="00370A7F" w:rsidP="00853BE3">
            <w:pPr>
              <w:pStyle w:val="TableParagraph"/>
              <w:adjustRightInd w:val="0"/>
              <w:snapToGrid w:val="0"/>
              <w:rPr>
                <w:rFonts w:ascii="Times New Roman" w:eastAsiaTheme="minorEastAsia" w:hAnsi="Times New Roman" w:cs="Times New Roman"/>
                <w:i/>
                <w:color w:val="000000" w:themeColor="text1"/>
                <w:sz w:val="18"/>
                <w:szCs w:val="18"/>
                <w:lang w:eastAsia="zh-CN"/>
              </w:rPr>
            </w:pPr>
            <w:r w:rsidRPr="00FE771B">
              <w:rPr>
                <w:rFonts w:ascii="Times New Roman" w:eastAsiaTheme="minorEastAsia" w:hAnsi="Times New Roman" w:cs="Times New Roman"/>
                <w:i/>
                <w:color w:val="000000" w:themeColor="text1"/>
                <w:sz w:val="18"/>
                <w:szCs w:val="18"/>
                <w:lang w:eastAsia="zh-CN"/>
              </w:rPr>
              <w:t>Year</w:t>
            </w:r>
          </w:p>
        </w:tc>
        <w:tc>
          <w:tcPr>
            <w:tcW w:w="2526" w:type="pct"/>
            <w:tcBorders>
              <w:top w:val="single" w:sz="4" w:space="0" w:color="000000"/>
              <w:left w:val="single" w:sz="4" w:space="0" w:color="000000"/>
              <w:bottom w:val="single" w:sz="4" w:space="0" w:color="000000"/>
              <w:right w:val="nil"/>
            </w:tcBorders>
          </w:tcPr>
          <w:p w:rsidR="00370A7F" w:rsidRPr="00FE771B" w:rsidRDefault="00370A7F" w:rsidP="00C36999">
            <w:pPr>
              <w:pStyle w:val="TableParagraph"/>
              <w:adjustRightInd w:val="0"/>
              <w:snapToGrid w:val="0"/>
              <w:rPr>
                <w:rFonts w:ascii="Times New Roman" w:eastAsiaTheme="minorEastAsia" w:hAnsi="Times New Roman" w:cs="Times New Roman"/>
                <w:color w:val="000000" w:themeColor="text1"/>
                <w:sz w:val="18"/>
                <w:szCs w:val="18"/>
                <w:lang w:eastAsia="zh-CN"/>
              </w:rPr>
            </w:pPr>
            <w:r w:rsidRPr="00FE771B">
              <w:rPr>
                <w:rFonts w:ascii="Times New Roman" w:eastAsiaTheme="minorEastAsia" w:hAnsi="Times New Roman" w:cs="Times New Roman"/>
                <w:color w:val="000000" w:themeColor="text1"/>
                <w:sz w:val="18"/>
                <w:szCs w:val="18"/>
                <w:lang w:eastAsia="zh-CN"/>
              </w:rPr>
              <w:t>根据</w:t>
            </w:r>
            <w:r w:rsidRPr="00FE771B">
              <w:rPr>
                <w:rFonts w:ascii="Times New Roman" w:eastAsiaTheme="minorEastAsia" w:hAnsi="Times New Roman" w:cs="Times New Roman"/>
                <w:color w:val="000000" w:themeColor="text1"/>
                <w:sz w:val="18"/>
                <w:szCs w:val="18"/>
                <w:lang w:eastAsia="zh-CN"/>
              </w:rPr>
              <w:t>201</w:t>
            </w:r>
            <w:r w:rsidR="00C36999" w:rsidRPr="00FE771B">
              <w:rPr>
                <w:rFonts w:ascii="Times New Roman" w:eastAsiaTheme="minorEastAsia" w:hAnsi="Times New Roman" w:cs="Times New Roman"/>
                <w:color w:val="000000" w:themeColor="text1"/>
                <w:sz w:val="18"/>
                <w:szCs w:val="18"/>
                <w:lang w:eastAsia="zh-CN"/>
              </w:rPr>
              <w:t>0</w:t>
            </w:r>
            <w:r w:rsidRPr="00FE771B">
              <w:rPr>
                <w:rFonts w:ascii="Times New Roman" w:eastAsiaTheme="minorEastAsia" w:hAnsi="Times New Roman" w:cs="Times New Roman"/>
                <w:color w:val="000000" w:themeColor="text1"/>
                <w:sz w:val="18"/>
                <w:szCs w:val="18"/>
                <w:lang w:eastAsia="zh-CN"/>
              </w:rPr>
              <w:t>-2019</w:t>
            </w:r>
            <w:r w:rsidRPr="00FE771B">
              <w:rPr>
                <w:rFonts w:ascii="Times New Roman" w:eastAsiaTheme="minorEastAsia" w:hAnsi="Times New Roman" w:cs="Times New Roman"/>
                <w:color w:val="000000" w:themeColor="text1"/>
                <w:sz w:val="18"/>
                <w:szCs w:val="18"/>
                <w:lang w:eastAsia="zh-CN"/>
              </w:rPr>
              <w:t>年设置年份虚拟变量</w:t>
            </w:r>
          </w:p>
        </w:tc>
      </w:tr>
      <w:tr w:rsidR="00DD5875" w:rsidRPr="00FE771B" w:rsidTr="00853BE3">
        <w:trPr>
          <w:trHeight w:val="284"/>
        </w:trPr>
        <w:tc>
          <w:tcPr>
            <w:tcW w:w="1233" w:type="pct"/>
            <w:tcBorders>
              <w:top w:val="single" w:sz="4" w:space="0" w:color="000000"/>
              <w:left w:val="nil"/>
              <w:bottom w:val="single" w:sz="4" w:space="0" w:color="000000"/>
              <w:right w:val="single" w:sz="4" w:space="0" w:color="000000"/>
            </w:tcBorders>
          </w:tcPr>
          <w:p w:rsidR="00370A7F" w:rsidRPr="00FE771B" w:rsidRDefault="00370A7F" w:rsidP="00853BE3">
            <w:pPr>
              <w:pStyle w:val="TableParagraph"/>
              <w:adjustRightInd w:val="0"/>
              <w:snapToGrid w:val="0"/>
              <w:rPr>
                <w:rFonts w:ascii="Times New Roman" w:eastAsiaTheme="minorEastAsia" w:hAnsi="Times New Roman" w:cs="Times New Roman"/>
                <w:color w:val="000000" w:themeColor="text1"/>
                <w:sz w:val="18"/>
                <w:szCs w:val="18"/>
                <w:lang w:eastAsia="zh-CN"/>
              </w:rPr>
            </w:pPr>
            <w:r w:rsidRPr="00FE771B">
              <w:rPr>
                <w:rFonts w:ascii="Times New Roman" w:eastAsiaTheme="minorEastAsia" w:hAnsi="Times New Roman" w:cs="Times New Roman"/>
                <w:color w:val="000000" w:themeColor="text1"/>
                <w:sz w:val="18"/>
                <w:szCs w:val="18"/>
                <w:lang w:eastAsia="zh-CN"/>
              </w:rPr>
              <w:t>时间效应</w:t>
            </w:r>
          </w:p>
        </w:tc>
        <w:tc>
          <w:tcPr>
            <w:tcW w:w="1241" w:type="pct"/>
            <w:tcBorders>
              <w:top w:val="single" w:sz="4" w:space="0" w:color="000000"/>
              <w:left w:val="single" w:sz="4" w:space="0" w:color="000000"/>
              <w:bottom w:val="single" w:sz="4" w:space="0" w:color="000000"/>
              <w:right w:val="single" w:sz="4" w:space="0" w:color="000000"/>
            </w:tcBorders>
          </w:tcPr>
          <w:p w:rsidR="00370A7F" w:rsidRPr="00FE771B" w:rsidRDefault="00370A7F" w:rsidP="00853BE3">
            <w:pPr>
              <w:pStyle w:val="TableParagraph"/>
              <w:adjustRightInd w:val="0"/>
              <w:snapToGrid w:val="0"/>
              <w:rPr>
                <w:rFonts w:ascii="Times New Roman" w:eastAsiaTheme="minorEastAsia" w:hAnsi="Times New Roman" w:cs="Times New Roman"/>
                <w:i/>
                <w:color w:val="000000" w:themeColor="text1"/>
                <w:sz w:val="18"/>
                <w:szCs w:val="18"/>
                <w:lang w:eastAsia="zh-CN"/>
              </w:rPr>
            </w:pPr>
            <w:r w:rsidRPr="00FE771B">
              <w:rPr>
                <w:rFonts w:ascii="Times New Roman" w:eastAsiaTheme="minorEastAsia" w:hAnsi="Times New Roman" w:cs="Times New Roman"/>
                <w:i/>
                <w:color w:val="000000" w:themeColor="text1"/>
                <w:sz w:val="18"/>
                <w:szCs w:val="18"/>
                <w:lang w:eastAsia="zh-CN"/>
              </w:rPr>
              <w:t>Industry</w:t>
            </w:r>
          </w:p>
        </w:tc>
        <w:tc>
          <w:tcPr>
            <w:tcW w:w="2526" w:type="pct"/>
            <w:tcBorders>
              <w:top w:val="single" w:sz="4" w:space="0" w:color="000000"/>
              <w:left w:val="single" w:sz="4" w:space="0" w:color="000000"/>
              <w:bottom w:val="single" w:sz="4" w:space="0" w:color="000000"/>
              <w:right w:val="nil"/>
            </w:tcBorders>
          </w:tcPr>
          <w:p w:rsidR="00370A7F" w:rsidRPr="00FE771B" w:rsidRDefault="00370A7F" w:rsidP="00853BE3">
            <w:pPr>
              <w:pStyle w:val="TableParagraph"/>
              <w:adjustRightInd w:val="0"/>
              <w:snapToGrid w:val="0"/>
              <w:rPr>
                <w:rFonts w:ascii="Times New Roman" w:eastAsiaTheme="minorEastAsia" w:hAnsi="Times New Roman" w:cs="Times New Roman"/>
                <w:color w:val="000000" w:themeColor="text1"/>
                <w:sz w:val="18"/>
                <w:szCs w:val="18"/>
                <w:lang w:eastAsia="zh-CN"/>
              </w:rPr>
            </w:pPr>
            <w:r w:rsidRPr="00FE771B">
              <w:rPr>
                <w:rFonts w:ascii="Times New Roman" w:eastAsiaTheme="minorEastAsia" w:hAnsi="Times New Roman" w:cs="Times New Roman"/>
                <w:color w:val="000000" w:themeColor="text1"/>
                <w:sz w:val="18"/>
                <w:szCs w:val="18"/>
                <w:lang w:eastAsia="zh-CN"/>
              </w:rPr>
              <w:t>根据</w:t>
            </w:r>
            <w:proofErr w:type="gramStart"/>
            <w:r w:rsidRPr="00FE771B">
              <w:rPr>
                <w:rFonts w:ascii="Times New Roman" w:eastAsiaTheme="minorEastAsia" w:hAnsi="Times New Roman" w:cs="Times New Roman"/>
                <w:color w:val="000000" w:themeColor="text1"/>
                <w:sz w:val="18"/>
                <w:szCs w:val="18"/>
                <w:lang w:eastAsia="zh-CN"/>
              </w:rPr>
              <w:t>申万行业</w:t>
            </w:r>
            <w:proofErr w:type="gramEnd"/>
            <w:r w:rsidRPr="00FE771B">
              <w:rPr>
                <w:rFonts w:ascii="Times New Roman" w:eastAsiaTheme="minorEastAsia" w:hAnsi="Times New Roman" w:cs="Times New Roman"/>
                <w:color w:val="000000" w:themeColor="text1"/>
                <w:sz w:val="18"/>
                <w:szCs w:val="18"/>
                <w:lang w:eastAsia="zh-CN"/>
              </w:rPr>
              <w:t>分类标准设置虚拟变量</w:t>
            </w:r>
          </w:p>
        </w:tc>
      </w:tr>
    </w:tbl>
    <w:p w:rsidR="00943C0E" w:rsidRPr="00FE771B" w:rsidRDefault="00DD5875" w:rsidP="00EE0516">
      <w:pPr>
        <w:pStyle w:val="20"/>
        <w:ind w:firstLine="422"/>
        <w:rPr>
          <w:b/>
        </w:rPr>
      </w:pPr>
      <w:r w:rsidRPr="00FE771B">
        <w:rPr>
          <w:b/>
        </w:rPr>
        <w:lastRenderedPageBreak/>
        <w:t>(</w:t>
      </w:r>
      <w:r w:rsidRPr="00FE771B">
        <w:rPr>
          <w:b/>
        </w:rPr>
        <w:t>三</w:t>
      </w:r>
      <w:r w:rsidRPr="00FE771B">
        <w:rPr>
          <w:b/>
        </w:rPr>
        <w:t>)</w:t>
      </w:r>
      <w:r w:rsidR="00943C0E" w:rsidRPr="00FE771B">
        <w:rPr>
          <w:b/>
        </w:rPr>
        <w:t>基础模型设定</w:t>
      </w:r>
    </w:p>
    <w:p w:rsidR="00943C0E" w:rsidRPr="00FE771B" w:rsidRDefault="00A21862" w:rsidP="007C4FFE">
      <w:pPr>
        <w:ind w:firstLine="420"/>
        <w:rPr>
          <w:rFonts w:ascii="Times New Roman" w:hAnsi="Times New Roman" w:cs="Times New Roman"/>
          <w:b/>
          <w:bCs/>
          <w:iCs/>
          <w:color w:val="000000" w:themeColor="text1"/>
          <w:shd w:val="clear" w:color="auto" w:fill="FFFFFF"/>
        </w:rPr>
      </w:pPr>
      <w:r w:rsidRPr="00FE771B">
        <w:rPr>
          <w:rFonts w:ascii="Times New Roman" w:hAnsi="Times New Roman" w:cs="Times New Roman"/>
          <w:color w:val="000000" w:themeColor="text1"/>
        </w:rPr>
        <w:t>根据上文理论分析思路，</w:t>
      </w:r>
      <w:r w:rsidR="00943C0E" w:rsidRPr="00FE771B">
        <w:rPr>
          <w:rFonts w:ascii="Times New Roman" w:hAnsi="Times New Roman" w:cs="Times New Roman"/>
          <w:color w:val="000000" w:themeColor="text1"/>
        </w:rPr>
        <w:t>为检验</w:t>
      </w:r>
      <w:r w:rsidR="00BA0176" w:rsidRPr="00FE771B">
        <w:rPr>
          <w:rFonts w:ascii="Times New Roman" w:hAnsi="Times New Roman" w:cs="Times New Roman"/>
          <w:color w:val="000000" w:themeColor="text1"/>
        </w:rPr>
        <w:t>业绩承诺协议对上市公司</w:t>
      </w:r>
      <w:r w:rsidR="00BA0176" w:rsidRPr="00FE771B">
        <w:rPr>
          <w:rFonts w:ascii="Times New Roman" w:hAnsi="Times New Roman" w:cs="Times New Roman"/>
          <w:color w:val="000000" w:themeColor="text1"/>
        </w:rPr>
        <w:t>“</w:t>
      </w:r>
      <w:r w:rsidR="00BA0176" w:rsidRPr="00FE771B">
        <w:rPr>
          <w:rFonts w:ascii="Times New Roman" w:hAnsi="Times New Roman" w:cs="Times New Roman"/>
          <w:color w:val="000000" w:themeColor="text1"/>
        </w:rPr>
        <w:t>脱实向虚</w:t>
      </w:r>
      <w:r w:rsidR="00BA0176" w:rsidRPr="00FE771B">
        <w:rPr>
          <w:rFonts w:ascii="Times New Roman" w:hAnsi="Times New Roman" w:cs="Times New Roman"/>
          <w:color w:val="000000" w:themeColor="text1"/>
        </w:rPr>
        <w:t>”</w:t>
      </w:r>
      <w:r w:rsidR="00BA0176" w:rsidRPr="00FE771B">
        <w:rPr>
          <w:rFonts w:ascii="Times New Roman" w:hAnsi="Times New Roman" w:cs="Times New Roman"/>
          <w:color w:val="000000" w:themeColor="text1"/>
        </w:rPr>
        <w:t>的影响</w:t>
      </w:r>
      <w:r w:rsidR="00943C0E" w:rsidRPr="00FE771B">
        <w:rPr>
          <w:rFonts w:ascii="Times New Roman" w:hAnsi="Times New Roman" w:cs="Times New Roman"/>
          <w:color w:val="000000" w:themeColor="text1"/>
        </w:rPr>
        <w:t>，本文</w:t>
      </w:r>
      <w:r w:rsidR="007C4FFE" w:rsidRPr="00FE771B">
        <w:rPr>
          <w:rFonts w:ascii="Times New Roman" w:hAnsi="Times New Roman" w:cs="Times New Roman"/>
          <w:color w:val="000000" w:themeColor="text1"/>
        </w:rPr>
        <w:t>构建了如下</w:t>
      </w:r>
      <w:r w:rsidR="00B96933" w:rsidRPr="00FE771B">
        <w:rPr>
          <w:rFonts w:ascii="Times New Roman" w:hAnsi="Times New Roman" w:cs="Times New Roman"/>
          <w:color w:val="000000" w:themeColor="text1"/>
        </w:rPr>
        <w:t>面板计量</w:t>
      </w:r>
      <w:r w:rsidR="007C4FFE" w:rsidRPr="00FE771B">
        <w:rPr>
          <w:rFonts w:ascii="Times New Roman" w:hAnsi="Times New Roman" w:cs="Times New Roman"/>
          <w:color w:val="000000" w:themeColor="text1"/>
        </w:rPr>
        <w:t>回归模型</w:t>
      </w:r>
      <w:r w:rsidR="007C4FFE" w:rsidRPr="00FE771B">
        <w:rPr>
          <w:rFonts w:ascii="Times New Roman" w:hAnsi="Times New Roman" w:cs="Times New Roman"/>
          <w:color w:val="000000" w:themeColor="text1"/>
        </w:rPr>
        <w:t>:</w:t>
      </w:r>
    </w:p>
    <w:p w:rsidR="00943C0E" w:rsidRPr="00FE771B" w:rsidRDefault="00E24810" w:rsidP="006E0BA9">
      <w:pPr>
        <w:wordWrap w:val="0"/>
        <w:ind w:firstLine="420"/>
        <w:jc w:val="right"/>
        <w:rPr>
          <w:rFonts w:ascii="Times New Roman" w:hAnsi="Times New Roman" w:cs="Times New Roman"/>
          <w:color w:val="000000" w:themeColor="text1"/>
        </w:rPr>
      </w:pPr>
      <m:oMath>
        <m:sSub>
          <m:sSubPr>
            <m:ctrlPr>
              <w:rPr>
                <w:rFonts w:ascii="Cambria Math" w:hAnsi="Cambria Math" w:cs="Times New Roman"/>
                <w:color w:val="000000" w:themeColor="text1"/>
              </w:rPr>
            </m:ctrlPr>
          </m:sSubPr>
          <m:e>
            <m:r>
              <w:rPr>
                <w:rFonts w:ascii="Cambria Math" w:hAnsi="Cambria Math" w:cs="Times New Roman"/>
                <w:color w:val="000000" w:themeColor="text1"/>
              </w:rPr>
              <m:t>F</m:t>
            </m:r>
            <m:r>
              <m:rPr>
                <m:sty m:val="p"/>
              </m:rPr>
              <w:rPr>
                <w:rFonts w:ascii="Cambria Math" w:hAnsi="Cambria Math" w:cs="Times New Roman"/>
                <w:color w:val="000000" w:themeColor="text1"/>
              </w:rPr>
              <m:t>in</m:t>
            </m:r>
          </m:e>
          <m:sub>
            <m:r>
              <w:rPr>
                <w:rFonts w:ascii="Cambria Math" w:hAnsi="Cambria Math" w:cs="Times New Roman"/>
                <w:color w:val="000000" w:themeColor="text1"/>
              </w:rPr>
              <m:t>i</m:t>
            </m:r>
            <m:r>
              <m:rPr>
                <m:sty m:val="p"/>
              </m:rPr>
              <w:rPr>
                <w:rFonts w:ascii="Cambria Math" w:hAnsi="Cambria Math" w:cs="Times New Roman"/>
                <w:color w:val="000000" w:themeColor="text1"/>
              </w:rPr>
              <m:t>,</m:t>
            </m:r>
            <m:r>
              <w:rPr>
                <w:rFonts w:ascii="Cambria Math" w:hAnsi="Cambria Math" w:cs="Times New Roman"/>
                <w:color w:val="000000" w:themeColor="text1"/>
              </w:rPr>
              <m:t>t</m:t>
            </m:r>
          </m:sub>
        </m:sSub>
        <m:r>
          <m:rPr>
            <m:sty m:val="p"/>
          </m:rPr>
          <w:rPr>
            <w:rFonts w:ascii="Cambria Math" w:hAnsi="Cambria Math" w:cs="Times New Roman"/>
            <w:color w:val="000000" w:themeColor="text1"/>
          </w:rPr>
          <m:t>=</m:t>
        </m:r>
        <m:sSub>
          <m:sSubPr>
            <m:ctrlPr>
              <w:rPr>
                <w:rFonts w:ascii="Cambria Math" w:hAnsi="Cambria Math" w:cs="Times New Roman"/>
                <w:color w:val="000000" w:themeColor="text1"/>
              </w:rPr>
            </m:ctrlPr>
          </m:sSubPr>
          <m:e>
            <m:r>
              <w:rPr>
                <w:rFonts w:ascii="Cambria Math" w:hAnsi="Cambria Math" w:cs="Times New Roman"/>
                <w:color w:val="000000" w:themeColor="text1"/>
              </w:rPr>
              <m:t>α</m:t>
            </m:r>
          </m:e>
          <m:sub>
            <m:r>
              <m:rPr>
                <m:sty m:val="p"/>
              </m:rPr>
              <w:rPr>
                <w:rFonts w:ascii="Cambria Math" w:hAnsi="Cambria Math" w:cs="Times New Roman"/>
                <w:color w:val="000000" w:themeColor="text1"/>
              </w:rPr>
              <m:t>0</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α</m:t>
            </m:r>
          </m:e>
          <m:sub>
            <m:r>
              <w:rPr>
                <w:rFonts w:ascii="Cambria Math" w:hAnsi="Cambria Math" w:cs="Times New Roman"/>
                <w:color w:val="000000" w:themeColor="text1"/>
              </w:rPr>
              <m:t>1</m:t>
            </m:r>
          </m:sub>
        </m:sSub>
        <m:r>
          <w:rPr>
            <w:rFonts w:ascii="Cambria Math" w:hAnsi="Cambria Math" w:cs="Times New Roman"/>
            <w:color w:val="000000" w:themeColor="text1"/>
            <w:sz w:val="18"/>
            <w:szCs w:val="18"/>
          </w:rPr>
          <m:t>Vam_logi</m:t>
        </m:r>
        <m:sSub>
          <m:sSubPr>
            <m:ctrlPr>
              <w:rPr>
                <w:rFonts w:ascii="Cambria Math" w:hAnsi="Cambria Math" w:cs="Times New Roman"/>
                <w:i/>
                <w:color w:val="000000" w:themeColor="text1"/>
                <w:sz w:val="18"/>
                <w:szCs w:val="18"/>
              </w:rPr>
            </m:ctrlPr>
          </m:sSubPr>
          <m:e>
            <m:r>
              <w:rPr>
                <w:rFonts w:ascii="Cambria Math" w:hAnsi="Cambria Math" w:cs="Times New Roman"/>
                <w:color w:val="000000" w:themeColor="text1"/>
                <w:sz w:val="18"/>
                <w:szCs w:val="18"/>
              </w:rPr>
              <m:t>t</m:t>
            </m:r>
          </m:e>
          <m:sub>
            <m:r>
              <w:rPr>
                <w:rFonts w:ascii="Cambria Math" w:hAnsi="Cambria Math" w:cs="Times New Roman"/>
                <w:color w:val="000000" w:themeColor="text1"/>
                <w:sz w:val="18"/>
                <w:szCs w:val="18"/>
              </w:rPr>
              <m:t>i,t</m:t>
            </m:r>
          </m:sub>
        </m:sSub>
        <m:sSub>
          <m:sSubPr>
            <m:ctrlPr>
              <w:rPr>
                <w:rFonts w:ascii="Cambria Math" w:hAnsi="Cambria Math" w:cs="Times New Roman"/>
                <w:i/>
                <w:color w:val="000000" w:themeColor="text1"/>
              </w:rPr>
            </m:ctrlPr>
          </m:sSubPr>
          <m:e>
            <m:sSubSup>
              <m:sSubSupPr>
                <m:ctrlPr>
                  <w:rPr>
                    <w:rFonts w:ascii="Cambria Math" w:hAnsi="Cambria Math" w:cs="Times New Roman"/>
                    <w:bCs/>
                    <w:i/>
                    <w:color w:val="000000" w:themeColor="text1"/>
                    <w:sz w:val="18"/>
                    <w:szCs w:val="18"/>
                  </w:rPr>
                </m:ctrlPr>
              </m:sSubSupPr>
              <m:e>
                <m:r>
                  <w:rPr>
                    <w:rFonts w:ascii="Cambria Math" w:hAnsi="Cambria Math" w:cs="Times New Roman"/>
                    <w:color w:val="000000" w:themeColor="text1"/>
                    <w:sz w:val="18"/>
                    <w:szCs w:val="18"/>
                  </w:rPr>
                  <m:t>+α</m:t>
                </m:r>
              </m:e>
              <m:sub>
                <m:r>
                  <w:rPr>
                    <w:rFonts w:ascii="Cambria Math" w:hAnsi="Cambria Math" w:cs="Times New Roman"/>
                    <w:color w:val="000000" w:themeColor="text1"/>
                    <w:sz w:val="18"/>
                    <w:szCs w:val="18"/>
                  </w:rPr>
                  <m:t>2</m:t>
                </m:r>
              </m:sub>
              <m:sup>
                <m:r>
                  <w:rPr>
                    <w:rFonts w:ascii="Cambria Math" w:hAnsi="Cambria Math" w:cs="Times New Roman"/>
                    <w:color w:val="000000" w:themeColor="text1"/>
                    <w:sz w:val="18"/>
                    <w:szCs w:val="18"/>
                  </w:rPr>
                  <m:t>T</m:t>
                </m:r>
              </m:sup>
            </m:sSubSup>
            <m:sSub>
              <m:sSubPr>
                <m:ctrlPr>
                  <w:rPr>
                    <w:rFonts w:ascii="Cambria Math" w:eastAsia="微软雅黑" w:hAnsi="Cambria Math" w:cs="Times New Roman"/>
                    <w:color w:val="000000" w:themeColor="text1"/>
                    <w:shd w:val="clear" w:color="auto" w:fill="FFFFFF"/>
                  </w:rPr>
                </m:ctrlPr>
              </m:sSubPr>
              <m:e>
                <m:r>
                  <m:rPr>
                    <m:sty m:val="bi"/>
                  </m:rPr>
                  <w:rPr>
                    <w:rFonts w:ascii="Cambria Math" w:eastAsia="微软雅黑" w:hAnsi="Cambria Math" w:cs="Times New Roman"/>
                    <w:color w:val="000000" w:themeColor="text1"/>
                    <w:shd w:val="clear" w:color="auto" w:fill="FFFFFF"/>
                  </w:rPr>
                  <m:t>Controls</m:t>
                </m:r>
                <m:ctrlPr>
                  <w:rPr>
                    <w:rFonts w:ascii="Cambria Math" w:eastAsia="微软雅黑" w:hAnsi="Cambria Math" w:cs="Times New Roman"/>
                    <w:bCs/>
                    <w:i/>
                    <w:iCs/>
                    <w:color w:val="000000" w:themeColor="text1"/>
                    <w:shd w:val="clear" w:color="auto" w:fill="FFFFFF"/>
                  </w:rPr>
                </m:ctrlPr>
              </m:e>
              <m:sub>
                <m:r>
                  <w:rPr>
                    <w:rFonts w:ascii="Cambria Math" w:eastAsia="微软雅黑" w:hAnsi="Cambria Math" w:cs="Times New Roman"/>
                    <w:color w:val="000000" w:themeColor="text1"/>
                    <w:shd w:val="clear" w:color="auto" w:fill="FFFFFF"/>
                  </w:rPr>
                  <m:t>i</m:t>
                </m:r>
                <m:r>
                  <m:rPr>
                    <m:sty m:val="p"/>
                  </m:rPr>
                  <w:rPr>
                    <w:rFonts w:ascii="Cambria Math" w:eastAsia="微软雅黑" w:hAnsi="Cambria Math" w:cs="Times New Roman"/>
                    <w:color w:val="000000" w:themeColor="text1"/>
                    <w:shd w:val="clear" w:color="auto" w:fill="FFFFFF"/>
                  </w:rPr>
                  <m:t>,t</m:t>
                </m:r>
              </m:sub>
            </m:sSub>
            <m:r>
              <m:rPr>
                <m:sty m:val="p"/>
              </m:rPr>
              <w:rPr>
                <w:rFonts w:ascii="Cambria Math" w:hAnsi="Cambria Math" w:cs="Times New Roman"/>
                <w:color w:val="000000" w:themeColor="text1"/>
              </w:rPr>
              <m:t>+α</m:t>
            </m:r>
          </m:e>
          <m:sub>
            <m:r>
              <w:rPr>
                <w:rFonts w:ascii="Cambria Math" w:hAnsi="Cambria Math" w:cs="Times New Roman"/>
                <w:color w:val="000000" w:themeColor="text1"/>
              </w:rPr>
              <m:t>3</m:t>
            </m:r>
          </m:sub>
        </m:sSub>
        <m:r>
          <w:rPr>
            <w:rFonts w:ascii="Cambria Math" w:hAnsi="Cambria Math" w:cs="Times New Roman"/>
            <w:color w:val="000000" w:themeColor="text1"/>
            <w:sz w:val="18"/>
            <w:szCs w:val="18"/>
          </w:rPr>
          <m:t>Yea</m:t>
        </m:r>
        <m:sSub>
          <m:sSubPr>
            <m:ctrlPr>
              <w:rPr>
                <w:rFonts w:ascii="Cambria Math" w:hAnsi="Cambria Math" w:cs="Times New Roman"/>
                <w:i/>
                <w:color w:val="000000" w:themeColor="text1"/>
                <w:sz w:val="18"/>
                <w:szCs w:val="18"/>
              </w:rPr>
            </m:ctrlPr>
          </m:sSubPr>
          <m:e>
            <m:r>
              <w:rPr>
                <w:rFonts w:ascii="Cambria Math" w:hAnsi="Cambria Math" w:cs="Times New Roman"/>
                <w:color w:val="000000" w:themeColor="text1"/>
                <w:sz w:val="18"/>
                <w:szCs w:val="18"/>
              </w:rPr>
              <m:t>r</m:t>
            </m:r>
          </m:e>
          <m:sub>
            <m:r>
              <w:rPr>
                <w:rFonts w:ascii="Cambria Math" w:hAnsi="Cambria Math" w:cs="Times New Roman"/>
                <w:color w:val="000000" w:themeColor="text1"/>
                <w:sz w:val="18"/>
                <w:szCs w:val="18"/>
              </w:rPr>
              <m:t>t</m:t>
            </m:r>
          </m:sub>
        </m:sSub>
        <m:sSub>
          <m:sSubPr>
            <m:ctrlPr>
              <w:rPr>
                <w:rFonts w:ascii="Cambria Math" w:hAnsi="Cambria Math" w:cs="Times New Roman"/>
                <w:i/>
                <w:color w:val="000000" w:themeColor="text1"/>
                <w:sz w:val="18"/>
                <w:szCs w:val="18"/>
              </w:rPr>
            </m:ctrlPr>
          </m:sSubPr>
          <m:e>
            <m:r>
              <m:rPr>
                <m:sty m:val="p"/>
              </m:rPr>
              <w:rPr>
                <w:rFonts w:ascii="Cambria Math" w:hAnsi="Cambria Math" w:cs="Times New Roman"/>
                <w:color w:val="000000" w:themeColor="text1"/>
                <w:sz w:val="18"/>
                <w:szCs w:val="18"/>
              </w:rPr>
              <m:t>+</m:t>
            </m:r>
            <m:sSub>
              <m:sSubPr>
                <m:ctrlPr>
                  <w:rPr>
                    <w:rFonts w:ascii="Cambria Math" w:hAnsi="Cambria Math" w:cs="Times New Roman"/>
                    <w:i/>
                    <w:color w:val="000000" w:themeColor="text1"/>
                  </w:rPr>
                </m:ctrlPr>
              </m:sSubPr>
              <m:e>
                <m:r>
                  <m:rPr>
                    <m:sty m:val="p"/>
                  </m:rPr>
                  <w:rPr>
                    <w:rFonts w:ascii="Cambria Math" w:hAnsi="Cambria Math" w:cs="Times New Roman"/>
                    <w:color w:val="000000" w:themeColor="text1"/>
                  </w:rPr>
                  <m:t>α</m:t>
                </m:r>
              </m:e>
              <m:sub>
                <m:r>
                  <w:rPr>
                    <w:rFonts w:ascii="Cambria Math" w:hAnsi="Cambria Math" w:cs="Times New Roman"/>
                    <w:color w:val="000000" w:themeColor="text1"/>
                  </w:rPr>
                  <m:t>4</m:t>
                </m:r>
              </m:sub>
            </m:sSub>
            <m:sSub>
              <m:sSubPr>
                <m:ctrlPr>
                  <w:rPr>
                    <w:rFonts w:ascii="Cambria Math" w:hAnsi="Cambria Math" w:cs="Times New Roman"/>
                    <w:i/>
                    <w:color w:val="000000" w:themeColor="text1"/>
                    <w:sz w:val="18"/>
                    <w:szCs w:val="18"/>
                  </w:rPr>
                </m:ctrlPr>
              </m:sSubPr>
              <m:e>
                <m:r>
                  <w:rPr>
                    <w:rFonts w:ascii="Cambria Math" w:hAnsi="Cambria Math" w:cs="Times New Roman"/>
                    <w:color w:val="000000" w:themeColor="text1"/>
                    <w:sz w:val="18"/>
                    <w:szCs w:val="18"/>
                  </w:rPr>
                  <m:t>F</m:t>
                </m:r>
                <m:r>
                  <m:rPr>
                    <m:sty m:val="p"/>
                  </m:rPr>
                  <w:rPr>
                    <w:rFonts w:ascii="Cambria Math" w:hAnsi="Cambria Math" w:cs="Times New Roman"/>
                    <w:color w:val="000000" w:themeColor="text1"/>
                    <w:sz w:val="18"/>
                    <w:szCs w:val="18"/>
                  </w:rPr>
                  <m:t>irm</m:t>
                </m:r>
              </m:e>
              <m:sub>
                <m:r>
                  <w:rPr>
                    <w:rFonts w:ascii="Cambria Math" w:hAnsi="Cambria Math" w:cs="Times New Roman"/>
                    <w:color w:val="000000" w:themeColor="text1"/>
                    <w:sz w:val="18"/>
                    <w:szCs w:val="18"/>
                  </w:rPr>
                  <m:t>i</m:t>
                </m:r>
              </m:sub>
            </m:sSub>
            <m:r>
              <m:rPr>
                <m:sty m:val="p"/>
              </m:rPr>
              <w:rPr>
                <w:rFonts w:ascii="Cambria Math" w:hAnsi="Cambria Math" w:cs="Times New Roman"/>
                <w:color w:val="000000" w:themeColor="text1"/>
                <w:sz w:val="18"/>
                <w:szCs w:val="18"/>
              </w:rPr>
              <m:t>+ϵ</m:t>
            </m:r>
          </m:e>
          <m:sub>
            <m:r>
              <w:rPr>
                <w:rFonts w:ascii="Cambria Math" w:hAnsi="Cambria Math" w:cs="Times New Roman"/>
                <w:color w:val="000000" w:themeColor="text1"/>
                <w:sz w:val="18"/>
                <w:szCs w:val="18"/>
              </w:rPr>
              <m:t>i,t</m:t>
            </m:r>
          </m:sub>
        </m:sSub>
      </m:oMath>
      <w:r w:rsidR="006E0BA9" w:rsidRPr="00FE771B">
        <w:rPr>
          <w:rFonts w:ascii="Times New Roman" w:hAnsi="Times New Roman" w:cs="Times New Roman"/>
          <w:color w:val="000000" w:themeColor="text1"/>
          <w:sz w:val="18"/>
          <w:szCs w:val="18"/>
        </w:rPr>
        <w:t xml:space="preserve">       </w:t>
      </w:r>
      <w:r w:rsidR="000C16DD" w:rsidRPr="00FE771B">
        <w:rPr>
          <w:rFonts w:ascii="Times New Roman" w:hAnsi="Times New Roman" w:cs="Times New Roman"/>
          <w:color w:val="000000" w:themeColor="text1"/>
        </w:rPr>
        <w:t>（</w:t>
      </w:r>
      <w:r w:rsidR="000C16DD" w:rsidRPr="00FE771B">
        <w:rPr>
          <w:rFonts w:ascii="Times New Roman" w:hAnsi="Times New Roman" w:cs="Times New Roman"/>
          <w:color w:val="000000" w:themeColor="text1"/>
        </w:rPr>
        <w:t>1</w:t>
      </w:r>
      <w:r w:rsidR="000C16DD" w:rsidRPr="00FE771B">
        <w:rPr>
          <w:rFonts w:ascii="Times New Roman" w:hAnsi="Times New Roman" w:cs="Times New Roman"/>
          <w:color w:val="000000" w:themeColor="text1"/>
        </w:rPr>
        <w:t>）</w:t>
      </w:r>
    </w:p>
    <w:p w:rsidR="007C4FFE" w:rsidRPr="00FE771B" w:rsidRDefault="00E24810" w:rsidP="006E0BA9">
      <w:pPr>
        <w:ind w:firstLine="420"/>
        <w:jc w:val="right"/>
        <w:rPr>
          <w:rFonts w:ascii="Times New Roman" w:hAnsi="Times New Roman" w:cs="Times New Roman"/>
          <w:color w:val="000000" w:themeColor="text1"/>
        </w:rPr>
      </w:pPr>
      <m:oMath>
        <m:sSub>
          <m:sSubPr>
            <m:ctrlPr>
              <w:rPr>
                <w:rFonts w:ascii="Cambria Math" w:hAnsi="Cambria Math" w:cs="Times New Roman"/>
                <w:color w:val="000000" w:themeColor="text1"/>
              </w:rPr>
            </m:ctrlPr>
          </m:sSubPr>
          <m:e>
            <m:r>
              <w:rPr>
                <w:rFonts w:ascii="Cambria Math" w:hAnsi="Cambria Math" w:cs="Times New Roman"/>
                <w:color w:val="000000" w:themeColor="text1"/>
              </w:rPr>
              <m:t>F</m:t>
            </m:r>
            <m:r>
              <m:rPr>
                <m:sty m:val="p"/>
              </m:rPr>
              <w:rPr>
                <w:rFonts w:ascii="Cambria Math" w:hAnsi="Cambria Math" w:cs="Times New Roman"/>
                <w:color w:val="000000" w:themeColor="text1"/>
              </w:rPr>
              <m:t>in</m:t>
            </m:r>
          </m:e>
          <m:sub>
            <m:r>
              <w:rPr>
                <w:rFonts w:ascii="Cambria Math" w:hAnsi="Cambria Math" w:cs="Times New Roman"/>
                <w:color w:val="000000" w:themeColor="text1"/>
              </w:rPr>
              <m:t>i</m:t>
            </m:r>
            <m:r>
              <m:rPr>
                <m:sty m:val="p"/>
              </m:rPr>
              <w:rPr>
                <w:rFonts w:ascii="Cambria Math" w:hAnsi="Cambria Math" w:cs="Times New Roman"/>
                <w:color w:val="000000" w:themeColor="text1"/>
              </w:rPr>
              <m:t>,</m:t>
            </m:r>
            <m:r>
              <w:rPr>
                <w:rFonts w:ascii="Cambria Math" w:hAnsi="Cambria Math" w:cs="Times New Roman"/>
                <w:color w:val="000000" w:themeColor="text1"/>
              </w:rPr>
              <m:t>t</m:t>
            </m:r>
          </m:sub>
        </m:sSub>
        <m:r>
          <m:rPr>
            <m:sty m:val="p"/>
          </m:rPr>
          <w:rPr>
            <w:rFonts w:ascii="Cambria Math" w:hAnsi="Cambria Math" w:cs="Times New Roman"/>
            <w:color w:val="000000" w:themeColor="text1"/>
          </w:rPr>
          <m:t>=</m:t>
        </m:r>
        <m:sSub>
          <m:sSubPr>
            <m:ctrlPr>
              <w:rPr>
                <w:rFonts w:ascii="Cambria Math" w:hAnsi="Cambria Math" w:cs="Times New Roman"/>
                <w:color w:val="000000" w:themeColor="text1"/>
              </w:rPr>
            </m:ctrlPr>
          </m:sSubPr>
          <m:e>
            <m:r>
              <w:rPr>
                <w:rFonts w:ascii="Cambria Math" w:hAnsi="Cambria Math" w:cs="Times New Roman"/>
                <w:color w:val="000000" w:themeColor="text1"/>
              </w:rPr>
              <m:t>β</m:t>
            </m:r>
          </m:e>
          <m:sub>
            <m:r>
              <m:rPr>
                <m:sty m:val="p"/>
              </m:rPr>
              <w:rPr>
                <w:rFonts w:ascii="Cambria Math" w:hAnsi="Cambria Math" w:cs="Times New Roman"/>
                <w:color w:val="000000" w:themeColor="text1"/>
              </w:rPr>
              <m:t>0</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β</m:t>
            </m:r>
          </m:e>
          <m:sub>
            <m:r>
              <w:rPr>
                <w:rFonts w:ascii="Cambria Math" w:hAnsi="Cambria Math" w:cs="Times New Roman"/>
                <w:color w:val="000000" w:themeColor="text1"/>
              </w:rPr>
              <m:t>1</m:t>
            </m:r>
          </m:sub>
        </m:sSub>
        <m:sSub>
          <m:sSubPr>
            <m:ctrlPr>
              <w:rPr>
                <w:rFonts w:ascii="Cambria Math" w:hAnsi="Cambria Math" w:cs="Times New Roman"/>
                <w:i/>
                <w:color w:val="000000" w:themeColor="text1"/>
                <w:sz w:val="18"/>
                <w:szCs w:val="18"/>
              </w:rPr>
            </m:ctrlPr>
          </m:sSubPr>
          <m:e>
            <m:r>
              <w:rPr>
                <w:rFonts w:ascii="Cambria Math" w:hAnsi="Cambria Math" w:cs="Times New Roman"/>
                <w:color w:val="000000" w:themeColor="text1"/>
                <w:sz w:val="18"/>
                <w:szCs w:val="18"/>
              </w:rPr>
              <m:t>Vam_numbers</m:t>
            </m:r>
          </m:e>
          <m:sub>
            <m:r>
              <w:rPr>
                <w:rFonts w:ascii="Cambria Math" w:hAnsi="Cambria Math" w:cs="Times New Roman"/>
                <w:color w:val="000000" w:themeColor="text1"/>
                <w:sz w:val="18"/>
                <w:szCs w:val="18"/>
              </w:rPr>
              <m:t>i,t</m:t>
            </m:r>
          </m:sub>
        </m:sSub>
        <m:sSub>
          <m:sSubPr>
            <m:ctrlPr>
              <w:rPr>
                <w:rFonts w:ascii="Cambria Math" w:hAnsi="Cambria Math" w:cs="Times New Roman"/>
                <w:i/>
                <w:color w:val="000000" w:themeColor="text1"/>
              </w:rPr>
            </m:ctrlPr>
          </m:sSubPr>
          <m:e>
            <m:sSubSup>
              <m:sSubSupPr>
                <m:ctrlPr>
                  <w:rPr>
                    <w:rFonts w:ascii="Cambria Math" w:hAnsi="Cambria Math" w:cs="Times New Roman"/>
                    <w:bCs/>
                    <w:i/>
                    <w:color w:val="000000" w:themeColor="text1"/>
                    <w:sz w:val="18"/>
                    <w:szCs w:val="18"/>
                  </w:rPr>
                </m:ctrlPr>
              </m:sSubSupPr>
              <m:e>
                <m:r>
                  <w:rPr>
                    <w:rFonts w:ascii="Cambria Math" w:hAnsi="Cambria Math" w:cs="Times New Roman"/>
                    <w:color w:val="000000" w:themeColor="text1"/>
                    <w:sz w:val="18"/>
                    <w:szCs w:val="18"/>
                  </w:rPr>
                  <m:t>+β</m:t>
                </m:r>
              </m:e>
              <m:sub>
                <m:r>
                  <w:rPr>
                    <w:rFonts w:ascii="Cambria Math" w:hAnsi="Cambria Math" w:cs="Times New Roman"/>
                    <w:color w:val="000000" w:themeColor="text1"/>
                    <w:sz w:val="18"/>
                    <w:szCs w:val="18"/>
                  </w:rPr>
                  <m:t>2</m:t>
                </m:r>
              </m:sub>
              <m:sup>
                <m:r>
                  <w:rPr>
                    <w:rFonts w:ascii="Cambria Math" w:hAnsi="Cambria Math" w:cs="Times New Roman"/>
                    <w:color w:val="000000" w:themeColor="text1"/>
                    <w:sz w:val="18"/>
                    <w:szCs w:val="18"/>
                  </w:rPr>
                  <m:t>T</m:t>
                </m:r>
              </m:sup>
            </m:sSubSup>
            <m:sSub>
              <m:sSubPr>
                <m:ctrlPr>
                  <w:rPr>
                    <w:rFonts w:ascii="Cambria Math" w:eastAsia="微软雅黑" w:hAnsi="Cambria Math" w:cs="Times New Roman"/>
                    <w:color w:val="000000" w:themeColor="text1"/>
                    <w:shd w:val="clear" w:color="auto" w:fill="FFFFFF"/>
                  </w:rPr>
                </m:ctrlPr>
              </m:sSubPr>
              <m:e>
                <m:r>
                  <m:rPr>
                    <m:sty m:val="bi"/>
                  </m:rPr>
                  <w:rPr>
                    <w:rFonts w:ascii="Cambria Math" w:eastAsia="微软雅黑" w:hAnsi="Cambria Math" w:cs="Times New Roman"/>
                    <w:color w:val="000000" w:themeColor="text1"/>
                    <w:shd w:val="clear" w:color="auto" w:fill="FFFFFF"/>
                  </w:rPr>
                  <m:t>Controls</m:t>
                </m:r>
                <m:ctrlPr>
                  <w:rPr>
                    <w:rFonts w:ascii="Cambria Math" w:eastAsia="微软雅黑" w:hAnsi="Cambria Math" w:cs="Times New Roman"/>
                    <w:bCs/>
                    <w:i/>
                    <w:iCs/>
                    <w:color w:val="000000" w:themeColor="text1"/>
                    <w:shd w:val="clear" w:color="auto" w:fill="FFFFFF"/>
                  </w:rPr>
                </m:ctrlPr>
              </m:e>
              <m:sub>
                <m:r>
                  <w:rPr>
                    <w:rFonts w:ascii="Cambria Math" w:eastAsia="微软雅黑" w:hAnsi="Cambria Math" w:cs="Times New Roman"/>
                    <w:color w:val="000000" w:themeColor="text1"/>
                    <w:shd w:val="clear" w:color="auto" w:fill="FFFFFF"/>
                  </w:rPr>
                  <m:t>i</m:t>
                </m:r>
                <m:r>
                  <m:rPr>
                    <m:sty m:val="p"/>
                  </m:rPr>
                  <w:rPr>
                    <w:rFonts w:ascii="Cambria Math" w:eastAsia="微软雅黑" w:hAnsi="Cambria Math" w:cs="Times New Roman"/>
                    <w:color w:val="000000" w:themeColor="text1"/>
                    <w:shd w:val="clear" w:color="auto" w:fill="FFFFFF"/>
                  </w:rPr>
                  <m:t>,t</m:t>
                </m:r>
              </m:sub>
            </m:sSub>
            <m:r>
              <m:rPr>
                <m:sty m:val="p"/>
              </m:rPr>
              <w:rPr>
                <w:rFonts w:ascii="Cambria Math" w:hAnsi="Cambria Math" w:cs="Times New Roman"/>
                <w:color w:val="000000" w:themeColor="text1"/>
              </w:rPr>
              <m:t>+β</m:t>
            </m:r>
          </m:e>
          <m:sub>
            <m:r>
              <w:rPr>
                <w:rFonts w:ascii="Cambria Math" w:hAnsi="Cambria Math" w:cs="Times New Roman"/>
                <w:color w:val="000000" w:themeColor="text1"/>
              </w:rPr>
              <m:t>3</m:t>
            </m:r>
          </m:sub>
        </m:sSub>
        <m:r>
          <w:rPr>
            <w:rFonts w:ascii="Cambria Math" w:hAnsi="Cambria Math" w:cs="Times New Roman"/>
            <w:color w:val="000000" w:themeColor="text1"/>
            <w:sz w:val="18"/>
            <w:szCs w:val="18"/>
          </w:rPr>
          <m:t>Yea</m:t>
        </m:r>
        <m:sSub>
          <m:sSubPr>
            <m:ctrlPr>
              <w:rPr>
                <w:rFonts w:ascii="Cambria Math" w:hAnsi="Cambria Math" w:cs="Times New Roman"/>
                <w:i/>
                <w:color w:val="000000" w:themeColor="text1"/>
                <w:sz w:val="18"/>
                <w:szCs w:val="18"/>
              </w:rPr>
            </m:ctrlPr>
          </m:sSubPr>
          <m:e>
            <m:r>
              <w:rPr>
                <w:rFonts w:ascii="Cambria Math" w:hAnsi="Cambria Math" w:cs="Times New Roman"/>
                <w:color w:val="000000" w:themeColor="text1"/>
                <w:sz w:val="18"/>
                <w:szCs w:val="18"/>
              </w:rPr>
              <m:t>r</m:t>
            </m:r>
          </m:e>
          <m:sub>
            <m:r>
              <w:rPr>
                <w:rFonts w:ascii="Cambria Math" w:hAnsi="Cambria Math" w:cs="Times New Roman"/>
                <w:color w:val="000000" w:themeColor="text1"/>
                <w:sz w:val="18"/>
                <w:szCs w:val="18"/>
              </w:rPr>
              <m:t>t</m:t>
            </m:r>
          </m:sub>
        </m:sSub>
        <m:sSub>
          <m:sSubPr>
            <m:ctrlPr>
              <w:rPr>
                <w:rFonts w:ascii="Cambria Math" w:hAnsi="Cambria Math" w:cs="Times New Roman"/>
                <w:i/>
                <w:color w:val="000000" w:themeColor="text1"/>
                <w:sz w:val="18"/>
                <w:szCs w:val="18"/>
              </w:rPr>
            </m:ctrlPr>
          </m:sSubPr>
          <m:e>
            <m:r>
              <m:rPr>
                <m:sty m:val="p"/>
              </m:rPr>
              <w:rPr>
                <w:rFonts w:ascii="Cambria Math" w:hAnsi="Cambria Math" w:cs="Times New Roman"/>
                <w:color w:val="000000" w:themeColor="text1"/>
                <w:sz w:val="18"/>
                <w:szCs w:val="18"/>
              </w:rPr>
              <m:t>+</m:t>
            </m:r>
            <m:sSub>
              <m:sSubPr>
                <m:ctrlPr>
                  <w:rPr>
                    <w:rFonts w:ascii="Cambria Math" w:hAnsi="Cambria Math" w:cs="Times New Roman"/>
                    <w:i/>
                    <w:color w:val="000000" w:themeColor="text1"/>
                  </w:rPr>
                </m:ctrlPr>
              </m:sSubPr>
              <m:e>
                <m:r>
                  <m:rPr>
                    <m:sty m:val="p"/>
                  </m:rPr>
                  <w:rPr>
                    <w:rFonts w:ascii="Cambria Math" w:hAnsi="Cambria Math" w:cs="Times New Roman"/>
                    <w:color w:val="000000" w:themeColor="text1"/>
                  </w:rPr>
                  <m:t>β</m:t>
                </m:r>
              </m:e>
              <m:sub>
                <m:r>
                  <w:rPr>
                    <w:rFonts w:ascii="Cambria Math" w:hAnsi="Cambria Math" w:cs="Times New Roman"/>
                    <w:color w:val="000000" w:themeColor="text1"/>
                  </w:rPr>
                  <m:t>4</m:t>
                </m:r>
              </m:sub>
            </m:sSub>
            <m:sSub>
              <m:sSubPr>
                <m:ctrlPr>
                  <w:rPr>
                    <w:rFonts w:ascii="Cambria Math" w:hAnsi="Cambria Math" w:cs="Times New Roman"/>
                    <w:i/>
                    <w:color w:val="000000" w:themeColor="text1"/>
                    <w:sz w:val="18"/>
                    <w:szCs w:val="18"/>
                  </w:rPr>
                </m:ctrlPr>
              </m:sSubPr>
              <m:e>
                <m:r>
                  <w:rPr>
                    <w:rFonts w:ascii="Cambria Math" w:hAnsi="Cambria Math" w:cs="Times New Roman"/>
                    <w:color w:val="000000" w:themeColor="text1"/>
                    <w:sz w:val="18"/>
                    <w:szCs w:val="18"/>
                  </w:rPr>
                  <m:t>Firm</m:t>
                </m:r>
              </m:e>
              <m:sub>
                <m:r>
                  <w:rPr>
                    <w:rFonts w:ascii="Cambria Math" w:hAnsi="Cambria Math" w:cs="Times New Roman"/>
                    <w:color w:val="000000" w:themeColor="text1"/>
                    <w:sz w:val="18"/>
                    <w:szCs w:val="18"/>
                  </w:rPr>
                  <m:t>i</m:t>
                </m:r>
              </m:sub>
            </m:sSub>
            <m:r>
              <m:rPr>
                <m:sty m:val="p"/>
              </m:rPr>
              <w:rPr>
                <w:rFonts w:ascii="Cambria Math" w:hAnsi="Cambria Math" w:cs="Times New Roman"/>
                <w:color w:val="000000" w:themeColor="text1"/>
                <w:sz w:val="18"/>
                <w:szCs w:val="18"/>
              </w:rPr>
              <m:t>+ϵ</m:t>
            </m:r>
          </m:e>
          <m:sub>
            <m:r>
              <w:rPr>
                <w:rFonts w:ascii="Cambria Math" w:hAnsi="Cambria Math" w:cs="Times New Roman"/>
                <w:color w:val="000000" w:themeColor="text1"/>
                <w:sz w:val="18"/>
                <w:szCs w:val="18"/>
              </w:rPr>
              <m:t>i,t</m:t>
            </m:r>
          </m:sub>
        </m:sSub>
      </m:oMath>
      <w:r w:rsidR="006E0BA9" w:rsidRPr="00FE771B">
        <w:rPr>
          <w:rFonts w:ascii="Times New Roman" w:hAnsi="Times New Roman" w:cs="Times New Roman"/>
          <w:color w:val="000000" w:themeColor="text1"/>
          <w:sz w:val="18"/>
          <w:szCs w:val="18"/>
        </w:rPr>
        <w:t xml:space="preserve">     </w:t>
      </w:r>
      <w:r w:rsidR="000C16DD" w:rsidRPr="00FE771B">
        <w:rPr>
          <w:rFonts w:ascii="Times New Roman" w:hAnsi="Times New Roman" w:cs="Times New Roman"/>
          <w:color w:val="000000" w:themeColor="text1"/>
        </w:rPr>
        <w:t>（</w:t>
      </w:r>
      <w:r w:rsidR="000C16DD" w:rsidRPr="00FE771B">
        <w:rPr>
          <w:rFonts w:ascii="Times New Roman" w:hAnsi="Times New Roman" w:cs="Times New Roman"/>
          <w:color w:val="000000" w:themeColor="text1"/>
        </w:rPr>
        <w:t>2</w:t>
      </w:r>
      <w:r w:rsidR="000C16DD" w:rsidRPr="00FE771B">
        <w:rPr>
          <w:rFonts w:ascii="Times New Roman" w:hAnsi="Times New Roman" w:cs="Times New Roman"/>
          <w:color w:val="000000" w:themeColor="text1"/>
        </w:rPr>
        <w:t>）</w:t>
      </w:r>
    </w:p>
    <w:p w:rsidR="00943C0E" w:rsidRPr="00FE771B" w:rsidRDefault="00E609D5" w:rsidP="00C737C7">
      <w:pPr>
        <w:ind w:firstLine="420"/>
        <w:rPr>
          <w:rFonts w:ascii="Times New Roman" w:hAnsi="Times New Roman" w:cs="Times New Roman"/>
          <w:color w:val="000000" w:themeColor="text1"/>
        </w:rPr>
      </w:pPr>
      <w:r w:rsidRPr="00FE771B">
        <w:rPr>
          <w:rFonts w:ascii="Times New Roman" w:hAnsi="Times New Roman" w:cs="Times New Roman"/>
          <w:color w:val="000000" w:themeColor="text1"/>
        </w:rPr>
        <w:t>其中，</w:t>
      </w:r>
      <m:oMath>
        <m:sSub>
          <m:sSubPr>
            <m:ctrlPr>
              <w:rPr>
                <w:rFonts w:ascii="Cambria Math" w:hAnsi="Cambria Math" w:cs="Times New Roman"/>
                <w:color w:val="000000" w:themeColor="text1"/>
              </w:rPr>
            </m:ctrlPr>
          </m:sSubPr>
          <m:e>
            <m:r>
              <w:rPr>
                <w:rFonts w:ascii="Cambria Math" w:hAnsi="Cambria Math" w:cs="Times New Roman"/>
                <w:color w:val="000000" w:themeColor="text1"/>
              </w:rPr>
              <m:t>F</m:t>
            </m:r>
            <m:r>
              <m:rPr>
                <m:sty m:val="p"/>
              </m:rPr>
              <w:rPr>
                <w:rFonts w:ascii="Cambria Math" w:hAnsi="Cambria Math" w:cs="Times New Roman"/>
                <w:color w:val="000000" w:themeColor="text1"/>
              </w:rPr>
              <m:t>in</m:t>
            </m:r>
          </m:e>
          <m:sub>
            <m:r>
              <w:rPr>
                <w:rFonts w:ascii="Cambria Math" w:hAnsi="Cambria Math" w:cs="Times New Roman"/>
                <w:color w:val="000000" w:themeColor="text1"/>
              </w:rPr>
              <m:t>i</m:t>
            </m:r>
            <m:r>
              <m:rPr>
                <m:sty m:val="p"/>
              </m:rPr>
              <w:rPr>
                <w:rFonts w:ascii="Cambria Math" w:hAnsi="Cambria Math" w:cs="Times New Roman"/>
                <w:color w:val="000000" w:themeColor="text1"/>
              </w:rPr>
              <m:t>,</m:t>
            </m:r>
            <m:r>
              <w:rPr>
                <w:rFonts w:ascii="Cambria Math" w:hAnsi="Cambria Math" w:cs="Times New Roman"/>
                <w:color w:val="000000" w:themeColor="text1"/>
              </w:rPr>
              <m:t>t</m:t>
            </m:r>
          </m:sub>
        </m:sSub>
      </m:oMath>
      <w:r w:rsidR="00A21862" w:rsidRPr="00FE771B">
        <w:rPr>
          <w:rFonts w:ascii="Times New Roman" w:hAnsi="Times New Roman" w:cs="Times New Roman"/>
          <w:color w:val="000000" w:themeColor="text1"/>
        </w:rPr>
        <w:t>为上市公司金融化被解释变量，反映了上市公司投资于金融资产的偏好，</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α</m:t>
            </m:r>
          </m:e>
          <m:sub>
            <m:r>
              <w:rPr>
                <w:rFonts w:ascii="Cambria Math" w:hAnsi="Cambria Math" w:cs="Times New Roman"/>
                <w:color w:val="000000" w:themeColor="text1"/>
              </w:rPr>
              <m:t>1</m:t>
            </m:r>
          </m:sub>
        </m:sSub>
        <m:sSub>
          <m:sSubPr>
            <m:ctrlPr>
              <w:rPr>
                <w:rFonts w:ascii="Cambria Math" w:hAnsi="Cambria Math" w:cs="Times New Roman"/>
                <w:i/>
                <w:color w:val="000000" w:themeColor="text1"/>
              </w:rPr>
            </m:ctrlPr>
          </m:sSubPr>
          <m:e>
            <m:r>
              <m:rPr>
                <m:sty m:val="p"/>
              </m:rPr>
              <w:rPr>
                <w:rFonts w:ascii="Cambria Math" w:hAnsi="Cambria Math" w:cs="Times New Roman"/>
                <w:color w:val="000000" w:themeColor="text1"/>
              </w:rPr>
              <m:t>和</m:t>
            </m:r>
            <m:r>
              <w:rPr>
                <w:rFonts w:ascii="Cambria Math" w:hAnsi="Cambria Math" w:cs="Times New Roman"/>
                <w:color w:val="000000" w:themeColor="text1"/>
              </w:rPr>
              <m:t>β</m:t>
            </m:r>
          </m:e>
          <m:sub>
            <m:r>
              <w:rPr>
                <w:rFonts w:ascii="Cambria Math" w:hAnsi="Cambria Math" w:cs="Times New Roman"/>
                <w:color w:val="000000" w:themeColor="text1"/>
              </w:rPr>
              <m:t>1</m:t>
            </m:r>
          </m:sub>
        </m:sSub>
      </m:oMath>
      <w:r w:rsidR="00C737C7" w:rsidRPr="00FE771B">
        <w:rPr>
          <w:rFonts w:ascii="Times New Roman" w:hAnsi="Times New Roman" w:cs="Times New Roman"/>
          <w:color w:val="000000" w:themeColor="text1"/>
        </w:rPr>
        <w:t>为核心解释变量业绩承诺</w:t>
      </w:r>
      <w:r w:rsidR="00F54679" w:rsidRPr="00FE771B">
        <w:rPr>
          <w:rFonts w:ascii="Times New Roman" w:hAnsi="Times New Roman" w:cs="Times New Roman"/>
          <w:color w:val="000000" w:themeColor="text1"/>
        </w:rPr>
        <w:t>虚拟变量和业绩承诺次数</w:t>
      </w:r>
      <w:r w:rsidR="00A21862" w:rsidRPr="00FE771B">
        <w:rPr>
          <w:rFonts w:ascii="Times New Roman" w:hAnsi="Times New Roman" w:cs="Times New Roman"/>
          <w:color w:val="000000" w:themeColor="text1"/>
        </w:rPr>
        <w:t>的</w:t>
      </w:r>
      <w:r w:rsidR="00C737C7" w:rsidRPr="00FE771B">
        <w:rPr>
          <w:rFonts w:ascii="Times New Roman" w:hAnsi="Times New Roman" w:cs="Times New Roman"/>
          <w:color w:val="000000" w:themeColor="text1"/>
        </w:rPr>
        <w:t>回归系数，</w:t>
      </w:r>
      <w:r w:rsidRPr="00FE771B">
        <w:rPr>
          <w:rFonts w:ascii="Times New Roman" w:hAnsi="Times New Roman" w:cs="Times New Roman"/>
          <w:color w:val="000000" w:themeColor="text1"/>
        </w:rPr>
        <w:t>控制变量</w:t>
      </w:r>
      <m:oMath>
        <m:r>
          <w:rPr>
            <w:rFonts w:ascii="Cambria Math" w:eastAsia="微软雅黑" w:hAnsi="Cambria Math" w:cs="Times New Roman"/>
            <w:color w:val="000000" w:themeColor="text1"/>
            <w:shd w:val="clear" w:color="auto" w:fill="FFFFFF"/>
          </w:rPr>
          <m:t>Controls</m:t>
        </m:r>
      </m:oMath>
      <w:r w:rsidR="00C737C7" w:rsidRPr="00FE771B">
        <w:rPr>
          <w:rFonts w:ascii="Times New Roman" w:hAnsi="Times New Roman" w:cs="Times New Roman"/>
          <w:color w:val="000000" w:themeColor="text1"/>
        </w:rPr>
        <w:t>回归</w:t>
      </w:r>
      <w:r w:rsidRPr="00FE771B">
        <w:rPr>
          <w:rFonts w:ascii="Times New Roman" w:hAnsi="Times New Roman" w:cs="Times New Roman"/>
          <w:color w:val="000000" w:themeColor="text1"/>
        </w:rPr>
        <w:t>系数</w:t>
      </w:r>
      <w:r w:rsidR="00F54679" w:rsidRPr="00FE771B">
        <w:rPr>
          <w:rFonts w:ascii="Times New Roman" w:hAnsi="Times New Roman" w:cs="Times New Roman"/>
          <w:color w:val="000000" w:themeColor="text1"/>
        </w:rPr>
        <w:t>分别为</w:t>
      </w:r>
      <w:r w:rsidR="00C737C7" w:rsidRPr="00FE771B">
        <w:rPr>
          <w:rFonts w:ascii="Times New Roman" w:hAnsi="Times New Roman" w:cs="Times New Roman"/>
          <w:color w:val="000000" w:themeColor="text1"/>
        </w:rPr>
        <w:t>向量</w:t>
      </w:r>
      <m:oMath>
        <m:sSubSup>
          <m:sSubSupPr>
            <m:ctrlPr>
              <w:rPr>
                <w:rFonts w:ascii="Cambria Math" w:hAnsi="Cambria Math" w:cs="Times New Roman"/>
                <w:color w:val="000000" w:themeColor="text1"/>
              </w:rPr>
            </m:ctrlPr>
          </m:sSubSupPr>
          <m:e>
            <m:r>
              <w:rPr>
                <w:rFonts w:ascii="Cambria Math" w:hAnsi="Cambria Math" w:cs="Times New Roman"/>
                <w:color w:val="000000" w:themeColor="text1"/>
              </w:rPr>
              <m:t>α</m:t>
            </m:r>
          </m:e>
          <m:sub>
            <m:r>
              <w:rPr>
                <w:rFonts w:ascii="Cambria Math" w:hAnsi="Cambria Math" w:cs="Times New Roman"/>
                <w:color w:val="000000" w:themeColor="text1"/>
              </w:rPr>
              <m:t>2</m:t>
            </m:r>
          </m:sub>
          <m:sup>
            <m:r>
              <w:rPr>
                <w:rFonts w:ascii="Cambria Math" w:hAnsi="Cambria Math" w:cs="Times New Roman"/>
                <w:color w:val="000000" w:themeColor="text1"/>
              </w:rPr>
              <m:t>T</m:t>
            </m:r>
          </m:sup>
        </m:sSubSup>
      </m:oMath>
      <w:r w:rsidR="00F54679" w:rsidRPr="00FE771B">
        <w:rPr>
          <w:rFonts w:ascii="Times New Roman" w:hAnsi="Times New Roman" w:cs="Times New Roman"/>
          <w:color w:val="000000" w:themeColor="text1"/>
        </w:rPr>
        <w:t>和</w:t>
      </w:r>
      <m:oMath>
        <m:sSubSup>
          <m:sSubSupPr>
            <m:ctrlPr>
              <w:rPr>
                <w:rFonts w:ascii="Cambria Math" w:hAnsi="Cambria Math" w:cs="Times New Roman"/>
                <w:color w:val="000000" w:themeColor="text1"/>
              </w:rPr>
            </m:ctrlPr>
          </m:sSubSupPr>
          <m:e>
            <m:r>
              <w:rPr>
                <w:rFonts w:ascii="Cambria Math" w:hAnsi="Cambria Math" w:cs="Times New Roman"/>
                <w:color w:val="000000" w:themeColor="text1"/>
              </w:rPr>
              <m:t>β</m:t>
            </m:r>
          </m:e>
          <m:sub>
            <m:r>
              <w:rPr>
                <w:rFonts w:ascii="Cambria Math" w:hAnsi="Cambria Math" w:cs="Times New Roman"/>
                <w:color w:val="000000" w:themeColor="text1"/>
              </w:rPr>
              <m:t>2</m:t>
            </m:r>
          </m:sub>
          <m:sup>
            <m:r>
              <w:rPr>
                <w:rFonts w:ascii="Cambria Math" w:hAnsi="Cambria Math" w:cs="Times New Roman"/>
                <w:color w:val="000000" w:themeColor="text1"/>
              </w:rPr>
              <m:t>T</m:t>
            </m:r>
          </m:sup>
        </m:sSubSup>
      </m:oMath>
      <w:r w:rsidRPr="00FE771B">
        <w:rPr>
          <w:rFonts w:ascii="Times New Roman" w:hAnsi="Times New Roman" w:cs="Times New Roman"/>
          <w:color w:val="000000" w:themeColor="text1"/>
        </w:rPr>
        <w:t>，</w:t>
      </w:r>
      <m:oMath>
        <m:r>
          <w:rPr>
            <w:rFonts w:ascii="Cambria Math" w:hAnsi="Cambria Math" w:cs="Times New Roman"/>
            <w:color w:val="000000" w:themeColor="text1"/>
            <w:szCs w:val="21"/>
          </w:rPr>
          <m:t xml:space="preserve"> Yea</m:t>
        </m:r>
        <m:sSub>
          <m:sSubPr>
            <m:ctrlPr>
              <w:rPr>
                <w:rFonts w:ascii="Cambria Math" w:hAnsi="Cambria Math" w:cs="Times New Roman"/>
                <w:i/>
                <w:color w:val="000000" w:themeColor="text1"/>
                <w:szCs w:val="21"/>
              </w:rPr>
            </m:ctrlPr>
          </m:sSubPr>
          <m:e>
            <m:r>
              <w:rPr>
                <w:rFonts w:ascii="Cambria Math" w:hAnsi="Cambria Math" w:cs="Times New Roman"/>
                <w:color w:val="000000" w:themeColor="text1"/>
                <w:szCs w:val="21"/>
              </w:rPr>
              <m:t>r</m:t>
            </m:r>
          </m:e>
          <m:sub>
            <m:r>
              <w:rPr>
                <w:rFonts w:ascii="Cambria Math" w:hAnsi="Cambria Math" w:cs="Times New Roman"/>
                <w:color w:val="000000" w:themeColor="text1"/>
                <w:szCs w:val="21"/>
              </w:rPr>
              <m:t>t</m:t>
            </m:r>
          </m:sub>
        </m:sSub>
      </m:oMath>
      <w:r w:rsidR="00F54679" w:rsidRPr="00FE771B">
        <w:rPr>
          <w:rFonts w:ascii="Times New Roman" w:hAnsi="Times New Roman" w:cs="Times New Roman"/>
          <w:color w:val="000000" w:themeColor="text1"/>
          <w:szCs w:val="21"/>
        </w:rPr>
        <w:t>为年份固定效应，</w:t>
      </w:r>
      <m:oMath>
        <m:sSub>
          <m:sSubPr>
            <m:ctrlPr>
              <w:rPr>
                <w:rFonts w:ascii="Cambria Math" w:hAnsi="Cambria Math" w:cs="Times New Roman"/>
                <w:i/>
                <w:color w:val="000000" w:themeColor="text1"/>
                <w:szCs w:val="21"/>
              </w:rPr>
            </m:ctrlPr>
          </m:sSubPr>
          <m:e>
            <m:r>
              <w:rPr>
                <w:rFonts w:ascii="Cambria Math" w:hAnsi="Cambria Math" w:cs="Times New Roman"/>
                <w:color w:val="000000" w:themeColor="text1"/>
                <w:szCs w:val="21"/>
              </w:rPr>
              <m:t>Firm</m:t>
            </m:r>
          </m:e>
          <m:sub>
            <m:r>
              <w:rPr>
                <w:rFonts w:ascii="Cambria Math" w:hAnsi="Cambria Math" w:cs="Times New Roman"/>
                <w:color w:val="000000" w:themeColor="text1"/>
                <w:szCs w:val="21"/>
              </w:rPr>
              <m:t>i</m:t>
            </m:r>
          </m:sub>
        </m:sSub>
      </m:oMath>
      <w:r w:rsidR="00F54679" w:rsidRPr="00FE771B">
        <w:rPr>
          <w:rFonts w:ascii="Times New Roman" w:hAnsi="Times New Roman" w:cs="Times New Roman"/>
          <w:color w:val="000000" w:themeColor="text1"/>
          <w:szCs w:val="21"/>
        </w:rPr>
        <w:t>为企业固定效应，</w:t>
      </w:r>
      <m:oMath>
        <m:sSub>
          <m:sSubPr>
            <m:ctrlPr>
              <w:rPr>
                <w:rFonts w:ascii="Cambria Math" w:hAnsi="Cambria Math" w:cs="Times New Roman"/>
                <w:i/>
                <w:color w:val="000000" w:themeColor="text1"/>
                <w:sz w:val="18"/>
                <w:szCs w:val="18"/>
              </w:rPr>
            </m:ctrlPr>
          </m:sSubPr>
          <m:e>
            <m:r>
              <m:rPr>
                <m:sty m:val="p"/>
              </m:rPr>
              <w:rPr>
                <w:rFonts w:ascii="Cambria Math" w:hAnsi="Cambria Math" w:cs="Times New Roman"/>
                <w:color w:val="000000" w:themeColor="text1"/>
                <w:sz w:val="18"/>
                <w:szCs w:val="18"/>
              </w:rPr>
              <m:t>ϵ</m:t>
            </m:r>
          </m:e>
          <m:sub>
            <m:r>
              <w:rPr>
                <w:rFonts w:ascii="Cambria Math" w:hAnsi="Cambria Math" w:cs="Times New Roman"/>
                <w:color w:val="000000" w:themeColor="text1"/>
                <w:sz w:val="18"/>
                <w:szCs w:val="18"/>
              </w:rPr>
              <m:t>i,t</m:t>
            </m:r>
          </m:sub>
        </m:sSub>
      </m:oMath>
      <w:r w:rsidR="00B96933" w:rsidRPr="00FE771B">
        <w:rPr>
          <w:rFonts w:ascii="Times New Roman" w:hAnsi="Times New Roman" w:cs="Times New Roman"/>
          <w:color w:val="000000" w:themeColor="text1"/>
        </w:rPr>
        <w:t>为随机误差项。</w:t>
      </w:r>
      <w:r w:rsidR="00943C0E" w:rsidRPr="00FE771B">
        <w:rPr>
          <w:rFonts w:ascii="Times New Roman" w:hAnsi="Times New Roman" w:cs="Times New Roman"/>
          <w:color w:val="000000" w:themeColor="text1"/>
          <w:szCs w:val="21"/>
        </w:rPr>
        <w:t>本</w:t>
      </w:r>
      <w:r w:rsidR="00943C0E" w:rsidRPr="00FE771B">
        <w:rPr>
          <w:rFonts w:ascii="Times New Roman" w:hAnsi="Times New Roman" w:cs="Times New Roman"/>
          <w:color w:val="000000" w:themeColor="text1"/>
        </w:rPr>
        <w:t>文重点关注变量</w:t>
      </w:r>
      <w:proofErr w:type="spellStart"/>
      <w:r w:rsidR="00943C0E" w:rsidRPr="00FE771B">
        <w:rPr>
          <w:rFonts w:ascii="Times New Roman" w:hAnsi="Times New Roman" w:cs="Times New Roman"/>
          <w:i/>
          <w:color w:val="000000" w:themeColor="text1"/>
        </w:rPr>
        <w:t>Vam_logit</w:t>
      </w:r>
      <w:proofErr w:type="spellEnd"/>
      <w:r w:rsidR="00943C0E" w:rsidRPr="00FE771B">
        <w:rPr>
          <w:rFonts w:ascii="Times New Roman" w:hAnsi="Times New Roman" w:cs="Times New Roman"/>
          <w:color w:val="000000" w:themeColor="text1"/>
        </w:rPr>
        <w:t>和</w:t>
      </w:r>
      <w:r w:rsidR="00943C0E" w:rsidRPr="00FE771B">
        <w:rPr>
          <w:rFonts w:ascii="Times New Roman" w:hAnsi="Times New Roman" w:cs="Times New Roman"/>
          <w:color w:val="000000" w:themeColor="text1"/>
        </w:rPr>
        <w:t xml:space="preserve"> </w:t>
      </w:r>
      <w:proofErr w:type="spellStart"/>
      <w:r w:rsidR="00943C0E" w:rsidRPr="00FE771B">
        <w:rPr>
          <w:rFonts w:ascii="Times New Roman" w:hAnsi="Times New Roman" w:cs="Times New Roman"/>
          <w:i/>
          <w:color w:val="000000" w:themeColor="text1"/>
        </w:rPr>
        <w:t>Vam_numbers</w:t>
      </w:r>
      <w:proofErr w:type="spellEnd"/>
      <w:r w:rsidR="00943C0E" w:rsidRPr="00FE771B">
        <w:rPr>
          <w:rFonts w:ascii="Times New Roman" w:hAnsi="Times New Roman" w:cs="Times New Roman"/>
          <w:color w:val="000000" w:themeColor="text1"/>
        </w:rPr>
        <w:t>的回归系数</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α</m:t>
            </m:r>
          </m:e>
          <m:sub>
            <m:r>
              <w:rPr>
                <w:rFonts w:ascii="Cambria Math" w:hAnsi="Cambria Math" w:cs="Times New Roman"/>
                <w:color w:val="000000" w:themeColor="text1"/>
              </w:rPr>
              <m:t>1</m:t>
            </m:r>
          </m:sub>
        </m:sSub>
        <m:sSub>
          <m:sSubPr>
            <m:ctrlPr>
              <w:rPr>
                <w:rFonts w:ascii="Cambria Math" w:hAnsi="Cambria Math" w:cs="Times New Roman"/>
                <w:i/>
                <w:color w:val="000000" w:themeColor="text1"/>
              </w:rPr>
            </m:ctrlPr>
          </m:sSubPr>
          <m:e>
            <m:r>
              <m:rPr>
                <m:sty m:val="p"/>
              </m:rPr>
              <w:rPr>
                <w:rFonts w:ascii="Cambria Math" w:hAnsi="Cambria Math" w:cs="Times New Roman"/>
                <w:color w:val="000000" w:themeColor="text1"/>
              </w:rPr>
              <m:t>和</m:t>
            </m:r>
            <m:r>
              <w:rPr>
                <w:rFonts w:ascii="Cambria Math" w:hAnsi="Cambria Math" w:cs="Times New Roman"/>
                <w:color w:val="000000" w:themeColor="text1"/>
              </w:rPr>
              <m:t>β</m:t>
            </m:r>
          </m:e>
          <m:sub>
            <m:r>
              <w:rPr>
                <w:rFonts w:ascii="Cambria Math" w:hAnsi="Cambria Math" w:cs="Times New Roman"/>
                <w:color w:val="000000" w:themeColor="text1"/>
              </w:rPr>
              <m:t>1</m:t>
            </m:r>
          </m:sub>
        </m:sSub>
      </m:oMath>
      <w:r w:rsidR="00F54679" w:rsidRPr="00FE771B">
        <w:rPr>
          <w:rFonts w:ascii="Times New Roman" w:hAnsi="Times New Roman" w:cs="Times New Roman"/>
          <w:color w:val="000000" w:themeColor="text1"/>
        </w:rPr>
        <w:t>为</w:t>
      </w:r>
      <w:r w:rsidR="00C737C7" w:rsidRPr="00FE771B">
        <w:rPr>
          <w:rFonts w:ascii="Times New Roman" w:hAnsi="Times New Roman" w:cs="Times New Roman"/>
          <w:color w:val="000000" w:themeColor="text1"/>
        </w:rPr>
        <w:t>，若</w:t>
      </w:r>
      <w:r w:rsidR="00F54679" w:rsidRPr="00FE771B">
        <w:rPr>
          <w:rFonts w:ascii="Times New Roman" w:hAnsi="Times New Roman" w:cs="Times New Roman"/>
          <w:color w:val="000000" w:themeColor="text1"/>
        </w:rPr>
        <w:t>它们</w:t>
      </w:r>
      <w:r w:rsidR="00C737C7" w:rsidRPr="00FE771B">
        <w:rPr>
          <w:rFonts w:ascii="Times New Roman" w:hAnsi="Times New Roman" w:cs="Times New Roman"/>
          <w:color w:val="000000" w:themeColor="text1"/>
        </w:rPr>
        <w:t>显著为正，说明签订业绩承诺协议</w:t>
      </w:r>
      <w:r w:rsidR="00A21862" w:rsidRPr="00FE771B">
        <w:rPr>
          <w:rFonts w:ascii="Times New Roman" w:hAnsi="Times New Roman" w:cs="Times New Roman"/>
          <w:color w:val="000000" w:themeColor="text1"/>
        </w:rPr>
        <w:t>导致上市公司</w:t>
      </w:r>
      <w:r w:rsidR="00975029" w:rsidRPr="00FE771B">
        <w:rPr>
          <w:rFonts w:ascii="Times New Roman" w:hAnsi="Times New Roman" w:cs="Times New Roman"/>
          <w:color w:val="000000" w:themeColor="text1"/>
        </w:rPr>
        <w:t>经营投资更加偏好于金融资产，加剧上市公司从实业投资转向虚拟投资，若</w:t>
      </w:r>
      <w:r w:rsidR="00F54679" w:rsidRPr="00FE771B">
        <w:rPr>
          <w:rFonts w:ascii="Times New Roman" w:hAnsi="Times New Roman" w:cs="Times New Roman"/>
          <w:color w:val="000000" w:themeColor="text1"/>
        </w:rPr>
        <w:t>它们</w:t>
      </w:r>
      <w:r w:rsidR="00975029" w:rsidRPr="00FE771B">
        <w:rPr>
          <w:rFonts w:ascii="Times New Roman" w:hAnsi="Times New Roman" w:cs="Times New Roman"/>
          <w:color w:val="000000" w:themeColor="text1"/>
        </w:rPr>
        <w:t>不显著则说明签订业绩承诺协议对上市公司投资偏好没有影响，这一行为</w:t>
      </w:r>
      <w:r w:rsidR="003420C8" w:rsidRPr="00FE771B">
        <w:rPr>
          <w:rFonts w:ascii="Times New Roman" w:hAnsi="Times New Roman" w:cs="Times New Roman"/>
          <w:color w:val="000000" w:themeColor="text1"/>
        </w:rPr>
        <w:t>并不会加剧上市公司</w:t>
      </w:r>
      <w:r w:rsidR="003420C8" w:rsidRPr="00FE771B">
        <w:rPr>
          <w:rFonts w:ascii="Times New Roman" w:hAnsi="Times New Roman" w:cs="Times New Roman"/>
          <w:color w:val="000000" w:themeColor="text1"/>
        </w:rPr>
        <w:t>“</w:t>
      </w:r>
      <w:r w:rsidR="003420C8" w:rsidRPr="00FE771B">
        <w:rPr>
          <w:rFonts w:ascii="Times New Roman" w:hAnsi="Times New Roman" w:cs="Times New Roman"/>
          <w:color w:val="000000" w:themeColor="text1"/>
        </w:rPr>
        <w:t>脱实向虚</w:t>
      </w:r>
      <w:r w:rsidR="003420C8" w:rsidRPr="00FE771B">
        <w:rPr>
          <w:rFonts w:ascii="Times New Roman" w:hAnsi="Times New Roman" w:cs="Times New Roman"/>
          <w:color w:val="000000" w:themeColor="text1"/>
        </w:rPr>
        <w:t>”</w:t>
      </w:r>
      <w:r w:rsidR="003420C8" w:rsidRPr="00FE771B">
        <w:rPr>
          <w:rFonts w:ascii="Times New Roman" w:hAnsi="Times New Roman" w:cs="Times New Roman"/>
          <w:color w:val="000000" w:themeColor="text1"/>
        </w:rPr>
        <w:t>。</w:t>
      </w:r>
    </w:p>
    <w:p w:rsidR="000D68F0" w:rsidRPr="00FE771B" w:rsidRDefault="000D68F0" w:rsidP="00C737C7">
      <w:pPr>
        <w:ind w:firstLine="420"/>
        <w:rPr>
          <w:rFonts w:ascii="Times New Roman" w:hAnsi="Times New Roman" w:cs="Times New Roman"/>
          <w:color w:val="FF0000"/>
        </w:rPr>
      </w:pPr>
    </w:p>
    <w:p w:rsidR="008810E1" w:rsidRPr="00FE771B" w:rsidRDefault="008810E1" w:rsidP="000E4628">
      <w:pPr>
        <w:pStyle w:val="1"/>
        <w:rPr>
          <w:rFonts w:ascii="Times New Roman" w:hAnsi="Times New Roman" w:cs="Times New Roman"/>
        </w:rPr>
      </w:pPr>
      <w:r w:rsidRPr="00FE771B">
        <w:rPr>
          <w:rFonts w:ascii="Times New Roman" w:eastAsia="黑体" w:hAnsi="Times New Roman" w:cs="Times New Roman"/>
          <w:b w:val="0"/>
          <w:bCs w:val="0"/>
          <w:kern w:val="2"/>
          <w:szCs w:val="28"/>
        </w:rPr>
        <w:t>四、假设检验结果分析</w:t>
      </w:r>
    </w:p>
    <w:p w:rsidR="0058460B" w:rsidRPr="00FE771B" w:rsidRDefault="00E14128" w:rsidP="00EE0516">
      <w:pPr>
        <w:pStyle w:val="20"/>
        <w:ind w:firstLine="422"/>
        <w:rPr>
          <w:b/>
        </w:rPr>
      </w:pPr>
      <w:r w:rsidRPr="00FE771B">
        <w:rPr>
          <w:b/>
        </w:rPr>
        <w:t>(</w:t>
      </w:r>
      <w:proofErr w:type="gramStart"/>
      <w:r w:rsidRPr="00FE771B">
        <w:rPr>
          <w:b/>
        </w:rPr>
        <w:t>一</w:t>
      </w:r>
      <w:proofErr w:type="gramEnd"/>
      <w:r w:rsidRPr="00FE771B">
        <w:rPr>
          <w:b/>
        </w:rPr>
        <w:t>)</w:t>
      </w:r>
      <w:r w:rsidR="0058460B" w:rsidRPr="00FE771B">
        <w:rPr>
          <w:b/>
        </w:rPr>
        <w:t>描述性统计</w:t>
      </w:r>
    </w:p>
    <w:p w:rsidR="00F31BEF" w:rsidRPr="00FE771B" w:rsidRDefault="0058460B" w:rsidP="0058460B">
      <w:pPr>
        <w:ind w:firstLine="420"/>
        <w:rPr>
          <w:rFonts w:ascii="Times New Roman" w:hAnsi="Times New Roman" w:cs="Times New Roman"/>
        </w:rPr>
      </w:pPr>
      <w:r w:rsidRPr="00FE771B">
        <w:rPr>
          <w:rFonts w:ascii="Times New Roman" w:hAnsi="Times New Roman" w:cs="Times New Roman"/>
        </w:rPr>
        <w:t>表</w:t>
      </w:r>
      <w:r w:rsidR="00F31BEF" w:rsidRPr="00FE771B">
        <w:rPr>
          <w:rFonts w:ascii="Times New Roman" w:hAnsi="Times New Roman" w:cs="Times New Roman"/>
        </w:rPr>
        <w:t>2</w:t>
      </w:r>
      <w:r w:rsidRPr="00FE771B">
        <w:rPr>
          <w:rFonts w:ascii="Times New Roman" w:hAnsi="Times New Roman" w:cs="Times New Roman"/>
        </w:rPr>
        <w:t>列出各变量的描述性统计结果，包括样本数量、</w:t>
      </w:r>
      <w:r w:rsidRPr="00FE771B">
        <w:rPr>
          <w:rFonts w:ascii="Times New Roman" w:hAnsi="Times New Roman" w:cs="Times New Roman"/>
        </w:rPr>
        <w:t>25</w:t>
      </w:r>
      <w:r w:rsidRPr="00FE771B">
        <w:rPr>
          <w:rFonts w:ascii="Times New Roman" w:hAnsi="Times New Roman" w:cs="Times New Roman"/>
        </w:rPr>
        <w:t>分位数、</w:t>
      </w:r>
      <w:r w:rsidRPr="00FE771B">
        <w:rPr>
          <w:rFonts w:ascii="Times New Roman" w:hAnsi="Times New Roman" w:cs="Times New Roman"/>
        </w:rPr>
        <w:t>75</w:t>
      </w:r>
      <w:r w:rsidRPr="00FE771B">
        <w:rPr>
          <w:rFonts w:ascii="Times New Roman" w:hAnsi="Times New Roman" w:cs="Times New Roman"/>
        </w:rPr>
        <w:t>分位数、均值、标准差等信息。</w:t>
      </w:r>
    </w:p>
    <w:p w:rsidR="0058460B" w:rsidRPr="00FE771B" w:rsidRDefault="00F31BEF" w:rsidP="0058460B">
      <w:pPr>
        <w:ind w:firstLine="420"/>
        <w:rPr>
          <w:rFonts w:ascii="Times New Roman" w:hAnsi="Times New Roman" w:cs="Times New Roman"/>
        </w:rPr>
      </w:pPr>
      <w:r w:rsidRPr="00FE771B">
        <w:rPr>
          <w:rFonts w:ascii="Times New Roman" w:hAnsi="Times New Roman" w:cs="Times New Roman"/>
        </w:rPr>
        <w:t>我们首先对上市公司</w:t>
      </w:r>
      <w:r w:rsidRPr="00FE771B">
        <w:rPr>
          <w:rFonts w:ascii="Times New Roman" w:hAnsi="Times New Roman" w:cs="Times New Roman"/>
        </w:rPr>
        <w:t>“</w:t>
      </w:r>
      <w:r w:rsidRPr="00FE771B">
        <w:rPr>
          <w:rFonts w:ascii="Times New Roman" w:hAnsi="Times New Roman" w:cs="Times New Roman"/>
        </w:rPr>
        <w:t>脱实向虚</w:t>
      </w:r>
      <w:r w:rsidRPr="00FE771B">
        <w:rPr>
          <w:rFonts w:ascii="Times New Roman" w:hAnsi="Times New Roman" w:cs="Times New Roman"/>
        </w:rPr>
        <w:t>”</w:t>
      </w:r>
      <w:r w:rsidRPr="00FE771B">
        <w:rPr>
          <w:rFonts w:ascii="Times New Roman" w:hAnsi="Times New Roman" w:cs="Times New Roman"/>
        </w:rPr>
        <w:t>的情况进行分析，上市公司金融资产占总资产比重平均为</w:t>
      </w:r>
      <w:r w:rsidRPr="00FE771B">
        <w:rPr>
          <w:rFonts w:ascii="Times New Roman" w:hAnsi="Times New Roman" w:cs="Times New Roman"/>
          <w:color w:val="000000" w:themeColor="text1"/>
        </w:rPr>
        <w:t>2</w:t>
      </w:r>
      <w:r w:rsidR="0042353E" w:rsidRPr="00FE771B">
        <w:rPr>
          <w:rFonts w:ascii="Times New Roman" w:hAnsi="Times New Roman" w:cs="Times New Roman"/>
          <w:color w:val="000000" w:themeColor="text1"/>
        </w:rPr>
        <w:t>.</w:t>
      </w:r>
      <w:r w:rsidRPr="00FE771B">
        <w:rPr>
          <w:rFonts w:ascii="Times New Roman" w:hAnsi="Times New Roman" w:cs="Times New Roman"/>
          <w:color w:val="000000" w:themeColor="text1"/>
        </w:rPr>
        <w:t>7</w:t>
      </w:r>
      <w:r w:rsidR="001F6ACD" w:rsidRPr="00FE771B">
        <w:rPr>
          <w:rFonts w:ascii="Times New Roman" w:hAnsi="Times New Roman" w:cs="Times New Roman"/>
          <w:color w:val="000000" w:themeColor="text1"/>
        </w:rPr>
        <w:t>7</w:t>
      </w:r>
      <w:r w:rsidRPr="00FE771B">
        <w:rPr>
          <w:rFonts w:ascii="Times New Roman" w:hAnsi="Times New Roman" w:cs="Times New Roman"/>
          <w:color w:val="000000" w:themeColor="text1"/>
        </w:rPr>
        <w:t>%</w:t>
      </w:r>
      <w:r w:rsidRPr="00FE771B">
        <w:rPr>
          <w:rFonts w:ascii="Times New Roman" w:hAnsi="Times New Roman" w:cs="Times New Roman"/>
          <w:color w:val="000000" w:themeColor="text1"/>
        </w:rPr>
        <w:t>，最大值为</w:t>
      </w:r>
      <w:r w:rsidR="0042353E" w:rsidRPr="00FE771B">
        <w:rPr>
          <w:rFonts w:ascii="Times New Roman" w:hAnsi="Times New Roman" w:cs="Times New Roman"/>
          <w:color w:val="000000" w:themeColor="text1"/>
        </w:rPr>
        <w:t>84</w:t>
      </w:r>
      <w:r w:rsidR="00B72D44" w:rsidRPr="00FE771B">
        <w:rPr>
          <w:rFonts w:ascii="Times New Roman" w:hAnsi="Times New Roman" w:cs="Times New Roman"/>
          <w:color w:val="000000" w:themeColor="text1"/>
        </w:rPr>
        <w:t>.</w:t>
      </w:r>
      <w:r w:rsidR="0042353E" w:rsidRPr="00FE771B">
        <w:rPr>
          <w:rFonts w:ascii="Times New Roman" w:hAnsi="Times New Roman" w:cs="Times New Roman"/>
          <w:color w:val="000000" w:themeColor="text1"/>
        </w:rPr>
        <w:t>5%</w:t>
      </w:r>
      <w:r w:rsidR="0042353E" w:rsidRPr="00FE771B">
        <w:rPr>
          <w:rFonts w:ascii="Times New Roman" w:hAnsi="Times New Roman" w:cs="Times New Roman"/>
          <w:color w:val="000000" w:themeColor="text1"/>
        </w:rPr>
        <w:t>，标准差为</w:t>
      </w:r>
      <w:r w:rsidR="0042353E" w:rsidRPr="00FE771B">
        <w:rPr>
          <w:rFonts w:ascii="Times New Roman" w:hAnsi="Times New Roman" w:cs="Times New Roman"/>
          <w:color w:val="000000" w:themeColor="text1"/>
        </w:rPr>
        <w:t>0.6</w:t>
      </w:r>
      <w:r w:rsidR="001F6ACD" w:rsidRPr="00FE771B">
        <w:rPr>
          <w:rFonts w:ascii="Times New Roman" w:hAnsi="Times New Roman" w:cs="Times New Roman"/>
          <w:color w:val="000000" w:themeColor="text1"/>
        </w:rPr>
        <w:t>09</w:t>
      </w:r>
      <w:r w:rsidR="0042353E" w:rsidRPr="00FE771B">
        <w:rPr>
          <w:rFonts w:ascii="Times New Roman" w:hAnsi="Times New Roman" w:cs="Times New Roman"/>
          <w:color w:val="000000" w:themeColor="text1"/>
        </w:rPr>
        <w:t>，</w:t>
      </w:r>
      <w:r w:rsidR="0042353E" w:rsidRPr="00FE771B">
        <w:rPr>
          <w:rFonts w:ascii="Times New Roman" w:hAnsi="Times New Roman" w:cs="Times New Roman"/>
        </w:rPr>
        <w:t>反映了公司间持有的金融资产差异较大，图</w:t>
      </w:r>
      <w:r w:rsidR="0042353E" w:rsidRPr="00FE771B">
        <w:rPr>
          <w:rFonts w:ascii="Times New Roman" w:hAnsi="Times New Roman" w:cs="Times New Roman"/>
        </w:rPr>
        <w:t>5</w:t>
      </w:r>
      <w:r w:rsidR="0042353E" w:rsidRPr="00FE771B">
        <w:rPr>
          <w:rFonts w:ascii="Times New Roman" w:hAnsi="Times New Roman" w:cs="Times New Roman"/>
        </w:rPr>
        <w:t>进一步从纵向变化角度观察了历年上市公司金融资产持有变化，从趋势上看上市公司持有的金融资产比例不断提高</w:t>
      </w:r>
      <w:r w:rsidR="004752B0" w:rsidRPr="00FE771B">
        <w:rPr>
          <w:rFonts w:ascii="Times New Roman" w:hAnsi="Times New Roman" w:cs="Times New Roman"/>
        </w:rPr>
        <w:t>，这</w:t>
      </w:r>
      <w:r w:rsidR="00797740" w:rsidRPr="00FE771B">
        <w:rPr>
          <w:rFonts w:ascii="Times New Roman" w:hAnsi="Times New Roman" w:cs="Times New Roman"/>
        </w:rPr>
        <w:t>也印证了前言分析中的一些事实</w:t>
      </w:r>
      <w:r w:rsidR="004752B0" w:rsidRPr="00FE771B">
        <w:rPr>
          <w:rFonts w:ascii="Times New Roman" w:hAnsi="Times New Roman" w:cs="Times New Roman"/>
        </w:rPr>
        <w:t>，</w:t>
      </w:r>
      <w:r w:rsidR="00797740" w:rsidRPr="00FE771B">
        <w:rPr>
          <w:rFonts w:ascii="Times New Roman" w:hAnsi="Times New Roman" w:cs="Times New Roman"/>
        </w:rPr>
        <w:t>实体的孱弱和虚拟的过盛与上市公司投资偏好变化基本一致</w:t>
      </w:r>
      <w:r w:rsidR="00DA06C9" w:rsidRPr="00FE771B">
        <w:rPr>
          <w:rFonts w:ascii="Times New Roman" w:hAnsi="Times New Roman" w:cs="Times New Roman"/>
        </w:rPr>
        <w:t>。</w:t>
      </w:r>
      <w:r w:rsidR="00797740" w:rsidRPr="00FE771B">
        <w:rPr>
          <w:rFonts w:ascii="Times New Roman" w:hAnsi="Times New Roman" w:cs="Times New Roman"/>
        </w:rPr>
        <w:t>从业绩承诺变量看，</w:t>
      </w:r>
      <w:proofErr w:type="spellStart"/>
      <w:r w:rsidR="0058460B" w:rsidRPr="00FE771B">
        <w:rPr>
          <w:rFonts w:ascii="Times New Roman" w:hAnsi="Times New Roman" w:cs="Times New Roman"/>
          <w:i/>
        </w:rPr>
        <w:t>Vam_logit</w:t>
      </w:r>
      <w:proofErr w:type="spellEnd"/>
      <w:r w:rsidR="0058460B" w:rsidRPr="00FE771B">
        <w:rPr>
          <w:rFonts w:ascii="Times New Roman" w:hAnsi="Times New Roman" w:cs="Times New Roman"/>
        </w:rPr>
        <w:t>均值为</w:t>
      </w:r>
      <w:r w:rsidR="0058460B" w:rsidRPr="00FE771B">
        <w:rPr>
          <w:rFonts w:ascii="Times New Roman" w:hAnsi="Times New Roman" w:cs="Times New Roman"/>
        </w:rPr>
        <w:t>0.344</w:t>
      </w:r>
      <w:r w:rsidR="0058460B" w:rsidRPr="00FE771B">
        <w:rPr>
          <w:rFonts w:ascii="Times New Roman" w:hAnsi="Times New Roman" w:cs="Times New Roman"/>
        </w:rPr>
        <w:t>，说明样本期内三分之一以上的上市公司签订</w:t>
      </w:r>
      <w:r w:rsidR="002D29DC" w:rsidRPr="00FE771B">
        <w:rPr>
          <w:rFonts w:ascii="Times New Roman" w:hAnsi="Times New Roman" w:cs="Times New Roman"/>
        </w:rPr>
        <w:t>业绩承诺</w:t>
      </w:r>
      <w:r w:rsidR="00797740" w:rsidRPr="00FE771B">
        <w:rPr>
          <w:rFonts w:ascii="Times New Roman" w:hAnsi="Times New Roman" w:cs="Times New Roman"/>
        </w:rPr>
        <w:t>；</w:t>
      </w:r>
      <w:proofErr w:type="spellStart"/>
      <w:r w:rsidR="0058460B" w:rsidRPr="00FE771B">
        <w:rPr>
          <w:rFonts w:ascii="Times New Roman" w:hAnsi="Times New Roman" w:cs="Times New Roman"/>
          <w:i/>
        </w:rPr>
        <w:t>Vam_numbers</w:t>
      </w:r>
      <w:proofErr w:type="spellEnd"/>
      <w:r w:rsidR="0058460B" w:rsidRPr="00FE771B">
        <w:rPr>
          <w:rFonts w:ascii="Times New Roman" w:hAnsi="Times New Roman" w:cs="Times New Roman"/>
        </w:rPr>
        <w:t>的</w:t>
      </w:r>
      <w:r w:rsidR="0046662E" w:rsidRPr="00FE771B">
        <w:rPr>
          <w:rFonts w:ascii="Times New Roman" w:hAnsi="Times New Roman" w:cs="Times New Roman"/>
        </w:rPr>
        <w:t>均值为</w:t>
      </w:r>
      <w:r w:rsidR="0046662E" w:rsidRPr="00FE771B">
        <w:rPr>
          <w:rFonts w:ascii="Times New Roman" w:hAnsi="Times New Roman" w:cs="Times New Roman"/>
        </w:rPr>
        <w:t>0.486</w:t>
      </w:r>
      <w:r w:rsidR="0046662E" w:rsidRPr="00FE771B">
        <w:rPr>
          <w:rFonts w:ascii="Times New Roman" w:hAnsi="Times New Roman" w:cs="Times New Roman"/>
        </w:rPr>
        <w:t>次，而</w:t>
      </w:r>
      <w:r w:rsidR="0058460B" w:rsidRPr="00FE771B">
        <w:rPr>
          <w:rFonts w:ascii="Times New Roman" w:hAnsi="Times New Roman" w:cs="Times New Roman"/>
        </w:rPr>
        <w:t>最大值为</w:t>
      </w:r>
      <w:r w:rsidR="0058460B" w:rsidRPr="00FE771B">
        <w:rPr>
          <w:rFonts w:ascii="Times New Roman" w:hAnsi="Times New Roman" w:cs="Times New Roman"/>
        </w:rPr>
        <w:t>11</w:t>
      </w:r>
      <w:r w:rsidR="0058460B" w:rsidRPr="00FE771B">
        <w:rPr>
          <w:rFonts w:ascii="Times New Roman" w:hAnsi="Times New Roman" w:cs="Times New Roman"/>
        </w:rPr>
        <w:t>，</w:t>
      </w:r>
      <w:r w:rsidR="0046662E" w:rsidRPr="00FE771B">
        <w:rPr>
          <w:rFonts w:ascii="Times New Roman" w:hAnsi="Times New Roman" w:cs="Times New Roman"/>
        </w:rPr>
        <w:t>表明一些上市公司在某一年份内竟然签署了</w:t>
      </w:r>
      <w:r w:rsidR="0046662E" w:rsidRPr="00FE771B">
        <w:rPr>
          <w:rFonts w:ascii="Times New Roman" w:hAnsi="Times New Roman" w:cs="Times New Roman"/>
        </w:rPr>
        <w:t>11</w:t>
      </w:r>
      <w:r w:rsidR="0046662E" w:rsidRPr="00FE771B">
        <w:rPr>
          <w:rFonts w:ascii="Times New Roman" w:hAnsi="Times New Roman" w:cs="Times New Roman"/>
        </w:rPr>
        <w:t>份业绩承诺协议，但考虑到</w:t>
      </w:r>
      <w:r w:rsidR="0046662E" w:rsidRPr="00FE771B">
        <w:rPr>
          <w:rFonts w:ascii="Times New Roman" w:hAnsi="Times New Roman" w:cs="Times New Roman"/>
        </w:rPr>
        <w:t>75</w:t>
      </w:r>
      <w:r w:rsidR="0046662E" w:rsidRPr="00FE771B">
        <w:rPr>
          <w:rFonts w:ascii="Times New Roman" w:hAnsi="Times New Roman" w:cs="Times New Roman"/>
        </w:rPr>
        <w:t>分位数仍为</w:t>
      </w:r>
      <w:r w:rsidR="0046662E" w:rsidRPr="00FE771B">
        <w:rPr>
          <w:rFonts w:ascii="Times New Roman" w:hAnsi="Times New Roman" w:cs="Times New Roman"/>
        </w:rPr>
        <w:t>1</w:t>
      </w:r>
      <w:r w:rsidR="0046662E" w:rsidRPr="00FE771B">
        <w:rPr>
          <w:rFonts w:ascii="Times New Roman" w:hAnsi="Times New Roman" w:cs="Times New Roman"/>
        </w:rPr>
        <w:t>，说明签订多份业绩承诺协议的上市公司还是少数</w:t>
      </w:r>
      <w:r w:rsidR="0058460B" w:rsidRPr="00FE771B">
        <w:rPr>
          <w:rFonts w:ascii="Times New Roman" w:hAnsi="Times New Roman" w:cs="Times New Roman"/>
        </w:rPr>
        <w:t>。</w:t>
      </w:r>
      <w:r w:rsidR="00601FDF" w:rsidRPr="00FE771B">
        <w:rPr>
          <w:rFonts w:ascii="Times New Roman" w:hAnsi="Times New Roman" w:cs="Times New Roman"/>
        </w:rPr>
        <w:t>从其他控制变量看，样本期内中国上市公司</w:t>
      </w:r>
      <w:proofErr w:type="gramStart"/>
      <w:r w:rsidR="00601FDF" w:rsidRPr="00FE771B">
        <w:rPr>
          <w:rFonts w:ascii="Times New Roman" w:hAnsi="Times New Roman" w:cs="Times New Roman"/>
        </w:rPr>
        <w:t>平均成立</w:t>
      </w:r>
      <w:proofErr w:type="gramEnd"/>
      <w:r w:rsidR="00601FDF" w:rsidRPr="00FE771B">
        <w:rPr>
          <w:rFonts w:ascii="Times New Roman" w:hAnsi="Times New Roman" w:cs="Times New Roman"/>
        </w:rPr>
        <w:t>年限为</w:t>
      </w:r>
      <w:r w:rsidR="007B06C8" w:rsidRPr="00FE771B">
        <w:rPr>
          <w:rFonts w:ascii="Times New Roman" w:hAnsi="Times New Roman" w:cs="Times New Roman"/>
        </w:rPr>
        <w:t>16</w:t>
      </w:r>
      <w:r w:rsidR="00601FDF" w:rsidRPr="00FE771B">
        <w:rPr>
          <w:rFonts w:ascii="Times New Roman" w:hAnsi="Times New Roman" w:cs="Times New Roman"/>
        </w:rPr>
        <w:t>年（</w:t>
      </w:r>
      <w:r w:rsidR="00601FDF" w:rsidRPr="00FE771B">
        <w:rPr>
          <w:rFonts w:ascii="Times New Roman" w:hAnsi="Times New Roman" w:cs="Times New Roman"/>
        </w:rPr>
        <w:t>e</w:t>
      </w:r>
      <w:r w:rsidR="007B06C8" w:rsidRPr="00FE771B">
        <w:rPr>
          <w:rFonts w:ascii="Times New Roman" w:hAnsi="Times New Roman" w:cs="Times New Roman"/>
          <w:vertAlign w:val="superscript"/>
        </w:rPr>
        <w:t>2.785</w:t>
      </w:r>
      <w:r w:rsidR="00601FDF" w:rsidRPr="00FE771B">
        <w:rPr>
          <w:rFonts w:ascii="Times New Roman" w:hAnsi="Times New Roman" w:cs="Times New Roman"/>
        </w:rPr>
        <w:t>），上市公司平均</w:t>
      </w:r>
      <w:r w:rsidR="0086638F" w:rsidRPr="00FE771B">
        <w:rPr>
          <w:rFonts w:ascii="Times New Roman" w:hAnsi="Times New Roman" w:cs="Times New Roman"/>
        </w:rPr>
        <w:t>总</w:t>
      </w:r>
      <w:r w:rsidR="00601FDF" w:rsidRPr="00FE771B">
        <w:rPr>
          <w:rFonts w:ascii="Times New Roman" w:hAnsi="Times New Roman" w:cs="Times New Roman"/>
        </w:rPr>
        <w:t>资产收益率为</w:t>
      </w:r>
      <w:r w:rsidR="00180772" w:rsidRPr="00FE771B">
        <w:rPr>
          <w:rFonts w:ascii="Times New Roman" w:hAnsi="Times New Roman" w:cs="Times New Roman"/>
        </w:rPr>
        <w:t>5</w:t>
      </w:r>
      <w:r w:rsidR="00601FDF" w:rsidRPr="00FE771B">
        <w:rPr>
          <w:rFonts w:ascii="Times New Roman" w:hAnsi="Times New Roman" w:cs="Times New Roman"/>
        </w:rPr>
        <w:t>.2%</w:t>
      </w:r>
      <w:r w:rsidR="00601FDF" w:rsidRPr="00FE771B">
        <w:rPr>
          <w:rFonts w:ascii="Times New Roman" w:hAnsi="Times New Roman" w:cs="Times New Roman"/>
        </w:rPr>
        <w:t>，营业收入平均增长率为</w:t>
      </w:r>
      <w:r w:rsidR="00601FDF" w:rsidRPr="00FE771B">
        <w:rPr>
          <w:rFonts w:ascii="Times New Roman" w:hAnsi="Times New Roman" w:cs="Times New Roman"/>
        </w:rPr>
        <w:t>20%</w:t>
      </w:r>
      <w:r w:rsidR="00601FDF" w:rsidRPr="00FE771B">
        <w:rPr>
          <w:rFonts w:ascii="Times New Roman" w:hAnsi="Times New Roman" w:cs="Times New Roman"/>
        </w:rPr>
        <w:t>，经营现金</w:t>
      </w:r>
      <w:proofErr w:type="gramStart"/>
      <w:r w:rsidR="00601FDF" w:rsidRPr="00FE771B">
        <w:rPr>
          <w:rFonts w:ascii="Times New Roman" w:hAnsi="Times New Roman" w:cs="Times New Roman"/>
        </w:rPr>
        <w:t>流平均</w:t>
      </w:r>
      <w:proofErr w:type="gramEnd"/>
      <w:r w:rsidR="00601FDF" w:rsidRPr="00FE771B">
        <w:rPr>
          <w:rFonts w:ascii="Times New Roman" w:hAnsi="Times New Roman" w:cs="Times New Roman"/>
        </w:rPr>
        <w:t>增长率为</w:t>
      </w:r>
      <w:r w:rsidR="00601FDF" w:rsidRPr="00FE771B">
        <w:rPr>
          <w:rFonts w:ascii="Times New Roman" w:hAnsi="Times New Roman" w:cs="Times New Roman"/>
        </w:rPr>
        <w:t>7.7%</w:t>
      </w:r>
      <w:r w:rsidR="00601FDF" w:rsidRPr="00FE771B">
        <w:rPr>
          <w:rFonts w:ascii="Times New Roman" w:hAnsi="Times New Roman" w:cs="Times New Roman"/>
        </w:rPr>
        <w:t>，平均资产负债率为</w:t>
      </w:r>
      <w:r w:rsidR="00601FDF" w:rsidRPr="00FE771B">
        <w:rPr>
          <w:rFonts w:ascii="Times New Roman" w:hAnsi="Times New Roman" w:cs="Times New Roman"/>
        </w:rPr>
        <w:t>41.5%</w:t>
      </w:r>
      <w:r w:rsidR="00180772" w:rsidRPr="00FE771B">
        <w:rPr>
          <w:rFonts w:ascii="Times New Roman" w:hAnsi="Times New Roman" w:cs="Times New Roman"/>
        </w:rPr>
        <w:t>。</w:t>
      </w:r>
      <w:r w:rsidR="00601FDF" w:rsidRPr="00FE771B">
        <w:rPr>
          <w:rFonts w:ascii="Times New Roman" w:hAnsi="Times New Roman" w:cs="Times New Roman"/>
        </w:rPr>
        <w:t>其他反映上市公司治理的控制变量为具体情况为：</w:t>
      </w:r>
      <w:r w:rsidR="00180772" w:rsidRPr="00FE771B">
        <w:rPr>
          <w:rFonts w:ascii="Times New Roman" w:hAnsi="Times New Roman" w:cs="Times New Roman"/>
        </w:rPr>
        <w:t>公司董事会规模平均为</w:t>
      </w:r>
      <w:r w:rsidR="00180772" w:rsidRPr="00FE771B">
        <w:rPr>
          <w:rFonts w:ascii="Times New Roman" w:hAnsi="Times New Roman" w:cs="Times New Roman"/>
        </w:rPr>
        <w:t>8.27</w:t>
      </w:r>
      <w:r w:rsidR="00180772" w:rsidRPr="00FE771B">
        <w:rPr>
          <w:rFonts w:ascii="Times New Roman" w:hAnsi="Times New Roman" w:cs="Times New Roman"/>
        </w:rPr>
        <w:t>人</w:t>
      </w:r>
      <w:r w:rsidR="00180772" w:rsidRPr="00FE771B">
        <w:rPr>
          <w:rFonts w:ascii="Times New Roman" w:hAnsi="Times New Roman" w:cs="Times New Roman"/>
        </w:rPr>
        <w:t>(e</w:t>
      </w:r>
      <w:r w:rsidR="00180772" w:rsidRPr="00FE771B">
        <w:rPr>
          <w:rFonts w:ascii="Times New Roman" w:hAnsi="Times New Roman" w:cs="Times New Roman"/>
          <w:vertAlign w:val="superscript"/>
        </w:rPr>
        <w:t>2.113</w:t>
      </w:r>
      <w:r w:rsidR="00180772" w:rsidRPr="00FE771B">
        <w:rPr>
          <w:rFonts w:ascii="Times New Roman" w:hAnsi="Times New Roman" w:cs="Times New Roman"/>
        </w:rPr>
        <w:t>)</w:t>
      </w:r>
      <w:r w:rsidR="00180772" w:rsidRPr="00FE771B">
        <w:rPr>
          <w:rFonts w:ascii="Times New Roman" w:hAnsi="Times New Roman" w:cs="Times New Roman"/>
        </w:rPr>
        <w:t>，</w:t>
      </w:r>
      <w:r w:rsidR="00601FDF" w:rsidRPr="00FE771B">
        <w:rPr>
          <w:rFonts w:ascii="Times New Roman" w:hAnsi="Times New Roman" w:cs="Times New Roman"/>
        </w:rPr>
        <w:t>机构持股比例均值为</w:t>
      </w:r>
      <w:r w:rsidR="00601FDF" w:rsidRPr="00FE771B">
        <w:rPr>
          <w:rFonts w:ascii="Times New Roman" w:hAnsi="Times New Roman" w:cs="Times New Roman"/>
        </w:rPr>
        <w:t>34</w:t>
      </w:r>
      <w:r w:rsidR="007B06C8" w:rsidRPr="00FE771B">
        <w:rPr>
          <w:rFonts w:ascii="Times New Roman" w:hAnsi="Times New Roman" w:cs="Times New Roman"/>
        </w:rPr>
        <w:t>.6</w:t>
      </w:r>
      <w:r w:rsidR="00601FDF" w:rsidRPr="00FE771B">
        <w:rPr>
          <w:rFonts w:ascii="Times New Roman" w:hAnsi="Times New Roman" w:cs="Times New Roman"/>
        </w:rPr>
        <w:t>%</w:t>
      </w:r>
      <w:r w:rsidR="00601FDF" w:rsidRPr="00FE771B">
        <w:rPr>
          <w:rFonts w:ascii="Times New Roman" w:hAnsi="Times New Roman" w:cs="Times New Roman"/>
        </w:rPr>
        <w:t>，</w:t>
      </w:r>
      <w:r w:rsidR="00180772" w:rsidRPr="00FE771B">
        <w:rPr>
          <w:rFonts w:ascii="Times New Roman" w:hAnsi="Times New Roman" w:cs="Times New Roman"/>
        </w:rPr>
        <w:t>管理</w:t>
      </w:r>
      <w:proofErr w:type="gramStart"/>
      <w:r w:rsidR="00180772" w:rsidRPr="00FE771B">
        <w:rPr>
          <w:rFonts w:ascii="Times New Roman" w:hAnsi="Times New Roman" w:cs="Times New Roman"/>
        </w:rPr>
        <w:t>层平均</w:t>
      </w:r>
      <w:proofErr w:type="gramEnd"/>
      <w:r w:rsidR="00180772" w:rsidRPr="00FE771B">
        <w:rPr>
          <w:rFonts w:ascii="Times New Roman" w:hAnsi="Times New Roman" w:cs="Times New Roman"/>
        </w:rPr>
        <w:t>持股比例为</w:t>
      </w:r>
      <w:r w:rsidR="00180772" w:rsidRPr="00FE771B">
        <w:rPr>
          <w:rFonts w:ascii="Times New Roman" w:hAnsi="Times New Roman" w:cs="Times New Roman"/>
        </w:rPr>
        <w:t>16.7%</w:t>
      </w:r>
      <w:r w:rsidR="00180772" w:rsidRPr="00FE771B">
        <w:rPr>
          <w:rFonts w:ascii="Times New Roman" w:hAnsi="Times New Roman" w:cs="Times New Roman"/>
        </w:rPr>
        <w:t>，</w:t>
      </w:r>
      <w:r w:rsidR="00601FDF" w:rsidRPr="00FE771B">
        <w:rPr>
          <w:rFonts w:ascii="Times New Roman" w:hAnsi="Times New Roman" w:cs="Times New Roman"/>
        </w:rPr>
        <w:t>独立董事在所有董事中占比平均为</w:t>
      </w:r>
      <w:r w:rsidR="00601FDF" w:rsidRPr="00FE771B">
        <w:rPr>
          <w:rFonts w:ascii="Times New Roman" w:hAnsi="Times New Roman" w:cs="Times New Roman"/>
        </w:rPr>
        <w:t>37.6%</w:t>
      </w:r>
      <w:r w:rsidR="00892A21" w:rsidRPr="00FE771B">
        <w:rPr>
          <w:rFonts w:ascii="Times New Roman" w:hAnsi="Times New Roman" w:cs="Times New Roman"/>
        </w:rPr>
        <w:t>；董事长与总经理两职分离率平均为</w:t>
      </w:r>
      <w:r w:rsidR="00892A21" w:rsidRPr="00FE771B">
        <w:rPr>
          <w:rFonts w:ascii="Times New Roman" w:hAnsi="Times New Roman" w:cs="Times New Roman"/>
        </w:rPr>
        <w:t>69.1%</w:t>
      </w:r>
      <w:r w:rsidR="00892A21" w:rsidRPr="00FE771B">
        <w:rPr>
          <w:rFonts w:ascii="Times New Roman" w:hAnsi="Times New Roman" w:cs="Times New Roman"/>
        </w:rPr>
        <w:t>，反映了大多数上市公司董事长与总经理都由不同的人担任。</w:t>
      </w:r>
    </w:p>
    <w:p w:rsidR="00523B86" w:rsidRPr="00FE771B" w:rsidRDefault="003420C8" w:rsidP="003420C8">
      <w:pPr>
        <w:jc w:val="center"/>
        <w:rPr>
          <w:rFonts w:ascii="Times New Roman" w:eastAsia="楷体" w:hAnsi="Times New Roman" w:cs="Times New Roman"/>
          <w:bCs/>
          <w:szCs w:val="21"/>
        </w:rPr>
      </w:pPr>
      <w:r w:rsidRPr="00FE771B">
        <w:rPr>
          <w:rFonts w:ascii="Times New Roman" w:eastAsia="楷体" w:hAnsi="Times New Roman" w:cs="Times New Roman"/>
          <w:bCs/>
          <w:szCs w:val="21"/>
        </w:rPr>
        <w:t>表</w:t>
      </w:r>
      <w:r w:rsidRPr="00FE771B">
        <w:rPr>
          <w:rFonts w:ascii="Times New Roman" w:eastAsia="楷体" w:hAnsi="Times New Roman" w:cs="Times New Roman"/>
          <w:bCs/>
          <w:szCs w:val="21"/>
        </w:rPr>
        <w:t>2</w:t>
      </w:r>
      <w:r w:rsidR="0038276F" w:rsidRPr="00FE771B">
        <w:rPr>
          <w:rFonts w:ascii="Times New Roman" w:eastAsia="楷体" w:hAnsi="Times New Roman" w:cs="Times New Roman"/>
          <w:bCs/>
          <w:szCs w:val="21"/>
        </w:rPr>
        <w:t xml:space="preserve"> </w:t>
      </w:r>
      <w:r w:rsidRPr="00FE771B">
        <w:rPr>
          <w:rFonts w:ascii="Times New Roman" w:eastAsia="楷体" w:hAnsi="Times New Roman" w:cs="Times New Roman"/>
          <w:bCs/>
          <w:szCs w:val="21"/>
        </w:rPr>
        <w:t xml:space="preserve"> </w:t>
      </w:r>
      <w:r w:rsidRPr="00FE771B">
        <w:rPr>
          <w:rFonts w:ascii="Times New Roman" w:eastAsia="楷体" w:hAnsi="Times New Roman" w:cs="Times New Roman"/>
          <w:bCs/>
          <w:szCs w:val="21"/>
        </w:rPr>
        <w:t>主要变量的描述性统计</w:t>
      </w:r>
    </w:p>
    <w:tbl>
      <w:tblPr>
        <w:tblW w:w="5000" w:type="pct"/>
        <w:jc w:val="center"/>
        <w:tblBorders>
          <w:top w:val="single" w:sz="6" w:space="0" w:color="auto"/>
          <w:bottom w:val="single" w:sz="6" w:space="0" w:color="auto"/>
          <w:insideH w:val="single" w:sz="4" w:space="0" w:color="auto"/>
          <w:insideV w:val="single" w:sz="4" w:space="0" w:color="auto"/>
        </w:tblBorders>
        <w:tblCellMar>
          <w:left w:w="75" w:type="dxa"/>
          <w:right w:w="75" w:type="dxa"/>
        </w:tblCellMar>
        <w:tblLook w:val="0000" w:firstRow="0" w:lastRow="0" w:firstColumn="0" w:lastColumn="0" w:noHBand="0" w:noVBand="0"/>
      </w:tblPr>
      <w:tblGrid>
        <w:gridCol w:w="1702"/>
        <w:gridCol w:w="816"/>
        <w:gridCol w:w="1012"/>
        <w:gridCol w:w="1012"/>
        <w:gridCol w:w="1011"/>
        <w:gridCol w:w="1011"/>
        <w:gridCol w:w="1011"/>
        <w:gridCol w:w="881"/>
      </w:tblGrid>
      <w:tr w:rsidR="0088590B" w:rsidRPr="00FE771B" w:rsidTr="0038276F">
        <w:trPr>
          <w:jc w:val="center"/>
        </w:trPr>
        <w:tc>
          <w:tcPr>
            <w:tcW w:w="1006" w:type="pct"/>
          </w:tcPr>
          <w:p w:rsidR="00D276EE" w:rsidRPr="00FE771B" w:rsidRDefault="00D276EE" w:rsidP="00D276EE">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变量名称</w:t>
            </w:r>
          </w:p>
        </w:tc>
        <w:tc>
          <w:tcPr>
            <w:tcW w:w="482" w:type="pct"/>
          </w:tcPr>
          <w:p w:rsidR="00D276EE" w:rsidRPr="00FE771B" w:rsidRDefault="00D276EE" w:rsidP="0081445C">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样本量</w:t>
            </w:r>
          </w:p>
        </w:tc>
        <w:tc>
          <w:tcPr>
            <w:tcW w:w="598" w:type="pct"/>
          </w:tcPr>
          <w:p w:rsidR="00D276EE" w:rsidRPr="00FE771B" w:rsidRDefault="00D276EE" w:rsidP="0081445C">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最小值</w:t>
            </w:r>
          </w:p>
        </w:tc>
        <w:tc>
          <w:tcPr>
            <w:tcW w:w="598" w:type="pct"/>
          </w:tcPr>
          <w:p w:rsidR="00D276EE" w:rsidRPr="00FE771B" w:rsidRDefault="00D276EE" w:rsidP="0081445C">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p25</w:t>
            </w:r>
          </w:p>
        </w:tc>
        <w:tc>
          <w:tcPr>
            <w:tcW w:w="598" w:type="pct"/>
          </w:tcPr>
          <w:p w:rsidR="00D276EE" w:rsidRPr="00FE771B" w:rsidRDefault="00D276EE" w:rsidP="0081445C">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均值</w:t>
            </w:r>
          </w:p>
        </w:tc>
        <w:tc>
          <w:tcPr>
            <w:tcW w:w="598" w:type="pct"/>
          </w:tcPr>
          <w:p w:rsidR="00D276EE" w:rsidRPr="00FE771B" w:rsidRDefault="00D276EE" w:rsidP="0081445C">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p75</w:t>
            </w:r>
          </w:p>
        </w:tc>
        <w:tc>
          <w:tcPr>
            <w:tcW w:w="598" w:type="pct"/>
          </w:tcPr>
          <w:p w:rsidR="00D276EE" w:rsidRPr="00FE771B" w:rsidRDefault="00D276EE" w:rsidP="0081445C">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最大值</w:t>
            </w:r>
          </w:p>
        </w:tc>
        <w:tc>
          <w:tcPr>
            <w:tcW w:w="521" w:type="pct"/>
          </w:tcPr>
          <w:p w:rsidR="00D276EE" w:rsidRPr="00FE771B" w:rsidRDefault="00D276EE" w:rsidP="0081445C">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标准差</w:t>
            </w:r>
          </w:p>
        </w:tc>
      </w:tr>
      <w:tr w:rsidR="0088590B" w:rsidRPr="00FE771B" w:rsidTr="0038276F">
        <w:trPr>
          <w:trHeight w:val="339"/>
          <w:jc w:val="center"/>
        </w:trPr>
        <w:tc>
          <w:tcPr>
            <w:tcW w:w="1006" w:type="pct"/>
          </w:tcPr>
          <w:p w:rsidR="00D276EE" w:rsidRPr="00FE771B" w:rsidRDefault="00D276EE" w:rsidP="00D276EE">
            <w:pPr>
              <w:autoSpaceDE w:val="0"/>
              <w:autoSpaceDN w:val="0"/>
              <w:adjustRightInd w:val="0"/>
              <w:jc w:val="center"/>
              <w:rPr>
                <w:rFonts w:ascii="Times New Roman" w:hAnsi="Times New Roman" w:cs="Times New Roman"/>
                <w:i/>
                <w:color w:val="000000" w:themeColor="text1"/>
                <w:kern w:val="0"/>
                <w:sz w:val="18"/>
                <w:szCs w:val="18"/>
              </w:rPr>
            </w:pPr>
            <w:r w:rsidRPr="00FE771B">
              <w:rPr>
                <w:rFonts w:ascii="Times New Roman" w:hAnsi="Times New Roman" w:cs="Times New Roman"/>
                <w:i/>
                <w:color w:val="000000" w:themeColor="text1"/>
                <w:kern w:val="0"/>
                <w:sz w:val="18"/>
                <w:szCs w:val="18"/>
              </w:rPr>
              <w:t>Fin</w:t>
            </w:r>
          </w:p>
        </w:tc>
        <w:tc>
          <w:tcPr>
            <w:tcW w:w="482" w:type="pct"/>
          </w:tcPr>
          <w:p w:rsidR="00D276EE" w:rsidRPr="00FE771B" w:rsidRDefault="00D276EE" w:rsidP="00D276EE">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12930</w:t>
            </w:r>
          </w:p>
        </w:tc>
        <w:tc>
          <w:tcPr>
            <w:tcW w:w="598" w:type="pct"/>
          </w:tcPr>
          <w:p w:rsidR="00D276EE" w:rsidRPr="00FE771B" w:rsidRDefault="00D276EE" w:rsidP="0081445C">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0.00</w:t>
            </w:r>
            <w:r w:rsidR="0088590B" w:rsidRPr="00FE771B">
              <w:rPr>
                <w:rFonts w:ascii="Times New Roman" w:hAnsi="Times New Roman" w:cs="Times New Roman"/>
                <w:color w:val="000000" w:themeColor="text1"/>
                <w:kern w:val="0"/>
                <w:sz w:val="18"/>
                <w:szCs w:val="18"/>
              </w:rPr>
              <w:t>0</w:t>
            </w:r>
            <w:r w:rsidRPr="00FE771B">
              <w:rPr>
                <w:rFonts w:ascii="Times New Roman" w:hAnsi="Times New Roman" w:cs="Times New Roman"/>
                <w:color w:val="000000" w:themeColor="text1"/>
                <w:kern w:val="0"/>
                <w:sz w:val="18"/>
                <w:szCs w:val="18"/>
              </w:rPr>
              <w:t>0</w:t>
            </w:r>
          </w:p>
        </w:tc>
        <w:tc>
          <w:tcPr>
            <w:tcW w:w="598" w:type="pct"/>
          </w:tcPr>
          <w:p w:rsidR="00D276EE" w:rsidRPr="00FE771B" w:rsidRDefault="00D276EE" w:rsidP="0081445C">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0.0000</w:t>
            </w:r>
          </w:p>
        </w:tc>
        <w:tc>
          <w:tcPr>
            <w:tcW w:w="598" w:type="pct"/>
          </w:tcPr>
          <w:p w:rsidR="00D276EE" w:rsidRPr="00FE771B" w:rsidRDefault="00D276EE" w:rsidP="0081445C">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w:t>
            </w:r>
            <w:r w:rsidR="00B72D44" w:rsidRPr="00FE771B">
              <w:rPr>
                <w:rFonts w:ascii="Times New Roman" w:hAnsi="Times New Roman" w:cs="Times New Roman"/>
                <w:color w:val="000000" w:themeColor="text1"/>
                <w:kern w:val="0"/>
                <w:sz w:val="18"/>
                <w:szCs w:val="18"/>
              </w:rPr>
              <w:t>0277</w:t>
            </w:r>
          </w:p>
        </w:tc>
        <w:tc>
          <w:tcPr>
            <w:tcW w:w="598" w:type="pct"/>
          </w:tcPr>
          <w:p w:rsidR="00D276EE" w:rsidRPr="00FE771B" w:rsidRDefault="00D276EE" w:rsidP="0081445C">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w:t>
            </w:r>
            <w:r w:rsidR="00B72D44" w:rsidRPr="00FE771B">
              <w:rPr>
                <w:rFonts w:ascii="Times New Roman" w:hAnsi="Times New Roman" w:cs="Times New Roman"/>
                <w:color w:val="000000" w:themeColor="text1"/>
                <w:kern w:val="0"/>
                <w:sz w:val="18"/>
                <w:szCs w:val="18"/>
              </w:rPr>
              <w:t>0261</w:t>
            </w:r>
          </w:p>
        </w:tc>
        <w:tc>
          <w:tcPr>
            <w:tcW w:w="598" w:type="pct"/>
          </w:tcPr>
          <w:p w:rsidR="00D276EE" w:rsidRPr="00FE771B" w:rsidRDefault="00B72D44" w:rsidP="0081445C">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w:t>
            </w:r>
            <w:r w:rsidR="00D276EE" w:rsidRPr="00FE771B">
              <w:rPr>
                <w:rFonts w:ascii="Times New Roman" w:hAnsi="Times New Roman" w:cs="Times New Roman"/>
                <w:color w:val="000000" w:themeColor="text1"/>
                <w:kern w:val="0"/>
                <w:sz w:val="18"/>
                <w:szCs w:val="18"/>
              </w:rPr>
              <w:t>8</w:t>
            </w:r>
            <w:r w:rsidRPr="00FE771B">
              <w:rPr>
                <w:rFonts w:ascii="Times New Roman" w:hAnsi="Times New Roman" w:cs="Times New Roman"/>
                <w:color w:val="000000" w:themeColor="text1"/>
                <w:kern w:val="0"/>
                <w:sz w:val="18"/>
                <w:szCs w:val="18"/>
              </w:rPr>
              <w:t>452</w:t>
            </w:r>
          </w:p>
        </w:tc>
        <w:tc>
          <w:tcPr>
            <w:tcW w:w="521" w:type="pct"/>
          </w:tcPr>
          <w:p w:rsidR="00D276EE" w:rsidRPr="00FE771B" w:rsidRDefault="00D276EE" w:rsidP="0081445C">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0.6090</w:t>
            </w:r>
          </w:p>
        </w:tc>
      </w:tr>
      <w:tr w:rsidR="0038276F" w:rsidRPr="00FE771B" w:rsidTr="0038276F">
        <w:trPr>
          <w:trHeight w:val="281"/>
          <w:jc w:val="center"/>
        </w:trPr>
        <w:tc>
          <w:tcPr>
            <w:tcW w:w="1006" w:type="pct"/>
          </w:tcPr>
          <w:p w:rsidR="0038276F" w:rsidRPr="00FE771B" w:rsidRDefault="0038276F" w:rsidP="00D276EE">
            <w:pPr>
              <w:autoSpaceDE w:val="0"/>
              <w:autoSpaceDN w:val="0"/>
              <w:adjustRightInd w:val="0"/>
              <w:jc w:val="center"/>
              <w:rPr>
                <w:rFonts w:ascii="Times New Roman" w:hAnsi="Times New Roman" w:cs="Times New Roman"/>
                <w:i/>
                <w:color w:val="000000" w:themeColor="text1"/>
                <w:kern w:val="0"/>
                <w:sz w:val="18"/>
                <w:szCs w:val="18"/>
              </w:rPr>
            </w:pPr>
            <w:proofErr w:type="spellStart"/>
            <w:r w:rsidRPr="00FE771B">
              <w:rPr>
                <w:rFonts w:ascii="Times New Roman" w:hAnsi="Times New Roman" w:cs="Times New Roman"/>
                <w:i/>
                <w:color w:val="000000" w:themeColor="text1"/>
                <w:kern w:val="0"/>
                <w:sz w:val="18"/>
                <w:szCs w:val="18"/>
              </w:rPr>
              <w:t>Vam_logit</w:t>
            </w:r>
            <w:proofErr w:type="spellEnd"/>
          </w:p>
        </w:tc>
        <w:tc>
          <w:tcPr>
            <w:tcW w:w="482" w:type="pct"/>
          </w:tcPr>
          <w:p w:rsidR="0038276F" w:rsidRPr="00FE771B" w:rsidRDefault="0038276F" w:rsidP="00D276EE">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12930</w:t>
            </w:r>
          </w:p>
        </w:tc>
        <w:tc>
          <w:tcPr>
            <w:tcW w:w="598" w:type="pct"/>
          </w:tcPr>
          <w:p w:rsidR="0038276F" w:rsidRPr="00FE771B" w:rsidRDefault="0038276F" w:rsidP="0081445C">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0.0000</w:t>
            </w:r>
          </w:p>
        </w:tc>
        <w:tc>
          <w:tcPr>
            <w:tcW w:w="598" w:type="pct"/>
          </w:tcPr>
          <w:p w:rsidR="0038276F" w:rsidRPr="00FE771B" w:rsidRDefault="0038276F" w:rsidP="0081445C">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0.0000</w:t>
            </w:r>
          </w:p>
        </w:tc>
        <w:tc>
          <w:tcPr>
            <w:tcW w:w="598" w:type="pct"/>
          </w:tcPr>
          <w:p w:rsidR="0038276F" w:rsidRPr="00FE771B" w:rsidRDefault="0038276F" w:rsidP="0081445C">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0.3440</w:t>
            </w:r>
          </w:p>
        </w:tc>
        <w:tc>
          <w:tcPr>
            <w:tcW w:w="598" w:type="pct"/>
          </w:tcPr>
          <w:p w:rsidR="0038276F" w:rsidRPr="00FE771B" w:rsidRDefault="0038276F" w:rsidP="0081445C">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1.0000</w:t>
            </w:r>
          </w:p>
        </w:tc>
        <w:tc>
          <w:tcPr>
            <w:tcW w:w="598" w:type="pct"/>
          </w:tcPr>
          <w:p w:rsidR="0038276F" w:rsidRPr="00FE771B" w:rsidRDefault="0038276F" w:rsidP="0081445C">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1.0000</w:t>
            </w:r>
          </w:p>
        </w:tc>
        <w:tc>
          <w:tcPr>
            <w:tcW w:w="521" w:type="pct"/>
          </w:tcPr>
          <w:p w:rsidR="0038276F" w:rsidRPr="00FE771B" w:rsidRDefault="0038276F" w:rsidP="0081445C">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0.4750</w:t>
            </w:r>
          </w:p>
        </w:tc>
      </w:tr>
      <w:tr w:rsidR="0088590B" w:rsidRPr="00FE771B" w:rsidTr="0038276F">
        <w:trPr>
          <w:jc w:val="center"/>
        </w:trPr>
        <w:tc>
          <w:tcPr>
            <w:tcW w:w="1006" w:type="pct"/>
          </w:tcPr>
          <w:p w:rsidR="00D276EE" w:rsidRPr="00FE771B" w:rsidRDefault="00D276EE" w:rsidP="00D276EE">
            <w:pPr>
              <w:autoSpaceDE w:val="0"/>
              <w:autoSpaceDN w:val="0"/>
              <w:adjustRightInd w:val="0"/>
              <w:jc w:val="center"/>
              <w:rPr>
                <w:rFonts w:ascii="Times New Roman" w:hAnsi="Times New Roman" w:cs="Times New Roman"/>
                <w:i/>
                <w:color w:val="000000" w:themeColor="text1"/>
                <w:kern w:val="0"/>
                <w:sz w:val="18"/>
                <w:szCs w:val="18"/>
              </w:rPr>
            </w:pPr>
            <w:proofErr w:type="spellStart"/>
            <w:r w:rsidRPr="00FE771B">
              <w:rPr>
                <w:rFonts w:ascii="Times New Roman" w:hAnsi="Times New Roman" w:cs="Times New Roman"/>
                <w:i/>
                <w:color w:val="000000" w:themeColor="text1"/>
                <w:kern w:val="0"/>
                <w:sz w:val="18"/>
                <w:szCs w:val="18"/>
              </w:rPr>
              <w:t>Vam_numbers</w:t>
            </w:r>
            <w:proofErr w:type="spellEnd"/>
          </w:p>
        </w:tc>
        <w:tc>
          <w:tcPr>
            <w:tcW w:w="482" w:type="pct"/>
          </w:tcPr>
          <w:p w:rsidR="00D276EE" w:rsidRPr="00FE771B" w:rsidRDefault="00D276EE" w:rsidP="00D276EE">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12930</w:t>
            </w:r>
          </w:p>
        </w:tc>
        <w:tc>
          <w:tcPr>
            <w:tcW w:w="598" w:type="pct"/>
          </w:tcPr>
          <w:p w:rsidR="00D276EE" w:rsidRPr="00FE771B" w:rsidRDefault="00D276EE" w:rsidP="0081445C">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0.0000</w:t>
            </w:r>
          </w:p>
        </w:tc>
        <w:tc>
          <w:tcPr>
            <w:tcW w:w="598" w:type="pct"/>
          </w:tcPr>
          <w:p w:rsidR="00D276EE" w:rsidRPr="00FE771B" w:rsidRDefault="00D276EE" w:rsidP="0081445C">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0.0000</w:t>
            </w:r>
          </w:p>
        </w:tc>
        <w:tc>
          <w:tcPr>
            <w:tcW w:w="598" w:type="pct"/>
          </w:tcPr>
          <w:p w:rsidR="00D276EE" w:rsidRPr="00FE771B" w:rsidRDefault="00D276EE" w:rsidP="0081445C">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0.4860</w:t>
            </w:r>
          </w:p>
        </w:tc>
        <w:tc>
          <w:tcPr>
            <w:tcW w:w="598" w:type="pct"/>
          </w:tcPr>
          <w:p w:rsidR="00D276EE" w:rsidRPr="00FE771B" w:rsidRDefault="00D276EE" w:rsidP="0081445C">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1.0000</w:t>
            </w:r>
          </w:p>
        </w:tc>
        <w:tc>
          <w:tcPr>
            <w:tcW w:w="598" w:type="pct"/>
          </w:tcPr>
          <w:p w:rsidR="00D276EE" w:rsidRPr="00FE771B" w:rsidRDefault="00D276EE" w:rsidP="0081445C">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11.0000</w:t>
            </w:r>
          </w:p>
        </w:tc>
        <w:tc>
          <w:tcPr>
            <w:tcW w:w="521" w:type="pct"/>
          </w:tcPr>
          <w:p w:rsidR="00D276EE" w:rsidRPr="00FE771B" w:rsidRDefault="00D276EE" w:rsidP="0081445C">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0.8340</w:t>
            </w:r>
          </w:p>
        </w:tc>
      </w:tr>
      <w:tr w:rsidR="0088590B" w:rsidRPr="00FE771B" w:rsidTr="0038276F">
        <w:trPr>
          <w:jc w:val="center"/>
        </w:trPr>
        <w:tc>
          <w:tcPr>
            <w:tcW w:w="1006" w:type="pct"/>
          </w:tcPr>
          <w:p w:rsidR="00D276EE" w:rsidRPr="00FE771B" w:rsidRDefault="00D276EE" w:rsidP="00D276EE">
            <w:pPr>
              <w:autoSpaceDE w:val="0"/>
              <w:autoSpaceDN w:val="0"/>
              <w:adjustRightInd w:val="0"/>
              <w:jc w:val="center"/>
              <w:rPr>
                <w:rFonts w:ascii="Times New Roman" w:hAnsi="Times New Roman" w:cs="Times New Roman"/>
                <w:i/>
                <w:color w:val="000000" w:themeColor="text1"/>
                <w:kern w:val="0"/>
                <w:sz w:val="18"/>
                <w:szCs w:val="18"/>
              </w:rPr>
            </w:pPr>
            <w:r w:rsidRPr="00FE771B">
              <w:rPr>
                <w:rFonts w:ascii="Times New Roman" w:hAnsi="Times New Roman" w:cs="Times New Roman"/>
                <w:i/>
                <w:color w:val="000000" w:themeColor="text1"/>
                <w:kern w:val="0"/>
                <w:sz w:val="18"/>
                <w:szCs w:val="18"/>
              </w:rPr>
              <w:t>Age</w:t>
            </w:r>
          </w:p>
        </w:tc>
        <w:tc>
          <w:tcPr>
            <w:tcW w:w="482" w:type="pct"/>
          </w:tcPr>
          <w:p w:rsidR="00D276EE" w:rsidRPr="00FE771B" w:rsidRDefault="00D276EE" w:rsidP="00D276EE">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12930</w:t>
            </w:r>
          </w:p>
        </w:tc>
        <w:tc>
          <w:tcPr>
            <w:tcW w:w="598" w:type="pct"/>
          </w:tcPr>
          <w:p w:rsidR="00D276EE" w:rsidRPr="00FE771B" w:rsidRDefault="00D276EE" w:rsidP="0081445C">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1.6090</w:t>
            </w:r>
          </w:p>
        </w:tc>
        <w:tc>
          <w:tcPr>
            <w:tcW w:w="598" w:type="pct"/>
          </w:tcPr>
          <w:p w:rsidR="00D276EE" w:rsidRPr="00FE771B" w:rsidRDefault="00D276EE" w:rsidP="0081445C">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2.5650</w:t>
            </w:r>
          </w:p>
        </w:tc>
        <w:tc>
          <w:tcPr>
            <w:tcW w:w="598" w:type="pct"/>
          </w:tcPr>
          <w:p w:rsidR="00D276EE" w:rsidRPr="00FE771B" w:rsidRDefault="00D276EE" w:rsidP="0081445C">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2.7850</w:t>
            </w:r>
          </w:p>
        </w:tc>
        <w:tc>
          <w:tcPr>
            <w:tcW w:w="598" w:type="pct"/>
          </w:tcPr>
          <w:p w:rsidR="00D276EE" w:rsidRPr="00FE771B" w:rsidRDefault="00D276EE" w:rsidP="0081445C">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3.0450</w:t>
            </w:r>
          </w:p>
        </w:tc>
        <w:tc>
          <w:tcPr>
            <w:tcW w:w="598" w:type="pct"/>
          </w:tcPr>
          <w:p w:rsidR="00D276EE" w:rsidRPr="00FE771B" w:rsidRDefault="00D276EE" w:rsidP="0081445C">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3.4660</w:t>
            </w:r>
          </w:p>
        </w:tc>
        <w:tc>
          <w:tcPr>
            <w:tcW w:w="521" w:type="pct"/>
          </w:tcPr>
          <w:p w:rsidR="00D276EE" w:rsidRPr="00FE771B" w:rsidRDefault="00D276EE" w:rsidP="0081445C">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0.3580</w:t>
            </w:r>
          </w:p>
        </w:tc>
      </w:tr>
      <w:tr w:rsidR="0088590B" w:rsidRPr="00FE771B" w:rsidTr="0038276F">
        <w:trPr>
          <w:jc w:val="center"/>
        </w:trPr>
        <w:tc>
          <w:tcPr>
            <w:tcW w:w="1006" w:type="pct"/>
          </w:tcPr>
          <w:p w:rsidR="00D276EE" w:rsidRPr="00FE771B" w:rsidRDefault="00D276EE" w:rsidP="00D276EE">
            <w:pPr>
              <w:autoSpaceDE w:val="0"/>
              <w:autoSpaceDN w:val="0"/>
              <w:adjustRightInd w:val="0"/>
              <w:jc w:val="center"/>
              <w:rPr>
                <w:rFonts w:ascii="Times New Roman" w:hAnsi="Times New Roman" w:cs="Times New Roman"/>
                <w:i/>
                <w:color w:val="000000" w:themeColor="text1"/>
                <w:kern w:val="0"/>
                <w:sz w:val="18"/>
                <w:szCs w:val="18"/>
              </w:rPr>
            </w:pPr>
            <w:r w:rsidRPr="00FE771B">
              <w:rPr>
                <w:rFonts w:ascii="Times New Roman" w:hAnsi="Times New Roman" w:cs="Times New Roman"/>
                <w:i/>
                <w:color w:val="000000" w:themeColor="text1"/>
                <w:kern w:val="0"/>
                <w:sz w:val="18"/>
                <w:szCs w:val="18"/>
              </w:rPr>
              <w:t>Size</w:t>
            </w:r>
          </w:p>
        </w:tc>
        <w:tc>
          <w:tcPr>
            <w:tcW w:w="482" w:type="pct"/>
          </w:tcPr>
          <w:p w:rsidR="00D276EE" w:rsidRPr="00FE771B" w:rsidRDefault="00D276EE" w:rsidP="00D276EE">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12631</w:t>
            </w:r>
          </w:p>
        </w:tc>
        <w:tc>
          <w:tcPr>
            <w:tcW w:w="598" w:type="pct"/>
          </w:tcPr>
          <w:p w:rsidR="00D276EE" w:rsidRPr="00FE771B" w:rsidRDefault="00D276EE" w:rsidP="0081445C">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18.8430</w:t>
            </w:r>
          </w:p>
        </w:tc>
        <w:tc>
          <w:tcPr>
            <w:tcW w:w="598" w:type="pct"/>
          </w:tcPr>
          <w:p w:rsidR="00D276EE" w:rsidRPr="00FE771B" w:rsidRDefault="00D276EE" w:rsidP="0081445C">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20.7650</w:t>
            </w:r>
          </w:p>
        </w:tc>
        <w:tc>
          <w:tcPr>
            <w:tcW w:w="598" w:type="pct"/>
          </w:tcPr>
          <w:p w:rsidR="00D276EE" w:rsidRPr="00FE771B" w:rsidRDefault="00D276EE" w:rsidP="0081445C">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21.6100</w:t>
            </w:r>
          </w:p>
        </w:tc>
        <w:tc>
          <w:tcPr>
            <w:tcW w:w="598" w:type="pct"/>
          </w:tcPr>
          <w:p w:rsidR="00D276EE" w:rsidRPr="00FE771B" w:rsidRDefault="00D276EE" w:rsidP="0081445C">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22.3950</w:t>
            </w:r>
          </w:p>
        </w:tc>
        <w:tc>
          <w:tcPr>
            <w:tcW w:w="598" w:type="pct"/>
          </w:tcPr>
          <w:p w:rsidR="00D276EE" w:rsidRPr="00FE771B" w:rsidRDefault="00D276EE" w:rsidP="0081445C">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24.7410</w:t>
            </w:r>
          </w:p>
        </w:tc>
        <w:tc>
          <w:tcPr>
            <w:tcW w:w="521" w:type="pct"/>
          </w:tcPr>
          <w:p w:rsidR="00D276EE" w:rsidRPr="00FE771B" w:rsidRDefault="00D276EE" w:rsidP="0081445C">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1.2150</w:t>
            </w:r>
          </w:p>
        </w:tc>
      </w:tr>
      <w:tr w:rsidR="0088590B" w:rsidRPr="00FE771B" w:rsidTr="0038276F">
        <w:trPr>
          <w:jc w:val="center"/>
        </w:trPr>
        <w:tc>
          <w:tcPr>
            <w:tcW w:w="1006" w:type="pct"/>
          </w:tcPr>
          <w:p w:rsidR="00D276EE" w:rsidRPr="00FE771B" w:rsidRDefault="00D276EE" w:rsidP="00D276EE">
            <w:pPr>
              <w:autoSpaceDE w:val="0"/>
              <w:autoSpaceDN w:val="0"/>
              <w:adjustRightInd w:val="0"/>
              <w:jc w:val="center"/>
              <w:rPr>
                <w:rFonts w:ascii="Times New Roman" w:hAnsi="Times New Roman" w:cs="Times New Roman"/>
                <w:i/>
                <w:color w:val="000000" w:themeColor="text1"/>
                <w:kern w:val="0"/>
                <w:sz w:val="18"/>
                <w:szCs w:val="18"/>
              </w:rPr>
            </w:pPr>
            <w:proofErr w:type="spellStart"/>
            <w:r w:rsidRPr="00FE771B">
              <w:rPr>
                <w:rFonts w:ascii="Times New Roman" w:hAnsi="Times New Roman" w:cs="Times New Roman"/>
                <w:i/>
                <w:color w:val="000000" w:themeColor="text1"/>
                <w:kern w:val="0"/>
                <w:sz w:val="18"/>
                <w:szCs w:val="18"/>
              </w:rPr>
              <w:t>Roa</w:t>
            </w:r>
            <w:proofErr w:type="spellEnd"/>
          </w:p>
        </w:tc>
        <w:tc>
          <w:tcPr>
            <w:tcW w:w="482" w:type="pct"/>
          </w:tcPr>
          <w:p w:rsidR="00D276EE" w:rsidRPr="00FE771B" w:rsidRDefault="00D276EE" w:rsidP="00D276EE">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12628</w:t>
            </w:r>
          </w:p>
        </w:tc>
        <w:tc>
          <w:tcPr>
            <w:tcW w:w="598" w:type="pct"/>
          </w:tcPr>
          <w:p w:rsidR="00D276EE" w:rsidRPr="00FE771B" w:rsidRDefault="00D276EE" w:rsidP="0081445C">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-0.3290</w:t>
            </w:r>
          </w:p>
        </w:tc>
        <w:tc>
          <w:tcPr>
            <w:tcW w:w="598" w:type="pct"/>
          </w:tcPr>
          <w:p w:rsidR="00D276EE" w:rsidRPr="00FE771B" w:rsidRDefault="00D276EE" w:rsidP="0081445C">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0.0200</w:t>
            </w:r>
          </w:p>
        </w:tc>
        <w:tc>
          <w:tcPr>
            <w:tcW w:w="598" w:type="pct"/>
          </w:tcPr>
          <w:p w:rsidR="00D276EE" w:rsidRPr="00FE771B" w:rsidRDefault="00D276EE" w:rsidP="0081445C">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0.0520</w:t>
            </w:r>
          </w:p>
        </w:tc>
        <w:tc>
          <w:tcPr>
            <w:tcW w:w="598" w:type="pct"/>
          </w:tcPr>
          <w:p w:rsidR="00D276EE" w:rsidRPr="00FE771B" w:rsidRDefault="00D276EE" w:rsidP="0081445C">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0.0870</w:t>
            </w:r>
          </w:p>
        </w:tc>
        <w:tc>
          <w:tcPr>
            <w:tcW w:w="598" w:type="pct"/>
          </w:tcPr>
          <w:p w:rsidR="00D276EE" w:rsidRPr="00FE771B" w:rsidRDefault="00D276EE" w:rsidP="0081445C">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0.3110</w:t>
            </w:r>
          </w:p>
        </w:tc>
        <w:tc>
          <w:tcPr>
            <w:tcW w:w="521" w:type="pct"/>
          </w:tcPr>
          <w:p w:rsidR="00D276EE" w:rsidRPr="00FE771B" w:rsidRDefault="00D276EE" w:rsidP="0081445C">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0.0840</w:t>
            </w:r>
          </w:p>
        </w:tc>
      </w:tr>
      <w:tr w:rsidR="0088590B" w:rsidRPr="00FE771B" w:rsidTr="0038276F">
        <w:trPr>
          <w:jc w:val="center"/>
        </w:trPr>
        <w:tc>
          <w:tcPr>
            <w:tcW w:w="1006" w:type="pct"/>
          </w:tcPr>
          <w:p w:rsidR="00D276EE" w:rsidRPr="00FE771B" w:rsidRDefault="00D276EE" w:rsidP="00D276EE">
            <w:pPr>
              <w:autoSpaceDE w:val="0"/>
              <w:autoSpaceDN w:val="0"/>
              <w:adjustRightInd w:val="0"/>
              <w:jc w:val="center"/>
              <w:rPr>
                <w:rFonts w:ascii="Times New Roman" w:hAnsi="Times New Roman" w:cs="Times New Roman"/>
                <w:i/>
                <w:color w:val="000000" w:themeColor="text1"/>
                <w:kern w:val="0"/>
                <w:sz w:val="18"/>
                <w:szCs w:val="18"/>
              </w:rPr>
            </w:pPr>
            <w:r w:rsidRPr="00FE771B">
              <w:rPr>
                <w:rFonts w:ascii="Times New Roman" w:hAnsi="Times New Roman" w:cs="Times New Roman"/>
                <w:i/>
                <w:color w:val="000000" w:themeColor="text1"/>
                <w:kern w:val="0"/>
                <w:sz w:val="18"/>
                <w:szCs w:val="18"/>
              </w:rPr>
              <w:t>Debt</w:t>
            </w:r>
          </w:p>
        </w:tc>
        <w:tc>
          <w:tcPr>
            <w:tcW w:w="482" w:type="pct"/>
          </w:tcPr>
          <w:p w:rsidR="00D276EE" w:rsidRPr="00FE771B" w:rsidRDefault="00D276EE" w:rsidP="00D276EE">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12628</w:t>
            </w:r>
          </w:p>
        </w:tc>
        <w:tc>
          <w:tcPr>
            <w:tcW w:w="598" w:type="pct"/>
          </w:tcPr>
          <w:p w:rsidR="00D276EE" w:rsidRPr="00FE771B" w:rsidRDefault="00D276EE" w:rsidP="0081445C">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0.0490</w:t>
            </w:r>
          </w:p>
        </w:tc>
        <w:tc>
          <w:tcPr>
            <w:tcW w:w="598" w:type="pct"/>
          </w:tcPr>
          <w:p w:rsidR="00D276EE" w:rsidRPr="00FE771B" w:rsidRDefault="00D276EE" w:rsidP="0081445C">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0.2520</w:t>
            </w:r>
          </w:p>
        </w:tc>
        <w:tc>
          <w:tcPr>
            <w:tcW w:w="598" w:type="pct"/>
          </w:tcPr>
          <w:p w:rsidR="00D276EE" w:rsidRPr="00FE771B" w:rsidRDefault="00D276EE" w:rsidP="0081445C">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0.4150</w:t>
            </w:r>
          </w:p>
        </w:tc>
        <w:tc>
          <w:tcPr>
            <w:tcW w:w="598" w:type="pct"/>
          </w:tcPr>
          <w:p w:rsidR="00D276EE" w:rsidRPr="00FE771B" w:rsidRDefault="00D276EE" w:rsidP="0081445C">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0.5610</w:t>
            </w:r>
          </w:p>
        </w:tc>
        <w:tc>
          <w:tcPr>
            <w:tcW w:w="598" w:type="pct"/>
          </w:tcPr>
          <w:p w:rsidR="00D276EE" w:rsidRPr="00FE771B" w:rsidRDefault="00D276EE" w:rsidP="0081445C">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0.9470</w:t>
            </w:r>
          </w:p>
        </w:tc>
        <w:tc>
          <w:tcPr>
            <w:tcW w:w="521" w:type="pct"/>
          </w:tcPr>
          <w:p w:rsidR="00D276EE" w:rsidRPr="00FE771B" w:rsidRDefault="00D276EE" w:rsidP="0081445C">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0.2060</w:t>
            </w:r>
          </w:p>
        </w:tc>
      </w:tr>
      <w:tr w:rsidR="0088590B" w:rsidRPr="00FE771B" w:rsidTr="0038276F">
        <w:trPr>
          <w:jc w:val="center"/>
        </w:trPr>
        <w:tc>
          <w:tcPr>
            <w:tcW w:w="1006" w:type="pct"/>
          </w:tcPr>
          <w:p w:rsidR="00D276EE" w:rsidRPr="00FE771B" w:rsidRDefault="00D276EE" w:rsidP="00D276EE">
            <w:pPr>
              <w:autoSpaceDE w:val="0"/>
              <w:autoSpaceDN w:val="0"/>
              <w:adjustRightInd w:val="0"/>
              <w:jc w:val="center"/>
              <w:rPr>
                <w:rFonts w:ascii="Times New Roman" w:hAnsi="Times New Roman" w:cs="Times New Roman"/>
                <w:i/>
                <w:color w:val="000000" w:themeColor="text1"/>
                <w:kern w:val="0"/>
                <w:sz w:val="18"/>
                <w:szCs w:val="18"/>
              </w:rPr>
            </w:pPr>
            <w:r w:rsidRPr="00FE771B">
              <w:rPr>
                <w:rFonts w:ascii="Times New Roman" w:hAnsi="Times New Roman" w:cs="Times New Roman"/>
                <w:i/>
                <w:color w:val="000000" w:themeColor="text1"/>
                <w:kern w:val="0"/>
                <w:sz w:val="18"/>
                <w:szCs w:val="18"/>
              </w:rPr>
              <w:t>Cash</w:t>
            </w:r>
          </w:p>
        </w:tc>
        <w:tc>
          <w:tcPr>
            <w:tcW w:w="482" w:type="pct"/>
          </w:tcPr>
          <w:p w:rsidR="00D276EE" w:rsidRPr="00FE771B" w:rsidRDefault="00D276EE" w:rsidP="00D276EE">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12618</w:t>
            </w:r>
          </w:p>
        </w:tc>
        <w:tc>
          <w:tcPr>
            <w:tcW w:w="598" w:type="pct"/>
          </w:tcPr>
          <w:p w:rsidR="00D276EE" w:rsidRPr="00FE771B" w:rsidRDefault="00D276EE" w:rsidP="0081445C">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-0.6190</w:t>
            </w:r>
          </w:p>
        </w:tc>
        <w:tc>
          <w:tcPr>
            <w:tcW w:w="598" w:type="pct"/>
          </w:tcPr>
          <w:p w:rsidR="00D276EE" w:rsidRPr="00FE771B" w:rsidRDefault="00D276EE" w:rsidP="0081445C">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0.0060</w:t>
            </w:r>
          </w:p>
        </w:tc>
        <w:tc>
          <w:tcPr>
            <w:tcW w:w="598" w:type="pct"/>
          </w:tcPr>
          <w:p w:rsidR="00D276EE" w:rsidRPr="00FE771B" w:rsidRDefault="00D276EE" w:rsidP="0081445C">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0.0770</w:t>
            </w:r>
          </w:p>
        </w:tc>
        <w:tc>
          <w:tcPr>
            <w:tcW w:w="598" w:type="pct"/>
          </w:tcPr>
          <w:p w:rsidR="00D276EE" w:rsidRPr="00FE771B" w:rsidRDefault="00D276EE" w:rsidP="0081445C">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0.1560</w:t>
            </w:r>
          </w:p>
        </w:tc>
        <w:tc>
          <w:tcPr>
            <w:tcW w:w="598" w:type="pct"/>
          </w:tcPr>
          <w:p w:rsidR="00D276EE" w:rsidRPr="00FE771B" w:rsidRDefault="00D276EE" w:rsidP="0081445C">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0.6060</w:t>
            </w:r>
          </w:p>
        </w:tc>
        <w:tc>
          <w:tcPr>
            <w:tcW w:w="521" w:type="pct"/>
          </w:tcPr>
          <w:p w:rsidR="00D276EE" w:rsidRPr="00FE771B" w:rsidRDefault="00D276EE" w:rsidP="0081445C">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0.1700</w:t>
            </w:r>
          </w:p>
        </w:tc>
      </w:tr>
      <w:tr w:rsidR="0088590B" w:rsidRPr="00FE771B" w:rsidTr="0038276F">
        <w:trPr>
          <w:jc w:val="center"/>
        </w:trPr>
        <w:tc>
          <w:tcPr>
            <w:tcW w:w="1006" w:type="pct"/>
          </w:tcPr>
          <w:p w:rsidR="00D276EE" w:rsidRPr="00FE771B" w:rsidRDefault="00D276EE" w:rsidP="00D276EE">
            <w:pPr>
              <w:autoSpaceDE w:val="0"/>
              <w:autoSpaceDN w:val="0"/>
              <w:adjustRightInd w:val="0"/>
              <w:jc w:val="center"/>
              <w:rPr>
                <w:rFonts w:ascii="Times New Roman" w:hAnsi="Times New Roman" w:cs="Times New Roman"/>
                <w:i/>
                <w:color w:val="000000" w:themeColor="text1"/>
                <w:kern w:val="0"/>
                <w:sz w:val="18"/>
                <w:szCs w:val="18"/>
              </w:rPr>
            </w:pPr>
            <w:r w:rsidRPr="00FE771B">
              <w:rPr>
                <w:rFonts w:ascii="Times New Roman" w:hAnsi="Times New Roman" w:cs="Times New Roman"/>
                <w:i/>
                <w:color w:val="000000" w:themeColor="text1"/>
                <w:kern w:val="0"/>
                <w:sz w:val="18"/>
                <w:szCs w:val="18"/>
              </w:rPr>
              <w:t>Income</w:t>
            </w:r>
          </w:p>
        </w:tc>
        <w:tc>
          <w:tcPr>
            <w:tcW w:w="482" w:type="pct"/>
          </w:tcPr>
          <w:p w:rsidR="00D276EE" w:rsidRPr="00FE771B" w:rsidRDefault="00D276EE" w:rsidP="00D276EE">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12399</w:t>
            </w:r>
          </w:p>
        </w:tc>
        <w:tc>
          <w:tcPr>
            <w:tcW w:w="598" w:type="pct"/>
          </w:tcPr>
          <w:p w:rsidR="00D276EE" w:rsidRPr="00FE771B" w:rsidRDefault="00D276EE" w:rsidP="0081445C">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-0.5730</w:t>
            </w:r>
          </w:p>
        </w:tc>
        <w:tc>
          <w:tcPr>
            <w:tcW w:w="598" w:type="pct"/>
          </w:tcPr>
          <w:p w:rsidR="00D276EE" w:rsidRPr="00FE771B" w:rsidRDefault="00D276EE" w:rsidP="0081445C">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0.0010</w:t>
            </w:r>
          </w:p>
        </w:tc>
        <w:tc>
          <w:tcPr>
            <w:tcW w:w="598" w:type="pct"/>
          </w:tcPr>
          <w:p w:rsidR="00D276EE" w:rsidRPr="00FE771B" w:rsidRDefault="00D276EE" w:rsidP="0081445C">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0.2000</w:t>
            </w:r>
          </w:p>
        </w:tc>
        <w:tc>
          <w:tcPr>
            <w:tcW w:w="598" w:type="pct"/>
          </w:tcPr>
          <w:p w:rsidR="00D276EE" w:rsidRPr="00FE771B" w:rsidRDefault="00D276EE" w:rsidP="0081445C">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0.3180</w:t>
            </w:r>
          </w:p>
        </w:tc>
        <w:tc>
          <w:tcPr>
            <w:tcW w:w="598" w:type="pct"/>
          </w:tcPr>
          <w:p w:rsidR="00D276EE" w:rsidRPr="00FE771B" w:rsidRDefault="00D276EE" w:rsidP="0081445C">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2.1680</w:t>
            </w:r>
          </w:p>
        </w:tc>
        <w:tc>
          <w:tcPr>
            <w:tcW w:w="521" w:type="pct"/>
          </w:tcPr>
          <w:p w:rsidR="00D276EE" w:rsidRPr="00FE771B" w:rsidRDefault="00D276EE" w:rsidP="0081445C">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0.3840</w:t>
            </w:r>
          </w:p>
        </w:tc>
      </w:tr>
      <w:tr w:rsidR="0088590B" w:rsidRPr="00FE771B" w:rsidTr="0038276F">
        <w:trPr>
          <w:jc w:val="center"/>
        </w:trPr>
        <w:tc>
          <w:tcPr>
            <w:tcW w:w="1006" w:type="pct"/>
          </w:tcPr>
          <w:p w:rsidR="00D276EE" w:rsidRPr="00FE771B" w:rsidRDefault="00D276EE" w:rsidP="00D276EE">
            <w:pPr>
              <w:autoSpaceDE w:val="0"/>
              <w:autoSpaceDN w:val="0"/>
              <w:adjustRightInd w:val="0"/>
              <w:jc w:val="center"/>
              <w:rPr>
                <w:rFonts w:ascii="Times New Roman" w:hAnsi="Times New Roman" w:cs="Times New Roman"/>
                <w:i/>
                <w:color w:val="000000" w:themeColor="text1"/>
                <w:kern w:val="0"/>
                <w:sz w:val="18"/>
                <w:szCs w:val="18"/>
              </w:rPr>
            </w:pPr>
            <w:r w:rsidRPr="00FE771B">
              <w:rPr>
                <w:rFonts w:ascii="Times New Roman" w:hAnsi="Times New Roman" w:cs="Times New Roman"/>
                <w:i/>
                <w:color w:val="000000" w:themeColor="text1"/>
                <w:kern w:val="0"/>
                <w:sz w:val="18"/>
                <w:szCs w:val="18"/>
              </w:rPr>
              <w:lastRenderedPageBreak/>
              <w:t>Board</w:t>
            </w:r>
          </w:p>
        </w:tc>
        <w:tc>
          <w:tcPr>
            <w:tcW w:w="482" w:type="pct"/>
          </w:tcPr>
          <w:p w:rsidR="00D276EE" w:rsidRPr="00FE771B" w:rsidRDefault="00D276EE" w:rsidP="00D276EE">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11121</w:t>
            </w:r>
          </w:p>
        </w:tc>
        <w:tc>
          <w:tcPr>
            <w:tcW w:w="598" w:type="pct"/>
          </w:tcPr>
          <w:p w:rsidR="00D276EE" w:rsidRPr="00FE771B" w:rsidRDefault="00D276EE" w:rsidP="0081445C">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1.6090</w:t>
            </w:r>
          </w:p>
        </w:tc>
        <w:tc>
          <w:tcPr>
            <w:tcW w:w="598" w:type="pct"/>
          </w:tcPr>
          <w:p w:rsidR="00D276EE" w:rsidRPr="00FE771B" w:rsidRDefault="00D276EE" w:rsidP="0081445C">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1.9460</w:t>
            </w:r>
          </w:p>
        </w:tc>
        <w:tc>
          <w:tcPr>
            <w:tcW w:w="598" w:type="pct"/>
          </w:tcPr>
          <w:p w:rsidR="00D276EE" w:rsidRPr="00FE771B" w:rsidRDefault="00D276EE" w:rsidP="0081445C">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2.1130</w:t>
            </w:r>
          </w:p>
        </w:tc>
        <w:tc>
          <w:tcPr>
            <w:tcW w:w="598" w:type="pct"/>
          </w:tcPr>
          <w:p w:rsidR="00D276EE" w:rsidRPr="00FE771B" w:rsidRDefault="00D276EE" w:rsidP="0081445C">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2.1970</w:t>
            </w:r>
          </w:p>
        </w:tc>
        <w:tc>
          <w:tcPr>
            <w:tcW w:w="598" w:type="pct"/>
          </w:tcPr>
          <w:p w:rsidR="00D276EE" w:rsidRPr="00FE771B" w:rsidRDefault="00D276EE" w:rsidP="0081445C">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2.5650</w:t>
            </w:r>
          </w:p>
        </w:tc>
        <w:tc>
          <w:tcPr>
            <w:tcW w:w="521" w:type="pct"/>
          </w:tcPr>
          <w:p w:rsidR="00D276EE" w:rsidRPr="00FE771B" w:rsidRDefault="00D276EE" w:rsidP="0081445C">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0.1880</w:t>
            </w:r>
          </w:p>
        </w:tc>
      </w:tr>
      <w:tr w:rsidR="0088590B" w:rsidRPr="00FE771B" w:rsidTr="0038276F">
        <w:trPr>
          <w:jc w:val="center"/>
        </w:trPr>
        <w:tc>
          <w:tcPr>
            <w:tcW w:w="1006" w:type="pct"/>
          </w:tcPr>
          <w:p w:rsidR="00D276EE" w:rsidRPr="00FE771B" w:rsidRDefault="00D276EE" w:rsidP="00D276EE">
            <w:pPr>
              <w:autoSpaceDE w:val="0"/>
              <w:autoSpaceDN w:val="0"/>
              <w:adjustRightInd w:val="0"/>
              <w:jc w:val="center"/>
              <w:rPr>
                <w:rFonts w:ascii="Times New Roman" w:hAnsi="Times New Roman" w:cs="Times New Roman"/>
                <w:i/>
                <w:color w:val="000000" w:themeColor="text1"/>
                <w:kern w:val="0"/>
                <w:sz w:val="18"/>
                <w:szCs w:val="18"/>
              </w:rPr>
            </w:pPr>
            <w:r w:rsidRPr="00FE771B">
              <w:rPr>
                <w:rFonts w:ascii="Times New Roman" w:hAnsi="Times New Roman" w:cs="Times New Roman"/>
                <w:i/>
                <w:color w:val="000000" w:themeColor="text1"/>
                <w:kern w:val="0"/>
                <w:sz w:val="18"/>
                <w:szCs w:val="18"/>
              </w:rPr>
              <w:t>Institution</w:t>
            </w:r>
          </w:p>
        </w:tc>
        <w:tc>
          <w:tcPr>
            <w:tcW w:w="482" w:type="pct"/>
          </w:tcPr>
          <w:p w:rsidR="00D276EE" w:rsidRPr="00FE771B" w:rsidRDefault="00D276EE" w:rsidP="00D276EE">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10967</w:t>
            </w:r>
          </w:p>
        </w:tc>
        <w:tc>
          <w:tcPr>
            <w:tcW w:w="598" w:type="pct"/>
          </w:tcPr>
          <w:p w:rsidR="00D276EE" w:rsidRPr="00FE771B" w:rsidRDefault="00D276EE" w:rsidP="0081445C">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0.0010</w:t>
            </w:r>
          </w:p>
        </w:tc>
        <w:tc>
          <w:tcPr>
            <w:tcW w:w="598" w:type="pct"/>
          </w:tcPr>
          <w:p w:rsidR="00D276EE" w:rsidRPr="00FE771B" w:rsidRDefault="00D276EE" w:rsidP="0081445C">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0.1530</w:t>
            </w:r>
          </w:p>
        </w:tc>
        <w:tc>
          <w:tcPr>
            <w:tcW w:w="598" w:type="pct"/>
          </w:tcPr>
          <w:p w:rsidR="00D276EE" w:rsidRPr="00FE771B" w:rsidRDefault="00D276EE" w:rsidP="0081445C">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0.3460</w:t>
            </w:r>
          </w:p>
        </w:tc>
        <w:tc>
          <w:tcPr>
            <w:tcW w:w="598" w:type="pct"/>
          </w:tcPr>
          <w:p w:rsidR="00D276EE" w:rsidRPr="00FE771B" w:rsidRDefault="00D276EE" w:rsidP="0081445C">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0.5160</w:t>
            </w:r>
          </w:p>
        </w:tc>
        <w:tc>
          <w:tcPr>
            <w:tcW w:w="598" w:type="pct"/>
          </w:tcPr>
          <w:p w:rsidR="00D276EE" w:rsidRPr="00FE771B" w:rsidRDefault="00D276EE" w:rsidP="0081445C">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0.8390</w:t>
            </w:r>
          </w:p>
        </w:tc>
        <w:tc>
          <w:tcPr>
            <w:tcW w:w="521" w:type="pct"/>
          </w:tcPr>
          <w:p w:rsidR="00D276EE" w:rsidRPr="00FE771B" w:rsidRDefault="00D276EE" w:rsidP="0081445C">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0.2220</w:t>
            </w:r>
          </w:p>
        </w:tc>
      </w:tr>
      <w:tr w:rsidR="0088590B" w:rsidRPr="00FE771B" w:rsidTr="0038276F">
        <w:trPr>
          <w:jc w:val="center"/>
        </w:trPr>
        <w:tc>
          <w:tcPr>
            <w:tcW w:w="1006" w:type="pct"/>
          </w:tcPr>
          <w:p w:rsidR="00D276EE" w:rsidRPr="00FE771B" w:rsidRDefault="00D276EE" w:rsidP="00D276EE">
            <w:pPr>
              <w:autoSpaceDE w:val="0"/>
              <w:autoSpaceDN w:val="0"/>
              <w:adjustRightInd w:val="0"/>
              <w:jc w:val="center"/>
              <w:rPr>
                <w:rFonts w:ascii="Times New Roman" w:hAnsi="Times New Roman" w:cs="Times New Roman"/>
                <w:i/>
                <w:color w:val="000000" w:themeColor="text1"/>
                <w:kern w:val="0"/>
                <w:sz w:val="18"/>
                <w:szCs w:val="18"/>
              </w:rPr>
            </w:pPr>
            <w:proofErr w:type="spellStart"/>
            <w:r w:rsidRPr="00FE771B">
              <w:rPr>
                <w:rFonts w:ascii="Times New Roman" w:hAnsi="Times New Roman" w:cs="Times New Roman"/>
                <w:i/>
                <w:color w:val="000000" w:themeColor="text1"/>
                <w:kern w:val="0"/>
                <w:sz w:val="18"/>
                <w:szCs w:val="18"/>
              </w:rPr>
              <w:t>ManageH</w:t>
            </w:r>
            <w:proofErr w:type="spellEnd"/>
          </w:p>
        </w:tc>
        <w:tc>
          <w:tcPr>
            <w:tcW w:w="482" w:type="pct"/>
          </w:tcPr>
          <w:p w:rsidR="00D276EE" w:rsidRPr="00FE771B" w:rsidRDefault="00D276EE" w:rsidP="00D276EE">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10780</w:t>
            </w:r>
          </w:p>
        </w:tc>
        <w:tc>
          <w:tcPr>
            <w:tcW w:w="598" w:type="pct"/>
          </w:tcPr>
          <w:p w:rsidR="00D276EE" w:rsidRPr="00FE771B" w:rsidRDefault="00D276EE" w:rsidP="0081445C">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0.0000</w:t>
            </w:r>
          </w:p>
        </w:tc>
        <w:tc>
          <w:tcPr>
            <w:tcW w:w="598" w:type="pct"/>
          </w:tcPr>
          <w:p w:rsidR="00D276EE" w:rsidRPr="00FE771B" w:rsidRDefault="00D276EE" w:rsidP="0081445C">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0.0000</w:t>
            </w:r>
          </w:p>
        </w:tc>
        <w:tc>
          <w:tcPr>
            <w:tcW w:w="598" w:type="pct"/>
          </w:tcPr>
          <w:p w:rsidR="00D276EE" w:rsidRPr="00FE771B" w:rsidRDefault="00D276EE" w:rsidP="0081445C">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0.1670</w:t>
            </w:r>
          </w:p>
        </w:tc>
        <w:tc>
          <w:tcPr>
            <w:tcW w:w="598" w:type="pct"/>
          </w:tcPr>
          <w:p w:rsidR="00D276EE" w:rsidRPr="00FE771B" w:rsidRDefault="00D276EE" w:rsidP="0081445C">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0.3280</w:t>
            </w:r>
          </w:p>
        </w:tc>
        <w:tc>
          <w:tcPr>
            <w:tcW w:w="598" w:type="pct"/>
          </w:tcPr>
          <w:p w:rsidR="00D276EE" w:rsidRPr="00FE771B" w:rsidRDefault="00D276EE" w:rsidP="0081445C">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0.6810</w:t>
            </w:r>
          </w:p>
        </w:tc>
        <w:tc>
          <w:tcPr>
            <w:tcW w:w="521" w:type="pct"/>
          </w:tcPr>
          <w:p w:rsidR="00D276EE" w:rsidRPr="00FE771B" w:rsidRDefault="00D276EE" w:rsidP="0081445C">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0.2070</w:t>
            </w:r>
          </w:p>
        </w:tc>
      </w:tr>
      <w:tr w:rsidR="0088590B" w:rsidRPr="00FE771B" w:rsidTr="0038276F">
        <w:trPr>
          <w:jc w:val="center"/>
        </w:trPr>
        <w:tc>
          <w:tcPr>
            <w:tcW w:w="1006" w:type="pct"/>
          </w:tcPr>
          <w:p w:rsidR="00D276EE" w:rsidRPr="00FE771B" w:rsidRDefault="00D276EE" w:rsidP="00D276EE">
            <w:pPr>
              <w:autoSpaceDE w:val="0"/>
              <w:autoSpaceDN w:val="0"/>
              <w:adjustRightInd w:val="0"/>
              <w:jc w:val="center"/>
              <w:rPr>
                <w:rFonts w:ascii="Times New Roman" w:hAnsi="Times New Roman" w:cs="Times New Roman"/>
                <w:i/>
                <w:color w:val="000000" w:themeColor="text1"/>
                <w:kern w:val="0"/>
                <w:sz w:val="18"/>
                <w:szCs w:val="18"/>
              </w:rPr>
            </w:pPr>
            <w:r w:rsidRPr="00FE771B">
              <w:rPr>
                <w:rFonts w:ascii="Times New Roman" w:hAnsi="Times New Roman" w:cs="Times New Roman"/>
                <w:i/>
                <w:color w:val="000000" w:themeColor="text1"/>
                <w:kern w:val="0"/>
                <w:sz w:val="18"/>
                <w:szCs w:val="18"/>
              </w:rPr>
              <w:t>Independent</w:t>
            </w:r>
          </w:p>
        </w:tc>
        <w:tc>
          <w:tcPr>
            <w:tcW w:w="482" w:type="pct"/>
          </w:tcPr>
          <w:p w:rsidR="00D276EE" w:rsidRPr="00FE771B" w:rsidRDefault="00D276EE" w:rsidP="00D276EE">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11120</w:t>
            </w:r>
          </w:p>
        </w:tc>
        <w:tc>
          <w:tcPr>
            <w:tcW w:w="598" w:type="pct"/>
          </w:tcPr>
          <w:p w:rsidR="00D276EE" w:rsidRPr="00FE771B" w:rsidRDefault="00D276EE" w:rsidP="0081445C">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0.3330</w:t>
            </w:r>
          </w:p>
        </w:tc>
        <w:tc>
          <w:tcPr>
            <w:tcW w:w="598" w:type="pct"/>
          </w:tcPr>
          <w:p w:rsidR="00D276EE" w:rsidRPr="00FE771B" w:rsidRDefault="00D276EE" w:rsidP="0081445C">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0.3330</w:t>
            </w:r>
          </w:p>
        </w:tc>
        <w:tc>
          <w:tcPr>
            <w:tcW w:w="598" w:type="pct"/>
          </w:tcPr>
          <w:p w:rsidR="00D276EE" w:rsidRPr="00FE771B" w:rsidRDefault="00D276EE" w:rsidP="0081445C">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0.3760</w:t>
            </w:r>
          </w:p>
        </w:tc>
        <w:tc>
          <w:tcPr>
            <w:tcW w:w="598" w:type="pct"/>
          </w:tcPr>
          <w:p w:rsidR="00D276EE" w:rsidRPr="00FE771B" w:rsidRDefault="00D276EE" w:rsidP="0081445C">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0.4290</w:t>
            </w:r>
          </w:p>
        </w:tc>
        <w:tc>
          <w:tcPr>
            <w:tcW w:w="598" w:type="pct"/>
          </w:tcPr>
          <w:p w:rsidR="00D276EE" w:rsidRPr="00FE771B" w:rsidRDefault="00D276EE" w:rsidP="0081445C">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0.5710</w:t>
            </w:r>
          </w:p>
        </w:tc>
        <w:tc>
          <w:tcPr>
            <w:tcW w:w="521" w:type="pct"/>
          </w:tcPr>
          <w:p w:rsidR="00D276EE" w:rsidRPr="00FE771B" w:rsidRDefault="00D276EE" w:rsidP="0081445C">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0.0530</w:t>
            </w:r>
          </w:p>
        </w:tc>
      </w:tr>
      <w:tr w:rsidR="0088590B" w:rsidRPr="00FE771B" w:rsidTr="0038276F">
        <w:trPr>
          <w:jc w:val="center"/>
        </w:trPr>
        <w:tc>
          <w:tcPr>
            <w:tcW w:w="1006" w:type="pct"/>
          </w:tcPr>
          <w:p w:rsidR="00D276EE" w:rsidRPr="00FE771B" w:rsidRDefault="00D276EE" w:rsidP="00D276EE">
            <w:pPr>
              <w:autoSpaceDE w:val="0"/>
              <w:autoSpaceDN w:val="0"/>
              <w:adjustRightInd w:val="0"/>
              <w:jc w:val="center"/>
              <w:rPr>
                <w:rFonts w:ascii="Times New Roman" w:hAnsi="Times New Roman" w:cs="Times New Roman"/>
                <w:i/>
                <w:color w:val="000000" w:themeColor="text1"/>
                <w:kern w:val="0"/>
                <w:sz w:val="18"/>
                <w:szCs w:val="18"/>
              </w:rPr>
            </w:pPr>
            <w:r w:rsidRPr="00FE771B">
              <w:rPr>
                <w:rFonts w:ascii="Times New Roman" w:hAnsi="Times New Roman" w:cs="Times New Roman"/>
                <w:i/>
                <w:color w:val="000000" w:themeColor="text1"/>
                <w:kern w:val="0"/>
                <w:sz w:val="18"/>
                <w:szCs w:val="18"/>
              </w:rPr>
              <w:t>Dual</w:t>
            </w:r>
          </w:p>
        </w:tc>
        <w:tc>
          <w:tcPr>
            <w:tcW w:w="482" w:type="pct"/>
          </w:tcPr>
          <w:p w:rsidR="00D276EE" w:rsidRPr="00FE771B" w:rsidRDefault="00D276EE" w:rsidP="00D276EE">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11030</w:t>
            </w:r>
          </w:p>
        </w:tc>
        <w:tc>
          <w:tcPr>
            <w:tcW w:w="598" w:type="pct"/>
          </w:tcPr>
          <w:p w:rsidR="00D276EE" w:rsidRPr="00FE771B" w:rsidRDefault="00D276EE" w:rsidP="0081445C">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0.0000</w:t>
            </w:r>
          </w:p>
        </w:tc>
        <w:tc>
          <w:tcPr>
            <w:tcW w:w="598" w:type="pct"/>
          </w:tcPr>
          <w:p w:rsidR="00D276EE" w:rsidRPr="00FE771B" w:rsidRDefault="00D276EE" w:rsidP="0081445C">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0.0000</w:t>
            </w:r>
          </w:p>
        </w:tc>
        <w:tc>
          <w:tcPr>
            <w:tcW w:w="598" w:type="pct"/>
          </w:tcPr>
          <w:p w:rsidR="00D276EE" w:rsidRPr="00FE771B" w:rsidRDefault="00D276EE" w:rsidP="0081445C">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0.6910</w:t>
            </w:r>
          </w:p>
        </w:tc>
        <w:tc>
          <w:tcPr>
            <w:tcW w:w="598" w:type="pct"/>
          </w:tcPr>
          <w:p w:rsidR="00D276EE" w:rsidRPr="00FE771B" w:rsidRDefault="00D276EE" w:rsidP="0081445C">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1.0000</w:t>
            </w:r>
          </w:p>
        </w:tc>
        <w:tc>
          <w:tcPr>
            <w:tcW w:w="598" w:type="pct"/>
          </w:tcPr>
          <w:p w:rsidR="00D276EE" w:rsidRPr="00FE771B" w:rsidRDefault="00D276EE" w:rsidP="0081445C">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1.0000</w:t>
            </w:r>
          </w:p>
        </w:tc>
        <w:tc>
          <w:tcPr>
            <w:tcW w:w="521" w:type="pct"/>
          </w:tcPr>
          <w:p w:rsidR="00D276EE" w:rsidRPr="00FE771B" w:rsidRDefault="00D276EE" w:rsidP="0081445C">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0.4620</w:t>
            </w:r>
          </w:p>
        </w:tc>
      </w:tr>
    </w:tbl>
    <w:p w:rsidR="00523B86" w:rsidRPr="00FE771B" w:rsidRDefault="00523B86">
      <w:pPr>
        <w:rPr>
          <w:rFonts w:ascii="Times New Roman" w:hAnsi="Times New Roman" w:cs="Times New Roman"/>
        </w:rPr>
      </w:pPr>
    </w:p>
    <w:p w:rsidR="00DA06C9" w:rsidRPr="00FE771B" w:rsidRDefault="0088590B" w:rsidP="00DA06C9">
      <w:pPr>
        <w:jc w:val="center"/>
        <w:rPr>
          <w:rFonts w:ascii="Times New Roman" w:hAnsi="Times New Roman" w:cs="Times New Roman"/>
        </w:rPr>
      </w:pPr>
      <w:r w:rsidRPr="00FE771B">
        <w:rPr>
          <w:rFonts w:ascii="Times New Roman" w:hAnsi="Times New Roman" w:cs="Times New Roman"/>
          <w:noProof/>
        </w:rPr>
        <w:drawing>
          <wp:inline distT="0" distB="0" distL="0" distR="0" wp14:anchorId="098D1E54" wp14:editId="05D144E6">
            <wp:extent cx="4149306" cy="2510287"/>
            <wp:effectExtent l="0" t="0" r="3810" b="444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A06C9" w:rsidRPr="00FE771B" w:rsidRDefault="00DA06C9" w:rsidP="00DA06C9">
      <w:pPr>
        <w:jc w:val="center"/>
        <w:rPr>
          <w:rFonts w:ascii="Times New Roman" w:eastAsia="楷体" w:hAnsi="Times New Roman" w:cs="Times New Roman"/>
        </w:rPr>
      </w:pPr>
      <w:r w:rsidRPr="00FE771B">
        <w:rPr>
          <w:rFonts w:ascii="Times New Roman" w:eastAsia="楷体" w:hAnsi="Times New Roman" w:cs="Times New Roman"/>
        </w:rPr>
        <w:t>图</w:t>
      </w:r>
      <w:r w:rsidR="003A790D" w:rsidRPr="00FE771B">
        <w:rPr>
          <w:rFonts w:ascii="Times New Roman" w:eastAsia="楷体" w:hAnsi="Times New Roman" w:cs="Times New Roman"/>
        </w:rPr>
        <w:t xml:space="preserve">5  </w:t>
      </w:r>
      <w:r w:rsidRPr="00FE771B">
        <w:rPr>
          <w:rFonts w:ascii="Times New Roman" w:eastAsia="楷体" w:hAnsi="Times New Roman" w:cs="Times New Roman"/>
        </w:rPr>
        <w:t>上市公司历年金融资产占比</w:t>
      </w:r>
    </w:p>
    <w:p w:rsidR="008810E1" w:rsidRPr="00FE771B" w:rsidRDefault="00E14128" w:rsidP="00EE0516">
      <w:pPr>
        <w:pStyle w:val="20"/>
        <w:ind w:firstLine="422"/>
        <w:rPr>
          <w:b/>
        </w:rPr>
      </w:pPr>
      <w:r w:rsidRPr="00FE771B">
        <w:rPr>
          <w:b/>
        </w:rPr>
        <w:t>(</w:t>
      </w:r>
      <w:r w:rsidRPr="00FE771B">
        <w:rPr>
          <w:b/>
        </w:rPr>
        <w:t>二</w:t>
      </w:r>
      <w:r w:rsidRPr="00FE771B">
        <w:rPr>
          <w:b/>
        </w:rPr>
        <w:t>)</w:t>
      </w:r>
      <w:proofErr w:type="gramStart"/>
      <w:r w:rsidR="00305360" w:rsidRPr="00FE771B">
        <w:rPr>
          <w:b/>
        </w:rPr>
        <w:t>基本回归</w:t>
      </w:r>
      <w:proofErr w:type="gramEnd"/>
      <w:r w:rsidR="00305360" w:rsidRPr="00FE771B">
        <w:rPr>
          <w:b/>
        </w:rPr>
        <w:t>结果</w:t>
      </w:r>
    </w:p>
    <w:p w:rsidR="00CC7201" w:rsidRPr="00FE771B" w:rsidRDefault="002033D7" w:rsidP="002033D7">
      <w:pPr>
        <w:overflowPunct w:val="0"/>
        <w:ind w:firstLineChars="200" w:firstLine="420"/>
        <w:rPr>
          <w:rFonts w:ascii="Times New Roman" w:hAnsi="Times New Roman" w:cs="Times New Roman"/>
          <w:color w:val="000000" w:themeColor="text1"/>
        </w:rPr>
      </w:pPr>
      <w:r w:rsidRPr="00FE771B">
        <w:rPr>
          <w:rFonts w:ascii="Times New Roman" w:hAnsi="Times New Roman" w:cs="Times New Roman"/>
          <w:color w:val="000000" w:themeColor="text1"/>
        </w:rPr>
        <w:t>表</w:t>
      </w:r>
      <w:r w:rsidRPr="00FE771B">
        <w:rPr>
          <w:rFonts w:ascii="Times New Roman" w:hAnsi="Times New Roman" w:cs="Times New Roman"/>
          <w:color w:val="000000" w:themeColor="text1"/>
        </w:rPr>
        <w:t>3</w:t>
      </w:r>
      <w:r w:rsidRPr="00FE771B">
        <w:rPr>
          <w:rFonts w:ascii="Times New Roman" w:hAnsi="Times New Roman" w:cs="Times New Roman"/>
          <w:color w:val="000000" w:themeColor="text1"/>
        </w:rPr>
        <w:t>报告了业绩承诺协议对上司公司</w:t>
      </w:r>
      <w:r w:rsidRPr="00FE771B">
        <w:rPr>
          <w:rFonts w:ascii="Times New Roman" w:hAnsi="Times New Roman" w:cs="Times New Roman"/>
          <w:color w:val="000000" w:themeColor="text1"/>
        </w:rPr>
        <w:t>“</w:t>
      </w:r>
      <w:r w:rsidRPr="00FE771B">
        <w:rPr>
          <w:rFonts w:ascii="Times New Roman" w:hAnsi="Times New Roman" w:cs="Times New Roman"/>
          <w:color w:val="000000" w:themeColor="text1"/>
        </w:rPr>
        <w:t>脱实向虚</w:t>
      </w:r>
      <w:r w:rsidRPr="00FE771B">
        <w:rPr>
          <w:rFonts w:ascii="Times New Roman" w:hAnsi="Times New Roman" w:cs="Times New Roman"/>
          <w:color w:val="000000" w:themeColor="text1"/>
        </w:rPr>
        <w:t>”</w:t>
      </w:r>
      <w:r w:rsidRPr="00FE771B">
        <w:rPr>
          <w:rFonts w:ascii="Times New Roman" w:hAnsi="Times New Roman" w:cs="Times New Roman"/>
          <w:color w:val="000000" w:themeColor="text1"/>
        </w:rPr>
        <w:t>影响的回归结果。其中，第（</w:t>
      </w:r>
      <w:r w:rsidRPr="00FE771B">
        <w:rPr>
          <w:rFonts w:ascii="Times New Roman" w:hAnsi="Times New Roman" w:cs="Times New Roman"/>
          <w:color w:val="000000" w:themeColor="text1"/>
        </w:rPr>
        <w:t>1</w:t>
      </w:r>
      <w:r w:rsidRPr="00FE771B">
        <w:rPr>
          <w:rFonts w:ascii="Times New Roman" w:hAnsi="Times New Roman" w:cs="Times New Roman"/>
          <w:color w:val="000000" w:themeColor="text1"/>
        </w:rPr>
        <w:t>）</w:t>
      </w:r>
      <w:r w:rsidRPr="00FE771B">
        <w:rPr>
          <w:rFonts w:ascii="Times New Roman" w:hAnsi="Times New Roman" w:cs="Times New Roman"/>
          <w:color w:val="000000" w:themeColor="text1"/>
        </w:rPr>
        <w:t>-</w:t>
      </w:r>
      <w:r w:rsidRPr="00FE771B">
        <w:rPr>
          <w:rFonts w:ascii="Times New Roman" w:hAnsi="Times New Roman" w:cs="Times New Roman"/>
          <w:color w:val="000000" w:themeColor="text1"/>
        </w:rPr>
        <w:t>（</w:t>
      </w:r>
      <w:r w:rsidR="00645C1F" w:rsidRPr="00FE771B">
        <w:rPr>
          <w:rFonts w:ascii="Times New Roman" w:hAnsi="Times New Roman" w:cs="Times New Roman"/>
          <w:color w:val="000000" w:themeColor="text1"/>
        </w:rPr>
        <w:t>3</w:t>
      </w:r>
      <w:r w:rsidRPr="00FE771B">
        <w:rPr>
          <w:rFonts w:ascii="Times New Roman" w:hAnsi="Times New Roman" w:cs="Times New Roman"/>
          <w:color w:val="000000" w:themeColor="text1"/>
        </w:rPr>
        <w:t>）列为核心解释变量为是否签订业绩承诺协议的二值变量，而第（</w:t>
      </w:r>
      <w:r w:rsidR="00645C1F" w:rsidRPr="00FE771B">
        <w:rPr>
          <w:rFonts w:ascii="Times New Roman" w:hAnsi="Times New Roman" w:cs="Times New Roman"/>
          <w:color w:val="000000" w:themeColor="text1"/>
        </w:rPr>
        <w:t>4</w:t>
      </w:r>
      <w:r w:rsidRPr="00FE771B">
        <w:rPr>
          <w:rFonts w:ascii="Times New Roman" w:hAnsi="Times New Roman" w:cs="Times New Roman"/>
          <w:color w:val="000000" w:themeColor="text1"/>
        </w:rPr>
        <w:t>）</w:t>
      </w:r>
      <w:r w:rsidRPr="00FE771B">
        <w:rPr>
          <w:rFonts w:ascii="Times New Roman" w:hAnsi="Times New Roman" w:cs="Times New Roman"/>
          <w:color w:val="000000" w:themeColor="text1"/>
        </w:rPr>
        <w:t>-</w:t>
      </w:r>
      <w:r w:rsidRPr="00FE771B">
        <w:rPr>
          <w:rFonts w:ascii="Times New Roman" w:hAnsi="Times New Roman" w:cs="Times New Roman"/>
          <w:color w:val="000000" w:themeColor="text1"/>
        </w:rPr>
        <w:t>（</w:t>
      </w:r>
      <w:r w:rsidR="00645C1F" w:rsidRPr="00FE771B">
        <w:rPr>
          <w:rFonts w:ascii="Times New Roman" w:hAnsi="Times New Roman" w:cs="Times New Roman"/>
          <w:color w:val="000000" w:themeColor="text1"/>
        </w:rPr>
        <w:t>6</w:t>
      </w:r>
      <w:r w:rsidR="00645C1F" w:rsidRPr="00FE771B">
        <w:rPr>
          <w:rFonts w:ascii="Times New Roman" w:hAnsi="Times New Roman" w:cs="Times New Roman"/>
          <w:color w:val="000000" w:themeColor="text1"/>
        </w:rPr>
        <w:t>）</w:t>
      </w:r>
      <w:proofErr w:type="gramStart"/>
      <w:r w:rsidR="00645C1F" w:rsidRPr="00FE771B">
        <w:rPr>
          <w:rFonts w:ascii="Times New Roman" w:hAnsi="Times New Roman" w:cs="Times New Roman"/>
          <w:color w:val="000000" w:themeColor="text1"/>
        </w:rPr>
        <w:t>列核心解释</w:t>
      </w:r>
      <w:proofErr w:type="gramEnd"/>
      <w:r w:rsidR="00645C1F" w:rsidRPr="00FE771B">
        <w:rPr>
          <w:rFonts w:ascii="Times New Roman" w:hAnsi="Times New Roman" w:cs="Times New Roman"/>
          <w:color w:val="000000" w:themeColor="text1"/>
        </w:rPr>
        <w:t>变量为签订业绩承诺协议的次数；其中第（</w:t>
      </w:r>
      <w:r w:rsidR="00645C1F" w:rsidRPr="00FE771B">
        <w:rPr>
          <w:rFonts w:ascii="Times New Roman" w:hAnsi="Times New Roman" w:cs="Times New Roman"/>
          <w:color w:val="000000" w:themeColor="text1"/>
        </w:rPr>
        <w:t>1</w:t>
      </w:r>
      <w:r w:rsidR="00645C1F" w:rsidRPr="00FE771B">
        <w:rPr>
          <w:rFonts w:ascii="Times New Roman" w:hAnsi="Times New Roman" w:cs="Times New Roman"/>
          <w:color w:val="000000" w:themeColor="text1"/>
        </w:rPr>
        <w:t>）（</w:t>
      </w:r>
      <w:r w:rsidR="00645C1F" w:rsidRPr="00FE771B">
        <w:rPr>
          <w:rFonts w:ascii="Times New Roman" w:hAnsi="Times New Roman" w:cs="Times New Roman"/>
          <w:color w:val="000000" w:themeColor="text1"/>
        </w:rPr>
        <w:t>4</w:t>
      </w:r>
      <w:r w:rsidR="00645C1F" w:rsidRPr="00FE771B">
        <w:rPr>
          <w:rFonts w:ascii="Times New Roman" w:hAnsi="Times New Roman" w:cs="Times New Roman"/>
          <w:color w:val="000000" w:themeColor="text1"/>
        </w:rPr>
        <w:t>）为混合回归计量结果，第（</w:t>
      </w:r>
      <w:r w:rsidR="00645C1F" w:rsidRPr="00FE771B">
        <w:rPr>
          <w:rFonts w:ascii="Times New Roman" w:hAnsi="Times New Roman" w:cs="Times New Roman"/>
          <w:color w:val="000000" w:themeColor="text1"/>
        </w:rPr>
        <w:t>2</w:t>
      </w:r>
      <w:r w:rsidR="00645C1F" w:rsidRPr="00FE771B">
        <w:rPr>
          <w:rFonts w:ascii="Times New Roman" w:hAnsi="Times New Roman" w:cs="Times New Roman"/>
          <w:color w:val="000000" w:themeColor="text1"/>
        </w:rPr>
        <w:t>）（</w:t>
      </w:r>
      <w:r w:rsidR="00645C1F" w:rsidRPr="00FE771B">
        <w:rPr>
          <w:rFonts w:ascii="Times New Roman" w:hAnsi="Times New Roman" w:cs="Times New Roman"/>
          <w:color w:val="000000" w:themeColor="text1"/>
        </w:rPr>
        <w:t>5</w:t>
      </w:r>
      <w:r w:rsidR="00645C1F" w:rsidRPr="00FE771B">
        <w:rPr>
          <w:rFonts w:ascii="Times New Roman" w:hAnsi="Times New Roman" w:cs="Times New Roman"/>
          <w:color w:val="000000" w:themeColor="text1"/>
        </w:rPr>
        <w:t>）为面板固定效应回归计量结果，第（</w:t>
      </w:r>
      <w:r w:rsidR="00645C1F" w:rsidRPr="00FE771B">
        <w:rPr>
          <w:rFonts w:ascii="Times New Roman" w:hAnsi="Times New Roman" w:cs="Times New Roman"/>
          <w:color w:val="000000" w:themeColor="text1"/>
        </w:rPr>
        <w:t>3</w:t>
      </w:r>
      <w:r w:rsidR="00645C1F" w:rsidRPr="00FE771B">
        <w:rPr>
          <w:rFonts w:ascii="Times New Roman" w:hAnsi="Times New Roman" w:cs="Times New Roman"/>
          <w:color w:val="000000" w:themeColor="text1"/>
        </w:rPr>
        <w:t>）（</w:t>
      </w:r>
      <w:r w:rsidR="00645C1F" w:rsidRPr="00FE771B">
        <w:rPr>
          <w:rFonts w:ascii="Times New Roman" w:hAnsi="Times New Roman" w:cs="Times New Roman"/>
          <w:color w:val="000000" w:themeColor="text1"/>
        </w:rPr>
        <w:t>6</w:t>
      </w:r>
      <w:r w:rsidR="00645C1F" w:rsidRPr="00FE771B">
        <w:rPr>
          <w:rFonts w:ascii="Times New Roman" w:hAnsi="Times New Roman" w:cs="Times New Roman"/>
          <w:color w:val="000000" w:themeColor="text1"/>
        </w:rPr>
        <w:t>）为面板随机效应回归计量结果。同时，各列回归都控制了年度和行业固定效应。表</w:t>
      </w:r>
      <w:r w:rsidR="00645C1F" w:rsidRPr="00FE771B">
        <w:rPr>
          <w:rFonts w:ascii="Times New Roman" w:hAnsi="Times New Roman" w:cs="Times New Roman"/>
          <w:color w:val="000000" w:themeColor="text1"/>
        </w:rPr>
        <w:t>3</w:t>
      </w:r>
      <w:r w:rsidR="00645C1F" w:rsidRPr="00FE771B">
        <w:rPr>
          <w:rFonts w:ascii="Times New Roman" w:hAnsi="Times New Roman" w:cs="Times New Roman"/>
          <w:color w:val="000000" w:themeColor="text1"/>
        </w:rPr>
        <w:t>下部列示了各种统计量，从面板固定效应</w:t>
      </w:r>
      <w:r w:rsidR="00645C1F" w:rsidRPr="00FE771B">
        <w:rPr>
          <w:rFonts w:ascii="Times New Roman" w:hAnsi="Times New Roman" w:cs="Times New Roman"/>
          <w:color w:val="000000" w:themeColor="text1"/>
        </w:rPr>
        <w:t>,</w:t>
      </w:r>
      <w:r w:rsidR="00645C1F" w:rsidRPr="00FE771B">
        <w:rPr>
          <w:rFonts w:ascii="Times New Roman" w:hAnsi="Times New Roman" w:cs="Times New Roman"/>
          <w:color w:val="000000" w:themeColor="text1"/>
        </w:rPr>
        <w:t>检验看，说明使用面板数据固定效用要优于最小二乘混合回归，从</w:t>
      </w:r>
      <w:proofErr w:type="spellStart"/>
      <w:r w:rsidR="00645C1F" w:rsidRPr="00FE771B">
        <w:rPr>
          <w:rFonts w:ascii="Times New Roman" w:hAnsi="Times New Roman" w:cs="Times New Roman"/>
          <w:color w:val="000000" w:themeColor="text1"/>
        </w:rPr>
        <w:t>Breusch</w:t>
      </w:r>
      <w:proofErr w:type="spellEnd"/>
      <w:r w:rsidR="00645C1F" w:rsidRPr="00FE771B">
        <w:rPr>
          <w:rFonts w:ascii="Times New Roman" w:hAnsi="Times New Roman" w:cs="Times New Roman"/>
          <w:color w:val="000000" w:themeColor="text1"/>
        </w:rPr>
        <w:t>－</w:t>
      </w:r>
      <w:r w:rsidR="00645C1F" w:rsidRPr="00FE771B">
        <w:rPr>
          <w:rFonts w:ascii="Times New Roman" w:hAnsi="Times New Roman" w:cs="Times New Roman"/>
          <w:color w:val="000000" w:themeColor="text1"/>
        </w:rPr>
        <w:t>Pagan</w:t>
      </w:r>
      <w:r w:rsidR="00645C1F" w:rsidRPr="00FE771B">
        <w:rPr>
          <w:rFonts w:ascii="Times New Roman" w:hAnsi="Times New Roman" w:cs="Times New Roman"/>
          <w:color w:val="000000" w:themeColor="text1"/>
        </w:rPr>
        <w:t>检验可以得出，面板随机效应模型要优于最小二乘混合回归。在固定效应和随机效应同时优于混合回归的情形下，对二者的鉴别依赖于</w:t>
      </w:r>
      <w:proofErr w:type="spellStart"/>
      <w:r w:rsidR="00645C1F" w:rsidRPr="00FE771B">
        <w:rPr>
          <w:rFonts w:ascii="Times New Roman" w:hAnsi="Times New Roman" w:cs="Times New Roman"/>
          <w:color w:val="000000" w:themeColor="text1"/>
        </w:rPr>
        <w:t>Hausman</w:t>
      </w:r>
      <w:proofErr w:type="spellEnd"/>
      <w:r w:rsidR="00645C1F" w:rsidRPr="00FE771B">
        <w:rPr>
          <w:rFonts w:ascii="Times New Roman" w:hAnsi="Times New Roman" w:cs="Times New Roman"/>
          <w:color w:val="000000" w:themeColor="text1"/>
        </w:rPr>
        <w:t>检验，从</w:t>
      </w:r>
      <w:proofErr w:type="spellStart"/>
      <w:r w:rsidR="00645C1F" w:rsidRPr="00FE771B">
        <w:rPr>
          <w:rFonts w:ascii="Times New Roman" w:hAnsi="Times New Roman" w:cs="Times New Roman"/>
          <w:color w:val="000000" w:themeColor="text1"/>
        </w:rPr>
        <w:t>Hausman</w:t>
      </w:r>
      <w:proofErr w:type="spellEnd"/>
      <w:r w:rsidR="00645C1F" w:rsidRPr="00FE771B">
        <w:rPr>
          <w:rFonts w:ascii="Times New Roman" w:hAnsi="Times New Roman" w:cs="Times New Roman"/>
          <w:color w:val="000000" w:themeColor="text1"/>
        </w:rPr>
        <w:t>检验结果看，模型采用固定效应回归优于随机效应。</w:t>
      </w:r>
      <w:r w:rsidR="002905A2" w:rsidRPr="00FE771B">
        <w:rPr>
          <w:rFonts w:ascii="Times New Roman" w:hAnsi="Times New Roman" w:cs="Times New Roman"/>
          <w:color w:val="000000" w:themeColor="text1"/>
        </w:rPr>
        <w:t>从</w:t>
      </w:r>
      <w:r w:rsidRPr="00FE771B">
        <w:rPr>
          <w:rFonts w:ascii="Times New Roman" w:hAnsi="Times New Roman" w:cs="Times New Roman"/>
          <w:color w:val="000000" w:themeColor="text1"/>
        </w:rPr>
        <w:t>直观上看，</w:t>
      </w:r>
      <w:r w:rsidR="00645C1F" w:rsidRPr="00FE771B">
        <w:rPr>
          <w:rFonts w:ascii="Times New Roman" w:hAnsi="Times New Roman" w:cs="Times New Roman"/>
          <w:color w:val="000000" w:themeColor="text1"/>
        </w:rPr>
        <w:t>各列业绩承诺核心解释变量回归系数都显著</w:t>
      </w:r>
      <w:r w:rsidR="002905A2" w:rsidRPr="00FE771B">
        <w:rPr>
          <w:rFonts w:ascii="Times New Roman" w:hAnsi="Times New Roman" w:cs="Times New Roman"/>
          <w:color w:val="000000" w:themeColor="text1"/>
        </w:rPr>
        <w:t>，显示了回归结果具有较好的稳定性和业绩承诺变量较好的解释能力。</w:t>
      </w:r>
      <w:r w:rsidR="00645C1F" w:rsidRPr="00FE771B">
        <w:rPr>
          <w:rFonts w:ascii="Times New Roman" w:hAnsi="Times New Roman" w:cs="Times New Roman"/>
          <w:color w:val="000000" w:themeColor="text1"/>
        </w:rPr>
        <w:t>这里包括下文回归都以固定效应回归为主要方法进行检验与解释，</w:t>
      </w:r>
      <w:r w:rsidR="002905A2" w:rsidRPr="00FE771B">
        <w:rPr>
          <w:rFonts w:ascii="Times New Roman" w:hAnsi="Times New Roman" w:cs="Times New Roman"/>
          <w:color w:val="000000" w:themeColor="text1"/>
        </w:rPr>
        <w:t>从（</w:t>
      </w:r>
      <w:r w:rsidR="002905A2" w:rsidRPr="00FE771B">
        <w:rPr>
          <w:rFonts w:ascii="Times New Roman" w:hAnsi="Times New Roman" w:cs="Times New Roman"/>
          <w:color w:val="000000" w:themeColor="text1"/>
        </w:rPr>
        <w:t>2</w:t>
      </w:r>
      <w:r w:rsidR="002905A2" w:rsidRPr="00FE771B">
        <w:rPr>
          <w:rFonts w:ascii="Times New Roman" w:hAnsi="Times New Roman" w:cs="Times New Roman"/>
          <w:color w:val="000000" w:themeColor="text1"/>
        </w:rPr>
        <w:t>）和（</w:t>
      </w:r>
      <w:r w:rsidR="00645C1F" w:rsidRPr="00FE771B">
        <w:rPr>
          <w:rFonts w:ascii="Times New Roman" w:hAnsi="Times New Roman" w:cs="Times New Roman"/>
          <w:color w:val="000000" w:themeColor="text1"/>
        </w:rPr>
        <w:t>5</w:t>
      </w:r>
      <w:r w:rsidR="002905A2" w:rsidRPr="00FE771B">
        <w:rPr>
          <w:rFonts w:ascii="Times New Roman" w:hAnsi="Times New Roman" w:cs="Times New Roman"/>
          <w:color w:val="000000" w:themeColor="text1"/>
        </w:rPr>
        <w:t>）回归结果说明签订业绩承诺协议和随着业绩承诺的次数增加都会在</w:t>
      </w:r>
      <w:r w:rsidR="009F1C64" w:rsidRPr="00FE771B">
        <w:rPr>
          <w:rFonts w:ascii="Times New Roman" w:hAnsi="Times New Roman" w:cs="Times New Roman"/>
          <w:color w:val="000000" w:themeColor="text1"/>
        </w:rPr>
        <w:t>5</w:t>
      </w:r>
      <w:r w:rsidR="002905A2" w:rsidRPr="00FE771B">
        <w:rPr>
          <w:rFonts w:ascii="Times New Roman" w:hAnsi="Times New Roman" w:cs="Times New Roman"/>
          <w:color w:val="000000" w:themeColor="text1"/>
        </w:rPr>
        <w:t>%</w:t>
      </w:r>
      <w:r w:rsidR="009F1C64" w:rsidRPr="00FE771B">
        <w:rPr>
          <w:rFonts w:ascii="Times New Roman" w:hAnsi="Times New Roman" w:cs="Times New Roman"/>
          <w:color w:val="000000" w:themeColor="text1"/>
        </w:rPr>
        <w:t>以上</w:t>
      </w:r>
      <w:r w:rsidR="00054CC9" w:rsidRPr="00FE771B">
        <w:rPr>
          <w:rFonts w:ascii="Times New Roman" w:hAnsi="Times New Roman" w:cs="Times New Roman"/>
          <w:color w:val="000000" w:themeColor="text1"/>
        </w:rPr>
        <w:t>显著水平下导致上市公司金融资产配置比重增长</w:t>
      </w:r>
      <w:r w:rsidR="00A90AC3" w:rsidRPr="00FE771B">
        <w:rPr>
          <w:rFonts w:ascii="Times New Roman" w:hAnsi="Times New Roman" w:cs="Times New Roman"/>
          <w:color w:val="000000" w:themeColor="text1"/>
        </w:rPr>
        <w:t>，这反映</w:t>
      </w:r>
      <w:r w:rsidR="00593055" w:rsidRPr="00FE771B">
        <w:rPr>
          <w:rFonts w:ascii="Times New Roman" w:hAnsi="Times New Roman" w:cs="Times New Roman"/>
          <w:color w:val="000000" w:themeColor="text1"/>
        </w:rPr>
        <w:t>签订业绩</w:t>
      </w:r>
      <w:r w:rsidR="00A90AC3" w:rsidRPr="00FE771B">
        <w:rPr>
          <w:rFonts w:ascii="Times New Roman" w:hAnsi="Times New Roman" w:cs="Times New Roman"/>
          <w:color w:val="000000" w:themeColor="text1"/>
        </w:rPr>
        <w:t>承诺</w:t>
      </w:r>
      <w:r w:rsidR="00593055" w:rsidRPr="00FE771B">
        <w:rPr>
          <w:rFonts w:ascii="Times New Roman" w:hAnsi="Times New Roman" w:cs="Times New Roman"/>
          <w:color w:val="000000" w:themeColor="text1"/>
        </w:rPr>
        <w:t>协议后</w:t>
      </w:r>
      <w:r w:rsidR="00A90AC3" w:rsidRPr="00FE771B">
        <w:rPr>
          <w:rFonts w:ascii="Times New Roman" w:hAnsi="Times New Roman" w:cs="Times New Roman"/>
          <w:color w:val="000000" w:themeColor="text1"/>
        </w:rPr>
        <w:t>加剧</w:t>
      </w:r>
      <w:r w:rsidR="00593055" w:rsidRPr="00FE771B">
        <w:rPr>
          <w:rFonts w:ascii="Times New Roman" w:hAnsi="Times New Roman" w:cs="Times New Roman"/>
          <w:color w:val="000000" w:themeColor="text1"/>
        </w:rPr>
        <w:t>了上市公司偏好金融资产配置</w:t>
      </w:r>
      <w:r w:rsidR="00A90AC3" w:rsidRPr="00FE771B">
        <w:rPr>
          <w:rFonts w:ascii="Times New Roman" w:hAnsi="Times New Roman" w:cs="Times New Roman"/>
          <w:color w:val="000000" w:themeColor="text1"/>
        </w:rPr>
        <w:t>导致</w:t>
      </w:r>
      <w:r w:rsidR="002905A2" w:rsidRPr="00FE771B">
        <w:rPr>
          <w:rFonts w:ascii="Times New Roman" w:hAnsi="Times New Roman" w:cs="Times New Roman"/>
          <w:color w:val="000000" w:themeColor="text1"/>
        </w:rPr>
        <w:t>上市公司</w:t>
      </w:r>
      <w:r w:rsidR="002905A2" w:rsidRPr="00FE771B">
        <w:rPr>
          <w:rFonts w:ascii="Times New Roman" w:hAnsi="Times New Roman" w:cs="Times New Roman"/>
          <w:color w:val="000000" w:themeColor="text1"/>
        </w:rPr>
        <w:t>“</w:t>
      </w:r>
      <w:r w:rsidR="002905A2" w:rsidRPr="00FE771B">
        <w:rPr>
          <w:rFonts w:ascii="Times New Roman" w:hAnsi="Times New Roman" w:cs="Times New Roman"/>
          <w:color w:val="000000" w:themeColor="text1"/>
        </w:rPr>
        <w:t>脱实向虚</w:t>
      </w:r>
      <w:r w:rsidR="002905A2" w:rsidRPr="00FE771B">
        <w:rPr>
          <w:rFonts w:ascii="Times New Roman" w:hAnsi="Times New Roman" w:cs="Times New Roman"/>
          <w:color w:val="000000" w:themeColor="text1"/>
        </w:rPr>
        <w:t>”</w:t>
      </w:r>
      <w:r w:rsidR="00593055" w:rsidRPr="00FE771B">
        <w:rPr>
          <w:rFonts w:ascii="Times New Roman" w:hAnsi="Times New Roman" w:cs="Times New Roman"/>
          <w:color w:val="000000" w:themeColor="text1"/>
        </w:rPr>
        <w:t>的事实</w:t>
      </w:r>
      <w:r w:rsidR="002905A2" w:rsidRPr="00FE771B">
        <w:rPr>
          <w:rFonts w:ascii="Times New Roman" w:hAnsi="Times New Roman" w:cs="Times New Roman"/>
          <w:color w:val="000000" w:themeColor="text1"/>
        </w:rPr>
        <w:t>。这一结果支持了假设</w:t>
      </w:r>
      <w:r w:rsidR="002905A2" w:rsidRPr="00FE771B">
        <w:rPr>
          <w:rFonts w:ascii="Times New Roman" w:hAnsi="Times New Roman" w:cs="Times New Roman"/>
          <w:color w:val="000000" w:themeColor="text1"/>
        </w:rPr>
        <w:t>1</w:t>
      </w:r>
      <w:r w:rsidR="002905A2" w:rsidRPr="00FE771B">
        <w:rPr>
          <w:rFonts w:ascii="Times New Roman" w:hAnsi="Times New Roman" w:cs="Times New Roman"/>
          <w:color w:val="000000" w:themeColor="text1"/>
        </w:rPr>
        <w:t>的命题。</w:t>
      </w:r>
    </w:p>
    <w:p w:rsidR="00180772" w:rsidRPr="00FE771B" w:rsidRDefault="00180772" w:rsidP="002033D7">
      <w:pPr>
        <w:overflowPunct w:val="0"/>
        <w:ind w:firstLineChars="200" w:firstLine="420"/>
        <w:rPr>
          <w:rFonts w:ascii="Times New Roman" w:hAnsi="Times New Roman" w:cs="Times New Roman"/>
        </w:rPr>
      </w:pPr>
      <w:r w:rsidRPr="00FE771B">
        <w:rPr>
          <w:rFonts w:ascii="Times New Roman" w:hAnsi="Times New Roman" w:cs="Times New Roman"/>
        </w:rPr>
        <w:t>从其他控制变量看，企业成立年限对金融化的影响系数显著为正，主要原因一则在于成立年限较长业务更加成熟，配置较多金融资产有利于发挥</w:t>
      </w:r>
      <w:r w:rsidR="00DF72DC" w:rsidRPr="00FE771B">
        <w:rPr>
          <w:rFonts w:ascii="Times New Roman" w:hAnsi="Times New Roman" w:cs="Times New Roman"/>
        </w:rPr>
        <w:t>“</w:t>
      </w:r>
      <w:r w:rsidR="00DF72DC" w:rsidRPr="00FE771B">
        <w:rPr>
          <w:rFonts w:ascii="Times New Roman" w:hAnsi="Times New Roman" w:cs="Times New Roman"/>
        </w:rPr>
        <w:t>蓄水池</w:t>
      </w:r>
      <w:r w:rsidR="00DF72DC" w:rsidRPr="00FE771B">
        <w:rPr>
          <w:rFonts w:ascii="Times New Roman" w:hAnsi="Times New Roman" w:cs="Times New Roman"/>
        </w:rPr>
        <w:t>”</w:t>
      </w:r>
      <w:r w:rsidR="00DF72DC" w:rsidRPr="00FE771B">
        <w:rPr>
          <w:rFonts w:ascii="Times New Roman" w:hAnsi="Times New Roman" w:cs="Times New Roman"/>
        </w:rPr>
        <w:t>效应，</w:t>
      </w:r>
      <w:proofErr w:type="gramStart"/>
      <w:r w:rsidR="00DF72DC" w:rsidRPr="00FE771B">
        <w:rPr>
          <w:rFonts w:ascii="Times New Roman" w:hAnsi="Times New Roman" w:cs="Times New Roman"/>
        </w:rPr>
        <w:t>熨</w:t>
      </w:r>
      <w:proofErr w:type="gramEnd"/>
      <w:r w:rsidR="00DF72DC" w:rsidRPr="00FE771B">
        <w:rPr>
          <w:rFonts w:ascii="Times New Roman" w:hAnsi="Times New Roman" w:cs="Times New Roman"/>
        </w:rPr>
        <w:t>平周期或外生冲击对公司正常经营的影响，另一则也可能在于公司成立年限越</w:t>
      </w:r>
      <w:proofErr w:type="gramStart"/>
      <w:r w:rsidR="00DF72DC" w:rsidRPr="00FE771B">
        <w:rPr>
          <w:rFonts w:ascii="Times New Roman" w:hAnsi="Times New Roman" w:cs="Times New Roman"/>
        </w:rPr>
        <w:t>长企业</w:t>
      </w:r>
      <w:proofErr w:type="gramEnd"/>
      <w:r w:rsidR="00DF72DC" w:rsidRPr="00FE771B">
        <w:rPr>
          <w:rFonts w:ascii="Times New Roman" w:hAnsi="Times New Roman" w:cs="Times New Roman"/>
        </w:rPr>
        <w:t>生命周期越接近或超过成熟期，主营业务增长潜力有限，而金融资产的高收益、流动性好等特性正好弥补主营业务增长羸弱的短板，企业更倾向于配置较多金融资产。上市公司营业收入增长越快和总资产收益率越高越有利于降低公司金融化倾向，</w:t>
      </w:r>
      <w:r w:rsidR="001F67F2" w:rsidRPr="00FE771B">
        <w:rPr>
          <w:rFonts w:ascii="Times New Roman" w:hAnsi="Times New Roman" w:cs="Times New Roman"/>
        </w:rPr>
        <w:t>这说明成长性越</w:t>
      </w:r>
      <w:proofErr w:type="gramStart"/>
      <w:r w:rsidR="001F67F2" w:rsidRPr="00FE771B">
        <w:rPr>
          <w:rFonts w:ascii="Times New Roman" w:hAnsi="Times New Roman" w:cs="Times New Roman"/>
        </w:rPr>
        <w:t>好</w:t>
      </w:r>
      <w:proofErr w:type="gramEnd"/>
      <w:r w:rsidR="001F67F2" w:rsidRPr="00FE771B">
        <w:rPr>
          <w:rFonts w:ascii="Times New Roman" w:hAnsi="Times New Roman" w:cs="Times New Roman"/>
        </w:rPr>
        <w:t>和净收益越高的公司越倾向于实业投资，金融资产投资在此种情形下没有比较优势。上市公司资产负债率越高越倾向于降低金融资产配置，主要原因在于资产负债率较高意味着还本付息压力较大，庞大的利息支出必</w:t>
      </w:r>
      <w:r w:rsidR="001F67F2" w:rsidRPr="00FE771B">
        <w:rPr>
          <w:rFonts w:ascii="Times New Roman" w:hAnsi="Times New Roman" w:cs="Times New Roman"/>
        </w:rPr>
        <w:lastRenderedPageBreak/>
        <w:t>然使得上市公司没有更多的剩余资金投资于金融资产。上市公司现金流增长</w:t>
      </w:r>
      <w:r w:rsidR="00F54679" w:rsidRPr="00FE771B">
        <w:rPr>
          <w:rFonts w:ascii="Times New Roman" w:hAnsi="Times New Roman" w:cs="Times New Roman"/>
        </w:rPr>
        <w:t>能够降低上市公司金融资产配置倾向</w:t>
      </w:r>
      <w:r w:rsidR="001F67F2" w:rsidRPr="00FE771B">
        <w:rPr>
          <w:rFonts w:ascii="Times New Roman" w:hAnsi="Times New Roman" w:cs="Times New Roman"/>
        </w:rPr>
        <w:t>，</w:t>
      </w:r>
      <w:r w:rsidR="00F54679" w:rsidRPr="00FE771B">
        <w:rPr>
          <w:rFonts w:ascii="Times New Roman" w:hAnsi="Times New Roman" w:cs="Times New Roman"/>
        </w:rPr>
        <w:t>一般而言现金流增长较好反映公司经营业绩增长较快，其投资主业的倾向相比金融化投资肯定较强</w:t>
      </w:r>
      <w:r w:rsidR="001F67F2" w:rsidRPr="00FE771B">
        <w:rPr>
          <w:rFonts w:ascii="Times New Roman" w:hAnsi="Times New Roman" w:cs="Times New Roman"/>
        </w:rPr>
        <w:t>。</w:t>
      </w:r>
      <w:r w:rsidR="00575B14" w:rsidRPr="00FE771B">
        <w:rPr>
          <w:rFonts w:ascii="Times New Roman" w:hAnsi="Times New Roman" w:cs="Times New Roman"/>
        </w:rPr>
        <w:t>从其他公司治理相关控制变量看，</w:t>
      </w:r>
      <w:r w:rsidR="00E516F5" w:rsidRPr="00FE771B">
        <w:rPr>
          <w:rFonts w:ascii="Times New Roman" w:hAnsi="Times New Roman" w:cs="Times New Roman"/>
        </w:rPr>
        <w:t>无论是董事会规模、机构持股还是管理层持股都对金融化回归系数都显著为负，说明良好的公司治理结构对防止上市公司</w:t>
      </w:r>
      <w:r w:rsidR="00E516F5" w:rsidRPr="00FE771B">
        <w:rPr>
          <w:rFonts w:ascii="Times New Roman" w:hAnsi="Times New Roman" w:cs="Times New Roman"/>
        </w:rPr>
        <w:t>“</w:t>
      </w:r>
      <w:r w:rsidR="00E516F5" w:rsidRPr="00FE771B">
        <w:rPr>
          <w:rFonts w:ascii="Times New Roman" w:hAnsi="Times New Roman" w:cs="Times New Roman"/>
        </w:rPr>
        <w:t>脱实向虚</w:t>
      </w:r>
      <w:r w:rsidR="00E516F5" w:rsidRPr="00FE771B">
        <w:rPr>
          <w:rFonts w:ascii="Times New Roman" w:hAnsi="Times New Roman" w:cs="Times New Roman"/>
        </w:rPr>
        <w:t>”</w:t>
      </w:r>
      <w:r w:rsidR="00E516F5" w:rsidRPr="00FE771B">
        <w:rPr>
          <w:rFonts w:ascii="Times New Roman" w:hAnsi="Times New Roman" w:cs="Times New Roman"/>
        </w:rPr>
        <w:t>有较好的纠偏作用。</w:t>
      </w:r>
    </w:p>
    <w:p w:rsidR="00AC343F" w:rsidRPr="00FE771B" w:rsidRDefault="00CC7201" w:rsidP="00CC7201">
      <w:pPr>
        <w:jc w:val="center"/>
        <w:rPr>
          <w:rFonts w:ascii="Times New Roman" w:eastAsia="楷体" w:hAnsi="Times New Roman" w:cs="Times New Roman"/>
          <w:bCs/>
          <w:szCs w:val="21"/>
        </w:rPr>
      </w:pPr>
      <w:r w:rsidRPr="00FE771B">
        <w:rPr>
          <w:rFonts w:ascii="Times New Roman" w:eastAsia="楷体" w:hAnsi="Times New Roman" w:cs="Times New Roman"/>
          <w:bCs/>
          <w:szCs w:val="21"/>
        </w:rPr>
        <w:t>表</w:t>
      </w:r>
      <w:r w:rsidRPr="00FE771B">
        <w:rPr>
          <w:rFonts w:ascii="Times New Roman" w:eastAsia="楷体" w:hAnsi="Times New Roman" w:cs="Times New Roman"/>
          <w:bCs/>
          <w:szCs w:val="21"/>
        </w:rPr>
        <w:t>3</w:t>
      </w:r>
      <w:r w:rsidR="007E6BB1" w:rsidRPr="00FE771B">
        <w:rPr>
          <w:rFonts w:ascii="Times New Roman" w:eastAsia="楷体" w:hAnsi="Times New Roman" w:cs="Times New Roman"/>
          <w:bCs/>
          <w:szCs w:val="21"/>
        </w:rPr>
        <w:t xml:space="preserve"> </w:t>
      </w:r>
      <w:r w:rsidRPr="00FE771B">
        <w:rPr>
          <w:rFonts w:ascii="Times New Roman" w:eastAsia="楷体" w:hAnsi="Times New Roman" w:cs="Times New Roman"/>
          <w:bCs/>
          <w:szCs w:val="21"/>
        </w:rPr>
        <w:t xml:space="preserve"> </w:t>
      </w:r>
      <w:r w:rsidRPr="00FE771B">
        <w:rPr>
          <w:rFonts w:ascii="Times New Roman" w:eastAsia="楷体" w:hAnsi="Times New Roman" w:cs="Times New Roman"/>
          <w:bCs/>
          <w:szCs w:val="21"/>
        </w:rPr>
        <w:t>业绩承诺与上市公司</w:t>
      </w:r>
      <w:r w:rsidRPr="00FE771B">
        <w:rPr>
          <w:rFonts w:ascii="Times New Roman" w:eastAsia="楷体" w:hAnsi="Times New Roman" w:cs="Times New Roman"/>
          <w:bCs/>
          <w:szCs w:val="21"/>
        </w:rPr>
        <w:t>“</w:t>
      </w:r>
      <w:r w:rsidRPr="00FE771B">
        <w:rPr>
          <w:rFonts w:ascii="Times New Roman" w:eastAsia="楷体" w:hAnsi="Times New Roman" w:cs="Times New Roman"/>
          <w:bCs/>
          <w:szCs w:val="21"/>
        </w:rPr>
        <w:t>脱实向虚</w:t>
      </w:r>
      <w:r w:rsidRPr="00FE771B">
        <w:rPr>
          <w:rFonts w:ascii="Times New Roman" w:eastAsia="楷体" w:hAnsi="Times New Roman" w:cs="Times New Roman"/>
          <w:bCs/>
          <w:szCs w:val="21"/>
        </w:rPr>
        <w:t>”</w:t>
      </w:r>
    </w:p>
    <w:tbl>
      <w:tblPr>
        <w:tblW w:w="5152" w:type="pct"/>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1569"/>
        <w:gridCol w:w="1228"/>
        <w:gridCol w:w="1189"/>
        <w:gridCol w:w="1189"/>
        <w:gridCol w:w="1228"/>
        <w:gridCol w:w="1189"/>
        <w:gridCol w:w="1189"/>
      </w:tblGrid>
      <w:tr w:rsidR="001072AA" w:rsidRPr="00FE771B" w:rsidTr="005D33B9">
        <w:trPr>
          <w:trHeight w:val="634"/>
        </w:trPr>
        <w:tc>
          <w:tcPr>
            <w:tcW w:w="893" w:type="pct"/>
          </w:tcPr>
          <w:p w:rsidR="001072AA" w:rsidRPr="00FE771B" w:rsidRDefault="001072AA" w:rsidP="000233CF">
            <w:pPr>
              <w:autoSpaceDE w:val="0"/>
              <w:autoSpaceDN w:val="0"/>
              <w:adjustRightInd w:val="0"/>
              <w:jc w:val="center"/>
              <w:rPr>
                <w:rFonts w:ascii="Times New Roman" w:hAnsi="Times New Roman" w:cs="Times New Roman"/>
                <w:color w:val="000000" w:themeColor="text1"/>
                <w:kern w:val="0"/>
                <w:sz w:val="18"/>
                <w:szCs w:val="18"/>
              </w:rPr>
            </w:pPr>
          </w:p>
        </w:tc>
        <w:tc>
          <w:tcPr>
            <w:tcW w:w="699" w:type="pct"/>
          </w:tcPr>
          <w:p w:rsidR="001072AA" w:rsidRPr="00FE771B" w:rsidRDefault="001072AA"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(1)</w:t>
            </w:r>
          </w:p>
          <w:p w:rsidR="001072AA" w:rsidRPr="00FE771B" w:rsidRDefault="001072AA"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混合回归</w:t>
            </w:r>
          </w:p>
        </w:tc>
        <w:tc>
          <w:tcPr>
            <w:tcW w:w="677" w:type="pct"/>
          </w:tcPr>
          <w:p w:rsidR="001072AA" w:rsidRPr="00FE771B" w:rsidRDefault="001072AA"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(2)</w:t>
            </w:r>
          </w:p>
          <w:p w:rsidR="001072AA" w:rsidRPr="00FE771B" w:rsidRDefault="001072AA"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固定效应</w:t>
            </w:r>
          </w:p>
        </w:tc>
        <w:tc>
          <w:tcPr>
            <w:tcW w:w="677" w:type="pct"/>
          </w:tcPr>
          <w:p w:rsidR="001072AA" w:rsidRPr="00FE771B" w:rsidRDefault="001072AA"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(3)</w:t>
            </w:r>
          </w:p>
          <w:p w:rsidR="001072AA" w:rsidRPr="00FE771B" w:rsidRDefault="001072AA"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随机效应</w:t>
            </w:r>
          </w:p>
        </w:tc>
        <w:tc>
          <w:tcPr>
            <w:tcW w:w="699" w:type="pct"/>
          </w:tcPr>
          <w:p w:rsidR="001072AA" w:rsidRPr="00FE771B" w:rsidRDefault="001072AA"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(4)</w:t>
            </w:r>
          </w:p>
          <w:p w:rsidR="001072AA" w:rsidRPr="00FE771B" w:rsidRDefault="001072AA"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混合回归</w:t>
            </w:r>
          </w:p>
        </w:tc>
        <w:tc>
          <w:tcPr>
            <w:tcW w:w="677" w:type="pct"/>
          </w:tcPr>
          <w:p w:rsidR="001072AA" w:rsidRPr="00FE771B" w:rsidRDefault="001072AA"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(5)</w:t>
            </w:r>
          </w:p>
          <w:p w:rsidR="001072AA" w:rsidRPr="00FE771B" w:rsidRDefault="001072AA"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固定效应</w:t>
            </w:r>
          </w:p>
        </w:tc>
        <w:tc>
          <w:tcPr>
            <w:tcW w:w="677" w:type="pct"/>
          </w:tcPr>
          <w:p w:rsidR="001072AA" w:rsidRPr="00FE771B" w:rsidRDefault="001072AA"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(6)</w:t>
            </w:r>
          </w:p>
          <w:p w:rsidR="001072AA" w:rsidRPr="00FE771B" w:rsidRDefault="001072AA"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随机效应</w:t>
            </w:r>
          </w:p>
        </w:tc>
      </w:tr>
      <w:tr w:rsidR="001072AA" w:rsidRPr="00FE771B" w:rsidTr="005D33B9">
        <w:trPr>
          <w:trHeight w:val="634"/>
        </w:trPr>
        <w:tc>
          <w:tcPr>
            <w:tcW w:w="893" w:type="pct"/>
          </w:tcPr>
          <w:p w:rsidR="001072AA" w:rsidRPr="00FE771B" w:rsidRDefault="001072AA" w:rsidP="000233CF">
            <w:pPr>
              <w:autoSpaceDE w:val="0"/>
              <w:autoSpaceDN w:val="0"/>
              <w:adjustRightInd w:val="0"/>
              <w:jc w:val="center"/>
              <w:rPr>
                <w:rFonts w:ascii="Times New Roman" w:hAnsi="Times New Roman" w:cs="Times New Roman"/>
                <w:i/>
                <w:color w:val="000000" w:themeColor="text1"/>
                <w:kern w:val="0"/>
                <w:sz w:val="18"/>
                <w:szCs w:val="18"/>
              </w:rPr>
            </w:pPr>
            <w:proofErr w:type="spellStart"/>
            <w:r w:rsidRPr="00FE771B">
              <w:rPr>
                <w:rFonts w:ascii="Times New Roman" w:hAnsi="Times New Roman" w:cs="Times New Roman"/>
                <w:i/>
                <w:color w:val="000000" w:themeColor="text1"/>
                <w:kern w:val="0"/>
                <w:sz w:val="18"/>
                <w:szCs w:val="18"/>
              </w:rPr>
              <w:t>Vam_logit</w:t>
            </w:r>
            <w:proofErr w:type="spellEnd"/>
          </w:p>
        </w:tc>
        <w:tc>
          <w:tcPr>
            <w:tcW w:w="699" w:type="pct"/>
          </w:tcPr>
          <w:p w:rsidR="001072AA" w:rsidRPr="00FE771B" w:rsidRDefault="001072AA"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0.0318</w:t>
            </w:r>
          </w:p>
          <w:p w:rsidR="001072AA" w:rsidRPr="00FE771B" w:rsidRDefault="001072AA"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(2.392)</w:t>
            </w:r>
            <w:r w:rsidRPr="00FE771B">
              <w:rPr>
                <w:rFonts w:ascii="Times New Roman" w:hAnsi="Times New Roman" w:cs="Times New Roman"/>
                <w:color w:val="000000" w:themeColor="text1"/>
                <w:kern w:val="0"/>
                <w:sz w:val="18"/>
                <w:szCs w:val="18"/>
                <w:vertAlign w:val="superscript"/>
              </w:rPr>
              <w:t>**</w:t>
            </w:r>
          </w:p>
        </w:tc>
        <w:tc>
          <w:tcPr>
            <w:tcW w:w="677" w:type="pct"/>
          </w:tcPr>
          <w:p w:rsidR="001072AA" w:rsidRPr="00FE771B" w:rsidRDefault="001072AA"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0.0284</w:t>
            </w:r>
          </w:p>
          <w:p w:rsidR="001072AA" w:rsidRPr="00FE771B" w:rsidRDefault="001072AA"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(2.245)</w:t>
            </w:r>
            <w:r w:rsidRPr="00FE771B">
              <w:rPr>
                <w:rFonts w:ascii="Times New Roman" w:hAnsi="Times New Roman" w:cs="Times New Roman"/>
                <w:color w:val="000000" w:themeColor="text1"/>
                <w:kern w:val="0"/>
                <w:sz w:val="18"/>
                <w:szCs w:val="18"/>
                <w:vertAlign w:val="superscript"/>
              </w:rPr>
              <w:t>**</w:t>
            </w:r>
          </w:p>
        </w:tc>
        <w:tc>
          <w:tcPr>
            <w:tcW w:w="677" w:type="pct"/>
          </w:tcPr>
          <w:p w:rsidR="001072AA" w:rsidRPr="00FE771B" w:rsidRDefault="001072AA"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0.0248</w:t>
            </w:r>
          </w:p>
          <w:p w:rsidR="001072AA" w:rsidRPr="00FE771B" w:rsidRDefault="001072AA"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(1.991)</w:t>
            </w:r>
            <w:r w:rsidRPr="00FE771B">
              <w:rPr>
                <w:rFonts w:ascii="Times New Roman" w:hAnsi="Times New Roman" w:cs="Times New Roman"/>
                <w:color w:val="000000" w:themeColor="text1"/>
                <w:kern w:val="0"/>
                <w:sz w:val="18"/>
                <w:szCs w:val="18"/>
                <w:vertAlign w:val="superscript"/>
              </w:rPr>
              <w:t>**</w:t>
            </w:r>
          </w:p>
        </w:tc>
        <w:tc>
          <w:tcPr>
            <w:tcW w:w="699" w:type="pct"/>
          </w:tcPr>
          <w:p w:rsidR="001072AA" w:rsidRPr="00FE771B" w:rsidRDefault="001072AA" w:rsidP="000233CF">
            <w:pPr>
              <w:autoSpaceDE w:val="0"/>
              <w:autoSpaceDN w:val="0"/>
              <w:adjustRightInd w:val="0"/>
              <w:jc w:val="center"/>
              <w:rPr>
                <w:rFonts w:ascii="Times New Roman" w:hAnsi="Times New Roman" w:cs="Times New Roman"/>
                <w:color w:val="000000" w:themeColor="text1"/>
                <w:kern w:val="0"/>
                <w:sz w:val="18"/>
                <w:szCs w:val="18"/>
              </w:rPr>
            </w:pPr>
          </w:p>
        </w:tc>
        <w:tc>
          <w:tcPr>
            <w:tcW w:w="677" w:type="pct"/>
          </w:tcPr>
          <w:p w:rsidR="001072AA" w:rsidRPr="00FE771B" w:rsidRDefault="001072AA" w:rsidP="000233CF">
            <w:pPr>
              <w:autoSpaceDE w:val="0"/>
              <w:autoSpaceDN w:val="0"/>
              <w:adjustRightInd w:val="0"/>
              <w:jc w:val="center"/>
              <w:rPr>
                <w:rFonts w:ascii="Times New Roman" w:hAnsi="Times New Roman" w:cs="Times New Roman"/>
                <w:color w:val="000000" w:themeColor="text1"/>
                <w:kern w:val="0"/>
                <w:sz w:val="18"/>
                <w:szCs w:val="18"/>
              </w:rPr>
            </w:pPr>
          </w:p>
        </w:tc>
        <w:tc>
          <w:tcPr>
            <w:tcW w:w="677" w:type="pct"/>
          </w:tcPr>
          <w:p w:rsidR="001072AA" w:rsidRPr="00FE771B" w:rsidRDefault="001072AA" w:rsidP="000233CF">
            <w:pPr>
              <w:autoSpaceDE w:val="0"/>
              <w:autoSpaceDN w:val="0"/>
              <w:adjustRightInd w:val="0"/>
              <w:jc w:val="center"/>
              <w:rPr>
                <w:rFonts w:ascii="Times New Roman" w:hAnsi="Times New Roman" w:cs="Times New Roman"/>
                <w:color w:val="000000" w:themeColor="text1"/>
                <w:kern w:val="0"/>
                <w:sz w:val="18"/>
                <w:szCs w:val="18"/>
              </w:rPr>
            </w:pPr>
          </w:p>
        </w:tc>
      </w:tr>
      <w:tr w:rsidR="00E14128" w:rsidRPr="00FE771B" w:rsidTr="001072AA">
        <w:trPr>
          <w:trHeight w:val="634"/>
        </w:trPr>
        <w:tc>
          <w:tcPr>
            <w:tcW w:w="893" w:type="pct"/>
            <w:tcBorders>
              <w:bottom w:val="single" w:sz="4" w:space="0" w:color="auto"/>
            </w:tcBorders>
          </w:tcPr>
          <w:p w:rsidR="000233CF" w:rsidRPr="00FE771B" w:rsidRDefault="000233CF" w:rsidP="000233CF">
            <w:pPr>
              <w:autoSpaceDE w:val="0"/>
              <w:autoSpaceDN w:val="0"/>
              <w:adjustRightInd w:val="0"/>
              <w:jc w:val="center"/>
              <w:rPr>
                <w:rFonts w:ascii="Times New Roman" w:hAnsi="Times New Roman" w:cs="Times New Roman"/>
                <w:i/>
                <w:color w:val="000000" w:themeColor="text1"/>
                <w:kern w:val="0"/>
                <w:sz w:val="18"/>
                <w:szCs w:val="18"/>
              </w:rPr>
            </w:pPr>
            <w:proofErr w:type="spellStart"/>
            <w:r w:rsidRPr="00FE771B">
              <w:rPr>
                <w:rFonts w:ascii="Times New Roman" w:hAnsi="Times New Roman" w:cs="Times New Roman"/>
                <w:i/>
                <w:color w:val="000000" w:themeColor="text1"/>
                <w:kern w:val="0"/>
                <w:sz w:val="18"/>
                <w:szCs w:val="18"/>
              </w:rPr>
              <w:t>Vam_numbers</w:t>
            </w:r>
            <w:proofErr w:type="spellEnd"/>
          </w:p>
        </w:tc>
        <w:tc>
          <w:tcPr>
            <w:tcW w:w="699" w:type="pct"/>
            <w:tcBorders>
              <w:bottom w:val="single" w:sz="4" w:space="0" w:color="auto"/>
            </w:tcBorders>
          </w:tcPr>
          <w:p w:rsidR="000233CF" w:rsidRPr="00FE771B" w:rsidRDefault="000233CF" w:rsidP="000233CF">
            <w:pPr>
              <w:autoSpaceDE w:val="0"/>
              <w:autoSpaceDN w:val="0"/>
              <w:adjustRightInd w:val="0"/>
              <w:jc w:val="center"/>
              <w:rPr>
                <w:rFonts w:ascii="Times New Roman" w:hAnsi="Times New Roman" w:cs="Times New Roman"/>
                <w:color w:val="000000" w:themeColor="text1"/>
                <w:kern w:val="0"/>
                <w:sz w:val="18"/>
                <w:szCs w:val="18"/>
              </w:rPr>
            </w:pPr>
          </w:p>
        </w:tc>
        <w:tc>
          <w:tcPr>
            <w:tcW w:w="677" w:type="pct"/>
            <w:tcBorders>
              <w:bottom w:val="single" w:sz="4" w:space="0" w:color="auto"/>
            </w:tcBorders>
          </w:tcPr>
          <w:p w:rsidR="000233CF" w:rsidRPr="00FE771B" w:rsidRDefault="000233CF" w:rsidP="000233CF">
            <w:pPr>
              <w:autoSpaceDE w:val="0"/>
              <w:autoSpaceDN w:val="0"/>
              <w:adjustRightInd w:val="0"/>
              <w:jc w:val="center"/>
              <w:rPr>
                <w:rFonts w:ascii="Times New Roman" w:hAnsi="Times New Roman" w:cs="Times New Roman"/>
                <w:color w:val="000000" w:themeColor="text1"/>
                <w:kern w:val="0"/>
                <w:sz w:val="18"/>
                <w:szCs w:val="18"/>
              </w:rPr>
            </w:pPr>
          </w:p>
        </w:tc>
        <w:tc>
          <w:tcPr>
            <w:tcW w:w="677" w:type="pct"/>
            <w:tcBorders>
              <w:bottom w:val="single" w:sz="4" w:space="0" w:color="auto"/>
            </w:tcBorders>
          </w:tcPr>
          <w:p w:rsidR="000233CF" w:rsidRPr="00FE771B" w:rsidRDefault="000233CF" w:rsidP="000233CF">
            <w:pPr>
              <w:autoSpaceDE w:val="0"/>
              <w:autoSpaceDN w:val="0"/>
              <w:adjustRightInd w:val="0"/>
              <w:jc w:val="center"/>
              <w:rPr>
                <w:rFonts w:ascii="Times New Roman" w:hAnsi="Times New Roman" w:cs="Times New Roman"/>
                <w:color w:val="000000" w:themeColor="text1"/>
                <w:kern w:val="0"/>
                <w:sz w:val="18"/>
                <w:szCs w:val="18"/>
              </w:rPr>
            </w:pPr>
          </w:p>
        </w:tc>
        <w:tc>
          <w:tcPr>
            <w:tcW w:w="699" w:type="pct"/>
            <w:tcBorders>
              <w:bottom w:val="single" w:sz="4" w:space="0" w:color="auto"/>
            </w:tcBorders>
          </w:tcPr>
          <w:p w:rsidR="001072AA" w:rsidRPr="00FE771B" w:rsidRDefault="000233CF"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0.0186</w:t>
            </w:r>
          </w:p>
          <w:p w:rsidR="000233CF" w:rsidRPr="00FE771B" w:rsidRDefault="001072AA"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(2.531)</w:t>
            </w:r>
            <w:r w:rsidRPr="00FE771B">
              <w:rPr>
                <w:rFonts w:ascii="Times New Roman" w:hAnsi="Times New Roman" w:cs="Times New Roman"/>
                <w:color w:val="000000" w:themeColor="text1"/>
                <w:kern w:val="0"/>
                <w:sz w:val="18"/>
                <w:szCs w:val="18"/>
                <w:vertAlign w:val="superscript"/>
              </w:rPr>
              <w:t>**</w:t>
            </w:r>
          </w:p>
        </w:tc>
        <w:tc>
          <w:tcPr>
            <w:tcW w:w="677" w:type="pct"/>
            <w:tcBorders>
              <w:bottom w:val="single" w:sz="4" w:space="0" w:color="auto"/>
            </w:tcBorders>
          </w:tcPr>
          <w:p w:rsidR="001072AA" w:rsidRPr="00FE771B" w:rsidRDefault="000233CF"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0.0274</w:t>
            </w:r>
          </w:p>
          <w:p w:rsidR="000233CF" w:rsidRPr="00FE771B" w:rsidRDefault="001072AA"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(3.689)</w:t>
            </w:r>
            <w:r w:rsidRPr="00FE771B">
              <w:rPr>
                <w:rFonts w:ascii="Times New Roman" w:hAnsi="Times New Roman" w:cs="Times New Roman"/>
                <w:color w:val="000000" w:themeColor="text1"/>
                <w:kern w:val="0"/>
                <w:sz w:val="18"/>
                <w:szCs w:val="18"/>
                <w:vertAlign w:val="superscript"/>
              </w:rPr>
              <w:t>***</w:t>
            </w:r>
          </w:p>
        </w:tc>
        <w:tc>
          <w:tcPr>
            <w:tcW w:w="677" w:type="pct"/>
            <w:tcBorders>
              <w:bottom w:val="single" w:sz="4" w:space="0" w:color="auto"/>
            </w:tcBorders>
          </w:tcPr>
          <w:p w:rsidR="001072AA" w:rsidRPr="00FE771B" w:rsidRDefault="000233CF"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0.0224</w:t>
            </w:r>
          </w:p>
          <w:p w:rsidR="000233CF" w:rsidRPr="00FE771B" w:rsidRDefault="001072AA"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(3.140)</w:t>
            </w:r>
            <w:r w:rsidRPr="00FE771B">
              <w:rPr>
                <w:rFonts w:ascii="Times New Roman" w:hAnsi="Times New Roman" w:cs="Times New Roman"/>
                <w:color w:val="000000" w:themeColor="text1"/>
                <w:kern w:val="0"/>
                <w:sz w:val="18"/>
                <w:szCs w:val="18"/>
                <w:vertAlign w:val="superscript"/>
              </w:rPr>
              <w:t>***</w:t>
            </w:r>
          </w:p>
        </w:tc>
      </w:tr>
      <w:tr w:rsidR="00E14128" w:rsidRPr="00FE771B" w:rsidTr="001072AA">
        <w:trPr>
          <w:trHeight w:val="634"/>
        </w:trPr>
        <w:tc>
          <w:tcPr>
            <w:tcW w:w="893" w:type="pct"/>
            <w:tcBorders>
              <w:bottom w:val="single" w:sz="4" w:space="0" w:color="auto"/>
            </w:tcBorders>
          </w:tcPr>
          <w:p w:rsidR="000233CF" w:rsidRPr="00FE771B" w:rsidRDefault="000233CF" w:rsidP="000233CF">
            <w:pPr>
              <w:autoSpaceDE w:val="0"/>
              <w:autoSpaceDN w:val="0"/>
              <w:adjustRightInd w:val="0"/>
              <w:jc w:val="center"/>
              <w:rPr>
                <w:rFonts w:ascii="Times New Roman" w:hAnsi="Times New Roman" w:cs="Times New Roman"/>
                <w:i/>
                <w:color w:val="000000" w:themeColor="text1"/>
                <w:kern w:val="0"/>
                <w:sz w:val="18"/>
                <w:szCs w:val="18"/>
              </w:rPr>
            </w:pPr>
            <w:r w:rsidRPr="00FE771B">
              <w:rPr>
                <w:rFonts w:ascii="Times New Roman" w:hAnsi="Times New Roman" w:cs="Times New Roman"/>
                <w:i/>
                <w:color w:val="000000" w:themeColor="text1"/>
                <w:kern w:val="0"/>
                <w:sz w:val="18"/>
                <w:szCs w:val="18"/>
              </w:rPr>
              <w:t>Age</w:t>
            </w:r>
          </w:p>
        </w:tc>
        <w:tc>
          <w:tcPr>
            <w:tcW w:w="699" w:type="pct"/>
            <w:tcBorders>
              <w:bottom w:val="single" w:sz="4" w:space="0" w:color="auto"/>
            </w:tcBorders>
          </w:tcPr>
          <w:p w:rsidR="001072AA" w:rsidRPr="00FE771B" w:rsidRDefault="000233CF"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0.3719</w:t>
            </w:r>
          </w:p>
          <w:p w:rsidR="000233CF" w:rsidRPr="00FE771B" w:rsidRDefault="001072AA"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(16.900)</w:t>
            </w:r>
            <w:r w:rsidRPr="00FE771B">
              <w:rPr>
                <w:rFonts w:ascii="Times New Roman" w:hAnsi="Times New Roman" w:cs="Times New Roman"/>
                <w:color w:val="000000" w:themeColor="text1"/>
                <w:kern w:val="0"/>
                <w:sz w:val="18"/>
                <w:szCs w:val="18"/>
                <w:vertAlign w:val="superscript"/>
              </w:rPr>
              <w:t>***</w:t>
            </w:r>
          </w:p>
        </w:tc>
        <w:tc>
          <w:tcPr>
            <w:tcW w:w="677" w:type="pct"/>
            <w:tcBorders>
              <w:bottom w:val="single" w:sz="4" w:space="0" w:color="auto"/>
            </w:tcBorders>
          </w:tcPr>
          <w:p w:rsidR="001072AA" w:rsidRPr="00FE771B" w:rsidRDefault="000233CF"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0.5484</w:t>
            </w:r>
          </w:p>
          <w:p w:rsidR="000233CF" w:rsidRPr="00FE771B" w:rsidRDefault="001072AA"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(5.203)</w:t>
            </w:r>
            <w:r w:rsidRPr="00FE771B">
              <w:rPr>
                <w:rFonts w:ascii="Times New Roman" w:hAnsi="Times New Roman" w:cs="Times New Roman"/>
                <w:color w:val="000000" w:themeColor="text1"/>
                <w:kern w:val="0"/>
                <w:sz w:val="18"/>
                <w:szCs w:val="18"/>
                <w:vertAlign w:val="superscript"/>
              </w:rPr>
              <w:t>***</w:t>
            </w:r>
          </w:p>
        </w:tc>
        <w:tc>
          <w:tcPr>
            <w:tcW w:w="677" w:type="pct"/>
            <w:tcBorders>
              <w:bottom w:val="single" w:sz="4" w:space="0" w:color="auto"/>
            </w:tcBorders>
          </w:tcPr>
          <w:p w:rsidR="001072AA" w:rsidRPr="00FE771B" w:rsidRDefault="000233CF"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0.2948</w:t>
            </w:r>
          </w:p>
          <w:p w:rsidR="000233CF" w:rsidRPr="00FE771B" w:rsidRDefault="001072AA"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(7.086)</w:t>
            </w:r>
            <w:r w:rsidRPr="00FE771B">
              <w:rPr>
                <w:rFonts w:ascii="Times New Roman" w:hAnsi="Times New Roman" w:cs="Times New Roman"/>
                <w:color w:val="000000" w:themeColor="text1"/>
                <w:kern w:val="0"/>
                <w:sz w:val="18"/>
                <w:szCs w:val="18"/>
                <w:vertAlign w:val="superscript"/>
              </w:rPr>
              <w:t>***</w:t>
            </w:r>
          </w:p>
        </w:tc>
        <w:tc>
          <w:tcPr>
            <w:tcW w:w="699" w:type="pct"/>
            <w:tcBorders>
              <w:bottom w:val="single" w:sz="4" w:space="0" w:color="auto"/>
            </w:tcBorders>
          </w:tcPr>
          <w:p w:rsidR="001072AA" w:rsidRPr="00FE771B" w:rsidRDefault="000233CF"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0.3739</w:t>
            </w:r>
          </w:p>
          <w:p w:rsidR="000233CF" w:rsidRPr="00FE771B" w:rsidRDefault="001072AA"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(17.122)</w:t>
            </w:r>
            <w:r w:rsidRPr="00FE771B">
              <w:rPr>
                <w:rFonts w:ascii="Times New Roman" w:hAnsi="Times New Roman" w:cs="Times New Roman"/>
                <w:color w:val="000000" w:themeColor="text1"/>
                <w:kern w:val="0"/>
                <w:sz w:val="18"/>
                <w:szCs w:val="18"/>
                <w:vertAlign w:val="superscript"/>
              </w:rPr>
              <w:t>***</w:t>
            </w:r>
          </w:p>
        </w:tc>
        <w:tc>
          <w:tcPr>
            <w:tcW w:w="677" w:type="pct"/>
            <w:tcBorders>
              <w:bottom w:val="single" w:sz="4" w:space="0" w:color="auto"/>
            </w:tcBorders>
          </w:tcPr>
          <w:p w:rsidR="001072AA" w:rsidRPr="00FE771B" w:rsidRDefault="000233CF"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0.5410</w:t>
            </w:r>
          </w:p>
          <w:p w:rsidR="000233CF" w:rsidRPr="00FE771B" w:rsidRDefault="001072AA"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(5.134)</w:t>
            </w:r>
            <w:r w:rsidRPr="00FE771B">
              <w:rPr>
                <w:rFonts w:ascii="Times New Roman" w:hAnsi="Times New Roman" w:cs="Times New Roman"/>
                <w:color w:val="000000" w:themeColor="text1"/>
                <w:kern w:val="0"/>
                <w:sz w:val="18"/>
                <w:szCs w:val="18"/>
                <w:vertAlign w:val="superscript"/>
              </w:rPr>
              <w:t>***</w:t>
            </w:r>
          </w:p>
        </w:tc>
        <w:tc>
          <w:tcPr>
            <w:tcW w:w="677" w:type="pct"/>
            <w:tcBorders>
              <w:bottom w:val="single" w:sz="4" w:space="0" w:color="auto"/>
            </w:tcBorders>
          </w:tcPr>
          <w:p w:rsidR="001072AA" w:rsidRPr="00FE771B" w:rsidRDefault="000233CF"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0.2948</w:t>
            </w:r>
          </w:p>
          <w:p w:rsidR="000233CF" w:rsidRPr="00FE771B" w:rsidRDefault="001072AA"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(7.089)</w:t>
            </w:r>
            <w:r w:rsidRPr="00FE771B">
              <w:rPr>
                <w:rFonts w:ascii="Times New Roman" w:hAnsi="Times New Roman" w:cs="Times New Roman"/>
                <w:color w:val="000000" w:themeColor="text1"/>
                <w:kern w:val="0"/>
                <w:sz w:val="18"/>
                <w:szCs w:val="18"/>
                <w:vertAlign w:val="superscript"/>
              </w:rPr>
              <w:t>***</w:t>
            </w:r>
          </w:p>
        </w:tc>
      </w:tr>
      <w:tr w:rsidR="00E14128" w:rsidRPr="00FE771B" w:rsidTr="001072AA">
        <w:trPr>
          <w:trHeight w:val="634"/>
        </w:trPr>
        <w:tc>
          <w:tcPr>
            <w:tcW w:w="893" w:type="pct"/>
            <w:tcBorders>
              <w:bottom w:val="single" w:sz="4" w:space="0" w:color="auto"/>
            </w:tcBorders>
          </w:tcPr>
          <w:p w:rsidR="000233CF" w:rsidRPr="00FE771B" w:rsidRDefault="000233CF" w:rsidP="000233CF">
            <w:pPr>
              <w:autoSpaceDE w:val="0"/>
              <w:autoSpaceDN w:val="0"/>
              <w:adjustRightInd w:val="0"/>
              <w:jc w:val="center"/>
              <w:rPr>
                <w:rFonts w:ascii="Times New Roman" w:hAnsi="Times New Roman" w:cs="Times New Roman"/>
                <w:i/>
                <w:color w:val="000000" w:themeColor="text1"/>
                <w:kern w:val="0"/>
                <w:sz w:val="18"/>
                <w:szCs w:val="18"/>
              </w:rPr>
            </w:pPr>
            <w:r w:rsidRPr="00FE771B">
              <w:rPr>
                <w:rFonts w:ascii="Times New Roman" w:hAnsi="Times New Roman" w:cs="Times New Roman"/>
                <w:i/>
                <w:color w:val="000000" w:themeColor="text1"/>
                <w:kern w:val="0"/>
                <w:sz w:val="18"/>
                <w:szCs w:val="18"/>
              </w:rPr>
              <w:t>Size</w:t>
            </w:r>
          </w:p>
        </w:tc>
        <w:tc>
          <w:tcPr>
            <w:tcW w:w="699" w:type="pct"/>
            <w:tcBorders>
              <w:bottom w:val="single" w:sz="4" w:space="0" w:color="auto"/>
            </w:tcBorders>
          </w:tcPr>
          <w:p w:rsidR="001072AA" w:rsidRPr="00FE771B" w:rsidRDefault="000233CF"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-0.0012</w:t>
            </w:r>
          </w:p>
          <w:p w:rsidR="000233CF" w:rsidRPr="00FE771B" w:rsidRDefault="001072AA"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(-0.163)</w:t>
            </w:r>
          </w:p>
        </w:tc>
        <w:tc>
          <w:tcPr>
            <w:tcW w:w="677" w:type="pct"/>
            <w:tcBorders>
              <w:bottom w:val="single" w:sz="4" w:space="0" w:color="auto"/>
            </w:tcBorders>
          </w:tcPr>
          <w:p w:rsidR="001072AA" w:rsidRPr="00FE771B" w:rsidRDefault="000233CF"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-0.0950</w:t>
            </w:r>
          </w:p>
          <w:p w:rsidR="000233CF" w:rsidRPr="00FE771B" w:rsidRDefault="001072AA"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(-8.527)</w:t>
            </w:r>
            <w:r w:rsidRPr="00FE771B">
              <w:rPr>
                <w:rFonts w:ascii="Times New Roman" w:hAnsi="Times New Roman" w:cs="Times New Roman"/>
                <w:color w:val="000000" w:themeColor="text1"/>
                <w:kern w:val="0"/>
                <w:sz w:val="18"/>
                <w:szCs w:val="18"/>
                <w:vertAlign w:val="superscript"/>
              </w:rPr>
              <w:t>***</w:t>
            </w:r>
          </w:p>
        </w:tc>
        <w:tc>
          <w:tcPr>
            <w:tcW w:w="677" w:type="pct"/>
            <w:tcBorders>
              <w:bottom w:val="single" w:sz="4" w:space="0" w:color="auto"/>
            </w:tcBorders>
          </w:tcPr>
          <w:p w:rsidR="001072AA" w:rsidRPr="00FE771B" w:rsidRDefault="000233CF"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-0.0621</w:t>
            </w:r>
          </w:p>
          <w:p w:rsidR="000233CF" w:rsidRPr="00FE771B" w:rsidRDefault="001072AA"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(-6.833)</w:t>
            </w:r>
            <w:r w:rsidRPr="00FE771B">
              <w:rPr>
                <w:rFonts w:ascii="Times New Roman" w:hAnsi="Times New Roman" w:cs="Times New Roman"/>
                <w:color w:val="000000" w:themeColor="text1"/>
                <w:kern w:val="0"/>
                <w:sz w:val="18"/>
                <w:szCs w:val="18"/>
                <w:vertAlign w:val="superscript"/>
              </w:rPr>
              <w:t>***</w:t>
            </w:r>
          </w:p>
        </w:tc>
        <w:tc>
          <w:tcPr>
            <w:tcW w:w="699" w:type="pct"/>
            <w:tcBorders>
              <w:bottom w:val="single" w:sz="4" w:space="0" w:color="auto"/>
            </w:tcBorders>
          </w:tcPr>
          <w:p w:rsidR="001072AA" w:rsidRPr="00FE771B" w:rsidRDefault="000233CF"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-0.0012</w:t>
            </w:r>
          </w:p>
          <w:p w:rsidR="000233CF" w:rsidRPr="00FE771B" w:rsidRDefault="001072AA"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(-0.173)</w:t>
            </w:r>
          </w:p>
        </w:tc>
        <w:tc>
          <w:tcPr>
            <w:tcW w:w="677" w:type="pct"/>
            <w:tcBorders>
              <w:bottom w:val="single" w:sz="4" w:space="0" w:color="auto"/>
            </w:tcBorders>
          </w:tcPr>
          <w:p w:rsidR="001072AA" w:rsidRPr="00FE771B" w:rsidRDefault="000233CF"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-0.0985</w:t>
            </w:r>
          </w:p>
          <w:p w:rsidR="000233CF" w:rsidRPr="00FE771B" w:rsidRDefault="001072AA"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(-8.800)</w:t>
            </w:r>
            <w:r w:rsidRPr="00FE771B">
              <w:rPr>
                <w:rFonts w:ascii="Times New Roman" w:hAnsi="Times New Roman" w:cs="Times New Roman"/>
                <w:color w:val="000000" w:themeColor="text1"/>
                <w:kern w:val="0"/>
                <w:sz w:val="18"/>
                <w:szCs w:val="18"/>
                <w:vertAlign w:val="superscript"/>
              </w:rPr>
              <w:t>***</w:t>
            </w:r>
          </w:p>
        </w:tc>
        <w:tc>
          <w:tcPr>
            <w:tcW w:w="677" w:type="pct"/>
            <w:tcBorders>
              <w:bottom w:val="single" w:sz="4" w:space="0" w:color="auto"/>
            </w:tcBorders>
          </w:tcPr>
          <w:p w:rsidR="001072AA" w:rsidRPr="00FE771B" w:rsidRDefault="000233CF"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-0.0640</w:t>
            </w:r>
          </w:p>
          <w:p w:rsidR="000233CF" w:rsidRPr="00FE771B" w:rsidRDefault="001072AA"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(-7.026)</w:t>
            </w:r>
            <w:r w:rsidRPr="00FE771B">
              <w:rPr>
                <w:rFonts w:ascii="Times New Roman" w:hAnsi="Times New Roman" w:cs="Times New Roman"/>
                <w:color w:val="000000" w:themeColor="text1"/>
                <w:kern w:val="0"/>
                <w:sz w:val="18"/>
                <w:szCs w:val="18"/>
                <w:vertAlign w:val="superscript"/>
              </w:rPr>
              <w:t>***</w:t>
            </w:r>
          </w:p>
        </w:tc>
      </w:tr>
      <w:tr w:rsidR="00E14128" w:rsidRPr="00FE771B" w:rsidTr="001072AA">
        <w:trPr>
          <w:trHeight w:val="634"/>
        </w:trPr>
        <w:tc>
          <w:tcPr>
            <w:tcW w:w="893" w:type="pct"/>
            <w:tcBorders>
              <w:bottom w:val="single" w:sz="4" w:space="0" w:color="auto"/>
            </w:tcBorders>
          </w:tcPr>
          <w:p w:rsidR="000233CF" w:rsidRPr="00FE771B" w:rsidRDefault="000233CF" w:rsidP="000233CF">
            <w:pPr>
              <w:autoSpaceDE w:val="0"/>
              <w:autoSpaceDN w:val="0"/>
              <w:adjustRightInd w:val="0"/>
              <w:jc w:val="center"/>
              <w:rPr>
                <w:rFonts w:ascii="Times New Roman" w:hAnsi="Times New Roman" w:cs="Times New Roman"/>
                <w:i/>
                <w:color w:val="000000" w:themeColor="text1"/>
                <w:kern w:val="0"/>
                <w:sz w:val="18"/>
                <w:szCs w:val="18"/>
              </w:rPr>
            </w:pPr>
            <w:proofErr w:type="spellStart"/>
            <w:r w:rsidRPr="00FE771B">
              <w:rPr>
                <w:rFonts w:ascii="Times New Roman" w:hAnsi="Times New Roman" w:cs="Times New Roman"/>
                <w:i/>
                <w:color w:val="000000" w:themeColor="text1"/>
                <w:kern w:val="0"/>
                <w:sz w:val="18"/>
                <w:szCs w:val="18"/>
              </w:rPr>
              <w:t>Roa</w:t>
            </w:r>
            <w:proofErr w:type="spellEnd"/>
          </w:p>
        </w:tc>
        <w:tc>
          <w:tcPr>
            <w:tcW w:w="699" w:type="pct"/>
            <w:tcBorders>
              <w:bottom w:val="single" w:sz="4" w:space="0" w:color="auto"/>
            </w:tcBorders>
          </w:tcPr>
          <w:p w:rsidR="001072AA" w:rsidRPr="00FE771B" w:rsidRDefault="000233CF"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-0.2529</w:t>
            </w:r>
          </w:p>
          <w:p w:rsidR="000233CF" w:rsidRPr="00FE771B" w:rsidRDefault="001072AA"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(-2.725)</w:t>
            </w:r>
            <w:r w:rsidRPr="00FE771B">
              <w:rPr>
                <w:rFonts w:ascii="Times New Roman" w:hAnsi="Times New Roman" w:cs="Times New Roman"/>
                <w:color w:val="000000" w:themeColor="text1"/>
                <w:kern w:val="0"/>
                <w:sz w:val="18"/>
                <w:szCs w:val="18"/>
                <w:vertAlign w:val="superscript"/>
              </w:rPr>
              <w:t>***</w:t>
            </w:r>
          </w:p>
        </w:tc>
        <w:tc>
          <w:tcPr>
            <w:tcW w:w="677" w:type="pct"/>
            <w:tcBorders>
              <w:bottom w:val="single" w:sz="4" w:space="0" w:color="auto"/>
            </w:tcBorders>
          </w:tcPr>
          <w:p w:rsidR="001072AA" w:rsidRPr="00FE771B" w:rsidRDefault="000233CF"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-0.2057</w:t>
            </w:r>
          </w:p>
          <w:p w:rsidR="000233CF" w:rsidRPr="00FE771B" w:rsidRDefault="001072AA"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(-2.435)</w:t>
            </w:r>
            <w:r w:rsidRPr="00FE771B">
              <w:rPr>
                <w:rFonts w:ascii="Times New Roman" w:hAnsi="Times New Roman" w:cs="Times New Roman"/>
                <w:color w:val="000000" w:themeColor="text1"/>
                <w:kern w:val="0"/>
                <w:sz w:val="18"/>
                <w:szCs w:val="18"/>
                <w:vertAlign w:val="superscript"/>
              </w:rPr>
              <w:t>**</w:t>
            </w:r>
          </w:p>
        </w:tc>
        <w:tc>
          <w:tcPr>
            <w:tcW w:w="677" w:type="pct"/>
            <w:tcBorders>
              <w:bottom w:val="single" w:sz="4" w:space="0" w:color="auto"/>
            </w:tcBorders>
          </w:tcPr>
          <w:p w:rsidR="001072AA" w:rsidRPr="00FE771B" w:rsidRDefault="000233CF"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-0.2034</w:t>
            </w:r>
          </w:p>
          <w:p w:rsidR="000233CF" w:rsidRPr="00FE771B" w:rsidRDefault="001072AA"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(-2.485)</w:t>
            </w:r>
            <w:r w:rsidRPr="00FE771B">
              <w:rPr>
                <w:rFonts w:ascii="Times New Roman" w:hAnsi="Times New Roman" w:cs="Times New Roman"/>
                <w:color w:val="000000" w:themeColor="text1"/>
                <w:kern w:val="0"/>
                <w:sz w:val="18"/>
                <w:szCs w:val="18"/>
                <w:vertAlign w:val="superscript"/>
              </w:rPr>
              <w:t>**</w:t>
            </w:r>
          </w:p>
        </w:tc>
        <w:tc>
          <w:tcPr>
            <w:tcW w:w="699" w:type="pct"/>
            <w:tcBorders>
              <w:bottom w:val="single" w:sz="4" w:space="0" w:color="auto"/>
            </w:tcBorders>
          </w:tcPr>
          <w:p w:rsidR="001072AA" w:rsidRPr="00FE771B" w:rsidRDefault="000233CF"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-0.2546</w:t>
            </w:r>
          </w:p>
          <w:p w:rsidR="000233CF" w:rsidRPr="00FE771B" w:rsidRDefault="001072AA"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(-2.747)</w:t>
            </w:r>
            <w:r w:rsidRPr="00FE771B">
              <w:rPr>
                <w:rFonts w:ascii="Times New Roman" w:hAnsi="Times New Roman" w:cs="Times New Roman"/>
                <w:color w:val="000000" w:themeColor="text1"/>
                <w:kern w:val="0"/>
                <w:sz w:val="18"/>
                <w:szCs w:val="18"/>
                <w:vertAlign w:val="superscript"/>
              </w:rPr>
              <w:t>***</w:t>
            </w:r>
          </w:p>
        </w:tc>
        <w:tc>
          <w:tcPr>
            <w:tcW w:w="677" w:type="pct"/>
            <w:tcBorders>
              <w:bottom w:val="single" w:sz="4" w:space="0" w:color="auto"/>
            </w:tcBorders>
          </w:tcPr>
          <w:p w:rsidR="001072AA" w:rsidRPr="00FE771B" w:rsidRDefault="000233CF"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-0.2097</w:t>
            </w:r>
          </w:p>
          <w:p w:rsidR="000233CF" w:rsidRPr="00FE771B" w:rsidRDefault="001072AA"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(-2.484)</w:t>
            </w:r>
            <w:r w:rsidRPr="00FE771B">
              <w:rPr>
                <w:rFonts w:ascii="Times New Roman" w:hAnsi="Times New Roman" w:cs="Times New Roman"/>
                <w:color w:val="000000" w:themeColor="text1"/>
                <w:kern w:val="0"/>
                <w:sz w:val="18"/>
                <w:szCs w:val="18"/>
                <w:vertAlign w:val="superscript"/>
              </w:rPr>
              <w:t>**</w:t>
            </w:r>
          </w:p>
        </w:tc>
        <w:tc>
          <w:tcPr>
            <w:tcW w:w="677" w:type="pct"/>
            <w:tcBorders>
              <w:bottom w:val="single" w:sz="4" w:space="0" w:color="auto"/>
            </w:tcBorders>
          </w:tcPr>
          <w:p w:rsidR="001072AA" w:rsidRPr="00FE771B" w:rsidRDefault="000233CF"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-0.2054</w:t>
            </w:r>
          </w:p>
          <w:p w:rsidR="000233CF" w:rsidRPr="00FE771B" w:rsidRDefault="001072AA"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(-2.510)</w:t>
            </w:r>
            <w:r w:rsidRPr="00FE771B">
              <w:rPr>
                <w:rFonts w:ascii="Times New Roman" w:hAnsi="Times New Roman" w:cs="Times New Roman"/>
                <w:color w:val="000000" w:themeColor="text1"/>
                <w:kern w:val="0"/>
                <w:sz w:val="18"/>
                <w:szCs w:val="18"/>
                <w:vertAlign w:val="superscript"/>
              </w:rPr>
              <w:t>**</w:t>
            </w:r>
          </w:p>
        </w:tc>
      </w:tr>
      <w:tr w:rsidR="00E14128" w:rsidRPr="00FE771B" w:rsidTr="001072AA">
        <w:trPr>
          <w:trHeight w:val="634"/>
        </w:trPr>
        <w:tc>
          <w:tcPr>
            <w:tcW w:w="893" w:type="pct"/>
            <w:tcBorders>
              <w:bottom w:val="single" w:sz="4" w:space="0" w:color="auto"/>
            </w:tcBorders>
          </w:tcPr>
          <w:p w:rsidR="000233CF" w:rsidRPr="00FE771B" w:rsidRDefault="000233CF" w:rsidP="000233CF">
            <w:pPr>
              <w:autoSpaceDE w:val="0"/>
              <w:autoSpaceDN w:val="0"/>
              <w:adjustRightInd w:val="0"/>
              <w:jc w:val="center"/>
              <w:rPr>
                <w:rFonts w:ascii="Times New Roman" w:hAnsi="Times New Roman" w:cs="Times New Roman"/>
                <w:i/>
                <w:color w:val="000000" w:themeColor="text1"/>
                <w:kern w:val="0"/>
                <w:sz w:val="18"/>
                <w:szCs w:val="18"/>
              </w:rPr>
            </w:pPr>
            <w:r w:rsidRPr="00FE771B">
              <w:rPr>
                <w:rFonts w:ascii="Times New Roman" w:hAnsi="Times New Roman" w:cs="Times New Roman"/>
                <w:i/>
                <w:color w:val="000000" w:themeColor="text1"/>
                <w:kern w:val="0"/>
                <w:sz w:val="18"/>
                <w:szCs w:val="18"/>
              </w:rPr>
              <w:t>Debt</w:t>
            </w:r>
          </w:p>
        </w:tc>
        <w:tc>
          <w:tcPr>
            <w:tcW w:w="699" w:type="pct"/>
            <w:tcBorders>
              <w:bottom w:val="single" w:sz="4" w:space="0" w:color="auto"/>
            </w:tcBorders>
          </w:tcPr>
          <w:p w:rsidR="001072AA" w:rsidRPr="00FE771B" w:rsidRDefault="000233CF"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-0.1275</w:t>
            </w:r>
          </w:p>
          <w:p w:rsidR="000233CF" w:rsidRPr="00FE771B" w:rsidRDefault="001072AA"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(-3.493)</w:t>
            </w:r>
            <w:r w:rsidRPr="00FE771B">
              <w:rPr>
                <w:rFonts w:ascii="Times New Roman" w:hAnsi="Times New Roman" w:cs="Times New Roman"/>
                <w:color w:val="000000" w:themeColor="text1"/>
                <w:kern w:val="0"/>
                <w:sz w:val="18"/>
                <w:szCs w:val="18"/>
                <w:vertAlign w:val="superscript"/>
              </w:rPr>
              <w:t>***</w:t>
            </w:r>
          </w:p>
        </w:tc>
        <w:tc>
          <w:tcPr>
            <w:tcW w:w="677" w:type="pct"/>
            <w:tcBorders>
              <w:bottom w:val="single" w:sz="4" w:space="0" w:color="auto"/>
            </w:tcBorders>
          </w:tcPr>
          <w:p w:rsidR="001072AA" w:rsidRPr="00FE771B" w:rsidRDefault="000233CF"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-0.0916</w:t>
            </w:r>
          </w:p>
          <w:p w:rsidR="000233CF" w:rsidRPr="00FE771B" w:rsidRDefault="001072AA"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(-2.074)</w:t>
            </w:r>
            <w:r w:rsidRPr="00FE771B">
              <w:rPr>
                <w:rFonts w:ascii="Times New Roman" w:hAnsi="Times New Roman" w:cs="Times New Roman"/>
                <w:color w:val="000000" w:themeColor="text1"/>
                <w:kern w:val="0"/>
                <w:sz w:val="18"/>
                <w:szCs w:val="18"/>
                <w:vertAlign w:val="superscript"/>
              </w:rPr>
              <w:t>**</w:t>
            </w:r>
          </w:p>
        </w:tc>
        <w:tc>
          <w:tcPr>
            <w:tcW w:w="677" w:type="pct"/>
            <w:tcBorders>
              <w:bottom w:val="single" w:sz="4" w:space="0" w:color="auto"/>
            </w:tcBorders>
          </w:tcPr>
          <w:p w:rsidR="001072AA" w:rsidRPr="00FE771B" w:rsidRDefault="000233CF"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-0.1015</w:t>
            </w:r>
          </w:p>
          <w:p w:rsidR="000233CF" w:rsidRPr="00FE771B" w:rsidRDefault="001072AA"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(-2.550)</w:t>
            </w:r>
            <w:r w:rsidRPr="00FE771B">
              <w:rPr>
                <w:rFonts w:ascii="Times New Roman" w:hAnsi="Times New Roman" w:cs="Times New Roman"/>
                <w:color w:val="000000" w:themeColor="text1"/>
                <w:kern w:val="0"/>
                <w:sz w:val="18"/>
                <w:szCs w:val="18"/>
                <w:vertAlign w:val="superscript"/>
              </w:rPr>
              <w:t>**</w:t>
            </w:r>
          </w:p>
        </w:tc>
        <w:tc>
          <w:tcPr>
            <w:tcW w:w="699" w:type="pct"/>
            <w:tcBorders>
              <w:bottom w:val="single" w:sz="4" w:space="0" w:color="auto"/>
            </w:tcBorders>
          </w:tcPr>
          <w:p w:rsidR="001072AA" w:rsidRPr="00FE771B" w:rsidRDefault="000233CF"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-0.1285</w:t>
            </w:r>
          </w:p>
          <w:p w:rsidR="000233CF" w:rsidRPr="00FE771B" w:rsidRDefault="001072AA"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(-3.526)</w:t>
            </w:r>
            <w:r w:rsidRPr="00FE771B">
              <w:rPr>
                <w:rFonts w:ascii="Times New Roman" w:hAnsi="Times New Roman" w:cs="Times New Roman"/>
                <w:color w:val="000000" w:themeColor="text1"/>
                <w:kern w:val="0"/>
                <w:sz w:val="18"/>
                <w:szCs w:val="18"/>
                <w:vertAlign w:val="superscript"/>
              </w:rPr>
              <w:t>***</w:t>
            </w:r>
          </w:p>
        </w:tc>
        <w:tc>
          <w:tcPr>
            <w:tcW w:w="677" w:type="pct"/>
            <w:tcBorders>
              <w:bottom w:val="single" w:sz="4" w:space="0" w:color="auto"/>
            </w:tcBorders>
          </w:tcPr>
          <w:p w:rsidR="001072AA" w:rsidRPr="00FE771B" w:rsidRDefault="000233CF"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-0.0965</w:t>
            </w:r>
          </w:p>
          <w:p w:rsidR="000233CF" w:rsidRPr="00FE771B" w:rsidRDefault="001072AA"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(-2.184)</w:t>
            </w:r>
            <w:r w:rsidRPr="00FE771B">
              <w:rPr>
                <w:rFonts w:ascii="Times New Roman" w:hAnsi="Times New Roman" w:cs="Times New Roman"/>
                <w:color w:val="000000" w:themeColor="text1"/>
                <w:kern w:val="0"/>
                <w:sz w:val="18"/>
                <w:szCs w:val="18"/>
                <w:vertAlign w:val="superscript"/>
              </w:rPr>
              <w:t>**</w:t>
            </w:r>
          </w:p>
        </w:tc>
        <w:tc>
          <w:tcPr>
            <w:tcW w:w="677" w:type="pct"/>
            <w:tcBorders>
              <w:bottom w:val="single" w:sz="4" w:space="0" w:color="auto"/>
            </w:tcBorders>
          </w:tcPr>
          <w:p w:rsidR="001072AA" w:rsidRPr="00FE771B" w:rsidRDefault="000233CF"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-0.1044</w:t>
            </w:r>
          </w:p>
          <w:p w:rsidR="000233CF" w:rsidRPr="00FE771B" w:rsidRDefault="001072AA"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(-2.623)</w:t>
            </w:r>
            <w:r w:rsidRPr="00FE771B">
              <w:rPr>
                <w:rFonts w:ascii="Times New Roman" w:hAnsi="Times New Roman" w:cs="Times New Roman"/>
                <w:color w:val="000000" w:themeColor="text1"/>
                <w:kern w:val="0"/>
                <w:sz w:val="18"/>
                <w:szCs w:val="18"/>
                <w:vertAlign w:val="superscript"/>
              </w:rPr>
              <w:t>***</w:t>
            </w:r>
          </w:p>
        </w:tc>
      </w:tr>
      <w:tr w:rsidR="00E14128" w:rsidRPr="00FE771B" w:rsidTr="001072AA">
        <w:trPr>
          <w:trHeight w:val="634"/>
        </w:trPr>
        <w:tc>
          <w:tcPr>
            <w:tcW w:w="893" w:type="pct"/>
            <w:tcBorders>
              <w:bottom w:val="single" w:sz="4" w:space="0" w:color="auto"/>
            </w:tcBorders>
          </w:tcPr>
          <w:p w:rsidR="000233CF" w:rsidRPr="00FE771B" w:rsidRDefault="000233CF" w:rsidP="000233CF">
            <w:pPr>
              <w:autoSpaceDE w:val="0"/>
              <w:autoSpaceDN w:val="0"/>
              <w:adjustRightInd w:val="0"/>
              <w:jc w:val="center"/>
              <w:rPr>
                <w:rFonts w:ascii="Times New Roman" w:hAnsi="Times New Roman" w:cs="Times New Roman"/>
                <w:i/>
                <w:color w:val="000000" w:themeColor="text1"/>
                <w:kern w:val="0"/>
                <w:sz w:val="18"/>
                <w:szCs w:val="18"/>
              </w:rPr>
            </w:pPr>
            <w:r w:rsidRPr="00FE771B">
              <w:rPr>
                <w:rFonts w:ascii="Times New Roman" w:hAnsi="Times New Roman" w:cs="Times New Roman"/>
                <w:i/>
                <w:color w:val="000000" w:themeColor="text1"/>
                <w:kern w:val="0"/>
                <w:sz w:val="18"/>
                <w:szCs w:val="18"/>
              </w:rPr>
              <w:t>Cash</w:t>
            </w:r>
          </w:p>
        </w:tc>
        <w:tc>
          <w:tcPr>
            <w:tcW w:w="699" w:type="pct"/>
            <w:tcBorders>
              <w:bottom w:val="single" w:sz="4" w:space="0" w:color="auto"/>
            </w:tcBorders>
          </w:tcPr>
          <w:p w:rsidR="001072AA" w:rsidRPr="00FE771B" w:rsidRDefault="000233CF"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0.0716</w:t>
            </w:r>
          </w:p>
          <w:p w:rsidR="000233CF" w:rsidRPr="00FE771B" w:rsidRDefault="001072AA"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(1.939)</w:t>
            </w:r>
            <w:r w:rsidRPr="00FE771B">
              <w:rPr>
                <w:rFonts w:ascii="Times New Roman" w:hAnsi="Times New Roman" w:cs="Times New Roman"/>
                <w:color w:val="000000" w:themeColor="text1"/>
                <w:kern w:val="0"/>
                <w:sz w:val="18"/>
                <w:szCs w:val="18"/>
                <w:vertAlign w:val="superscript"/>
              </w:rPr>
              <w:t>*</w:t>
            </w:r>
          </w:p>
        </w:tc>
        <w:tc>
          <w:tcPr>
            <w:tcW w:w="677" w:type="pct"/>
            <w:tcBorders>
              <w:bottom w:val="single" w:sz="4" w:space="0" w:color="auto"/>
            </w:tcBorders>
          </w:tcPr>
          <w:p w:rsidR="001072AA" w:rsidRPr="00FE771B" w:rsidRDefault="000233CF"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-0.1139</w:t>
            </w:r>
          </w:p>
          <w:p w:rsidR="000233CF" w:rsidRPr="00FE771B" w:rsidRDefault="001072AA"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(-3.405)</w:t>
            </w:r>
            <w:r w:rsidRPr="00FE771B">
              <w:rPr>
                <w:rFonts w:ascii="Times New Roman" w:hAnsi="Times New Roman" w:cs="Times New Roman"/>
                <w:color w:val="000000" w:themeColor="text1"/>
                <w:kern w:val="0"/>
                <w:sz w:val="18"/>
                <w:szCs w:val="18"/>
                <w:vertAlign w:val="superscript"/>
              </w:rPr>
              <w:t>***</w:t>
            </w:r>
          </w:p>
        </w:tc>
        <w:tc>
          <w:tcPr>
            <w:tcW w:w="677" w:type="pct"/>
            <w:tcBorders>
              <w:bottom w:val="single" w:sz="4" w:space="0" w:color="auto"/>
            </w:tcBorders>
          </w:tcPr>
          <w:p w:rsidR="001072AA" w:rsidRPr="00FE771B" w:rsidRDefault="000233CF"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-0.0757</w:t>
            </w:r>
          </w:p>
          <w:p w:rsidR="000233CF" w:rsidRPr="00FE771B" w:rsidRDefault="001072AA"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(-2.331)</w:t>
            </w:r>
            <w:r w:rsidRPr="00FE771B">
              <w:rPr>
                <w:rFonts w:ascii="Times New Roman" w:hAnsi="Times New Roman" w:cs="Times New Roman"/>
                <w:color w:val="000000" w:themeColor="text1"/>
                <w:kern w:val="0"/>
                <w:sz w:val="18"/>
                <w:szCs w:val="18"/>
                <w:vertAlign w:val="superscript"/>
              </w:rPr>
              <w:t>**</w:t>
            </w:r>
          </w:p>
        </w:tc>
        <w:tc>
          <w:tcPr>
            <w:tcW w:w="699" w:type="pct"/>
            <w:tcBorders>
              <w:bottom w:val="single" w:sz="4" w:space="0" w:color="auto"/>
            </w:tcBorders>
          </w:tcPr>
          <w:p w:rsidR="001072AA" w:rsidRPr="00FE771B" w:rsidRDefault="000233CF"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0.0720</w:t>
            </w:r>
          </w:p>
          <w:p w:rsidR="000233CF" w:rsidRPr="00FE771B" w:rsidRDefault="001072AA"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(1.951)</w:t>
            </w:r>
            <w:r w:rsidRPr="00FE771B">
              <w:rPr>
                <w:rFonts w:ascii="Times New Roman" w:hAnsi="Times New Roman" w:cs="Times New Roman"/>
                <w:color w:val="000000" w:themeColor="text1"/>
                <w:kern w:val="0"/>
                <w:sz w:val="18"/>
                <w:szCs w:val="18"/>
                <w:vertAlign w:val="superscript"/>
              </w:rPr>
              <w:t>*</w:t>
            </w:r>
          </w:p>
        </w:tc>
        <w:tc>
          <w:tcPr>
            <w:tcW w:w="677" w:type="pct"/>
            <w:tcBorders>
              <w:bottom w:val="single" w:sz="4" w:space="0" w:color="auto"/>
            </w:tcBorders>
          </w:tcPr>
          <w:p w:rsidR="001072AA" w:rsidRPr="00FE771B" w:rsidRDefault="000233CF"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-0.1138</w:t>
            </w:r>
          </w:p>
          <w:p w:rsidR="000233CF" w:rsidRPr="00FE771B" w:rsidRDefault="001072AA"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(-3.402)</w:t>
            </w:r>
            <w:r w:rsidRPr="00FE771B">
              <w:rPr>
                <w:rFonts w:ascii="Times New Roman" w:hAnsi="Times New Roman" w:cs="Times New Roman"/>
                <w:color w:val="000000" w:themeColor="text1"/>
                <w:kern w:val="0"/>
                <w:sz w:val="18"/>
                <w:szCs w:val="18"/>
                <w:vertAlign w:val="superscript"/>
              </w:rPr>
              <w:t>***</w:t>
            </w:r>
          </w:p>
        </w:tc>
        <w:tc>
          <w:tcPr>
            <w:tcW w:w="677" w:type="pct"/>
            <w:tcBorders>
              <w:bottom w:val="single" w:sz="4" w:space="0" w:color="auto"/>
            </w:tcBorders>
          </w:tcPr>
          <w:p w:rsidR="001072AA" w:rsidRPr="00FE771B" w:rsidRDefault="000233CF"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-0.0757</w:t>
            </w:r>
          </w:p>
          <w:p w:rsidR="000233CF" w:rsidRPr="00FE771B" w:rsidRDefault="001072AA"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(-2.330)</w:t>
            </w:r>
            <w:r w:rsidRPr="00FE771B">
              <w:rPr>
                <w:rFonts w:ascii="Times New Roman" w:hAnsi="Times New Roman" w:cs="Times New Roman"/>
                <w:color w:val="000000" w:themeColor="text1"/>
                <w:kern w:val="0"/>
                <w:sz w:val="18"/>
                <w:szCs w:val="18"/>
                <w:vertAlign w:val="superscript"/>
              </w:rPr>
              <w:t>**</w:t>
            </w:r>
          </w:p>
        </w:tc>
      </w:tr>
      <w:tr w:rsidR="00E14128" w:rsidRPr="00FE771B" w:rsidTr="001072AA">
        <w:trPr>
          <w:trHeight w:val="634"/>
        </w:trPr>
        <w:tc>
          <w:tcPr>
            <w:tcW w:w="893" w:type="pct"/>
            <w:tcBorders>
              <w:bottom w:val="single" w:sz="4" w:space="0" w:color="auto"/>
            </w:tcBorders>
          </w:tcPr>
          <w:p w:rsidR="000233CF" w:rsidRPr="00FE771B" w:rsidRDefault="000233CF" w:rsidP="000233CF">
            <w:pPr>
              <w:autoSpaceDE w:val="0"/>
              <w:autoSpaceDN w:val="0"/>
              <w:adjustRightInd w:val="0"/>
              <w:jc w:val="center"/>
              <w:rPr>
                <w:rFonts w:ascii="Times New Roman" w:hAnsi="Times New Roman" w:cs="Times New Roman"/>
                <w:i/>
                <w:color w:val="000000" w:themeColor="text1"/>
                <w:kern w:val="0"/>
                <w:sz w:val="18"/>
                <w:szCs w:val="18"/>
              </w:rPr>
            </w:pPr>
            <w:r w:rsidRPr="00FE771B">
              <w:rPr>
                <w:rFonts w:ascii="Times New Roman" w:hAnsi="Times New Roman" w:cs="Times New Roman"/>
                <w:i/>
                <w:color w:val="000000" w:themeColor="text1"/>
                <w:kern w:val="0"/>
                <w:sz w:val="18"/>
                <w:szCs w:val="18"/>
              </w:rPr>
              <w:t>Income</w:t>
            </w:r>
          </w:p>
        </w:tc>
        <w:tc>
          <w:tcPr>
            <w:tcW w:w="699" w:type="pct"/>
            <w:tcBorders>
              <w:bottom w:val="single" w:sz="4" w:space="0" w:color="auto"/>
            </w:tcBorders>
          </w:tcPr>
          <w:p w:rsidR="001072AA" w:rsidRPr="00FE771B" w:rsidRDefault="000233CF"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-0.0284</w:t>
            </w:r>
          </w:p>
          <w:p w:rsidR="000233CF" w:rsidRPr="00FE771B" w:rsidRDefault="001072AA"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(-1.717)</w:t>
            </w:r>
            <w:r w:rsidRPr="00FE771B">
              <w:rPr>
                <w:rFonts w:ascii="Times New Roman" w:hAnsi="Times New Roman" w:cs="Times New Roman"/>
                <w:color w:val="000000" w:themeColor="text1"/>
                <w:kern w:val="0"/>
                <w:sz w:val="18"/>
                <w:szCs w:val="18"/>
                <w:vertAlign w:val="superscript"/>
              </w:rPr>
              <w:t>*</w:t>
            </w:r>
          </w:p>
        </w:tc>
        <w:tc>
          <w:tcPr>
            <w:tcW w:w="677" w:type="pct"/>
            <w:tcBorders>
              <w:bottom w:val="single" w:sz="4" w:space="0" w:color="auto"/>
            </w:tcBorders>
          </w:tcPr>
          <w:p w:rsidR="001072AA" w:rsidRPr="00FE771B" w:rsidRDefault="000233CF"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-0.0128</w:t>
            </w:r>
          </w:p>
          <w:p w:rsidR="000233CF" w:rsidRPr="00FE771B" w:rsidRDefault="001072AA"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(-0.944)</w:t>
            </w:r>
          </w:p>
        </w:tc>
        <w:tc>
          <w:tcPr>
            <w:tcW w:w="677" w:type="pct"/>
            <w:tcBorders>
              <w:bottom w:val="single" w:sz="4" w:space="0" w:color="auto"/>
            </w:tcBorders>
          </w:tcPr>
          <w:p w:rsidR="001072AA" w:rsidRPr="00FE771B" w:rsidRDefault="000233CF"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-0.0202</w:t>
            </w:r>
          </w:p>
          <w:p w:rsidR="000233CF" w:rsidRPr="00FE771B" w:rsidRDefault="001072AA"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(-1.515)</w:t>
            </w:r>
          </w:p>
        </w:tc>
        <w:tc>
          <w:tcPr>
            <w:tcW w:w="699" w:type="pct"/>
            <w:tcBorders>
              <w:bottom w:val="single" w:sz="4" w:space="0" w:color="auto"/>
            </w:tcBorders>
          </w:tcPr>
          <w:p w:rsidR="001072AA" w:rsidRPr="00FE771B" w:rsidRDefault="000233CF"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-0.0295</w:t>
            </w:r>
          </w:p>
          <w:p w:rsidR="000233CF" w:rsidRPr="00FE771B" w:rsidRDefault="001072AA"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(-1.778)</w:t>
            </w:r>
            <w:r w:rsidRPr="00FE771B">
              <w:rPr>
                <w:rFonts w:ascii="Times New Roman" w:hAnsi="Times New Roman" w:cs="Times New Roman"/>
                <w:color w:val="000000" w:themeColor="text1"/>
                <w:kern w:val="0"/>
                <w:sz w:val="18"/>
                <w:szCs w:val="18"/>
                <w:vertAlign w:val="superscript"/>
              </w:rPr>
              <w:t>*</w:t>
            </w:r>
          </w:p>
        </w:tc>
        <w:tc>
          <w:tcPr>
            <w:tcW w:w="677" w:type="pct"/>
            <w:tcBorders>
              <w:bottom w:val="single" w:sz="4" w:space="0" w:color="auto"/>
            </w:tcBorders>
          </w:tcPr>
          <w:p w:rsidR="001072AA" w:rsidRPr="00FE771B" w:rsidRDefault="000233CF"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-0.0149</w:t>
            </w:r>
          </w:p>
          <w:p w:rsidR="000233CF" w:rsidRPr="00FE771B" w:rsidRDefault="001072AA"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(-1.100)</w:t>
            </w:r>
          </w:p>
        </w:tc>
        <w:tc>
          <w:tcPr>
            <w:tcW w:w="677" w:type="pct"/>
            <w:tcBorders>
              <w:bottom w:val="single" w:sz="4" w:space="0" w:color="auto"/>
            </w:tcBorders>
          </w:tcPr>
          <w:p w:rsidR="001072AA" w:rsidRPr="00FE771B" w:rsidRDefault="000233CF"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-0.0222</w:t>
            </w:r>
          </w:p>
          <w:p w:rsidR="000233CF" w:rsidRPr="00FE771B" w:rsidRDefault="001072AA"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(-1.665)</w:t>
            </w:r>
            <w:r w:rsidRPr="00FE771B">
              <w:rPr>
                <w:rFonts w:ascii="Times New Roman" w:hAnsi="Times New Roman" w:cs="Times New Roman"/>
                <w:color w:val="000000" w:themeColor="text1"/>
                <w:kern w:val="0"/>
                <w:sz w:val="18"/>
                <w:szCs w:val="18"/>
                <w:vertAlign w:val="superscript"/>
              </w:rPr>
              <w:t>*</w:t>
            </w:r>
          </w:p>
        </w:tc>
      </w:tr>
      <w:tr w:rsidR="00E14128" w:rsidRPr="00FE771B" w:rsidTr="001072AA">
        <w:trPr>
          <w:trHeight w:val="634"/>
        </w:trPr>
        <w:tc>
          <w:tcPr>
            <w:tcW w:w="893" w:type="pct"/>
            <w:tcBorders>
              <w:bottom w:val="single" w:sz="4" w:space="0" w:color="auto"/>
            </w:tcBorders>
          </w:tcPr>
          <w:p w:rsidR="000233CF" w:rsidRPr="00FE771B" w:rsidRDefault="000233CF" w:rsidP="000233CF">
            <w:pPr>
              <w:autoSpaceDE w:val="0"/>
              <w:autoSpaceDN w:val="0"/>
              <w:adjustRightInd w:val="0"/>
              <w:jc w:val="center"/>
              <w:rPr>
                <w:rFonts w:ascii="Times New Roman" w:hAnsi="Times New Roman" w:cs="Times New Roman"/>
                <w:i/>
                <w:color w:val="000000" w:themeColor="text1"/>
                <w:kern w:val="0"/>
                <w:sz w:val="18"/>
                <w:szCs w:val="18"/>
              </w:rPr>
            </w:pPr>
            <w:r w:rsidRPr="00FE771B">
              <w:rPr>
                <w:rFonts w:ascii="Times New Roman" w:hAnsi="Times New Roman" w:cs="Times New Roman"/>
                <w:i/>
                <w:color w:val="000000" w:themeColor="text1"/>
                <w:kern w:val="0"/>
                <w:sz w:val="18"/>
                <w:szCs w:val="18"/>
              </w:rPr>
              <w:t>Board</w:t>
            </w:r>
          </w:p>
        </w:tc>
        <w:tc>
          <w:tcPr>
            <w:tcW w:w="699" w:type="pct"/>
            <w:tcBorders>
              <w:bottom w:val="single" w:sz="4" w:space="0" w:color="auto"/>
            </w:tcBorders>
          </w:tcPr>
          <w:p w:rsidR="001072AA" w:rsidRPr="00FE771B" w:rsidRDefault="000233CF"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-0.1557</w:t>
            </w:r>
          </w:p>
          <w:p w:rsidR="000233CF" w:rsidRPr="00FE771B" w:rsidRDefault="001072AA"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(-3.760)</w:t>
            </w:r>
            <w:r w:rsidRPr="00FE771B">
              <w:rPr>
                <w:rFonts w:ascii="Times New Roman" w:hAnsi="Times New Roman" w:cs="Times New Roman"/>
                <w:color w:val="000000" w:themeColor="text1"/>
                <w:kern w:val="0"/>
                <w:sz w:val="18"/>
                <w:szCs w:val="18"/>
                <w:vertAlign w:val="superscript"/>
              </w:rPr>
              <w:t>***</w:t>
            </w:r>
          </w:p>
        </w:tc>
        <w:tc>
          <w:tcPr>
            <w:tcW w:w="677" w:type="pct"/>
            <w:tcBorders>
              <w:bottom w:val="single" w:sz="4" w:space="0" w:color="auto"/>
            </w:tcBorders>
          </w:tcPr>
          <w:p w:rsidR="001072AA" w:rsidRPr="00FE771B" w:rsidRDefault="000233CF"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-0.0062</w:t>
            </w:r>
          </w:p>
          <w:p w:rsidR="000233CF" w:rsidRPr="00FE771B" w:rsidRDefault="001072AA"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(-0.110)</w:t>
            </w:r>
          </w:p>
        </w:tc>
        <w:tc>
          <w:tcPr>
            <w:tcW w:w="677" w:type="pct"/>
            <w:tcBorders>
              <w:bottom w:val="single" w:sz="4" w:space="0" w:color="auto"/>
            </w:tcBorders>
          </w:tcPr>
          <w:p w:rsidR="001072AA" w:rsidRPr="00FE771B" w:rsidRDefault="000233CF"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-0.0379</w:t>
            </w:r>
          </w:p>
          <w:p w:rsidR="000233CF" w:rsidRPr="00FE771B" w:rsidRDefault="001072AA"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(-0.782)</w:t>
            </w:r>
          </w:p>
        </w:tc>
        <w:tc>
          <w:tcPr>
            <w:tcW w:w="699" w:type="pct"/>
            <w:tcBorders>
              <w:bottom w:val="single" w:sz="4" w:space="0" w:color="auto"/>
            </w:tcBorders>
          </w:tcPr>
          <w:p w:rsidR="001072AA" w:rsidRPr="00FE771B" w:rsidRDefault="000233CF"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-0.1558</w:t>
            </w:r>
          </w:p>
          <w:p w:rsidR="000233CF" w:rsidRPr="00FE771B" w:rsidRDefault="001072AA"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(-3.762)</w:t>
            </w:r>
            <w:r w:rsidRPr="00FE771B">
              <w:rPr>
                <w:rFonts w:ascii="Times New Roman" w:hAnsi="Times New Roman" w:cs="Times New Roman"/>
                <w:color w:val="000000" w:themeColor="text1"/>
                <w:kern w:val="0"/>
                <w:sz w:val="18"/>
                <w:szCs w:val="18"/>
                <w:vertAlign w:val="superscript"/>
              </w:rPr>
              <w:t>***</w:t>
            </w:r>
          </w:p>
        </w:tc>
        <w:tc>
          <w:tcPr>
            <w:tcW w:w="677" w:type="pct"/>
            <w:tcBorders>
              <w:bottom w:val="single" w:sz="4" w:space="0" w:color="auto"/>
            </w:tcBorders>
          </w:tcPr>
          <w:p w:rsidR="001072AA" w:rsidRPr="00FE771B" w:rsidRDefault="000233CF"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-0.0058</w:t>
            </w:r>
          </w:p>
          <w:p w:rsidR="000233CF" w:rsidRPr="00FE771B" w:rsidRDefault="001072AA"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(-0.103)</w:t>
            </w:r>
          </w:p>
        </w:tc>
        <w:tc>
          <w:tcPr>
            <w:tcW w:w="677" w:type="pct"/>
            <w:tcBorders>
              <w:bottom w:val="single" w:sz="4" w:space="0" w:color="auto"/>
            </w:tcBorders>
          </w:tcPr>
          <w:p w:rsidR="001072AA" w:rsidRPr="00FE771B" w:rsidRDefault="000233CF"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-0.0366</w:t>
            </w:r>
          </w:p>
          <w:p w:rsidR="000233CF" w:rsidRPr="00FE771B" w:rsidRDefault="001072AA"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(-0.755)</w:t>
            </w:r>
          </w:p>
        </w:tc>
      </w:tr>
      <w:tr w:rsidR="00E14128" w:rsidRPr="00FE771B" w:rsidTr="001072AA">
        <w:trPr>
          <w:trHeight w:val="634"/>
        </w:trPr>
        <w:tc>
          <w:tcPr>
            <w:tcW w:w="893" w:type="pct"/>
            <w:tcBorders>
              <w:bottom w:val="single" w:sz="4" w:space="0" w:color="auto"/>
            </w:tcBorders>
          </w:tcPr>
          <w:p w:rsidR="000233CF" w:rsidRPr="00FE771B" w:rsidRDefault="000233CF" w:rsidP="000233CF">
            <w:pPr>
              <w:autoSpaceDE w:val="0"/>
              <w:autoSpaceDN w:val="0"/>
              <w:adjustRightInd w:val="0"/>
              <w:jc w:val="center"/>
              <w:rPr>
                <w:rFonts w:ascii="Times New Roman" w:hAnsi="Times New Roman" w:cs="Times New Roman"/>
                <w:i/>
                <w:color w:val="000000" w:themeColor="text1"/>
                <w:kern w:val="0"/>
                <w:sz w:val="18"/>
                <w:szCs w:val="18"/>
              </w:rPr>
            </w:pPr>
            <w:r w:rsidRPr="00FE771B">
              <w:rPr>
                <w:rFonts w:ascii="Times New Roman" w:hAnsi="Times New Roman" w:cs="Times New Roman"/>
                <w:i/>
                <w:color w:val="000000" w:themeColor="text1"/>
                <w:kern w:val="0"/>
                <w:sz w:val="18"/>
                <w:szCs w:val="18"/>
              </w:rPr>
              <w:t>Institution</w:t>
            </w:r>
          </w:p>
        </w:tc>
        <w:tc>
          <w:tcPr>
            <w:tcW w:w="699" w:type="pct"/>
            <w:tcBorders>
              <w:bottom w:val="single" w:sz="4" w:space="0" w:color="auto"/>
            </w:tcBorders>
          </w:tcPr>
          <w:p w:rsidR="001072AA" w:rsidRPr="00FE771B" w:rsidRDefault="000233CF"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-0.0572</w:t>
            </w:r>
          </w:p>
          <w:p w:rsidR="000233CF" w:rsidRPr="00FE771B" w:rsidRDefault="001072AA"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(-1.747)</w:t>
            </w:r>
            <w:r w:rsidRPr="00FE771B">
              <w:rPr>
                <w:rFonts w:ascii="Times New Roman" w:hAnsi="Times New Roman" w:cs="Times New Roman"/>
                <w:color w:val="000000" w:themeColor="text1"/>
                <w:kern w:val="0"/>
                <w:sz w:val="18"/>
                <w:szCs w:val="18"/>
                <w:vertAlign w:val="superscript"/>
              </w:rPr>
              <w:t>*</w:t>
            </w:r>
          </w:p>
        </w:tc>
        <w:tc>
          <w:tcPr>
            <w:tcW w:w="677" w:type="pct"/>
            <w:tcBorders>
              <w:bottom w:val="single" w:sz="4" w:space="0" w:color="auto"/>
            </w:tcBorders>
          </w:tcPr>
          <w:p w:rsidR="001072AA" w:rsidRPr="00FE771B" w:rsidRDefault="000233CF"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-0.0101</w:t>
            </w:r>
          </w:p>
          <w:p w:rsidR="000233CF" w:rsidRPr="00FE771B" w:rsidRDefault="001072AA"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(-0.305)</w:t>
            </w:r>
          </w:p>
        </w:tc>
        <w:tc>
          <w:tcPr>
            <w:tcW w:w="677" w:type="pct"/>
            <w:tcBorders>
              <w:bottom w:val="single" w:sz="4" w:space="0" w:color="auto"/>
            </w:tcBorders>
          </w:tcPr>
          <w:p w:rsidR="001072AA" w:rsidRPr="00FE771B" w:rsidRDefault="000233CF"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-0.0085</w:t>
            </w:r>
          </w:p>
          <w:p w:rsidR="000233CF" w:rsidRPr="00FE771B" w:rsidRDefault="001072AA"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(-0.275)</w:t>
            </w:r>
          </w:p>
        </w:tc>
        <w:tc>
          <w:tcPr>
            <w:tcW w:w="699" w:type="pct"/>
            <w:tcBorders>
              <w:bottom w:val="single" w:sz="4" w:space="0" w:color="auto"/>
            </w:tcBorders>
          </w:tcPr>
          <w:p w:rsidR="001072AA" w:rsidRPr="00FE771B" w:rsidRDefault="000233CF"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-0.0561</w:t>
            </w:r>
          </w:p>
          <w:p w:rsidR="000233CF" w:rsidRPr="00FE771B" w:rsidRDefault="001072AA"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(-1.713)</w:t>
            </w:r>
            <w:r w:rsidRPr="00FE771B">
              <w:rPr>
                <w:rFonts w:ascii="Times New Roman" w:hAnsi="Times New Roman" w:cs="Times New Roman"/>
                <w:color w:val="000000" w:themeColor="text1"/>
                <w:kern w:val="0"/>
                <w:sz w:val="18"/>
                <w:szCs w:val="18"/>
                <w:vertAlign w:val="superscript"/>
              </w:rPr>
              <w:t>*</w:t>
            </w:r>
          </w:p>
        </w:tc>
        <w:tc>
          <w:tcPr>
            <w:tcW w:w="677" w:type="pct"/>
            <w:tcBorders>
              <w:bottom w:val="single" w:sz="4" w:space="0" w:color="auto"/>
            </w:tcBorders>
          </w:tcPr>
          <w:p w:rsidR="001072AA" w:rsidRPr="00FE771B" w:rsidRDefault="000233CF"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-0.0084</w:t>
            </w:r>
          </w:p>
          <w:p w:rsidR="000233CF" w:rsidRPr="00FE771B" w:rsidRDefault="001072AA"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(-0.254)</w:t>
            </w:r>
          </w:p>
        </w:tc>
        <w:tc>
          <w:tcPr>
            <w:tcW w:w="677" w:type="pct"/>
            <w:tcBorders>
              <w:bottom w:val="single" w:sz="4" w:space="0" w:color="auto"/>
            </w:tcBorders>
          </w:tcPr>
          <w:p w:rsidR="001072AA" w:rsidRPr="00FE771B" w:rsidRDefault="000233CF"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-0.0067</w:t>
            </w:r>
          </w:p>
          <w:p w:rsidR="000233CF" w:rsidRPr="00FE771B" w:rsidRDefault="001072AA"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(-0.216)</w:t>
            </w:r>
          </w:p>
        </w:tc>
      </w:tr>
      <w:tr w:rsidR="00E14128" w:rsidRPr="00FE771B" w:rsidTr="001072AA">
        <w:trPr>
          <w:trHeight w:val="634"/>
        </w:trPr>
        <w:tc>
          <w:tcPr>
            <w:tcW w:w="893" w:type="pct"/>
            <w:tcBorders>
              <w:bottom w:val="single" w:sz="4" w:space="0" w:color="auto"/>
            </w:tcBorders>
          </w:tcPr>
          <w:p w:rsidR="000233CF" w:rsidRPr="00FE771B" w:rsidRDefault="000233CF" w:rsidP="000233CF">
            <w:pPr>
              <w:autoSpaceDE w:val="0"/>
              <w:autoSpaceDN w:val="0"/>
              <w:adjustRightInd w:val="0"/>
              <w:jc w:val="center"/>
              <w:rPr>
                <w:rFonts w:ascii="Times New Roman" w:hAnsi="Times New Roman" w:cs="Times New Roman"/>
                <w:i/>
                <w:color w:val="000000" w:themeColor="text1"/>
                <w:kern w:val="0"/>
                <w:sz w:val="18"/>
                <w:szCs w:val="18"/>
              </w:rPr>
            </w:pPr>
            <w:proofErr w:type="spellStart"/>
            <w:r w:rsidRPr="00FE771B">
              <w:rPr>
                <w:rFonts w:ascii="Times New Roman" w:hAnsi="Times New Roman" w:cs="Times New Roman"/>
                <w:i/>
                <w:color w:val="000000" w:themeColor="text1"/>
                <w:kern w:val="0"/>
                <w:sz w:val="18"/>
                <w:szCs w:val="18"/>
              </w:rPr>
              <w:t>ManageH</w:t>
            </w:r>
            <w:proofErr w:type="spellEnd"/>
          </w:p>
        </w:tc>
        <w:tc>
          <w:tcPr>
            <w:tcW w:w="699" w:type="pct"/>
            <w:tcBorders>
              <w:bottom w:val="single" w:sz="4" w:space="0" w:color="auto"/>
            </w:tcBorders>
          </w:tcPr>
          <w:p w:rsidR="001072AA" w:rsidRPr="00FE771B" w:rsidRDefault="000233CF"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-0.2632</w:t>
            </w:r>
          </w:p>
          <w:p w:rsidR="000233CF" w:rsidRPr="00FE771B" w:rsidRDefault="001072AA"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(-7.219)</w:t>
            </w:r>
            <w:r w:rsidRPr="00FE771B">
              <w:rPr>
                <w:rFonts w:ascii="Times New Roman" w:hAnsi="Times New Roman" w:cs="Times New Roman"/>
                <w:color w:val="000000" w:themeColor="text1"/>
                <w:kern w:val="0"/>
                <w:sz w:val="18"/>
                <w:szCs w:val="18"/>
                <w:vertAlign w:val="superscript"/>
              </w:rPr>
              <w:t>***</w:t>
            </w:r>
          </w:p>
        </w:tc>
        <w:tc>
          <w:tcPr>
            <w:tcW w:w="677" w:type="pct"/>
            <w:tcBorders>
              <w:bottom w:val="single" w:sz="4" w:space="0" w:color="auto"/>
            </w:tcBorders>
          </w:tcPr>
          <w:p w:rsidR="001072AA" w:rsidRPr="00FE771B" w:rsidRDefault="000233CF"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-0.3054</w:t>
            </w:r>
          </w:p>
          <w:p w:rsidR="000233CF" w:rsidRPr="00FE771B" w:rsidRDefault="001072AA"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(-5.126)</w:t>
            </w:r>
            <w:r w:rsidRPr="00FE771B">
              <w:rPr>
                <w:rFonts w:ascii="Times New Roman" w:hAnsi="Times New Roman" w:cs="Times New Roman"/>
                <w:color w:val="000000" w:themeColor="text1"/>
                <w:kern w:val="0"/>
                <w:sz w:val="18"/>
                <w:szCs w:val="18"/>
                <w:vertAlign w:val="superscript"/>
              </w:rPr>
              <w:t>***</w:t>
            </w:r>
          </w:p>
        </w:tc>
        <w:tc>
          <w:tcPr>
            <w:tcW w:w="677" w:type="pct"/>
            <w:tcBorders>
              <w:bottom w:val="single" w:sz="4" w:space="0" w:color="auto"/>
            </w:tcBorders>
          </w:tcPr>
          <w:p w:rsidR="001072AA" w:rsidRPr="00FE771B" w:rsidRDefault="000233CF"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-0.2864</w:t>
            </w:r>
          </w:p>
          <w:p w:rsidR="000233CF" w:rsidRPr="00FE771B" w:rsidRDefault="001072AA"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(-6.310)</w:t>
            </w:r>
            <w:r w:rsidRPr="00FE771B">
              <w:rPr>
                <w:rFonts w:ascii="Times New Roman" w:hAnsi="Times New Roman" w:cs="Times New Roman"/>
                <w:color w:val="000000" w:themeColor="text1"/>
                <w:kern w:val="0"/>
                <w:sz w:val="18"/>
                <w:szCs w:val="18"/>
                <w:vertAlign w:val="superscript"/>
              </w:rPr>
              <w:t>***</w:t>
            </w:r>
          </w:p>
        </w:tc>
        <w:tc>
          <w:tcPr>
            <w:tcW w:w="699" w:type="pct"/>
            <w:tcBorders>
              <w:bottom w:val="single" w:sz="4" w:space="0" w:color="auto"/>
            </w:tcBorders>
          </w:tcPr>
          <w:p w:rsidR="001072AA" w:rsidRPr="00FE771B" w:rsidRDefault="000233CF"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-0.2641</w:t>
            </w:r>
          </w:p>
          <w:p w:rsidR="000233CF" w:rsidRPr="00FE771B" w:rsidRDefault="001072AA"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(-7.240)</w:t>
            </w:r>
            <w:r w:rsidRPr="00FE771B">
              <w:rPr>
                <w:rFonts w:ascii="Times New Roman" w:hAnsi="Times New Roman" w:cs="Times New Roman"/>
                <w:color w:val="000000" w:themeColor="text1"/>
                <w:kern w:val="0"/>
                <w:sz w:val="18"/>
                <w:szCs w:val="18"/>
                <w:vertAlign w:val="superscript"/>
              </w:rPr>
              <w:t>***</w:t>
            </w:r>
          </w:p>
        </w:tc>
        <w:tc>
          <w:tcPr>
            <w:tcW w:w="677" w:type="pct"/>
            <w:tcBorders>
              <w:bottom w:val="single" w:sz="4" w:space="0" w:color="auto"/>
            </w:tcBorders>
          </w:tcPr>
          <w:p w:rsidR="001072AA" w:rsidRPr="00FE771B" w:rsidRDefault="000233CF"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-0.3045</w:t>
            </w:r>
          </w:p>
          <w:p w:rsidR="000233CF" w:rsidRPr="00FE771B" w:rsidRDefault="001072AA"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(-5.113)</w:t>
            </w:r>
            <w:r w:rsidRPr="00FE771B">
              <w:rPr>
                <w:rFonts w:ascii="Times New Roman" w:hAnsi="Times New Roman" w:cs="Times New Roman"/>
                <w:color w:val="000000" w:themeColor="text1"/>
                <w:kern w:val="0"/>
                <w:sz w:val="18"/>
                <w:szCs w:val="18"/>
                <w:vertAlign w:val="superscript"/>
              </w:rPr>
              <w:t>***</w:t>
            </w:r>
          </w:p>
        </w:tc>
        <w:tc>
          <w:tcPr>
            <w:tcW w:w="677" w:type="pct"/>
            <w:tcBorders>
              <w:bottom w:val="single" w:sz="4" w:space="0" w:color="auto"/>
            </w:tcBorders>
          </w:tcPr>
          <w:p w:rsidR="001072AA" w:rsidRPr="00FE771B" w:rsidRDefault="000233CF"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-0.2878</w:t>
            </w:r>
          </w:p>
          <w:p w:rsidR="000233CF" w:rsidRPr="00FE771B" w:rsidRDefault="001072AA"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(-6.340)</w:t>
            </w:r>
            <w:r w:rsidRPr="00FE771B">
              <w:rPr>
                <w:rFonts w:ascii="Times New Roman" w:hAnsi="Times New Roman" w:cs="Times New Roman"/>
                <w:color w:val="000000" w:themeColor="text1"/>
                <w:kern w:val="0"/>
                <w:sz w:val="18"/>
                <w:szCs w:val="18"/>
                <w:vertAlign w:val="superscript"/>
              </w:rPr>
              <w:t>***</w:t>
            </w:r>
          </w:p>
        </w:tc>
      </w:tr>
      <w:tr w:rsidR="00E14128" w:rsidRPr="00FE771B" w:rsidTr="001072AA">
        <w:trPr>
          <w:trHeight w:val="634"/>
        </w:trPr>
        <w:tc>
          <w:tcPr>
            <w:tcW w:w="893" w:type="pct"/>
            <w:tcBorders>
              <w:bottom w:val="single" w:sz="4" w:space="0" w:color="auto"/>
            </w:tcBorders>
          </w:tcPr>
          <w:p w:rsidR="000233CF" w:rsidRPr="00FE771B" w:rsidRDefault="000233CF" w:rsidP="000233CF">
            <w:pPr>
              <w:autoSpaceDE w:val="0"/>
              <w:autoSpaceDN w:val="0"/>
              <w:adjustRightInd w:val="0"/>
              <w:jc w:val="center"/>
              <w:rPr>
                <w:rFonts w:ascii="Times New Roman" w:hAnsi="Times New Roman" w:cs="Times New Roman"/>
                <w:i/>
                <w:color w:val="000000" w:themeColor="text1"/>
                <w:kern w:val="0"/>
                <w:sz w:val="18"/>
                <w:szCs w:val="18"/>
              </w:rPr>
            </w:pPr>
            <w:r w:rsidRPr="00FE771B">
              <w:rPr>
                <w:rFonts w:ascii="Times New Roman" w:hAnsi="Times New Roman" w:cs="Times New Roman"/>
                <w:i/>
                <w:color w:val="000000" w:themeColor="text1"/>
                <w:kern w:val="0"/>
                <w:sz w:val="18"/>
                <w:szCs w:val="18"/>
              </w:rPr>
              <w:t>Independent</w:t>
            </w:r>
          </w:p>
        </w:tc>
        <w:tc>
          <w:tcPr>
            <w:tcW w:w="699" w:type="pct"/>
            <w:tcBorders>
              <w:bottom w:val="single" w:sz="4" w:space="0" w:color="auto"/>
            </w:tcBorders>
          </w:tcPr>
          <w:p w:rsidR="001072AA" w:rsidRPr="00FE771B" w:rsidRDefault="000233CF"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0.1666</w:t>
            </w:r>
          </w:p>
          <w:p w:rsidR="000233CF" w:rsidRPr="00FE771B" w:rsidRDefault="001072AA"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(1.164)</w:t>
            </w:r>
          </w:p>
        </w:tc>
        <w:tc>
          <w:tcPr>
            <w:tcW w:w="677" w:type="pct"/>
            <w:tcBorders>
              <w:bottom w:val="single" w:sz="4" w:space="0" w:color="auto"/>
            </w:tcBorders>
          </w:tcPr>
          <w:p w:rsidR="001072AA" w:rsidRPr="00FE771B" w:rsidRDefault="000233CF"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-0.2344</w:t>
            </w:r>
          </w:p>
          <w:p w:rsidR="000233CF" w:rsidRPr="00FE771B" w:rsidRDefault="001072AA"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(-1.361)</w:t>
            </w:r>
          </w:p>
        </w:tc>
        <w:tc>
          <w:tcPr>
            <w:tcW w:w="677" w:type="pct"/>
            <w:tcBorders>
              <w:bottom w:val="single" w:sz="4" w:space="0" w:color="auto"/>
            </w:tcBorders>
          </w:tcPr>
          <w:p w:rsidR="001072AA" w:rsidRPr="00FE771B" w:rsidRDefault="000233CF"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-0.0914</w:t>
            </w:r>
          </w:p>
          <w:p w:rsidR="000233CF" w:rsidRPr="00FE771B" w:rsidRDefault="001072AA"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(-0.590)</w:t>
            </w:r>
          </w:p>
        </w:tc>
        <w:tc>
          <w:tcPr>
            <w:tcW w:w="699" w:type="pct"/>
            <w:tcBorders>
              <w:bottom w:val="single" w:sz="4" w:space="0" w:color="auto"/>
            </w:tcBorders>
          </w:tcPr>
          <w:p w:rsidR="001072AA" w:rsidRPr="00FE771B" w:rsidRDefault="000233CF"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0.1666</w:t>
            </w:r>
          </w:p>
          <w:p w:rsidR="000233CF" w:rsidRPr="00FE771B" w:rsidRDefault="001072AA"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(1.163)</w:t>
            </w:r>
          </w:p>
        </w:tc>
        <w:tc>
          <w:tcPr>
            <w:tcW w:w="677" w:type="pct"/>
            <w:tcBorders>
              <w:bottom w:val="single" w:sz="4" w:space="0" w:color="auto"/>
            </w:tcBorders>
          </w:tcPr>
          <w:p w:rsidR="001072AA" w:rsidRPr="00FE771B" w:rsidRDefault="000233CF"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-0.2200</w:t>
            </w:r>
          </w:p>
          <w:p w:rsidR="000233CF" w:rsidRPr="00FE771B" w:rsidRDefault="001072AA"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(-1.277)</w:t>
            </w:r>
          </w:p>
        </w:tc>
        <w:tc>
          <w:tcPr>
            <w:tcW w:w="677" w:type="pct"/>
            <w:tcBorders>
              <w:bottom w:val="single" w:sz="4" w:space="0" w:color="auto"/>
            </w:tcBorders>
          </w:tcPr>
          <w:p w:rsidR="001072AA" w:rsidRPr="00FE771B" w:rsidRDefault="000233CF"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-0.0805</w:t>
            </w:r>
          </w:p>
          <w:p w:rsidR="000233CF" w:rsidRPr="00FE771B" w:rsidRDefault="001072AA"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(-0.520)</w:t>
            </w:r>
          </w:p>
        </w:tc>
      </w:tr>
      <w:tr w:rsidR="00E14128" w:rsidRPr="00FE771B" w:rsidTr="001072AA">
        <w:trPr>
          <w:trHeight w:val="634"/>
        </w:trPr>
        <w:tc>
          <w:tcPr>
            <w:tcW w:w="893" w:type="pct"/>
            <w:tcBorders>
              <w:bottom w:val="single" w:sz="4" w:space="0" w:color="auto"/>
            </w:tcBorders>
          </w:tcPr>
          <w:p w:rsidR="000233CF" w:rsidRPr="00FE771B" w:rsidRDefault="000233CF" w:rsidP="000233CF">
            <w:pPr>
              <w:autoSpaceDE w:val="0"/>
              <w:autoSpaceDN w:val="0"/>
              <w:adjustRightInd w:val="0"/>
              <w:jc w:val="center"/>
              <w:rPr>
                <w:rFonts w:ascii="Times New Roman" w:hAnsi="Times New Roman" w:cs="Times New Roman"/>
                <w:i/>
                <w:color w:val="000000" w:themeColor="text1"/>
                <w:kern w:val="0"/>
                <w:sz w:val="18"/>
                <w:szCs w:val="18"/>
              </w:rPr>
            </w:pPr>
            <w:r w:rsidRPr="00FE771B">
              <w:rPr>
                <w:rFonts w:ascii="Times New Roman" w:hAnsi="Times New Roman" w:cs="Times New Roman"/>
                <w:i/>
                <w:color w:val="000000" w:themeColor="text1"/>
                <w:kern w:val="0"/>
                <w:sz w:val="18"/>
                <w:szCs w:val="18"/>
              </w:rPr>
              <w:t>Dual</w:t>
            </w:r>
          </w:p>
        </w:tc>
        <w:tc>
          <w:tcPr>
            <w:tcW w:w="699" w:type="pct"/>
            <w:tcBorders>
              <w:bottom w:val="single" w:sz="4" w:space="0" w:color="auto"/>
            </w:tcBorders>
          </w:tcPr>
          <w:p w:rsidR="001072AA" w:rsidRPr="00FE771B" w:rsidRDefault="000233CF"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-0.0130</w:t>
            </w:r>
          </w:p>
          <w:p w:rsidR="000233CF" w:rsidRPr="00FE771B" w:rsidRDefault="001072AA"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(-0.950)</w:t>
            </w:r>
          </w:p>
        </w:tc>
        <w:tc>
          <w:tcPr>
            <w:tcW w:w="677" w:type="pct"/>
            <w:tcBorders>
              <w:bottom w:val="single" w:sz="4" w:space="0" w:color="auto"/>
            </w:tcBorders>
          </w:tcPr>
          <w:p w:rsidR="001072AA" w:rsidRPr="00FE771B" w:rsidRDefault="000233CF"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-0.0094</w:t>
            </w:r>
          </w:p>
          <w:p w:rsidR="000233CF" w:rsidRPr="00FE771B" w:rsidRDefault="001072AA"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(-0.596)</w:t>
            </w:r>
          </w:p>
        </w:tc>
        <w:tc>
          <w:tcPr>
            <w:tcW w:w="677" w:type="pct"/>
            <w:tcBorders>
              <w:bottom w:val="single" w:sz="4" w:space="0" w:color="auto"/>
            </w:tcBorders>
          </w:tcPr>
          <w:p w:rsidR="001072AA" w:rsidRPr="00FE771B" w:rsidRDefault="000233CF"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-0.0074</w:t>
            </w:r>
          </w:p>
          <w:p w:rsidR="000233CF" w:rsidRPr="00FE771B" w:rsidRDefault="001072AA"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(-0.518)</w:t>
            </w:r>
          </w:p>
        </w:tc>
        <w:tc>
          <w:tcPr>
            <w:tcW w:w="699" w:type="pct"/>
            <w:tcBorders>
              <w:bottom w:val="single" w:sz="4" w:space="0" w:color="auto"/>
            </w:tcBorders>
          </w:tcPr>
          <w:p w:rsidR="001072AA" w:rsidRPr="00FE771B" w:rsidRDefault="000233CF"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-0.0123</w:t>
            </w:r>
          </w:p>
          <w:p w:rsidR="000233CF" w:rsidRPr="00FE771B" w:rsidRDefault="001072AA"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(-0.905)</w:t>
            </w:r>
          </w:p>
        </w:tc>
        <w:tc>
          <w:tcPr>
            <w:tcW w:w="677" w:type="pct"/>
            <w:tcBorders>
              <w:bottom w:val="single" w:sz="4" w:space="0" w:color="auto"/>
            </w:tcBorders>
          </w:tcPr>
          <w:p w:rsidR="001072AA" w:rsidRPr="00FE771B" w:rsidRDefault="000233CF"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-0.0094</w:t>
            </w:r>
          </w:p>
          <w:p w:rsidR="000233CF" w:rsidRPr="00FE771B" w:rsidRDefault="001072AA"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(-0.594)</w:t>
            </w:r>
          </w:p>
        </w:tc>
        <w:tc>
          <w:tcPr>
            <w:tcW w:w="677" w:type="pct"/>
            <w:tcBorders>
              <w:bottom w:val="single" w:sz="4" w:space="0" w:color="auto"/>
            </w:tcBorders>
          </w:tcPr>
          <w:p w:rsidR="001072AA" w:rsidRPr="00FE771B" w:rsidRDefault="000233CF"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-0.0070</w:t>
            </w:r>
          </w:p>
          <w:p w:rsidR="000233CF" w:rsidRPr="00FE771B" w:rsidRDefault="001072AA"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(-0.492)</w:t>
            </w:r>
          </w:p>
        </w:tc>
      </w:tr>
      <w:tr w:rsidR="00E14128" w:rsidRPr="00FE771B" w:rsidTr="001072AA">
        <w:trPr>
          <w:trHeight w:val="634"/>
        </w:trPr>
        <w:tc>
          <w:tcPr>
            <w:tcW w:w="893" w:type="pct"/>
            <w:tcBorders>
              <w:bottom w:val="single" w:sz="4" w:space="0" w:color="auto"/>
            </w:tcBorders>
          </w:tcPr>
          <w:p w:rsidR="000233CF" w:rsidRPr="00FE771B" w:rsidRDefault="000233CF" w:rsidP="000233CF">
            <w:pPr>
              <w:autoSpaceDE w:val="0"/>
              <w:autoSpaceDN w:val="0"/>
              <w:adjustRightInd w:val="0"/>
              <w:jc w:val="center"/>
              <w:rPr>
                <w:rFonts w:ascii="Times New Roman" w:hAnsi="Times New Roman" w:cs="Times New Roman"/>
                <w:i/>
                <w:color w:val="000000" w:themeColor="text1"/>
                <w:kern w:val="0"/>
                <w:sz w:val="18"/>
                <w:szCs w:val="18"/>
              </w:rPr>
            </w:pPr>
            <w:r w:rsidRPr="00FE771B">
              <w:rPr>
                <w:rFonts w:ascii="Times New Roman" w:hAnsi="Times New Roman" w:cs="Times New Roman"/>
                <w:i/>
                <w:color w:val="000000" w:themeColor="text1"/>
                <w:kern w:val="0"/>
                <w:sz w:val="18"/>
                <w:szCs w:val="18"/>
              </w:rPr>
              <w:t>_cons</w:t>
            </w:r>
          </w:p>
        </w:tc>
        <w:tc>
          <w:tcPr>
            <w:tcW w:w="699" w:type="pct"/>
            <w:tcBorders>
              <w:bottom w:val="single" w:sz="4" w:space="0" w:color="auto"/>
            </w:tcBorders>
          </w:tcPr>
          <w:p w:rsidR="001072AA" w:rsidRPr="00FE771B" w:rsidRDefault="000233CF"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-0.3315</w:t>
            </w:r>
          </w:p>
          <w:p w:rsidR="000233CF" w:rsidRPr="00FE771B" w:rsidRDefault="001072AA"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(-1.802)</w:t>
            </w:r>
            <w:r w:rsidRPr="00FE771B">
              <w:rPr>
                <w:rFonts w:ascii="Times New Roman" w:hAnsi="Times New Roman" w:cs="Times New Roman"/>
                <w:color w:val="000000" w:themeColor="text1"/>
                <w:kern w:val="0"/>
                <w:sz w:val="18"/>
                <w:szCs w:val="18"/>
                <w:vertAlign w:val="superscript"/>
              </w:rPr>
              <w:t>*</w:t>
            </w:r>
          </w:p>
        </w:tc>
        <w:tc>
          <w:tcPr>
            <w:tcW w:w="677" w:type="pct"/>
            <w:tcBorders>
              <w:bottom w:val="single" w:sz="4" w:space="0" w:color="auto"/>
            </w:tcBorders>
          </w:tcPr>
          <w:p w:rsidR="001072AA" w:rsidRPr="00FE771B" w:rsidRDefault="000233CF"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1.0307</w:t>
            </w:r>
          </w:p>
          <w:p w:rsidR="000233CF" w:rsidRPr="00FE771B" w:rsidRDefault="001072AA"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(2.656)</w:t>
            </w:r>
            <w:r w:rsidRPr="00FE771B">
              <w:rPr>
                <w:rFonts w:ascii="Times New Roman" w:hAnsi="Times New Roman" w:cs="Times New Roman"/>
                <w:color w:val="000000" w:themeColor="text1"/>
                <w:kern w:val="0"/>
                <w:sz w:val="18"/>
                <w:szCs w:val="18"/>
                <w:vertAlign w:val="superscript"/>
              </w:rPr>
              <w:t>***</w:t>
            </w:r>
          </w:p>
        </w:tc>
        <w:tc>
          <w:tcPr>
            <w:tcW w:w="677" w:type="pct"/>
            <w:tcBorders>
              <w:bottom w:val="single" w:sz="4" w:space="0" w:color="auto"/>
            </w:tcBorders>
          </w:tcPr>
          <w:p w:rsidR="001072AA" w:rsidRPr="00FE771B" w:rsidRDefault="000233CF"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1.0004</w:t>
            </w:r>
          </w:p>
          <w:p w:rsidR="000233CF" w:rsidRPr="00FE771B" w:rsidRDefault="001072AA"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(3.862)</w:t>
            </w:r>
            <w:r w:rsidRPr="00FE771B">
              <w:rPr>
                <w:rFonts w:ascii="Times New Roman" w:hAnsi="Times New Roman" w:cs="Times New Roman"/>
                <w:color w:val="000000" w:themeColor="text1"/>
                <w:kern w:val="0"/>
                <w:sz w:val="18"/>
                <w:szCs w:val="18"/>
                <w:vertAlign w:val="superscript"/>
              </w:rPr>
              <w:t>***</w:t>
            </w:r>
          </w:p>
        </w:tc>
        <w:tc>
          <w:tcPr>
            <w:tcW w:w="699" w:type="pct"/>
            <w:tcBorders>
              <w:bottom w:val="single" w:sz="4" w:space="0" w:color="auto"/>
            </w:tcBorders>
          </w:tcPr>
          <w:p w:rsidR="001072AA" w:rsidRPr="00FE771B" w:rsidRDefault="000233CF"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-0.3333</w:t>
            </w:r>
          </w:p>
          <w:p w:rsidR="000233CF" w:rsidRPr="00FE771B" w:rsidRDefault="001072AA"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(-1.816)</w:t>
            </w:r>
            <w:r w:rsidRPr="00FE771B">
              <w:rPr>
                <w:rFonts w:ascii="Times New Roman" w:hAnsi="Times New Roman" w:cs="Times New Roman"/>
                <w:color w:val="000000" w:themeColor="text1"/>
                <w:kern w:val="0"/>
                <w:sz w:val="18"/>
                <w:szCs w:val="18"/>
                <w:vertAlign w:val="superscript"/>
              </w:rPr>
              <w:t>*</w:t>
            </w:r>
          </w:p>
        </w:tc>
        <w:tc>
          <w:tcPr>
            <w:tcW w:w="677" w:type="pct"/>
            <w:tcBorders>
              <w:bottom w:val="single" w:sz="4" w:space="0" w:color="auto"/>
            </w:tcBorders>
          </w:tcPr>
          <w:p w:rsidR="001072AA" w:rsidRPr="00FE771B" w:rsidRDefault="000233CF"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1.1192</w:t>
            </w:r>
          </w:p>
          <w:p w:rsidR="000233CF" w:rsidRPr="00FE771B" w:rsidRDefault="001072AA"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(2.878)</w:t>
            </w:r>
            <w:r w:rsidRPr="00FE771B">
              <w:rPr>
                <w:rFonts w:ascii="Times New Roman" w:hAnsi="Times New Roman" w:cs="Times New Roman"/>
                <w:color w:val="000000" w:themeColor="text1"/>
                <w:kern w:val="0"/>
                <w:sz w:val="18"/>
                <w:szCs w:val="18"/>
                <w:vertAlign w:val="superscript"/>
              </w:rPr>
              <w:t>***</w:t>
            </w:r>
          </w:p>
        </w:tc>
        <w:tc>
          <w:tcPr>
            <w:tcW w:w="677" w:type="pct"/>
            <w:tcBorders>
              <w:bottom w:val="single" w:sz="4" w:space="0" w:color="auto"/>
            </w:tcBorders>
          </w:tcPr>
          <w:p w:rsidR="001072AA" w:rsidRPr="00FE771B" w:rsidRDefault="000233CF"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1.0382</w:t>
            </w:r>
          </w:p>
          <w:p w:rsidR="000233CF" w:rsidRPr="00FE771B" w:rsidRDefault="001072AA"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(4.002)</w:t>
            </w:r>
            <w:r w:rsidRPr="00FE771B">
              <w:rPr>
                <w:rFonts w:ascii="Times New Roman" w:hAnsi="Times New Roman" w:cs="Times New Roman"/>
                <w:color w:val="000000" w:themeColor="text1"/>
                <w:kern w:val="0"/>
                <w:sz w:val="18"/>
                <w:szCs w:val="18"/>
                <w:vertAlign w:val="superscript"/>
              </w:rPr>
              <w:t>***</w:t>
            </w:r>
          </w:p>
        </w:tc>
      </w:tr>
      <w:tr w:rsidR="00E14128" w:rsidRPr="00FE771B" w:rsidTr="00E14128">
        <w:tc>
          <w:tcPr>
            <w:tcW w:w="893" w:type="pct"/>
          </w:tcPr>
          <w:p w:rsidR="000233CF" w:rsidRPr="00FE771B" w:rsidRDefault="000233CF" w:rsidP="000233CF">
            <w:pPr>
              <w:autoSpaceDE w:val="0"/>
              <w:autoSpaceDN w:val="0"/>
              <w:adjustRightInd w:val="0"/>
              <w:jc w:val="center"/>
              <w:rPr>
                <w:rFonts w:ascii="Times New Roman" w:hAnsi="Times New Roman" w:cs="Times New Roman"/>
                <w:i/>
                <w:color w:val="000000" w:themeColor="text1"/>
                <w:kern w:val="0"/>
                <w:sz w:val="18"/>
                <w:szCs w:val="18"/>
              </w:rPr>
            </w:pPr>
            <w:r w:rsidRPr="00FE771B">
              <w:rPr>
                <w:rFonts w:ascii="Times New Roman" w:hAnsi="Times New Roman" w:cs="Times New Roman"/>
                <w:i/>
                <w:color w:val="000000" w:themeColor="text1"/>
                <w:kern w:val="0"/>
                <w:sz w:val="18"/>
                <w:szCs w:val="18"/>
              </w:rPr>
              <w:t>Year</w:t>
            </w:r>
          </w:p>
        </w:tc>
        <w:tc>
          <w:tcPr>
            <w:tcW w:w="699" w:type="pct"/>
          </w:tcPr>
          <w:p w:rsidR="000233CF" w:rsidRPr="00FE771B" w:rsidRDefault="00FA3E55"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Y</w:t>
            </w:r>
            <w:r w:rsidR="000233CF" w:rsidRPr="00FE771B">
              <w:rPr>
                <w:rFonts w:ascii="Times New Roman" w:hAnsi="Times New Roman" w:cs="Times New Roman"/>
                <w:color w:val="000000" w:themeColor="text1"/>
                <w:kern w:val="0"/>
                <w:sz w:val="18"/>
                <w:szCs w:val="18"/>
              </w:rPr>
              <w:t>es</w:t>
            </w:r>
          </w:p>
        </w:tc>
        <w:tc>
          <w:tcPr>
            <w:tcW w:w="677" w:type="pct"/>
          </w:tcPr>
          <w:p w:rsidR="000233CF" w:rsidRPr="00FE771B" w:rsidRDefault="00FA3E55" w:rsidP="000233CF">
            <w:pPr>
              <w:jc w:val="center"/>
              <w:rPr>
                <w:rFonts w:ascii="Times New Roman" w:hAnsi="Times New Roman" w:cs="Times New Roman"/>
                <w:color w:val="000000" w:themeColor="text1"/>
                <w:sz w:val="18"/>
                <w:szCs w:val="18"/>
              </w:rPr>
            </w:pPr>
            <w:r w:rsidRPr="00FE771B">
              <w:rPr>
                <w:rFonts w:ascii="Times New Roman" w:hAnsi="Times New Roman" w:cs="Times New Roman"/>
                <w:color w:val="000000" w:themeColor="text1"/>
                <w:kern w:val="0"/>
                <w:sz w:val="18"/>
                <w:szCs w:val="18"/>
              </w:rPr>
              <w:t>Y</w:t>
            </w:r>
            <w:r w:rsidR="000233CF" w:rsidRPr="00FE771B">
              <w:rPr>
                <w:rFonts w:ascii="Times New Roman" w:hAnsi="Times New Roman" w:cs="Times New Roman"/>
                <w:color w:val="000000" w:themeColor="text1"/>
                <w:kern w:val="0"/>
                <w:sz w:val="18"/>
                <w:szCs w:val="18"/>
              </w:rPr>
              <w:t>es</w:t>
            </w:r>
          </w:p>
        </w:tc>
        <w:tc>
          <w:tcPr>
            <w:tcW w:w="677" w:type="pct"/>
          </w:tcPr>
          <w:p w:rsidR="000233CF" w:rsidRPr="00FE771B" w:rsidRDefault="00FA3E55" w:rsidP="000233CF">
            <w:pPr>
              <w:jc w:val="center"/>
              <w:rPr>
                <w:rFonts w:ascii="Times New Roman" w:hAnsi="Times New Roman" w:cs="Times New Roman"/>
                <w:color w:val="000000" w:themeColor="text1"/>
                <w:sz w:val="18"/>
                <w:szCs w:val="18"/>
              </w:rPr>
            </w:pPr>
            <w:r w:rsidRPr="00FE771B">
              <w:rPr>
                <w:rFonts w:ascii="Times New Roman" w:hAnsi="Times New Roman" w:cs="Times New Roman"/>
                <w:color w:val="000000" w:themeColor="text1"/>
                <w:kern w:val="0"/>
                <w:sz w:val="18"/>
                <w:szCs w:val="18"/>
              </w:rPr>
              <w:t>Y</w:t>
            </w:r>
            <w:r w:rsidR="000233CF" w:rsidRPr="00FE771B">
              <w:rPr>
                <w:rFonts w:ascii="Times New Roman" w:hAnsi="Times New Roman" w:cs="Times New Roman"/>
                <w:color w:val="000000" w:themeColor="text1"/>
                <w:kern w:val="0"/>
                <w:sz w:val="18"/>
                <w:szCs w:val="18"/>
              </w:rPr>
              <w:t>es</w:t>
            </w:r>
          </w:p>
        </w:tc>
        <w:tc>
          <w:tcPr>
            <w:tcW w:w="699" w:type="pct"/>
          </w:tcPr>
          <w:p w:rsidR="000233CF" w:rsidRPr="00FE771B" w:rsidRDefault="00FA3E55" w:rsidP="000233CF">
            <w:pPr>
              <w:jc w:val="center"/>
              <w:rPr>
                <w:rFonts w:ascii="Times New Roman" w:hAnsi="Times New Roman" w:cs="Times New Roman"/>
                <w:color w:val="000000" w:themeColor="text1"/>
                <w:sz w:val="18"/>
                <w:szCs w:val="18"/>
              </w:rPr>
            </w:pPr>
            <w:r w:rsidRPr="00FE771B">
              <w:rPr>
                <w:rFonts w:ascii="Times New Roman" w:hAnsi="Times New Roman" w:cs="Times New Roman"/>
                <w:color w:val="000000" w:themeColor="text1"/>
                <w:kern w:val="0"/>
                <w:sz w:val="18"/>
                <w:szCs w:val="18"/>
              </w:rPr>
              <w:t>Y</w:t>
            </w:r>
            <w:r w:rsidR="000233CF" w:rsidRPr="00FE771B">
              <w:rPr>
                <w:rFonts w:ascii="Times New Roman" w:hAnsi="Times New Roman" w:cs="Times New Roman"/>
                <w:color w:val="000000" w:themeColor="text1"/>
                <w:kern w:val="0"/>
                <w:sz w:val="18"/>
                <w:szCs w:val="18"/>
              </w:rPr>
              <w:t>es</w:t>
            </w:r>
          </w:p>
        </w:tc>
        <w:tc>
          <w:tcPr>
            <w:tcW w:w="677" w:type="pct"/>
          </w:tcPr>
          <w:p w:rsidR="000233CF" w:rsidRPr="00FE771B" w:rsidRDefault="00FA3E55" w:rsidP="000233CF">
            <w:pPr>
              <w:jc w:val="center"/>
              <w:rPr>
                <w:rFonts w:ascii="Times New Roman" w:hAnsi="Times New Roman" w:cs="Times New Roman"/>
                <w:color w:val="000000" w:themeColor="text1"/>
                <w:sz w:val="18"/>
                <w:szCs w:val="18"/>
              </w:rPr>
            </w:pPr>
            <w:r w:rsidRPr="00FE771B">
              <w:rPr>
                <w:rFonts w:ascii="Times New Roman" w:hAnsi="Times New Roman" w:cs="Times New Roman"/>
                <w:color w:val="000000" w:themeColor="text1"/>
                <w:kern w:val="0"/>
                <w:sz w:val="18"/>
                <w:szCs w:val="18"/>
              </w:rPr>
              <w:t>Y</w:t>
            </w:r>
            <w:r w:rsidR="000233CF" w:rsidRPr="00FE771B">
              <w:rPr>
                <w:rFonts w:ascii="Times New Roman" w:hAnsi="Times New Roman" w:cs="Times New Roman"/>
                <w:color w:val="000000" w:themeColor="text1"/>
                <w:kern w:val="0"/>
                <w:sz w:val="18"/>
                <w:szCs w:val="18"/>
              </w:rPr>
              <w:t>es</w:t>
            </w:r>
          </w:p>
        </w:tc>
        <w:tc>
          <w:tcPr>
            <w:tcW w:w="677" w:type="pct"/>
          </w:tcPr>
          <w:p w:rsidR="000233CF" w:rsidRPr="00FE771B" w:rsidRDefault="00FA3E55" w:rsidP="000233CF">
            <w:pPr>
              <w:jc w:val="center"/>
              <w:rPr>
                <w:rFonts w:ascii="Times New Roman" w:hAnsi="Times New Roman" w:cs="Times New Roman"/>
                <w:color w:val="000000" w:themeColor="text1"/>
                <w:sz w:val="18"/>
                <w:szCs w:val="18"/>
              </w:rPr>
            </w:pPr>
            <w:r w:rsidRPr="00FE771B">
              <w:rPr>
                <w:rFonts w:ascii="Times New Roman" w:hAnsi="Times New Roman" w:cs="Times New Roman"/>
                <w:color w:val="000000" w:themeColor="text1"/>
                <w:kern w:val="0"/>
                <w:sz w:val="18"/>
                <w:szCs w:val="18"/>
              </w:rPr>
              <w:t>Y</w:t>
            </w:r>
            <w:r w:rsidR="000233CF" w:rsidRPr="00FE771B">
              <w:rPr>
                <w:rFonts w:ascii="Times New Roman" w:hAnsi="Times New Roman" w:cs="Times New Roman"/>
                <w:color w:val="000000" w:themeColor="text1"/>
                <w:kern w:val="0"/>
                <w:sz w:val="18"/>
                <w:szCs w:val="18"/>
              </w:rPr>
              <w:t>es</w:t>
            </w:r>
          </w:p>
        </w:tc>
      </w:tr>
      <w:tr w:rsidR="00E14128" w:rsidRPr="00FE771B" w:rsidTr="00E14128">
        <w:tc>
          <w:tcPr>
            <w:tcW w:w="893" w:type="pct"/>
          </w:tcPr>
          <w:p w:rsidR="000233CF" w:rsidRPr="00FE771B" w:rsidRDefault="000233CF" w:rsidP="000233CF">
            <w:pPr>
              <w:autoSpaceDE w:val="0"/>
              <w:autoSpaceDN w:val="0"/>
              <w:adjustRightInd w:val="0"/>
              <w:jc w:val="center"/>
              <w:rPr>
                <w:rFonts w:ascii="Times New Roman" w:hAnsi="Times New Roman" w:cs="Times New Roman"/>
                <w:i/>
                <w:color w:val="000000" w:themeColor="text1"/>
                <w:kern w:val="0"/>
                <w:sz w:val="18"/>
                <w:szCs w:val="18"/>
              </w:rPr>
            </w:pPr>
            <w:r w:rsidRPr="00FE771B">
              <w:rPr>
                <w:rFonts w:ascii="Times New Roman" w:hAnsi="Times New Roman" w:cs="Times New Roman"/>
                <w:i/>
                <w:color w:val="000000" w:themeColor="text1"/>
                <w:kern w:val="0"/>
                <w:sz w:val="18"/>
                <w:szCs w:val="18"/>
              </w:rPr>
              <w:t>Industry</w:t>
            </w:r>
          </w:p>
        </w:tc>
        <w:tc>
          <w:tcPr>
            <w:tcW w:w="699" w:type="pct"/>
          </w:tcPr>
          <w:p w:rsidR="000233CF" w:rsidRPr="00FE771B" w:rsidRDefault="00FA3E55"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Y</w:t>
            </w:r>
            <w:r w:rsidR="000233CF" w:rsidRPr="00FE771B">
              <w:rPr>
                <w:rFonts w:ascii="Times New Roman" w:hAnsi="Times New Roman" w:cs="Times New Roman"/>
                <w:color w:val="000000" w:themeColor="text1"/>
                <w:kern w:val="0"/>
                <w:sz w:val="18"/>
                <w:szCs w:val="18"/>
              </w:rPr>
              <w:t>es</w:t>
            </w:r>
          </w:p>
        </w:tc>
        <w:tc>
          <w:tcPr>
            <w:tcW w:w="677" w:type="pct"/>
          </w:tcPr>
          <w:p w:rsidR="000233CF" w:rsidRPr="00FE771B" w:rsidRDefault="00FA3E55" w:rsidP="000233CF">
            <w:pPr>
              <w:jc w:val="center"/>
              <w:rPr>
                <w:rFonts w:ascii="Times New Roman" w:hAnsi="Times New Roman" w:cs="Times New Roman"/>
                <w:color w:val="000000" w:themeColor="text1"/>
                <w:sz w:val="18"/>
                <w:szCs w:val="18"/>
              </w:rPr>
            </w:pPr>
            <w:r w:rsidRPr="00FE771B">
              <w:rPr>
                <w:rFonts w:ascii="Times New Roman" w:hAnsi="Times New Roman" w:cs="Times New Roman"/>
                <w:color w:val="000000" w:themeColor="text1"/>
                <w:kern w:val="0"/>
                <w:sz w:val="18"/>
                <w:szCs w:val="18"/>
              </w:rPr>
              <w:t>Y</w:t>
            </w:r>
            <w:r w:rsidR="000233CF" w:rsidRPr="00FE771B">
              <w:rPr>
                <w:rFonts w:ascii="Times New Roman" w:hAnsi="Times New Roman" w:cs="Times New Roman"/>
                <w:color w:val="000000" w:themeColor="text1"/>
                <w:kern w:val="0"/>
                <w:sz w:val="18"/>
                <w:szCs w:val="18"/>
              </w:rPr>
              <w:t>es</w:t>
            </w:r>
          </w:p>
        </w:tc>
        <w:tc>
          <w:tcPr>
            <w:tcW w:w="677" w:type="pct"/>
          </w:tcPr>
          <w:p w:rsidR="000233CF" w:rsidRPr="00FE771B" w:rsidRDefault="00FA3E55" w:rsidP="000233CF">
            <w:pPr>
              <w:jc w:val="center"/>
              <w:rPr>
                <w:rFonts w:ascii="Times New Roman" w:hAnsi="Times New Roman" w:cs="Times New Roman"/>
                <w:color w:val="000000" w:themeColor="text1"/>
                <w:sz w:val="18"/>
                <w:szCs w:val="18"/>
              </w:rPr>
            </w:pPr>
            <w:r w:rsidRPr="00FE771B">
              <w:rPr>
                <w:rFonts w:ascii="Times New Roman" w:hAnsi="Times New Roman" w:cs="Times New Roman"/>
                <w:color w:val="000000" w:themeColor="text1"/>
                <w:kern w:val="0"/>
                <w:sz w:val="18"/>
                <w:szCs w:val="18"/>
              </w:rPr>
              <w:t>Y</w:t>
            </w:r>
            <w:r w:rsidR="000233CF" w:rsidRPr="00FE771B">
              <w:rPr>
                <w:rFonts w:ascii="Times New Roman" w:hAnsi="Times New Roman" w:cs="Times New Roman"/>
                <w:color w:val="000000" w:themeColor="text1"/>
                <w:kern w:val="0"/>
                <w:sz w:val="18"/>
                <w:szCs w:val="18"/>
              </w:rPr>
              <w:t>es</w:t>
            </w:r>
          </w:p>
        </w:tc>
        <w:tc>
          <w:tcPr>
            <w:tcW w:w="699" w:type="pct"/>
          </w:tcPr>
          <w:p w:rsidR="000233CF" w:rsidRPr="00FE771B" w:rsidRDefault="00FA3E55" w:rsidP="000233CF">
            <w:pPr>
              <w:jc w:val="center"/>
              <w:rPr>
                <w:rFonts w:ascii="Times New Roman" w:hAnsi="Times New Roman" w:cs="Times New Roman"/>
                <w:color w:val="000000" w:themeColor="text1"/>
                <w:sz w:val="18"/>
                <w:szCs w:val="18"/>
              </w:rPr>
            </w:pPr>
            <w:r w:rsidRPr="00FE771B">
              <w:rPr>
                <w:rFonts w:ascii="Times New Roman" w:hAnsi="Times New Roman" w:cs="Times New Roman"/>
                <w:color w:val="000000" w:themeColor="text1"/>
                <w:kern w:val="0"/>
                <w:sz w:val="18"/>
                <w:szCs w:val="18"/>
              </w:rPr>
              <w:t>Y</w:t>
            </w:r>
            <w:r w:rsidR="000233CF" w:rsidRPr="00FE771B">
              <w:rPr>
                <w:rFonts w:ascii="Times New Roman" w:hAnsi="Times New Roman" w:cs="Times New Roman"/>
                <w:color w:val="000000" w:themeColor="text1"/>
                <w:kern w:val="0"/>
                <w:sz w:val="18"/>
                <w:szCs w:val="18"/>
              </w:rPr>
              <w:t>es</w:t>
            </w:r>
          </w:p>
        </w:tc>
        <w:tc>
          <w:tcPr>
            <w:tcW w:w="677" w:type="pct"/>
          </w:tcPr>
          <w:p w:rsidR="000233CF" w:rsidRPr="00FE771B" w:rsidRDefault="00FA3E55" w:rsidP="000233CF">
            <w:pPr>
              <w:jc w:val="center"/>
              <w:rPr>
                <w:rFonts w:ascii="Times New Roman" w:hAnsi="Times New Roman" w:cs="Times New Roman"/>
                <w:color w:val="000000" w:themeColor="text1"/>
                <w:sz w:val="18"/>
                <w:szCs w:val="18"/>
              </w:rPr>
            </w:pPr>
            <w:r w:rsidRPr="00FE771B">
              <w:rPr>
                <w:rFonts w:ascii="Times New Roman" w:hAnsi="Times New Roman" w:cs="Times New Roman"/>
                <w:color w:val="000000" w:themeColor="text1"/>
                <w:kern w:val="0"/>
                <w:sz w:val="18"/>
                <w:szCs w:val="18"/>
              </w:rPr>
              <w:t>Y</w:t>
            </w:r>
            <w:r w:rsidR="000233CF" w:rsidRPr="00FE771B">
              <w:rPr>
                <w:rFonts w:ascii="Times New Roman" w:hAnsi="Times New Roman" w:cs="Times New Roman"/>
                <w:color w:val="000000" w:themeColor="text1"/>
                <w:kern w:val="0"/>
                <w:sz w:val="18"/>
                <w:szCs w:val="18"/>
              </w:rPr>
              <w:t>es</w:t>
            </w:r>
          </w:p>
        </w:tc>
        <w:tc>
          <w:tcPr>
            <w:tcW w:w="677" w:type="pct"/>
          </w:tcPr>
          <w:p w:rsidR="000233CF" w:rsidRPr="00FE771B" w:rsidRDefault="00FA3E55" w:rsidP="000233CF">
            <w:pPr>
              <w:jc w:val="center"/>
              <w:rPr>
                <w:rFonts w:ascii="Times New Roman" w:hAnsi="Times New Roman" w:cs="Times New Roman"/>
                <w:color w:val="000000" w:themeColor="text1"/>
                <w:sz w:val="18"/>
                <w:szCs w:val="18"/>
              </w:rPr>
            </w:pPr>
            <w:r w:rsidRPr="00FE771B">
              <w:rPr>
                <w:rFonts w:ascii="Times New Roman" w:hAnsi="Times New Roman" w:cs="Times New Roman"/>
                <w:color w:val="000000" w:themeColor="text1"/>
                <w:kern w:val="0"/>
                <w:sz w:val="18"/>
                <w:szCs w:val="18"/>
              </w:rPr>
              <w:t>Y</w:t>
            </w:r>
            <w:r w:rsidR="000233CF" w:rsidRPr="00FE771B">
              <w:rPr>
                <w:rFonts w:ascii="Times New Roman" w:hAnsi="Times New Roman" w:cs="Times New Roman"/>
                <w:color w:val="000000" w:themeColor="text1"/>
                <w:kern w:val="0"/>
                <w:sz w:val="18"/>
                <w:szCs w:val="18"/>
              </w:rPr>
              <w:t>es</w:t>
            </w:r>
          </w:p>
        </w:tc>
      </w:tr>
      <w:tr w:rsidR="00E14128" w:rsidRPr="00FE771B" w:rsidTr="00E14128">
        <w:tc>
          <w:tcPr>
            <w:tcW w:w="893" w:type="pct"/>
          </w:tcPr>
          <w:p w:rsidR="000233CF" w:rsidRPr="00FE771B" w:rsidRDefault="000233CF"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iCs/>
                <w:color w:val="000000" w:themeColor="text1"/>
                <w:kern w:val="0"/>
                <w:sz w:val="18"/>
                <w:szCs w:val="18"/>
              </w:rPr>
              <w:t>N</w:t>
            </w:r>
          </w:p>
        </w:tc>
        <w:tc>
          <w:tcPr>
            <w:tcW w:w="699" w:type="pct"/>
          </w:tcPr>
          <w:p w:rsidR="000233CF" w:rsidRPr="00FE771B" w:rsidRDefault="000233CF"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10577</w:t>
            </w:r>
          </w:p>
        </w:tc>
        <w:tc>
          <w:tcPr>
            <w:tcW w:w="677" w:type="pct"/>
          </w:tcPr>
          <w:p w:rsidR="000233CF" w:rsidRPr="00FE771B" w:rsidRDefault="000233CF"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10577</w:t>
            </w:r>
          </w:p>
        </w:tc>
        <w:tc>
          <w:tcPr>
            <w:tcW w:w="677" w:type="pct"/>
          </w:tcPr>
          <w:p w:rsidR="000233CF" w:rsidRPr="00FE771B" w:rsidRDefault="000233CF"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10577</w:t>
            </w:r>
          </w:p>
        </w:tc>
        <w:tc>
          <w:tcPr>
            <w:tcW w:w="699" w:type="pct"/>
          </w:tcPr>
          <w:p w:rsidR="000233CF" w:rsidRPr="00FE771B" w:rsidRDefault="000233CF"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10577</w:t>
            </w:r>
          </w:p>
        </w:tc>
        <w:tc>
          <w:tcPr>
            <w:tcW w:w="677" w:type="pct"/>
          </w:tcPr>
          <w:p w:rsidR="000233CF" w:rsidRPr="00FE771B" w:rsidRDefault="000233CF"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10577</w:t>
            </w:r>
          </w:p>
        </w:tc>
        <w:tc>
          <w:tcPr>
            <w:tcW w:w="677" w:type="pct"/>
          </w:tcPr>
          <w:p w:rsidR="000233CF" w:rsidRPr="00FE771B" w:rsidRDefault="000233CF"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10577</w:t>
            </w:r>
          </w:p>
        </w:tc>
      </w:tr>
      <w:tr w:rsidR="00E14128" w:rsidRPr="00FE771B" w:rsidTr="00E14128">
        <w:tc>
          <w:tcPr>
            <w:tcW w:w="893" w:type="pct"/>
          </w:tcPr>
          <w:p w:rsidR="000233CF" w:rsidRPr="00FE771B" w:rsidRDefault="000233CF"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Adj-R</w:t>
            </w:r>
            <w:r w:rsidRPr="00FE771B">
              <w:rPr>
                <w:rFonts w:ascii="Times New Roman" w:hAnsi="Times New Roman" w:cs="Times New Roman"/>
                <w:color w:val="000000" w:themeColor="text1"/>
                <w:kern w:val="0"/>
                <w:sz w:val="18"/>
                <w:szCs w:val="18"/>
                <w:vertAlign w:val="superscript"/>
              </w:rPr>
              <w:t>2</w:t>
            </w:r>
          </w:p>
        </w:tc>
        <w:tc>
          <w:tcPr>
            <w:tcW w:w="699" w:type="pct"/>
          </w:tcPr>
          <w:p w:rsidR="000233CF" w:rsidRPr="00FE771B" w:rsidRDefault="000233CF"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0.0466</w:t>
            </w:r>
          </w:p>
        </w:tc>
        <w:tc>
          <w:tcPr>
            <w:tcW w:w="677" w:type="pct"/>
          </w:tcPr>
          <w:p w:rsidR="000233CF" w:rsidRPr="00FE771B" w:rsidRDefault="000233CF"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-0.0424</w:t>
            </w:r>
          </w:p>
        </w:tc>
        <w:tc>
          <w:tcPr>
            <w:tcW w:w="677" w:type="pct"/>
          </w:tcPr>
          <w:p w:rsidR="000233CF" w:rsidRPr="00FE771B" w:rsidRDefault="000233CF" w:rsidP="000233CF">
            <w:pPr>
              <w:autoSpaceDE w:val="0"/>
              <w:autoSpaceDN w:val="0"/>
              <w:adjustRightInd w:val="0"/>
              <w:jc w:val="center"/>
              <w:rPr>
                <w:rFonts w:ascii="Times New Roman" w:hAnsi="Times New Roman" w:cs="Times New Roman"/>
                <w:color w:val="000000" w:themeColor="text1"/>
                <w:kern w:val="0"/>
                <w:sz w:val="18"/>
                <w:szCs w:val="18"/>
              </w:rPr>
            </w:pPr>
          </w:p>
        </w:tc>
        <w:tc>
          <w:tcPr>
            <w:tcW w:w="699" w:type="pct"/>
          </w:tcPr>
          <w:p w:rsidR="000233CF" w:rsidRPr="00FE771B" w:rsidRDefault="000233CF"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0.0466</w:t>
            </w:r>
          </w:p>
        </w:tc>
        <w:tc>
          <w:tcPr>
            <w:tcW w:w="677" w:type="pct"/>
          </w:tcPr>
          <w:p w:rsidR="000233CF" w:rsidRPr="00FE771B" w:rsidRDefault="000233CF"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-0.0414</w:t>
            </w:r>
          </w:p>
        </w:tc>
        <w:tc>
          <w:tcPr>
            <w:tcW w:w="677" w:type="pct"/>
          </w:tcPr>
          <w:p w:rsidR="000233CF" w:rsidRPr="00FE771B" w:rsidRDefault="000233CF" w:rsidP="000233CF">
            <w:pPr>
              <w:autoSpaceDE w:val="0"/>
              <w:autoSpaceDN w:val="0"/>
              <w:adjustRightInd w:val="0"/>
              <w:jc w:val="center"/>
              <w:rPr>
                <w:rFonts w:ascii="Times New Roman" w:hAnsi="Times New Roman" w:cs="Times New Roman"/>
                <w:color w:val="000000" w:themeColor="text1"/>
                <w:kern w:val="0"/>
                <w:sz w:val="18"/>
                <w:szCs w:val="18"/>
              </w:rPr>
            </w:pPr>
          </w:p>
        </w:tc>
      </w:tr>
      <w:tr w:rsidR="00E14128" w:rsidRPr="00FE771B" w:rsidTr="001072AA">
        <w:trPr>
          <w:trHeight w:val="634"/>
        </w:trPr>
        <w:tc>
          <w:tcPr>
            <w:tcW w:w="893" w:type="pct"/>
            <w:tcBorders>
              <w:bottom w:val="single" w:sz="4" w:space="0" w:color="auto"/>
            </w:tcBorders>
          </w:tcPr>
          <w:p w:rsidR="000233CF" w:rsidRPr="00FE771B" w:rsidRDefault="00E3164C"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F</w:t>
            </w:r>
            <w:r w:rsidR="003E0F78" w:rsidRPr="00FE771B">
              <w:rPr>
                <w:rFonts w:ascii="Times New Roman" w:hAnsi="Times New Roman" w:cs="Times New Roman"/>
                <w:color w:val="000000" w:themeColor="text1"/>
              </w:rPr>
              <w:t xml:space="preserve"> </w:t>
            </w:r>
            <w:r w:rsidR="003E0F78" w:rsidRPr="00FE771B">
              <w:rPr>
                <w:rFonts w:ascii="Times New Roman" w:hAnsi="Times New Roman" w:cs="Times New Roman"/>
                <w:color w:val="000000" w:themeColor="text1"/>
                <w:kern w:val="0"/>
                <w:sz w:val="18"/>
                <w:szCs w:val="18"/>
              </w:rPr>
              <w:t>test</w:t>
            </w:r>
          </w:p>
        </w:tc>
        <w:tc>
          <w:tcPr>
            <w:tcW w:w="699" w:type="pct"/>
            <w:tcBorders>
              <w:bottom w:val="single" w:sz="4" w:space="0" w:color="auto"/>
            </w:tcBorders>
          </w:tcPr>
          <w:p w:rsidR="000233CF" w:rsidRPr="00FE771B" w:rsidRDefault="000233CF" w:rsidP="000233CF">
            <w:pPr>
              <w:autoSpaceDE w:val="0"/>
              <w:autoSpaceDN w:val="0"/>
              <w:adjustRightInd w:val="0"/>
              <w:jc w:val="center"/>
              <w:rPr>
                <w:rFonts w:ascii="Times New Roman" w:hAnsi="Times New Roman" w:cs="Times New Roman"/>
                <w:color w:val="000000" w:themeColor="text1"/>
                <w:kern w:val="0"/>
                <w:sz w:val="18"/>
                <w:szCs w:val="18"/>
              </w:rPr>
            </w:pPr>
          </w:p>
        </w:tc>
        <w:tc>
          <w:tcPr>
            <w:tcW w:w="677" w:type="pct"/>
            <w:tcBorders>
              <w:bottom w:val="single" w:sz="4" w:space="0" w:color="auto"/>
            </w:tcBorders>
          </w:tcPr>
          <w:p w:rsidR="001072AA" w:rsidRPr="00FE771B" w:rsidRDefault="000233CF"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42.0104</w:t>
            </w:r>
          </w:p>
          <w:p w:rsidR="000233CF" w:rsidRPr="00FE771B" w:rsidRDefault="001072AA"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[0.000]</w:t>
            </w:r>
          </w:p>
        </w:tc>
        <w:tc>
          <w:tcPr>
            <w:tcW w:w="677" w:type="pct"/>
            <w:tcBorders>
              <w:bottom w:val="single" w:sz="4" w:space="0" w:color="auto"/>
            </w:tcBorders>
          </w:tcPr>
          <w:p w:rsidR="000233CF" w:rsidRPr="00FE771B" w:rsidRDefault="000233CF" w:rsidP="000233CF">
            <w:pPr>
              <w:autoSpaceDE w:val="0"/>
              <w:autoSpaceDN w:val="0"/>
              <w:adjustRightInd w:val="0"/>
              <w:jc w:val="center"/>
              <w:rPr>
                <w:rFonts w:ascii="Times New Roman" w:hAnsi="Times New Roman" w:cs="Times New Roman"/>
                <w:color w:val="000000" w:themeColor="text1"/>
                <w:kern w:val="0"/>
                <w:sz w:val="18"/>
                <w:szCs w:val="18"/>
              </w:rPr>
            </w:pPr>
          </w:p>
        </w:tc>
        <w:tc>
          <w:tcPr>
            <w:tcW w:w="699" w:type="pct"/>
            <w:tcBorders>
              <w:bottom w:val="single" w:sz="4" w:space="0" w:color="auto"/>
            </w:tcBorders>
          </w:tcPr>
          <w:p w:rsidR="000233CF" w:rsidRPr="00FE771B" w:rsidRDefault="000233CF" w:rsidP="000233CF">
            <w:pPr>
              <w:autoSpaceDE w:val="0"/>
              <w:autoSpaceDN w:val="0"/>
              <w:adjustRightInd w:val="0"/>
              <w:jc w:val="center"/>
              <w:rPr>
                <w:rFonts w:ascii="Times New Roman" w:hAnsi="Times New Roman" w:cs="Times New Roman"/>
                <w:color w:val="000000" w:themeColor="text1"/>
                <w:kern w:val="0"/>
                <w:sz w:val="18"/>
                <w:szCs w:val="18"/>
              </w:rPr>
            </w:pPr>
          </w:p>
        </w:tc>
        <w:tc>
          <w:tcPr>
            <w:tcW w:w="677" w:type="pct"/>
            <w:tcBorders>
              <w:bottom w:val="single" w:sz="4" w:space="0" w:color="auto"/>
            </w:tcBorders>
          </w:tcPr>
          <w:p w:rsidR="001072AA" w:rsidRPr="00FE771B" w:rsidRDefault="000233CF"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42.4569</w:t>
            </w:r>
          </w:p>
          <w:p w:rsidR="000233CF" w:rsidRPr="00FE771B" w:rsidRDefault="001072AA"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[0.000]</w:t>
            </w:r>
          </w:p>
        </w:tc>
        <w:tc>
          <w:tcPr>
            <w:tcW w:w="677" w:type="pct"/>
            <w:tcBorders>
              <w:bottom w:val="single" w:sz="4" w:space="0" w:color="auto"/>
            </w:tcBorders>
          </w:tcPr>
          <w:p w:rsidR="000233CF" w:rsidRPr="00FE771B" w:rsidRDefault="000233CF" w:rsidP="000233CF">
            <w:pPr>
              <w:autoSpaceDE w:val="0"/>
              <w:autoSpaceDN w:val="0"/>
              <w:adjustRightInd w:val="0"/>
              <w:jc w:val="center"/>
              <w:rPr>
                <w:rFonts w:ascii="Times New Roman" w:hAnsi="Times New Roman" w:cs="Times New Roman"/>
                <w:color w:val="000000" w:themeColor="text1"/>
                <w:kern w:val="0"/>
                <w:sz w:val="18"/>
                <w:szCs w:val="18"/>
              </w:rPr>
            </w:pPr>
          </w:p>
        </w:tc>
      </w:tr>
      <w:tr w:rsidR="00E14128" w:rsidRPr="00FE771B" w:rsidTr="001072AA">
        <w:trPr>
          <w:trHeight w:val="634"/>
        </w:trPr>
        <w:tc>
          <w:tcPr>
            <w:tcW w:w="893" w:type="pct"/>
            <w:tcBorders>
              <w:bottom w:val="single" w:sz="4" w:space="0" w:color="auto"/>
            </w:tcBorders>
          </w:tcPr>
          <w:p w:rsidR="001072AA" w:rsidRPr="00FE771B" w:rsidRDefault="000233CF" w:rsidP="000233CF">
            <w:pPr>
              <w:autoSpaceDE w:val="0"/>
              <w:autoSpaceDN w:val="0"/>
              <w:adjustRightInd w:val="0"/>
              <w:jc w:val="center"/>
              <w:rPr>
                <w:rFonts w:ascii="Times New Roman" w:hAnsi="Times New Roman" w:cs="Times New Roman"/>
                <w:color w:val="000000" w:themeColor="text1"/>
                <w:kern w:val="0"/>
                <w:sz w:val="18"/>
                <w:szCs w:val="18"/>
              </w:rPr>
            </w:pPr>
            <w:proofErr w:type="spellStart"/>
            <w:r w:rsidRPr="00FE771B">
              <w:rPr>
                <w:rFonts w:ascii="Times New Roman" w:hAnsi="Times New Roman" w:cs="Times New Roman"/>
                <w:color w:val="000000" w:themeColor="text1"/>
                <w:kern w:val="0"/>
                <w:sz w:val="18"/>
                <w:szCs w:val="18"/>
              </w:rPr>
              <w:lastRenderedPageBreak/>
              <w:t>Breusch</w:t>
            </w:r>
            <w:proofErr w:type="spellEnd"/>
            <w:r w:rsidRPr="00FE771B">
              <w:rPr>
                <w:rFonts w:ascii="Times New Roman" w:hAnsi="Times New Roman" w:cs="Times New Roman"/>
                <w:color w:val="000000" w:themeColor="text1"/>
                <w:kern w:val="0"/>
                <w:sz w:val="18"/>
                <w:szCs w:val="18"/>
              </w:rPr>
              <w:t>－</w:t>
            </w:r>
          </w:p>
          <w:p w:rsidR="000233CF" w:rsidRPr="00FE771B" w:rsidRDefault="001072AA"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Pagan test</w:t>
            </w:r>
          </w:p>
        </w:tc>
        <w:tc>
          <w:tcPr>
            <w:tcW w:w="699" w:type="pct"/>
            <w:tcBorders>
              <w:bottom w:val="single" w:sz="4" w:space="0" w:color="auto"/>
            </w:tcBorders>
          </w:tcPr>
          <w:p w:rsidR="000233CF" w:rsidRPr="00FE771B" w:rsidRDefault="000233CF" w:rsidP="000233CF">
            <w:pPr>
              <w:autoSpaceDE w:val="0"/>
              <w:autoSpaceDN w:val="0"/>
              <w:adjustRightInd w:val="0"/>
              <w:jc w:val="center"/>
              <w:rPr>
                <w:rFonts w:ascii="Times New Roman" w:hAnsi="Times New Roman" w:cs="Times New Roman"/>
                <w:color w:val="000000" w:themeColor="text1"/>
                <w:kern w:val="0"/>
                <w:sz w:val="18"/>
                <w:szCs w:val="18"/>
              </w:rPr>
            </w:pPr>
          </w:p>
        </w:tc>
        <w:tc>
          <w:tcPr>
            <w:tcW w:w="677" w:type="pct"/>
            <w:tcBorders>
              <w:bottom w:val="single" w:sz="4" w:space="0" w:color="auto"/>
            </w:tcBorders>
          </w:tcPr>
          <w:p w:rsidR="000233CF" w:rsidRPr="00FE771B" w:rsidRDefault="000233CF" w:rsidP="000233CF">
            <w:pPr>
              <w:autoSpaceDE w:val="0"/>
              <w:autoSpaceDN w:val="0"/>
              <w:adjustRightInd w:val="0"/>
              <w:jc w:val="center"/>
              <w:rPr>
                <w:rFonts w:ascii="Times New Roman" w:hAnsi="Times New Roman" w:cs="Times New Roman"/>
                <w:color w:val="000000" w:themeColor="text1"/>
                <w:kern w:val="0"/>
                <w:sz w:val="18"/>
                <w:szCs w:val="18"/>
              </w:rPr>
            </w:pPr>
          </w:p>
        </w:tc>
        <w:tc>
          <w:tcPr>
            <w:tcW w:w="677" w:type="pct"/>
            <w:tcBorders>
              <w:bottom w:val="single" w:sz="4" w:space="0" w:color="auto"/>
            </w:tcBorders>
          </w:tcPr>
          <w:p w:rsidR="001072AA" w:rsidRPr="00FE771B" w:rsidRDefault="000233CF"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7084.35</w:t>
            </w:r>
          </w:p>
          <w:p w:rsidR="000233CF" w:rsidRPr="00FE771B" w:rsidRDefault="001072AA"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[0.000]</w:t>
            </w:r>
          </w:p>
        </w:tc>
        <w:tc>
          <w:tcPr>
            <w:tcW w:w="699" w:type="pct"/>
            <w:tcBorders>
              <w:bottom w:val="single" w:sz="4" w:space="0" w:color="auto"/>
            </w:tcBorders>
          </w:tcPr>
          <w:p w:rsidR="000233CF" w:rsidRPr="00FE771B" w:rsidRDefault="000233CF" w:rsidP="000233CF">
            <w:pPr>
              <w:autoSpaceDE w:val="0"/>
              <w:autoSpaceDN w:val="0"/>
              <w:adjustRightInd w:val="0"/>
              <w:jc w:val="center"/>
              <w:rPr>
                <w:rFonts w:ascii="Times New Roman" w:hAnsi="Times New Roman" w:cs="Times New Roman"/>
                <w:color w:val="000000" w:themeColor="text1"/>
                <w:kern w:val="0"/>
                <w:sz w:val="18"/>
                <w:szCs w:val="18"/>
              </w:rPr>
            </w:pPr>
          </w:p>
        </w:tc>
        <w:tc>
          <w:tcPr>
            <w:tcW w:w="677" w:type="pct"/>
            <w:tcBorders>
              <w:bottom w:val="single" w:sz="4" w:space="0" w:color="auto"/>
            </w:tcBorders>
          </w:tcPr>
          <w:p w:rsidR="000233CF" w:rsidRPr="00FE771B" w:rsidRDefault="000233CF" w:rsidP="000233CF">
            <w:pPr>
              <w:autoSpaceDE w:val="0"/>
              <w:autoSpaceDN w:val="0"/>
              <w:adjustRightInd w:val="0"/>
              <w:jc w:val="center"/>
              <w:rPr>
                <w:rFonts w:ascii="Times New Roman" w:hAnsi="Times New Roman" w:cs="Times New Roman"/>
                <w:color w:val="000000" w:themeColor="text1"/>
                <w:kern w:val="0"/>
                <w:sz w:val="18"/>
                <w:szCs w:val="18"/>
              </w:rPr>
            </w:pPr>
          </w:p>
        </w:tc>
        <w:tc>
          <w:tcPr>
            <w:tcW w:w="677" w:type="pct"/>
            <w:tcBorders>
              <w:bottom w:val="single" w:sz="4" w:space="0" w:color="auto"/>
            </w:tcBorders>
          </w:tcPr>
          <w:p w:rsidR="001072AA" w:rsidRPr="00FE771B" w:rsidRDefault="000233CF"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7090.36</w:t>
            </w:r>
          </w:p>
          <w:p w:rsidR="000233CF" w:rsidRPr="00FE771B" w:rsidRDefault="001072AA"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[0.000]</w:t>
            </w:r>
          </w:p>
        </w:tc>
      </w:tr>
      <w:tr w:rsidR="00E14128" w:rsidRPr="00FE771B" w:rsidTr="001072AA">
        <w:trPr>
          <w:trHeight w:val="634"/>
        </w:trPr>
        <w:tc>
          <w:tcPr>
            <w:tcW w:w="893" w:type="pct"/>
            <w:tcBorders>
              <w:bottom w:val="single" w:sz="4" w:space="0" w:color="auto"/>
            </w:tcBorders>
          </w:tcPr>
          <w:p w:rsidR="001072AA" w:rsidRPr="00FE771B" w:rsidRDefault="000233CF" w:rsidP="000233CF">
            <w:pPr>
              <w:autoSpaceDE w:val="0"/>
              <w:autoSpaceDN w:val="0"/>
              <w:adjustRightInd w:val="0"/>
              <w:jc w:val="center"/>
              <w:rPr>
                <w:rFonts w:ascii="Times New Roman" w:hAnsi="Times New Roman" w:cs="Times New Roman"/>
                <w:color w:val="000000" w:themeColor="text1"/>
                <w:kern w:val="0"/>
                <w:sz w:val="18"/>
                <w:szCs w:val="18"/>
              </w:rPr>
            </w:pPr>
            <w:proofErr w:type="spellStart"/>
            <w:r w:rsidRPr="00FE771B">
              <w:rPr>
                <w:rFonts w:ascii="Times New Roman" w:hAnsi="Times New Roman" w:cs="Times New Roman"/>
                <w:color w:val="000000" w:themeColor="text1"/>
                <w:kern w:val="0"/>
                <w:sz w:val="18"/>
                <w:szCs w:val="18"/>
              </w:rPr>
              <w:t>Hausman</w:t>
            </w:r>
            <w:proofErr w:type="spellEnd"/>
          </w:p>
          <w:p w:rsidR="000233CF" w:rsidRPr="00FE771B" w:rsidRDefault="001072AA"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test</w:t>
            </w:r>
          </w:p>
        </w:tc>
        <w:tc>
          <w:tcPr>
            <w:tcW w:w="699" w:type="pct"/>
            <w:tcBorders>
              <w:bottom w:val="single" w:sz="4" w:space="0" w:color="auto"/>
            </w:tcBorders>
          </w:tcPr>
          <w:p w:rsidR="000233CF" w:rsidRPr="00FE771B" w:rsidRDefault="000233CF" w:rsidP="000233CF">
            <w:pPr>
              <w:autoSpaceDE w:val="0"/>
              <w:autoSpaceDN w:val="0"/>
              <w:adjustRightInd w:val="0"/>
              <w:jc w:val="center"/>
              <w:rPr>
                <w:rFonts w:ascii="Times New Roman" w:hAnsi="Times New Roman" w:cs="Times New Roman"/>
                <w:color w:val="000000" w:themeColor="text1"/>
                <w:kern w:val="0"/>
                <w:sz w:val="18"/>
                <w:szCs w:val="18"/>
              </w:rPr>
            </w:pPr>
          </w:p>
        </w:tc>
        <w:tc>
          <w:tcPr>
            <w:tcW w:w="677" w:type="pct"/>
            <w:tcBorders>
              <w:bottom w:val="single" w:sz="4" w:space="0" w:color="auto"/>
            </w:tcBorders>
          </w:tcPr>
          <w:p w:rsidR="001072AA" w:rsidRPr="00FE771B" w:rsidRDefault="000233CF"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90.11</w:t>
            </w:r>
          </w:p>
          <w:p w:rsidR="000233CF" w:rsidRPr="00FE771B" w:rsidRDefault="001072AA"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[0.000]</w:t>
            </w:r>
          </w:p>
        </w:tc>
        <w:tc>
          <w:tcPr>
            <w:tcW w:w="677" w:type="pct"/>
            <w:tcBorders>
              <w:bottom w:val="single" w:sz="4" w:space="0" w:color="auto"/>
            </w:tcBorders>
          </w:tcPr>
          <w:p w:rsidR="000233CF" w:rsidRPr="00FE771B" w:rsidRDefault="000233CF" w:rsidP="000233CF">
            <w:pPr>
              <w:autoSpaceDE w:val="0"/>
              <w:autoSpaceDN w:val="0"/>
              <w:adjustRightInd w:val="0"/>
              <w:jc w:val="center"/>
              <w:rPr>
                <w:rFonts w:ascii="Times New Roman" w:hAnsi="Times New Roman" w:cs="Times New Roman"/>
                <w:color w:val="000000" w:themeColor="text1"/>
                <w:kern w:val="0"/>
                <w:sz w:val="18"/>
                <w:szCs w:val="18"/>
              </w:rPr>
            </w:pPr>
          </w:p>
        </w:tc>
        <w:tc>
          <w:tcPr>
            <w:tcW w:w="699" w:type="pct"/>
            <w:tcBorders>
              <w:bottom w:val="single" w:sz="4" w:space="0" w:color="auto"/>
            </w:tcBorders>
          </w:tcPr>
          <w:p w:rsidR="000233CF" w:rsidRPr="00FE771B" w:rsidRDefault="000233CF" w:rsidP="000233CF">
            <w:pPr>
              <w:autoSpaceDE w:val="0"/>
              <w:autoSpaceDN w:val="0"/>
              <w:adjustRightInd w:val="0"/>
              <w:jc w:val="center"/>
              <w:rPr>
                <w:rFonts w:ascii="Times New Roman" w:hAnsi="Times New Roman" w:cs="Times New Roman"/>
                <w:color w:val="000000" w:themeColor="text1"/>
                <w:kern w:val="0"/>
                <w:sz w:val="18"/>
                <w:szCs w:val="18"/>
              </w:rPr>
            </w:pPr>
          </w:p>
        </w:tc>
        <w:tc>
          <w:tcPr>
            <w:tcW w:w="677" w:type="pct"/>
            <w:tcBorders>
              <w:bottom w:val="single" w:sz="4" w:space="0" w:color="auto"/>
            </w:tcBorders>
          </w:tcPr>
          <w:p w:rsidR="001072AA" w:rsidRPr="00FE771B" w:rsidRDefault="000233CF"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94.50</w:t>
            </w:r>
          </w:p>
          <w:p w:rsidR="000233CF" w:rsidRPr="00FE771B" w:rsidRDefault="001072AA"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[0.000]</w:t>
            </w:r>
          </w:p>
        </w:tc>
        <w:tc>
          <w:tcPr>
            <w:tcW w:w="677" w:type="pct"/>
            <w:tcBorders>
              <w:bottom w:val="single" w:sz="4" w:space="0" w:color="auto"/>
            </w:tcBorders>
          </w:tcPr>
          <w:p w:rsidR="000233CF" w:rsidRPr="00FE771B" w:rsidRDefault="000233CF" w:rsidP="000233CF">
            <w:pPr>
              <w:autoSpaceDE w:val="0"/>
              <w:autoSpaceDN w:val="0"/>
              <w:adjustRightInd w:val="0"/>
              <w:jc w:val="center"/>
              <w:rPr>
                <w:rFonts w:ascii="Times New Roman" w:hAnsi="Times New Roman" w:cs="Times New Roman"/>
                <w:color w:val="000000" w:themeColor="text1"/>
                <w:kern w:val="0"/>
                <w:sz w:val="18"/>
                <w:szCs w:val="18"/>
              </w:rPr>
            </w:pPr>
          </w:p>
        </w:tc>
      </w:tr>
    </w:tbl>
    <w:p w:rsidR="00305360" w:rsidRPr="00FE771B" w:rsidRDefault="00D75262" w:rsidP="00E14128">
      <w:pPr>
        <w:ind w:firstLineChars="100" w:firstLine="150"/>
        <w:rPr>
          <w:rFonts w:ascii="Times New Roman" w:eastAsia="楷体" w:hAnsi="Times New Roman" w:cs="Times New Roman"/>
          <w:sz w:val="15"/>
          <w:szCs w:val="15"/>
        </w:rPr>
      </w:pPr>
      <w:r w:rsidRPr="00FE771B">
        <w:rPr>
          <w:rFonts w:ascii="Times New Roman" w:eastAsia="楷体" w:hAnsi="Times New Roman" w:cs="Times New Roman"/>
          <w:sz w:val="15"/>
          <w:szCs w:val="15"/>
        </w:rPr>
        <w:t>注</w:t>
      </w:r>
      <w:r w:rsidR="00E24D19" w:rsidRPr="00FE771B">
        <w:rPr>
          <w:rFonts w:ascii="Times New Roman" w:eastAsia="楷体" w:hAnsi="Times New Roman" w:cs="Times New Roman"/>
          <w:sz w:val="15"/>
          <w:szCs w:val="15"/>
        </w:rPr>
        <w:t>：</w:t>
      </w:r>
      <w:r w:rsidR="00E24D19" w:rsidRPr="00FE771B">
        <w:rPr>
          <w:rFonts w:ascii="Times New Roman" w:eastAsia="楷体" w:hAnsi="Times New Roman" w:cs="Times New Roman"/>
          <w:sz w:val="15"/>
          <w:szCs w:val="15"/>
        </w:rPr>
        <w:t>Year</w:t>
      </w:r>
      <w:r w:rsidR="00E24D19" w:rsidRPr="00FE771B">
        <w:rPr>
          <w:rFonts w:ascii="Times New Roman" w:eastAsia="楷体" w:hAnsi="Times New Roman" w:cs="Times New Roman"/>
          <w:sz w:val="15"/>
          <w:szCs w:val="15"/>
        </w:rPr>
        <w:t>为年份固定效应，</w:t>
      </w:r>
      <w:r w:rsidR="00E24D19" w:rsidRPr="00FE771B">
        <w:rPr>
          <w:rFonts w:ascii="Times New Roman" w:eastAsia="楷体" w:hAnsi="Times New Roman" w:cs="Times New Roman"/>
          <w:sz w:val="15"/>
          <w:szCs w:val="15"/>
        </w:rPr>
        <w:t>Industry</w:t>
      </w:r>
      <w:r w:rsidR="00E24D19" w:rsidRPr="00FE771B">
        <w:rPr>
          <w:rFonts w:ascii="Times New Roman" w:eastAsia="楷体" w:hAnsi="Times New Roman" w:cs="Times New Roman"/>
          <w:sz w:val="15"/>
          <w:szCs w:val="15"/>
        </w:rPr>
        <w:t>为行业固定效应；</w:t>
      </w:r>
      <w:r w:rsidRPr="00FE771B">
        <w:rPr>
          <w:rFonts w:ascii="Times New Roman" w:eastAsia="楷体" w:hAnsi="Times New Roman" w:cs="Times New Roman"/>
          <w:sz w:val="15"/>
          <w:szCs w:val="15"/>
        </w:rPr>
        <w:t xml:space="preserve"> </w:t>
      </w:r>
      <w:r w:rsidR="00E24D19" w:rsidRPr="00FE771B">
        <w:rPr>
          <w:rFonts w:ascii="Times New Roman" w:eastAsia="楷体" w:hAnsi="Times New Roman" w:cs="Times New Roman"/>
          <w:sz w:val="15"/>
          <w:szCs w:val="15"/>
        </w:rPr>
        <w:t>( )</w:t>
      </w:r>
      <w:r w:rsidR="00E24D19" w:rsidRPr="00FE771B">
        <w:rPr>
          <w:rFonts w:ascii="Times New Roman" w:eastAsia="楷体" w:hAnsi="Times New Roman" w:cs="Times New Roman"/>
          <w:sz w:val="15"/>
          <w:szCs w:val="15"/>
        </w:rPr>
        <w:t>内数值为回归系数的</w:t>
      </w:r>
      <w:r w:rsidR="00E24D19" w:rsidRPr="00FE771B">
        <w:rPr>
          <w:rFonts w:ascii="Times New Roman" w:eastAsia="楷体" w:hAnsi="Times New Roman" w:cs="Times New Roman"/>
          <w:sz w:val="15"/>
          <w:szCs w:val="15"/>
        </w:rPr>
        <w:t xml:space="preserve"> t </w:t>
      </w:r>
      <w:r w:rsidR="00E24D19" w:rsidRPr="00FE771B">
        <w:rPr>
          <w:rFonts w:ascii="Times New Roman" w:eastAsia="楷体" w:hAnsi="Times New Roman" w:cs="Times New Roman"/>
          <w:sz w:val="15"/>
          <w:szCs w:val="15"/>
        </w:rPr>
        <w:t>值，</w:t>
      </w:r>
      <w:r w:rsidR="00E24D19" w:rsidRPr="00FE771B">
        <w:rPr>
          <w:rFonts w:ascii="Times New Roman" w:eastAsia="楷体" w:hAnsi="Times New Roman" w:cs="Times New Roman"/>
          <w:sz w:val="15"/>
          <w:szCs w:val="15"/>
        </w:rPr>
        <w:t>[]</w:t>
      </w:r>
      <w:r w:rsidR="00E24D19" w:rsidRPr="00FE771B">
        <w:rPr>
          <w:rFonts w:ascii="Times New Roman" w:eastAsia="楷体" w:hAnsi="Times New Roman" w:cs="Times New Roman"/>
          <w:sz w:val="15"/>
          <w:szCs w:val="15"/>
        </w:rPr>
        <w:t>为该检验对应的</w:t>
      </w:r>
      <w:r w:rsidR="00E24D19" w:rsidRPr="00FE771B">
        <w:rPr>
          <w:rFonts w:ascii="Times New Roman" w:eastAsia="楷体" w:hAnsi="Times New Roman" w:cs="Times New Roman"/>
          <w:sz w:val="15"/>
          <w:szCs w:val="15"/>
        </w:rPr>
        <w:t>P</w:t>
      </w:r>
      <w:r w:rsidR="00E24D19" w:rsidRPr="00FE771B">
        <w:rPr>
          <w:rFonts w:ascii="Times New Roman" w:eastAsia="楷体" w:hAnsi="Times New Roman" w:cs="Times New Roman"/>
          <w:sz w:val="15"/>
          <w:szCs w:val="15"/>
        </w:rPr>
        <w:t>值</w:t>
      </w:r>
      <w:r w:rsidR="000233CF" w:rsidRPr="00FE771B">
        <w:rPr>
          <w:rFonts w:ascii="Times New Roman" w:eastAsia="楷体" w:hAnsi="Times New Roman" w:cs="Times New Roman"/>
          <w:sz w:val="15"/>
          <w:szCs w:val="15"/>
        </w:rPr>
        <w:t>；</w:t>
      </w:r>
      <w:r w:rsidRPr="00FE771B">
        <w:rPr>
          <w:rFonts w:ascii="Times New Roman" w:eastAsia="楷体" w:hAnsi="Times New Roman" w:cs="Times New Roman"/>
          <w:sz w:val="15"/>
          <w:szCs w:val="15"/>
        </w:rPr>
        <w:t xml:space="preserve"> *</w:t>
      </w:r>
      <w:r w:rsidRPr="00FE771B">
        <w:rPr>
          <w:rFonts w:ascii="Times New Roman" w:eastAsia="楷体" w:hAnsi="Times New Roman" w:cs="Times New Roman"/>
          <w:sz w:val="15"/>
          <w:szCs w:val="15"/>
        </w:rPr>
        <w:t>、</w:t>
      </w:r>
      <w:r w:rsidRPr="00FE771B">
        <w:rPr>
          <w:rFonts w:ascii="Times New Roman" w:eastAsia="楷体" w:hAnsi="Times New Roman" w:cs="Times New Roman"/>
          <w:sz w:val="15"/>
          <w:szCs w:val="15"/>
        </w:rPr>
        <w:t>**</w:t>
      </w:r>
      <w:r w:rsidRPr="00FE771B">
        <w:rPr>
          <w:rFonts w:ascii="Times New Roman" w:eastAsia="楷体" w:hAnsi="Times New Roman" w:cs="Times New Roman"/>
          <w:sz w:val="15"/>
          <w:szCs w:val="15"/>
        </w:rPr>
        <w:t>、</w:t>
      </w:r>
      <w:r w:rsidRPr="00FE771B">
        <w:rPr>
          <w:rFonts w:ascii="Times New Roman" w:eastAsia="楷体" w:hAnsi="Times New Roman" w:cs="Times New Roman"/>
          <w:sz w:val="15"/>
          <w:szCs w:val="15"/>
        </w:rPr>
        <w:t>***</w:t>
      </w:r>
      <w:r w:rsidRPr="00FE771B">
        <w:rPr>
          <w:rFonts w:ascii="Times New Roman" w:eastAsia="楷体" w:hAnsi="Times New Roman" w:cs="Times New Roman"/>
          <w:sz w:val="15"/>
          <w:szCs w:val="15"/>
        </w:rPr>
        <w:t>分别表示</w:t>
      </w:r>
      <w:r w:rsidRPr="00FE771B">
        <w:rPr>
          <w:rFonts w:ascii="Times New Roman" w:eastAsia="楷体" w:hAnsi="Times New Roman" w:cs="Times New Roman"/>
          <w:sz w:val="15"/>
          <w:szCs w:val="15"/>
        </w:rPr>
        <w:t xml:space="preserve"> 10%</w:t>
      </w:r>
      <w:r w:rsidRPr="00FE771B">
        <w:rPr>
          <w:rFonts w:ascii="Times New Roman" w:eastAsia="楷体" w:hAnsi="Times New Roman" w:cs="Times New Roman"/>
          <w:sz w:val="15"/>
          <w:szCs w:val="15"/>
        </w:rPr>
        <w:t>、</w:t>
      </w:r>
      <w:r w:rsidRPr="00FE771B">
        <w:rPr>
          <w:rFonts w:ascii="Times New Roman" w:eastAsia="楷体" w:hAnsi="Times New Roman" w:cs="Times New Roman"/>
          <w:sz w:val="15"/>
          <w:szCs w:val="15"/>
        </w:rPr>
        <w:t xml:space="preserve">5% </w:t>
      </w:r>
      <w:r w:rsidRPr="00FE771B">
        <w:rPr>
          <w:rFonts w:ascii="Times New Roman" w:eastAsia="楷体" w:hAnsi="Times New Roman" w:cs="Times New Roman"/>
          <w:sz w:val="15"/>
          <w:szCs w:val="15"/>
        </w:rPr>
        <w:t>和</w:t>
      </w:r>
      <w:r w:rsidRPr="00FE771B">
        <w:rPr>
          <w:rFonts w:ascii="Times New Roman" w:eastAsia="楷体" w:hAnsi="Times New Roman" w:cs="Times New Roman"/>
          <w:sz w:val="15"/>
          <w:szCs w:val="15"/>
        </w:rPr>
        <w:t xml:space="preserve"> 1% </w:t>
      </w:r>
      <w:r w:rsidRPr="00FE771B">
        <w:rPr>
          <w:rFonts w:ascii="Times New Roman" w:eastAsia="楷体" w:hAnsi="Times New Roman" w:cs="Times New Roman"/>
          <w:sz w:val="15"/>
          <w:szCs w:val="15"/>
        </w:rPr>
        <w:t>的显著性水平。下表无特别说明外相同。</w:t>
      </w:r>
      <w:r w:rsidR="00186CA1" w:rsidRPr="00FE771B">
        <w:rPr>
          <w:rFonts w:ascii="Times New Roman" w:eastAsia="楷体" w:hAnsi="Times New Roman" w:cs="Times New Roman"/>
          <w:sz w:val="15"/>
          <w:szCs w:val="15"/>
        </w:rPr>
        <w:t>表下</w:t>
      </w:r>
      <w:r w:rsidR="000233CF" w:rsidRPr="00FE771B">
        <w:rPr>
          <w:rFonts w:ascii="Times New Roman" w:eastAsia="楷体" w:hAnsi="Times New Roman" w:cs="Times New Roman"/>
          <w:sz w:val="15"/>
          <w:szCs w:val="15"/>
        </w:rPr>
        <w:t>固定效应设定</w:t>
      </w:r>
      <w:r w:rsidR="00E3164C" w:rsidRPr="00FE771B">
        <w:rPr>
          <w:rFonts w:ascii="Times New Roman" w:eastAsia="楷体" w:hAnsi="Times New Roman" w:cs="Times New Roman"/>
          <w:sz w:val="15"/>
          <w:szCs w:val="15"/>
        </w:rPr>
        <w:t>F</w:t>
      </w:r>
      <w:r w:rsidR="000233CF" w:rsidRPr="00FE771B">
        <w:rPr>
          <w:rFonts w:ascii="Times New Roman" w:eastAsia="楷体" w:hAnsi="Times New Roman" w:cs="Times New Roman"/>
          <w:sz w:val="15"/>
          <w:szCs w:val="15"/>
        </w:rPr>
        <w:t>检验的零假设是个体效应不显著，拒绝零假设就说明模型相对混合回来来说更适合用固定效应回归。</w:t>
      </w:r>
      <w:proofErr w:type="spellStart"/>
      <w:r w:rsidR="000233CF" w:rsidRPr="00FE771B">
        <w:rPr>
          <w:rFonts w:ascii="Times New Roman" w:eastAsia="楷体" w:hAnsi="Times New Roman" w:cs="Times New Roman"/>
          <w:sz w:val="15"/>
          <w:szCs w:val="15"/>
        </w:rPr>
        <w:t>Breusch</w:t>
      </w:r>
      <w:proofErr w:type="spellEnd"/>
      <w:r w:rsidR="000233CF" w:rsidRPr="00FE771B">
        <w:rPr>
          <w:rFonts w:ascii="Times New Roman" w:eastAsia="楷体" w:hAnsi="Times New Roman" w:cs="Times New Roman"/>
          <w:sz w:val="15"/>
          <w:szCs w:val="15"/>
        </w:rPr>
        <w:t>－</w:t>
      </w:r>
      <w:r w:rsidR="000233CF" w:rsidRPr="00FE771B">
        <w:rPr>
          <w:rFonts w:ascii="Times New Roman" w:eastAsia="楷体" w:hAnsi="Times New Roman" w:cs="Times New Roman"/>
          <w:sz w:val="15"/>
          <w:szCs w:val="15"/>
        </w:rPr>
        <w:t>Pagan</w:t>
      </w:r>
      <w:r w:rsidR="000233CF" w:rsidRPr="00FE771B">
        <w:rPr>
          <w:rFonts w:ascii="Times New Roman" w:eastAsia="楷体" w:hAnsi="Times New Roman" w:cs="Times New Roman"/>
          <w:sz w:val="15"/>
          <w:szCs w:val="15"/>
        </w:rPr>
        <w:t>检验的零假设是误差项独立同分布，若拒绝零假设说明模型更适合随机效应估计。</w:t>
      </w:r>
      <w:proofErr w:type="spellStart"/>
      <w:r w:rsidR="000233CF" w:rsidRPr="00FE771B">
        <w:rPr>
          <w:rFonts w:ascii="Times New Roman" w:eastAsia="楷体" w:hAnsi="Times New Roman" w:cs="Times New Roman"/>
          <w:sz w:val="15"/>
          <w:szCs w:val="15"/>
        </w:rPr>
        <w:t>Hausman</w:t>
      </w:r>
      <w:proofErr w:type="spellEnd"/>
      <w:r w:rsidR="000233CF" w:rsidRPr="00FE771B">
        <w:rPr>
          <w:rFonts w:ascii="Times New Roman" w:eastAsia="楷体" w:hAnsi="Times New Roman" w:cs="Times New Roman"/>
          <w:sz w:val="15"/>
          <w:szCs w:val="15"/>
        </w:rPr>
        <w:t xml:space="preserve"> </w:t>
      </w:r>
      <w:r w:rsidR="000233CF" w:rsidRPr="00FE771B">
        <w:rPr>
          <w:rFonts w:ascii="Times New Roman" w:eastAsia="楷体" w:hAnsi="Times New Roman" w:cs="Times New Roman"/>
          <w:sz w:val="15"/>
          <w:szCs w:val="15"/>
        </w:rPr>
        <w:t>检验主要用来检验模型</w:t>
      </w:r>
      <w:proofErr w:type="gramStart"/>
      <w:r w:rsidR="000233CF" w:rsidRPr="00FE771B">
        <w:rPr>
          <w:rFonts w:ascii="Times New Roman" w:eastAsia="楷体" w:hAnsi="Times New Roman" w:cs="Times New Roman"/>
          <w:sz w:val="15"/>
          <w:szCs w:val="15"/>
        </w:rPr>
        <w:t>究竟更</w:t>
      </w:r>
      <w:proofErr w:type="gramEnd"/>
      <w:r w:rsidR="000233CF" w:rsidRPr="00FE771B">
        <w:rPr>
          <w:rFonts w:ascii="Times New Roman" w:eastAsia="楷体" w:hAnsi="Times New Roman" w:cs="Times New Roman"/>
          <w:sz w:val="15"/>
          <w:szCs w:val="15"/>
        </w:rPr>
        <w:t>适合于固定效应还是随机效应，若拒绝零假设说明应该使用固定效应估计。</w:t>
      </w:r>
    </w:p>
    <w:p w:rsidR="00CD2630" w:rsidRPr="00FE771B" w:rsidRDefault="00E14128" w:rsidP="00CD2630">
      <w:pPr>
        <w:pStyle w:val="20"/>
        <w:ind w:firstLine="422"/>
        <w:rPr>
          <w:b/>
        </w:rPr>
      </w:pPr>
      <w:r w:rsidRPr="00FE771B">
        <w:rPr>
          <w:b/>
        </w:rPr>
        <w:t>(</w:t>
      </w:r>
      <w:r w:rsidRPr="00FE771B">
        <w:rPr>
          <w:b/>
        </w:rPr>
        <w:t>三</w:t>
      </w:r>
      <w:r w:rsidRPr="00FE771B">
        <w:rPr>
          <w:b/>
        </w:rPr>
        <w:t>)</w:t>
      </w:r>
      <w:r w:rsidR="00CD2630" w:rsidRPr="00FE771B">
        <w:rPr>
          <w:b/>
        </w:rPr>
        <w:t>稳健性检验</w:t>
      </w:r>
    </w:p>
    <w:p w:rsidR="00CD2630" w:rsidRPr="00FE771B" w:rsidRDefault="00E14128" w:rsidP="00CD2630">
      <w:pPr>
        <w:ind w:firstLineChars="200" w:firstLine="420"/>
        <w:rPr>
          <w:rFonts w:ascii="Times New Roman" w:hAnsi="Times New Roman" w:cs="Times New Roman"/>
        </w:rPr>
      </w:pPr>
      <w:r w:rsidRPr="00316147">
        <w:rPr>
          <w:rFonts w:ascii="楷体" w:eastAsia="楷体" w:hAnsi="楷体" w:cs="Times New Roman"/>
        </w:rPr>
        <w:t>1.</w:t>
      </w:r>
      <w:r w:rsidR="00CD2630" w:rsidRPr="00316147">
        <w:rPr>
          <w:rFonts w:ascii="楷体" w:eastAsia="楷体" w:hAnsi="楷体" w:cs="Times New Roman"/>
        </w:rPr>
        <w:t>替换被解释变量。</w:t>
      </w:r>
      <w:r w:rsidR="00CD2630" w:rsidRPr="00FE771B">
        <w:rPr>
          <w:rFonts w:ascii="Times New Roman" w:hAnsi="Times New Roman" w:cs="Times New Roman"/>
        </w:rPr>
        <w:t>从图</w:t>
      </w:r>
      <w:r w:rsidR="00CD2630" w:rsidRPr="00FE771B">
        <w:rPr>
          <w:rFonts w:ascii="Times New Roman" w:hAnsi="Times New Roman" w:cs="Times New Roman"/>
        </w:rPr>
        <w:t>5</w:t>
      </w:r>
      <w:r w:rsidR="00CD2630" w:rsidRPr="00FE771B">
        <w:rPr>
          <w:rFonts w:ascii="Times New Roman" w:hAnsi="Times New Roman" w:cs="Times New Roman"/>
        </w:rPr>
        <w:t>可以发现，上市公司历年金融投资变化较大，具体到行业和样本内部更是差别较大，为了防止金融化变动波动较大导致异方差的负面影响，我们参考巩娜（</w:t>
      </w:r>
      <w:r w:rsidR="00CD2630" w:rsidRPr="00FE771B">
        <w:rPr>
          <w:rFonts w:ascii="Times New Roman" w:hAnsi="Times New Roman" w:cs="Times New Roman"/>
        </w:rPr>
        <w:t>2021</w:t>
      </w:r>
      <w:r w:rsidR="00CD2630" w:rsidRPr="00FE771B">
        <w:rPr>
          <w:rFonts w:ascii="Times New Roman" w:hAnsi="Times New Roman" w:cs="Times New Roman"/>
        </w:rPr>
        <w:t>）的做法，使用是否配置金融</w:t>
      </w:r>
      <w:r w:rsidR="00A90AC3" w:rsidRPr="00FE771B">
        <w:rPr>
          <w:rFonts w:ascii="Times New Roman" w:hAnsi="Times New Roman" w:cs="Times New Roman"/>
        </w:rPr>
        <w:t>资产</w:t>
      </w:r>
      <w:r w:rsidR="00CD2630" w:rsidRPr="00FE771B">
        <w:rPr>
          <w:rFonts w:ascii="Times New Roman" w:hAnsi="Times New Roman" w:cs="Times New Roman"/>
        </w:rPr>
        <w:t>的虚拟变量</w:t>
      </w:r>
      <w:proofErr w:type="gramStart"/>
      <w:r w:rsidR="00CD2630" w:rsidRPr="00FE771B">
        <w:rPr>
          <w:rFonts w:ascii="Times New Roman" w:hAnsi="Times New Roman" w:cs="Times New Roman"/>
        </w:rPr>
        <w:t>来作</w:t>
      </w:r>
      <w:proofErr w:type="gramEnd"/>
      <w:r w:rsidR="00CD2630" w:rsidRPr="00FE771B">
        <w:rPr>
          <w:rFonts w:ascii="Times New Roman" w:hAnsi="Times New Roman" w:cs="Times New Roman"/>
        </w:rPr>
        <w:t>为金融化投资的表征，具体而言，若</w:t>
      </w:r>
      <w:r w:rsidR="007B06C8" w:rsidRPr="00FE771B">
        <w:rPr>
          <w:rFonts w:ascii="Times New Roman" w:hAnsi="Times New Roman" w:cs="Times New Roman"/>
        </w:rPr>
        <w:t>某</w:t>
      </w:r>
      <w:r w:rsidR="00CD2630" w:rsidRPr="00FE771B">
        <w:rPr>
          <w:rFonts w:ascii="Times New Roman" w:hAnsi="Times New Roman" w:cs="Times New Roman"/>
        </w:rPr>
        <w:t>上市公司</w:t>
      </w:r>
      <w:r w:rsidR="007B06C8" w:rsidRPr="00FE771B">
        <w:rPr>
          <w:rFonts w:ascii="Times New Roman" w:hAnsi="Times New Roman" w:cs="Times New Roman"/>
        </w:rPr>
        <w:t>在某一年</w:t>
      </w:r>
      <w:r w:rsidR="00CD2630" w:rsidRPr="00FE771B">
        <w:rPr>
          <w:rFonts w:ascii="Times New Roman" w:hAnsi="Times New Roman" w:cs="Times New Roman"/>
        </w:rPr>
        <w:t>持有金融资产</w:t>
      </w:r>
      <w:r w:rsidR="007B06C8" w:rsidRPr="00FE771B">
        <w:rPr>
          <w:rFonts w:ascii="Times New Roman" w:hAnsi="Times New Roman" w:cs="Times New Roman"/>
        </w:rPr>
        <w:t>（即金融资产变量不为</w:t>
      </w:r>
      <w:r w:rsidR="007B06C8" w:rsidRPr="00FE771B">
        <w:rPr>
          <w:rFonts w:ascii="Times New Roman" w:hAnsi="Times New Roman" w:cs="Times New Roman"/>
        </w:rPr>
        <w:t>0</w:t>
      </w:r>
      <w:r w:rsidR="007B06C8" w:rsidRPr="00FE771B">
        <w:rPr>
          <w:rFonts w:ascii="Times New Roman" w:hAnsi="Times New Roman" w:cs="Times New Roman"/>
        </w:rPr>
        <w:t>）</w:t>
      </w:r>
      <w:r w:rsidR="00CD2630" w:rsidRPr="00FE771B">
        <w:rPr>
          <w:rFonts w:ascii="Times New Roman" w:hAnsi="Times New Roman" w:cs="Times New Roman"/>
        </w:rPr>
        <w:t>则表示为</w:t>
      </w:r>
      <w:r w:rsidR="00CD2630" w:rsidRPr="00FE771B">
        <w:rPr>
          <w:rFonts w:ascii="Times New Roman" w:hAnsi="Times New Roman" w:cs="Times New Roman"/>
        </w:rPr>
        <w:t>1</w:t>
      </w:r>
      <w:r w:rsidR="00CD2630" w:rsidRPr="00FE771B">
        <w:rPr>
          <w:rFonts w:ascii="Times New Roman" w:hAnsi="Times New Roman" w:cs="Times New Roman"/>
        </w:rPr>
        <w:t>，若无则设定为</w:t>
      </w:r>
      <w:r w:rsidR="00CD2630" w:rsidRPr="00FE771B">
        <w:rPr>
          <w:rFonts w:ascii="Times New Roman" w:hAnsi="Times New Roman" w:cs="Times New Roman"/>
        </w:rPr>
        <w:t>0</w:t>
      </w:r>
      <w:r w:rsidR="00CD2630" w:rsidRPr="00FE771B">
        <w:rPr>
          <w:rFonts w:ascii="Times New Roman" w:hAnsi="Times New Roman" w:cs="Times New Roman"/>
        </w:rPr>
        <w:t>，这样能一定程度上防止被解释变量波动较大对回归造成偏误。</w:t>
      </w:r>
      <w:r w:rsidR="005376F9" w:rsidRPr="00FE771B">
        <w:rPr>
          <w:rFonts w:ascii="Times New Roman" w:hAnsi="Times New Roman" w:cs="Times New Roman"/>
        </w:rPr>
        <w:t>从表</w:t>
      </w:r>
      <w:r w:rsidR="00582007" w:rsidRPr="00FE771B">
        <w:rPr>
          <w:rFonts w:ascii="Times New Roman" w:hAnsi="Times New Roman" w:cs="Times New Roman"/>
        </w:rPr>
        <w:t>4</w:t>
      </w:r>
      <w:r w:rsidR="00582007" w:rsidRPr="00FE771B">
        <w:rPr>
          <w:rFonts w:ascii="Times New Roman" w:hAnsi="Times New Roman" w:cs="Times New Roman"/>
        </w:rPr>
        <w:t>回归结果看，业绩承诺仍然能够显著增加上市公司金融化投资倾向，与基准回归结果保持一致，说明即使更换被解释变量本文研究结论依然保持不变</w:t>
      </w:r>
      <w:r w:rsidR="009012A9" w:rsidRPr="00FE771B">
        <w:rPr>
          <w:rFonts w:ascii="Times New Roman" w:hAnsi="Times New Roman" w:cs="Times New Roman"/>
        </w:rPr>
        <w:t>。</w:t>
      </w:r>
    </w:p>
    <w:p w:rsidR="00CD2630" w:rsidRPr="00FE771B" w:rsidRDefault="00582007" w:rsidP="00582007">
      <w:pPr>
        <w:jc w:val="center"/>
        <w:rPr>
          <w:rFonts w:ascii="Times New Roman" w:eastAsia="楷体" w:hAnsi="Times New Roman" w:cs="Times New Roman"/>
          <w:bCs/>
          <w:szCs w:val="21"/>
        </w:rPr>
      </w:pPr>
      <w:r w:rsidRPr="00FE771B">
        <w:rPr>
          <w:rFonts w:ascii="Times New Roman" w:eastAsia="楷体" w:hAnsi="Times New Roman" w:cs="Times New Roman"/>
          <w:bCs/>
          <w:szCs w:val="21"/>
        </w:rPr>
        <w:t>表</w:t>
      </w:r>
      <w:r w:rsidRPr="00FE771B">
        <w:rPr>
          <w:rFonts w:ascii="Times New Roman" w:eastAsia="楷体" w:hAnsi="Times New Roman" w:cs="Times New Roman"/>
          <w:bCs/>
          <w:szCs w:val="21"/>
        </w:rPr>
        <w:t xml:space="preserve">4 </w:t>
      </w:r>
      <w:r w:rsidR="007E6BB1" w:rsidRPr="00FE771B">
        <w:rPr>
          <w:rFonts w:ascii="Times New Roman" w:eastAsia="楷体" w:hAnsi="Times New Roman" w:cs="Times New Roman"/>
          <w:bCs/>
          <w:szCs w:val="21"/>
        </w:rPr>
        <w:t xml:space="preserve"> </w:t>
      </w:r>
      <w:r w:rsidRPr="00FE771B">
        <w:rPr>
          <w:rFonts w:ascii="Times New Roman" w:eastAsia="楷体" w:hAnsi="Times New Roman" w:cs="Times New Roman"/>
          <w:bCs/>
          <w:szCs w:val="21"/>
        </w:rPr>
        <w:t>替换被解释变量回归结果</w:t>
      </w:r>
    </w:p>
    <w:tbl>
      <w:tblPr>
        <w:tblW w:w="5000" w:type="pct"/>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1453"/>
        <w:gridCol w:w="1768"/>
        <w:gridCol w:w="1767"/>
        <w:gridCol w:w="1767"/>
        <w:gridCol w:w="1767"/>
      </w:tblGrid>
      <w:tr w:rsidR="001569B2" w:rsidRPr="00FE771B" w:rsidTr="00FA3E55">
        <w:trPr>
          <w:trHeight w:val="634"/>
        </w:trPr>
        <w:tc>
          <w:tcPr>
            <w:tcW w:w="852" w:type="pct"/>
            <w:tcBorders>
              <w:bottom w:val="single" w:sz="4" w:space="0" w:color="auto"/>
            </w:tcBorders>
          </w:tcPr>
          <w:p w:rsidR="00CD2630" w:rsidRPr="00FE771B" w:rsidRDefault="00CD2630" w:rsidP="005376F9">
            <w:pPr>
              <w:autoSpaceDE w:val="0"/>
              <w:autoSpaceDN w:val="0"/>
              <w:adjustRightInd w:val="0"/>
              <w:jc w:val="left"/>
              <w:rPr>
                <w:rFonts w:ascii="Times New Roman" w:hAnsi="Times New Roman" w:cs="Times New Roman"/>
                <w:color w:val="000000" w:themeColor="text1"/>
                <w:kern w:val="0"/>
                <w:sz w:val="18"/>
                <w:szCs w:val="18"/>
              </w:rPr>
            </w:pPr>
          </w:p>
        </w:tc>
        <w:tc>
          <w:tcPr>
            <w:tcW w:w="1037" w:type="pct"/>
            <w:tcBorders>
              <w:bottom w:val="single" w:sz="4" w:space="0" w:color="auto"/>
            </w:tcBorders>
          </w:tcPr>
          <w:p w:rsidR="00FA3E55" w:rsidRPr="00FE771B" w:rsidRDefault="00CD2630" w:rsidP="005376F9">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(1)</w:t>
            </w:r>
          </w:p>
          <w:p w:rsidR="00CD2630" w:rsidRPr="00FE771B" w:rsidRDefault="00FA3E55" w:rsidP="005376F9">
            <w:pPr>
              <w:autoSpaceDE w:val="0"/>
              <w:autoSpaceDN w:val="0"/>
              <w:adjustRightInd w:val="0"/>
              <w:jc w:val="center"/>
              <w:rPr>
                <w:rFonts w:ascii="Times New Roman" w:hAnsi="Times New Roman" w:cs="Times New Roman"/>
                <w:color w:val="000000" w:themeColor="text1"/>
                <w:kern w:val="0"/>
                <w:sz w:val="18"/>
                <w:szCs w:val="18"/>
              </w:rPr>
            </w:pPr>
            <w:proofErr w:type="spellStart"/>
            <w:r w:rsidRPr="00FE771B">
              <w:rPr>
                <w:rFonts w:ascii="Times New Roman" w:hAnsi="Times New Roman" w:cs="Times New Roman"/>
                <w:i/>
                <w:color w:val="000000" w:themeColor="text1"/>
                <w:kern w:val="0"/>
                <w:sz w:val="18"/>
                <w:szCs w:val="18"/>
              </w:rPr>
              <w:t>FinDummy</w:t>
            </w:r>
            <w:proofErr w:type="spellEnd"/>
          </w:p>
        </w:tc>
        <w:tc>
          <w:tcPr>
            <w:tcW w:w="1037" w:type="pct"/>
            <w:tcBorders>
              <w:bottom w:val="single" w:sz="4" w:space="0" w:color="auto"/>
            </w:tcBorders>
          </w:tcPr>
          <w:p w:rsidR="00FA3E55" w:rsidRPr="00FE771B" w:rsidRDefault="00CD2630" w:rsidP="005376F9">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(2)</w:t>
            </w:r>
          </w:p>
          <w:p w:rsidR="00CD2630" w:rsidRPr="00FE771B" w:rsidRDefault="00FA3E55" w:rsidP="005376F9">
            <w:pPr>
              <w:autoSpaceDE w:val="0"/>
              <w:autoSpaceDN w:val="0"/>
              <w:adjustRightInd w:val="0"/>
              <w:jc w:val="center"/>
              <w:rPr>
                <w:rFonts w:ascii="Times New Roman" w:hAnsi="Times New Roman" w:cs="Times New Roman"/>
                <w:color w:val="000000" w:themeColor="text1"/>
                <w:kern w:val="0"/>
                <w:sz w:val="18"/>
                <w:szCs w:val="18"/>
              </w:rPr>
            </w:pPr>
            <w:proofErr w:type="spellStart"/>
            <w:r w:rsidRPr="00FE771B">
              <w:rPr>
                <w:rFonts w:ascii="Times New Roman" w:hAnsi="Times New Roman" w:cs="Times New Roman"/>
                <w:i/>
                <w:color w:val="000000" w:themeColor="text1"/>
                <w:kern w:val="0"/>
                <w:sz w:val="18"/>
                <w:szCs w:val="18"/>
              </w:rPr>
              <w:t>FinDummy</w:t>
            </w:r>
            <w:proofErr w:type="spellEnd"/>
          </w:p>
        </w:tc>
        <w:tc>
          <w:tcPr>
            <w:tcW w:w="1037" w:type="pct"/>
            <w:tcBorders>
              <w:bottom w:val="single" w:sz="4" w:space="0" w:color="auto"/>
            </w:tcBorders>
          </w:tcPr>
          <w:p w:rsidR="00FA3E55" w:rsidRPr="00FE771B" w:rsidRDefault="00CD2630" w:rsidP="005376F9">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(3)</w:t>
            </w:r>
          </w:p>
          <w:p w:rsidR="00CD2630" w:rsidRPr="00FE771B" w:rsidRDefault="00FA3E55" w:rsidP="005376F9">
            <w:pPr>
              <w:autoSpaceDE w:val="0"/>
              <w:autoSpaceDN w:val="0"/>
              <w:adjustRightInd w:val="0"/>
              <w:jc w:val="center"/>
              <w:rPr>
                <w:rFonts w:ascii="Times New Roman" w:hAnsi="Times New Roman" w:cs="Times New Roman"/>
                <w:color w:val="000000" w:themeColor="text1"/>
                <w:kern w:val="0"/>
                <w:sz w:val="18"/>
                <w:szCs w:val="18"/>
              </w:rPr>
            </w:pPr>
            <w:proofErr w:type="spellStart"/>
            <w:r w:rsidRPr="00FE771B">
              <w:rPr>
                <w:rFonts w:ascii="Times New Roman" w:hAnsi="Times New Roman" w:cs="Times New Roman"/>
                <w:i/>
                <w:color w:val="000000" w:themeColor="text1"/>
                <w:kern w:val="0"/>
                <w:sz w:val="18"/>
                <w:szCs w:val="18"/>
              </w:rPr>
              <w:t>FinDummy</w:t>
            </w:r>
            <w:proofErr w:type="spellEnd"/>
          </w:p>
        </w:tc>
        <w:tc>
          <w:tcPr>
            <w:tcW w:w="1037" w:type="pct"/>
            <w:tcBorders>
              <w:bottom w:val="single" w:sz="4" w:space="0" w:color="auto"/>
            </w:tcBorders>
          </w:tcPr>
          <w:p w:rsidR="00FA3E55" w:rsidRPr="00FE771B" w:rsidRDefault="00CD2630" w:rsidP="005376F9">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(4)</w:t>
            </w:r>
          </w:p>
          <w:p w:rsidR="00CD2630" w:rsidRPr="00FE771B" w:rsidRDefault="00FA3E55" w:rsidP="005376F9">
            <w:pPr>
              <w:autoSpaceDE w:val="0"/>
              <w:autoSpaceDN w:val="0"/>
              <w:adjustRightInd w:val="0"/>
              <w:jc w:val="center"/>
              <w:rPr>
                <w:rFonts w:ascii="Times New Roman" w:hAnsi="Times New Roman" w:cs="Times New Roman"/>
                <w:color w:val="000000" w:themeColor="text1"/>
                <w:kern w:val="0"/>
                <w:sz w:val="18"/>
                <w:szCs w:val="18"/>
              </w:rPr>
            </w:pPr>
            <w:proofErr w:type="spellStart"/>
            <w:r w:rsidRPr="00FE771B">
              <w:rPr>
                <w:rFonts w:ascii="Times New Roman" w:hAnsi="Times New Roman" w:cs="Times New Roman"/>
                <w:i/>
                <w:color w:val="000000" w:themeColor="text1"/>
                <w:kern w:val="0"/>
                <w:sz w:val="18"/>
                <w:szCs w:val="18"/>
              </w:rPr>
              <w:t>FinDummy</w:t>
            </w:r>
            <w:proofErr w:type="spellEnd"/>
          </w:p>
        </w:tc>
      </w:tr>
      <w:tr w:rsidR="001569B2" w:rsidRPr="00FE771B" w:rsidTr="00FA3E55">
        <w:trPr>
          <w:trHeight w:val="634"/>
        </w:trPr>
        <w:tc>
          <w:tcPr>
            <w:tcW w:w="852" w:type="pct"/>
            <w:tcBorders>
              <w:bottom w:val="single" w:sz="4" w:space="0" w:color="auto"/>
            </w:tcBorders>
          </w:tcPr>
          <w:p w:rsidR="007B06C8" w:rsidRPr="00FE771B" w:rsidRDefault="007B06C8" w:rsidP="005376F9">
            <w:pPr>
              <w:autoSpaceDE w:val="0"/>
              <w:autoSpaceDN w:val="0"/>
              <w:adjustRightInd w:val="0"/>
              <w:jc w:val="left"/>
              <w:rPr>
                <w:rFonts w:ascii="Times New Roman" w:hAnsi="Times New Roman" w:cs="Times New Roman"/>
                <w:i/>
                <w:color w:val="000000" w:themeColor="text1"/>
                <w:kern w:val="0"/>
                <w:sz w:val="18"/>
                <w:szCs w:val="18"/>
              </w:rPr>
            </w:pPr>
            <w:proofErr w:type="spellStart"/>
            <w:r w:rsidRPr="00FE771B">
              <w:rPr>
                <w:rFonts w:ascii="Times New Roman" w:hAnsi="Times New Roman" w:cs="Times New Roman"/>
                <w:i/>
                <w:color w:val="000000" w:themeColor="text1"/>
                <w:kern w:val="0"/>
                <w:sz w:val="18"/>
                <w:szCs w:val="18"/>
              </w:rPr>
              <w:t>Vam_logit</w:t>
            </w:r>
            <w:proofErr w:type="spellEnd"/>
            <w:r w:rsidRPr="00FE771B">
              <w:rPr>
                <w:rFonts w:ascii="Times New Roman" w:hAnsi="Times New Roman" w:cs="Times New Roman"/>
                <w:i/>
                <w:color w:val="000000" w:themeColor="text1"/>
                <w:kern w:val="0"/>
                <w:sz w:val="18"/>
                <w:szCs w:val="18"/>
              </w:rPr>
              <w:t xml:space="preserve"> </w:t>
            </w:r>
          </w:p>
        </w:tc>
        <w:tc>
          <w:tcPr>
            <w:tcW w:w="1037" w:type="pct"/>
            <w:tcBorders>
              <w:bottom w:val="single" w:sz="4" w:space="0" w:color="auto"/>
            </w:tcBorders>
          </w:tcPr>
          <w:p w:rsidR="00FA3E55" w:rsidRPr="00FE771B" w:rsidRDefault="007B06C8"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0.3362</w:t>
            </w:r>
          </w:p>
          <w:p w:rsidR="007B06C8" w:rsidRPr="00FE771B" w:rsidRDefault="00FA3E55"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(3.501)</w:t>
            </w:r>
            <w:r w:rsidRPr="00FE771B">
              <w:rPr>
                <w:rFonts w:ascii="Times New Roman" w:hAnsi="Times New Roman" w:cs="Times New Roman"/>
                <w:color w:val="000000" w:themeColor="text1"/>
                <w:kern w:val="0"/>
                <w:sz w:val="18"/>
                <w:szCs w:val="18"/>
                <w:vertAlign w:val="superscript"/>
              </w:rPr>
              <w:t>***</w:t>
            </w:r>
          </w:p>
        </w:tc>
        <w:tc>
          <w:tcPr>
            <w:tcW w:w="1037" w:type="pct"/>
            <w:tcBorders>
              <w:bottom w:val="single" w:sz="4" w:space="0" w:color="auto"/>
            </w:tcBorders>
          </w:tcPr>
          <w:p w:rsidR="00FA3E55" w:rsidRPr="00FE771B" w:rsidRDefault="007B06C8"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0.1075</w:t>
            </w:r>
          </w:p>
          <w:p w:rsidR="007B06C8" w:rsidRPr="00FE771B" w:rsidRDefault="00FA3E55"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(1.003)</w:t>
            </w:r>
          </w:p>
        </w:tc>
        <w:tc>
          <w:tcPr>
            <w:tcW w:w="1037" w:type="pct"/>
            <w:tcBorders>
              <w:bottom w:val="single" w:sz="4" w:space="0" w:color="auto"/>
            </w:tcBorders>
          </w:tcPr>
          <w:p w:rsidR="007B06C8" w:rsidRPr="00FE771B" w:rsidRDefault="007B06C8" w:rsidP="005376F9">
            <w:pPr>
              <w:autoSpaceDE w:val="0"/>
              <w:autoSpaceDN w:val="0"/>
              <w:adjustRightInd w:val="0"/>
              <w:jc w:val="center"/>
              <w:rPr>
                <w:rFonts w:ascii="Times New Roman" w:hAnsi="Times New Roman" w:cs="Times New Roman"/>
                <w:color w:val="000000" w:themeColor="text1"/>
                <w:kern w:val="0"/>
                <w:sz w:val="18"/>
                <w:szCs w:val="18"/>
              </w:rPr>
            </w:pPr>
          </w:p>
        </w:tc>
        <w:tc>
          <w:tcPr>
            <w:tcW w:w="1037" w:type="pct"/>
            <w:tcBorders>
              <w:bottom w:val="single" w:sz="4" w:space="0" w:color="auto"/>
            </w:tcBorders>
          </w:tcPr>
          <w:p w:rsidR="007B06C8" w:rsidRPr="00FE771B" w:rsidRDefault="007B06C8" w:rsidP="005376F9">
            <w:pPr>
              <w:autoSpaceDE w:val="0"/>
              <w:autoSpaceDN w:val="0"/>
              <w:adjustRightInd w:val="0"/>
              <w:jc w:val="center"/>
              <w:rPr>
                <w:rFonts w:ascii="Times New Roman" w:hAnsi="Times New Roman" w:cs="Times New Roman"/>
                <w:color w:val="000000" w:themeColor="text1"/>
                <w:kern w:val="0"/>
                <w:sz w:val="18"/>
                <w:szCs w:val="18"/>
              </w:rPr>
            </w:pPr>
          </w:p>
        </w:tc>
      </w:tr>
      <w:tr w:rsidR="001569B2" w:rsidRPr="00FE771B" w:rsidTr="00FA3E55">
        <w:trPr>
          <w:trHeight w:val="634"/>
        </w:trPr>
        <w:tc>
          <w:tcPr>
            <w:tcW w:w="852" w:type="pct"/>
            <w:tcBorders>
              <w:bottom w:val="single" w:sz="4" w:space="0" w:color="auto"/>
            </w:tcBorders>
          </w:tcPr>
          <w:p w:rsidR="007B06C8" w:rsidRPr="00FE771B" w:rsidRDefault="007B06C8" w:rsidP="005376F9">
            <w:pPr>
              <w:autoSpaceDE w:val="0"/>
              <w:autoSpaceDN w:val="0"/>
              <w:adjustRightInd w:val="0"/>
              <w:jc w:val="left"/>
              <w:rPr>
                <w:rFonts w:ascii="Times New Roman" w:hAnsi="Times New Roman" w:cs="Times New Roman"/>
                <w:i/>
                <w:color w:val="000000" w:themeColor="text1"/>
                <w:kern w:val="0"/>
                <w:sz w:val="18"/>
                <w:szCs w:val="18"/>
              </w:rPr>
            </w:pPr>
            <w:proofErr w:type="spellStart"/>
            <w:r w:rsidRPr="00FE771B">
              <w:rPr>
                <w:rFonts w:ascii="Times New Roman" w:hAnsi="Times New Roman" w:cs="Times New Roman"/>
                <w:i/>
                <w:color w:val="000000" w:themeColor="text1"/>
                <w:kern w:val="0"/>
                <w:sz w:val="18"/>
                <w:szCs w:val="18"/>
              </w:rPr>
              <w:t>Vam_numbers</w:t>
            </w:r>
            <w:proofErr w:type="spellEnd"/>
          </w:p>
        </w:tc>
        <w:tc>
          <w:tcPr>
            <w:tcW w:w="1037" w:type="pct"/>
            <w:tcBorders>
              <w:bottom w:val="single" w:sz="4" w:space="0" w:color="auto"/>
            </w:tcBorders>
          </w:tcPr>
          <w:p w:rsidR="007B06C8" w:rsidRPr="00FE771B" w:rsidRDefault="007B06C8" w:rsidP="005376F9">
            <w:pPr>
              <w:autoSpaceDE w:val="0"/>
              <w:autoSpaceDN w:val="0"/>
              <w:adjustRightInd w:val="0"/>
              <w:jc w:val="center"/>
              <w:rPr>
                <w:rFonts w:ascii="Times New Roman" w:hAnsi="Times New Roman" w:cs="Times New Roman"/>
                <w:color w:val="000000" w:themeColor="text1"/>
                <w:kern w:val="0"/>
                <w:sz w:val="18"/>
                <w:szCs w:val="18"/>
              </w:rPr>
            </w:pPr>
          </w:p>
        </w:tc>
        <w:tc>
          <w:tcPr>
            <w:tcW w:w="1037" w:type="pct"/>
            <w:tcBorders>
              <w:bottom w:val="single" w:sz="4" w:space="0" w:color="auto"/>
            </w:tcBorders>
          </w:tcPr>
          <w:p w:rsidR="007B06C8" w:rsidRPr="00FE771B" w:rsidRDefault="007B06C8" w:rsidP="005376F9">
            <w:pPr>
              <w:autoSpaceDE w:val="0"/>
              <w:autoSpaceDN w:val="0"/>
              <w:adjustRightInd w:val="0"/>
              <w:jc w:val="center"/>
              <w:rPr>
                <w:rFonts w:ascii="Times New Roman" w:hAnsi="Times New Roman" w:cs="Times New Roman"/>
                <w:color w:val="000000" w:themeColor="text1"/>
                <w:kern w:val="0"/>
                <w:sz w:val="18"/>
                <w:szCs w:val="18"/>
              </w:rPr>
            </w:pPr>
          </w:p>
        </w:tc>
        <w:tc>
          <w:tcPr>
            <w:tcW w:w="1037" w:type="pct"/>
            <w:tcBorders>
              <w:bottom w:val="single" w:sz="4" w:space="0" w:color="auto"/>
            </w:tcBorders>
          </w:tcPr>
          <w:p w:rsidR="00FA3E55" w:rsidRPr="00FE771B" w:rsidRDefault="007B06C8"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1.7821</w:t>
            </w:r>
          </w:p>
          <w:p w:rsidR="007B06C8" w:rsidRPr="00FE771B" w:rsidRDefault="00FA3E55"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(32.303)</w:t>
            </w:r>
            <w:r w:rsidRPr="00FE771B">
              <w:rPr>
                <w:rFonts w:ascii="Times New Roman" w:hAnsi="Times New Roman" w:cs="Times New Roman"/>
                <w:color w:val="000000" w:themeColor="text1"/>
                <w:kern w:val="0"/>
                <w:sz w:val="18"/>
                <w:szCs w:val="18"/>
                <w:vertAlign w:val="superscript"/>
              </w:rPr>
              <w:t>***</w:t>
            </w:r>
          </w:p>
        </w:tc>
        <w:tc>
          <w:tcPr>
            <w:tcW w:w="1037" w:type="pct"/>
            <w:tcBorders>
              <w:bottom w:val="single" w:sz="4" w:space="0" w:color="auto"/>
            </w:tcBorders>
          </w:tcPr>
          <w:p w:rsidR="00FA3E55" w:rsidRPr="00FE771B" w:rsidRDefault="007B06C8"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0.2264</w:t>
            </w:r>
          </w:p>
          <w:p w:rsidR="007B06C8" w:rsidRPr="00FE771B" w:rsidRDefault="00FA3E55"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(3.090)</w:t>
            </w:r>
            <w:r w:rsidRPr="00FE771B">
              <w:rPr>
                <w:rFonts w:ascii="Times New Roman" w:hAnsi="Times New Roman" w:cs="Times New Roman"/>
                <w:color w:val="000000" w:themeColor="text1"/>
                <w:kern w:val="0"/>
                <w:sz w:val="18"/>
                <w:szCs w:val="18"/>
                <w:vertAlign w:val="superscript"/>
              </w:rPr>
              <w:t>***</w:t>
            </w:r>
          </w:p>
        </w:tc>
      </w:tr>
      <w:tr w:rsidR="001569B2" w:rsidRPr="00FE771B" w:rsidTr="00FA3E55">
        <w:tc>
          <w:tcPr>
            <w:tcW w:w="852" w:type="pct"/>
          </w:tcPr>
          <w:p w:rsidR="007B06C8" w:rsidRPr="00FE771B" w:rsidRDefault="00151D60" w:rsidP="005376F9">
            <w:pPr>
              <w:autoSpaceDE w:val="0"/>
              <w:autoSpaceDN w:val="0"/>
              <w:adjustRightInd w:val="0"/>
              <w:jc w:val="left"/>
              <w:rPr>
                <w:rFonts w:ascii="Times New Roman" w:hAnsi="Times New Roman" w:cs="Times New Roman"/>
                <w:i/>
                <w:color w:val="000000" w:themeColor="text1"/>
                <w:kern w:val="0"/>
                <w:sz w:val="18"/>
                <w:szCs w:val="18"/>
              </w:rPr>
            </w:pPr>
            <w:r w:rsidRPr="00FE771B">
              <w:rPr>
                <w:rFonts w:ascii="Times New Roman" w:hAnsi="Times New Roman" w:cs="Times New Roman"/>
                <w:i/>
                <w:color w:val="000000" w:themeColor="text1"/>
                <w:kern w:val="0"/>
                <w:sz w:val="18"/>
                <w:szCs w:val="18"/>
              </w:rPr>
              <w:t>Controls</w:t>
            </w:r>
          </w:p>
        </w:tc>
        <w:tc>
          <w:tcPr>
            <w:tcW w:w="1037" w:type="pct"/>
          </w:tcPr>
          <w:p w:rsidR="007B06C8" w:rsidRPr="00FE771B" w:rsidRDefault="00151D60"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未控制</w:t>
            </w:r>
          </w:p>
        </w:tc>
        <w:tc>
          <w:tcPr>
            <w:tcW w:w="1037" w:type="pct"/>
          </w:tcPr>
          <w:p w:rsidR="007B06C8" w:rsidRPr="00FE771B" w:rsidRDefault="00151D60"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控制</w:t>
            </w:r>
          </w:p>
        </w:tc>
        <w:tc>
          <w:tcPr>
            <w:tcW w:w="1037" w:type="pct"/>
          </w:tcPr>
          <w:p w:rsidR="007B06C8" w:rsidRPr="00FE771B" w:rsidRDefault="00151D60"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未控制</w:t>
            </w:r>
          </w:p>
        </w:tc>
        <w:tc>
          <w:tcPr>
            <w:tcW w:w="1037" w:type="pct"/>
          </w:tcPr>
          <w:p w:rsidR="007B06C8" w:rsidRPr="00FE771B" w:rsidRDefault="00151D60"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控制</w:t>
            </w:r>
          </w:p>
        </w:tc>
      </w:tr>
      <w:tr w:rsidR="001569B2" w:rsidRPr="00FE771B" w:rsidTr="00FA3E55">
        <w:tc>
          <w:tcPr>
            <w:tcW w:w="852" w:type="pct"/>
          </w:tcPr>
          <w:p w:rsidR="007B06C8" w:rsidRPr="00FE771B" w:rsidRDefault="007B06C8" w:rsidP="005376F9">
            <w:pPr>
              <w:autoSpaceDE w:val="0"/>
              <w:autoSpaceDN w:val="0"/>
              <w:adjustRightInd w:val="0"/>
              <w:jc w:val="left"/>
              <w:rPr>
                <w:rFonts w:ascii="Times New Roman" w:hAnsi="Times New Roman" w:cs="Times New Roman"/>
                <w:i/>
                <w:color w:val="000000" w:themeColor="text1"/>
                <w:kern w:val="0"/>
                <w:sz w:val="18"/>
                <w:szCs w:val="18"/>
              </w:rPr>
            </w:pPr>
            <w:r w:rsidRPr="00FE771B">
              <w:rPr>
                <w:rFonts w:ascii="Times New Roman" w:hAnsi="Times New Roman" w:cs="Times New Roman"/>
                <w:i/>
                <w:color w:val="000000" w:themeColor="text1"/>
                <w:kern w:val="0"/>
                <w:sz w:val="18"/>
                <w:szCs w:val="18"/>
              </w:rPr>
              <w:t>Year</w:t>
            </w:r>
          </w:p>
        </w:tc>
        <w:tc>
          <w:tcPr>
            <w:tcW w:w="1037" w:type="pct"/>
          </w:tcPr>
          <w:p w:rsidR="007B06C8" w:rsidRPr="00FE771B" w:rsidRDefault="007B06C8"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Yes</w:t>
            </w:r>
          </w:p>
        </w:tc>
        <w:tc>
          <w:tcPr>
            <w:tcW w:w="1037" w:type="pct"/>
          </w:tcPr>
          <w:p w:rsidR="007B06C8" w:rsidRPr="00FE771B" w:rsidRDefault="007B06C8"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Yes</w:t>
            </w:r>
          </w:p>
        </w:tc>
        <w:tc>
          <w:tcPr>
            <w:tcW w:w="1037" w:type="pct"/>
          </w:tcPr>
          <w:p w:rsidR="007B06C8" w:rsidRPr="00FE771B" w:rsidRDefault="007B06C8"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Yes</w:t>
            </w:r>
          </w:p>
        </w:tc>
        <w:tc>
          <w:tcPr>
            <w:tcW w:w="1037" w:type="pct"/>
          </w:tcPr>
          <w:p w:rsidR="007B06C8" w:rsidRPr="00FE771B" w:rsidRDefault="007B06C8"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Yes</w:t>
            </w:r>
          </w:p>
        </w:tc>
      </w:tr>
      <w:tr w:rsidR="001569B2" w:rsidRPr="00FE771B" w:rsidTr="00FA3E55">
        <w:tc>
          <w:tcPr>
            <w:tcW w:w="852" w:type="pct"/>
          </w:tcPr>
          <w:p w:rsidR="007B06C8" w:rsidRPr="00FE771B" w:rsidRDefault="007B06C8" w:rsidP="005376F9">
            <w:pPr>
              <w:autoSpaceDE w:val="0"/>
              <w:autoSpaceDN w:val="0"/>
              <w:adjustRightInd w:val="0"/>
              <w:jc w:val="left"/>
              <w:rPr>
                <w:rFonts w:ascii="Times New Roman" w:hAnsi="Times New Roman" w:cs="Times New Roman"/>
                <w:i/>
                <w:color w:val="000000" w:themeColor="text1"/>
                <w:kern w:val="0"/>
                <w:sz w:val="18"/>
                <w:szCs w:val="18"/>
              </w:rPr>
            </w:pPr>
            <w:r w:rsidRPr="00FE771B">
              <w:rPr>
                <w:rFonts w:ascii="Times New Roman" w:hAnsi="Times New Roman" w:cs="Times New Roman"/>
                <w:i/>
                <w:color w:val="000000" w:themeColor="text1"/>
                <w:kern w:val="0"/>
                <w:sz w:val="18"/>
                <w:szCs w:val="18"/>
              </w:rPr>
              <w:t>Industry</w:t>
            </w:r>
          </w:p>
        </w:tc>
        <w:tc>
          <w:tcPr>
            <w:tcW w:w="1037" w:type="pct"/>
          </w:tcPr>
          <w:p w:rsidR="007B06C8" w:rsidRPr="00FE771B" w:rsidRDefault="007B06C8"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Yes</w:t>
            </w:r>
          </w:p>
        </w:tc>
        <w:tc>
          <w:tcPr>
            <w:tcW w:w="1037" w:type="pct"/>
          </w:tcPr>
          <w:p w:rsidR="007B06C8" w:rsidRPr="00FE771B" w:rsidRDefault="007B06C8"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Yes</w:t>
            </w:r>
          </w:p>
        </w:tc>
        <w:tc>
          <w:tcPr>
            <w:tcW w:w="1037" w:type="pct"/>
          </w:tcPr>
          <w:p w:rsidR="007B06C8" w:rsidRPr="00FE771B" w:rsidRDefault="007B06C8"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Yes</w:t>
            </w:r>
          </w:p>
        </w:tc>
        <w:tc>
          <w:tcPr>
            <w:tcW w:w="1037" w:type="pct"/>
          </w:tcPr>
          <w:p w:rsidR="007B06C8" w:rsidRPr="00FE771B" w:rsidRDefault="007B06C8"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Yes</w:t>
            </w:r>
          </w:p>
        </w:tc>
      </w:tr>
      <w:tr w:rsidR="001569B2" w:rsidRPr="00FE771B" w:rsidTr="00FA3E55">
        <w:tc>
          <w:tcPr>
            <w:tcW w:w="852" w:type="pct"/>
          </w:tcPr>
          <w:p w:rsidR="007B06C8" w:rsidRPr="00FE771B" w:rsidRDefault="007B06C8" w:rsidP="005376F9">
            <w:pPr>
              <w:autoSpaceDE w:val="0"/>
              <w:autoSpaceDN w:val="0"/>
              <w:adjustRightInd w:val="0"/>
              <w:jc w:val="left"/>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N</w:t>
            </w:r>
          </w:p>
        </w:tc>
        <w:tc>
          <w:tcPr>
            <w:tcW w:w="1037" w:type="pct"/>
          </w:tcPr>
          <w:p w:rsidR="007B06C8" w:rsidRPr="00FE771B" w:rsidRDefault="007B06C8"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9279</w:t>
            </w:r>
          </w:p>
        </w:tc>
        <w:tc>
          <w:tcPr>
            <w:tcW w:w="1037" w:type="pct"/>
          </w:tcPr>
          <w:p w:rsidR="007B06C8" w:rsidRPr="00FE771B" w:rsidRDefault="007B06C8"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6676</w:t>
            </w:r>
          </w:p>
        </w:tc>
        <w:tc>
          <w:tcPr>
            <w:tcW w:w="1037" w:type="pct"/>
          </w:tcPr>
          <w:p w:rsidR="007B06C8" w:rsidRPr="00FE771B" w:rsidRDefault="007B06C8"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9279</w:t>
            </w:r>
          </w:p>
        </w:tc>
        <w:tc>
          <w:tcPr>
            <w:tcW w:w="1037" w:type="pct"/>
          </w:tcPr>
          <w:p w:rsidR="007B06C8" w:rsidRPr="00FE771B" w:rsidRDefault="007B06C8"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6676</w:t>
            </w:r>
          </w:p>
        </w:tc>
      </w:tr>
      <w:tr w:rsidR="001569B2" w:rsidRPr="00FE771B" w:rsidTr="00FA3E55">
        <w:tc>
          <w:tcPr>
            <w:tcW w:w="852" w:type="pct"/>
          </w:tcPr>
          <w:p w:rsidR="007B06C8" w:rsidRPr="00FE771B" w:rsidRDefault="001D2964" w:rsidP="005376F9">
            <w:pPr>
              <w:autoSpaceDE w:val="0"/>
              <w:autoSpaceDN w:val="0"/>
              <w:adjustRightInd w:val="0"/>
              <w:jc w:val="left"/>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Pseudo-</w:t>
            </w:r>
            <w:r w:rsidR="007B06C8" w:rsidRPr="00FE771B">
              <w:rPr>
                <w:rFonts w:ascii="Times New Roman" w:hAnsi="Times New Roman" w:cs="Times New Roman"/>
                <w:color w:val="000000" w:themeColor="text1"/>
                <w:kern w:val="0"/>
                <w:sz w:val="18"/>
                <w:szCs w:val="18"/>
              </w:rPr>
              <w:t>R</w:t>
            </w:r>
            <w:r w:rsidR="007B06C8" w:rsidRPr="00FE771B">
              <w:rPr>
                <w:rFonts w:ascii="Times New Roman" w:hAnsi="Times New Roman" w:cs="Times New Roman"/>
                <w:color w:val="000000" w:themeColor="text1"/>
                <w:kern w:val="0"/>
                <w:sz w:val="18"/>
                <w:szCs w:val="18"/>
                <w:vertAlign w:val="superscript"/>
              </w:rPr>
              <w:t>2</w:t>
            </w:r>
          </w:p>
        </w:tc>
        <w:tc>
          <w:tcPr>
            <w:tcW w:w="1037" w:type="pct"/>
          </w:tcPr>
          <w:p w:rsidR="007B06C8" w:rsidRPr="00FE771B" w:rsidRDefault="007B06C8"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0.5351</w:t>
            </w:r>
          </w:p>
        </w:tc>
        <w:tc>
          <w:tcPr>
            <w:tcW w:w="1037" w:type="pct"/>
          </w:tcPr>
          <w:p w:rsidR="007B06C8" w:rsidRPr="00FE771B" w:rsidRDefault="007B06C8"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0.5165</w:t>
            </w:r>
          </w:p>
        </w:tc>
        <w:tc>
          <w:tcPr>
            <w:tcW w:w="1037" w:type="pct"/>
          </w:tcPr>
          <w:p w:rsidR="007B06C8" w:rsidRPr="00FE771B" w:rsidRDefault="007B06C8"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0.2104</w:t>
            </w:r>
          </w:p>
        </w:tc>
        <w:tc>
          <w:tcPr>
            <w:tcW w:w="1037" w:type="pct"/>
          </w:tcPr>
          <w:p w:rsidR="007B06C8" w:rsidRPr="00FE771B" w:rsidRDefault="007B06C8"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0.5180</w:t>
            </w:r>
          </w:p>
        </w:tc>
      </w:tr>
    </w:tbl>
    <w:p w:rsidR="00CD2630" w:rsidRPr="00FE771B" w:rsidRDefault="00E14128" w:rsidP="00CD2630">
      <w:pPr>
        <w:ind w:firstLineChars="200" w:firstLine="420"/>
        <w:rPr>
          <w:rFonts w:ascii="Times New Roman" w:hAnsi="Times New Roman" w:cs="Times New Roman"/>
        </w:rPr>
      </w:pPr>
      <w:r w:rsidRPr="00316147">
        <w:rPr>
          <w:rFonts w:ascii="楷体" w:eastAsia="楷体" w:hAnsi="楷体" w:cs="Times New Roman"/>
        </w:rPr>
        <w:t>2.</w:t>
      </w:r>
      <w:r w:rsidR="00CD2630" w:rsidRPr="00316147">
        <w:rPr>
          <w:rFonts w:ascii="楷体" w:eastAsia="楷体" w:hAnsi="楷体" w:cs="Times New Roman"/>
        </w:rPr>
        <w:t>不同样本区间。</w:t>
      </w:r>
      <w:r w:rsidR="00806F18" w:rsidRPr="00FE771B">
        <w:rPr>
          <w:rFonts w:ascii="Times New Roman" w:hAnsi="Times New Roman" w:cs="Times New Roman"/>
        </w:rPr>
        <w:t>中国证监会于</w:t>
      </w:r>
      <w:r w:rsidR="00806F18" w:rsidRPr="00FE771B">
        <w:rPr>
          <w:rFonts w:ascii="Times New Roman" w:hAnsi="Times New Roman" w:cs="Times New Roman"/>
        </w:rPr>
        <w:t xml:space="preserve">2008 </w:t>
      </w:r>
      <w:r w:rsidR="00806F18" w:rsidRPr="00FE771B">
        <w:rPr>
          <w:rFonts w:ascii="Times New Roman" w:hAnsi="Times New Roman" w:cs="Times New Roman"/>
        </w:rPr>
        <w:t>年发布《上市公司重大资产重组管理办法》首次提出</w:t>
      </w:r>
      <w:r w:rsidR="0002165B" w:rsidRPr="00FE771B">
        <w:rPr>
          <w:rFonts w:ascii="Times New Roman" w:hAnsi="Times New Roman" w:cs="Times New Roman"/>
        </w:rPr>
        <w:t>将</w:t>
      </w:r>
      <w:r w:rsidR="00806F18" w:rsidRPr="00FE771B">
        <w:rPr>
          <w:rFonts w:ascii="Times New Roman" w:hAnsi="Times New Roman" w:cs="Times New Roman"/>
        </w:rPr>
        <w:t>业绩承诺作为估值调整机制，</w:t>
      </w:r>
      <w:r w:rsidR="0002165B" w:rsidRPr="00FE771B">
        <w:rPr>
          <w:rFonts w:ascii="Times New Roman" w:hAnsi="Times New Roman" w:cs="Times New Roman"/>
        </w:rPr>
        <w:t>并规定上市公司</w:t>
      </w:r>
      <w:r w:rsidR="00806F18" w:rsidRPr="00FE771B">
        <w:rPr>
          <w:rFonts w:ascii="Times New Roman" w:hAnsi="Times New Roman" w:cs="Times New Roman"/>
        </w:rPr>
        <w:t>重大资产重组中采取未来收益</w:t>
      </w:r>
      <w:r w:rsidR="0002165B" w:rsidRPr="00FE771B">
        <w:rPr>
          <w:rFonts w:ascii="Times New Roman" w:hAnsi="Times New Roman" w:cs="Times New Roman"/>
        </w:rPr>
        <w:t>法</w:t>
      </w:r>
      <w:r w:rsidR="00806F18" w:rsidRPr="00FE771B">
        <w:rPr>
          <w:rFonts w:ascii="Times New Roman" w:hAnsi="Times New Roman" w:cs="Times New Roman"/>
        </w:rPr>
        <w:t>对拟购买资产进行评估并作为定价依据的，应该签订业绩承诺。</w:t>
      </w:r>
      <w:r w:rsidR="00806F18" w:rsidRPr="00FE771B">
        <w:rPr>
          <w:rFonts w:ascii="Times New Roman" w:hAnsi="Times New Roman" w:cs="Times New Roman"/>
        </w:rPr>
        <w:t xml:space="preserve">2014 </w:t>
      </w:r>
      <w:r w:rsidR="00806F18" w:rsidRPr="00FE771B">
        <w:rPr>
          <w:rFonts w:ascii="Times New Roman" w:hAnsi="Times New Roman" w:cs="Times New Roman"/>
        </w:rPr>
        <w:t>年修订的《上市公司重大资产重组管理办法》仅对重大资产重组中基于未来收益进行估值的关联并购以及导致控制权发生变更的非关联并购明确要求在并购中需要签订业绩承诺。</w:t>
      </w:r>
      <w:r w:rsidR="0002165B" w:rsidRPr="00FE771B">
        <w:rPr>
          <w:rFonts w:ascii="Times New Roman" w:hAnsi="Times New Roman" w:cs="Times New Roman"/>
        </w:rPr>
        <w:t>观察两者之间的区别主要体现在前者将签订业绩承诺协议作为未来收益法重大资产重组中的必选项，而后者对业绩承诺签订范围明显缩小，非关联并购可以采取自愿性质并根据并购</w:t>
      </w:r>
      <w:r w:rsidR="00E833D1" w:rsidRPr="00FE771B">
        <w:rPr>
          <w:rFonts w:ascii="Times New Roman" w:hAnsi="Times New Roman" w:cs="Times New Roman"/>
        </w:rPr>
        <w:t>情况</w:t>
      </w:r>
      <w:r w:rsidR="0002165B" w:rsidRPr="00FE771B">
        <w:rPr>
          <w:rFonts w:ascii="Times New Roman" w:hAnsi="Times New Roman" w:cs="Times New Roman"/>
        </w:rPr>
        <w:t>实际来签订业绩承诺协议。</w:t>
      </w:r>
      <w:r w:rsidR="00B319F7" w:rsidRPr="00FE771B">
        <w:rPr>
          <w:rFonts w:ascii="Times New Roman" w:hAnsi="Times New Roman" w:cs="Times New Roman"/>
        </w:rPr>
        <w:t>由于上述办法中监管机构对业绩承诺期限和具体承诺利润、补偿金额进行详细确定，因此现实中业绩承诺的期限和具体承诺利润、补偿金额常常由上市公司与并购标的博弈产生（徐莉萍等，</w:t>
      </w:r>
      <w:r w:rsidR="00B319F7" w:rsidRPr="00FE771B">
        <w:rPr>
          <w:rFonts w:ascii="Times New Roman" w:hAnsi="Times New Roman" w:cs="Times New Roman"/>
        </w:rPr>
        <w:t>2021</w:t>
      </w:r>
      <w:r w:rsidR="00B319F7" w:rsidRPr="00FE771B">
        <w:rPr>
          <w:rFonts w:ascii="Times New Roman" w:hAnsi="Times New Roman" w:cs="Times New Roman"/>
        </w:rPr>
        <w:t>）。</w:t>
      </w:r>
      <w:r w:rsidR="00E833D1" w:rsidRPr="00FE771B">
        <w:rPr>
          <w:rFonts w:ascii="Times New Roman" w:hAnsi="Times New Roman" w:cs="Times New Roman"/>
        </w:rPr>
        <w:t>因此，在业绩承诺协议成为</w:t>
      </w:r>
      <w:r w:rsidR="0043296F" w:rsidRPr="00FE771B">
        <w:rPr>
          <w:rFonts w:ascii="Times New Roman" w:hAnsi="Times New Roman" w:cs="Times New Roman"/>
        </w:rPr>
        <w:t>自愿情况下更能反映并购双方的真实意愿，同时没有</w:t>
      </w:r>
      <w:r w:rsidR="0043296F" w:rsidRPr="00FE771B">
        <w:rPr>
          <w:rFonts w:ascii="Times New Roman" w:hAnsi="Times New Roman" w:cs="Times New Roman"/>
        </w:rPr>
        <w:t>“</w:t>
      </w:r>
      <w:r w:rsidR="0043296F" w:rsidRPr="00FE771B">
        <w:rPr>
          <w:rFonts w:ascii="Times New Roman" w:hAnsi="Times New Roman" w:cs="Times New Roman"/>
        </w:rPr>
        <w:t>高业绩承诺</w:t>
      </w:r>
      <w:r w:rsidR="0043296F" w:rsidRPr="00FE771B">
        <w:rPr>
          <w:rFonts w:ascii="Times New Roman" w:hAnsi="Times New Roman" w:cs="Times New Roman"/>
        </w:rPr>
        <w:t>”</w:t>
      </w:r>
      <w:r w:rsidR="0043296F" w:rsidRPr="00FE771B">
        <w:rPr>
          <w:rFonts w:ascii="Times New Roman" w:hAnsi="Times New Roman" w:cs="Times New Roman"/>
        </w:rPr>
        <w:t>和</w:t>
      </w:r>
      <w:r w:rsidR="0043296F" w:rsidRPr="00FE771B">
        <w:rPr>
          <w:rFonts w:ascii="Times New Roman" w:hAnsi="Times New Roman" w:cs="Times New Roman"/>
        </w:rPr>
        <w:t>“</w:t>
      </w:r>
      <w:r w:rsidR="0043296F" w:rsidRPr="00FE771B">
        <w:rPr>
          <w:rFonts w:ascii="Times New Roman" w:hAnsi="Times New Roman" w:cs="Times New Roman"/>
        </w:rPr>
        <w:t>高溢价</w:t>
      </w:r>
      <w:r w:rsidR="0043296F" w:rsidRPr="00FE771B">
        <w:rPr>
          <w:rFonts w:ascii="Times New Roman" w:hAnsi="Times New Roman" w:cs="Times New Roman"/>
        </w:rPr>
        <w:t>”</w:t>
      </w:r>
      <w:r w:rsidR="0043296F" w:rsidRPr="00FE771B">
        <w:rPr>
          <w:rFonts w:ascii="Times New Roman" w:hAnsi="Times New Roman" w:cs="Times New Roman"/>
        </w:rPr>
        <w:t>的限制将会使并购双方</w:t>
      </w:r>
      <w:r w:rsidR="001322B9" w:rsidRPr="00FE771B">
        <w:rPr>
          <w:rFonts w:ascii="Times New Roman" w:hAnsi="Times New Roman" w:cs="Times New Roman"/>
        </w:rPr>
        <w:t>更加基于标的实际确定交易价格而非双方博弈，而在</w:t>
      </w:r>
      <w:r w:rsidR="001322B9" w:rsidRPr="00FE771B">
        <w:rPr>
          <w:rFonts w:ascii="Times New Roman" w:hAnsi="Times New Roman" w:cs="Times New Roman"/>
        </w:rPr>
        <w:t>2014</w:t>
      </w:r>
      <w:r w:rsidR="001322B9" w:rsidRPr="00FE771B">
        <w:rPr>
          <w:rFonts w:ascii="Times New Roman" w:hAnsi="Times New Roman" w:cs="Times New Roman"/>
        </w:rPr>
        <w:t>年前由于在重大资产重组中必须签订业绩承诺协议将可能加剧</w:t>
      </w:r>
      <w:r w:rsidR="001322B9" w:rsidRPr="00FE771B">
        <w:rPr>
          <w:rFonts w:ascii="Times New Roman" w:hAnsi="Times New Roman" w:cs="Times New Roman"/>
        </w:rPr>
        <w:t>“</w:t>
      </w:r>
      <w:r w:rsidR="001322B9" w:rsidRPr="00FE771B">
        <w:rPr>
          <w:rFonts w:ascii="Times New Roman" w:hAnsi="Times New Roman" w:cs="Times New Roman"/>
        </w:rPr>
        <w:t>高业绩承诺</w:t>
      </w:r>
      <w:r w:rsidR="001322B9" w:rsidRPr="00FE771B">
        <w:rPr>
          <w:rFonts w:ascii="Times New Roman" w:hAnsi="Times New Roman" w:cs="Times New Roman"/>
        </w:rPr>
        <w:t>”</w:t>
      </w:r>
      <w:r w:rsidR="001322B9" w:rsidRPr="00FE771B">
        <w:rPr>
          <w:rFonts w:ascii="Times New Roman" w:hAnsi="Times New Roman" w:cs="Times New Roman"/>
        </w:rPr>
        <w:t>、</w:t>
      </w:r>
      <w:r w:rsidR="001322B9" w:rsidRPr="00FE771B">
        <w:rPr>
          <w:rFonts w:ascii="Times New Roman" w:hAnsi="Times New Roman" w:cs="Times New Roman"/>
        </w:rPr>
        <w:t>“</w:t>
      </w:r>
      <w:r w:rsidR="001322B9" w:rsidRPr="00FE771B">
        <w:rPr>
          <w:rFonts w:ascii="Times New Roman" w:hAnsi="Times New Roman" w:cs="Times New Roman"/>
        </w:rPr>
        <w:t>高溢价</w:t>
      </w:r>
      <w:r w:rsidR="001322B9" w:rsidRPr="00FE771B">
        <w:rPr>
          <w:rFonts w:ascii="Times New Roman" w:hAnsi="Times New Roman" w:cs="Times New Roman"/>
        </w:rPr>
        <w:t>”</w:t>
      </w:r>
      <w:r w:rsidR="001322B9" w:rsidRPr="00FE771B">
        <w:rPr>
          <w:rFonts w:ascii="Times New Roman" w:hAnsi="Times New Roman" w:cs="Times New Roman"/>
        </w:rPr>
        <w:t>情况下大股东和管理层的投机行为，使业绩承诺作为估值调整的工具弱化。</w:t>
      </w:r>
      <w:r w:rsidR="008F5993" w:rsidRPr="00FE771B">
        <w:rPr>
          <w:rFonts w:ascii="Times New Roman" w:hAnsi="Times New Roman" w:cs="Times New Roman"/>
        </w:rPr>
        <w:t>为了考察</w:t>
      </w:r>
      <w:r w:rsidR="008F5993" w:rsidRPr="00FE771B">
        <w:rPr>
          <w:rFonts w:ascii="Times New Roman" w:hAnsi="Times New Roman" w:cs="Times New Roman"/>
        </w:rPr>
        <w:t>2014</w:t>
      </w:r>
      <w:r w:rsidR="008F5993" w:rsidRPr="00FE771B">
        <w:rPr>
          <w:rFonts w:ascii="Times New Roman" w:hAnsi="Times New Roman" w:cs="Times New Roman"/>
        </w:rPr>
        <w:t>年修订后《上市公司重大资产重组管理办法》</w:t>
      </w:r>
      <w:r w:rsidR="0022742F" w:rsidRPr="00FE771B">
        <w:rPr>
          <w:rFonts w:ascii="Times New Roman" w:hAnsi="Times New Roman" w:cs="Times New Roman"/>
        </w:rPr>
        <w:t>这一新的监管政策对并购市场</w:t>
      </w:r>
      <w:r w:rsidR="0022742F" w:rsidRPr="00FE771B">
        <w:rPr>
          <w:rFonts w:ascii="Times New Roman" w:hAnsi="Times New Roman" w:cs="Times New Roman"/>
        </w:rPr>
        <w:lastRenderedPageBreak/>
        <w:t>的差异化影响，我们将样本拆分为</w:t>
      </w:r>
      <w:r w:rsidR="0022742F" w:rsidRPr="00FE771B">
        <w:rPr>
          <w:rFonts w:ascii="Times New Roman" w:hAnsi="Times New Roman" w:cs="Times New Roman"/>
        </w:rPr>
        <w:t>201</w:t>
      </w:r>
      <w:r w:rsidR="004C737F" w:rsidRPr="00FE771B">
        <w:rPr>
          <w:rFonts w:ascii="Times New Roman" w:hAnsi="Times New Roman" w:cs="Times New Roman"/>
        </w:rPr>
        <w:t>0</w:t>
      </w:r>
      <w:r w:rsidR="0022742F" w:rsidRPr="00FE771B">
        <w:rPr>
          <w:rFonts w:ascii="Times New Roman" w:hAnsi="Times New Roman" w:cs="Times New Roman"/>
        </w:rPr>
        <w:t>年</w:t>
      </w:r>
      <w:r w:rsidR="0022742F" w:rsidRPr="00FE771B">
        <w:rPr>
          <w:rFonts w:ascii="Times New Roman" w:hAnsi="Times New Roman" w:cs="Times New Roman"/>
        </w:rPr>
        <w:t>-2014</w:t>
      </w:r>
      <w:r w:rsidR="0022742F" w:rsidRPr="00FE771B">
        <w:rPr>
          <w:rFonts w:ascii="Times New Roman" w:hAnsi="Times New Roman" w:cs="Times New Roman"/>
        </w:rPr>
        <w:t>年和</w:t>
      </w:r>
      <w:r w:rsidR="0022742F" w:rsidRPr="00FE771B">
        <w:rPr>
          <w:rFonts w:ascii="Times New Roman" w:hAnsi="Times New Roman" w:cs="Times New Roman"/>
        </w:rPr>
        <w:t>2015</w:t>
      </w:r>
      <w:r w:rsidR="0022742F" w:rsidRPr="00FE771B">
        <w:rPr>
          <w:rFonts w:ascii="Times New Roman" w:hAnsi="Times New Roman" w:cs="Times New Roman"/>
        </w:rPr>
        <w:t>年</w:t>
      </w:r>
      <w:r w:rsidR="0022742F" w:rsidRPr="00FE771B">
        <w:rPr>
          <w:rFonts w:ascii="Times New Roman" w:hAnsi="Times New Roman" w:cs="Times New Roman"/>
        </w:rPr>
        <w:t>-2019</w:t>
      </w:r>
      <w:r w:rsidR="0022742F" w:rsidRPr="00FE771B">
        <w:rPr>
          <w:rFonts w:ascii="Times New Roman" w:hAnsi="Times New Roman" w:cs="Times New Roman"/>
        </w:rPr>
        <w:t>年，回归结果见表</w:t>
      </w:r>
      <w:r w:rsidR="0022742F" w:rsidRPr="00FE771B">
        <w:rPr>
          <w:rFonts w:ascii="Times New Roman" w:hAnsi="Times New Roman" w:cs="Times New Roman"/>
        </w:rPr>
        <w:t>5</w:t>
      </w:r>
      <w:r w:rsidR="0022742F" w:rsidRPr="00FE771B">
        <w:rPr>
          <w:rFonts w:ascii="Times New Roman" w:hAnsi="Times New Roman" w:cs="Times New Roman"/>
        </w:rPr>
        <w:t>。从结果可以发现，业绩承诺加剧上市公司金融投资偏好主要发生于修订《上市公司重大资产重组管理办法》前，修订后由于采用自愿性质使得并购双方充分考虑标的质地，</w:t>
      </w:r>
      <w:r w:rsidR="00833244" w:rsidRPr="00FE771B">
        <w:rPr>
          <w:rFonts w:ascii="Times New Roman" w:hAnsi="Times New Roman" w:cs="Times New Roman"/>
        </w:rPr>
        <w:t>减少了投机行为，将业绩承诺向估值调整的工具属性回归，可以预计随着监管政策的不断完善，业绩承诺的具体条款也将会根据市场实际不断更新而更加符合监管和上市公司高质量发展要求，业绩承诺将会逐步接近其本源。</w:t>
      </w:r>
    </w:p>
    <w:p w:rsidR="00CD2630" w:rsidRPr="00FE771B" w:rsidRDefault="00582007" w:rsidP="0002165B">
      <w:pPr>
        <w:jc w:val="center"/>
        <w:rPr>
          <w:rFonts w:ascii="Times New Roman" w:eastAsia="楷体" w:hAnsi="Times New Roman" w:cs="Times New Roman"/>
          <w:bCs/>
          <w:szCs w:val="21"/>
        </w:rPr>
      </w:pPr>
      <w:r w:rsidRPr="00FE771B">
        <w:rPr>
          <w:rFonts w:ascii="Times New Roman" w:eastAsia="楷体" w:hAnsi="Times New Roman" w:cs="Times New Roman"/>
          <w:bCs/>
          <w:szCs w:val="21"/>
        </w:rPr>
        <w:t>表</w:t>
      </w:r>
      <w:r w:rsidRPr="00FE771B">
        <w:rPr>
          <w:rFonts w:ascii="Times New Roman" w:eastAsia="楷体" w:hAnsi="Times New Roman" w:cs="Times New Roman"/>
          <w:bCs/>
          <w:szCs w:val="21"/>
        </w:rPr>
        <w:t xml:space="preserve">5 </w:t>
      </w:r>
      <w:r w:rsidR="007E6BB1" w:rsidRPr="00FE771B">
        <w:rPr>
          <w:rFonts w:ascii="Times New Roman" w:eastAsia="楷体" w:hAnsi="Times New Roman" w:cs="Times New Roman"/>
          <w:bCs/>
          <w:szCs w:val="21"/>
        </w:rPr>
        <w:t xml:space="preserve"> </w:t>
      </w:r>
      <w:r w:rsidR="0002165B" w:rsidRPr="00FE771B">
        <w:rPr>
          <w:rFonts w:ascii="Times New Roman" w:eastAsia="楷体" w:hAnsi="Times New Roman" w:cs="Times New Roman"/>
          <w:bCs/>
          <w:szCs w:val="21"/>
        </w:rPr>
        <w:t>不同样本区间回归结果</w:t>
      </w:r>
    </w:p>
    <w:tbl>
      <w:tblPr>
        <w:tblW w:w="5000" w:type="pct"/>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1453"/>
        <w:gridCol w:w="1768"/>
        <w:gridCol w:w="1767"/>
        <w:gridCol w:w="1767"/>
        <w:gridCol w:w="1767"/>
      </w:tblGrid>
      <w:tr w:rsidR="00504F51" w:rsidRPr="00FE771B" w:rsidTr="001569B2">
        <w:trPr>
          <w:trHeight w:val="634"/>
        </w:trPr>
        <w:tc>
          <w:tcPr>
            <w:tcW w:w="852" w:type="pct"/>
            <w:tcBorders>
              <w:bottom w:val="single" w:sz="4" w:space="0" w:color="auto"/>
            </w:tcBorders>
          </w:tcPr>
          <w:p w:rsidR="00CD2630" w:rsidRPr="00FE771B" w:rsidRDefault="00CD2630" w:rsidP="005376F9">
            <w:pPr>
              <w:autoSpaceDE w:val="0"/>
              <w:autoSpaceDN w:val="0"/>
              <w:adjustRightInd w:val="0"/>
              <w:jc w:val="left"/>
              <w:rPr>
                <w:rFonts w:ascii="Times New Roman" w:hAnsi="Times New Roman" w:cs="Times New Roman"/>
                <w:color w:val="000000" w:themeColor="text1"/>
                <w:kern w:val="0"/>
                <w:sz w:val="18"/>
                <w:szCs w:val="18"/>
              </w:rPr>
            </w:pPr>
          </w:p>
        </w:tc>
        <w:tc>
          <w:tcPr>
            <w:tcW w:w="1037" w:type="pct"/>
            <w:tcBorders>
              <w:bottom w:val="single" w:sz="4" w:space="0" w:color="auto"/>
            </w:tcBorders>
          </w:tcPr>
          <w:p w:rsidR="001569B2" w:rsidRPr="00FE771B" w:rsidRDefault="00CD2630" w:rsidP="005376F9">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(1)</w:t>
            </w:r>
          </w:p>
          <w:p w:rsidR="00CD2630" w:rsidRPr="00FE771B" w:rsidRDefault="001569B2" w:rsidP="004C737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2010</w:t>
            </w:r>
            <w:r w:rsidRPr="00FE771B">
              <w:rPr>
                <w:rFonts w:ascii="Times New Roman" w:hAnsi="Times New Roman" w:cs="Times New Roman"/>
                <w:color w:val="000000" w:themeColor="text1"/>
                <w:kern w:val="0"/>
                <w:sz w:val="18"/>
                <w:szCs w:val="18"/>
              </w:rPr>
              <w:t>年</w:t>
            </w:r>
            <w:r w:rsidRPr="00FE771B">
              <w:rPr>
                <w:rFonts w:ascii="Times New Roman" w:hAnsi="Times New Roman" w:cs="Times New Roman"/>
                <w:color w:val="000000" w:themeColor="text1"/>
                <w:kern w:val="0"/>
                <w:sz w:val="18"/>
                <w:szCs w:val="18"/>
              </w:rPr>
              <w:t>-2014</w:t>
            </w:r>
            <w:r w:rsidRPr="00FE771B">
              <w:rPr>
                <w:rFonts w:ascii="Times New Roman" w:hAnsi="Times New Roman" w:cs="Times New Roman"/>
                <w:color w:val="000000" w:themeColor="text1"/>
                <w:kern w:val="0"/>
                <w:sz w:val="18"/>
                <w:szCs w:val="18"/>
              </w:rPr>
              <w:t>年</w:t>
            </w:r>
          </w:p>
        </w:tc>
        <w:tc>
          <w:tcPr>
            <w:tcW w:w="1037" w:type="pct"/>
            <w:tcBorders>
              <w:bottom w:val="single" w:sz="4" w:space="0" w:color="auto"/>
            </w:tcBorders>
          </w:tcPr>
          <w:p w:rsidR="001569B2" w:rsidRPr="00FE771B" w:rsidRDefault="00CD2630" w:rsidP="005376F9">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(2)</w:t>
            </w:r>
          </w:p>
          <w:p w:rsidR="00CD2630" w:rsidRPr="00FE771B" w:rsidRDefault="001569B2" w:rsidP="005376F9">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2015</w:t>
            </w:r>
            <w:r w:rsidRPr="00FE771B">
              <w:rPr>
                <w:rFonts w:ascii="Times New Roman" w:hAnsi="Times New Roman" w:cs="Times New Roman"/>
                <w:color w:val="000000" w:themeColor="text1"/>
                <w:kern w:val="0"/>
                <w:sz w:val="18"/>
                <w:szCs w:val="18"/>
              </w:rPr>
              <w:t>年</w:t>
            </w:r>
            <w:r w:rsidRPr="00FE771B">
              <w:rPr>
                <w:rFonts w:ascii="Times New Roman" w:hAnsi="Times New Roman" w:cs="Times New Roman"/>
                <w:color w:val="000000" w:themeColor="text1"/>
                <w:kern w:val="0"/>
                <w:sz w:val="18"/>
                <w:szCs w:val="18"/>
              </w:rPr>
              <w:t>-2019</w:t>
            </w:r>
            <w:r w:rsidRPr="00FE771B">
              <w:rPr>
                <w:rFonts w:ascii="Times New Roman" w:hAnsi="Times New Roman" w:cs="Times New Roman"/>
                <w:color w:val="000000" w:themeColor="text1"/>
                <w:kern w:val="0"/>
                <w:sz w:val="18"/>
                <w:szCs w:val="18"/>
              </w:rPr>
              <w:t>年</w:t>
            </w:r>
          </w:p>
        </w:tc>
        <w:tc>
          <w:tcPr>
            <w:tcW w:w="1037" w:type="pct"/>
            <w:tcBorders>
              <w:bottom w:val="single" w:sz="4" w:space="0" w:color="auto"/>
            </w:tcBorders>
          </w:tcPr>
          <w:p w:rsidR="001569B2" w:rsidRPr="00FE771B" w:rsidRDefault="00CD2630" w:rsidP="005376F9">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(3)</w:t>
            </w:r>
          </w:p>
          <w:p w:rsidR="00CD2630" w:rsidRPr="00FE771B" w:rsidRDefault="001569B2" w:rsidP="004C737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2010</w:t>
            </w:r>
            <w:r w:rsidRPr="00FE771B">
              <w:rPr>
                <w:rFonts w:ascii="Times New Roman" w:hAnsi="Times New Roman" w:cs="Times New Roman"/>
                <w:color w:val="000000" w:themeColor="text1"/>
                <w:kern w:val="0"/>
                <w:sz w:val="18"/>
                <w:szCs w:val="18"/>
              </w:rPr>
              <w:t>年</w:t>
            </w:r>
            <w:r w:rsidRPr="00FE771B">
              <w:rPr>
                <w:rFonts w:ascii="Times New Roman" w:hAnsi="Times New Roman" w:cs="Times New Roman"/>
                <w:color w:val="000000" w:themeColor="text1"/>
                <w:kern w:val="0"/>
                <w:sz w:val="18"/>
                <w:szCs w:val="18"/>
              </w:rPr>
              <w:t>-2014</w:t>
            </w:r>
            <w:r w:rsidRPr="00FE771B">
              <w:rPr>
                <w:rFonts w:ascii="Times New Roman" w:hAnsi="Times New Roman" w:cs="Times New Roman"/>
                <w:color w:val="000000" w:themeColor="text1"/>
                <w:kern w:val="0"/>
                <w:sz w:val="18"/>
                <w:szCs w:val="18"/>
              </w:rPr>
              <w:t>年</w:t>
            </w:r>
          </w:p>
        </w:tc>
        <w:tc>
          <w:tcPr>
            <w:tcW w:w="1037" w:type="pct"/>
            <w:tcBorders>
              <w:bottom w:val="single" w:sz="4" w:space="0" w:color="auto"/>
            </w:tcBorders>
          </w:tcPr>
          <w:p w:rsidR="001569B2" w:rsidRPr="00FE771B" w:rsidRDefault="00CD2630" w:rsidP="005376F9">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(4)</w:t>
            </w:r>
          </w:p>
          <w:p w:rsidR="00CD2630" w:rsidRPr="00FE771B" w:rsidRDefault="001569B2" w:rsidP="005376F9">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2015</w:t>
            </w:r>
            <w:r w:rsidRPr="00FE771B">
              <w:rPr>
                <w:rFonts w:ascii="Times New Roman" w:hAnsi="Times New Roman" w:cs="Times New Roman"/>
                <w:color w:val="000000" w:themeColor="text1"/>
                <w:kern w:val="0"/>
                <w:sz w:val="18"/>
                <w:szCs w:val="18"/>
              </w:rPr>
              <w:t>年</w:t>
            </w:r>
            <w:r w:rsidRPr="00FE771B">
              <w:rPr>
                <w:rFonts w:ascii="Times New Roman" w:hAnsi="Times New Roman" w:cs="Times New Roman"/>
                <w:color w:val="000000" w:themeColor="text1"/>
                <w:kern w:val="0"/>
                <w:sz w:val="18"/>
                <w:szCs w:val="18"/>
              </w:rPr>
              <w:t>-2019</w:t>
            </w:r>
            <w:r w:rsidRPr="00FE771B">
              <w:rPr>
                <w:rFonts w:ascii="Times New Roman" w:hAnsi="Times New Roman" w:cs="Times New Roman"/>
                <w:color w:val="000000" w:themeColor="text1"/>
                <w:kern w:val="0"/>
                <w:sz w:val="18"/>
                <w:szCs w:val="18"/>
              </w:rPr>
              <w:t>年</w:t>
            </w:r>
          </w:p>
        </w:tc>
      </w:tr>
      <w:tr w:rsidR="00504F51" w:rsidRPr="00FE771B" w:rsidTr="001569B2">
        <w:trPr>
          <w:trHeight w:val="634"/>
        </w:trPr>
        <w:tc>
          <w:tcPr>
            <w:tcW w:w="852" w:type="pct"/>
            <w:tcBorders>
              <w:bottom w:val="single" w:sz="4" w:space="0" w:color="auto"/>
            </w:tcBorders>
          </w:tcPr>
          <w:p w:rsidR="001D3CBC" w:rsidRPr="00FE771B" w:rsidRDefault="001D3CBC" w:rsidP="005376F9">
            <w:pPr>
              <w:autoSpaceDE w:val="0"/>
              <w:autoSpaceDN w:val="0"/>
              <w:adjustRightInd w:val="0"/>
              <w:jc w:val="left"/>
              <w:rPr>
                <w:rFonts w:ascii="Times New Roman" w:hAnsi="Times New Roman" w:cs="Times New Roman"/>
                <w:i/>
                <w:color w:val="000000" w:themeColor="text1"/>
                <w:kern w:val="0"/>
                <w:sz w:val="18"/>
                <w:szCs w:val="18"/>
              </w:rPr>
            </w:pPr>
            <w:proofErr w:type="spellStart"/>
            <w:r w:rsidRPr="00FE771B">
              <w:rPr>
                <w:rFonts w:ascii="Times New Roman" w:hAnsi="Times New Roman" w:cs="Times New Roman"/>
                <w:i/>
                <w:color w:val="000000" w:themeColor="text1"/>
                <w:kern w:val="0"/>
                <w:sz w:val="18"/>
                <w:szCs w:val="18"/>
              </w:rPr>
              <w:t>Vam_logit</w:t>
            </w:r>
            <w:proofErr w:type="spellEnd"/>
          </w:p>
        </w:tc>
        <w:tc>
          <w:tcPr>
            <w:tcW w:w="1037" w:type="pct"/>
            <w:tcBorders>
              <w:bottom w:val="single" w:sz="4" w:space="0" w:color="auto"/>
            </w:tcBorders>
          </w:tcPr>
          <w:p w:rsidR="001569B2" w:rsidRPr="00FE771B" w:rsidRDefault="001D3CBC"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0.0399</w:t>
            </w:r>
          </w:p>
          <w:p w:rsidR="001D3CBC" w:rsidRPr="00FE771B" w:rsidRDefault="001569B2"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(1.848)</w:t>
            </w:r>
            <w:r w:rsidRPr="00FE771B">
              <w:rPr>
                <w:rFonts w:ascii="Times New Roman" w:hAnsi="Times New Roman" w:cs="Times New Roman"/>
                <w:color w:val="000000" w:themeColor="text1"/>
                <w:kern w:val="0"/>
                <w:sz w:val="18"/>
                <w:szCs w:val="18"/>
                <w:vertAlign w:val="superscript"/>
              </w:rPr>
              <w:t>*</w:t>
            </w:r>
          </w:p>
        </w:tc>
        <w:tc>
          <w:tcPr>
            <w:tcW w:w="1037" w:type="pct"/>
            <w:tcBorders>
              <w:bottom w:val="single" w:sz="4" w:space="0" w:color="auto"/>
            </w:tcBorders>
          </w:tcPr>
          <w:p w:rsidR="001569B2" w:rsidRPr="00FE771B" w:rsidRDefault="001D3CBC"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-0.0126</w:t>
            </w:r>
          </w:p>
          <w:p w:rsidR="001D3CBC" w:rsidRPr="00FE771B" w:rsidRDefault="001569B2"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(-0.845)</w:t>
            </w:r>
          </w:p>
        </w:tc>
        <w:tc>
          <w:tcPr>
            <w:tcW w:w="1037" w:type="pct"/>
            <w:tcBorders>
              <w:bottom w:val="single" w:sz="4" w:space="0" w:color="auto"/>
            </w:tcBorders>
          </w:tcPr>
          <w:p w:rsidR="001D3CBC" w:rsidRPr="00FE771B" w:rsidRDefault="001D3CBC" w:rsidP="005376F9">
            <w:pPr>
              <w:autoSpaceDE w:val="0"/>
              <w:autoSpaceDN w:val="0"/>
              <w:adjustRightInd w:val="0"/>
              <w:jc w:val="center"/>
              <w:rPr>
                <w:rFonts w:ascii="Times New Roman" w:hAnsi="Times New Roman" w:cs="Times New Roman"/>
                <w:color w:val="000000" w:themeColor="text1"/>
                <w:kern w:val="0"/>
                <w:sz w:val="18"/>
                <w:szCs w:val="18"/>
              </w:rPr>
            </w:pPr>
          </w:p>
        </w:tc>
        <w:tc>
          <w:tcPr>
            <w:tcW w:w="1037" w:type="pct"/>
            <w:tcBorders>
              <w:bottom w:val="single" w:sz="4" w:space="0" w:color="auto"/>
            </w:tcBorders>
          </w:tcPr>
          <w:p w:rsidR="001D3CBC" w:rsidRPr="00FE771B" w:rsidRDefault="001D3CBC" w:rsidP="005376F9">
            <w:pPr>
              <w:autoSpaceDE w:val="0"/>
              <w:autoSpaceDN w:val="0"/>
              <w:adjustRightInd w:val="0"/>
              <w:jc w:val="center"/>
              <w:rPr>
                <w:rFonts w:ascii="Times New Roman" w:hAnsi="Times New Roman" w:cs="Times New Roman"/>
                <w:color w:val="000000" w:themeColor="text1"/>
                <w:kern w:val="0"/>
                <w:sz w:val="18"/>
                <w:szCs w:val="18"/>
              </w:rPr>
            </w:pPr>
          </w:p>
        </w:tc>
      </w:tr>
      <w:tr w:rsidR="00504F51" w:rsidRPr="00FE771B" w:rsidTr="001569B2">
        <w:trPr>
          <w:trHeight w:val="634"/>
        </w:trPr>
        <w:tc>
          <w:tcPr>
            <w:tcW w:w="852" w:type="pct"/>
            <w:tcBorders>
              <w:bottom w:val="single" w:sz="4" w:space="0" w:color="auto"/>
            </w:tcBorders>
          </w:tcPr>
          <w:p w:rsidR="001D3CBC" w:rsidRPr="00FE771B" w:rsidRDefault="001D3CBC" w:rsidP="005376F9">
            <w:pPr>
              <w:autoSpaceDE w:val="0"/>
              <w:autoSpaceDN w:val="0"/>
              <w:adjustRightInd w:val="0"/>
              <w:jc w:val="left"/>
              <w:rPr>
                <w:rFonts w:ascii="Times New Roman" w:hAnsi="Times New Roman" w:cs="Times New Roman"/>
                <w:i/>
                <w:color w:val="000000" w:themeColor="text1"/>
                <w:kern w:val="0"/>
                <w:sz w:val="18"/>
                <w:szCs w:val="18"/>
              </w:rPr>
            </w:pPr>
            <w:proofErr w:type="spellStart"/>
            <w:r w:rsidRPr="00FE771B">
              <w:rPr>
                <w:rFonts w:ascii="Times New Roman" w:hAnsi="Times New Roman" w:cs="Times New Roman"/>
                <w:i/>
                <w:color w:val="000000" w:themeColor="text1"/>
                <w:kern w:val="0"/>
                <w:sz w:val="18"/>
                <w:szCs w:val="18"/>
              </w:rPr>
              <w:t>Vam_numbers</w:t>
            </w:r>
            <w:proofErr w:type="spellEnd"/>
          </w:p>
        </w:tc>
        <w:tc>
          <w:tcPr>
            <w:tcW w:w="1037" w:type="pct"/>
            <w:tcBorders>
              <w:bottom w:val="single" w:sz="4" w:space="0" w:color="auto"/>
            </w:tcBorders>
          </w:tcPr>
          <w:p w:rsidR="001D3CBC" w:rsidRPr="00FE771B" w:rsidRDefault="001D3CBC" w:rsidP="005376F9">
            <w:pPr>
              <w:autoSpaceDE w:val="0"/>
              <w:autoSpaceDN w:val="0"/>
              <w:adjustRightInd w:val="0"/>
              <w:jc w:val="center"/>
              <w:rPr>
                <w:rFonts w:ascii="Times New Roman" w:hAnsi="Times New Roman" w:cs="Times New Roman"/>
                <w:color w:val="000000" w:themeColor="text1"/>
                <w:kern w:val="0"/>
                <w:sz w:val="18"/>
                <w:szCs w:val="18"/>
              </w:rPr>
            </w:pPr>
          </w:p>
        </w:tc>
        <w:tc>
          <w:tcPr>
            <w:tcW w:w="1037" w:type="pct"/>
            <w:tcBorders>
              <w:bottom w:val="single" w:sz="4" w:space="0" w:color="auto"/>
            </w:tcBorders>
          </w:tcPr>
          <w:p w:rsidR="001D3CBC" w:rsidRPr="00FE771B" w:rsidRDefault="001D3CBC" w:rsidP="005376F9">
            <w:pPr>
              <w:autoSpaceDE w:val="0"/>
              <w:autoSpaceDN w:val="0"/>
              <w:adjustRightInd w:val="0"/>
              <w:jc w:val="center"/>
              <w:rPr>
                <w:rFonts w:ascii="Times New Roman" w:hAnsi="Times New Roman" w:cs="Times New Roman"/>
                <w:color w:val="000000" w:themeColor="text1"/>
                <w:kern w:val="0"/>
                <w:sz w:val="18"/>
                <w:szCs w:val="18"/>
              </w:rPr>
            </w:pPr>
          </w:p>
        </w:tc>
        <w:tc>
          <w:tcPr>
            <w:tcW w:w="1037" w:type="pct"/>
            <w:tcBorders>
              <w:bottom w:val="single" w:sz="4" w:space="0" w:color="auto"/>
            </w:tcBorders>
          </w:tcPr>
          <w:p w:rsidR="001569B2" w:rsidRPr="00FE771B" w:rsidRDefault="001D3CBC"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0.0498</w:t>
            </w:r>
          </w:p>
          <w:p w:rsidR="001D3CBC" w:rsidRPr="00FE771B" w:rsidRDefault="001569B2"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(2.933)</w:t>
            </w:r>
            <w:r w:rsidRPr="00FE771B">
              <w:rPr>
                <w:rFonts w:ascii="Times New Roman" w:hAnsi="Times New Roman" w:cs="Times New Roman"/>
                <w:color w:val="000000" w:themeColor="text1"/>
                <w:kern w:val="0"/>
                <w:sz w:val="18"/>
                <w:szCs w:val="18"/>
                <w:vertAlign w:val="superscript"/>
              </w:rPr>
              <w:t>***</w:t>
            </w:r>
          </w:p>
        </w:tc>
        <w:tc>
          <w:tcPr>
            <w:tcW w:w="1037" w:type="pct"/>
            <w:tcBorders>
              <w:bottom w:val="single" w:sz="4" w:space="0" w:color="auto"/>
            </w:tcBorders>
          </w:tcPr>
          <w:p w:rsidR="001569B2" w:rsidRPr="00FE771B" w:rsidRDefault="001D3CBC"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-0.0000</w:t>
            </w:r>
          </w:p>
          <w:p w:rsidR="001D3CBC" w:rsidRPr="00FE771B" w:rsidRDefault="001569B2"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(-0.002)</w:t>
            </w:r>
          </w:p>
        </w:tc>
      </w:tr>
      <w:tr w:rsidR="00504F51" w:rsidRPr="00FE771B" w:rsidTr="001569B2">
        <w:tc>
          <w:tcPr>
            <w:tcW w:w="852" w:type="pct"/>
            <w:tcBorders>
              <w:bottom w:val="single" w:sz="4" w:space="0" w:color="auto"/>
            </w:tcBorders>
          </w:tcPr>
          <w:p w:rsidR="001D3CBC" w:rsidRPr="00FE771B" w:rsidRDefault="00151D60" w:rsidP="005376F9">
            <w:pPr>
              <w:autoSpaceDE w:val="0"/>
              <w:autoSpaceDN w:val="0"/>
              <w:adjustRightInd w:val="0"/>
              <w:jc w:val="left"/>
              <w:rPr>
                <w:rFonts w:ascii="Times New Roman" w:hAnsi="Times New Roman" w:cs="Times New Roman"/>
                <w:i/>
                <w:iCs/>
                <w:color w:val="000000" w:themeColor="text1"/>
                <w:kern w:val="0"/>
                <w:sz w:val="18"/>
                <w:szCs w:val="18"/>
              </w:rPr>
            </w:pPr>
            <w:r w:rsidRPr="00FE771B">
              <w:rPr>
                <w:rFonts w:ascii="Times New Roman" w:hAnsi="Times New Roman" w:cs="Times New Roman"/>
                <w:i/>
                <w:iCs/>
                <w:color w:val="000000" w:themeColor="text1"/>
                <w:kern w:val="0"/>
                <w:sz w:val="18"/>
                <w:szCs w:val="18"/>
              </w:rPr>
              <w:t>Controls</w:t>
            </w:r>
          </w:p>
        </w:tc>
        <w:tc>
          <w:tcPr>
            <w:tcW w:w="1037" w:type="pct"/>
          </w:tcPr>
          <w:p w:rsidR="001D3CBC" w:rsidRPr="00FE771B" w:rsidRDefault="00151D60"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控制</w:t>
            </w:r>
          </w:p>
        </w:tc>
        <w:tc>
          <w:tcPr>
            <w:tcW w:w="1037" w:type="pct"/>
          </w:tcPr>
          <w:p w:rsidR="001D3CBC" w:rsidRPr="00FE771B" w:rsidRDefault="00151D60"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控制</w:t>
            </w:r>
          </w:p>
        </w:tc>
        <w:tc>
          <w:tcPr>
            <w:tcW w:w="1037" w:type="pct"/>
          </w:tcPr>
          <w:p w:rsidR="001D3CBC" w:rsidRPr="00FE771B" w:rsidRDefault="00151D60"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控制</w:t>
            </w:r>
          </w:p>
        </w:tc>
        <w:tc>
          <w:tcPr>
            <w:tcW w:w="1037" w:type="pct"/>
          </w:tcPr>
          <w:p w:rsidR="001D3CBC" w:rsidRPr="00FE771B" w:rsidRDefault="00151D60"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控制</w:t>
            </w:r>
          </w:p>
        </w:tc>
      </w:tr>
      <w:tr w:rsidR="00504F51" w:rsidRPr="00FE771B" w:rsidTr="001569B2">
        <w:trPr>
          <w:trHeight w:val="634"/>
        </w:trPr>
        <w:tc>
          <w:tcPr>
            <w:tcW w:w="852" w:type="pct"/>
            <w:tcBorders>
              <w:bottom w:val="single" w:sz="4" w:space="0" w:color="auto"/>
            </w:tcBorders>
          </w:tcPr>
          <w:p w:rsidR="001D3CBC" w:rsidRPr="00FE771B" w:rsidRDefault="001D3CBC" w:rsidP="005376F9">
            <w:pPr>
              <w:autoSpaceDE w:val="0"/>
              <w:autoSpaceDN w:val="0"/>
              <w:adjustRightInd w:val="0"/>
              <w:jc w:val="left"/>
              <w:rPr>
                <w:rFonts w:ascii="Times New Roman" w:hAnsi="Times New Roman" w:cs="Times New Roman"/>
                <w:i/>
                <w:color w:val="000000" w:themeColor="text1"/>
                <w:kern w:val="0"/>
                <w:sz w:val="18"/>
                <w:szCs w:val="18"/>
              </w:rPr>
            </w:pPr>
            <w:r w:rsidRPr="00FE771B">
              <w:rPr>
                <w:rFonts w:ascii="Times New Roman" w:hAnsi="Times New Roman" w:cs="Times New Roman"/>
                <w:i/>
                <w:color w:val="000000" w:themeColor="text1"/>
                <w:kern w:val="0"/>
                <w:sz w:val="18"/>
                <w:szCs w:val="18"/>
              </w:rPr>
              <w:t>_cons</w:t>
            </w:r>
          </w:p>
        </w:tc>
        <w:tc>
          <w:tcPr>
            <w:tcW w:w="1037" w:type="pct"/>
            <w:tcBorders>
              <w:bottom w:val="single" w:sz="4" w:space="0" w:color="auto"/>
            </w:tcBorders>
          </w:tcPr>
          <w:p w:rsidR="001569B2" w:rsidRPr="00FE771B" w:rsidRDefault="001D3CBC"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1.9147</w:t>
            </w:r>
          </w:p>
          <w:p w:rsidR="001D3CBC" w:rsidRPr="00FE771B" w:rsidRDefault="001569B2"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(4.570)</w:t>
            </w:r>
            <w:r w:rsidRPr="00FE771B">
              <w:rPr>
                <w:rFonts w:ascii="Times New Roman" w:hAnsi="Times New Roman" w:cs="Times New Roman"/>
                <w:color w:val="000000" w:themeColor="text1"/>
                <w:kern w:val="0"/>
                <w:sz w:val="18"/>
                <w:szCs w:val="18"/>
                <w:vertAlign w:val="superscript"/>
              </w:rPr>
              <w:t>***</w:t>
            </w:r>
          </w:p>
        </w:tc>
        <w:tc>
          <w:tcPr>
            <w:tcW w:w="1037" w:type="pct"/>
            <w:tcBorders>
              <w:bottom w:val="single" w:sz="4" w:space="0" w:color="auto"/>
            </w:tcBorders>
          </w:tcPr>
          <w:p w:rsidR="001569B2" w:rsidRPr="00FE771B" w:rsidRDefault="001D3CBC"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-1.5568</w:t>
            </w:r>
          </w:p>
          <w:p w:rsidR="001D3CBC" w:rsidRPr="00FE771B" w:rsidRDefault="001569B2"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(-3.488)</w:t>
            </w:r>
            <w:r w:rsidRPr="00FE771B">
              <w:rPr>
                <w:rFonts w:ascii="Times New Roman" w:hAnsi="Times New Roman" w:cs="Times New Roman"/>
                <w:color w:val="000000" w:themeColor="text1"/>
                <w:kern w:val="0"/>
                <w:sz w:val="18"/>
                <w:szCs w:val="18"/>
                <w:vertAlign w:val="superscript"/>
              </w:rPr>
              <w:t>***</w:t>
            </w:r>
          </w:p>
        </w:tc>
        <w:tc>
          <w:tcPr>
            <w:tcW w:w="1037" w:type="pct"/>
            <w:tcBorders>
              <w:bottom w:val="single" w:sz="4" w:space="0" w:color="auto"/>
            </w:tcBorders>
          </w:tcPr>
          <w:p w:rsidR="001569B2" w:rsidRPr="00FE771B" w:rsidRDefault="001D3CBC"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2.0410</w:t>
            </w:r>
          </w:p>
          <w:p w:rsidR="001D3CBC" w:rsidRPr="00FE771B" w:rsidRDefault="001569B2"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(4.928)</w:t>
            </w:r>
            <w:r w:rsidRPr="00FE771B">
              <w:rPr>
                <w:rFonts w:ascii="Times New Roman" w:hAnsi="Times New Roman" w:cs="Times New Roman"/>
                <w:color w:val="000000" w:themeColor="text1"/>
                <w:kern w:val="0"/>
                <w:sz w:val="18"/>
                <w:szCs w:val="18"/>
                <w:vertAlign w:val="superscript"/>
              </w:rPr>
              <w:t>***</w:t>
            </w:r>
          </w:p>
        </w:tc>
        <w:tc>
          <w:tcPr>
            <w:tcW w:w="1037" w:type="pct"/>
            <w:tcBorders>
              <w:bottom w:val="single" w:sz="4" w:space="0" w:color="auto"/>
            </w:tcBorders>
          </w:tcPr>
          <w:p w:rsidR="001569B2" w:rsidRPr="00FE771B" w:rsidRDefault="001D3CBC"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-1.5374</w:t>
            </w:r>
          </w:p>
          <w:p w:rsidR="001D3CBC" w:rsidRPr="00FE771B" w:rsidRDefault="001569B2"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(-3.438)</w:t>
            </w:r>
            <w:r w:rsidRPr="00FE771B">
              <w:rPr>
                <w:rFonts w:ascii="Times New Roman" w:hAnsi="Times New Roman" w:cs="Times New Roman"/>
                <w:color w:val="000000" w:themeColor="text1"/>
                <w:kern w:val="0"/>
                <w:sz w:val="18"/>
                <w:szCs w:val="18"/>
                <w:vertAlign w:val="superscript"/>
              </w:rPr>
              <w:t>***</w:t>
            </w:r>
          </w:p>
        </w:tc>
      </w:tr>
      <w:tr w:rsidR="00504F51" w:rsidRPr="00FE771B" w:rsidTr="001569B2">
        <w:tc>
          <w:tcPr>
            <w:tcW w:w="852" w:type="pct"/>
          </w:tcPr>
          <w:p w:rsidR="00CD2630" w:rsidRPr="00FE771B" w:rsidRDefault="00CD2630" w:rsidP="005376F9">
            <w:pPr>
              <w:autoSpaceDE w:val="0"/>
              <w:autoSpaceDN w:val="0"/>
              <w:adjustRightInd w:val="0"/>
              <w:jc w:val="left"/>
              <w:rPr>
                <w:rFonts w:ascii="Times New Roman" w:hAnsi="Times New Roman" w:cs="Times New Roman"/>
                <w:i/>
                <w:color w:val="000000" w:themeColor="text1"/>
                <w:kern w:val="0"/>
                <w:sz w:val="18"/>
                <w:szCs w:val="18"/>
              </w:rPr>
            </w:pPr>
            <w:r w:rsidRPr="00FE771B">
              <w:rPr>
                <w:rFonts w:ascii="Times New Roman" w:hAnsi="Times New Roman" w:cs="Times New Roman"/>
                <w:i/>
                <w:color w:val="000000" w:themeColor="text1"/>
                <w:kern w:val="0"/>
                <w:sz w:val="18"/>
                <w:szCs w:val="18"/>
              </w:rPr>
              <w:t>Industry</w:t>
            </w:r>
          </w:p>
        </w:tc>
        <w:tc>
          <w:tcPr>
            <w:tcW w:w="1037" w:type="pct"/>
          </w:tcPr>
          <w:p w:rsidR="00CD2630" w:rsidRPr="00FE771B" w:rsidRDefault="00CD2630" w:rsidP="005376F9">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Yes</w:t>
            </w:r>
          </w:p>
        </w:tc>
        <w:tc>
          <w:tcPr>
            <w:tcW w:w="1037" w:type="pct"/>
          </w:tcPr>
          <w:p w:rsidR="00CD2630" w:rsidRPr="00FE771B" w:rsidRDefault="00CD2630" w:rsidP="005376F9">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Yes</w:t>
            </w:r>
          </w:p>
        </w:tc>
        <w:tc>
          <w:tcPr>
            <w:tcW w:w="1037" w:type="pct"/>
          </w:tcPr>
          <w:p w:rsidR="00CD2630" w:rsidRPr="00FE771B" w:rsidRDefault="00CD2630" w:rsidP="005376F9">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Yes</w:t>
            </w:r>
          </w:p>
        </w:tc>
        <w:tc>
          <w:tcPr>
            <w:tcW w:w="1037" w:type="pct"/>
          </w:tcPr>
          <w:p w:rsidR="00CD2630" w:rsidRPr="00FE771B" w:rsidRDefault="00CD2630" w:rsidP="005376F9">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Yes</w:t>
            </w:r>
          </w:p>
        </w:tc>
      </w:tr>
      <w:tr w:rsidR="00504F51" w:rsidRPr="00FE771B" w:rsidTr="001569B2">
        <w:tc>
          <w:tcPr>
            <w:tcW w:w="852" w:type="pct"/>
          </w:tcPr>
          <w:p w:rsidR="00BB6FEA" w:rsidRPr="00FE771B" w:rsidRDefault="00BB6FEA" w:rsidP="005376F9">
            <w:pPr>
              <w:autoSpaceDE w:val="0"/>
              <w:autoSpaceDN w:val="0"/>
              <w:adjustRightInd w:val="0"/>
              <w:jc w:val="left"/>
              <w:rPr>
                <w:rFonts w:ascii="Times New Roman" w:hAnsi="Times New Roman" w:cs="Times New Roman"/>
                <w:color w:val="000000" w:themeColor="text1"/>
                <w:kern w:val="0"/>
                <w:sz w:val="18"/>
                <w:szCs w:val="18"/>
              </w:rPr>
            </w:pPr>
            <w:r w:rsidRPr="00FE771B">
              <w:rPr>
                <w:rFonts w:ascii="Times New Roman" w:hAnsi="Times New Roman" w:cs="Times New Roman"/>
                <w:iCs/>
                <w:color w:val="000000" w:themeColor="text1"/>
                <w:kern w:val="0"/>
                <w:sz w:val="18"/>
                <w:szCs w:val="18"/>
              </w:rPr>
              <w:t>N</w:t>
            </w:r>
          </w:p>
        </w:tc>
        <w:tc>
          <w:tcPr>
            <w:tcW w:w="1037" w:type="pct"/>
          </w:tcPr>
          <w:p w:rsidR="00BB6FEA" w:rsidRPr="00FE771B" w:rsidRDefault="00BB6FEA"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4465</w:t>
            </w:r>
          </w:p>
        </w:tc>
        <w:tc>
          <w:tcPr>
            <w:tcW w:w="1037" w:type="pct"/>
          </w:tcPr>
          <w:p w:rsidR="00BB6FEA" w:rsidRPr="00FE771B" w:rsidRDefault="00BB6FEA"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6042</w:t>
            </w:r>
          </w:p>
        </w:tc>
        <w:tc>
          <w:tcPr>
            <w:tcW w:w="1037" w:type="pct"/>
          </w:tcPr>
          <w:p w:rsidR="00BB6FEA" w:rsidRPr="00FE771B" w:rsidRDefault="00BB6FEA"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4465</w:t>
            </w:r>
          </w:p>
        </w:tc>
        <w:tc>
          <w:tcPr>
            <w:tcW w:w="1037" w:type="pct"/>
          </w:tcPr>
          <w:p w:rsidR="00BB6FEA" w:rsidRPr="00FE771B" w:rsidRDefault="00BB6FEA"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6042</w:t>
            </w:r>
          </w:p>
        </w:tc>
      </w:tr>
      <w:tr w:rsidR="00504F51" w:rsidRPr="00FE771B" w:rsidTr="001569B2">
        <w:tc>
          <w:tcPr>
            <w:tcW w:w="852" w:type="pct"/>
          </w:tcPr>
          <w:p w:rsidR="00BB6FEA" w:rsidRPr="00FE771B" w:rsidRDefault="00BB6FEA" w:rsidP="005376F9">
            <w:pPr>
              <w:autoSpaceDE w:val="0"/>
              <w:autoSpaceDN w:val="0"/>
              <w:adjustRightInd w:val="0"/>
              <w:jc w:val="left"/>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F</w:t>
            </w:r>
            <w:r w:rsidR="003E0F78" w:rsidRPr="00FE771B">
              <w:rPr>
                <w:rFonts w:ascii="Times New Roman" w:hAnsi="Times New Roman" w:cs="Times New Roman"/>
                <w:color w:val="000000" w:themeColor="text1"/>
              </w:rPr>
              <w:t xml:space="preserve"> </w:t>
            </w:r>
            <w:r w:rsidR="003E0F78" w:rsidRPr="00FE771B">
              <w:rPr>
                <w:rFonts w:ascii="Times New Roman" w:hAnsi="Times New Roman" w:cs="Times New Roman"/>
                <w:color w:val="000000" w:themeColor="text1"/>
                <w:kern w:val="0"/>
                <w:sz w:val="18"/>
                <w:szCs w:val="18"/>
              </w:rPr>
              <w:t>test</w:t>
            </w:r>
          </w:p>
        </w:tc>
        <w:tc>
          <w:tcPr>
            <w:tcW w:w="1037" w:type="pct"/>
          </w:tcPr>
          <w:p w:rsidR="00BB6FEA" w:rsidRPr="00FE771B" w:rsidRDefault="00BB6FEA"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10.5791</w:t>
            </w:r>
          </w:p>
        </w:tc>
        <w:tc>
          <w:tcPr>
            <w:tcW w:w="1037" w:type="pct"/>
          </w:tcPr>
          <w:p w:rsidR="00BB6FEA" w:rsidRPr="00FE771B" w:rsidRDefault="00BB6FEA"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21.4135</w:t>
            </w:r>
          </w:p>
        </w:tc>
        <w:tc>
          <w:tcPr>
            <w:tcW w:w="1037" w:type="pct"/>
          </w:tcPr>
          <w:p w:rsidR="00BB6FEA" w:rsidRPr="00FE771B" w:rsidRDefault="00BB6FEA"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11.0269</w:t>
            </w:r>
          </w:p>
        </w:tc>
        <w:tc>
          <w:tcPr>
            <w:tcW w:w="1037" w:type="pct"/>
          </w:tcPr>
          <w:p w:rsidR="00BB6FEA" w:rsidRPr="00FE771B" w:rsidRDefault="00BB6FEA"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21.3508</w:t>
            </w:r>
          </w:p>
        </w:tc>
      </w:tr>
      <w:tr w:rsidR="00504F51" w:rsidRPr="00FE771B" w:rsidTr="001569B2">
        <w:tc>
          <w:tcPr>
            <w:tcW w:w="852" w:type="pct"/>
          </w:tcPr>
          <w:p w:rsidR="00BB6FEA" w:rsidRPr="00FE771B" w:rsidRDefault="00BB6FEA" w:rsidP="005376F9">
            <w:pPr>
              <w:autoSpaceDE w:val="0"/>
              <w:autoSpaceDN w:val="0"/>
              <w:adjustRightInd w:val="0"/>
              <w:jc w:val="left"/>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Adj-R</w:t>
            </w:r>
            <w:r w:rsidRPr="00FE771B">
              <w:rPr>
                <w:rFonts w:ascii="Times New Roman" w:hAnsi="Times New Roman" w:cs="Times New Roman"/>
                <w:color w:val="000000" w:themeColor="text1"/>
                <w:kern w:val="0"/>
                <w:sz w:val="18"/>
                <w:szCs w:val="18"/>
                <w:vertAlign w:val="superscript"/>
              </w:rPr>
              <w:t>2</w:t>
            </w:r>
          </w:p>
        </w:tc>
        <w:tc>
          <w:tcPr>
            <w:tcW w:w="1037" w:type="pct"/>
          </w:tcPr>
          <w:p w:rsidR="00BB6FEA" w:rsidRPr="00FE771B" w:rsidRDefault="00BB6FEA"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0.6974</w:t>
            </w:r>
          </w:p>
        </w:tc>
        <w:tc>
          <w:tcPr>
            <w:tcW w:w="1037" w:type="pct"/>
          </w:tcPr>
          <w:p w:rsidR="00BB6FEA" w:rsidRPr="00FE771B" w:rsidRDefault="00BB6FEA"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0.5346</w:t>
            </w:r>
          </w:p>
        </w:tc>
        <w:tc>
          <w:tcPr>
            <w:tcW w:w="1037" w:type="pct"/>
          </w:tcPr>
          <w:p w:rsidR="00BB6FEA" w:rsidRPr="00FE771B" w:rsidRDefault="00BB6FEA"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0.6978</w:t>
            </w:r>
          </w:p>
        </w:tc>
        <w:tc>
          <w:tcPr>
            <w:tcW w:w="1037" w:type="pct"/>
          </w:tcPr>
          <w:p w:rsidR="00BB6FEA" w:rsidRPr="00FE771B" w:rsidRDefault="00BB6FEA"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0.5345</w:t>
            </w:r>
          </w:p>
        </w:tc>
      </w:tr>
    </w:tbl>
    <w:p w:rsidR="00CD2630" w:rsidRPr="00FE771B" w:rsidRDefault="00CD2630" w:rsidP="00CD2630">
      <w:pPr>
        <w:rPr>
          <w:rFonts w:ascii="Times New Roman" w:hAnsi="Times New Roman" w:cs="Times New Roman"/>
        </w:rPr>
      </w:pPr>
    </w:p>
    <w:p w:rsidR="00CD2630" w:rsidRPr="00FE771B" w:rsidRDefault="00E14128" w:rsidP="00CD2630">
      <w:pPr>
        <w:ind w:firstLineChars="200" w:firstLine="420"/>
        <w:rPr>
          <w:rFonts w:ascii="Times New Roman" w:hAnsi="Times New Roman" w:cs="Times New Roman"/>
        </w:rPr>
      </w:pPr>
      <w:r w:rsidRPr="00316147">
        <w:rPr>
          <w:rFonts w:ascii="楷体" w:eastAsia="楷体" w:hAnsi="楷体" w:cs="Times New Roman"/>
        </w:rPr>
        <w:t>3.</w:t>
      </w:r>
      <w:r w:rsidR="00CD2630" w:rsidRPr="00316147">
        <w:rPr>
          <w:rFonts w:ascii="楷体" w:eastAsia="楷体" w:hAnsi="楷体" w:cs="Times New Roman"/>
        </w:rPr>
        <w:t>增减控制变量。</w:t>
      </w:r>
      <w:r w:rsidR="003025E4" w:rsidRPr="00FE771B">
        <w:rPr>
          <w:rFonts w:ascii="Times New Roman" w:hAnsi="Times New Roman" w:cs="Times New Roman"/>
        </w:rPr>
        <w:t>研究中</w:t>
      </w:r>
      <w:r w:rsidR="0090517F" w:rsidRPr="00FE771B">
        <w:rPr>
          <w:rFonts w:ascii="Times New Roman" w:hAnsi="Times New Roman" w:cs="Times New Roman"/>
        </w:rPr>
        <w:t>增减解释变量将会使得核心解释变量估计系数发生较大变化，比如最后加入的控制变量与已有的控制变量和</w:t>
      </w:r>
      <w:r w:rsidR="00906085" w:rsidRPr="00FE771B">
        <w:rPr>
          <w:rFonts w:ascii="Times New Roman" w:hAnsi="Times New Roman" w:cs="Times New Roman"/>
        </w:rPr>
        <w:t>核心</w:t>
      </w:r>
      <w:r w:rsidR="0090517F" w:rsidRPr="00FE771B">
        <w:rPr>
          <w:rFonts w:ascii="Times New Roman" w:hAnsi="Times New Roman" w:cs="Times New Roman"/>
        </w:rPr>
        <w:t>解释变量构成多重共线性。</w:t>
      </w:r>
      <w:r w:rsidR="00906085" w:rsidRPr="00FE771B">
        <w:rPr>
          <w:rFonts w:ascii="Times New Roman" w:hAnsi="Times New Roman" w:cs="Times New Roman"/>
        </w:rPr>
        <w:t>虽然本文在加入核心解释变量和全部控制变量后进行了多重共线性检验，方差膨胀因子</w:t>
      </w:r>
      <w:r w:rsidR="00906085" w:rsidRPr="00FE771B">
        <w:rPr>
          <w:rFonts w:ascii="Times New Roman" w:hAnsi="Times New Roman" w:cs="Times New Roman"/>
        </w:rPr>
        <w:t>VIF</w:t>
      </w:r>
      <w:r w:rsidR="00906085" w:rsidRPr="00FE771B">
        <w:rPr>
          <w:rFonts w:ascii="Times New Roman" w:hAnsi="Times New Roman" w:cs="Times New Roman"/>
        </w:rPr>
        <w:t>值都小于</w:t>
      </w:r>
      <w:r w:rsidR="00906085" w:rsidRPr="00FE771B">
        <w:rPr>
          <w:rFonts w:ascii="Times New Roman" w:hAnsi="Times New Roman" w:cs="Times New Roman"/>
        </w:rPr>
        <w:t>10</w:t>
      </w:r>
      <w:r w:rsidR="00906085" w:rsidRPr="00FE771B">
        <w:rPr>
          <w:rFonts w:ascii="Times New Roman" w:hAnsi="Times New Roman" w:cs="Times New Roman"/>
        </w:rPr>
        <w:t>，各变量间不存在多重共线性问题，但是在依次加入控制变量情况下仍然可能</w:t>
      </w:r>
      <w:r w:rsidR="00FA3C1F" w:rsidRPr="00FE771B">
        <w:rPr>
          <w:rFonts w:ascii="Times New Roman" w:hAnsi="Times New Roman" w:cs="Times New Roman"/>
        </w:rPr>
        <w:t>使得</w:t>
      </w:r>
      <w:r w:rsidR="00906085" w:rsidRPr="00FE771B">
        <w:rPr>
          <w:rFonts w:ascii="Times New Roman" w:hAnsi="Times New Roman" w:cs="Times New Roman"/>
        </w:rPr>
        <w:t>已加入部分控制变量、核心解释变量间存在多重共线性问题</w:t>
      </w:r>
      <w:r w:rsidR="00FA3C1F" w:rsidRPr="00FE771B">
        <w:rPr>
          <w:rFonts w:ascii="Times New Roman" w:hAnsi="Times New Roman" w:cs="Times New Roman"/>
        </w:rPr>
        <w:t>从而对估计结果造成明显干扰。基于此，本文采用依次加入控制变量的方法对业绩承诺与金融化逐步进行回归，以观察</w:t>
      </w:r>
      <w:r w:rsidR="00C5121F" w:rsidRPr="00FE771B">
        <w:rPr>
          <w:rFonts w:ascii="Times New Roman" w:hAnsi="Times New Roman" w:cs="Times New Roman"/>
        </w:rPr>
        <w:t>随着控制变量增多是否会带来核心解释变量回归系数发生明显变化。</w:t>
      </w:r>
      <w:proofErr w:type="gramStart"/>
      <w:r w:rsidR="00C5121F" w:rsidRPr="00FE771B">
        <w:rPr>
          <w:rFonts w:ascii="Times New Roman" w:hAnsi="Times New Roman" w:cs="Times New Roman"/>
        </w:rPr>
        <w:t>具体回归</w:t>
      </w:r>
      <w:proofErr w:type="gramEnd"/>
      <w:r w:rsidR="00C5121F" w:rsidRPr="00FE771B">
        <w:rPr>
          <w:rFonts w:ascii="Times New Roman" w:hAnsi="Times New Roman" w:cs="Times New Roman"/>
        </w:rPr>
        <w:t>结果见表</w:t>
      </w:r>
      <w:r w:rsidR="00C5121F" w:rsidRPr="00FE771B">
        <w:rPr>
          <w:rFonts w:ascii="Times New Roman" w:hAnsi="Times New Roman" w:cs="Times New Roman"/>
        </w:rPr>
        <w:t>6</w:t>
      </w:r>
      <w:r w:rsidR="00C5121F" w:rsidRPr="00FE771B">
        <w:rPr>
          <w:rFonts w:ascii="Times New Roman" w:hAnsi="Times New Roman" w:cs="Times New Roman"/>
        </w:rPr>
        <w:t>，从结果上看，随着控制变量逐渐键入，核心解释变量业绩承诺回归系数大小和显著性都没有发生明显变化，</w:t>
      </w:r>
      <w:r w:rsidR="001A610B" w:rsidRPr="00FE771B">
        <w:rPr>
          <w:rFonts w:ascii="Times New Roman" w:hAnsi="Times New Roman" w:cs="Times New Roman"/>
        </w:rPr>
        <w:t>这说明我们控制变量选择是合理</w:t>
      </w:r>
      <w:r w:rsidR="00B161F8" w:rsidRPr="00FE771B">
        <w:rPr>
          <w:rFonts w:ascii="Times New Roman" w:hAnsi="Times New Roman" w:cs="Times New Roman"/>
        </w:rPr>
        <w:t>的</w:t>
      </w:r>
      <w:r w:rsidR="001A610B" w:rsidRPr="00FE771B">
        <w:rPr>
          <w:rFonts w:ascii="Times New Roman" w:hAnsi="Times New Roman" w:cs="Times New Roman"/>
        </w:rPr>
        <w:t>更说明本文回归结果是非常稳健的。</w:t>
      </w:r>
    </w:p>
    <w:p w:rsidR="00CD2630" w:rsidRPr="00FE771B" w:rsidRDefault="00582007" w:rsidP="00990309">
      <w:pPr>
        <w:jc w:val="center"/>
        <w:rPr>
          <w:rFonts w:ascii="Times New Roman" w:eastAsia="楷体" w:hAnsi="Times New Roman" w:cs="Times New Roman"/>
          <w:bCs/>
          <w:szCs w:val="21"/>
        </w:rPr>
      </w:pPr>
      <w:r w:rsidRPr="00FE771B">
        <w:rPr>
          <w:rFonts w:ascii="Times New Roman" w:eastAsia="楷体" w:hAnsi="Times New Roman" w:cs="Times New Roman"/>
          <w:bCs/>
          <w:szCs w:val="21"/>
        </w:rPr>
        <w:t>表</w:t>
      </w:r>
      <w:r w:rsidRPr="00FE771B">
        <w:rPr>
          <w:rFonts w:ascii="Times New Roman" w:eastAsia="楷体" w:hAnsi="Times New Roman" w:cs="Times New Roman"/>
          <w:bCs/>
          <w:szCs w:val="21"/>
        </w:rPr>
        <w:t>6</w:t>
      </w:r>
      <w:r w:rsidR="00990309" w:rsidRPr="00FE771B">
        <w:rPr>
          <w:rFonts w:ascii="Times New Roman" w:eastAsia="楷体" w:hAnsi="Times New Roman" w:cs="Times New Roman"/>
          <w:bCs/>
          <w:szCs w:val="21"/>
        </w:rPr>
        <w:t xml:space="preserve"> </w:t>
      </w:r>
      <w:r w:rsidR="007E6BB1" w:rsidRPr="00FE771B">
        <w:rPr>
          <w:rFonts w:ascii="Times New Roman" w:eastAsia="楷体" w:hAnsi="Times New Roman" w:cs="Times New Roman"/>
          <w:bCs/>
          <w:szCs w:val="21"/>
        </w:rPr>
        <w:t xml:space="preserve"> </w:t>
      </w:r>
      <w:r w:rsidR="00990309" w:rsidRPr="00FE771B">
        <w:rPr>
          <w:rFonts w:ascii="Times New Roman" w:eastAsia="楷体" w:hAnsi="Times New Roman" w:cs="Times New Roman"/>
          <w:bCs/>
          <w:szCs w:val="21"/>
        </w:rPr>
        <w:t>增减控制变量回归结果</w:t>
      </w:r>
    </w:p>
    <w:tbl>
      <w:tblPr>
        <w:tblW w:w="6639" w:type="pct"/>
        <w:jc w:val="center"/>
        <w:tblInd w:w="-318" w:type="dxa"/>
        <w:tblLook w:val="0000" w:firstRow="0" w:lastRow="0" w:firstColumn="0" w:lastColumn="0" w:noHBand="0" w:noVBand="0"/>
      </w:tblPr>
      <w:tblGrid>
        <w:gridCol w:w="1256"/>
        <w:gridCol w:w="1006"/>
        <w:gridCol w:w="1006"/>
        <w:gridCol w:w="1006"/>
        <w:gridCol w:w="1007"/>
        <w:gridCol w:w="1007"/>
        <w:gridCol w:w="1007"/>
        <w:gridCol w:w="1007"/>
        <w:gridCol w:w="1007"/>
        <w:gridCol w:w="1007"/>
        <w:gridCol w:w="1000"/>
      </w:tblGrid>
      <w:tr w:rsidR="00504F51" w:rsidRPr="00FE771B" w:rsidTr="001569B2">
        <w:trPr>
          <w:jc w:val="center"/>
        </w:trPr>
        <w:tc>
          <w:tcPr>
            <w:tcW w:w="533" w:type="pct"/>
            <w:tcBorders>
              <w:top w:val="single" w:sz="4" w:space="0" w:color="auto"/>
              <w:left w:val="nil"/>
              <w:bottom w:val="nil"/>
              <w:right w:val="single" w:sz="4" w:space="0" w:color="auto"/>
            </w:tcBorders>
          </w:tcPr>
          <w:p w:rsidR="00CD2630" w:rsidRPr="00FE771B" w:rsidRDefault="00CD2630" w:rsidP="005376F9">
            <w:pPr>
              <w:autoSpaceDE w:val="0"/>
              <w:autoSpaceDN w:val="0"/>
              <w:adjustRightInd w:val="0"/>
              <w:jc w:val="left"/>
              <w:rPr>
                <w:rFonts w:ascii="Times New Roman" w:hAnsi="Times New Roman" w:cs="Times New Roman"/>
                <w:color w:val="000000" w:themeColor="text1"/>
                <w:kern w:val="0"/>
                <w:sz w:val="18"/>
                <w:szCs w:val="18"/>
              </w:rPr>
            </w:pPr>
          </w:p>
        </w:tc>
        <w:tc>
          <w:tcPr>
            <w:tcW w:w="447" w:type="pct"/>
            <w:tcBorders>
              <w:top w:val="single" w:sz="4" w:space="0" w:color="auto"/>
              <w:left w:val="single" w:sz="4" w:space="0" w:color="auto"/>
              <w:bottom w:val="nil"/>
              <w:right w:val="single" w:sz="4" w:space="0" w:color="auto"/>
            </w:tcBorders>
          </w:tcPr>
          <w:p w:rsidR="00CD2630" w:rsidRPr="00FE771B" w:rsidRDefault="00CD2630" w:rsidP="005376F9">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(1)</w:t>
            </w:r>
          </w:p>
        </w:tc>
        <w:tc>
          <w:tcPr>
            <w:tcW w:w="447" w:type="pct"/>
            <w:tcBorders>
              <w:top w:val="single" w:sz="4" w:space="0" w:color="auto"/>
              <w:left w:val="single" w:sz="4" w:space="0" w:color="auto"/>
              <w:bottom w:val="nil"/>
              <w:right w:val="single" w:sz="4" w:space="0" w:color="auto"/>
            </w:tcBorders>
          </w:tcPr>
          <w:p w:rsidR="00CD2630" w:rsidRPr="00FE771B" w:rsidRDefault="00CD2630" w:rsidP="005376F9">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(2)</w:t>
            </w:r>
          </w:p>
        </w:tc>
        <w:tc>
          <w:tcPr>
            <w:tcW w:w="447" w:type="pct"/>
            <w:tcBorders>
              <w:top w:val="single" w:sz="4" w:space="0" w:color="auto"/>
              <w:left w:val="single" w:sz="4" w:space="0" w:color="auto"/>
              <w:bottom w:val="nil"/>
              <w:right w:val="single" w:sz="4" w:space="0" w:color="auto"/>
            </w:tcBorders>
          </w:tcPr>
          <w:p w:rsidR="00CD2630" w:rsidRPr="00FE771B" w:rsidRDefault="00CD2630" w:rsidP="005376F9">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(3)</w:t>
            </w:r>
          </w:p>
        </w:tc>
        <w:tc>
          <w:tcPr>
            <w:tcW w:w="447" w:type="pct"/>
            <w:tcBorders>
              <w:top w:val="single" w:sz="4" w:space="0" w:color="auto"/>
              <w:left w:val="single" w:sz="4" w:space="0" w:color="auto"/>
              <w:bottom w:val="nil"/>
              <w:right w:val="single" w:sz="4" w:space="0" w:color="auto"/>
            </w:tcBorders>
          </w:tcPr>
          <w:p w:rsidR="00CD2630" w:rsidRPr="00FE771B" w:rsidRDefault="00CD2630" w:rsidP="005376F9">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(4)</w:t>
            </w:r>
          </w:p>
        </w:tc>
        <w:tc>
          <w:tcPr>
            <w:tcW w:w="447" w:type="pct"/>
            <w:tcBorders>
              <w:top w:val="single" w:sz="4" w:space="0" w:color="auto"/>
              <w:left w:val="single" w:sz="4" w:space="0" w:color="auto"/>
              <w:bottom w:val="nil"/>
              <w:right w:val="single" w:sz="4" w:space="0" w:color="auto"/>
            </w:tcBorders>
          </w:tcPr>
          <w:p w:rsidR="00CD2630" w:rsidRPr="00FE771B" w:rsidRDefault="00CD2630" w:rsidP="005376F9">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(5)</w:t>
            </w:r>
          </w:p>
        </w:tc>
        <w:tc>
          <w:tcPr>
            <w:tcW w:w="447" w:type="pct"/>
            <w:tcBorders>
              <w:top w:val="single" w:sz="4" w:space="0" w:color="auto"/>
              <w:left w:val="single" w:sz="4" w:space="0" w:color="auto"/>
              <w:bottom w:val="nil"/>
              <w:right w:val="single" w:sz="4" w:space="0" w:color="auto"/>
            </w:tcBorders>
          </w:tcPr>
          <w:p w:rsidR="00CD2630" w:rsidRPr="00FE771B" w:rsidRDefault="00CD2630" w:rsidP="005376F9">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(6)</w:t>
            </w:r>
          </w:p>
        </w:tc>
        <w:tc>
          <w:tcPr>
            <w:tcW w:w="447" w:type="pct"/>
            <w:tcBorders>
              <w:top w:val="single" w:sz="4" w:space="0" w:color="auto"/>
              <w:left w:val="single" w:sz="4" w:space="0" w:color="auto"/>
              <w:bottom w:val="nil"/>
              <w:right w:val="single" w:sz="4" w:space="0" w:color="auto"/>
            </w:tcBorders>
          </w:tcPr>
          <w:p w:rsidR="00CD2630" w:rsidRPr="00FE771B" w:rsidRDefault="00CD2630" w:rsidP="005376F9">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(7)</w:t>
            </w:r>
          </w:p>
        </w:tc>
        <w:tc>
          <w:tcPr>
            <w:tcW w:w="447" w:type="pct"/>
            <w:tcBorders>
              <w:top w:val="single" w:sz="4" w:space="0" w:color="auto"/>
              <w:left w:val="single" w:sz="4" w:space="0" w:color="auto"/>
              <w:bottom w:val="nil"/>
              <w:right w:val="single" w:sz="4" w:space="0" w:color="auto"/>
            </w:tcBorders>
          </w:tcPr>
          <w:p w:rsidR="00CD2630" w:rsidRPr="00FE771B" w:rsidRDefault="00CD2630" w:rsidP="005376F9">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(8)</w:t>
            </w:r>
          </w:p>
        </w:tc>
        <w:tc>
          <w:tcPr>
            <w:tcW w:w="447" w:type="pct"/>
            <w:tcBorders>
              <w:top w:val="single" w:sz="4" w:space="0" w:color="auto"/>
              <w:left w:val="single" w:sz="4" w:space="0" w:color="auto"/>
              <w:bottom w:val="nil"/>
              <w:right w:val="single" w:sz="4" w:space="0" w:color="auto"/>
            </w:tcBorders>
          </w:tcPr>
          <w:p w:rsidR="00CD2630" w:rsidRPr="00FE771B" w:rsidRDefault="00CD2630" w:rsidP="005376F9">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(9)</w:t>
            </w:r>
          </w:p>
        </w:tc>
        <w:tc>
          <w:tcPr>
            <w:tcW w:w="444" w:type="pct"/>
            <w:tcBorders>
              <w:top w:val="single" w:sz="4" w:space="0" w:color="auto"/>
              <w:left w:val="single" w:sz="4" w:space="0" w:color="auto"/>
              <w:bottom w:val="nil"/>
              <w:right w:val="nil"/>
            </w:tcBorders>
          </w:tcPr>
          <w:p w:rsidR="00CD2630" w:rsidRPr="00FE771B" w:rsidRDefault="00CD2630" w:rsidP="005376F9">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(10)</w:t>
            </w:r>
          </w:p>
        </w:tc>
      </w:tr>
      <w:tr w:rsidR="00504F51" w:rsidRPr="00FE771B" w:rsidTr="001569B2">
        <w:trPr>
          <w:jc w:val="center"/>
        </w:trPr>
        <w:tc>
          <w:tcPr>
            <w:tcW w:w="533" w:type="pct"/>
            <w:tcBorders>
              <w:top w:val="nil"/>
              <w:left w:val="nil"/>
              <w:bottom w:val="nil"/>
              <w:right w:val="single" w:sz="4" w:space="0" w:color="auto"/>
            </w:tcBorders>
          </w:tcPr>
          <w:p w:rsidR="00CD2630" w:rsidRPr="00FE771B" w:rsidRDefault="00CD2630" w:rsidP="005376F9">
            <w:pPr>
              <w:autoSpaceDE w:val="0"/>
              <w:autoSpaceDN w:val="0"/>
              <w:adjustRightInd w:val="0"/>
              <w:jc w:val="left"/>
              <w:rPr>
                <w:rFonts w:ascii="Times New Roman" w:hAnsi="Times New Roman" w:cs="Times New Roman"/>
                <w:color w:val="000000" w:themeColor="text1"/>
                <w:kern w:val="0"/>
                <w:sz w:val="18"/>
                <w:szCs w:val="18"/>
              </w:rPr>
            </w:pPr>
          </w:p>
        </w:tc>
        <w:tc>
          <w:tcPr>
            <w:tcW w:w="447" w:type="pct"/>
            <w:tcBorders>
              <w:top w:val="nil"/>
              <w:left w:val="single" w:sz="4" w:space="0" w:color="auto"/>
              <w:bottom w:val="nil"/>
              <w:right w:val="single" w:sz="4" w:space="0" w:color="auto"/>
            </w:tcBorders>
          </w:tcPr>
          <w:p w:rsidR="00CD2630" w:rsidRPr="00FE771B" w:rsidRDefault="00CD2630" w:rsidP="005376F9">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Fin</w:t>
            </w:r>
          </w:p>
        </w:tc>
        <w:tc>
          <w:tcPr>
            <w:tcW w:w="447" w:type="pct"/>
            <w:tcBorders>
              <w:top w:val="nil"/>
              <w:left w:val="single" w:sz="4" w:space="0" w:color="auto"/>
              <w:bottom w:val="nil"/>
              <w:right w:val="single" w:sz="4" w:space="0" w:color="auto"/>
            </w:tcBorders>
          </w:tcPr>
          <w:p w:rsidR="00CD2630" w:rsidRPr="00FE771B" w:rsidRDefault="00CD2630" w:rsidP="005376F9">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Fin</w:t>
            </w:r>
          </w:p>
        </w:tc>
        <w:tc>
          <w:tcPr>
            <w:tcW w:w="447" w:type="pct"/>
            <w:tcBorders>
              <w:top w:val="nil"/>
              <w:left w:val="single" w:sz="4" w:space="0" w:color="auto"/>
              <w:bottom w:val="nil"/>
              <w:right w:val="single" w:sz="4" w:space="0" w:color="auto"/>
            </w:tcBorders>
          </w:tcPr>
          <w:p w:rsidR="00CD2630" w:rsidRPr="00FE771B" w:rsidRDefault="00CD2630" w:rsidP="005376F9">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Fin</w:t>
            </w:r>
          </w:p>
        </w:tc>
        <w:tc>
          <w:tcPr>
            <w:tcW w:w="447" w:type="pct"/>
            <w:tcBorders>
              <w:top w:val="nil"/>
              <w:left w:val="single" w:sz="4" w:space="0" w:color="auto"/>
              <w:bottom w:val="nil"/>
              <w:right w:val="single" w:sz="4" w:space="0" w:color="auto"/>
            </w:tcBorders>
          </w:tcPr>
          <w:p w:rsidR="00CD2630" w:rsidRPr="00FE771B" w:rsidRDefault="00CD2630" w:rsidP="005376F9">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Fin</w:t>
            </w:r>
          </w:p>
        </w:tc>
        <w:tc>
          <w:tcPr>
            <w:tcW w:w="447" w:type="pct"/>
            <w:tcBorders>
              <w:top w:val="nil"/>
              <w:left w:val="single" w:sz="4" w:space="0" w:color="auto"/>
              <w:bottom w:val="nil"/>
              <w:right w:val="single" w:sz="4" w:space="0" w:color="auto"/>
            </w:tcBorders>
          </w:tcPr>
          <w:p w:rsidR="00CD2630" w:rsidRPr="00FE771B" w:rsidRDefault="00CD2630" w:rsidP="005376F9">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Fin</w:t>
            </w:r>
          </w:p>
        </w:tc>
        <w:tc>
          <w:tcPr>
            <w:tcW w:w="447" w:type="pct"/>
            <w:tcBorders>
              <w:top w:val="nil"/>
              <w:left w:val="single" w:sz="4" w:space="0" w:color="auto"/>
              <w:bottom w:val="nil"/>
              <w:right w:val="single" w:sz="4" w:space="0" w:color="auto"/>
            </w:tcBorders>
          </w:tcPr>
          <w:p w:rsidR="00CD2630" w:rsidRPr="00FE771B" w:rsidRDefault="00CD2630" w:rsidP="005376F9">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Fin</w:t>
            </w:r>
          </w:p>
        </w:tc>
        <w:tc>
          <w:tcPr>
            <w:tcW w:w="447" w:type="pct"/>
            <w:tcBorders>
              <w:top w:val="nil"/>
              <w:left w:val="single" w:sz="4" w:space="0" w:color="auto"/>
              <w:bottom w:val="nil"/>
              <w:right w:val="single" w:sz="4" w:space="0" w:color="auto"/>
            </w:tcBorders>
          </w:tcPr>
          <w:p w:rsidR="00CD2630" w:rsidRPr="00FE771B" w:rsidRDefault="00CD2630" w:rsidP="005376F9">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Fin</w:t>
            </w:r>
          </w:p>
        </w:tc>
        <w:tc>
          <w:tcPr>
            <w:tcW w:w="447" w:type="pct"/>
            <w:tcBorders>
              <w:top w:val="nil"/>
              <w:left w:val="single" w:sz="4" w:space="0" w:color="auto"/>
              <w:bottom w:val="nil"/>
              <w:right w:val="single" w:sz="4" w:space="0" w:color="auto"/>
            </w:tcBorders>
          </w:tcPr>
          <w:p w:rsidR="00CD2630" w:rsidRPr="00FE771B" w:rsidRDefault="00CD2630" w:rsidP="005376F9">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Fin</w:t>
            </w:r>
          </w:p>
        </w:tc>
        <w:tc>
          <w:tcPr>
            <w:tcW w:w="447" w:type="pct"/>
            <w:tcBorders>
              <w:top w:val="nil"/>
              <w:left w:val="single" w:sz="4" w:space="0" w:color="auto"/>
              <w:bottom w:val="nil"/>
              <w:right w:val="single" w:sz="4" w:space="0" w:color="auto"/>
            </w:tcBorders>
          </w:tcPr>
          <w:p w:rsidR="00CD2630" w:rsidRPr="00FE771B" w:rsidRDefault="00CD2630" w:rsidP="005376F9">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Fin</w:t>
            </w:r>
          </w:p>
        </w:tc>
        <w:tc>
          <w:tcPr>
            <w:tcW w:w="444" w:type="pct"/>
            <w:tcBorders>
              <w:top w:val="nil"/>
              <w:left w:val="single" w:sz="4" w:space="0" w:color="auto"/>
              <w:bottom w:val="nil"/>
              <w:right w:val="nil"/>
            </w:tcBorders>
          </w:tcPr>
          <w:p w:rsidR="00CD2630" w:rsidRPr="00FE771B" w:rsidRDefault="00CD2630" w:rsidP="005376F9">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Fin</w:t>
            </w:r>
          </w:p>
        </w:tc>
      </w:tr>
      <w:tr w:rsidR="00504F51" w:rsidRPr="00FE771B" w:rsidTr="001569B2">
        <w:trPr>
          <w:jc w:val="center"/>
        </w:trPr>
        <w:tc>
          <w:tcPr>
            <w:tcW w:w="533" w:type="pct"/>
            <w:tcBorders>
              <w:top w:val="single" w:sz="4" w:space="0" w:color="auto"/>
              <w:left w:val="nil"/>
              <w:bottom w:val="nil"/>
              <w:right w:val="single" w:sz="4" w:space="0" w:color="auto"/>
            </w:tcBorders>
          </w:tcPr>
          <w:p w:rsidR="000F1A1B" w:rsidRPr="00FE771B" w:rsidRDefault="000F1A1B" w:rsidP="005376F9">
            <w:pPr>
              <w:autoSpaceDE w:val="0"/>
              <w:autoSpaceDN w:val="0"/>
              <w:adjustRightInd w:val="0"/>
              <w:jc w:val="left"/>
              <w:rPr>
                <w:rFonts w:ascii="Times New Roman" w:hAnsi="Times New Roman" w:cs="Times New Roman"/>
                <w:i/>
                <w:color w:val="000000" w:themeColor="text1"/>
                <w:kern w:val="0"/>
                <w:sz w:val="18"/>
                <w:szCs w:val="18"/>
              </w:rPr>
            </w:pPr>
            <w:proofErr w:type="spellStart"/>
            <w:r w:rsidRPr="00FE771B">
              <w:rPr>
                <w:rFonts w:ascii="Times New Roman" w:hAnsi="Times New Roman" w:cs="Times New Roman"/>
                <w:i/>
                <w:color w:val="000000" w:themeColor="text1"/>
                <w:kern w:val="0"/>
                <w:sz w:val="18"/>
                <w:szCs w:val="18"/>
              </w:rPr>
              <w:t>Vam_logit</w:t>
            </w:r>
            <w:proofErr w:type="spellEnd"/>
          </w:p>
        </w:tc>
        <w:tc>
          <w:tcPr>
            <w:tcW w:w="447" w:type="pct"/>
            <w:tcBorders>
              <w:top w:val="single" w:sz="4" w:space="0" w:color="auto"/>
              <w:left w:val="single" w:sz="4" w:space="0" w:color="auto"/>
              <w:bottom w:val="nil"/>
              <w:right w:val="single" w:sz="4" w:space="0" w:color="auto"/>
            </w:tcBorders>
          </w:tcPr>
          <w:p w:rsidR="000F1A1B" w:rsidRPr="00FE771B" w:rsidRDefault="000F1A1B"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0.0162</w:t>
            </w:r>
          </w:p>
        </w:tc>
        <w:tc>
          <w:tcPr>
            <w:tcW w:w="447" w:type="pct"/>
            <w:tcBorders>
              <w:top w:val="single" w:sz="4" w:space="0" w:color="auto"/>
              <w:left w:val="single" w:sz="4" w:space="0" w:color="auto"/>
              <w:bottom w:val="nil"/>
              <w:right w:val="single" w:sz="4" w:space="0" w:color="auto"/>
            </w:tcBorders>
          </w:tcPr>
          <w:p w:rsidR="000F1A1B" w:rsidRPr="00FE771B" w:rsidRDefault="000F1A1B"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0.0242</w:t>
            </w:r>
          </w:p>
        </w:tc>
        <w:tc>
          <w:tcPr>
            <w:tcW w:w="447" w:type="pct"/>
            <w:tcBorders>
              <w:top w:val="single" w:sz="4" w:space="0" w:color="auto"/>
              <w:left w:val="single" w:sz="4" w:space="0" w:color="auto"/>
              <w:bottom w:val="nil"/>
              <w:right w:val="single" w:sz="4" w:space="0" w:color="auto"/>
            </w:tcBorders>
          </w:tcPr>
          <w:p w:rsidR="000F1A1B" w:rsidRPr="00FE771B" w:rsidRDefault="000F1A1B"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0.0254</w:t>
            </w:r>
          </w:p>
        </w:tc>
        <w:tc>
          <w:tcPr>
            <w:tcW w:w="447" w:type="pct"/>
            <w:tcBorders>
              <w:top w:val="single" w:sz="4" w:space="0" w:color="auto"/>
              <w:left w:val="single" w:sz="4" w:space="0" w:color="auto"/>
              <w:bottom w:val="nil"/>
              <w:right w:val="single" w:sz="4" w:space="0" w:color="auto"/>
            </w:tcBorders>
          </w:tcPr>
          <w:p w:rsidR="000F1A1B" w:rsidRPr="00FE771B" w:rsidRDefault="000F1A1B"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0.0270</w:t>
            </w:r>
          </w:p>
        </w:tc>
        <w:tc>
          <w:tcPr>
            <w:tcW w:w="447" w:type="pct"/>
            <w:tcBorders>
              <w:top w:val="single" w:sz="4" w:space="0" w:color="auto"/>
              <w:left w:val="single" w:sz="4" w:space="0" w:color="auto"/>
              <w:bottom w:val="nil"/>
              <w:right w:val="single" w:sz="4" w:space="0" w:color="auto"/>
            </w:tcBorders>
          </w:tcPr>
          <w:p w:rsidR="000F1A1B" w:rsidRPr="00FE771B" w:rsidRDefault="000F1A1B"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0.0282</w:t>
            </w:r>
          </w:p>
        </w:tc>
        <w:tc>
          <w:tcPr>
            <w:tcW w:w="447" w:type="pct"/>
            <w:tcBorders>
              <w:top w:val="single" w:sz="4" w:space="0" w:color="auto"/>
              <w:left w:val="single" w:sz="4" w:space="0" w:color="auto"/>
              <w:bottom w:val="nil"/>
              <w:right w:val="single" w:sz="4" w:space="0" w:color="auto"/>
            </w:tcBorders>
          </w:tcPr>
          <w:p w:rsidR="000F1A1B" w:rsidRPr="00FE771B" w:rsidRDefault="000F1A1B"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0.0274</w:t>
            </w:r>
          </w:p>
        </w:tc>
        <w:tc>
          <w:tcPr>
            <w:tcW w:w="447" w:type="pct"/>
            <w:tcBorders>
              <w:top w:val="single" w:sz="4" w:space="0" w:color="auto"/>
              <w:left w:val="single" w:sz="4" w:space="0" w:color="auto"/>
              <w:bottom w:val="nil"/>
              <w:right w:val="single" w:sz="4" w:space="0" w:color="auto"/>
            </w:tcBorders>
          </w:tcPr>
          <w:p w:rsidR="000F1A1B" w:rsidRPr="00FE771B" w:rsidRDefault="000F1A1B"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0.0240</w:t>
            </w:r>
          </w:p>
        </w:tc>
        <w:tc>
          <w:tcPr>
            <w:tcW w:w="447" w:type="pct"/>
            <w:tcBorders>
              <w:top w:val="single" w:sz="4" w:space="0" w:color="auto"/>
              <w:left w:val="single" w:sz="4" w:space="0" w:color="auto"/>
              <w:bottom w:val="nil"/>
              <w:right w:val="single" w:sz="4" w:space="0" w:color="auto"/>
            </w:tcBorders>
          </w:tcPr>
          <w:p w:rsidR="000F1A1B" w:rsidRPr="00FE771B" w:rsidRDefault="000F1A1B"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0.0236</w:t>
            </w:r>
          </w:p>
        </w:tc>
        <w:tc>
          <w:tcPr>
            <w:tcW w:w="447" w:type="pct"/>
            <w:tcBorders>
              <w:top w:val="single" w:sz="4" w:space="0" w:color="auto"/>
              <w:left w:val="single" w:sz="4" w:space="0" w:color="auto"/>
              <w:bottom w:val="nil"/>
              <w:right w:val="single" w:sz="4" w:space="0" w:color="auto"/>
            </w:tcBorders>
          </w:tcPr>
          <w:p w:rsidR="000F1A1B" w:rsidRPr="00FE771B" w:rsidRDefault="000F1A1B"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0.0276</w:t>
            </w:r>
          </w:p>
        </w:tc>
        <w:tc>
          <w:tcPr>
            <w:tcW w:w="444" w:type="pct"/>
            <w:tcBorders>
              <w:top w:val="single" w:sz="4" w:space="0" w:color="auto"/>
              <w:left w:val="single" w:sz="4" w:space="0" w:color="auto"/>
              <w:bottom w:val="nil"/>
              <w:right w:val="nil"/>
            </w:tcBorders>
          </w:tcPr>
          <w:p w:rsidR="000F1A1B" w:rsidRPr="00FE771B" w:rsidRDefault="000F1A1B"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0.0271</w:t>
            </w:r>
          </w:p>
        </w:tc>
      </w:tr>
      <w:tr w:rsidR="00504F51" w:rsidRPr="00FE771B" w:rsidTr="001569B2">
        <w:trPr>
          <w:jc w:val="center"/>
        </w:trPr>
        <w:tc>
          <w:tcPr>
            <w:tcW w:w="533" w:type="pct"/>
            <w:tcBorders>
              <w:top w:val="nil"/>
              <w:left w:val="nil"/>
              <w:bottom w:val="single" w:sz="4" w:space="0" w:color="auto"/>
              <w:right w:val="single" w:sz="4" w:space="0" w:color="auto"/>
            </w:tcBorders>
          </w:tcPr>
          <w:p w:rsidR="000F1A1B" w:rsidRPr="00FE771B" w:rsidRDefault="000F1A1B" w:rsidP="005376F9">
            <w:pPr>
              <w:autoSpaceDE w:val="0"/>
              <w:autoSpaceDN w:val="0"/>
              <w:adjustRightInd w:val="0"/>
              <w:jc w:val="left"/>
              <w:rPr>
                <w:rFonts w:ascii="Times New Roman" w:hAnsi="Times New Roman" w:cs="Times New Roman"/>
                <w:i/>
                <w:color w:val="000000" w:themeColor="text1"/>
                <w:kern w:val="0"/>
                <w:sz w:val="18"/>
                <w:szCs w:val="18"/>
              </w:rPr>
            </w:pPr>
          </w:p>
        </w:tc>
        <w:tc>
          <w:tcPr>
            <w:tcW w:w="447" w:type="pct"/>
            <w:tcBorders>
              <w:top w:val="nil"/>
              <w:left w:val="single" w:sz="4" w:space="0" w:color="auto"/>
              <w:bottom w:val="single" w:sz="4" w:space="0" w:color="auto"/>
              <w:right w:val="single" w:sz="4" w:space="0" w:color="auto"/>
            </w:tcBorders>
          </w:tcPr>
          <w:p w:rsidR="000F1A1B" w:rsidRPr="00FE771B" w:rsidRDefault="000F1A1B"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(1.140)</w:t>
            </w:r>
          </w:p>
        </w:tc>
        <w:tc>
          <w:tcPr>
            <w:tcW w:w="447" w:type="pct"/>
            <w:tcBorders>
              <w:top w:val="nil"/>
              <w:left w:val="single" w:sz="4" w:space="0" w:color="auto"/>
              <w:bottom w:val="single" w:sz="4" w:space="0" w:color="auto"/>
              <w:right w:val="single" w:sz="4" w:space="0" w:color="auto"/>
            </w:tcBorders>
          </w:tcPr>
          <w:p w:rsidR="000F1A1B" w:rsidRPr="00FE771B" w:rsidRDefault="000F1A1B"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(1.880)</w:t>
            </w:r>
            <w:r w:rsidRPr="00FE771B">
              <w:rPr>
                <w:rFonts w:ascii="Times New Roman" w:hAnsi="Times New Roman" w:cs="Times New Roman"/>
                <w:color w:val="000000" w:themeColor="text1"/>
                <w:kern w:val="0"/>
                <w:sz w:val="18"/>
                <w:szCs w:val="18"/>
                <w:vertAlign w:val="superscript"/>
              </w:rPr>
              <w:t>*</w:t>
            </w:r>
          </w:p>
        </w:tc>
        <w:tc>
          <w:tcPr>
            <w:tcW w:w="447" w:type="pct"/>
            <w:tcBorders>
              <w:top w:val="nil"/>
              <w:left w:val="single" w:sz="4" w:space="0" w:color="auto"/>
              <w:bottom w:val="single" w:sz="4" w:space="0" w:color="auto"/>
              <w:right w:val="single" w:sz="4" w:space="0" w:color="auto"/>
            </w:tcBorders>
          </w:tcPr>
          <w:p w:rsidR="000F1A1B" w:rsidRPr="00FE771B" w:rsidRDefault="000F1A1B"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(1.974)</w:t>
            </w:r>
            <w:r w:rsidRPr="00FE771B">
              <w:rPr>
                <w:rFonts w:ascii="Times New Roman" w:hAnsi="Times New Roman" w:cs="Times New Roman"/>
                <w:color w:val="000000" w:themeColor="text1"/>
                <w:kern w:val="0"/>
                <w:sz w:val="18"/>
                <w:szCs w:val="18"/>
                <w:vertAlign w:val="superscript"/>
              </w:rPr>
              <w:t>**</w:t>
            </w:r>
          </w:p>
        </w:tc>
        <w:tc>
          <w:tcPr>
            <w:tcW w:w="447" w:type="pct"/>
            <w:tcBorders>
              <w:top w:val="nil"/>
              <w:left w:val="single" w:sz="4" w:space="0" w:color="auto"/>
              <w:bottom w:val="single" w:sz="4" w:space="0" w:color="auto"/>
              <w:right w:val="single" w:sz="4" w:space="0" w:color="auto"/>
            </w:tcBorders>
          </w:tcPr>
          <w:p w:rsidR="000F1A1B" w:rsidRPr="00FE771B" w:rsidRDefault="000F1A1B"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(2.094)</w:t>
            </w:r>
            <w:r w:rsidRPr="00FE771B">
              <w:rPr>
                <w:rFonts w:ascii="Times New Roman" w:hAnsi="Times New Roman" w:cs="Times New Roman"/>
                <w:color w:val="000000" w:themeColor="text1"/>
                <w:kern w:val="0"/>
                <w:sz w:val="18"/>
                <w:szCs w:val="18"/>
                <w:vertAlign w:val="superscript"/>
              </w:rPr>
              <w:t>**</w:t>
            </w:r>
          </w:p>
        </w:tc>
        <w:tc>
          <w:tcPr>
            <w:tcW w:w="447" w:type="pct"/>
            <w:tcBorders>
              <w:top w:val="nil"/>
              <w:left w:val="single" w:sz="4" w:space="0" w:color="auto"/>
              <w:bottom w:val="single" w:sz="4" w:space="0" w:color="auto"/>
              <w:right w:val="single" w:sz="4" w:space="0" w:color="auto"/>
            </w:tcBorders>
          </w:tcPr>
          <w:p w:rsidR="000F1A1B" w:rsidRPr="00FE771B" w:rsidRDefault="000F1A1B"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(2.188)</w:t>
            </w:r>
            <w:r w:rsidRPr="00FE771B">
              <w:rPr>
                <w:rFonts w:ascii="Times New Roman" w:hAnsi="Times New Roman" w:cs="Times New Roman"/>
                <w:color w:val="000000" w:themeColor="text1"/>
                <w:kern w:val="0"/>
                <w:sz w:val="18"/>
                <w:szCs w:val="18"/>
                <w:vertAlign w:val="superscript"/>
              </w:rPr>
              <w:t>**</w:t>
            </w:r>
          </w:p>
        </w:tc>
        <w:tc>
          <w:tcPr>
            <w:tcW w:w="447" w:type="pct"/>
            <w:tcBorders>
              <w:top w:val="nil"/>
              <w:left w:val="single" w:sz="4" w:space="0" w:color="auto"/>
              <w:bottom w:val="single" w:sz="4" w:space="0" w:color="auto"/>
              <w:right w:val="single" w:sz="4" w:space="0" w:color="auto"/>
            </w:tcBorders>
          </w:tcPr>
          <w:p w:rsidR="000F1A1B" w:rsidRPr="00FE771B" w:rsidRDefault="000F1A1B"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(2.073)</w:t>
            </w:r>
            <w:r w:rsidRPr="00FE771B">
              <w:rPr>
                <w:rFonts w:ascii="Times New Roman" w:hAnsi="Times New Roman" w:cs="Times New Roman"/>
                <w:color w:val="000000" w:themeColor="text1"/>
                <w:kern w:val="0"/>
                <w:sz w:val="18"/>
                <w:szCs w:val="18"/>
                <w:vertAlign w:val="superscript"/>
              </w:rPr>
              <w:t>**</w:t>
            </w:r>
          </w:p>
        </w:tc>
        <w:tc>
          <w:tcPr>
            <w:tcW w:w="447" w:type="pct"/>
            <w:tcBorders>
              <w:top w:val="nil"/>
              <w:left w:val="single" w:sz="4" w:space="0" w:color="auto"/>
              <w:bottom w:val="single" w:sz="4" w:space="0" w:color="auto"/>
              <w:right w:val="single" w:sz="4" w:space="0" w:color="auto"/>
            </w:tcBorders>
          </w:tcPr>
          <w:p w:rsidR="000F1A1B" w:rsidRPr="00FE771B" w:rsidRDefault="000F1A1B"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(1.776)</w:t>
            </w:r>
            <w:r w:rsidRPr="00FE771B">
              <w:rPr>
                <w:rFonts w:ascii="Times New Roman" w:hAnsi="Times New Roman" w:cs="Times New Roman"/>
                <w:color w:val="000000" w:themeColor="text1"/>
                <w:kern w:val="0"/>
                <w:sz w:val="18"/>
                <w:szCs w:val="18"/>
                <w:vertAlign w:val="superscript"/>
              </w:rPr>
              <w:t>*</w:t>
            </w:r>
          </w:p>
        </w:tc>
        <w:tc>
          <w:tcPr>
            <w:tcW w:w="447" w:type="pct"/>
            <w:tcBorders>
              <w:top w:val="nil"/>
              <w:left w:val="single" w:sz="4" w:space="0" w:color="auto"/>
              <w:bottom w:val="single" w:sz="4" w:space="0" w:color="auto"/>
              <w:right w:val="single" w:sz="4" w:space="0" w:color="auto"/>
            </w:tcBorders>
          </w:tcPr>
          <w:p w:rsidR="000F1A1B" w:rsidRPr="00FE771B" w:rsidRDefault="000F1A1B"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(1.733)</w:t>
            </w:r>
            <w:r w:rsidRPr="00FE771B">
              <w:rPr>
                <w:rFonts w:ascii="Times New Roman" w:hAnsi="Times New Roman" w:cs="Times New Roman"/>
                <w:color w:val="000000" w:themeColor="text1"/>
                <w:kern w:val="0"/>
                <w:sz w:val="18"/>
                <w:szCs w:val="18"/>
                <w:vertAlign w:val="superscript"/>
              </w:rPr>
              <w:t>*</w:t>
            </w:r>
          </w:p>
        </w:tc>
        <w:tc>
          <w:tcPr>
            <w:tcW w:w="447" w:type="pct"/>
            <w:tcBorders>
              <w:top w:val="nil"/>
              <w:left w:val="single" w:sz="4" w:space="0" w:color="auto"/>
              <w:bottom w:val="single" w:sz="4" w:space="0" w:color="auto"/>
              <w:right w:val="single" w:sz="4" w:space="0" w:color="auto"/>
            </w:tcBorders>
          </w:tcPr>
          <w:p w:rsidR="000F1A1B" w:rsidRPr="00FE771B" w:rsidRDefault="000F1A1B"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(2.007)</w:t>
            </w:r>
            <w:r w:rsidRPr="00FE771B">
              <w:rPr>
                <w:rFonts w:ascii="Times New Roman" w:hAnsi="Times New Roman" w:cs="Times New Roman"/>
                <w:color w:val="000000" w:themeColor="text1"/>
                <w:kern w:val="0"/>
                <w:sz w:val="18"/>
                <w:szCs w:val="18"/>
                <w:vertAlign w:val="superscript"/>
              </w:rPr>
              <w:t>**</w:t>
            </w:r>
          </w:p>
        </w:tc>
        <w:tc>
          <w:tcPr>
            <w:tcW w:w="444" w:type="pct"/>
            <w:tcBorders>
              <w:top w:val="nil"/>
              <w:left w:val="single" w:sz="4" w:space="0" w:color="auto"/>
              <w:bottom w:val="single" w:sz="4" w:space="0" w:color="auto"/>
              <w:right w:val="nil"/>
            </w:tcBorders>
          </w:tcPr>
          <w:p w:rsidR="000F1A1B" w:rsidRPr="00FE771B" w:rsidRDefault="000F1A1B"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(1.968)</w:t>
            </w:r>
            <w:r w:rsidRPr="00FE771B">
              <w:rPr>
                <w:rFonts w:ascii="Times New Roman" w:hAnsi="Times New Roman" w:cs="Times New Roman"/>
                <w:color w:val="000000" w:themeColor="text1"/>
                <w:kern w:val="0"/>
                <w:sz w:val="18"/>
                <w:szCs w:val="18"/>
                <w:vertAlign w:val="superscript"/>
              </w:rPr>
              <w:t>**</w:t>
            </w:r>
          </w:p>
        </w:tc>
      </w:tr>
      <w:tr w:rsidR="00504F51" w:rsidRPr="00FE771B" w:rsidTr="001569B2">
        <w:trPr>
          <w:jc w:val="center"/>
        </w:trPr>
        <w:tc>
          <w:tcPr>
            <w:tcW w:w="533" w:type="pct"/>
            <w:tcBorders>
              <w:top w:val="single" w:sz="4" w:space="0" w:color="auto"/>
              <w:left w:val="nil"/>
              <w:bottom w:val="nil"/>
              <w:right w:val="single" w:sz="4" w:space="0" w:color="auto"/>
            </w:tcBorders>
          </w:tcPr>
          <w:p w:rsidR="000F1A1B" w:rsidRPr="00FE771B" w:rsidRDefault="000F1A1B" w:rsidP="005376F9">
            <w:pPr>
              <w:autoSpaceDE w:val="0"/>
              <w:autoSpaceDN w:val="0"/>
              <w:adjustRightInd w:val="0"/>
              <w:jc w:val="left"/>
              <w:rPr>
                <w:rFonts w:ascii="Times New Roman" w:hAnsi="Times New Roman" w:cs="Times New Roman"/>
                <w:i/>
                <w:color w:val="000000" w:themeColor="text1"/>
                <w:kern w:val="0"/>
                <w:sz w:val="18"/>
                <w:szCs w:val="18"/>
              </w:rPr>
            </w:pPr>
            <w:proofErr w:type="spellStart"/>
            <w:r w:rsidRPr="00FE771B">
              <w:rPr>
                <w:rFonts w:ascii="Times New Roman" w:hAnsi="Times New Roman" w:cs="Times New Roman"/>
                <w:i/>
                <w:color w:val="000000" w:themeColor="text1"/>
                <w:kern w:val="0"/>
                <w:sz w:val="18"/>
                <w:szCs w:val="18"/>
              </w:rPr>
              <w:t>Vam_numbers</w:t>
            </w:r>
            <w:proofErr w:type="spellEnd"/>
          </w:p>
        </w:tc>
        <w:tc>
          <w:tcPr>
            <w:tcW w:w="447" w:type="pct"/>
            <w:tcBorders>
              <w:top w:val="single" w:sz="4" w:space="0" w:color="auto"/>
              <w:left w:val="single" w:sz="4" w:space="0" w:color="auto"/>
              <w:bottom w:val="nil"/>
              <w:right w:val="single" w:sz="4" w:space="0" w:color="auto"/>
            </w:tcBorders>
          </w:tcPr>
          <w:p w:rsidR="000F1A1B" w:rsidRPr="00FE771B" w:rsidRDefault="000F1A1B"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0.0116</w:t>
            </w:r>
          </w:p>
        </w:tc>
        <w:tc>
          <w:tcPr>
            <w:tcW w:w="447" w:type="pct"/>
            <w:tcBorders>
              <w:top w:val="single" w:sz="4" w:space="0" w:color="auto"/>
              <w:left w:val="single" w:sz="4" w:space="0" w:color="auto"/>
              <w:bottom w:val="nil"/>
              <w:right w:val="single" w:sz="4" w:space="0" w:color="auto"/>
            </w:tcBorders>
          </w:tcPr>
          <w:p w:rsidR="000F1A1B" w:rsidRPr="00FE771B" w:rsidRDefault="000F1A1B"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0.0233</w:t>
            </w:r>
          </w:p>
        </w:tc>
        <w:tc>
          <w:tcPr>
            <w:tcW w:w="447" w:type="pct"/>
            <w:tcBorders>
              <w:top w:val="single" w:sz="4" w:space="0" w:color="auto"/>
              <w:left w:val="single" w:sz="4" w:space="0" w:color="auto"/>
              <w:bottom w:val="nil"/>
              <w:right w:val="single" w:sz="4" w:space="0" w:color="auto"/>
            </w:tcBorders>
          </w:tcPr>
          <w:p w:rsidR="000F1A1B" w:rsidRPr="00FE771B" w:rsidRDefault="000F1A1B"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0.0241</w:t>
            </w:r>
          </w:p>
        </w:tc>
        <w:tc>
          <w:tcPr>
            <w:tcW w:w="447" w:type="pct"/>
            <w:tcBorders>
              <w:top w:val="single" w:sz="4" w:space="0" w:color="auto"/>
              <w:left w:val="single" w:sz="4" w:space="0" w:color="auto"/>
              <w:bottom w:val="nil"/>
              <w:right w:val="single" w:sz="4" w:space="0" w:color="auto"/>
            </w:tcBorders>
          </w:tcPr>
          <w:p w:rsidR="000F1A1B" w:rsidRPr="00FE771B" w:rsidRDefault="000F1A1B"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0.0258</w:t>
            </w:r>
          </w:p>
        </w:tc>
        <w:tc>
          <w:tcPr>
            <w:tcW w:w="447" w:type="pct"/>
            <w:tcBorders>
              <w:top w:val="single" w:sz="4" w:space="0" w:color="auto"/>
              <w:left w:val="single" w:sz="4" w:space="0" w:color="auto"/>
              <w:bottom w:val="nil"/>
              <w:right w:val="single" w:sz="4" w:space="0" w:color="auto"/>
            </w:tcBorders>
          </w:tcPr>
          <w:p w:rsidR="000F1A1B" w:rsidRPr="00FE771B" w:rsidRDefault="000F1A1B"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0.0271</w:t>
            </w:r>
          </w:p>
        </w:tc>
        <w:tc>
          <w:tcPr>
            <w:tcW w:w="447" w:type="pct"/>
            <w:tcBorders>
              <w:top w:val="single" w:sz="4" w:space="0" w:color="auto"/>
              <w:left w:val="single" w:sz="4" w:space="0" w:color="auto"/>
              <w:bottom w:val="nil"/>
              <w:right w:val="single" w:sz="4" w:space="0" w:color="auto"/>
            </w:tcBorders>
          </w:tcPr>
          <w:p w:rsidR="000F1A1B" w:rsidRPr="00FE771B" w:rsidRDefault="000F1A1B"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0.0271</w:t>
            </w:r>
          </w:p>
        </w:tc>
        <w:tc>
          <w:tcPr>
            <w:tcW w:w="447" w:type="pct"/>
            <w:tcBorders>
              <w:top w:val="single" w:sz="4" w:space="0" w:color="auto"/>
              <w:left w:val="single" w:sz="4" w:space="0" w:color="auto"/>
              <w:bottom w:val="nil"/>
              <w:right w:val="single" w:sz="4" w:space="0" w:color="auto"/>
            </w:tcBorders>
          </w:tcPr>
          <w:p w:rsidR="000F1A1B" w:rsidRPr="00FE771B" w:rsidRDefault="000F1A1B"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0.0258</w:t>
            </w:r>
          </w:p>
        </w:tc>
        <w:tc>
          <w:tcPr>
            <w:tcW w:w="447" w:type="pct"/>
            <w:tcBorders>
              <w:top w:val="single" w:sz="4" w:space="0" w:color="auto"/>
              <w:left w:val="single" w:sz="4" w:space="0" w:color="auto"/>
              <w:bottom w:val="nil"/>
              <w:right w:val="single" w:sz="4" w:space="0" w:color="auto"/>
            </w:tcBorders>
          </w:tcPr>
          <w:p w:rsidR="000F1A1B" w:rsidRPr="00FE771B" w:rsidRDefault="000F1A1B"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0.0258</w:t>
            </w:r>
          </w:p>
        </w:tc>
        <w:tc>
          <w:tcPr>
            <w:tcW w:w="447" w:type="pct"/>
            <w:tcBorders>
              <w:top w:val="single" w:sz="4" w:space="0" w:color="auto"/>
              <w:left w:val="single" w:sz="4" w:space="0" w:color="auto"/>
              <w:bottom w:val="nil"/>
              <w:right w:val="single" w:sz="4" w:space="0" w:color="auto"/>
            </w:tcBorders>
          </w:tcPr>
          <w:p w:rsidR="000F1A1B" w:rsidRPr="00FE771B" w:rsidRDefault="000F1A1B"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0.0271</w:t>
            </w:r>
          </w:p>
        </w:tc>
        <w:tc>
          <w:tcPr>
            <w:tcW w:w="444" w:type="pct"/>
            <w:tcBorders>
              <w:top w:val="single" w:sz="4" w:space="0" w:color="auto"/>
              <w:left w:val="single" w:sz="4" w:space="0" w:color="auto"/>
              <w:bottom w:val="nil"/>
              <w:right w:val="nil"/>
            </w:tcBorders>
          </w:tcPr>
          <w:p w:rsidR="000F1A1B" w:rsidRPr="00FE771B" w:rsidRDefault="000F1A1B"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0.0267</w:t>
            </w:r>
          </w:p>
        </w:tc>
      </w:tr>
      <w:tr w:rsidR="00504F51" w:rsidRPr="00FE771B" w:rsidTr="001569B2">
        <w:trPr>
          <w:jc w:val="center"/>
        </w:trPr>
        <w:tc>
          <w:tcPr>
            <w:tcW w:w="533" w:type="pct"/>
            <w:tcBorders>
              <w:top w:val="nil"/>
              <w:left w:val="nil"/>
              <w:bottom w:val="single" w:sz="4" w:space="0" w:color="auto"/>
              <w:right w:val="single" w:sz="4" w:space="0" w:color="auto"/>
            </w:tcBorders>
          </w:tcPr>
          <w:p w:rsidR="000F1A1B" w:rsidRPr="00FE771B" w:rsidRDefault="000F1A1B" w:rsidP="005376F9">
            <w:pPr>
              <w:autoSpaceDE w:val="0"/>
              <w:autoSpaceDN w:val="0"/>
              <w:adjustRightInd w:val="0"/>
              <w:jc w:val="left"/>
              <w:rPr>
                <w:rFonts w:ascii="Times New Roman" w:hAnsi="Times New Roman" w:cs="Times New Roman"/>
                <w:i/>
                <w:color w:val="000000" w:themeColor="text1"/>
                <w:kern w:val="0"/>
                <w:sz w:val="18"/>
                <w:szCs w:val="18"/>
              </w:rPr>
            </w:pPr>
          </w:p>
        </w:tc>
        <w:tc>
          <w:tcPr>
            <w:tcW w:w="447" w:type="pct"/>
            <w:tcBorders>
              <w:top w:val="nil"/>
              <w:left w:val="single" w:sz="4" w:space="0" w:color="auto"/>
              <w:bottom w:val="single" w:sz="4" w:space="0" w:color="auto"/>
              <w:right w:val="single" w:sz="4" w:space="0" w:color="auto"/>
            </w:tcBorders>
          </w:tcPr>
          <w:p w:rsidR="000F1A1B" w:rsidRPr="00FE771B" w:rsidRDefault="000F1A1B"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(1.877)</w:t>
            </w:r>
            <w:r w:rsidRPr="00FE771B">
              <w:rPr>
                <w:rFonts w:ascii="Times New Roman" w:hAnsi="Times New Roman" w:cs="Times New Roman"/>
                <w:color w:val="000000" w:themeColor="text1"/>
                <w:kern w:val="0"/>
                <w:sz w:val="18"/>
                <w:szCs w:val="18"/>
                <w:vertAlign w:val="superscript"/>
              </w:rPr>
              <w:t>*</w:t>
            </w:r>
          </w:p>
        </w:tc>
        <w:tc>
          <w:tcPr>
            <w:tcW w:w="447" w:type="pct"/>
            <w:tcBorders>
              <w:top w:val="nil"/>
              <w:left w:val="single" w:sz="4" w:space="0" w:color="auto"/>
              <w:bottom w:val="single" w:sz="4" w:space="0" w:color="auto"/>
              <w:right w:val="single" w:sz="4" w:space="0" w:color="auto"/>
            </w:tcBorders>
          </w:tcPr>
          <w:p w:rsidR="000F1A1B" w:rsidRPr="00FE771B" w:rsidRDefault="000F1A1B"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(3.471)</w:t>
            </w:r>
            <w:r w:rsidRPr="00FE771B">
              <w:rPr>
                <w:rFonts w:ascii="Times New Roman" w:hAnsi="Times New Roman" w:cs="Times New Roman"/>
                <w:color w:val="000000" w:themeColor="text1"/>
                <w:kern w:val="0"/>
                <w:sz w:val="18"/>
                <w:szCs w:val="18"/>
                <w:vertAlign w:val="superscript"/>
              </w:rPr>
              <w:t>***</w:t>
            </w:r>
          </w:p>
        </w:tc>
        <w:tc>
          <w:tcPr>
            <w:tcW w:w="447" w:type="pct"/>
            <w:tcBorders>
              <w:top w:val="nil"/>
              <w:left w:val="single" w:sz="4" w:space="0" w:color="auto"/>
              <w:bottom w:val="single" w:sz="4" w:space="0" w:color="auto"/>
              <w:right w:val="single" w:sz="4" w:space="0" w:color="auto"/>
            </w:tcBorders>
          </w:tcPr>
          <w:p w:rsidR="000F1A1B" w:rsidRPr="00FE771B" w:rsidRDefault="000F1A1B"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(3.590)</w:t>
            </w:r>
            <w:r w:rsidRPr="00FE771B">
              <w:rPr>
                <w:rFonts w:ascii="Times New Roman" w:hAnsi="Times New Roman" w:cs="Times New Roman"/>
                <w:color w:val="000000" w:themeColor="text1"/>
                <w:kern w:val="0"/>
                <w:sz w:val="18"/>
                <w:szCs w:val="18"/>
                <w:vertAlign w:val="superscript"/>
              </w:rPr>
              <w:t>***</w:t>
            </w:r>
          </w:p>
        </w:tc>
        <w:tc>
          <w:tcPr>
            <w:tcW w:w="447" w:type="pct"/>
            <w:tcBorders>
              <w:top w:val="nil"/>
              <w:left w:val="single" w:sz="4" w:space="0" w:color="auto"/>
              <w:bottom w:val="single" w:sz="4" w:space="0" w:color="auto"/>
              <w:right w:val="single" w:sz="4" w:space="0" w:color="auto"/>
            </w:tcBorders>
          </w:tcPr>
          <w:p w:rsidR="000F1A1B" w:rsidRPr="00FE771B" w:rsidRDefault="000F1A1B"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(3.828)</w:t>
            </w:r>
            <w:r w:rsidRPr="00FE771B">
              <w:rPr>
                <w:rFonts w:ascii="Times New Roman" w:hAnsi="Times New Roman" w:cs="Times New Roman"/>
                <w:color w:val="000000" w:themeColor="text1"/>
                <w:kern w:val="0"/>
                <w:sz w:val="18"/>
                <w:szCs w:val="18"/>
                <w:vertAlign w:val="superscript"/>
              </w:rPr>
              <w:t>***</w:t>
            </w:r>
          </w:p>
        </w:tc>
        <w:tc>
          <w:tcPr>
            <w:tcW w:w="447" w:type="pct"/>
            <w:tcBorders>
              <w:top w:val="nil"/>
              <w:left w:val="single" w:sz="4" w:space="0" w:color="auto"/>
              <w:bottom w:val="single" w:sz="4" w:space="0" w:color="auto"/>
              <w:right w:val="single" w:sz="4" w:space="0" w:color="auto"/>
            </w:tcBorders>
          </w:tcPr>
          <w:p w:rsidR="000F1A1B" w:rsidRPr="00FE771B" w:rsidRDefault="000F1A1B"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(4.006)</w:t>
            </w:r>
            <w:r w:rsidRPr="00FE771B">
              <w:rPr>
                <w:rFonts w:ascii="Times New Roman" w:hAnsi="Times New Roman" w:cs="Times New Roman"/>
                <w:color w:val="000000" w:themeColor="text1"/>
                <w:kern w:val="0"/>
                <w:sz w:val="18"/>
                <w:szCs w:val="18"/>
                <w:vertAlign w:val="superscript"/>
              </w:rPr>
              <w:t>***</w:t>
            </w:r>
          </w:p>
        </w:tc>
        <w:tc>
          <w:tcPr>
            <w:tcW w:w="447" w:type="pct"/>
            <w:tcBorders>
              <w:top w:val="nil"/>
              <w:left w:val="single" w:sz="4" w:space="0" w:color="auto"/>
              <w:bottom w:val="single" w:sz="4" w:space="0" w:color="auto"/>
              <w:right w:val="single" w:sz="4" w:space="0" w:color="auto"/>
            </w:tcBorders>
          </w:tcPr>
          <w:p w:rsidR="000F1A1B" w:rsidRPr="00FE771B" w:rsidRDefault="000F1A1B"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(3.988)</w:t>
            </w:r>
            <w:r w:rsidRPr="00FE771B">
              <w:rPr>
                <w:rFonts w:ascii="Times New Roman" w:hAnsi="Times New Roman" w:cs="Times New Roman"/>
                <w:color w:val="000000" w:themeColor="text1"/>
                <w:kern w:val="0"/>
                <w:sz w:val="18"/>
                <w:szCs w:val="18"/>
                <w:vertAlign w:val="superscript"/>
              </w:rPr>
              <w:t>***</w:t>
            </w:r>
          </w:p>
        </w:tc>
        <w:tc>
          <w:tcPr>
            <w:tcW w:w="447" w:type="pct"/>
            <w:tcBorders>
              <w:top w:val="nil"/>
              <w:left w:val="single" w:sz="4" w:space="0" w:color="auto"/>
              <w:bottom w:val="single" w:sz="4" w:space="0" w:color="auto"/>
              <w:right w:val="single" w:sz="4" w:space="0" w:color="auto"/>
            </w:tcBorders>
          </w:tcPr>
          <w:p w:rsidR="000F1A1B" w:rsidRPr="00FE771B" w:rsidRDefault="000F1A1B"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(3.680)</w:t>
            </w:r>
            <w:r w:rsidRPr="00FE771B">
              <w:rPr>
                <w:rFonts w:ascii="Times New Roman" w:hAnsi="Times New Roman" w:cs="Times New Roman"/>
                <w:color w:val="000000" w:themeColor="text1"/>
                <w:kern w:val="0"/>
                <w:sz w:val="18"/>
                <w:szCs w:val="18"/>
                <w:vertAlign w:val="superscript"/>
              </w:rPr>
              <w:t>***</w:t>
            </w:r>
          </w:p>
        </w:tc>
        <w:tc>
          <w:tcPr>
            <w:tcW w:w="447" w:type="pct"/>
            <w:tcBorders>
              <w:top w:val="nil"/>
              <w:left w:val="single" w:sz="4" w:space="0" w:color="auto"/>
              <w:bottom w:val="single" w:sz="4" w:space="0" w:color="auto"/>
              <w:right w:val="single" w:sz="4" w:space="0" w:color="auto"/>
            </w:tcBorders>
          </w:tcPr>
          <w:p w:rsidR="000F1A1B" w:rsidRPr="00FE771B" w:rsidRDefault="000F1A1B"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(3.656)</w:t>
            </w:r>
            <w:r w:rsidRPr="00FE771B">
              <w:rPr>
                <w:rFonts w:ascii="Times New Roman" w:hAnsi="Times New Roman" w:cs="Times New Roman"/>
                <w:color w:val="000000" w:themeColor="text1"/>
                <w:kern w:val="0"/>
                <w:sz w:val="18"/>
                <w:szCs w:val="18"/>
                <w:vertAlign w:val="superscript"/>
              </w:rPr>
              <w:t>***</w:t>
            </w:r>
          </w:p>
        </w:tc>
        <w:tc>
          <w:tcPr>
            <w:tcW w:w="447" w:type="pct"/>
            <w:tcBorders>
              <w:top w:val="nil"/>
              <w:left w:val="single" w:sz="4" w:space="0" w:color="auto"/>
              <w:bottom w:val="single" w:sz="4" w:space="0" w:color="auto"/>
              <w:right w:val="single" w:sz="4" w:space="0" w:color="auto"/>
            </w:tcBorders>
          </w:tcPr>
          <w:p w:rsidR="000F1A1B" w:rsidRPr="00FE771B" w:rsidRDefault="000F1A1B"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(3.851)</w:t>
            </w:r>
            <w:r w:rsidRPr="00FE771B">
              <w:rPr>
                <w:rFonts w:ascii="Times New Roman" w:hAnsi="Times New Roman" w:cs="Times New Roman"/>
                <w:color w:val="000000" w:themeColor="text1"/>
                <w:kern w:val="0"/>
                <w:sz w:val="18"/>
                <w:szCs w:val="18"/>
                <w:vertAlign w:val="superscript"/>
              </w:rPr>
              <w:t>***</w:t>
            </w:r>
          </w:p>
        </w:tc>
        <w:tc>
          <w:tcPr>
            <w:tcW w:w="444" w:type="pct"/>
            <w:tcBorders>
              <w:top w:val="nil"/>
              <w:left w:val="single" w:sz="4" w:space="0" w:color="auto"/>
              <w:bottom w:val="single" w:sz="4" w:space="0" w:color="auto"/>
              <w:right w:val="nil"/>
            </w:tcBorders>
          </w:tcPr>
          <w:p w:rsidR="000F1A1B" w:rsidRPr="00FE771B" w:rsidRDefault="000F1A1B"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(3.792)</w:t>
            </w:r>
            <w:r w:rsidRPr="00FE771B">
              <w:rPr>
                <w:rFonts w:ascii="Times New Roman" w:hAnsi="Times New Roman" w:cs="Times New Roman"/>
                <w:color w:val="000000" w:themeColor="text1"/>
                <w:kern w:val="0"/>
                <w:sz w:val="18"/>
                <w:szCs w:val="18"/>
                <w:vertAlign w:val="superscript"/>
              </w:rPr>
              <w:t>***</w:t>
            </w:r>
          </w:p>
        </w:tc>
      </w:tr>
    </w:tbl>
    <w:p w:rsidR="00CD2630" w:rsidRPr="00FE771B" w:rsidRDefault="00CD2630" w:rsidP="00CD2630">
      <w:pPr>
        <w:rPr>
          <w:rFonts w:ascii="Times New Roman" w:hAnsi="Times New Roman" w:cs="Times New Roman"/>
          <w:color w:val="FF0000"/>
        </w:rPr>
      </w:pPr>
    </w:p>
    <w:p w:rsidR="008810E1" w:rsidRPr="00FE771B" w:rsidRDefault="00E14128" w:rsidP="00EE0516">
      <w:pPr>
        <w:pStyle w:val="20"/>
        <w:ind w:firstLine="422"/>
        <w:rPr>
          <w:b/>
        </w:rPr>
      </w:pPr>
      <w:r w:rsidRPr="00FE771B">
        <w:rPr>
          <w:b/>
        </w:rPr>
        <w:t>(</w:t>
      </w:r>
      <w:r w:rsidRPr="00FE771B">
        <w:rPr>
          <w:b/>
        </w:rPr>
        <w:t>四</w:t>
      </w:r>
      <w:r w:rsidRPr="00FE771B">
        <w:rPr>
          <w:b/>
        </w:rPr>
        <w:t>)</w:t>
      </w:r>
      <w:r w:rsidR="008810E1" w:rsidRPr="00FE771B">
        <w:rPr>
          <w:b/>
        </w:rPr>
        <w:t>内生性考虑</w:t>
      </w:r>
    </w:p>
    <w:p w:rsidR="004C2D74" w:rsidRPr="00FE771B" w:rsidRDefault="004C2D74" w:rsidP="003C48F3">
      <w:pPr>
        <w:ind w:firstLineChars="200" w:firstLine="420"/>
        <w:rPr>
          <w:rFonts w:ascii="Times New Roman" w:hAnsi="Times New Roman" w:cs="Times New Roman"/>
        </w:rPr>
      </w:pPr>
      <w:r w:rsidRPr="00FE771B">
        <w:rPr>
          <w:rFonts w:ascii="Times New Roman" w:hAnsi="Times New Roman" w:cs="Times New Roman"/>
        </w:rPr>
        <w:t>本文采取两种方法降低可能存在的内生性问题所致的回归结果偏误问题。</w:t>
      </w:r>
    </w:p>
    <w:p w:rsidR="008810E1" w:rsidRPr="00FE771B" w:rsidRDefault="00E14128" w:rsidP="003C48F3">
      <w:pPr>
        <w:ind w:firstLineChars="200" w:firstLine="420"/>
        <w:rPr>
          <w:rFonts w:ascii="Times New Roman" w:hAnsi="Times New Roman" w:cs="Times New Roman"/>
        </w:rPr>
      </w:pPr>
      <w:r w:rsidRPr="00316147">
        <w:rPr>
          <w:rFonts w:ascii="楷体" w:eastAsia="楷体" w:hAnsi="楷体" w:cs="Times New Roman"/>
        </w:rPr>
        <w:t>1.</w:t>
      </w:r>
      <w:r w:rsidR="003C48F3" w:rsidRPr="00316147">
        <w:rPr>
          <w:rFonts w:ascii="楷体" w:eastAsia="楷体" w:hAnsi="楷体" w:cs="Times New Roman"/>
        </w:rPr>
        <w:t>工具变量法。</w:t>
      </w:r>
      <w:r w:rsidR="003C72DA" w:rsidRPr="00FE771B">
        <w:rPr>
          <w:rFonts w:ascii="Times New Roman" w:hAnsi="Times New Roman" w:cs="Times New Roman"/>
        </w:rPr>
        <w:t>本文的核心解释变量业绩承诺可能存在内生性问题。虽然根据我们的理论分析业绩承诺能够加剧上市公司金融</w:t>
      </w:r>
      <w:r w:rsidR="000824A3" w:rsidRPr="00FE771B">
        <w:rPr>
          <w:rFonts w:ascii="Times New Roman" w:hAnsi="Times New Roman" w:cs="Times New Roman"/>
        </w:rPr>
        <w:t>投资偏好，造成企业</w:t>
      </w:r>
      <w:r w:rsidR="000824A3" w:rsidRPr="00FE771B">
        <w:rPr>
          <w:rFonts w:ascii="Times New Roman" w:hAnsi="Times New Roman" w:cs="Times New Roman"/>
        </w:rPr>
        <w:t>“</w:t>
      </w:r>
      <w:r w:rsidR="000824A3" w:rsidRPr="00FE771B">
        <w:rPr>
          <w:rFonts w:ascii="Times New Roman" w:hAnsi="Times New Roman" w:cs="Times New Roman"/>
        </w:rPr>
        <w:t>脱实向虚</w:t>
      </w:r>
      <w:r w:rsidR="000824A3" w:rsidRPr="00FE771B">
        <w:rPr>
          <w:rFonts w:ascii="Times New Roman" w:hAnsi="Times New Roman" w:cs="Times New Roman"/>
        </w:rPr>
        <w:t>”</w:t>
      </w:r>
      <w:r w:rsidR="000824A3" w:rsidRPr="00FE771B">
        <w:rPr>
          <w:rFonts w:ascii="Times New Roman" w:hAnsi="Times New Roman" w:cs="Times New Roman"/>
        </w:rPr>
        <w:t>，但金融化程度较高的企业也可能在并购中更有意愿签订业绩承诺协议，其因由之：金融化程度较高的企业一般</w:t>
      </w:r>
      <w:r w:rsidR="000824A3" w:rsidRPr="00FE771B">
        <w:rPr>
          <w:rFonts w:ascii="Times New Roman" w:hAnsi="Times New Roman" w:cs="Times New Roman"/>
        </w:rPr>
        <w:lastRenderedPageBreak/>
        <w:t>主营业务都羸弱，在大股东或控股股东占据主导的第二类代理问题突出情况下，通过签订高额业绩承诺协议有利于实现大股东个人利益。为了防止此类可能存在的逆向因果关系所致的内生性问题，本文采取工具变量法对此进行两阶段最小二乘检验。</w:t>
      </w:r>
      <w:r w:rsidR="000824A3" w:rsidRPr="00FE771B">
        <w:rPr>
          <w:rFonts w:ascii="Times New Roman" w:hAnsi="Times New Roman" w:cs="Times New Roman"/>
          <w:color w:val="000000" w:themeColor="text1"/>
        </w:rPr>
        <w:t>我们使用分行业业绩承诺</w:t>
      </w:r>
      <w:r w:rsidR="004C65D1" w:rsidRPr="00FE771B">
        <w:rPr>
          <w:rFonts w:ascii="Times New Roman" w:hAnsi="Times New Roman" w:cs="Times New Roman"/>
          <w:color w:val="000000" w:themeColor="text1"/>
        </w:rPr>
        <w:t>平均值</w:t>
      </w:r>
      <w:proofErr w:type="gramStart"/>
      <w:r w:rsidR="004C65D1" w:rsidRPr="00FE771B">
        <w:rPr>
          <w:rFonts w:ascii="Times New Roman" w:hAnsi="Times New Roman" w:cs="Times New Roman"/>
          <w:color w:val="000000" w:themeColor="text1"/>
        </w:rPr>
        <w:t>来作</w:t>
      </w:r>
      <w:proofErr w:type="gramEnd"/>
      <w:r w:rsidR="004C65D1" w:rsidRPr="00FE771B">
        <w:rPr>
          <w:rFonts w:ascii="Times New Roman" w:hAnsi="Times New Roman" w:cs="Times New Roman"/>
          <w:color w:val="000000" w:themeColor="text1"/>
        </w:rPr>
        <w:t>为业绩承诺的工具变量，</w:t>
      </w:r>
      <w:r w:rsidR="00F04168" w:rsidRPr="00FE771B">
        <w:rPr>
          <w:rFonts w:ascii="Times New Roman" w:hAnsi="Times New Roman" w:cs="Times New Roman"/>
          <w:color w:val="000000" w:themeColor="text1"/>
        </w:rPr>
        <w:t>一般而言行业内业绩承诺数量与企业密切相关，但同时企业是否发生并购并</w:t>
      </w:r>
      <w:r w:rsidR="00104EB3" w:rsidRPr="00FE771B">
        <w:rPr>
          <w:rFonts w:ascii="Times New Roman" w:hAnsi="Times New Roman" w:cs="Times New Roman"/>
          <w:color w:val="000000" w:themeColor="text1"/>
        </w:rPr>
        <w:t>签订业绩承诺协议</w:t>
      </w:r>
      <w:r w:rsidR="00F04168" w:rsidRPr="00FE771B">
        <w:rPr>
          <w:rFonts w:ascii="Times New Roman" w:hAnsi="Times New Roman" w:cs="Times New Roman"/>
          <w:color w:val="000000" w:themeColor="text1"/>
        </w:rPr>
        <w:t>却是企业个体行为</w:t>
      </w:r>
      <w:r w:rsidR="00104EB3" w:rsidRPr="00FE771B">
        <w:rPr>
          <w:rFonts w:ascii="Times New Roman" w:hAnsi="Times New Roman" w:cs="Times New Roman"/>
          <w:color w:val="000000" w:themeColor="text1"/>
        </w:rPr>
        <w:t>，</w:t>
      </w:r>
      <w:r w:rsidR="00F04168" w:rsidRPr="00FE771B">
        <w:rPr>
          <w:rFonts w:ascii="Times New Roman" w:hAnsi="Times New Roman" w:cs="Times New Roman"/>
          <w:color w:val="000000" w:themeColor="text1"/>
        </w:rPr>
        <w:t>所以一定程度上具备工具变量的相关性和</w:t>
      </w:r>
      <w:r w:rsidR="00104EB3" w:rsidRPr="00FE771B">
        <w:rPr>
          <w:rFonts w:ascii="Times New Roman" w:hAnsi="Times New Roman" w:cs="Times New Roman"/>
          <w:color w:val="000000" w:themeColor="text1"/>
        </w:rPr>
        <w:t>外生性</w:t>
      </w:r>
      <w:r w:rsidR="00F04168" w:rsidRPr="00FE771B">
        <w:rPr>
          <w:rFonts w:ascii="Times New Roman" w:hAnsi="Times New Roman" w:cs="Times New Roman"/>
          <w:color w:val="000000" w:themeColor="text1"/>
        </w:rPr>
        <w:t>特质</w:t>
      </w:r>
      <w:r w:rsidR="00104EB3" w:rsidRPr="00FE771B">
        <w:rPr>
          <w:rFonts w:ascii="Times New Roman" w:hAnsi="Times New Roman" w:cs="Times New Roman"/>
          <w:color w:val="000000" w:themeColor="text1"/>
        </w:rPr>
        <w:t>。从表</w:t>
      </w:r>
      <w:r w:rsidR="008E31CA" w:rsidRPr="00FE771B">
        <w:rPr>
          <w:rFonts w:ascii="Times New Roman" w:hAnsi="Times New Roman" w:cs="Times New Roman"/>
          <w:color w:val="000000" w:themeColor="text1"/>
        </w:rPr>
        <w:t>7</w:t>
      </w:r>
      <w:r w:rsidR="00104EB3" w:rsidRPr="00FE771B">
        <w:rPr>
          <w:rFonts w:ascii="Times New Roman" w:hAnsi="Times New Roman" w:cs="Times New Roman"/>
          <w:color w:val="000000" w:themeColor="text1"/>
        </w:rPr>
        <w:t>工具变量</w:t>
      </w:r>
      <w:r w:rsidR="00104EB3" w:rsidRPr="00FE771B">
        <w:rPr>
          <w:rFonts w:ascii="Times New Roman" w:hAnsi="Times New Roman" w:cs="Times New Roman"/>
        </w:rPr>
        <w:t>估计结果看，回归系数方向和显著性基本保持不变，业绩承诺虚拟变量、业绩承诺次数与上市公司金融化之间依然是显著的负相关关系，这也说明回归结果是比较稳健的。此外，从表</w:t>
      </w:r>
      <w:r w:rsidR="008E31CA" w:rsidRPr="00FE771B">
        <w:rPr>
          <w:rFonts w:ascii="Times New Roman" w:hAnsi="Times New Roman" w:cs="Times New Roman"/>
        </w:rPr>
        <w:t>7</w:t>
      </w:r>
      <w:r w:rsidR="00104EB3" w:rsidRPr="00FE771B">
        <w:rPr>
          <w:rFonts w:ascii="Times New Roman" w:hAnsi="Times New Roman" w:cs="Times New Roman"/>
        </w:rPr>
        <w:t>底部可以发现工具变量选择上通过了识别不足和弱识别检验，此外由于我们仅仅选择了一个变量作为原变量的工具变量，因此不存在过度识别问题。</w:t>
      </w:r>
    </w:p>
    <w:p w:rsidR="003C48F3" w:rsidRPr="00FE771B" w:rsidRDefault="00104EB3" w:rsidP="00104EB3">
      <w:pPr>
        <w:jc w:val="center"/>
        <w:rPr>
          <w:rFonts w:ascii="Times New Roman" w:eastAsia="楷体" w:hAnsi="Times New Roman" w:cs="Times New Roman"/>
          <w:bCs/>
          <w:szCs w:val="21"/>
        </w:rPr>
      </w:pPr>
      <w:r w:rsidRPr="00FE771B">
        <w:rPr>
          <w:rFonts w:ascii="Times New Roman" w:eastAsia="楷体" w:hAnsi="Times New Roman" w:cs="Times New Roman"/>
          <w:bCs/>
          <w:szCs w:val="21"/>
        </w:rPr>
        <w:t>表</w:t>
      </w:r>
      <w:r w:rsidR="007E6BB1" w:rsidRPr="00FE771B">
        <w:rPr>
          <w:rFonts w:ascii="Times New Roman" w:eastAsia="楷体" w:hAnsi="Times New Roman" w:cs="Times New Roman"/>
          <w:bCs/>
          <w:szCs w:val="21"/>
        </w:rPr>
        <w:t xml:space="preserve">7 </w:t>
      </w:r>
      <w:r w:rsidRPr="00FE771B">
        <w:rPr>
          <w:rFonts w:ascii="Times New Roman" w:eastAsia="楷体" w:hAnsi="Times New Roman" w:cs="Times New Roman"/>
          <w:bCs/>
          <w:szCs w:val="21"/>
        </w:rPr>
        <w:t xml:space="preserve"> </w:t>
      </w:r>
      <w:r w:rsidR="00C55169" w:rsidRPr="00FE771B">
        <w:rPr>
          <w:rFonts w:ascii="Times New Roman" w:eastAsia="楷体" w:hAnsi="Times New Roman" w:cs="Times New Roman"/>
          <w:bCs/>
          <w:szCs w:val="21"/>
        </w:rPr>
        <w:t>内生性问题：工具变量回归</w:t>
      </w:r>
    </w:p>
    <w:tbl>
      <w:tblPr>
        <w:tblW w:w="5000" w:type="pct"/>
        <w:jc w:val="center"/>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2516"/>
        <w:gridCol w:w="1502"/>
        <w:gridCol w:w="1502"/>
        <w:gridCol w:w="1502"/>
        <w:gridCol w:w="1500"/>
      </w:tblGrid>
      <w:tr w:rsidR="00504F51" w:rsidRPr="00FE771B" w:rsidTr="00504F51">
        <w:trPr>
          <w:trHeight w:val="634"/>
          <w:jc w:val="center"/>
        </w:trPr>
        <w:tc>
          <w:tcPr>
            <w:tcW w:w="1476" w:type="pct"/>
            <w:tcBorders>
              <w:bottom w:val="single" w:sz="4" w:space="0" w:color="auto"/>
            </w:tcBorders>
          </w:tcPr>
          <w:p w:rsidR="00A65FE6" w:rsidRPr="00FE771B" w:rsidRDefault="00A65FE6" w:rsidP="00504F51">
            <w:pPr>
              <w:autoSpaceDE w:val="0"/>
              <w:autoSpaceDN w:val="0"/>
              <w:adjustRightInd w:val="0"/>
              <w:jc w:val="center"/>
              <w:rPr>
                <w:rFonts w:ascii="Times New Roman" w:hAnsi="Times New Roman" w:cs="Times New Roman"/>
                <w:color w:val="000000" w:themeColor="text1"/>
                <w:kern w:val="0"/>
                <w:sz w:val="18"/>
                <w:szCs w:val="18"/>
              </w:rPr>
            </w:pPr>
          </w:p>
        </w:tc>
        <w:tc>
          <w:tcPr>
            <w:tcW w:w="881" w:type="pct"/>
            <w:tcBorders>
              <w:bottom w:val="single" w:sz="4" w:space="0" w:color="auto"/>
            </w:tcBorders>
          </w:tcPr>
          <w:p w:rsidR="001569B2" w:rsidRPr="00FE771B" w:rsidRDefault="00A65FE6" w:rsidP="00A65FE6">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(1)</w:t>
            </w:r>
          </w:p>
          <w:p w:rsidR="00A65FE6" w:rsidRPr="00FE771B" w:rsidRDefault="001569B2" w:rsidP="0058388C">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i/>
                <w:iCs/>
                <w:color w:val="000000" w:themeColor="text1"/>
                <w:kern w:val="0"/>
                <w:sz w:val="18"/>
                <w:szCs w:val="18"/>
              </w:rPr>
              <w:t>Fin</w:t>
            </w:r>
          </w:p>
        </w:tc>
        <w:tc>
          <w:tcPr>
            <w:tcW w:w="881" w:type="pct"/>
            <w:tcBorders>
              <w:bottom w:val="single" w:sz="4" w:space="0" w:color="auto"/>
            </w:tcBorders>
          </w:tcPr>
          <w:p w:rsidR="001569B2" w:rsidRPr="00FE771B" w:rsidRDefault="00A65FE6" w:rsidP="00A65FE6">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(2)</w:t>
            </w:r>
          </w:p>
          <w:p w:rsidR="00A65FE6" w:rsidRPr="00FE771B" w:rsidRDefault="001569B2" w:rsidP="0058388C">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i/>
                <w:iCs/>
                <w:color w:val="000000" w:themeColor="text1"/>
                <w:kern w:val="0"/>
                <w:sz w:val="18"/>
                <w:szCs w:val="18"/>
              </w:rPr>
              <w:t>Fin</w:t>
            </w:r>
          </w:p>
        </w:tc>
        <w:tc>
          <w:tcPr>
            <w:tcW w:w="881" w:type="pct"/>
            <w:tcBorders>
              <w:bottom w:val="single" w:sz="4" w:space="0" w:color="auto"/>
            </w:tcBorders>
          </w:tcPr>
          <w:p w:rsidR="001569B2" w:rsidRPr="00FE771B" w:rsidRDefault="00A65FE6" w:rsidP="00A65FE6">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(3)</w:t>
            </w:r>
          </w:p>
          <w:p w:rsidR="00A65FE6" w:rsidRPr="00FE771B" w:rsidRDefault="001569B2" w:rsidP="0058388C">
            <w:pPr>
              <w:autoSpaceDE w:val="0"/>
              <w:autoSpaceDN w:val="0"/>
              <w:adjustRightInd w:val="0"/>
              <w:jc w:val="center"/>
              <w:rPr>
                <w:rFonts w:ascii="Times New Roman" w:hAnsi="Times New Roman" w:cs="Times New Roman"/>
                <w:color w:val="000000" w:themeColor="text1"/>
                <w:kern w:val="0"/>
                <w:sz w:val="18"/>
                <w:szCs w:val="18"/>
              </w:rPr>
            </w:pPr>
            <w:proofErr w:type="spellStart"/>
            <w:r w:rsidRPr="00FE771B">
              <w:rPr>
                <w:rFonts w:ascii="Times New Roman" w:hAnsi="Times New Roman" w:cs="Times New Roman"/>
                <w:i/>
                <w:iCs/>
                <w:color w:val="000000" w:themeColor="text1"/>
                <w:kern w:val="0"/>
                <w:sz w:val="18"/>
                <w:szCs w:val="18"/>
              </w:rPr>
              <w:t>FinDummy</w:t>
            </w:r>
            <w:proofErr w:type="spellEnd"/>
          </w:p>
        </w:tc>
        <w:tc>
          <w:tcPr>
            <w:tcW w:w="880" w:type="pct"/>
            <w:tcBorders>
              <w:bottom w:val="single" w:sz="4" w:space="0" w:color="auto"/>
            </w:tcBorders>
          </w:tcPr>
          <w:p w:rsidR="001569B2" w:rsidRPr="00FE771B" w:rsidRDefault="00A65FE6" w:rsidP="00A65FE6">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(4)</w:t>
            </w:r>
          </w:p>
          <w:p w:rsidR="00A65FE6" w:rsidRPr="00FE771B" w:rsidRDefault="001569B2" w:rsidP="0058388C">
            <w:pPr>
              <w:autoSpaceDE w:val="0"/>
              <w:autoSpaceDN w:val="0"/>
              <w:adjustRightInd w:val="0"/>
              <w:jc w:val="center"/>
              <w:rPr>
                <w:rFonts w:ascii="Times New Roman" w:hAnsi="Times New Roman" w:cs="Times New Roman"/>
                <w:color w:val="000000" w:themeColor="text1"/>
                <w:kern w:val="0"/>
                <w:sz w:val="18"/>
                <w:szCs w:val="18"/>
              </w:rPr>
            </w:pPr>
            <w:proofErr w:type="spellStart"/>
            <w:r w:rsidRPr="00FE771B">
              <w:rPr>
                <w:rFonts w:ascii="Times New Roman" w:hAnsi="Times New Roman" w:cs="Times New Roman"/>
                <w:i/>
                <w:iCs/>
                <w:color w:val="000000" w:themeColor="text1"/>
                <w:kern w:val="0"/>
                <w:sz w:val="18"/>
                <w:szCs w:val="18"/>
              </w:rPr>
              <w:t>FinDummy</w:t>
            </w:r>
            <w:proofErr w:type="spellEnd"/>
          </w:p>
        </w:tc>
      </w:tr>
      <w:tr w:rsidR="00504F51" w:rsidRPr="00FE771B" w:rsidTr="00504F51">
        <w:trPr>
          <w:trHeight w:val="634"/>
          <w:jc w:val="center"/>
        </w:trPr>
        <w:tc>
          <w:tcPr>
            <w:tcW w:w="1476" w:type="pct"/>
            <w:tcBorders>
              <w:bottom w:val="single" w:sz="4" w:space="0" w:color="auto"/>
            </w:tcBorders>
          </w:tcPr>
          <w:p w:rsidR="000F1A1B" w:rsidRPr="00FE771B" w:rsidRDefault="000F1A1B" w:rsidP="00504F51">
            <w:pPr>
              <w:autoSpaceDE w:val="0"/>
              <w:autoSpaceDN w:val="0"/>
              <w:adjustRightInd w:val="0"/>
              <w:jc w:val="center"/>
              <w:rPr>
                <w:rFonts w:ascii="Times New Roman" w:hAnsi="Times New Roman" w:cs="Times New Roman"/>
                <w:i/>
                <w:color w:val="000000" w:themeColor="text1"/>
                <w:kern w:val="0"/>
                <w:sz w:val="18"/>
                <w:szCs w:val="18"/>
              </w:rPr>
            </w:pPr>
            <w:proofErr w:type="spellStart"/>
            <w:r w:rsidRPr="00FE771B">
              <w:rPr>
                <w:rFonts w:ascii="Times New Roman" w:hAnsi="Times New Roman" w:cs="Times New Roman"/>
                <w:i/>
                <w:color w:val="000000" w:themeColor="text1"/>
                <w:kern w:val="0"/>
                <w:sz w:val="18"/>
                <w:szCs w:val="18"/>
              </w:rPr>
              <w:t>Vam_logit</w:t>
            </w:r>
            <w:proofErr w:type="spellEnd"/>
          </w:p>
        </w:tc>
        <w:tc>
          <w:tcPr>
            <w:tcW w:w="881" w:type="pct"/>
            <w:tcBorders>
              <w:bottom w:val="single" w:sz="4" w:space="0" w:color="auto"/>
            </w:tcBorders>
          </w:tcPr>
          <w:p w:rsidR="001569B2" w:rsidRPr="00FE771B" w:rsidRDefault="000F1A1B"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1.2303</w:t>
            </w:r>
          </w:p>
          <w:p w:rsidR="000F1A1B" w:rsidRPr="00FE771B" w:rsidRDefault="001569B2"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(6.150)</w:t>
            </w:r>
            <w:r w:rsidRPr="00FE771B">
              <w:rPr>
                <w:rFonts w:ascii="Times New Roman" w:hAnsi="Times New Roman" w:cs="Times New Roman"/>
                <w:color w:val="000000" w:themeColor="text1"/>
                <w:kern w:val="0"/>
                <w:sz w:val="18"/>
                <w:szCs w:val="18"/>
                <w:vertAlign w:val="superscript"/>
              </w:rPr>
              <w:t>***</w:t>
            </w:r>
          </w:p>
        </w:tc>
        <w:tc>
          <w:tcPr>
            <w:tcW w:w="881" w:type="pct"/>
            <w:tcBorders>
              <w:bottom w:val="single" w:sz="4" w:space="0" w:color="auto"/>
            </w:tcBorders>
          </w:tcPr>
          <w:p w:rsidR="000F1A1B" w:rsidRPr="00FE771B" w:rsidRDefault="000F1A1B" w:rsidP="000233CF">
            <w:pPr>
              <w:autoSpaceDE w:val="0"/>
              <w:autoSpaceDN w:val="0"/>
              <w:adjustRightInd w:val="0"/>
              <w:jc w:val="center"/>
              <w:rPr>
                <w:rFonts w:ascii="Times New Roman" w:hAnsi="Times New Roman" w:cs="Times New Roman"/>
                <w:color w:val="000000" w:themeColor="text1"/>
                <w:kern w:val="0"/>
                <w:sz w:val="18"/>
                <w:szCs w:val="18"/>
              </w:rPr>
            </w:pPr>
          </w:p>
        </w:tc>
        <w:tc>
          <w:tcPr>
            <w:tcW w:w="881" w:type="pct"/>
            <w:tcBorders>
              <w:bottom w:val="single" w:sz="4" w:space="0" w:color="auto"/>
            </w:tcBorders>
          </w:tcPr>
          <w:p w:rsidR="001569B2" w:rsidRPr="00FE771B" w:rsidRDefault="000F1A1B"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0.8155</w:t>
            </w:r>
          </w:p>
          <w:p w:rsidR="000F1A1B" w:rsidRPr="00FE771B" w:rsidRDefault="001569B2"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(7.184)</w:t>
            </w:r>
            <w:r w:rsidRPr="00FE771B">
              <w:rPr>
                <w:rFonts w:ascii="Times New Roman" w:hAnsi="Times New Roman" w:cs="Times New Roman"/>
                <w:color w:val="000000" w:themeColor="text1"/>
                <w:kern w:val="0"/>
                <w:sz w:val="18"/>
                <w:szCs w:val="18"/>
                <w:vertAlign w:val="superscript"/>
              </w:rPr>
              <w:t>***</w:t>
            </w:r>
          </w:p>
        </w:tc>
        <w:tc>
          <w:tcPr>
            <w:tcW w:w="880" w:type="pct"/>
            <w:tcBorders>
              <w:bottom w:val="single" w:sz="4" w:space="0" w:color="auto"/>
            </w:tcBorders>
          </w:tcPr>
          <w:p w:rsidR="000F1A1B" w:rsidRPr="00FE771B" w:rsidRDefault="000F1A1B" w:rsidP="000233CF">
            <w:pPr>
              <w:autoSpaceDE w:val="0"/>
              <w:autoSpaceDN w:val="0"/>
              <w:adjustRightInd w:val="0"/>
              <w:jc w:val="center"/>
              <w:rPr>
                <w:rFonts w:ascii="Times New Roman" w:hAnsi="Times New Roman" w:cs="Times New Roman"/>
                <w:color w:val="000000" w:themeColor="text1"/>
                <w:kern w:val="0"/>
                <w:sz w:val="18"/>
                <w:szCs w:val="18"/>
              </w:rPr>
            </w:pPr>
          </w:p>
        </w:tc>
      </w:tr>
      <w:tr w:rsidR="00504F51" w:rsidRPr="00FE771B" w:rsidTr="00504F51">
        <w:trPr>
          <w:trHeight w:val="634"/>
          <w:jc w:val="center"/>
        </w:trPr>
        <w:tc>
          <w:tcPr>
            <w:tcW w:w="1476" w:type="pct"/>
            <w:tcBorders>
              <w:bottom w:val="single" w:sz="4" w:space="0" w:color="auto"/>
            </w:tcBorders>
          </w:tcPr>
          <w:p w:rsidR="000F1A1B" w:rsidRPr="00FE771B" w:rsidRDefault="000F1A1B" w:rsidP="00504F51">
            <w:pPr>
              <w:autoSpaceDE w:val="0"/>
              <w:autoSpaceDN w:val="0"/>
              <w:adjustRightInd w:val="0"/>
              <w:jc w:val="center"/>
              <w:rPr>
                <w:rFonts w:ascii="Times New Roman" w:hAnsi="Times New Roman" w:cs="Times New Roman"/>
                <w:i/>
                <w:color w:val="000000" w:themeColor="text1"/>
                <w:kern w:val="0"/>
                <w:sz w:val="18"/>
                <w:szCs w:val="18"/>
              </w:rPr>
            </w:pPr>
            <w:proofErr w:type="spellStart"/>
            <w:r w:rsidRPr="00FE771B">
              <w:rPr>
                <w:rFonts w:ascii="Times New Roman" w:hAnsi="Times New Roman" w:cs="Times New Roman"/>
                <w:i/>
                <w:color w:val="000000" w:themeColor="text1"/>
                <w:kern w:val="0"/>
                <w:sz w:val="18"/>
                <w:szCs w:val="18"/>
              </w:rPr>
              <w:t>Vam_numbers</w:t>
            </w:r>
            <w:proofErr w:type="spellEnd"/>
          </w:p>
        </w:tc>
        <w:tc>
          <w:tcPr>
            <w:tcW w:w="881" w:type="pct"/>
            <w:tcBorders>
              <w:bottom w:val="single" w:sz="4" w:space="0" w:color="auto"/>
            </w:tcBorders>
          </w:tcPr>
          <w:p w:rsidR="000F1A1B" w:rsidRPr="00FE771B" w:rsidRDefault="000F1A1B" w:rsidP="000233CF">
            <w:pPr>
              <w:autoSpaceDE w:val="0"/>
              <w:autoSpaceDN w:val="0"/>
              <w:adjustRightInd w:val="0"/>
              <w:jc w:val="center"/>
              <w:rPr>
                <w:rFonts w:ascii="Times New Roman" w:hAnsi="Times New Roman" w:cs="Times New Roman"/>
                <w:color w:val="000000" w:themeColor="text1"/>
                <w:kern w:val="0"/>
                <w:sz w:val="18"/>
                <w:szCs w:val="18"/>
              </w:rPr>
            </w:pPr>
          </w:p>
        </w:tc>
        <w:tc>
          <w:tcPr>
            <w:tcW w:w="881" w:type="pct"/>
            <w:tcBorders>
              <w:bottom w:val="single" w:sz="4" w:space="0" w:color="auto"/>
            </w:tcBorders>
          </w:tcPr>
          <w:p w:rsidR="001569B2" w:rsidRPr="00FE771B" w:rsidRDefault="000F1A1B"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0.3198</w:t>
            </w:r>
          </w:p>
          <w:p w:rsidR="000F1A1B" w:rsidRPr="00FE771B" w:rsidRDefault="001569B2"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(5.413)</w:t>
            </w:r>
            <w:r w:rsidRPr="00FE771B">
              <w:rPr>
                <w:rFonts w:ascii="Times New Roman" w:hAnsi="Times New Roman" w:cs="Times New Roman"/>
                <w:color w:val="000000" w:themeColor="text1"/>
                <w:kern w:val="0"/>
                <w:sz w:val="18"/>
                <w:szCs w:val="18"/>
                <w:vertAlign w:val="superscript"/>
              </w:rPr>
              <w:t>***</w:t>
            </w:r>
          </w:p>
        </w:tc>
        <w:tc>
          <w:tcPr>
            <w:tcW w:w="881" w:type="pct"/>
            <w:tcBorders>
              <w:bottom w:val="single" w:sz="4" w:space="0" w:color="auto"/>
            </w:tcBorders>
          </w:tcPr>
          <w:p w:rsidR="000F1A1B" w:rsidRPr="00FE771B" w:rsidRDefault="000F1A1B" w:rsidP="000233CF">
            <w:pPr>
              <w:autoSpaceDE w:val="0"/>
              <w:autoSpaceDN w:val="0"/>
              <w:adjustRightInd w:val="0"/>
              <w:jc w:val="center"/>
              <w:rPr>
                <w:rFonts w:ascii="Times New Roman" w:hAnsi="Times New Roman" w:cs="Times New Roman"/>
                <w:color w:val="000000" w:themeColor="text1"/>
                <w:kern w:val="0"/>
                <w:sz w:val="18"/>
                <w:szCs w:val="18"/>
              </w:rPr>
            </w:pPr>
          </w:p>
        </w:tc>
        <w:tc>
          <w:tcPr>
            <w:tcW w:w="880" w:type="pct"/>
            <w:tcBorders>
              <w:bottom w:val="single" w:sz="4" w:space="0" w:color="auto"/>
            </w:tcBorders>
          </w:tcPr>
          <w:p w:rsidR="001569B2" w:rsidRPr="00FE771B" w:rsidRDefault="000F1A1B"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0.3015</w:t>
            </w:r>
          </w:p>
          <w:p w:rsidR="000F1A1B" w:rsidRPr="00FE771B" w:rsidRDefault="001569B2"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(8.877)</w:t>
            </w:r>
            <w:r w:rsidRPr="00FE771B">
              <w:rPr>
                <w:rFonts w:ascii="Times New Roman" w:hAnsi="Times New Roman" w:cs="Times New Roman"/>
                <w:color w:val="000000" w:themeColor="text1"/>
                <w:kern w:val="0"/>
                <w:sz w:val="18"/>
                <w:szCs w:val="18"/>
                <w:vertAlign w:val="superscript"/>
              </w:rPr>
              <w:t>***</w:t>
            </w:r>
          </w:p>
        </w:tc>
      </w:tr>
      <w:tr w:rsidR="00504F51" w:rsidRPr="00FE771B" w:rsidTr="00504F51">
        <w:trPr>
          <w:jc w:val="center"/>
        </w:trPr>
        <w:tc>
          <w:tcPr>
            <w:tcW w:w="1476" w:type="pct"/>
          </w:tcPr>
          <w:p w:rsidR="000F1A1B" w:rsidRPr="00FE771B" w:rsidRDefault="00151D60" w:rsidP="00504F51">
            <w:pPr>
              <w:autoSpaceDE w:val="0"/>
              <w:autoSpaceDN w:val="0"/>
              <w:adjustRightInd w:val="0"/>
              <w:jc w:val="center"/>
              <w:rPr>
                <w:rFonts w:ascii="Times New Roman" w:hAnsi="Times New Roman" w:cs="Times New Roman"/>
                <w:i/>
                <w:iCs/>
                <w:color w:val="000000" w:themeColor="text1"/>
                <w:kern w:val="0"/>
                <w:sz w:val="18"/>
                <w:szCs w:val="18"/>
              </w:rPr>
            </w:pPr>
            <w:r w:rsidRPr="00FE771B">
              <w:rPr>
                <w:rFonts w:ascii="Times New Roman" w:hAnsi="Times New Roman" w:cs="Times New Roman"/>
                <w:i/>
                <w:iCs/>
                <w:color w:val="000000" w:themeColor="text1"/>
                <w:kern w:val="0"/>
                <w:sz w:val="18"/>
                <w:szCs w:val="18"/>
              </w:rPr>
              <w:t>Controls</w:t>
            </w:r>
          </w:p>
        </w:tc>
        <w:tc>
          <w:tcPr>
            <w:tcW w:w="881" w:type="pct"/>
          </w:tcPr>
          <w:p w:rsidR="000F1A1B" w:rsidRPr="00FE771B" w:rsidRDefault="00151D60"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控制</w:t>
            </w:r>
          </w:p>
        </w:tc>
        <w:tc>
          <w:tcPr>
            <w:tcW w:w="881" w:type="pct"/>
          </w:tcPr>
          <w:p w:rsidR="000F1A1B" w:rsidRPr="00FE771B" w:rsidRDefault="00151D60"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控制</w:t>
            </w:r>
          </w:p>
        </w:tc>
        <w:tc>
          <w:tcPr>
            <w:tcW w:w="881" w:type="pct"/>
          </w:tcPr>
          <w:p w:rsidR="000F1A1B" w:rsidRPr="00FE771B" w:rsidRDefault="00151D60"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控制</w:t>
            </w:r>
          </w:p>
        </w:tc>
        <w:tc>
          <w:tcPr>
            <w:tcW w:w="880" w:type="pct"/>
          </w:tcPr>
          <w:p w:rsidR="000F1A1B" w:rsidRPr="00FE771B" w:rsidRDefault="00151D60"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控制</w:t>
            </w:r>
          </w:p>
        </w:tc>
      </w:tr>
      <w:tr w:rsidR="00504F51" w:rsidRPr="00FE771B" w:rsidTr="00504F51">
        <w:trPr>
          <w:trHeight w:val="634"/>
          <w:jc w:val="center"/>
        </w:trPr>
        <w:tc>
          <w:tcPr>
            <w:tcW w:w="1476" w:type="pct"/>
            <w:tcBorders>
              <w:bottom w:val="single" w:sz="4" w:space="0" w:color="auto"/>
            </w:tcBorders>
          </w:tcPr>
          <w:p w:rsidR="00EF20A0" w:rsidRPr="00FE771B" w:rsidRDefault="00EF20A0" w:rsidP="00504F51">
            <w:pPr>
              <w:autoSpaceDE w:val="0"/>
              <w:autoSpaceDN w:val="0"/>
              <w:adjustRightInd w:val="0"/>
              <w:jc w:val="center"/>
              <w:rPr>
                <w:rFonts w:ascii="Times New Roman" w:hAnsi="Times New Roman" w:cs="Times New Roman"/>
                <w:i/>
                <w:color w:val="000000" w:themeColor="text1"/>
                <w:kern w:val="0"/>
                <w:sz w:val="18"/>
                <w:szCs w:val="18"/>
              </w:rPr>
            </w:pPr>
            <w:r w:rsidRPr="00FE771B">
              <w:rPr>
                <w:rFonts w:ascii="Times New Roman" w:hAnsi="Times New Roman" w:cs="Times New Roman"/>
                <w:i/>
                <w:color w:val="000000" w:themeColor="text1"/>
                <w:kern w:val="0"/>
                <w:sz w:val="18"/>
                <w:szCs w:val="18"/>
              </w:rPr>
              <w:t>_cons</w:t>
            </w:r>
          </w:p>
        </w:tc>
        <w:tc>
          <w:tcPr>
            <w:tcW w:w="881" w:type="pct"/>
            <w:tcBorders>
              <w:bottom w:val="single" w:sz="4" w:space="0" w:color="auto"/>
            </w:tcBorders>
          </w:tcPr>
          <w:p w:rsidR="001569B2" w:rsidRPr="00FE771B" w:rsidRDefault="00EF20A0"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0.6039</w:t>
            </w:r>
          </w:p>
          <w:p w:rsidR="00EF20A0" w:rsidRPr="00FE771B" w:rsidRDefault="001569B2"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(1.933)</w:t>
            </w:r>
            <w:r w:rsidRPr="00FE771B">
              <w:rPr>
                <w:rFonts w:ascii="Times New Roman" w:hAnsi="Times New Roman" w:cs="Times New Roman"/>
                <w:color w:val="000000" w:themeColor="text1"/>
                <w:kern w:val="0"/>
                <w:sz w:val="18"/>
                <w:szCs w:val="18"/>
                <w:vertAlign w:val="superscript"/>
              </w:rPr>
              <w:t>*</w:t>
            </w:r>
          </w:p>
        </w:tc>
        <w:tc>
          <w:tcPr>
            <w:tcW w:w="881" w:type="pct"/>
            <w:tcBorders>
              <w:bottom w:val="single" w:sz="4" w:space="0" w:color="auto"/>
            </w:tcBorders>
          </w:tcPr>
          <w:p w:rsidR="001569B2" w:rsidRPr="00FE771B" w:rsidRDefault="00EF20A0"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0.3939</w:t>
            </w:r>
          </w:p>
          <w:p w:rsidR="00EF20A0" w:rsidRPr="00FE771B" w:rsidRDefault="001569B2"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(1.465)</w:t>
            </w:r>
          </w:p>
        </w:tc>
        <w:tc>
          <w:tcPr>
            <w:tcW w:w="881" w:type="pct"/>
            <w:tcBorders>
              <w:bottom w:val="single" w:sz="4" w:space="0" w:color="auto"/>
            </w:tcBorders>
          </w:tcPr>
          <w:p w:rsidR="001569B2" w:rsidRPr="00FE771B" w:rsidRDefault="00EF20A0"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-1.6315</w:t>
            </w:r>
          </w:p>
          <w:p w:rsidR="00EF20A0" w:rsidRPr="00FE771B" w:rsidRDefault="001569B2"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(-9.955)</w:t>
            </w:r>
            <w:r w:rsidRPr="00FE771B">
              <w:rPr>
                <w:rFonts w:ascii="Times New Roman" w:hAnsi="Times New Roman" w:cs="Times New Roman"/>
                <w:color w:val="000000" w:themeColor="text1"/>
                <w:kern w:val="0"/>
                <w:sz w:val="18"/>
                <w:szCs w:val="18"/>
                <w:vertAlign w:val="superscript"/>
              </w:rPr>
              <w:t>***</w:t>
            </w:r>
          </w:p>
        </w:tc>
        <w:tc>
          <w:tcPr>
            <w:tcW w:w="880" w:type="pct"/>
            <w:tcBorders>
              <w:bottom w:val="single" w:sz="4" w:space="0" w:color="auto"/>
            </w:tcBorders>
          </w:tcPr>
          <w:p w:rsidR="001569B2" w:rsidRPr="00FE771B" w:rsidRDefault="00EF20A0"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-1.6701</w:t>
            </w:r>
          </w:p>
          <w:p w:rsidR="00EF20A0" w:rsidRPr="00FE771B" w:rsidRDefault="001569B2"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(-11.959)</w:t>
            </w:r>
            <w:r w:rsidRPr="00FE771B">
              <w:rPr>
                <w:rFonts w:ascii="Times New Roman" w:hAnsi="Times New Roman" w:cs="Times New Roman"/>
                <w:color w:val="000000" w:themeColor="text1"/>
                <w:kern w:val="0"/>
                <w:sz w:val="18"/>
                <w:szCs w:val="18"/>
                <w:vertAlign w:val="superscript"/>
              </w:rPr>
              <w:t>***</w:t>
            </w:r>
          </w:p>
        </w:tc>
      </w:tr>
      <w:tr w:rsidR="00504F51" w:rsidRPr="00FE771B" w:rsidTr="00504F51">
        <w:trPr>
          <w:jc w:val="center"/>
        </w:trPr>
        <w:tc>
          <w:tcPr>
            <w:tcW w:w="1476" w:type="pct"/>
          </w:tcPr>
          <w:p w:rsidR="00A65FE6" w:rsidRPr="00FE771B" w:rsidRDefault="00A65FE6" w:rsidP="00504F51">
            <w:pPr>
              <w:autoSpaceDE w:val="0"/>
              <w:autoSpaceDN w:val="0"/>
              <w:adjustRightInd w:val="0"/>
              <w:jc w:val="center"/>
              <w:rPr>
                <w:rFonts w:ascii="Times New Roman" w:hAnsi="Times New Roman" w:cs="Times New Roman"/>
                <w:i/>
                <w:color w:val="000000" w:themeColor="text1"/>
                <w:kern w:val="0"/>
                <w:sz w:val="18"/>
                <w:szCs w:val="18"/>
              </w:rPr>
            </w:pPr>
            <w:r w:rsidRPr="00FE771B">
              <w:rPr>
                <w:rFonts w:ascii="Times New Roman" w:hAnsi="Times New Roman" w:cs="Times New Roman"/>
                <w:i/>
                <w:color w:val="000000" w:themeColor="text1"/>
                <w:kern w:val="0"/>
                <w:sz w:val="18"/>
                <w:szCs w:val="18"/>
              </w:rPr>
              <w:t>Year</w:t>
            </w:r>
          </w:p>
        </w:tc>
        <w:tc>
          <w:tcPr>
            <w:tcW w:w="881" w:type="pct"/>
          </w:tcPr>
          <w:p w:rsidR="00A65FE6" w:rsidRPr="00FE771B" w:rsidRDefault="00A65FE6" w:rsidP="002A76D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Yes</w:t>
            </w:r>
          </w:p>
        </w:tc>
        <w:tc>
          <w:tcPr>
            <w:tcW w:w="881" w:type="pct"/>
          </w:tcPr>
          <w:p w:rsidR="00A65FE6" w:rsidRPr="00FE771B" w:rsidRDefault="00A65FE6" w:rsidP="002A76D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Yes</w:t>
            </w:r>
          </w:p>
        </w:tc>
        <w:tc>
          <w:tcPr>
            <w:tcW w:w="881" w:type="pct"/>
          </w:tcPr>
          <w:p w:rsidR="00A65FE6" w:rsidRPr="00FE771B" w:rsidRDefault="00A65FE6" w:rsidP="002A76D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Yes</w:t>
            </w:r>
          </w:p>
        </w:tc>
        <w:tc>
          <w:tcPr>
            <w:tcW w:w="880" w:type="pct"/>
          </w:tcPr>
          <w:p w:rsidR="00A65FE6" w:rsidRPr="00FE771B" w:rsidRDefault="00A65FE6" w:rsidP="002A76D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Yes</w:t>
            </w:r>
          </w:p>
        </w:tc>
      </w:tr>
      <w:tr w:rsidR="00504F51" w:rsidRPr="00FE771B" w:rsidTr="00504F51">
        <w:trPr>
          <w:jc w:val="center"/>
        </w:trPr>
        <w:tc>
          <w:tcPr>
            <w:tcW w:w="1476" w:type="pct"/>
          </w:tcPr>
          <w:p w:rsidR="0058388C" w:rsidRPr="00FE771B" w:rsidRDefault="0058388C" w:rsidP="00504F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iCs/>
                <w:color w:val="000000" w:themeColor="text1"/>
                <w:kern w:val="0"/>
                <w:sz w:val="18"/>
                <w:szCs w:val="18"/>
              </w:rPr>
              <w:t>N</w:t>
            </w:r>
          </w:p>
        </w:tc>
        <w:tc>
          <w:tcPr>
            <w:tcW w:w="881" w:type="pct"/>
          </w:tcPr>
          <w:p w:rsidR="0058388C" w:rsidRPr="00FE771B" w:rsidRDefault="0058388C" w:rsidP="00E21428">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10577</w:t>
            </w:r>
          </w:p>
        </w:tc>
        <w:tc>
          <w:tcPr>
            <w:tcW w:w="881" w:type="pct"/>
          </w:tcPr>
          <w:p w:rsidR="0058388C" w:rsidRPr="00FE771B" w:rsidRDefault="0058388C" w:rsidP="00E21428">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10577</w:t>
            </w:r>
          </w:p>
        </w:tc>
        <w:tc>
          <w:tcPr>
            <w:tcW w:w="881" w:type="pct"/>
          </w:tcPr>
          <w:p w:rsidR="0058388C" w:rsidRPr="00FE771B" w:rsidRDefault="0058388C" w:rsidP="00E21428">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10576</w:t>
            </w:r>
          </w:p>
        </w:tc>
        <w:tc>
          <w:tcPr>
            <w:tcW w:w="880" w:type="pct"/>
          </w:tcPr>
          <w:p w:rsidR="0058388C" w:rsidRPr="00FE771B" w:rsidRDefault="0058388C" w:rsidP="00E21428">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10576</w:t>
            </w:r>
          </w:p>
        </w:tc>
      </w:tr>
      <w:tr w:rsidR="00504F51" w:rsidRPr="00FE771B" w:rsidTr="00504F51">
        <w:trPr>
          <w:trHeight w:val="634"/>
          <w:jc w:val="center"/>
        </w:trPr>
        <w:tc>
          <w:tcPr>
            <w:tcW w:w="1476" w:type="pct"/>
            <w:tcBorders>
              <w:bottom w:val="single" w:sz="4" w:space="0" w:color="auto"/>
            </w:tcBorders>
          </w:tcPr>
          <w:p w:rsidR="00EF20A0" w:rsidRPr="00FE771B" w:rsidRDefault="00EF20A0" w:rsidP="00504F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F test</w:t>
            </w:r>
          </w:p>
        </w:tc>
        <w:tc>
          <w:tcPr>
            <w:tcW w:w="881" w:type="pct"/>
            <w:tcBorders>
              <w:bottom w:val="single" w:sz="4" w:space="0" w:color="auto"/>
            </w:tcBorders>
          </w:tcPr>
          <w:p w:rsidR="001569B2" w:rsidRPr="00FE771B" w:rsidRDefault="00EF20A0"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21.4197</w:t>
            </w:r>
          </w:p>
          <w:p w:rsidR="00EF20A0" w:rsidRPr="00FE771B" w:rsidRDefault="001569B2" w:rsidP="0081445C">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[0.000]</w:t>
            </w:r>
          </w:p>
        </w:tc>
        <w:tc>
          <w:tcPr>
            <w:tcW w:w="881" w:type="pct"/>
            <w:tcBorders>
              <w:bottom w:val="single" w:sz="4" w:space="0" w:color="auto"/>
            </w:tcBorders>
          </w:tcPr>
          <w:p w:rsidR="001569B2" w:rsidRPr="00FE771B" w:rsidRDefault="00EF20A0"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28.9323</w:t>
            </w:r>
          </w:p>
          <w:p w:rsidR="00EF20A0" w:rsidRPr="00FE771B" w:rsidRDefault="001569B2" w:rsidP="0081445C">
            <w:pPr>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[0.000]</w:t>
            </w:r>
          </w:p>
        </w:tc>
        <w:tc>
          <w:tcPr>
            <w:tcW w:w="881" w:type="pct"/>
            <w:tcBorders>
              <w:bottom w:val="single" w:sz="4" w:space="0" w:color="auto"/>
            </w:tcBorders>
          </w:tcPr>
          <w:p w:rsidR="001569B2" w:rsidRPr="00FE771B" w:rsidRDefault="00EF20A0"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118.9121</w:t>
            </w:r>
          </w:p>
          <w:p w:rsidR="00EF20A0" w:rsidRPr="00FE771B" w:rsidRDefault="001569B2" w:rsidP="0081445C">
            <w:pPr>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[0.000]</w:t>
            </w:r>
          </w:p>
        </w:tc>
        <w:tc>
          <w:tcPr>
            <w:tcW w:w="880" w:type="pct"/>
            <w:tcBorders>
              <w:bottom w:val="single" w:sz="4" w:space="0" w:color="auto"/>
            </w:tcBorders>
          </w:tcPr>
          <w:p w:rsidR="001569B2" w:rsidRPr="00FE771B" w:rsidRDefault="00EF20A0" w:rsidP="000233C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148.1034</w:t>
            </w:r>
          </w:p>
          <w:p w:rsidR="00EF20A0" w:rsidRPr="00FE771B" w:rsidRDefault="001569B2" w:rsidP="0081445C">
            <w:pPr>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[0.000]</w:t>
            </w:r>
          </w:p>
        </w:tc>
      </w:tr>
      <w:tr w:rsidR="00504F51" w:rsidRPr="00FE771B" w:rsidTr="00504F51">
        <w:trPr>
          <w:trHeight w:val="634"/>
          <w:jc w:val="center"/>
        </w:trPr>
        <w:tc>
          <w:tcPr>
            <w:tcW w:w="1476" w:type="pct"/>
            <w:tcBorders>
              <w:bottom w:val="single" w:sz="4" w:space="0" w:color="auto"/>
            </w:tcBorders>
          </w:tcPr>
          <w:p w:rsidR="001569B2" w:rsidRPr="00FE771B" w:rsidRDefault="00DB2E8B" w:rsidP="00DB2E8B">
            <w:pPr>
              <w:autoSpaceDE w:val="0"/>
              <w:autoSpaceDN w:val="0"/>
              <w:adjustRightInd w:val="0"/>
              <w:jc w:val="left"/>
              <w:rPr>
                <w:rFonts w:ascii="Times New Roman" w:hAnsi="Times New Roman" w:cs="Times New Roman"/>
                <w:color w:val="000000" w:themeColor="text1"/>
                <w:kern w:val="0"/>
                <w:sz w:val="18"/>
                <w:szCs w:val="18"/>
              </w:rPr>
            </w:pPr>
            <w:proofErr w:type="spellStart"/>
            <w:r w:rsidRPr="00FE771B">
              <w:rPr>
                <w:rFonts w:ascii="Times New Roman" w:hAnsi="Times New Roman" w:cs="Times New Roman"/>
                <w:color w:val="000000" w:themeColor="text1"/>
                <w:kern w:val="0"/>
                <w:sz w:val="18"/>
                <w:szCs w:val="18"/>
              </w:rPr>
              <w:t>Kleibergen-Paap</w:t>
            </w:r>
            <w:proofErr w:type="spellEnd"/>
            <w:r w:rsidRPr="00FE771B">
              <w:rPr>
                <w:rFonts w:ascii="Times New Roman" w:hAnsi="Times New Roman" w:cs="Times New Roman"/>
                <w:color w:val="000000" w:themeColor="text1"/>
                <w:kern w:val="0"/>
                <w:sz w:val="18"/>
                <w:szCs w:val="18"/>
              </w:rPr>
              <w:t xml:space="preserve"> Wald </w:t>
            </w:r>
            <w:proofErr w:type="spellStart"/>
            <w:r w:rsidRPr="00FE771B">
              <w:rPr>
                <w:rFonts w:ascii="Times New Roman" w:hAnsi="Times New Roman" w:cs="Times New Roman"/>
                <w:color w:val="000000" w:themeColor="text1"/>
                <w:kern w:val="0"/>
                <w:sz w:val="18"/>
                <w:szCs w:val="18"/>
              </w:rPr>
              <w:t>rk</w:t>
            </w:r>
            <w:proofErr w:type="spellEnd"/>
            <w:r w:rsidRPr="00FE771B">
              <w:rPr>
                <w:rFonts w:ascii="Times New Roman" w:hAnsi="Times New Roman" w:cs="Times New Roman"/>
                <w:color w:val="000000" w:themeColor="text1"/>
                <w:kern w:val="0"/>
                <w:sz w:val="18"/>
                <w:szCs w:val="18"/>
              </w:rPr>
              <w:t xml:space="preserve"> LM</w:t>
            </w:r>
          </w:p>
          <w:p w:rsidR="00DB2E8B" w:rsidRPr="00FE771B" w:rsidRDefault="001569B2" w:rsidP="00DB2E8B">
            <w:pPr>
              <w:autoSpaceDE w:val="0"/>
              <w:autoSpaceDN w:val="0"/>
              <w:adjustRightInd w:val="0"/>
              <w:jc w:val="left"/>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statistic</w:t>
            </w:r>
          </w:p>
        </w:tc>
        <w:tc>
          <w:tcPr>
            <w:tcW w:w="881" w:type="pct"/>
            <w:tcBorders>
              <w:bottom w:val="single" w:sz="4" w:space="0" w:color="auto"/>
            </w:tcBorders>
          </w:tcPr>
          <w:p w:rsidR="001569B2" w:rsidRPr="00FE771B" w:rsidRDefault="00CC5F93" w:rsidP="00E21428">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113.695</w:t>
            </w:r>
          </w:p>
          <w:p w:rsidR="00DB2E8B" w:rsidRPr="00FE771B" w:rsidRDefault="001569B2" w:rsidP="00E21428">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[0.000]</w:t>
            </w:r>
          </w:p>
        </w:tc>
        <w:tc>
          <w:tcPr>
            <w:tcW w:w="881" w:type="pct"/>
            <w:tcBorders>
              <w:bottom w:val="single" w:sz="4" w:space="0" w:color="auto"/>
            </w:tcBorders>
          </w:tcPr>
          <w:p w:rsidR="001569B2" w:rsidRPr="00FE771B" w:rsidRDefault="00CC5F93" w:rsidP="00E21428">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229.872</w:t>
            </w:r>
          </w:p>
          <w:p w:rsidR="00DB2E8B" w:rsidRPr="00FE771B" w:rsidRDefault="001569B2" w:rsidP="002A34A4">
            <w:pPr>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[0.000]</w:t>
            </w:r>
          </w:p>
        </w:tc>
        <w:tc>
          <w:tcPr>
            <w:tcW w:w="881" w:type="pct"/>
            <w:tcBorders>
              <w:bottom w:val="single" w:sz="4" w:space="0" w:color="auto"/>
            </w:tcBorders>
          </w:tcPr>
          <w:p w:rsidR="001569B2" w:rsidRPr="00FE771B" w:rsidRDefault="00CC5F93" w:rsidP="00E21428">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113.775</w:t>
            </w:r>
          </w:p>
          <w:p w:rsidR="00DB2E8B" w:rsidRPr="00FE771B" w:rsidRDefault="001569B2" w:rsidP="002A34A4">
            <w:pPr>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[0.000]</w:t>
            </w:r>
          </w:p>
        </w:tc>
        <w:tc>
          <w:tcPr>
            <w:tcW w:w="880" w:type="pct"/>
            <w:tcBorders>
              <w:bottom w:val="single" w:sz="4" w:space="0" w:color="auto"/>
            </w:tcBorders>
          </w:tcPr>
          <w:p w:rsidR="001569B2" w:rsidRPr="00FE771B" w:rsidRDefault="00CC5F93" w:rsidP="00E21428">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229.762</w:t>
            </w:r>
          </w:p>
          <w:p w:rsidR="00DB2E8B" w:rsidRPr="00FE771B" w:rsidRDefault="001569B2" w:rsidP="002A34A4">
            <w:pPr>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[0.000]</w:t>
            </w:r>
          </w:p>
        </w:tc>
      </w:tr>
      <w:tr w:rsidR="00504F51" w:rsidRPr="00FE771B" w:rsidTr="00504F51">
        <w:trPr>
          <w:trHeight w:val="634"/>
          <w:jc w:val="center"/>
        </w:trPr>
        <w:tc>
          <w:tcPr>
            <w:tcW w:w="1476" w:type="pct"/>
            <w:tcBorders>
              <w:bottom w:val="single" w:sz="4" w:space="0" w:color="auto"/>
            </w:tcBorders>
          </w:tcPr>
          <w:p w:rsidR="00DB2E8B" w:rsidRPr="00FE771B" w:rsidRDefault="00DB2E8B" w:rsidP="00DB2E8B">
            <w:pPr>
              <w:autoSpaceDE w:val="0"/>
              <w:autoSpaceDN w:val="0"/>
              <w:adjustRightInd w:val="0"/>
              <w:jc w:val="left"/>
              <w:rPr>
                <w:rFonts w:ascii="Times New Roman" w:hAnsi="Times New Roman" w:cs="Times New Roman"/>
                <w:color w:val="000000" w:themeColor="text1"/>
                <w:kern w:val="0"/>
                <w:sz w:val="18"/>
                <w:szCs w:val="18"/>
              </w:rPr>
            </w:pPr>
            <w:proofErr w:type="spellStart"/>
            <w:r w:rsidRPr="00FE771B">
              <w:rPr>
                <w:rFonts w:ascii="Times New Roman" w:hAnsi="Times New Roman" w:cs="Times New Roman"/>
                <w:color w:val="000000" w:themeColor="text1"/>
                <w:kern w:val="0"/>
                <w:sz w:val="18"/>
                <w:szCs w:val="18"/>
              </w:rPr>
              <w:t>Cragg</w:t>
            </w:r>
            <w:proofErr w:type="spellEnd"/>
            <w:r w:rsidRPr="00FE771B">
              <w:rPr>
                <w:rFonts w:ascii="Times New Roman" w:hAnsi="Times New Roman" w:cs="Times New Roman"/>
                <w:color w:val="000000" w:themeColor="text1"/>
                <w:kern w:val="0"/>
                <w:sz w:val="18"/>
                <w:szCs w:val="18"/>
              </w:rPr>
              <w:t>-Donald Wald F statistic</w:t>
            </w:r>
          </w:p>
        </w:tc>
        <w:tc>
          <w:tcPr>
            <w:tcW w:w="881" w:type="pct"/>
            <w:tcBorders>
              <w:bottom w:val="single" w:sz="4" w:space="0" w:color="auto"/>
            </w:tcBorders>
          </w:tcPr>
          <w:p w:rsidR="001569B2" w:rsidRPr="00FE771B" w:rsidRDefault="00CC5F93" w:rsidP="00E21428">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117.833</w:t>
            </w:r>
          </w:p>
          <w:p w:rsidR="00DB2E8B" w:rsidRPr="00FE771B" w:rsidRDefault="001569B2" w:rsidP="00E21428">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[16.38]</w:t>
            </w:r>
          </w:p>
        </w:tc>
        <w:tc>
          <w:tcPr>
            <w:tcW w:w="881" w:type="pct"/>
            <w:tcBorders>
              <w:bottom w:val="single" w:sz="4" w:space="0" w:color="auto"/>
            </w:tcBorders>
          </w:tcPr>
          <w:p w:rsidR="001569B2" w:rsidRPr="00FE771B" w:rsidRDefault="002A34A4" w:rsidP="00CC5F93">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301.</w:t>
            </w:r>
            <w:r w:rsidR="00CC5F93" w:rsidRPr="00FE771B">
              <w:rPr>
                <w:rFonts w:ascii="Times New Roman" w:hAnsi="Times New Roman" w:cs="Times New Roman"/>
                <w:color w:val="000000" w:themeColor="text1"/>
                <w:kern w:val="0"/>
                <w:sz w:val="18"/>
                <w:szCs w:val="18"/>
              </w:rPr>
              <w:t>963</w:t>
            </w:r>
          </w:p>
          <w:p w:rsidR="00DB2E8B" w:rsidRPr="00FE771B" w:rsidRDefault="001569B2" w:rsidP="002A34A4">
            <w:pPr>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[16.38]</w:t>
            </w:r>
          </w:p>
        </w:tc>
        <w:tc>
          <w:tcPr>
            <w:tcW w:w="881" w:type="pct"/>
            <w:tcBorders>
              <w:bottom w:val="single" w:sz="4" w:space="0" w:color="auto"/>
            </w:tcBorders>
          </w:tcPr>
          <w:p w:rsidR="001569B2" w:rsidRPr="00FE771B" w:rsidRDefault="00CC5F93" w:rsidP="00E21428">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117.923</w:t>
            </w:r>
          </w:p>
          <w:p w:rsidR="00DB2E8B" w:rsidRPr="00FE771B" w:rsidRDefault="001569B2" w:rsidP="002A34A4">
            <w:pPr>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[16.38]</w:t>
            </w:r>
          </w:p>
        </w:tc>
        <w:tc>
          <w:tcPr>
            <w:tcW w:w="880" w:type="pct"/>
            <w:tcBorders>
              <w:bottom w:val="single" w:sz="4" w:space="0" w:color="auto"/>
            </w:tcBorders>
          </w:tcPr>
          <w:p w:rsidR="001569B2" w:rsidRPr="00FE771B" w:rsidRDefault="00CC5F93" w:rsidP="00E21428">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301.828</w:t>
            </w:r>
          </w:p>
          <w:p w:rsidR="00DB2E8B" w:rsidRPr="00FE771B" w:rsidRDefault="001569B2" w:rsidP="002A34A4">
            <w:pPr>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[16.38]</w:t>
            </w:r>
          </w:p>
        </w:tc>
      </w:tr>
    </w:tbl>
    <w:p w:rsidR="00A56676" w:rsidRPr="00FE771B" w:rsidRDefault="00BB457A" w:rsidP="00E14128">
      <w:pPr>
        <w:ind w:firstLineChars="100" w:firstLine="150"/>
        <w:rPr>
          <w:rFonts w:ascii="Times New Roman" w:eastAsia="楷体" w:hAnsi="Times New Roman" w:cs="Times New Roman"/>
          <w:sz w:val="15"/>
          <w:szCs w:val="15"/>
        </w:rPr>
      </w:pPr>
      <w:r w:rsidRPr="00FE771B">
        <w:rPr>
          <w:rFonts w:ascii="Times New Roman" w:eastAsia="楷体" w:hAnsi="Times New Roman" w:cs="Times New Roman"/>
          <w:sz w:val="15"/>
          <w:szCs w:val="15"/>
        </w:rPr>
        <w:t>注：</w:t>
      </w:r>
      <w:r w:rsidR="002A34A4" w:rsidRPr="00FE771B">
        <w:rPr>
          <w:rFonts w:ascii="Times New Roman" w:eastAsia="楷体" w:hAnsi="Times New Roman" w:cs="Times New Roman"/>
          <w:sz w:val="15"/>
          <w:szCs w:val="15"/>
        </w:rPr>
        <w:t>方</w:t>
      </w:r>
      <w:r w:rsidRPr="00FE771B">
        <w:rPr>
          <w:rFonts w:ascii="Times New Roman" w:eastAsia="楷体" w:hAnsi="Times New Roman" w:cs="Times New Roman"/>
          <w:sz w:val="15"/>
          <w:szCs w:val="15"/>
        </w:rPr>
        <w:t>括号内数值为</w:t>
      </w:r>
      <w:r w:rsidRPr="00FE771B">
        <w:rPr>
          <w:rFonts w:ascii="Times New Roman" w:eastAsia="楷体" w:hAnsi="Times New Roman" w:cs="Times New Roman"/>
          <w:sz w:val="15"/>
          <w:szCs w:val="15"/>
        </w:rPr>
        <w:t xml:space="preserve"> </w:t>
      </w:r>
      <w:proofErr w:type="spellStart"/>
      <w:r w:rsidRPr="00FE771B">
        <w:rPr>
          <w:rFonts w:ascii="Times New Roman" w:eastAsia="楷体" w:hAnsi="Times New Roman" w:cs="Times New Roman"/>
          <w:sz w:val="15"/>
          <w:szCs w:val="15"/>
        </w:rPr>
        <w:t>Kleibergen-Paap</w:t>
      </w:r>
      <w:proofErr w:type="spellEnd"/>
      <w:r w:rsidRPr="00FE771B">
        <w:rPr>
          <w:rFonts w:ascii="Times New Roman" w:eastAsia="楷体" w:hAnsi="Times New Roman" w:cs="Times New Roman"/>
          <w:sz w:val="15"/>
          <w:szCs w:val="15"/>
        </w:rPr>
        <w:t xml:space="preserve"> Wald </w:t>
      </w:r>
      <w:proofErr w:type="spellStart"/>
      <w:r w:rsidRPr="00FE771B">
        <w:rPr>
          <w:rFonts w:ascii="Times New Roman" w:eastAsia="楷体" w:hAnsi="Times New Roman" w:cs="Times New Roman"/>
          <w:sz w:val="15"/>
          <w:szCs w:val="15"/>
        </w:rPr>
        <w:t>rk</w:t>
      </w:r>
      <w:proofErr w:type="spellEnd"/>
      <w:r w:rsidRPr="00FE771B">
        <w:rPr>
          <w:rFonts w:ascii="Times New Roman" w:eastAsia="楷体" w:hAnsi="Times New Roman" w:cs="Times New Roman"/>
          <w:sz w:val="15"/>
          <w:szCs w:val="15"/>
        </w:rPr>
        <w:t xml:space="preserve"> LM </w:t>
      </w:r>
      <w:r w:rsidRPr="00FE771B">
        <w:rPr>
          <w:rFonts w:ascii="Times New Roman" w:eastAsia="楷体" w:hAnsi="Times New Roman" w:cs="Times New Roman"/>
          <w:sz w:val="15"/>
          <w:szCs w:val="15"/>
        </w:rPr>
        <w:t>检验统计量的</w:t>
      </w:r>
      <w:r w:rsidRPr="00FE771B">
        <w:rPr>
          <w:rFonts w:ascii="Times New Roman" w:eastAsia="楷体" w:hAnsi="Times New Roman" w:cs="Times New Roman"/>
          <w:sz w:val="15"/>
          <w:szCs w:val="15"/>
        </w:rPr>
        <w:t xml:space="preserve"> P </w:t>
      </w:r>
      <w:r w:rsidRPr="00FE771B">
        <w:rPr>
          <w:rFonts w:ascii="Times New Roman" w:eastAsia="楷体" w:hAnsi="Times New Roman" w:cs="Times New Roman"/>
          <w:sz w:val="15"/>
          <w:szCs w:val="15"/>
        </w:rPr>
        <w:t>值，</w:t>
      </w:r>
      <w:proofErr w:type="spellStart"/>
      <w:r w:rsidR="002A34A4" w:rsidRPr="00FE771B">
        <w:rPr>
          <w:rFonts w:ascii="Times New Roman" w:eastAsia="楷体" w:hAnsi="Times New Roman" w:cs="Times New Roman"/>
          <w:sz w:val="15"/>
          <w:szCs w:val="15"/>
        </w:rPr>
        <w:t>Cragg</w:t>
      </w:r>
      <w:proofErr w:type="spellEnd"/>
      <w:r w:rsidR="002A34A4" w:rsidRPr="00FE771B">
        <w:rPr>
          <w:rFonts w:ascii="Times New Roman" w:eastAsia="楷体" w:hAnsi="Times New Roman" w:cs="Times New Roman"/>
          <w:sz w:val="15"/>
          <w:szCs w:val="15"/>
        </w:rPr>
        <w:t>-Donald Wald F</w:t>
      </w:r>
      <w:r w:rsidRPr="00FE771B">
        <w:rPr>
          <w:rFonts w:ascii="Times New Roman" w:eastAsia="楷体" w:hAnsi="Times New Roman" w:cs="Times New Roman"/>
          <w:sz w:val="15"/>
          <w:szCs w:val="15"/>
        </w:rPr>
        <w:t>检验中</w:t>
      </w:r>
      <w:r w:rsidR="002A34A4" w:rsidRPr="00FE771B">
        <w:rPr>
          <w:rFonts w:ascii="Times New Roman" w:eastAsia="楷体" w:hAnsi="Times New Roman" w:cs="Times New Roman"/>
          <w:sz w:val="15"/>
          <w:szCs w:val="15"/>
        </w:rPr>
        <w:t>方</w:t>
      </w:r>
      <w:r w:rsidRPr="00FE771B">
        <w:rPr>
          <w:rFonts w:ascii="Times New Roman" w:eastAsia="楷体" w:hAnsi="Times New Roman" w:cs="Times New Roman"/>
          <w:sz w:val="15"/>
          <w:szCs w:val="15"/>
        </w:rPr>
        <w:t>括号内数值为</w:t>
      </w:r>
      <w:r w:rsidRPr="00FE771B">
        <w:rPr>
          <w:rFonts w:ascii="Times New Roman" w:eastAsia="楷体" w:hAnsi="Times New Roman" w:cs="Times New Roman"/>
          <w:sz w:val="15"/>
          <w:szCs w:val="15"/>
        </w:rPr>
        <w:t xml:space="preserve"> Stock-</w:t>
      </w:r>
      <w:proofErr w:type="spellStart"/>
      <w:r w:rsidRPr="00FE771B">
        <w:rPr>
          <w:rFonts w:ascii="Times New Roman" w:eastAsia="楷体" w:hAnsi="Times New Roman" w:cs="Times New Roman"/>
          <w:sz w:val="15"/>
          <w:szCs w:val="15"/>
        </w:rPr>
        <w:t>Yogo</w:t>
      </w:r>
      <w:proofErr w:type="spellEnd"/>
      <w:r w:rsidRPr="00FE771B">
        <w:rPr>
          <w:rFonts w:ascii="Times New Roman" w:eastAsia="楷体" w:hAnsi="Times New Roman" w:cs="Times New Roman"/>
          <w:sz w:val="15"/>
          <w:szCs w:val="15"/>
        </w:rPr>
        <w:t xml:space="preserve"> </w:t>
      </w:r>
      <w:r w:rsidRPr="00FE771B">
        <w:rPr>
          <w:rFonts w:ascii="Times New Roman" w:eastAsia="楷体" w:hAnsi="Times New Roman" w:cs="Times New Roman"/>
          <w:sz w:val="15"/>
          <w:szCs w:val="15"/>
        </w:rPr>
        <w:t>检验</w:t>
      </w:r>
      <w:r w:rsidRPr="00FE771B">
        <w:rPr>
          <w:rFonts w:ascii="Times New Roman" w:eastAsia="楷体" w:hAnsi="Times New Roman" w:cs="Times New Roman"/>
          <w:sz w:val="15"/>
          <w:szCs w:val="15"/>
        </w:rPr>
        <w:t xml:space="preserve"> 10%</w:t>
      </w:r>
      <w:r w:rsidRPr="00FE771B">
        <w:rPr>
          <w:rFonts w:ascii="Times New Roman" w:eastAsia="楷体" w:hAnsi="Times New Roman" w:cs="Times New Roman"/>
          <w:sz w:val="15"/>
          <w:szCs w:val="15"/>
        </w:rPr>
        <w:t>水平上的临界值。</w:t>
      </w:r>
      <w:proofErr w:type="spellStart"/>
      <w:r w:rsidRPr="00FE771B">
        <w:rPr>
          <w:rFonts w:ascii="Times New Roman" w:eastAsia="楷体" w:hAnsi="Times New Roman" w:cs="Times New Roman"/>
          <w:sz w:val="15"/>
          <w:szCs w:val="15"/>
        </w:rPr>
        <w:t>Kleibergen-Paap</w:t>
      </w:r>
      <w:proofErr w:type="spellEnd"/>
      <w:r w:rsidRPr="00FE771B">
        <w:rPr>
          <w:rFonts w:ascii="Times New Roman" w:eastAsia="楷体" w:hAnsi="Times New Roman" w:cs="Times New Roman"/>
          <w:sz w:val="15"/>
          <w:szCs w:val="15"/>
        </w:rPr>
        <w:t xml:space="preserve"> </w:t>
      </w:r>
      <w:proofErr w:type="spellStart"/>
      <w:r w:rsidRPr="00FE771B">
        <w:rPr>
          <w:rFonts w:ascii="Times New Roman" w:eastAsia="楷体" w:hAnsi="Times New Roman" w:cs="Times New Roman"/>
          <w:sz w:val="15"/>
          <w:szCs w:val="15"/>
        </w:rPr>
        <w:t>rk</w:t>
      </w:r>
      <w:proofErr w:type="spellEnd"/>
      <w:r w:rsidRPr="00FE771B">
        <w:rPr>
          <w:rFonts w:ascii="Times New Roman" w:eastAsia="楷体" w:hAnsi="Times New Roman" w:cs="Times New Roman"/>
          <w:sz w:val="15"/>
          <w:szCs w:val="15"/>
        </w:rPr>
        <w:t xml:space="preserve"> LM </w:t>
      </w:r>
      <w:r w:rsidRPr="00FE771B">
        <w:rPr>
          <w:rFonts w:ascii="Times New Roman" w:eastAsia="楷体" w:hAnsi="Times New Roman" w:cs="Times New Roman"/>
          <w:sz w:val="15"/>
          <w:szCs w:val="15"/>
        </w:rPr>
        <w:t>检验的零假设是工具变量识别不足，若拒绝零假设则说明工具变量不存在识别不足问题，</w:t>
      </w:r>
      <w:proofErr w:type="spellStart"/>
      <w:r w:rsidRPr="00FE771B">
        <w:rPr>
          <w:rFonts w:ascii="Times New Roman" w:eastAsia="楷体" w:hAnsi="Times New Roman" w:cs="Times New Roman"/>
          <w:sz w:val="15"/>
          <w:szCs w:val="15"/>
        </w:rPr>
        <w:t>Kleibergen-Paap</w:t>
      </w:r>
      <w:proofErr w:type="spellEnd"/>
      <w:r w:rsidRPr="00FE771B">
        <w:rPr>
          <w:rFonts w:ascii="Times New Roman" w:eastAsia="楷体" w:hAnsi="Times New Roman" w:cs="Times New Roman"/>
          <w:sz w:val="15"/>
          <w:szCs w:val="15"/>
        </w:rPr>
        <w:t xml:space="preserve"> </w:t>
      </w:r>
      <w:proofErr w:type="spellStart"/>
      <w:r w:rsidRPr="00FE771B">
        <w:rPr>
          <w:rFonts w:ascii="Times New Roman" w:eastAsia="楷体" w:hAnsi="Times New Roman" w:cs="Times New Roman"/>
          <w:sz w:val="15"/>
          <w:szCs w:val="15"/>
        </w:rPr>
        <w:t>rk</w:t>
      </w:r>
      <w:proofErr w:type="spellEnd"/>
      <w:r w:rsidRPr="00FE771B">
        <w:rPr>
          <w:rFonts w:ascii="Times New Roman" w:eastAsia="楷体" w:hAnsi="Times New Roman" w:cs="Times New Roman"/>
          <w:sz w:val="15"/>
          <w:szCs w:val="15"/>
        </w:rPr>
        <w:t xml:space="preserve"> F </w:t>
      </w:r>
      <w:r w:rsidRPr="00FE771B">
        <w:rPr>
          <w:rFonts w:ascii="Times New Roman" w:eastAsia="楷体" w:hAnsi="Times New Roman" w:cs="Times New Roman"/>
          <w:sz w:val="15"/>
          <w:szCs w:val="15"/>
        </w:rPr>
        <w:t>检验的零假设是工具变量为弱识别，若拒绝零假设则说明工具变量不存在弱识别问题。</w:t>
      </w:r>
    </w:p>
    <w:p w:rsidR="00C55169" w:rsidRPr="00FE771B" w:rsidRDefault="00E14128" w:rsidP="00C31057">
      <w:pPr>
        <w:ind w:firstLineChars="200" w:firstLine="420"/>
        <w:rPr>
          <w:rFonts w:ascii="Times New Roman" w:hAnsi="Times New Roman" w:cs="Times New Roman"/>
        </w:rPr>
      </w:pPr>
      <w:r w:rsidRPr="00316147">
        <w:rPr>
          <w:rFonts w:ascii="楷体" w:eastAsia="楷体" w:hAnsi="楷体" w:cs="Times New Roman"/>
        </w:rPr>
        <w:t>2.</w:t>
      </w:r>
      <w:r w:rsidR="003C48F3" w:rsidRPr="00316147">
        <w:rPr>
          <w:rFonts w:ascii="楷体" w:eastAsia="楷体" w:hAnsi="楷体" w:cs="Times New Roman"/>
        </w:rPr>
        <w:t>倾向值得分匹配法。</w:t>
      </w:r>
      <w:r w:rsidR="00612210" w:rsidRPr="00FE771B">
        <w:rPr>
          <w:rFonts w:ascii="Times New Roman" w:hAnsi="Times New Roman" w:cs="Times New Roman"/>
        </w:rPr>
        <w:t>由于业绩承诺协议签订并不是随机的，其可能受到上市公司差异性特征的影响，因此样本中就会存在选择偏差偏误。为了控制选择偏差的影响，本文采用倾向得分匹配法进行检验。</w:t>
      </w:r>
      <w:r w:rsidR="00C31057" w:rsidRPr="00FE771B">
        <w:rPr>
          <w:rFonts w:ascii="Times New Roman" w:hAnsi="Times New Roman" w:cs="Times New Roman"/>
        </w:rPr>
        <w:t>我们将签订业绩承诺协议的上市公司作为处理组，将未签订业绩承诺的上市公司作为对照组。然后，我们首先在控制年份与行业基础上，通过</w:t>
      </w:r>
      <w:proofErr w:type="spellStart"/>
      <w:r w:rsidR="00C31057" w:rsidRPr="00FE771B">
        <w:rPr>
          <w:rFonts w:ascii="Times New Roman" w:hAnsi="Times New Roman" w:cs="Times New Roman"/>
        </w:rPr>
        <w:t>Probit</w:t>
      </w:r>
      <w:proofErr w:type="spellEnd"/>
      <w:r w:rsidR="00C31057" w:rsidRPr="00FE771B">
        <w:rPr>
          <w:rFonts w:ascii="Times New Roman" w:hAnsi="Times New Roman" w:cs="Times New Roman"/>
        </w:rPr>
        <w:t>回归来确定签订</w:t>
      </w:r>
      <w:r w:rsidR="002D29DC" w:rsidRPr="00FE771B">
        <w:rPr>
          <w:rFonts w:ascii="Times New Roman" w:hAnsi="Times New Roman" w:cs="Times New Roman"/>
        </w:rPr>
        <w:t>业绩承诺</w:t>
      </w:r>
      <w:r w:rsidR="00C31057" w:rsidRPr="00FE771B">
        <w:rPr>
          <w:rFonts w:ascii="Times New Roman" w:hAnsi="Times New Roman" w:cs="Times New Roman"/>
        </w:rPr>
        <w:t>的概率即倾向得分</w:t>
      </w:r>
      <w:r w:rsidR="004937E8" w:rsidRPr="00FE771B">
        <w:rPr>
          <w:rFonts w:ascii="Times New Roman" w:hAnsi="Times New Roman" w:cs="Times New Roman"/>
        </w:rPr>
        <w:t>，</w:t>
      </w:r>
      <w:r w:rsidR="00C31057" w:rsidRPr="00FE771B">
        <w:rPr>
          <w:rFonts w:ascii="Times New Roman" w:hAnsi="Times New Roman" w:cs="Times New Roman"/>
        </w:rPr>
        <w:t>参考已有研究我们选取公司规模、资产负债率、资产报酬率、第一大股东持股、关联并购、</w:t>
      </w:r>
      <w:r w:rsidR="001D577E" w:rsidRPr="00FE771B">
        <w:rPr>
          <w:rFonts w:ascii="Times New Roman" w:hAnsi="Times New Roman" w:cs="Times New Roman"/>
        </w:rPr>
        <w:t>管理层持股比率、董事会规模</w:t>
      </w:r>
      <w:r w:rsidR="00C31057" w:rsidRPr="00FE771B">
        <w:rPr>
          <w:rFonts w:ascii="Times New Roman" w:hAnsi="Times New Roman" w:cs="Times New Roman"/>
        </w:rPr>
        <w:t>、</w:t>
      </w:r>
      <w:r w:rsidR="001D577E" w:rsidRPr="00FE771B">
        <w:rPr>
          <w:rFonts w:ascii="Times New Roman" w:hAnsi="Times New Roman" w:cs="Times New Roman"/>
        </w:rPr>
        <w:t>账面</w:t>
      </w:r>
      <w:r w:rsidR="00C31057" w:rsidRPr="00FE771B">
        <w:rPr>
          <w:rFonts w:ascii="Times New Roman" w:hAnsi="Times New Roman" w:cs="Times New Roman"/>
        </w:rPr>
        <w:t>市值比</w:t>
      </w:r>
      <w:r w:rsidR="00C1692F" w:rsidRPr="00FE771B">
        <w:rPr>
          <w:rFonts w:ascii="Times New Roman" w:hAnsi="Times New Roman" w:cs="Times New Roman"/>
        </w:rPr>
        <w:t>等变量</w:t>
      </w:r>
      <w:r w:rsidR="004937E8" w:rsidRPr="00FE771B">
        <w:rPr>
          <w:rFonts w:ascii="Times New Roman" w:hAnsi="Times New Roman" w:cs="Times New Roman"/>
        </w:rPr>
        <w:t>进行回归</w:t>
      </w:r>
      <w:r w:rsidR="00C1692F" w:rsidRPr="00FE771B">
        <w:rPr>
          <w:rFonts w:ascii="Times New Roman" w:hAnsi="Times New Roman" w:cs="Times New Roman"/>
        </w:rPr>
        <w:t>，</w:t>
      </w:r>
      <w:r w:rsidR="0086511D" w:rsidRPr="00FE771B">
        <w:rPr>
          <w:rFonts w:ascii="Times New Roman" w:hAnsi="Times New Roman" w:cs="Times New Roman"/>
        </w:rPr>
        <w:t>然后按照</w:t>
      </w:r>
      <w:r w:rsidR="0041362B" w:rsidRPr="00FE771B">
        <w:rPr>
          <w:rFonts w:ascii="Times New Roman" w:hAnsi="Times New Roman" w:cs="Times New Roman"/>
        </w:rPr>
        <w:t>1:1</w:t>
      </w:r>
      <w:r w:rsidR="0086511D" w:rsidRPr="00FE771B">
        <w:rPr>
          <w:rFonts w:ascii="Times New Roman" w:hAnsi="Times New Roman" w:cs="Times New Roman"/>
        </w:rPr>
        <w:t>最邻近匹配法匹配有效样本，</w:t>
      </w:r>
      <w:r w:rsidR="0041362B" w:rsidRPr="00FE771B">
        <w:rPr>
          <w:rFonts w:ascii="Times New Roman" w:hAnsi="Times New Roman" w:cs="Times New Roman"/>
        </w:rPr>
        <w:t>同时</w:t>
      </w:r>
      <w:r w:rsidR="0086511D" w:rsidRPr="00FE771B">
        <w:rPr>
          <w:rFonts w:ascii="Times New Roman" w:hAnsi="Times New Roman" w:cs="Times New Roman"/>
        </w:rPr>
        <w:t>所有变量所对应</w:t>
      </w:r>
      <w:r w:rsidR="0086511D" w:rsidRPr="00FE771B">
        <w:rPr>
          <w:rFonts w:ascii="Times New Roman" w:hAnsi="Times New Roman" w:cs="Times New Roman"/>
        </w:rPr>
        <w:t>P</w:t>
      </w:r>
      <w:r w:rsidR="0086511D" w:rsidRPr="00FE771B">
        <w:rPr>
          <w:rFonts w:ascii="Times New Roman" w:hAnsi="Times New Roman" w:cs="Times New Roman"/>
        </w:rPr>
        <w:t>值均大于</w:t>
      </w:r>
      <w:r w:rsidR="0086511D" w:rsidRPr="00FE771B">
        <w:rPr>
          <w:rFonts w:ascii="Times New Roman" w:hAnsi="Times New Roman" w:cs="Times New Roman"/>
        </w:rPr>
        <w:t>0.1</w:t>
      </w:r>
      <w:r w:rsidR="004937E8" w:rsidRPr="00FE771B">
        <w:rPr>
          <w:rFonts w:ascii="Times New Roman" w:hAnsi="Times New Roman" w:cs="Times New Roman"/>
        </w:rPr>
        <w:t>都通过了平衡性检验。</w:t>
      </w:r>
      <w:r w:rsidR="0041362B" w:rsidRPr="00FE771B">
        <w:rPr>
          <w:rFonts w:ascii="Times New Roman" w:hAnsi="Times New Roman" w:cs="Times New Roman"/>
        </w:rPr>
        <w:t>然后，我们使用倾向值匹配后的有效样本再进行回归，回归结果见表</w:t>
      </w:r>
      <w:r w:rsidR="008E31CA" w:rsidRPr="00FE771B">
        <w:rPr>
          <w:rFonts w:ascii="Times New Roman" w:hAnsi="Times New Roman" w:cs="Times New Roman"/>
        </w:rPr>
        <w:t>8</w:t>
      </w:r>
      <w:r w:rsidR="0041362B" w:rsidRPr="00FE771B">
        <w:rPr>
          <w:rFonts w:ascii="Times New Roman" w:hAnsi="Times New Roman" w:cs="Times New Roman"/>
        </w:rPr>
        <w:t>。</w:t>
      </w:r>
      <w:r w:rsidR="004937E8" w:rsidRPr="00FE771B">
        <w:rPr>
          <w:rFonts w:ascii="Times New Roman" w:hAnsi="Times New Roman" w:cs="Times New Roman"/>
        </w:rPr>
        <w:t>从表</w:t>
      </w:r>
      <w:r w:rsidR="008E31CA" w:rsidRPr="00FE771B">
        <w:rPr>
          <w:rFonts w:ascii="Times New Roman" w:hAnsi="Times New Roman" w:cs="Times New Roman"/>
        </w:rPr>
        <w:t>8</w:t>
      </w:r>
      <w:r w:rsidR="004937E8" w:rsidRPr="00FE771B">
        <w:rPr>
          <w:rFonts w:ascii="Times New Roman" w:hAnsi="Times New Roman" w:cs="Times New Roman"/>
        </w:rPr>
        <w:t>回归结果看，业绩承诺变量回归系数方向和</w:t>
      </w:r>
      <w:proofErr w:type="gramStart"/>
      <w:r w:rsidR="004937E8" w:rsidRPr="00FE771B">
        <w:rPr>
          <w:rFonts w:ascii="Times New Roman" w:hAnsi="Times New Roman" w:cs="Times New Roman"/>
        </w:rPr>
        <w:t>显著性</w:t>
      </w:r>
      <w:r w:rsidR="00902F88" w:rsidRPr="00FE771B">
        <w:rPr>
          <w:rFonts w:ascii="Times New Roman" w:hAnsi="Times New Roman" w:cs="Times New Roman"/>
        </w:rPr>
        <w:t>除第</w:t>
      </w:r>
      <w:proofErr w:type="gramEnd"/>
      <w:r w:rsidR="00902F88" w:rsidRPr="00FE771B">
        <w:rPr>
          <w:rFonts w:ascii="Times New Roman" w:hAnsi="Times New Roman" w:cs="Times New Roman"/>
        </w:rPr>
        <w:t>(1)</w:t>
      </w:r>
      <w:proofErr w:type="gramStart"/>
      <w:r w:rsidR="00902F88" w:rsidRPr="00FE771B">
        <w:rPr>
          <w:rFonts w:ascii="Times New Roman" w:hAnsi="Times New Roman" w:cs="Times New Roman"/>
        </w:rPr>
        <w:t>列外</w:t>
      </w:r>
      <w:proofErr w:type="gramEnd"/>
      <w:r w:rsidR="00902F88" w:rsidRPr="00FE771B">
        <w:rPr>
          <w:rFonts w:ascii="Times New Roman" w:hAnsi="Times New Roman" w:cs="Times New Roman"/>
        </w:rPr>
        <w:t>基本</w:t>
      </w:r>
      <w:r w:rsidR="004937E8" w:rsidRPr="00FE771B">
        <w:rPr>
          <w:rFonts w:ascii="Times New Roman" w:hAnsi="Times New Roman" w:cs="Times New Roman"/>
        </w:rPr>
        <w:t>保持不变，签订业绩承诺和业绩承诺次数越多的上市公司金融化投资倾向更加严重，本文的研究结论保持稳健。</w:t>
      </w:r>
    </w:p>
    <w:p w:rsidR="00A56676" w:rsidRPr="00FE771B" w:rsidRDefault="004C2D74" w:rsidP="00C55169">
      <w:pPr>
        <w:jc w:val="center"/>
        <w:rPr>
          <w:rFonts w:ascii="Times New Roman" w:eastAsia="楷体" w:hAnsi="Times New Roman" w:cs="Times New Roman"/>
          <w:bCs/>
          <w:szCs w:val="21"/>
        </w:rPr>
      </w:pPr>
      <w:r w:rsidRPr="00FE771B">
        <w:rPr>
          <w:rFonts w:ascii="Times New Roman" w:eastAsia="楷体" w:hAnsi="Times New Roman" w:cs="Times New Roman"/>
          <w:bCs/>
          <w:szCs w:val="21"/>
        </w:rPr>
        <w:t>表</w:t>
      </w:r>
      <w:r w:rsidR="008E31CA" w:rsidRPr="00FE771B">
        <w:rPr>
          <w:rFonts w:ascii="Times New Roman" w:eastAsia="楷体" w:hAnsi="Times New Roman" w:cs="Times New Roman"/>
          <w:bCs/>
          <w:szCs w:val="21"/>
        </w:rPr>
        <w:t>8</w:t>
      </w:r>
      <w:r w:rsidR="00C55169" w:rsidRPr="00FE771B">
        <w:rPr>
          <w:rFonts w:ascii="Times New Roman" w:eastAsia="楷体" w:hAnsi="Times New Roman" w:cs="Times New Roman"/>
          <w:bCs/>
          <w:szCs w:val="21"/>
        </w:rPr>
        <w:t xml:space="preserve"> </w:t>
      </w:r>
      <w:r w:rsidR="007E6BB1" w:rsidRPr="00FE771B">
        <w:rPr>
          <w:rFonts w:ascii="Times New Roman" w:eastAsia="楷体" w:hAnsi="Times New Roman" w:cs="Times New Roman"/>
          <w:bCs/>
          <w:szCs w:val="21"/>
        </w:rPr>
        <w:t xml:space="preserve"> </w:t>
      </w:r>
      <w:r w:rsidR="00C55169" w:rsidRPr="00FE771B">
        <w:rPr>
          <w:rFonts w:ascii="Times New Roman" w:eastAsia="楷体" w:hAnsi="Times New Roman" w:cs="Times New Roman"/>
          <w:bCs/>
          <w:szCs w:val="21"/>
        </w:rPr>
        <w:t>内生性问题：</w:t>
      </w:r>
      <w:r w:rsidR="00C55169" w:rsidRPr="00FE771B">
        <w:rPr>
          <w:rFonts w:ascii="Times New Roman" w:eastAsia="楷体" w:hAnsi="Times New Roman" w:cs="Times New Roman"/>
          <w:bCs/>
          <w:szCs w:val="21"/>
        </w:rPr>
        <w:t>PSM</w:t>
      </w:r>
      <w:r w:rsidR="00C55169" w:rsidRPr="00FE771B">
        <w:rPr>
          <w:rFonts w:ascii="Times New Roman" w:eastAsia="楷体" w:hAnsi="Times New Roman" w:cs="Times New Roman"/>
          <w:bCs/>
          <w:szCs w:val="21"/>
        </w:rPr>
        <w:t>检验</w:t>
      </w:r>
    </w:p>
    <w:tbl>
      <w:tblPr>
        <w:tblW w:w="5000" w:type="pct"/>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1453"/>
        <w:gridCol w:w="1768"/>
        <w:gridCol w:w="1767"/>
        <w:gridCol w:w="1767"/>
        <w:gridCol w:w="1767"/>
      </w:tblGrid>
      <w:tr w:rsidR="00CD29CB" w:rsidRPr="00FE771B" w:rsidTr="00504F51">
        <w:trPr>
          <w:trHeight w:val="634"/>
        </w:trPr>
        <w:tc>
          <w:tcPr>
            <w:tcW w:w="852" w:type="pct"/>
            <w:tcBorders>
              <w:bottom w:val="single" w:sz="4" w:space="0" w:color="auto"/>
            </w:tcBorders>
          </w:tcPr>
          <w:p w:rsidR="0013150D" w:rsidRPr="00FE771B" w:rsidRDefault="0013150D" w:rsidP="0013150D">
            <w:pPr>
              <w:autoSpaceDE w:val="0"/>
              <w:autoSpaceDN w:val="0"/>
              <w:adjustRightInd w:val="0"/>
              <w:jc w:val="left"/>
              <w:rPr>
                <w:rFonts w:ascii="Times New Roman" w:hAnsi="Times New Roman" w:cs="Times New Roman"/>
                <w:color w:val="000000" w:themeColor="text1"/>
                <w:kern w:val="0"/>
                <w:sz w:val="18"/>
                <w:szCs w:val="18"/>
              </w:rPr>
            </w:pPr>
          </w:p>
        </w:tc>
        <w:tc>
          <w:tcPr>
            <w:tcW w:w="1037" w:type="pct"/>
            <w:tcBorders>
              <w:bottom w:val="single" w:sz="4" w:space="0" w:color="auto"/>
            </w:tcBorders>
          </w:tcPr>
          <w:p w:rsidR="00504F51" w:rsidRPr="00FE771B" w:rsidRDefault="0013150D" w:rsidP="0013150D">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(1)</w:t>
            </w:r>
          </w:p>
          <w:p w:rsidR="0013150D" w:rsidRPr="00FE771B" w:rsidRDefault="00504F51" w:rsidP="0013150D">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i/>
                <w:color w:val="000000" w:themeColor="text1"/>
                <w:kern w:val="0"/>
                <w:sz w:val="18"/>
                <w:szCs w:val="18"/>
              </w:rPr>
              <w:t>Fin</w:t>
            </w:r>
          </w:p>
        </w:tc>
        <w:tc>
          <w:tcPr>
            <w:tcW w:w="1037" w:type="pct"/>
            <w:tcBorders>
              <w:bottom w:val="single" w:sz="4" w:space="0" w:color="auto"/>
            </w:tcBorders>
          </w:tcPr>
          <w:p w:rsidR="00504F51" w:rsidRPr="00FE771B" w:rsidRDefault="0013150D" w:rsidP="0013150D">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(2)</w:t>
            </w:r>
          </w:p>
          <w:p w:rsidR="0013150D" w:rsidRPr="00FE771B" w:rsidRDefault="00504F51" w:rsidP="0013150D">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i/>
                <w:color w:val="000000" w:themeColor="text1"/>
                <w:kern w:val="0"/>
                <w:sz w:val="18"/>
                <w:szCs w:val="18"/>
              </w:rPr>
              <w:t>Fin</w:t>
            </w:r>
          </w:p>
        </w:tc>
        <w:tc>
          <w:tcPr>
            <w:tcW w:w="1037" w:type="pct"/>
            <w:tcBorders>
              <w:bottom w:val="single" w:sz="4" w:space="0" w:color="auto"/>
            </w:tcBorders>
          </w:tcPr>
          <w:p w:rsidR="00504F51" w:rsidRPr="00FE771B" w:rsidRDefault="0013150D" w:rsidP="0013150D">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(3)</w:t>
            </w:r>
          </w:p>
          <w:p w:rsidR="0013150D" w:rsidRPr="00FE771B" w:rsidRDefault="00504F51" w:rsidP="0013150D">
            <w:pPr>
              <w:autoSpaceDE w:val="0"/>
              <w:autoSpaceDN w:val="0"/>
              <w:adjustRightInd w:val="0"/>
              <w:jc w:val="center"/>
              <w:rPr>
                <w:rFonts w:ascii="Times New Roman" w:hAnsi="Times New Roman" w:cs="Times New Roman"/>
                <w:color w:val="000000" w:themeColor="text1"/>
                <w:kern w:val="0"/>
                <w:sz w:val="18"/>
                <w:szCs w:val="18"/>
              </w:rPr>
            </w:pPr>
            <w:proofErr w:type="spellStart"/>
            <w:r w:rsidRPr="00FE771B">
              <w:rPr>
                <w:rFonts w:ascii="Times New Roman" w:hAnsi="Times New Roman" w:cs="Times New Roman"/>
                <w:i/>
                <w:color w:val="000000" w:themeColor="text1"/>
                <w:kern w:val="0"/>
                <w:sz w:val="18"/>
                <w:szCs w:val="18"/>
              </w:rPr>
              <w:t>FinDummy</w:t>
            </w:r>
            <w:proofErr w:type="spellEnd"/>
          </w:p>
        </w:tc>
        <w:tc>
          <w:tcPr>
            <w:tcW w:w="1037" w:type="pct"/>
            <w:tcBorders>
              <w:bottom w:val="single" w:sz="4" w:space="0" w:color="auto"/>
            </w:tcBorders>
          </w:tcPr>
          <w:p w:rsidR="00504F51" w:rsidRPr="00FE771B" w:rsidRDefault="0013150D" w:rsidP="0013150D">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(4)</w:t>
            </w:r>
          </w:p>
          <w:p w:rsidR="0013150D" w:rsidRPr="00FE771B" w:rsidRDefault="00504F51" w:rsidP="0013150D">
            <w:pPr>
              <w:autoSpaceDE w:val="0"/>
              <w:autoSpaceDN w:val="0"/>
              <w:adjustRightInd w:val="0"/>
              <w:jc w:val="center"/>
              <w:rPr>
                <w:rFonts w:ascii="Times New Roman" w:hAnsi="Times New Roman" w:cs="Times New Roman"/>
                <w:color w:val="000000" w:themeColor="text1"/>
                <w:kern w:val="0"/>
                <w:sz w:val="18"/>
                <w:szCs w:val="18"/>
              </w:rPr>
            </w:pPr>
            <w:proofErr w:type="spellStart"/>
            <w:r w:rsidRPr="00FE771B">
              <w:rPr>
                <w:rFonts w:ascii="Times New Roman" w:hAnsi="Times New Roman" w:cs="Times New Roman"/>
                <w:i/>
                <w:color w:val="000000" w:themeColor="text1"/>
                <w:kern w:val="0"/>
                <w:sz w:val="18"/>
                <w:szCs w:val="18"/>
              </w:rPr>
              <w:t>FinDummy</w:t>
            </w:r>
            <w:proofErr w:type="spellEnd"/>
          </w:p>
        </w:tc>
      </w:tr>
      <w:tr w:rsidR="00CD29CB" w:rsidRPr="00FE771B" w:rsidTr="00504F51">
        <w:trPr>
          <w:trHeight w:val="634"/>
        </w:trPr>
        <w:tc>
          <w:tcPr>
            <w:tcW w:w="852" w:type="pct"/>
            <w:tcBorders>
              <w:bottom w:val="single" w:sz="4" w:space="0" w:color="auto"/>
            </w:tcBorders>
          </w:tcPr>
          <w:p w:rsidR="00902F88" w:rsidRPr="00FE771B" w:rsidRDefault="00902F88" w:rsidP="0013150D">
            <w:pPr>
              <w:autoSpaceDE w:val="0"/>
              <w:autoSpaceDN w:val="0"/>
              <w:adjustRightInd w:val="0"/>
              <w:jc w:val="center"/>
              <w:rPr>
                <w:rFonts w:ascii="Times New Roman" w:hAnsi="Times New Roman" w:cs="Times New Roman"/>
                <w:i/>
                <w:color w:val="000000" w:themeColor="text1"/>
                <w:kern w:val="0"/>
                <w:sz w:val="18"/>
                <w:szCs w:val="18"/>
              </w:rPr>
            </w:pPr>
            <w:proofErr w:type="spellStart"/>
            <w:r w:rsidRPr="00FE771B">
              <w:rPr>
                <w:rFonts w:ascii="Times New Roman" w:hAnsi="Times New Roman" w:cs="Times New Roman"/>
                <w:i/>
                <w:color w:val="000000" w:themeColor="text1"/>
                <w:kern w:val="0"/>
                <w:sz w:val="18"/>
                <w:szCs w:val="18"/>
              </w:rPr>
              <w:t>Vam_logit</w:t>
            </w:r>
            <w:proofErr w:type="spellEnd"/>
          </w:p>
        </w:tc>
        <w:tc>
          <w:tcPr>
            <w:tcW w:w="1037" w:type="pct"/>
            <w:tcBorders>
              <w:bottom w:val="single" w:sz="4" w:space="0" w:color="auto"/>
            </w:tcBorders>
          </w:tcPr>
          <w:p w:rsidR="00504F51" w:rsidRPr="00FE771B" w:rsidRDefault="00902F88"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0.0171</w:t>
            </w:r>
          </w:p>
          <w:p w:rsidR="00902F88" w:rsidRPr="00FE771B" w:rsidRDefault="00504F51"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(1.163)</w:t>
            </w:r>
          </w:p>
        </w:tc>
        <w:tc>
          <w:tcPr>
            <w:tcW w:w="1037" w:type="pct"/>
            <w:tcBorders>
              <w:bottom w:val="single" w:sz="4" w:space="0" w:color="auto"/>
            </w:tcBorders>
          </w:tcPr>
          <w:p w:rsidR="00902F88" w:rsidRPr="00FE771B" w:rsidRDefault="00902F88" w:rsidP="00F20551">
            <w:pPr>
              <w:autoSpaceDE w:val="0"/>
              <w:autoSpaceDN w:val="0"/>
              <w:adjustRightInd w:val="0"/>
              <w:jc w:val="center"/>
              <w:rPr>
                <w:rFonts w:ascii="Times New Roman" w:hAnsi="Times New Roman" w:cs="Times New Roman"/>
                <w:color w:val="000000" w:themeColor="text1"/>
                <w:kern w:val="0"/>
                <w:sz w:val="18"/>
                <w:szCs w:val="18"/>
              </w:rPr>
            </w:pPr>
          </w:p>
        </w:tc>
        <w:tc>
          <w:tcPr>
            <w:tcW w:w="1037" w:type="pct"/>
            <w:tcBorders>
              <w:bottom w:val="single" w:sz="4" w:space="0" w:color="auto"/>
            </w:tcBorders>
          </w:tcPr>
          <w:p w:rsidR="00504F51" w:rsidRPr="00FE771B" w:rsidRDefault="00902F88"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0.0228</w:t>
            </w:r>
          </w:p>
          <w:p w:rsidR="00902F88" w:rsidRPr="00FE771B" w:rsidRDefault="00504F51"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(2.940)</w:t>
            </w:r>
            <w:r w:rsidRPr="00FE771B">
              <w:rPr>
                <w:rFonts w:ascii="Times New Roman" w:hAnsi="Times New Roman" w:cs="Times New Roman"/>
                <w:color w:val="000000" w:themeColor="text1"/>
                <w:kern w:val="0"/>
                <w:sz w:val="18"/>
                <w:szCs w:val="18"/>
                <w:vertAlign w:val="superscript"/>
              </w:rPr>
              <w:t>***</w:t>
            </w:r>
          </w:p>
        </w:tc>
        <w:tc>
          <w:tcPr>
            <w:tcW w:w="1037" w:type="pct"/>
            <w:tcBorders>
              <w:bottom w:val="single" w:sz="4" w:space="0" w:color="auto"/>
            </w:tcBorders>
          </w:tcPr>
          <w:p w:rsidR="00902F88" w:rsidRPr="00FE771B" w:rsidRDefault="00902F88" w:rsidP="0013150D">
            <w:pPr>
              <w:autoSpaceDE w:val="0"/>
              <w:autoSpaceDN w:val="0"/>
              <w:adjustRightInd w:val="0"/>
              <w:jc w:val="center"/>
              <w:rPr>
                <w:rFonts w:ascii="Times New Roman" w:hAnsi="Times New Roman" w:cs="Times New Roman"/>
                <w:color w:val="000000" w:themeColor="text1"/>
                <w:kern w:val="0"/>
                <w:sz w:val="18"/>
                <w:szCs w:val="18"/>
              </w:rPr>
            </w:pPr>
          </w:p>
        </w:tc>
      </w:tr>
      <w:tr w:rsidR="00CD29CB" w:rsidRPr="00FE771B" w:rsidTr="00504F51">
        <w:trPr>
          <w:trHeight w:val="634"/>
        </w:trPr>
        <w:tc>
          <w:tcPr>
            <w:tcW w:w="852" w:type="pct"/>
            <w:tcBorders>
              <w:bottom w:val="single" w:sz="4" w:space="0" w:color="auto"/>
            </w:tcBorders>
          </w:tcPr>
          <w:p w:rsidR="00902F88" w:rsidRPr="00FE771B" w:rsidRDefault="00902F88" w:rsidP="0013150D">
            <w:pPr>
              <w:autoSpaceDE w:val="0"/>
              <w:autoSpaceDN w:val="0"/>
              <w:adjustRightInd w:val="0"/>
              <w:jc w:val="center"/>
              <w:rPr>
                <w:rFonts w:ascii="Times New Roman" w:hAnsi="Times New Roman" w:cs="Times New Roman"/>
                <w:i/>
                <w:color w:val="000000" w:themeColor="text1"/>
                <w:kern w:val="0"/>
                <w:sz w:val="18"/>
                <w:szCs w:val="18"/>
              </w:rPr>
            </w:pPr>
            <w:proofErr w:type="spellStart"/>
            <w:r w:rsidRPr="00FE771B">
              <w:rPr>
                <w:rFonts w:ascii="Times New Roman" w:hAnsi="Times New Roman" w:cs="Times New Roman"/>
                <w:i/>
                <w:color w:val="000000" w:themeColor="text1"/>
                <w:kern w:val="0"/>
                <w:sz w:val="18"/>
                <w:szCs w:val="18"/>
              </w:rPr>
              <w:t>Vam_numbers</w:t>
            </w:r>
            <w:proofErr w:type="spellEnd"/>
          </w:p>
        </w:tc>
        <w:tc>
          <w:tcPr>
            <w:tcW w:w="1037" w:type="pct"/>
            <w:tcBorders>
              <w:bottom w:val="single" w:sz="4" w:space="0" w:color="auto"/>
            </w:tcBorders>
          </w:tcPr>
          <w:p w:rsidR="00902F88" w:rsidRPr="00FE771B" w:rsidRDefault="00902F88" w:rsidP="002A76DF">
            <w:pPr>
              <w:autoSpaceDE w:val="0"/>
              <w:autoSpaceDN w:val="0"/>
              <w:adjustRightInd w:val="0"/>
              <w:jc w:val="center"/>
              <w:rPr>
                <w:rFonts w:ascii="Times New Roman" w:hAnsi="Times New Roman" w:cs="Times New Roman"/>
                <w:color w:val="000000" w:themeColor="text1"/>
                <w:kern w:val="0"/>
                <w:sz w:val="18"/>
                <w:szCs w:val="18"/>
              </w:rPr>
            </w:pPr>
          </w:p>
        </w:tc>
        <w:tc>
          <w:tcPr>
            <w:tcW w:w="1037" w:type="pct"/>
            <w:tcBorders>
              <w:bottom w:val="single" w:sz="4" w:space="0" w:color="auto"/>
            </w:tcBorders>
          </w:tcPr>
          <w:p w:rsidR="00504F51" w:rsidRPr="00FE771B" w:rsidRDefault="00902F88"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0.0239</w:t>
            </w:r>
          </w:p>
          <w:p w:rsidR="00902F88" w:rsidRPr="00FE771B" w:rsidRDefault="00504F51"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(3.211)</w:t>
            </w:r>
            <w:r w:rsidRPr="00FE771B">
              <w:rPr>
                <w:rFonts w:ascii="Times New Roman" w:hAnsi="Times New Roman" w:cs="Times New Roman"/>
                <w:color w:val="000000" w:themeColor="text1"/>
                <w:kern w:val="0"/>
                <w:sz w:val="18"/>
                <w:szCs w:val="18"/>
                <w:vertAlign w:val="superscript"/>
              </w:rPr>
              <w:t>***</w:t>
            </w:r>
          </w:p>
        </w:tc>
        <w:tc>
          <w:tcPr>
            <w:tcW w:w="1037" w:type="pct"/>
            <w:tcBorders>
              <w:bottom w:val="single" w:sz="4" w:space="0" w:color="auto"/>
            </w:tcBorders>
          </w:tcPr>
          <w:p w:rsidR="00902F88" w:rsidRPr="00FE771B" w:rsidRDefault="00902F88" w:rsidP="00F20551">
            <w:pPr>
              <w:autoSpaceDE w:val="0"/>
              <w:autoSpaceDN w:val="0"/>
              <w:adjustRightInd w:val="0"/>
              <w:jc w:val="center"/>
              <w:rPr>
                <w:rFonts w:ascii="Times New Roman" w:hAnsi="Times New Roman" w:cs="Times New Roman"/>
                <w:color w:val="000000" w:themeColor="text1"/>
                <w:kern w:val="0"/>
                <w:sz w:val="18"/>
                <w:szCs w:val="18"/>
              </w:rPr>
            </w:pPr>
          </w:p>
        </w:tc>
        <w:tc>
          <w:tcPr>
            <w:tcW w:w="1037" w:type="pct"/>
            <w:tcBorders>
              <w:bottom w:val="single" w:sz="4" w:space="0" w:color="auto"/>
            </w:tcBorders>
          </w:tcPr>
          <w:p w:rsidR="00504F51" w:rsidRPr="00FE771B" w:rsidRDefault="00902F88"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0.0242</w:t>
            </w:r>
          </w:p>
          <w:p w:rsidR="00902F88" w:rsidRPr="00FE771B" w:rsidRDefault="00504F51"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(5.360)</w:t>
            </w:r>
            <w:r w:rsidRPr="00FE771B">
              <w:rPr>
                <w:rFonts w:ascii="Times New Roman" w:hAnsi="Times New Roman" w:cs="Times New Roman"/>
                <w:color w:val="000000" w:themeColor="text1"/>
                <w:kern w:val="0"/>
                <w:sz w:val="18"/>
                <w:szCs w:val="18"/>
                <w:vertAlign w:val="superscript"/>
              </w:rPr>
              <w:t>***</w:t>
            </w:r>
          </w:p>
        </w:tc>
      </w:tr>
      <w:tr w:rsidR="00CD29CB" w:rsidRPr="00FE771B" w:rsidTr="00504F51">
        <w:tc>
          <w:tcPr>
            <w:tcW w:w="852" w:type="pct"/>
          </w:tcPr>
          <w:p w:rsidR="00902F88" w:rsidRPr="00FE771B" w:rsidRDefault="00151D60" w:rsidP="007762E6">
            <w:pPr>
              <w:autoSpaceDE w:val="0"/>
              <w:autoSpaceDN w:val="0"/>
              <w:adjustRightInd w:val="0"/>
              <w:jc w:val="center"/>
              <w:rPr>
                <w:rFonts w:ascii="Times New Roman" w:hAnsi="Times New Roman" w:cs="Times New Roman"/>
                <w:i/>
                <w:color w:val="000000" w:themeColor="text1"/>
                <w:kern w:val="0"/>
                <w:sz w:val="18"/>
                <w:szCs w:val="18"/>
              </w:rPr>
            </w:pPr>
            <w:r w:rsidRPr="00FE771B">
              <w:rPr>
                <w:rFonts w:ascii="Times New Roman" w:hAnsi="Times New Roman" w:cs="Times New Roman"/>
                <w:i/>
                <w:iCs/>
                <w:color w:val="000000" w:themeColor="text1"/>
                <w:kern w:val="0"/>
                <w:sz w:val="18"/>
                <w:szCs w:val="18"/>
              </w:rPr>
              <w:t>Controls</w:t>
            </w:r>
          </w:p>
        </w:tc>
        <w:tc>
          <w:tcPr>
            <w:tcW w:w="1037" w:type="pct"/>
          </w:tcPr>
          <w:p w:rsidR="00902F88" w:rsidRPr="00FE771B" w:rsidRDefault="00151D60"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控制</w:t>
            </w:r>
          </w:p>
        </w:tc>
        <w:tc>
          <w:tcPr>
            <w:tcW w:w="1037" w:type="pct"/>
          </w:tcPr>
          <w:p w:rsidR="00902F88" w:rsidRPr="00FE771B" w:rsidRDefault="00151D60"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控制</w:t>
            </w:r>
          </w:p>
        </w:tc>
        <w:tc>
          <w:tcPr>
            <w:tcW w:w="1037" w:type="pct"/>
          </w:tcPr>
          <w:p w:rsidR="00902F88" w:rsidRPr="00FE771B" w:rsidRDefault="00151D60"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控制</w:t>
            </w:r>
          </w:p>
        </w:tc>
        <w:tc>
          <w:tcPr>
            <w:tcW w:w="1037" w:type="pct"/>
          </w:tcPr>
          <w:p w:rsidR="00902F88" w:rsidRPr="00FE771B" w:rsidRDefault="009A0590"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控制</w:t>
            </w:r>
          </w:p>
        </w:tc>
      </w:tr>
      <w:tr w:rsidR="00CD29CB" w:rsidRPr="00FE771B" w:rsidTr="00504F51">
        <w:trPr>
          <w:trHeight w:val="634"/>
        </w:trPr>
        <w:tc>
          <w:tcPr>
            <w:tcW w:w="852" w:type="pct"/>
            <w:tcBorders>
              <w:bottom w:val="single" w:sz="4" w:space="0" w:color="auto"/>
            </w:tcBorders>
          </w:tcPr>
          <w:p w:rsidR="00902F88" w:rsidRPr="00FE771B" w:rsidRDefault="00902F88" w:rsidP="0013150D">
            <w:pPr>
              <w:autoSpaceDE w:val="0"/>
              <w:autoSpaceDN w:val="0"/>
              <w:adjustRightInd w:val="0"/>
              <w:jc w:val="center"/>
              <w:rPr>
                <w:rFonts w:ascii="Times New Roman" w:hAnsi="Times New Roman" w:cs="Times New Roman"/>
                <w:i/>
                <w:color w:val="000000" w:themeColor="text1"/>
                <w:kern w:val="0"/>
                <w:sz w:val="18"/>
                <w:szCs w:val="18"/>
              </w:rPr>
            </w:pPr>
            <w:r w:rsidRPr="00FE771B">
              <w:rPr>
                <w:rFonts w:ascii="Times New Roman" w:hAnsi="Times New Roman" w:cs="Times New Roman"/>
                <w:i/>
                <w:color w:val="000000" w:themeColor="text1"/>
                <w:kern w:val="0"/>
                <w:sz w:val="18"/>
                <w:szCs w:val="18"/>
              </w:rPr>
              <w:t>_cons</w:t>
            </w:r>
          </w:p>
        </w:tc>
        <w:tc>
          <w:tcPr>
            <w:tcW w:w="1037" w:type="pct"/>
            <w:tcBorders>
              <w:bottom w:val="single" w:sz="4" w:space="0" w:color="auto"/>
            </w:tcBorders>
          </w:tcPr>
          <w:p w:rsidR="00504F51" w:rsidRPr="00FE771B" w:rsidRDefault="00902F88"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1.8701</w:t>
            </w:r>
          </w:p>
          <w:p w:rsidR="00902F88" w:rsidRPr="00FE771B" w:rsidRDefault="00504F51"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(1.737)</w:t>
            </w:r>
            <w:r w:rsidRPr="00FE771B">
              <w:rPr>
                <w:rFonts w:ascii="Times New Roman" w:hAnsi="Times New Roman" w:cs="Times New Roman"/>
                <w:color w:val="000000" w:themeColor="text1"/>
                <w:kern w:val="0"/>
                <w:sz w:val="18"/>
                <w:szCs w:val="18"/>
                <w:vertAlign w:val="superscript"/>
              </w:rPr>
              <w:t>*</w:t>
            </w:r>
          </w:p>
        </w:tc>
        <w:tc>
          <w:tcPr>
            <w:tcW w:w="1037" w:type="pct"/>
            <w:tcBorders>
              <w:bottom w:val="single" w:sz="4" w:space="0" w:color="auto"/>
            </w:tcBorders>
          </w:tcPr>
          <w:p w:rsidR="00504F51" w:rsidRPr="00FE771B" w:rsidRDefault="00902F88"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1.9593</w:t>
            </w:r>
          </w:p>
          <w:p w:rsidR="00902F88" w:rsidRPr="00FE771B" w:rsidRDefault="00504F51"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(1.818)</w:t>
            </w:r>
            <w:r w:rsidRPr="00FE771B">
              <w:rPr>
                <w:rFonts w:ascii="Times New Roman" w:hAnsi="Times New Roman" w:cs="Times New Roman"/>
                <w:color w:val="000000" w:themeColor="text1"/>
                <w:kern w:val="0"/>
                <w:sz w:val="18"/>
                <w:szCs w:val="18"/>
                <w:vertAlign w:val="superscript"/>
              </w:rPr>
              <w:t>*</w:t>
            </w:r>
          </w:p>
        </w:tc>
        <w:tc>
          <w:tcPr>
            <w:tcW w:w="1037" w:type="pct"/>
            <w:tcBorders>
              <w:bottom w:val="single" w:sz="4" w:space="0" w:color="auto"/>
            </w:tcBorders>
          </w:tcPr>
          <w:p w:rsidR="00504F51" w:rsidRPr="00FE771B" w:rsidRDefault="00902F88"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-3.6026</w:t>
            </w:r>
          </w:p>
          <w:p w:rsidR="00902F88" w:rsidRPr="00FE771B" w:rsidRDefault="00504F51"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(-11.054)</w:t>
            </w:r>
            <w:r w:rsidRPr="00FE771B">
              <w:rPr>
                <w:rFonts w:ascii="Times New Roman" w:hAnsi="Times New Roman" w:cs="Times New Roman"/>
                <w:color w:val="000000" w:themeColor="text1"/>
                <w:kern w:val="0"/>
                <w:sz w:val="18"/>
                <w:szCs w:val="18"/>
                <w:vertAlign w:val="superscript"/>
              </w:rPr>
              <w:t>***</w:t>
            </w:r>
          </w:p>
        </w:tc>
        <w:tc>
          <w:tcPr>
            <w:tcW w:w="1037" w:type="pct"/>
            <w:tcBorders>
              <w:bottom w:val="single" w:sz="4" w:space="0" w:color="auto"/>
            </w:tcBorders>
          </w:tcPr>
          <w:p w:rsidR="00504F51" w:rsidRPr="00FE771B" w:rsidRDefault="00902F88"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-3.5180</w:t>
            </w:r>
          </w:p>
          <w:p w:rsidR="00902F88" w:rsidRPr="00FE771B" w:rsidRDefault="00504F51"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(-10.770)</w:t>
            </w:r>
            <w:r w:rsidRPr="00FE771B">
              <w:rPr>
                <w:rFonts w:ascii="Times New Roman" w:hAnsi="Times New Roman" w:cs="Times New Roman"/>
                <w:color w:val="000000" w:themeColor="text1"/>
                <w:kern w:val="0"/>
                <w:sz w:val="18"/>
                <w:szCs w:val="18"/>
                <w:vertAlign w:val="superscript"/>
              </w:rPr>
              <w:t>***</w:t>
            </w:r>
          </w:p>
        </w:tc>
      </w:tr>
      <w:tr w:rsidR="00CD29CB" w:rsidRPr="00FE771B" w:rsidTr="00504F51">
        <w:tc>
          <w:tcPr>
            <w:tcW w:w="852" w:type="pct"/>
          </w:tcPr>
          <w:p w:rsidR="0013150D" w:rsidRPr="00FE771B" w:rsidRDefault="0013150D" w:rsidP="0013150D">
            <w:pPr>
              <w:autoSpaceDE w:val="0"/>
              <w:autoSpaceDN w:val="0"/>
              <w:adjustRightInd w:val="0"/>
              <w:jc w:val="center"/>
              <w:rPr>
                <w:rFonts w:ascii="Times New Roman" w:hAnsi="Times New Roman" w:cs="Times New Roman"/>
                <w:i/>
                <w:color w:val="000000" w:themeColor="text1"/>
                <w:kern w:val="0"/>
                <w:sz w:val="18"/>
                <w:szCs w:val="18"/>
              </w:rPr>
            </w:pPr>
            <w:r w:rsidRPr="00FE771B">
              <w:rPr>
                <w:rFonts w:ascii="Times New Roman" w:hAnsi="Times New Roman" w:cs="Times New Roman"/>
                <w:i/>
                <w:color w:val="000000" w:themeColor="text1"/>
                <w:kern w:val="0"/>
                <w:sz w:val="18"/>
                <w:szCs w:val="18"/>
              </w:rPr>
              <w:t>Year</w:t>
            </w:r>
          </w:p>
        </w:tc>
        <w:tc>
          <w:tcPr>
            <w:tcW w:w="1037" w:type="pct"/>
          </w:tcPr>
          <w:p w:rsidR="0013150D" w:rsidRPr="00FE771B" w:rsidRDefault="0013150D" w:rsidP="002A76D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Yes</w:t>
            </w:r>
          </w:p>
        </w:tc>
        <w:tc>
          <w:tcPr>
            <w:tcW w:w="1037" w:type="pct"/>
          </w:tcPr>
          <w:p w:rsidR="0013150D" w:rsidRPr="00FE771B" w:rsidRDefault="0013150D" w:rsidP="002A76D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Yes</w:t>
            </w:r>
          </w:p>
        </w:tc>
        <w:tc>
          <w:tcPr>
            <w:tcW w:w="1037" w:type="pct"/>
          </w:tcPr>
          <w:p w:rsidR="0013150D" w:rsidRPr="00FE771B" w:rsidRDefault="0013150D" w:rsidP="002A76D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Yes</w:t>
            </w:r>
          </w:p>
        </w:tc>
        <w:tc>
          <w:tcPr>
            <w:tcW w:w="1037" w:type="pct"/>
          </w:tcPr>
          <w:p w:rsidR="0013150D" w:rsidRPr="00FE771B" w:rsidRDefault="0013150D" w:rsidP="002A76D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Yes</w:t>
            </w:r>
          </w:p>
        </w:tc>
      </w:tr>
      <w:tr w:rsidR="00CD29CB" w:rsidRPr="00FE771B" w:rsidTr="00504F51">
        <w:tc>
          <w:tcPr>
            <w:tcW w:w="852" w:type="pct"/>
          </w:tcPr>
          <w:p w:rsidR="0013150D" w:rsidRPr="00FE771B" w:rsidRDefault="0013150D" w:rsidP="0013150D">
            <w:pPr>
              <w:autoSpaceDE w:val="0"/>
              <w:autoSpaceDN w:val="0"/>
              <w:adjustRightInd w:val="0"/>
              <w:jc w:val="center"/>
              <w:rPr>
                <w:rFonts w:ascii="Times New Roman" w:hAnsi="Times New Roman" w:cs="Times New Roman"/>
                <w:i/>
                <w:color w:val="000000" w:themeColor="text1"/>
                <w:kern w:val="0"/>
                <w:sz w:val="18"/>
                <w:szCs w:val="18"/>
              </w:rPr>
            </w:pPr>
            <w:r w:rsidRPr="00FE771B">
              <w:rPr>
                <w:rFonts w:ascii="Times New Roman" w:hAnsi="Times New Roman" w:cs="Times New Roman"/>
                <w:i/>
                <w:color w:val="000000" w:themeColor="text1"/>
                <w:kern w:val="0"/>
                <w:sz w:val="18"/>
                <w:szCs w:val="18"/>
              </w:rPr>
              <w:t>Industry</w:t>
            </w:r>
          </w:p>
        </w:tc>
        <w:tc>
          <w:tcPr>
            <w:tcW w:w="1037" w:type="pct"/>
          </w:tcPr>
          <w:p w:rsidR="0013150D" w:rsidRPr="00FE771B" w:rsidRDefault="0013150D" w:rsidP="002A76D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Yes</w:t>
            </w:r>
          </w:p>
        </w:tc>
        <w:tc>
          <w:tcPr>
            <w:tcW w:w="1037" w:type="pct"/>
          </w:tcPr>
          <w:p w:rsidR="0013150D" w:rsidRPr="00FE771B" w:rsidRDefault="0013150D" w:rsidP="002A76D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Yes</w:t>
            </w:r>
          </w:p>
        </w:tc>
        <w:tc>
          <w:tcPr>
            <w:tcW w:w="1037" w:type="pct"/>
          </w:tcPr>
          <w:p w:rsidR="0013150D" w:rsidRPr="00FE771B" w:rsidRDefault="0013150D" w:rsidP="002A76D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Yes</w:t>
            </w:r>
          </w:p>
        </w:tc>
        <w:tc>
          <w:tcPr>
            <w:tcW w:w="1037" w:type="pct"/>
          </w:tcPr>
          <w:p w:rsidR="0013150D" w:rsidRPr="00FE771B" w:rsidRDefault="0013150D" w:rsidP="002A76D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Yes</w:t>
            </w:r>
          </w:p>
        </w:tc>
      </w:tr>
      <w:tr w:rsidR="00CD29CB" w:rsidRPr="00FE771B" w:rsidTr="00504F51">
        <w:tc>
          <w:tcPr>
            <w:tcW w:w="852" w:type="pct"/>
          </w:tcPr>
          <w:p w:rsidR="00902F88" w:rsidRPr="00FE771B" w:rsidRDefault="00902F88" w:rsidP="0013150D">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iCs/>
                <w:color w:val="000000" w:themeColor="text1"/>
                <w:kern w:val="0"/>
                <w:sz w:val="18"/>
                <w:szCs w:val="18"/>
              </w:rPr>
              <w:t>N</w:t>
            </w:r>
          </w:p>
        </w:tc>
        <w:tc>
          <w:tcPr>
            <w:tcW w:w="1037" w:type="pct"/>
          </w:tcPr>
          <w:p w:rsidR="00902F88" w:rsidRPr="00FE771B" w:rsidRDefault="00902F88"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10576</w:t>
            </w:r>
          </w:p>
        </w:tc>
        <w:tc>
          <w:tcPr>
            <w:tcW w:w="1037" w:type="pct"/>
          </w:tcPr>
          <w:p w:rsidR="00902F88" w:rsidRPr="00FE771B" w:rsidRDefault="00902F88"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10576</w:t>
            </w:r>
          </w:p>
        </w:tc>
        <w:tc>
          <w:tcPr>
            <w:tcW w:w="1037" w:type="pct"/>
          </w:tcPr>
          <w:p w:rsidR="00902F88" w:rsidRPr="00FE771B" w:rsidRDefault="00902F88"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10575</w:t>
            </w:r>
          </w:p>
        </w:tc>
        <w:tc>
          <w:tcPr>
            <w:tcW w:w="1037" w:type="pct"/>
          </w:tcPr>
          <w:p w:rsidR="00902F88" w:rsidRPr="00FE771B" w:rsidRDefault="00902F88"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10575</w:t>
            </w:r>
          </w:p>
        </w:tc>
      </w:tr>
      <w:tr w:rsidR="00CD29CB" w:rsidRPr="00FE771B" w:rsidTr="00504F51">
        <w:tc>
          <w:tcPr>
            <w:tcW w:w="852" w:type="pct"/>
          </w:tcPr>
          <w:p w:rsidR="00902F88" w:rsidRPr="00FE771B" w:rsidRDefault="00902F88" w:rsidP="0013150D">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F</w:t>
            </w:r>
            <w:r w:rsidRPr="00FE771B">
              <w:rPr>
                <w:rFonts w:ascii="Times New Roman" w:hAnsi="Times New Roman" w:cs="Times New Roman"/>
                <w:color w:val="000000" w:themeColor="text1"/>
                <w:sz w:val="18"/>
                <w:szCs w:val="18"/>
              </w:rPr>
              <w:t xml:space="preserve"> </w:t>
            </w:r>
            <w:r w:rsidRPr="00FE771B">
              <w:rPr>
                <w:rFonts w:ascii="Times New Roman" w:hAnsi="Times New Roman" w:cs="Times New Roman"/>
                <w:color w:val="000000" w:themeColor="text1"/>
                <w:kern w:val="0"/>
                <w:sz w:val="18"/>
                <w:szCs w:val="18"/>
              </w:rPr>
              <w:t>test</w:t>
            </w:r>
          </w:p>
        </w:tc>
        <w:tc>
          <w:tcPr>
            <w:tcW w:w="1037" w:type="pct"/>
          </w:tcPr>
          <w:p w:rsidR="00902F88" w:rsidRPr="00FE771B" w:rsidRDefault="00902F88"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6.6030</w:t>
            </w:r>
          </w:p>
        </w:tc>
        <w:tc>
          <w:tcPr>
            <w:tcW w:w="1037" w:type="pct"/>
          </w:tcPr>
          <w:p w:rsidR="00902F88" w:rsidRPr="00FE771B" w:rsidRDefault="00902F88"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6.8491</w:t>
            </w:r>
          </w:p>
        </w:tc>
        <w:tc>
          <w:tcPr>
            <w:tcW w:w="1037" w:type="pct"/>
          </w:tcPr>
          <w:p w:rsidR="00902F88" w:rsidRPr="00FE771B" w:rsidRDefault="00902F88"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34.7779</w:t>
            </w:r>
          </w:p>
        </w:tc>
        <w:tc>
          <w:tcPr>
            <w:tcW w:w="1037" w:type="pct"/>
          </w:tcPr>
          <w:p w:rsidR="00902F88" w:rsidRPr="00FE771B" w:rsidRDefault="00902F88"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36.6899</w:t>
            </w:r>
          </w:p>
        </w:tc>
      </w:tr>
      <w:tr w:rsidR="00CD29CB" w:rsidRPr="00FE771B" w:rsidTr="00504F51">
        <w:tc>
          <w:tcPr>
            <w:tcW w:w="852" w:type="pct"/>
          </w:tcPr>
          <w:p w:rsidR="00902F88" w:rsidRPr="00FE771B" w:rsidRDefault="001D2964" w:rsidP="0013150D">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Adj-</w:t>
            </w:r>
            <w:r w:rsidR="00902F88" w:rsidRPr="00FE771B">
              <w:rPr>
                <w:rFonts w:ascii="Times New Roman" w:hAnsi="Times New Roman" w:cs="Times New Roman"/>
                <w:color w:val="000000" w:themeColor="text1"/>
                <w:kern w:val="0"/>
                <w:sz w:val="18"/>
                <w:szCs w:val="18"/>
              </w:rPr>
              <w:t>R</w:t>
            </w:r>
            <w:r w:rsidR="00902F88" w:rsidRPr="00FE771B">
              <w:rPr>
                <w:rFonts w:ascii="Times New Roman" w:hAnsi="Times New Roman" w:cs="Times New Roman"/>
                <w:color w:val="000000" w:themeColor="text1"/>
                <w:kern w:val="0"/>
                <w:sz w:val="18"/>
                <w:szCs w:val="18"/>
                <w:vertAlign w:val="superscript"/>
              </w:rPr>
              <w:t>2</w:t>
            </w:r>
          </w:p>
        </w:tc>
        <w:tc>
          <w:tcPr>
            <w:tcW w:w="1037" w:type="pct"/>
          </w:tcPr>
          <w:p w:rsidR="00902F88" w:rsidRPr="00FE771B" w:rsidRDefault="00902F88"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0.5316</w:t>
            </w:r>
          </w:p>
        </w:tc>
        <w:tc>
          <w:tcPr>
            <w:tcW w:w="1037" w:type="pct"/>
          </w:tcPr>
          <w:p w:rsidR="00902F88" w:rsidRPr="00FE771B" w:rsidRDefault="00902F88"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0.5321</w:t>
            </w:r>
          </w:p>
        </w:tc>
        <w:tc>
          <w:tcPr>
            <w:tcW w:w="1037" w:type="pct"/>
          </w:tcPr>
          <w:p w:rsidR="00902F88" w:rsidRPr="00FE771B" w:rsidRDefault="00902F88"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0.4946</w:t>
            </w:r>
          </w:p>
        </w:tc>
        <w:tc>
          <w:tcPr>
            <w:tcW w:w="1037" w:type="pct"/>
          </w:tcPr>
          <w:p w:rsidR="00902F88" w:rsidRPr="00FE771B" w:rsidRDefault="00902F88"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0.4957</w:t>
            </w:r>
          </w:p>
        </w:tc>
      </w:tr>
    </w:tbl>
    <w:p w:rsidR="007F76CC" w:rsidRPr="00FE771B" w:rsidRDefault="007F76CC">
      <w:pPr>
        <w:rPr>
          <w:rFonts w:ascii="Times New Roman" w:hAnsi="Times New Roman" w:cs="Times New Roman"/>
        </w:rPr>
      </w:pPr>
    </w:p>
    <w:p w:rsidR="008810E1" w:rsidRPr="00FE771B" w:rsidRDefault="00924A73" w:rsidP="000E4628">
      <w:pPr>
        <w:pStyle w:val="1"/>
        <w:rPr>
          <w:rFonts w:ascii="Times New Roman" w:eastAsia="黑体" w:hAnsi="Times New Roman" w:cs="Times New Roman"/>
          <w:b w:val="0"/>
          <w:bCs w:val="0"/>
          <w:kern w:val="2"/>
          <w:szCs w:val="28"/>
        </w:rPr>
      </w:pPr>
      <w:r w:rsidRPr="00FE771B">
        <w:rPr>
          <w:rFonts w:ascii="Times New Roman" w:eastAsia="黑体" w:hAnsi="Times New Roman" w:cs="Times New Roman"/>
          <w:b w:val="0"/>
          <w:bCs w:val="0"/>
          <w:kern w:val="2"/>
          <w:szCs w:val="28"/>
        </w:rPr>
        <w:t>五</w:t>
      </w:r>
      <w:r w:rsidR="008810E1" w:rsidRPr="00FE771B">
        <w:rPr>
          <w:rFonts w:ascii="Times New Roman" w:eastAsia="黑体" w:hAnsi="Times New Roman" w:cs="Times New Roman"/>
          <w:b w:val="0"/>
          <w:bCs w:val="0"/>
          <w:kern w:val="2"/>
          <w:szCs w:val="28"/>
        </w:rPr>
        <w:t>、进一步分析</w:t>
      </w:r>
    </w:p>
    <w:p w:rsidR="000D68F0" w:rsidRPr="00FE771B" w:rsidRDefault="000D68F0" w:rsidP="000D68F0">
      <w:pPr>
        <w:rPr>
          <w:rFonts w:ascii="Times New Roman" w:hAnsi="Times New Roman" w:cs="Times New Roman"/>
        </w:rPr>
      </w:pPr>
    </w:p>
    <w:p w:rsidR="00BB5887" w:rsidRPr="00FE771B" w:rsidRDefault="00E14128" w:rsidP="00DA5432">
      <w:pPr>
        <w:pStyle w:val="2"/>
        <w:ind w:firstLine="422"/>
        <w:rPr>
          <w:rFonts w:ascii="Times New Roman" w:hAnsi="Times New Roman" w:cs="Times New Roman"/>
        </w:rPr>
      </w:pPr>
      <w:r w:rsidRPr="00FE771B">
        <w:rPr>
          <w:rFonts w:ascii="Times New Roman" w:hAnsi="Times New Roman" w:cs="Times New Roman"/>
        </w:rPr>
        <w:t>(</w:t>
      </w:r>
      <w:proofErr w:type="gramStart"/>
      <w:r w:rsidRPr="00FE771B">
        <w:rPr>
          <w:rFonts w:ascii="Times New Roman" w:hAnsi="Times New Roman" w:cs="Times New Roman"/>
        </w:rPr>
        <w:t>一</w:t>
      </w:r>
      <w:proofErr w:type="gramEnd"/>
      <w:r w:rsidRPr="00FE771B">
        <w:rPr>
          <w:rFonts w:ascii="Times New Roman" w:hAnsi="Times New Roman" w:cs="Times New Roman"/>
        </w:rPr>
        <w:t>)</w:t>
      </w:r>
      <w:r w:rsidR="00BB5887" w:rsidRPr="00FE771B">
        <w:rPr>
          <w:rFonts w:ascii="Times New Roman" w:hAnsi="Times New Roman" w:cs="Times New Roman"/>
        </w:rPr>
        <w:t>基于盈余管理视角的机制分析</w:t>
      </w:r>
    </w:p>
    <w:p w:rsidR="00DD2DAE" w:rsidRPr="00FE771B" w:rsidRDefault="001A1CEC" w:rsidP="001A1CEC">
      <w:pPr>
        <w:ind w:firstLineChars="200" w:firstLine="420"/>
        <w:rPr>
          <w:rFonts w:ascii="Times New Roman" w:hAnsi="Times New Roman" w:cs="Times New Roman"/>
          <w:szCs w:val="21"/>
        </w:rPr>
      </w:pPr>
      <w:r w:rsidRPr="00FE771B">
        <w:rPr>
          <w:rFonts w:ascii="Times New Roman" w:hAnsi="Times New Roman" w:cs="Times New Roman"/>
        </w:rPr>
        <w:t>正如</w:t>
      </w:r>
      <w:r w:rsidR="00AF2641" w:rsidRPr="00FE771B">
        <w:rPr>
          <w:rFonts w:ascii="Times New Roman" w:hAnsi="Times New Roman" w:cs="Times New Roman"/>
        </w:rPr>
        <w:t>前文所言，</w:t>
      </w:r>
      <w:r w:rsidR="001112BB" w:rsidRPr="00FE771B">
        <w:rPr>
          <w:rFonts w:ascii="Times New Roman" w:hAnsi="Times New Roman" w:cs="Times New Roman"/>
        </w:rPr>
        <w:t>由于</w:t>
      </w:r>
      <w:r w:rsidR="001112BB" w:rsidRPr="00FE771B">
        <w:rPr>
          <w:rFonts w:ascii="Times New Roman" w:hAnsi="Times New Roman" w:cs="Times New Roman"/>
        </w:rPr>
        <w:t>“</w:t>
      </w:r>
      <w:r w:rsidR="001112BB" w:rsidRPr="00FE771B">
        <w:rPr>
          <w:rFonts w:ascii="Times New Roman" w:hAnsi="Times New Roman" w:cs="Times New Roman"/>
        </w:rPr>
        <w:t>高溢价</w:t>
      </w:r>
      <w:r w:rsidR="001112BB" w:rsidRPr="00FE771B">
        <w:rPr>
          <w:rFonts w:ascii="Times New Roman" w:hAnsi="Times New Roman" w:cs="Times New Roman"/>
        </w:rPr>
        <w:t>”</w:t>
      </w:r>
      <w:r w:rsidR="001112BB" w:rsidRPr="00FE771B">
        <w:rPr>
          <w:rFonts w:ascii="Times New Roman" w:hAnsi="Times New Roman" w:cs="Times New Roman"/>
        </w:rPr>
        <w:t>、</w:t>
      </w:r>
      <w:r w:rsidR="001112BB" w:rsidRPr="00FE771B">
        <w:rPr>
          <w:rFonts w:ascii="Times New Roman" w:hAnsi="Times New Roman" w:cs="Times New Roman"/>
        </w:rPr>
        <w:t>“</w:t>
      </w:r>
      <w:r w:rsidR="001112BB" w:rsidRPr="00FE771B">
        <w:rPr>
          <w:rFonts w:ascii="Times New Roman" w:hAnsi="Times New Roman" w:cs="Times New Roman"/>
        </w:rPr>
        <w:t>高承诺</w:t>
      </w:r>
      <w:r w:rsidR="001112BB" w:rsidRPr="00FE771B">
        <w:rPr>
          <w:rFonts w:ascii="Times New Roman" w:hAnsi="Times New Roman" w:cs="Times New Roman"/>
        </w:rPr>
        <w:t>”</w:t>
      </w:r>
      <w:r w:rsidR="001112BB" w:rsidRPr="00FE771B">
        <w:rPr>
          <w:rFonts w:ascii="Times New Roman" w:hAnsi="Times New Roman" w:cs="Times New Roman"/>
        </w:rPr>
        <w:t>为特征的</w:t>
      </w:r>
      <w:r w:rsidR="00AF2641" w:rsidRPr="00FE771B">
        <w:rPr>
          <w:rFonts w:ascii="Times New Roman" w:hAnsi="Times New Roman" w:cs="Times New Roman"/>
        </w:rPr>
        <w:t>业绩承诺协议签订后</w:t>
      </w:r>
      <w:r w:rsidR="001112BB" w:rsidRPr="00FE771B">
        <w:rPr>
          <w:rFonts w:ascii="Times New Roman" w:hAnsi="Times New Roman" w:cs="Times New Roman"/>
        </w:rPr>
        <w:t>可以促使上市公司通过盈余管理</w:t>
      </w:r>
      <w:r w:rsidR="003A7C47" w:rsidRPr="00FE771B">
        <w:rPr>
          <w:rFonts w:ascii="Times New Roman" w:hAnsi="Times New Roman" w:cs="Times New Roman"/>
        </w:rPr>
        <w:t>等机会主义行为使得更多配置金融资产的概率大大增加</w:t>
      </w:r>
      <w:r w:rsidR="005F65B5" w:rsidRPr="00FE771B">
        <w:rPr>
          <w:rFonts w:ascii="Times New Roman" w:hAnsi="Times New Roman" w:cs="Times New Roman"/>
        </w:rPr>
        <w:t>，从而能</w:t>
      </w:r>
      <w:r w:rsidR="001112BB" w:rsidRPr="00FE771B">
        <w:rPr>
          <w:rFonts w:ascii="Times New Roman" w:hAnsi="Times New Roman" w:cs="Times New Roman"/>
        </w:rPr>
        <w:t>达到</w:t>
      </w:r>
      <w:r w:rsidR="005F65B5" w:rsidRPr="00FE771B">
        <w:rPr>
          <w:rFonts w:ascii="Times New Roman" w:hAnsi="Times New Roman" w:cs="Times New Roman"/>
        </w:rPr>
        <w:t>协议要求目标和满足大股东的个人利益。因此，基于盈余管理的检验路径就是：</w:t>
      </w:r>
      <w:r w:rsidR="005F65B5" w:rsidRPr="00FE771B">
        <w:rPr>
          <w:rFonts w:ascii="Times New Roman" w:hAnsi="Times New Roman" w:cs="Times New Roman"/>
        </w:rPr>
        <w:t>“</w:t>
      </w:r>
      <w:r w:rsidR="005F65B5" w:rsidRPr="00FE771B">
        <w:rPr>
          <w:rFonts w:ascii="Times New Roman" w:hAnsi="Times New Roman" w:cs="Times New Roman"/>
        </w:rPr>
        <w:t>高溢价</w:t>
      </w:r>
      <w:r w:rsidR="005F65B5" w:rsidRPr="00FE771B">
        <w:rPr>
          <w:rFonts w:ascii="Times New Roman" w:hAnsi="Times New Roman" w:cs="Times New Roman"/>
        </w:rPr>
        <w:t>”</w:t>
      </w:r>
      <w:r w:rsidR="005F65B5" w:rsidRPr="00FE771B">
        <w:rPr>
          <w:rFonts w:ascii="Times New Roman" w:hAnsi="Times New Roman" w:cs="Times New Roman"/>
        </w:rPr>
        <w:t>、</w:t>
      </w:r>
      <w:r w:rsidR="005F65B5" w:rsidRPr="00FE771B">
        <w:rPr>
          <w:rFonts w:ascii="Times New Roman" w:hAnsi="Times New Roman" w:cs="Times New Roman"/>
        </w:rPr>
        <w:t>“</w:t>
      </w:r>
      <w:r w:rsidR="005F65B5" w:rsidRPr="00FE771B">
        <w:rPr>
          <w:rFonts w:ascii="Times New Roman" w:hAnsi="Times New Roman" w:cs="Times New Roman"/>
        </w:rPr>
        <w:t>高承诺</w:t>
      </w:r>
      <w:r w:rsidR="005F65B5" w:rsidRPr="00FE771B">
        <w:rPr>
          <w:rFonts w:ascii="Times New Roman" w:hAnsi="Times New Roman" w:cs="Times New Roman"/>
        </w:rPr>
        <w:t>”</w:t>
      </w:r>
      <w:r w:rsidR="005F65B5" w:rsidRPr="00FE771B">
        <w:rPr>
          <w:rFonts w:ascii="Times New Roman" w:hAnsi="Times New Roman" w:cs="Times New Roman"/>
        </w:rPr>
        <w:t>业绩承诺</w:t>
      </w:r>
      <w:proofErr w:type="gramStart"/>
      <w:r w:rsidR="005F65B5" w:rsidRPr="00FE771B">
        <w:rPr>
          <w:rFonts w:ascii="Times New Roman" w:hAnsi="Times New Roman" w:cs="Times New Roman"/>
          <w:sz w:val="24"/>
          <w:szCs w:val="24"/>
        </w:rPr>
        <w:t>—</w:t>
      </w:r>
      <w:r w:rsidR="005F65B5" w:rsidRPr="00FE771B">
        <w:rPr>
          <w:rFonts w:ascii="Times New Roman" w:hAnsi="Times New Roman" w:cs="Times New Roman"/>
          <w:szCs w:val="21"/>
        </w:rPr>
        <w:t>提高</w:t>
      </w:r>
      <w:proofErr w:type="gramEnd"/>
      <w:r w:rsidR="005F65B5" w:rsidRPr="00FE771B">
        <w:rPr>
          <w:rFonts w:ascii="Times New Roman" w:hAnsi="Times New Roman" w:cs="Times New Roman"/>
          <w:szCs w:val="21"/>
        </w:rPr>
        <w:t>盈余管理动机</w:t>
      </w:r>
      <w:r w:rsidR="005F65B5" w:rsidRPr="00FE771B">
        <w:rPr>
          <w:rFonts w:ascii="Times New Roman" w:hAnsi="Times New Roman" w:cs="Times New Roman"/>
          <w:sz w:val="24"/>
          <w:szCs w:val="24"/>
        </w:rPr>
        <w:t>—</w:t>
      </w:r>
      <w:r w:rsidR="005F65B5" w:rsidRPr="00FE771B">
        <w:rPr>
          <w:rFonts w:ascii="Times New Roman" w:hAnsi="Times New Roman" w:cs="Times New Roman"/>
          <w:szCs w:val="21"/>
        </w:rPr>
        <w:t>加剧上市公司金融化投资偏好。</w:t>
      </w:r>
      <w:r w:rsidR="00324DD4" w:rsidRPr="00FE771B">
        <w:rPr>
          <w:rFonts w:ascii="Times New Roman" w:hAnsi="Times New Roman" w:cs="Times New Roman"/>
          <w:szCs w:val="21"/>
        </w:rPr>
        <w:t>为此，我们采用两步法来估计中介效应方向与强度：</w:t>
      </w:r>
    </w:p>
    <w:p w:rsidR="00324DD4" w:rsidRPr="00FE771B" w:rsidRDefault="00E24810" w:rsidP="00324DD4">
      <w:pPr>
        <w:wordWrap w:val="0"/>
        <w:ind w:firstLine="420"/>
        <w:jc w:val="right"/>
        <w:rPr>
          <w:rFonts w:ascii="Times New Roman" w:hAnsi="Times New Roman" w:cs="Times New Roman"/>
          <w:color w:val="000000" w:themeColor="text1"/>
        </w:rPr>
      </w:pPr>
      <m:oMath>
        <m:sSub>
          <m:sSubPr>
            <m:ctrlPr>
              <w:rPr>
                <w:rFonts w:ascii="Cambria Math" w:hAnsi="Cambria Math" w:cs="Times New Roman"/>
                <w:color w:val="000000" w:themeColor="text1"/>
              </w:rPr>
            </m:ctrlPr>
          </m:sSubPr>
          <m:e>
            <m:r>
              <w:rPr>
                <w:rFonts w:ascii="Cambria Math" w:hAnsi="Cambria Math" w:cs="Times New Roman"/>
                <w:color w:val="000000" w:themeColor="text1"/>
              </w:rPr>
              <m:t>DA</m:t>
            </m:r>
          </m:e>
          <m:sub>
            <m:r>
              <w:rPr>
                <w:rFonts w:ascii="Cambria Math" w:hAnsi="Cambria Math" w:cs="Times New Roman"/>
                <w:color w:val="000000" w:themeColor="text1"/>
              </w:rPr>
              <m:t>i</m:t>
            </m:r>
            <m:r>
              <m:rPr>
                <m:sty m:val="p"/>
              </m:rPr>
              <w:rPr>
                <w:rFonts w:ascii="Cambria Math" w:hAnsi="Cambria Math" w:cs="Times New Roman"/>
                <w:color w:val="000000" w:themeColor="text1"/>
              </w:rPr>
              <m:t>,</m:t>
            </m:r>
            <m:r>
              <w:rPr>
                <w:rFonts w:ascii="Cambria Math" w:hAnsi="Cambria Math" w:cs="Times New Roman"/>
                <w:color w:val="000000" w:themeColor="text1"/>
              </w:rPr>
              <m:t>t</m:t>
            </m:r>
          </m:sub>
        </m:sSub>
        <m:r>
          <m:rPr>
            <m:sty m:val="p"/>
          </m:rP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γ</m:t>
            </m:r>
          </m:e>
          <m:sub>
            <m:r>
              <w:rPr>
                <w:rFonts w:ascii="Cambria Math" w:hAnsi="Cambria Math" w:cs="Times New Roman"/>
                <w:color w:val="000000" w:themeColor="text1"/>
              </w:rPr>
              <m:t>0</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γ</m:t>
            </m:r>
          </m:e>
          <m:sub>
            <m:r>
              <w:rPr>
                <w:rFonts w:ascii="Cambria Math" w:hAnsi="Cambria Math" w:cs="Times New Roman"/>
                <w:color w:val="000000" w:themeColor="text1"/>
              </w:rPr>
              <m:t>1</m:t>
            </m:r>
          </m:sub>
        </m:sSub>
        <m:r>
          <w:rPr>
            <w:rFonts w:ascii="Cambria Math" w:hAnsi="Cambria Math" w:cs="Times New Roman"/>
            <w:color w:val="000000" w:themeColor="text1"/>
            <w:sz w:val="18"/>
            <w:szCs w:val="18"/>
          </w:rPr>
          <m:t>Vam_logi</m:t>
        </m:r>
        <m:sSub>
          <m:sSubPr>
            <m:ctrlPr>
              <w:rPr>
                <w:rFonts w:ascii="Cambria Math" w:hAnsi="Cambria Math" w:cs="Times New Roman"/>
                <w:i/>
                <w:color w:val="000000" w:themeColor="text1"/>
                <w:sz w:val="18"/>
                <w:szCs w:val="18"/>
              </w:rPr>
            </m:ctrlPr>
          </m:sSubPr>
          <m:e>
            <m:r>
              <w:rPr>
                <w:rFonts w:ascii="Cambria Math" w:hAnsi="Cambria Math" w:cs="Times New Roman"/>
                <w:color w:val="000000" w:themeColor="text1"/>
                <w:sz w:val="18"/>
                <w:szCs w:val="18"/>
              </w:rPr>
              <m:t>t</m:t>
            </m:r>
          </m:e>
          <m:sub>
            <m:r>
              <w:rPr>
                <w:rFonts w:ascii="Cambria Math" w:hAnsi="Cambria Math" w:cs="Times New Roman"/>
                <w:color w:val="000000" w:themeColor="text1"/>
                <w:sz w:val="18"/>
                <w:szCs w:val="18"/>
              </w:rPr>
              <m:t>i,t</m:t>
            </m:r>
          </m:sub>
        </m:sSub>
        <m:sSub>
          <m:sSubPr>
            <m:ctrlPr>
              <w:rPr>
                <w:rFonts w:ascii="Cambria Math" w:hAnsi="Cambria Math" w:cs="Times New Roman"/>
                <w:i/>
                <w:color w:val="000000" w:themeColor="text1"/>
              </w:rPr>
            </m:ctrlPr>
          </m:sSubPr>
          <m:e>
            <m:sSubSup>
              <m:sSubSupPr>
                <m:ctrlPr>
                  <w:rPr>
                    <w:rFonts w:ascii="Cambria Math" w:hAnsi="Cambria Math" w:cs="Times New Roman"/>
                    <w:b/>
                    <w:bCs/>
                    <w:i/>
                    <w:color w:val="000000" w:themeColor="text1"/>
                    <w:sz w:val="18"/>
                    <w:szCs w:val="18"/>
                  </w:rPr>
                </m:ctrlPr>
              </m:sSubSupPr>
              <m:e>
                <m:r>
                  <m:rPr>
                    <m:sty m:val="bi"/>
                  </m:rPr>
                  <w:rPr>
                    <w:rFonts w:ascii="Cambria Math" w:hAnsi="Cambria Math" w:cs="Times New Roman"/>
                    <w:color w:val="000000" w:themeColor="text1"/>
                    <w:sz w:val="18"/>
                    <w:szCs w:val="18"/>
                  </w:rPr>
                  <m:t>+γ</m:t>
                </m:r>
              </m:e>
              <m:sub>
                <m:r>
                  <m:rPr>
                    <m:sty m:val="bi"/>
                  </m:rPr>
                  <w:rPr>
                    <w:rFonts w:ascii="Cambria Math" w:hAnsi="Cambria Math" w:cs="Times New Roman"/>
                    <w:color w:val="000000" w:themeColor="text1"/>
                    <w:sz w:val="18"/>
                    <w:szCs w:val="18"/>
                  </w:rPr>
                  <m:t>2</m:t>
                </m:r>
              </m:sub>
              <m:sup>
                <m:r>
                  <m:rPr>
                    <m:sty m:val="bi"/>
                  </m:rPr>
                  <w:rPr>
                    <w:rFonts w:ascii="Cambria Math" w:hAnsi="Cambria Math" w:cs="Times New Roman"/>
                    <w:color w:val="000000" w:themeColor="text1"/>
                    <w:sz w:val="18"/>
                    <w:szCs w:val="18"/>
                  </w:rPr>
                  <m:t>T</m:t>
                </m:r>
              </m:sup>
            </m:sSubSup>
            <m:sSub>
              <m:sSubPr>
                <m:ctrlPr>
                  <w:rPr>
                    <w:rFonts w:ascii="Cambria Math" w:eastAsia="微软雅黑" w:hAnsi="Cambria Math" w:cs="Times New Roman"/>
                    <w:color w:val="000000" w:themeColor="text1"/>
                    <w:shd w:val="clear" w:color="auto" w:fill="FFFFFF"/>
                  </w:rPr>
                </m:ctrlPr>
              </m:sSubPr>
              <m:e>
                <m:r>
                  <m:rPr>
                    <m:sty m:val="bi"/>
                  </m:rPr>
                  <w:rPr>
                    <w:rFonts w:ascii="Cambria Math" w:eastAsia="微软雅黑" w:hAnsi="Cambria Math" w:cs="Times New Roman"/>
                    <w:color w:val="000000" w:themeColor="text1"/>
                    <w:shd w:val="clear" w:color="auto" w:fill="FFFFFF"/>
                  </w:rPr>
                  <m:t>C</m:t>
                </m:r>
                <m:r>
                  <m:rPr>
                    <m:sty m:val="b"/>
                  </m:rPr>
                  <w:rPr>
                    <w:rFonts w:ascii="Cambria Math" w:eastAsia="微软雅黑" w:hAnsi="Cambria Math" w:cs="Times New Roman"/>
                    <w:color w:val="000000" w:themeColor="text1"/>
                    <w:shd w:val="clear" w:color="auto" w:fill="FFFFFF"/>
                  </w:rPr>
                  <m:t>ontrols</m:t>
                </m:r>
                <m:ctrlPr>
                  <w:rPr>
                    <w:rFonts w:ascii="Cambria Math" w:eastAsia="微软雅黑" w:hAnsi="Cambria Math" w:cs="Times New Roman"/>
                    <w:b/>
                    <w:bCs/>
                    <w:i/>
                    <w:iCs/>
                    <w:color w:val="000000" w:themeColor="text1"/>
                    <w:shd w:val="clear" w:color="auto" w:fill="FFFFFF"/>
                  </w:rPr>
                </m:ctrlPr>
              </m:e>
              <m:sub>
                <m:r>
                  <w:rPr>
                    <w:rFonts w:ascii="Cambria Math" w:eastAsia="微软雅黑" w:hAnsi="Cambria Math" w:cs="Times New Roman"/>
                    <w:color w:val="000000" w:themeColor="text1"/>
                    <w:shd w:val="clear" w:color="auto" w:fill="FFFFFF"/>
                  </w:rPr>
                  <m:t>i</m:t>
                </m:r>
                <m:r>
                  <m:rPr>
                    <m:sty m:val="p"/>
                  </m:rPr>
                  <w:rPr>
                    <w:rFonts w:ascii="Cambria Math" w:eastAsia="微软雅黑" w:hAnsi="Cambria Math" w:cs="Times New Roman"/>
                    <w:color w:val="000000" w:themeColor="text1"/>
                    <w:shd w:val="clear" w:color="auto" w:fill="FFFFFF"/>
                  </w:rPr>
                  <m:t>,t</m:t>
                </m:r>
              </m:sub>
            </m:sSub>
            <m:r>
              <m:rPr>
                <m:sty m:val="p"/>
              </m:rPr>
              <w:rPr>
                <w:rFonts w:ascii="Cambria Math" w:hAnsi="Cambria Math" w:cs="Times New Roman"/>
                <w:color w:val="000000" w:themeColor="text1"/>
              </w:rPr>
              <m:t>+γ</m:t>
            </m:r>
          </m:e>
          <m:sub>
            <m:r>
              <w:rPr>
                <w:rFonts w:ascii="Cambria Math" w:hAnsi="Cambria Math" w:cs="Times New Roman"/>
                <w:color w:val="000000" w:themeColor="text1"/>
              </w:rPr>
              <m:t>3</m:t>
            </m:r>
          </m:sub>
        </m:sSub>
        <m:r>
          <w:rPr>
            <w:rFonts w:ascii="Cambria Math" w:hAnsi="Cambria Math" w:cs="Times New Roman"/>
            <w:color w:val="000000" w:themeColor="text1"/>
            <w:sz w:val="18"/>
            <w:szCs w:val="18"/>
          </w:rPr>
          <m:t>Yea</m:t>
        </m:r>
        <m:sSub>
          <m:sSubPr>
            <m:ctrlPr>
              <w:rPr>
                <w:rFonts w:ascii="Cambria Math" w:hAnsi="Cambria Math" w:cs="Times New Roman"/>
                <w:i/>
                <w:color w:val="000000" w:themeColor="text1"/>
                <w:sz w:val="18"/>
                <w:szCs w:val="18"/>
              </w:rPr>
            </m:ctrlPr>
          </m:sSubPr>
          <m:e>
            <m:r>
              <w:rPr>
                <w:rFonts w:ascii="Cambria Math" w:hAnsi="Cambria Math" w:cs="Times New Roman"/>
                <w:color w:val="000000" w:themeColor="text1"/>
                <w:sz w:val="18"/>
                <w:szCs w:val="18"/>
              </w:rPr>
              <m:t>r</m:t>
            </m:r>
          </m:e>
          <m:sub>
            <m:r>
              <w:rPr>
                <w:rFonts w:ascii="Cambria Math" w:hAnsi="Cambria Math" w:cs="Times New Roman"/>
                <w:color w:val="000000" w:themeColor="text1"/>
                <w:sz w:val="18"/>
                <w:szCs w:val="18"/>
              </w:rPr>
              <m:t>t</m:t>
            </m:r>
          </m:sub>
        </m:sSub>
        <m:sSub>
          <m:sSubPr>
            <m:ctrlPr>
              <w:rPr>
                <w:rFonts w:ascii="Cambria Math" w:hAnsi="Cambria Math" w:cs="Times New Roman"/>
                <w:i/>
                <w:color w:val="000000" w:themeColor="text1"/>
                <w:sz w:val="18"/>
                <w:szCs w:val="18"/>
              </w:rPr>
            </m:ctrlPr>
          </m:sSubPr>
          <m:e>
            <m:r>
              <m:rPr>
                <m:sty m:val="p"/>
              </m:rPr>
              <w:rPr>
                <w:rFonts w:ascii="Cambria Math" w:hAnsi="Cambria Math" w:cs="Times New Roman"/>
                <w:color w:val="000000" w:themeColor="text1"/>
                <w:sz w:val="18"/>
                <w:szCs w:val="18"/>
              </w:rPr>
              <m:t>+</m:t>
            </m:r>
            <m:sSub>
              <m:sSubPr>
                <m:ctrlPr>
                  <w:rPr>
                    <w:rFonts w:ascii="Cambria Math" w:hAnsi="Cambria Math" w:cs="Times New Roman"/>
                    <w:i/>
                    <w:color w:val="000000" w:themeColor="text1"/>
                  </w:rPr>
                </m:ctrlPr>
              </m:sSubPr>
              <m:e>
                <m:r>
                  <m:rPr>
                    <m:sty m:val="p"/>
                  </m:rPr>
                  <w:rPr>
                    <w:rFonts w:ascii="Cambria Math" w:hAnsi="Cambria Math" w:cs="Times New Roman"/>
                    <w:color w:val="000000" w:themeColor="text1"/>
                  </w:rPr>
                  <m:t>γ</m:t>
                </m:r>
              </m:e>
              <m:sub>
                <m:r>
                  <w:rPr>
                    <w:rFonts w:ascii="Cambria Math" w:hAnsi="Cambria Math" w:cs="Times New Roman"/>
                    <w:color w:val="000000" w:themeColor="text1"/>
                  </w:rPr>
                  <m:t>4</m:t>
                </m:r>
              </m:sub>
            </m:sSub>
            <m:sSub>
              <m:sSubPr>
                <m:ctrlPr>
                  <w:rPr>
                    <w:rFonts w:ascii="Cambria Math" w:hAnsi="Cambria Math" w:cs="Times New Roman"/>
                    <w:i/>
                    <w:color w:val="000000" w:themeColor="text1"/>
                    <w:sz w:val="18"/>
                    <w:szCs w:val="18"/>
                  </w:rPr>
                </m:ctrlPr>
              </m:sSubPr>
              <m:e>
                <m:r>
                  <w:rPr>
                    <w:rFonts w:ascii="Cambria Math" w:hAnsi="Cambria Math" w:cs="Times New Roman"/>
                    <w:color w:val="000000" w:themeColor="text1"/>
                    <w:sz w:val="18"/>
                    <w:szCs w:val="18"/>
                  </w:rPr>
                  <m:t>F</m:t>
                </m:r>
                <m:r>
                  <m:rPr>
                    <m:sty m:val="p"/>
                  </m:rPr>
                  <w:rPr>
                    <w:rFonts w:ascii="Cambria Math" w:hAnsi="Cambria Math" w:cs="Times New Roman"/>
                    <w:color w:val="000000" w:themeColor="text1"/>
                    <w:sz w:val="18"/>
                    <w:szCs w:val="18"/>
                  </w:rPr>
                  <m:t>irm</m:t>
                </m:r>
              </m:e>
              <m:sub>
                <m:r>
                  <w:rPr>
                    <w:rFonts w:ascii="Cambria Math" w:hAnsi="Cambria Math" w:cs="Times New Roman"/>
                    <w:color w:val="000000" w:themeColor="text1"/>
                    <w:sz w:val="18"/>
                    <w:szCs w:val="18"/>
                  </w:rPr>
                  <m:t>i</m:t>
                </m:r>
              </m:sub>
            </m:sSub>
            <m:r>
              <m:rPr>
                <m:sty m:val="p"/>
              </m:rPr>
              <w:rPr>
                <w:rFonts w:ascii="Cambria Math" w:hAnsi="Cambria Math" w:cs="Times New Roman"/>
                <w:color w:val="000000" w:themeColor="text1"/>
                <w:sz w:val="18"/>
                <w:szCs w:val="18"/>
              </w:rPr>
              <m:t>+ϵ</m:t>
            </m:r>
          </m:e>
          <m:sub>
            <m:r>
              <w:rPr>
                <w:rFonts w:ascii="Cambria Math" w:hAnsi="Cambria Math" w:cs="Times New Roman"/>
                <w:color w:val="000000" w:themeColor="text1"/>
                <w:sz w:val="18"/>
                <w:szCs w:val="18"/>
              </w:rPr>
              <m:t>i,t</m:t>
            </m:r>
          </m:sub>
        </m:sSub>
      </m:oMath>
      <w:r w:rsidR="00324DD4" w:rsidRPr="00FE771B">
        <w:rPr>
          <w:rFonts w:ascii="Times New Roman" w:hAnsi="Times New Roman" w:cs="Times New Roman"/>
          <w:color w:val="000000" w:themeColor="text1"/>
        </w:rPr>
        <w:t xml:space="preserve">        </w:t>
      </w:r>
      <w:r w:rsidR="006E0BA9" w:rsidRPr="00FE771B">
        <w:rPr>
          <w:rFonts w:ascii="Times New Roman" w:hAnsi="Times New Roman" w:cs="Times New Roman"/>
          <w:color w:val="000000" w:themeColor="text1"/>
        </w:rPr>
        <w:t>（</w:t>
      </w:r>
      <w:r w:rsidR="006E0BA9" w:rsidRPr="00FE771B">
        <w:rPr>
          <w:rFonts w:ascii="Times New Roman" w:hAnsi="Times New Roman" w:cs="Times New Roman"/>
          <w:color w:val="000000" w:themeColor="text1"/>
        </w:rPr>
        <w:t>3</w:t>
      </w:r>
      <w:r w:rsidR="006E0BA9" w:rsidRPr="00FE771B">
        <w:rPr>
          <w:rFonts w:ascii="Times New Roman" w:hAnsi="Times New Roman" w:cs="Times New Roman"/>
          <w:color w:val="000000" w:themeColor="text1"/>
        </w:rPr>
        <w:t>）</w:t>
      </w:r>
    </w:p>
    <w:p w:rsidR="00324DD4" w:rsidRPr="00FE771B" w:rsidRDefault="00E24810" w:rsidP="00324DD4">
      <w:pPr>
        <w:wordWrap w:val="0"/>
        <w:ind w:firstLine="420"/>
        <w:jc w:val="right"/>
        <w:rPr>
          <w:rFonts w:ascii="Times New Roman" w:hAnsi="Times New Roman" w:cs="Times New Roman"/>
          <w:color w:val="000000" w:themeColor="text1"/>
        </w:rPr>
      </w:pPr>
      <m:oMath>
        <m:sSub>
          <m:sSubPr>
            <m:ctrlPr>
              <w:rPr>
                <w:rFonts w:ascii="Cambria Math" w:hAnsi="Cambria Math" w:cs="Times New Roman"/>
                <w:color w:val="000000" w:themeColor="text1"/>
              </w:rPr>
            </m:ctrlPr>
          </m:sSubPr>
          <m:e>
            <m:r>
              <w:rPr>
                <w:rFonts w:ascii="Cambria Math" w:hAnsi="Cambria Math" w:cs="Times New Roman"/>
                <w:color w:val="000000" w:themeColor="text1"/>
              </w:rPr>
              <m:t>F</m:t>
            </m:r>
            <m:r>
              <m:rPr>
                <m:sty m:val="p"/>
              </m:rPr>
              <w:rPr>
                <w:rFonts w:ascii="Cambria Math" w:hAnsi="Cambria Math" w:cs="Times New Roman"/>
                <w:color w:val="000000" w:themeColor="text1"/>
              </w:rPr>
              <m:t>in</m:t>
            </m:r>
          </m:e>
          <m:sub>
            <m:r>
              <w:rPr>
                <w:rFonts w:ascii="Cambria Math" w:hAnsi="Cambria Math" w:cs="Times New Roman"/>
                <w:color w:val="000000" w:themeColor="text1"/>
              </w:rPr>
              <m:t>i</m:t>
            </m:r>
            <m:r>
              <m:rPr>
                <m:sty m:val="p"/>
              </m:rPr>
              <w:rPr>
                <w:rFonts w:ascii="Cambria Math" w:hAnsi="Cambria Math" w:cs="Times New Roman"/>
                <w:color w:val="000000" w:themeColor="text1"/>
              </w:rPr>
              <m:t>,</m:t>
            </m:r>
            <m:r>
              <w:rPr>
                <w:rFonts w:ascii="Cambria Math" w:hAnsi="Cambria Math" w:cs="Times New Roman"/>
                <w:color w:val="000000" w:themeColor="text1"/>
              </w:rPr>
              <m:t>t</m:t>
            </m:r>
          </m:sub>
        </m:sSub>
        <m:r>
          <m:rPr>
            <m:sty m:val="p"/>
          </m:rP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δ</m:t>
            </m:r>
          </m:e>
          <m:sub>
            <m:r>
              <w:rPr>
                <w:rFonts w:ascii="Cambria Math" w:hAnsi="Cambria Math" w:cs="Times New Roman"/>
                <w:color w:val="000000" w:themeColor="text1"/>
              </w:rPr>
              <m:t>0</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δ</m:t>
            </m:r>
          </m:e>
          <m:sub>
            <m:r>
              <w:rPr>
                <w:rFonts w:ascii="Cambria Math" w:hAnsi="Cambria Math" w:cs="Times New Roman"/>
                <w:color w:val="000000" w:themeColor="text1"/>
              </w:rPr>
              <m:t>1</m:t>
            </m:r>
          </m:sub>
        </m:sSub>
        <m:r>
          <w:rPr>
            <w:rFonts w:ascii="Cambria Math" w:hAnsi="Cambria Math" w:cs="Times New Roman"/>
            <w:color w:val="000000" w:themeColor="text1"/>
            <w:sz w:val="18"/>
            <w:szCs w:val="18"/>
          </w:rPr>
          <m:t>Vam_logi</m:t>
        </m:r>
        <m:sSub>
          <m:sSubPr>
            <m:ctrlPr>
              <w:rPr>
                <w:rFonts w:ascii="Cambria Math" w:hAnsi="Cambria Math" w:cs="Times New Roman"/>
                <w:i/>
                <w:color w:val="000000" w:themeColor="text1"/>
                <w:sz w:val="18"/>
                <w:szCs w:val="18"/>
              </w:rPr>
            </m:ctrlPr>
          </m:sSubPr>
          <m:e>
            <m:r>
              <w:rPr>
                <w:rFonts w:ascii="Cambria Math" w:hAnsi="Cambria Math" w:cs="Times New Roman"/>
                <w:color w:val="000000" w:themeColor="text1"/>
                <w:sz w:val="18"/>
                <w:szCs w:val="18"/>
              </w:rPr>
              <m:t>t</m:t>
            </m:r>
          </m:e>
          <m:sub>
            <m:r>
              <w:rPr>
                <w:rFonts w:ascii="Cambria Math" w:hAnsi="Cambria Math" w:cs="Times New Roman"/>
                <w:color w:val="000000" w:themeColor="text1"/>
                <w:sz w:val="18"/>
                <w:szCs w:val="18"/>
              </w:rPr>
              <m:t>i,t</m:t>
            </m:r>
          </m:sub>
        </m:sSub>
        <m:sSub>
          <m:sSubPr>
            <m:ctrlPr>
              <w:rPr>
                <w:rFonts w:ascii="Cambria Math" w:hAnsi="Cambria Math" w:cs="Times New Roman"/>
                <w:i/>
                <w:color w:val="000000" w:themeColor="text1"/>
              </w:rPr>
            </m:ctrlPr>
          </m:sSubPr>
          <m:e>
            <m:sSubSup>
              <m:sSubSupPr>
                <m:ctrlPr>
                  <w:rPr>
                    <w:rFonts w:ascii="Cambria Math" w:hAnsi="Cambria Math" w:cs="Times New Roman"/>
                    <w:b/>
                    <w:bCs/>
                    <w:i/>
                    <w:color w:val="000000" w:themeColor="text1"/>
                    <w:sz w:val="18"/>
                    <w:szCs w:val="18"/>
                  </w:rPr>
                </m:ctrlPr>
              </m:sSubSupPr>
              <m:e>
                <m:r>
                  <m:rPr>
                    <m:sty m:val="bi"/>
                  </m:rPr>
                  <w:rPr>
                    <w:rFonts w:ascii="Cambria Math" w:hAnsi="Cambria Math" w:cs="Times New Roman"/>
                    <w:color w:val="000000" w:themeColor="text1"/>
                    <w:sz w:val="18"/>
                    <w:szCs w:val="18"/>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δ</m:t>
                    </m:r>
                  </m:e>
                  <m:sub>
                    <m:r>
                      <w:rPr>
                        <w:rFonts w:ascii="Cambria Math" w:hAnsi="Cambria Math" w:cs="Times New Roman"/>
                        <w:color w:val="000000" w:themeColor="text1"/>
                      </w:rPr>
                      <m:t>2</m:t>
                    </m:r>
                  </m:sub>
                </m:sSub>
                <m:sSub>
                  <m:sSubPr>
                    <m:ctrlPr>
                      <w:rPr>
                        <w:rFonts w:ascii="Cambria Math" w:hAnsi="Cambria Math" w:cs="Times New Roman"/>
                        <w:i/>
                        <w:color w:val="000000" w:themeColor="text1"/>
                        <w:sz w:val="18"/>
                        <w:szCs w:val="18"/>
                      </w:rPr>
                    </m:ctrlPr>
                  </m:sSubPr>
                  <m:e>
                    <m:r>
                      <w:rPr>
                        <w:rFonts w:ascii="Cambria Math" w:hAnsi="Cambria Math" w:cs="Times New Roman"/>
                        <w:color w:val="000000" w:themeColor="text1"/>
                        <w:sz w:val="18"/>
                        <w:szCs w:val="18"/>
                      </w:rPr>
                      <m:t>DA</m:t>
                    </m:r>
                  </m:e>
                  <m:sub>
                    <m:r>
                      <w:rPr>
                        <w:rFonts w:ascii="Cambria Math" w:hAnsi="Cambria Math" w:cs="Times New Roman"/>
                        <w:color w:val="000000" w:themeColor="text1"/>
                        <w:sz w:val="18"/>
                        <w:szCs w:val="18"/>
                      </w:rPr>
                      <m:t>i,t</m:t>
                    </m:r>
                  </m:sub>
                </m:sSub>
                <m:r>
                  <m:rPr>
                    <m:sty m:val="bi"/>
                  </m:rPr>
                  <w:rPr>
                    <w:rFonts w:ascii="Cambria Math" w:hAnsi="Cambria Math" w:cs="Times New Roman"/>
                    <w:color w:val="000000" w:themeColor="text1"/>
                    <w:sz w:val="18"/>
                    <w:szCs w:val="18"/>
                  </w:rPr>
                  <m:t>+δ</m:t>
                </m:r>
              </m:e>
              <m:sub>
                <m:r>
                  <m:rPr>
                    <m:sty m:val="bi"/>
                  </m:rPr>
                  <w:rPr>
                    <w:rFonts w:ascii="Cambria Math" w:hAnsi="Cambria Math" w:cs="Times New Roman"/>
                    <w:color w:val="000000" w:themeColor="text1"/>
                    <w:sz w:val="18"/>
                    <w:szCs w:val="18"/>
                  </w:rPr>
                  <m:t>3</m:t>
                </m:r>
              </m:sub>
              <m:sup>
                <m:r>
                  <m:rPr>
                    <m:sty m:val="bi"/>
                  </m:rPr>
                  <w:rPr>
                    <w:rFonts w:ascii="Cambria Math" w:hAnsi="Cambria Math" w:cs="Times New Roman"/>
                    <w:color w:val="000000" w:themeColor="text1"/>
                    <w:sz w:val="18"/>
                    <w:szCs w:val="18"/>
                  </w:rPr>
                  <m:t>T</m:t>
                </m:r>
              </m:sup>
            </m:sSubSup>
            <m:sSub>
              <m:sSubPr>
                <m:ctrlPr>
                  <w:rPr>
                    <w:rFonts w:ascii="Cambria Math" w:eastAsia="微软雅黑" w:hAnsi="Cambria Math" w:cs="Times New Roman"/>
                    <w:color w:val="000000" w:themeColor="text1"/>
                    <w:shd w:val="clear" w:color="auto" w:fill="FFFFFF"/>
                  </w:rPr>
                </m:ctrlPr>
              </m:sSubPr>
              <m:e>
                <m:r>
                  <m:rPr>
                    <m:sty m:val="bi"/>
                  </m:rPr>
                  <w:rPr>
                    <w:rFonts w:ascii="Cambria Math" w:eastAsia="微软雅黑" w:hAnsi="Cambria Math" w:cs="Times New Roman"/>
                    <w:color w:val="000000" w:themeColor="text1"/>
                    <w:shd w:val="clear" w:color="auto" w:fill="FFFFFF"/>
                  </w:rPr>
                  <m:t>C</m:t>
                </m:r>
                <m:r>
                  <m:rPr>
                    <m:sty m:val="b"/>
                  </m:rPr>
                  <w:rPr>
                    <w:rFonts w:ascii="Cambria Math" w:eastAsia="微软雅黑" w:hAnsi="Cambria Math" w:cs="Times New Roman"/>
                    <w:color w:val="000000" w:themeColor="text1"/>
                    <w:shd w:val="clear" w:color="auto" w:fill="FFFFFF"/>
                  </w:rPr>
                  <m:t>ontrols</m:t>
                </m:r>
                <m:ctrlPr>
                  <w:rPr>
                    <w:rFonts w:ascii="Cambria Math" w:eastAsia="微软雅黑" w:hAnsi="Cambria Math" w:cs="Times New Roman"/>
                    <w:b/>
                    <w:bCs/>
                    <w:i/>
                    <w:iCs/>
                    <w:color w:val="000000" w:themeColor="text1"/>
                    <w:shd w:val="clear" w:color="auto" w:fill="FFFFFF"/>
                  </w:rPr>
                </m:ctrlPr>
              </m:e>
              <m:sub>
                <m:r>
                  <w:rPr>
                    <w:rFonts w:ascii="Cambria Math" w:eastAsia="微软雅黑" w:hAnsi="Cambria Math" w:cs="Times New Roman"/>
                    <w:color w:val="000000" w:themeColor="text1"/>
                    <w:shd w:val="clear" w:color="auto" w:fill="FFFFFF"/>
                  </w:rPr>
                  <m:t>i</m:t>
                </m:r>
                <m:r>
                  <m:rPr>
                    <m:sty m:val="p"/>
                  </m:rPr>
                  <w:rPr>
                    <w:rFonts w:ascii="Cambria Math" w:eastAsia="微软雅黑" w:hAnsi="Cambria Math" w:cs="Times New Roman"/>
                    <w:color w:val="000000" w:themeColor="text1"/>
                    <w:shd w:val="clear" w:color="auto" w:fill="FFFFFF"/>
                  </w:rPr>
                  <m:t>,t</m:t>
                </m:r>
              </m:sub>
            </m:sSub>
            <m:r>
              <m:rPr>
                <m:sty m:val="p"/>
              </m:rPr>
              <w:rPr>
                <w:rFonts w:ascii="Cambria Math" w:hAnsi="Cambria Math" w:cs="Times New Roman"/>
                <w:color w:val="000000" w:themeColor="text1"/>
              </w:rPr>
              <m:t>+δ</m:t>
            </m:r>
          </m:e>
          <m:sub>
            <m:r>
              <w:rPr>
                <w:rFonts w:ascii="Cambria Math" w:hAnsi="Cambria Math" w:cs="Times New Roman"/>
                <w:color w:val="000000" w:themeColor="text1"/>
              </w:rPr>
              <m:t>4</m:t>
            </m:r>
          </m:sub>
        </m:sSub>
        <m:r>
          <w:rPr>
            <w:rFonts w:ascii="Cambria Math" w:hAnsi="Cambria Math" w:cs="Times New Roman"/>
            <w:color w:val="000000" w:themeColor="text1"/>
            <w:sz w:val="18"/>
            <w:szCs w:val="18"/>
          </w:rPr>
          <m:t>Yea</m:t>
        </m:r>
        <m:sSub>
          <m:sSubPr>
            <m:ctrlPr>
              <w:rPr>
                <w:rFonts w:ascii="Cambria Math" w:hAnsi="Cambria Math" w:cs="Times New Roman"/>
                <w:i/>
                <w:color w:val="000000" w:themeColor="text1"/>
                <w:sz w:val="18"/>
                <w:szCs w:val="18"/>
              </w:rPr>
            </m:ctrlPr>
          </m:sSubPr>
          <m:e>
            <m:r>
              <w:rPr>
                <w:rFonts w:ascii="Cambria Math" w:hAnsi="Cambria Math" w:cs="Times New Roman"/>
                <w:color w:val="000000" w:themeColor="text1"/>
                <w:sz w:val="18"/>
                <w:szCs w:val="18"/>
              </w:rPr>
              <m:t>r</m:t>
            </m:r>
          </m:e>
          <m:sub>
            <m:r>
              <w:rPr>
                <w:rFonts w:ascii="Cambria Math" w:hAnsi="Cambria Math" w:cs="Times New Roman"/>
                <w:color w:val="000000" w:themeColor="text1"/>
                <w:sz w:val="18"/>
                <w:szCs w:val="18"/>
              </w:rPr>
              <m:t>t</m:t>
            </m:r>
          </m:sub>
        </m:sSub>
        <m:sSub>
          <m:sSubPr>
            <m:ctrlPr>
              <w:rPr>
                <w:rFonts w:ascii="Cambria Math" w:hAnsi="Cambria Math" w:cs="Times New Roman"/>
                <w:i/>
                <w:color w:val="000000" w:themeColor="text1"/>
                <w:sz w:val="18"/>
                <w:szCs w:val="18"/>
              </w:rPr>
            </m:ctrlPr>
          </m:sSubPr>
          <m:e>
            <m:r>
              <m:rPr>
                <m:sty m:val="p"/>
              </m:rPr>
              <w:rPr>
                <w:rFonts w:ascii="Cambria Math" w:hAnsi="Cambria Math" w:cs="Times New Roman"/>
                <w:color w:val="000000" w:themeColor="text1"/>
                <w:sz w:val="18"/>
                <w:szCs w:val="18"/>
              </w:rPr>
              <m:t>+</m:t>
            </m:r>
            <m:sSub>
              <m:sSubPr>
                <m:ctrlPr>
                  <w:rPr>
                    <w:rFonts w:ascii="Cambria Math" w:hAnsi="Cambria Math" w:cs="Times New Roman"/>
                    <w:i/>
                    <w:color w:val="000000" w:themeColor="text1"/>
                  </w:rPr>
                </m:ctrlPr>
              </m:sSubPr>
              <m:e>
                <m:r>
                  <m:rPr>
                    <m:sty m:val="p"/>
                  </m:rPr>
                  <w:rPr>
                    <w:rFonts w:ascii="Cambria Math" w:hAnsi="Cambria Math" w:cs="Times New Roman"/>
                    <w:color w:val="000000" w:themeColor="text1"/>
                  </w:rPr>
                  <m:t>δ</m:t>
                </m:r>
              </m:e>
              <m:sub>
                <m:r>
                  <w:rPr>
                    <w:rFonts w:ascii="Cambria Math" w:hAnsi="Cambria Math" w:cs="Times New Roman"/>
                    <w:color w:val="000000" w:themeColor="text1"/>
                  </w:rPr>
                  <m:t>5</m:t>
                </m:r>
              </m:sub>
            </m:sSub>
            <m:sSub>
              <m:sSubPr>
                <m:ctrlPr>
                  <w:rPr>
                    <w:rFonts w:ascii="Cambria Math" w:hAnsi="Cambria Math" w:cs="Times New Roman"/>
                    <w:i/>
                    <w:color w:val="000000" w:themeColor="text1"/>
                    <w:sz w:val="18"/>
                    <w:szCs w:val="18"/>
                  </w:rPr>
                </m:ctrlPr>
              </m:sSubPr>
              <m:e>
                <m:r>
                  <w:rPr>
                    <w:rFonts w:ascii="Cambria Math" w:hAnsi="Cambria Math" w:cs="Times New Roman"/>
                    <w:color w:val="000000" w:themeColor="text1"/>
                    <w:sz w:val="18"/>
                    <w:szCs w:val="18"/>
                  </w:rPr>
                  <m:t>Frim</m:t>
                </m:r>
              </m:e>
              <m:sub>
                <m:r>
                  <w:rPr>
                    <w:rFonts w:ascii="Cambria Math" w:hAnsi="Cambria Math" w:cs="Times New Roman"/>
                    <w:color w:val="000000" w:themeColor="text1"/>
                    <w:sz w:val="18"/>
                    <w:szCs w:val="18"/>
                  </w:rPr>
                  <m:t>i</m:t>
                </m:r>
              </m:sub>
            </m:sSub>
            <m:r>
              <m:rPr>
                <m:sty m:val="p"/>
              </m:rPr>
              <w:rPr>
                <w:rFonts w:ascii="Cambria Math" w:hAnsi="Cambria Math" w:cs="Times New Roman"/>
                <w:color w:val="000000" w:themeColor="text1"/>
                <w:sz w:val="18"/>
                <w:szCs w:val="18"/>
              </w:rPr>
              <m:t>+ϵ</m:t>
            </m:r>
          </m:e>
          <m:sub>
            <m:r>
              <w:rPr>
                <w:rFonts w:ascii="Cambria Math" w:hAnsi="Cambria Math" w:cs="Times New Roman"/>
                <w:color w:val="000000" w:themeColor="text1"/>
                <w:sz w:val="18"/>
                <w:szCs w:val="18"/>
              </w:rPr>
              <m:t>i,t</m:t>
            </m:r>
          </m:sub>
        </m:sSub>
      </m:oMath>
      <w:r w:rsidR="00324DD4" w:rsidRPr="00FE771B">
        <w:rPr>
          <w:rFonts w:ascii="Times New Roman" w:hAnsi="Times New Roman" w:cs="Times New Roman"/>
          <w:color w:val="000000" w:themeColor="text1"/>
        </w:rPr>
        <w:t xml:space="preserve">    </w:t>
      </w:r>
      <w:r w:rsidR="006E0BA9" w:rsidRPr="00FE771B">
        <w:rPr>
          <w:rFonts w:ascii="Times New Roman" w:hAnsi="Times New Roman" w:cs="Times New Roman"/>
          <w:color w:val="000000" w:themeColor="text1"/>
        </w:rPr>
        <w:t>（</w:t>
      </w:r>
      <w:r w:rsidR="006E0BA9" w:rsidRPr="00FE771B">
        <w:rPr>
          <w:rFonts w:ascii="Times New Roman" w:hAnsi="Times New Roman" w:cs="Times New Roman"/>
          <w:color w:val="000000" w:themeColor="text1"/>
        </w:rPr>
        <w:t>4</w:t>
      </w:r>
      <w:r w:rsidR="006E0BA9" w:rsidRPr="00FE771B">
        <w:rPr>
          <w:rFonts w:ascii="Times New Roman" w:hAnsi="Times New Roman" w:cs="Times New Roman"/>
          <w:color w:val="000000" w:themeColor="text1"/>
        </w:rPr>
        <w:t>）</w:t>
      </w:r>
    </w:p>
    <w:p w:rsidR="00324DD4" w:rsidRPr="00FE771B" w:rsidRDefault="00E24810" w:rsidP="00324DD4">
      <w:pPr>
        <w:wordWrap w:val="0"/>
        <w:ind w:firstLine="420"/>
        <w:jc w:val="right"/>
        <w:rPr>
          <w:rFonts w:ascii="Times New Roman" w:hAnsi="Times New Roman" w:cs="Times New Roman"/>
          <w:color w:val="000000" w:themeColor="text1"/>
        </w:rPr>
      </w:pPr>
      <m:oMath>
        <m:sSub>
          <m:sSubPr>
            <m:ctrlPr>
              <w:rPr>
                <w:rFonts w:ascii="Cambria Math" w:hAnsi="Cambria Math" w:cs="Times New Roman"/>
                <w:color w:val="000000" w:themeColor="text1"/>
              </w:rPr>
            </m:ctrlPr>
          </m:sSubPr>
          <m:e>
            <m:r>
              <w:rPr>
                <w:rFonts w:ascii="Cambria Math" w:hAnsi="Cambria Math" w:cs="Times New Roman"/>
                <w:color w:val="000000" w:themeColor="text1"/>
              </w:rPr>
              <m:t>DA</m:t>
            </m:r>
          </m:e>
          <m:sub>
            <m:r>
              <w:rPr>
                <w:rFonts w:ascii="Cambria Math" w:hAnsi="Cambria Math" w:cs="Times New Roman"/>
                <w:color w:val="000000" w:themeColor="text1"/>
              </w:rPr>
              <m:t>i</m:t>
            </m:r>
            <m:r>
              <m:rPr>
                <m:sty m:val="p"/>
              </m:rPr>
              <w:rPr>
                <w:rFonts w:ascii="Cambria Math" w:hAnsi="Cambria Math" w:cs="Times New Roman"/>
                <w:color w:val="000000" w:themeColor="text1"/>
              </w:rPr>
              <m:t>,</m:t>
            </m:r>
            <m:r>
              <w:rPr>
                <w:rFonts w:ascii="Cambria Math" w:hAnsi="Cambria Math" w:cs="Times New Roman"/>
                <w:color w:val="000000" w:themeColor="text1"/>
              </w:rPr>
              <m:t>t</m:t>
            </m:r>
          </m:sub>
        </m:sSub>
        <m:r>
          <m:rPr>
            <m:sty m:val="p"/>
          </m:rP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ϑ</m:t>
            </m:r>
          </m:e>
          <m:sub>
            <m:r>
              <w:rPr>
                <w:rFonts w:ascii="Cambria Math" w:hAnsi="Cambria Math" w:cs="Times New Roman"/>
                <w:color w:val="000000" w:themeColor="text1"/>
              </w:rPr>
              <m:t>0</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ϑ</m:t>
            </m:r>
          </m:e>
          <m:sub>
            <m:r>
              <w:rPr>
                <w:rFonts w:ascii="Cambria Math" w:hAnsi="Cambria Math" w:cs="Times New Roman"/>
                <w:color w:val="000000" w:themeColor="text1"/>
              </w:rPr>
              <m:t>1</m:t>
            </m:r>
          </m:sub>
        </m:sSub>
        <m:r>
          <w:rPr>
            <w:rFonts w:ascii="Cambria Math" w:hAnsi="Cambria Math" w:cs="Times New Roman"/>
            <w:color w:val="000000" w:themeColor="text1"/>
            <w:sz w:val="18"/>
            <w:szCs w:val="18"/>
          </w:rPr>
          <m:t>Vam_</m:t>
        </m:r>
        <m:sSub>
          <m:sSubPr>
            <m:ctrlPr>
              <w:rPr>
                <w:rFonts w:ascii="Cambria Math" w:hAnsi="Cambria Math" w:cs="Times New Roman"/>
                <w:i/>
                <w:color w:val="000000" w:themeColor="text1"/>
                <w:sz w:val="18"/>
                <w:szCs w:val="18"/>
              </w:rPr>
            </m:ctrlPr>
          </m:sSubPr>
          <m:e>
            <m:r>
              <w:rPr>
                <w:rFonts w:ascii="Cambria Math" w:hAnsi="Cambria Math" w:cs="Times New Roman"/>
                <w:color w:val="000000" w:themeColor="text1"/>
                <w:sz w:val="18"/>
                <w:szCs w:val="18"/>
              </w:rPr>
              <m:t>numbers</m:t>
            </m:r>
          </m:e>
          <m:sub>
            <m:r>
              <w:rPr>
                <w:rFonts w:ascii="Cambria Math" w:hAnsi="Cambria Math" w:cs="Times New Roman"/>
                <w:color w:val="000000" w:themeColor="text1"/>
                <w:sz w:val="18"/>
                <w:szCs w:val="18"/>
              </w:rPr>
              <m:t>i,t</m:t>
            </m:r>
          </m:sub>
        </m:sSub>
        <m:sSub>
          <m:sSubPr>
            <m:ctrlPr>
              <w:rPr>
                <w:rFonts w:ascii="Cambria Math" w:hAnsi="Cambria Math" w:cs="Times New Roman"/>
                <w:i/>
                <w:color w:val="000000" w:themeColor="text1"/>
              </w:rPr>
            </m:ctrlPr>
          </m:sSubPr>
          <m:e>
            <m:sSubSup>
              <m:sSubSupPr>
                <m:ctrlPr>
                  <w:rPr>
                    <w:rFonts w:ascii="Cambria Math" w:hAnsi="Cambria Math" w:cs="Times New Roman"/>
                    <w:b/>
                    <w:bCs/>
                    <w:i/>
                    <w:color w:val="000000" w:themeColor="text1"/>
                    <w:sz w:val="18"/>
                    <w:szCs w:val="18"/>
                  </w:rPr>
                </m:ctrlPr>
              </m:sSubSupPr>
              <m:e>
                <m:r>
                  <m:rPr>
                    <m:sty m:val="bi"/>
                  </m:rPr>
                  <w:rPr>
                    <w:rFonts w:ascii="Cambria Math" w:hAnsi="Cambria Math" w:cs="Times New Roman"/>
                    <w:color w:val="000000" w:themeColor="text1"/>
                    <w:sz w:val="18"/>
                    <w:szCs w:val="18"/>
                  </w:rPr>
                  <m:t>+ϑ</m:t>
                </m:r>
              </m:e>
              <m:sub>
                <m:r>
                  <m:rPr>
                    <m:sty m:val="bi"/>
                  </m:rPr>
                  <w:rPr>
                    <w:rFonts w:ascii="Cambria Math" w:hAnsi="Cambria Math" w:cs="Times New Roman"/>
                    <w:color w:val="000000" w:themeColor="text1"/>
                    <w:sz w:val="18"/>
                    <w:szCs w:val="18"/>
                  </w:rPr>
                  <m:t>2</m:t>
                </m:r>
              </m:sub>
              <m:sup>
                <m:r>
                  <m:rPr>
                    <m:sty m:val="bi"/>
                  </m:rPr>
                  <w:rPr>
                    <w:rFonts w:ascii="Cambria Math" w:hAnsi="Cambria Math" w:cs="Times New Roman"/>
                    <w:color w:val="000000" w:themeColor="text1"/>
                    <w:sz w:val="18"/>
                    <w:szCs w:val="18"/>
                  </w:rPr>
                  <m:t>T</m:t>
                </m:r>
              </m:sup>
            </m:sSubSup>
            <m:sSub>
              <m:sSubPr>
                <m:ctrlPr>
                  <w:rPr>
                    <w:rFonts w:ascii="Cambria Math" w:eastAsia="微软雅黑" w:hAnsi="Cambria Math" w:cs="Times New Roman"/>
                    <w:color w:val="000000" w:themeColor="text1"/>
                    <w:shd w:val="clear" w:color="auto" w:fill="FFFFFF"/>
                  </w:rPr>
                </m:ctrlPr>
              </m:sSubPr>
              <m:e>
                <m:r>
                  <m:rPr>
                    <m:sty m:val="bi"/>
                  </m:rPr>
                  <w:rPr>
                    <w:rFonts w:ascii="Cambria Math" w:eastAsia="微软雅黑" w:hAnsi="Cambria Math" w:cs="Times New Roman"/>
                    <w:color w:val="000000" w:themeColor="text1"/>
                    <w:shd w:val="clear" w:color="auto" w:fill="FFFFFF"/>
                  </w:rPr>
                  <m:t>C</m:t>
                </m:r>
                <m:r>
                  <m:rPr>
                    <m:sty m:val="b"/>
                  </m:rPr>
                  <w:rPr>
                    <w:rFonts w:ascii="Cambria Math" w:eastAsia="微软雅黑" w:hAnsi="Cambria Math" w:cs="Times New Roman"/>
                    <w:color w:val="000000" w:themeColor="text1"/>
                    <w:shd w:val="clear" w:color="auto" w:fill="FFFFFF"/>
                  </w:rPr>
                  <m:t>ontrols</m:t>
                </m:r>
                <m:ctrlPr>
                  <w:rPr>
                    <w:rFonts w:ascii="Cambria Math" w:eastAsia="微软雅黑" w:hAnsi="Cambria Math" w:cs="Times New Roman"/>
                    <w:b/>
                    <w:bCs/>
                    <w:i/>
                    <w:iCs/>
                    <w:color w:val="000000" w:themeColor="text1"/>
                    <w:shd w:val="clear" w:color="auto" w:fill="FFFFFF"/>
                  </w:rPr>
                </m:ctrlPr>
              </m:e>
              <m:sub>
                <m:r>
                  <w:rPr>
                    <w:rFonts w:ascii="Cambria Math" w:eastAsia="微软雅黑" w:hAnsi="Cambria Math" w:cs="Times New Roman"/>
                    <w:color w:val="000000" w:themeColor="text1"/>
                    <w:shd w:val="clear" w:color="auto" w:fill="FFFFFF"/>
                  </w:rPr>
                  <m:t>i</m:t>
                </m:r>
                <m:r>
                  <m:rPr>
                    <m:sty m:val="p"/>
                  </m:rPr>
                  <w:rPr>
                    <w:rFonts w:ascii="Cambria Math" w:eastAsia="微软雅黑" w:hAnsi="Cambria Math" w:cs="Times New Roman"/>
                    <w:color w:val="000000" w:themeColor="text1"/>
                    <w:shd w:val="clear" w:color="auto" w:fill="FFFFFF"/>
                  </w:rPr>
                  <m:t>,t</m:t>
                </m:r>
              </m:sub>
            </m:sSub>
            <m:r>
              <m:rPr>
                <m:sty m:val="p"/>
              </m:rPr>
              <w:rPr>
                <w:rFonts w:ascii="Cambria Math" w:hAnsi="Cambria Math" w:cs="Times New Roman"/>
                <w:color w:val="000000" w:themeColor="text1"/>
              </w:rPr>
              <m:t>+ϑ</m:t>
            </m:r>
          </m:e>
          <m:sub>
            <m:r>
              <w:rPr>
                <w:rFonts w:ascii="Cambria Math" w:hAnsi="Cambria Math" w:cs="Times New Roman"/>
                <w:color w:val="000000" w:themeColor="text1"/>
              </w:rPr>
              <m:t>3</m:t>
            </m:r>
          </m:sub>
        </m:sSub>
        <m:r>
          <w:rPr>
            <w:rFonts w:ascii="Cambria Math" w:hAnsi="Cambria Math" w:cs="Times New Roman"/>
            <w:color w:val="000000" w:themeColor="text1"/>
            <w:sz w:val="18"/>
            <w:szCs w:val="18"/>
          </w:rPr>
          <m:t>Yea</m:t>
        </m:r>
        <m:sSub>
          <m:sSubPr>
            <m:ctrlPr>
              <w:rPr>
                <w:rFonts w:ascii="Cambria Math" w:hAnsi="Cambria Math" w:cs="Times New Roman"/>
                <w:i/>
                <w:color w:val="000000" w:themeColor="text1"/>
                <w:sz w:val="18"/>
                <w:szCs w:val="18"/>
              </w:rPr>
            </m:ctrlPr>
          </m:sSubPr>
          <m:e>
            <m:r>
              <w:rPr>
                <w:rFonts w:ascii="Cambria Math" w:hAnsi="Cambria Math" w:cs="Times New Roman"/>
                <w:color w:val="000000" w:themeColor="text1"/>
                <w:sz w:val="18"/>
                <w:szCs w:val="18"/>
              </w:rPr>
              <m:t>r</m:t>
            </m:r>
          </m:e>
          <m:sub>
            <m:r>
              <w:rPr>
                <w:rFonts w:ascii="Cambria Math" w:hAnsi="Cambria Math" w:cs="Times New Roman"/>
                <w:color w:val="000000" w:themeColor="text1"/>
                <w:sz w:val="18"/>
                <w:szCs w:val="18"/>
              </w:rPr>
              <m:t>i,t+1</m:t>
            </m:r>
          </m:sub>
        </m:sSub>
        <m:sSub>
          <m:sSubPr>
            <m:ctrlPr>
              <w:rPr>
                <w:rFonts w:ascii="Cambria Math" w:hAnsi="Cambria Math" w:cs="Times New Roman"/>
                <w:i/>
                <w:color w:val="000000" w:themeColor="text1"/>
                <w:sz w:val="18"/>
                <w:szCs w:val="18"/>
              </w:rPr>
            </m:ctrlPr>
          </m:sSubPr>
          <m:e>
            <m:r>
              <m:rPr>
                <m:sty m:val="p"/>
              </m:rPr>
              <w:rPr>
                <w:rFonts w:ascii="Cambria Math" w:hAnsi="Cambria Math" w:cs="Times New Roman"/>
                <w:color w:val="000000" w:themeColor="text1"/>
                <w:sz w:val="18"/>
                <w:szCs w:val="18"/>
              </w:rPr>
              <m:t>+</m:t>
            </m:r>
            <m:sSub>
              <m:sSubPr>
                <m:ctrlPr>
                  <w:rPr>
                    <w:rFonts w:ascii="Cambria Math" w:hAnsi="Cambria Math" w:cs="Times New Roman"/>
                    <w:i/>
                    <w:color w:val="000000" w:themeColor="text1"/>
                  </w:rPr>
                </m:ctrlPr>
              </m:sSubPr>
              <m:e>
                <m:r>
                  <m:rPr>
                    <m:sty m:val="p"/>
                  </m:rPr>
                  <w:rPr>
                    <w:rFonts w:ascii="Cambria Math" w:hAnsi="Cambria Math" w:cs="Times New Roman"/>
                    <w:color w:val="000000" w:themeColor="text1"/>
                  </w:rPr>
                  <m:t>ϑ</m:t>
                </m:r>
              </m:e>
              <m:sub>
                <m:r>
                  <w:rPr>
                    <w:rFonts w:ascii="Cambria Math" w:hAnsi="Cambria Math" w:cs="Times New Roman"/>
                    <w:color w:val="000000" w:themeColor="text1"/>
                  </w:rPr>
                  <m:t>4</m:t>
                </m:r>
              </m:sub>
            </m:sSub>
            <m:sSub>
              <m:sSubPr>
                <m:ctrlPr>
                  <w:rPr>
                    <w:rFonts w:ascii="Cambria Math" w:hAnsi="Cambria Math" w:cs="Times New Roman"/>
                    <w:i/>
                    <w:color w:val="000000" w:themeColor="text1"/>
                    <w:sz w:val="18"/>
                    <w:szCs w:val="18"/>
                  </w:rPr>
                </m:ctrlPr>
              </m:sSubPr>
              <m:e>
                <m:r>
                  <w:rPr>
                    <w:rFonts w:ascii="Cambria Math" w:hAnsi="Cambria Math" w:cs="Times New Roman"/>
                    <w:color w:val="000000" w:themeColor="text1"/>
                    <w:sz w:val="18"/>
                    <w:szCs w:val="18"/>
                  </w:rPr>
                  <m:t>Frim</m:t>
                </m:r>
              </m:e>
              <m:sub>
                <m:r>
                  <w:rPr>
                    <w:rFonts w:ascii="Cambria Math" w:hAnsi="Cambria Math" w:cs="Times New Roman"/>
                    <w:color w:val="000000" w:themeColor="text1"/>
                    <w:sz w:val="18"/>
                    <w:szCs w:val="18"/>
                  </w:rPr>
                  <m:t>i</m:t>
                </m:r>
              </m:sub>
            </m:sSub>
            <m:r>
              <m:rPr>
                <m:sty m:val="p"/>
              </m:rPr>
              <w:rPr>
                <w:rFonts w:ascii="Cambria Math" w:hAnsi="Cambria Math" w:cs="Times New Roman"/>
                <w:color w:val="000000" w:themeColor="text1"/>
                <w:sz w:val="18"/>
                <w:szCs w:val="18"/>
              </w:rPr>
              <m:t>+ϵ</m:t>
            </m:r>
          </m:e>
          <m:sub>
            <m:r>
              <w:rPr>
                <w:rFonts w:ascii="Cambria Math" w:hAnsi="Cambria Math" w:cs="Times New Roman"/>
                <w:color w:val="000000" w:themeColor="text1"/>
                <w:sz w:val="18"/>
                <w:szCs w:val="18"/>
              </w:rPr>
              <m:t>i,t</m:t>
            </m:r>
          </m:sub>
        </m:sSub>
      </m:oMath>
      <w:r w:rsidR="00324DD4" w:rsidRPr="00FE771B">
        <w:rPr>
          <w:rFonts w:ascii="Times New Roman" w:hAnsi="Times New Roman" w:cs="Times New Roman"/>
          <w:color w:val="000000" w:themeColor="text1"/>
        </w:rPr>
        <w:t xml:space="preserve">     </w:t>
      </w:r>
      <w:r w:rsidR="006E0BA9" w:rsidRPr="00FE771B">
        <w:rPr>
          <w:rFonts w:ascii="Times New Roman" w:hAnsi="Times New Roman" w:cs="Times New Roman"/>
          <w:color w:val="000000" w:themeColor="text1"/>
        </w:rPr>
        <w:t>（</w:t>
      </w:r>
      <w:r w:rsidR="006E0BA9" w:rsidRPr="00FE771B">
        <w:rPr>
          <w:rFonts w:ascii="Times New Roman" w:hAnsi="Times New Roman" w:cs="Times New Roman"/>
          <w:color w:val="000000" w:themeColor="text1"/>
        </w:rPr>
        <w:t>5</w:t>
      </w:r>
      <w:r w:rsidR="006E0BA9" w:rsidRPr="00FE771B">
        <w:rPr>
          <w:rFonts w:ascii="Times New Roman" w:hAnsi="Times New Roman" w:cs="Times New Roman"/>
          <w:color w:val="000000" w:themeColor="text1"/>
        </w:rPr>
        <w:t>）</w:t>
      </w:r>
    </w:p>
    <w:p w:rsidR="00324DD4" w:rsidRPr="00FE771B" w:rsidRDefault="00E24810" w:rsidP="00324DD4">
      <w:pPr>
        <w:wordWrap w:val="0"/>
        <w:ind w:firstLine="420"/>
        <w:jc w:val="right"/>
        <w:rPr>
          <w:rFonts w:ascii="Times New Roman" w:hAnsi="Times New Roman" w:cs="Times New Roman"/>
          <w:color w:val="000000" w:themeColor="text1"/>
        </w:rPr>
      </w:pPr>
      <m:oMath>
        <m:sSub>
          <m:sSubPr>
            <m:ctrlPr>
              <w:rPr>
                <w:rFonts w:ascii="Cambria Math" w:hAnsi="Cambria Math" w:cs="Times New Roman"/>
                <w:color w:val="000000" w:themeColor="text1"/>
              </w:rPr>
            </m:ctrlPr>
          </m:sSubPr>
          <m:e>
            <m:r>
              <w:rPr>
                <w:rFonts w:ascii="Cambria Math" w:hAnsi="Cambria Math" w:cs="Times New Roman"/>
                <w:color w:val="000000" w:themeColor="text1"/>
              </w:rPr>
              <m:t>F</m:t>
            </m:r>
            <m:r>
              <m:rPr>
                <m:sty m:val="p"/>
              </m:rPr>
              <w:rPr>
                <w:rFonts w:ascii="Cambria Math" w:hAnsi="Cambria Math" w:cs="Times New Roman"/>
                <w:color w:val="000000" w:themeColor="text1"/>
              </w:rPr>
              <m:t>in</m:t>
            </m:r>
          </m:e>
          <m:sub>
            <m:r>
              <w:rPr>
                <w:rFonts w:ascii="Cambria Math" w:hAnsi="Cambria Math" w:cs="Times New Roman"/>
                <w:color w:val="000000" w:themeColor="text1"/>
              </w:rPr>
              <m:t>i</m:t>
            </m:r>
            <m:r>
              <m:rPr>
                <m:sty m:val="p"/>
              </m:rPr>
              <w:rPr>
                <w:rFonts w:ascii="Cambria Math" w:hAnsi="Cambria Math" w:cs="Times New Roman"/>
                <w:color w:val="000000" w:themeColor="text1"/>
              </w:rPr>
              <m:t>,</m:t>
            </m:r>
            <m:r>
              <w:rPr>
                <w:rFonts w:ascii="Cambria Math" w:hAnsi="Cambria Math" w:cs="Times New Roman"/>
                <w:color w:val="000000" w:themeColor="text1"/>
              </w:rPr>
              <m:t>t</m:t>
            </m:r>
          </m:sub>
        </m:sSub>
        <m:r>
          <m:rPr>
            <m:sty m:val="p"/>
          </m:rP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τ</m:t>
            </m:r>
          </m:e>
          <m:sub>
            <m:r>
              <w:rPr>
                <w:rFonts w:ascii="Cambria Math" w:hAnsi="Cambria Math" w:cs="Times New Roman"/>
                <w:color w:val="000000" w:themeColor="text1"/>
              </w:rPr>
              <m:t>0</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τ</m:t>
            </m:r>
          </m:e>
          <m:sub>
            <m:r>
              <w:rPr>
                <w:rFonts w:ascii="Cambria Math" w:hAnsi="Cambria Math" w:cs="Times New Roman"/>
                <w:color w:val="000000" w:themeColor="text1"/>
              </w:rPr>
              <m:t>1</m:t>
            </m:r>
          </m:sub>
        </m:sSub>
        <m:r>
          <w:rPr>
            <w:rFonts w:ascii="Cambria Math" w:hAnsi="Cambria Math" w:cs="Times New Roman"/>
            <w:color w:val="000000" w:themeColor="text1"/>
            <w:sz w:val="18"/>
            <w:szCs w:val="18"/>
          </w:rPr>
          <m:t>Vam_</m:t>
        </m:r>
        <m:sSub>
          <m:sSubPr>
            <m:ctrlPr>
              <w:rPr>
                <w:rFonts w:ascii="Cambria Math" w:hAnsi="Cambria Math" w:cs="Times New Roman"/>
                <w:i/>
                <w:color w:val="000000" w:themeColor="text1"/>
                <w:sz w:val="18"/>
                <w:szCs w:val="18"/>
              </w:rPr>
            </m:ctrlPr>
          </m:sSubPr>
          <m:e>
            <m:r>
              <w:rPr>
                <w:rFonts w:ascii="Cambria Math" w:hAnsi="Cambria Math" w:cs="Times New Roman"/>
                <w:color w:val="000000" w:themeColor="text1"/>
                <w:sz w:val="18"/>
                <w:szCs w:val="18"/>
              </w:rPr>
              <m:t>numbers</m:t>
            </m:r>
          </m:e>
          <m:sub>
            <m:r>
              <w:rPr>
                <w:rFonts w:ascii="Cambria Math" w:hAnsi="Cambria Math" w:cs="Times New Roman"/>
                <w:color w:val="000000" w:themeColor="text1"/>
                <w:sz w:val="18"/>
                <w:szCs w:val="18"/>
              </w:rPr>
              <m:t>i,t</m:t>
            </m:r>
          </m:sub>
        </m:sSub>
        <m:sSub>
          <m:sSubPr>
            <m:ctrlPr>
              <w:rPr>
                <w:rFonts w:ascii="Cambria Math" w:hAnsi="Cambria Math" w:cs="Times New Roman"/>
                <w:i/>
                <w:color w:val="000000" w:themeColor="text1"/>
              </w:rPr>
            </m:ctrlPr>
          </m:sSubPr>
          <m:e>
            <m:sSubSup>
              <m:sSubSupPr>
                <m:ctrlPr>
                  <w:rPr>
                    <w:rFonts w:ascii="Cambria Math" w:hAnsi="Cambria Math" w:cs="Times New Roman"/>
                    <w:b/>
                    <w:bCs/>
                    <w:i/>
                    <w:color w:val="000000" w:themeColor="text1"/>
                    <w:sz w:val="18"/>
                    <w:szCs w:val="18"/>
                  </w:rPr>
                </m:ctrlPr>
              </m:sSubSupPr>
              <m:e>
                <m:r>
                  <m:rPr>
                    <m:sty m:val="bi"/>
                  </m:rPr>
                  <w:rPr>
                    <w:rFonts w:ascii="Cambria Math" w:hAnsi="Cambria Math" w:cs="Times New Roman"/>
                    <w:color w:val="000000" w:themeColor="text1"/>
                    <w:sz w:val="18"/>
                    <w:szCs w:val="18"/>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τ</m:t>
                    </m:r>
                  </m:e>
                  <m:sub>
                    <m:r>
                      <w:rPr>
                        <w:rFonts w:ascii="Cambria Math" w:hAnsi="Cambria Math" w:cs="Times New Roman"/>
                        <w:color w:val="000000" w:themeColor="text1"/>
                      </w:rPr>
                      <m:t>2</m:t>
                    </m:r>
                  </m:sub>
                </m:sSub>
                <m:sSub>
                  <m:sSubPr>
                    <m:ctrlPr>
                      <w:rPr>
                        <w:rFonts w:ascii="Cambria Math" w:hAnsi="Cambria Math" w:cs="Times New Roman"/>
                        <w:i/>
                        <w:color w:val="000000" w:themeColor="text1"/>
                        <w:sz w:val="18"/>
                        <w:szCs w:val="18"/>
                      </w:rPr>
                    </m:ctrlPr>
                  </m:sSubPr>
                  <m:e>
                    <m:r>
                      <w:rPr>
                        <w:rFonts w:ascii="Cambria Math" w:hAnsi="Cambria Math" w:cs="Times New Roman"/>
                        <w:color w:val="000000" w:themeColor="text1"/>
                        <w:sz w:val="18"/>
                        <w:szCs w:val="18"/>
                      </w:rPr>
                      <m:t>DA</m:t>
                    </m:r>
                  </m:e>
                  <m:sub>
                    <m:r>
                      <w:rPr>
                        <w:rFonts w:ascii="Cambria Math" w:hAnsi="Cambria Math" w:cs="Times New Roman"/>
                        <w:color w:val="000000" w:themeColor="text1"/>
                        <w:sz w:val="18"/>
                        <w:szCs w:val="18"/>
                      </w:rPr>
                      <m:t>i,t</m:t>
                    </m:r>
                  </m:sub>
                </m:sSub>
                <m:r>
                  <m:rPr>
                    <m:sty m:val="bi"/>
                  </m:rPr>
                  <w:rPr>
                    <w:rFonts w:ascii="Cambria Math" w:hAnsi="Cambria Math" w:cs="Times New Roman"/>
                    <w:color w:val="000000" w:themeColor="text1"/>
                    <w:sz w:val="18"/>
                    <w:szCs w:val="18"/>
                  </w:rPr>
                  <m:t>+τ</m:t>
                </m:r>
              </m:e>
              <m:sub>
                <m:r>
                  <m:rPr>
                    <m:sty m:val="bi"/>
                  </m:rPr>
                  <w:rPr>
                    <w:rFonts w:ascii="Cambria Math" w:hAnsi="Cambria Math" w:cs="Times New Roman"/>
                    <w:color w:val="000000" w:themeColor="text1"/>
                    <w:sz w:val="18"/>
                    <w:szCs w:val="18"/>
                  </w:rPr>
                  <m:t>3</m:t>
                </m:r>
              </m:sub>
              <m:sup>
                <m:r>
                  <m:rPr>
                    <m:sty m:val="bi"/>
                  </m:rPr>
                  <w:rPr>
                    <w:rFonts w:ascii="Cambria Math" w:hAnsi="Cambria Math" w:cs="Times New Roman"/>
                    <w:color w:val="000000" w:themeColor="text1"/>
                    <w:sz w:val="18"/>
                    <w:szCs w:val="18"/>
                  </w:rPr>
                  <m:t>T</m:t>
                </m:r>
              </m:sup>
            </m:sSubSup>
            <m:sSub>
              <m:sSubPr>
                <m:ctrlPr>
                  <w:rPr>
                    <w:rFonts w:ascii="Cambria Math" w:eastAsia="微软雅黑" w:hAnsi="Cambria Math" w:cs="Times New Roman"/>
                    <w:color w:val="000000" w:themeColor="text1"/>
                    <w:shd w:val="clear" w:color="auto" w:fill="FFFFFF"/>
                  </w:rPr>
                </m:ctrlPr>
              </m:sSubPr>
              <m:e>
                <m:r>
                  <m:rPr>
                    <m:sty m:val="bi"/>
                  </m:rPr>
                  <w:rPr>
                    <w:rFonts w:ascii="Cambria Math" w:eastAsia="微软雅黑" w:hAnsi="Cambria Math" w:cs="Times New Roman"/>
                    <w:color w:val="000000" w:themeColor="text1"/>
                    <w:shd w:val="clear" w:color="auto" w:fill="FFFFFF"/>
                  </w:rPr>
                  <m:t>C</m:t>
                </m:r>
                <m:r>
                  <m:rPr>
                    <m:sty m:val="b"/>
                  </m:rPr>
                  <w:rPr>
                    <w:rFonts w:ascii="Cambria Math" w:eastAsia="微软雅黑" w:hAnsi="Cambria Math" w:cs="Times New Roman"/>
                    <w:color w:val="000000" w:themeColor="text1"/>
                    <w:shd w:val="clear" w:color="auto" w:fill="FFFFFF"/>
                  </w:rPr>
                  <m:t>ontrols</m:t>
                </m:r>
                <m:ctrlPr>
                  <w:rPr>
                    <w:rFonts w:ascii="Cambria Math" w:eastAsia="微软雅黑" w:hAnsi="Cambria Math" w:cs="Times New Roman"/>
                    <w:b/>
                    <w:bCs/>
                    <w:i/>
                    <w:iCs/>
                    <w:color w:val="000000" w:themeColor="text1"/>
                    <w:shd w:val="clear" w:color="auto" w:fill="FFFFFF"/>
                  </w:rPr>
                </m:ctrlPr>
              </m:e>
              <m:sub>
                <m:r>
                  <w:rPr>
                    <w:rFonts w:ascii="Cambria Math" w:eastAsia="微软雅黑" w:hAnsi="Cambria Math" w:cs="Times New Roman"/>
                    <w:color w:val="000000" w:themeColor="text1"/>
                    <w:shd w:val="clear" w:color="auto" w:fill="FFFFFF"/>
                  </w:rPr>
                  <m:t>i</m:t>
                </m:r>
                <m:r>
                  <m:rPr>
                    <m:sty m:val="p"/>
                  </m:rPr>
                  <w:rPr>
                    <w:rFonts w:ascii="Cambria Math" w:eastAsia="微软雅黑" w:hAnsi="Cambria Math" w:cs="Times New Roman"/>
                    <w:color w:val="000000" w:themeColor="text1"/>
                    <w:shd w:val="clear" w:color="auto" w:fill="FFFFFF"/>
                  </w:rPr>
                  <m:t>,t</m:t>
                </m:r>
              </m:sub>
            </m:sSub>
            <m:r>
              <m:rPr>
                <m:sty m:val="p"/>
              </m:rPr>
              <w:rPr>
                <w:rFonts w:ascii="Cambria Math" w:hAnsi="Cambria Math" w:cs="Times New Roman"/>
                <w:color w:val="000000" w:themeColor="text1"/>
              </w:rPr>
              <m:t>+τ</m:t>
            </m:r>
          </m:e>
          <m:sub>
            <m:r>
              <w:rPr>
                <w:rFonts w:ascii="Cambria Math" w:hAnsi="Cambria Math" w:cs="Times New Roman"/>
                <w:color w:val="000000" w:themeColor="text1"/>
              </w:rPr>
              <m:t>4</m:t>
            </m:r>
          </m:sub>
        </m:sSub>
        <m:r>
          <w:rPr>
            <w:rFonts w:ascii="Cambria Math" w:hAnsi="Cambria Math" w:cs="Times New Roman"/>
            <w:color w:val="000000" w:themeColor="text1"/>
            <w:sz w:val="18"/>
            <w:szCs w:val="18"/>
          </w:rPr>
          <m:t>Yea</m:t>
        </m:r>
        <m:sSub>
          <m:sSubPr>
            <m:ctrlPr>
              <w:rPr>
                <w:rFonts w:ascii="Cambria Math" w:hAnsi="Cambria Math" w:cs="Times New Roman"/>
                <w:i/>
                <w:color w:val="000000" w:themeColor="text1"/>
                <w:sz w:val="18"/>
                <w:szCs w:val="18"/>
              </w:rPr>
            </m:ctrlPr>
          </m:sSubPr>
          <m:e>
            <m:r>
              <w:rPr>
                <w:rFonts w:ascii="Cambria Math" w:hAnsi="Cambria Math" w:cs="Times New Roman"/>
                <w:color w:val="000000" w:themeColor="text1"/>
                <w:sz w:val="18"/>
                <w:szCs w:val="18"/>
              </w:rPr>
              <m:t>r</m:t>
            </m:r>
          </m:e>
          <m:sub>
            <m:r>
              <w:rPr>
                <w:rFonts w:ascii="Cambria Math" w:hAnsi="Cambria Math" w:cs="Times New Roman"/>
                <w:color w:val="000000" w:themeColor="text1"/>
                <w:sz w:val="18"/>
                <w:szCs w:val="18"/>
              </w:rPr>
              <m:t>i,t+1</m:t>
            </m:r>
          </m:sub>
        </m:sSub>
        <m:sSub>
          <m:sSubPr>
            <m:ctrlPr>
              <w:rPr>
                <w:rFonts w:ascii="Cambria Math" w:hAnsi="Cambria Math" w:cs="Times New Roman"/>
                <w:i/>
                <w:color w:val="000000" w:themeColor="text1"/>
                <w:sz w:val="18"/>
                <w:szCs w:val="18"/>
              </w:rPr>
            </m:ctrlPr>
          </m:sSubPr>
          <m:e>
            <m:r>
              <m:rPr>
                <m:sty m:val="p"/>
              </m:rPr>
              <w:rPr>
                <w:rFonts w:ascii="Cambria Math" w:hAnsi="Cambria Math" w:cs="Times New Roman"/>
                <w:color w:val="000000" w:themeColor="text1"/>
                <w:sz w:val="18"/>
                <w:szCs w:val="18"/>
              </w:rPr>
              <m:t>+</m:t>
            </m:r>
            <m:sSub>
              <m:sSubPr>
                <m:ctrlPr>
                  <w:rPr>
                    <w:rFonts w:ascii="Cambria Math" w:hAnsi="Cambria Math" w:cs="Times New Roman"/>
                    <w:i/>
                    <w:color w:val="000000" w:themeColor="text1"/>
                  </w:rPr>
                </m:ctrlPr>
              </m:sSubPr>
              <m:e>
                <m:r>
                  <m:rPr>
                    <m:sty m:val="p"/>
                  </m:rPr>
                  <w:rPr>
                    <w:rFonts w:ascii="Cambria Math" w:hAnsi="Cambria Math" w:cs="Times New Roman"/>
                    <w:color w:val="000000" w:themeColor="text1"/>
                  </w:rPr>
                  <m:t>τ</m:t>
                </m:r>
              </m:e>
              <m:sub>
                <m:r>
                  <w:rPr>
                    <w:rFonts w:ascii="Cambria Math" w:hAnsi="Cambria Math" w:cs="Times New Roman"/>
                    <w:color w:val="000000" w:themeColor="text1"/>
                  </w:rPr>
                  <m:t>5</m:t>
                </m:r>
              </m:sub>
            </m:sSub>
            <m:sSub>
              <m:sSubPr>
                <m:ctrlPr>
                  <w:rPr>
                    <w:rFonts w:ascii="Cambria Math" w:hAnsi="Cambria Math" w:cs="Times New Roman"/>
                    <w:i/>
                    <w:color w:val="000000" w:themeColor="text1"/>
                    <w:sz w:val="18"/>
                    <w:szCs w:val="18"/>
                  </w:rPr>
                </m:ctrlPr>
              </m:sSubPr>
              <m:e>
                <m:r>
                  <w:rPr>
                    <w:rFonts w:ascii="Cambria Math" w:hAnsi="Cambria Math" w:cs="Times New Roman"/>
                    <w:color w:val="000000" w:themeColor="text1"/>
                    <w:sz w:val="18"/>
                    <w:szCs w:val="18"/>
                  </w:rPr>
                  <m:t>Frim</m:t>
                </m:r>
              </m:e>
              <m:sub>
                <m:r>
                  <w:rPr>
                    <w:rFonts w:ascii="Cambria Math" w:hAnsi="Cambria Math" w:cs="Times New Roman"/>
                    <w:color w:val="000000" w:themeColor="text1"/>
                    <w:sz w:val="18"/>
                    <w:szCs w:val="18"/>
                  </w:rPr>
                  <m:t>i</m:t>
                </m:r>
              </m:sub>
            </m:sSub>
            <m:r>
              <m:rPr>
                <m:sty m:val="p"/>
              </m:rPr>
              <w:rPr>
                <w:rFonts w:ascii="Cambria Math" w:hAnsi="Cambria Math" w:cs="Times New Roman"/>
                <w:color w:val="000000" w:themeColor="text1"/>
                <w:sz w:val="18"/>
                <w:szCs w:val="18"/>
              </w:rPr>
              <m:t>+ϵ</m:t>
            </m:r>
          </m:e>
          <m:sub>
            <m:r>
              <w:rPr>
                <w:rFonts w:ascii="Cambria Math" w:hAnsi="Cambria Math" w:cs="Times New Roman"/>
                <w:color w:val="000000" w:themeColor="text1"/>
                <w:sz w:val="18"/>
                <w:szCs w:val="18"/>
              </w:rPr>
              <m:t>i,t</m:t>
            </m:r>
          </m:sub>
        </m:sSub>
      </m:oMath>
      <w:r w:rsidR="00324DD4" w:rsidRPr="00FE771B">
        <w:rPr>
          <w:rFonts w:ascii="Times New Roman" w:hAnsi="Times New Roman" w:cs="Times New Roman"/>
          <w:color w:val="000000" w:themeColor="text1"/>
        </w:rPr>
        <w:t xml:space="preserve">    </w:t>
      </w:r>
      <w:r w:rsidR="006E0BA9" w:rsidRPr="00FE771B">
        <w:rPr>
          <w:rFonts w:ascii="Times New Roman" w:hAnsi="Times New Roman" w:cs="Times New Roman"/>
          <w:color w:val="000000" w:themeColor="text1"/>
        </w:rPr>
        <w:t>（</w:t>
      </w:r>
      <w:r w:rsidR="006E0BA9" w:rsidRPr="00FE771B">
        <w:rPr>
          <w:rFonts w:ascii="Times New Roman" w:hAnsi="Times New Roman" w:cs="Times New Roman"/>
          <w:color w:val="000000" w:themeColor="text1"/>
        </w:rPr>
        <w:t>6</w:t>
      </w:r>
      <w:r w:rsidR="006E0BA9" w:rsidRPr="00FE771B">
        <w:rPr>
          <w:rFonts w:ascii="Times New Roman" w:hAnsi="Times New Roman" w:cs="Times New Roman"/>
          <w:color w:val="000000" w:themeColor="text1"/>
        </w:rPr>
        <w:t>）</w:t>
      </w:r>
    </w:p>
    <w:p w:rsidR="00324DD4" w:rsidRPr="00FE771B" w:rsidRDefault="00324DD4" w:rsidP="00324DD4">
      <w:pPr>
        <w:ind w:firstLine="420"/>
        <w:jc w:val="center"/>
        <w:rPr>
          <w:rFonts w:ascii="Times New Roman" w:hAnsi="Times New Roman" w:cs="Times New Roman"/>
          <w:color w:val="000000" w:themeColor="text1"/>
        </w:rPr>
      </w:pPr>
    </w:p>
    <w:p w:rsidR="003A7C47" w:rsidRPr="00FE771B" w:rsidRDefault="00324DD4" w:rsidP="003A7C47">
      <w:pPr>
        <w:ind w:firstLineChars="200" w:firstLine="420"/>
        <w:rPr>
          <w:rFonts w:ascii="Times New Roman" w:hAnsi="Times New Roman" w:cs="Times New Roman"/>
          <w:color w:val="000000" w:themeColor="text1"/>
        </w:rPr>
      </w:pPr>
      <w:r w:rsidRPr="00FE771B">
        <w:rPr>
          <w:rFonts w:ascii="Times New Roman" w:hAnsi="Times New Roman" w:cs="Times New Roman"/>
          <w:color w:val="000000" w:themeColor="text1"/>
          <w:szCs w:val="21"/>
        </w:rPr>
        <w:t>上面</w:t>
      </w:r>
      <w:r w:rsidR="00363F6D" w:rsidRPr="00FE771B">
        <w:rPr>
          <w:rFonts w:ascii="Times New Roman" w:hAnsi="Times New Roman" w:cs="Times New Roman"/>
          <w:color w:val="000000" w:themeColor="text1"/>
          <w:szCs w:val="21"/>
        </w:rPr>
        <w:t>（</w:t>
      </w:r>
      <w:r w:rsidR="00363F6D" w:rsidRPr="00FE771B">
        <w:rPr>
          <w:rFonts w:ascii="Times New Roman" w:hAnsi="Times New Roman" w:cs="Times New Roman"/>
          <w:color w:val="000000" w:themeColor="text1"/>
          <w:szCs w:val="21"/>
        </w:rPr>
        <w:t>3</w:t>
      </w:r>
      <w:r w:rsidR="00363F6D" w:rsidRPr="00FE771B">
        <w:rPr>
          <w:rFonts w:ascii="Times New Roman" w:hAnsi="Times New Roman" w:cs="Times New Roman"/>
          <w:color w:val="000000" w:themeColor="text1"/>
          <w:szCs w:val="21"/>
        </w:rPr>
        <w:t>）</w:t>
      </w:r>
      <w:r w:rsidR="00363F6D" w:rsidRPr="00FE771B">
        <w:rPr>
          <w:rFonts w:ascii="Times New Roman" w:hAnsi="Times New Roman" w:cs="Times New Roman"/>
          <w:color w:val="000000" w:themeColor="text1"/>
          <w:szCs w:val="21"/>
        </w:rPr>
        <w:t>-</w:t>
      </w:r>
      <w:r w:rsidR="00363F6D" w:rsidRPr="00FE771B">
        <w:rPr>
          <w:rFonts w:ascii="Times New Roman" w:hAnsi="Times New Roman" w:cs="Times New Roman"/>
          <w:color w:val="000000" w:themeColor="text1"/>
          <w:szCs w:val="21"/>
        </w:rPr>
        <w:t>（</w:t>
      </w:r>
      <w:r w:rsidR="00363F6D" w:rsidRPr="00FE771B">
        <w:rPr>
          <w:rFonts w:ascii="Times New Roman" w:hAnsi="Times New Roman" w:cs="Times New Roman"/>
          <w:color w:val="000000" w:themeColor="text1"/>
          <w:szCs w:val="21"/>
        </w:rPr>
        <w:t>6</w:t>
      </w:r>
      <w:r w:rsidR="00363F6D" w:rsidRPr="00FE771B">
        <w:rPr>
          <w:rFonts w:ascii="Times New Roman" w:hAnsi="Times New Roman" w:cs="Times New Roman"/>
          <w:color w:val="000000" w:themeColor="text1"/>
          <w:szCs w:val="21"/>
        </w:rPr>
        <w:t>）式</w:t>
      </w:r>
      <w:r w:rsidRPr="00FE771B">
        <w:rPr>
          <w:rFonts w:ascii="Times New Roman" w:hAnsi="Times New Roman" w:cs="Times New Roman"/>
          <w:color w:val="000000" w:themeColor="text1"/>
          <w:szCs w:val="21"/>
        </w:rPr>
        <w:t>中，</w:t>
      </w:r>
      <w:r w:rsidRPr="00FE771B">
        <w:rPr>
          <w:rFonts w:ascii="Times New Roman" w:hAnsi="Times New Roman" w:cs="Times New Roman"/>
          <w:color w:val="000000" w:themeColor="text1"/>
          <w:szCs w:val="21"/>
        </w:rPr>
        <w:t>DA</w:t>
      </w:r>
      <w:r w:rsidRPr="00FE771B">
        <w:rPr>
          <w:rFonts w:ascii="Times New Roman" w:hAnsi="Times New Roman" w:cs="Times New Roman"/>
          <w:color w:val="000000" w:themeColor="text1"/>
          <w:szCs w:val="21"/>
        </w:rPr>
        <w:t>为盈余管理变量，</w:t>
      </w:r>
      <w:r w:rsidRPr="00FE771B">
        <w:rPr>
          <w:rFonts w:ascii="Times New Roman" w:hAnsi="Times New Roman" w:cs="Times New Roman"/>
          <w:color w:val="000000" w:themeColor="text1"/>
        </w:rPr>
        <w:t>我们采用两种方法来计算盈余管理指标，一是根据修正</w:t>
      </w:r>
      <w:r w:rsidR="00293262" w:rsidRPr="00FE771B">
        <w:rPr>
          <w:rFonts w:ascii="Times New Roman" w:hAnsi="Times New Roman" w:cs="Times New Roman"/>
          <w:color w:val="000000" w:themeColor="text1"/>
        </w:rPr>
        <w:t>琼斯</w:t>
      </w:r>
      <w:r w:rsidRPr="00FE771B">
        <w:rPr>
          <w:rFonts w:ascii="Times New Roman" w:hAnsi="Times New Roman" w:cs="Times New Roman"/>
          <w:color w:val="000000" w:themeColor="text1"/>
        </w:rPr>
        <w:t>模型计算而得（</w:t>
      </w:r>
      <w:r w:rsidRPr="00FE771B">
        <w:rPr>
          <w:rFonts w:ascii="Times New Roman" w:hAnsi="Times New Roman" w:cs="Times New Roman"/>
          <w:color w:val="000000" w:themeColor="text1"/>
        </w:rPr>
        <w:t>DA</w:t>
      </w:r>
      <w:r w:rsidRPr="00FE771B">
        <w:rPr>
          <w:rFonts w:ascii="Times New Roman" w:hAnsi="Times New Roman" w:cs="Times New Roman"/>
          <w:color w:val="000000" w:themeColor="text1"/>
        </w:rPr>
        <w:t>），二是主要参考</w:t>
      </w:r>
      <w:r w:rsidRPr="00FE771B">
        <w:rPr>
          <w:rFonts w:ascii="Times New Roman" w:hAnsi="Times New Roman" w:cs="Times New Roman"/>
          <w:color w:val="000000" w:themeColor="text1"/>
        </w:rPr>
        <w:t xml:space="preserve"> </w:t>
      </w:r>
      <w:proofErr w:type="spellStart"/>
      <w:r w:rsidRPr="00FE771B">
        <w:rPr>
          <w:rFonts w:ascii="Times New Roman" w:hAnsi="Times New Roman" w:cs="Times New Roman"/>
          <w:color w:val="000000" w:themeColor="text1"/>
        </w:rPr>
        <w:t>Dechow</w:t>
      </w:r>
      <w:proofErr w:type="spellEnd"/>
      <w:r w:rsidR="00293262" w:rsidRPr="00FE771B">
        <w:rPr>
          <w:rFonts w:ascii="Times New Roman" w:hAnsi="Times New Roman" w:cs="Times New Roman"/>
          <w:color w:val="000000" w:themeColor="text1"/>
        </w:rPr>
        <w:t xml:space="preserve"> et al</w:t>
      </w:r>
      <w:r w:rsidRPr="00FE771B">
        <w:rPr>
          <w:rFonts w:ascii="Times New Roman" w:hAnsi="Times New Roman" w:cs="Times New Roman"/>
          <w:color w:val="000000" w:themeColor="text1"/>
        </w:rPr>
        <w:t>(199</w:t>
      </w:r>
      <w:r w:rsidR="003A7C47" w:rsidRPr="00FE771B">
        <w:rPr>
          <w:rFonts w:ascii="Times New Roman" w:hAnsi="Times New Roman" w:cs="Times New Roman"/>
          <w:color w:val="000000" w:themeColor="text1"/>
        </w:rPr>
        <w:t>5</w:t>
      </w:r>
      <w:r w:rsidRPr="00FE771B">
        <w:rPr>
          <w:rFonts w:ascii="Times New Roman" w:hAnsi="Times New Roman" w:cs="Times New Roman"/>
          <w:color w:val="000000" w:themeColor="text1"/>
        </w:rPr>
        <w:t>)</w:t>
      </w:r>
      <w:r w:rsidRPr="00FE771B">
        <w:rPr>
          <w:rFonts w:ascii="Times New Roman" w:hAnsi="Times New Roman" w:cs="Times New Roman"/>
          <w:color w:val="000000" w:themeColor="text1"/>
        </w:rPr>
        <w:t>，</w:t>
      </w:r>
      <w:proofErr w:type="spellStart"/>
      <w:r w:rsidR="00293262" w:rsidRPr="00FE771B">
        <w:rPr>
          <w:rFonts w:ascii="Times New Roman" w:hAnsi="Times New Roman" w:cs="Times New Roman"/>
          <w:color w:val="000000" w:themeColor="text1"/>
        </w:rPr>
        <w:t>Roychowdhury</w:t>
      </w:r>
      <w:proofErr w:type="spellEnd"/>
      <w:r w:rsidR="00293262" w:rsidRPr="00FE771B">
        <w:rPr>
          <w:rFonts w:ascii="Times New Roman" w:hAnsi="Times New Roman" w:cs="Times New Roman"/>
          <w:color w:val="000000" w:themeColor="text1"/>
        </w:rPr>
        <w:t xml:space="preserve"> </w:t>
      </w:r>
      <w:r w:rsidRPr="00FE771B">
        <w:rPr>
          <w:rFonts w:ascii="Times New Roman" w:hAnsi="Times New Roman" w:cs="Times New Roman"/>
          <w:color w:val="000000" w:themeColor="text1"/>
        </w:rPr>
        <w:t>(2006)</w:t>
      </w:r>
      <w:r w:rsidRPr="00FE771B">
        <w:rPr>
          <w:rFonts w:ascii="Times New Roman" w:hAnsi="Times New Roman" w:cs="Times New Roman"/>
          <w:color w:val="000000" w:themeColor="text1"/>
        </w:rPr>
        <w:t>模型来测量上市公司的真实盈余管理水平（</w:t>
      </w:r>
      <w:r w:rsidRPr="00FE771B">
        <w:rPr>
          <w:rFonts w:ascii="Times New Roman" w:hAnsi="Times New Roman" w:cs="Times New Roman"/>
          <w:color w:val="000000" w:themeColor="text1"/>
        </w:rPr>
        <w:t>Rem</w:t>
      </w:r>
      <w:r w:rsidRPr="00FE771B">
        <w:rPr>
          <w:rFonts w:ascii="Times New Roman" w:hAnsi="Times New Roman" w:cs="Times New Roman"/>
          <w:color w:val="000000" w:themeColor="text1"/>
        </w:rPr>
        <w:t>）。</w:t>
      </w:r>
      <w:r w:rsidR="00363F6D" w:rsidRPr="00FE771B">
        <w:rPr>
          <w:rFonts w:ascii="Times New Roman" w:hAnsi="Times New Roman" w:cs="Times New Roman"/>
          <w:color w:val="000000" w:themeColor="text1"/>
        </w:rPr>
        <w:t>我们主要关注（</w:t>
      </w:r>
      <w:r w:rsidR="00363F6D" w:rsidRPr="00FE771B">
        <w:rPr>
          <w:rFonts w:ascii="Times New Roman" w:hAnsi="Times New Roman" w:cs="Times New Roman"/>
          <w:color w:val="000000" w:themeColor="text1"/>
        </w:rPr>
        <w:t>4</w:t>
      </w:r>
      <w:r w:rsidR="00363F6D" w:rsidRPr="00FE771B">
        <w:rPr>
          <w:rFonts w:ascii="Times New Roman" w:hAnsi="Times New Roman" w:cs="Times New Roman"/>
          <w:color w:val="000000" w:themeColor="text1"/>
        </w:rPr>
        <w:t>）（</w:t>
      </w:r>
      <w:r w:rsidR="00363F6D" w:rsidRPr="00FE771B">
        <w:rPr>
          <w:rFonts w:ascii="Times New Roman" w:hAnsi="Times New Roman" w:cs="Times New Roman"/>
          <w:color w:val="000000" w:themeColor="text1"/>
        </w:rPr>
        <w:t>6</w:t>
      </w:r>
      <w:r w:rsidR="00363F6D" w:rsidRPr="00FE771B">
        <w:rPr>
          <w:rFonts w:ascii="Times New Roman" w:hAnsi="Times New Roman" w:cs="Times New Roman"/>
          <w:color w:val="000000" w:themeColor="text1"/>
        </w:rPr>
        <w:t>）式中业绩承诺变量和盈余管理变量显著性，以（</w:t>
      </w:r>
      <w:r w:rsidR="00363F6D" w:rsidRPr="00FE771B">
        <w:rPr>
          <w:rFonts w:ascii="Times New Roman" w:hAnsi="Times New Roman" w:cs="Times New Roman"/>
          <w:color w:val="000000" w:themeColor="text1"/>
        </w:rPr>
        <w:t>4</w:t>
      </w:r>
      <w:r w:rsidR="00363F6D" w:rsidRPr="00FE771B">
        <w:rPr>
          <w:rFonts w:ascii="Times New Roman" w:hAnsi="Times New Roman" w:cs="Times New Roman"/>
          <w:color w:val="000000" w:themeColor="text1"/>
        </w:rPr>
        <w:t>）为例，</w:t>
      </w:r>
      <w:r w:rsidR="00490AE4" w:rsidRPr="00FE771B">
        <w:rPr>
          <w:rFonts w:ascii="Times New Roman" w:hAnsi="Times New Roman" w:cs="Times New Roman"/>
          <w:color w:val="000000" w:themeColor="text1"/>
        </w:rPr>
        <w:t>在（</w:t>
      </w:r>
      <w:r w:rsidR="00490AE4" w:rsidRPr="00FE771B">
        <w:rPr>
          <w:rFonts w:ascii="Times New Roman" w:hAnsi="Times New Roman" w:cs="Times New Roman"/>
          <w:color w:val="000000" w:themeColor="text1"/>
        </w:rPr>
        <w:t>3</w:t>
      </w:r>
      <w:r w:rsidR="00490AE4" w:rsidRPr="00FE771B">
        <w:rPr>
          <w:rFonts w:ascii="Times New Roman" w:hAnsi="Times New Roman" w:cs="Times New Roman"/>
          <w:color w:val="000000" w:themeColor="text1"/>
        </w:rPr>
        <w:t>）中</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γ</m:t>
            </m:r>
          </m:e>
          <m:sub>
            <m:r>
              <w:rPr>
                <w:rFonts w:ascii="Cambria Math" w:hAnsi="Cambria Math" w:cs="Times New Roman"/>
                <w:color w:val="000000" w:themeColor="text1"/>
              </w:rPr>
              <m:t>1</m:t>
            </m:r>
          </m:sub>
        </m:sSub>
      </m:oMath>
      <w:r w:rsidR="00490AE4" w:rsidRPr="00FE771B">
        <w:rPr>
          <w:rFonts w:ascii="Times New Roman" w:hAnsi="Times New Roman" w:cs="Times New Roman"/>
          <w:color w:val="000000" w:themeColor="text1"/>
        </w:rPr>
        <w:t>显著的基础上，</w:t>
      </w:r>
      <w:r w:rsidR="00363F6D" w:rsidRPr="00FE771B">
        <w:rPr>
          <w:rFonts w:ascii="Times New Roman" w:hAnsi="Times New Roman" w:cs="Times New Roman"/>
          <w:color w:val="000000" w:themeColor="text1"/>
        </w:rPr>
        <w:t>若</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δ</m:t>
            </m:r>
          </m:e>
          <m:sub>
            <m:r>
              <w:rPr>
                <w:rFonts w:ascii="Cambria Math" w:hAnsi="Cambria Math" w:cs="Times New Roman"/>
                <w:color w:val="000000" w:themeColor="text1"/>
              </w:rPr>
              <m:t>1</m:t>
            </m:r>
          </m:sub>
        </m:sSub>
      </m:oMath>
      <w:r w:rsidR="00490AE4" w:rsidRPr="00FE771B">
        <w:rPr>
          <w:rFonts w:ascii="Times New Roman" w:hAnsi="Times New Roman" w:cs="Times New Roman"/>
          <w:color w:val="000000" w:themeColor="text1"/>
        </w:rPr>
        <w:t>和</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δ</m:t>
            </m:r>
          </m:e>
          <m:sub>
            <m:r>
              <w:rPr>
                <w:rFonts w:ascii="Cambria Math" w:hAnsi="Cambria Math" w:cs="Times New Roman"/>
                <w:color w:val="000000" w:themeColor="text1"/>
              </w:rPr>
              <m:t>2</m:t>
            </m:r>
          </m:sub>
        </m:sSub>
      </m:oMath>
      <w:r w:rsidR="00490AE4" w:rsidRPr="00FE771B">
        <w:rPr>
          <w:rFonts w:ascii="Times New Roman" w:hAnsi="Times New Roman" w:cs="Times New Roman"/>
          <w:color w:val="000000" w:themeColor="text1"/>
        </w:rPr>
        <w:t>同时显著，说明盈余管理仅是业绩承诺影响金融化的部分中介效应，若</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δ</m:t>
            </m:r>
          </m:e>
          <m:sub>
            <m:r>
              <w:rPr>
                <w:rFonts w:ascii="Cambria Math" w:hAnsi="Cambria Math" w:cs="Times New Roman"/>
                <w:color w:val="000000" w:themeColor="text1"/>
              </w:rPr>
              <m:t>1</m:t>
            </m:r>
          </m:sub>
        </m:sSub>
      </m:oMath>
      <w:r w:rsidR="00490AE4" w:rsidRPr="00FE771B">
        <w:rPr>
          <w:rFonts w:ascii="Times New Roman" w:hAnsi="Times New Roman" w:cs="Times New Roman"/>
          <w:color w:val="000000" w:themeColor="text1"/>
        </w:rPr>
        <w:t>不显著和</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δ</m:t>
            </m:r>
          </m:e>
          <m:sub>
            <m:r>
              <w:rPr>
                <w:rFonts w:ascii="Cambria Math" w:hAnsi="Cambria Math" w:cs="Times New Roman"/>
                <w:color w:val="000000" w:themeColor="text1"/>
              </w:rPr>
              <m:t>2</m:t>
            </m:r>
          </m:sub>
        </m:sSub>
      </m:oMath>
      <w:r w:rsidR="00490AE4" w:rsidRPr="00FE771B">
        <w:rPr>
          <w:rFonts w:ascii="Times New Roman" w:hAnsi="Times New Roman" w:cs="Times New Roman"/>
          <w:color w:val="000000" w:themeColor="text1"/>
        </w:rPr>
        <w:t>显著，则说明盈余管理是业绩承诺影响金融化的全部中介效应。</w:t>
      </w:r>
    </w:p>
    <w:p w:rsidR="00AF2641" w:rsidRPr="00FE771B" w:rsidRDefault="00BC6620" w:rsidP="001A1CEC">
      <w:pPr>
        <w:ind w:firstLineChars="200" w:firstLine="420"/>
        <w:rPr>
          <w:rFonts w:ascii="Times New Roman" w:hAnsi="Times New Roman" w:cs="Times New Roman"/>
          <w:color w:val="000000" w:themeColor="text1"/>
          <w:szCs w:val="21"/>
        </w:rPr>
      </w:pPr>
      <w:r w:rsidRPr="00FE771B">
        <w:rPr>
          <w:rFonts w:ascii="Times New Roman" w:hAnsi="Times New Roman" w:cs="Times New Roman"/>
          <w:color w:val="000000" w:themeColor="text1"/>
        </w:rPr>
        <w:t>表</w:t>
      </w:r>
      <w:r w:rsidRPr="00FE771B">
        <w:rPr>
          <w:rFonts w:ascii="Times New Roman" w:hAnsi="Times New Roman" w:cs="Times New Roman"/>
          <w:color w:val="000000" w:themeColor="text1"/>
        </w:rPr>
        <w:t>9</w:t>
      </w:r>
      <w:r w:rsidR="00A30A82" w:rsidRPr="00FE771B">
        <w:rPr>
          <w:rFonts w:ascii="Times New Roman" w:hAnsi="Times New Roman" w:cs="Times New Roman"/>
          <w:color w:val="000000" w:themeColor="text1"/>
        </w:rPr>
        <w:t>为盈余管理</w:t>
      </w:r>
      <w:r w:rsidR="00F65642" w:rsidRPr="00FE771B">
        <w:rPr>
          <w:rFonts w:ascii="Times New Roman" w:hAnsi="Times New Roman" w:cs="Times New Roman"/>
          <w:color w:val="000000" w:themeColor="text1"/>
        </w:rPr>
        <w:t>机制检验结果</w:t>
      </w:r>
      <w:r w:rsidR="00A30A82" w:rsidRPr="00FE771B">
        <w:rPr>
          <w:rFonts w:ascii="Times New Roman" w:hAnsi="Times New Roman" w:cs="Times New Roman"/>
          <w:color w:val="000000" w:themeColor="text1"/>
        </w:rPr>
        <w:t>。表</w:t>
      </w:r>
      <w:r w:rsidR="00A30A82" w:rsidRPr="00FE771B">
        <w:rPr>
          <w:rFonts w:ascii="Times New Roman" w:hAnsi="Times New Roman" w:cs="Times New Roman"/>
          <w:color w:val="000000" w:themeColor="text1"/>
        </w:rPr>
        <w:t>9</w:t>
      </w:r>
      <w:r w:rsidR="008159C7" w:rsidRPr="00FE771B">
        <w:rPr>
          <w:rFonts w:ascii="Times New Roman" w:hAnsi="Times New Roman" w:cs="Times New Roman"/>
          <w:color w:val="000000" w:themeColor="text1"/>
        </w:rPr>
        <w:t>中上半部分机制变量为</w:t>
      </w:r>
      <w:r w:rsidR="008159C7" w:rsidRPr="00FE771B">
        <w:rPr>
          <w:rFonts w:ascii="Times New Roman" w:hAnsi="Times New Roman" w:cs="Times New Roman"/>
          <w:color w:val="000000" w:themeColor="text1"/>
        </w:rPr>
        <w:t>DA</w:t>
      </w:r>
      <w:r w:rsidR="008159C7" w:rsidRPr="00FE771B">
        <w:rPr>
          <w:rFonts w:ascii="Times New Roman" w:hAnsi="Times New Roman" w:cs="Times New Roman"/>
          <w:color w:val="000000" w:themeColor="text1"/>
        </w:rPr>
        <w:t>、下半部分机制变量为</w:t>
      </w:r>
      <w:r w:rsidR="008159C7" w:rsidRPr="00FE771B">
        <w:rPr>
          <w:rFonts w:ascii="Times New Roman" w:hAnsi="Times New Roman" w:cs="Times New Roman"/>
          <w:color w:val="000000" w:themeColor="text1"/>
        </w:rPr>
        <w:t>Rem</w:t>
      </w:r>
      <w:r w:rsidR="008159C7" w:rsidRPr="00FE771B">
        <w:rPr>
          <w:rFonts w:ascii="Times New Roman" w:hAnsi="Times New Roman" w:cs="Times New Roman"/>
          <w:color w:val="000000" w:themeColor="text1"/>
        </w:rPr>
        <w:t>。从表</w:t>
      </w:r>
      <w:r w:rsidR="008159C7" w:rsidRPr="00FE771B">
        <w:rPr>
          <w:rFonts w:ascii="Times New Roman" w:hAnsi="Times New Roman" w:cs="Times New Roman"/>
          <w:color w:val="000000" w:themeColor="text1"/>
        </w:rPr>
        <w:t>9</w:t>
      </w:r>
      <w:r w:rsidR="008159C7" w:rsidRPr="00FE771B">
        <w:rPr>
          <w:rFonts w:ascii="Times New Roman" w:hAnsi="Times New Roman" w:cs="Times New Roman"/>
          <w:color w:val="000000" w:themeColor="text1"/>
        </w:rPr>
        <w:t>第（</w:t>
      </w:r>
      <w:r w:rsidR="008159C7" w:rsidRPr="00FE771B">
        <w:rPr>
          <w:rFonts w:ascii="Times New Roman" w:hAnsi="Times New Roman" w:cs="Times New Roman"/>
          <w:color w:val="000000" w:themeColor="text1"/>
        </w:rPr>
        <w:t>1</w:t>
      </w:r>
      <w:r w:rsidR="008159C7" w:rsidRPr="00FE771B">
        <w:rPr>
          <w:rFonts w:ascii="Times New Roman" w:hAnsi="Times New Roman" w:cs="Times New Roman"/>
          <w:color w:val="000000" w:themeColor="text1"/>
        </w:rPr>
        <w:t>）（</w:t>
      </w:r>
      <w:r w:rsidR="008159C7" w:rsidRPr="00FE771B">
        <w:rPr>
          <w:rFonts w:ascii="Times New Roman" w:hAnsi="Times New Roman" w:cs="Times New Roman"/>
          <w:color w:val="000000" w:themeColor="text1"/>
        </w:rPr>
        <w:t>3</w:t>
      </w:r>
      <w:r w:rsidR="008159C7" w:rsidRPr="00FE771B">
        <w:rPr>
          <w:rFonts w:ascii="Times New Roman" w:hAnsi="Times New Roman" w:cs="Times New Roman"/>
          <w:color w:val="000000" w:themeColor="text1"/>
        </w:rPr>
        <w:t>）列汇报结果可知，</w:t>
      </w:r>
      <w:r w:rsidR="00A30A82" w:rsidRPr="00FE771B">
        <w:rPr>
          <w:rFonts w:ascii="Times New Roman" w:hAnsi="Times New Roman" w:cs="Times New Roman"/>
          <w:color w:val="000000" w:themeColor="text1"/>
        </w:rPr>
        <w:t>业绩承诺</w:t>
      </w:r>
      <w:r w:rsidR="008159C7" w:rsidRPr="00FE771B">
        <w:rPr>
          <w:rFonts w:ascii="Times New Roman" w:hAnsi="Times New Roman" w:cs="Times New Roman"/>
          <w:color w:val="000000" w:themeColor="text1"/>
        </w:rPr>
        <w:t>对盈余管理变量</w:t>
      </w:r>
      <w:r w:rsidR="008159C7" w:rsidRPr="00FE771B">
        <w:rPr>
          <w:rFonts w:ascii="Times New Roman" w:hAnsi="Times New Roman" w:cs="Times New Roman"/>
          <w:color w:val="000000" w:themeColor="text1"/>
        </w:rPr>
        <w:t>DA</w:t>
      </w:r>
      <w:r w:rsidR="008159C7" w:rsidRPr="00FE771B">
        <w:rPr>
          <w:rFonts w:ascii="Times New Roman" w:hAnsi="Times New Roman" w:cs="Times New Roman"/>
          <w:color w:val="000000" w:themeColor="text1"/>
        </w:rPr>
        <w:t>和</w:t>
      </w:r>
      <w:r w:rsidR="008159C7" w:rsidRPr="00FE771B">
        <w:rPr>
          <w:rFonts w:ascii="Times New Roman" w:hAnsi="Times New Roman" w:cs="Times New Roman"/>
          <w:color w:val="000000" w:themeColor="text1"/>
        </w:rPr>
        <w:t>Rem</w:t>
      </w:r>
      <w:r w:rsidR="008159C7" w:rsidRPr="00FE771B">
        <w:rPr>
          <w:rFonts w:ascii="Times New Roman" w:hAnsi="Times New Roman" w:cs="Times New Roman"/>
          <w:color w:val="000000" w:themeColor="text1"/>
        </w:rPr>
        <w:t>的回归系数都显著为主，说明签订业绩承诺协议</w:t>
      </w:r>
      <w:r w:rsidR="00A30A82" w:rsidRPr="00FE771B">
        <w:rPr>
          <w:rFonts w:ascii="Times New Roman" w:hAnsi="Times New Roman" w:cs="Times New Roman"/>
          <w:color w:val="000000" w:themeColor="text1"/>
        </w:rPr>
        <w:t>会显著加剧上市公司盈余管理行为。</w:t>
      </w:r>
      <w:r w:rsidR="008159C7" w:rsidRPr="00FE771B">
        <w:rPr>
          <w:rFonts w:ascii="Times New Roman" w:hAnsi="Times New Roman" w:cs="Times New Roman"/>
          <w:color w:val="000000" w:themeColor="text1"/>
        </w:rPr>
        <w:t>表</w:t>
      </w:r>
      <w:r w:rsidR="008159C7" w:rsidRPr="00FE771B">
        <w:rPr>
          <w:rFonts w:ascii="Times New Roman" w:hAnsi="Times New Roman" w:cs="Times New Roman"/>
          <w:color w:val="000000" w:themeColor="text1"/>
        </w:rPr>
        <w:t>9</w:t>
      </w:r>
      <w:r w:rsidR="00A30A82" w:rsidRPr="00FE771B">
        <w:rPr>
          <w:rFonts w:ascii="Times New Roman" w:hAnsi="Times New Roman" w:cs="Times New Roman"/>
          <w:color w:val="000000" w:themeColor="text1"/>
        </w:rPr>
        <w:t>第（</w:t>
      </w:r>
      <w:r w:rsidR="00A30A82" w:rsidRPr="00FE771B">
        <w:rPr>
          <w:rFonts w:ascii="Times New Roman" w:hAnsi="Times New Roman" w:cs="Times New Roman"/>
          <w:color w:val="000000" w:themeColor="text1"/>
        </w:rPr>
        <w:t>2</w:t>
      </w:r>
      <w:r w:rsidR="00A30A82" w:rsidRPr="00FE771B">
        <w:rPr>
          <w:rFonts w:ascii="Times New Roman" w:hAnsi="Times New Roman" w:cs="Times New Roman"/>
          <w:color w:val="000000" w:themeColor="text1"/>
        </w:rPr>
        <w:t>）（</w:t>
      </w:r>
      <w:r w:rsidR="00A30A82" w:rsidRPr="00FE771B">
        <w:rPr>
          <w:rFonts w:ascii="Times New Roman" w:hAnsi="Times New Roman" w:cs="Times New Roman"/>
          <w:color w:val="000000" w:themeColor="text1"/>
        </w:rPr>
        <w:t>4</w:t>
      </w:r>
      <w:r w:rsidR="00A30A82" w:rsidRPr="00FE771B">
        <w:rPr>
          <w:rFonts w:ascii="Times New Roman" w:hAnsi="Times New Roman" w:cs="Times New Roman"/>
          <w:color w:val="000000" w:themeColor="text1"/>
        </w:rPr>
        <w:t>）列</w:t>
      </w:r>
      <w:r w:rsidR="008159C7" w:rsidRPr="00FE771B">
        <w:rPr>
          <w:rFonts w:ascii="Times New Roman" w:hAnsi="Times New Roman" w:cs="Times New Roman"/>
          <w:color w:val="000000" w:themeColor="text1"/>
        </w:rPr>
        <w:t>同时</w:t>
      </w:r>
      <w:r w:rsidR="00A30A82" w:rsidRPr="00FE771B">
        <w:rPr>
          <w:rFonts w:ascii="Times New Roman" w:hAnsi="Times New Roman" w:cs="Times New Roman"/>
          <w:color w:val="000000" w:themeColor="text1"/>
        </w:rPr>
        <w:t>将盈余管理、业绩承诺对金融化进行回归，</w:t>
      </w:r>
      <w:r w:rsidR="00EC6895" w:rsidRPr="00FE771B">
        <w:rPr>
          <w:rFonts w:ascii="Times New Roman" w:hAnsi="Times New Roman" w:cs="Times New Roman"/>
          <w:color w:val="000000" w:themeColor="text1"/>
        </w:rPr>
        <w:t>从</w:t>
      </w:r>
      <w:r w:rsidR="008159C7" w:rsidRPr="00FE771B">
        <w:rPr>
          <w:rFonts w:ascii="Times New Roman" w:hAnsi="Times New Roman" w:cs="Times New Roman"/>
          <w:color w:val="000000" w:themeColor="text1"/>
        </w:rPr>
        <w:t>结果</w:t>
      </w:r>
      <w:r w:rsidR="00EC6895" w:rsidRPr="00FE771B">
        <w:rPr>
          <w:rFonts w:ascii="Times New Roman" w:hAnsi="Times New Roman" w:cs="Times New Roman"/>
          <w:color w:val="000000" w:themeColor="text1"/>
        </w:rPr>
        <w:t>看，业绩承诺变量系数不再显著，</w:t>
      </w:r>
      <w:r w:rsidR="008159C7" w:rsidRPr="00FE771B">
        <w:rPr>
          <w:rFonts w:ascii="Times New Roman" w:hAnsi="Times New Roman" w:cs="Times New Roman"/>
          <w:color w:val="000000" w:themeColor="text1"/>
        </w:rPr>
        <w:t>但</w:t>
      </w:r>
      <w:r w:rsidR="00EC6895" w:rsidRPr="00FE771B">
        <w:rPr>
          <w:rFonts w:ascii="Times New Roman" w:hAnsi="Times New Roman" w:cs="Times New Roman"/>
          <w:color w:val="000000" w:themeColor="text1"/>
        </w:rPr>
        <w:t>盈余管理系数显著为正，这说明盈余管理具有完全中介效应，</w:t>
      </w:r>
      <w:r w:rsidR="003A7C47" w:rsidRPr="00FE771B">
        <w:rPr>
          <w:rFonts w:ascii="Times New Roman" w:hAnsi="Times New Roman" w:cs="Times New Roman"/>
          <w:color w:val="000000" w:themeColor="text1"/>
        </w:rPr>
        <w:t>签订</w:t>
      </w:r>
      <w:r w:rsidR="00EC6895" w:rsidRPr="00FE771B">
        <w:rPr>
          <w:rFonts w:ascii="Times New Roman" w:hAnsi="Times New Roman" w:cs="Times New Roman"/>
          <w:color w:val="000000" w:themeColor="text1"/>
        </w:rPr>
        <w:t>业绩承诺</w:t>
      </w:r>
      <w:r w:rsidR="003A7C47" w:rsidRPr="00FE771B">
        <w:rPr>
          <w:rFonts w:ascii="Times New Roman" w:hAnsi="Times New Roman" w:cs="Times New Roman"/>
          <w:color w:val="000000" w:themeColor="text1"/>
        </w:rPr>
        <w:t>诱</w:t>
      </w:r>
      <w:r w:rsidR="00EC6895" w:rsidRPr="00FE771B">
        <w:rPr>
          <w:rFonts w:ascii="Times New Roman" w:hAnsi="Times New Roman" w:cs="Times New Roman"/>
          <w:color w:val="000000" w:themeColor="text1"/>
        </w:rPr>
        <w:t>使盈余管理</w:t>
      </w:r>
      <w:r w:rsidR="003A7C47" w:rsidRPr="00FE771B">
        <w:rPr>
          <w:rFonts w:ascii="Times New Roman" w:hAnsi="Times New Roman" w:cs="Times New Roman"/>
          <w:color w:val="000000" w:themeColor="text1"/>
        </w:rPr>
        <w:t>等机会主义行为，</w:t>
      </w:r>
      <w:r w:rsidR="00EC6895" w:rsidRPr="00FE771B">
        <w:rPr>
          <w:rFonts w:ascii="Times New Roman" w:hAnsi="Times New Roman" w:cs="Times New Roman"/>
          <w:color w:val="000000" w:themeColor="text1"/>
        </w:rPr>
        <w:t>从而导致上市金融化和</w:t>
      </w:r>
      <w:r w:rsidR="00EC6895" w:rsidRPr="00FE771B">
        <w:rPr>
          <w:rFonts w:ascii="Times New Roman" w:hAnsi="Times New Roman" w:cs="Times New Roman"/>
          <w:color w:val="000000" w:themeColor="text1"/>
        </w:rPr>
        <w:t>“</w:t>
      </w:r>
      <w:r w:rsidR="00EC6895" w:rsidRPr="00FE771B">
        <w:rPr>
          <w:rFonts w:ascii="Times New Roman" w:hAnsi="Times New Roman" w:cs="Times New Roman"/>
          <w:color w:val="000000" w:themeColor="text1"/>
        </w:rPr>
        <w:t>脱实向虚</w:t>
      </w:r>
      <w:r w:rsidR="00EC6895" w:rsidRPr="00FE771B">
        <w:rPr>
          <w:rFonts w:ascii="Times New Roman" w:hAnsi="Times New Roman" w:cs="Times New Roman"/>
          <w:color w:val="000000" w:themeColor="text1"/>
        </w:rPr>
        <w:t>”</w:t>
      </w:r>
      <w:r w:rsidR="00EC6895" w:rsidRPr="00FE771B">
        <w:rPr>
          <w:rFonts w:ascii="Times New Roman" w:hAnsi="Times New Roman" w:cs="Times New Roman"/>
          <w:color w:val="000000" w:themeColor="text1"/>
        </w:rPr>
        <w:t>的完整路径得到验证，因此这也就说明假说</w:t>
      </w:r>
      <w:r w:rsidR="003A7C47" w:rsidRPr="00FE771B">
        <w:rPr>
          <w:rFonts w:ascii="Times New Roman" w:hAnsi="Times New Roman" w:cs="Times New Roman"/>
          <w:color w:val="000000" w:themeColor="text1"/>
        </w:rPr>
        <w:t>2</w:t>
      </w:r>
      <w:r w:rsidR="00EC6895" w:rsidRPr="00FE771B">
        <w:rPr>
          <w:rFonts w:ascii="Times New Roman" w:hAnsi="Times New Roman" w:cs="Times New Roman"/>
          <w:color w:val="000000" w:themeColor="text1"/>
        </w:rPr>
        <w:t>得以</w:t>
      </w:r>
      <w:r w:rsidR="003A7C47" w:rsidRPr="00FE771B">
        <w:rPr>
          <w:rFonts w:ascii="Times New Roman" w:hAnsi="Times New Roman" w:cs="Times New Roman"/>
          <w:color w:val="000000" w:themeColor="text1"/>
        </w:rPr>
        <w:t>验证</w:t>
      </w:r>
      <w:r w:rsidR="00EC6895" w:rsidRPr="00FE771B">
        <w:rPr>
          <w:rFonts w:ascii="Times New Roman" w:hAnsi="Times New Roman" w:cs="Times New Roman"/>
          <w:color w:val="000000" w:themeColor="text1"/>
        </w:rPr>
        <w:t>。</w:t>
      </w:r>
    </w:p>
    <w:p w:rsidR="008810E1" w:rsidRPr="00FE771B" w:rsidRDefault="0046578B" w:rsidP="0046578B">
      <w:pPr>
        <w:jc w:val="center"/>
        <w:rPr>
          <w:rFonts w:ascii="Times New Roman" w:eastAsia="楷体" w:hAnsi="Times New Roman" w:cs="Times New Roman"/>
          <w:bCs/>
          <w:szCs w:val="21"/>
        </w:rPr>
      </w:pPr>
      <w:r w:rsidRPr="00FE771B">
        <w:rPr>
          <w:rFonts w:ascii="Times New Roman" w:eastAsia="楷体" w:hAnsi="Times New Roman" w:cs="Times New Roman"/>
          <w:bCs/>
          <w:szCs w:val="21"/>
        </w:rPr>
        <w:t>表</w:t>
      </w:r>
      <w:r w:rsidRPr="00FE771B">
        <w:rPr>
          <w:rFonts w:ascii="Times New Roman" w:eastAsia="楷体" w:hAnsi="Times New Roman" w:cs="Times New Roman"/>
          <w:bCs/>
          <w:szCs w:val="21"/>
        </w:rPr>
        <w:t>9</w:t>
      </w:r>
      <w:r w:rsidR="007E6BB1" w:rsidRPr="00FE771B">
        <w:rPr>
          <w:rFonts w:ascii="Times New Roman" w:eastAsia="楷体" w:hAnsi="Times New Roman" w:cs="Times New Roman"/>
          <w:bCs/>
          <w:szCs w:val="21"/>
        </w:rPr>
        <w:t xml:space="preserve"> </w:t>
      </w:r>
      <w:r w:rsidRPr="00FE771B">
        <w:rPr>
          <w:rFonts w:ascii="Times New Roman" w:eastAsia="楷体" w:hAnsi="Times New Roman" w:cs="Times New Roman"/>
          <w:bCs/>
          <w:szCs w:val="21"/>
        </w:rPr>
        <w:t>机制检验</w:t>
      </w:r>
    </w:p>
    <w:tbl>
      <w:tblPr>
        <w:tblW w:w="5000" w:type="pct"/>
        <w:tblLook w:val="0000" w:firstRow="0" w:lastRow="0" w:firstColumn="0" w:lastColumn="0" w:noHBand="0" w:noVBand="0"/>
      </w:tblPr>
      <w:tblGrid>
        <w:gridCol w:w="1453"/>
        <w:gridCol w:w="1768"/>
        <w:gridCol w:w="1767"/>
        <w:gridCol w:w="1767"/>
        <w:gridCol w:w="1767"/>
      </w:tblGrid>
      <w:tr w:rsidR="00A328C9" w:rsidRPr="00FE771B" w:rsidTr="00CD29CB">
        <w:trPr>
          <w:trHeight w:val="634"/>
        </w:trPr>
        <w:tc>
          <w:tcPr>
            <w:tcW w:w="852" w:type="pct"/>
            <w:tcBorders>
              <w:top w:val="single" w:sz="4" w:space="0" w:color="auto"/>
              <w:left w:val="nil"/>
              <w:bottom w:val="single" w:sz="4" w:space="0" w:color="auto"/>
              <w:right w:val="single" w:sz="4" w:space="0" w:color="auto"/>
            </w:tcBorders>
          </w:tcPr>
          <w:p w:rsidR="00CA624E" w:rsidRPr="00FE771B" w:rsidRDefault="00CA624E" w:rsidP="00CA624E">
            <w:pPr>
              <w:autoSpaceDE w:val="0"/>
              <w:autoSpaceDN w:val="0"/>
              <w:adjustRightInd w:val="0"/>
              <w:jc w:val="left"/>
              <w:rPr>
                <w:rFonts w:ascii="Times New Roman" w:hAnsi="Times New Roman" w:cs="Times New Roman"/>
                <w:color w:val="000000" w:themeColor="text1"/>
                <w:kern w:val="0"/>
                <w:sz w:val="18"/>
                <w:szCs w:val="18"/>
              </w:rPr>
            </w:pPr>
          </w:p>
        </w:tc>
        <w:tc>
          <w:tcPr>
            <w:tcW w:w="1037" w:type="pct"/>
            <w:tcBorders>
              <w:top w:val="single" w:sz="4" w:space="0" w:color="auto"/>
              <w:left w:val="single" w:sz="4" w:space="0" w:color="auto"/>
              <w:bottom w:val="single" w:sz="4" w:space="0" w:color="auto"/>
              <w:right w:val="single" w:sz="4" w:space="0" w:color="auto"/>
            </w:tcBorders>
          </w:tcPr>
          <w:p w:rsidR="00CD29CB" w:rsidRPr="00FE771B" w:rsidRDefault="00CA624E" w:rsidP="00CA624E">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(1)</w:t>
            </w:r>
          </w:p>
          <w:p w:rsidR="00CA624E" w:rsidRPr="00FE771B" w:rsidRDefault="00CD29CB" w:rsidP="00264165">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i/>
                <w:color w:val="000000" w:themeColor="text1"/>
                <w:kern w:val="0"/>
                <w:sz w:val="18"/>
                <w:szCs w:val="18"/>
              </w:rPr>
              <w:t>DA</w:t>
            </w:r>
          </w:p>
        </w:tc>
        <w:tc>
          <w:tcPr>
            <w:tcW w:w="1037" w:type="pct"/>
            <w:tcBorders>
              <w:top w:val="single" w:sz="4" w:space="0" w:color="auto"/>
              <w:left w:val="single" w:sz="4" w:space="0" w:color="auto"/>
              <w:bottom w:val="single" w:sz="4" w:space="0" w:color="auto"/>
              <w:right w:val="single" w:sz="4" w:space="0" w:color="auto"/>
            </w:tcBorders>
          </w:tcPr>
          <w:p w:rsidR="00CD29CB" w:rsidRPr="00FE771B" w:rsidRDefault="00CA624E" w:rsidP="00CA624E">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(2)</w:t>
            </w:r>
          </w:p>
          <w:p w:rsidR="00CA624E" w:rsidRPr="00FE771B" w:rsidRDefault="00CD29CB" w:rsidP="00264165">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i/>
                <w:color w:val="000000" w:themeColor="text1"/>
                <w:kern w:val="0"/>
                <w:sz w:val="18"/>
                <w:szCs w:val="18"/>
              </w:rPr>
              <w:t>Fin</w:t>
            </w:r>
          </w:p>
        </w:tc>
        <w:tc>
          <w:tcPr>
            <w:tcW w:w="1037" w:type="pct"/>
            <w:tcBorders>
              <w:top w:val="single" w:sz="4" w:space="0" w:color="auto"/>
              <w:left w:val="single" w:sz="4" w:space="0" w:color="auto"/>
              <w:bottom w:val="single" w:sz="4" w:space="0" w:color="auto"/>
              <w:right w:val="single" w:sz="4" w:space="0" w:color="auto"/>
            </w:tcBorders>
          </w:tcPr>
          <w:p w:rsidR="00CD29CB" w:rsidRPr="00FE771B" w:rsidRDefault="00CA624E" w:rsidP="00CA624E">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(3)</w:t>
            </w:r>
          </w:p>
          <w:p w:rsidR="00CA624E" w:rsidRPr="00FE771B" w:rsidRDefault="00CD29CB" w:rsidP="00264165">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i/>
                <w:color w:val="000000" w:themeColor="text1"/>
                <w:kern w:val="0"/>
                <w:sz w:val="18"/>
                <w:szCs w:val="18"/>
              </w:rPr>
              <w:t>DA</w:t>
            </w:r>
          </w:p>
        </w:tc>
        <w:tc>
          <w:tcPr>
            <w:tcW w:w="1037" w:type="pct"/>
            <w:tcBorders>
              <w:top w:val="single" w:sz="4" w:space="0" w:color="auto"/>
              <w:left w:val="single" w:sz="4" w:space="0" w:color="auto"/>
              <w:bottom w:val="single" w:sz="4" w:space="0" w:color="auto"/>
              <w:right w:val="nil"/>
            </w:tcBorders>
          </w:tcPr>
          <w:p w:rsidR="00CD29CB" w:rsidRPr="00FE771B" w:rsidRDefault="00CA624E" w:rsidP="00CA624E">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(4)</w:t>
            </w:r>
          </w:p>
          <w:p w:rsidR="00CA624E" w:rsidRPr="00FE771B" w:rsidRDefault="00CD29CB" w:rsidP="00264165">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i/>
                <w:color w:val="000000" w:themeColor="text1"/>
                <w:kern w:val="0"/>
                <w:sz w:val="18"/>
                <w:szCs w:val="18"/>
              </w:rPr>
              <w:t>Fin</w:t>
            </w:r>
          </w:p>
        </w:tc>
      </w:tr>
      <w:tr w:rsidR="00A328C9" w:rsidRPr="00FE771B" w:rsidTr="00CD29CB">
        <w:trPr>
          <w:trHeight w:val="634"/>
        </w:trPr>
        <w:tc>
          <w:tcPr>
            <w:tcW w:w="852" w:type="pct"/>
            <w:tcBorders>
              <w:top w:val="single" w:sz="4" w:space="0" w:color="auto"/>
              <w:left w:val="nil"/>
              <w:bottom w:val="single" w:sz="4" w:space="0" w:color="auto"/>
              <w:right w:val="single" w:sz="4" w:space="0" w:color="auto"/>
            </w:tcBorders>
          </w:tcPr>
          <w:p w:rsidR="00DE700B" w:rsidRPr="00FE771B" w:rsidRDefault="00DE700B" w:rsidP="00CA624E">
            <w:pPr>
              <w:autoSpaceDE w:val="0"/>
              <w:autoSpaceDN w:val="0"/>
              <w:adjustRightInd w:val="0"/>
              <w:jc w:val="left"/>
              <w:rPr>
                <w:rFonts w:ascii="Times New Roman" w:hAnsi="Times New Roman" w:cs="Times New Roman"/>
                <w:i/>
                <w:color w:val="000000" w:themeColor="text1"/>
                <w:kern w:val="0"/>
                <w:sz w:val="18"/>
                <w:szCs w:val="18"/>
              </w:rPr>
            </w:pPr>
            <w:proofErr w:type="spellStart"/>
            <w:r w:rsidRPr="00FE771B">
              <w:rPr>
                <w:rFonts w:ascii="Times New Roman" w:hAnsi="Times New Roman" w:cs="Times New Roman"/>
                <w:i/>
                <w:color w:val="000000" w:themeColor="text1"/>
                <w:kern w:val="0"/>
                <w:sz w:val="18"/>
                <w:szCs w:val="18"/>
              </w:rPr>
              <w:t>Vam_logit</w:t>
            </w:r>
            <w:proofErr w:type="spellEnd"/>
          </w:p>
        </w:tc>
        <w:tc>
          <w:tcPr>
            <w:tcW w:w="1037" w:type="pct"/>
            <w:tcBorders>
              <w:top w:val="single" w:sz="4" w:space="0" w:color="auto"/>
              <w:left w:val="single" w:sz="4" w:space="0" w:color="auto"/>
              <w:bottom w:val="single" w:sz="4" w:space="0" w:color="auto"/>
              <w:right w:val="single" w:sz="4" w:space="0" w:color="auto"/>
            </w:tcBorders>
          </w:tcPr>
          <w:p w:rsidR="00CD29CB" w:rsidRPr="00FE771B" w:rsidRDefault="00DE700B"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0.0060</w:t>
            </w:r>
          </w:p>
          <w:p w:rsidR="00DE700B" w:rsidRPr="00FE771B" w:rsidRDefault="00CD29CB"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(3.143)</w:t>
            </w:r>
            <w:r w:rsidRPr="00FE771B">
              <w:rPr>
                <w:rFonts w:ascii="Times New Roman" w:hAnsi="Times New Roman" w:cs="Times New Roman"/>
                <w:color w:val="000000" w:themeColor="text1"/>
                <w:kern w:val="0"/>
                <w:sz w:val="18"/>
                <w:szCs w:val="18"/>
                <w:vertAlign w:val="superscript"/>
              </w:rPr>
              <w:t>***</w:t>
            </w:r>
          </w:p>
        </w:tc>
        <w:tc>
          <w:tcPr>
            <w:tcW w:w="1037" w:type="pct"/>
            <w:tcBorders>
              <w:top w:val="single" w:sz="4" w:space="0" w:color="auto"/>
              <w:left w:val="single" w:sz="4" w:space="0" w:color="auto"/>
              <w:bottom w:val="single" w:sz="4" w:space="0" w:color="auto"/>
              <w:right w:val="single" w:sz="4" w:space="0" w:color="auto"/>
            </w:tcBorders>
          </w:tcPr>
          <w:p w:rsidR="00CD29CB" w:rsidRPr="00FE771B" w:rsidRDefault="00DE700B"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-0.0020</w:t>
            </w:r>
          </w:p>
          <w:p w:rsidR="00DE700B" w:rsidRPr="00FE771B" w:rsidRDefault="00CD29CB"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(-0.122)</w:t>
            </w:r>
          </w:p>
        </w:tc>
        <w:tc>
          <w:tcPr>
            <w:tcW w:w="1037" w:type="pct"/>
            <w:tcBorders>
              <w:top w:val="single" w:sz="4" w:space="0" w:color="auto"/>
              <w:left w:val="single" w:sz="4" w:space="0" w:color="auto"/>
              <w:bottom w:val="single" w:sz="4" w:space="0" w:color="auto"/>
              <w:right w:val="single" w:sz="4" w:space="0" w:color="auto"/>
            </w:tcBorders>
          </w:tcPr>
          <w:p w:rsidR="00DE700B" w:rsidRPr="00FE771B" w:rsidRDefault="00DE700B" w:rsidP="00CA624E">
            <w:pPr>
              <w:autoSpaceDE w:val="0"/>
              <w:autoSpaceDN w:val="0"/>
              <w:adjustRightInd w:val="0"/>
              <w:jc w:val="center"/>
              <w:rPr>
                <w:rFonts w:ascii="Times New Roman" w:hAnsi="Times New Roman" w:cs="Times New Roman"/>
                <w:color w:val="000000" w:themeColor="text1"/>
                <w:kern w:val="0"/>
                <w:sz w:val="18"/>
                <w:szCs w:val="18"/>
              </w:rPr>
            </w:pPr>
          </w:p>
        </w:tc>
        <w:tc>
          <w:tcPr>
            <w:tcW w:w="1037" w:type="pct"/>
            <w:tcBorders>
              <w:top w:val="single" w:sz="4" w:space="0" w:color="auto"/>
              <w:left w:val="single" w:sz="4" w:space="0" w:color="auto"/>
              <w:bottom w:val="single" w:sz="4" w:space="0" w:color="auto"/>
              <w:right w:val="nil"/>
            </w:tcBorders>
          </w:tcPr>
          <w:p w:rsidR="00DE700B" w:rsidRPr="00FE771B" w:rsidRDefault="00DE700B" w:rsidP="00CA624E">
            <w:pPr>
              <w:autoSpaceDE w:val="0"/>
              <w:autoSpaceDN w:val="0"/>
              <w:adjustRightInd w:val="0"/>
              <w:jc w:val="center"/>
              <w:rPr>
                <w:rFonts w:ascii="Times New Roman" w:hAnsi="Times New Roman" w:cs="Times New Roman"/>
                <w:color w:val="000000" w:themeColor="text1"/>
                <w:kern w:val="0"/>
                <w:sz w:val="18"/>
                <w:szCs w:val="18"/>
              </w:rPr>
            </w:pPr>
          </w:p>
        </w:tc>
      </w:tr>
      <w:tr w:rsidR="00A328C9" w:rsidRPr="00FE771B" w:rsidTr="00CD29CB">
        <w:trPr>
          <w:trHeight w:val="634"/>
        </w:trPr>
        <w:tc>
          <w:tcPr>
            <w:tcW w:w="852" w:type="pct"/>
            <w:tcBorders>
              <w:top w:val="single" w:sz="4" w:space="0" w:color="auto"/>
              <w:left w:val="nil"/>
              <w:bottom w:val="single" w:sz="4" w:space="0" w:color="auto"/>
              <w:right w:val="single" w:sz="4" w:space="0" w:color="auto"/>
            </w:tcBorders>
          </w:tcPr>
          <w:p w:rsidR="00DE700B" w:rsidRPr="00FE771B" w:rsidRDefault="00DE700B" w:rsidP="00CA624E">
            <w:pPr>
              <w:autoSpaceDE w:val="0"/>
              <w:autoSpaceDN w:val="0"/>
              <w:adjustRightInd w:val="0"/>
              <w:jc w:val="left"/>
              <w:rPr>
                <w:rFonts w:ascii="Times New Roman" w:hAnsi="Times New Roman" w:cs="Times New Roman"/>
                <w:i/>
                <w:color w:val="000000" w:themeColor="text1"/>
                <w:kern w:val="0"/>
                <w:sz w:val="18"/>
                <w:szCs w:val="18"/>
              </w:rPr>
            </w:pPr>
            <w:proofErr w:type="spellStart"/>
            <w:r w:rsidRPr="00FE771B">
              <w:rPr>
                <w:rFonts w:ascii="Times New Roman" w:hAnsi="Times New Roman" w:cs="Times New Roman"/>
                <w:i/>
                <w:color w:val="000000" w:themeColor="text1"/>
                <w:kern w:val="0"/>
                <w:sz w:val="18"/>
                <w:szCs w:val="18"/>
              </w:rPr>
              <w:t>Vam_numbers</w:t>
            </w:r>
            <w:proofErr w:type="spellEnd"/>
          </w:p>
        </w:tc>
        <w:tc>
          <w:tcPr>
            <w:tcW w:w="1037" w:type="pct"/>
            <w:tcBorders>
              <w:top w:val="single" w:sz="4" w:space="0" w:color="auto"/>
              <w:left w:val="single" w:sz="4" w:space="0" w:color="auto"/>
              <w:bottom w:val="single" w:sz="4" w:space="0" w:color="auto"/>
              <w:right w:val="single" w:sz="4" w:space="0" w:color="auto"/>
            </w:tcBorders>
          </w:tcPr>
          <w:p w:rsidR="00DE700B" w:rsidRPr="00FE771B" w:rsidRDefault="00DE700B" w:rsidP="002A76DF">
            <w:pPr>
              <w:autoSpaceDE w:val="0"/>
              <w:autoSpaceDN w:val="0"/>
              <w:adjustRightInd w:val="0"/>
              <w:jc w:val="center"/>
              <w:rPr>
                <w:rFonts w:ascii="Times New Roman" w:hAnsi="Times New Roman" w:cs="Times New Roman"/>
                <w:color w:val="000000" w:themeColor="text1"/>
                <w:kern w:val="0"/>
                <w:sz w:val="18"/>
                <w:szCs w:val="18"/>
              </w:rPr>
            </w:pPr>
          </w:p>
        </w:tc>
        <w:tc>
          <w:tcPr>
            <w:tcW w:w="1037" w:type="pct"/>
            <w:tcBorders>
              <w:top w:val="single" w:sz="4" w:space="0" w:color="auto"/>
              <w:left w:val="single" w:sz="4" w:space="0" w:color="auto"/>
              <w:bottom w:val="single" w:sz="4" w:space="0" w:color="auto"/>
              <w:right w:val="single" w:sz="4" w:space="0" w:color="auto"/>
            </w:tcBorders>
          </w:tcPr>
          <w:p w:rsidR="00DE700B" w:rsidRPr="00FE771B" w:rsidRDefault="00DE700B" w:rsidP="002A76DF">
            <w:pPr>
              <w:autoSpaceDE w:val="0"/>
              <w:autoSpaceDN w:val="0"/>
              <w:adjustRightInd w:val="0"/>
              <w:jc w:val="center"/>
              <w:rPr>
                <w:rFonts w:ascii="Times New Roman" w:hAnsi="Times New Roman" w:cs="Times New Roman"/>
                <w:color w:val="000000" w:themeColor="text1"/>
                <w:kern w:val="0"/>
                <w:sz w:val="18"/>
                <w:szCs w:val="18"/>
              </w:rPr>
            </w:pPr>
          </w:p>
        </w:tc>
        <w:tc>
          <w:tcPr>
            <w:tcW w:w="1037" w:type="pct"/>
            <w:tcBorders>
              <w:top w:val="single" w:sz="4" w:space="0" w:color="auto"/>
              <w:left w:val="single" w:sz="4" w:space="0" w:color="auto"/>
              <w:bottom w:val="single" w:sz="4" w:space="0" w:color="auto"/>
              <w:right w:val="single" w:sz="4" w:space="0" w:color="auto"/>
            </w:tcBorders>
          </w:tcPr>
          <w:p w:rsidR="00CD29CB" w:rsidRPr="00FE771B" w:rsidRDefault="00DE700B"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0.0015</w:t>
            </w:r>
          </w:p>
          <w:p w:rsidR="00DE700B" w:rsidRPr="00FE771B" w:rsidRDefault="00CD29CB"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(1.788)</w:t>
            </w:r>
            <w:r w:rsidRPr="00FE771B">
              <w:rPr>
                <w:rFonts w:ascii="Times New Roman" w:hAnsi="Times New Roman" w:cs="Times New Roman"/>
                <w:color w:val="000000" w:themeColor="text1"/>
                <w:kern w:val="0"/>
                <w:sz w:val="18"/>
                <w:szCs w:val="18"/>
                <w:vertAlign w:val="superscript"/>
              </w:rPr>
              <w:t>*</w:t>
            </w:r>
          </w:p>
        </w:tc>
        <w:tc>
          <w:tcPr>
            <w:tcW w:w="1037" w:type="pct"/>
            <w:tcBorders>
              <w:top w:val="single" w:sz="4" w:space="0" w:color="auto"/>
              <w:left w:val="single" w:sz="4" w:space="0" w:color="auto"/>
              <w:bottom w:val="single" w:sz="4" w:space="0" w:color="auto"/>
              <w:right w:val="nil"/>
            </w:tcBorders>
          </w:tcPr>
          <w:p w:rsidR="00CD29CB" w:rsidRPr="00FE771B" w:rsidRDefault="00DE700B"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-0.0002</w:t>
            </w:r>
          </w:p>
          <w:p w:rsidR="00DE700B" w:rsidRPr="00FE771B" w:rsidRDefault="00CD29CB"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(-0.031)</w:t>
            </w:r>
          </w:p>
        </w:tc>
      </w:tr>
      <w:tr w:rsidR="00A328C9" w:rsidRPr="00FE771B" w:rsidTr="00CD29CB">
        <w:trPr>
          <w:trHeight w:val="634"/>
        </w:trPr>
        <w:tc>
          <w:tcPr>
            <w:tcW w:w="852" w:type="pct"/>
            <w:tcBorders>
              <w:top w:val="single" w:sz="4" w:space="0" w:color="auto"/>
              <w:left w:val="nil"/>
              <w:bottom w:val="single" w:sz="4" w:space="0" w:color="auto"/>
              <w:right w:val="single" w:sz="4" w:space="0" w:color="auto"/>
            </w:tcBorders>
          </w:tcPr>
          <w:p w:rsidR="00DE700B" w:rsidRPr="00FE771B" w:rsidRDefault="00DE700B" w:rsidP="002A76DF">
            <w:pPr>
              <w:autoSpaceDE w:val="0"/>
              <w:autoSpaceDN w:val="0"/>
              <w:adjustRightInd w:val="0"/>
              <w:jc w:val="left"/>
              <w:rPr>
                <w:rFonts w:ascii="Times New Roman" w:hAnsi="Times New Roman" w:cs="Times New Roman"/>
                <w:i/>
                <w:color w:val="000000" w:themeColor="text1"/>
                <w:kern w:val="0"/>
                <w:sz w:val="18"/>
                <w:szCs w:val="18"/>
              </w:rPr>
            </w:pPr>
            <w:r w:rsidRPr="00FE771B">
              <w:rPr>
                <w:rFonts w:ascii="Times New Roman" w:hAnsi="Times New Roman" w:cs="Times New Roman"/>
                <w:i/>
                <w:color w:val="000000" w:themeColor="text1"/>
                <w:kern w:val="0"/>
                <w:sz w:val="18"/>
                <w:szCs w:val="18"/>
              </w:rPr>
              <w:t>DA</w:t>
            </w:r>
          </w:p>
        </w:tc>
        <w:tc>
          <w:tcPr>
            <w:tcW w:w="1037" w:type="pct"/>
            <w:tcBorders>
              <w:top w:val="single" w:sz="4" w:space="0" w:color="auto"/>
              <w:left w:val="single" w:sz="4" w:space="0" w:color="auto"/>
              <w:bottom w:val="single" w:sz="4" w:space="0" w:color="auto"/>
              <w:right w:val="single" w:sz="4" w:space="0" w:color="auto"/>
            </w:tcBorders>
          </w:tcPr>
          <w:p w:rsidR="00DE700B" w:rsidRPr="00FE771B" w:rsidRDefault="00DE700B" w:rsidP="00180772">
            <w:pPr>
              <w:autoSpaceDE w:val="0"/>
              <w:autoSpaceDN w:val="0"/>
              <w:adjustRightInd w:val="0"/>
              <w:jc w:val="center"/>
              <w:rPr>
                <w:rFonts w:ascii="Times New Roman" w:hAnsi="Times New Roman" w:cs="Times New Roman"/>
                <w:color w:val="000000" w:themeColor="text1"/>
                <w:kern w:val="0"/>
                <w:sz w:val="18"/>
                <w:szCs w:val="18"/>
              </w:rPr>
            </w:pPr>
          </w:p>
        </w:tc>
        <w:tc>
          <w:tcPr>
            <w:tcW w:w="1037" w:type="pct"/>
            <w:tcBorders>
              <w:top w:val="single" w:sz="4" w:space="0" w:color="auto"/>
              <w:left w:val="single" w:sz="4" w:space="0" w:color="auto"/>
              <w:bottom w:val="single" w:sz="4" w:space="0" w:color="auto"/>
              <w:right w:val="single" w:sz="4" w:space="0" w:color="auto"/>
            </w:tcBorders>
          </w:tcPr>
          <w:p w:rsidR="00CD29CB" w:rsidRPr="00FE771B" w:rsidRDefault="00DE700B"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0.2427</w:t>
            </w:r>
          </w:p>
          <w:p w:rsidR="00DE700B" w:rsidRPr="00FE771B" w:rsidRDefault="00CD29CB"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(2.314)</w:t>
            </w:r>
            <w:r w:rsidRPr="00FE771B">
              <w:rPr>
                <w:rFonts w:ascii="Times New Roman" w:hAnsi="Times New Roman" w:cs="Times New Roman"/>
                <w:color w:val="000000" w:themeColor="text1"/>
                <w:kern w:val="0"/>
                <w:sz w:val="18"/>
                <w:szCs w:val="18"/>
                <w:vertAlign w:val="superscript"/>
              </w:rPr>
              <w:t>**</w:t>
            </w:r>
          </w:p>
        </w:tc>
        <w:tc>
          <w:tcPr>
            <w:tcW w:w="1037" w:type="pct"/>
            <w:tcBorders>
              <w:top w:val="single" w:sz="4" w:space="0" w:color="auto"/>
              <w:left w:val="single" w:sz="4" w:space="0" w:color="auto"/>
              <w:bottom w:val="single" w:sz="4" w:space="0" w:color="auto"/>
              <w:right w:val="single" w:sz="4" w:space="0" w:color="auto"/>
            </w:tcBorders>
          </w:tcPr>
          <w:p w:rsidR="00DE700B" w:rsidRPr="00FE771B" w:rsidRDefault="00DE700B" w:rsidP="00F20551">
            <w:pPr>
              <w:autoSpaceDE w:val="0"/>
              <w:autoSpaceDN w:val="0"/>
              <w:adjustRightInd w:val="0"/>
              <w:jc w:val="center"/>
              <w:rPr>
                <w:rFonts w:ascii="Times New Roman" w:hAnsi="Times New Roman" w:cs="Times New Roman"/>
                <w:color w:val="000000" w:themeColor="text1"/>
                <w:kern w:val="0"/>
                <w:sz w:val="18"/>
                <w:szCs w:val="18"/>
              </w:rPr>
            </w:pPr>
          </w:p>
        </w:tc>
        <w:tc>
          <w:tcPr>
            <w:tcW w:w="1037" w:type="pct"/>
            <w:tcBorders>
              <w:top w:val="single" w:sz="4" w:space="0" w:color="auto"/>
              <w:left w:val="single" w:sz="4" w:space="0" w:color="auto"/>
              <w:bottom w:val="single" w:sz="4" w:space="0" w:color="auto"/>
              <w:right w:val="nil"/>
            </w:tcBorders>
          </w:tcPr>
          <w:p w:rsidR="00CD29CB" w:rsidRPr="00FE771B" w:rsidRDefault="00DE700B"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0.2423</w:t>
            </w:r>
          </w:p>
          <w:p w:rsidR="00DE700B" w:rsidRPr="00FE771B" w:rsidRDefault="00CD29CB"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(2.314)</w:t>
            </w:r>
            <w:r w:rsidRPr="00FE771B">
              <w:rPr>
                <w:rFonts w:ascii="Times New Roman" w:hAnsi="Times New Roman" w:cs="Times New Roman"/>
                <w:color w:val="000000" w:themeColor="text1"/>
                <w:kern w:val="0"/>
                <w:sz w:val="18"/>
                <w:szCs w:val="18"/>
                <w:vertAlign w:val="superscript"/>
              </w:rPr>
              <w:t>**</w:t>
            </w:r>
          </w:p>
        </w:tc>
      </w:tr>
      <w:tr w:rsidR="00A328C9" w:rsidRPr="00FE771B" w:rsidTr="00CD29CB">
        <w:tc>
          <w:tcPr>
            <w:tcW w:w="852" w:type="pct"/>
            <w:tcBorders>
              <w:top w:val="single" w:sz="4" w:space="0" w:color="auto"/>
              <w:left w:val="nil"/>
              <w:bottom w:val="single" w:sz="4" w:space="0" w:color="auto"/>
              <w:right w:val="single" w:sz="4" w:space="0" w:color="auto"/>
            </w:tcBorders>
          </w:tcPr>
          <w:p w:rsidR="00DE700B" w:rsidRPr="00FE771B" w:rsidRDefault="009A0590" w:rsidP="00E21428">
            <w:pPr>
              <w:autoSpaceDE w:val="0"/>
              <w:autoSpaceDN w:val="0"/>
              <w:adjustRightInd w:val="0"/>
              <w:jc w:val="left"/>
              <w:rPr>
                <w:rFonts w:ascii="Times New Roman" w:hAnsi="Times New Roman" w:cs="Times New Roman"/>
                <w:i/>
                <w:color w:val="000000" w:themeColor="text1"/>
                <w:kern w:val="0"/>
                <w:sz w:val="18"/>
                <w:szCs w:val="18"/>
              </w:rPr>
            </w:pPr>
            <w:r w:rsidRPr="00FE771B">
              <w:rPr>
                <w:rFonts w:ascii="Times New Roman" w:hAnsi="Times New Roman" w:cs="Times New Roman"/>
                <w:i/>
                <w:iCs/>
                <w:color w:val="000000" w:themeColor="text1"/>
                <w:kern w:val="0"/>
                <w:sz w:val="18"/>
                <w:szCs w:val="18"/>
              </w:rPr>
              <w:t>Controls</w:t>
            </w:r>
          </w:p>
        </w:tc>
        <w:tc>
          <w:tcPr>
            <w:tcW w:w="1037" w:type="pct"/>
            <w:tcBorders>
              <w:top w:val="single" w:sz="4" w:space="0" w:color="auto"/>
              <w:left w:val="single" w:sz="4" w:space="0" w:color="auto"/>
              <w:bottom w:val="single" w:sz="4" w:space="0" w:color="auto"/>
              <w:right w:val="single" w:sz="4" w:space="0" w:color="auto"/>
            </w:tcBorders>
          </w:tcPr>
          <w:p w:rsidR="00DE700B" w:rsidRPr="00FE771B" w:rsidRDefault="009A0590"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控制</w:t>
            </w:r>
          </w:p>
        </w:tc>
        <w:tc>
          <w:tcPr>
            <w:tcW w:w="1037" w:type="pct"/>
            <w:tcBorders>
              <w:top w:val="single" w:sz="4" w:space="0" w:color="auto"/>
              <w:left w:val="single" w:sz="4" w:space="0" w:color="auto"/>
              <w:bottom w:val="single" w:sz="4" w:space="0" w:color="auto"/>
              <w:right w:val="single" w:sz="4" w:space="0" w:color="auto"/>
            </w:tcBorders>
          </w:tcPr>
          <w:p w:rsidR="00DE700B" w:rsidRPr="00FE771B" w:rsidRDefault="009A0590"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控制</w:t>
            </w:r>
          </w:p>
        </w:tc>
        <w:tc>
          <w:tcPr>
            <w:tcW w:w="1037" w:type="pct"/>
            <w:tcBorders>
              <w:top w:val="single" w:sz="4" w:space="0" w:color="auto"/>
              <w:left w:val="single" w:sz="4" w:space="0" w:color="auto"/>
              <w:bottom w:val="single" w:sz="4" w:space="0" w:color="auto"/>
              <w:right w:val="single" w:sz="4" w:space="0" w:color="auto"/>
            </w:tcBorders>
          </w:tcPr>
          <w:p w:rsidR="00DE700B" w:rsidRPr="00FE771B" w:rsidRDefault="009A0590"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控制</w:t>
            </w:r>
          </w:p>
        </w:tc>
        <w:tc>
          <w:tcPr>
            <w:tcW w:w="1037" w:type="pct"/>
            <w:tcBorders>
              <w:top w:val="single" w:sz="4" w:space="0" w:color="auto"/>
              <w:left w:val="single" w:sz="4" w:space="0" w:color="auto"/>
              <w:bottom w:val="single" w:sz="4" w:space="0" w:color="auto"/>
              <w:right w:val="nil"/>
            </w:tcBorders>
          </w:tcPr>
          <w:p w:rsidR="00DE700B" w:rsidRPr="00FE771B" w:rsidRDefault="009A0590"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控制</w:t>
            </w:r>
          </w:p>
        </w:tc>
      </w:tr>
      <w:tr w:rsidR="00A328C9" w:rsidRPr="00FE771B" w:rsidTr="00CD29CB">
        <w:trPr>
          <w:trHeight w:val="634"/>
        </w:trPr>
        <w:tc>
          <w:tcPr>
            <w:tcW w:w="852" w:type="pct"/>
            <w:tcBorders>
              <w:top w:val="single" w:sz="4" w:space="0" w:color="auto"/>
              <w:left w:val="nil"/>
              <w:bottom w:val="single" w:sz="4" w:space="0" w:color="auto"/>
              <w:right w:val="single" w:sz="4" w:space="0" w:color="auto"/>
            </w:tcBorders>
          </w:tcPr>
          <w:p w:rsidR="00DE700B" w:rsidRPr="00FE771B" w:rsidRDefault="00DE700B" w:rsidP="00CA624E">
            <w:pPr>
              <w:autoSpaceDE w:val="0"/>
              <w:autoSpaceDN w:val="0"/>
              <w:adjustRightInd w:val="0"/>
              <w:jc w:val="left"/>
              <w:rPr>
                <w:rFonts w:ascii="Times New Roman" w:hAnsi="Times New Roman" w:cs="Times New Roman"/>
                <w:i/>
                <w:color w:val="000000" w:themeColor="text1"/>
                <w:kern w:val="0"/>
                <w:sz w:val="18"/>
                <w:szCs w:val="18"/>
              </w:rPr>
            </w:pPr>
            <w:r w:rsidRPr="00FE771B">
              <w:rPr>
                <w:rFonts w:ascii="Times New Roman" w:hAnsi="Times New Roman" w:cs="Times New Roman"/>
                <w:i/>
                <w:color w:val="000000" w:themeColor="text1"/>
                <w:kern w:val="0"/>
                <w:sz w:val="18"/>
                <w:szCs w:val="18"/>
              </w:rPr>
              <w:t>_cons</w:t>
            </w:r>
          </w:p>
        </w:tc>
        <w:tc>
          <w:tcPr>
            <w:tcW w:w="1037" w:type="pct"/>
            <w:tcBorders>
              <w:top w:val="single" w:sz="4" w:space="0" w:color="auto"/>
              <w:left w:val="single" w:sz="4" w:space="0" w:color="auto"/>
              <w:bottom w:val="single" w:sz="4" w:space="0" w:color="auto"/>
              <w:right w:val="single" w:sz="4" w:space="0" w:color="auto"/>
            </w:tcBorders>
          </w:tcPr>
          <w:p w:rsidR="00CD29CB" w:rsidRPr="00FE771B" w:rsidRDefault="00DE700B"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0.1944</w:t>
            </w:r>
          </w:p>
          <w:p w:rsidR="00DE700B" w:rsidRPr="00FE771B" w:rsidRDefault="00CD29CB"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(7.712)</w:t>
            </w:r>
            <w:r w:rsidRPr="00FE771B">
              <w:rPr>
                <w:rFonts w:ascii="Times New Roman" w:hAnsi="Times New Roman" w:cs="Times New Roman"/>
                <w:color w:val="000000" w:themeColor="text1"/>
                <w:kern w:val="0"/>
                <w:sz w:val="18"/>
                <w:szCs w:val="18"/>
                <w:vertAlign w:val="superscript"/>
              </w:rPr>
              <w:t>***</w:t>
            </w:r>
          </w:p>
        </w:tc>
        <w:tc>
          <w:tcPr>
            <w:tcW w:w="1037" w:type="pct"/>
            <w:tcBorders>
              <w:top w:val="single" w:sz="4" w:space="0" w:color="auto"/>
              <w:left w:val="single" w:sz="4" w:space="0" w:color="auto"/>
              <w:bottom w:val="single" w:sz="4" w:space="0" w:color="auto"/>
              <w:right w:val="single" w:sz="4" w:space="0" w:color="auto"/>
            </w:tcBorders>
          </w:tcPr>
          <w:p w:rsidR="00CD29CB" w:rsidRPr="00FE771B" w:rsidRDefault="00DE700B"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0.1925</w:t>
            </w:r>
          </w:p>
          <w:p w:rsidR="00DE700B" w:rsidRPr="00FE771B" w:rsidRDefault="00CD29CB"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(0.732)</w:t>
            </w:r>
          </w:p>
        </w:tc>
        <w:tc>
          <w:tcPr>
            <w:tcW w:w="1037" w:type="pct"/>
            <w:tcBorders>
              <w:top w:val="single" w:sz="4" w:space="0" w:color="auto"/>
              <w:left w:val="single" w:sz="4" w:space="0" w:color="auto"/>
              <w:bottom w:val="single" w:sz="4" w:space="0" w:color="auto"/>
              <w:right w:val="single" w:sz="4" w:space="0" w:color="auto"/>
            </w:tcBorders>
          </w:tcPr>
          <w:p w:rsidR="00CD29CB" w:rsidRPr="00FE771B" w:rsidRDefault="00DE700B"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0.1875</w:t>
            </w:r>
          </w:p>
          <w:p w:rsidR="00DE700B" w:rsidRPr="00FE771B" w:rsidRDefault="00CD29CB"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(8.241)</w:t>
            </w:r>
            <w:r w:rsidRPr="00FE771B">
              <w:rPr>
                <w:rFonts w:ascii="Times New Roman" w:hAnsi="Times New Roman" w:cs="Times New Roman"/>
                <w:color w:val="000000" w:themeColor="text1"/>
                <w:kern w:val="0"/>
                <w:sz w:val="18"/>
                <w:szCs w:val="18"/>
                <w:vertAlign w:val="superscript"/>
              </w:rPr>
              <w:t>***</w:t>
            </w:r>
          </w:p>
        </w:tc>
        <w:tc>
          <w:tcPr>
            <w:tcW w:w="1037" w:type="pct"/>
            <w:tcBorders>
              <w:top w:val="single" w:sz="4" w:space="0" w:color="auto"/>
              <w:left w:val="single" w:sz="4" w:space="0" w:color="auto"/>
              <w:bottom w:val="single" w:sz="4" w:space="0" w:color="auto"/>
              <w:right w:val="nil"/>
            </w:tcBorders>
          </w:tcPr>
          <w:p w:rsidR="00CD29CB" w:rsidRPr="00FE771B" w:rsidRDefault="00DE700B"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0.1922</w:t>
            </w:r>
          </w:p>
          <w:p w:rsidR="00DE700B" w:rsidRPr="00FE771B" w:rsidRDefault="00CD29CB"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(0.731)</w:t>
            </w:r>
          </w:p>
        </w:tc>
      </w:tr>
      <w:tr w:rsidR="00A328C9" w:rsidRPr="00FE771B" w:rsidTr="00CD29CB">
        <w:tc>
          <w:tcPr>
            <w:tcW w:w="852" w:type="pct"/>
            <w:tcBorders>
              <w:top w:val="single" w:sz="4" w:space="0" w:color="auto"/>
              <w:left w:val="nil"/>
              <w:bottom w:val="single" w:sz="4" w:space="0" w:color="auto"/>
              <w:right w:val="single" w:sz="4" w:space="0" w:color="auto"/>
            </w:tcBorders>
          </w:tcPr>
          <w:p w:rsidR="00CA624E" w:rsidRPr="00FE771B" w:rsidRDefault="00CA624E" w:rsidP="00CA624E">
            <w:pPr>
              <w:autoSpaceDE w:val="0"/>
              <w:autoSpaceDN w:val="0"/>
              <w:adjustRightInd w:val="0"/>
              <w:jc w:val="left"/>
              <w:rPr>
                <w:rFonts w:ascii="Times New Roman" w:hAnsi="Times New Roman" w:cs="Times New Roman"/>
                <w:i/>
                <w:color w:val="000000" w:themeColor="text1"/>
                <w:kern w:val="0"/>
                <w:sz w:val="18"/>
                <w:szCs w:val="18"/>
              </w:rPr>
            </w:pPr>
            <w:r w:rsidRPr="00FE771B">
              <w:rPr>
                <w:rFonts w:ascii="Times New Roman" w:hAnsi="Times New Roman" w:cs="Times New Roman"/>
                <w:i/>
                <w:color w:val="000000" w:themeColor="text1"/>
                <w:kern w:val="0"/>
                <w:sz w:val="18"/>
                <w:szCs w:val="18"/>
              </w:rPr>
              <w:t>Year</w:t>
            </w:r>
          </w:p>
        </w:tc>
        <w:tc>
          <w:tcPr>
            <w:tcW w:w="1037" w:type="pct"/>
            <w:tcBorders>
              <w:top w:val="single" w:sz="4" w:space="0" w:color="auto"/>
              <w:left w:val="single" w:sz="4" w:space="0" w:color="auto"/>
              <w:bottom w:val="single" w:sz="4" w:space="0" w:color="auto"/>
              <w:right w:val="single" w:sz="4" w:space="0" w:color="auto"/>
            </w:tcBorders>
          </w:tcPr>
          <w:p w:rsidR="00CA624E" w:rsidRPr="00FE771B" w:rsidRDefault="00CA624E" w:rsidP="002A76D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Yes</w:t>
            </w:r>
          </w:p>
        </w:tc>
        <w:tc>
          <w:tcPr>
            <w:tcW w:w="1037" w:type="pct"/>
            <w:tcBorders>
              <w:top w:val="single" w:sz="4" w:space="0" w:color="auto"/>
              <w:left w:val="single" w:sz="4" w:space="0" w:color="auto"/>
              <w:bottom w:val="single" w:sz="4" w:space="0" w:color="auto"/>
              <w:right w:val="single" w:sz="4" w:space="0" w:color="auto"/>
            </w:tcBorders>
          </w:tcPr>
          <w:p w:rsidR="00CA624E" w:rsidRPr="00FE771B" w:rsidRDefault="00CA624E" w:rsidP="002A76D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Yes</w:t>
            </w:r>
          </w:p>
        </w:tc>
        <w:tc>
          <w:tcPr>
            <w:tcW w:w="1037" w:type="pct"/>
            <w:tcBorders>
              <w:top w:val="single" w:sz="4" w:space="0" w:color="auto"/>
              <w:left w:val="single" w:sz="4" w:space="0" w:color="auto"/>
              <w:bottom w:val="single" w:sz="4" w:space="0" w:color="auto"/>
              <w:right w:val="single" w:sz="4" w:space="0" w:color="auto"/>
            </w:tcBorders>
          </w:tcPr>
          <w:p w:rsidR="00CA624E" w:rsidRPr="00FE771B" w:rsidRDefault="00CA624E" w:rsidP="002A76D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Yes</w:t>
            </w:r>
          </w:p>
        </w:tc>
        <w:tc>
          <w:tcPr>
            <w:tcW w:w="1037" w:type="pct"/>
            <w:tcBorders>
              <w:top w:val="single" w:sz="4" w:space="0" w:color="auto"/>
              <w:left w:val="single" w:sz="4" w:space="0" w:color="auto"/>
              <w:bottom w:val="single" w:sz="4" w:space="0" w:color="auto"/>
              <w:right w:val="nil"/>
            </w:tcBorders>
          </w:tcPr>
          <w:p w:rsidR="00CA624E" w:rsidRPr="00FE771B" w:rsidRDefault="00CA624E" w:rsidP="002A76D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Yes</w:t>
            </w:r>
          </w:p>
        </w:tc>
      </w:tr>
      <w:tr w:rsidR="00A328C9" w:rsidRPr="00FE771B" w:rsidTr="00CD29CB">
        <w:tc>
          <w:tcPr>
            <w:tcW w:w="852" w:type="pct"/>
            <w:tcBorders>
              <w:top w:val="single" w:sz="4" w:space="0" w:color="auto"/>
              <w:left w:val="nil"/>
              <w:bottom w:val="single" w:sz="4" w:space="0" w:color="auto"/>
              <w:right w:val="single" w:sz="4" w:space="0" w:color="auto"/>
            </w:tcBorders>
          </w:tcPr>
          <w:p w:rsidR="00CA624E" w:rsidRPr="00FE771B" w:rsidRDefault="00CA624E" w:rsidP="00CA624E">
            <w:pPr>
              <w:autoSpaceDE w:val="0"/>
              <w:autoSpaceDN w:val="0"/>
              <w:adjustRightInd w:val="0"/>
              <w:jc w:val="left"/>
              <w:rPr>
                <w:rFonts w:ascii="Times New Roman" w:hAnsi="Times New Roman" w:cs="Times New Roman"/>
                <w:i/>
                <w:color w:val="000000" w:themeColor="text1"/>
                <w:kern w:val="0"/>
                <w:sz w:val="18"/>
                <w:szCs w:val="18"/>
              </w:rPr>
            </w:pPr>
            <w:r w:rsidRPr="00FE771B">
              <w:rPr>
                <w:rFonts w:ascii="Times New Roman" w:hAnsi="Times New Roman" w:cs="Times New Roman"/>
                <w:i/>
                <w:color w:val="000000" w:themeColor="text1"/>
                <w:kern w:val="0"/>
                <w:sz w:val="18"/>
                <w:szCs w:val="18"/>
              </w:rPr>
              <w:t>Industry</w:t>
            </w:r>
          </w:p>
        </w:tc>
        <w:tc>
          <w:tcPr>
            <w:tcW w:w="1037" w:type="pct"/>
            <w:tcBorders>
              <w:top w:val="single" w:sz="4" w:space="0" w:color="auto"/>
              <w:left w:val="single" w:sz="4" w:space="0" w:color="auto"/>
              <w:bottom w:val="single" w:sz="4" w:space="0" w:color="auto"/>
              <w:right w:val="single" w:sz="4" w:space="0" w:color="auto"/>
            </w:tcBorders>
          </w:tcPr>
          <w:p w:rsidR="00CA624E" w:rsidRPr="00FE771B" w:rsidRDefault="00CA624E" w:rsidP="002A76D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Yes</w:t>
            </w:r>
          </w:p>
        </w:tc>
        <w:tc>
          <w:tcPr>
            <w:tcW w:w="1037" w:type="pct"/>
            <w:tcBorders>
              <w:top w:val="single" w:sz="4" w:space="0" w:color="auto"/>
              <w:left w:val="single" w:sz="4" w:space="0" w:color="auto"/>
              <w:bottom w:val="single" w:sz="4" w:space="0" w:color="auto"/>
              <w:right w:val="single" w:sz="4" w:space="0" w:color="auto"/>
            </w:tcBorders>
          </w:tcPr>
          <w:p w:rsidR="00CA624E" w:rsidRPr="00FE771B" w:rsidRDefault="00CA624E" w:rsidP="002A76D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Yes</w:t>
            </w:r>
          </w:p>
        </w:tc>
        <w:tc>
          <w:tcPr>
            <w:tcW w:w="1037" w:type="pct"/>
            <w:tcBorders>
              <w:top w:val="single" w:sz="4" w:space="0" w:color="auto"/>
              <w:left w:val="single" w:sz="4" w:space="0" w:color="auto"/>
              <w:bottom w:val="single" w:sz="4" w:space="0" w:color="auto"/>
              <w:right w:val="single" w:sz="4" w:space="0" w:color="auto"/>
            </w:tcBorders>
          </w:tcPr>
          <w:p w:rsidR="00CA624E" w:rsidRPr="00FE771B" w:rsidRDefault="00CA624E" w:rsidP="002A76D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Yes</w:t>
            </w:r>
          </w:p>
        </w:tc>
        <w:tc>
          <w:tcPr>
            <w:tcW w:w="1037" w:type="pct"/>
            <w:tcBorders>
              <w:top w:val="single" w:sz="4" w:space="0" w:color="auto"/>
              <w:left w:val="single" w:sz="4" w:space="0" w:color="auto"/>
              <w:bottom w:val="single" w:sz="4" w:space="0" w:color="auto"/>
              <w:right w:val="nil"/>
            </w:tcBorders>
          </w:tcPr>
          <w:p w:rsidR="00CA624E" w:rsidRPr="00FE771B" w:rsidRDefault="00CA624E" w:rsidP="002A76D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Yes</w:t>
            </w:r>
          </w:p>
        </w:tc>
      </w:tr>
      <w:tr w:rsidR="00A328C9" w:rsidRPr="00FE771B" w:rsidTr="00CD29CB">
        <w:tc>
          <w:tcPr>
            <w:tcW w:w="852" w:type="pct"/>
            <w:tcBorders>
              <w:top w:val="single" w:sz="4" w:space="0" w:color="auto"/>
              <w:left w:val="nil"/>
              <w:bottom w:val="single" w:sz="4" w:space="0" w:color="auto"/>
              <w:right w:val="single" w:sz="4" w:space="0" w:color="auto"/>
            </w:tcBorders>
          </w:tcPr>
          <w:p w:rsidR="00DE700B" w:rsidRPr="00FE771B" w:rsidRDefault="00DE700B" w:rsidP="00CA624E">
            <w:pPr>
              <w:autoSpaceDE w:val="0"/>
              <w:autoSpaceDN w:val="0"/>
              <w:adjustRightInd w:val="0"/>
              <w:jc w:val="left"/>
              <w:rPr>
                <w:rFonts w:ascii="Times New Roman" w:hAnsi="Times New Roman" w:cs="Times New Roman"/>
                <w:color w:val="000000" w:themeColor="text1"/>
                <w:kern w:val="0"/>
                <w:sz w:val="18"/>
                <w:szCs w:val="18"/>
              </w:rPr>
            </w:pPr>
            <w:r w:rsidRPr="00FE771B">
              <w:rPr>
                <w:rFonts w:ascii="Times New Roman" w:hAnsi="Times New Roman" w:cs="Times New Roman"/>
                <w:iCs/>
                <w:color w:val="000000" w:themeColor="text1"/>
                <w:kern w:val="0"/>
                <w:sz w:val="18"/>
                <w:szCs w:val="18"/>
              </w:rPr>
              <w:t>N</w:t>
            </w:r>
          </w:p>
        </w:tc>
        <w:tc>
          <w:tcPr>
            <w:tcW w:w="1037" w:type="pct"/>
            <w:tcBorders>
              <w:top w:val="single" w:sz="4" w:space="0" w:color="auto"/>
              <w:left w:val="single" w:sz="4" w:space="0" w:color="auto"/>
              <w:bottom w:val="single" w:sz="4" w:space="0" w:color="auto"/>
              <w:right w:val="single" w:sz="4" w:space="0" w:color="auto"/>
            </w:tcBorders>
          </w:tcPr>
          <w:p w:rsidR="00DE700B" w:rsidRPr="00FE771B" w:rsidRDefault="00DE700B"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9821</w:t>
            </w:r>
          </w:p>
        </w:tc>
        <w:tc>
          <w:tcPr>
            <w:tcW w:w="1037" w:type="pct"/>
            <w:tcBorders>
              <w:top w:val="single" w:sz="4" w:space="0" w:color="auto"/>
              <w:left w:val="single" w:sz="4" w:space="0" w:color="auto"/>
              <w:bottom w:val="single" w:sz="4" w:space="0" w:color="auto"/>
              <w:right w:val="single" w:sz="4" w:space="0" w:color="auto"/>
            </w:tcBorders>
          </w:tcPr>
          <w:p w:rsidR="00DE700B" w:rsidRPr="00FE771B" w:rsidRDefault="00DE700B"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9821</w:t>
            </w:r>
          </w:p>
        </w:tc>
        <w:tc>
          <w:tcPr>
            <w:tcW w:w="1037" w:type="pct"/>
            <w:tcBorders>
              <w:top w:val="single" w:sz="4" w:space="0" w:color="auto"/>
              <w:left w:val="single" w:sz="4" w:space="0" w:color="auto"/>
              <w:bottom w:val="single" w:sz="4" w:space="0" w:color="auto"/>
              <w:right w:val="single" w:sz="4" w:space="0" w:color="auto"/>
            </w:tcBorders>
          </w:tcPr>
          <w:p w:rsidR="00DE700B" w:rsidRPr="00FE771B" w:rsidRDefault="00DE700B"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9821</w:t>
            </w:r>
          </w:p>
        </w:tc>
        <w:tc>
          <w:tcPr>
            <w:tcW w:w="1037" w:type="pct"/>
            <w:tcBorders>
              <w:top w:val="single" w:sz="4" w:space="0" w:color="auto"/>
              <w:left w:val="single" w:sz="4" w:space="0" w:color="auto"/>
              <w:bottom w:val="single" w:sz="4" w:space="0" w:color="auto"/>
              <w:right w:val="nil"/>
            </w:tcBorders>
          </w:tcPr>
          <w:p w:rsidR="00DE700B" w:rsidRPr="00FE771B" w:rsidRDefault="00DE700B"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9821</w:t>
            </w:r>
          </w:p>
        </w:tc>
      </w:tr>
      <w:tr w:rsidR="00A328C9" w:rsidRPr="00FE771B" w:rsidTr="00CD29CB">
        <w:tc>
          <w:tcPr>
            <w:tcW w:w="852" w:type="pct"/>
            <w:tcBorders>
              <w:top w:val="single" w:sz="4" w:space="0" w:color="auto"/>
              <w:left w:val="nil"/>
              <w:bottom w:val="single" w:sz="4" w:space="0" w:color="auto"/>
              <w:right w:val="single" w:sz="4" w:space="0" w:color="auto"/>
            </w:tcBorders>
          </w:tcPr>
          <w:p w:rsidR="00DE700B" w:rsidRPr="00FE771B" w:rsidRDefault="00DE700B" w:rsidP="00CA624E">
            <w:pPr>
              <w:autoSpaceDE w:val="0"/>
              <w:autoSpaceDN w:val="0"/>
              <w:adjustRightInd w:val="0"/>
              <w:jc w:val="left"/>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F</w:t>
            </w:r>
            <w:r w:rsidRPr="00FE771B">
              <w:rPr>
                <w:rFonts w:ascii="Times New Roman" w:hAnsi="Times New Roman" w:cs="Times New Roman"/>
                <w:color w:val="000000" w:themeColor="text1"/>
              </w:rPr>
              <w:t xml:space="preserve"> </w:t>
            </w:r>
            <w:r w:rsidRPr="00FE771B">
              <w:rPr>
                <w:rFonts w:ascii="Times New Roman" w:hAnsi="Times New Roman" w:cs="Times New Roman"/>
                <w:color w:val="000000" w:themeColor="text1"/>
                <w:kern w:val="0"/>
                <w:sz w:val="18"/>
                <w:szCs w:val="18"/>
              </w:rPr>
              <w:t>test</w:t>
            </w:r>
          </w:p>
        </w:tc>
        <w:tc>
          <w:tcPr>
            <w:tcW w:w="1037" w:type="pct"/>
            <w:tcBorders>
              <w:top w:val="single" w:sz="4" w:space="0" w:color="auto"/>
              <w:left w:val="single" w:sz="4" w:space="0" w:color="auto"/>
              <w:bottom w:val="single" w:sz="4" w:space="0" w:color="auto"/>
              <w:right w:val="single" w:sz="4" w:space="0" w:color="auto"/>
            </w:tcBorders>
          </w:tcPr>
          <w:p w:rsidR="00DE700B" w:rsidRPr="00FE771B" w:rsidRDefault="00DE700B"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32.2591</w:t>
            </w:r>
          </w:p>
        </w:tc>
        <w:tc>
          <w:tcPr>
            <w:tcW w:w="1037" w:type="pct"/>
            <w:tcBorders>
              <w:top w:val="single" w:sz="4" w:space="0" w:color="auto"/>
              <w:left w:val="single" w:sz="4" w:space="0" w:color="auto"/>
              <w:bottom w:val="single" w:sz="4" w:space="0" w:color="auto"/>
              <w:right w:val="single" w:sz="4" w:space="0" w:color="auto"/>
            </w:tcBorders>
          </w:tcPr>
          <w:p w:rsidR="00DE700B" w:rsidRPr="00FE771B" w:rsidRDefault="00DE700B"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14.1301</w:t>
            </w:r>
          </w:p>
        </w:tc>
        <w:tc>
          <w:tcPr>
            <w:tcW w:w="1037" w:type="pct"/>
            <w:tcBorders>
              <w:top w:val="single" w:sz="4" w:space="0" w:color="auto"/>
              <w:left w:val="single" w:sz="4" w:space="0" w:color="auto"/>
              <w:bottom w:val="single" w:sz="4" w:space="0" w:color="auto"/>
              <w:right w:val="single" w:sz="4" w:space="0" w:color="auto"/>
            </w:tcBorders>
          </w:tcPr>
          <w:p w:rsidR="00DE700B" w:rsidRPr="00FE771B" w:rsidRDefault="00DE700B"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30.7159</w:t>
            </w:r>
          </w:p>
        </w:tc>
        <w:tc>
          <w:tcPr>
            <w:tcW w:w="1037" w:type="pct"/>
            <w:tcBorders>
              <w:top w:val="single" w:sz="4" w:space="0" w:color="auto"/>
              <w:left w:val="single" w:sz="4" w:space="0" w:color="auto"/>
              <w:bottom w:val="single" w:sz="4" w:space="0" w:color="auto"/>
              <w:right w:val="nil"/>
            </w:tcBorders>
          </w:tcPr>
          <w:p w:rsidR="00DE700B" w:rsidRPr="00FE771B" w:rsidRDefault="00DE700B"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14.1066</w:t>
            </w:r>
          </w:p>
        </w:tc>
      </w:tr>
      <w:tr w:rsidR="00A328C9" w:rsidRPr="00FE771B" w:rsidTr="00A328C9">
        <w:tc>
          <w:tcPr>
            <w:tcW w:w="852" w:type="pct"/>
            <w:tcBorders>
              <w:top w:val="single" w:sz="4" w:space="0" w:color="auto"/>
              <w:left w:val="nil"/>
              <w:bottom w:val="double" w:sz="4" w:space="0" w:color="auto"/>
              <w:right w:val="single" w:sz="4" w:space="0" w:color="auto"/>
            </w:tcBorders>
          </w:tcPr>
          <w:p w:rsidR="00DE700B" w:rsidRPr="00FE771B" w:rsidRDefault="00DE700B" w:rsidP="00CA624E">
            <w:pPr>
              <w:autoSpaceDE w:val="0"/>
              <w:autoSpaceDN w:val="0"/>
              <w:adjustRightInd w:val="0"/>
              <w:jc w:val="left"/>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Adj-R</w:t>
            </w:r>
            <w:r w:rsidRPr="00FE771B">
              <w:rPr>
                <w:rFonts w:ascii="Times New Roman" w:hAnsi="Times New Roman" w:cs="Times New Roman"/>
                <w:color w:val="000000" w:themeColor="text1"/>
                <w:kern w:val="0"/>
                <w:sz w:val="18"/>
                <w:szCs w:val="18"/>
                <w:vertAlign w:val="superscript"/>
              </w:rPr>
              <w:t>2</w:t>
            </w:r>
          </w:p>
        </w:tc>
        <w:tc>
          <w:tcPr>
            <w:tcW w:w="1037" w:type="pct"/>
            <w:tcBorders>
              <w:top w:val="single" w:sz="4" w:space="0" w:color="auto"/>
              <w:left w:val="single" w:sz="4" w:space="0" w:color="auto"/>
              <w:bottom w:val="double" w:sz="4" w:space="0" w:color="auto"/>
              <w:right w:val="single" w:sz="4" w:space="0" w:color="auto"/>
            </w:tcBorders>
          </w:tcPr>
          <w:p w:rsidR="00DE700B" w:rsidRPr="00FE771B" w:rsidRDefault="00DE700B"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0.1061</w:t>
            </w:r>
          </w:p>
        </w:tc>
        <w:tc>
          <w:tcPr>
            <w:tcW w:w="1037" w:type="pct"/>
            <w:tcBorders>
              <w:top w:val="single" w:sz="4" w:space="0" w:color="auto"/>
              <w:left w:val="single" w:sz="4" w:space="0" w:color="auto"/>
              <w:bottom w:val="double" w:sz="4" w:space="0" w:color="auto"/>
              <w:right w:val="single" w:sz="4" w:space="0" w:color="auto"/>
            </w:tcBorders>
          </w:tcPr>
          <w:p w:rsidR="00DE700B" w:rsidRPr="00FE771B" w:rsidRDefault="00DE700B"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0.0991</w:t>
            </w:r>
          </w:p>
        </w:tc>
        <w:tc>
          <w:tcPr>
            <w:tcW w:w="1037" w:type="pct"/>
            <w:tcBorders>
              <w:top w:val="single" w:sz="4" w:space="0" w:color="auto"/>
              <w:left w:val="single" w:sz="4" w:space="0" w:color="auto"/>
              <w:bottom w:val="double" w:sz="4" w:space="0" w:color="auto"/>
              <w:right w:val="single" w:sz="4" w:space="0" w:color="auto"/>
            </w:tcBorders>
          </w:tcPr>
          <w:p w:rsidR="00DE700B" w:rsidRPr="00FE771B" w:rsidRDefault="00DE700B"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0.0950</w:t>
            </w:r>
          </w:p>
        </w:tc>
        <w:tc>
          <w:tcPr>
            <w:tcW w:w="1037" w:type="pct"/>
            <w:tcBorders>
              <w:top w:val="single" w:sz="4" w:space="0" w:color="auto"/>
              <w:left w:val="single" w:sz="4" w:space="0" w:color="auto"/>
              <w:bottom w:val="double" w:sz="4" w:space="0" w:color="auto"/>
              <w:right w:val="nil"/>
            </w:tcBorders>
          </w:tcPr>
          <w:p w:rsidR="00DE700B" w:rsidRPr="00FE771B" w:rsidRDefault="00DE700B"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0.0991</w:t>
            </w:r>
          </w:p>
        </w:tc>
      </w:tr>
      <w:tr w:rsidR="00A328C9" w:rsidRPr="00FE771B" w:rsidTr="00A328C9">
        <w:trPr>
          <w:trHeight w:val="654"/>
        </w:trPr>
        <w:tc>
          <w:tcPr>
            <w:tcW w:w="852" w:type="pct"/>
            <w:tcBorders>
              <w:top w:val="double" w:sz="4" w:space="0" w:color="auto"/>
              <w:left w:val="nil"/>
              <w:bottom w:val="single" w:sz="4" w:space="0" w:color="auto"/>
              <w:right w:val="single" w:sz="4" w:space="0" w:color="auto"/>
            </w:tcBorders>
          </w:tcPr>
          <w:p w:rsidR="002A76DF" w:rsidRPr="00FE771B" w:rsidRDefault="002A76DF" w:rsidP="002A76DF">
            <w:pPr>
              <w:autoSpaceDE w:val="0"/>
              <w:autoSpaceDN w:val="0"/>
              <w:adjustRightInd w:val="0"/>
              <w:jc w:val="left"/>
              <w:rPr>
                <w:rFonts w:ascii="Times New Roman" w:hAnsi="Times New Roman" w:cs="Times New Roman"/>
                <w:color w:val="000000" w:themeColor="text1"/>
                <w:kern w:val="0"/>
                <w:sz w:val="18"/>
                <w:szCs w:val="18"/>
              </w:rPr>
            </w:pPr>
          </w:p>
        </w:tc>
        <w:tc>
          <w:tcPr>
            <w:tcW w:w="1037" w:type="pct"/>
            <w:tcBorders>
              <w:top w:val="double" w:sz="4" w:space="0" w:color="auto"/>
              <w:left w:val="single" w:sz="4" w:space="0" w:color="auto"/>
              <w:bottom w:val="single" w:sz="4" w:space="0" w:color="auto"/>
              <w:right w:val="single" w:sz="4" w:space="0" w:color="auto"/>
            </w:tcBorders>
          </w:tcPr>
          <w:p w:rsidR="00A328C9" w:rsidRPr="00FE771B" w:rsidRDefault="002A76DF" w:rsidP="002A76D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(1)</w:t>
            </w:r>
          </w:p>
          <w:p w:rsidR="002A76DF" w:rsidRPr="00FE771B" w:rsidRDefault="00A328C9" w:rsidP="000C57ED">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i/>
                <w:color w:val="000000" w:themeColor="text1"/>
                <w:kern w:val="0"/>
                <w:sz w:val="18"/>
                <w:szCs w:val="18"/>
              </w:rPr>
              <w:t>Rem</w:t>
            </w:r>
          </w:p>
        </w:tc>
        <w:tc>
          <w:tcPr>
            <w:tcW w:w="1037" w:type="pct"/>
            <w:tcBorders>
              <w:top w:val="double" w:sz="4" w:space="0" w:color="auto"/>
              <w:left w:val="single" w:sz="4" w:space="0" w:color="auto"/>
              <w:bottom w:val="single" w:sz="4" w:space="0" w:color="auto"/>
              <w:right w:val="single" w:sz="4" w:space="0" w:color="auto"/>
            </w:tcBorders>
          </w:tcPr>
          <w:p w:rsidR="00A328C9" w:rsidRPr="00FE771B" w:rsidRDefault="002A76DF" w:rsidP="002A76D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(2)</w:t>
            </w:r>
          </w:p>
          <w:p w:rsidR="002A76DF" w:rsidRPr="00FE771B" w:rsidRDefault="00A328C9" w:rsidP="000C57ED">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i/>
                <w:color w:val="000000" w:themeColor="text1"/>
                <w:kern w:val="0"/>
                <w:sz w:val="18"/>
                <w:szCs w:val="18"/>
              </w:rPr>
              <w:t>Fin</w:t>
            </w:r>
          </w:p>
        </w:tc>
        <w:tc>
          <w:tcPr>
            <w:tcW w:w="1037" w:type="pct"/>
            <w:tcBorders>
              <w:top w:val="double" w:sz="4" w:space="0" w:color="auto"/>
              <w:left w:val="single" w:sz="4" w:space="0" w:color="auto"/>
              <w:bottom w:val="single" w:sz="4" w:space="0" w:color="auto"/>
              <w:right w:val="single" w:sz="4" w:space="0" w:color="auto"/>
            </w:tcBorders>
          </w:tcPr>
          <w:p w:rsidR="00A328C9" w:rsidRPr="00FE771B" w:rsidRDefault="002A76DF" w:rsidP="002A76D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(3)</w:t>
            </w:r>
          </w:p>
          <w:p w:rsidR="002A76DF" w:rsidRPr="00FE771B" w:rsidRDefault="00A328C9" w:rsidP="000C57ED">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i/>
                <w:color w:val="000000" w:themeColor="text1"/>
                <w:kern w:val="0"/>
                <w:sz w:val="18"/>
                <w:szCs w:val="18"/>
              </w:rPr>
              <w:t>Rem</w:t>
            </w:r>
          </w:p>
        </w:tc>
        <w:tc>
          <w:tcPr>
            <w:tcW w:w="1037" w:type="pct"/>
            <w:tcBorders>
              <w:top w:val="double" w:sz="4" w:space="0" w:color="auto"/>
              <w:left w:val="single" w:sz="4" w:space="0" w:color="auto"/>
              <w:bottom w:val="single" w:sz="4" w:space="0" w:color="auto"/>
              <w:right w:val="nil"/>
            </w:tcBorders>
          </w:tcPr>
          <w:p w:rsidR="00A328C9" w:rsidRPr="00FE771B" w:rsidRDefault="002A76DF" w:rsidP="002A76D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(4)</w:t>
            </w:r>
          </w:p>
          <w:p w:rsidR="002A76DF" w:rsidRPr="00FE771B" w:rsidRDefault="00A328C9" w:rsidP="000C57ED">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i/>
                <w:color w:val="000000" w:themeColor="text1"/>
                <w:kern w:val="0"/>
                <w:sz w:val="18"/>
                <w:szCs w:val="18"/>
              </w:rPr>
              <w:t>Fin</w:t>
            </w:r>
          </w:p>
        </w:tc>
      </w:tr>
      <w:tr w:rsidR="00A328C9" w:rsidRPr="00FE771B" w:rsidTr="00A328C9">
        <w:trPr>
          <w:trHeight w:val="634"/>
        </w:trPr>
        <w:tc>
          <w:tcPr>
            <w:tcW w:w="852" w:type="pct"/>
            <w:tcBorders>
              <w:top w:val="single" w:sz="4" w:space="0" w:color="auto"/>
              <w:left w:val="nil"/>
              <w:bottom w:val="single" w:sz="4" w:space="0" w:color="auto"/>
              <w:right w:val="single" w:sz="4" w:space="0" w:color="auto"/>
            </w:tcBorders>
          </w:tcPr>
          <w:p w:rsidR="00326AB7" w:rsidRPr="00FE771B" w:rsidRDefault="00326AB7" w:rsidP="002A76DF">
            <w:pPr>
              <w:autoSpaceDE w:val="0"/>
              <w:autoSpaceDN w:val="0"/>
              <w:adjustRightInd w:val="0"/>
              <w:jc w:val="left"/>
              <w:rPr>
                <w:rFonts w:ascii="Times New Roman" w:hAnsi="Times New Roman" w:cs="Times New Roman"/>
                <w:i/>
                <w:color w:val="000000" w:themeColor="text1"/>
                <w:kern w:val="0"/>
                <w:sz w:val="18"/>
                <w:szCs w:val="18"/>
              </w:rPr>
            </w:pPr>
            <w:proofErr w:type="spellStart"/>
            <w:r w:rsidRPr="00FE771B">
              <w:rPr>
                <w:rFonts w:ascii="Times New Roman" w:hAnsi="Times New Roman" w:cs="Times New Roman"/>
                <w:i/>
                <w:color w:val="000000" w:themeColor="text1"/>
                <w:kern w:val="0"/>
                <w:sz w:val="18"/>
                <w:szCs w:val="18"/>
              </w:rPr>
              <w:t>Vam_logit</w:t>
            </w:r>
            <w:proofErr w:type="spellEnd"/>
          </w:p>
        </w:tc>
        <w:tc>
          <w:tcPr>
            <w:tcW w:w="1037" w:type="pct"/>
            <w:tcBorders>
              <w:top w:val="single" w:sz="4" w:space="0" w:color="auto"/>
              <w:left w:val="single" w:sz="4" w:space="0" w:color="auto"/>
              <w:bottom w:val="single" w:sz="4" w:space="0" w:color="auto"/>
              <w:right w:val="single" w:sz="4" w:space="0" w:color="auto"/>
            </w:tcBorders>
          </w:tcPr>
          <w:p w:rsidR="00A328C9" w:rsidRPr="00FE771B" w:rsidRDefault="00326AB7"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0.0246</w:t>
            </w:r>
          </w:p>
          <w:p w:rsidR="00326AB7" w:rsidRPr="00FE771B" w:rsidRDefault="00A328C9"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(4.561)</w:t>
            </w:r>
            <w:r w:rsidRPr="00FE771B">
              <w:rPr>
                <w:rFonts w:ascii="Times New Roman" w:hAnsi="Times New Roman" w:cs="Times New Roman"/>
                <w:color w:val="000000" w:themeColor="text1"/>
                <w:kern w:val="0"/>
                <w:sz w:val="18"/>
                <w:szCs w:val="18"/>
                <w:vertAlign w:val="superscript"/>
              </w:rPr>
              <w:t>***</w:t>
            </w:r>
          </w:p>
        </w:tc>
        <w:tc>
          <w:tcPr>
            <w:tcW w:w="1037" w:type="pct"/>
            <w:tcBorders>
              <w:top w:val="single" w:sz="4" w:space="0" w:color="auto"/>
              <w:left w:val="single" w:sz="4" w:space="0" w:color="auto"/>
              <w:bottom w:val="single" w:sz="4" w:space="0" w:color="auto"/>
              <w:right w:val="single" w:sz="4" w:space="0" w:color="auto"/>
            </w:tcBorders>
          </w:tcPr>
          <w:p w:rsidR="00A328C9" w:rsidRPr="00FE771B" w:rsidRDefault="00326AB7"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0.0111</w:t>
            </w:r>
          </w:p>
          <w:p w:rsidR="00326AB7" w:rsidRPr="00FE771B" w:rsidRDefault="00A328C9"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(0.650)</w:t>
            </w:r>
          </w:p>
        </w:tc>
        <w:tc>
          <w:tcPr>
            <w:tcW w:w="1037" w:type="pct"/>
            <w:tcBorders>
              <w:top w:val="single" w:sz="4" w:space="0" w:color="auto"/>
              <w:left w:val="single" w:sz="4" w:space="0" w:color="auto"/>
              <w:bottom w:val="single" w:sz="4" w:space="0" w:color="auto"/>
              <w:right w:val="single" w:sz="4" w:space="0" w:color="auto"/>
            </w:tcBorders>
          </w:tcPr>
          <w:p w:rsidR="00326AB7" w:rsidRPr="00FE771B" w:rsidRDefault="00326AB7" w:rsidP="002A76DF">
            <w:pPr>
              <w:autoSpaceDE w:val="0"/>
              <w:autoSpaceDN w:val="0"/>
              <w:adjustRightInd w:val="0"/>
              <w:jc w:val="center"/>
              <w:rPr>
                <w:rFonts w:ascii="Times New Roman" w:hAnsi="Times New Roman" w:cs="Times New Roman"/>
                <w:color w:val="000000" w:themeColor="text1"/>
                <w:kern w:val="0"/>
                <w:sz w:val="18"/>
                <w:szCs w:val="18"/>
              </w:rPr>
            </w:pPr>
          </w:p>
        </w:tc>
        <w:tc>
          <w:tcPr>
            <w:tcW w:w="1037" w:type="pct"/>
            <w:tcBorders>
              <w:top w:val="single" w:sz="4" w:space="0" w:color="auto"/>
              <w:left w:val="single" w:sz="4" w:space="0" w:color="auto"/>
              <w:bottom w:val="single" w:sz="4" w:space="0" w:color="auto"/>
              <w:right w:val="nil"/>
            </w:tcBorders>
          </w:tcPr>
          <w:p w:rsidR="00326AB7" w:rsidRPr="00FE771B" w:rsidRDefault="00326AB7" w:rsidP="002A76DF">
            <w:pPr>
              <w:autoSpaceDE w:val="0"/>
              <w:autoSpaceDN w:val="0"/>
              <w:adjustRightInd w:val="0"/>
              <w:jc w:val="center"/>
              <w:rPr>
                <w:rFonts w:ascii="Times New Roman" w:hAnsi="Times New Roman" w:cs="Times New Roman"/>
                <w:color w:val="000000" w:themeColor="text1"/>
                <w:kern w:val="0"/>
                <w:sz w:val="18"/>
                <w:szCs w:val="18"/>
              </w:rPr>
            </w:pPr>
          </w:p>
        </w:tc>
      </w:tr>
      <w:tr w:rsidR="00A328C9" w:rsidRPr="00FE771B" w:rsidTr="00A328C9">
        <w:trPr>
          <w:trHeight w:val="634"/>
        </w:trPr>
        <w:tc>
          <w:tcPr>
            <w:tcW w:w="852" w:type="pct"/>
            <w:tcBorders>
              <w:top w:val="single" w:sz="4" w:space="0" w:color="auto"/>
              <w:left w:val="nil"/>
              <w:bottom w:val="single" w:sz="4" w:space="0" w:color="auto"/>
              <w:right w:val="single" w:sz="4" w:space="0" w:color="auto"/>
            </w:tcBorders>
          </w:tcPr>
          <w:p w:rsidR="00326AB7" w:rsidRPr="00FE771B" w:rsidRDefault="00326AB7" w:rsidP="002A76DF">
            <w:pPr>
              <w:autoSpaceDE w:val="0"/>
              <w:autoSpaceDN w:val="0"/>
              <w:adjustRightInd w:val="0"/>
              <w:jc w:val="left"/>
              <w:rPr>
                <w:rFonts w:ascii="Times New Roman" w:hAnsi="Times New Roman" w:cs="Times New Roman"/>
                <w:i/>
                <w:color w:val="000000" w:themeColor="text1"/>
                <w:kern w:val="0"/>
                <w:sz w:val="18"/>
                <w:szCs w:val="18"/>
              </w:rPr>
            </w:pPr>
            <w:proofErr w:type="spellStart"/>
            <w:r w:rsidRPr="00FE771B">
              <w:rPr>
                <w:rFonts w:ascii="Times New Roman" w:hAnsi="Times New Roman" w:cs="Times New Roman"/>
                <w:i/>
                <w:color w:val="000000" w:themeColor="text1"/>
                <w:kern w:val="0"/>
                <w:sz w:val="18"/>
                <w:szCs w:val="18"/>
              </w:rPr>
              <w:t>Vam_numbers</w:t>
            </w:r>
            <w:proofErr w:type="spellEnd"/>
          </w:p>
        </w:tc>
        <w:tc>
          <w:tcPr>
            <w:tcW w:w="1037" w:type="pct"/>
            <w:tcBorders>
              <w:top w:val="single" w:sz="4" w:space="0" w:color="auto"/>
              <w:left w:val="single" w:sz="4" w:space="0" w:color="auto"/>
              <w:bottom w:val="single" w:sz="4" w:space="0" w:color="auto"/>
              <w:right w:val="single" w:sz="4" w:space="0" w:color="auto"/>
            </w:tcBorders>
          </w:tcPr>
          <w:p w:rsidR="00326AB7" w:rsidRPr="00FE771B" w:rsidRDefault="00326AB7" w:rsidP="002A76DF">
            <w:pPr>
              <w:autoSpaceDE w:val="0"/>
              <w:autoSpaceDN w:val="0"/>
              <w:adjustRightInd w:val="0"/>
              <w:jc w:val="center"/>
              <w:rPr>
                <w:rFonts w:ascii="Times New Roman" w:hAnsi="Times New Roman" w:cs="Times New Roman"/>
                <w:color w:val="000000" w:themeColor="text1"/>
                <w:kern w:val="0"/>
                <w:sz w:val="18"/>
                <w:szCs w:val="18"/>
              </w:rPr>
            </w:pPr>
          </w:p>
        </w:tc>
        <w:tc>
          <w:tcPr>
            <w:tcW w:w="1037" w:type="pct"/>
            <w:tcBorders>
              <w:top w:val="single" w:sz="4" w:space="0" w:color="auto"/>
              <w:left w:val="single" w:sz="4" w:space="0" w:color="auto"/>
              <w:bottom w:val="single" w:sz="4" w:space="0" w:color="auto"/>
              <w:right w:val="single" w:sz="4" w:space="0" w:color="auto"/>
            </w:tcBorders>
          </w:tcPr>
          <w:p w:rsidR="00326AB7" w:rsidRPr="00FE771B" w:rsidRDefault="00326AB7" w:rsidP="002A76DF">
            <w:pPr>
              <w:autoSpaceDE w:val="0"/>
              <w:autoSpaceDN w:val="0"/>
              <w:adjustRightInd w:val="0"/>
              <w:jc w:val="center"/>
              <w:rPr>
                <w:rFonts w:ascii="Times New Roman" w:hAnsi="Times New Roman" w:cs="Times New Roman"/>
                <w:color w:val="000000" w:themeColor="text1"/>
                <w:kern w:val="0"/>
                <w:sz w:val="18"/>
                <w:szCs w:val="18"/>
              </w:rPr>
            </w:pPr>
          </w:p>
        </w:tc>
        <w:tc>
          <w:tcPr>
            <w:tcW w:w="1037" w:type="pct"/>
            <w:tcBorders>
              <w:top w:val="single" w:sz="4" w:space="0" w:color="auto"/>
              <w:left w:val="single" w:sz="4" w:space="0" w:color="auto"/>
              <w:bottom w:val="single" w:sz="4" w:space="0" w:color="auto"/>
              <w:right w:val="single" w:sz="4" w:space="0" w:color="auto"/>
            </w:tcBorders>
          </w:tcPr>
          <w:p w:rsidR="00A328C9" w:rsidRPr="00FE771B" w:rsidRDefault="00326AB7"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0.0052</w:t>
            </w:r>
          </w:p>
          <w:p w:rsidR="00326AB7" w:rsidRPr="00FE771B" w:rsidRDefault="00A328C9"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(2.023)</w:t>
            </w:r>
            <w:r w:rsidRPr="00FE771B">
              <w:rPr>
                <w:rFonts w:ascii="Times New Roman" w:hAnsi="Times New Roman" w:cs="Times New Roman"/>
                <w:color w:val="000000" w:themeColor="text1"/>
                <w:kern w:val="0"/>
                <w:sz w:val="18"/>
                <w:szCs w:val="18"/>
                <w:vertAlign w:val="superscript"/>
              </w:rPr>
              <w:t>**</w:t>
            </w:r>
          </w:p>
        </w:tc>
        <w:tc>
          <w:tcPr>
            <w:tcW w:w="1037" w:type="pct"/>
            <w:tcBorders>
              <w:top w:val="single" w:sz="4" w:space="0" w:color="auto"/>
              <w:left w:val="single" w:sz="4" w:space="0" w:color="auto"/>
              <w:bottom w:val="single" w:sz="4" w:space="0" w:color="auto"/>
              <w:right w:val="nil"/>
            </w:tcBorders>
          </w:tcPr>
          <w:p w:rsidR="00A328C9" w:rsidRPr="00FE771B" w:rsidRDefault="00326AB7"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0.0071</w:t>
            </w:r>
          </w:p>
          <w:p w:rsidR="00326AB7" w:rsidRPr="00FE771B" w:rsidRDefault="00A328C9"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(0.939)</w:t>
            </w:r>
          </w:p>
        </w:tc>
      </w:tr>
      <w:tr w:rsidR="00A328C9" w:rsidRPr="00FE771B" w:rsidTr="00A328C9">
        <w:trPr>
          <w:trHeight w:val="634"/>
        </w:trPr>
        <w:tc>
          <w:tcPr>
            <w:tcW w:w="852" w:type="pct"/>
            <w:tcBorders>
              <w:top w:val="single" w:sz="4" w:space="0" w:color="auto"/>
              <w:left w:val="nil"/>
              <w:bottom w:val="single" w:sz="4" w:space="0" w:color="auto"/>
              <w:right w:val="single" w:sz="4" w:space="0" w:color="auto"/>
            </w:tcBorders>
          </w:tcPr>
          <w:p w:rsidR="00326AB7" w:rsidRPr="00FE771B" w:rsidRDefault="00326AB7" w:rsidP="002A76DF">
            <w:pPr>
              <w:autoSpaceDE w:val="0"/>
              <w:autoSpaceDN w:val="0"/>
              <w:adjustRightInd w:val="0"/>
              <w:jc w:val="left"/>
              <w:rPr>
                <w:rFonts w:ascii="Times New Roman" w:hAnsi="Times New Roman" w:cs="Times New Roman"/>
                <w:i/>
                <w:color w:val="000000" w:themeColor="text1"/>
                <w:kern w:val="0"/>
                <w:sz w:val="18"/>
                <w:szCs w:val="18"/>
              </w:rPr>
            </w:pPr>
            <w:r w:rsidRPr="00FE771B">
              <w:rPr>
                <w:rFonts w:ascii="Times New Roman" w:hAnsi="Times New Roman" w:cs="Times New Roman"/>
                <w:i/>
                <w:color w:val="000000" w:themeColor="text1"/>
                <w:kern w:val="0"/>
                <w:sz w:val="18"/>
                <w:szCs w:val="18"/>
              </w:rPr>
              <w:t>Rem</w:t>
            </w:r>
          </w:p>
        </w:tc>
        <w:tc>
          <w:tcPr>
            <w:tcW w:w="1037" w:type="pct"/>
            <w:tcBorders>
              <w:top w:val="single" w:sz="4" w:space="0" w:color="auto"/>
              <w:left w:val="single" w:sz="4" w:space="0" w:color="auto"/>
              <w:bottom w:val="single" w:sz="4" w:space="0" w:color="auto"/>
              <w:right w:val="single" w:sz="4" w:space="0" w:color="auto"/>
            </w:tcBorders>
          </w:tcPr>
          <w:p w:rsidR="00326AB7" w:rsidRPr="00FE771B" w:rsidRDefault="00326AB7" w:rsidP="00180772">
            <w:pPr>
              <w:autoSpaceDE w:val="0"/>
              <w:autoSpaceDN w:val="0"/>
              <w:adjustRightInd w:val="0"/>
              <w:jc w:val="center"/>
              <w:rPr>
                <w:rFonts w:ascii="Times New Roman" w:hAnsi="Times New Roman" w:cs="Times New Roman"/>
                <w:color w:val="000000" w:themeColor="text1"/>
                <w:kern w:val="0"/>
                <w:sz w:val="18"/>
                <w:szCs w:val="18"/>
              </w:rPr>
            </w:pPr>
          </w:p>
        </w:tc>
        <w:tc>
          <w:tcPr>
            <w:tcW w:w="1037" w:type="pct"/>
            <w:tcBorders>
              <w:top w:val="single" w:sz="4" w:space="0" w:color="auto"/>
              <w:left w:val="single" w:sz="4" w:space="0" w:color="auto"/>
              <w:bottom w:val="single" w:sz="4" w:space="0" w:color="auto"/>
              <w:right w:val="single" w:sz="4" w:space="0" w:color="auto"/>
            </w:tcBorders>
          </w:tcPr>
          <w:p w:rsidR="00A328C9" w:rsidRPr="00FE771B" w:rsidRDefault="00326AB7"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0.0955</w:t>
            </w:r>
          </w:p>
          <w:p w:rsidR="00326AB7" w:rsidRPr="00FE771B" w:rsidRDefault="00A328C9"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(2.679)</w:t>
            </w:r>
            <w:r w:rsidRPr="00FE771B">
              <w:rPr>
                <w:rFonts w:ascii="Times New Roman" w:hAnsi="Times New Roman" w:cs="Times New Roman"/>
                <w:color w:val="000000" w:themeColor="text1"/>
                <w:kern w:val="0"/>
                <w:sz w:val="18"/>
                <w:szCs w:val="18"/>
                <w:vertAlign w:val="superscript"/>
              </w:rPr>
              <w:t>***</w:t>
            </w:r>
          </w:p>
        </w:tc>
        <w:tc>
          <w:tcPr>
            <w:tcW w:w="1037" w:type="pct"/>
            <w:tcBorders>
              <w:top w:val="single" w:sz="4" w:space="0" w:color="auto"/>
              <w:left w:val="single" w:sz="4" w:space="0" w:color="auto"/>
              <w:bottom w:val="single" w:sz="4" w:space="0" w:color="auto"/>
              <w:right w:val="single" w:sz="4" w:space="0" w:color="auto"/>
            </w:tcBorders>
          </w:tcPr>
          <w:p w:rsidR="00326AB7" w:rsidRPr="00FE771B" w:rsidRDefault="00326AB7" w:rsidP="00F20551">
            <w:pPr>
              <w:autoSpaceDE w:val="0"/>
              <w:autoSpaceDN w:val="0"/>
              <w:adjustRightInd w:val="0"/>
              <w:jc w:val="center"/>
              <w:rPr>
                <w:rFonts w:ascii="Times New Roman" w:hAnsi="Times New Roman" w:cs="Times New Roman"/>
                <w:color w:val="000000" w:themeColor="text1"/>
                <w:kern w:val="0"/>
                <w:sz w:val="18"/>
                <w:szCs w:val="18"/>
              </w:rPr>
            </w:pPr>
          </w:p>
        </w:tc>
        <w:tc>
          <w:tcPr>
            <w:tcW w:w="1037" w:type="pct"/>
            <w:tcBorders>
              <w:top w:val="single" w:sz="4" w:space="0" w:color="auto"/>
              <w:left w:val="single" w:sz="4" w:space="0" w:color="auto"/>
              <w:bottom w:val="single" w:sz="4" w:space="0" w:color="auto"/>
              <w:right w:val="nil"/>
            </w:tcBorders>
          </w:tcPr>
          <w:p w:rsidR="00A328C9" w:rsidRPr="00FE771B" w:rsidRDefault="00326AB7"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0.0959</w:t>
            </w:r>
          </w:p>
          <w:p w:rsidR="00326AB7" w:rsidRPr="00FE771B" w:rsidRDefault="00A328C9"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(2.693)</w:t>
            </w:r>
            <w:r w:rsidRPr="00FE771B">
              <w:rPr>
                <w:rFonts w:ascii="Times New Roman" w:hAnsi="Times New Roman" w:cs="Times New Roman"/>
                <w:color w:val="000000" w:themeColor="text1"/>
                <w:kern w:val="0"/>
                <w:sz w:val="18"/>
                <w:szCs w:val="18"/>
                <w:vertAlign w:val="superscript"/>
              </w:rPr>
              <w:t>***</w:t>
            </w:r>
          </w:p>
        </w:tc>
      </w:tr>
      <w:tr w:rsidR="00A328C9" w:rsidRPr="00FE771B" w:rsidTr="00A328C9">
        <w:tc>
          <w:tcPr>
            <w:tcW w:w="852" w:type="pct"/>
            <w:tcBorders>
              <w:top w:val="single" w:sz="4" w:space="0" w:color="auto"/>
              <w:left w:val="nil"/>
              <w:bottom w:val="single" w:sz="4" w:space="0" w:color="auto"/>
              <w:right w:val="single" w:sz="4" w:space="0" w:color="auto"/>
            </w:tcBorders>
          </w:tcPr>
          <w:p w:rsidR="00326AB7" w:rsidRPr="00FE771B" w:rsidRDefault="004B716E" w:rsidP="00180772">
            <w:pPr>
              <w:autoSpaceDE w:val="0"/>
              <w:autoSpaceDN w:val="0"/>
              <w:adjustRightInd w:val="0"/>
              <w:jc w:val="left"/>
              <w:rPr>
                <w:rFonts w:ascii="Times New Roman" w:hAnsi="Times New Roman" w:cs="Times New Roman"/>
                <w:i/>
                <w:color w:val="000000" w:themeColor="text1"/>
                <w:kern w:val="0"/>
                <w:sz w:val="18"/>
                <w:szCs w:val="18"/>
              </w:rPr>
            </w:pPr>
            <w:r w:rsidRPr="00FE771B">
              <w:rPr>
                <w:rFonts w:ascii="Times New Roman" w:hAnsi="Times New Roman" w:cs="Times New Roman"/>
                <w:i/>
                <w:color w:val="000000" w:themeColor="text1"/>
                <w:kern w:val="0"/>
                <w:sz w:val="18"/>
                <w:szCs w:val="18"/>
              </w:rPr>
              <w:t>Controls</w:t>
            </w:r>
          </w:p>
        </w:tc>
        <w:tc>
          <w:tcPr>
            <w:tcW w:w="1037" w:type="pct"/>
            <w:tcBorders>
              <w:top w:val="single" w:sz="4" w:space="0" w:color="auto"/>
              <w:left w:val="single" w:sz="4" w:space="0" w:color="auto"/>
              <w:bottom w:val="single" w:sz="4" w:space="0" w:color="auto"/>
              <w:right w:val="single" w:sz="4" w:space="0" w:color="auto"/>
            </w:tcBorders>
          </w:tcPr>
          <w:p w:rsidR="00326AB7" w:rsidRPr="00FE771B" w:rsidRDefault="004B716E"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控制</w:t>
            </w:r>
          </w:p>
        </w:tc>
        <w:tc>
          <w:tcPr>
            <w:tcW w:w="1037" w:type="pct"/>
            <w:tcBorders>
              <w:top w:val="single" w:sz="4" w:space="0" w:color="auto"/>
              <w:left w:val="single" w:sz="4" w:space="0" w:color="auto"/>
              <w:bottom w:val="single" w:sz="4" w:space="0" w:color="auto"/>
              <w:right w:val="single" w:sz="4" w:space="0" w:color="auto"/>
            </w:tcBorders>
          </w:tcPr>
          <w:p w:rsidR="00326AB7" w:rsidRPr="00FE771B" w:rsidRDefault="004B716E"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控制</w:t>
            </w:r>
          </w:p>
        </w:tc>
        <w:tc>
          <w:tcPr>
            <w:tcW w:w="1037" w:type="pct"/>
            <w:tcBorders>
              <w:top w:val="single" w:sz="4" w:space="0" w:color="auto"/>
              <w:left w:val="single" w:sz="4" w:space="0" w:color="auto"/>
              <w:bottom w:val="single" w:sz="4" w:space="0" w:color="auto"/>
              <w:right w:val="single" w:sz="4" w:space="0" w:color="auto"/>
            </w:tcBorders>
          </w:tcPr>
          <w:p w:rsidR="00326AB7" w:rsidRPr="00FE771B" w:rsidRDefault="004B716E"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控制</w:t>
            </w:r>
          </w:p>
        </w:tc>
        <w:tc>
          <w:tcPr>
            <w:tcW w:w="1037" w:type="pct"/>
            <w:tcBorders>
              <w:top w:val="single" w:sz="4" w:space="0" w:color="auto"/>
              <w:left w:val="single" w:sz="4" w:space="0" w:color="auto"/>
              <w:bottom w:val="single" w:sz="4" w:space="0" w:color="auto"/>
              <w:right w:val="nil"/>
            </w:tcBorders>
          </w:tcPr>
          <w:p w:rsidR="00326AB7" w:rsidRPr="00FE771B" w:rsidRDefault="004B716E"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控制</w:t>
            </w:r>
          </w:p>
        </w:tc>
      </w:tr>
      <w:tr w:rsidR="00A328C9" w:rsidRPr="00FE771B" w:rsidTr="00A328C9">
        <w:trPr>
          <w:trHeight w:val="634"/>
        </w:trPr>
        <w:tc>
          <w:tcPr>
            <w:tcW w:w="852" w:type="pct"/>
            <w:tcBorders>
              <w:top w:val="single" w:sz="4" w:space="0" w:color="auto"/>
              <w:left w:val="nil"/>
              <w:bottom w:val="single" w:sz="4" w:space="0" w:color="auto"/>
              <w:right w:val="single" w:sz="4" w:space="0" w:color="auto"/>
            </w:tcBorders>
          </w:tcPr>
          <w:p w:rsidR="00326AB7" w:rsidRPr="00FE771B" w:rsidRDefault="00326AB7" w:rsidP="002A76DF">
            <w:pPr>
              <w:autoSpaceDE w:val="0"/>
              <w:autoSpaceDN w:val="0"/>
              <w:adjustRightInd w:val="0"/>
              <w:jc w:val="left"/>
              <w:rPr>
                <w:rFonts w:ascii="Times New Roman" w:hAnsi="Times New Roman" w:cs="Times New Roman"/>
                <w:i/>
                <w:color w:val="000000" w:themeColor="text1"/>
                <w:kern w:val="0"/>
                <w:sz w:val="18"/>
                <w:szCs w:val="18"/>
              </w:rPr>
            </w:pPr>
            <w:r w:rsidRPr="00FE771B">
              <w:rPr>
                <w:rFonts w:ascii="Times New Roman" w:hAnsi="Times New Roman" w:cs="Times New Roman"/>
                <w:i/>
                <w:color w:val="000000" w:themeColor="text1"/>
                <w:kern w:val="0"/>
                <w:sz w:val="18"/>
                <w:szCs w:val="18"/>
              </w:rPr>
              <w:t>_cons</w:t>
            </w:r>
          </w:p>
        </w:tc>
        <w:tc>
          <w:tcPr>
            <w:tcW w:w="1037" w:type="pct"/>
            <w:tcBorders>
              <w:top w:val="single" w:sz="4" w:space="0" w:color="auto"/>
              <w:left w:val="single" w:sz="4" w:space="0" w:color="auto"/>
              <w:bottom w:val="single" w:sz="4" w:space="0" w:color="auto"/>
              <w:right w:val="single" w:sz="4" w:space="0" w:color="auto"/>
            </w:tcBorders>
          </w:tcPr>
          <w:p w:rsidR="00A328C9" w:rsidRPr="00FE771B" w:rsidRDefault="00326AB7"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0.1412</w:t>
            </w:r>
          </w:p>
          <w:p w:rsidR="00326AB7" w:rsidRPr="00FE771B" w:rsidRDefault="00A328C9"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(1.863)</w:t>
            </w:r>
            <w:r w:rsidRPr="00FE771B">
              <w:rPr>
                <w:rFonts w:ascii="Times New Roman" w:hAnsi="Times New Roman" w:cs="Times New Roman"/>
                <w:color w:val="000000" w:themeColor="text1"/>
                <w:kern w:val="0"/>
                <w:sz w:val="18"/>
                <w:szCs w:val="18"/>
                <w:vertAlign w:val="superscript"/>
              </w:rPr>
              <w:t>*</w:t>
            </w:r>
          </w:p>
        </w:tc>
        <w:tc>
          <w:tcPr>
            <w:tcW w:w="1037" w:type="pct"/>
            <w:tcBorders>
              <w:top w:val="single" w:sz="4" w:space="0" w:color="auto"/>
              <w:left w:val="single" w:sz="4" w:space="0" w:color="auto"/>
              <w:bottom w:val="single" w:sz="4" w:space="0" w:color="auto"/>
              <w:right w:val="single" w:sz="4" w:space="0" w:color="auto"/>
            </w:tcBorders>
          </w:tcPr>
          <w:p w:rsidR="00A328C9" w:rsidRPr="00FE771B" w:rsidRDefault="00326AB7"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0.2062</w:t>
            </w:r>
          </w:p>
          <w:p w:rsidR="00326AB7" w:rsidRPr="00FE771B" w:rsidRDefault="00A328C9"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(0.728)</w:t>
            </w:r>
          </w:p>
        </w:tc>
        <w:tc>
          <w:tcPr>
            <w:tcW w:w="1037" w:type="pct"/>
            <w:tcBorders>
              <w:top w:val="single" w:sz="4" w:space="0" w:color="auto"/>
              <w:left w:val="single" w:sz="4" w:space="0" w:color="auto"/>
              <w:bottom w:val="single" w:sz="4" w:space="0" w:color="auto"/>
              <w:right w:val="single" w:sz="4" w:space="0" w:color="auto"/>
            </w:tcBorders>
          </w:tcPr>
          <w:p w:rsidR="00A328C9" w:rsidRPr="00FE771B" w:rsidRDefault="00326AB7"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0.1491</w:t>
            </w:r>
          </w:p>
          <w:p w:rsidR="00326AB7" w:rsidRPr="00FE771B" w:rsidRDefault="00A328C9"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(1.977)</w:t>
            </w:r>
            <w:r w:rsidRPr="00FE771B">
              <w:rPr>
                <w:rFonts w:ascii="Times New Roman" w:hAnsi="Times New Roman" w:cs="Times New Roman"/>
                <w:color w:val="000000" w:themeColor="text1"/>
                <w:kern w:val="0"/>
                <w:sz w:val="18"/>
                <w:szCs w:val="18"/>
                <w:vertAlign w:val="superscript"/>
              </w:rPr>
              <w:t>**</w:t>
            </w:r>
          </w:p>
        </w:tc>
        <w:tc>
          <w:tcPr>
            <w:tcW w:w="1037" w:type="pct"/>
            <w:tcBorders>
              <w:top w:val="single" w:sz="4" w:space="0" w:color="auto"/>
              <w:left w:val="single" w:sz="4" w:space="0" w:color="auto"/>
              <w:bottom w:val="single" w:sz="4" w:space="0" w:color="auto"/>
              <w:right w:val="nil"/>
            </w:tcBorders>
          </w:tcPr>
          <w:p w:rsidR="00A328C9" w:rsidRPr="00FE771B" w:rsidRDefault="00326AB7"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0.2092</w:t>
            </w:r>
          </w:p>
          <w:p w:rsidR="00326AB7" w:rsidRPr="00FE771B" w:rsidRDefault="00A328C9"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(0.739)</w:t>
            </w:r>
          </w:p>
        </w:tc>
      </w:tr>
      <w:tr w:rsidR="00A328C9" w:rsidRPr="00FE771B" w:rsidTr="00A328C9">
        <w:tc>
          <w:tcPr>
            <w:tcW w:w="852" w:type="pct"/>
            <w:tcBorders>
              <w:top w:val="single" w:sz="4" w:space="0" w:color="auto"/>
              <w:left w:val="nil"/>
              <w:bottom w:val="single" w:sz="4" w:space="0" w:color="auto"/>
              <w:right w:val="single" w:sz="4" w:space="0" w:color="auto"/>
            </w:tcBorders>
          </w:tcPr>
          <w:p w:rsidR="002A76DF" w:rsidRPr="00FE771B" w:rsidRDefault="002A76DF" w:rsidP="002A76DF">
            <w:pPr>
              <w:autoSpaceDE w:val="0"/>
              <w:autoSpaceDN w:val="0"/>
              <w:adjustRightInd w:val="0"/>
              <w:jc w:val="left"/>
              <w:rPr>
                <w:rFonts w:ascii="Times New Roman" w:hAnsi="Times New Roman" w:cs="Times New Roman"/>
                <w:i/>
                <w:color w:val="000000" w:themeColor="text1"/>
                <w:kern w:val="0"/>
                <w:sz w:val="18"/>
                <w:szCs w:val="18"/>
              </w:rPr>
            </w:pPr>
            <w:r w:rsidRPr="00FE771B">
              <w:rPr>
                <w:rFonts w:ascii="Times New Roman" w:hAnsi="Times New Roman" w:cs="Times New Roman"/>
                <w:i/>
                <w:color w:val="000000" w:themeColor="text1"/>
                <w:kern w:val="0"/>
                <w:sz w:val="18"/>
                <w:szCs w:val="18"/>
              </w:rPr>
              <w:t>Year</w:t>
            </w:r>
          </w:p>
        </w:tc>
        <w:tc>
          <w:tcPr>
            <w:tcW w:w="1037" w:type="pct"/>
            <w:tcBorders>
              <w:top w:val="single" w:sz="4" w:space="0" w:color="auto"/>
              <w:left w:val="single" w:sz="4" w:space="0" w:color="auto"/>
              <w:bottom w:val="single" w:sz="4" w:space="0" w:color="auto"/>
              <w:right w:val="single" w:sz="4" w:space="0" w:color="auto"/>
            </w:tcBorders>
          </w:tcPr>
          <w:p w:rsidR="002A76DF" w:rsidRPr="00FE771B" w:rsidRDefault="002A76DF" w:rsidP="002A76D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Yes</w:t>
            </w:r>
          </w:p>
        </w:tc>
        <w:tc>
          <w:tcPr>
            <w:tcW w:w="1037" w:type="pct"/>
            <w:tcBorders>
              <w:top w:val="single" w:sz="4" w:space="0" w:color="auto"/>
              <w:left w:val="single" w:sz="4" w:space="0" w:color="auto"/>
              <w:bottom w:val="single" w:sz="4" w:space="0" w:color="auto"/>
              <w:right w:val="single" w:sz="4" w:space="0" w:color="auto"/>
            </w:tcBorders>
          </w:tcPr>
          <w:p w:rsidR="002A76DF" w:rsidRPr="00FE771B" w:rsidRDefault="002A76DF" w:rsidP="002A76D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Yes</w:t>
            </w:r>
          </w:p>
        </w:tc>
        <w:tc>
          <w:tcPr>
            <w:tcW w:w="1037" w:type="pct"/>
            <w:tcBorders>
              <w:top w:val="single" w:sz="4" w:space="0" w:color="auto"/>
              <w:left w:val="single" w:sz="4" w:space="0" w:color="auto"/>
              <w:bottom w:val="single" w:sz="4" w:space="0" w:color="auto"/>
              <w:right w:val="single" w:sz="4" w:space="0" w:color="auto"/>
            </w:tcBorders>
          </w:tcPr>
          <w:p w:rsidR="002A76DF" w:rsidRPr="00FE771B" w:rsidRDefault="002A76DF" w:rsidP="002A76D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Yes</w:t>
            </w:r>
          </w:p>
        </w:tc>
        <w:tc>
          <w:tcPr>
            <w:tcW w:w="1037" w:type="pct"/>
            <w:tcBorders>
              <w:top w:val="single" w:sz="4" w:space="0" w:color="auto"/>
              <w:left w:val="single" w:sz="4" w:space="0" w:color="auto"/>
              <w:bottom w:val="single" w:sz="4" w:space="0" w:color="auto"/>
              <w:right w:val="nil"/>
            </w:tcBorders>
          </w:tcPr>
          <w:p w:rsidR="002A76DF" w:rsidRPr="00FE771B" w:rsidRDefault="002A76DF" w:rsidP="002A76D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Yes</w:t>
            </w:r>
          </w:p>
        </w:tc>
      </w:tr>
      <w:tr w:rsidR="00A328C9" w:rsidRPr="00FE771B" w:rsidTr="00A328C9">
        <w:tc>
          <w:tcPr>
            <w:tcW w:w="852" w:type="pct"/>
            <w:tcBorders>
              <w:top w:val="single" w:sz="4" w:space="0" w:color="auto"/>
              <w:left w:val="nil"/>
              <w:bottom w:val="single" w:sz="4" w:space="0" w:color="auto"/>
              <w:right w:val="single" w:sz="4" w:space="0" w:color="auto"/>
            </w:tcBorders>
          </w:tcPr>
          <w:p w:rsidR="002A76DF" w:rsidRPr="00FE771B" w:rsidRDefault="002A76DF" w:rsidP="002A76DF">
            <w:pPr>
              <w:autoSpaceDE w:val="0"/>
              <w:autoSpaceDN w:val="0"/>
              <w:adjustRightInd w:val="0"/>
              <w:jc w:val="left"/>
              <w:rPr>
                <w:rFonts w:ascii="Times New Roman" w:hAnsi="Times New Roman" w:cs="Times New Roman"/>
                <w:i/>
                <w:color w:val="000000" w:themeColor="text1"/>
                <w:kern w:val="0"/>
                <w:sz w:val="18"/>
                <w:szCs w:val="18"/>
              </w:rPr>
            </w:pPr>
            <w:r w:rsidRPr="00FE771B">
              <w:rPr>
                <w:rFonts w:ascii="Times New Roman" w:hAnsi="Times New Roman" w:cs="Times New Roman"/>
                <w:i/>
                <w:color w:val="000000" w:themeColor="text1"/>
                <w:kern w:val="0"/>
                <w:sz w:val="18"/>
                <w:szCs w:val="18"/>
              </w:rPr>
              <w:t>Industry</w:t>
            </w:r>
          </w:p>
        </w:tc>
        <w:tc>
          <w:tcPr>
            <w:tcW w:w="1037" w:type="pct"/>
            <w:tcBorders>
              <w:top w:val="single" w:sz="4" w:space="0" w:color="auto"/>
              <w:left w:val="single" w:sz="4" w:space="0" w:color="auto"/>
              <w:bottom w:val="single" w:sz="4" w:space="0" w:color="auto"/>
              <w:right w:val="single" w:sz="4" w:space="0" w:color="auto"/>
            </w:tcBorders>
          </w:tcPr>
          <w:p w:rsidR="002A76DF" w:rsidRPr="00FE771B" w:rsidRDefault="002A76DF" w:rsidP="002A76D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Yes</w:t>
            </w:r>
          </w:p>
        </w:tc>
        <w:tc>
          <w:tcPr>
            <w:tcW w:w="1037" w:type="pct"/>
            <w:tcBorders>
              <w:top w:val="single" w:sz="4" w:space="0" w:color="auto"/>
              <w:left w:val="single" w:sz="4" w:space="0" w:color="auto"/>
              <w:bottom w:val="single" w:sz="4" w:space="0" w:color="auto"/>
              <w:right w:val="single" w:sz="4" w:space="0" w:color="auto"/>
            </w:tcBorders>
          </w:tcPr>
          <w:p w:rsidR="002A76DF" w:rsidRPr="00FE771B" w:rsidRDefault="002A76DF" w:rsidP="002A76D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Yes</w:t>
            </w:r>
          </w:p>
        </w:tc>
        <w:tc>
          <w:tcPr>
            <w:tcW w:w="1037" w:type="pct"/>
            <w:tcBorders>
              <w:top w:val="single" w:sz="4" w:space="0" w:color="auto"/>
              <w:left w:val="single" w:sz="4" w:space="0" w:color="auto"/>
              <w:bottom w:val="single" w:sz="4" w:space="0" w:color="auto"/>
              <w:right w:val="single" w:sz="4" w:space="0" w:color="auto"/>
            </w:tcBorders>
          </w:tcPr>
          <w:p w:rsidR="002A76DF" w:rsidRPr="00FE771B" w:rsidRDefault="002A76DF" w:rsidP="002A76D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Yes</w:t>
            </w:r>
          </w:p>
        </w:tc>
        <w:tc>
          <w:tcPr>
            <w:tcW w:w="1037" w:type="pct"/>
            <w:tcBorders>
              <w:top w:val="single" w:sz="4" w:space="0" w:color="auto"/>
              <w:left w:val="single" w:sz="4" w:space="0" w:color="auto"/>
              <w:bottom w:val="single" w:sz="4" w:space="0" w:color="auto"/>
              <w:right w:val="nil"/>
            </w:tcBorders>
          </w:tcPr>
          <w:p w:rsidR="002A76DF" w:rsidRPr="00FE771B" w:rsidRDefault="002A76DF" w:rsidP="002A76DF">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Yes</w:t>
            </w:r>
          </w:p>
        </w:tc>
      </w:tr>
      <w:tr w:rsidR="00A328C9" w:rsidRPr="00FE771B" w:rsidTr="00A328C9">
        <w:tc>
          <w:tcPr>
            <w:tcW w:w="852" w:type="pct"/>
            <w:tcBorders>
              <w:top w:val="single" w:sz="4" w:space="0" w:color="auto"/>
              <w:left w:val="nil"/>
              <w:bottom w:val="single" w:sz="4" w:space="0" w:color="auto"/>
              <w:right w:val="single" w:sz="4" w:space="0" w:color="auto"/>
            </w:tcBorders>
          </w:tcPr>
          <w:p w:rsidR="00326AB7" w:rsidRPr="00FE771B" w:rsidRDefault="00326AB7" w:rsidP="002A76DF">
            <w:pPr>
              <w:autoSpaceDE w:val="0"/>
              <w:autoSpaceDN w:val="0"/>
              <w:adjustRightInd w:val="0"/>
              <w:jc w:val="left"/>
              <w:rPr>
                <w:rFonts w:ascii="Times New Roman" w:hAnsi="Times New Roman" w:cs="Times New Roman"/>
                <w:color w:val="000000" w:themeColor="text1"/>
                <w:kern w:val="0"/>
                <w:sz w:val="18"/>
                <w:szCs w:val="18"/>
              </w:rPr>
            </w:pPr>
            <w:r w:rsidRPr="00FE771B">
              <w:rPr>
                <w:rFonts w:ascii="Times New Roman" w:hAnsi="Times New Roman" w:cs="Times New Roman"/>
                <w:iCs/>
                <w:color w:val="000000" w:themeColor="text1"/>
                <w:kern w:val="0"/>
                <w:sz w:val="18"/>
                <w:szCs w:val="18"/>
              </w:rPr>
              <w:t>N</w:t>
            </w:r>
          </w:p>
        </w:tc>
        <w:tc>
          <w:tcPr>
            <w:tcW w:w="1037" w:type="pct"/>
            <w:tcBorders>
              <w:top w:val="single" w:sz="4" w:space="0" w:color="auto"/>
              <w:left w:val="single" w:sz="4" w:space="0" w:color="auto"/>
              <w:bottom w:val="single" w:sz="4" w:space="0" w:color="auto"/>
              <w:right w:val="single" w:sz="4" w:space="0" w:color="auto"/>
            </w:tcBorders>
          </w:tcPr>
          <w:p w:rsidR="00326AB7" w:rsidRPr="00FE771B" w:rsidRDefault="00326AB7"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8985</w:t>
            </w:r>
          </w:p>
        </w:tc>
        <w:tc>
          <w:tcPr>
            <w:tcW w:w="1037" w:type="pct"/>
            <w:tcBorders>
              <w:top w:val="single" w:sz="4" w:space="0" w:color="auto"/>
              <w:left w:val="single" w:sz="4" w:space="0" w:color="auto"/>
              <w:bottom w:val="single" w:sz="4" w:space="0" w:color="auto"/>
              <w:right w:val="single" w:sz="4" w:space="0" w:color="auto"/>
            </w:tcBorders>
          </w:tcPr>
          <w:p w:rsidR="00326AB7" w:rsidRPr="00FE771B" w:rsidRDefault="00326AB7"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8985</w:t>
            </w:r>
          </w:p>
        </w:tc>
        <w:tc>
          <w:tcPr>
            <w:tcW w:w="1037" w:type="pct"/>
            <w:tcBorders>
              <w:top w:val="single" w:sz="4" w:space="0" w:color="auto"/>
              <w:left w:val="single" w:sz="4" w:space="0" w:color="auto"/>
              <w:bottom w:val="single" w:sz="4" w:space="0" w:color="auto"/>
              <w:right w:val="single" w:sz="4" w:space="0" w:color="auto"/>
            </w:tcBorders>
          </w:tcPr>
          <w:p w:rsidR="00326AB7" w:rsidRPr="00FE771B" w:rsidRDefault="00326AB7"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8985</w:t>
            </w:r>
          </w:p>
        </w:tc>
        <w:tc>
          <w:tcPr>
            <w:tcW w:w="1037" w:type="pct"/>
            <w:tcBorders>
              <w:top w:val="single" w:sz="4" w:space="0" w:color="auto"/>
              <w:left w:val="single" w:sz="4" w:space="0" w:color="auto"/>
              <w:bottom w:val="single" w:sz="4" w:space="0" w:color="auto"/>
              <w:right w:val="nil"/>
            </w:tcBorders>
          </w:tcPr>
          <w:p w:rsidR="00326AB7" w:rsidRPr="00FE771B" w:rsidRDefault="00326AB7"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8985</w:t>
            </w:r>
          </w:p>
        </w:tc>
      </w:tr>
      <w:tr w:rsidR="00A328C9" w:rsidRPr="00FE771B" w:rsidTr="00A328C9">
        <w:tc>
          <w:tcPr>
            <w:tcW w:w="852" w:type="pct"/>
            <w:tcBorders>
              <w:top w:val="single" w:sz="4" w:space="0" w:color="auto"/>
              <w:left w:val="nil"/>
              <w:bottom w:val="single" w:sz="4" w:space="0" w:color="auto"/>
              <w:right w:val="single" w:sz="4" w:space="0" w:color="auto"/>
            </w:tcBorders>
          </w:tcPr>
          <w:p w:rsidR="00326AB7" w:rsidRPr="00FE771B" w:rsidRDefault="00326AB7" w:rsidP="002A76DF">
            <w:pPr>
              <w:autoSpaceDE w:val="0"/>
              <w:autoSpaceDN w:val="0"/>
              <w:adjustRightInd w:val="0"/>
              <w:jc w:val="left"/>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F</w:t>
            </w:r>
            <w:r w:rsidRPr="00FE771B">
              <w:rPr>
                <w:rFonts w:ascii="Times New Roman" w:hAnsi="Times New Roman" w:cs="Times New Roman"/>
                <w:color w:val="000000" w:themeColor="text1"/>
                <w:sz w:val="18"/>
                <w:szCs w:val="18"/>
              </w:rPr>
              <w:t xml:space="preserve"> </w:t>
            </w:r>
            <w:r w:rsidRPr="00FE771B">
              <w:rPr>
                <w:rFonts w:ascii="Times New Roman" w:hAnsi="Times New Roman" w:cs="Times New Roman"/>
                <w:color w:val="000000" w:themeColor="text1"/>
                <w:kern w:val="0"/>
                <w:sz w:val="18"/>
                <w:szCs w:val="18"/>
              </w:rPr>
              <w:t>test</w:t>
            </w:r>
          </w:p>
        </w:tc>
        <w:tc>
          <w:tcPr>
            <w:tcW w:w="1037" w:type="pct"/>
            <w:tcBorders>
              <w:top w:val="single" w:sz="4" w:space="0" w:color="auto"/>
              <w:left w:val="single" w:sz="4" w:space="0" w:color="auto"/>
              <w:bottom w:val="single" w:sz="4" w:space="0" w:color="auto"/>
              <w:right w:val="single" w:sz="4" w:space="0" w:color="auto"/>
            </w:tcBorders>
          </w:tcPr>
          <w:p w:rsidR="00326AB7" w:rsidRPr="00FE771B" w:rsidRDefault="00326AB7"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21.5624</w:t>
            </w:r>
          </w:p>
        </w:tc>
        <w:tc>
          <w:tcPr>
            <w:tcW w:w="1037" w:type="pct"/>
            <w:tcBorders>
              <w:top w:val="single" w:sz="4" w:space="0" w:color="auto"/>
              <w:left w:val="single" w:sz="4" w:space="0" w:color="auto"/>
              <w:bottom w:val="single" w:sz="4" w:space="0" w:color="auto"/>
              <w:right w:val="single" w:sz="4" w:space="0" w:color="auto"/>
            </w:tcBorders>
          </w:tcPr>
          <w:p w:rsidR="00326AB7" w:rsidRPr="00FE771B" w:rsidRDefault="00326AB7"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16.5062</w:t>
            </w:r>
          </w:p>
        </w:tc>
        <w:tc>
          <w:tcPr>
            <w:tcW w:w="1037" w:type="pct"/>
            <w:tcBorders>
              <w:top w:val="single" w:sz="4" w:space="0" w:color="auto"/>
              <w:left w:val="single" w:sz="4" w:space="0" w:color="auto"/>
              <w:bottom w:val="single" w:sz="4" w:space="0" w:color="auto"/>
              <w:right w:val="single" w:sz="4" w:space="0" w:color="auto"/>
            </w:tcBorders>
          </w:tcPr>
          <w:p w:rsidR="00326AB7" w:rsidRPr="00FE771B" w:rsidRDefault="00326AB7"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21.2820</w:t>
            </w:r>
          </w:p>
        </w:tc>
        <w:tc>
          <w:tcPr>
            <w:tcW w:w="1037" w:type="pct"/>
            <w:tcBorders>
              <w:top w:val="single" w:sz="4" w:space="0" w:color="auto"/>
              <w:left w:val="single" w:sz="4" w:space="0" w:color="auto"/>
              <w:bottom w:val="single" w:sz="4" w:space="0" w:color="auto"/>
              <w:right w:val="nil"/>
            </w:tcBorders>
          </w:tcPr>
          <w:p w:rsidR="00326AB7" w:rsidRPr="00FE771B" w:rsidRDefault="00326AB7"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16.5900</w:t>
            </w:r>
          </w:p>
        </w:tc>
      </w:tr>
      <w:tr w:rsidR="00A328C9" w:rsidRPr="00FE771B" w:rsidTr="00A328C9">
        <w:tc>
          <w:tcPr>
            <w:tcW w:w="852" w:type="pct"/>
            <w:tcBorders>
              <w:top w:val="single" w:sz="4" w:space="0" w:color="auto"/>
              <w:left w:val="nil"/>
              <w:bottom w:val="single" w:sz="4" w:space="0" w:color="auto"/>
              <w:right w:val="single" w:sz="4" w:space="0" w:color="auto"/>
            </w:tcBorders>
          </w:tcPr>
          <w:p w:rsidR="00326AB7" w:rsidRPr="00FE771B" w:rsidRDefault="00326AB7" w:rsidP="002A76DF">
            <w:pPr>
              <w:autoSpaceDE w:val="0"/>
              <w:autoSpaceDN w:val="0"/>
              <w:adjustRightInd w:val="0"/>
              <w:jc w:val="left"/>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Adj-R</w:t>
            </w:r>
            <w:r w:rsidRPr="00FE771B">
              <w:rPr>
                <w:rFonts w:ascii="Times New Roman" w:hAnsi="Times New Roman" w:cs="Times New Roman"/>
                <w:color w:val="000000" w:themeColor="text1"/>
                <w:kern w:val="0"/>
                <w:sz w:val="18"/>
                <w:szCs w:val="18"/>
                <w:vertAlign w:val="superscript"/>
              </w:rPr>
              <w:t>2</w:t>
            </w:r>
          </w:p>
        </w:tc>
        <w:tc>
          <w:tcPr>
            <w:tcW w:w="1037" w:type="pct"/>
            <w:tcBorders>
              <w:top w:val="single" w:sz="4" w:space="0" w:color="auto"/>
              <w:left w:val="single" w:sz="4" w:space="0" w:color="auto"/>
              <w:bottom w:val="single" w:sz="4" w:space="0" w:color="auto"/>
              <w:right w:val="single" w:sz="4" w:space="0" w:color="auto"/>
            </w:tcBorders>
          </w:tcPr>
          <w:p w:rsidR="00326AB7" w:rsidRPr="00FE771B" w:rsidRDefault="00326AB7"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0.0917</w:t>
            </w:r>
          </w:p>
        </w:tc>
        <w:tc>
          <w:tcPr>
            <w:tcW w:w="1037" w:type="pct"/>
            <w:tcBorders>
              <w:top w:val="single" w:sz="4" w:space="0" w:color="auto"/>
              <w:left w:val="single" w:sz="4" w:space="0" w:color="auto"/>
              <w:bottom w:val="single" w:sz="4" w:space="0" w:color="auto"/>
              <w:right w:val="single" w:sz="4" w:space="0" w:color="auto"/>
            </w:tcBorders>
          </w:tcPr>
          <w:p w:rsidR="00326AB7" w:rsidRPr="00FE771B" w:rsidRDefault="00326AB7"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0.0489</w:t>
            </w:r>
          </w:p>
        </w:tc>
        <w:tc>
          <w:tcPr>
            <w:tcW w:w="1037" w:type="pct"/>
            <w:tcBorders>
              <w:top w:val="single" w:sz="4" w:space="0" w:color="auto"/>
              <w:left w:val="single" w:sz="4" w:space="0" w:color="auto"/>
              <w:bottom w:val="single" w:sz="4" w:space="0" w:color="auto"/>
              <w:right w:val="single" w:sz="4" w:space="0" w:color="auto"/>
            </w:tcBorders>
          </w:tcPr>
          <w:p w:rsidR="00326AB7" w:rsidRPr="00FE771B" w:rsidRDefault="00326AB7"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0.0901</w:t>
            </w:r>
          </w:p>
        </w:tc>
        <w:tc>
          <w:tcPr>
            <w:tcW w:w="1037" w:type="pct"/>
            <w:tcBorders>
              <w:top w:val="single" w:sz="4" w:space="0" w:color="auto"/>
              <w:left w:val="single" w:sz="4" w:space="0" w:color="auto"/>
              <w:bottom w:val="single" w:sz="4" w:space="0" w:color="auto"/>
              <w:right w:val="nil"/>
            </w:tcBorders>
          </w:tcPr>
          <w:p w:rsidR="00326AB7" w:rsidRPr="00FE771B" w:rsidRDefault="00326AB7"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0.0489</w:t>
            </w:r>
          </w:p>
        </w:tc>
      </w:tr>
    </w:tbl>
    <w:p w:rsidR="00BB5887" w:rsidRPr="00FE771B" w:rsidRDefault="00E14128" w:rsidP="00DA5432">
      <w:pPr>
        <w:pStyle w:val="2"/>
        <w:ind w:firstLine="422"/>
        <w:rPr>
          <w:rFonts w:ascii="Times New Roman" w:hAnsi="Times New Roman" w:cs="Times New Roman"/>
        </w:rPr>
      </w:pPr>
      <w:r w:rsidRPr="00FE771B">
        <w:rPr>
          <w:rFonts w:ascii="Times New Roman" w:hAnsi="Times New Roman" w:cs="Times New Roman"/>
        </w:rPr>
        <w:t>(</w:t>
      </w:r>
      <w:r w:rsidRPr="00FE771B">
        <w:rPr>
          <w:rFonts w:ascii="Times New Roman" w:hAnsi="Times New Roman" w:cs="Times New Roman"/>
        </w:rPr>
        <w:t>二</w:t>
      </w:r>
      <w:r w:rsidRPr="00FE771B">
        <w:rPr>
          <w:rFonts w:ascii="Times New Roman" w:hAnsi="Times New Roman" w:cs="Times New Roman"/>
        </w:rPr>
        <w:t>)</w:t>
      </w:r>
      <w:r w:rsidR="00BB5887" w:rsidRPr="00FE771B">
        <w:rPr>
          <w:rFonts w:ascii="Times New Roman" w:hAnsi="Times New Roman" w:cs="Times New Roman"/>
        </w:rPr>
        <w:t>异质性分析</w:t>
      </w:r>
    </w:p>
    <w:p w:rsidR="00271FEC" w:rsidRPr="00FE771B" w:rsidRDefault="00960317" w:rsidP="00960317">
      <w:pPr>
        <w:ind w:firstLineChars="200" w:firstLine="420"/>
        <w:rPr>
          <w:rFonts w:ascii="Times New Roman" w:hAnsi="Times New Roman" w:cs="Times New Roman"/>
        </w:rPr>
      </w:pPr>
      <w:r w:rsidRPr="00FE771B">
        <w:rPr>
          <w:rFonts w:ascii="Times New Roman" w:hAnsi="Times New Roman" w:cs="Times New Roman"/>
        </w:rPr>
        <w:t>前文研究表明，业绩承诺加剧上市公司盈利管理行为从而使得金融化、</w:t>
      </w:r>
      <w:r w:rsidRPr="00FE771B">
        <w:rPr>
          <w:rFonts w:ascii="Times New Roman" w:hAnsi="Times New Roman" w:cs="Times New Roman"/>
        </w:rPr>
        <w:t>“</w:t>
      </w:r>
      <w:r w:rsidRPr="00FE771B">
        <w:rPr>
          <w:rFonts w:ascii="Times New Roman" w:hAnsi="Times New Roman" w:cs="Times New Roman"/>
        </w:rPr>
        <w:t>脱实向虚</w:t>
      </w:r>
      <w:r w:rsidRPr="00FE771B">
        <w:rPr>
          <w:rFonts w:ascii="Times New Roman" w:hAnsi="Times New Roman" w:cs="Times New Roman"/>
        </w:rPr>
        <w:t>”</w:t>
      </w:r>
      <w:r w:rsidRPr="00FE771B">
        <w:rPr>
          <w:rFonts w:ascii="Times New Roman" w:hAnsi="Times New Roman" w:cs="Times New Roman"/>
        </w:rPr>
        <w:t>投资倾向越来越严重。</w:t>
      </w:r>
      <w:r w:rsidR="0067046C" w:rsidRPr="00FE771B">
        <w:rPr>
          <w:rFonts w:ascii="Times New Roman" w:hAnsi="Times New Roman" w:cs="Times New Roman"/>
        </w:rPr>
        <w:t>但是这一链条还是会受到一些异质性因素的影响，我们这里以分所有制、大股东持股差异和不同财务风险情况等三种情形为例，检验业绩承诺通过盈余管理而影响金融化的机制是否在这三种不同情形下有显著差异。分所有制情形下，一般而言国有企业</w:t>
      </w:r>
      <w:r w:rsidR="008153A6" w:rsidRPr="00FE771B">
        <w:rPr>
          <w:rFonts w:ascii="Times New Roman" w:hAnsi="Times New Roman" w:cs="Times New Roman"/>
        </w:rPr>
        <w:t>大股东都为中央和地方国资委等公共部门，相应地第二类代理问题也就较弱，</w:t>
      </w:r>
      <w:r w:rsidR="005B5950" w:rsidRPr="00FE771B">
        <w:rPr>
          <w:rFonts w:ascii="Times New Roman" w:hAnsi="Times New Roman" w:cs="Times New Roman"/>
        </w:rPr>
        <w:t>同时</w:t>
      </w:r>
      <w:r w:rsidR="00E23BA1" w:rsidRPr="00FE771B">
        <w:rPr>
          <w:rFonts w:ascii="Times New Roman" w:hAnsi="Times New Roman" w:cs="Times New Roman"/>
        </w:rPr>
        <w:t>由于</w:t>
      </w:r>
      <w:r w:rsidR="005B5950" w:rsidRPr="00FE771B">
        <w:rPr>
          <w:rFonts w:ascii="Times New Roman" w:hAnsi="Times New Roman" w:cs="Times New Roman"/>
        </w:rPr>
        <w:t>国有企业规模较大、市值较高，因此通过上文分析中业绩承诺的</w:t>
      </w:r>
      <w:r w:rsidR="005B5950" w:rsidRPr="00FE771B">
        <w:rPr>
          <w:rFonts w:ascii="Times New Roman" w:hAnsi="Times New Roman" w:cs="Times New Roman"/>
        </w:rPr>
        <w:t>“</w:t>
      </w:r>
      <w:r w:rsidR="005B5950" w:rsidRPr="00FE771B">
        <w:rPr>
          <w:rFonts w:ascii="Times New Roman" w:hAnsi="Times New Roman" w:cs="Times New Roman"/>
        </w:rPr>
        <w:t>高溢价</w:t>
      </w:r>
      <w:r w:rsidR="005B5950" w:rsidRPr="00FE771B">
        <w:rPr>
          <w:rFonts w:ascii="Times New Roman" w:hAnsi="Times New Roman" w:cs="Times New Roman"/>
        </w:rPr>
        <w:t>”</w:t>
      </w:r>
      <w:r w:rsidR="005B5950" w:rsidRPr="00FE771B">
        <w:rPr>
          <w:rFonts w:ascii="Times New Roman" w:hAnsi="Times New Roman" w:cs="Times New Roman"/>
        </w:rPr>
        <w:t>、</w:t>
      </w:r>
      <w:r w:rsidR="005B5950" w:rsidRPr="00FE771B">
        <w:rPr>
          <w:rFonts w:ascii="Times New Roman" w:hAnsi="Times New Roman" w:cs="Times New Roman"/>
        </w:rPr>
        <w:t>“</w:t>
      </w:r>
      <w:r w:rsidR="005B5950" w:rsidRPr="00FE771B">
        <w:rPr>
          <w:rFonts w:ascii="Times New Roman" w:hAnsi="Times New Roman" w:cs="Times New Roman"/>
        </w:rPr>
        <w:t>高承诺</w:t>
      </w:r>
      <w:r w:rsidR="005B5950" w:rsidRPr="00FE771B">
        <w:rPr>
          <w:rFonts w:ascii="Times New Roman" w:hAnsi="Times New Roman" w:cs="Times New Roman"/>
        </w:rPr>
        <w:t>”</w:t>
      </w:r>
      <w:r w:rsidR="005B5950" w:rsidRPr="00FE771B">
        <w:rPr>
          <w:rFonts w:ascii="Times New Roman" w:hAnsi="Times New Roman" w:cs="Times New Roman"/>
        </w:rPr>
        <w:t>特征来带动股价上升推动市值大幅上涨的可能性较低，这样在国有和非国有企业中来通过业绩承诺加剧盈余管理从而</w:t>
      </w:r>
      <w:r w:rsidR="005B5950" w:rsidRPr="00FE771B">
        <w:rPr>
          <w:rFonts w:ascii="Times New Roman" w:hAnsi="Times New Roman" w:cs="Times New Roman"/>
        </w:rPr>
        <w:t>“</w:t>
      </w:r>
      <w:r w:rsidR="005B5950" w:rsidRPr="00FE771B">
        <w:rPr>
          <w:rFonts w:ascii="Times New Roman" w:hAnsi="Times New Roman" w:cs="Times New Roman"/>
        </w:rPr>
        <w:t>脱实向虚</w:t>
      </w:r>
      <w:r w:rsidR="005B5950" w:rsidRPr="00FE771B">
        <w:rPr>
          <w:rFonts w:ascii="Times New Roman" w:hAnsi="Times New Roman" w:cs="Times New Roman"/>
        </w:rPr>
        <w:t>”</w:t>
      </w:r>
      <w:r w:rsidR="005B5950" w:rsidRPr="00FE771B">
        <w:rPr>
          <w:rFonts w:ascii="Times New Roman" w:hAnsi="Times New Roman" w:cs="Times New Roman"/>
        </w:rPr>
        <w:t>就会明显差异</w:t>
      </w:r>
      <w:r w:rsidR="0067046C" w:rsidRPr="00FE771B">
        <w:rPr>
          <w:rFonts w:ascii="Times New Roman" w:hAnsi="Times New Roman" w:cs="Times New Roman"/>
        </w:rPr>
        <w:t>；大股东持股差异化情形，大股东持股比例越高对上市公司控制力度越大，相应地大股东利用</w:t>
      </w:r>
      <w:r w:rsidR="0067046C" w:rsidRPr="00FE771B">
        <w:rPr>
          <w:rFonts w:ascii="Times New Roman" w:hAnsi="Times New Roman" w:cs="Times New Roman"/>
        </w:rPr>
        <w:t>“</w:t>
      </w:r>
      <w:r w:rsidR="0067046C" w:rsidRPr="00FE771B">
        <w:rPr>
          <w:rFonts w:ascii="Times New Roman" w:hAnsi="Times New Roman" w:cs="Times New Roman"/>
        </w:rPr>
        <w:t>高溢价</w:t>
      </w:r>
      <w:r w:rsidR="0067046C" w:rsidRPr="00FE771B">
        <w:rPr>
          <w:rFonts w:ascii="Times New Roman" w:hAnsi="Times New Roman" w:cs="Times New Roman"/>
        </w:rPr>
        <w:t>”</w:t>
      </w:r>
      <w:r w:rsidR="0067046C" w:rsidRPr="00FE771B">
        <w:rPr>
          <w:rFonts w:ascii="Times New Roman" w:hAnsi="Times New Roman" w:cs="Times New Roman"/>
        </w:rPr>
        <w:t>、</w:t>
      </w:r>
      <w:r w:rsidR="0067046C" w:rsidRPr="00FE771B">
        <w:rPr>
          <w:rFonts w:ascii="Times New Roman" w:hAnsi="Times New Roman" w:cs="Times New Roman"/>
        </w:rPr>
        <w:t>“</w:t>
      </w:r>
      <w:r w:rsidR="0067046C" w:rsidRPr="00FE771B">
        <w:rPr>
          <w:rFonts w:ascii="Times New Roman" w:hAnsi="Times New Roman" w:cs="Times New Roman"/>
        </w:rPr>
        <w:t>高承诺</w:t>
      </w:r>
      <w:r w:rsidR="0067046C" w:rsidRPr="00FE771B">
        <w:rPr>
          <w:rFonts w:ascii="Times New Roman" w:hAnsi="Times New Roman" w:cs="Times New Roman"/>
        </w:rPr>
        <w:t>”</w:t>
      </w:r>
      <w:r w:rsidR="0067046C" w:rsidRPr="00FE771B">
        <w:rPr>
          <w:rFonts w:ascii="Times New Roman" w:hAnsi="Times New Roman" w:cs="Times New Roman"/>
        </w:rPr>
        <w:t>的业绩承诺工具来开展并购并以此</w:t>
      </w:r>
      <w:r w:rsidR="0067046C" w:rsidRPr="00FE771B">
        <w:rPr>
          <w:rFonts w:ascii="Times New Roman" w:hAnsi="Times New Roman" w:cs="Times New Roman"/>
        </w:rPr>
        <w:lastRenderedPageBreak/>
        <w:t>来实现个人利益最大化</w:t>
      </w:r>
      <w:r w:rsidR="001A1BB4" w:rsidRPr="00FE771B">
        <w:rPr>
          <w:rFonts w:ascii="Times New Roman" w:hAnsi="Times New Roman" w:cs="Times New Roman"/>
        </w:rPr>
        <w:t>和损害上市公司发展</w:t>
      </w:r>
      <w:r w:rsidR="0067046C" w:rsidRPr="00FE771B">
        <w:rPr>
          <w:rFonts w:ascii="Times New Roman" w:hAnsi="Times New Roman" w:cs="Times New Roman"/>
        </w:rPr>
        <w:t>的可能性就最大，而股权结构相对分散情形下</w:t>
      </w:r>
      <w:r w:rsidR="00A52C47" w:rsidRPr="00FE771B">
        <w:rPr>
          <w:rFonts w:ascii="Times New Roman" w:hAnsi="Times New Roman" w:cs="Times New Roman"/>
        </w:rPr>
        <w:t>大股东操纵上市公司力度较小，在公司治理结构较为平衡情况下，上市公司开展并购将更多基于公司自身长远发展</w:t>
      </w:r>
      <w:proofErr w:type="gramStart"/>
      <w:r w:rsidR="00A52C47" w:rsidRPr="00FE771B">
        <w:rPr>
          <w:rFonts w:ascii="Times New Roman" w:hAnsi="Times New Roman" w:cs="Times New Roman"/>
        </w:rPr>
        <w:t>考量</w:t>
      </w:r>
      <w:proofErr w:type="gramEnd"/>
      <w:r w:rsidR="00A52C47" w:rsidRPr="00FE771B">
        <w:rPr>
          <w:rFonts w:ascii="Times New Roman" w:hAnsi="Times New Roman" w:cs="Times New Roman"/>
        </w:rPr>
        <w:t>，</w:t>
      </w:r>
      <w:r w:rsidR="001A1BB4" w:rsidRPr="00FE771B">
        <w:rPr>
          <w:rFonts w:ascii="Times New Roman" w:hAnsi="Times New Roman" w:cs="Times New Roman"/>
        </w:rPr>
        <w:t>即使签订业绩承诺也是基于标的公司实际情况而适当做出的奖惩激励，业绩承诺主要作为估值调整的工具的而存在，相应地通过签订</w:t>
      </w:r>
      <w:r w:rsidR="001A1BB4" w:rsidRPr="00FE771B">
        <w:rPr>
          <w:rFonts w:ascii="Times New Roman" w:hAnsi="Times New Roman" w:cs="Times New Roman"/>
        </w:rPr>
        <w:t>“</w:t>
      </w:r>
      <w:r w:rsidR="001A1BB4" w:rsidRPr="00FE771B">
        <w:rPr>
          <w:rFonts w:ascii="Times New Roman" w:hAnsi="Times New Roman" w:cs="Times New Roman"/>
        </w:rPr>
        <w:t>高溢价</w:t>
      </w:r>
      <w:r w:rsidR="001A1BB4" w:rsidRPr="00FE771B">
        <w:rPr>
          <w:rFonts w:ascii="Times New Roman" w:hAnsi="Times New Roman" w:cs="Times New Roman"/>
        </w:rPr>
        <w:t>”</w:t>
      </w:r>
      <w:r w:rsidR="001A1BB4" w:rsidRPr="00FE771B">
        <w:rPr>
          <w:rFonts w:ascii="Times New Roman" w:hAnsi="Times New Roman" w:cs="Times New Roman"/>
        </w:rPr>
        <w:t>和</w:t>
      </w:r>
      <w:r w:rsidR="001A1BB4" w:rsidRPr="00FE771B">
        <w:rPr>
          <w:rFonts w:ascii="Times New Roman" w:hAnsi="Times New Roman" w:cs="Times New Roman"/>
        </w:rPr>
        <w:t>“</w:t>
      </w:r>
      <w:r w:rsidR="001A1BB4" w:rsidRPr="00FE771B">
        <w:rPr>
          <w:rFonts w:ascii="Times New Roman" w:hAnsi="Times New Roman" w:cs="Times New Roman"/>
        </w:rPr>
        <w:t>高承诺</w:t>
      </w:r>
      <w:r w:rsidR="001A1BB4" w:rsidRPr="00FE771B">
        <w:rPr>
          <w:rFonts w:ascii="Times New Roman" w:hAnsi="Times New Roman" w:cs="Times New Roman"/>
        </w:rPr>
        <w:t>”</w:t>
      </w:r>
      <w:r w:rsidR="001A1BB4" w:rsidRPr="00FE771B">
        <w:rPr>
          <w:rFonts w:ascii="Times New Roman" w:hAnsi="Times New Roman" w:cs="Times New Roman"/>
        </w:rPr>
        <w:t>业绩承诺实现大股东个人利益的可能性就最小；在不同财务风险情况下，财务风险较高一般来说公司</w:t>
      </w:r>
      <w:r w:rsidR="00F71517" w:rsidRPr="00FE771B">
        <w:rPr>
          <w:rFonts w:ascii="Times New Roman" w:hAnsi="Times New Roman" w:cs="Times New Roman"/>
        </w:rPr>
        <w:t>业绩不佳</w:t>
      </w:r>
      <w:r w:rsidR="001A1BB4" w:rsidRPr="00FE771B">
        <w:rPr>
          <w:rFonts w:ascii="Times New Roman" w:hAnsi="Times New Roman" w:cs="Times New Roman"/>
        </w:rPr>
        <w:t>经营惨淡，</w:t>
      </w:r>
      <w:r w:rsidR="006A1F05" w:rsidRPr="00FE771B">
        <w:rPr>
          <w:rFonts w:ascii="Times New Roman" w:hAnsi="Times New Roman" w:cs="Times New Roman"/>
        </w:rPr>
        <w:t>并购业务一方面需要大量资金而财务风险较高获得融资的难度极高，另一方面通过签订</w:t>
      </w:r>
      <w:r w:rsidR="006A1F05" w:rsidRPr="00FE771B">
        <w:rPr>
          <w:rFonts w:ascii="Times New Roman" w:hAnsi="Times New Roman" w:cs="Times New Roman"/>
        </w:rPr>
        <w:t>“</w:t>
      </w:r>
      <w:r w:rsidR="006A1F05" w:rsidRPr="00FE771B">
        <w:rPr>
          <w:rFonts w:ascii="Times New Roman" w:hAnsi="Times New Roman" w:cs="Times New Roman"/>
        </w:rPr>
        <w:t>高溢价</w:t>
      </w:r>
      <w:r w:rsidR="006A1F05" w:rsidRPr="00FE771B">
        <w:rPr>
          <w:rFonts w:ascii="Times New Roman" w:hAnsi="Times New Roman" w:cs="Times New Roman"/>
        </w:rPr>
        <w:t>”</w:t>
      </w:r>
      <w:r w:rsidR="006A1F05" w:rsidRPr="00FE771B">
        <w:rPr>
          <w:rFonts w:ascii="Times New Roman" w:hAnsi="Times New Roman" w:cs="Times New Roman"/>
        </w:rPr>
        <w:t>、</w:t>
      </w:r>
      <w:r w:rsidR="006A1F05" w:rsidRPr="00FE771B">
        <w:rPr>
          <w:rFonts w:ascii="Times New Roman" w:hAnsi="Times New Roman" w:cs="Times New Roman"/>
        </w:rPr>
        <w:t>“</w:t>
      </w:r>
      <w:r w:rsidR="006A1F05" w:rsidRPr="00FE771B">
        <w:rPr>
          <w:rFonts w:ascii="Times New Roman" w:hAnsi="Times New Roman" w:cs="Times New Roman"/>
        </w:rPr>
        <w:t>高承诺</w:t>
      </w:r>
      <w:r w:rsidR="006A1F05" w:rsidRPr="00FE771B">
        <w:rPr>
          <w:rFonts w:ascii="Times New Roman" w:hAnsi="Times New Roman" w:cs="Times New Roman"/>
        </w:rPr>
        <w:t>”</w:t>
      </w:r>
      <w:r w:rsidR="006A1F05" w:rsidRPr="00FE771B">
        <w:rPr>
          <w:rFonts w:ascii="Times New Roman" w:hAnsi="Times New Roman" w:cs="Times New Roman"/>
        </w:rPr>
        <w:t>的业绩承诺协议却可以方便上市公司获得融资，</w:t>
      </w:r>
      <w:r w:rsidR="00282BC7" w:rsidRPr="00FE771B">
        <w:rPr>
          <w:rFonts w:ascii="Times New Roman" w:hAnsi="Times New Roman" w:cs="Times New Roman"/>
        </w:rPr>
        <w:t>此种情况</w:t>
      </w:r>
      <w:proofErr w:type="gramStart"/>
      <w:r w:rsidR="00282BC7" w:rsidRPr="00FE771B">
        <w:rPr>
          <w:rFonts w:ascii="Times New Roman" w:hAnsi="Times New Roman" w:cs="Times New Roman"/>
        </w:rPr>
        <w:t>下业绩</w:t>
      </w:r>
      <w:proofErr w:type="gramEnd"/>
      <w:r w:rsidR="00282BC7" w:rsidRPr="00FE771B">
        <w:rPr>
          <w:rFonts w:ascii="Times New Roman" w:hAnsi="Times New Roman" w:cs="Times New Roman"/>
        </w:rPr>
        <w:t>承诺更会加剧投机</w:t>
      </w:r>
      <w:r w:rsidR="00453B2D" w:rsidRPr="00FE771B">
        <w:rPr>
          <w:rFonts w:ascii="Times New Roman" w:hAnsi="Times New Roman" w:cs="Times New Roman"/>
        </w:rPr>
        <w:t>主义</w:t>
      </w:r>
      <w:r w:rsidR="00282BC7" w:rsidRPr="00FE771B">
        <w:rPr>
          <w:rFonts w:ascii="Times New Roman" w:hAnsi="Times New Roman" w:cs="Times New Roman"/>
        </w:rPr>
        <w:t>行为发生，满足大股东个人利益和损害上市公司利益</w:t>
      </w:r>
      <w:r w:rsidR="00CD43F0" w:rsidRPr="00FE771B">
        <w:rPr>
          <w:rFonts w:ascii="Times New Roman" w:hAnsi="Times New Roman" w:cs="Times New Roman"/>
        </w:rPr>
        <w:t>，</w:t>
      </w:r>
      <w:r w:rsidR="001A1BB4" w:rsidRPr="00FE771B">
        <w:rPr>
          <w:rFonts w:ascii="Times New Roman" w:hAnsi="Times New Roman" w:cs="Times New Roman"/>
        </w:rPr>
        <w:t>而</w:t>
      </w:r>
      <w:r w:rsidR="00D0023C" w:rsidRPr="00FE771B">
        <w:rPr>
          <w:rFonts w:ascii="Times New Roman" w:hAnsi="Times New Roman" w:cs="Times New Roman"/>
        </w:rPr>
        <w:t>财务风险低</w:t>
      </w:r>
      <w:r w:rsidR="00CD43F0" w:rsidRPr="00FE771B">
        <w:rPr>
          <w:rFonts w:ascii="Times New Roman" w:hAnsi="Times New Roman" w:cs="Times New Roman"/>
        </w:rPr>
        <w:t>的公司开展并购更多还是如上文所述的自身利益发展诉求，业绩承诺通过盈余管理行为而使得上市公司投资偏金融化的链条将不会成立</w:t>
      </w:r>
      <w:r w:rsidR="00D0023C" w:rsidRPr="00FE771B">
        <w:rPr>
          <w:rFonts w:ascii="Times New Roman" w:hAnsi="Times New Roman" w:cs="Times New Roman"/>
        </w:rPr>
        <w:t>。</w:t>
      </w:r>
    </w:p>
    <w:p w:rsidR="008810E1" w:rsidRPr="00FE771B" w:rsidRDefault="00E14128" w:rsidP="000C7BE0">
      <w:pPr>
        <w:ind w:firstLineChars="200" w:firstLine="420"/>
        <w:rPr>
          <w:rFonts w:ascii="Times New Roman" w:hAnsi="Times New Roman" w:cs="Times New Roman"/>
        </w:rPr>
      </w:pPr>
      <w:r w:rsidRPr="00316147">
        <w:rPr>
          <w:rFonts w:ascii="楷体" w:eastAsia="楷体" w:hAnsi="楷体" w:cs="Times New Roman"/>
        </w:rPr>
        <w:t>1.</w:t>
      </w:r>
      <w:r w:rsidR="00DA5432" w:rsidRPr="00316147">
        <w:rPr>
          <w:rFonts w:ascii="楷体" w:eastAsia="楷体" w:hAnsi="楷体" w:cs="Times New Roman"/>
        </w:rPr>
        <w:t>不同所有制</w:t>
      </w:r>
      <w:r w:rsidR="00495662" w:rsidRPr="00316147">
        <w:rPr>
          <w:rFonts w:ascii="楷体" w:eastAsia="楷体" w:hAnsi="楷体" w:cs="Times New Roman"/>
        </w:rPr>
        <w:t>的分组检验。</w:t>
      </w:r>
      <w:r w:rsidR="00495662" w:rsidRPr="00FE771B">
        <w:rPr>
          <w:rFonts w:ascii="Times New Roman" w:hAnsi="Times New Roman" w:cs="Times New Roman"/>
        </w:rPr>
        <w:t>如表</w:t>
      </w:r>
      <w:r w:rsidR="00495662" w:rsidRPr="00FE771B">
        <w:rPr>
          <w:rFonts w:ascii="Times New Roman" w:hAnsi="Times New Roman" w:cs="Times New Roman"/>
        </w:rPr>
        <w:t>1</w:t>
      </w:r>
      <w:r w:rsidR="001D2964" w:rsidRPr="00FE771B">
        <w:rPr>
          <w:rFonts w:ascii="Times New Roman" w:hAnsi="Times New Roman" w:cs="Times New Roman"/>
        </w:rPr>
        <w:t>0</w:t>
      </w:r>
      <w:r w:rsidR="00495662" w:rsidRPr="00FE771B">
        <w:rPr>
          <w:rFonts w:ascii="Times New Roman" w:hAnsi="Times New Roman" w:cs="Times New Roman"/>
        </w:rPr>
        <w:t>所示，我们将中央国有企业、地方国有企业列为国有企业样本，将其余列为非国有企业样本，其中第（</w:t>
      </w:r>
      <w:r w:rsidR="00495662" w:rsidRPr="00FE771B">
        <w:rPr>
          <w:rFonts w:ascii="Times New Roman" w:hAnsi="Times New Roman" w:cs="Times New Roman"/>
        </w:rPr>
        <w:t>1</w:t>
      </w:r>
      <w:r w:rsidR="00495662" w:rsidRPr="00FE771B">
        <w:rPr>
          <w:rFonts w:ascii="Times New Roman" w:hAnsi="Times New Roman" w:cs="Times New Roman"/>
        </w:rPr>
        <w:t>）至（</w:t>
      </w:r>
      <w:r w:rsidR="00495662" w:rsidRPr="00FE771B">
        <w:rPr>
          <w:rFonts w:ascii="Times New Roman" w:hAnsi="Times New Roman" w:cs="Times New Roman"/>
        </w:rPr>
        <w:t>4</w:t>
      </w:r>
      <w:r w:rsidR="00495662" w:rsidRPr="00FE771B">
        <w:rPr>
          <w:rFonts w:ascii="Times New Roman" w:hAnsi="Times New Roman" w:cs="Times New Roman"/>
        </w:rPr>
        <w:t>）列国有企业样本回归结果，而第（</w:t>
      </w:r>
      <w:r w:rsidR="00495662" w:rsidRPr="00FE771B">
        <w:rPr>
          <w:rFonts w:ascii="Times New Roman" w:hAnsi="Times New Roman" w:cs="Times New Roman"/>
        </w:rPr>
        <w:t>5</w:t>
      </w:r>
      <w:r w:rsidR="00495662" w:rsidRPr="00FE771B">
        <w:rPr>
          <w:rFonts w:ascii="Times New Roman" w:hAnsi="Times New Roman" w:cs="Times New Roman"/>
        </w:rPr>
        <w:t>）至（</w:t>
      </w:r>
      <w:r w:rsidR="00495662" w:rsidRPr="00FE771B">
        <w:rPr>
          <w:rFonts w:ascii="Times New Roman" w:hAnsi="Times New Roman" w:cs="Times New Roman"/>
        </w:rPr>
        <w:t>8</w:t>
      </w:r>
      <w:r w:rsidR="00495662" w:rsidRPr="00FE771B">
        <w:rPr>
          <w:rFonts w:ascii="Times New Roman" w:hAnsi="Times New Roman" w:cs="Times New Roman"/>
        </w:rPr>
        <w:t>）列为非国有企业样本回归结果。结果显示，</w:t>
      </w:r>
      <w:r w:rsidR="006D2C53" w:rsidRPr="00FE771B">
        <w:rPr>
          <w:rFonts w:ascii="Times New Roman" w:hAnsi="Times New Roman" w:cs="Times New Roman"/>
        </w:rPr>
        <w:t>DA</w:t>
      </w:r>
      <w:r w:rsidR="006D2C53" w:rsidRPr="00FE771B">
        <w:rPr>
          <w:rFonts w:ascii="Times New Roman" w:hAnsi="Times New Roman" w:cs="Times New Roman"/>
        </w:rPr>
        <w:t>回归系数显著为</w:t>
      </w:r>
      <w:proofErr w:type="gramStart"/>
      <w:r w:rsidR="006D2C53" w:rsidRPr="00FE771B">
        <w:rPr>
          <w:rFonts w:ascii="Times New Roman" w:hAnsi="Times New Roman" w:cs="Times New Roman"/>
        </w:rPr>
        <w:t>正主要</w:t>
      </w:r>
      <w:proofErr w:type="gramEnd"/>
      <w:r w:rsidR="006D2C53" w:rsidRPr="00FE771B">
        <w:rPr>
          <w:rFonts w:ascii="Times New Roman" w:hAnsi="Times New Roman" w:cs="Times New Roman"/>
        </w:rPr>
        <w:t>在非国有企业样本，</w:t>
      </w:r>
      <w:r w:rsidR="00B47AFC" w:rsidRPr="00FE771B">
        <w:rPr>
          <w:rFonts w:ascii="Times New Roman" w:hAnsi="Times New Roman" w:cs="Times New Roman"/>
        </w:rPr>
        <w:t>说明</w:t>
      </w:r>
      <w:r w:rsidR="00495662" w:rsidRPr="00FE771B">
        <w:rPr>
          <w:rFonts w:ascii="Times New Roman" w:hAnsi="Times New Roman" w:cs="Times New Roman"/>
        </w:rPr>
        <w:t>业绩承诺通过盈余管理而</w:t>
      </w:r>
      <w:r w:rsidR="006D2C53" w:rsidRPr="00FE771B">
        <w:rPr>
          <w:rFonts w:ascii="Times New Roman" w:hAnsi="Times New Roman" w:cs="Times New Roman"/>
        </w:rPr>
        <w:t>使</w:t>
      </w:r>
      <w:r w:rsidR="00495662" w:rsidRPr="00FE771B">
        <w:rPr>
          <w:rFonts w:ascii="Times New Roman" w:hAnsi="Times New Roman" w:cs="Times New Roman"/>
        </w:rPr>
        <w:t>上市公司投资偏好</w:t>
      </w:r>
      <w:r w:rsidR="00E71F73" w:rsidRPr="00FE771B">
        <w:rPr>
          <w:rFonts w:ascii="Times New Roman" w:hAnsi="Times New Roman" w:cs="Times New Roman"/>
        </w:rPr>
        <w:t>“</w:t>
      </w:r>
      <w:r w:rsidR="00E71F73" w:rsidRPr="00FE771B">
        <w:rPr>
          <w:rFonts w:ascii="Times New Roman" w:hAnsi="Times New Roman" w:cs="Times New Roman"/>
        </w:rPr>
        <w:t>脱实向虚</w:t>
      </w:r>
      <w:r w:rsidR="00E71F73" w:rsidRPr="00FE771B">
        <w:rPr>
          <w:rFonts w:ascii="Times New Roman" w:hAnsi="Times New Roman" w:cs="Times New Roman"/>
        </w:rPr>
        <w:t>”</w:t>
      </w:r>
      <w:r w:rsidR="006D2C53" w:rsidRPr="00FE771B">
        <w:rPr>
          <w:rFonts w:ascii="Times New Roman" w:hAnsi="Times New Roman" w:cs="Times New Roman"/>
        </w:rPr>
        <w:t>主要发生于非国有企业</w:t>
      </w:r>
      <w:r w:rsidR="00B47AFC" w:rsidRPr="00FE771B">
        <w:rPr>
          <w:rFonts w:ascii="Times New Roman" w:hAnsi="Times New Roman" w:cs="Times New Roman"/>
        </w:rPr>
        <w:t>。</w:t>
      </w:r>
      <w:r w:rsidR="00B40BC2" w:rsidRPr="00FE771B">
        <w:rPr>
          <w:rFonts w:ascii="Times New Roman" w:hAnsi="Times New Roman" w:cs="Times New Roman"/>
        </w:rPr>
        <w:t>非国有企业相对国有企业市值较小，通过以</w:t>
      </w:r>
      <w:r w:rsidR="00B40BC2" w:rsidRPr="00FE771B">
        <w:rPr>
          <w:rFonts w:ascii="Times New Roman" w:hAnsi="Times New Roman" w:cs="Times New Roman"/>
        </w:rPr>
        <w:t>“</w:t>
      </w:r>
      <w:r w:rsidR="00B40BC2" w:rsidRPr="00FE771B">
        <w:rPr>
          <w:rFonts w:ascii="Times New Roman" w:hAnsi="Times New Roman" w:cs="Times New Roman"/>
        </w:rPr>
        <w:t>高溢价</w:t>
      </w:r>
      <w:r w:rsidR="00B40BC2" w:rsidRPr="00FE771B">
        <w:rPr>
          <w:rFonts w:ascii="Times New Roman" w:hAnsi="Times New Roman" w:cs="Times New Roman"/>
        </w:rPr>
        <w:t>”</w:t>
      </w:r>
      <w:r w:rsidR="00B40BC2" w:rsidRPr="00FE771B">
        <w:rPr>
          <w:rFonts w:ascii="Times New Roman" w:hAnsi="Times New Roman" w:cs="Times New Roman"/>
        </w:rPr>
        <w:t>、</w:t>
      </w:r>
      <w:r w:rsidR="00B40BC2" w:rsidRPr="00FE771B">
        <w:rPr>
          <w:rFonts w:ascii="Times New Roman" w:hAnsi="Times New Roman" w:cs="Times New Roman"/>
        </w:rPr>
        <w:t>“</w:t>
      </w:r>
      <w:r w:rsidR="00B40BC2" w:rsidRPr="00FE771B">
        <w:rPr>
          <w:rFonts w:ascii="Times New Roman" w:hAnsi="Times New Roman" w:cs="Times New Roman"/>
        </w:rPr>
        <w:t>高承诺</w:t>
      </w:r>
      <w:r w:rsidR="00B40BC2" w:rsidRPr="00FE771B">
        <w:rPr>
          <w:rFonts w:ascii="Times New Roman" w:hAnsi="Times New Roman" w:cs="Times New Roman"/>
        </w:rPr>
        <w:t>”</w:t>
      </w:r>
      <w:r w:rsidR="00B40BC2" w:rsidRPr="00FE771B">
        <w:rPr>
          <w:rFonts w:ascii="Times New Roman" w:hAnsi="Times New Roman" w:cs="Times New Roman"/>
        </w:rPr>
        <w:t>为特征的业绩承诺协议能够相比国有企业更容易实现市值管理目标，同时受规模因子影响，规模较小公司</w:t>
      </w:r>
      <w:r w:rsidR="00C119CA" w:rsidRPr="00FE771B">
        <w:rPr>
          <w:rFonts w:ascii="Times New Roman" w:hAnsi="Times New Roman" w:cs="Times New Roman"/>
        </w:rPr>
        <w:t>可以在业绩承诺期内通过盈余管理手段加快公司金融资产配置而实现业绩大幅上升。</w:t>
      </w:r>
    </w:p>
    <w:p w:rsidR="007C6CEB" w:rsidRPr="00FE771B" w:rsidRDefault="00495662" w:rsidP="00495662">
      <w:pPr>
        <w:jc w:val="center"/>
        <w:rPr>
          <w:rFonts w:ascii="Times New Roman" w:eastAsia="楷体" w:hAnsi="Times New Roman" w:cs="Times New Roman"/>
          <w:bCs/>
          <w:szCs w:val="21"/>
        </w:rPr>
      </w:pPr>
      <w:r w:rsidRPr="00FE771B">
        <w:rPr>
          <w:rFonts w:ascii="Times New Roman" w:eastAsia="楷体" w:hAnsi="Times New Roman" w:cs="Times New Roman"/>
          <w:bCs/>
          <w:szCs w:val="21"/>
        </w:rPr>
        <w:t>表</w:t>
      </w:r>
      <w:r w:rsidRPr="00FE771B">
        <w:rPr>
          <w:rFonts w:ascii="Times New Roman" w:eastAsia="楷体" w:hAnsi="Times New Roman" w:cs="Times New Roman"/>
          <w:bCs/>
          <w:szCs w:val="21"/>
        </w:rPr>
        <w:t>1</w:t>
      </w:r>
      <w:r w:rsidR="001D2964" w:rsidRPr="00FE771B">
        <w:rPr>
          <w:rFonts w:ascii="Times New Roman" w:eastAsia="楷体" w:hAnsi="Times New Roman" w:cs="Times New Roman"/>
          <w:bCs/>
          <w:szCs w:val="21"/>
        </w:rPr>
        <w:t>0</w:t>
      </w:r>
      <w:r w:rsidRPr="00FE771B">
        <w:rPr>
          <w:rFonts w:ascii="Times New Roman" w:eastAsia="楷体" w:hAnsi="Times New Roman" w:cs="Times New Roman"/>
          <w:bCs/>
          <w:szCs w:val="21"/>
        </w:rPr>
        <w:t xml:space="preserve"> </w:t>
      </w:r>
      <w:r w:rsidR="007E6BB1" w:rsidRPr="00FE771B">
        <w:rPr>
          <w:rFonts w:ascii="Times New Roman" w:eastAsia="楷体" w:hAnsi="Times New Roman" w:cs="Times New Roman"/>
          <w:bCs/>
          <w:szCs w:val="21"/>
        </w:rPr>
        <w:t xml:space="preserve"> </w:t>
      </w:r>
      <w:r w:rsidRPr="00FE771B">
        <w:rPr>
          <w:rFonts w:ascii="Times New Roman" w:eastAsia="楷体" w:hAnsi="Times New Roman" w:cs="Times New Roman"/>
          <w:bCs/>
          <w:szCs w:val="21"/>
        </w:rPr>
        <w:t>不同所有制下回归结果</w:t>
      </w:r>
    </w:p>
    <w:tbl>
      <w:tblPr>
        <w:tblW w:w="5459" w:type="pct"/>
        <w:tblInd w:w="-318"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1274"/>
        <w:gridCol w:w="980"/>
        <w:gridCol w:w="980"/>
        <w:gridCol w:w="981"/>
        <w:gridCol w:w="983"/>
        <w:gridCol w:w="1072"/>
        <w:gridCol w:w="981"/>
        <w:gridCol w:w="1072"/>
        <w:gridCol w:w="981"/>
      </w:tblGrid>
      <w:tr w:rsidR="007418FB" w:rsidRPr="00FE771B" w:rsidTr="007418FB">
        <w:tc>
          <w:tcPr>
            <w:tcW w:w="685" w:type="pct"/>
            <w:vMerge w:val="restart"/>
          </w:tcPr>
          <w:p w:rsidR="007418FB" w:rsidRPr="00FE771B" w:rsidRDefault="007418FB" w:rsidP="00D950AD">
            <w:pPr>
              <w:autoSpaceDE w:val="0"/>
              <w:autoSpaceDN w:val="0"/>
              <w:adjustRightInd w:val="0"/>
              <w:jc w:val="left"/>
              <w:rPr>
                <w:rFonts w:ascii="Times New Roman" w:hAnsi="Times New Roman" w:cs="Times New Roman"/>
                <w:color w:val="000000" w:themeColor="text1"/>
                <w:kern w:val="0"/>
                <w:sz w:val="18"/>
                <w:szCs w:val="18"/>
              </w:rPr>
            </w:pPr>
          </w:p>
        </w:tc>
        <w:tc>
          <w:tcPr>
            <w:tcW w:w="2109" w:type="pct"/>
            <w:gridSpan w:val="4"/>
          </w:tcPr>
          <w:p w:rsidR="007418FB" w:rsidRPr="00FE771B" w:rsidRDefault="007418FB" w:rsidP="00D950AD">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国有企业</w:t>
            </w:r>
          </w:p>
        </w:tc>
        <w:tc>
          <w:tcPr>
            <w:tcW w:w="2207" w:type="pct"/>
            <w:gridSpan w:val="4"/>
          </w:tcPr>
          <w:p w:rsidR="007418FB" w:rsidRPr="00FE771B" w:rsidRDefault="007418FB" w:rsidP="00D950AD">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非国有企业</w:t>
            </w:r>
          </w:p>
        </w:tc>
      </w:tr>
      <w:tr w:rsidR="007418FB" w:rsidRPr="00FE771B" w:rsidTr="005D33B9">
        <w:trPr>
          <w:trHeight w:val="634"/>
        </w:trPr>
        <w:tc>
          <w:tcPr>
            <w:tcW w:w="685" w:type="pct"/>
            <w:vMerge/>
          </w:tcPr>
          <w:p w:rsidR="007418FB" w:rsidRPr="00FE771B" w:rsidRDefault="007418FB" w:rsidP="00D950AD">
            <w:pPr>
              <w:autoSpaceDE w:val="0"/>
              <w:autoSpaceDN w:val="0"/>
              <w:adjustRightInd w:val="0"/>
              <w:jc w:val="left"/>
              <w:rPr>
                <w:rFonts w:ascii="Times New Roman" w:hAnsi="Times New Roman" w:cs="Times New Roman"/>
                <w:color w:val="000000" w:themeColor="text1"/>
                <w:kern w:val="0"/>
                <w:sz w:val="18"/>
                <w:szCs w:val="18"/>
              </w:rPr>
            </w:pPr>
          </w:p>
        </w:tc>
        <w:tc>
          <w:tcPr>
            <w:tcW w:w="527" w:type="pct"/>
          </w:tcPr>
          <w:p w:rsidR="007418FB" w:rsidRPr="00FE771B" w:rsidRDefault="007418FB" w:rsidP="004D2FF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(1)</w:t>
            </w:r>
          </w:p>
          <w:p w:rsidR="007418FB" w:rsidRPr="00FE771B" w:rsidRDefault="007418FB" w:rsidP="00C80F66">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i/>
                <w:color w:val="000000" w:themeColor="text1"/>
                <w:kern w:val="0"/>
                <w:sz w:val="18"/>
                <w:szCs w:val="18"/>
              </w:rPr>
              <w:t>DA</w:t>
            </w:r>
          </w:p>
        </w:tc>
        <w:tc>
          <w:tcPr>
            <w:tcW w:w="527" w:type="pct"/>
          </w:tcPr>
          <w:p w:rsidR="007418FB" w:rsidRPr="00FE771B" w:rsidRDefault="007418FB" w:rsidP="004D2FF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(2)</w:t>
            </w:r>
          </w:p>
          <w:p w:rsidR="007418FB" w:rsidRPr="00FE771B" w:rsidRDefault="007418FB" w:rsidP="00C80F66">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i/>
                <w:color w:val="000000" w:themeColor="text1"/>
                <w:kern w:val="0"/>
                <w:sz w:val="18"/>
                <w:szCs w:val="18"/>
              </w:rPr>
              <w:t>Fin</w:t>
            </w:r>
          </w:p>
        </w:tc>
        <w:tc>
          <w:tcPr>
            <w:tcW w:w="527" w:type="pct"/>
          </w:tcPr>
          <w:p w:rsidR="007418FB" w:rsidRPr="00FE771B" w:rsidRDefault="007418FB" w:rsidP="004D2FF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(3)</w:t>
            </w:r>
          </w:p>
          <w:p w:rsidR="007418FB" w:rsidRPr="00FE771B" w:rsidRDefault="007418FB" w:rsidP="00C80F66">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i/>
                <w:color w:val="000000" w:themeColor="text1"/>
                <w:kern w:val="0"/>
                <w:sz w:val="18"/>
                <w:szCs w:val="18"/>
              </w:rPr>
              <w:t>DA</w:t>
            </w:r>
          </w:p>
        </w:tc>
        <w:tc>
          <w:tcPr>
            <w:tcW w:w="528" w:type="pct"/>
          </w:tcPr>
          <w:p w:rsidR="007418FB" w:rsidRPr="00FE771B" w:rsidRDefault="007418FB" w:rsidP="004D2FF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(4)</w:t>
            </w:r>
          </w:p>
          <w:p w:rsidR="007418FB" w:rsidRPr="00FE771B" w:rsidRDefault="007418FB" w:rsidP="00C80F66">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i/>
                <w:color w:val="000000" w:themeColor="text1"/>
                <w:kern w:val="0"/>
                <w:sz w:val="18"/>
                <w:szCs w:val="18"/>
              </w:rPr>
              <w:t>Fin</w:t>
            </w:r>
          </w:p>
        </w:tc>
        <w:tc>
          <w:tcPr>
            <w:tcW w:w="576" w:type="pct"/>
          </w:tcPr>
          <w:p w:rsidR="007418FB" w:rsidRPr="00FE771B" w:rsidRDefault="007418FB" w:rsidP="004D2FF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(5)</w:t>
            </w:r>
          </w:p>
          <w:p w:rsidR="007418FB" w:rsidRPr="00FE771B" w:rsidRDefault="007418FB" w:rsidP="00C80F66">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i/>
                <w:color w:val="000000" w:themeColor="text1"/>
                <w:kern w:val="0"/>
                <w:sz w:val="18"/>
                <w:szCs w:val="18"/>
              </w:rPr>
              <w:t>DA</w:t>
            </w:r>
          </w:p>
        </w:tc>
        <w:tc>
          <w:tcPr>
            <w:tcW w:w="527" w:type="pct"/>
          </w:tcPr>
          <w:p w:rsidR="007418FB" w:rsidRPr="00FE771B" w:rsidRDefault="007418FB" w:rsidP="004D2FF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(6)</w:t>
            </w:r>
          </w:p>
          <w:p w:rsidR="007418FB" w:rsidRPr="00FE771B" w:rsidRDefault="007418FB" w:rsidP="00C80F66">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i/>
                <w:color w:val="000000" w:themeColor="text1"/>
                <w:kern w:val="0"/>
                <w:sz w:val="18"/>
                <w:szCs w:val="18"/>
              </w:rPr>
              <w:t>Fin</w:t>
            </w:r>
          </w:p>
        </w:tc>
        <w:tc>
          <w:tcPr>
            <w:tcW w:w="576" w:type="pct"/>
          </w:tcPr>
          <w:p w:rsidR="007418FB" w:rsidRPr="00FE771B" w:rsidRDefault="007418FB" w:rsidP="004D2FF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(7)</w:t>
            </w:r>
          </w:p>
          <w:p w:rsidR="007418FB" w:rsidRPr="00FE771B" w:rsidRDefault="007418FB" w:rsidP="00C80F66">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i/>
                <w:color w:val="000000" w:themeColor="text1"/>
                <w:kern w:val="0"/>
                <w:sz w:val="18"/>
                <w:szCs w:val="18"/>
              </w:rPr>
              <w:t>DA</w:t>
            </w:r>
          </w:p>
        </w:tc>
        <w:tc>
          <w:tcPr>
            <w:tcW w:w="527" w:type="pct"/>
          </w:tcPr>
          <w:p w:rsidR="007418FB" w:rsidRPr="00FE771B" w:rsidRDefault="007418FB" w:rsidP="004D2FF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(8)</w:t>
            </w:r>
          </w:p>
          <w:p w:rsidR="007418FB" w:rsidRPr="00FE771B" w:rsidRDefault="007418FB" w:rsidP="00C80F66">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i/>
                <w:color w:val="000000" w:themeColor="text1"/>
                <w:kern w:val="0"/>
                <w:sz w:val="18"/>
                <w:szCs w:val="18"/>
              </w:rPr>
              <w:t>Fin</w:t>
            </w:r>
          </w:p>
        </w:tc>
      </w:tr>
      <w:tr w:rsidR="007418FB" w:rsidRPr="00FE771B" w:rsidTr="007418FB">
        <w:trPr>
          <w:trHeight w:val="634"/>
        </w:trPr>
        <w:tc>
          <w:tcPr>
            <w:tcW w:w="685" w:type="pct"/>
            <w:tcBorders>
              <w:bottom w:val="single" w:sz="4" w:space="0" w:color="auto"/>
            </w:tcBorders>
          </w:tcPr>
          <w:p w:rsidR="006C695F" w:rsidRPr="00FE771B" w:rsidRDefault="006C695F" w:rsidP="00180772">
            <w:pPr>
              <w:autoSpaceDE w:val="0"/>
              <w:autoSpaceDN w:val="0"/>
              <w:adjustRightInd w:val="0"/>
              <w:jc w:val="left"/>
              <w:rPr>
                <w:rFonts w:ascii="Times New Roman" w:hAnsi="Times New Roman" w:cs="Times New Roman"/>
                <w:i/>
                <w:color w:val="000000" w:themeColor="text1"/>
                <w:kern w:val="0"/>
                <w:sz w:val="18"/>
                <w:szCs w:val="18"/>
              </w:rPr>
            </w:pPr>
            <w:proofErr w:type="spellStart"/>
            <w:r w:rsidRPr="00FE771B">
              <w:rPr>
                <w:rFonts w:ascii="Times New Roman" w:hAnsi="Times New Roman" w:cs="Times New Roman"/>
                <w:i/>
                <w:color w:val="000000" w:themeColor="text1"/>
                <w:kern w:val="0"/>
                <w:sz w:val="18"/>
                <w:szCs w:val="18"/>
              </w:rPr>
              <w:t>Vam_logit</w:t>
            </w:r>
            <w:proofErr w:type="spellEnd"/>
          </w:p>
        </w:tc>
        <w:tc>
          <w:tcPr>
            <w:tcW w:w="527" w:type="pct"/>
            <w:tcBorders>
              <w:bottom w:val="single" w:sz="4" w:space="0" w:color="auto"/>
            </w:tcBorders>
          </w:tcPr>
          <w:p w:rsidR="007418FB" w:rsidRPr="00FE771B" w:rsidRDefault="006C695F"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0.0120</w:t>
            </w:r>
          </w:p>
          <w:p w:rsidR="006C695F" w:rsidRPr="00FE771B" w:rsidRDefault="007418FB"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(3.381)</w:t>
            </w:r>
            <w:r w:rsidRPr="00FE771B">
              <w:rPr>
                <w:rFonts w:ascii="Times New Roman" w:hAnsi="Times New Roman" w:cs="Times New Roman"/>
                <w:color w:val="000000" w:themeColor="text1"/>
                <w:kern w:val="0"/>
                <w:sz w:val="18"/>
                <w:szCs w:val="18"/>
                <w:vertAlign w:val="superscript"/>
              </w:rPr>
              <w:t>***</w:t>
            </w:r>
          </w:p>
        </w:tc>
        <w:tc>
          <w:tcPr>
            <w:tcW w:w="527" w:type="pct"/>
            <w:tcBorders>
              <w:bottom w:val="single" w:sz="4" w:space="0" w:color="auto"/>
            </w:tcBorders>
          </w:tcPr>
          <w:p w:rsidR="007418FB" w:rsidRPr="00FE771B" w:rsidRDefault="006C695F"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-0.0069</w:t>
            </w:r>
          </w:p>
          <w:p w:rsidR="006C695F" w:rsidRPr="00FE771B" w:rsidRDefault="007418FB"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(-0.261)</w:t>
            </w:r>
          </w:p>
        </w:tc>
        <w:tc>
          <w:tcPr>
            <w:tcW w:w="527" w:type="pct"/>
            <w:tcBorders>
              <w:bottom w:val="single" w:sz="4" w:space="0" w:color="auto"/>
            </w:tcBorders>
          </w:tcPr>
          <w:p w:rsidR="006C695F" w:rsidRPr="00FE771B" w:rsidRDefault="006C695F" w:rsidP="00F20551">
            <w:pPr>
              <w:autoSpaceDE w:val="0"/>
              <w:autoSpaceDN w:val="0"/>
              <w:adjustRightInd w:val="0"/>
              <w:jc w:val="center"/>
              <w:rPr>
                <w:rFonts w:ascii="Times New Roman" w:hAnsi="Times New Roman" w:cs="Times New Roman"/>
                <w:color w:val="000000" w:themeColor="text1"/>
                <w:kern w:val="0"/>
                <w:sz w:val="18"/>
                <w:szCs w:val="18"/>
              </w:rPr>
            </w:pPr>
          </w:p>
        </w:tc>
        <w:tc>
          <w:tcPr>
            <w:tcW w:w="528" w:type="pct"/>
            <w:tcBorders>
              <w:bottom w:val="single" w:sz="4" w:space="0" w:color="auto"/>
            </w:tcBorders>
          </w:tcPr>
          <w:p w:rsidR="006C695F" w:rsidRPr="00FE771B" w:rsidRDefault="006C695F" w:rsidP="00F20551">
            <w:pPr>
              <w:autoSpaceDE w:val="0"/>
              <w:autoSpaceDN w:val="0"/>
              <w:adjustRightInd w:val="0"/>
              <w:jc w:val="center"/>
              <w:rPr>
                <w:rFonts w:ascii="Times New Roman" w:hAnsi="Times New Roman" w:cs="Times New Roman"/>
                <w:color w:val="000000" w:themeColor="text1"/>
                <w:kern w:val="0"/>
                <w:sz w:val="18"/>
                <w:szCs w:val="18"/>
              </w:rPr>
            </w:pPr>
          </w:p>
        </w:tc>
        <w:tc>
          <w:tcPr>
            <w:tcW w:w="576" w:type="pct"/>
            <w:tcBorders>
              <w:bottom w:val="single" w:sz="4" w:space="0" w:color="auto"/>
            </w:tcBorders>
          </w:tcPr>
          <w:p w:rsidR="007418FB" w:rsidRPr="00FE771B" w:rsidRDefault="006C695F"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0.0043</w:t>
            </w:r>
          </w:p>
          <w:p w:rsidR="006C695F" w:rsidRPr="00FE771B" w:rsidRDefault="007418FB"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(2.266)</w:t>
            </w:r>
            <w:r w:rsidRPr="00FE771B">
              <w:rPr>
                <w:rFonts w:ascii="Times New Roman" w:hAnsi="Times New Roman" w:cs="Times New Roman"/>
                <w:color w:val="000000" w:themeColor="text1"/>
                <w:kern w:val="0"/>
                <w:sz w:val="18"/>
                <w:szCs w:val="18"/>
                <w:vertAlign w:val="superscript"/>
              </w:rPr>
              <w:t>**</w:t>
            </w:r>
          </w:p>
        </w:tc>
        <w:tc>
          <w:tcPr>
            <w:tcW w:w="527" w:type="pct"/>
            <w:tcBorders>
              <w:bottom w:val="single" w:sz="4" w:space="0" w:color="auto"/>
            </w:tcBorders>
          </w:tcPr>
          <w:p w:rsidR="007418FB" w:rsidRPr="00FE771B" w:rsidRDefault="006C695F"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-0.0121</w:t>
            </w:r>
          </w:p>
          <w:p w:rsidR="006C695F" w:rsidRPr="00FE771B" w:rsidRDefault="007418FB"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(-0.586)</w:t>
            </w:r>
          </w:p>
        </w:tc>
        <w:tc>
          <w:tcPr>
            <w:tcW w:w="576" w:type="pct"/>
            <w:tcBorders>
              <w:bottom w:val="single" w:sz="4" w:space="0" w:color="auto"/>
            </w:tcBorders>
          </w:tcPr>
          <w:p w:rsidR="006C695F" w:rsidRPr="00FE771B" w:rsidRDefault="006C695F" w:rsidP="00180772">
            <w:pPr>
              <w:autoSpaceDE w:val="0"/>
              <w:autoSpaceDN w:val="0"/>
              <w:adjustRightInd w:val="0"/>
              <w:jc w:val="center"/>
              <w:rPr>
                <w:rFonts w:ascii="Times New Roman" w:hAnsi="Times New Roman" w:cs="Times New Roman"/>
                <w:color w:val="000000" w:themeColor="text1"/>
                <w:kern w:val="0"/>
                <w:sz w:val="18"/>
                <w:szCs w:val="18"/>
              </w:rPr>
            </w:pPr>
          </w:p>
        </w:tc>
        <w:tc>
          <w:tcPr>
            <w:tcW w:w="527" w:type="pct"/>
            <w:tcBorders>
              <w:bottom w:val="single" w:sz="4" w:space="0" w:color="auto"/>
            </w:tcBorders>
          </w:tcPr>
          <w:p w:rsidR="006C695F" w:rsidRPr="00FE771B" w:rsidRDefault="006C695F" w:rsidP="00180772">
            <w:pPr>
              <w:autoSpaceDE w:val="0"/>
              <w:autoSpaceDN w:val="0"/>
              <w:adjustRightInd w:val="0"/>
              <w:jc w:val="center"/>
              <w:rPr>
                <w:rFonts w:ascii="Times New Roman" w:hAnsi="Times New Roman" w:cs="Times New Roman"/>
                <w:color w:val="000000" w:themeColor="text1"/>
                <w:kern w:val="0"/>
                <w:sz w:val="18"/>
                <w:szCs w:val="18"/>
              </w:rPr>
            </w:pPr>
          </w:p>
        </w:tc>
      </w:tr>
      <w:tr w:rsidR="007418FB" w:rsidRPr="00FE771B" w:rsidTr="007418FB">
        <w:trPr>
          <w:trHeight w:val="634"/>
        </w:trPr>
        <w:tc>
          <w:tcPr>
            <w:tcW w:w="685" w:type="pct"/>
            <w:tcBorders>
              <w:bottom w:val="single" w:sz="4" w:space="0" w:color="auto"/>
            </w:tcBorders>
          </w:tcPr>
          <w:p w:rsidR="006C695F" w:rsidRPr="00FE771B" w:rsidRDefault="006C695F" w:rsidP="00180772">
            <w:pPr>
              <w:autoSpaceDE w:val="0"/>
              <w:autoSpaceDN w:val="0"/>
              <w:adjustRightInd w:val="0"/>
              <w:jc w:val="left"/>
              <w:rPr>
                <w:rFonts w:ascii="Times New Roman" w:hAnsi="Times New Roman" w:cs="Times New Roman"/>
                <w:i/>
                <w:color w:val="000000" w:themeColor="text1"/>
                <w:kern w:val="0"/>
                <w:sz w:val="18"/>
                <w:szCs w:val="18"/>
              </w:rPr>
            </w:pPr>
            <w:proofErr w:type="spellStart"/>
            <w:r w:rsidRPr="00FE771B">
              <w:rPr>
                <w:rFonts w:ascii="Times New Roman" w:hAnsi="Times New Roman" w:cs="Times New Roman"/>
                <w:i/>
                <w:color w:val="000000" w:themeColor="text1"/>
                <w:kern w:val="0"/>
                <w:sz w:val="18"/>
                <w:szCs w:val="18"/>
              </w:rPr>
              <w:t>Vam_numbers</w:t>
            </w:r>
            <w:proofErr w:type="spellEnd"/>
          </w:p>
        </w:tc>
        <w:tc>
          <w:tcPr>
            <w:tcW w:w="527" w:type="pct"/>
            <w:tcBorders>
              <w:bottom w:val="single" w:sz="4" w:space="0" w:color="auto"/>
            </w:tcBorders>
          </w:tcPr>
          <w:p w:rsidR="006C695F" w:rsidRPr="00FE771B" w:rsidRDefault="006C695F" w:rsidP="00180772">
            <w:pPr>
              <w:autoSpaceDE w:val="0"/>
              <w:autoSpaceDN w:val="0"/>
              <w:adjustRightInd w:val="0"/>
              <w:jc w:val="center"/>
              <w:rPr>
                <w:rFonts w:ascii="Times New Roman" w:hAnsi="Times New Roman" w:cs="Times New Roman"/>
                <w:color w:val="000000" w:themeColor="text1"/>
                <w:kern w:val="0"/>
                <w:sz w:val="18"/>
                <w:szCs w:val="18"/>
              </w:rPr>
            </w:pPr>
          </w:p>
        </w:tc>
        <w:tc>
          <w:tcPr>
            <w:tcW w:w="527" w:type="pct"/>
            <w:tcBorders>
              <w:bottom w:val="single" w:sz="4" w:space="0" w:color="auto"/>
            </w:tcBorders>
          </w:tcPr>
          <w:p w:rsidR="006C695F" w:rsidRPr="00FE771B" w:rsidRDefault="006C695F" w:rsidP="00180772">
            <w:pPr>
              <w:autoSpaceDE w:val="0"/>
              <w:autoSpaceDN w:val="0"/>
              <w:adjustRightInd w:val="0"/>
              <w:jc w:val="center"/>
              <w:rPr>
                <w:rFonts w:ascii="Times New Roman" w:hAnsi="Times New Roman" w:cs="Times New Roman"/>
                <w:color w:val="000000" w:themeColor="text1"/>
                <w:kern w:val="0"/>
                <w:sz w:val="18"/>
                <w:szCs w:val="18"/>
              </w:rPr>
            </w:pPr>
          </w:p>
        </w:tc>
        <w:tc>
          <w:tcPr>
            <w:tcW w:w="527" w:type="pct"/>
            <w:tcBorders>
              <w:bottom w:val="single" w:sz="4" w:space="0" w:color="auto"/>
            </w:tcBorders>
          </w:tcPr>
          <w:p w:rsidR="007418FB" w:rsidRPr="00FE771B" w:rsidRDefault="006C695F"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0.0035</w:t>
            </w:r>
          </w:p>
          <w:p w:rsidR="006C695F" w:rsidRPr="00FE771B" w:rsidRDefault="007418FB"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(1.500)</w:t>
            </w:r>
          </w:p>
        </w:tc>
        <w:tc>
          <w:tcPr>
            <w:tcW w:w="528" w:type="pct"/>
            <w:tcBorders>
              <w:bottom w:val="single" w:sz="4" w:space="0" w:color="auto"/>
            </w:tcBorders>
          </w:tcPr>
          <w:p w:rsidR="007418FB" w:rsidRPr="00FE771B" w:rsidRDefault="006C695F"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-0.0080</w:t>
            </w:r>
          </w:p>
          <w:p w:rsidR="006C695F" w:rsidRPr="00FE771B" w:rsidRDefault="007418FB"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(-0.620)</w:t>
            </w:r>
          </w:p>
        </w:tc>
        <w:tc>
          <w:tcPr>
            <w:tcW w:w="576" w:type="pct"/>
            <w:tcBorders>
              <w:bottom w:val="single" w:sz="4" w:space="0" w:color="auto"/>
            </w:tcBorders>
          </w:tcPr>
          <w:p w:rsidR="006C695F" w:rsidRPr="00FE771B" w:rsidRDefault="006C695F" w:rsidP="00F20551">
            <w:pPr>
              <w:autoSpaceDE w:val="0"/>
              <w:autoSpaceDN w:val="0"/>
              <w:adjustRightInd w:val="0"/>
              <w:jc w:val="center"/>
              <w:rPr>
                <w:rFonts w:ascii="Times New Roman" w:hAnsi="Times New Roman" w:cs="Times New Roman"/>
                <w:color w:val="000000" w:themeColor="text1"/>
                <w:kern w:val="0"/>
                <w:sz w:val="18"/>
                <w:szCs w:val="18"/>
              </w:rPr>
            </w:pPr>
          </w:p>
        </w:tc>
        <w:tc>
          <w:tcPr>
            <w:tcW w:w="527" w:type="pct"/>
            <w:tcBorders>
              <w:bottom w:val="single" w:sz="4" w:space="0" w:color="auto"/>
            </w:tcBorders>
          </w:tcPr>
          <w:p w:rsidR="006C695F" w:rsidRPr="00FE771B" w:rsidRDefault="006C695F" w:rsidP="00F20551">
            <w:pPr>
              <w:autoSpaceDE w:val="0"/>
              <w:autoSpaceDN w:val="0"/>
              <w:adjustRightInd w:val="0"/>
              <w:jc w:val="center"/>
              <w:rPr>
                <w:rFonts w:ascii="Times New Roman" w:hAnsi="Times New Roman" w:cs="Times New Roman"/>
                <w:color w:val="000000" w:themeColor="text1"/>
                <w:kern w:val="0"/>
                <w:sz w:val="18"/>
                <w:szCs w:val="18"/>
              </w:rPr>
            </w:pPr>
          </w:p>
        </w:tc>
        <w:tc>
          <w:tcPr>
            <w:tcW w:w="576" w:type="pct"/>
            <w:tcBorders>
              <w:bottom w:val="single" w:sz="4" w:space="0" w:color="auto"/>
            </w:tcBorders>
          </w:tcPr>
          <w:p w:rsidR="007418FB" w:rsidRPr="00FE771B" w:rsidRDefault="006C695F"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-0.0012</w:t>
            </w:r>
          </w:p>
          <w:p w:rsidR="006C695F" w:rsidRPr="00FE771B" w:rsidRDefault="007418FB"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(-1.176)</w:t>
            </w:r>
          </w:p>
        </w:tc>
        <w:tc>
          <w:tcPr>
            <w:tcW w:w="527" w:type="pct"/>
            <w:tcBorders>
              <w:bottom w:val="single" w:sz="4" w:space="0" w:color="auto"/>
            </w:tcBorders>
          </w:tcPr>
          <w:p w:rsidR="007418FB" w:rsidRPr="00FE771B" w:rsidRDefault="006C695F"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-0.0031</w:t>
            </w:r>
          </w:p>
          <w:p w:rsidR="006C695F" w:rsidRPr="00FE771B" w:rsidRDefault="007418FB"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(-0.341)</w:t>
            </w:r>
          </w:p>
        </w:tc>
      </w:tr>
      <w:tr w:rsidR="007418FB" w:rsidRPr="00FE771B" w:rsidTr="007418FB">
        <w:trPr>
          <w:trHeight w:val="634"/>
        </w:trPr>
        <w:tc>
          <w:tcPr>
            <w:tcW w:w="685" w:type="pct"/>
            <w:tcBorders>
              <w:bottom w:val="single" w:sz="4" w:space="0" w:color="auto"/>
            </w:tcBorders>
          </w:tcPr>
          <w:p w:rsidR="006C695F" w:rsidRPr="00FE771B" w:rsidRDefault="006C695F" w:rsidP="00180772">
            <w:pPr>
              <w:autoSpaceDE w:val="0"/>
              <w:autoSpaceDN w:val="0"/>
              <w:adjustRightInd w:val="0"/>
              <w:jc w:val="left"/>
              <w:rPr>
                <w:rFonts w:ascii="Times New Roman" w:hAnsi="Times New Roman" w:cs="Times New Roman"/>
                <w:i/>
                <w:color w:val="000000" w:themeColor="text1"/>
                <w:kern w:val="0"/>
                <w:sz w:val="18"/>
                <w:szCs w:val="18"/>
              </w:rPr>
            </w:pPr>
            <w:r w:rsidRPr="00FE771B">
              <w:rPr>
                <w:rFonts w:ascii="Times New Roman" w:hAnsi="Times New Roman" w:cs="Times New Roman"/>
                <w:i/>
                <w:color w:val="000000" w:themeColor="text1"/>
                <w:kern w:val="0"/>
                <w:sz w:val="18"/>
                <w:szCs w:val="18"/>
              </w:rPr>
              <w:t>DA</w:t>
            </w:r>
          </w:p>
        </w:tc>
        <w:tc>
          <w:tcPr>
            <w:tcW w:w="527" w:type="pct"/>
            <w:tcBorders>
              <w:bottom w:val="single" w:sz="4" w:space="0" w:color="auto"/>
            </w:tcBorders>
          </w:tcPr>
          <w:p w:rsidR="006C695F" w:rsidRPr="00FE771B" w:rsidRDefault="006C695F" w:rsidP="00180772">
            <w:pPr>
              <w:autoSpaceDE w:val="0"/>
              <w:autoSpaceDN w:val="0"/>
              <w:adjustRightInd w:val="0"/>
              <w:jc w:val="center"/>
              <w:rPr>
                <w:rFonts w:ascii="Times New Roman" w:hAnsi="Times New Roman" w:cs="Times New Roman"/>
                <w:color w:val="000000" w:themeColor="text1"/>
                <w:kern w:val="0"/>
                <w:sz w:val="18"/>
                <w:szCs w:val="18"/>
              </w:rPr>
            </w:pPr>
          </w:p>
        </w:tc>
        <w:tc>
          <w:tcPr>
            <w:tcW w:w="527" w:type="pct"/>
            <w:tcBorders>
              <w:bottom w:val="single" w:sz="4" w:space="0" w:color="auto"/>
            </w:tcBorders>
          </w:tcPr>
          <w:p w:rsidR="007418FB" w:rsidRPr="00FE771B" w:rsidRDefault="006C695F"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-0.0122</w:t>
            </w:r>
          </w:p>
          <w:p w:rsidR="006C695F" w:rsidRPr="00FE771B" w:rsidRDefault="007418FB"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(-0.081)</w:t>
            </w:r>
          </w:p>
        </w:tc>
        <w:tc>
          <w:tcPr>
            <w:tcW w:w="527" w:type="pct"/>
            <w:tcBorders>
              <w:bottom w:val="single" w:sz="4" w:space="0" w:color="auto"/>
            </w:tcBorders>
          </w:tcPr>
          <w:p w:rsidR="006C695F" w:rsidRPr="00FE771B" w:rsidRDefault="006C695F" w:rsidP="00F20551">
            <w:pPr>
              <w:autoSpaceDE w:val="0"/>
              <w:autoSpaceDN w:val="0"/>
              <w:adjustRightInd w:val="0"/>
              <w:jc w:val="center"/>
              <w:rPr>
                <w:rFonts w:ascii="Times New Roman" w:hAnsi="Times New Roman" w:cs="Times New Roman"/>
                <w:color w:val="000000" w:themeColor="text1"/>
                <w:kern w:val="0"/>
                <w:sz w:val="18"/>
                <w:szCs w:val="18"/>
              </w:rPr>
            </w:pPr>
          </w:p>
        </w:tc>
        <w:tc>
          <w:tcPr>
            <w:tcW w:w="528" w:type="pct"/>
            <w:tcBorders>
              <w:bottom w:val="single" w:sz="4" w:space="0" w:color="auto"/>
            </w:tcBorders>
          </w:tcPr>
          <w:p w:rsidR="007418FB" w:rsidRPr="00FE771B" w:rsidRDefault="006C695F"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-0.0123</w:t>
            </w:r>
          </w:p>
          <w:p w:rsidR="006C695F" w:rsidRPr="00FE771B" w:rsidRDefault="007418FB"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(-0.081)</w:t>
            </w:r>
          </w:p>
        </w:tc>
        <w:tc>
          <w:tcPr>
            <w:tcW w:w="576" w:type="pct"/>
            <w:tcBorders>
              <w:bottom w:val="single" w:sz="4" w:space="0" w:color="auto"/>
            </w:tcBorders>
          </w:tcPr>
          <w:p w:rsidR="006C695F" w:rsidRPr="00FE771B" w:rsidRDefault="006C695F" w:rsidP="00F20551">
            <w:pPr>
              <w:autoSpaceDE w:val="0"/>
              <w:autoSpaceDN w:val="0"/>
              <w:adjustRightInd w:val="0"/>
              <w:jc w:val="center"/>
              <w:rPr>
                <w:rFonts w:ascii="Times New Roman" w:hAnsi="Times New Roman" w:cs="Times New Roman"/>
                <w:color w:val="000000" w:themeColor="text1"/>
                <w:kern w:val="0"/>
                <w:sz w:val="18"/>
                <w:szCs w:val="18"/>
              </w:rPr>
            </w:pPr>
          </w:p>
        </w:tc>
        <w:tc>
          <w:tcPr>
            <w:tcW w:w="527" w:type="pct"/>
            <w:tcBorders>
              <w:bottom w:val="single" w:sz="4" w:space="0" w:color="auto"/>
            </w:tcBorders>
          </w:tcPr>
          <w:p w:rsidR="007418FB" w:rsidRPr="00FE771B" w:rsidRDefault="006C695F"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0.3227</w:t>
            </w:r>
          </w:p>
          <w:p w:rsidR="006C695F" w:rsidRPr="00FE771B" w:rsidRDefault="007418FB"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(2.434)</w:t>
            </w:r>
            <w:r w:rsidRPr="00FE771B">
              <w:rPr>
                <w:rFonts w:ascii="Times New Roman" w:hAnsi="Times New Roman" w:cs="Times New Roman"/>
                <w:color w:val="000000" w:themeColor="text1"/>
                <w:kern w:val="0"/>
                <w:sz w:val="18"/>
                <w:szCs w:val="18"/>
                <w:vertAlign w:val="superscript"/>
              </w:rPr>
              <w:t>**</w:t>
            </w:r>
          </w:p>
        </w:tc>
        <w:tc>
          <w:tcPr>
            <w:tcW w:w="576" w:type="pct"/>
            <w:tcBorders>
              <w:bottom w:val="single" w:sz="4" w:space="0" w:color="auto"/>
            </w:tcBorders>
          </w:tcPr>
          <w:p w:rsidR="006C695F" w:rsidRPr="00FE771B" w:rsidRDefault="006C695F" w:rsidP="00F20551">
            <w:pPr>
              <w:autoSpaceDE w:val="0"/>
              <w:autoSpaceDN w:val="0"/>
              <w:adjustRightInd w:val="0"/>
              <w:jc w:val="center"/>
              <w:rPr>
                <w:rFonts w:ascii="Times New Roman" w:hAnsi="Times New Roman" w:cs="Times New Roman"/>
                <w:color w:val="000000" w:themeColor="text1"/>
                <w:kern w:val="0"/>
                <w:sz w:val="18"/>
                <w:szCs w:val="18"/>
              </w:rPr>
            </w:pPr>
          </w:p>
        </w:tc>
        <w:tc>
          <w:tcPr>
            <w:tcW w:w="527" w:type="pct"/>
            <w:tcBorders>
              <w:bottom w:val="single" w:sz="4" w:space="0" w:color="auto"/>
            </w:tcBorders>
          </w:tcPr>
          <w:p w:rsidR="007418FB" w:rsidRPr="00FE771B" w:rsidRDefault="006C695F"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0.3214</w:t>
            </w:r>
          </w:p>
          <w:p w:rsidR="006C695F" w:rsidRPr="00FE771B" w:rsidRDefault="007418FB"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(2.425)</w:t>
            </w:r>
            <w:r w:rsidRPr="00FE771B">
              <w:rPr>
                <w:rFonts w:ascii="Times New Roman" w:hAnsi="Times New Roman" w:cs="Times New Roman"/>
                <w:color w:val="000000" w:themeColor="text1"/>
                <w:kern w:val="0"/>
                <w:sz w:val="18"/>
                <w:szCs w:val="18"/>
                <w:vertAlign w:val="superscript"/>
              </w:rPr>
              <w:t>**</w:t>
            </w:r>
          </w:p>
        </w:tc>
      </w:tr>
      <w:tr w:rsidR="007418FB" w:rsidRPr="00FE771B" w:rsidTr="007418FB">
        <w:tc>
          <w:tcPr>
            <w:tcW w:w="685" w:type="pct"/>
          </w:tcPr>
          <w:p w:rsidR="001D2964" w:rsidRPr="00FE771B" w:rsidRDefault="001D2964" w:rsidP="00180772">
            <w:pPr>
              <w:autoSpaceDE w:val="0"/>
              <w:autoSpaceDN w:val="0"/>
              <w:adjustRightInd w:val="0"/>
              <w:jc w:val="left"/>
              <w:rPr>
                <w:rFonts w:ascii="Times New Roman" w:hAnsi="Times New Roman" w:cs="Times New Roman"/>
                <w:i/>
                <w:color w:val="000000" w:themeColor="text1"/>
                <w:kern w:val="0"/>
                <w:sz w:val="18"/>
                <w:szCs w:val="18"/>
              </w:rPr>
            </w:pPr>
            <w:r w:rsidRPr="00FE771B">
              <w:rPr>
                <w:rFonts w:ascii="Times New Roman" w:hAnsi="Times New Roman" w:cs="Times New Roman"/>
                <w:i/>
                <w:color w:val="000000" w:themeColor="text1"/>
                <w:kern w:val="0"/>
                <w:sz w:val="18"/>
                <w:szCs w:val="18"/>
              </w:rPr>
              <w:t>Controls</w:t>
            </w:r>
          </w:p>
        </w:tc>
        <w:tc>
          <w:tcPr>
            <w:tcW w:w="527" w:type="pct"/>
          </w:tcPr>
          <w:p w:rsidR="001D2964" w:rsidRPr="00FE771B" w:rsidRDefault="001D2964"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控制</w:t>
            </w:r>
          </w:p>
        </w:tc>
        <w:tc>
          <w:tcPr>
            <w:tcW w:w="527" w:type="pct"/>
          </w:tcPr>
          <w:p w:rsidR="001D2964" w:rsidRPr="00FE771B" w:rsidRDefault="001D2964" w:rsidP="001D2964">
            <w:pPr>
              <w:jc w:val="center"/>
              <w:rPr>
                <w:rFonts w:ascii="Times New Roman" w:hAnsi="Times New Roman" w:cs="Times New Roman"/>
                <w:color w:val="000000" w:themeColor="text1"/>
              </w:rPr>
            </w:pPr>
            <w:r w:rsidRPr="00FE771B">
              <w:rPr>
                <w:rFonts w:ascii="Times New Roman" w:hAnsi="Times New Roman" w:cs="Times New Roman"/>
                <w:color w:val="000000" w:themeColor="text1"/>
                <w:kern w:val="0"/>
                <w:sz w:val="18"/>
                <w:szCs w:val="18"/>
              </w:rPr>
              <w:t>控制</w:t>
            </w:r>
          </w:p>
        </w:tc>
        <w:tc>
          <w:tcPr>
            <w:tcW w:w="527" w:type="pct"/>
          </w:tcPr>
          <w:p w:rsidR="001D2964" w:rsidRPr="00FE771B" w:rsidRDefault="001D2964" w:rsidP="001D2964">
            <w:pPr>
              <w:jc w:val="center"/>
              <w:rPr>
                <w:rFonts w:ascii="Times New Roman" w:hAnsi="Times New Roman" w:cs="Times New Roman"/>
                <w:color w:val="000000" w:themeColor="text1"/>
              </w:rPr>
            </w:pPr>
            <w:r w:rsidRPr="00FE771B">
              <w:rPr>
                <w:rFonts w:ascii="Times New Roman" w:hAnsi="Times New Roman" w:cs="Times New Roman"/>
                <w:color w:val="000000" w:themeColor="text1"/>
                <w:kern w:val="0"/>
                <w:sz w:val="18"/>
                <w:szCs w:val="18"/>
              </w:rPr>
              <w:t>控制</w:t>
            </w:r>
          </w:p>
        </w:tc>
        <w:tc>
          <w:tcPr>
            <w:tcW w:w="528" w:type="pct"/>
          </w:tcPr>
          <w:p w:rsidR="001D2964" w:rsidRPr="00FE771B" w:rsidRDefault="001D2964" w:rsidP="001D2964">
            <w:pPr>
              <w:jc w:val="center"/>
              <w:rPr>
                <w:rFonts w:ascii="Times New Roman" w:hAnsi="Times New Roman" w:cs="Times New Roman"/>
                <w:color w:val="000000" w:themeColor="text1"/>
              </w:rPr>
            </w:pPr>
            <w:r w:rsidRPr="00FE771B">
              <w:rPr>
                <w:rFonts w:ascii="Times New Roman" w:hAnsi="Times New Roman" w:cs="Times New Roman"/>
                <w:color w:val="000000" w:themeColor="text1"/>
                <w:kern w:val="0"/>
                <w:sz w:val="18"/>
                <w:szCs w:val="18"/>
              </w:rPr>
              <w:t>控制</w:t>
            </w:r>
          </w:p>
        </w:tc>
        <w:tc>
          <w:tcPr>
            <w:tcW w:w="576" w:type="pct"/>
          </w:tcPr>
          <w:p w:rsidR="001D2964" w:rsidRPr="00FE771B" w:rsidRDefault="001D2964" w:rsidP="001D2964">
            <w:pPr>
              <w:jc w:val="center"/>
              <w:rPr>
                <w:rFonts w:ascii="Times New Roman" w:hAnsi="Times New Roman" w:cs="Times New Roman"/>
                <w:color w:val="000000" w:themeColor="text1"/>
              </w:rPr>
            </w:pPr>
            <w:r w:rsidRPr="00FE771B">
              <w:rPr>
                <w:rFonts w:ascii="Times New Roman" w:hAnsi="Times New Roman" w:cs="Times New Roman"/>
                <w:color w:val="000000" w:themeColor="text1"/>
                <w:kern w:val="0"/>
                <w:sz w:val="18"/>
                <w:szCs w:val="18"/>
              </w:rPr>
              <w:t>控制</w:t>
            </w:r>
          </w:p>
        </w:tc>
        <w:tc>
          <w:tcPr>
            <w:tcW w:w="527" w:type="pct"/>
          </w:tcPr>
          <w:p w:rsidR="001D2964" w:rsidRPr="00FE771B" w:rsidRDefault="001D2964" w:rsidP="001D2964">
            <w:pPr>
              <w:jc w:val="center"/>
              <w:rPr>
                <w:rFonts w:ascii="Times New Roman" w:hAnsi="Times New Roman" w:cs="Times New Roman"/>
                <w:color w:val="000000" w:themeColor="text1"/>
              </w:rPr>
            </w:pPr>
            <w:r w:rsidRPr="00FE771B">
              <w:rPr>
                <w:rFonts w:ascii="Times New Roman" w:hAnsi="Times New Roman" w:cs="Times New Roman"/>
                <w:color w:val="000000" w:themeColor="text1"/>
                <w:kern w:val="0"/>
                <w:sz w:val="18"/>
                <w:szCs w:val="18"/>
              </w:rPr>
              <w:t>控制</w:t>
            </w:r>
          </w:p>
        </w:tc>
        <w:tc>
          <w:tcPr>
            <w:tcW w:w="576" w:type="pct"/>
          </w:tcPr>
          <w:p w:rsidR="001D2964" w:rsidRPr="00FE771B" w:rsidRDefault="001D2964" w:rsidP="001D2964">
            <w:pPr>
              <w:jc w:val="center"/>
              <w:rPr>
                <w:rFonts w:ascii="Times New Roman" w:hAnsi="Times New Roman" w:cs="Times New Roman"/>
                <w:color w:val="000000" w:themeColor="text1"/>
              </w:rPr>
            </w:pPr>
            <w:r w:rsidRPr="00FE771B">
              <w:rPr>
                <w:rFonts w:ascii="Times New Roman" w:hAnsi="Times New Roman" w:cs="Times New Roman"/>
                <w:color w:val="000000" w:themeColor="text1"/>
                <w:kern w:val="0"/>
                <w:sz w:val="18"/>
                <w:szCs w:val="18"/>
              </w:rPr>
              <w:t>控制</w:t>
            </w:r>
          </w:p>
        </w:tc>
        <w:tc>
          <w:tcPr>
            <w:tcW w:w="527" w:type="pct"/>
          </w:tcPr>
          <w:p w:rsidR="001D2964" w:rsidRPr="00FE771B" w:rsidRDefault="001D2964" w:rsidP="001D2964">
            <w:pPr>
              <w:jc w:val="center"/>
              <w:rPr>
                <w:rFonts w:ascii="Times New Roman" w:hAnsi="Times New Roman" w:cs="Times New Roman"/>
                <w:color w:val="000000" w:themeColor="text1"/>
              </w:rPr>
            </w:pPr>
            <w:r w:rsidRPr="00FE771B">
              <w:rPr>
                <w:rFonts w:ascii="Times New Roman" w:hAnsi="Times New Roman" w:cs="Times New Roman"/>
                <w:color w:val="000000" w:themeColor="text1"/>
                <w:kern w:val="0"/>
                <w:sz w:val="18"/>
                <w:szCs w:val="18"/>
              </w:rPr>
              <w:t>控制</w:t>
            </w:r>
          </w:p>
        </w:tc>
      </w:tr>
      <w:tr w:rsidR="007418FB" w:rsidRPr="00FE771B" w:rsidTr="007418FB">
        <w:trPr>
          <w:trHeight w:val="634"/>
        </w:trPr>
        <w:tc>
          <w:tcPr>
            <w:tcW w:w="685" w:type="pct"/>
            <w:tcBorders>
              <w:bottom w:val="single" w:sz="4" w:space="0" w:color="auto"/>
            </w:tcBorders>
          </w:tcPr>
          <w:p w:rsidR="00144D97" w:rsidRPr="00FE771B" w:rsidRDefault="00144D97" w:rsidP="00F20551">
            <w:pPr>
              <w:autoSpaceDE w:val="0"/>
              <w:autoSpaceDN w:val="0"/>
              <w:adjustRightInd w:val="0"/>
              <w:jc w:val="left"/>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_cons</w:t>
            </w:r>
          </w:p>
        </w:tc>
        <w:tc>
          <w:tcPr>
            <w:tcW w:w="527" w:type="pct"/>
            <w:tcBorders>
              <w:bottom w:val="single" w:sz="4" w:space="0" w:color="auto"/>
            </w:tcBorders>
          </w:tcPr>
          <w:p w:rsidR="007418FB" w:rsidRPr="00FE771B" w:rsidRDefault="00144D97"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0.1624</w:t>
            </w:r>
          </w:p>
          <w:p w:rsidR="00144D97" w:rsidRPr="00FE771B" w:rsidRDefault="007418FB"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(3.714)</w:t>
            </w:r>
            <w:r w:rsidRPr="00FE771B">
              <w:rPr>
                <w:rFonts w:ascii="Times New Roman" w:hAnsi="Times New Roman" w:cs="Times New Roman"/>
                <w:color w:val="000000" w:themeColor="text1"/>
                <w:kern w:val="0"/>
                <w:sz w:val="18"/>
                <w:szCs w:val="18"/>
                <w:vertAlign w:val="superscript"/>
              </w:rPr>
              <w:t>***</w:t>
            </w:r>
          </w:p>
        </w:tc>
        <w:tc>
          <w:tcPr>
            <w:tcW w:w="527" w:type="pct"/>
            <w:tcBorders>
              <w:bottom w:val="single" w:sz="4" w:space="0" w:color="auto"/>
            </w:tcBorders>
          </w:tcPr>
          <w:p w:rsidR="007418FB" w:rsidRPr="00FE771B" w:rsidRDefault="00144D97"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0.4632</w:t>
            </w:r>
          </w:p>
          <w:p w:rsidR="00144D97" w:rsidRPr="00FE771B" w:rsidRDefault="007418FB"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(1.278)</w:t>
            </w:r>
          </w:p>
        </w:tc>
        <w:tc>
          <w:tcPr>
            <w:tcW w:w="527" w:type="pct"/>
            <w:tcBorders>
              <w:bottom w:val="single" w:sz="4" w:space="0" w:color="auto"/>
            </w:tcBorders>
          </w:tcPr>
          <w:p w:rsidR="007418FB" w:rsidRPr="00FE771B" w:rsidRDefault="00144D97"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0.1644</w:t>
            </w:r>
          </w:p>
          <w:p w:rsidR="00144D97" w:rsidRPr="00FE771B" w:rsidRDefault="007418FB"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(3.751)</w:t>
            </w:r>
            <w:r w:rsidRPr="00FE771B">
              <w:rPr>
                <w:rFonts w:ascii="Times New Roman" w:hAnsi="Times New Roman" w:cs="Times New Roman"/>
                <w:color w:val="000000" w:themeColor="text1"/>
                <w:kern w:val="0"/>
                <w:sz w:val="18"/>
                <w:szCs w:val="18"/>
                <w:vertAlign w:val="superscript"/>
              </w:rPr>
              <w:t>***</w:t>
            </w:r>
          </w:p>
        </w:tc>
        <w:tc>
          <w:tcPr>
            <w:tcW w:w="528" w:type="pct"/>
            <w:tcBorders>
              <w:bottom w:val="single" w:sz="4" w:space="0" w:color="auto"/>
            </w:tcBorders>
          </w:tcPr>
          <w:p w:rsidR="007418FB" w:rsidRPr="00FE771B" w:rsidRDefault="00144D97"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0.4606</w:t>
            </w:r>
          </w:p>
          <w:p w:rsidR="00144D97" w:rsidRPr="00FE771B" w:rsidRDefault="007418FB"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(1.271)</w:t>
            </w:r>
          </w:p>
        </w:tc>
        <w:tc>
          <w:tcPr>
            <w:tcW w:w="576" w:type="pct"/>
            <w:tcBorders>
              <w:bottom w:val="single" w:sz="4" w:space="0" w:color="auto"/>
            </w:tcBorders>
          </w:tcPr>
          <w:p w:rsidR="007418FB" w:rsidRPr="00FE771B" w:rsidRDefault="00144D97"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0.1777</w:t>
            </w:r>
          </w:p>
          <w:p w:rsidR="00144D97" w:rsidRPr="00FE771B" w:rsidRDefault="007418FB"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(5.937)</w:t>
            </w:r>
            <w:r w:rsidRPr="00FE771B">
              <w:rPr>
                <w:rFonts w:ascii="Times New Roman" w:hAnsi="Times New Roman" w:cs="Times New Roman"/>
                <w:color w:val="000000" w:themeColor="text1"/>
                <w:kern w:val="0"/>
                <w:sz w:val="18"/>
                <w:szCs w:val="18"/>
                <w:vertAlign w:val="superscript"/>
              </w:rPr>
              <w:t>***</w:t>
            </w:r>
          </w:p>
        </w:tc>
        <w:tc>
          <w:tcPr>
            <w:tcW w:w="527" w:type="pct"/>
            <w:tcBorders>
              <w:bottom w:val="single" w:sz="4" w:space="0" w:color="auto"/>
            </w:tcBorders>
          </w:tcPr>
          <w:p w:rsidR="007418FB" w:rsidRPr="00FE771B" w:rsidRDefault="00144D97"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-0.3288</w:t>
            </w:r>
          </w:p>
          <w:p w:rsidR="00144D97" w:rsidRPr="00FE771B" w:rsidRDefault="007418FB"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(-0.914)</w:t>
            </w:r>
          </w:p>
        </w:tc>
        <w:tc>
          <w:tcPr>
            <w:tcW w:w="576" w:type="pct"/>
            <w:tcBorders>
              <w:bottom w:val="single" w:sz="4" w:space="0" w:color="auto"/>
            </w:tcBorders>
          </w:tcPr>
          <w:p w:rsidR="007418FB" w:rsidRPr="00FE771B" w:rsidRDefault="00144D97"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0.1772</w:t>
            </w:r>
          </w:p>
          <w:p w:rsidR="00144D97" w:rsidRPr="00FE771B" w:rsidRDefault="007418FB"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(5.484)</w:t>
            </w:r>
            <w:r w:rsidRPr="00FE771B">
              <w:rPr>
                <w:rFonts w:ascii="Times New Roman" w:hAnsi="Times New Roman" w:cs="Times New Roman"/>
                <w:color w:val="000000" w:themeColor="text1"/>
                <w:kern w:val="0"/>
                <w:sz w:val="18"/>
                <w:szCs w:val="18"/>
                <w:vertAlign w:val="superscript"/>
              </w:rPr>
              <w:t>***</w:t>
            </w:r>
          </w:p>
        </w:tc>
        <w:tc>
          <w:tcPr>
            <w:tcW w:w="527" w:type="pct"/>
            <w:tcBorders>
              <w:bottom w:val="single" w:sz="4" w:space="0" w:color="auto"/>
            </w:tcBorders>
          </w:tcPr>
          <w:p w:rsidR="007418FB" w:rsidRPr="00FE771B" w:rsidRDefault="00144D97"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-0.3313</w:t>
            </w:r>
          </w:p>
          <w:p w:rsidR="00144D97" w:rsidRPr="00FE771B" w:rsidRDefault="007418FB"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(-0.921)</w:t>
            </w:r>
          </w:p>
        </w:tc>
      </w:tr>
      <w:tr w:rsidR="007418FB" w:rsidRPr="00FE771B" w:rsidTr="007418FB">
        <w:tc>
          <w:tcPr>
            <w:tcW w:w="685" w:type="pct"/>
          </w:tcPr>
          <w:p w:rsidR="007C6CEB" w:rsidRPr="00FE771B" w:rsidRDefault="007C6CEB" w:rsidP="000D1E77">
            <w:pPr>
              <w:autoSpaceDE w:val="0"/>
              <w:autoSpaceDN w:val="0"/>
              <w:adjustRightInd w:val="0"/>
              <w:jc w:val="left"/>
              <w:rPr>
                <w:rFonts w:ascii="Times New Roman" w:hAnsi="Times New Roman" w:cs="Times New Roman"/>
                <w:i/>
                <w:color w:val="000000" w:themeColor="text1"/>
                <w:kern w:val="0"/>
                <w:sz w:val="18"/>
                <w:szCs w:val="18"/>
              </w:rPr>
            </w:pPr>
            <w:r w:rsidRPr="00FE771B">
              <w:rPr>
                <w:rFonts w:ascii="Times New Roman" w:hAnsi="Times New Roman" w:cs="Times New Roman"/>
                <w:i/>
                <w:color w:val="000000" w:themeColor="text1"/>
                <w:kern w:val="0"/>
                <w:sz w:val="18"/>
                <w:szCs w:val="18"/>
              </w:rPr>
              <w:t>Year</w:t>
            </w:r>
          </w:p>
        </w:tc>
        <w:tc>
          <w:tcPr>
            <w:tcW w:w="527" w:type="pct"/>
          </w:tcPr>
          <w:p w:rsidR="007C6CEB" w:rsidRPr="00FE771B" w:rsidRDefault="007C6CEB" w:rsidP="000D1E77">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Yes</w:t>
            </w:r>
          </w:p>
        </w:tc>
        <w:tc>
          <w:tcPr>
            <w:tcW w:w="527" w:type="pct"/>
          </w:tcPr>
          <w:p w:rsidR="007C6CEB" w:rsidRPr="00FE771B" w:rsidRDefault="007C6CEB" w:rsidP="000D1E77">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Yes</w:t>
            </w:r>
          </w:p>
        </w:tc>
        <w:tc>
          <w:tcPr>
            <w:tcW w:w="527" w:type="pct"/>
          </w:tcPr>
          <w:p w:rsidR="007C6CEB" w:rsidRPr="00FE771B" w:rsidRDefault="007C6CEB" w:rsidP="000D1E77">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Yes</w:t>
            </w:r>
          </w:p>
        </w:tc>
        <w:tc>
          <w:tcPr>
            <w:tcW w:w="528" w:type="pct"/>
          </w:tcPr>
          <w:p w:rsidR="007C6CEB" w:rsidRPr="00FE771B" w:rsidRDefault="007C6CEB" w:rsidP="000D1E77">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Yes</w:t>
            </w:r>
          </w:p>
        </w:tc>
        <w:tc>
          <w:tcPr>
            <w:tcW w:w="576" w:type="pct"/>
          </w:tcPr>
          <w:p w:rsidR="007C6CEB" w:rsidRPr="00FE771B" w:rsidRDefault="007C6CEB" w:rsidP="000D1E77">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Yes</w:t>
            </w:r>
          </w:p>
        </w:tc>
        <w:tc>
          <w:tcPr>
            <w:tcW w:w="527" w:type="pct"/>
          </w:tcPr>
          <w:p w:rsidR="007C6CEB" w:rsidRPr="00FE771B" w:rsidRDefault="007C6CEB" w:rsidP="000D1E77">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Yes</w:t>
            </w:r>
          </w:p>
        </w:tc>
        <w:tc>
          <w:tcPr>
            <w:tcW w:w="576" w:type="pct"/>
          </w:tcPr>
          <w:p w:rsidR="007C6CEB" w:rsidRPr="00FE771B" w:rsidRDefault="007C6CEB" w:rsidP="000D1E77">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Yes</w:t>
            </w:r>
          </w:p>
        </w:tc>
        <w:tc>
          <w:tcPr>
            <w:tcW w:w="527" w:type="pct"/>
          </w:tcPr>
          <w:p w:rsidR="007C6CEB" w:rsidRPr="00FE771B" w:rsidRDefault="007C6CEB" w:rsidP="000D1E77">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Yes</w:t>
            </w:r>
          </w:p>
        </w:tc>
      </w:tr>
      <w:tr w:rsidR="007418FB" w:rsidRPr="00FE771B" w:rsidTr="007418FB">
        <w:tc>
          <w:tcPr>
            <w:tcW w:w="685" w:type="pct"/>
          </w:tcPr>
          <w:p w:rsidR="007C6CEB" w:rsidRPr="00FE771B" w:rsidRDefault="007C6CEB" w:rsidP="000D1E77">
            <w:pPr>
              <w:autoSpaceDE w:val="0"/>
              <w:autoSpaceDN w:val="0"/>
              <w:adjustRightInd w:val="0"/>
              <w:jc w:val="left"/>
              <w:rPr>
                <w:rFonts w:ascii="Times New Roman" w:hAnsi="Times New Roman" w:cs="Times New Roman"/>
                <w:i/>
                <w:color w:val="000000" w:themeColor="text1"/>
                <w:kern w:val="0"/>
                <w:sz w:val="18"/>
                <w:szCs w:val="18"/>
              </w:rPr>
            </w:pPr>
            <w:r w:rsidRPr="00FE771B">
              <w:rPr>
                <w:rFonts w:ascii="Times New Roman" w:hAnsi="Times New Roman" w:cs="Times New Roman"/>
                <w:i/>
                <w:color w:val="000000" w:themeColor="text1"/>
                <w:kern w:val="0"/>
                <w:sz w:val="18"/>
                <w:szCs w:val="18"/>
              </w:rPr>
              <w:t>Industry</w:t>
            </w:r>
          </w:p>
        </w:tc>
        <w:tc>
          <w:tcPr>
            <w:tcW w:w="527" w:type="pct"/>
          </w:tcPr>
          <w:p w:rsidR="007C6CEB" w:rsidRPr="00FE771B" w:rsidRDefault="007C6CEB" w:rsidP="000D1E77">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Yes</w:t>
            </w:r>
          </w:p>
        </w:tc>
        <w:tc>
          <w:tcPr>
            <w:tcW w:w="527" w:type="pct"/>
          </w:tcPr>
          <w:p w:rsidR="007C6CEB" w:rsidRPr="00FE771B" w:rsidRDefault="007C6CEB" w:rsidP="000D1E77">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Yes</w:t>
            </w:r>
          </w:p>
        </w:tc>
        <w:tc>
          <w:tcPr>
            <w:tcW w:w="527" w:type="pct"/>
          </w:tcPr>
          <w:p w:rsidR="007C6CEB" w:rsidRPr="00FE771B" w:rsidRDefault="007C6CEB" w:rsidP="000D1E77">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Yes</w:t>
            </w:r>
          </w:p>
        </w:tc>
        <w:tc>
          <w:tcPr>
            <w:tcW w:w="528" w:type="pct"/>
          </w:tcPr>
          <w:p w:rsidR="007C6CEB" w:rsidRPr="00FE771B" w:rsidRDefault="007C6CEB" w:rsidP="000D1E77">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Yes</w:t>
            </w:r>
          </w:p>
        </w:tc>
        <w:tc>
          <w:tcPr>
            <w:tcW w:w="576" w:type="pct"/>
          </w:tcPr>
          <w:p w:rsidR="007C6CEB" w:rsidRPr="00FE771B" w:rsidRDefault="007C6CEB" w:rsidP="000D1E77">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Yes</w:t>
            </w:r>
          </w:p>
        </w:tc>
        <w:tc>
          <w:tcPr>
            <w:tcW w:w="527" w:type="pct"/>
          </w:tcPr>
          <w:p w:rsidR="007C6CEB" w:rsidRPr="00FE771B" w:rsidRDefault="007C6CEB" w:rsidP="000D1E77">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Yes</w:t>
            </w:r>
          </w:p>
        </w:tc>
        <w:tc>
          <w:tcPr>
            <w:tcW w:w="576" w:type="pct"/>
          </w:tcPr>
          <w:p w:rsidR="007C6CEB" w:rsidRPr="00FE771B" w:rsidRDefault="007C6CEB" w:rsidP="000D1E77">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Yes</w:t>
            </w:r>
          </w:p>
        </w:tc>
        <w:tc>
          <w:tcPr>
            <w:tcW w:w="527" w:type="pct"/>
          </w:tcPr>
          <w:p w:rsidR="007C6CEB" w:rsidRPr="00FE771B" w:rsidRDefault="007C6CEB" w:rsidP="000D1E77">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Yes</w:t>
            </w:r>
          </w:p>
        </w:tc>
      </w:tr>
      <w:tr w:rsidR="007418FB" w:rsidRPr="00FE771B" w:rsidTr="007418FB">
        <w:tc>
          <w:tcPr>
            <w:tcW w:w="685" w:type="pct"/>
          </w:tcPr>
          <w:p w:rsidR="00144D97" w:rsidRPr="00FE771B" w:rsidRDefault="00144D97" w:rsidP="00180772">
            <w:pPr>
              <w:autoSpaceDE w:val="0"/>
              <w:autoSpaceDN w:val="0"/>
              <w:adjustRightInd w:val="0"/>
              <w:jc w:val="left"/>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N</w:t>
            </w:r>
          </w:p>
        </w:tc>
        <w:tc>
          <w:tcPr>
            <w:tcW w:w="527" w:type="pct"/>
          </w:tcPr>
          <w:p w:rsidR="00144D97" w:rsidRPr="00FE771B" w:rsidRDefault="00144D97"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2785</w:t>
            </w:r>
          </w:p>
        </w:tc>
        <w:tc>
          <w:tcPr>
            <w:tcW w:w="527" w:type="pct"/>
          </w:tcPr>
          <w:p w:rsidR="00144D97" w:rsidRPr="00FE771B" w:rsidRDefault="00144D97"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2785</w:t>
            </w:r>
          </w:p>
        </w:tc>
        <w:tc>
          <w:tcPr>
            <w:tcW w:w="527" w:type="pct"/>
          </w:tcPr>
          <w:p w:rsidR="00144D97" w:rsidRPr="00FE771B" w:rsidRDefault="00144D97"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2785</w:t>
            </w:r>
          </w:p>
        </w:tc>
        <w:tc>
          <w:tcPr>
            <w:tcW w:w="528" w:type="pct"/>
          </w:tcPr>
          <w:p w:rsidR="00144D97" w:rsidRPr="00FE771B" w:rsidRDefault="00144D97"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2785</w:t>
            </w:r>
          </w:p>
        </w:tc>
        <w:tc>
          <w:tcPr>
            <w:tcW w:w="576" w:type="pct"/>
          </w:tcPr>
          <w:p w:rsidR="00144D97" w:rsidRPr="00FE771B" w:rsidRDefault="00144D97"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7036</w:t>
            </w:r>
          </w:p>
        </w:tc>
        <w:tc>
          <w:tcPr>
            <w:tcW w:w="527" w:type="pct"/>
          </w:tcPr>
          <w:p w:rsidR="00144D97" w:rsidRPr="00FE771B" w:rsidRDefault="00144D97"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7036</w:t>
            </w:r>
          </w:p>
        </w:tc>
        <w:tc>
          <w:tcPr>
            <w:tcW w:w="576" w:type="pct"/>
          </w:tcPr>
          <w:p w:rsidR="00144D97" w:rsidRPr="00FE771B" w:rsidRDefault="00144D97"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7036</w:t>
            </w:r>
          </w:p>
        </w:tc>
        <w:tc>
          <w:tcPr>
            <w:tcW w:w="527" w:type="pct"/>
          </w:tcPr>
          <w:p w:rsidR="00144D97" w:rsidRPr="00FE771B" w:rsidRDefault="00144D97"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7036</w:t>
            </w:r>
          </w:p>
        </w:tc>
      </w:tr>
      <w:tr w:rsidR="007418FB" w:rsidRPr="00FE771B" w:rsidTr="007418FB">
        <w:tc>
          <w:tcPr>
            <w:tcW w:w="685" w:type="pct"/>
          </w:tcPr>
          <w:p w:rsidR="00144D97" w:rsidRPr="00FE771B" w:rsidRDefault="00144D97" w:rsidP="00180772">
            <w:pPr>
              <w:autoSpaceDE w:val="0"/>
              <w:autoSpaceDN w:val="0"/>
              <w:adjustRightInd w:val="0"/>
              <w:jc w:val="left"/>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F</w:t>
            </w:r>
            <w:r w:rsidR="003E0F78" w:rsidRPr="00FE771B">
              <w:rPr>
                <w:rFonts w:ascii="Times New Roman" w:hAnsi="Times New Roman" w:cs="Times New Roman"/>
                <w:color w:val="000000" w:themeColor="text1"/>
              </w:rPr>
              <w:t xml:space="preserve"> </w:t>
            </w:r>
            <w:r w:rsidR="003E0F78" w:rsidRPr="00FE771B">
              <w:rPr>
                <w:rFonts w:ascii="Times New Roman" w:hAnsi="Times New Roman" w:cs="Times New Roman"/>
                <w:color w:val="000000" w:themeColor="text1"/>
                <w:kern w:val="0"/>
                <w:sz w:val="18"/>
                <w:szCs w:val="18"/>
              </w:rPr>
              <w:t>test</w:t>
            </w:r>
          </w:p>
        </w:tc>
        <w:tc>
          <w:tcPr>
            <w:tcW w:w="527" w:type="pct"/>
          </w:tcPr>
          <w:p w:rsidR="00144D97" w:rsidRPr="00FE771B" w:rsidRDefault="00144D97"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6.2280</w:t>
            </w:r>
          </w:p>
        </w:tc>
        <w:tc>
          <w:tcPr>
            <w:tcW w:w="527" w:type="pct"/>
          </w:tcPr>
          <w:p w:rsidR="00144D97" w:rsidRPr="00FE771B" w:rsidRDefault="00144D97"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7.7051</w:t>
            </w:r>
          </w:p>
        </w:tc>
        <w:tc>
          <w:tcPr>
            <w:tcW w:w="527" w:type="pct"/>
          </w:tcPr>
          <w:p w:rsidR="00144D97" w:rsidRPr="00FE771B" w:rsidRDefault="00144D97"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5.0708</w:t>
            </w:r>
          </w:p>
        </w:tc>
        <w:tc>
          <w:tcPr>
            <w:tcW w:w="528" w:type="pct"/>
          </w:tcPr>
          <w:p w:rsidR="00144D97" w:rsidRPr="00FE771B" w:rsidRDefault="00144D97"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7.7754</w:t>
            </w:r>
          </w:p>
        </w:tc>
        <w:tc>
          <w:tcPr>
            <w:tcW w:w="576" w:type="pct"/>
          </w:tcPr>
          <w:p w:rsidR="00144D97" w:rsidRPr="00FE771B" w:rsidRDefault="00144D97"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27.5063</w:t>
            </w:r>
          </w:p>
        </w:tc>
        <w:tc>
          <w:tcPr>
            <w:tcW w:w="527" w:type="pct"/>
          </w:tcPr>
          <w:p w:rsidR="00144D97" w:rsidRPr="00FE771B" w:rsidRDefault="00144D97"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11.1238</w:t>
            </w:r>
          </w:p>
        </w:tc>
        <w:tc>
          <w:tcPr>
            <w:tcW w:w="576" w:type="pct"/>
          </w:tcPr>
          <w:p w:rsidR="00144D97" w:rsidRPr="00FE771B" w:rsidRDefault="00144D97"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26.7162</w:t>
            </w:r>
          </w:p>
        </w:tc>
        <w:tc>
          <w:tcPr>
            <w:tcW w:w="527" w:type="pct"/>
          </w:tcPr>
          <w:p w:rsidR="00144D97" w:rsidRPr="00FE771B" w:rsidRDefault="00144D97"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11.1093</w:t>
            </w:r>
          </w:p>
        </w:tc>
      </w:tr>
      <w:tr w:rsidR="007418FB" w:rsidRPr="00FE771B" w:rsidTr="007418FB">
        <w:tc>
          <w:tcPr>
            <w:tcW w:w="685" w:type="pct"/>
          </w:tcPr>
          <w:p w:rsidR="00144D97" w:rsidRPr="00FE771B" w:rsidRDefault="00144D97" w:rsidP="00180772">
            <w:pPr>
              <w:autoSpaceDE w:val="0"/>
              <w:autoSpaceDN w:val="0"/>
              <w:adjustRightInd w:val="0"/>
              <w:jc w:val="left"/>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Adj-R</w:t>
            </w:r>
            <w:r w:rsidRPr="00FE771B">
              <w:rPr>
                <w:rFonts w:ascii="Times New Roman" w:hAnsi="Times New Roman" w:cs="Times New Roman"/>
                <w:color w:val="000000" w:themeColor="text1"/>
                <w:kern w:val="0"/>
                <w:sz w:val="18"/>
                <w:szCs w:val="18"/>
                <w:vertAlign w:val="superscript"/>
              </w:rPr>
              <w:t>2</w:t>
            </w:r>
          </w:p>
        </w:tc>
        <w:tc>
          <w:tcPr>
            <w:tcW w:w="527" w:type="pct"/>
          </w:tcPr>
          <w:p w:rsidR="00144D97" w:rsidRPr="00FE771B" w:rsidRDefault="00144D97"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0.0635</w:t>
            </w:r>
          </w:p>
        </w:tc>
        <w:tc>
          <w:tcPr>
            <w:tcW w:w="527" w:type="pct"/>
          </w:tcPr>
          <w:p w:rsidR="00144D97" w:rsidRPr="00FE771B" w:rsidRDefault="00144D97"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0.1449</w:t>
            </w:r>
          </w:p>
        </w:tc>
        <w:tc>
          <w:tcPr>
            <w:tcW w:w="527" w:type="pct"/>
          </w:tcPr>
          <w:p w:rsidR="00144D97" w:rsidRPr="00FE771B" w:rsidRDefault="00144D97"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0.0602</w:t>
            </w:r>
          </w:p>
        </w:tc>
        <w:tc>
          <w:tcPr>
            <w:tcW w:w="528" w:type="pct"/>
          </w:tcPr>
          <w:p w:rsidR="00144D97" w:rsidRPr="00FE771B" w:rsidRDefault="00144D97"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0.1449</w:t>
            </w:r>
          </w:p>
        </w:tc>
        <w:tc>
          <w:tcPr>
            <w:tcW w:w="576" w:type="pct"/>
          </w:tcPr>
          <w:p w:rsidR="00144D97" w:rsidRPr="00FE771B" w:rsidRDefault="00144D97"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0.1173</w:t>
            </w:r>
          </w:p>
        </w:tc>
        <w:tc>
          <w:tcPr>
            <w:tcW w:w="527" w:type="pct"/>
          </w:tcPr>
          <w:p w:rsidR="00144D97" w:rsidRPr="00FE771B" w:rsidRDefault="00144D97"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0.0963</w:t>
            </w:r>
          </w:p>
        </w:tc>
        <w:tc>
          <w:tcPr>
            <w:tcW w:w="576" w:type="pct"/>
          </w:tcPr>
          <w:p w:rsidR="00144D97" w:rsidRPr="00FE771B" w:rsidRDefault="00144D97"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0.1277</w:t>
            </w:r>
          </w:p>
        </w:tc>
        <w:tc>
          <w:tcPr>
            <w:tcW w:w="527" w:type="pct"/>
          </w:tcPr>
          <w:p w:rsidR="00144D97" w:rsidRPr="00FE771B" w:rsidRDefault="00144D97"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0.0963</w:t>
            </w:r>
          </w:p>
        </w:tc>
      </w:tr>
    </w:tbl>
    <w:p w:rsidR="00E055EB" w:rsidRPr="00FE771B" w:rsidRDefault="00E14128" w:rsidP="00E7616B">
      <w:pPr>
        <w:ind w:firstLineChars="200" w:firstLine="420"/>
        <w:rPr>
          <w:rFonts w:ascii="Times New Roman" w:hAnsi="Times New Roman" w:cs="Times New Roman"/>
        </w:rPr>
      </w:pPr>
      <w:r w:rsidRPr="00316147">
        <w:rPr>
          <w:rFonts w:ascii="楷体" w:eastAsia="楷体" w:hAnsi="楷体" w:cs="Times New Roman"/>
        </w:rPr>
        <w:t>2.</w:t>
      </w:r>
      <w:r w:rsidR="00DA5432" w:rsidRPr="00316147">
        <w:rPr>
          <w:rFonts w:ascii="楷体" w:eastAsia="楷体" w:hAnsi="楷体" w:cs="Times New Roman"/>
        </w:rPr>
        <w:t>大股东持股</w:t>
      </w:r>
      <w:r w:rsidR="00E7616B" w:rsidRPr="00316147">
        <w:rPr>
          <w:rFonts w:ascii="楷体" w:eastAsia="楷体" w:hAnsi="楷体" w:cs="Times New Roman"/>
        </w:rPr>
        <w:t>高低情形。</w:t>
      </w:r>
      <w:r w:rsidR="00593966" w:rsidRPr="00FE771B">
        <w:rPr>
          <w:rFonts w:ascii="Times New Roman" w:hAnsi="Times New Roman" w:cs="Times New Roman"/>
        </w:rPr>
        <w:t>大股东持股高低是反映其对上市公司控制程度的重要体现。</w:t>
      </w:r>
      <w:r w:rsidR="0083063D" w:rsidRPr="00FE771B">
        <w:rPr>
          <w:rFonts w:ascii="Times New Roman" w:hAnsi="Times New Roman" w:cs="Times New Roman"/>
        </w:rPr>
        <w:t>本文按照</w:t>
      </w:r>
      <w:proofErr w:type="gramStart"/>
      <w:r w:rsidR="0083063D" w:rsidRPr="00FE771B">
        <w:rPr>
          <w:rFonts w:ascii="Times New Roman" w:hAnsi="Times New Roman" w:cs="Times New Roman"/>
        </w:rPr>
        <w:t>申万行业</w:t>
      </w:r>
      <w:proofErr w:type="gramEnd"/>
      <w:r w:rsidR="0083063D" w:rsidRPr="00FE771B">
        <w:rPr>
          <w:rFonts w:ascii="Times New Roman" w:hAnsi="Times New Roman" w:cs="Times New Roman"/>
        </w:rPr>
        <w:t>分类法得到分行业第一大股东持股平均比例，</w:t>
      </w:r>
      <w:r w:rsidR="005A6D22" w:rsidRPr="00FE771B">
        <w:rPr>
          <w:rFonts w:ascii="Times New Roman" w:hAnsi="Times New Roman" w:cs="Times New Roman"/>
        </w:rPr>
        <w:t>而后</w:t>
      </w:r>
      <w:r w:rsidR="0083063D" w:rsidRPr="00FE771B">
        <w:rPr>
          <w:rFonts w:ascii="Times New Roman" w:hAnsi="Times New Roman" w:cs="Times New Roman"/>
        </w:rPr>
        <w:t>求出各公司第一大股东持股比与行业平均第一大股东持股比之差，当差值大于零时代表大股东高持股情形，反映该公司第一大股东持股比例高于行业平均水平</w:t>
      </w:r>
      <w:r w:rsidR="00B601A8" w:rsidRPr="00FE771B">
        <w:rPr>
          <w:rFonts w:ascii="Times New Roman" w:hAnsi="Times New Roman" w:cs="Times New Roman"/>
        </w:rPr>
        <w:t>，公司持股结构相对比较集中；当差值小于零时代表大股东低持股情形，说明该公司第一大股东持股比例低于行业平均水平，公司持股结构相对比较分散。</w:t>
      </w:r>
      <w:r w:rsidR="00B377D5" w:rsidRPr="00FE771B">
        <w:rPr>
          <w:rFonts w:ascii="Times New Roman" w:hAnsi="Times New Roman" w:cs="Times New Roman"/>
        </w:rPr>
        <w:t>表</w:t>
      </w:r>
      <w:r w:rsidR="00B377D5" w:rsidRPr="00FE771B">
        <w:rPr>
          <w:rFonts w:ascii="Times New Roman" w:hAnsi="Times New Roman" w:cs="Times New Roman"/>
        </w:rPr>
        <w:t>1</w:t>
      </w:r>
      <w:r w:rsidR="001D2964" w:rsidRPr="00FE771B">
        <w:rPr>
          <w:rFonts w:ascii="Times New Roman" w:hAnsi="Times New Roman" w:cs="Times New Roman"/>
        </w:rPr>
        <w:t>1</w:t>
      </w:r>
      <w:r w:rsidR="00B377D5" w:rsidRPr="00FE771B">
        <w:rPr>
          <w:rFonts w:ascii="Times New Roman" w:hAnsi="Times New Roman" w:cs="Times New Roman"/>
        </w:rPr>
        <w:t>中第（</w:t>
      </w:r>
      <w:r w:rsidR="00B377D5" w:rsidRPr="00FE771B">
        <w:rPr>
          <w:rFonts w:ascii="Times New Roman" w:hAnsi="Times New Roman" w:cs="Times New Roman"/>
        </w:rPr>
        <w:t>1</w:t>
      </w:r>
      <w:r w:rsidR="00B377D5" w:rsidRPr="00FE771B">
        <w:rPr>
          <w:rFonts w:ascii="Times New Roman" w:hAnsi="Times New Roman" w:cs="Times New Roman"/>
        </w:rPr>
        <w:t>）至（</w:t>
      </w:r>
      <w:r w:rsidR="00B377D5" w:rsidRPr="00FE771B">
        <w:rPr>
          <w:rFonts w:ascii="Times New Roman" w:hAnsi="Times New Roman" w:cs="Times New Roman"/>
        </w:rPr>
        <w:t>4</w:t>
      </w:r>
      <w:r w:rsidR="00B377D5" w:rsidRPr="00FE771B">
        <w:rPr>
          <w:rFonts w:ascii="Times New Roman" w:hAnsi="Times New Roman" w:cs="Times New Roman"/>
        </w:rPr>
        <w:t>）列为大股东高持股情形下回归结果，第（</w:t>
      </w:r>
      <w:r w:rsidR="00B377D5" w:rsidRPr="00FE771B">
        <w:rPr>
          <w:rFonts w:ascii="Times New Roman" w:hAnsi="Times New Roman" w:cs="Times New Roman"/>
        </w:rPr>
        <w:t>5</w:t>
      </w:r>
      <w:r w:rsidR="00B377D5" w:rsidRPr="00FE771B">
        <w:rPr>
          <w:rFonts w:ascii="Times New Roman" w:hAnsi="Times New Roman" w:cs="Times New Roman"/>
        </w:rPr>
        <w:t>）至（</w:t>
      </w:r>
      <w:r w:rsidR="00B377D5" w:rsidRPr="00FE771B">
        <w:rPr>
          <w:rFonts w:ascii="Times New Roman" w:hAnsi="Times New Roman" w:cs="Times New Roman"/>
        </w:rPr>
        <w:t>8</w:t>
      </w:r>
      <w:r w:rsidR="00B377D5" w:rsidRPr="00FE771B">
        <w:rPr>
          <w:rFonts w:ascii="Times New Roman" w:hAnsi="Times New Roman" w:cs="Times New Roman"/>
        </w:rPr>
        <w:t>）列为大股东低持股情形下回归结果，</w:t>
      </w:r>
      <w:r w:rsidR="00830299" w:rsidRPr="00FE771B">
        <w:rPr>
          <w:rFonts w:ascii="Times New Roman" w:hAnsi="Times New Roman" w:cs="Times New Roman"/>
        </w:rPr>
        <w:t>从中可以发现，盈余管理系数在大股东高持股情形下都显著，且业绩承诺变量回归系数都不显著。综合而言，业绩承诺通过盈余管理从而加剧上市公司</w:t>
      </w:r>
      <w:r w:rsidR="00830299" w:rsidRPr="00FE771B">
        <w:rPr>
          <w:rFonts w:ascii="Times New Roman" w:hAnsi="Times New Roman" w:cs="Times New Roman"/>
        </w:rPr>
        <w:t>“</w:t>
      </w:r>
      <w:r w:rsidR="00830299" w:rsidRPr="00FE771B">
        <w:rPr>
          <w:rFonts w:ascii="Times New Roman" w:hAnsi="Times New Roman" w:cs="Times New Roman"/>
        </w:rPr>
        <w:t>脱实向虚</w:t>
      </w:r>
      <w:r w:rsidR="00830299" w:rsidRPr="00FE771B">
        <w:rPr>
          <w:rFonts w:ascii="Times New Roman" w:hAnsi="Times New Roman" w:cs="Times New Roman"/>
        </w:rPr>
        <w:t>”</w:t>
      </w:r>
      <w:r w:rsidR="00830299" w:rsidRPr="00FE771B">
        <w:rPr>
          <w:rFonts w:ascii="Times New Roman" w:hAnsi="Times New Roman" w:cs="Times New Roman"/>
        </w:rPr>
        <w:t>主要发生在大股东高持股情形下，即股权相对集中上市公司。因此</w:t>
      </w:r>
      <w:r w:rsidR="00A40A36" w:rsidRPr="00FE771B">
        <w:rPr>
          <w:rFonts w:ascii="Times New Roman" w:hAnsi="Times New Roman" w:cs="Times New Roman"/>
        </w:rPr>
        <w:t>，在</w:t>
      </w:r>
      <w:r w:rsidR="00830299" w:rsidRPr="00FE771B">
        <w:rPr>
          <w:rFonts w:ascii="Times New Roman" w:hAnsi="Times New Roman" w:cs="Times New Roman"/>
        </w:rPr>
        <w:t>大股</w:t>
      </w:r>
      <w:r w:rsidR="00830299" w:rsidRPr="00FE771B">
        <w:rPr>
          <w:rFonts w:ascii="Times New Roman" w:hAnsi="Times New Roman" w:cs="Times New Roman"/>
        </w:rPr>
        <w:lastRenderedPageBreak/>
        <w:t>东持股结构相对集中情况下，大股东对上市公司控制相对较高，当然在开展并购中大股东对于并购结果也具有十分重要的影响</w:t>
      </w:r>
      <w:r w:rsidR="00A40A36" w:rsidRPr="00FE771B">
        <w:rPr>
          <w:rFonts w:ascii="Times New Roman" w:hAnsi="Times New Roman" w:cs="Times New Roman"/>
        </w:rPr>
        <w:t>，当在</w:t>
      </w:r>
      <w:r w:rsidR="00A40A36" w:rsidRPr="00FE771B">
        <w:rPr>
          <w:rFonts w:ascii="Times New Roman" w:hAnsi="Times New Roman" w:cs="Times New Roman"/>
        </w:rPr>
        <w:t>“</w:t>
      </w:r>
      <w:r w:rsidR="00A40A36" w:rsidRPr="00FE771B">
        <w:rPr>
          <w:rFonts w:ascii="Times New Roman" w:hAnsi="Times New Roman" w:cs="Times New Roman"/>
        </w:rPr>
        <w:t>高承诺</w:t>
      </w:r>
      <w:r w:rsidR="00A40A36" w:rsidRPr="00FE771B">
        <w:rPr>
          <w:rFonts w:ascii="Times New Roman" w:hAnsi="Times New Roman" w:cs="Times New Roman"/>
        </w:rPr>
        <w:t>”</w:t>
      </w:r>
      <w:r w:rsidR="00A40A36" w:rsidRPr="00FE771B">
        <w:rPr>
          <w:rFonts w:ascii="Times New Roman" w:hAnsi="Times New Roman" w:cs="Times New Roman"/>
        </w:rPr>
        <w:t>、</w:t>
      </w:r>
      <w:r w:rsidR="00A40A36" w:rsidRPr="00FE771B">
        <w:rPr>
          <w:rFonts w:ascii="Times New Roman" w:hAnsi="Times New Roman" w:cs="Times New Roman"/>
        </w:rPr>
        <w:t>“</w:t>
      </w:r>
      <w:r w:rsidR="00A40A36" w:rsidRPr="00FE771B">
        <w:rPr>
          <w:rFonts w:ascii="Times New Roman" w:hAnsi="Times New Roman" w:cs="Times New Roman"/>
        </w:rPr>
        <w:t>高</w:t>
      </w:r>
      <w:r w:rsidR="00E71F73" w:rsidRPr="00FE771B">
        <w:rPr>
          <w:rFonts w:ascii="Times New Roman" w:hAnsi="Times New Roman" w:cs="Times New Roman"/>
        </w:rPr>
        <w:t>溢价</w:t>
      </w:r>
      <w:r w:rsidR="00A40A36" w:rsidRPr="00FE771B">
        <w:rPr>
          <w:rFonts w:ascii="Times New Roman" w:hAnsi="Times New Roman" w:cs="Times New Roman"/>
        </w:rPr>
        <w:t>”</w:t>
      </w:r>
      <w:r w:rsidR="00A40A36" w:rsidRPr="00FE771B">
        <w:rPr>
          <w:rFonts w:ascii="Times New Roman" w:hAnsi="Times New Roman" w:cs="Times New Roman"/>
        </w:rPr>
        <w:t>特征的业绩承诺加持下更能满足大股东个人利益，从而导致上市公司通过盈余管理而加剧</w:t>
      </w:r>
      <w:r w:rsidR="00A40A36" w:rsidRPr="00FE771B">
        <w:rPr>
          <w:rFonts w:ascii="Times New Roman" w:hAnsi="Times New Roman" w:cs="Times New Roman"/>
        </w:rPr>
        <w:t>“</w:t>
      </w:r>
      <w:r w:rsidR="00A40A36" w:rsidRPr="00FE771B">
        <w:rPr>
          <w:rFonts w:ascii="Times New Roman" w:hAnsi="Times New Roman" w:cs="Times New Roman"/>
        </w:rPr>
        <w:t>脱实向虚</w:t>
      </w:r>
      <w:r w:rsidR="00A40A36" w:rsidRPr="00FE771B">
        <w:rPr>
          <w:rFonts w:ascii="Times New Roman" w:hAnsi="Times New Roman" w:cs="Times New Roman"/>
        </w:rPr>
        <w:t>”</w:t>
      </w:r>
      <w:r w:rsidR="00A40A36" w:rsidRPr="00FE771B">
        <w:rPr>
          <w:rFonts w:ascii="Times New Roman" w:hAnsi="Times New Roman" w:cs="Times New Roman"/>
        </w:rPr>
        <w:t>、脱离主业等。而在股权结构相对分散情况下，大股东对上市公司控制较弱，基于全体股东意志的收购必然是从公司长远利益出发</w:t>
      </w:r>
      <w:r w:rsidR="00E71F73" w:rsidRPr="00FE771B">
        <w:rPr>
          <w:rFonts w:ascii="Times New Roman" w:hAnsi="Times New Roman" w:cs="Times New Roman"/>
        </w:rPr>
        <w:t>，</w:t>
      </w:r>
      <w:r w:rsidR="00A40A36" w:rsidRPr="00FE771B">
        <w:rPr>
          <w:rFonts w:ascii="Times New Roman" w:hAnsi="Times New Roman" w:cs="Times New Roman"/>
        </w:rPr>
        <w:t>“</w:t>
      </w:r>
      <w:r w:rsidR="00A40A36" w:rsidRPr="00FE771B">
        <w:rPr>
          <w:rFonts w:ascii="Times New Roman" w:hAnsi="Times New Roman" w:cs="Times New Roman"/>
        </w:rPr>
        <w:t>高承诺</w:t>
      </w:r>
      <w:r w:rsidR="00A40A36" w:rsidRPr="00FE771B">
        <w:rPr>
          <w:rFonts w:ascii="Times New Roman" w:hAnsi="Times New Roman" w:cs="Times New Roman"/>
        </w:rPr>
        <w:t>”</w:t>
      </w:r>
      <w:r w:rsidR="00E71F73" w:rsidRPr="00FE771B">
        <w:rPr>
          <w:rFonts w:ascii="Times New Roman" w:hAnsi="Times New Roman" w:cs="Times New Roman"/>
        </w:rPr>
        <w:t>、</w:t>
      </w:r>
      <w:r w:rsidR="00E71F73" w:rsidRPr="00FE771B">
        <w:rPr>
          <w:rFonts w:ascii="Times New Roman" w:hAnsi="Times New Roman" w:cs="Times New Roman"/>
        </w:rPr>
        <w:t>“</w:t>
      </w:r>
      <w:r w:rsidR="00E71F73" w:rsidRPr="00FE771B">
        <w:rPr>
          <w:rFonts w:ascii="Times New Roman" w:hAnsi="Times New Roman" w:cs="Times New Roman"/>
        </w:rPr>
        <w:t>高溢价</w:t>
      </w:r>
      <w:r w:rsidR="00E71F73" w:rsidRPr="00FE771B">
        <w:rPr>
          <w:rFonts w:ascii="Times New Roman" w:hAnsi="Times New Roman" w:cs="Times New Roman"/>
        </w:rPr>
        <w:t>”</w:t>
      </w:r>
      <w:r w:rsidR="00A40A36" w:rsidRPr="00FE771B">
        <w:rPr>
          <w:rFonts w:ascii="Times New Roman" w:hAnsi="Times New Roman" w:cs="Times New Roman"/>
        </w:rPr>
        <w:t>的业绩承诺协议使用较少。</w:t>
      </w:r>
    </w:p>
    <w:p w:rsidR="008810E1" w:rsidRPr="00FE771B" w:rsidRDefault="00E7616B" w:rsidP="00E7616B">
      <w:pPr>
        <w:jc w:val="center"/>
        <w:rPr>
          <w:rFonts w:ascii="Times New Roman" w:eastAsia="楷体" w:hAnsi="Times New Roman" w:cs="Times New Roman"/>
          <w:bCs/>
          <w:szCs w:val="21"/>
        </w:rPr>
      </w:pPr>
      <w:r w:rsidRPr="00FE771B">
        <w:rPr>
          <w:rFonts w:ascii="Times New Roman" w:eastAsia="楷体" w:hAnsi="Times New Roman" w:cs="Times New Roman"/>
          <w:bCs/>
          <w:szCs w:val="21"/>
        </w:rPr>
        <w:t>表</w:t>
      </w:r>
      <w:r w:rsidRPr="00FE771B">
        <w:rPr>
          <w:rFonts w:ascii="Times New Roman" w:eastAsia="楷体" w:hAnsi="Times New Roman" w:cs="Times New Roman"/>
          <w:bCs/>
          <w:szCs w:val="21"/>
        </w:rPr>
        <w:t>1</w:t>
      </w:r>
      <w:r w:rsidR="001D2964" w:rsidRPr="00FE771B">
        <w:rPr>
          <w:rFonts w:ascii="Times New Roman" w:eastAsia="楷体" w:hAnsi="Times New Roman" w:cs="Times New Roman"/>
          <w:bCs/>
          <w:szCs w:val="21"/>
        </w:rPr>
        <w:t>1</w:t>
      </w:r>
      <w:r w:rsidRPr="00FE771B">
        <w:rPr>
          <w:rFonts w:ascii="Times New Roman" w:eastAsia="楷体" w:hAnsi="Times New Roman" w:cs="Times New Roman"/>
          <w:bCs/>
          <w:szCs w:val="21"/>
        </w:rPr>
        <w:t xml:space="preserve"> </w:t>
      </w:r>
      <w:r w:rsidR="007E6BB1" w:rsidRPr="00FE771B">
        <w:rPr>
          <w:rFonts w:ascii="Times New Roman" w:eastAsia="楷体" w:hAnsi="Times New Roman" w:cs="Times New Roman"/>
          <w:bCs/>
          <w:szCs w:val="21"/>
        </w:rPr>
        <w:t xml:space="preserve"> </w:t>
      </w:r>
      <w:r w:rsidRPr="00FE771B">
        <w:rPr>
          <w:rFonts w:ascii="Times New Roman" w:eastAsia="楷体" w:hAnsi="Times New Roman" w:cs="Times New Roman"/>
          <w:bCs/>
          <w:szCs w:val="21"/>
        </w:rPr>
        <w:t>大股东持股高和低情形下回归结果</w:t>
      </w:r>
    </w:p>
    <w:tbl>
      <w:tblPr>
        <w:tblW w:w="5564" w:type="pct"/>
        <w:tblInd w:w="-318"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1274"/>
        <w:gridCol w:w="1071"/>
        <w:gridCol w:w="980"/>
        <w:gridCol w:w="1071"/>
        <w:gridCol w:w="981"/>
        <w:gridCol w:w="1072"/>
        <w:gridCol w:w="981"/>
        <w:gridCol w:w="1072"/>
        <w:gridCol w:w="981"/>
      </w:tblGrid>
      <w:tr w:rsidR="004E62C3" w:rsidRPr="00FE771B" w:rsidTr="004E62C3">
        <w:tc>
          <w:tcPr>
            <w:tcW w:w="672" w:type="pct"/>
            <w:vMerge w:val="restart"/>
          </w:tcPr>
          <w:p w:rsidR="004E62C3" w:rsidRPr="00FE771B" w:rsidRDefault="004E62C3" w:rsidP="00D950AD">
            <w:pPr>
              <w:autoSpaceDE w:val="0"/>
              <w:autoSpaceDN w:val="0"/>
              <w:adjustRightInd w:val="0"/>
              <w:jc w:val="left"/>
              <w:rPr>
                <w:rFonts w:ascii="Times New Roman" w:hAnsi="Times New Roman" w:cs="Times New Roman"/>
                <w:color w:val="000000" w:themeColor="text1"/>
                <w:kern w:val="0"/>
                <w:sz w:val="18"/>
                <w:szCs w:val="18"/>
              </w:rPr>
            </w:pPr>
          </w:p>
        </w:tc>
        <w:tc>
          <w:tcPr>
            <w:tcW w:w="2163" w:type="pct"/>
            <w:gridSpan w:val="4"/>
          </w:tcPr>
          <w:p w:rsidR="004E62C3" w:rsidRPr="00FE771B" w:rsidRDefault="004E62C3" w:rsidP="00D950AD">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大股东高持股</w:t>
            </w:r>
          </w:p>
        </w:tc>
        <w:tc>
          <w:tcPr>
            <w:tcW w:w="2165" w:type="pct"/>
            <w:gridSpan w:val="4"/>
          </w:tcPr>
          <w:p w:rsidR="004E62C3" w:rsidRPr="00FE771B" w:rsidRDefault="004E62C3" w:rsidP="00D950AD">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大股东低持股</w:t>
            </w:r>
          </w:p>
        </w:tc>
      </w:tr>
      <w:tr w:rsidR="004E62C3" w:rsidRPr="00FE771B" w:rsidTr="005D33B9">
        <w:trPr>
          <w:trHeight w:val="634"/>
        </w:trPr>
        <w:tc>
          <w:tcPr>
            <w:tcW w:w="672" w:type="pct"/>
            <w:vMerge/>
          </w:tcPr>
          <w:p w:rsidR="004E62C3" w:rsidRPr="00FE771B" w:rsidRDefault="004E62C3" w:rsidP="00D950AD">
            <w:pPr>
              <w:autoSpaceDE w:val="0"/>
              <w:autoSpaceDN w:val="0"/>
              <w:adjustRightInd w:val="0"/>
              <w:jc w:val="left"/>
              <w:rPr>
                <w:rFonts w:ascii="Times New Roman" w:hAnsi="Times New Roman" w:cs="Times New Roman"/>
                <w:color w:val="000000" w:themeColor="text1"/>
                <w:kern w:val="0"/>
                <w:sz w:val="18"/>
                <w:szCs w:val="18"/>
              </w:rPr>
            </w:pPr>
          </w:p>
        </w:tc>
        <w:tc>
          <w:tcPr>
            <w:tcW w:w="565" w:type="pct"/>
          </w:tcPr>
          <w:p w:rsidR="004E62C3" w:rsidRPr="00FE771B" w:rsidRDefault="004E62C3" w:rsidP="004D2FF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(1)</w:t>
            </w:r>
          </w:p>
          <w:p w:rsidR="004E62C3" w:rsidRPr="00FE771B" w:rsidRDefault="004E62C3" w:rsidP="00D950AD">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i/>
                <w:color w:val="000000" w:themeColor="text1"/>
                <w:kern w:val="0"/>
                <w:sz w:val="18"/>
                <w:szCs w:val="18"/>
              </w:rPr>
              <w:t>DA</w:t>
            </w:r>
          </w:p>
        </w:tc>
        <w:tc>
          <w:tcPr>
            <w:tcW w:w="517" w:type="pct"/>
          </w:tcPr>
          <w:p w:rsidR="004E62C3" w:rsidRPr="00FE771B" w:rsidRDefault="004E62C3" w:rsidP="004D2FF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(2)</w:t>
            </w:r>
          </w:p>
          <w:p w:rsidR="004E62C3" w:rsidRPr="00FE771B" w:rsidRDefault="004E62C3" w:rsidP="00D950AD">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i/>
                <w:color w:val="000000" w:themeColor="text1"/>
                <w:kern w:val="0"/>
                <w:sz w:val="18"/>
                <w:szCs w:val="18"/>
              </w:rPr>
              <w:t>Fin</w:t>
            </w:r>
          </w:p>
        </w:tc>
        <w:tc>
          <w:tcPr>
            <w:tcW w:w="565" w:type="pct"/>
          </w:tcPr>
          <w:p w:rsidR="004E62C3" w:rsidRPr="00FE771B" w:rsidRDefault="004E62C3" w:rsidP="004D2FF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(3)</w:t>
            </w:r>
          </w:p>
          <w:p w:rsidR="004E62C3" w:rsidRPr="00FE771B" w:rsidRDefault="004E62C3" w:rsidP="00D950AD">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i/>
                <w:color w:val="000000" w:themeColor="text1"/>
                <w:kern w:val="0"/>
                <w:sz w:val="18"/>
                <w:szCs w:val="18"/>
              </w:rPr>
              <w:t>DA</w:t>
            </w:r>
          </w:p>
        </w:tc>
        <w:tc>
          <w:tcPr>
            <w:tcW w:w="517" w:type="pct"/>
          </w:tcPr>
          <w:p w:rsidR="004E62C3" w:rsidRPr="00FE771B" w:rsidRDefault="004E62C3" w:rsidP="004D2FF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(4)</w:t>
            </w:r>
          </w:p>
          <w:p w:rsidR="004E62C3" w:rsidRPr="00FE771B" w:rsidRDefault="004E62C3" w:rsidP="00D950AD">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i/>
                <w:color w:val="000000" w:themeColor="text1"/>
                <w:kern w:val="0"/>
                <w:sz w:val="18"/>
                <w:szCs w:val="18"/>
              </w:rPr>
              <w:t>Fin</w:t>
            </w:r>
          </w:p>
        </w:tc>
        <w:tc>
          <w:tcPr>
            <w:tcW w:w="565" w:type="pct"/>
          </w:tcPr>
          <w:p w:rsidR="004E62C3" w:rsidRPr="00FE771B" w:rsidRDefault="004E62C3" w:rsidP="004D2FF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(5)</w:t>
            </w:r>
          </w:p>
          <w:p w:rsidR="004E62C3" w:rsidRPr="00FE771B" w:rsidRDefault="004E62C3" w:rsidP="00D950AD">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i/>
                <w:color w:val="000000" w:themeColor="text1"/>
                <w:kern w:val="0"/>
                <w:sz w:val="18"/>
                <w:szCs w:val="18"/>
              </w:rPr>
              <w:t>DA</w:t>
            </w:r>
          </w:p>
        </w:tc>
        <w:tc>
          <w:tcPr>
            <w:tcW w:w="517" w:type="pct"/>
          </w:tcPr>
          <w:p w:rsidR="004E62C3" w:rsidRPr="00FE771B" w:rsidRDefault="004E62C3" w:rsidP="004D2FF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(6)</w:t>
            </w:r>
          </w:p>
          <w:p w:rsidR="004E62C3" w:rsidRPr="00FE771B" w:rsidRDefault="004E62C3" w:rsidP="00D950AD">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i/>
                <w:color w:val="000000" w:themeColor="text1"/>
                <w:kern w:val="0"/>
                <w:sz w:val="18"/>
                <w:szCs w:val="18"/>
              </w:rPr>
              <w:t>Fin</w:t>
            </w:r>
          </w:p>
        </w:tc>
        <w:tc>
          <w:tcPr>
            <w:tcW w:w="565" w:type="pct"/>
          </w:tcPr>
          <w:p w:rsidR="004E62C3" w:rsidRPr="00FE771B" w:rsidRDefault="004E62C3" w:rsidP="004D2FF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(7)</w:t>
            </w:r>
          </w:p>
          <w:p w:rsidR="004E62C3" w:rsidRPr="00FE771B" w:rsidRDefault="004E62C3" w:rsidP="00D950AD">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i/>
                <w:color w:val="000000" w:themeColor="text1"/>
                <w:kern w:val="0"/>
                <w:sz w:val="18"/>
                <w:szCs w:val="18"/>
              </w:rPr>
              <w:t>DA</w:t>
            </w:r>
          </w:p>
        </w:tc>
        <w:tc>
          <w:tcPr>
            <w:tcW w:w="517" w:type="pct"/>
          </w:tcPr>
          <w:p w:rsidR="004E62C3" w:rsidRPr="00FE771B" w:rsidRDefault="004E62C3" w:rsidP="004D2FF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(8)</w:t>
            </w:r>
          </w:p>
          <w:p w:rsidR="004E62C3" w:rsidRPr="00FE771B" w:rsidRDefault="004E62C3" w:rsidP="00D950AD">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i/>
                <w:color w:val="000000" w:themeColor="text1"/>
                <w:kern w:val="0"/>
                <w:sz w:val="18"/>
                <w:szCs w:val="18"/>
              </w:rPr>
              <w:t>Fin</w:t>
            </w:r>
          </w:p>
        </w:tc>
      </w:tr>
      <w:tr w:rsidR="004E62C3" w:rsidRPr="00FE771B" w:rsidTr="004E62C3">
        <w:trPr>
          <w:trHeight w:val="634"/>
        </w:trPr>
        <w:tc>
          <w:tcPr>
            <w:tcW w:w="672" w:type="pct"/>
            <w:tcBorders>
              <w:bottom w:val="single" w:sz="4" w:space="0" w:color="auto"/>
            </w:tcBorders>
          </w:tcPr>
          <w:p w:rsidR="00E2634E" w:rsidRPr="00FE771B" w:rsidRDefault="00E2634E" w:rsidP="00D950AD">
            <w:pPr>
              <w:autoSpaceDE w:val="0"/>
              <w:autoSpaceDN w:val="0"/>
              <w:adjustRightInd w:val="0"/>
              <w:jc w:val="left"/>
              <w:rPr>
                <w:rFonts w:ascii="Times New Roman" w:hAnsi="Times New Roman" w:cs="Times New Roman"/>
                <w:i/>
                <w:color w:val="000000" w:themeColor="text1"/>
                <w:kern w:val="0"/>
                <w:sz w:val="18"/>
                <w:szCs w:val="18"/>
              </w:rPr>
            </w:pPr>
            <w:proofErr w:type="spellStart"/>
            <w:r w:rsidRPr="00FE771B">
              <w:rPr>
                <w:rFonts w:ascii="Times New Roman" w:hAnsi="Times New Roman" w:cs="Times New Roman"/>
                <w:i/>
                <w:color w:val="000000" w:themeColor="text1"/>
                <w:kern w:val="0"/>
                <w:sz w:val="18"/>
                <w:szCs w:val="18"/>
              </w:rPr>
              <w:t>Vam_logit</w:t>
            </w:r>
            <w:proofErr w:type="spellEnd"/>
          </w:p>
        </w:tc>
        <w:tc>
          <w:tcPr>
            <w:tcW w:w="565" w:type="pct"/>
            <w:tcBorders>
              <w:bottom w:val="single" w:sz="4" w:space="0" w:color="auto"/>
            </w:tcBorders>
          </w:tcPr>
          <w:p w:rsidR="004E62C3" w:rsidRPr="00FE771B" w:rsidRDefault="00E2634E"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0.0102</w:t>
            </w:r>
          </w:p>
          <w:p w:rsidR="00E2634E" w:rsidRPr="00FE771B" w:rsidRDefault="004E62C3"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(3.527)</w:t>
            </w:r>
            <w:r w:rsidRPr="00FE771B">
              <w:rPr>
                <w:rFonts w:ascii="Times New Roman" w:hAnsi="Times New Roman" w:cs="Times New Roman"/>
                <w:color w:val="000000" w:themeColor="text1"/>
                <w:kern w:val="0"/>
                <w:sz w:val="18"/>
                <w:szCs w:val="18"/>
                <w:vertAlign w:val="superscript"/>
              </w:rPr>
              <w:t>***</w:t>
            </w:r>
          </w:p>
        </w:tc>
        <w:tc>
          <w:tcPr>
            <w:tcW w:w="517" w:type="pct"/>
            <w:tcBorders>
              <w:bottom w:val="single" w:sz="4" w:space="0" w:color="auto"/>
            </w:tcBorders>
          </w:tcPr>
          <w:p w:rsidR="004E62C3" w:rsidRPr="00FE771B" w:rsidRDefault="00E2634E"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0.0160</w:t>
            </w:r>
          </w:p>
          <w:p w:rsidR="00E2634E" w:rsidRPr="00FE771B" w:rsidRDefault="004E62C3"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(0.685)</w:t>
            </w:r>
          </w:p>
        </w:tc>
        <w:tc>
          <w:tcPr>
            <w:tcW w:w="565" w:type="pct"/>
            <w:tcBorders>
              <w:bottom w:val="single" w:sz="4" w:space="0" w:color="auto"/>
            </w:tcBorders>
          </w:tcPr>
          <w:p w:rsidR="00E2634E" w:rsidRPr="00FE771B" w:rsidRDefault="00E2634E" w:rsidP="00F20551">
            <w:pPr>
              <w:autoSpaceDE w:val="0"/>
              <w:autoSpaceDN w:val="0"/>
              <w:adjustRightInd w:val="0"/>
              <w:jc w:val="center"/>
              <w:rPr>
                <w:rFonts w:ascii="Times New Roman" w:hAnsi="Times New Roman" w:cs="Times New Roman"/>
                <w:color w:val="000000" w:themeColor="text1"/>
                <w:kern w:val="0"/>
                <w:sz w:val="18"/>
                <w:szCs w:val="18"/>
              </w:rPr>
            </w:pPr>
          </w:p>
        </w:tc>
        <w:tc>
          <w:tcPr>
            <w:tcW w:w="517" w:type="pct"/>
            <w:tcBorders>
              <w:bottom w:val="single" w:sz="4" w:space="0" w:color="auto"/>
            </w:tcBorders>
          </w:tcPr>
          <w:p w:rsidR="00E2634E" w:rsidRPr="00FE771B" w:rsidRDefault="00E2634E" w:rsidP="00F20551">
            <w:pPr>
              <w:autoSpaceDE w:val="0"/>
              <w:autoSpaceDN w:val="0"/>
              <w:adjustRightInd w:val="0"/>
              <w:jc w:val="center"/>
              <w:rPr>
                <w:rFonts w:ascii="Times New Roman" w:hAnsi="Times New Roman" w:cs="Times New Roman"/>
                <w:color w:val="000000" w:themeColor="text1"/>
                <w:kern w:val="0"/>
                <w:sz w:val="18"/>
                <w:szCs w:val="18"/>
              </w:rPr>
            </w:pPr>
          </w:p>
        </w:tc>
        <w:tc>
          <w:tcPr>
            <w:tcW w:w="565" w:type="pct"/>
            <w:tcBorders>
              <w:bottom w:val="single" w:sz="4" w:space="0" w:color="auto"/>
            </w:tcBorders>
          </w:tcPr>
          <w:p w:rsidR="004E62C3" w:rsidRPr="00FE771B" w:rsidRDefault="00E2634E"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0.0019</w:t>
            </w:r>
          </w:p>
          <w:p w:rsidR="00E2634E" w:rsidRPr="00FE771B" w:rsidRDefault="004E62C3"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(0.760)</w:t>
            </w:r>
          </w:p>
        </w:tc>
        <w:tc>
          <w:tcPr>
            <w:tcW w:w="517" w:type="pct"/>
            <w:tcBorders>
              <w:bottom w:val="single" w:sz="4" w:space="0" w:color="auto"/>
            </w:tcBorders>
          </w:tcPr>
          <w:p w:rsidR="004E62C3" w:rsidRPr="00FE771B" w:rsidRDefault="00E2634E"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-0.0022</w:t>
            </w:r>
          </w:p>
          <w:p w:rsidR="00E2634E" w:rsidRPr="00FE771B" w:rsidRDefault="004E62C3"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(-0.098)</w:t>
            </w:r>
          </w:p>
        </w:tc>
        <w:tc>
          <w:tcPr>
            <w:tcW w:w="565" w:type="pct"/>
            <w:tcBorders>
              <w:bottom w:val="single" w:sz="4" w:space="0" w:color="auto"/>
            </w:tcBorders>
          </w:tcPr>
          <w:p w:rsidR="00E2634E" w:rsidRPr="00FE771B" w:rsidRDefault="00E2634E" w:rsidP="00F20551">
            <w:pPr>
              <w:autoSpaceDE w:val="0"/>
              <w:autoSpaceDN w:val="0"/>
              <w:adjustRightInd w:val="0"/>
              <w:jc w:val="center"/>
              <w:rPr>
                <w:rFonts w:ascii="Times New Roman" w:hAnsi="Times New Roman" w:cs="Times New Roman"/>
                <w:color w:val="000000" w:themeColor="text1"/>
                <w:kern w:val="0"/>
                <w:sz w:val="18"/>
                <w:szCs w:val="18"/>
              </w:rPr>
            </w:pPr>
          </w:p>
        </w:tc>
        <w:tc>
          <w:tcPr>
            <w:tcW w:w="517" w:type="pct"/>
            <w:tcBorders>
              <w:bottom w:val="single" w:sz="4" w:space="0" w:color="auto"/>
            </w:tcBorders>
          </w:tcPr>
          <w:p w:rsidR="00E2634E" w:rsidRPr="00FE771B" w:rsidRDefault="00E2634E" w:rsidP="00F20551">
            <w:pPr>
              <w:autoSpaceDE w:val="0"/>
              <w:autoSpaceDN w:val="0"/>
              <w:adjustRightInd w:val="0"/>
              <w:jc w:val="center"/>
              <w:rPr>
                <w:rFonts w:ascii="Times New Roman" w:hAnsi="Times New Roman" w:cs="Times New Roman"/>
                <w:color w:val="000000" w:themeColor="text1"/>
                <w:kern w:val="0"/>
                <w:sz w:val="18"/>
                <w:szCs w:val="18"/>
              </w:rPr>
            </w:pPr>
          </w:p>
        </w:tc>
      </w:tr>
      <w:tr w:rsidR="004E62C3" w:rsidRPr="00FE771B" w:rsidTr="004E62C3">
        <w:trPr>
          <w:trHeight w:val="634"/>
        </w:trPr>
        <w:tc>
          <w:tcPr>
            <w:tcW w:w="672" w:type="pct"/>
            <w:tcBorders>
              <w:bottom w:val="single" w:sz="4" w:space="0" w:color="auto"/>
            </w:tcBorders>
          </w:tcPr>
          <w:p w:rsidR="00E2634E" w:rsidRPr="00FE771B" w:rsidRDefault="00E2634E" w:rsidP="004D2FF1">
            <w:pPr>
              <w:autoSpaceDE w:val="0"/>
              <w:autoSpaceDN w:val="0"/>
              <w:adjustRightInd w:val="0"/>
              <w:jc w:val="left"/>
              <w:rPr>
                <w:rFonts w:ascii="Times New Roman" w:hAnsi="Times New Roman" w:cs="Times New Roman"/>
                <w:i/>
                <w:color w:val="000000" w:themeColor="text1"/>
                <w:kern w:val="0"/>
                <w:sz w:val="18"/>
                <w:szCs w:val="18"/>
              </w:rPr>
            </w:pPr>
            <w:proofErr w:type="spellStart"/>
            <w:r w:rsidRPr="00FE771B">
              <w:rPr>
                <w:rFonts w:ascii="Times New Roman" w:hAnsi="Times New Roman" w:cs="Times New Roman"/>
                <w:i/>
                <w:color w:val="000000" w:themeColor="text1"/>
                <w:kern w:val="0"/>
                <w:sz w:val="18"/>
                <w:szCs w:val="18"/>
              </w:rPr>
              <w:t>Vam_numbers</w:t>
            </w:r>
            <w:proofErr w:type="spellEnd"/>
          </w:p>
        </w:tc>
        <w:tc>
          <w:tcPr>
            <w:tcW w:w="565" w:type="pct"/>
            <w:tcBorders>
              <w:bottom w:val="single" w:sz="4" w:space="0" w:color="auto"/>
            </w:tcBorders>
          </w:tcPr>
          <w:p w:rsidR="00E2634E" w:rsidRPr="00FE771B" w:rsidRDefault="00E2634E" w:rsidP="00F20551">
            <w:pPr>
              <w:autoSpaceDE w:val="0"/>
              <w:autoSpaceDN w:val="0"/>
              <w:adjustRightInd w:val="0"/>
              <w:jc w:val="center"/>
              <w:rPr>
                <w:rFonts w:ascii="Times New Roman" w:hAnsi="Times New Roman" w:cs="Times New Roman"/>
                <w:color w:val="000000" w:themeColor="text1"/>
                <w:kern w:val="0"/>
                <w:sz w:val="18"/>
                <w:szCs w:val="18"/>
              </w:rPr>
            </w:pPr>
          </w:p>
        </w:tc>
        <w:tc>
          <w:tcPr>
            <w:tcW w:w="517" w:type="pct"/>
            <w:tcBorders>
              <w:bottom w:val="single" w:sz="4" w:space="0" w:color="auto"/>
            </w:tcBorders>
          </w:tcPr>
          <w:p w:rsidR="00E2634E" w:rsidRPr="00FE771B" w:rsidRDefault="00E2634E" w:rsidP="00F20551">
            <w:pPr>
              <w:autoSpaceDE w:val="0"/>
              <w:autoSpaceDN w:val="0"/>
              <w:adjustRightInd w:val="0"/>
              <w:jc w:val="center"/>
              <w:rPr>
                <w:rFonts w:ascii="Times New Roman" w:hAnsi="Times New Roman" w:cs="Times New Roman"/>
                <w:color w:val="000000" w:themeColor="text1"/>
                <w:kern w:val="0"/>
                <w:sz w:val="18"/>
                <w:szCs w:val="18"/>
              </w:rPr>
            </w:pPr>
          </w:p>
        </w:tc>
        <w:tc>
          <w:tcPr>
            <w:tcW w:w="565" w:type="pct"/>
            <w:tcBorders>
              <w:bottom w:val="single" w:sz="4" w:space="0" w:color="auto"/>
            </w:tcBorders>
          </w:tcPr>
          <w:p w:rsidR="004E62C3" w:rsidRPr="00FE771B" w:rsidRDefault="00E2634E"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0.0032</w:t>
            </w:r>
          </w:p>
          <w:p w:rsidR="00E2634E" w:rsidRPr="00FE771B" w:rsidRDefault="004E62C3"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(1.976)</w:t>
            </w:r>
            <w:r w:rsidRPr="00FE771B">
              <w:rPr>
                <w:rFonts w:ascii="Times New Roman" w:hAnsi="Times New Roman" w:cs="Times New Roman"/>
                <w:color w:val="000000" w:themeColor="text1"/>
                <w:kern w:val="0"/>
                <w:sz w:val="18"/>
                <w:szCs w:val="18"/>
                <w:vertAlign w:val="superscript"/>
              </w:rPr>
              <w:t>**</w:t>
            </w:r>
          </w:p>
        </w:tc>
        <w:tc>
          <w:tcPr>
            <w:tcW w:w="517" w:type="pct"/>
            <w:tcBorders>
              <w:bottom w:val="single" w:sz="4" w:space="0" w:color="auto"/>
            </w:tcBorders>
          </w:tcPr>
          <w:p w:rsidR="004E62C3" w:rsidRPr="00FE771B" w:rsidRDefault="00E2634E"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-0.0050</w:t>
            </w:r>
          </w:p>
          <w:p w:rsidR="00E2634E" w:rsidRPr="00FE771B" w:rsidRDefault="004E62C3"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(-0.416)</w:t>
            </w:r>
          </w:p>
        </w:tc>
        <w:tc>
          <w:tcPr>
            <w:tcW w:w="565" w:type="pct"/>
            <w:tcBorders>
              <w:bottom w:val="single" w:sz="4" w:space="0" w:color="auto"/>
            </w:tcBorders>
          </w:tcPr>
          <w:p w:rsidR="00E2634E" w:rsidRPr="00FE771B" w:rsidRDefault="00E2634E" w:rsidP="00F20551">
            <w:pPr>
              <w:autoSpaceDE w:val="0"/>
              <w:autoSpaceDN w:val="0"/>
              <w:adjustRightInd w:val="0"/>
              <w:jc w:val="center"/>
              <w:rPr>
                <w:rFonts w:ascii="Times New Roman" w:hAnsi="Times New Roman" w:cs="Times New Roman"/>
                <w:color w:val="000000" w:themeColor="text1"/>
                <w:kern w:val="0"/>
                <w:sz w:val="18"/>
                <w:szCs w:val="18"/>
              </w:rPr>
            </w:pPr>
          </w:p>
        </w:tc>
        <w:tc>
          <w:tcPr>
            <w:tcW w:w="517" w:type="pct"/>
            <w:tcBorders>
              <w:bottom w:val="single" w:sz="4" w:space="0" w:color="auto"/>
            </w:tcBorders>
          </w:tcPr>
          <w:p w:rsidR="00E2634E" w:rsidRPr="00FE771B" w:rsidRDefault="00E2634E" w:rsidP="00F20551">
            <w:pPr>
              <w:autoSpaceDE w:val="0"/>
              <w:autoSpaceDN w:val="0"/>
              <w:adjustRightInd w:val="0"/>
              <w:jc w:val="center"/>
              <w:rPr>
                <w:rFonts w:ascii="Times New Roman" w:hAnsi="Times New Roman" w:cs="Times New Roman"/>
                <w:color w:val="000000" w:themeColor="text1"/>
                <w:kern w:val="0"/>
                <w:sz w:val="18"/>
                <w:szCs w:val="18"/>
              </w:rPr>
            </w:pPr>
          </w:p>
        </w:tc>
        <w:tc>
          <w:tcPr>
            <w:tcW w:w="565" w:type="pct"/>
            <w:tcBorders>
              <w:bottom w:val="single" w:sz="4" w:space="0" w:color="auto"/>
            </w:tcBorders>
          </w:tcPr>
          <w:p w:rsidR="004E62C3" w:rsidRPr="00FE771B" w:rsidRDefault="00E2634E"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-0.0018</w:t>
            </w:r>
          </w:p>
          <w:p w:rsidR="00E2634E" w:rsidRPr="00FE771B" w:rsidRDefault="004E62C3"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(-1.528)</w:t>
            </w:r>
          </w:p>
        </w:tc>
        <w:tc>
          <w:tcPr>
            <w:tcW w:w="517" w:type="pct"/>
            <w:tcBorders>
              <w:bottom w:val="single" w:sz="4" w:space="0" w:color="auto"/>
            </w:tcBorders>
          </w:tcPr>
          <w:p w:rsidR="004E62C3" w:rsidRPr="00FE771B" w:rsidRDefault="00E2634E"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0.0091</w:t>
            </w:r>
          </w:p>
          <w:p w:rsidR="00E2634E" w:rsidRPr="00FE771B" w:rsidRDefault="004E62C3"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(0.934)</w:t>
            </w:r>
          </w:p>
        </w:tc>
      </w:tr>
      <w:tr w:rsidR="004E62C3" w:rsidRPr="00FE771B" w:rsidTr="004E62C3">
        <w:trPr>
          <w:trHeight w:val="634"/>
        </w:trPr>
        <w:tc>
          <w:tcPr>
            <w:tcW w:w="672" w:type="pct"/>
            <w:tcBorders>
              <w:bottom w:val="single" w:sz="4" w:space="0" w:color="auto"/>
            </w:tcBorders>
          </w:tcPr>
          <w:p w:rsidR="00E2634E" w:rsidRPr="00FE771B" w:rsidRDefault="00E2634E" w:rsidP="004D2FF1">
            <w:pPr>
              <w:autoSpaceDE w:val="0"/>
              <w:autoSpaceDN w:val="0"/>
              <w:adjustRightInd w:val="0"/>
              <w:jc w:val="left"/>
              <w:rPr>
                <w:rFonts w:ascii="Times New Roman" w:hAnsi="Times New Roman" w:cs="Times New Roman"/>
                <w:i/>
                <w:color w:val="000000" w:themeColor="text1"/>
                <w:kern w:val="0"/>
                <w:sz w:val="18"/>
                <w:szCs w:val="18"/>
              </w:rPr>
            </w:pPr>
            <w:r w:rsidRPr="00FE771B">
              <w:rPr>
                <w:rFonts w:ascii="Times New Roman" w:hAnsi="Times New Roman" w:cs="Times New Roman"/>
                <w:i/>
                <w:color w:val="000000" w:themeColor="text1"/>
                <w:kern w:val="0"/>
                <w:sz w:val="18"/>
                <w:szCs w:val="18"/>
              </w:rPr>
              <w:t>DA</w:t>
            </w:r>
          </w:p>
        </w:tc>
        <w:tc>
          <w:tcPr>
            <w:tcW w:w="565" w:type="pct"/>
            <w:tcBorders>
              <w:bottom w:val="single" w:sz="4" w:space="0" w:color="auto"/>
            </w:tcBorders>
          </w:tcPr>
          <w:p w:rsidR="00E2634E" w:rsidRPr="00FE771B" w:rsidRDefault="00E2634E" w:rsidP="00F20551">
            <w:pPr>
              <w:autoSpaceDE w:val="0"/>
              <w:autoSpaceDN w:val="0"/>
              <w:adjustRightInd w:val="0"/>
              <w:jc w:val="center"/>
              <w:rPr>
                <w:rFonts w:ascii="Times New Roman" w:hAnsi="Times New Roman" w:cs="Times New Roman"/>
                <w:color w:val="000000" w:themeColor="text1"/>
                <w:kern w:val="0"/>
                <w:sz w:val="18"/>
                <w:szCs w:val="18"/>
              </w:rPr>
            </w:pPr>
          </w:p>
        </w:tc>
        <w:tc>
          <w:tcPr>
            <w:tcW w:w="517" w:type="pct"/>
            <w:tcBorders>
              <w:bottom w:val="single" w:sz="4" w:space="0" w:color="auto"/>
            </w:tcBorders>
          </w:tcPr>
          <w:p w:rsidR="004E62C3" w:rsidRPr="00FE771B" w:rsidRDefault="00E2634E"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0.2408</w:t>
            </w:r>
          </w:p>
          <w:p w:rsidR="00E2634E" w:rsidRPr="00FE771B" w:rsidRDefault="004E62C3"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(1.801)</w:t>
            </w:r>
            <w:r w:rsidRPr="00FE771B">
              <w:rPr>
                <w:rFonts w:ascii="Times New Roman" w:hAnsi="Times New Roman" w:cs="Times New Roman"/>
                <w:color w:val="000000" w:themeColor="text1"/>
                <w:kern w:val="0"/>
                <w:sz w:val="18"/>
                <w:szCs w:val="18"/>
                <w:vertAlign w:val="superscript"/>
              </w:rPr>
              <w:t>*</w:t>
            </w:r>
          </w:p>
        </w:tc>
        <w:tc>
          <w:tcPr>
            <w:tcW w:w="565" w:type="pct"/>
            <w:tcBorders>
              <w:bottom w:val="single" w:sz="4" w:space="0" w:color="auto"/>
            </w:tcBorders>
          </w:tcPr>
          <w:p w:rsidR="00E2634E" w:rsidRPr="00FE771B" w:rsidRDefault="00E2634E" w:rsidP="00F20551">
            <w:pPr>
              <w:autoSpaceDE w:val="0"/>
              <w:autoSpaceDN w:val="0"/>
              <w:adjustRightInd w:val="0"/>
              <w:jc w:val="center"/>
              <w:rPr>
                <w:rFonts w:ascii="Times New Roman" w:hAnsi="Times New Roman" w:cs="Times New Roman"/>
                <w:color w:val="000000" w:themeColor="text1"/>
                <w:kern w:val="0"/>
                <w:sz w:val="18"/>
                <w:szCs w:val="18"/>
              </w:rPr>
            </w:pPr>
          </w:p>
        </w:tc>
        <w:tc>
          <w:tcPr>
            <w:tcW w:w="517" w:type="pct"/>
            <w:tcBorders>
              <w:bottom w:val="single" w:sz="4" w:space="0" w:color="auto"/>
            </w:tcBorders>
          </w:tcPr>
          <w:p w:rsidR="004E62C3" w:rsidRPr="00FE771B" w:rsidRDefault="00E2634E"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0.2472</w:t>
            </w:r>
          </w:p>
          <w:p w:rsidR="00E2634E" w:rsidRPr="00FE771B" w:rsidRDefault="004E62C3"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(1.854)</w:t>
            </w:r>
            <w:r w:rsidRPr="00FE771B">
              <w:rPr>
                <w:rFonts w:ascii="Times New Roman" w:hAnsi="Times New Roman" w:cs="Times New Roman"/>
                <w:color w:val="000000" w:themeColor="text1"/>
                <w:kern w:val="0"/>
                <w:sz w:val="18"/>
                <w:szCs w:val="18"/>
                <w:vertAlign w:val="superscript"/>
              </w:rPr>
              <w:t>*</w:t>
            </w:r>
          </w:p>
        </w:tc>
        <w:tc>
          <w:tcPr>
            <w:tcW w:w="565" w:type="pct"/>
            <w:tcBorders>
              <w:bottom w:val="single" w:sz="4" w:space="0" w:color="auto"/>
            </w:tcBorders>
          </w:tcPr>
          <w:p w:rsidR="00E2634E" w:rsidRPr="00FE771B" w:rsidRDefault="00E2634E" w:rsidP="00F20551">
            <w:pPr>
              <w:autoSpaceDE w:val="0"/>
              <w:autoSpaceDN w:val="0"/>
              <w:adjustRightInd w:val="0"/>
              <w:jc w:val="center"/>
              <w:rPr>
                <w:rFonts w:ascii="Times New Roman" w:hAnsi="Times New Roman" w:cs="Times New Roman"/>
                <w:color w:val="000000" w:themeColor="text1"/>
                <w:kern w:val="0"/>
                <w:sz w:val="18"/>
                <w:szCs w:val="18"/>
              </w:rPr>
            </w:pPr>
          </w:p>
        </w:tc>
        <w:tc>
          <w:tcPr>
            <w:tcW w:w="517" w:type="pct"/>
            <w:tcBorders>
              <w:bottom w:val="single" w:sz="4" w:space="0" w:color="auto"/>
            </w:tcBorders>
          </w:tcPr>
          <w:p w:rsidR="004E62C3" w:rsidRPr="00FE771B" w:rsidRDefault="00E2634E"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0.2756</w:t>
            </w:r>
          </w:p>
          <w:p w:rsidR="00E2634E" w:rsidRPr="00FE771B" w:rsidRDefault="004E62C3"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(1.825)</w:t>
            </w:r>
            <w:r w:rsidRPr="00FE771B">
              <w:rPr>
                <w:rFonts w:ascii="Times New Roman" w:hAnsi="Times New Roman" w:cs="Times New Roman"/>
                <w:color w:val="000000" w:themeColor="text1"/>
                <w:kern w:val="0"/>
                <w:sz w:val="18"/>
                <w:szCs w:val="18"/>
                <w:vertAlign w:val="superscript"/>
              </w:rPr>
              <w:t>*</w:t>
            </w:r>
          </w:p>
        </w:tc>
        <w:tc>
          <w:tcPr>
            <w:tcW w:w="565" w:type="pct"/>
            <w:tcBorders>
              <w:bottom w:val="single" w:sz="4" w:space="0" w:color="auto"/>
            </w:tcBorders>
          </w:tcPr>
          <w:p w:rsidR="00E2634E" w:rsidRPr="00FE771B" w:rsidRDefault="00E2634E" w:rsidP="00F20551">
            <w:pPr>
              <w:autoSpaceDE w:val="0"/>
              <w:autoSpaceDN w:val="0"/>
              <w:adjustRightInd w:val="0"/>
              <w:jc w:val="center"/>
              <w:rPr>
                <w:rFonts w:ascii="Times New Roman" w:hAnsi="Times New Roman" w:cs="Times New Roman"/>
                <w:color w:val="000000" w:themeColor="text1"/>
                <w:kern w:val="0"/>
                <w:sz w:val="18"/>
                <w:szCs w:val="18"/>
              </w:rPr>
            </w:pPr>
          </w:p>
        </w:tc>
        <w:tc>
          <w:tcPr>
            <w:tcW w:w="517" w:type="pct"/>
            <w:tcBorders>
              <w:bottom w:val="single" w:sz="4" w:space="0" w:color="auto"/>
            </w:tcBorders>
          </w:tcPr>
          <w:p w:rsidR="004E62C3" w:rsidRPr="00FE771B" w:rsidRDefault="00E2634E"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0.2773</w:t>
            </w:r>
          </w:p>
          <w:p w:rsidR="00E2634E" w:rsidRPr="00FE771B" w:rsidRDefault="004E62C3"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(1.838)</w:t>
            </w:r>
            <w:r w:rsidRPr="00FE771B">
              <w:rPr>
                <w:rFonts w:ascii="Times New Roman" w:hAnsi="Times New Roman" w:cs="Times New Roman"/>
                <w:color w:val="000000" w:themeColor="text1"/>
                <w:kern w:val="0"/>
                <w:sz w:val="18"/>
                <w:szCs w:val="18"/>
                <w:vertAlign w:val="superscript"/>
              </w:rPr>
              <w:t>*</w:t>
            </w:r>
          </w:p>
        </w:tc>
      </w:tr>
      <w:tr w:rsidR="004E62C3" w:rsidRPr="00FE771B" w:rsidTr="004E62C3">
        <w:tc>
          <w:tcPr>
            <w:tcW w:w="672" w:type="pct"/>
          </w:tcPr>
          <w:p w:rsidR="001D2964" w:rsidRPr="00FE771B" w:rsidRDefault="001D2964" w:rsidP="00180772">
            <w:pPr>
              <w:autoSpaceDE w:val="0"/>
              <w:autoSpaceDN w:val="0"/>
              <w:adjustRightInd w:val="0"/>
              <w:jc w:val="left"/>
              <w:rPr>
                <w:rFonts w:ascii="Times New Roman" w:hAnsi="Times New Roman" w:cs="Times New Roman"/>
                <w:i/>
                <w:color w:val="000000" w:themeColor="text1"/>
                <w:kern w:val="0"/>
                <w:sz w:val="18"/>
                <w:szCs w:val="18"/>
              </w:rPr>
            </w:pPr>
            <w:r w:rsidRPr="00FE771B">
              <w:rPr>
                <w:rFonts w:ascii="Times New Roman" w:hAnsi="Times New Roman" w:cs="Times New Roman"/>
                <w:i/>
                <w:color w:val="000000" w:themeColor="text1"/>
                <w:kern w:val="0"/>
                <w:sz w:val="18"/>
                <w:szCs w:val="18"/>
              </w:rPr>
              <w:t>Controls</w:t>
            </w:r>
          </w:p>
        </w:tc>
        <w:tc>
          <w:tcPr>
            <w:tcW w:w="565" w:type="pct"/>
          </w:tcPr>
          <w:p w:rsidR="001D2964" w:rsidRPr="00FE771B" w:rsidRDefault="001D2964"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控制</w:t>
            </w:r>
          </w:p>
        </w:tc>
        <w:tc>
          <w:tcPr>
            <w:tcW w:w="517" w:type="pct"/>
          </w:tcPr>
          <w:p w:rsidR="001D2964" w:rsidRPr="00FE771B" w:rsidRDefault="001D2964" w:rsidP="001D2964">
            <w:pPr>
              <w:jc w:val="center"/>
              <w:rPr>
                <w:rFonts w:ascii="Times New Roman" w:hAnsi="Times New Roman" w:cs="Times New Roman"/>
                <w:color w:val="000000" w:themeColor="text1"/>
              </w:rPr>
            </w:pPr>
            <w:r w:rsidRPr="00FE771B">
              <w:rPr>
                <w:rFonts w:ascii="Times New Roman" w:hAnsi="Times New Roman" w:cs="Times New Roman"/>
                <w:color w:val="000000" w:themeColor="text1"/>
                <w:kern w:val="0"/>
                <w:sz w:val="18"/>
                <w:szCs w:val="18"/>
              </w:rPr>
              <w:t>控制</w:t>
            </w:r>
          </w:p>
        </w:tc>
        <w:tc>
          <w:tcPr>
            <w:tcW w:w="565" w:type="pct"/>
          </w:tcPr>
          <w:p w:rsidR="001D2964" w:rsidRPr="00FE771B" w:rsidRDefault="001D2964" w:rsidP="001D2964">
            <w:pPr>
              <w:jc w:val="center"/>
              <w:rPr>
                <w:rFonts w:ascii="Times New Roman" w:hAnsi="Times New Roman" w:cs="Times New Roman"/>
                <w:color w:val="000000" w:themeColor="text1"/>
              </w:rPr>
            </w:pPr>
            <w:r w:rsidRPr="00FE771B">
              <w:rPr>
                <w:rFonts w:ascii="Times New Roman" w:hAnsi="Times New Roman" w:cs="Times New Roman"/>
                <w:color w:val="000000" w:themeColor="text1"/>
                <w:kern w:val="0"/>
                <w:sz w:val="18"/>
                <w:szCs w:val="18"/>
              </w:rPr>
              <w:t>控制</w:t>
            </w:r>
          </w:p>
        </w:tc>
        <w:tc>
          <w:tcPr>
            <w:tcW w:w="517" w:type="pct"/>
          </w:tcPr>
          <w:p w:rsidR="001D2964" w:rsidRPr="00FE771B" w:rsidRDefault="001D2964" w:rsidP="001D2964">
            <w:pPr>
              <w:jc w:val="center"/>
              <w:rPr>
                <w:rFonts w:ascii="Times New Roman" w:hAnsi="Times New Roman" w:cs="Times New Roman"/>
                <w:color w:val="000000" w:themeColor="text1"/>
              </w:rPr>
            </w:pPr>
            <w:r w:rsidRPr="00FE771B">
              <w:rPr>
                <w:rFonts w:ascii="Times New Roman" w:hAnsi="Times New Roman" w:cs="Times New Roman"/>
                <w:color w:val="000000" w:themeColor="text1"/>
                <w:kern w:val="0"/>
                <w:sz w:val="18"/>
                <w:szCs w:val="18"/>
              </w:rPr>
              <w:t>控制</w:t>
            </w:r>
          </w:p>
        </w:tc>
        <w:tc>
          <w:tcPr>
            <w:tcW w:w="565" w:type="pct"/>
          </w:tcPr>
          <w:p w:rsidR="001D2964" w:rsidRPr="00FE771B" w:rsidRDefault="001D2964" w:rsidP="001D2964">
            <w:pPr>
              <w:jc w:val="center"/>
              <w:rPr>
                <w:rFonts w:ascii="Times New Roman" w:hAnsi="Times New Roman" w:cs="Times New Roman"/>
                <w:color w:val="000000" w:themeColor="text1"/>
              </w:rPr>
            </w:pPr>
            <w:r w:rsidRPr="00FE771B">
              <w:rPr>
                <w:rFonts w:ascii="Times New Roman" w:hAnsi="Times New Roman" w:cs="Times New Roman"/>
                <w:color w:val="000000" w:themeColor="text1"/>
                <w:kern w:val="0"/>
                <w:sz w:val="18"/>
                <w:szCs w:val="18"/>
              </w:rPr>
              <w:t>控制</w:t>
            </w:r>
          </w:p>
        </w:tc>
        <w:tc>
          <w:tcPr>
            <w:tcW w:w="517" w:type="pct"/>
          </w:tcPr>
          <w:p w:rsidR="001D2964" w:rsidRPr="00FE771B" w:rsidRDefault="001D2964" w:rsidP="001D2964">
            <w:pPr>
              <w:jc w:val="center"/>
              <w:rPr>
                <w:rFonts w:ascii="Times New Roman" w:hAnsi="Times New Roman" w:cs="Times New Roman"/>
                <w:color w:val="000000" w:themeColor="text1"/>
              </w:rPr>
            </w:pPr>
            <w:r w:rsidRPr="00FE771B">
              <w:rPr>
                <w:rFonts w:ascii="Times New Roman" w:hAnsi="Times New Roman" w:cs="Times New Roman"/>
                <w:color w:val="000000" w:themeColor="text1"/>
                <w:kern w:val="0"/>
                <w:sz w:val="18"/>
                <w:szCs w:val="18"/>
              </w:rPr>
              <w:t>控制</w:t>
            </w:r>
          </w:p>
        </w:tc>
        <w:tc>
          <w:tcPr>
            <w:tcW w:w="565" w:type="pct"/>
          </w:tcPr>
          <w:p w:rsidR="001D2964" w:rsidRPr="00FE771B" w:rsidRDefault="001D2964" w:rsidP="001D2964">
            <w:pPr>
              <w:jc w:val="center"/>
              <w:rPr>
                <w:rFonts w:ascii="Times New Roman" w:hAnsi="Times New Roman" w:cs="Times New Roman"/>
                <w:color w:val="000000" w:themeColor="text1"/>
              </w:rPr>
            </w:pPr>
            <w:r w:rsidRPr="00FE771B">
              <w:rPr>
                <w:rFonts w:ascii="Times New Roman" w:hAnsi="Times New Roman" w:cs="Times New Roman"/>
                <w:color w:val="000000" w:themeColor="text1"/>
                <w:kern w:val="0"/>
                <w:sz w:val="18"/>
                <w:szCs w:val="18"/>
              </w:rPr>
              <w:t>控制</w:t>
            </w:r>
          </w:p>
        </w:tc>
        <w:tc>
          <w:tcPr>
            <w:tcW w:w="517" w:type="pct"/>
          </w:tcPr>
          <w:p w:rsidR="001D2964" w:rsidRPr="00FE771B" w:rsidRDefault="001D2964" w:rsidP="001D2964">
            <w:pPr>
              <w:jc w:val="center"/>
              <w:rPr>
                <w:rFonts w:ascii="Times New Roman" w:hAnsi="Times New Roman" w:cs="Times New Roman"/>
                <w:color w:val="000000" w:themeColor="text1"/>
              </w:rPr>
            </w:pPr>
            <w:r w:rsidRPr="00FE771B">
              <w:rPr>
                <w:rFonts w:ascii="Times New Roman" w:hAnsi="Times New Roman" w:cs="Times New Roman"/>
                <w:color w:val="000000" w:themeColor="text1"/>
                <w:kern w:val="0"/>
                <w:sz w:val="18"/>
                <w:szCs w:val="18"/>
              </w:rPr>
              <w:t>控制</w:t>
            </w:r>
          </w:p>
        </w:tc>
      </w:tr>
      <w:tr w:rsidR="004E62C3" w:rsidRPr="00FE771B" w:rsidTr="004E62C3">
        <w:trPr>
          <w:trHeight w:val="634"/>
        </w:trPr>
        <w:tc>
          <w:tcPr>
            <w:tcW w:w="672" w:type="pct"/>
            <w:tcBorders>
              <w:bottom w:val="single" w:sz="4" w:space="0" w:color="auto"/>
            </w:tcBorders>
          </w:tcPr>
          <w:p w:rsidR="00E2634E" w:rsidRPr="00FE771B" w:rsidRDefault="00E2634E" w:rsidP="000D1E77">
            <w:pPr>
              <w:autoSpaceDE w:val="0"/>
              <w:autoSpaceDN w:val="0"/>
              <w:adjustRightInd w:val="0"/>
              <w:jc w:val="left"/>
              <w:rPr>
                <w:rFonts w:ascii="Times New Roman" w:hAnsi="Times New Roman" w:cs="Times New Roman"/>
                <w:i/>
                <w:color w:val="000000" w:themeColor="text1"/>
                <w:kern w:val="0"/>
                <w:sz w:val="18"/>
                <w:szCs w:val="18"/>
              </w:rPr>
            </w:pPr>
            <w:r w:rsidRPr="00FE771B">
              <w:rPr>
                <w:rFonts w:ascii="Times New Roman" w:hAnsi="Times New Roman" w:cs="Times New Roman"/>
                <w:i/>
                <w:color w:val="000000" w:themeColor="text1"/>
                <w:kern w:val="0"/>
                <w:sz w:val="18"/>
                <w:szCs w:val="18"/>
              </w:rPr>
              <w:t>_cons</w:t>
            </w:r>
          </w:p>
        </w:tc>
        <w:tc>
          <w:tcPr>
            <w:tcW w:w="565" w:type="pct"/>
            <w:tcBorders>
              <w:bottom w:val="single" w:sz="4" w:space="0" w:color="auto"/>
            </w:tcBorders>
          </w:tcPr>
          <w:p w:rsidR="004E62C3" w:rsidRPr="00FE771B" w:rsidRDefault="00E2634E"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0.1618</w:t>
            </w:r>
          </w:p>
          <w:p w:rsidR="00E2634E" w:rsidRPr="00FE771B" w:rsidRDefault="004E62C3"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(4.269)</w:t>
            </w:r>
            <w:r w:rsidRPr="00FE771B">
              <w:rPr>
                <w:rFonts w:ascii="Times New Roman" w:hAnsi="Times New Roman" w:cs="Times New Roman"/>
                <w:color w:val="000000" w:themeColor="text1"/>
                <w:kern w:val="0"/>
                <w:sz w:val="18"/>
                <w:szCs w:val="18"/>
                <w:vertAlign w:val="superscript"/>
              </w:rPr>
              <w:t>***</w:t>
            </w:r>
          </w:p>
        </w:tc>
        <w:tc>
          <w:tcPr>
            <w:tcW w:w="517" w:type="pct"/>
            <w:tcBorders>
              <w:bottom w:val="single" w:sz="4" w:space="0" w:color="auto"/>
            </w:tcBorders>
          </w:tcPr>
          <w:p w:rsidR="004E62C3" w:rsidRPr="00FE771B" w:rsidRDefault="00E2634E"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-0.1069</w:t>
            </w:r>
          </w:p>
          <w:p w:rsidR="00E2634E" w:rsidRPr="00FE771B" w:rsidRDefault="004E62C3"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(-0.345)</w:t>
            </w:r>
          </w:p>
        </w:tc>
        <w:tc>
          <w:tcPr>
            <w:tcW w:w="565" w:type="pct"/>
            <w:tcBorders>
              <w:bottom w:val="single" w:sz="4" w:space="0" w:color="auto"/>
            </w:tcBorders>
          </w:tcPr>
          <w:p w:rsidR="004E62C3" w:rsidRPr="00FE771B" w:rsidRDefault="00E2634E"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0.1650</w:t>
            </w:r>
          </w:p>
          <w:p w:rsidR="00E2634E" w:rsidRPr="00FE771B" w:rsidRDefault="004E62C3"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(4.355)</w:t>
            </w:r>
            <w:r w:rsidRPr="00FE771B">
              <w:rPr>
                <w:rFonts w:ascii="Times New Roman" w:hAnsi="Times New Roman" w:cs="Times New Roman"/>
                <w:color w:val="000000" w:themeColor="text1"/>
                <w:kern w:val="0"/>
                <w:sz w:val="18"/>
                <w:szCs w:val="18"/>
                <w:vertAlign w:val="superscript"/>
              </w:rPr>
              <w:t>***</w:t>
            </w:r>
          </w:p>
        </w:tc>
        <w:tc>
          <w:tcPr>
            <w:tcW w:w="517" w:type="pct"/>
            <w:tcBorders>
              <w:bottom w:val="single" w:sz="4" w:space="0" w:color="auto"/>
            </w:tcBorders>
          </w:tcPr>
          <w:p w:rsidR="004E62C3" w:rsidRPr="00FE771B" w:rsidRDefault="00E2634E"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-0.0912</w:t>
            </w:r>
          </w:p>
          <w:p w:rsidR="00E2634E" w:rsidRPr="00FE771B" w:rsidRDefault="004E62C3"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(-0.294)</w:t>
            </w:r>
          </w:p>
        </w:tc>
        <w:tc>
          <w:tcPr>
            <w:tcW w:w="565" w:type="pct"/>
            <w:tcBorders>
              <w:bottom w:val="single" w:sz="4" w:space="0" w:color="auto"/>
            </w:tcBorders>
          </w:tcPr>
          <w:p w:rsidR="004E62C3" w:rsidRPr="00FE771B" w:rsidRDefault="00E2634E"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0.2214</w:t>
            </w:r>
          </w:p>
          <w:p w:rsidR="00E2634E" w:rsidRPr="00FE771B" w:rsidRDefault="004E62C3"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(6.365)</w:t>
            </w:r>
            <w:r w:rsidRPr="00FE771B">
              <w:rPr>
                <w:rFonts w:ascii="Times New Roman" w:hAnsi="Times New Roman" w:cs="Times New Roman"/>
                <w:color w:val="000000" w:themeColor="text1"/>
                <w:kern w:val="0"/>
                <w:sz w:val="18"/>
                <w:szCs w:val="18"/>
                <w:vertAlign w:val="superscript"/>
              </w:rPr>
              <w:t>***</w:t>
            </w:r>
          </w:p>
        </w:tc>
        <w:tc>
          <w:tcPr>
            <w:tcW w:w="517" w:type="pct"/>
            <w:tcBorders>
              <w:bottom w:val="single" w:sz="4" w:space="0" w:color="auto"/>
            </w:tcBorders>
          </w:tcPr>
          <w:p w:rsidR="004E62C3" w:rsidRPr="00FE771B" w:rsidRDefault="00E2634E"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0.2706</w:t>
            </w:r>
          </w:p>
          <w:p w:rsidR="00E2634E" w:rsidRPr="00FE771B" w:rsidRDefault="004E62C3"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(0.678)</w:t>
            </w:r>
          </w:p>
        </w:tc>
        <w:tc>
          <w:tcPr>
            <w:tcW w:w="565" w:type="pct"/>
            <w:tcBorders>
              <w:bottom w:val="single" w:sz="4" w:space="0" w:color="auto"/>
            </w:tcBorders>
          </w:tcPr>
          <w:p w:rsidR="004E62C3" w:rsidRPr="00FE771B" w:rsidRDefault="00E2634E"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0.2177</w:t>
            </w:r>
          </w:p>
          <w:p w:rsidR="00E2634E" w:rsidRPr="00FE771B" w:rsidRDefault="004E62C3"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(6.270)</w:t>
            </w:r>
            <w:r w:rsidRPr="00FE771B">
              <w:rPr>
                <w:rFonts w:ascii="Times New Roman" w:hAnsi="Times New Roman" w:cs="Times New Roman"/>
                <w:color w:val="000000" w:themeColor="text1"/>
                <w:kern w:val="0"/>
                <w:sz w:val="18"/>
                <w:szCs w:val="18"/>
                <w:vertAlign w:val="superscript"/>
              </w:rPr>
              <w:t>***</w:t>
            </w:r>
          </w:p>
        </w:tc>
        <w:tc>
          <w:tcPr>
            <w:tcW w:w="517" w:type="pct"/>
            <w:tcBorders>
              <w:bottom w:val="single" w:sz="4" w:space="0" w:color="auto"/>
            </w:tcBorders>
          </w:tcPr>
          <w:p w:rsidR="004E62C3" w:rsidRPr="00FE771B" w:rsidRDefault="00E2634E"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0.2869</w:t>
            </w:r>
          </w:p>
          <w:p w:rsidR="00E2634E" w:rsidRPr="00FE771B" w:rsidRDefault="004E62C3"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(0.716)</w:t>
            </w:r>
          </w:p>
        </w:tc>
      </w:tr>
      <w:tr w:rsidR="004E62C3" w:rsidRPr="00FE771B" w:rsidTr="004E62C3">
        <w:tc>
          <w:tcPr>
            <w:tcW w:w="672" w:type="pct"/>
          </w:tcPr>
          <w:p w:rsidR="007C6CEB" w:rsidRPr="00FE771B" w:rsidRDefault="007C6CEB" w:rsidP="000D1E77">
            <w:pPr>
              <w:autoSpaceDE w:val="0"/>
              <w:autoSpaceDN w:val="0"/>
              <w:adjustRightInd w:val="0"/>
              <w:jc w:val="left"/>
              <w:rPr>
                <w:rFonts w:ascii="Times New Roman" w:hAnsi="Times New Roman" w:cs="Times New Roman"/>
                <w:i/>
                <w:color w:val="000000" w:themeColor="text1"/>
                <w:kern w:val="0"/>
                <w:sz w:val="18"/>
                <w:szCs w:val="18"/>
              </w:rPr>
            </w:pPr>
            <w:r w:rsidRPr="00FE771B">
              <w:rPr>
                <w:rFonts w:ascii="Times New Roman" w:hAnsi="Times New Roman" w:cs="Times New Roman"/>
                <w:i/>
                <w:color w:val="000000" w:themeColor="text1"/>
                <w:kern w:val="0"/>
                <w:sz w:val="18"/>
                <w:szCs w:val="18"/>
              </w:rPr>
              <w:t>Year</w:t>
            </w:r>
          </w:p>
        </w:tc>
        <w:tc>
          <w:tcPr>
            <w:tcW w:w="565" w:type="pct"/>
          </w:tcPr>
          <w:p w:rsidR="007C6CEB" w:rsidRPr="00FE771B" w:rsidRDefault="007C6CEB" w:rsidP="000D1E77">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Yes</w:t>
            </w:r>
          </w:p>
        </w:tc>
        <w:tc>
          <w:tcPr>
            <w:tcW w:w="517" w:type="pct"/>
          </w:tcPr>
          <w:p w:rsidR="007C6CEB" w:rsidRPr="00FE771B" w:rsidRDefault="007C6CEB" w:rsidP="000D1E77">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Yes</w:t>
            </w:r>
          </w:p>
        </w:tc>
        <w:tc>
          <w:tcPr>
            <w:tcW w:w="565" w:type="pct"/>
          </w:tcPr>
          <w:p w:rsidR="007C6CEB" w:rsidRPr="00FE771B" w:rsidRDefault="007C6CEB" w:rsidP="000D1E77">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Yes</w:t>
            </w:r>
          </w:p>
        </w:tc>
        <w:tc>
          <w:tcPr>
            <w:tcW w:w="517" w:type="pct"/>
          </w:tcPr>
          <w:p w:rsidR="007C6CEB" w:rsidRPr="00FE771B" w:rsidRDefault="007C6CEB" w:rsidP="000D1E77">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Yes</w:t>
            </w:r>
          </w:p>
        </w:tc>
        <w:tc>
          <w:tcPr>
            <w:tcW w:w="565" w:type="pct"/>
          </w:tcPr>
          <w:p w:rsidR="007C6CEB" w:rsidRPr="00FE771B" w:rsidRDefault="007C6CEB" w:rsidP="000D1E77">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Yes</w:t>
            </w:r>
          </w:p>
        </w:tc>
        <w:tc>
          <w:tcPr>
            <w:tcW w:w="517" w:type="pct"/>
          </w:tcPr>
          <w:p w:rsidR="007C6CEB" w:rsidRPr="00FE771B" w:rsidRDefault="007C6CEB" w:rsidP="000D1E77">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Yes</w:t>
            </w:r>
          </w:p>
        </w:tc>
        <w:tc>
          <w:tcPr>
            <w:tcW w:w="565" w:type="pct"/>
          </w:tcPr>
          <w:p w:rsidR="007C6CEB" w:rsidRPr="00FE771B" w:rsidRDefault="007C6CEB" w:rsidP="000D1E77">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Yes</w:t>
            </w:r>
          </w:p>
        </w:tc>
        <w:tc>
          <w:tcPr>
            <w:tcW w:w="517" w:type="pct"/>
          </w:tcPr>
          <w:p w:rsidR="007C6CEB" w:rsidRPr="00FE771B" w:rsidRDefault="007C6CEB" w:rsidP="000D1E77">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Yes</w:t>
            </w:r>
          </w:p>
        </w:tc>
      </w:tr>
      <w:tr w:rsidR="004E62C3" w:rsidRPr="00FE771B" w:rsidTr="004E62C3">
        <w:tc>
          <w:tcPr>
            <w:tcW w:w="672" w:type="pct"/>
          </w:tcPr>
          <w:p w:rsidR="007C6CEB" w:rsidRPr="00FE771B" w:rsidRDefault="007C6CEB" w:rsidP="000D1E77">
            <w:pPr>
              <w:autoSpaceDE w:val="0"/>
              <w:autoSpaceDN w:val="0"/>
              <w:adjustRightInd w:val="0"/>
              <w:jc w:val="left"/>
              <w:rPr>
                <w:rFonts w:ascii="Times New Roman" w:hAnsi="Times New Roman" w:cs="Times New Roman"/>
                <w:i/>
                <w:color w:val="000000" w:themeColor="text1"/>
                <w:kern w:val="0"/>
                <w:sz w:val="18"/>
                <w:szCs w:val="18"/>
              </w:rPr>
            </w:pPr>
            <w:r w:rsidRPr="00FE771B">
              <w:rPr>
                <w:rFonts w:ascii="Times New Roman" w:hAnsi="Times New Roman" w:cs="Times New Roman"/>
                <w:i/>
                <w:color w:val="000000" w:themeColor="text1"/>
                <w:kern w:val="0"/>
                <w:sz w:val="18"/>
                <w:szCs w:val="18"/>
              </w:rPr>
              <w:t>Industry</w:t>
            </w:r>
          </w:p>
        </w:tc>
        <w:tc>
          <w:tcPr>
            <w:tcW w:w="565" w:type="pct"/>
          </w:tcPr>
          <w:p w:rsidR="007C6CEB" w:rsidRPr="00FE771B" w:rsidRDefault="007C6CEB" w:rsidP="000D1E77">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Yes</w:t>
            </w:r>
          </w:p>
        </w:tc>
        <w:tc>
          <w:tcPr>
            <w:tcW w:w="517" w:type="pct"/>
          </w:tcPr>
          <w:p w:rsidR="007C6CEB" w:rsidRPr="00FE771B" w:rsidRDefault="007C6CEB" w:rsidP="000D1E77">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Yes</w:t>
            </w:r>
          </w:p>
        </w:tc>
        <w:tc>
          <w:tcPr>
            <w:tcW w:w="565" w:type="pct"/>
          </w:tcPr>
          <w:p w:rsidR="007C6CEB" w:rsidRPr="00FE771B" w:rsidRDefault="007C6CEB" w:rsidP="000D1E77">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Yes</w:t>
            </w:r>
          </w:p>
        </w:tc>
        <w:tc>
          <w:tcPr>
            <w:tcW w:w="517" w:type="pct"/>
          </w:tcPr>
          <w:p w:rsidR="007C6CEB" w:rsidRPr="00FE771B" w:rsidRDefault="007C6CEB" w:rsidP="000D1E77">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Yes</w:t>
            </w:r>
          </w:p>
        </w:tc>
        <w:tc>
          <w:tcPr>
            <w:tcW w:w="565" w:type="pct"/>
          </w:tcPr>
          <w:p w:rsidR="007C6CEB" w:rsidRPr="00FE771B" w:rsidRDefault="007C6CEB" w:rsidP="000D1E77">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Yes</w:t>
            </w:r>
          </w:p>
        </w:tc>
        <w:tc>
          <w:tcPr>
            <w:tcW w:w="517" w:type="pct"/>
          </w:tcPr>
          <w:p w:rsidR="007C6CEB" w:rsidRPr="00FE771B" w:rsidRDefault="007C6CEB" w:rsidP="000D1E77">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Yes</w:t>
            </w:r>
          </w:p>
        </w:tc>
        <w:tc>
          <w:tcPr>
            <w:tcW w:w="565" w:type="pct"/>
          </w:tcPr>
          <w:p w:rsidR="007C6CEB" w:rsidRPr="00FE771B" w:rsidRDefault="007C6CEB" w:rsidP="000D1E77">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Yes</w:t>
            </w:r>
          </w:p>
        </w:tc>
        <w:tc>
          <w:tcPr>
            <w:tcW w:w="517" w:type="pct"/>
          </w:tcPr>
          <w:p w:rsidR="007C6CEB" w:rsidRPr="00FE771B" w:rsidRDefault="007C6CEB" w:rsidP="000D1E77">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Yes</w:t>
            </w:r>
          </w:p>
        </w:tc>
      </w:tr>
      <w:tr w:rsidR="004E62C3" w:rsidRPr="00FE771B" w:rsidTr="004E62C3">
        <w:tc>
          <w:tcPr>
            <w:tcW w:w="672" w:type="pct"/>
          </w:tcPr>
          <w:p w:rsidR="00E2634E" w:rsidRPr="00FE771B" w:rsidRDefault="00E2634E" w:rsidP="00D950AD">
            <w:pPr>
              <w:autoSpaceDE w:val="0"/>
              <w:autoSpaceDN w:val="0"/>
              <w:adjustRightInd w:val="0"/>
              <w:jc w:val="left"/>
              <w:rPr>
                <w:rFonts w:ascii="Times New Roman" w:hAnsi="Times New Roman" w:cs="Times New Roman"/>
                <w:color w:val="000000" w:themeColor="text1"/>
                <w:kern w:val="0"/>
                <w:sz w:val="18"/>
                <w:szCs w:val="18"/>
              </w:rPr>
            </w:pPr>
            <w:r w:rsidRPr="00FE771B">
              <w:rPr>
                <w:rFonts w:ascii="Times New Roman" w:hAnsi="Times New Roman" w:cs="Times New Roman"/>
                <w:iCs/>
                <w:color w:val="000000" w:themeColor="text1"/>
                <w:kern w:val="0"/>
                <w:sz w:val="18"/>
                <w:szCs w:val="18"/>
              </w:rPr>
              <w:t>N</w:t>
            </w:r>
          </w:p>
        </w:tc>
        <w:tc>
          <w:tcPr>
            <w:tcW w:w="565" w:type="pct"/>
          </w:tcPr>
          <w:p w:rsidR="00E2634E" w:rsidRPr="00FE771B" w:rsidRDefault="00E2634E"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4091</w:t>
            </w:r>
          </w:p>
        </w:tc>
        <w:tc>
          <w:tcPr>
            <w:tcW w:w="517" w:type="pct"/>
          </w:tcPr>
          <w:p w:rsidR="00E2634E" w:rsidRPr="00FE771B" w:rsidRDefault="00E2634E"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4091</w:t>
            </w:r>
          </w:p>
        </w:tc>
        <w:tc>
          <w:tcPr>
            <w:tcW w:w="565" w:type="pct"/>
          </w:tcPr>
          <w:p w:rsidR="00E2634E" w:rsidRPr="00FE771B" w:rsidRDefault="00E2634E"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4091</w:t>
            </w:r>
          </w:p>
        </w:tc>
        <w:tc>
          <w:tcPr>
            <w:tcW w:w="517" w:type="pct"/>
          </w:tcPr>
          <w:p w:rsidR="00E2634E" w:rsidRPr="00FE771B" w:rsidRDefault="00E2634E"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4091</w:t>
            </w:r>
          </w:p>
        </w:tc>
        <w:tc>
          <w:tcPr>
            <w:tcW w:w="565" w:type="pct"/>
          </w:tcPr>
          <w:p w:rsidR="00E2634E" w:rsidRPr="00FE771B" w:rsidRDefault="00E2634E"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5730</w:t>
            </w:r>
          </w:p>
        </w:tc>
        <w:tc>
          <w:tcPr>
            <w:tcW w:w="517" w:type="pct"/>
          </w:tcPr>
          <w:p w:rsidR="00E2634E" w:rsidRPr="00FE771B" w:rsidRDefault="00E2634E"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5730</w:t>
            </w:r>
          </w:p>
        </w:tc>
        <w:tc>
          <w:tcPr>
            <w:tcW w:w="565" w:type="pct"/>
          </w:tcPr>
          <w:p w:rsidR="00E2634E" w:rsidRPr="00FE771B" w:rsidRDefault="00E2634E"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5730</w:t>
            </w:r>
          </w:p>
        </w:tc>
        <w:tc>
          <w:tcPr>
            <w:tcW w:w="517" w:type="pct"/>
          </w:tcPr>
          <w:p w:rsidR="00E2634E" w:rsidRPr="00FE771B" w:rsidRDefault="00E2634E"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5730</w:t>
            </w:r>
          </w:p>
        </w:tc>
      </w:tr>
      <w:tr w:rsidR="004E62C3" w:rsidRPr="00FE771B" w:rsidTr="004E62C3">
        <w:tc>
          <w:tcPr>
            <w:tcW w:w="672" w:type="pct"/>
          </w:tcPr>
          <w:p w:rsidR="00E2634E" w:rsidRPr="00FE771B" w:rsidRDefault="00E2634E" w:rsidP="00D950AD">
            <w:pPr>
              <w:autoSpaceDE w:val="0"/>
              <w:autoSpaceDN w:val="0"/>
              <w:adjustRightInd w:val="0"/>
              <w:jc w:val="left"/>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F</w:t>
            </w:r>
            <w:r w:rsidR="003E0F78" w:rsidRPr="00FE771B">
              <w:rPr>
                <w:rFonts w:ascii="Times New Roman" w:hAnsi="Times New Roman" w:cs="Times New Roman"/>
                <w:color w:val="000000" w:themeColor="text1"/>
              </w:rPr>
              <w:t xml:space="preserve"> </w:t>
            </w:r>
            <w:r w:rsidR="003E0F78" w:rsidRPr="00FE771B">
              <w:rPr>
                <w:rFonts w:ascii="Times New Roman" w:hAnsi="Times New Roman" w:cs="Times New Roman"/>
                <w:color w:val="000000" w:themeColor="text1"/>
                <w:kern w:val="0"/>
                <w:sz w:val="18"/>
                <w:szCs w:val="18"/>
              </w:rPr>
              <w:t>test</w:t>
            </w:r>
          </w:p>
        </w:tc>
        <w:tc>
          <w:tcPr>
            <w:tcW w:w="565" w:type="pct"/>
          </w:tcPr>
          <w:p w:rsidR="00E2634E" w:rsidRPr="00FE771B" w:rsidRDefault="00E2634E"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9.9694</w:t>
            </w:r>
          </w:p>
        </w:tc>
        <w:tc>
          <w:tcPr>
            <w:tcW w:w="517" w:type="pct"/>
          </w:tcPr>
          <w:p w:rsidR="00E2634E" w:rsidRPr="00FE771B" w:rsidRDefault="00E2634E"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5.6750</w:t>
            </w:r>
          </w:p>
        </w:tc>
        <w:tc>
          <w:tcPr>
            <w:tcW w:w="565" w:type="pct"/>
          </w:tcPr>
          <w:p w:rsidR="00E2634E" w:rsidRPr="00FE771B" w:rsidRDefault="00E2634E"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8.9653</w:t>
            </w:r>
          </w:p>
        </w:tc>
        <w:tc>
          <w:tcPr>
            <w:tcW w:w="517" w:type="pct"/>
          </w:tcPr>
          <w:p w:rsidR="00E2634E" w:rsidRPr="00FE771B" w:rsidRDefault="00E2634E"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5.6635</w:t>
            </w:r>
          </w:p>
        </w:tc>
        <w:tc>
          <w:tcPr>
            <w:tcW w:w="565" w:type="pct"/>
          </w:tcPr>
          <w:p w:rsidR="00E2634E" w:rsidRPr="00FE771B" w:rsidRDefault="00E2634E"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28.2263</w:t>
            </w:r>
          </w:p>
        </w:tc>
        <w:tc>
          <w:tcPr>
            <w:tcW w:w="517" w:type="pct"/>
          </w:tcPr>
          <w:p w:rsidR="00E2634E" w:rsidRPr="00FE771B" w:rsidRDefault="00E2634E"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11.5257</w:t>
            </w:r>
          </w:p>
        </w:tc>
        <w:tc>
          <w:tcPr>
            <w:tcW w:w="565" w:type="pct"/>
          </w:tcPr>
          <w:p w:rsidR="00E2634E" w:rsidRPr="00FE771B" w:rsidRDefault="00E2634E"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28.0109</w:t>
            </w:r>
          </w:p>
        </w:tc>
        <w:tc>
          <w:tcPr>
            <w:tcW w:w="517" w:type="pct"/>
          </w:tcPr>
          <w:p w:rsidR="00E2634E" w:rsidRPr="00FE771B" w:rsidRDefault="00E2634E"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11.6139</w:t>
            </w:r>
          </w:p>
        </w:tc>
      </w:tr>
      <w:tr w:rsidR="004E62C3" w:rsidRPr="00FE771B" w:rsidTr="004E62C3">
        <w:tc>
          <w:tcPr>
            <w:tcW w:w="672" w:type="pct"/>
          </w:tcPr>
          <w:p w:rsidR="00E2634E" w:rsidRPr="00FE771B" w:rsidRDefault="00E2634E" w:rsidP="00D950AD">
            <w:pPr>
              <w:autoSpaceDE w:val="0"/>
              <w:autoSpaceDN w:val="0"/>
              <w:adjustRightInd w:val="0"/>
              <w:jc w:val="left"/>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Adj-R</w:t>
            </w:r>
            <w:r w:rsidRPr="00FE771B">
              <w:rPr>
                <w:rFonts w:ascii="Times New Roman" w:hAnsi="Times New Roman" w:cs="Times New Roman"/>
                <w:color w:val="000000" w:themeColor="text1"/>
                <w:kern w:val="0"/>
                <w:sz w:val="18"/>
                <w:szCs w:val="18"/>
                <w:vertAlign w:val="superscript"/>
              </w:rPr>
              <w:t>2</w:t>
            </w:r>
          </w:p>
        </w:tc>
        <w:tc>
          <w:tcPr>
            <w:tcW w:w="565" w:type="pct"/>
          </w:tcPr>
          <w:p w:rsidR="00E2634E" w:rsidRPr="00FE771B" w:rsidRDefault="00E2634E"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0.0708</w:t>
            </w:r>
          </w:p>
        </w:tc>
        <w:tc>
          <w:tcPr>
            <w:tcW w:w="517" w:type="pct"/>
          </w:tcPr>
          <w:p w:rsidR="00E2634E" w:rsidRPr="00FE771B" w:rsidRDefault="00E2634E"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0.1405</w:t>
            </w:r>
          </w:p>
        </w:tc>
        <w:tc>
          <w:tcPr>
            <w:tcW w:w="565" w:type="pct"/>
          </w:tcPr>
          <w:p w:rsidR="00E2634E" w:rsidRPr="00FE771B" w:rsidRDefault="00E2634E"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0.0687</w:t>
            </w:r>
          </w:p>
        </w:tc>
        <w:tc>
          <w:tcPr>
            <w:tcW w:w="517" w:type="pct"/>
          </w:tcPr>
          <w:p w:rsidR="00E2634E" w:rsidRPr="00FE771B" w:rsidRDefault="00E2634E"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0.1405</w:t>
            </w:r>
          </w:p>
        </w:tc>
        <w:tc>
          <w:tcPr>
            <w:tcW w:w="565" w:type="pct"/>
          </w:tcPr>
          <w:p w:rsidR="00E2634E" w:rsidRPr="00FE771B" w:rsidRDefault="00E2634E"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0.1433</w:t>
            </w:r>
          </w:p>
        </w:tc>
        <w:tc>
          <w:tcPr>
            <w:tcW w:w="517" w:type="pct"/>
          </w:tcPr>
          <w:p w:rsidR="00E2634E" w:rsidRPr="00FE771B" w:rsidRDefault="00E2634E"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0.0881</w:t>
            </w:r>
          </w:p>
        </w:tc>
        <w:tc>
          <w:tcPr>
            <w:tcW w:w="565" w:type="pct"/>
          </w:tcPr>
          <w:p w:rsidR="00E2634E" w:rsidRPr="00FE771B" w:rsidRDefault="00E2634E"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0.1435</w:t>
            </w:r>
          </w:p>
        </w:tc>
        <w:tc>
          <w:tcPr>
            <w:tcW w:w="517" w:type="pct"/>
          </w:tcPr>
          <w:p w:rsidR="00E2634E" w:rsidRPr="00FE771B" w:rsidRDefault="00E2634E"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0.0882</w:t>
            </w:r>
          </w:p>
        </w:tc>
      </w:tr>
    </w:tbl>
    <w:p w:rsidR="003453D4" w:rsidRPr="00FE771B" w:rsidRDefault="00E14128" w:rsidP="00DF6263">
      <w:pPr>
        <w:ind w:firstLineChars="200" w:firstLine="420"/>
        <w:rPr>
          <w:rFonts w:ascii="Times New Roman" w:hAnsi="Times New Roman" w:cs="Times New Roman"/>
        </w:rPr>
      </w:pPr>
      <w:r w:rsidRPr="00316147">
        <w:rPr>
          <w:rFonts w:ascii="楷体" w:eastAsia="楷体" w:hAnsi="楷体" w:cs="Times New Roman"/>
        </w:rPr>
        <w:t>3.</w:t>
      </w:r>
      <w:r w:rsidR="00E7616B" w:rsidRPr="00316147">
        <w:rPr>
          <w:rFonts w:ascii="楷体" w:eastAsia="楷体" w:hAnsi="楷体" w:cs="Times New Roman"/>
        </w:rPr>
        <w:t>不同财务风险下分组检验结果。</w:t>
      </w:r>
      <w:r w:rsidR="008264A4" w:rsidRPr="00FE771B">
        <w:rPr>
          <w:rFonts w:ascii="Times New Roman" w:hAnsi="Times New Roman" w:cs="Times New Roman"/>
        </w:rPr>
        <w:t>Altman(1968)</w:t>
      </w:r>
      <w:r w:rsidR="00EB45C2" w:rsidRPr="00FE771B">
        <w:rPr>
          <w:rFonts w:ascii="Times New Roman" w:hAnsi="Times New Roman" w:cs="Times New Roman"/>
        </w:rPr>
        <w:t>提出了基于多个财务指标加权而成的</w:t>
      </w:r>
      <w:r w:rsidR="00EB45C2" w:rsidRPr="00FE771B">
        <w:rPr>
          <w:rFonts w:ascii="Times New Roman" w:hAnsi="Times New Roman" w:cs="Times New Roman"/>
        </w:rPr>
        <w:t>Z</w:t>
      </w:r>
      <w:r w:rsidR="00EB45C2" w:rsidRPr="00FE771B">
        <w:rPr>
          <w:rFonts w:ascii="Times New Roman" w:hAnsi="Times New Roman" w:cs="Times New Roman"/>
        </w:rPr>
        <w:t>值模型，</w:t>
      </w:r>
      <w:r w:rsidR="00052908" w:rsidRPr="00FE771B">
        <w:rPr>
          <w:rFonts w:ascii="Times New Roman" w:hAnsi="Times New Roman" w:cs="Times New Roman"/>
        </w:rPr>
        <w:t>Z</w:t>
      </w:r>
      <w:r w:rsidR="00052908" w:rsidRPr="00FE771B">
        <w:rPr>
          <w:rFonts w:ascii="Times New Roman" w:hAnsi="Times New Roman" w:cs="Times New Roman"/>
        </w:rPr>
        <w:t>值模型在实际分析可以用来预警企业财务风险，当</w:t>
      </w:r>
      <w:r w:rsidR="00052908" w:rsidRPr="00FE771B">
        <w:rPr>
          <w:rFonts w:ascii="Times New Roman" w:hAnsi="Times New Roman" w:cs="Times New Roman"/>
        </w:rPr>
        <w:t>Z</w:t>
      </w:r>
      <w:r w:rsidR="00052908" w:rsidRPr="00FE771B">
        <w:rPr>
          <w:rFonts w:ascii="Times New Roman" w:hAnsi="Times New Roman" w:cs="Times New Roman"/>
        </w:rPr>
        <w:t>值较高时财务风险较低而</w:t>
      </w:r>
      <w:r w:rsidR="00052908" w:rsidRPr="00FE771B">
        <w:rPr>
          <w:rFonts w:ascii="Times New Roman" w:hAnsi="Times New Roman" w:cs="Times New Roman"/>
        </w:rPr>
        <w:t>Z</w:t>
      </w:r>
      <w:r w:rsidR="00052908" w:rsidRPr="00FE771B">
        <w:rPr>
          <w:rFonts w:ascii="Times New Roman" w:hAnsi="Times New Roman" w:cs="Times New Roman"/>
        </w:rPr>
        <w:t>值较低时财务风险较高。我们仍然采用公司</w:t>
      </w:r>
      <w:r w:rsidR="00052908" w:rsidRPr="00FE771B">
        <w:rPr>
          <w:rFonts w:ascii="Times New Roman" w:hAnsi="Times New Roman" w:cs="Times New Roman"/>
        </w:rPr>
        <w:t>Z</w:t>
      </w:r>
      <w:r w:rsidR="00052908" w:rsidRPr="00FE771B">
        <w:rPr>
          <w:rFonts w:ascii="Times New Roman" w:hAnsi="Times New Roman" w:cs="Times New Roman"/>
        </w:rPr>
        <w:t>值与所在行业平均</w:t>
      </w:r>
      <w:r w:rsidR="00052908" w:rsidRPr="00FE771B">
        <w:rPr>
          <w:rFonts w:ascii="Times New Roman" w:hAnsi="Times New Roman" w:cs="Times New Roman"/>
        </w:rPr>
        <w:t>Z</w:t>
      </w:r>
      <w:r w:rsidR="00052908" w:rsidRPr="00FE771B">
        <w:rPr>
          <w:rFonts w:ascii="Times New Roman" w:hAnsi="Times New Roman" w:cs="Times New Roman"/>
        </w:rPr>
        <w:t>值之差来衡量公司相对行业平均而言是否面临较高的财务风险，高</w:t>
      </w:r>
      <w:r w:rsidR="00052908" w:rsidRPr="00FE771B">
        <w:rPr>
          <w:rFonts w:ascii="Times New Roman" w:hAnsi="Times New Roman" w:cs="Times New Roman"/>
        </w:rPr>
        <w:t>Z</w:t>
      </w:r>
      <w:proofErr w:type="gramStart"/>
      <w:r w:rsidR="00052908" w:rsidRPr="00FE771B">
        <w:rPr>
          <w:rFonts w:ascii="Times New Roman" w:hAnsi="Times New Roman" w:cs="Times New Roman"/>
        </w:rPr>
        <w:t>值组前述</w:t>
      </w:r>
      <w:proofErr w:type="gramEnd"/>
      <w:r w:rsidR="00052908" w:rsidRPr="00FE771B">
        <w:rPr>
          <w:rFonts w:ascii="Times New Roman" w:hAnsi="Times New Roman" w:cs="Times New Roman"/>
        </w:rPr>
        <w:t>差值大于</w:t>
      </w:r>
      <w:r w:rsidR="00052908" w:rsidRPr="00FE771B">
        <w:rPr>
          <w:rFonts w:ascii="Times New Roman" w:hAnsi="Times New Roman" w:cs="Times New Roman"/>
        </w:rPr>
        <w:t>0</w:t>
      </w:r>
      <w:r w:rsidR="00052908" w:rsidRPr="00FE771B">
        <w:rPr>
          <w:rFonts w:ascii="Times New Roman" w:hAnsi="Times New Roman" w:cs="Times New Roman"/>
        </w:rPr>
        <w:t>，而低</w:t>
      </w:r>
      <w:r w:rsidR="00052908" w:rsidRPr="00FE771B">
        <w:rPr>
          <w:rFonts w:ascii="Times New Roman" w:hAnsi="Times New Roman" w:cs="Times New Roman"/>
        </w:rPr>
        <w:t>Z</w:t>
      </w:r>
      <w:proofErr w:type="gramStart"/>
      <w:r w:rsidR="00052908" w:rsidRPr="00FE771B">
        <w:rPr>
          <w:rFonts w:ascii="Times New Roman" w:hAnsi="Times New Roman" w:cs="Times New Roman"/>
        </w:rPr>
        <w:t>值组前述</w:t>
      </w:r>
      <w:proofErr w:type="gramEnd"/>
      <w:r w:rsidR="00052908" w:rsidRPr="00FE771B">
        <w:rPr>
          <w:rFonts w:ascii="Times New Roman" w:hAnsi="Times New Roman" w:cs="Times New Roman"/>
        </w:rPr>
        <w:t>差值小于</w:t>
      </w:r>
      <w:r w:rsidR="00052908" w:rsidRPr="00FE771B">
        <w:rPr>
          <w:rFonts w:ascii="Times New Roman" w:hAnsi="Times New Roman" w:cs="Times New Roman"/>
        </w:rPr>
        <w:t>0</w:t>
      </w:r>
      <w:r w:rsidR="00052908" w:rsidRPr="00FE771B">
        <w:rPr>
          <w:rFonts w:ascii="Times New Roman" w:hAnsi="Times New Roman" w:cs="Times New Roman"/>
        </w:rPr>
        <w:t>。表</w:t>
      </w:r>
      <w:r w:rsidR="00052908" w:rsidRPr="00FE771B">
        <w:rPr>
          <w:rFonts w:ascii="Times New Roman" w:hAnsi="Times New Roman" w:cs="Times New Roman"/>
        </w:rPr>
        <w:t>1</w:t>
      </w:r>
      <w:r w:rsidR="001D2964" w:rsidRPr="00FE771B">
        <w:rPr>
          <w:rFonts w:ascii="Times New Roman" w:hAnsi="Times New Roman" w:cs="Times New Roman"/>
        </w:rPr>
        <w:t>2</w:t>
      </w:r>
      <w:r w:rsidR="00052908" w:rsidRPr="00FE771B">
        <w:rPr>
          <w:rFonts w:ascii="Times New Roman" w:hAnsi="Times New Roman" w:cs="Times New Roman"/>
        </w:rPr>
        <w:t>估计结果中第（</w:t>
      </w:r>
      <w:r w:rsidR="00052908" w:rsidRPr="00FE771B">
        <w:rPr>
          <w:rFonts w:ascii="Times New Roman" w:hAnsi="Times New Roman" w:cs="Times New Roman"/>
        </w:rPr>
        <w:t>1</w:t>
      </w:r>
      <w:r w:rsidR="00052908" w:rsidRPr="00FE771B">
        <w:rPr>
          <w:rFonts w:ascii="Times New Roman" w:hAnsi="Times New Roman" w:cs="Times New Roman"/>
        </w:rPr>
        <w:t>）至（</w:t>
      </w:r>
      <w:r w:rsidR="00052908" w:rsidRPr="00FE771B">
        <w:rPr>
          <w:rFonts w:ascii="Times New Roman" w:hAnsi="Times New Roman" w:cs="Times New Roman"/>
        </w:rPr>
        <w:t>4</w:t>
      </w:r>
      <w:r w:rsidR="00052908" w:rsidRPr="00FE771B">
        <w:rPr>
          <w:rFonts w:ascii="Times New Roman" w:hAnsi="Times New Roman" w:cs="Times New Roman"/>
        </w:rPr>
        <w:t>）列</w:t>
      </w:r>
      <w:r w:rsidR="00486F82" w:rsidRPr="00FE771B">
        <w:rPr>
          <w:rFonts w:ascii="Times New Roman" w:hAnsi="Times New Roman" w:cs="Times New Roman"/>
        </w:rPr>
        <w:t>为高</w:t>
      </w:r>
      <w:r w:rsidR="00486F82" w:rsidRPr="00FE771B">
        <w:rPr>
          <w:rFonts w:ascii="Times New Roman" w:hAnsi="Times New Roman" w:cs="Times New Roman"/>
        </w:rPr>
        <w:t>Z</w:t>
      </w:r>
      <w:r w:rsidR="00486F82" w:rsidRPr="00FE771B">
        <w:rPr>
          <w:rFonts w:ascii="Times New Roman" w:hAnsi="Times New Roman" w:cs="Times New Roman"/>
        </w:rPr>
        <w:t>值情况下回归结果，第（</w:t>
      </w:r>
      <w:r w:rsidR="00486F82" w:rsidRPr="00FE771B">
        <w:rPr>
          <w:rFonts w:ascii="Times New Roman" w:hAnsi="Times New Roman" w:cs="Times New Roman"/>
        </w:rPr>
        <w:t>5</w:t>
      </w:r>
      <w:r w:rsidR="00486F82" w:rsidRPr="00FE771B">
        <w:rPr>
          <w:rFonts w:ascii="Times New Roman" w:hAnsi="Times New Roman" w:cs="Times New Roman"/>
        </w:rPr>
        <w:t>）至（</w:t>
      </w:r>
      <w:r w:rsidR="00486F82" w:rsidRPr="00FE771B">
        <w:rPr>
          <w:rFonts w:ascii="Times New Roman" w:hAnsi="Times New Roman" w:cs="Times New Roman"/>
        </w:rPr>
        <w:t>8</w:t>
      </w:r>
      <w:r w:rsidR="00486F82" w:rsidRPr="00FE771B">
        <w:rPr>
          <w:rFonts w:ascii="Times New Roman" w:hAnsi="Times New Roman" w:cs="Times New Roman"/>
        </w:rPr>
        <w:t>）</w:t>
      </w:r>
      <w:proofErr w:type="gramStart"/>
      <w:r w:rsidR="00486F82" w:rsidRPr="00FE771B">
        <w:rPr>
          <w:rFonts w:ascii="Times New Roman" w:hAnsi="Times New Roman" w:cs="Times New Roman"/>
        </w:rPr>
        <w:t>列低</w:t>
      </w:r>
      <w:proofErr w:type="gramEnd"/>
      <w:r w:rsidR="00486F82" w:rsidRPr="00FE771B">
        <w:rPr>
          <w:rFonts w:ascii="Times New Roman" w:hAnsi="Times New Roman" w:cs="Times New Roman"/>
        </w:rPr>
        <w:t>Z</w:t>
      </w:r>
      <w:r w:rsidR="00486F82" w:rsidRPr="00FE771B">
        <w:rPr>
          <w:rFonts w:ascii="Times New Roman" w:hAnsi="Times New Roman" w:cs="Times New Roman"/>
        </w:rPr>
        <w:t>值组别回归结果。结果显示，财务风险较高情形下，业绩承诺通过盈余管理行为而促使上市公司</w:t>
      </w:r>
      <w:r w:rsidR="00486F82" w:rsidRPr="00FE771B">
        <w:rPr>
          <w:rFonts w:ascii="Times New Roman" w:hAnsi="Times New Roman" w:cs="Times New Roman"/>
        </w:rPr>
        <w:t>“</w:t>
      </w:r>
      <w:r w:rsidR="00486F82" w:rsidRPr="00FE771B">
        <w:rPr>
          <w:rFonts w:ascii="Times New Roman" w:hAnsi="Times New Roman" w:cs="Times New Roman"/>
        </w:rPr>
        <w:t>脱实向虚</w:t>
      </w:r>
      <w:r w:rsidR="00486F82" w:rsidRPr="00FE771B">
        <w:rPr>
          <w:rFonts w:ascii="Times New Roman" w:hAnsi="Times New Roman" w:cs="Times New Roman"/>
        </w:rPr>
        <w:t>”</w:t>
      </w:r>
      <w:r w:rsidR="00486F82" w:rsidRPr="00FE771B">
        <w:rPr>
          <w:rFonts w:ascii="Times New Roman" w:hAnsi="Times New Roman" w:cs="Times New Roman"/>
        </w:rPr>
        <w:t>的路径成立，而财务风险较低情形</w:t>
      </w:r>
      <w:proofErr w:type="gramStart"/>
      <w:r w:rsidR="00486F82" w:rsidRPr="00FE771B">
        <w:rPr>
          <w:rFonts w:ascii="Times New Roman" w:hAnsi="Times New Roman" w:cs="Times New Roman"/>
        </w:rPr>
        <w:t>下上述</w:t>
      </w:r>
      <w:proofErr w:type="gramEnd"/>
      <w:r w:rsidR="00486F82" w:rsidRPr="00FE771B">
        <w:rPr>
          <w:rFonts w:ascii="Times New Roman" w:hAnsi="Times New Roman" w:cs="Times New Roman"/>
        </w:rPr>
        <w:t>路径并不成立。</w:t>
      </w:r>
      <w:r w:rsidR="00C6572F" w:rsidRPr="00FE771B">
        <w:rPr>
          <w:rFonts w:ascii="Times New Roman" w:hAnsi="Times New Roman" w:cs="Times New Roman"/>
        </w:rPr>
        <w:t>这更加说明财务风险越</w:t>
      </w:r>
      <w:proofErr w:type="gramStart"/>
      <w:r w:rsidR="00C6572F" w:rsidRPr="00FE771B">
        <w:rPr>
          <w:rFonts w:ascii="Times New Roman" w:hAnsi="Times New Roman" w:cs="Times New Roman"/>
        </w:rPr>
        <w:t>高上市</w:t>
      </w:r>
      <w:proofErr w:type="gramEnd"/>
      <w:r w:rsidR="00C6572F" w:rsidRPr="00FE771B">
        <w:rPr>
          <w:rFonts w:ascii="Times New Roman" w:hAnsi="Times New Roman" w:cs="Times New Roman"/>
        </w:rPr>
        <w:t>公司越有可能</w:t>
      </w:r>
      <w:r w:rsidR="00C633ED" w:rsidRPr="00FE771B">
        <w:rPr>
          <w:rFonts w:ascii="Times New Roman" w:hAnsi="Times New Roman" w:cs="Times New Roman"/>
        </w:rPr>
        <w:t>开展签订业绩承诺为</w:t>
      </w:r>
      <w:r w:rsidR="0065006A" w:rsidRPr="00FE771B">
        <w:rPr>
          <w:rFonts w:ascii="Times New Roman" w:hAnsi="Times New Roman" w:cs="Times New Roman"/>
        </w:rPr>
        <w:t>特征</w:t>
      </w:r>
      <w:r w:rsidR="00C633ED" w:rsidRPr="00FE771B">
        <w:rPr>
          <w:rFonts w:ascii="Times New Roman" w:hAnsi="Times New Roman" w:cs="Times New Roman"/>
        </w:rPr>
        <w:t>的并购，通过业绩承诺对市场的带动效应</w:t>
      </w:r>
      <w:r w:rsidR="0065006A" w:rsidRPr="00FE771B">
        <w:rPr>
          <w:rFonts w:ascii="Times New Roman" w:hAnsi="Times New Roman" w:cs="Times New Roman"/>
        </w:rPr>
        <w:t>实现上市公司市值管理目标，同时在业绩承诺期以盈余管理为手段导致企业金融化投资倾向和</w:t>
      </w:r>
      <w:r w:rsidR="0065006A" w:rsidRPr="00FE771B">
        <w:rPr>
          <w:rFonts w:ascii="Times New Roman" w:hAnsi="Times New Roman" w:cs="Times New Roman"/>
        </w:rPr>
        <w:t>“</w:t>
      </w:r>
      <w:r w:rsidR="0065006A" w:rsidRPr="00FE771B">
        <w:rPr>
          <w:rFonts w:ascii="Times New Roman" w:hAnsi="Times New Roman" w:cs="Times New Roman"/>
        </w:rPr>
        <w:t>脱实向虚</w:t>
      </w:r>
      <w:r w:rsidR="0065006A" w:rsidRPr="00FE771B">
        <w:rPr>
          <w:rFonts w:ascii="Times New Roman" w:hAnsi="Times New Roman" w:cs="Times New Roman"/>
        </w:rPr>
        <w:t>”</w:t>
      </w:r>
      <w:r w:rsidR="0065006A" w:rsidRPr="00FE771B">
        <w:rPr>
          <w:rFonts w:ascii="Times New Roman" w:hAnsi="Times New Roman" w:cs="Times New Roman"/>
        </w:rPr>
        <w:t>。</w:t>
      </w:r>
    </w:p>
    <w:p w:rsidR="008810E1" w:rsidRPr="00FE771B" w:rsidRDefault="00E7616B" w:rsidP="00E7616B">
      <w:pPr>
        <w:jc w:val="center"/>
        <w:rPr>
          <w:rFonts w:ascii="Times New Roman" w:eastAsia="楷体" w:hAnsi="Times New Roman" w:cs="Times New Roman"/>
          <w:bCs/>
          <w:szCs w:val="21"/>
        </w:rPr>
      </w:pPr>
      <w:r w:rsidRPr="00FE771B">
        <w:rPr>
          <w:rFonts w:ascii="Times New Roman" w:eastAsia="楷体" w:hAnsi="Times New Roman" w:cs="Times New Roman"/>
          <w:bCs/>
          <w:szCs w:val="21"/>
        </w:rPr>
        <w:t>表</w:t>
      </w:r>
      <w:r w:rsidRPr="00FE771B">
        <w:rPr>
          <w:rFonts w:ascii="Times New Roman" w:eastAsia="楷体" w:hAnsi="Times New Roman" w:cs="Times New Roman"/>
          <w:bCs/>
          <w:szCs w:val="21"/>
        </w:rPr>
        <w:t>1</w:t>
      </w:r>
      <w:r w:rsidR="001D2964" w:rsidRPr="00FE771B">
        <w:rPr>
          <w:rFonts w:ascii="Times New Roman" w:eastAsia="楷体" w:hAnsi="Times New Roman" w:cs="Times New Roman"/>
          <w:bCs/>
          <w:szCs w:val="21"/>
        </w:rPr>
        <w:t>2</w:t>
      </w:r>
      <w:r w:rsidRPr="00FE771B">
        <w:rPr>
          <w:rFonts w:ascii="Times New Roman" w:eastAsia="楷体" w:hAnsi="Times New Roman" w:cs="Times New Roman"/>
          <w:bCs/>
          <w:szCs w:val="21"/>
        </w:rPr>
        <w:t xml:space="preserve"> </w:t>
      </w:r>
      <w:r w:rsidR="007E6BB1" w:rsidRPr="00FE771B">
        <w:rPr>
          <w:rFonts w:ascii="Times New Roman" w:eastAsia="楷体" w:hAnsi="Times New Roman" w:cs="Times New Roman"/>
          <w:bCs/>
          <w:szCs w:val="21"/>
        </w:rPr>
        <w:t xml:space="preserve"> </w:t>
      </w:r>
      <w:r w:rsidRPr="00FE771B">
        <w:rPr>
          <w:rFonts w:ascii="Times New Roman" w:eastAsia="楷体" w:hAnsi="Times New Roman" w:cs="Times New Roman"/>
          <w:bCs/>
          <w:szCs w:val="21"/>
        </w:rPr>
        <w:t>不同财务风险下检验结果</w:t>
      </w:r>
    </w:p>
    <w:tbl>
      <w:tblPr>
        <w:tblW w:w="5573" w:type="pct"/>
        <w:tblInd w:w="-318"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1281"/>
        <w:gridCol w:w="981"/>
        <w:gridCol w:w="981"/>
        <w:gridCol w:w="980"/>
        <w:gridCol w:w="982"/>
        <w:gridCol w:w="1071"/>
        <w:gridCol w:w="980"/>
        <w:gridCol w:w="1071"/>
        <w:gridCol w:w="1172"/>
      </w:tblGrid>
      <w:tr w:rsidR="00750705" w:rsidRPr="00FE771B" w:rsidTr="00750705">
        <w:tc>
          <w:tcPr>
            <w:tcW w:w="674" w:type="pct"/>
            <w:vMerge w:val="restart"/>
          </w:tcPr>
          <w:p w:rsidR="00750705" w:rsidRPr="00FE771B" w:rsidRDefault="00750705" w:rsidP="000D1E77">
            <w:pPr>
              <w:autoSpaceDE w:val="0"/>
              <w:autoSpaceDN w:val="0"/>
              <w:adjustRightInd w:val="0"/>
              <w:jc w:val="left"/>
              <w:rPr>
                <w:rFonts w:ascii="Times New Roman" w:hAnsi="Times New Roman" w:cs="Times New Roman"/>
                <w:color w:val="000000" w:themeColor="text1"/>
                <w:kern w:val="0"/>
                <w:sz w:val="18"/>
                <w:szCs w:val="18"/>
              </w:rPr>
            </w:pPr>
          </w:p>
        </w:tc>
        <w:tc>
          <w:tcPr>
            <w:tcW w:w="2065" w:type="pct"/>
            <w:gridSpan w:val="4"/>
          </w:tcPr>
          <w:p w:rsidR="00750705" w:rsidRPr="00FE771B" w:rsidRDefault="00750705" w:rsidP="000D1E77">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高</w:t>
            </w:r>
            <w:r w:rsidRPr="00FE771B">
              <w:rPr>
                <w:rFonts w:ascii="Times New Roman" w:hAnsi="Times New Roman" w:cs="Times New Roman"/>
                <w:color w:val="000000" w:themeColor="text1"/>
                <w:kern w:val="0"/>
                <w:sz w:val="18"/>
                <w:szCs w:val="18"/>
              </w:rPr>
              <w:t>Z</w:t>
            </w:r>
            <w:r w:rsidRPr="00FE771B">
              <w:rPr>
                <w:rFonts w:ascii="Times New Roman" w:hAnsi="Times New Roman" w:cs="Times New Roman"/>
                <w:color w:val="000000" w:themeColor="text1"/>
                <w:kern w:val="0"/>
                <w:sz w:val="18"/>
                <w:szCs w:val="18"/>
              </w:rPr>
              <w:t>值</w:t>
            </w:r>
          </w:p>
        </w:tc>
        <w:tc>
          <w:tcPr>
            <w:tcW w:w="2260" w:type="pct"/>
            <w:gridSpan w:val="4"/>
          </w:tcPr>
          <w:p w:rsidR="00750705" w:rsidRPr="00FE771B" w:rsidRDefault="00750705" w:rsidP="000D1E77">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低</w:t>
            </w:r>
            <w:r w:rsidRPr="00FE771B">
              <w:rPr>
                <w:rFonts w:ascii="Times New Roman" w:hAnsi="Times New Roman" w:cs="Times New Roman"/>
                <w:color w:val="000000" w:themeColor="text1"/>
                <w:kern w:val="0"/>
                <w:sz w:val="18"/>
                <w:szCs w:val="18"/>
              </w:rPr>
              <w:t>Z</w:t>
            </w:r>
            <w:r w:rsidRPr="00FE771B">
              <w:rPr>
                <w:rFonts w:ascii="Times New Roman" w:hAnsi="Times New Roman" w:cs="Times New Roman"/>
                <w:color w:val="000000" w:themeColor="text1"/>
                <w:kern w:val="0"/>
                <w:sz w:val="18"/>
                <w:szCs w:val="18"/>
              </w:rPr>
              <w:t>值</w:t>
            </w:r>
          </w:p>
        </w:tc>
      </w:tr>
      <w:tr w:rsidR="00750705" w:rsidRPr="00FE771B" w:rsidTr="005D33B9">
        <w:trPr>
          <w:trHeight w:val="634"/>
        </w:trPr>
        <w:tc>
          <w:tcPr>
            <w:tcW w:w="674" w:type="pct"/>
            <w:vMerge/>
          </w:tcPr>
          <w:p w:rsidR="00750705" w:rsidRPr="00FE771B" w:rsidRDefault="00750705" w:rsidP="000D1E77">
            <w:pPr>
              <w:autoSpaceDE w:val="0"/>
              <w:autoSpaceDN w:val="0"/>
              <w:adjustRightInd w:val="0"/>
              <w:jc w:val="left"/>
              <w:rPr>
                <w:rFonts w:ascii="Times New Roman" w:hAnsi="Times New Roman" w:cs="Times New Roman"/>
                <w:color w:val="000000" w:themeColor="text1"/>
                <w:kern w:val="0"/>
                <w:sz w:val="18"/>
                <w:szCs w:val="18"/>
              </w:rPr>
            </w:pPr>
          </w:p>
        </w:tc>
        <w:tc>
          <w:tcPr>
            <w:tcW w:w="516" w:type="pct"/>
          </w:tcPr>
          <w:p w:rsidR="00750705" w:rsidRPr="00FE771B" w:rsidRDefault="00750705" w:rsidP="004D2FF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(1)</w:t>
            </w:r>
          </w:p>
          <w:p w:rsidR="00750705" w:rsidRPr="00FE771B" w:rsidRDefault="00750705" w:rsidP="000D1E77">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i/>
                <w:color w:val="000000" w:themeColor="text1"/>
                <w:kern w:val="0"/>
                <w:sz w:val="18"/>
                <w:szCs w:val="18"/>
              </w:rPr>
              <w:t>DA</w:t>
            </w:r>
          </w:p>
        </w:tc>
        <w:tc>
          <w:tcPr>
            <w:tcW w:w="516" w:type="pct"/>
          </w:tcPr>
          <w:p w:rsidR="00750705" w:rsidRPr="00FE771B" w:rsidRDefault="00750705" w:rsidP="004D2FF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(2)</w:t>
            </w:r>
          </w:p>
          <w:p w:rsidR="00750705" w:rsidRPr="00FE771B" w:rsidRDefault="00750705" w:rsidP="000D1E77">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i/>
                <w:color w:val="000000" w:themeColor="text1"/>
                <w:kern w:val="0"/>
                <w:sz w:val="18"/>
                <w:szCs w:val="18"/>
              </w:rPr>
              <w:t>Fin</w:t>
            </w:r>
          </w:p>
        </w:tc>
        <w:tc>
          <w:tcPr>
            <w:tcW w:w="516" w:type="pct"/>
          </w:tcPr>
          <w:p w:rsidR="00750705" w:rsidRPr="00FE771B" w:rsidRDefault="00750705" w:rsidP="004D2FF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(3)</w:t>
            </w:r>
          </w:p>
          <w:p w:rsidR="00750705" w:rsidRPr="00FE771B" w:rsidRDefault="00750705" w:rsidP="000D1E77">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i/>
                <w:color w:val="000000" w:themeColor="text1"/>
                <w:kern w:val="0"/>
                <w:sz w:val="18"/>
                <w:szCs w:val="18"/>
              </w:rPr>
              <w:t>DA</w:t>
            </w:r>
          </w:p>
        </w:tc>
        <w:tc>
          <w:tcPr>
            <w:tcW w:w="517" w:type="pct"/>
          </w:tcPr>
          <w:p w:rsidR="00750705" w:rsidRPr="00FE771B" w:rsidRDefault="00750705" w:rsidP="004D2FF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(4)</w:t>
            </w:r>
          </w:p>
          <w:p w:rsidR="00750705" w:rsidRPr="00FE771B" w:rsidRDefault="00750705" w:rsidP="000D1E77">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i/>
                <w:color w:val="000000" w:themeColor="text1"/>
                <w:kern w:val="0"/>
                <w:sz w:val="18"/>
                <w:szCs w:val="18"/>
              </w:rPr>
              <w:t>Fin</w:t>
            </w:r>
          </w:p>
        </w:tc>
        <w:tc>
          <w:tcPr>
            <w:tcW w:w="564" w:type="pct"/>
          </w:tcPr>
          <w:p w:rsidR="00750705" w:rsidRPr="00FE771B" w:rsidRDefault="00750705" w:rsidP="004D2FF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(5)</w:t>
            </w:r>
          </w:p>
          <w:p w:rsidR="00750705" w:rsidRPr="00FE771B" w:rsidRDefault="00750705" w:rsidP="000D1E77">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i/>
                <w:color w:val="000000" w:themeColor="text1"/>
                <w:kern w:val="0"/>
                <w:sz w:val="18"/>
                <w:szCs w:val="18"/>
              </w:rPr>
              <w:t>DA</w:t>
            </w:r>
          </w:p>
        </w:tc>
        <w:tc>
          <w:tcPr>
            <w:tcW w:w="516" w:type="pct"/>
          </w:tcPr>
          <w:p w:rsidR="00750705" w:rsidRPr="00FE771B" w:rsidRDefault="00750705" w:rsidP="004D2FF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(6)</w:t>
            </w:r>
          </w:p>
          <w:p w:rsidR="00750705" w:rsidRPr="00FE771B" w:rsidRDefault="00750705" w:rsidP="000D1E77">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i/>
                <w:color w:val="000000" w:themeColor="text1"/>
                <w:kern w:val="0"/>
                <w:sz w:val="18"/>
                <w:szCs w:val="18"/>
              </w:rPr>
              <w:t>Fin</w:t>
            </w:r>
          </w:p>
        </w:tc>
        <w:tc>
          <w:tcPr>
            <w:tcW w:w="564" w:type="pct"/>
          </w:tcPr>
          <w:p w:rsidR="00750705" w:rsidRPr="00FE771B" w:rsidRDefault="00750705" w:rsidP="004D2FF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(7)</w:t>
            </w:r>
          </w:p>
          <w:p w:rsidR="00750705" w:rsidRPr="00FE771B" w:rsidRDefault="00750705" w:rsidP="000D1E77">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i/>
                <w:color w:val="000000" w:themeColor="text1"/>
                <w:kern w:val="0"/>
                <w:sz w:val="18"/>
                <w:szCs w:val="18"/>
              </w:rPr>
              <w:t>DA</w:t>
            </w:r>
          </w:p>
        </w:tc>
        <w:tc>
          <w:tcPr>
            <w:tcW w:w="617" w:type="pct"/>
          </w:tcPr>
          <w:p w:rsidR="00750705" w:rsidRPr="00FE771B" w:rsidRDefault="00750705" w:rsidP="004D2FF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(8)</w:t>
            </w:r>
          </w:p>
          <w:p w:rsidR="00750705" w:rsidRPr="00FE771B" w:rsidRDefault="00750705" w:rsidP="000D1E77">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i/>
                <w:color w:val="000000" w:themeColor="text1"/>
                <w:kern w:val="0"/>
                <w:sz w:val="18"/>
                <w:szCs w:val="18"/>
              </w:rPr>
              <w:t>Fin</w:t>
            </w:r>
          </w:p>
        </w:tc>
      </w:tr>
      <w:tr w:rsidR="00750705" w:rsidRPr="00FE771B" w:rsidTr="00750705">
        <w:trPr>
          <w:trHeight w:val="634"/>
        </w:trPr>
        <w:tc>
          <w:tcPr>
            <w:tcW w:w="674" w:type="pct"/>
            <w:tcBorders>
              <w:bottom w:val="single" w:sz="4" w:space="0" w:color="auto"/>
            </w:tcBorders>
          </w:tcPr>
          <w:p w:rsidR="00FC42E5" w:rsidRPr="00FE771B" w:rsidRDefault="00FC42E5" w:rsidP="00180772">
            <w:pPr>
              <w:autoSpaceDE w:val="0"/>
              <w:autoSpaceDN w:val="0"/>
              <w:adjustRightInd w:val="0"/>
              <w:jc w:val="left"/>
              <w:rPr>
                <w:rFonts w:ascii="Times New Roman" w:hAnsi="Times New Roman" w:cs="Times New Roman"/>
                <w:i/>
                <w:color w:val="000000" w:themeColor="text1"/>
                <w:kern w:val="0"/>
                <w:sz w:val="18"/>
                <w:szCs w:val="18"/>
              </w:rPr>
            </w:pPr>
            <w:proofErr w:type="spellStart"/>
            <w:r w:rsidRPr="00FE771B">
              <w:rPr>
                <w:rFonts w:ascii="Times New Roman" w:hAnsi="Times New Roman" w:cs="Times New Roman"/>
                <w:i/>
                <w:color w:val="000000" w:themeColor="text1"/>
                <w:kern w:val="0"/>
                <w:sz w:val="18"/>
                <w:szCs w:val="18"/>
              </w:rPr>
              <w:t>Vam_logit</w:t>
            </w:r>
            <w:proofErr w:type="spellEnd"/>
          </w:p>
        </w:tc>
        <w:tc>
          <w:tcPr>
            <w:tcW w:w="516" w:type="pct"/>
            <w:tcBorders>
              <w:bottom w:val="single" w:sz="4" w:space="0" w:color="auto"/>
            </w:tcBorders>
          </w:tcPr>
          <w:p w:rsidR="00750705" w:rsidRPr="00FE771B" w:rsidRDefault="00FC42E5"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-0.0009</w:t>
            </w:r>
          </w:p>
          <w:p w:rsidR="00FC42E5" w:rsidRPr="00FE771B" w:rsidRDefault="00750705"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(-0.229)</w:t>
            </w:r>
          </w:p>
        </w:tc>
        <w:tc>
          <w:tcPr>
            <w:tcW w:w="516" w:type="pct"/>
            <w:tcBorders>
              <w:bottom w:val="single" w:sz="4" w:space="0" w:color="auto"/>
            </w:tcBorders>
          </w:tcPr>
          <w:p w:rsidR="00750705" w:rsidRPr="00FE771B" w:rsidRDefault="00FC42E5"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0.0358</w:t>
            </w:r>
          </w:p>
          <w:p w:rsidR="00FC42E5" w:rsidRPr="00FE771B" w:rsidRDefault="00750705"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(0.868)</w:t>
            </w:r>
          </w:p>
        </w:tc>
        <w:tc>
          <w:tcPr>
            <w:tcW w:w="516" w:type="pct"/>
            <w:tcBorders>
              <w:bottom w:val="single" w:sz="4" w:space="0" w:color="auto"/>
            </w:tcBorders>
          </w:tcPr>
          <w:p w:rsidR="00FC42E5" w:rsidRPr="00FE771B" w:rsidRDefault="00FC42E5" w:rsidP="00F20551">
            <w:pPr>
              <w:autoSpaceDE w:val="0"/>
              <w:autoSpaceDN w:val="0"/>
              <w:adjustRightInd w:val="0"/>
              <w:jc w:val="center"/>
              <w:rPr>
                <w:rFonts w:ascii="Times New Roman" w:hAnsi="Times New Roman" w:cs="Times New Roman"/>
                <w:color w:val="000000" w:themeColor="text1"/>
                <w:kern w:val="0"/>
                <w:sz w:val="18"/>
                <w:szCs w:val="18"/>
              </w:rPr>
            </w:pPr>
          </w:p>
        </w:tc>
        <w:tc>
          <w:tcPr>
            <w:tcW w:w="517" w:type="pct"/>
            <w:tcBorders>
              <w:bottom w:val="single" w:sz="4" w:space="0" w:color="auto"/>
            </w:tcBorders>
          </w:tcPr>
          <w:p w:rsidR="00FC42E5" w:rsidRPr="00FE771B" w:rsidRDefault="00FC42E5" w:rsidP="00F20551">
            <w:pPr>
              <w:autoSpaceDE w:val="0"/>
              <w:autoSpaceDN w:val="0"/>
              <w:adjustRightInd w:val="0"/>
              <w:jc w:val="center"/>
              <w:rPr>
                <w:rFonts w:ascii="Times New Roman" w:hAnsi="Times New Roman" w:cs="Times New Roman"/>
                <w:color w:val="000000" w:themeColor="text1"/>
                <w:kern w:val="0"/>
                <w:sz w:val="18"/>
                <w:szCs w:val="18"/>
              </w:rPr>
            </w:pPr>
          </w:p>
        </w:tc>
        <w:tc>
          <w:tcPr>
            <w:tcW w:w="564" w:type="pct"/>
            <w:tcBorders>
              <w:bottom w:val="single" w:sz="4" w:space="0" w:color="auto"/>
            </w:tcBorders>
          </w:tcPr>
          <w:p w:rsidR="00750705" w:rsidRPr="00FE771B" w:rsidRDefault="00FC42E5"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0.0067</w:t>
            </w:r>
          </w:p>
          <w:p w:rsidR="00FC42E5" w:rsidRPr="00FE771B" w:rsidRDefault="00750705"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(3.147)</w:t>
            </w:r>
            <w:r w:rsidRPr="00FE771B">
              <w:rPr>
                <w:rFonts w:ascii="Times New Roman" w:hAnsi="Times New Roman" w:cs="Times New Roman"/>
                <w:color w:val="000000" w:themeColor="text1"/>
                <w:kern w:val="0"/>
                <w:sz w:val="18"/>
                <w:szCs w:val="18"/>
                <w:vertAlign w:val="superscript"/>
              </w:rPr>
              <w:t>***</w:t>
            </w:r>
          </w:p>
        </w:tc>
        <w:tc>
          <w:tcPr>
            <w:tcW w:w="516" w:type="pct"/>
            <w:tcBorders>
              <w:bottom w:val="single" w:sz="4" w:space="0" w:color="auto"/>
            </w:tcBorders>
          </w:tcPr>
          <w:p w:rsidR="00750705" w:rsidRPr="00FE771B" w:rsidRDefault="00FC42E5"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-0.0115</w:t>
            </w:r>
          </w:p>
          <w:p w:rsidR="00FC42E5" w:rsidRPr="00FE771B" w:rsidRDefault="00750705"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(-0.643)</w:t>
            </w:r>
          </w:p>
        </w:tc>
        <w:tc>
          <w:tcPr>
            <w:tcW w:w="564" w:type="pct"/>
            <w:tcBorders>
              <w:bottom w:val="single" w:sz="4" w:space="0" w:color="auto"/>
            </w:tcBorders>
          </w:tcPr>
          <w:p w:rsidR="00FC42E5" w:rsidRPr="00FE771B" w:rsidRDefault="00FC42E5" w:rsidP="00180772">
            <w:pPr>
              <w:autoSpaceDE w:val="0"/>
              <w:autoSpaceDN w:val="0"/>
              <w:adjustRightInd w:val="0"/>
              <w:jc w:val="center"/>
              <w:rPr>
                <w:rFonts w:ascii="Times New Roman" w:hAnsi="Times New Roman" w:cs="Times New Roman"/>
                <w:color w:val="000000" w:themeColor="text1"/>
                <w:kern w:val="0"/>
                <w:sz w:val="18"/>
                <w:szCs w:val="18"/>
              </w:rPr>
            </w:pPr>
          </w:p>
        </w:tc>
        <w:tc>
          <w:tcPr>
            <w:tcW w:w="617" w:type="pct"/>
            <w:tcBorders>
              <w:bottom w:val="single" w:sz="4" w:space="0" w:color="auto"/>
            </w:tcBorders>
          </w:tcPr>
          <w:p w:rsidR="00FC42E5" w:rsidRPr="00FE771B" w:rsidRDefault="00FC42E5" w:rsidP="00180772">
            <w:pPr>
              <w:autoSpaceDE w:val="0"/>
              <w:autoSpaceDN w:val="0"/>
              <w:adjustRightInd w:val="0"/>
              <w:jc w:val="center"/>
              <w:rPr>
                <w:rFonts w:ascii="Times New Roman" w:hAnsi="Times New Roman" w:cs="Times New Roman"/>
                <w:color w:val="000000" w:themeColor="text1"/>
                <w:kern w:val="0"/>
                <w:sz w:val="18"/>
                <w:szCs w:val="18"/>
              </w:rPr>
            </w:pPr>
          </w:p>
        </w:tc>
      </w:tr>
      <w:tr w:rsidR="00750705" w:rsidRPr="00FE771B" w:rsidTr="00750705">
        <w:trPr>
          <w:trHeight w:val="634"/>
        </w:trPr>
        <w:tc>
          <w:tcPr>
            <w:tcW w:w="674" w:type="pct"/>
            <w:tcBorders>
              <w:bottom w:val="single" w:sz="4" w:space="0" w:color="auto"/>
            </w:tcBorders>
          </w:tcPr>
          <w:p w:rsidR="00FC42E5" w:rsidRPr="00FE771B" w:rsidRDefault="00FC42E5" w:rsidP="00180772">
            <w:pPr>
              <w:autoSpaceDE w:val="0"/>
              <w:autoSpaceDN w:val="0"/>
              <w:adjustRightInd w:val="0"/>
              <w:jc w:val="left"/>
              <w:rPr>
                <w:rFonts w:ascii="Times New Roman" w:hAnsi="Times New Roman" w:cs="Times New Roman"/>
                <w:i/>
                <w:color w:val="000000" w:themeColor="text1"/>
                <w:kern w:val="0"/>
                <w:sz w:val="18"/>
                <w:szCs w:val="18"/>
              </w:rPr>
            </w:pPr>
            <w:proofErr w:type="spellStart"/>
            <w:r w:rsidRPr="00FE771B">
              <w:rPr>
                <w:rFonts w:ascii="Times New Roman" w:hAnsi="Times New Roman" w:cs="Times New Roman"/>
                <w:i/>
                <w:color w:val="000000" w:themeColor="text1"/>
                <w:kern w:val="0"/>
                <w:sz w:val="18"/>
                <w:szCs w:val="18"/>
              </w:rPr>
              <w:t>Vam_numbers</w:t>
            </w:r>
            <w:proofErr w:type="spellEnd"/>
          </w:p>
        </w:tc>
        <w:tc>
          <w:tcPr>
            <w:tcW w:w="516" w:type="pct"/>
            <w:tcBorders>
              <w:bottom w:val="single" w:sz="4" w:space="0" w:color="auto"/>
            </w:tcBorders>
          </w:tcPr>
          <w:p w:rsidR="00FC42E5" w:rsidRPr="00FE771B" w:rsidRDefault="00FC42E5" w:rsidP="00180772">
            <w:pPr>
              <w:autoSpaceDE w:val="0"/>
              <w:autoSpaceDN w:val="0"/>
              <w:adjustRightInd w:val="0"/>
              <w:jc w:val="center"/>
              <w:rPr>
                <w:rFonts w:ascii="Times New Roman" w:hAnsi="Times New Roman" w:cs="Times New Roman"/>
                <w:color w:val="000000" w:themeColor="text1"/>
                <w:kern w:val="0"/>
                <w:sz w:val="18"/>
                <w:szCs w:val="18"/>
              </w:rPr>
            </w:pPr>
          </w:p>
        </w:tc>
        <w:tc>
          <w:tcPr>
            <w:tcW w:w="516" w:type="pct"/>
            <w:tcBorders>
              <w:bottom w:val="single" w:sz="4" w:space="0" w:color="auto"/>
            </w:tcBorders>
          </w:tcPr>
          <w:p w:rsidR="00FC42E5" w:rsidRPr="00FE771B" w:rsidRDefault="00FC42E5" w:rsidP="00180772">
            <w:pPr>
              <w:autoSpaceDE w:val="0"/>
              <w:autoSpaceDN w:val="0"/>
              <w:adjustRightInd w:val="0"/>
              <w:jc w:val="center"/>
              <w:rPr>
                <w:rFonts w:ascii="Times New Roman" w:hAnsi="Times New Roman" w:cs="Times New Roman"/>
                <w:color w:val="000000" w:themeColor="text1"/>
                <w:kern w:val="0"/>
                <w:sz w:val="18"/>
                <w:szCs w:val="18"/>
              </w:rPr>
            </w:pPr>
          </w:p>
        </w:tc>
        <w:tc>
          <w:tcPr>
            <w:tcW w:w="516" w:type="pct"/>
            <w:tcBorders>
              <w:bottom w:val="single" w:sz="4" w:space="0" w:color="auto"/>
            </w:tcBorders>
          </w:tcPr>
          <w:p w:rsidR="00750705" w:rsidRPr="00FE771B" w:rsidRDefault="00FC42E5"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-0.0049</w:t>
            </w:r>
          </w:p>
          <w:p w:rsidR="00FC42E5" w:rsidRPr="00FE771B" w:rsidRDefault="00750705"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(-1.926)</w:t>
            </w:r>
            <w:r w:rsidRPr="00FE771B">
              <w:rPr>
                <w:rFonts w:ascii="Times New Roman" w:hAnsi="Times New Roman" w:cs="Times New Roman"/>
                <w:color w:val="000000" w:themeColor="text1"/>
                <w:kern w:val="0"/>
                <w:sz w:val="18"/>
                <w:szCs w:val="18"/>
                <w:vertAlign w:val="superscript"/>
              </w:rPr>
              <w:t>*</w:t>
            </w:r>
          </w:p>
        </w:tc>
        <w:tc>
          <w:tcPr>
            <w:tcW w:w="517" w:type="pct"/>
            <w:tcBorders>
              <w:bottom w:val="single" w:sz="4" w:space="0" w:color="auto"/>
            </w:tcBorders>
          </w:tcPr>
          <w:p w:rsidR="00750705" w:rsidRPr="00FE771B" w:rsidRDefault="00FC42E5"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0.0224</w:t>
            </w:r>
          </w:p>
          <w:p w:rsidR="00FC42E5" w:rsidRPr="00FE771B" w:rsidRDefault="00750705"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(1.112)</w:t>
            </w:r>
          </w:p>
        </w:tc>
        <w:tc>
          <w:tcPr>
            <w:tcW w:w="564" w:type="pct"/>
            <w:tcBorders>
              <w:bottom w:val="single" w:sz="4" w:space="0" w:color="auto"/>
            </w:tcBorders>
          </w:tcPr>
          <w:p w:rsidR="00FC42E5" w:rsidRPr="00FE771B" w:rsidRDefault="00FC42E5" w:rsidP="00F20551">
            <w:pPr>
              <w:autoSpaceDE w:val="0"/>
              <w:autoSpaceDN w:val="0"/>
              <w:adjustRightInd w:val="0"/>
              <w:jc w:val="center"/>
              <w:rPr>
                <w:rFonts w:ascii="Times New Roman" w:hAnsi="Times New Roman" w:cs="Times New Roman"/>
                <w:color w:val="000000" w:themeColor="text1"/>
                <w:kern w:val="0"/>
                <w:sz w:val="18"/>
                <w:szCs w:val="18"/>
              </w:rPr>
            </w:pPr>
          </w:p>
        </w:tc>
        <w:tc>
          <w:tcPr>
            <w:tcW w:w="516" w:type="pct"/>
            <w:tcBorders>
              <w:bottom w:val="single" w:sz="4" w:space="0" w:color="auto"/>
            </w:tcBorders>
          </w:tcPr>
          <w:p w:rsidR="00FC42E5" w:rsidRPr="00FE771B" w:rsidRDefault="00FC42E5" w:rsidP="00F20551">
            <w:pPr>
              <w:autoSpaceDE w:val="0"/>
              <w:autoSpaceDN w:val="0"/>
              <w:adjustRightInd w:val="0"/>
              <w:jc w:val="center"/>
              <w:rPr>
                <w:rFonts w:ascii="Times New Roman" w:hAnsi="Times New Roman" w:cs="Times New Roman"/>
                <w:color w:val="000000" w:themeColor="text1"/>
                <w:kern w:val="0"/>
                <w:sz w:val="18"/>
                <w:szCs w:val="18"/>
              </w:rPr>
            </w:pPr>
          </w:p>
        </w:tc>
        <w:tc>
          <w:tcPr>
            <w:tcW w:w="564" w:type="pct"/>
            <w:tcBorders>
              <w:bottom w:val="single" w:sz="4" w:space="0" w:color="auto"/>
            </w:tcBorders>
          </w:tcPr>
          <w:p w:rsidR="00750705" w:rsidRPr="00FE771B" w:rsidRDefault="00FC42E5"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0.0019</w:t>
            </w:r>
          </w:p>
          <w:p w:rsidR="00FC42E5" w:rsidRPr="00FE771B" w:rsidRDefault="00750705"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(2.109)</w:t>
            </w:r>
            <w:r w:rsidRPr="00FE771B">
              <w:rPr>
                <w:rFonts w:ascii="Times New Roman" w:hAnsi="Times New Roman" w:cs="Times New Roman"/>
                <w:color w:val="000000" w:themeColor="text1"/>
                <w:kern w:val="0"/>
                <w:sz w:val="18"/>
                <w:szCs w:val="18"/>
                <w:vertAlign w:val="superscript"/>
              </w:rPr>
              <w:t>**</w:t>
            </w:r>
          </w:p>
        </w:tc>
        <w:tc>
          <w:tcPr>
            <w:tcW w:w="617" w:type="pct"/>
            <w:tcBorders>
              <w:bottom w:val="single" w:sz="4" w:space="0" w:color="auto"/>
            </w:tcBorders>
          </w:tcPr>
          <w:p w:rsidR="00750705" w:rsidRPr="00FE771B" w:rsidRDefault="00FC42E5"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-0.0060</w:t>
            </w:r>
          </w:p>
          <w:p w:rsidR="00FC42E5" w:rsidRPr="00FE771B" w:rsidRDefault="00750705"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(-0.759)</w:t>
            </w:r>
          </w:p>
        </w:tc>
      </w:tr>
      <w:tr w:rsidR="00750705" w:rsidRPr="00FE771B" w:rsidTr="00750705">
        <w:trPr>
          <w:trHeight w:val="634"/>
        </w:trPr>
        <w:tc>
          <w:tcPr>
            <w:tcW w:w="674" w:type="pct"/>
            <w:tcBorders>
              <w:bottom w:val="single" w:sz="4" w:space="0" w:color="auto"/>
            </w:tcBorders>
          </w:tcPr>
          <w:p w:rsidR="00FC42E5" w:rsidRPr="00FE771B" w:rsidRDefault="00FC42E5" w:rsidP="00180772">
            <w:pPr>
              <w:autoSpaceDE w:val="0"/>
              <w:autoSpaceDN w:val="0"/>
              <w:adjustRightInd w:val="0"/>
              <w:jc w:val="left"/>
              <w:rPr>
                <w:rFonts w:ascii="Times New Roman" w:hAnsi="Times New Roman" w:cs="Times New Roman"/>
                <w:i/>
                <w:color w:val="000000" w:themeColor="text1"/>
                <w:kern w:val="0"/>
                <w:sz w:val="18"/>
                <w:szCs w:val="18"/>
              </w:rPr>
            </w:pPr>
            <w:r w:rsidRPr="00FE771B">
              <w:rPr>
                <w:rFonts w:ascii="Times New Roman" w:hAnsi="Times New Roman" w:cs="Times New Roman"/>
                <w:i/>
                <w:color w:val="000000" w:themeColor="text1"/>
                <w:kern w:val="0"/>
                <w:sz w:val="18"/>
                <w:szCs w:val="18"/>
              </w:rPr>
              <w:t>DA</w:t>
            </w:r>
          </w:p>
        </w:tc>
        <w:tc>
          <w:tcPr>
            <w:tcW w:w="516" w:type="pct"/>
            <w:tcBorders>
              <w:bottom w:val="single" w:sz="4" w:space="0" w:color="auto"/>
            </w:tcBorders>
          </w:tcPr>
          <w:p w:rsidR="00FC42E5" w:rsidRPr="00FE771B" w:rsidRDefault="00FC42E5" w:rsidP="00180772">
            <w:pPr>
              <w:autoSpaceDE w:val="0"/>
              <w:autoSpaceDN w:val="0"/>
              <w:adjustRightInd w:val="0"/>
              <w:jc w:val="center"/>
              <w:rPr>
                <w:rFonts w:ascii="Times New Roman" w:hAnsi="Times New Roman" w:cs="Times New Roman"/>
                <w:color w:val="000000" w:themeColor="text1"/>
                <w:kern w:val="0"/>
                <w:sz w:val="18"/>
                <w:szCs w:val="18"/>
              </w:rPr>
            </w:pPr>
          </w:p>
        </w:tc>
        <w:tc>
          <w:tcPr>
            <w:tcW w:w="516" w:type="pct"/>
            <w:tcBorders>
              <w:bottom w:val="single" w:sz="4" w:space="0" w:color="auto"/>
            </w:tcBorders>
          </w:tcPr>
          <w:p w:rsidR="00750705" w:rsidRPr="00FE771B" w:rsidRDefault="00FC42E5"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0.4414</w:t>
            </w:r>
          </w:p>
          <w:p w:rsidR="00FC42E5" w:rsidRPr="00FE771B" w:rsidRDefault="00750705"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(1.362)</w:t>
            </w:r>
          </w:p>
        </w:tc>
        <w:tc>
          <w:tcPr>
            <w:tcW w:w="516" w:type="pct"/>
            <w:tcBorders>
              <w:bottom w:val="single" w:sz="4" w:space="0" w:color="auto"/>
            </w:tcBorders>
          </w:tcPr>
          <w:p w:rsidR="00FC42E5" w:rsidRPr="00FE771B" w:rsidRDefault="00FC42E5" w:rsidP="00F20551">
            <w:pPr>
              <w:autoSpaceDE w:val="0"/>
              <w:autoSpaceDN w:val="0"/>
              <w:adjustRightInd w:val="0"/>
              <w:jc w:val="center"/>
              <w:rPr>
                <w:rFonts w:ascii="Times New Roman" w:hAnsi="Times New Roman" w:cs="Times New Roman"/>
                <w:color w:val="000000" w:themeColor="text1"/>
                <w:kern w:val="0"/>
                <w:sz w:val="18"/>
                <w:szCs w:val="18"/>
              </w:rPr>
            </w:pPr>
          </w:p>
        </w:tc>
        <w:tc>
          <w:tcPr>
            <w:tcW w:w="517" w:type="pct"/>
            <w:tcBorders>
              <w:bottom w:val="single" w:sz="4" w:space="0" w:color="auto"/>
            </w:tcBorders>
          </w:tcPr>
          <w:p w:rsidR="00750705" w:rsidRPr="00FE771B" w:rsidRDefault="00FC42E5"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0.4500</w:t>
            </w:r>
          </w:p>
          <w:p w:rsidR="00FC42E5" w:rsidRPr="00FE771B" w:rsidRDefault="00750705"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(1.393)</w:t>
            </w:r>
          </w:p>
        </w:tc>
        <w:tc>
          <w:tcPr>
            <w:tcW w:w="564" w:type="pct"/>
            <w:tcBorders>
              <w:bottom w:val="single" w:sz="4" w:space="0" w:color="auto"/>
            </w:tcBorders>
          </w:tcPr>
          <w:p w:rsidR="00FC42E5" w:rsidRPr="00FE771B" w:rsidRDefault="00FC42E5" w:rsidP="00F20551">
            <w:pPr>
              <w:autoSpaceDE w:val="0"/>
              <w:autoSpaceDN w:val="0"/>
              <w:adjustRightInd w:val="0"/>
              <w:jc w:val="center"/>
              <w:rPr>
                <w:rFonts w:ascii="Times New Roman" w:hAnsi="Times New Roman" w:cs="Times New Roman"/>
                <w:color w:val="000000" w:themeColor="text1"/>
                <w:kern w:val="0"/>
                <w:sz w:val="18"/>
                <w:szCs w:val="18"/>
              </w:rPr>
            </w:pPr>
          </w:p>
        </w:tc>
        <w:tc>
          <w:tcPr>
            <w:tcW w:w="516" w:type="pct"/>
            <w:tcBorders>
              <w:bottom w:val="single" w:sz="4" w:space="0" w:color="auto"/>
            </w:tcBorders>
          </w:tcPr>
          <w:p w:rsidR="00750705" w:rsidRPr="00FE771B" w:rsidRDefault="00FC42E5"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0.1897</w:t>
            </w:r>
          </w:p>
          <w:p w:rsidR="00FC42E5" w:rsidRPr="00FE771B" w:rsidRDefault="00750705"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(1.780)</w:t>
            </w:r>
            <w:r w:rsidRPr="00FE771B">
              <w:rPr>
                <w:rFonts w:ascii="Times New Roman" w:hAnsi="Times New Roman" w:cs="Times New Roman"/>
                <w:color w:val="000000" w:themeColor="text1"/>
                <w:kern w:val="0"/>
                <w:sz w:val="18"/>
                <w:szCs w:val="18"/>
                <w:vertAlign w:val="superscript"/>
              </w:rPr>
              <w:t>*</w:t>
            </w:r>
          </w:p>
        </w:tc>
        <w:tc>
          <w:tcPr>
            <w:tcW w:w="564" w:type="pct"/>
            <w:tcBorders>
              <w:bottom w:val="single" w:sz="4" w:space="0" w:color="auto"/>
            </w:tcBorders>
          </w:tcPr>
          <w:p w:rsidR="00FC42E5" w:rsidRPr="00FE771B" w:rsidRDefault="00FC42E5" w:rsidP="00F20551">
            <w:pPr>
              <w:autoSpaceDE w:val="0"/>
              <w:autoSpaceDN w:val="0"/>
              <w:adjustRightInd w:val="0"/>
              <w:jc w:val="center"/>
              <w:rPr>
                <w:rFonts w:ascii="Times New Roman" w:hAnsi="Times New Roman" w:cs="Times New Roman"/>
                <w:color w:val="000000" w:themeColor="text1"/>
                <w:kern w:val="0"/>
                <w:sz w:val="18"/>
                <w:szCs w:val="18"/>
              </w:rPr>
            </w:pPr>
          </w:p>
        </w:tc>
        <w:tc>
          <w:tcPr>
            <w:tcW w:w="617" w:type="pct"/>
            <w:tcBorders>
              <w:bottom w:val="single" w:sz="4" w:space="0" w:color="auto"/>
            </w:tcBorders>
          </w:tcPr>
          <w:p w:rsidR="00750705" w:rsidRPr="00FE771B" w:rsidRDefault="00FC42E5"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0.1880</w:t>
            </w:r>
          </w:p>
          <w:p w:rsidR="00FC42E5" w:rsidRPr="00FE771B" w:rsidRDefault="00750705"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(1.766)</w:t>
            </w:r>
            <w:r w:rsidRPr="00FE771B">
              <w:rPr>
                <w:rFonts w:ascii="Times New Roman" w:hAnsi="Times New Roman" w:cs="Times New Roman"/>
                <w:color w:val="000000" w:themeColor="text1"/>
                <w:kern w:val="0"/>
                <w:sz w:val="18"/>
                <w:szCs w:val="18"/>
                <w:vertAlign w:val="superscript"/>
              </w:rPr>
              <w:t>*</w:t>
            </w:r>
          </w:p>
        </w:tc>
      </w:tr>
      <w:tr w:rsidR="00750705" w:rsidRPr="00FE771B" w:rsidTr="00750705">
        <w:tc>
          <w:tcPr>
            <w:tcW w:w="674" w:type="pct"/>
          </w:tcPr>
          <w:p w:rsidR="001D2964" w:rsidRPr="00FE771B" w:rsidRDefault="001D2964" w:rsidP="00180772">
            <w:pPr>
              <w:autoSpaceDE w:val="0"/>
              <w:autoSpaceDN w:val="0"/>
              <w:adjustRightInd w:val="0"/>
              <w:jc w:val="left"/>
              <w:rPr>
                <w:rFonts w:ascii="Times New Roman" w:hAnsi="Times New Roman" w:cs="Times New Roman"/>
                <w:i/>
                <w:color w:val="000000" w:themeColor="text1"/>
                <w:kern w:val="0"/>
                <w:sz w:val="18"/>
                <w:szCs w:val="18"/>
              </w:rPr>
            </w:pPr>
            <w:r w:rsidRPr="00FE771B">
              <w:rPr>
                <w:rFonts w:ascii="Times New Roman" w:hAnsi="Times New Roman" w:cs="Times New Roman"/>
                <w:i/>
                <w:color w:val="000000" w:themeColor="text1"/>
                <w:kern w:val="0"/>
                <w:sz w:val="18"/>
                <w:szCs w:val="18"/>
              </w:rPr>
              <w:lastRenderedPageBreak/>
              <w:t>Controls</w:t>
            </w:r>
          </w:p>
        </w:tc>
        <w:tc>
          <w:tcPr>
            <w:tcW w:w="516" w:type="pct"/>
          </w:tcPr>
          <w:p w:rsidR="001D2964" w:rsidRPr="00FE771B" w:rsidRDefault="001D2964"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控制</w:t>
            </w:r>
          </w:p>
        </w:tc>
        <w:tc>
          <w:tcPr>
            <w:tcW w:w="516" w:type="pct"/>
          </w:tcPr>
          <w:p w:rsidR="001D2964" w:rsidRPr="00FE771B" w:rsidRDefault="001D2964" w:rsidP="001D2964">
            <w:pPr>
              <w:jc w:val="center"/>
              <w:rPr>
                <w:rFonts w:ascii="Times New Roman" w:hAnsi="Times New Roman" w:cs="Times New Roman"/>
                <w:color w:val="000000" w:themeColor="text1"/>
              </w:rPr>
            </w:pPr>
            <w:r w:rsidRPr="00FE771B">
              <w:rPr>
                <w:rFonts w:ascii="Times New Roman" w:hAnsi="Times New Roman" w:cs="Times New Roman"/>
                <w:color w:val="000000" w:themeColor="text1"/>
                <w:kern w:val="0"/>
                <w:sz w:val="18"/>
                <w:szCs w:val="18"/>
              </w:rPr>
              <w:t>控制</w:t>
            </w:r>
          </w:p>
        </w:tc>
        <w:tc>
          <w:tcPr>
            <w:tcW w:w="516" w:type="pct"/>
          </w:tcPr>
          <w:p w:rsidR="001D2964" w:rsidRPr="00FE771B" w:rsidRDefault="001D2964" w:rsidP="001D2964">
            <w:pPr>
              <w:jc w:val="center"/>
              <w:rPr>
                <w:rFonts w:ascii="Times New Roman" w:hAnsi="Times New Roman" w:cs="Times New Roman"/>
                <w:color w:val="000000" w:themeColor="text1"/>
              </w:rPr>
            </w:pPr>
            <w:r w:rsidRPr="00FE771B">
              <w:rPr>
                <w:rFonts w:ascii="Times New Roman" w:hAnsi="Times New Roman" w:cs="Times New Roman"/>
                <w:color w:val="000000" w:themeColor="text1"/>
                <w:kern w:val="0"/>
                <w:sz w:val="18"/>
                <w:szCs w:val="18"/>
              </w:rPr>
              <w:t>控制</w:t>
            </w:r>
          </w:p>
        </w:tc>
        <w:tc>
          <w:tcPr>
            <w:tcW w:w="517" w:type="pct"/>
          </w:tcPr>
          <w:p w:rsidR="001D2964" w:rsidRPr="00FE771B" w:rsidRDefault="001D2964" w:rsidP="001D2964">
            <w:pPr>
              <w:jc w:val="center"/>
              <w:rPr>
                <w:rFonts w:ascii="Times New Roman" w:hAnsi="Times New Roman" w:cs="Times New Roman"/>
                <w:color w:val="000000" w:themeColor="text1"/>
              </w:rPr>
            </w:pPr>
            <w:r w:rsidRPr="00FE771B">
              <w:rPr>
                <w:rFonts w:ascii="Times New Roman" w:hAnsi="Times New Roman" w:cs="Times New Roman"/>
                <w:color w:val="000000" w:themeColor="text1"/>
                <w:kern w:val="0"/>
                <w:sz w:val="18"/>
                <w:szCs w:val="18"/>
              </w:rPr>
              <w:t>控制</w:t>
            </w:r>
          </w:p>
        </w:tc>
        <w:tc>
          <w:tcPr>
            <w:tcW w:w="564" w:type="pct"/>
          </w:tcPr>
          <w:p w:rsidR="001D2964" w:rsidRPr="00FE771B" w:rsidRDefault="001D2964" w:rsidP="001D2964">
            <w:pPr>
              <w:jc w:val="center"/>
              <w:rPr>
                <w:rFonts w:ascii="Times New Roman" w:hAnsi="Times New Roman" w:cs="Times New Roman"/>
                <w:color w:val="000000" w:themeColor="text1"/>
              </w:rPr>
            </w:pPr>
            <w:r w:rsidRPr="00FE771B">
              <w:rPr>
                <w:rFonts w:ascii="Times New Roman" w:hAnsi="Times New Roman" w:cs="Times New Roman"/>
                <w:color w:val="000000" w:themeColor="text1"/>
                <w:kern w:val="0"/>
                <w:sz w:val="18"/>
                <w:szCs w:val="18"/>
              </w:rPr>
              <w:t>控制</w:t>
            </w:r>
          </w:p>
        </w:tc>
        <w:tc>
          <w:tcPr>
            <w:tcW w:w="516" w:type="pct"/>
          </w:tcPr>
          <w:p w:rsidR="001D2964" w:rsidRPr="00FE771B" w:rsidRDefault="001D2964" w:rsidP="001D2964">
            <w:pPr>
              <w:jc w:val="center"/>
              <w:rPr>
                <w:rFonts w:ascii="Times New Roman" w:hAnsi="Times New Roman" w:cs="Times New Roman"/>
                <w:color w:val="000000" w:themeColor="text1"/>
              </w:rPr>
            </w:pPr>
            <w:r w:rsidRPr="00FE771B">
              <w:rPr>
                <w:rFonts w:ascii="Times New Roman" w:hAnsi="Times New Roman" w:cs="Times New Roman"/>
                <w:color w:val="000000" w:themeColor="text1"/>
                <w:kern w:val="0"/>
                <w:sz w:val="18"/>
                <w:szCs w:val="18"/>
              </w:rPr>
              <w:t>控制</w:t>
            </w:r>
          </w:p>
        </w:tc>
        <w:tc>
          <w:tcPr>
            <w:tcW w:w="564" w:type="pct"/>
          </w:tcPr>
          <w:p w:rsidR="001D2964" w:rsidRPr="00FE771B" w:rsidRDefault="001D2964" w:rsidP="001D2964">
            <w:pPr>
              <w:jc w:val="center"/>
              <w:rPr>
                <w:rFonts w:ascii="Times New Roman" w:hAnsi="Times New Roman" w:cs="Times New Roman"/>
                <w:color w:val="000000" w:themeColor="text1"/>
              </w:rPr>
            </w:pPr>
            <w:r w:rsidRPr="00FE771B">
              <w:rPr>
                <w:rFonts w:ascii="Times New Roman" w:hAnsi="Times New Roman" w:cs="Times New Roman"/>
                <w:color w:val="000000" w:themeColor="text1"/>
                <w:kern w:val="0"/>
                <w:sz w:val="18"/>
                <w:szCs w:val="18"/>
              </w:rPr>
              <w:t>控制</w:t>
            </w:r>
          </w:p>
        </w:tc>
        <w:tc>
          <w:tcPr>
            <w:tcW w:w="617" w:type="pct"/>
          </w:tcPr>
          <w:p w:rsidR="001D2964" w:rsidRPr="00FE771B" w:rsidRDefault="001D2964" w:rsidP="001D2964">
            <w:pPr>
              <w:jc w:val="center"/>
              <w:rPr>
                <w:rFonts w:ascii="Times New Roman" w:hAnsi="Times New Roman" w:cs="Times New Roman"/>
                <w:color w:val="000000" w:themeColor="text1"/>
              </w:rPr>
            </w:pPr>
            <w:r w:rsidRPr="00FE771B">
              <w:rPr>
                <w:rFonts w:ascii="Times New Roman" w:hAnsi="Times New Roman" w:cs="Times New Roman"/>
                <w:color w:val="000000" w:themeColor="text1"/>
                <w:kern w:val="0"/>
                <w:sz w:val="18"/>
                <w:szCs w:val="18"/>
              </w:rPr>
              <w:t>控制</w:t>
            </w:r>
          </w:p>
        </w:tc>
      </w:tr>
      <w:tr w:rsidR="00750705" w:rsidRPr="00FE771B" w:rsidTr="00750705">
        <w:trPr>
          <w:trHeight w:val="634"/>
        </w:trPr>
        <w:tc>
          <w:tcPr>
            <w:tcW w:w="674" w:type="pct"/>
            <w:tcBorders>
              <w:bottom w:val="single" w:sz="4" w:space="0" w:color="auto"/>
            </w:tcBorders>
          </w:tcPr>
          <w:p w:rsidR="00521A7D" w:rsidRPr="00FE771B" w:rsidRDefault="00521A7D" w:rsidP="00180772">
            <w:pPr>
              <w:autoSpaceDE w:val="0"/>
              <w:autoSpaceDN w:val="0"/>
              <w:adjustRightInd w:val="0"/>
              <w:jc w:val="left"/>
              <w:rPr>
                <w:rFonts w:ascii="Times New Roman" w:hAnsi="Times New Roman" w:cs="Times New Roman"/>
                <w:i/>
                <w:color w:val="000000" w:themeColor="text1"/>
                <w:kern w:val="0"/>
                <w:sz w:val="18"/>
                <w:szCs w:val="18"/>
              </w:rPr>
            </w:pPr>
            <w:r w:rsidRPr="00FE771B">
              <w:rPr>
                <w:rFonts w:ascii="Times New Roman" w:hAnsi="Times New Roman" w:cs="Times New Roman"/>
                <w:i/>
                <w:color w:val="000000" w:themeColor="text1"/>
                <w:kern w:val="0"/>
                <w:sz w:val="18"/>
                <w:szCs w:val="18"/>
              </w:rPr>
              <w:t>_cons</w:t>
            </w:r>
          </w:p>
        </w:tc>
        <w:tc>
          <w:tcPr>
            <w:tcW w:w="516" w:type="pct"/>
            <w:tcBorders>
              <w:bottom w:val="single" w:sz="4" w:space="0" w:color="auto"/>
            </w:tcBorders>
          </w:tcPr>
          <w:p w:rsidR="00750705" w:rsidRPr="00FE771B" w:rsidRDefault="00521A7D"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0.1372</w:t>
            </w:r>
          </w:p>
          <w:p w:rsidR="00521A7D" w:rsidRPr="00FE771B" w:rsidRDefault="00750705"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(1.879)</w:t>
            </w:r>
            <w:r w:rsidRPr="00FE771B">
              <w:rPr>
                <w:rFonts w:ascii="Times New Roman" w:hAnsi="Times New Roman" w:cs="Times New Roman"/>
                <w:color w:val="000000" w:themeColor="text1"/>
                <w:kern w:val="0"/>
                <w:sz w:val="18"/>
                <w:szCs w:val="18"/>
                <w:vertAlign w:val="superscript"/>
              </w:rPr>
              <w:t>*</w:t>
            </w:r>
          </w:p>
        </w:tc>
        <w:tc>
          <w:tcPr>
            <w:tcW w:w="516" w:type="pct"/>
            <w:tcBorders>
              <w:bottom w:val="single" w:sz="4" w:space="0" w:color="auto"/>
            </w:tcBorders>
          </w:tcPr>
          <w:p w:rsidR="00750705" w:rsidRPr="00FE771B" w:rsidRDefault="00521A7D"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-0.1886</w:t>
            </w:r>
          </w:p>
          <w:p w:rsidR="00521A7D" w:rsidRPr="00FE771B" w:rsidRDefault="00750705"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(-0.283)</w:t>
            </w:r>
          </w:p>
        </w:tc>
        <w:tc>
          <w:tcPr>
            <w:tcW w:w="516" w:type="pct"/>
            <w:tcBorders>
              <w:bottom w:val="single" w:sz="4" w:space="0" w:color="auto"/>
            </w:tcBorders>
          </w:tcPr>
          <w:p w:rsidR="00750705" w:rsidRPr="00FE771B" w:rsidRDefault="00521A7D"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0.1238</w:t>
            </w:r>
          </w:p>
          <w:p w:rsidR="00521A7D" w:rsidRPr="00FE771B" w:rsidRDefault="00750705"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(1.695)</w:t>
            </w:r>
            <w:r w:rsidRPr="00FE771B">
              <w:rPr>
                <w:rFonts w:ascii="Times New Roman" w:hAnsi="Times New Roman" w:cs="Times New Roman"/>
                <w:color w:val="000000" w:themeColor="text1"/>
                <w:kern w:val="0"/>
                <w:sz w:val="18"/>
                <w:szCs w:val="18"/>
                <w:vertAlign w:val="superscript"/>
              </w:rPr>
              <w:t>*</w:t>
            </w:r>
          </w:p>
        </w:tc>
        <w:tc>
          <w:tcPr>
            <w:tcW w:w="517" w:type="pct"/>
            <w:tcBorders>
              <w:bottom w:val="single" w:sz="4" w:space="0" w:color="auto"/>
            </w:tcBorders>
          </w:tcPr>
          <w:p w:rsidR="00750705" w:rsidRPr="00FE771B" w:rsidRDefault="00521A7D"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-0.1851</w:t>
            </w:r>
          </w:p>
          <w:p w:rsidR="00521A7D" w:rsidRPr="00FE771B" w:rsidRDefault="00750705"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(-0.279)</w:t>
            </w:r>
          </w:p>
        </w:tc>
        <w:tc>
          <w:tcPr>
            <w:tcW w:w="564" w:type="pct"/>
            <w:tcBorders>
              <w:bottom w:val="single" w:sz="4" w:space="0" w:color="auto"/>
            </w:tcBorders>
          </w:tcPr>
          <w:p w:rsidR="00750705" w:rsidRPr="00FE771B" w:rsidRDefault="00521A7D"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0.1712</w:t>
            </w:r>
          </w:p>
          <w:p w:rsidR="00521A7D" w:rsidRPr="00FE771B" w:rsidRDefault="00750705"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(6.346)</w:t>
            </w:r>
            <w:r w:rsidRPr="00FE771B">
              <w:rPr>
                <w:rFonts w:ascii="Times New Roman" w:hAnsi="Times New Roman" w:cs="Times New Roman"/>
                <w:color w:val="000000" w:themeColor="text1"/>
                <w:kern w:val="0"/>
                <w:sz w:val="18"/>
                <w:szCs w:val="18"/>
                <w:vertAlign w:val="superscript"/>
              </w:rPr>
              <w:t>***</w:t>
            </w:r>
          </w:p>
        </w:tc>
        <w:tc>
          <w:tcPr>
            <w:tcW w:w="516" w:type="pct"/>
            <w:tcBorders>
              <w:bottom w:val="single" w:sz="4" w:space="0" w:color="auto"/>
            </w:tcBorders>
          </w:tcPr>
          <w:p w:rsidR="00750705" w:rsidRPr="00FE771B" w:rsidRDefault="00521A7D"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0.4856</w:t>
            </w:r>
          </w:p>
          <w:p w:rsidR="00521A7D" w:rsidRPr="00FE771B" w:rsidRDefault="00750705"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(1.643)</w:t>
            </w:r>
          </w:p>
        </w:tc>
        <w:tc>
          <w:tcPr>
            <w:tcW w:w="564" w:type="pct"/>
            <w:tcBorders>
              <w:bottom w:val="single" w:sz="4" w:space="0" w:color="auto"/>
            </w:tcBorders>
          </w:tcPr>
          <w:p w:rsidR="00750705" w:rsidRPr="00FE771B" w:rsidRDefault="00521A7D"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0.1722</w:t>
            </w:r>
          </w:p>
          <w:p w:rsidR="00521A7D" w:rsidRPr="00FE771B" w:rsidRDefault="00750705"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(7.182)</w:t>
            </w:r>
            <w:r w:rsidRPr="00FE771B">
              <w:rPr>
                <w:rFonts w:ascii="Times New Roman" w:hAnsi="Times New Roman" w:cs="Times New Roman"/>
                <w:color w:val="000000" w:themeColor="text1"/>
                <w:kern w:val="0"/>
                <w:sz w:val="18"/>
                <w:szCs w:val="18"/>
                <w:vertAlign w:val="superscript"/>
              </w:rPr>
              <w:t>***</w:t>
            </w:r>
          </w:p>
        </w:tc>
        <w:tc>
          <w:tcPr>
            <w:tcW w:w="617" w:type="pct"/>
            <w:tcBorders>
              <w:bottom w:val="single" w:sz="4" w:space="0" w:color="auto"/>
            </w:tcBorders>
          </w:tcPr>
          <w:p w:rsidR="00750705" w:rsidRPr="00FE771B" w:rsidRDefault="00521A7D"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0.4819</w:t>
            </w:r>
          </w:p>
          <w:p w:rsidR="00521A7D" w:rsidRPr="00FE771B" w:rsidRDefault="00750705"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(1.631)</w:t>
            </w:r>
          </w:p>
        </w:tc>
      </w:tr>
      <w:tr w:rsidR="00750705" w:rsidRPr="00FE771B" w:rsidTr="00750705">
        <w:tc>
          <w:tcPr>
            <w:tcW w:w="674" w:type="pct"/>
          </w:tcPr>
          <w:p w:rsidR="007C6CEB" w:rsidRPr="00FE771B" w:rsidRDefault="007C6CEB" w:rsidP="004D2FF1">
            <w:pPr>
              <w:autoSpaceDE w:val="0"/>
              <w:autoSpaceDN w:val="0"/>
              <w:adjustRightInd w:val="0"/>
              <w:jc w:val="left"/>
              <w:rPr>
                <w:rFonts w:ascii="Times New Roman" w:hAnsi="Times New Roman" w:cs="Times New Roman"/>
                <w:i/>
                <w:color w:val="000000" w:themeColor="text1"/>
                <w:kern w:val="0"/>
                <w:sz w:val="18"/>
                <w:szCs w:val="18"/>
              </w:rPr>
            </w:pPr>
            <w:r w:rsidRPr="00FE771B">
              <w:rPr>
                <w:rFonts w:ascii="Times New Roman" w:hAnsi="Times New Roman" w:cs="Times New Roman"/>
                <w:i/>
                <w:color w:val="000000" w:themeColor="text1"/>
                <w:kern w:val="0"/>
                <w:sz w:val="18"/>
                <w:szCs w:val="18"/>
              </w:rPr>
              <w:t>Year</w:t>
            </w:r>
          </w:p>
        </w:tc>
        <w:tc>
          <w:tcPr>
            <w:tcW w:w="516" w:type="pct"/>
          </w:tcPr>
          <w:p w:rsidR="007C6CEB" w:rsidRPr="00FE771B" w:rsidRDefault="007C6CEB" w:rsidP="004D2FF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Yes</w:t>
            </w:r>
          </w:p>
        </w:tc>
        <w:tc>
          <w:tcPr>
            <w:tcW w:w="516" w:type="pct"/>
          </w:tcPr>
          <w:p w:rsidR="007C6CEB" w:rsidRPr="00FE771B" w:rsidRDefault="007C6CEB" w:rsidP="004D2FF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Yes</w:t>
            </w:r>
          </w:p>
        </w:tc>
        <w:tc>
          <w:tcPr>
            <w:tcW w:w="516" w:type="pct"/>
          </w:tcPr>
          <w:p w:rsidR="007C6CEB" w:rsidRPr="00FE771B" w:rsidRDefault="007C6CEB" w:rsidP="004D2FF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Yes</w:t>
            </w:r>
          </w:p>
        </w:tc>
        <w:tc>
          <w:tcPr>
            <w:tcW w:w="517" w:type="pct"/>
          </w:tcPr>
          <w:p w:rsidR="007C6CEB" w:rsidRPr="00FE771B" w:rsidRDefault="007C6CEB" w:rsidP="004D2FF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Yes</w:t>
            </w:r>
          </w:p>
        </w:tc>
        <w:tc>
          <w:tcPr>
            <w:tcW w:w="564" w:type="pct"/>
          </w:tcPr>
          <w:p w:rsidR="007C6CEB" w:rsidRPr="00FE771B" w:rsidRDefault="007C6CEB" w:rsidP="004D2FF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Yes</w:t>
            </w:r>
          </w:p>
        </w:tc>
        <w:tc>
          <w:tcPr>
            <w:tcW w:w="516" w:type="pct"/>
          </w:tcPr>
          <w:p w:rsidR="007C6CEB" w:rsidRPr="00FE771B" w:rsidRDefault="007C6CEB" w:rsidP="004D2FF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Yes</w:t>
            </w:r>
          </w:p>
        </w:tc>
        <w:tc>
          <w:tcPr>
            <w:tcW w:w="564" w:type="pct"/>
          </w:tcPr>
          <w:p w:rsidR="007C6CEB" w:rsidRPr="00FE771B" w:rsidRDefault="007C6CEB" w:rsidP="004D2FF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Yes</w:t>
            </w:r>
          </w:p>
        </w:tc>
        <w:tc>
          <w:tcPr>
            <w:tcW w:w="617" w:type="pct"/>
          </w:tcPr>
          <w:p w:rsidR="007C6CEB" w:rsidRPr="00FE771B" w:rsidRDefault="007C6CEB" w:rsidP="004D2FF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Yes</w:t>
            </w:r>
          </w:p>
        </w:tc>
      </w:tr>
      <w:tr w:rsidR="00750705" w:rsidRPr="00FE771B" w:rsidTr="00750705">
        <w:tc>
          <w:tcPr>
            <w:tcW w:w="674" w:type="pct"/>
          </w:tcPr>
          <w:p w:rsidR="007C6CEB" w:rsidRPr="00FE771B" w:rsidRDefault="007C6CEB" w:rsidP="004D2FF1">
            <w:pPr>
              <w:autoSpaceDE w:val="0"/>
              <w:autoSpaceDN w:val="0"/>
              <w:adjustRightInd w:val="0"/>
              <w:jc w:val="left"/>
              <w:rPr>
                <w:rFonts w:ascii="Times New Roman" w:hAnsi="Times New Roman" w:cs="Times New Roman"/>
                <w:i/>
                <w:color w:val="000000" w:themeColor="text1"/>
                <w:kern w:val="0"/>
                <w:sz w:val="18"/>
                <w:szCs w:val="18"/>
              </w:rPr>
            </w:pPr>
            <w:r w:rsidRPr="00FE771B">
              <w:rPr>
                <w:rFonts w:ascii="Times New Roman" w:hAnsi="Times New Roman" w:cs="Times New Roman"/>
                <w:i/>
                <w:color w:val="000000" w:themeColor="text1"/>
                <w:kern w:val="0"/>
                <w:sz w:val="18"/>
                <w:szCs w:val="18"/>
              </w:rPr>
              <w:t>Industry</w:t>
            </w:r>
          </w:p>
        </w:tc>
        <w:tc>
          <w:tcPr>
            <w:tcW w:w="516" w:type="pct"/>
          </w:tcPr>
          <w:p w:rsidR="007C6CEB" w:rsidRPr="00FE771B" w:rsidRDefault="007C6CEB" w:rsidP="004D2FF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Yes</w:t>
            </w:r>
          </w:p>
        </w:tc>
        <w:tc>
          <w:tcPr>
            <w:tcW w:w="516" w:type="pct"/>
          </w:tcPr>
          <w:p w:rsidR="007C6CEB" w:rsidRPr="00FE771B" w:rsidRDefault="007C6CEB" w:rsidP="004D2FF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Yes</w:t>
            </w:r>
          </w:p>
        </w:tc>
        <w:tc>
          <w:tcPr>
            <w:tcW w:w="516" w:type="pct"/>
          </w:tcPr>
          <w:p w:rsidR="007C6CEB" w:rsidRPr="00FE771B" w:rsidRDefault="007C6CEB" w:rsidP="004D2FF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Yes</w:t>
            </w:r>
          </w:p>
        </w:tc>
        <w:tc>
          <w:tcPr>
            <w:tcW w:w="517" w:type="pct"/>
          </w:tcPr>
          <w:p w:rsidR="007C6CEB" w:rsidRPr="00FE771B" w:rsidRDefault="007C6CEB" w:rsidP="004D2FF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Yes</w:t>
            </w:r>
          </w:p>
        </w:tc>
        <w:tc>
          <w:tcPr>
            <w:tcW w:w="564" w:type="pct"/>
          </w:tcPr>
          <w:p w:rsidR="007C6CEB" w:rsidRPr="00FE771B" w:rsidRDefault="007C6CEB" w:rsidP="004D2FF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Yes</w:t>
            </w:r>
          </w:p>
        </w:tc>
        <w:tc>
          <w:tcPr>
            <w:tcW w:w="516" w:type="pct"/>
          </w:tcPr>
          <w:p w:rsidR="007C6CEB" w:rsidRPr="00FE771B" w:rsidRDefault="007C6CEB" w:rsidP="004D2FF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Yes</w:t>
            </w:r>
          </w:p>
        </w:tc>
        <w:tc>
          <w:tcPr>
            <w:tcW w:w="564" w:type="pct"/>
          </w:tcPr>
          <w:p w:rsidR="007C6CEB" w:rsidRPr="00FE771B" w:rsidRDefault="007C6CEB" w:rsidP="004D2FF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Yes</w:t>
            </w:r>
          </w:p>
        </w:tc>
        <w:tc>
          <w:tcPr>
            <w:tcW w:w="617" w:type="pct"/>
          </w:tcPr>
          <w:p w:rsidR="007C6CEB" w:rsidRPr="00FE771B" w:rsidRDefault="007C6CEB" w:rsidP="004D2FF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Yes</w:t>
            </w:r>
          </w:p>
        </w:tc>
      </w:tr>
      <w:tr w:rsidR="00750705" w:rsidRPr="00FE771B" w:rsidTr="00750705">
        <w:tc>
          <w:tcPr>
            <w:tcW w:w="674" w:type="pct"/>
          </w:tcPr>
          <w:p w:rsidR="00521A7D" w:rsidRPr="00FE771B" w:rsidRDefault="00521A7D" w:rsidP="000D1E77">
            <w:pPr>
              <w:autoSpaceDE w:val="0"/>
              <w:autoSpaceDN w:val="0"/>
              <w:adjustRightInd w:val="0"/>
              <w:jc w:val="left"/>
              <w:rPr>
                <w:rFonts w:ascii="Times New Roman" w:hAnsi="Times New Roman" w:cs="Times New Roman"/>
                <w:color w:val="000000" w:themeColor="text1"/>
                <w:kern w:val="0"/>
                <w:sz w:val="18"/>
                <w:szCs w:val="18"/>
              </w:rPr>
            </w:pPr>
            <w:r w:rsidRPr="00FE771B">
              <w:rPr>
                <w:rFonts w:ascii="Times New Roman" w:hAnsi="Times New Roman" w:cs="Times New Roman"/>
                <w:iCs/>
                <w:color w:val="000000" w:themeColor="text1"/>
                <w:kern w:val="0"/>
                <w:sz w:val="18"/>
                <w:szCs w:val="18"/>
              </w:rPr>
              <w:t>N</w:t>
            </w:r>
          </w:p>
        </w:tc>
        <w:tc>
          <w:tcPr>
            <w:tcW w:w="516" w:type="pct"/>
          </w:tcPr>
          <w:p w:rsidR="00521A7D" w:rsidRPr="00FE771B" w:rsidRDefault="00521A7D"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1837</w:t>
            </w:r>
          </w:p>
        </w:tc>
        <w:tc>
          <w:tcPr>
            <w:tcW w:w="516" w:type="pct"/>
          </w:tcPr>
          <w:p w:rsidR="00521A7D" w:rsidRPr="00FE771B" w:rsidRDefault="00521A7D"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1837</w:t>
            </w:r>
          </w:p>
        </w:tc>
        <w:tc>
          <w:tcPr>
            <w:tcW w:w="516" w:type="pct"/>
          </w:tcPr>
          <w:p w:rsidR="00521A7D" w:rsidRPr="00FE771B" w:rsidRDefault="00521A7D"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1837</w:t>
            </w:r>
          </w:p>
        </w:tc>
        <w:tc>
          <w:tcPr>
            <w:tcW w:w="517" w:type="pct"/>
          </w:tcPr>
          <w:p w:rsidR="00521A7D" w:rsidRPr="00FE771B" w:rsidRDefault="00521A7D"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1837</w:t>
            </w:r>
          </w:p>
        </w:tc>
        <w:tc>
          <w:tcPr>
            <w:tcW w:w="564" w:type="pct"/>
          </w:tcPr>
          <w:p w:rsidR="00521A7D" w:rsidRPr="00FE771B" w:rsidRDefault="00521A7D"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7984</w:t>
            </w:r>
          </w:p>
        </w:tc>
        <w:tc>
          <w:tcPr>
            <w:tcW w:w="516" w:type="pct"/>
          </w:tcPr>
          <w:p w:rsidR="00521A7D" w:rsidRPr="00FE771B" w:rsidRDefault="00521A7D"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7984</w:t>
            </w:r>
          </w:p>
        </w:tc>
        <w:tc>
          <w:tcPr>
            <w:tcW w:w="564" w:type="pct"/>
          </w:tcPr>
          <w:p w:rsidR="00521A7D" w:rsidRPr="00FE771B" w:rsidRDefault="00521A7D"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7984</w:t>
            </w:r>
          </w:p>
        </w:tc>
        <w:tc>
          <w:tcPr>
            <w:tcW w:w="617" w:type="pct"/>
          </w:tcPr>
          <w:p w:rsidR="00521A7D" w:rsidRPr="00FE771B" w:rsidRDefault="00521A7D"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7984</w:t>
            </w:r>
          </w:p>
        </w:tc>
      </w:tr>
      <w:tr w:rsidR="00750705" w:rsidRPr="00FE771B" w:rsidTr="00750705">
        <w:tc>
          <w:tcPr>
            <w:tcW w:w="674" w:type="pct"/>
          </w:tcPr>
          <w:p w:rsidR="00521A7D" w:rsidRPr="00FE771B" w:rsidRDefault="00521A7D" w:rsidP="000D1E77">
            <w:pPr>
              <w:autoSpaceDE w:val="0"/>
              <w:autoSpaceDN w:val="0"/>
              <w:adjustRightInd w:val="0"/>
              <w:jc w:val="left"/>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F</w:t>
            </w:r>
            <w:r w:rsidR="003E0F78" w:rsidRPr="00FE771B">
              <w:rPr>
                <w:rFonts w:ascii="Times New Roman" w:hAnsi="Times New Roman" w:cs="Times New Roman"/>
                <w:color w:val="000000" w:themeColor="text1"/>
              </w:rPr>
              <w:t xml:space="preserve"> </w:t>
            </w:r>
            <w:r w:rsidR="003E0F78" w:rsidRPr="00FE771B">
              <w:rPr>
                <w:rFonts w:ascii="Times New Roman" w:hAnsi="Times New Roman" w:cs="Times New Roman"/>
                <w:color w:val="000000" w:themeColor="text1"/>
                <w:kern w:val="0"/>
                <w:sz w:val="18"/>
                <w:szCs w:val="18"/>
              </w:rPr>
              <w:t>test</w:t>
            </w:r>
          </w:p>
        </w:tc>
        <w:tc>
          <w:tcPr>
            <w:tcW w:w="516" w:type="pct"/>
          </w:tcPr>
          <w:p w:rsidR="00521A7D" w:rsidRPr="00FE771B" w:rsidRDefault="00521A7D"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3.7616</w:t>
            </w:r>
          </w:p>
        </w:tc>
        <w:tc>
          <w:tcPr>
            <w:tcW w:w="516" w:type="pct"/>
          </w:tcPr>
          <w:p w:rsidR="00521A7D" w:rsidRPr="00FE771B" w:rsidRDefault="00521A7D"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3.9076</w:t>
            </w:r>
          </w:p>
        </w:tc>
        <w:tc>
          <w:tcPr>
            <w:tcW w:w="516" w:type="pct"/>
          </w:tcPr>
          <w:p w:rsidR="00521A7D" w:rsidRPr="00FE771B" w:rsidRDefault="00521A7D"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3.9408</w:t>
            </w:r>
          </w:p>
        </w:tc>
        <w:tc>
          <w:tcPr>
            <w:tcW w:w="517" w:type="pct"/>
          </w:tcPr>
          <w:p w:rsidR="00521A7D" w:rsidRPr="00FE771B" w:rsidRDefault="00521A7D"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3.8657</w:t>
            </w:r>
          </w:p>
        </w:tc>
        <w:tc>
          <w:tcPr>
            <w:tcW w:w="564" w:type="pct"/>
          </w:tcPr>
          <w:p w:rsidR="00521A7D" w:rsidRPr="00FE771B" w:rsidRDefault="00521A7D"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38.5993</w:t>
            </w:r>
          </w:p>
        </w:tc>
        <w:tc>
          <w:tcPr>
            <w:tcW w:w="516" w:type="pct"/>
          </w:tcPr>
          <w:p w:rsidR="00521A7D" w:rsidRPr="00FE771B" w:rsidRDefault="00521A7D"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12.5177</w:t>
            </w:r>
          </w:p>
        </w:tc>
        <w:tc>
          <w:tcPr>
            <w:tcW w:w="564" w:type="pct"/>
          </w:tcPr>
          <w:p w:rsidR="00521A7D" w:rsidRPr="00FE771B" w:rsidRDefault="00521A7D"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37.1978</w:t>
            </w:r>
          </w:p>
        </w:tc>
        <w:tc>
          <w:tcPr>
            <w:tcW w:w="617" w:type="pct"/>
          </w:tcPr>
          <w:p w:rsidR="00521A7D" w:rsidRPr="00FE771B" w:rsidRDefault="00521A7D"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12.5171</w:t>
            </w:r>
          </w:p>
        </w:tc>
      </w:tr>
      <w:tr w:rsidR="00750705" w:rsidRPr="00FE771B" w:rsidTr="00750705">
        <w:tc>
          <w:tcPr>
            <w:tcW w:w="674" w:type="pct"/>
          </w:tcPr>
          <w:p w:rsidR="00521A7D" w:rsidRPr="00FE771B" w:rsidRDefault="00521A7D" w:rsidP="000D1E77">
            <w:pPr>
              <w:autoSpaceDE w:val="0"/>
              <w:autoSpaceDN w:val="0"/>
              <w:adjustRightInd w:val="0"/>
              <w:jc w:val="left"/>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Adj-R</w:t>
            </w:r>
            <w:r w:rsidRPr="00FE771B">
              <w:rPr>
                <w:rFonts w:ascii="Times New Roman" w:hAnsi="Times New Roman" w:cs="Times New Roman"/>
                <w:color w:val="000000" w:themeColor="text1"/>
                <w:kern w:val="0"/>
                <w:sz w:val="18"/>
                <w:szCs w:val="18"/>
                <w:vertAlign w:val="superscript"/>
              </w:rPr>
              <w:t>2</w:t>
            </w:r>
          </w:p>
        </w:tc>
        <w:tc>
          <w:tcPr>
            <w:tcW w:w="516" w:type="pct"/>
          </w:tcPr>
          <w:p w:rsidR="00521A7D" w:rsidRPr="00FE771B" w:rsidRDefault="00521A7D"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0.1070</w:t>
            </w:r>
          </w:p>
        </w:tc>
        <w:tc>
          <w:tcPr>
            <w:tcW w:w="516" w:type="pct"/>
          </w:tcPr>
          <w:p w:rsidR="00521A7D" w:rsidRPr="00FE771B" w:rsidRDefault="00521A7D"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0.1506</w:t>
            </w:r>
          </w:p>
        </w:tc>
        <w:tc>
          <w:tcPr>
            <w:tcW w:w="516" w:type="pct"/>
          </w:tcPr>
          <w:p w:rsidR="00521A7D" w:rsidRPr="00FE771B" w:rsidRDefault="00521A7D"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0.1088</w:t>
            </w:r>
          </w:p>
        </w:tc>
        <w:tc>
          <w:tcPr>
            <w:tcW w:w="517" w:type="pct"/>
          </w:tcPr>
          <w:p w:rsidR="00521A7D" w:rsidRPr="00FE771B" w:rsidRDefault="00521A7D"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0.1507</w:t>
            </w:r>
          </w:p>
        </w:tc>
        <w:tc>
          <w:tcPr>
            <w:tcW w:w="564" w:type="pct"/>
          </w:tcPr>
          <w:p w:rsidR="00521A7D" w:rsidRPr="00FE771B" w:rsidRDefault="00521A7D"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0.1361</w:t>
            </w:r>
          </w:p>
        </w:tc>
        <w:tc>
          <w:tcPr>
            <w:tcW w:w="516" w:type="pct"/>
          </w:tcPr>
          <w:p w:rsidR="00521A7D" w:rsidRPr="00FE771B" w:rsidRDefault="00521A7D"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0.1012</w:t>
            </w:r>
          </w:p>
        </w:tc>
        <w:tc>
          <w:tcPr>
            <w:tcW w:w="564" w:type="pct"/>
          </w:tcPr>
          <w:p w:rsidR="00521A7D" w:rsidRPr="00FE771B" w:rsidRDefault="00521A7D"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0.1262</w:t>
            </w:r>
          </w:p>
        </w:tc>
        <w:tc>
          <w:tcPr>
            <w:tcW w:w="617" w:type="pct"/>
          </w:tcPr>
          <w:p w:rsidR="00521A7D" w:rsidRPr="00FE771B" w:rsidRDefault="00521A7D" w:rsidP="00F20551">
            <w:pPr>
              <w:autoSpaceDE w:val="0"/>
              <w:autoSpaceDN w:val="0"/>
              <w:adjustRightInd w:val="0"/>
              <w:jc w:val="center"/>
              <w:rPr>
                <w:rFonts w:ascii="Times New Roman" w:hAnsi="Times New Roman" w:cs="Times New Roman"/>
                <w:color w:val="000000" w:themeColor="text1"/>
                <w:kern w:val="0"/>
                <w:sz w:val="18"/>
                <w:szCs w:val="18"/>
              </w:rPr>
            </w:pPr>
            <w:r w:rsidRPr="00FE771B">
              <w:rPr>
                <w:rFonts w:ascii="Times New Roman" w:hAnsi="Times New Roman" w:cs="Times New Roman"/>
                <w:color w:val="000000" w:themeColor="text1"/>
                <w:kern w:val="0"/>
                <w:sz w:val="18"/>
                <w:szCs w:val="18"/>
              </w:rPr>
              <w:t>0.1012</w:t>
            </w:r>
          </w:p>
        </w:tc>
      </w:tr>
    </w:tbl>
    <w:p w:rsidR="00735DF5" w:rsidRPr="00FE771B" w:rsidRDefault="00735DF5">
      <w:pPr>
        <w:rPr>
          <w:rFonts w:ascii="Times New Roman" w:hAnsi="Times New Roman" w:cs="Times New Roman"/>
        </w:rPr>
      </w:pPr>
    </w:p>
    <w:p w:rsidR="00F07AB9" w:rsidRPr="00FE771B" w:rsidRDefault="00DB2FE7" w:rsidP="000E4628">
      <w:pPr>
        <w:pStyle w:val="1"/>
        <w:rPr>
          <w:rFonts w:ascii="Times New Roman" w:eastAsia="黑体" w:hAnsi="Times New Roman" w:cs="Times New Roman"/>
          <w:b w:val="0"/>
          <w:bCs w:val="0"/>
          <w:kern w:val="2"/>
          <w:szCs w:val="28"/>
        </w:rPr>
      </w:pPr>
      <w:r w:rsidRPr="00FE771B">
        <w:rPr>
          <w:rFonts w:ascii="Times New Roman" w:eastAsia="黑体" w:hAnsi="Times New Roman" w:cs="Times New Roman"/>
          <w:b w:val="0"/>
          <w:bCs w:val="0"/>
          <w:kern w:val="2"/>
          <w:szCs w:val="28"/>
        </w:rPr>
        <w:t>六</w:t>
      </w:r>
      <w:r w:rsidR="00BB5887" w:rsidRPr="00FE771B">
        <w:rPr>
          <w:rFonts w:ascii="Times New Roman" w:eastAsia="黑体" w:hAnsi="Times New Roman" w:cs="Times New Roman"/>
          <w:b w:val="0"/>
          <w:bCs w:val="0"/>
          <w:kern w:val="2"/>
          <w:szCs w:val="28"/>
        </w:rPr>
        <w:t>、</w:t>
      </w:r>
      <w:r w:rsidR="00864F57" w:rsidRPr="00FE771B">
        <w:rPr>
          <w:rFonts w:ascii="Times New Roman" w:eastAsia="黑体" w:hAnsi="Times New Roman" w:cs="Times New Roman"/>
          <w:b w:val="0"/>
          <w:bCs w:val="0"/>
          <w:kern w:val="2"/>
          <w:szCs w:val="28"/>
        </w:rPr>
        <w:t>主要</w:t>
      </w:r>
      <w:r w:rsidR="00F07AB9" w:rsidRPr="00FE771B">
        <w:rPr>
          <w:rFonts w:ascii="Times New Roman" w:eastAsia="黑体" w:hAnsi="Times New Roman" w:cs="Times New Roman"/>
          <w:b w:val="0"/>
          <w:bCs w:val="0"/>
          <w:kern w:val="2"/>
          <w:szCs w:val="28"/>
        </w:rPr>
        <w:t>结论与政策建议</w:t>
      </w:r>
    </w:p>
    <w:p w:rsidR="000D68F0" w:rsidRPr="00FE771B" w:rsidRDefault="000D68F0" w:rsidP="000D68F0">
      <w:pPr>
        <w:rPr>
          <w:rFonts w:ascii="Times New Roman" w:hAnsi="Times New Roman" w:cs="Times New Roman"/>
        </w:rPr>
      </w:pPr>
    </w:p>
    <w:p w:rsidR="00E14044" w:rsidRPr="00FE771B" w:rsidRDefault="002D29DC" w:rsidP="00E14044">
      <w:pPr>
        <w:overflowPunct w:val="0"/>
        <w:ind w:firstLineChars="200" w:firstLine="420"/>
        <w:rPr>
          <w:rFonts w:ascii="Times New Roman" w:eastAsia="宋体" w:hAnsi="Times New Roman" w:cs="Times New Roman"/>
          <w:color w:val="000000" w:themeColor="text1"/>
          <w:szCs w:val="21"/>
        </w:rPr>
      </w:pPr>
      <w:r w:rsidRPr="00FE771B">
        <w:rPr>
          <w:rFonts w:ascii="Times New Roman" w:eastAsia="宋体" w:hAnsi="Times New Roman" w:cs="Times New Roman"/>
          <w:color w:val="000000" w:themeColor="text1"/>
          <w:szCs w:val="21"/>
        </w:rPr>
        <w:t>业绩承诺</w:t>
      </w:r>
      <w:r w:rsidR="00165B3E" w:rsidRPr="00FE771B">
        <w:rPr>
          <w:rFonts w:ascii="Times New Roman" w:eastAsia="宋体" w:hAnsi="Times New Roman" w:cs="Times New Roman"/>
          <w:color w:val="000000" w:themeColor="text1"/>
          <w:szCs w:val="21"/>
        </w:rPr>
        <w:t>是上市公司并购重组中估值调整和降低交易风险的重要制度安排，其本质在于促进并购双方协同协进效应发挥，促进上市公司实体领域不断壮大。但从实践看，目前</w:t>
      </w:r>
      <w:r w:rsidRPr="00FE771B">
        <w:rPr>
          <w:rFonts w:ascii="Times New Roman" w:eastAsia="宋体" w:hAnsi="Times New Roman" w:cs="Times New Roman"/>
          <w:color w:val="000000" w:themeColor="text1"/>
          <w:szCs w:val="21"/>
        </w:rPr>
        <w:t>业绩</w:t>
      </w:r>
      <w:proofErr w:type="gramStart"/>
      <w:r w:rsidRPr="00FE771B">
        <w:rPr>
          <w:rFonts w:ascii="Times New Roman" w:eastAsia="宋体" w:hAnsi="Times New Roman" w:cs="Times New Roman"/>
          <w:color w:val="000000" w:themeColor="text1"/>
          <w:szCs w:val="21"/>
        </w:rPr>
        <w:t>承诺</w:t>
      </w:r>
      <w:r w:rsidR="00165B3E" w:rsidRPr="00FE771B">
        <w:rPr>
          <w:rFonts w:ascii="Times New Roman" w:eastAsia="宋体" w:hAnsi="Times New Roman" w:cs="Times New Roman"/>
          <w:color w:val="000000" w:themeColor="text1"/>
          <w:szCs w:val="21"/>
        </w:rPr>
        <w:t>嵌含的</w:t>
      </w:r>
      <w:proofErr w:type="gramEnd"/>
      <w:r w:rsidR="00165B3E" w:rsidRPr="00FE771B">
        <w:rPr>
          <w:rFonts w:ascii="Times New Roman" w:eastAsia="宋体" w:hAnsi="Times New Roman" w:cs="Times New Roman"/>
          <w:color w:val="000000" w:themeColor="text1"/>
          <w:szCs w:val="21"/>
        </w:rPr>
        <w:t>“</w:t>
      </w:r>
      <w:r w:rsidR="00165B3E" w:rsidRPr="00FE771B">
        <w:rPr>
          <w:rFonts w:ascii="Times New Roman" w:eastAsia="宋体" w:hAnsi="Times New Roman" w:cs="Times New Roman"/>
          <w:color w:val="000000" w:themeColor="text1"/>
          <w:szCs w:val="21"/>
        </w:rPr>
        <w:t>高承诺</w:t>
      </w:r>
      <w:r w:rsidR="00165B3E" w:rsidRPr="00FE771B">
        <w:rPr>
          <w:rFonts w:ascii="Times New Roman" w:eastAsia="宋体" w:hAnsi="Times New Roman" w:cs="Times New Roman"/>
          <w:color w:val="000000" w:themeColor="text1"/>
          <w:szCs w:val="21"/>
        </w:rPr>
        <w:t>”</w:t>
      </w:r>
      <w:r w:rsidR="00165B3E" w:rsidRPr="00FE771B">
        <w:rPr>
          <w:rFonts w:ascii="Times New Roman" w:eastAsia="宋体" w:hAnsi="Times New Roman" w:cs="Times New Roman"/>
          <w:color w:val="000000" w:themeColor="text1"/>
          <w:szCs w:val="21"/>
        </w:rPr>
        <w:t>、</w:t>
      </w:r>
      <w:r w:rsidR="00165B3E" w:rsidRPr="00FE771B">
        <w:rPr>
          <w:rFonts w:ascii="Times New Roman" w:eastAsia="宋体" w:hAnsi="Times New Roman" w:cs="Times New Roman"/>
          <w:color w:val="000000" w:themeColor="text1"/>
          <w:szCs w:val="21"/>
        </w:rPr>
        <w:t>“</w:t>
      </w:r>
      <w:r w:rsidR="00165B3E" w:rsidRPr="00FE771B">
        <w:rPr>
          <w:rFonts w:ascii="Times New Roman" w:eastAsia="宋体" w:hAnsi="Times New Roman" w:cs="Times New Roman"/>
          <w:color w:val="000000" w:themeColor="text1"/>
          <w:szCs w:val="21"/>
        </w:rPr>
        <w:t>高溢价</w:t>
      </w:r>
      <w:r w:rsidR="00165B3E" w:rsidRPr="00FE771B">
        <w:rPr>
          <w:rFonts w:ascii="Times New Roman" w:eastAsia="宋体" w:hAnsi="Times New Roman" w:cs="Times New Roman"/>
          <w:color w:val="000000" w:themeColor="text1"/>
          <w:szCs w:val="21"/>
        </w:rPr>
        <w:t>”</w:t>
      </w:r>
      <w:r w:rsidR="00165B3E" w:rsidRPr="00FE771B">
        <w:rPr>
          <w:rFonts w:ascii="Times New Roman" w:eastAsia="宋体" w:hAnsi="Times New Roman" w:cs="Times New Roman"/>
          <w:color w:val="000000" w:themeColor="text1"/>
          <w:szCs w:val="21"/>
        </w:rPr>
        <w:t>等特征信号诱使上市公司更加偏好金融化投资和导致</w:t>
      </w:r>
      <w:r w:rsidR="00165B3E" w:rsidRPr="00FE771B">
        <w:rPr>
          <w:rFonts w:ascii="Times New Roman" w:eastAsia="宋体" w:hAnsi="Times New Roman" w:cs="Times New Roman"/>
          <w:color w:val="000000" w:themeColor="text1"/>
          <w:szCs w:val="21"/>
        </w:rPr>
        <w:t>“</w:t>
      </w:r>
      <w:r w:rsidR="00165B3E" w:rsidRPr="00FE771B">
        <w:rPr>
          <w:rFonts w:ascii="Times New Roman" w:eastAsia="宋体" w:hAnsi="Times New Roman" w:cs="Times New Roman"/>
          <w:color w:val="000000" w:themeColor="text1"/>
          <w:szCs w:val="21"/>
        </w:rPr>
        <w:t>脱实向虚</w:t>
      </w:r>
      <w:r w:rsidR="00165B3E" w:rsidRPr="00FE771B">
        <w:rPr>
          <w:rFonts w:ascii="Times New Roman" w:eastAsia="宋体" w:hAnsi="Times New Roman" w:cs="Times New Roman"/>
          <w:color w:val="000000" w:themeColor="text1"/>
          <w:szCs w:val="21"/>
        </w:rPr>
        <w:t>”</w:t>
      </w:r>
      <w:r w:rsidR="00864F57" w:rsidRPr="00FE771B">
        <w:rPr>
          <w:rFonts w:ascii="Times New Roman" w:eastAsia="宋体" w:hAnsi="Times New Roman" w:cs="Times New Roman"/>
          <w:color w:val="000000" w:themeColor="text1"/>
          <w:szCs w:val="21"/>
        </w:rPr>
        <w:t>，</w:t>
      </w:r>
      <w:r w:rsidR="00D21866" w:rsidRPr="00FE771B">
        <w:rPr>
          <w:rFonts w:ascii="Times New Roman" w:eastAsia="宋体" w:hAnsi="Times New Roman" w:cs="Times New Roman"/>
          <w:color w:val="000000" w:themeColor="text1"/>
          <w:szCs w:val="21"/>
        </w:rPr>
        <w:t>使得并购重组的效果也大打折扣</w:t>
      </w:r>
      <w:r w:rsidR="00165B3E" w:rsidRPr="00FE771B">
        <w:rPr>
          <w:rFonts w:ascii="Times New Roman" w:eastAsia="宋体" w:hAnsi="Times New Roman" w:cs="Times New Roman"/>
          <w:color w:val="000000" w:themeColor="text1"/>
          <w:szCs w:val="21"/>
        </w:rPr>
        <w:t>。</w:t>
      </w:r>
      <w:r w:rsidR="00D21866" w:rsidRPr="00FE771B">
        <w:rPr>
          <w:rFonts w:ascii="Times New Roman" w:eastAsia="宋体" w:hAnsi="Times New Roman" w:cs="Times New Roman"/>
          <w:color w:val="000000" w:themeColor="text1"/>
          <w:szCs w:val="21"/>
        </w:rPr>
        <w:t>为了研究业绩承诺对上市公司金融化投资的影响及作用机制</w:t>
      </w:r>
      <w:r w:rsidR="00165B3E" w:rsidRPr="00FE771B">
        <w:rPr>
          <w:rFonts w:ascii="Times New Roman" w:eastAsia="宋体" w:hAnsi="Times New Roman" w:cs="Times New Roman"/>
          <w:color w:val="000000" w:themeColor="text1"/>
          <w:szCs w:val="21"/>
        </w:rPr>
        <w:t>，本文使用</w:t>
      </w:r>
      <w:r w:rsidR="00165B3E" w:rsidRPr="00FE771B">
        <w:rPr>
          <w:rFonts w:ascii="Times New Roman" w:eastAsia="宋体" w:hAnsi="Times New Roman" w:cs="Times New Roman"/>
          <w:color w:val="000000" w:themeColor="text1"/>
          <w:szCs w:val="21"/>
        </w:rPr>
        <w:t>201</w:t>
      </w:r>
      <w:r w:rsidR="00DE52E1" w:rsidRPr="00FE771B">
        <w:rPr>
          <w:rFonts w:ascii="Times New Roman" w:eastAsia="宋体" w:hAnsi="Times New Roman" w:cs="Times New Roman"/>
          <w:color w:val="000000" w:themeColor="text1"/>
          <w:szCs w:val="21"/>
        </w:rPr>
        <w:t>0</w:t>
      </w:r>
      <w:r w:rsidR="00165B3E" w:rsidRPr="00FE771B">
        <w:rPr>
          <w:rFonts w:ascii="Times New Roman" w:eastAsia="宋体" w:hAnsi="Times New Roman" w:cs="Times New Roman"/>
          <w:color w:val="000000" w:themeColor="text1"/>
          <w:szCs w:val="21"/>
        </w:rPr>
        <w:t xml:space="preserve">—2019 </w:t>
      </w:r>
      <w:r w:rsidR="00165B3E" w:rsidRPr="00FE771B">
        <w:rPr>
          <w:rFonts w:ascii="Times New Roman" w:eastAsia="宋体" w:hAnsi="Times New Roman" w:cs="Times New Roman"/>
          <w:color w:val="000000" w:themeColor="text1"/>
          <w:szCs w:val="21"/>
        </w:rPr>
        <w:t>年中国</w:t>
      </w:r>
      <w:r w:rsidR="00165B3E" w:rsidRPr="00FE771B">
        <w:rPr>
          <w:rFonts w:ascii="Times New Roman" w:eastAsia="宋体" w:hAnsi="Times New Roman" w:cs="Times New Roman"/>
          <w:color w:val="000000" w:themeColor="text1"/>
          <w:szCs w:val="21"/>
        </w:rPr>
        <w:t>A</w:t>
      </w:r>
      <w:r w:rsidR="00165B3E" w:rsidRPr="00FE771B">
        <w:rPr>
          <w:rFonts w:ascii="Times New Roman" w:eastAsia="宋体" w:hAnsi="Times New Roman" w:cs="Times New Roman"/>
          <w:color w:val="000000" w:themeColor="text1"/>
          <w:szCs w:val="21"/>
        </w:rPr>
        <w:t>股市场开展并购和重大资产重组事件的上市公司样本数据，实证检验了并购重组交易中业绩承诺对上市公司金融化的影响。</w:t>
      </w:r>
      <w:r w:rsidR="00D21866" w:rsidRPr="00FE771B">
        <w:rPr>
          <w:rFonts w:ascii="Times New Roman" w:eastAsia="宋体" w:hAnsi="Times New Roman" w:cs="Times New Roman"/>
          <w:color w:val="000000" w:themeColor="text1"/>
          <w:szCs w:val="21"/>
        </w:rPr>
        <w:t>主要研究结论有</w:t>
      </w:r>
      <w:r w:rsidR="00165B3E" w:rsidRPr="00FE771B">
        <w:rPr>
          <w:rFonts w:ascii="Times New Roman" w:eastAsia="宋体" w:hAnsi="Times New Roman" w:cs="Times New Roman"/>
          <w:color w:val="000000" w:themeColor="text1"/>
          <w:szCs w:val="21"/>
        </w:rPr>
        <w:t>：</w:t>
      </w:r>
      <w:r w:rsidR="00D21866" w:rsidRPr="00FE771B">
        <w:rPr>
          <w:rFonts w:ascii="Times New Roman" w:eastAsia="宋体" w:hAnsi="Times New Roman" w:cs="Times New Roman"/>
          <w:color w:val="000000" w:themeColor="text1"/>
          <w:szCs w:val="21"/>
        </w:rPr>
        <w:t>第一</w:t>
      </w:r>
      <w:r w:rsidR="00530247" w:rsidRPr="00FE771B">
        <w:rPr>
          <w:rFonts w:ascii="Times New Roman" w:eastAsia="宋体" w:hAnsi="Times New Roman" w:cs="Times New Roman"/>
          <w:color w:val="000000" w:themeColor="text1"/>
          <w:szCs w:val="21"/>
        </w:rPr>
        <w:t>，</w:t>
      </w:r>
      <w:r w:rsidRPr="00FE771B">
        <w:rPr>
          <w:rFonts w:ascii="Times New Roman" w:eastAsia="宋体" w:hAnsi="Times New Roman" w:cs="Times New Roman"/>
          <w:color w:val="000000" w:themeColor="text1"/>
          <w:szCs w:val="21"/>
        </w:rPr>
        <w:t>业绩承诺</w:t>
      </w:r>
      <w:r w:rsidR="00165B3E" w:rsidRPr="00FE771B">
        <w:rPr>
          <w:rFonts w:ascii="Times New Roman" w:eastAsia="宋体" w:hAnsi="Times New Roman" w:cs="Times New Roman"/>
          <w:color w:val="000000" w:themeColor="text1"/>
          <w:szCs w:val="21"/>
        </w:rPr>
        <w:t>导致上市公司更加偏好金融化投资，诱发上市公司投资策略</w:t>
      </w:r>
      <w:r w:rsidR="00E71F73" w:rsidRPr="00FE771B">
        <w:rPr>
          <w:rFonts w:ascii="Times New Roman" w:eastAsia="宋体" w:hAnsi="Times New Roman" w:cs="Times New Roman"/>
          <w:color w:val="000000" w:themeColor="text1"/>
          <w:szCs w:val="21"/>
        </w:rPr>
        <w:t>“</w:t>
      </w:r>
      <w:r w:rsidR="00E71F73" w:rsidRPr="00FE771B">
        <w:rPr>
          <w:rFonts w:ascii="Times New Roman" w:eastAsia="宋体" w:hAnsi="Times New Roman" w:cs="Times New Roman"/>
          <w:color w:val="000000" w:themeColor="text1"/>
          <w:szCs w:val="21"/>
        </w:rPr>
        <w:t>脱实向虚</w:t>
      </w:r>
      <w:r w:rsidR="00E71F73" w:rsidRPr="00FE771B">
        <w:rPr>
          <w:rFonts w:ascii="Times New Roman" w:eastAsia="宋体" w:hAnsi="Times New Roman" w:cs="Times New Roman"/>
          <w:color w:val="000000" w:themeColor="text1"/>
          <w:szCs w:val="21"/>
        </w:rPr>
        <w:t>”</w:t>
      </w:r>
      <w:r w:rsidR="00165B3E" w:rsidRPr="00FE771B">
        <w:rPr>
          <w:rFonts w:ascii="Times New Roman" w:eastAsia="宋体" w:hAnsi="Times New Roman" w:cs="Times New Roman"/>
          <w:color w:val="000000" w:themeColor="text1"/>
          <w:szCs w:val="21"/>
        </w:rPr>
        <w:t>，造成上市公司经营金融化现象日趋严重，这一结果在各种稳健性分析和控制内生性问题后依然保持不变</w:t>
      </w:r>
      <w:r w:rsidR="00FD54D6" w:rsidRPr="00FE771B">
        <w:rPr>
          <w:rFonts w:ascii="Times New Roman" w:eastAsia="宋体" w:hAnsi="Times New Roman" w:cs="Times New Roman"/>
          <w:color w:val="000000" w:themeColor="text1"/>
          <w:szCs w:val="21"/>
        </w:rPr>
        <w:t>；第二</w:t>
      </w:r>
      <w:r w:rsidR="00530247" w:rsidRPr="00FE771B">
        <w:rPr>
          <w:rFonts w:ascii="Times New Roman" w:eastAsia="宋体" w:hAnsi="Times New Roman" w:cs="Times New Roman"/>
          <w:color w:val="000000" w:themeColor="text1"/>
          <w:szCs w:val="21"/>
        </w:rPr>
        <w:t>，</w:t>
      </w:r>
      <w:r w:rsidR="00165B3E" w:rsidRPr="00FE771B">
        <w:rPr>
          <w:rFonts w:ascii="Times New Roman" w:eastAsia="宋体" w:hAnsi="Times New Roman" w:cs="Times New Roman"/>
          <w:color w:val="000000" w:themeColor="text1"/>
          <w:szCs w:val="21"/>
        </w:rPr>
        <w:t>造成这一结果的机制在于，</w:t>
      </w:r>
      <w:r w:rsidRPr="00FE771B">
        <w:rPr>
          <w:rFonts w:ascii="Times New Roman" w:eastAsia="宋体" w:hAnsi="Times New Roman" w:cs="Times New Roman"/>
          <w:color w:val="000000" w:themeColor="text1"/>
          <w:szCs w:val="21"/>
        </w:rPr>
        <w:t>业绩承诺</w:t>
      </w:r>
      <w:r w:rsidR="00165B3E" w:rsidRPr="00FE771B">
        <w:rPr>
          <w:rFonts w:ascii="Times New Roman" w:eastAsia="宋体" w:hAnsi="Times New Roman" w:cs="Times New Roman"/>
          <w:color w:val="000000" w:themeColor="text1"/>
          <w:szCs w:val="21"/>
        </w:rPr>
        <w:t>将会显著增加上市公司盈余管理</w:t>
      </w:r>
      <w:r w:rsidR="00E71F73" w:rsidRPr="00FE771B">
        <w:rPr>
          <w:rFonts w:ascii="Times New Roman" w:eastAsia="宋体" w:hAnsi="Times New Roman" w:cs="Times New Roman"/>
          <w:color w:val="000000" w:themeColor="text1"/>
          <w:szCs w:val="21"/>
        </w:rPr>
        <w:t>等机会主义</w:t>
      </w:r>
      <w:r w:rsidR="00165B3E" w:rsidRPr="00FE771B">
        <w:rPr>
          <w:rFonts w:ascii="Times New Roman" w:eastAsia="宋体" w:hAnsi="Times New Roman" w:cs="Times New Roman"/>
          <w:color w:val="000000" w:themeColor="text1"/>
          <w:szCs w:val="21"/>
        </w:rPr>
        <w:t>行为，</w:t>
      </w:r>
      <w:r w:rsidR="00FD54D6" w:rsidRPr="00FE771B">
        <w:rPr>
          <w:rFonts w:ascii="Times New Roman" w:eastAsia="宋体" w:hAnsi="Times New Roman" w:cs="Times New Roman"/>
          <w:color w:val="000000" w:themeColor="text1"/>
          <w:szCs w:val="21"/>
        </w:rPr>
        <w:t>盈余管理中的手段之一便是采取激进的金融化投资策略，</w:t>
      </w:r>
      <w:r w:rsidR="00165B3E" w:rsidRPr="00FE771B">
        <w:rPr>
          <w:rFonts w:ascii="Times New Roman" w:eastAsia="宋体" w:hAnsi="Times New Roman" w:cs="Times New Roman"/>
          <w:color w:val="000000" w:themeColor="text1"/>
          <w:szCs w:val="21"/>
        </w:rPr>
        <w:t>从而对上市公司金融投资</w:t>
      </w:r>
      <w:r w:rsidR="00E71F73" w:rsidRPr="00FE771B">
        <w:rPr>
          <w:rFonts w:ascii="Times New Roman" w:eastAsia="宋体" w:hAnsi="Times New Roman" w:cs="Times New Roman"/>
          <w:color w:val="000000" w:themeColor="text1"/>
          <w:szCs w:val="21"/>
        </w:rPr>
        <w:t>产生</w:t>
      </w:r>
      <w:r w:rsidR="00165B3E" w:rsidRPr="00FE771B">
        <w:rPr>
          <w:rFonts w:ascii="Times New Roman" w:eastAsia="宋体" w:hAnsi="Times New Roman" w:cs="Times New Roman"/>
          <w:color w:val="000000" w:themeColor="text1"/>
          <w:szCs w:val="21"/>
        </w:rPr>
        <w:t>促进作用，</w:t>
      </w:r>
      <w:r w:rsidR="00FD54D6" w:rsidRPr="00FE771B">
        <w:rPr>
          <w:rFonts w:ascii="Times New Roman" w:eastAsia="宋体" w:hAnsi="Times New Roman" w:cs="Times New Roman"/>
          <w:color w:val="000000" w:themeColor="text1"/>
          <w:szCs w:val="21"/>
        </w:rPr>
        <w:t>最后使得企业实体领域愈发羸弱而虚拟领域愈发旺盛</w:t>
      </w:r>
      <w:r w:rsidR="00165B3E" w:rsidRPr="00FE771B">
        <w:rPr>
          <w:rFonts w:ascii="Times New Roman" w:eastAsia="宋体" w:hAnsi="Times New Roman" w:cs="Times New Roman"/>
          <w:color w:val="000000" w:themeColor="text1"/>
          <w:szCs w:val="21"/>
        </w:rPr>
        <w:t>。</w:t>
      </w:r>
    </w:p>
    <w:p w:rsidR="00E14044" w:rsidRPr="00FE771B" w:rsidRDefault="00E14044" w:rsidP="00E14044">
      <w:pPr>
        <w:ind w:firstLine="420"/>
        <w:rPr>
          <w:rFonts w:ascii="Times New Roman" w:hAnsi="Times New Roman" w:cs="Times New Roman"/>
          <w:color w:val="000000" w:themeColor="text1"/>
        </w:rPr>
      </w:pPr>
      <w:r w:rsidRPr="00FE771B">
        <w:rPr>
          <w:rFonts w:ascii="Times New Roman" w:hAnsi="Times New Roman" w:cs="Times New Roman"/>
          <w:color w:val="000000" w:themeColor="text1"/>
        </w:rPr>
        <w:t>基于上述结论，</w:t>
      </w:r>
      <w:r w:rsidR="00AF6A07" w:rsidRPr="00FE771B">
        <w:rPr>
          <w:rFonts w:ascii="Times New Roman" w:hAnsi="Times New Roman" w:cs="Times New Roman"/>
          <w:color w:val="000000" w:themeColor="text1"/>
        </w:rPr>
        <w:t>通过监管措施的更加完善来实现业绩承诺工具初衷，</w:t>
      </w:r>
      <w:r w:rsidR="000C28E6" w:rsidRPr="00FE771B">
        <w:rPr>
          <w:rFonts w:ascii="Times New Roman" w:hAnsi="Times New Roman" w:cs="Times New Roman"/>
          <w:color w:val="000000" w:themeColor="text1"/>
        </w:rPr>
        <w:t>促进上市公司并购协同效应发挥，降低并购后上市公司经营</w:t>
      </w:r>
      <w:r w:rsidR="000C28E6" w:rsidRPr="00FE771B">
        <w:rPr>
          <w:rFonts w:ascii="Times New Roman" w:hAnsi="Times New Roman" w:cs="Times New Roman"/>
          <w:color w:val="000000" w:themeColor="text1"/>
        </w:rPr>
        <w:t>“</w:t>
      </w:r>
      <w:r w:rsidR="000C28E6" w:rsidRPr="00FE771B">
        <w:rPr>
          <w:rFonts w:ascii="Times New Roman" w:hAnsi="Times New Roman" w:cs="Times New Roman"/>
          <w:color w:val="000000" w:themeColor="text1"/>
        </w:rPr>
        <w:t>脱实向虚</w:t>
      </w:r>
      <w:r w:rsidR="000C28E6" w:rsidRPr="00FE771B">
        <w:rPr>
          <w:rFonts w:ascii="Times New Roman" w:hAnsi="Times New Roman" w:cs="Times New Roman"/>
          <w:color w:val="000000" w:themeColor="text1"/>
        </w:rPr>
        <w:t>”</w:t>
      </w:r>
      <w:r w:rsidR="000C28E6" w:rsidRPr="00FE771B">
        <w:rPr>
          <w:rFonts w:ascii="Times New Roman" w:hAnsi="Times New Roman" w:cs="Times New Roman"/>
          <w:color w:val="000000" w:themeColor="text1"/>
        </w:rPr>
        <w:t>的概率</w:t>
      </w:r>
      <w:r w:rsidR="00E71F73" w:rsidRPr="00FE771B">
        <w:rPr>
          <w:rFonts w:ascii="Times New Roman" w:hAnsi="Times New Roman" w:cs="Times New Roman"/>
          <w:color w:val="000000" w:themeColor="text1"/>
        </w:rPr>
        <w:t>，是实现资本市场服务实体经济和保护中小投资者利益的根本。为此，我们从加强监管层面提出如下建议：</w:t>
      </w:r>
    </w:p>
    <w:p w:rsidR="00E14044" w:rsidRPr="00FE771B" w:rsidRDefault="00E14044" w:rsidP="00E14044">
      <w:pPr>
        <w:ind w:firstLine="420"/>
        <w:rPr>
          <w:rFonts w:ascii="Times New Roman" w:hAnsi="Times New Roman" w:cs="Times New Roman"/>
          <w:color w:val="000000" w:themeColor="text1"/>
        </w:rPr>
      </w:pPr>
      <w:r w:rsidRPr="00FE771B">
        <w:rPr>
          <w:rFonts w:ascii="Times New Roman" w:hAnsi="Times New Roman" w:cs="Times New Roman"/>
          <w:color w:val="000000" w:themeColor="text1"/>
        </w:rPr>
        <w:t>第一</w:t>
      </w:r>
      <w:r w:rsidR="00C27886" w:rsidRPr="00FE771B">
        <w:rPr>
          <w:rFonts w:ascii="Times New Roman" w:hAnsi="Times New Roman" w:cs="Times New Roman"/>
          <w:color w:val="000000" w:themeColor="text1"/>
        </w:rPr>
        <w:t>，</w:t>
      </w:r>
      <w:r w:rsidRPr="00FE771B">
        <w:rPr>
          <w:rFonts w:ascii="Times New Roman" w:hAnsi="Times New Roman" w:cs="Times New Roman"/>
          <w:color w:val="000000" w:themeColor="text1"/>
        </w:rPr>
        <w:t>完善对</w:t>
      </w:r>
      <w:r w:rsidR="002D29DC" w:rsidRPr="00FE771B">
        <w:rPr>
          <w:rFonts w:ascii="Times New Roman" w:hAnsi="Times New Roman" w:cs="Times New Roman"/>
          <w:color w:val="000000" w:themeColor="text1"/>
        </w:rPr>
        <w:t>业绩承诺</w:t>
      </w:r>
      <w:r w:rsidRPr="00FE771B">
        <w:rPr>
          <w:rFonts w:ascii="Times New Roman" w:hAnsi="Times New Roman" w:cs="Times New Roman"/>
          <w:color w:val="000000" w:themeColor="text1"/>
        </w:rPr>
        <w:t>制度的事中和事后监管，与事前监管一起组成全监管防火墙，将制度漏洞堵死和政策套利空间消除。就本文研究结论看，</w:t>
      </w:r>
      <w:r w:rsidR="002D29DC" w:rsidRPr="00FE771B">
        <w:rPr>
          <w:rFonts w:ascii="Times New Roman" w:hAnsi="Times New Roman" w:cs="Times New Roman"/>
          <w:color w:val="000000" w:themeColor="text1"/>
        </w:rPr>
        <w:t>业绩承诺</w:t>
      </w:r>
      <w:r w:rsidRPr="00FE771B">
        <w:rPr>
          <w:rFonts w:ascii="Times New Roman" w:hAnsi="Times New Roman" w:cs="Times New Roman"/>
          <w:color w:val="000000" w:themeColor="text1"/>
        </w:rPr>
        <w:t>初衷是作为减低并购风险的工具，但在特定情形下却使</w:t>
      </w:r>
      <w:r w:rsidR="002D29DC" w:rsidRPr="00FE771B">
        <w:rPr>
          <w:rFonts w:ascii="Times New Roman" w:hAnsi="Times New Roman" w:cs="Times New Roman"/>
          <w:color w:val="000000" w:themeColor="text1"/>
        </w:rPr>
        <w:t>业绩承诺</w:t>
      </w:r>
      <w:r w:rsidRPr="00FE771B">
        <w:rPr>
          <w:rFonts w:ascii="Times New Roman" w:hAnsi="Times New Roman" w:cs="Times New Roman"/>
          <w:color w:val="000000" w:themeColor="text1"/>
        </w:rPr>
        <w:t>沦为放大风险和干扰上市公司正常经营的工具。为重塑</w:t>
      </w:r>
      <w:r w:rsidR="002D29DC" w:rsidRPr="00FE771B">
        <w:rPr>
          <w:rFonts w:ascii="Times New Roman" w:hAnsi="Times New Roman" w:cs="Times New Roman"/>
          <w:color w:val="000000" w:themeColor="text1"/>
        </w:rPr>
        <w:t>业绩承诺</w:t>
      </w:r>
      <w:r w:rsidRPr="00FE771B">
        <w:rPr>
          <w:rFonts w:ascii="Times New Roman" w:hAnsi="Times New Roman" w:cs="Times New Roman"/>
          <w:color w:val="000000" w:themeColor="text1"/>
        </w:rPr>
        <w:t>的估值调整工具功能，监管部门必须从事前审核、事中跟踪和事后问责全方位、无死角将签订</w:t>
      </w:r>
      <w:r w:rsidR="002D29DC" w:rsidRPr="00FE771B">
        <w:rPr>
          <w:rFonts w:ascii="Times New Roman" w:hAnsi="Times New Roman" w:cs="Times New Roman"/>
          <w:color w:val="000000" w:themeColor="text1"/>
        </w:rPr>
        <w:t>业绩承诺</w:t>
      </w:r>
      <w:r w:rsidRPr="00FE771B">
        <w:rPr>
          <w:rFonts w:ascii="Times New Roman" w:hAnsi="Times New Roman" w:cs="Times New Roman"/>
          <w:color w:val="000000" w:themeColor="text1"/>
        </w:rPr>
        <w:t>的重大资产并购重组交易纳入监管视野，监管对象、监管内容、监管周期、监管框架都要做出相应调整。从监管对象看，</w:t>
      </w:r>
      <w:r w:rsidR="002D29DC" w:rsidRPr="00FE771B">
        <w:rPr>
          <w:rFonts w:ascii="Times New Roman" w:hAnsi="Times New Roman" w:cs="Times New Roman"/>
          <w:color w:val="000000" w:themeColor="text1"/>
        </w:rPr>
        <w:t>业绩承诺</w:t>
      </w:r>
      <w:r w:rsidRPr="00FE771B">
        <w:rPr>
          <w:rFonts w:ascii="Times New Roman" w:hAnsi="Times New Roman" w:cs="Times New Roman"/>
          <w:color w:val="000000" w:themeColor="text1"/>
        </w:rPr>
        <w:t>的目标方与收购方均是同等重要的监管对象，及时将目标方公司相关财务和与并购相关的非财务信息公之于众；从监管内容上看，监管内容不仅</w:t>
      </w:r>
      <w:proofErr w:type="gramStart"/>
      <w:r w:rsidRPr="00FE771B">
        <w:rPr>
          <w:rFonts w:ascii="Times New Roman" w:hAnsi="Times New Roman" w:cs="Times New Roman"/>
          <w:color w:val="000000" w:themeColor="text1"/>
        </w:rPr>
        <w:t>要</w:t>
      </w:r>
      <w:r w:rsidR="002D29DC" w:rsidRPr="00FE771B">
        <w:rPr>
          <w:rFonts w:ascii="Times New Roman" w:hAnsi="Times New Roman" w:cs="Times New Roman"/>
          <w:color w:val="000000" w:themeColor="text1"/>
        </w:rPr>
        <w:t>业绩</w:t>
      </w:r>
      <w:proofErr w:type="gramEnd"/>
      <w:r w:rsidR="002D29DC" w:rsidRPr="00FE771B">
        <w:rPr>
          <w:rFonts w:ascii="Times New Roman" w:hAnsi="Times New Roman" w:cs="Times New Roman"/>
          <w:color w:val="000000" w:themeColor="text1"/>
        </w:rPr>
        <w:t>承诺</w:t>
      </w:r>
      <w:r w:rsidRPr="00FE771B">
        <w:rPr>
          <w:rFonts w:ascii="Times New Roman" w:hAnsi="Times New Roman" w:cs="Times New Roman"/>
          <w:color w:val="000000" w:themeColor="text1"/>
        </w:rPr>
        <w:t>条款本身，更要注重对并购交易实质的审核，对于明显脱离实际的高溢价和高承诺业绩承诺要及时将可能的风险进行问询和披露；从监管周期看，目前监管主要集中并购前的合</w:t>
      </w:r>
      <w:proofErr w:type="gramStart"/>
      <w:r w:rsidRPr="00FE771B">
        <w:rPr>
          <w:rFonts w:ascii="Times New Roman" w:hAnsi="Times New Roman" w:cs="Times New Roman"/>
          <w:color w:val="000000" w:themeColor="text1"/>
        </w:rPr>
        <w:t>规</w:t>
      </w:r>
      <w:proofErr w:type="gramEnd"/>
      <w:r w:rsidRPr="00FE771B">
        <w:rPr>
          <w:rFonts w:ascii="Times New Roman" w:hAnsi="Times New Roman" w:cs="Times New Roman"/>
          <w:color w:val="000000" w:themeColor="text1"/>
        </w:rPr>
        <w:t>审核而对并购后监督明显不足，要加强业绩承诺</w:t>
      </w:r>
      <w:proofErr w:type="gramStart"/>
      <w:r w:rsidRPr="00FE771B">
        <w:rPr>
          <w:rFonts w:ascii="Times New Roman" w:hAnsi="Times New Roman" w:cs="Times New Roman"/>
          <w:color w:val="000000" w:themeColor="text1"/>
        </w:rPr>
        <w:t>期上市</w:t>
      </w:r>
      <w:proofErr w:type="gramEnd"/>
      <w:r w:rsidRPr="00FE771B">
        <w:rPr>
          <w:rFonts w:ascii="Times New Roman" w:hAnsi="Times New Roman" w:cs="Times New Roman"/>
          <w:color w:val="000000" w:themeColor="text1"/>
        </w:rPr>
        <w:t>公司业绩真实性审核，对明显脱离常态化发展的超常业绩要及时跟进，要加强对业绩承诺期后监管，对于业绩下滑甚至</w:t>
      </w:r>
      <w:r w:rsidRPr="00FE771B">
        <w:rPr>
          <w:rFonts w:ascii="Times New Roman" w:hAnsi="Times New Roman" w:cs="Times New Roman"/>
          <w:color w:val="000000" w:themeColor="text1"/>
        </w:rPr>
        <w:t>“</w:t>
      </w:r>
      <w:r w:rsidRPr="00FE771B">
        <w:rPr>
          <w:rFonts w:ascii="Times New Roman" w:hAnsi="Times New Roman" w:cs="Times New Roman"/>
          <w:color w:val="000000" w:themeColor="text1"/>
        </w:rPr>
        <w:t>变脸</w:t>
      </w:r>
      <w:r w:rsidRPr="00FE771B">
        <w:rPr>
          <w:rFonts w:ascii="Times New Roman" w:hAnsi="Times New Roman" w:cs="Times New Roman"/>
          <w:color w:val="000000" w:themeColor="text1"/>
        </w:rPr>
        <w:t>”</w:t>
      </w:r>
      <w:r w:rsidRPr="00FE771B">
        <w:rPr>
          <w:rFonts w:ascii="Times New Roman" w:hAnsi="Times New Roman" w:cs="Times New Roman"/>
          <w:color w:val="000000" w:themeColor="text1"/>
        </w:rPr>
        <w:t>的上市公司要加大惩戒力度；从监管框架看，应该考虑将非上市公司同时整合到对上市公司整体合</w:t>
      </w:r>
      <w:proofErr w:type="gramStart"/>
      <w:r w:rsidRPr="00FE771B">
        <w:rPr>
          <w:rFonts w:ascii="Times New Roman" w:hAnsi="Times New Roman" w:cs="Times New Roman"/>
          <w:color w:val="000000" w:themeColor="text1"/>
        </w:rPr>
        <w:t>规</w:t>
      </w:r>
      <w:proofErr w:type="gramEnd"/>
      <w:r w:rsidRPr="00FE771B">
        <w:rPr>
          <w:rFonts w:ascii="Times New Roman" w:hAnsi="Times New Roman" w:cs="Times New Roman"/>
          <w:color w:val="000000" w:themeColor="text1"/>
        </w:rPr>
        <w:t>性的监管中，特别是关联交易方、交叉持股和利益相关方可以通过内部风险转移规避监管。加强对交易信息披露的完整性审核。交易价格和业绩承诺的合理性也应是监管重点，监管部门应明确交易价格和业绩目标估值原则，原则宜采取略保守和偏谨慎的现金</w:t>
      </w:r>
      <w:proofErr w:type="gramStart"/>
      <w:r w:rsidRPr="00FE771B">
        <w:rPr>
          <w:rFonts w:ascii="Times New Roman" w:hAnsi="Times New Roman" w:cs="Times New Roman"/>
          <w:color w:val="000000" w:themeColor="text1"/>
        </w:rPr>
        <w:t>流估计</w:t>
      </w:r>
      <w:proofErr w:type="gramEnd"/>
      <w:r w:rsidRPr="00FE771B">
        <w:rPr>
          <w:rFonts w:ascii="Times New Roman" w:hAnsi="Times New Roman" w:cs="Times New Roman"/>
          <w:color w:val="000000" w:themeColor="text1"/>
        </w:rPr>
        <w:t>原则，对标的资产合理价格</w:t>
      </w:r>
      <w:proofErr w:type="gramStart"/>
      <w:r w:rsidRPr="00FE771B">
        <w:rPr>
          <w:rFonts w:ascii="Times New Roman" w:hAnsi="Times New Roman" w:cs="Times New Roman"/>
          <w:color w:val="000000" w:themeColor="text1"/>
        </w:rPr>
        <w:t>作出</w:t>
      </w:r>
      <w:proofErr w:type="gramEnd"/>
      <w:r w:rsidRPr="00FE771B">
        <w:rPr>
          <w:rFonts w:ascii="Times New Roman" w:hAnsi="Times New Roman" w:cs="Times New Roman"/>
          <w:color w:val="000000" w:themeColor="text1"/>
        </w:rPr>
        <w:t>较为准确的估计。加强第三方评估机构的独立性与专业性建设，完善中小投资者利益诉求渠道。最后，可以考虑在补偿承诺中放弃对业绩这单一目标转而使用多元化目标，比如放弃对业绩的过度追求或者承诺期适当延长，综合考虑交易实质对业绩要求承诺的同时也关注业绩来源、业绩真实性、业绩可持续性</w:t>
      </w:r>
      <w:r w:rsidRPr="00FE771B">
        <w:rPr>
          <w:rFonts w:ascii="Times New Roman" w:hAnsi="Times New Roman" w:cs="Times New Roman"/>
          <w:color w:val="000000" w:themeColor="text1"/>
        </w:rPr>
        <w:lastRenderedPageBreak/>
        <w:t>以及各类财务指标之间的勾</w:t>
      </w:r>
      <w:proofErr w:type="gramStart"/>
      <w:r w:rsidRPr="00FE771B">
        <w:rPr>
          <w:rFonts w:ascii="Times New Roman" w:hAnsi="Times New Roman" w:cs="Times New Roman"/>
          <w:color w:val="000000" w:themeColor="text1"/>
        </w:rPr>
        <w:t>稽</w:t>
      </w:r>
      <w:proofErr w:type="gramEnd"/>
      <w:r w:rsidRPr="00FE771B">
        <w:rPr>
          <w:rFonts w:ascii="Times New Roman" w:hAnsi="Times New Roman" w:cs="Times New Roman"/>
          <w:color w:val="000000" w:themeColor="text1"/>
        </w:rPr>
        <w:t>关系，这样一方面能更直接体现并购交易的整体收益，另一方面又能减缓经营者通过高业绩承诺目标向市场传递积极信号的动机。</w:t>
      </w:r>
    </w:p>
    <w:p w:rsidR="00832C8D" w:rsidRPr="00FE771B" w:rsidRDefault="00832C8D" w:rsidP="00832C8D">
      <w:pPr>
        <w:overflowPunct w:val="0"/>
        <w:ind w:firstLineChars="200" w:firstLine="420"/>
        <w:rPr>
          <w:rFonts w:ascii="Times New Roman" w:hAnsi="Times New Roman" w:cs="Times New Roman"/>
          <w:color w:val="000000" w:themeColor="text1"/>
        </w:rPr>
      </w:pPr>
      <w:r w:rsidRPr="00FE771B">
        <w:rPr>
          <w:rFonts w:ascii="Times New Roman" w:hAnsi="Times New Roman" w:cs="Times New Roman"/>
          <w:color w:val="000000" w:themeColor="text1"/>
        </w:rPr>
        <w:t>第二</w:t>
      </w:r>
      <w:r w:rsidR="00C27886" w:rsidRPr="00FE771B">
        <w:rPr>
          <w:rFonts w:ascii="Times New Roman" w:hAnsi="Times New Roman" w:cs="Times New Roman"/>
          <w:color w:val="000000" w:themeColor="text1"/>
        </w:rPr>
        <w:t>，</w:t>
      </w:r>
      <w:r w:rsidRPr="00FE771B">
        <w:rPr>
          <w:rFonts w:ascii="Times New Roman" w:hAnsi="Times New Roman" w:cs="Times New Roman"/>
          <w:color w:val="000000" w:themeColor="text1"/>
        </w:rPr>
        <w:t>不断完善现代公司治理体系，形成相互制衡的股权结构，减少大股东过度干预上市公司正常经营的可能。并购作为公司重大经营战略，事关企业生存与发展壮大，市场上太多案例因此而兴</w:t>
      </w:r>
      <w:r w:rsidR="0056756B" w:rsidRPr="00FE771B">
        <w:rPr>
          <w:rFonts w:ascii="Times New Roman" w:hAnsi="Times New Roman" w:cs="Times New Roman"/>
          <w:color w:val="000000" w:themeColor="text1"/>
        </w:rPr>
        <w:t>也</w:t>
      </w:r>
      <w:r w:rsidRPr="00FE771B">
        <w:rPr>
          <w:rFonts w:ascii="Times New Roman" w:hAnsi="Times New Roman" w:cs="Times New Roman"/>
          <w:color w:val="000000" w:themeColor="text1"/>
        </w:rPr>
        <w:t>因此而衰，因此</w:t>
      </w:r>
      <w:r w:rsidR="002D29DC" w:rsidRPr="00FE771B">
        <w:rPr>
          <w:rFonts w:ascii="Times New Roman" w:hAnsi="Times New Roman" w:cs="Times New Roman"/>
          <w:color w:val="000000" w:themeColor="text1"/>
        </w:rPr>
        <w:t>业绩承诺</w:t>
      </w:r>
      <w:r w:rsidRPr="00FE771B">
        <w:rPr>
          <w:rFonts w:ascii="Times New Roman" w:hAnsi="Times New Roman" w:cs="Times New Roman"/>
          <w:color w:val="000000" w:themeColor="text1"/>
        </w:rPr>
        <w:t>作为估值调整机制更应该发挥其正面作用。但从现实很多案例以及本文研究看</w:t>
      </w:r>
      <w:r w:rsidR="002D29DC" w:rsidRPr="00FE771B">
        <w:rPr>
          <w:rFonts w:ascii="Times New Roman" w:hAnsi="Times New Roman" w:cs="Times New Roman"/>
          <w:color w:val="000000" w:themeColor="text1"/>
        </w:rPr>
        <w:t>业绩承诺</w:t>
      </w:r>
      <w:r w:rsidRPr="00FE771B">
        <w:rPr>
          <w:rFonts w:ascii="Times New Roman" w:hAnsi="Times New Roman" w:cs="Times New Roman"/>
          <w:color w:val="000000" w:themeColor="text1"/>
        </w:rPr>
        <w:t>的估值调整功能丧失，也源于上市公司内部监管的缺位，上市公司治理结构亟待完善。大股东过度干预上市公司一方面导致上市公司主体性缺失，广大中小股东的利益无法得到体现，上市公司利益过度与大股东个人利益绑定；另一方面股权过度集中还导致公司内部控制流于形式，事关公司长期发展的投融资决策更多还是取决于大股东的意志和意愿。以</w:t>
      </w:r>
      <w:r w:rsidR="002D29DC" w:rsidRPr="00FE771B">
        <w:rPr>
          <w:rFonts w:ascii="Times New Roman" w:hAnsi="Times New Roman" w:cs="Times New Roman"/>
          <w:color w:val="000000" w:themeColor="text1"/>
        </w:rPr>
        <w:t>业绩承诺</w:t>
      </w:r>
      <w:r w:rsidRPr="00FE771B">
        <w:rPr>
          <w:rFonts w:ascii="Times New Roman" w:hAnsi="Times New Roman" w:cs="Times New Roman"/>
          <w:color w:val="000000" w:themeColor="text1"/>
        </w:rPr>
        <w:t>为例，若有广大股东参与必将减少并购双方大股东合谋的可能，收购中必然更加关注交易实质，业绩承诺设计条款也更加符合交易实质，现有的</w:t>
      </w:r>
      <w:r w:rsidRPr="00FE771B">
        <w:rPr>
          <w:rFonts w:ascii="Times New Roman" w:hAnsi="Times New Roman" w:cs="Times New Roman"/>
          <w:color w:val="000000" w:themeColor="text1"/>
        </w:rPr>
        <w:t>“</w:t>
      </w:r>
      <w:r w:rsidRPr="00FE771B">
        <w:rPr>
          <w:rFonts w:ascii="Times New Roman" w:hAnsi="Times New Roman" w:cs="Times New Roman"/>
          <w:color w:val="000000" w:themeColor="text1"/>
        </w:rPr>
        <w:t>高溢价</w:t>
      </w:r>
      <w:r w:rsidRPr="00FE771B">
        <w:rPr>
          <w:rFonts w:ascii="Times New Roman" w:hAnsi="Times New Roman" w:cs="Times New Roman"/>
          <w:color w:val="000000" w:themeColor="text1"/>
        </w:rPr>
        <w:t>”</w:t>
      </w:r>
      <w:r w:rsidRPr="00FE771B">
        <w:rPr>
          <w:rFonts w:ascii="Times New Roman" w:hAnsi="Times New Roman" w:cs="Times New Roman"/>
          <w:color w:val="000000" w:themeColor="text1"/>
        </w:rPr>
        <w:t>与</w:t>
      </w:r>
      <w:r w:rsidRPr="00FE771B">
        <w:rPr>
          <w:rFonts w:ascii="Times New Roman" w:hAnsi="Times New Roman" w:cs="Times New Roman"/>
          <w:color w:val="000000" w:themeColor="text1"/>
        </w:rPr>
        <w:t>“</w:t>
      </w:r>
      <w:r w:rsidRPr="00FE771B">
        <w:rPr>
          <w:rFonts w:ascii="Times New Roman" w:hAnsi="Times New Roman" w:cs="Times New Roman"/>
          <w:color w:val="000000" w:themeColor="text1"/>
        </w:rPr>
        <w:t>高承诺</w:t>
      </w:r>
      <w:r w:rsidRPr="00FE771B">
        <w:rPr>
          <w:rFonts w:ascii="Times New Roman" w:hAnsi="Times New Roman" w:cs="Times New Roman"/>
          <w:color w:val="000000" w:themeColor="text1"/>
        </w:rPr>
        <w:t>”</w:t>
      </w:r>
      <w:r w:rsidRPr="00FE771B">
        <w:rPr>
          <w:rFonts w:ascii="Times New Roman" w:hAnsi="Times New Roman" w:cs="Times New Roman"/>
          <w:color w:val="000000" w:themeColor="text1"/>
        </w:rPr>
        <w:t>等明显不符合实际条款自然也就不复存在。</w:t>
      </w:r>
    </w:p>
    <w:p w:rsidR="00832C8D" w:rsidRPr="00FE771B" w:rsidRDefault="00832C8D" w:rsidP="00832C8D">
      <w:pPr>
        <w:overflowPunct w:val="0"/>
        <w:ind w:firstLineChars="200" w:firstLine="420"/>
        <w:rPr>
          <w:rFonts w:ascii="Times New Roman" w:hAnsi="Times New Roman" w:cs="Times New Roman"/>
          <w:color w:val="000000" w:themeColor="text1"/>
        </w:rPr>
      </w:pPr>
      <w:r w:rsidRPr="00FE771B">
        <w:rPr>
          <w:rFonts w:ascii="Times New Roman" w:hAnsi="Times New Roman" w:cs="Times New Roman"/>
          <w:color w:val="000000" w:themeColor="text1"/>
        </w:rPr>
        <w:t>第三</w:t>
      </w:r>
      <w:r w:rsidR="00C27886" w:rsidRPr="00FE771B">
        <w:rPr>
          <w:rFonts w:ascii="Times New Roman" w:hAnsi="Times New Roman" w:cs="Times New Roman"/>
          <w:color w:val="000000" w:themeColor="text1"/>
        </w:rPr>
        <w:t>，</w:t>
      </w:r>
      <w:r w:rsidRPr="00FE771B">
        <w:rPr>
          <w:rFonts w:ascii="Times New Roman" w:hAnsi="Times New Roman" w:cs="Times New Roman"/>
          <w:color w:val="000000" w:themeColor="text1"/>
        </w:rPr>
        <w:t>加强信息披露制度建设，及时将信息公之于众，减少大股东与中小投资者之间信息不对称。信息是资本市场的重要要素，信息承载了资本市场的内涵。从根本上说市场上很多业绩承诺</w:t>
      </w:r>
      <w:r w:rsidRPr="00FE771B">
        <w:rPr>
          <w:rFonts w:ascii="Times New Roman" w:hAnsi="Times New Roman" w:cs="Times New Roman"/>
          <w:color w:val="000000" w:themeColor="text1"/>
        </w:rPr>
        <w:t>“</w:t>
      </w:r>
      <w:r w:rsidRPr="00FE771B">
        <w:rPr>
          <w:rFonts w:ascii="Times New Roman" w:hAnsi="Times New Roman" w:cs="Times New Roman"/>
          <w:color w:val="000000" w:themeColor="text1"/>
        </w:rPr>
        <w:t>变味</w:t>
      </w:r>
      <w:r w:rsidRPr="00FE771B">
        <w:rPr>
          <w:rFonts w:ascii="Times New Roman" w:hAnsi="Times New Roman" w:cs="Times New Roman"/>
          <w:color w:val="000000" w:themeColor="text1"/>
        </w:rPr>
        <w:t>”</w:t>
      </w:r>
      <w:r w:rsidRPr="00FE771B">
        <w:rPr>
          <w:rFonts w:ascii="Times New Roman" w:hAnsi="Times New Roman" w:cs="Times New Roman"/>
          <w:color w:val="000000" w:themeColor="text1"/>
        </w:rPr>
        <w:t>或</w:t>
      </w:r>
      <w:proofErr w:type="gramStart"/>
      <w:r w:rsidRPr="00FE771B">
        <w:rPr>
          <w:rFonts w:ascii="Times New Roman" w:hAnsi="Times New Roman" w:cs="Times New Roman"/>
          <w:color w:val="000000" w:themeColor="text1"/>
        </w:rPr>
        <w:t>走偏都与</w:t>
      </w:r>
      <w:proofErr w:type="gramEnd"/>
      <w:r w:rsidRPr="00FE771B">
        <w:rPr>
          <w:rFonts w:ascii="Times New Roman" w:hAnsi="Times New Roman" w:cs="Times New Roman"/>
          <w:color w:val="000000" w:themeColor="text1"/>
        </w:rPr>
        <w:t>信息提供方（控股股东及上市公司）与</w:t>
      </w:r>
      <w:proofErr w:type="gramStart"/>
      <w:r w:rsidRPr="00FE771B">
        <w:rPr>
          <w:rFonts w:ascii="Times New Roman" w:hAnsi="Times New Roman" w:cs="Times New Roman"/>
          <w:color w:val="000000" w:themeColor="text1"/>
        </w:rPr>
        <w:t>信息获</w:t>
      </w:r>
      <w:proofErr w:type="gramEnd"/>
      <w:r w:rsidRPr="00FE771B">
        <w:rPr>
          <w:rFonts w:ascii="Times New Roman" w:hAnsi="Times New Roman" w:cs="Times New Roman"/>
          <w:color w:val="000000" w:themeColor="text1"/>
        </w:rPr>
        <w:t>受方（广大中小投资者）的信息不对称有密切关系。从监管方看，要将签订</w:t>
      </w:r>
      <w:r w:rsidR="002D29DC" w:rsidRPr="00FE771B">
        <w:rPr>
          <w:rFonts w:ascii="Times New Roman" w:hAnsi="Times New Roman" w:cs="Times New Roman"/>
          <w:color w:val="000000" w:themeColor="text1"/>
        </w:rPr>
        <w:t>业绩承诺</w:t>
      </w:r>
      <w:r w:rsidRPr="00FE771B">
        <w:rPr>
          <w:rFonts w:ascii="Times New Roman" w:hAnsi="Times New Roman" w:cs="Times New Roman"/>
          <w:color w:val="000000" w:themeColor="text1"/>
        </w:rPr>
        <w:t>作为上市公司并购重组重大信息进行及时披露或者单独披露，以引起投资者对此项并购交易的关注；作为信息提供主体，要通过信息披露制度建设督促上市公司披露相关重要信息，及时回应投资者在各类媒体的关切，及时与投资者就相关话题进行互动，以消除市场疑虑；作为投资者，要理性对待业绩承诺中各类消息，特别是不符合并购双方实际的业绩承诺要特别关注；最后，应尝试构建集合监管机构、企业主体与投资者的一体化信息披露平台，打通三者之间的盲区，以最短的时间将信息消化于市场趋势中。</w:t>
      </w:r>
    </w:p>
    <w:p w:rsidR="00B6234C" w:rsidRPr="00FE771B" w:rsidRDefault="00B6234C">
      <w:pPr>
        <w:rPr>
          <w:rFonts w:ascii="Times New Roman" w:hAnsi="Times New Roman" w:cs="Times New Roman"/>
        </w:rPr>
      </w:pPr>
    </w:p>
    <w:p w:rsidR="00B6234C" w:rsidRPr="00FE771B" w:rsidRDefault="00B6234C" w:rsidP="00B6234C">
      <w:pPr>
        <w:rPr>
          <w:rFonts w:ascii="Times New Roman" w:eastAsia="黑体" w:hAnsi="Times New Roman" w:cs="Times New Roman"/>
          <w:sz w:val="24"/>
          <w:szCs w:val="24"/>
        </w:rPr>
      </w:pPr>
      <w:r w:rsidRPr="00FE771B">
        <w:rPr>
          <w:rFonts w:ascii="Times New Roman" w:eastAsia="黑体" w:hAnsi="Times New Roman" w:cs="Times New Roman"/>
          <w:sz w:val="24"/>
          <w:szCs w:val="24"/>
        </w:rPr>
        <w:t>参考文献</w:t>
      </w:r>
      <w:r w:rsidR="006E0BA9" w:rsidRPr="00FE771B">
        <w:rPr>
          <w:rFonts w:ascii="Times New Roman" w:eastAsia="黑体" w:hAnsi="Times New Roman" w:cs="Times New Roman"/>
          <w:sz w:val="24"/>
          <w:szCs w:val="24"/>
        </w:rPr>
        <w:t>：</w:t>
      </w:r>
    </w:p>
    <w:p w:rsidR="005C5DAC" w:rsidRPr="00FE771B" w:rsidRDefault="005C5DAC" w:rsidP="005C5DAC">
      <w:pPr>
        <w:rPr>
          <w:rFonts w:ascii="Times New Roman" w:hAnsi="Times New Roman" w:cs="Times New Roman"/>
          <w:color w:val="000000" w:themeColor="text1"/>
        </w:rPr>
      </w:pPr>
      <w:r w:rsidRPr="00FE771B">
        <w:rPr>
          <w:rFonts w:ascii="Times New Roman" w:hAnsi="Times New Roman" w:cs="Times New Roman"/>
          <w:color w:val="000000" w:themeColor="text1"/>
        </w:rPr>
        <w:t>曹丰</w:t>
      </w:r>
      <w:r w:rsidRPr="00FE771B">
        <w:rPr>
          <w:rFonts w:ascii="Times New Roman" w:hAnsi="Times New Roman" w:cs="Times New Roman"/>
          <w:color w:val="000000" w:themeColor="text1"/>
        </w:rPr>
        <w:t xml:space="preserve"> </w:t>
      </w:r>
      <w:r w:rsidRPr="00FE771B">
        <w:rPr>
          <w:rFonts w:ascii="Times New Roman" w:hAnsi="Times New Roman" w:cs="Times New Roman"/>
          <w:color w:val="000000" w:themeColor="text1"/>
        </w:rPr>
        <w:t>谷孝颖，</w:t>
      </w:r>
      <w:r w:rsidRPr="00FE771B">
        <w:rPr>
          <w:rFonts w:ascii="Times New Roman" w:hAnsi="Times New Roman" w:cs="Times New Roman"/>
          <w:color w:val="000000" w:themeColor="text1"/>
        </w:rPr>
        <w:t>2019</w:t>
      </w:r>
      <w:r w:rsidRPr="00FE771B">
        <w:rPr>
          <w:rFonts w:ascii="Times New Roman" w:hAnsi="Times New Roman" w:cs="Times New Roman"/>
          <w:color w:val="000000" w:themeColor="text1"/>
        </w:rPr>
        <w:t>：《非国有股东治理能够抑制国有企业金融化吗</w:t>
      </w:r>
      <w:r w:rsidRPr="00FE771B">
        <w:rPr>
          <w:rFonts w:ascii="Times New Roman" w:hAnsi="Times New Roman" w:cs="Times New Roman"/>
          <w:color w:val="000000" w:themeColor="text1"/>
        </w:rPr>
        <w:t>?</w:t>
      </w:r>
      <w:r w:rsidRPr="00FE771B">
        <w:rPr>
          <w:rFonts w:ascii="Times New Roman" w:hAnsi="Times New Roman" w:cs="Times New Roman"/>
          <w:color w:val="000000" w:themeColor="text1"/>
        </w:rPr>
        <w:t>》，《经济管理》第</w:t>
      </w:r>
      <w:r w:rsidRPr="00FE771B">
        <w:rPr>
          <w:rFonts w:ascii="Times New Roman" w:hAnsi="Times New Roman" w:cs="Times New Roman"/>
          <w:color w:val="000000" w:themeColor="text1"/>
        </w:rPr>
        <w:t>1</w:t>
      </w:r>
      <w:r w:rsidRPr="00FE771B">
        <w:rPr>
          <w:rFonts w:ascii="Times New Roman" w:hAnsi="Times New Roman" w:cs="Times New Roman"/>
          <w:color w:val="000000" w:themeColor="text1"/>
        </w:rPr>
        <w:t>期。</w:t>
      </w:r>
    </w:p>
    <w:p w:rsidR="005C5DAC" w:rsidRPr="00FE771B" w:rsidRDefault="005C5DAC" w:rsidP="005C5DAC">
      <w:pPr>
        <w:rPr>
          <w:rFonts w:ascii="Times New Roman" w:hAnsi="Times New Roman" w:cs="Times New Roman"/>
          <w:color w:val="000000" w:themeColor="text1"/>
        </w:rPr>
      </w:pPr>
      <w:proofErr w:type="gramStart"/>
      <w:r w:rsidRPr="00FE771B">
        <w:rPr>
          <w:rFonts w:ascii="Times New Roman" w:hAnsi="Times New Roman" w:cs="Times New Roman"/>
          <w:color w:val="000000" w:themeColor="text1"/>
        </w:rPr>
        <w:t>窦超</w:t>
      </w:r>
      <w:proofErr w:type="gramEnd"/>
      <w:r w:rsidRPr="00FE771B">
        <w:rPr>
          <w:rFonts w:ascii="Times New Roman" w:hAnsi="Times New Roman" w:cs="Times New Roman"/>
          <w:color w:val="000000" w:themeColor="text1"/>
        </w:rPr>
        <w:t xml:space="preserve"> </w:t>
      </w:r>
      <w:r w:rsidRPr="00FE771B">
        <w:rPr>
          <w:rFonts w:ascii="Times New Roman" w:hAnsi="Times New Roman" w:cs="Times New Roman"/>
          <w:color w:val="000000" w:themeColor="text1"/>
        </w:rPr>
        <w:t>翟进步，</w:t>
      </w:r>
      <w:r w:rsidRPr="00FE771B">
        <w:rPr>
          <w:rFonts w:ascii="Times New Roman" w:hAnsi="Times New Roman" w:cs="Times New Roman"/>
          <w:color w:val="000000" w:themeColor="text1"/>
        </w:rPr>
        <w:t>2020</w:t>
      </w:r>
      <w:r w:rsidRPr="00FE771B">
        <w:rPr>
          <w:rFonts w:ascii="Times New Roman" w:hAnsi="Times New Roman" w:cs="Times New Roman"/>
          <w:color w:val="000000" w:themeColor="text1"/>
        </w:rPr>
        <w:t>：《业绩承诺背后的财富转移效应研究》，</w:t>
      </w:r>
      <w:r w:rsidR="00837FD7" w:rsidRPr="00FE771B">
        <w:rPr>
          <w:rFonts w:ascii="Times New Roman" w:hAnsi="Times New Roman" w:cs="Times New Roman"/>
          <w:color w:val="000000" w:themeColor="text1"/>
        </w:rPr>
        <w:t>《金融研究》第</w:t>
      </w:r>
      <w:r w:rsidR="00837FD7" w:rsidRPr="00FE771B">
        <w:rPr>
          <w:rFonts w:ascii="Times New Roman" w:hAnsi="Times New Roman" w:cs="Times New Roman"/>
          <w:color w:val="000000" w:themeColor="text1"/>
        </w:rPr>
        <w:t>12</w:t>
      </w:r>
      <w:r w:rsidR="00837FD7" w:rsidRPr="00FE771B">
        <w:rPr>
          <w:rFonts w:ascii="Times New Roman" w:hAnsi="Times New Roman" w:cs="Times New Roman"/>
          <w:color w:val="000000" w:themeColor="text1"/>
        </w:rPr>
        <w:t>期。</w:t>
      </w:r>
    </w:p>
    <w:p w:rsidR="005C5DAC" w:rsidRPr="00FE771B" w:rsidRDefault="005C5DAC" w:rsidP="005C5DAC">
      <w:pPr>
        <w:rPr>
          <w:rFonts w:ascii="Times New Roman" w:hAnsi="Times New Roman" w:cs="Times New Roman"/>
          <w:color w:val="000000" w:themeColor="text1"/>
        </w:rPr>
      </w:pPr>
      <w:r w:rsidRPr="00FE771B">
        <w:rPr>
          <w:rFonts w:ascii="Times New Roman" w:hAnsi="Times New Roman" w:cs="Times New Roman"/>
          <w:color w:val="000000" w:themeColor="text1"/>
        </w:rPr>
        <w:t>杜勇</w:t>
      </w:r>
      <w:r w:rsidR="00837FD7" w:rsidRPr="00FE771B">
        <w:rPr>
          <w:rFonts w:ascii="Times New Roman" w:hAnsi="Times New Roman" w:cs="Times New Roman"/>
          <w:color w:val="000000" w:themeColor="text1"/>
        </w:rPr>
        <w:t xml:space="preserve"> </w:t>
      </w:r>
      <w:r w:rsidRPr="00FE771B">
        <w:rPr>
          <w:rFonts w:ascii="Times New Roman" w:hAnsi="Times New Roman" w:cs="Times New Roman"/>
          <w:color w:val="000000" w:themeColor="text1"/>
        </w:rPr>
        <w:t>邓旭</w:t>
      </w:r>
      <w:r w:rsidR="00837FD7" w:rsidRPr="00FE771B">
        <w:rPr>
          <w:rFonts w:ascii="Times New Roman" w:hAnsi="Times New Roman" w:cs="Times New Roman"/>
          <w:color w:val="000000" w:themeColor="text1"/>
        </w:rPr>
        <w:t>，</w:t>
      </w:r>
      <w:r w:rsidR="00837FD7" w:rsidRPr="00FE771B">
        <w:rPr>
          <w:rFonts w:ascii="Times New Roman" w:hAnsi="Times New Roman" w:cs="Times New Roman"/>
          <w:color w:val="000000" w:themeColor="text1"/>
        </w:rPr>
        <w:t>2020</w:t>
      </w:r>
      <w:r w:rsidR="00837FD7" w:rsidRPr="00FE771B">
        <w:rPr>
          <w:rFonts w:ascii="Times New Roman" w:hAnsi="Times New Roman" w:cs="Times New Roman"/>
          <w:color w:val="000000" w:themeColor="text1"/>
        </w:rPr>
        <w:t>：《中国式融资融券与企业金融化</w:t>
      </w:r>
      <w:r w:rsidR="00837FD7" w:rsidRPr="00FE771B">
        <w:rPr>
          <w:rFonts w:ascii="Times New Roman" w:hAnsi="Times New Roman" w:cs="Times New Roman"/>
          <w:color w:val="000000" w:themeColor="text1"/>
        </w:rPr>
        <w:t>——</w:t>
      </w:r>
      <w:r w:rsidR="00837FD7" w:rsidRPr="00FE771B">
        <w:rPr>
          <w:rFonts w:ascii="Times New Roman" w:hAnsi="Times New Roman" w:cs="Times New Roman"/>
          <w:color w:val="000000" w:themeColor="text1"/>
        </w:rPr>
        <w:t>基于分批扩容的准自然实验》</w:t>
      </w:r>
      <w:r w:rsidR="00837FD7" w:rsidRPr="00FE771B">
        <w:rPr>
          <w:rFonts w:ascii="Times New Roman" w:hAnsi="Times New Roman" w:cs="Times New Roman"/>
          <w:color w:val="000000" w:themeColor="text1"/>
        </w:rPr>
        <w:t xml:space="preserve"> </w:t>
      </w:r>
      <w:r w:rsidR="00837FD7" w:rsidRPr="00FE771B">
        <w:rPr>
          <w:rFonts w:ascii="Times New Roman" w:hAnsi="Times New Roman" w:cs="Times New Roman"/>
          <w:color w:val="000000" w:themeColor="text1"/>
        </w:rPr>
        <w:t>，《财贸经济》第</w:t>
      </w:r>
      <w:r w:rsidR="00837FD7" w:rsidRPr="00FE771B">
        <w:rPr>
          <w:rFonts w:ascii="Times New Roman" w:hAnsi="Times New Roman" w:cs="Times New Roman"/>
          <w:color w:val="000000" w:themeColor="text1"/>
        </w:rPr>
        <w:t>2</w:t>
      </w:r>
      <w:r w:rsidR="00837FD7" w:rsidRPr="00FE771B">
        <w:rPr>
          <w:rFonts w:ascii="Times New Roman" w:hAnsi="Times New Roman" w:cs="Times New Roman"/>
          <w:color w:val="000000" w:themeColor="text1"/>
        </w:rPr>
        <w:t>期。</w:t>
      </w:r>
    </w:p>
    <w:p w:rsidR="005C5DAC" w:rsidRPr="00FE771B" w:rsidRDefault="005C5DAC" w:rsidP="005C5DAC">
      <w:pPr>
        <w:rPr>
          <w:rFonts w:ascii="Times New Roman" w:hAnsi="Times New Roman" w:cs="Times New Roman"/>
          <w:color w:val="000000" w:themeColor="text1"/>
        </w:rPr>
      </w:pPr>
      <w:r w:rsidRPr="00FE771B">
        <w:rPr>
          <w:rFonts w:ascii="Times New Roman" w:hAnsi="Times New Roman" w:cs="Times New Roman"/>
          <w:color w:val="000000" w:themeColor="text1"/>
        </w:rPr>
        <w:t>杜勇</w:t>
      </w:r>
      <w:r w:rsidR="00837FD7" w:rsidRPr="00FE771B">
        <w:rPr>
          <w:rFonts w:ascii="Times New Roman" w:hAnsi="Times New Roman" w:cs="Times New Roman"/>
          <w:color w:val="000000" w:themeColor="text1"/>
        </w:rPr>
        <w:t xml:space="preserve"> </w:t>
      </w:r>
      <w:r w:rsidR="00837FD7" w:rsidRPr="00FE771B">
        <w:rPr>
          <w:rFonts w:ascii="Times New Roman" w:hAnsi="Times New Roman" w:cs="Times New Roman"/>
          <w:color w:val="000000" w:themeColor="text1"/>
        </w:rPr>
        <w:t>等，</w:t>
      </w:r>
      <w:r w:rsidR="00837FD7" w:rsidRPr="00FE771B">
        <w:rPr>
          <w:rFonts w:ascii="Times New Roman" w:hAnsi="Times New Roman" w:cs="Times New Roman"/>
          <w:color w:val="000000" w:themeColor="text1"/>
        </w:rPr>
        <w:t>2017</w:t>
      </w:r>
      <w:r w:rsidR="00837FD7" w:rsidRPr="00FE771B">
        <w:rPr>
          <w:rFonts w:ascii="Times New Roman" w:hAnsi="Times New Roman" w:cs="Times New Roman"/>
          <w:color w:val="000000" w:themeColor="text1"/>
        </w:rPr>
        <w:t>：《金融化对实体企业未来主业发展的影响</w:t>
      </w:r>
      <w:r w:rsidR="00837FD7" w:rsidRPr="00FE771B">
        <w:rPr>
          <w:rFonts w:ascii="Times New Roman" w:hAnsi="Times New Roman" w:cs="Times New Roman"/>
          <w:color w:val="000000" w:themeColor="text1"/>
        </w:rPr>
        <w:t>:</w:t>
      </w:r>
      <w:r w:rsidR="00837FD7" w:rsidRPr="00FE771B">
        <w:rPr>
          <w:rFonts w:ascii="Times New Roman" w:hAnsi="Times New Roman" w:cs="Times New Roman"/>
          <w:color w:val="000000" w:themeColor="text1"/>
        </w:rPr>
        <w:t>促进还是抑制》，《中国工业经济》第</w:t>
      </w:r>
      <w:r w:rsidR="00837FD7" w:rsidRPr="00FE771B">
        <w:rPr>
          <w:rFonts w:ascii="Times New Roman" w:hAnsi="Times New Roman" w:cs="Times New Roman"/>
          <w:color w:val="000000" w:themeColor="text1"/>
        </w:rPr>
        <w:t>12</w:t>
      </w:r>
      <w:r w:rsidR="00837FD7" w:rsidRPr="00FE771B">
        <w:rPr>
          <w:rFonts w:ascii="Times New Roman" w:hAnsi="Times New Roman" w:cs="Times New Roman"/>
          <w:color w:val="000000" w:themeColor="text1"/>
        </w:rPr>
        <w:t>期</w:t>
      </w:r>
      <w:r w:rsidRPr="00FE771B">
        <w:rPr>
          <w:rFonts w:ascii="Times New Roman" w:hAnsi="Times New Roman" w:cs="Times New Roman"/>
          <w:color w:val="000000" w:themeColor="text1"/>
        </w:rPr>
        <w:t>.</w:t>
      </w:r>
    </w:p>
    <w:p w:rsidR="005C5DAC" w:rsidRPr="00FE771B" w:rsidRDefault="005C5DAC" w:rsidP="005C5DAC">
      <w:pPr>
        <w:rPr>
          <w:rFonts w:ascii="Times New Roman" w:hAnsi="Times New Roman" w:cs="Times New Roman"/>
          <w:color w:val="000000" w:themeColor="text1"/>
        </w:rPr>
      </w:pPr>
      <w:r w:rsidRPr="00FE771B">
        <w:rPr>
          <w:rFonts w:ascii="Times New Roman" w:hAnsi="Times New Roman" w:cs="Times New Roman"/>
          <w:color w:val="000000" w:themeColor="text1"/>
        </w:rPr>
        <w:t>巩娜</w:t>
      </w:r>
      <w:r w:rsidR="00837FD7" w:rsidRPr="00FE771B">
        <w:rPr>
          <w:rFonts w:ascii="Times New Roman" w:hAnsi="Times New Roman" w:cs="Times New Roman"/>
          <w:color w:val="000000" w:themeColor="text1"/>
        </w:rPr>
        <w:t>，</w:t>
      </w:r>
      <w:r w:rsidR="00837FD7" w:rsidRPr="00FE771B">
        <w:rPr>
          <w:rFonts w:ascii="Times New Roman" w:hAnsi="Times New Roman" w:cs="Times New Roman"/>
          <w:color w:val="000000" w:themeColor="text1"/>
        </w:rPr>
        <w:t>2021</w:t>
      </w:r>
      <w:r w:rsidR="00837FD7" w:rsidRPr="00FE771B">
        <w:rPr>
          <w:rFonts w:ascii="Times New Roman" w:hAnsi="Times New Roman" w:cs="Times New Roman"/>
          <w:color w:val="000000" w:themeColor="text1"/>
        </w:rPr>
        <w:t>：《企业金融化、股权激励与公司绩效》，《经济管理》第</w:t>
      </w:r>
      <w:r w:rsidR="00837FD7" w:rsidRPr="00FE771B">
        <w:rPr>
          <w:rFonts w:ascii="Times New Roman" w:hAnsi="Times New Roman" w:cs="Times New Roman"/>
          <w:color w:val="000000" w:themeColor="text1"/>
        </w:rPr>
        <w:t>1</w:t>
      </w:r>
      <w:r w:rsidR="00837FD7" w:rsidRPr="00FE771B">
        <w:rPr>
          <w:rFonts w:ascii="Times New Roman" w:hAnsi="Times New Roman" w:cs="Times New Roman"/>
          <w:color w:val="000000" w:themeColor="text1"/>
        </w:rPr>
        <w:t>期。</w:t>
      </w:r>
    </w:p>
    <w:p w:rsidR="005C5DAC" w:rsidRPr="00FE771B" w:rsidRDefault="005C5DAC" w:rsidP="005C5DAC">
      <w:pPr>
        <w:rPr>
          <w:rFonts w:ascii="Times New Roman" w:hAnsi="Times New Roman" w:cs="Times New Roman"/>
          <w:color w:val="000000" w:themeColor="text1"/>
        </w:rPr>
      </w:pPr>
      <w:proofErr w:type="gramStart"/>
      <w:r w:rsidRPr="00FE771B">
        <w:rPr>
          <w:rFonts w:ascii="Times New Roman" w:hAnsi="Times New Roman" w:cs="Times New Roman"/>
          <w:color w:val="000000" w:themeColor="text1"/>
        </w:rPr>
        <w:t>黄群慧</w:t>
      </w:r>
      <w:proofErr w:type="gramEnd"/>
      <w:r w:rsidR="00837FD7" w:rsidRPr="00FE771B">
        <w:rPr>
          <w:rFonts w:ascii="Times New Roman" w:hAnsi="Times New Roman" w:cs="Times New Roman"/>
          <w:color w:val="000000" w:themeColor="text1"/>
        </w:rPr>
        <w:t xml:space="preserve"> </w:t>
      </w:r>
      <w:r w:rsidR="00837FD7" w:rsidRPr="00FE771B">
        <w:rPr>
          <w:rFonts w:ascii="Times New Roman" w:hAnsi="Times New Roman" w:cs="Times New Roman"/>
          <w:color w:val="000000" w:themeColor="text1"/>
        </w:rPr>
        <w:t>等，</w:t>
      </w:r>
      <w:r w:rsidR="00837FD7" w:rsidRPr="00FE771B">
        <w:rPr>
          <w:rFonts w:ascii="Times New Roman" w:hAnsi="Times New Roman" w:cs="Times New Roman"/>
          <w:color w:val="000000" w:themeColor="text1"/>
        </w:rPr>
        <w:t>2017</w:t>
      </w:r>
      <w:r w:rsidR="00837FD7" w:rsidRPr="00FE771B">
        <w:rPr>
          <w:rFonts w:ascii="Times New Roman" w:hAnsi="Times New Roman" w:cs="Times New Roman"/>
          <w:color w:val="000000" w:themeColor="text1"/>
        </w:rPr>
        <w:t>：《面向中上等收入阶段的中国工业化战略研究》，《中国社会科学》第</w:t>
      </w:r>
      <w:r w:rsidR="00837FD7" w:rsidRPr="00FE771B">
        <w:rPr>
          <w:rFonts w:ascii="Times New Roman" w:hAnsi="Times New Roman" w:cs="Times New Roman"/>
          <w:color w:val="000000" w:themeColor="text1"/>
        </w:rPr>
        <w:t>12</w:t>
      </w:r>
      <w:r w:rsidR="00837FD7" w:rsidRPr="00FE771B">
        <w:rPr>
          <w:rFonts w:ascii="Times New Roman" w:hAnsi="Times New Roman" w:cs="Times New Roman"/>
          <w:color w:val="000000" w:themeColor="text1"/>
        </w:rPr>
        <w:t>期。</w:t>
      </w:r>
    </w:p>
    <w:p w:rsidR="005C5DAC" w:rsidRPr="00FE771B" w:rsidRDefault="005C5DAC" w:rsidP="005C5DAC">
      <w:pPr>
        <w:rPr>
          <w:rFonts w:ascii="Times New Roman" w:hAnsi="Times New Roman" w:cs="Times New Roman"/>
          <w:color w:val="000000" w:themeColor="text1"/>
        </w:rPr>
      </w:pPr>
      <w:r w:rsidRPr="00FE771B">
        <w:rPr>
          <w:rFonts w:ascii="Times New Roman" w:hAnsi="Times New Roman" w:cs="Times New Roman"/>
          <w:color w:val="000000" w:themeColor="text1"/>
        </w:rPr>
        <w:t>李秉祥</w:t>
      </w:r>
      <w:r w:rsidR="00837FD7" w:rsidRPr="00FE771B">
        <w:rPr>
          <w:rFonts w:ascii="Times New Roman" w:hAnsi="Times New Roman" w:cs="Times New Roman"/>
          <w:color w:val="000000" w:themeColor="text1"/>
        </w:rPr>
        <w:t xml:space="preserve"> </w:t>
      </w:r>
      <w:r w:rsidR="00837FD7" w:rsidRPr="00FE771B">
        <w:rPr>
          <w:rFonts w:ascii="Times New Roman" w:hAnsi="Times New Roman" w:cs="Times New Roman"/>
          <w:color w:val="000000" w:themeColor="text1"/>
        </w:rPr>
        <w:t>等，</w:t>
      </w:r>
      <w:r w:rsidR="00837FD7" w:rsidRPr="00FE771B">
        <w:rPr>
          <w:rFonts w:ascii="Times New Roman" w:hAnsi="Times New Roman" w:cs="Times New Roman"/>
          <w:color w:val="000000" w:themeColor="text1"/>
        </w:rPr>
        <w:t>2019</w:t>
      </w:r>
      <w:r w:rsidRPr="00FE771B">
        <w:rPr>
          <w:rFonts w:ascii="Times New Roman" w:hAnsi="Times New Roman" w:cs="Times New Roman"/>
          <w:color w:val="000000" w:themeColor="text1"/>
        </w:rPr>
        <w:t>：《业绩补偿承诺、定增并购双价格偏离与整合效应》，《管理评论》第</w:t>
      </w:r>
      <w:r w:rsidRPr="00FE771B">
        <w:rPr>
          <w:rFonts w:ascii="Times New Roman" w:hAnsi="Times New Roman" w:cs="Times New Roman"/>
          <w:color w:val="000000" w:themeColor="text1"/>
        </w:rPr>
        <w:t>4</w:t>
      </w:r>
      <w:r w:rsidRPr="00FE771B">
        <w:rPr>
          <w:rFonts w:ascii="Times New Roman" w:hAnsi="Times New Roman" w:cs="Times New Roman"/>
          <w:color w:val="000000" w:themeColor="text1"/>
        </w:rPr>
        <w:t>期。</w:t>
      </w:r>
    </w:p>
    <w:p w:rsidR="005C5DAC" w:rsidRPr="00FE771B" w:rsidRDefault="005C5DAC" w:rsidP="005C5DAC">
      <w:pPr>
        <w:rPr>
          <w:rFonts w:ascii="Times New Roman" w:hAnsi="Times New Roman" w:cs="Times New Roman"/>
          <w:color w:val="000000" w:themeColor="text1"/>
        </w:rPr>
      </w:pPr>
      <w:r w:rsidRPr="00FE771B">
        <w:rPr>
          <w:rFonts w:ascii="Times New Roman" w:hAnsi="Times New Roman" w:cs="Times New Roman"/>
          <w:color w:val="000000" w:themeColor="text1"/>
        </w:rPr>
        <w:t>李晶晶</w:t>
      </w:r>
      <w:r w:rsidR="00837FD7" w:rsidRPr="00FE771B">
        <w:rPr>
          <w:rFonts w:ascii="Times New Roman" w:hAnsi="Times New Roman" w:cs="Times New Roman"/>
          <w:color w:val="000000" w:themeColor="text1"/>
        </w:rPr>
        <w:t xml:space="preserve"> </w:t>
      </w:r>
      <w:r w:rsidR="00837FD7" w:rsidRPr="00FE771B">
        <w:rPr>
          <w:rFonts w:ascii="Times New Roman" w:hAnsi="Times New Roman" w:cs="Times New Roman"/>
          <w:color w:val="000000" w:themeColor="text1"/>
        </w:rPr>
        <w:t>等，</w:t>
      </w:r>
      <w:r w:rsidR="00837FD7" w:rsidRPr="00FE771B">
        <w:rPr>
          <w:rFonts w:ascii="Times New Roman" w:hAnsi="Times New Roman" w:cs="Times New Roman"/>
          <w:color w:val="000000" w:themeColor="text1"/>
        </w:rPr>
        <w:t>2020</w:t>
      </w:r>
      <w:r w:rsidR="00837FD7" w:rsidRPr="00FE771B">
        <w:rPr>
          <w:rFonts w:ascii="Times New Roman" w:hAnsi="Times New Roman" w:cs="Times New Roman"/>
          <w:color w:val="000000" w:themeColor="text1"/>
        </w:rPr>
        <w:t>：《事与愿违</w:t>
      </w:r>
      <w:r w:rsidR="00837FD7" w:rsidRPr="00FE771B">
        <w:rPr>
          <w:rFonts w:ascii="Times New Roman" w:hAnsi="Times New Roman" w:cs="Times New Roman"/>
          <w:color w:val="000000" w:themeColor="text1"/>
        </w:rPr>
        <w:t>:</w:t>
      </w:r>
      <w:r w:rsidR="00837FD7" w:rsidRPr="00FE771B">
        <w:rPr>
          <w:rFonts w:ascii="Times New Roman" w:hAnsi="Times New Roman" w:cs="Times New Roman"/>
          <w:color w:val="000000" w:themeColor="text1"/>
        </w:rPr>
        <w:t>并购业绩承诺为何加剧股价暴跌风险</w:t>
      </w:r>
      <w:r w:rsidR="00837FD7" w:rsidRPr="00FE771B">
        <w:rPr>
          <w:rFonts w:ascii="Times New Roman" w:hAnsi="Times New Roman" w:cs="Times New Roman"/>
          <w:color w:val="000000" w:themeColor="text1"/>
        </w:rPr>
        <w:t>?</w:t>
      </w:r>
      <w:r w:rsidR="00837FD7" w:rsidRPr="00FE771B">
        <w:rPr>
          <w:rFonts w:ascii="Times New Roman" w:hAnsi="Times New Roman" w:cs="Times New Roman"/>
          <w:color w:val="000000" w:themeColor="text1"/>
        </w:rPr>
        <w:t>》，《会计研究》第</w:t>
      </w:r>
      <w:r w:rsidR="00837FD7" w:rsidRPr="00FE771B">
        <w:rPr>
          <w:rFonts w:ascii="Times New Roman" w:hAnsi="Times New Roman" w:cs="Times New Roman"/>
          <w:color w:val="000000" w:themeColor="text1"/>
        </w:rPr>
        <w:t>4</w:t>
      </w:r>
      <w:r w:rsidR="00837FD7" w:rsidRPr="00FE771B">
        <w:rPr>
          <w:rFonts w:ascii="Times New Roman" w:hAnsi="Times New Roman" w:cs="Times New Roman"/>
          <w:color w:val="000000" w:themeColor="text1"/>
        </w:rPr>
        <w:t>期。</w:t>
      </w:r>
    </w:p>
    <w:p w:rsidR="005C5DAC" w:rsidRPr="00FE771B" w:rsidRDefault="005C5DAC" w:rsidP="005C5DAC">
      <w:pPr>
        <w:rPr>
          <w:rFonts w:ascii="Times New Roman" w:hAnsi="Times New Roman" w:cs="Times New Roman"/>
          <w:color w:val="000000" w:themeColor="text1"/>
        </w:rPr>
      </w:pPr>
      <w:r w:rsidRPr="00FE771B">
        <w:rPr>
          <w:rFonts w:ascii="Times New Roman" w:hAnsi="Times New Roman" w:cs="Times New Roman"/>
          <w:color w:val="000000" w:themeColor="text1"/>
        </w:rPr>
        <w:t>刘贯春</w:t>
      </w:r>
      <w:r w:rsidR="00837FD7" w:rsidRPr="00FE771B">
        <w:rPr>
          <w:rFonts w:ascii="Times New Roman" w:hAnsi="Times New Roman" w:cs="Times New Roman"/>
          <w:color w:val="000000" w:themeColor="text1"/>
        </w:rPr>
        <w:t xml:space="preserve"> </w:t>
      </w:r>
      <w:r w:rsidR="00837FD7" w:rsidRPr="00FE771B">
        <w:rPr>
          <w:rFonts w:ascii="Times New Roman" w:hAnsi="Times New Roman" w:cs="Times New Roman"/>
          <w:color w:val="000000" w:themeColor="text1"/>
        </w:rPr>
        <w:t>等，</w:t>
      </w:r>
      <w:r w:rsidR="00837FD7" w:rsidRPr="00FE771B">
        <w:rPr>
          <w:rFonts w:ascii="Times New Roman" w:hAnsi="Times New Roman" w:cs="Times New Roman"/>
          <w:color w:val="000000" w:themeColor="text1"/>
        </w:rPr>
        <w:t>2020</w:t>
      </w:r>
      <w:r w:rsidR="00837FD7" w:rsidRPr="00FE771B">
        <w:rPr>
          <w:rFonts w:ascii="Times New Roman" w:hAnsi="Times New Roman" w:cs="Times New Roman"/>
          <w:color w:val="000000" w:themeColor="text1"/>
        </w:rPr>
        <w:t>：《经济政策不确定性与中国上市公司的资产组合配置</w:t>
      </w:r>
      <w:r w:rsidR="00837FD7" w:rsidRPr="00FE771B">
        <w:rPr>
          <w:rFonts w:ascii="Times New Roman" w:hAnsi="Times New Roman" w:cs="Times New Roman"/>
          <w:color w:val="000000" w:themeColor="text1"/>
        </w:rPr>
        <w:t>——</w:t>
      </w:r>
      <w:r w:rsidR="00837FD7" w:rsidRPr="00FE771B">
        <w:rPr>
          <w:rFonts w:ascii="Times New Roman" w:hAnsi="Times New Roman" w:cs="Times New Roman"/>
          <w:color w:val="000000" w:themeColor="text1"/>
        </w:rPr>
        <w:t>兼论实体企业的</w:t>
      </w:r>
      <w:r w:rsidR="00837FD7" w:rsidRPr="00FE771B">
        <w:rPr>
          <w:rFonts w:ascii="Times New Roman" w:hAnsi="Times New Roman" w:cs="Times New Roman"/>
          <w:color w:val="000000" w:themeColor="text1"/>
        </w:rPr>
        <w:t>“</w:t>
      </w:r>
      <w:r w:rsidR="00837FD7" w:rsidRPr="00FE771B">
        <w:rPr>
          <w:rFonts w:ascii="Times New Roman" w:hAnsi="Times New Roman" w:cs="Times New Roman"/>
          <w:color w:val="000000" w:themeColor="text1"/>
        </w:rPr>
        <w:t>金融化</w:t>
      </w:r>
      <w:r w:rsidR="00837FD7" w:rsidRPr="00FE771B">
        <w:rPr>
          <w:rFonts w:ascii="Times New Roman" w:hAnsi="Times New Roman" w:cs="Times New Roman"/>
          <w:color w:val="000000" w:themeColor="text1"/>
        </w:rPr>
        <w:t>”</w:t>
      </w:r>
      <w:r w:rsidR="00837FD7" w:rsidRPr="00FE771B">
        <w:rPr>
          <w:rFonts w:ascii="Times New Roman" w:hAnsi="Times New Roman" w:cs="Times New Roman"/>
          <w:color w:val="000000" w:themeColor="text1"/>
        </w:rPr>
        <w:t>趋势》，《经济学</w:t>
      </w:r>
      <w:r w:rsidR="00837FD7" w:rsidRPr="00FE771B">
        <w:rPr>
          <w:rFonts w:ascii="Times New Roman" w:hAnsi="Times New Roman" w:cs="Times New Roman"/>
          <w:color w:val="000000" w:themeColor="text1"/>
        </w:rPr>
        <w:t>(</w:t>
      </w:r>
      <w:r w:rsidR="00837FD7" w:rsidRPr="00FE771B">
        <w:rPr>
          <w:rFonts w:ascii="Times New Roman" w:hAnsi="Times New Roman" w:cs="Times New Roman"/>
          <w:color w:val="000000" w:themeColor="text1"/>
        </w:rPr>
        <w:t>季刊</w:t>
      </w:r>
      <w:r w:rsidR="00837FD7" w:rsidRPr="00FE771B">
        <w:rPr>
          <w:rFonts w:ascii="Times New Roman" w:hAnsi="Times New Roman" w:cs="Times New Roman"/>
          <w:color w:val="000000" w:themeColor="text1"/>
        </w:rPr>
        <w:t>)</w:t>
      </w:r>
      <w:r w:rsidR="00837FD7" w:rsidRPr="00FE771B">
        <w:rPr>
          <w:rFonts w:ascii="Times New Roman" w:hAnsi="Times New Roman" w:cs="Times New Roman"/>
          <w:color w:val="000000" w:themeColor="text1"/>
        </w:rPr>
        <w:t>》第</w:t>
      </w:r>
      <w:r w:rsidR="00837FD7" w:rsidRPr="00FE771B">
        <w:rPr>
          <w:rFonts w:ascii="Times New Roman" w:hAnsi="Times New Roman" w:cs="Times New Roman"/>
          <w:color w:val="000000" w:themeColor="text1"/>
        </w:rPr>
        <w:t>5</w:t>
      </w:r>
      <w:r w:rsidR="00837FD7" w:rsidRPr="00FE771B">
        <w:rPr>
          <w:rFonts w:ascii="Times New Roman" w:hAnsi="Times New Roman" w:cs="Times New Roman"/>
          <w:color w:val="000000" w:themeColor="text1"/>
        </w:rPr>
        <w:t>期。</w:t>
      </w:r>
    </w:p>
    <w:p w:rsidR="005C5DAC" w:rsidRPr="00FE771B" w:rsidRDefault="005C5DAC" w:rsidP="005C5DAC">
      <w:pPr>
        <w:rPr>
          <w:rFonts w:ascii="Times New Roman" w:hAnsi="Times New Roman" w:cs="Times New Roman"/>
          <w:color w:val="000000" w:themeColor="text1"/>
        </w:rPr>
      </w:pPr>
      <w:r w:rsidRPr="00FE771B">
        <w:rPr>
          <w:rFonts w:ascii="Times New Roman" w:hAnsi="Times New Roman" w:cs="Times New Roman"/>
          <w:color w:val="000000" w:themeColor="text1"/>
        </w:rPr>
        <w:t>刘贯春</w:t>
      </w:r>
      <w:r w:rsidR="000E610C" w:rsidRPr="00FE771B">
        <w:rPr>
          <w:rFonts w:ascii="Times New Roman" w:hAnsi="Times New Roman" w:cs="Times New Roman"/>
          <w:color w:val="000000" w:themeColor="text1"/>
        </w:rPr>
        <w:t xml:space="preserve"> </w:t>
      </w:r>
      <w:r w:rsidR="000E610C" w:rsidRPr="00FE771B">
        <w:rPr>
          <w:rFonts w:ascii="Times New Roman" w:hAnsi="Times New Roman" w:cs="Times New Roman"/>
          <w:color w:val="000000" w:themeColor="text1"/>
        </w:rPr>
        <w:t>等，</w:t>
      </w:r>
      <w:r w:rsidR="000E610C" w:rsidRPr="00FE771B">
        <w:rPr>
          <w:rFonts w:ascii="Times New Roman" w:hAnsi="Times New Roman" w:cs="Times New Roman"/>
          <w:color w:val="000000" w:themeColor="text1"/>
        </w:rPr>
        <w:t>2018</w:t>
      </w:r>
      <w:r w:rsidR="000E610C" w:rsidRPr="00FE771B">
        <w:rPr>
          <w:rFonts w:ascii="Times New Roman" w:hAnsi="Times New Roman" w:cs="Times New Roman"/>
          <w:color w:val="000000" w:themeColor="text1"/>
        </w:rPr>
        <w:t>：《金融资产配置、宏观经济环境与企业杠杆率》，《世界经济》第</w:t>
      </w:r>
      <w:r w:rsidR="000E610C" w:rsidRPr="00FE771B">
        <w:rPr>
          <w:rFonts w:ascii="Times New Roman" w:hAnsi="Times New Roman" w:cs="Times New Roman"/>
          <w:color w:val="000000" w:themeColor="text1"/>
        </w:rPr>
        <w:t>1</w:t>
      </w:r>
      <w:r w:rsidR="000E610C" w:rsidRPr="00FE771B">
        <w:rPr>
          <w:rFonts w:ascii="Times New Roman" w:hAnsi="Times New Roman" w:cs="Times New Roman"/>
          <w:color w:val="000000" w:themeColor="text1"/>
        </w:rPr>
        <w:t>期。</w:t>
      </w:r>
    </w:p>
    <w:p w:rsidR="005C5DAC" w:rsidRPr="00FE771B" w:rsidRDefault="005C5DAC" w:rsidP="005C5DAC">
      <w:pPr>
        <w:rPr>
          <w:rFonts w:ascii="Times New Roman" w:hAnsi="Times New Roman" w:cs="Times New Roman"/>
          <w:color w:val="000000" w:themeColor="text1"/>
        </w:rPr>
      </w:pPr>
      <w:r w:rsidRPr="00FE771B">
        <w:rPr>
          <w:rFonts w:ascii="Times New Roman" w:hAnsi="Times New Roman" w:cs="Times New Roman"/>
          <w:color w:val="000000" w:themeColor="text1"/>
        </w:rPr>
        <w:t>刘伟</w:t>
      </w:r>
      <w:r w:rsidR="000E610C" w:rsidRPr="00FE771B">
        <w:rPr>
          <w:rFonts w:ascii="Times New Roman" w:hAnsi="Times New Roman" w:cs="Times New Roman"/>
          <w:color w:val="000000" w:themeColor="text1"/>
        </w:rPr>
        <w:t xml:space="preserve"> </w:t>
      </w:r>
      <w:r w:rsidRPr="00FE771B">
        <w:rPr>
          <w:rFonts w:ascii="Times New Roman" w:hAnsi="Times New Roman" w:cs="Times New Roman"/>
          <w:color w:val="000000" w:themeColor="text1"/>
        </w:rPr>
        <w:t>曹瑜强</w:t>
      </w:r>
      <w:r w:rsidR="000E610C" w:rsidRPr="00FE771B">
        <w:rPr>
          <w:rFonts w:ascii="Times New Roman" w:hAnsi="Times New Roman" w:cs="Times New Roman"/>
          <w:color w:val="000000" w:themeColor="text1"/>
        </w:rPr>
        <w:t>，</w:t>
      </w:r>
      <w:r w:rsidR="000E610C" w:rsidRPr="00FE771B">
        <w:rPr>
          <w:rFonts w:ascii="Times New Roman" w:hAnsi="Times New Roman" w:cs="Times New Roman"/>
          <w:color w:val="000000" w:themeColor="text1"/>
        </w:rPr>
        <w:t>2018</w:t>
      </w:r>
      <w:r w:rsidR="000E610C" w:rsidRPr="00FE771B">
        <w:rPr>
          <w:rFonts w:ascii="Times New Roman" w:hAnsi="Times New Roman" w:cs="Times New Roman"/>
          <w:color w:val="000000" w:themeColor="text1"/>
        </w:rPr>
        <w:t>：《机构投资者驱动实体经济</w:t>
      </w:r>
      <w:r w:rsidR="000E610C" w:rsidRPr="00FE771B">
        <w:rPr>
          <w:rFonts w:ascii="Times New Roman" w:hAnsi="Times New Roman" w:cs="Times New Roman"/>
          <w:color w:val="000000" w:themeColor="text1"/>
        </w:rPr>
        <w:t>“</w:t>
      </w:r>
      <w:r w:rsidR="000E610C" w:rsidRPr="00FE771B">
        <w:rPr>
          <w:rFonts w:ascii="Times New Roman" w:hAnsi="Times New Roman" w:cs="Times New Roman"/>
          <w:color w:val="000000" w:themeColor="text1"/>
        </w:rPr>
        <w:t>脱实向虚</w:t>
      </w:r>
      <w:r w:rsidR="000E610C" w:rsidRPr="00FE771B">
        <w:rPr>
          <w:rFonts w:ascii="Times New Roman" w:hAnsi="Times New Roman" w:cs="Times New Roman"/>
          <w:color w:val="000000" w:themeColor="text1"/>
        </w:rPr>
        <w:t>”</w:t>
      </w:r>
      <w:r w:rsidR="000E610C" w:rsidRPr="00FE771B">
        <w:rPr>
          <w:rFonts w:ascii="Times New Roman" w:hAnsi="Times New Roman" w:cs="Times New Roman"/>
          <w:color w:val="000000" w:themeColor="text1"/>
        </w:rPr>
        <w:t>了吗》，《财贸经济》第</w:t>
      </w:r>
      <w:r w:rsidR="000E610C" w:rsidRPr="00FE771B">
        <w:rPr>
          <w:rFonts w:ascii="Times New Roman" w:hAnsi="Times New Roman" w:cs="Times New Roman"/>
          <w:color w:val="000000" w:themeColor="text1"/>
        </w:rPr>
        <w:t>12</w:t>
      </w:r>
      <w:r w:rsidR="000E610C" w:rsidRPr="00FE771B">
        <w:rPr>
          <w:rFonts w:ascii="Times New Roman" w:hAnsi="Times New Roman" w:cs="Times New Roman"/>
          <w:color w:val="000000" w:themeColor="text1"/>
        </w:rPr>
        <w:t>期。</w:t>
      </w:r>
    </w:p>
    <w:p w:rsidR="005C5DAC" w:rsidRPr="00FE771B" w:rsidRDefault="005C5DAC" w:rsidP="005C5DAC">
      <w:pPr>
        <w:rPr>
          <w:rFonts w:ascii="Times New Roman" w:hAnsi="Times New Roman" w:cs="Times New Roman"/>
          <w:color w:val="000000" w:themeColor="text1"/>
        </w:rPr>
      </w:pPr>
      <w:r w:rsidRPr="00FE771B">
        <w:rPr>
          <w:rFonts w:ascii="Times New Roman" w:hAnsi="Times New Roman" w:cs="Times New Roman"/>
          <w:color w:val="000000" w:themeColor="text1"/>
        </w:rPr>
        <w:t>刘向强</w:t>
      </w:r>
      <w:r w:rsidR="000E610C" w:rsidRPr="00FE771B">
        <w:rPr>
          <w:rFonts w:ascii="Times New Roman" w:hAnsi="Times New Roman" w:cs="Times New Roman"/>
          <w:color w:val="000000" w:themeColor="text1"/>
        </w:rPr>
        <w:t xml:space="preserve"> </w:t>
      </w:r>
      <w:r w:rsidR="000E610C" w:rsidRPr="00FE771B">
        <w:rPr>
          <w:rFonts w:ascii="Times New Roman" w:hAnsi="Times New Roman" w:cs="Times New Roman"/>
          <w:color w:val="000000" w:themeColor="text1"/>
        </w:rPr>
        <w:t>等，</w:t>
      </w:r>
      <w:r w:rsidR="000E610C" w:rsidRPr="00FE771B">
        <w:rPr>
          <w:rFonts w:ascii="Times New Roman" w:hAnsi="Times New Roman" w:cs="Times New Roman"/>
          <w:color w:val="000000" w:themeColor="text1"/>
        </w:rPr>
        <w:t>2018</w:t>
      </w:r>
      <w:r w:rsidR="000E610C" w:rsidRPr="00FE771B">
        <w:rPr>
          <w:rFonts w:ascii="Times New Roman" w:hAnsi="Times New Roman" w:cs="Times New Roman"/>
          <w:color w:val="000000" w:themeColor="text1"/>
        </w:rPr>
        <w:t>：《并购业绩承诺与审计收费》，《会计研究》第</w:t>
      </w:r>
      <w:r w:rsidR="000E610C" w:rsidRPr="00FE771B">
        <w:rPr>
          <w:rFonts w:ascii="Times New Roman" w:hAnsi="Times New Roman" w:cs="Times New Roman"/>
          <w:color w:val="000000" w:themeColor="text1"/>
        </w:rPr>
        <w:t>12</w:t>
      </w:r>
      <w:r w:rsidR="000E610C" w:rsidRPr="00FE771B">
        <w:rPr>
          <w:rFonts w:ascii="Times New Roman" w:hAnsi="Times New Roman" w:cs="Times New Roman"/>
          <w:color w:val="000000" w:themeColor="text1"/>
        </w:rPr>
        <w:t>期。</w:t>
      </w:r>
    </w:p>
    <w:p w:rsidR="005C5DAC" w:rsidRPr="00FE771B" w:rsidRDefault="005C5DAC" w:rsidP="005C5DAC">
      <w:pPr>
        <w:rPr>
          <w:rFonts w:ascii="Times New Roman" w:hAnsi="Times New Roman" w:cs="Times New Roman"/>
          <w:color w:val="000000" w:themeColor="text1"/>
        </w:rPr>
      </w:pPr>
      <w:r w:rsidRPr="00FE771B">
        <w:rPr>
          <w:rFonts w:ascii="Times New Roman" w:hAnsi="Times New Roman" w:cs="Times New Roman"/>
          <w:color w:val="000000" w:themeColor="text1"/>
        </w:rPr>
        <w:t>吕长江</w:t>
      </w:r>
      <w:r w:rsidR="000E610C" w:rsidRPr="00FE771B">
        <w:rPr>
          <w:rFonts w:ascii="Times New Roman" w:hAnsi="Times New Roman" w:cs="Times New Roman"/>
          <w:color w:val="000000" w:themeColor="text1"/>
        </w:rPr>
        <w:t xml:space="preserve"> </w:t>
      </w:r>
      <w:r w:rsidRPr="00FE771B">
        <w:rPr>
          <w:rFonts w:ascii="Times New Roman" w:hAnsi="Times New Roman" w:cs="Times New Roman"/>
          <w:color w:val="000000" w:themeColor="text1"/>
        </w:rPr>
        <w:t>韩慧博</w:t>
      </w:r>
      <w:r w:rsidR="000E610C" w:rsidRPr="00FE771B">
        <w:rPr>
          <w:rFonts w:ascii="Times New Roman" w:hAnsi="Times New Roman" w:cs="Times New Roman"/>
          <w:color w:val="000000" w:themeColor="text1"/>
        </w:rPr>
        <w:t>，</w:t>
      </w:r>
      <w:r w:rsidR="000E610C" w:rsidRPr="00FE771B">
        <w:rPr>
          <w:rFonts w:ascii="Times New Roman" w:hAnsi="Times New Roman" w:cs="Times New Roman"/>
          <w:color w:val="000000" w:themeColor="text1"/>
        </w:rPr>
        <w:t>2014</w:t>
      </w:r>
      <w:r w:rsidR="000E610C" w:rsidRPr="00FE771B">
        <w:rPr>
          <w:rFonts w:ascii="Times New Roman" w:hAnsi="Times New Roman" w:cs="Times New Roman"/>
          <w:color w:val="000000" w:themeColor="text1"/>
        </w:rPr>
        <w:t>：《业绩承诺、协同效应与并购收益分配》，《审计与经济研究》第</w:t>
      </w:r>
      <w:r w:rsidR="000E610C" w:rsidRPr="00FE771B">
        <w:rPr>
          <w:rFonts w:ascii="Times New Roman" w:hAnsi="Times New Roman" w:cs="Times New Roman"/>
          <w:color w:val="000000" w:themeColor="text1"/>
        </w:rPr>
        <w:t>6</w:t>
      </w:r>
      <w:r w:rsidR="000E610C" w:rsidRPr="00FE771B">
        <w:rPr>
          <w:rFonts w:ascii="Times New Roman" w:hAnsi="Times New Roman" w:cs="Times New Roman"/>
          <w:color w:val="000000" w:themeColor="text1"/>
        </w:rPr>
        <w:t>期。</w:t>
      </w:r>
    </w:p>
    <w:p w:rsidR="005C5DAC" w:rsidRPr="00FE771B" w:rsidRDefault="005C5DAC" w:rsidP="005C5DAC">
      <w:pPr>
        <w:rPr>
          <w:rFonts w:ascii="Times New Roman" w:hAnsi="Times New Roman" w:cs="Times New Roman"/>
          <w:color w:val="000000" w:themeColor="text1"/>
        </w:rPr>
      </w:pPr>
      <w:r w:rsidRPr="00FE771B">
        <w:rPr>
          <w:rFonts w:ascii="Times New Roman" w:hAnsi="Times New Roman" w:cs="Times New Roman"/>
          <w:color w:val="000000" w:themeColor="text1"/>
        </w:rPr>
        <w:t>孟庆斌</w:t>
      </w:r>
      <w:r w:rsidR="000E610C" w:rsidRPr="00FE771B">
        <w:rPr>
          <w:rFonts w:ascii="Times New Roman" w:hAnsi="Times New Roman" w:cs="Times New Roman"/>
          <w:color w:val="000000" w:themeColor="text1"/>
        </w:rPr>
        <w:t xml:space="preserve"> </w:t>
      </w:r>
      <w:r w:rsidRPr="00FE771B">
        <w:rPr>
          <w:rFonts w:ascii="Times New Roman" w:hAnsi="Times New Roman" w:cs="Times New Roman"/>
          <w:color w:val="000000" w:themeColor="text1"/>
        </w:rPr>
        <w:t>侯粲然</w:t>
      </w:r>
      <w:r w:rsidR="000E610C" w:rsidRPr="00FE771B">
        <w:rPr>
          <w:rFonts w:ascii="Times New Roman" w:hAnsi="Times New Roman" w:cs="Times New Roman"/>
          <w:color w:val="000000" w:themeColor="text1"/>
        </w:rPr>
        <w:t>，</w:t>
      </w:r>
      <w:r w:rsidR="000E610C" w:rsidRPr="00FE771B">
        <w:rPr>
          <w:rFonts w:ascii="Times New Roman" w:hAnsi="Times New Roman" w:cs="Times New Roman"/>
          <w:color w:val="000000" w:themeColor="text1"/>
        </w:rPr>
        <w:t>2020</w:t>
      </w:r>
      <w:r w:rsidR="000E610C" w:rsidRPr="00FE771B">
        <w:rPr>
          <w:rFonts w:ascii="Times New Roman" w:hAnsi="Times New Roman" w:cs="Times New Roman"/>
          <w:color w:val="000000" w:themeColor="text1"/>
        </w:rPr>
        <w:t>：《社会责任履行与企业金融化</w:t>
      </w:r>
      <w:r w:rsidR="000E610C" w:rsidRPr="00FE771B">
        <w:rPr>
          <w:rFonts w:ascii="Times New Roman" w:hAnsi="Times New Roman" w:cs="Times New Roman"/>
          <w:color w:val="000000" w:themeColor="text1"/>
        </w:rPr>
        <w:t>——</w:t>
      </w:r>
      <w:r w:rsidR="000E610C" w:rsidRPr="00FE771B">
        <w:rPr>
          <w:rFonts w:ascii="Times New Roman" w:hAnsi="Times New Roman" w:cs="Times New Roman"/>
          <w:color w:val="000000" w:themeColor="text1"/>
        </w:rPr>
        <w:t>信息监督还是声誉保险》</w:t>
      </w:r>
      <w:r w:rsidR="000E610C" w:rsidRPr="00FE771B">
        <w:rPr>
          <w:rFonts w:ascii="Times New Roman" w:hAnsi="Times New Roman" w:cs="Times New Roman"/>
          <w:color w:val="000000" w:themeColor="text1"/>
        </w:rPr>
        <w:t xml:space="preserve"> </w:t>
      </w:r>
      <w:r w:rsidR="000E610C" w:rsidRPr="00FE771B">
        <w:rPr>
          <w:rFonts w:ascii="Times New Roman" w:hAnsi="Times New Roman" w:cs="Times New Roman"/>
          <w:color w:val="000000" w:themeColor="text1"/>
        </w:rPr>
        <w:t>，《经济</w:t>
      </w:r>
      <w:r w:rsidR="000E610C" w:rsidRPr="00FE771B">
        <w:rPr>
          <w:rFonts w:ascii="Times New Roman" w:hAnsi="Times New Roman" w:cs="Times New Roman"/>
          <w:color w:val="000000" w:themeColor="text1"/>
        </w:rPr>
        <w:lastRenderedPageBreak/>
        <w:t>学动态》第</w:t>
      </w:r>
      <w:r w:rsidR="000E610C" w:rsidRPr="00FE771B">
        <w:rPr>
          <w:rFonts w:ascii="Times New Roman" w:hAnsi="Times New Roman" w:cs="Times New Roman"/>
          <w:color w:val="000000" w:themeColor="text1"/>
        </w:rPr>
        <w:t>2</w:t>
      </w:r>
      <w:r w:rsidR="000E610C" w:rsidRPr="00FE771B">
        <w:rPr>
          <w:rFonts w:ascii="Times New Roman" w:hAnsi="Times New Roman" w:cs="Times New Roman"/>
          <w:color w:val="000000" w:themeColor="text1"/>
        </w:rPr>
        <w:t>期。</w:t>
      </w:r>
    </w:p>
    <w:p w:rsidR="005C5DAC" w:rsidRPr="00FE771B" w:rsidRDefault="005C5DAC" w:rsidP="005C5DAC">
      <w:pPr>
        <w:rPr>
          <w:rFonts w:ascii="Times New Roman" w:hAnsi="Times New Roman" w:cs="Times New Roman"/>
          <w:color w:val="000000" w:themeColor="text1"/>
        </w:rPr>
      </w:pPr>
      <w:r w:rsidRPr="00FE771B">
        <w:rPr>
          <w:rFonts w:ascii="Times New Roman" w:hAnsi="Times New Roman" w:cs="Times New Roman"/>
          <w:color w:val="000000" w:themeColor="text1"/>
        </w:rPr>
        <w:t>潘爱玲</w:t>
      </w:r>
      <w:r w:rsidR="000E610C" w:rsidRPr="00FE771B">
        <w:rPr>
          <w:rFonts w:ascii="Times New Roman" w:hAnsi="Times New Roman" w:cs="Times New Roman"/>
          <w:color w:val="000000" w:themeColor="text1"/>
        </w:rPr>
        <w:t xml:space="preserve"> </w:t>
      </w:r>
      <w:r w:rsidR="000E610C" w:rsidRPr="00FE771B">
        <w:rPr>
          <w:rFonts w:ascii="Times New Roman" w:hAnsi="Times New Roman" w:cs="Times New Roman"/>
          <w:color w:val="000000" w:themeColor="text1"/>
        </w:rPr>
        <w:t>等，</w:t>
      </w:r>
      <w:r w:rsidR="000E610C" w:rsidRPr="00FE771B">
        <w:rPr>
          <w:rFonts w:ascii="Times New Roman" w:hAnsi="Times New Roman" w:cs="Times New Roman"/>
          <w:color w:val="000000" w:themeColor="text1"/>
        </w:rPr>
        <w:t>2017</w:t>
      </w:r>
      <w:r w:rsidR="000E610C" w:rsidRPr="00FE771B">
        <w:rPr>
          <w:rFonts w:ascii="Times New Roman" w:hAnsi="Times New Roman" w:cs="Times New Roman"/>
          <w:color w:val="000000" w:themeColor="text1"/>
        </w:rPr>
        <w:t>：《业绩承诺对标的企业的激励效应研究</w:t>
      </w:r>
      <w:r w:rsidR="000E610C" w:rsidRPr="00FE771B">
        <w:rPr>
          <w:rFonts w:ascii="Times New Roman" w:hAnsi="Times New Roman" w:cs="Times New Roman"/>
          <w:color w:val="000000" w:themeColor="text1"/>
        </w:rPr>
        <w:t>——</w:t>
      </w:r>
      <w:r w:rsidR="000E610C" w:rsidRPr="00FE771B">
        <w:rPr>
          <w:rFonts w:ascii="Times New Roman" w:hAnsi="Times New Roman" w:cs="Times New Roman"/>
          <w:color w:val="000000" w:themeColor="text1"/>
        </w:rPr>
        <w:t>来自中小板和创业板上市公司的实证检验》，《会计研究》第</w:t>
      </w:r>
      <w:r w:rsidR="000E610C" w:rsidRPr="00FE771B">
        <w:rPr>
          <w:rFonts w:ascii="Times New Roman" w:hAnsi="Times New Roman" w:cs="Times New Roman"/>
          <w:color w:val="000000" w:themeColor="text1"/>
        </w:rPr>
        <w:t>3</w:t>
      </w:r>
      <w:r w:rsidR="000E610C" w:rsidRPr="00FE771B">
        <w:rPr>
          <w:rFonts w:ascii="Times New Roman" w:hAnsi="Times New Roman" w:cs="Times New Roman"/>
          <w:color w:val="000000" w:themeColor="text1"/>
        </w:rPr>
        <w:t>期。</w:t>
      </w:r>
    </w:p>
    <w:p w:rsidR="005C5DAC" w:rsidRPr="00FE771B" w:rsidRDefault="005C5DAC" w:rsidP="005C5DAC">
      <w:pPr>
        <w:rPr>
          <w:rFonts w:ascii="Times New Roman" w:hAnsi="Times New Roman" w:cs="Times New Roman"/>
          <w:color w:val="000000" w:themeColor="text1"/>
        </w:rPr>
      </w:pPr>
      <w:r w:rsidRPr="00FE771B">
        <w:rPr>
          <w:rFonts w:ascii="Times New Roman" w:hAnsi="Times New Roman" w:cs="Times New Roman"/>
          <w:color w:val="000000" w:themeColor="text1"/>
        </w:rPr>
        <w:t>彭俞超</w:t>
      </w:r>
      <w:r w:rsidR="000E610C" w:rsidRPr="00FE771B">
        <w:rPr>
          <w:rFonts w:ascii="Times New Roman" w:hAnsi="Times New Roman" w:cs="Times New Roman"/>
          <w:color w:val="000000" w:themeColor="text1"/>
        </w:rPr>
        <w:t xml:space="preserve"> </w:t>
      </w:r>
      <w:r w:rsidRPr="00FE771B">
        <w:rPr>
          <w:rFonts w:ascii="Times New Roman" w:hAnsi="Times New Roman" w:cs="Times New Roman"/>
          <w:color w:val="000000" w:themeColor="text1"/>
        </w:rPr>
        <w:t>黄志刚</w:t>
      </w:r>
      <w:r w:rsidR="000E610C" w:rsidRPr="00FE771B">
        <w:rPr>
          <w:rFonts w:ascii="Times New Roman" w:hAnsi="Times New Roman" w:cs="Times New Roman"/>
          <w:color w:val="000000" w:themeColor="text1"/>
        </w:rPr>
        <w:t>，</w:t>
      </w:r>
      <w:r w:rsidR="000E610C" w:rsidRPr="00FE771B">
        <w:rPr>
          <w:rFonts w:ascii="Times New Roman" w:hAnsi="Times New Roman" w:cs="Times New Roman"/>
          <w:color w:val="000000" w:themeColor="text1"/>
        </w:rPr>
        <w:t>2018</w:t>
      </w:r>
      <w:r w:rsidR="000E610C" w:rsidRPr="00FE771B">
        <w:rPr>
          <w:rFonts w:ascii="Times New Roman" w:hAnsi="Times New Roman" w:cs="Times New Roman"/>
          <w:color w:val="000000" w:themeColor="text1"/>
        </w:rPr>
        <w:t>：《经济</w:t>
      </w:r>
      <w:r w:rsidR="000E610C" w:rsidRPr="00FE771B">
        <w:rPr>
          <w:rFonts w:ascii="Times New Roman" w:hAnsi="Times New Roman" w:cs="Times New Roman"/>
          <w:color w:val="000000" w:themeColor="text1"/>
        </w:rPr>
        <w:t>“</w:t>
      </w:r>
      <w:r w:rsidR="000E610C" w:rsidRPr="00FE771B">
        <w:rPr>
          <w:rFonts w:ascii="Times New Roman" w:hAnsi="Times New Roman" w:cs="Times New Roman"/>
          <w:color w:val="000000" w:themeColor="text1"/>
        </w:rPr>
        <w:t>脱实向虚</w:t>
      </w:r>
      <w:r w:rsidR="000E610C" w:rsidRPr="00FE771B">
        <w:rPr>
          <w:rFonts w:ascii="Times New Roman" w:hAnsi="Times New Roman" w:cs="Times New Roman"/>
          <w:color w:val="000000" w:themeColor="text1"/>
        </w:rPr>
        <w:t>”</w:t>
      </w:r>
      <w:r w:rsidR="000E610C" w:rsidRPr="00FE771B">
        <w:rPr>
          <w:rFonts w:ascii="Times New Roman" w:hAnsi="Times New Roman" w:cs="Times New Roman"/>
          <w:color w:val="000000" w:themeColor="text1"/>
        </w:rPr>
        <w:t>的成因与治理</w:t>
      </w:r>
      <w:r w:rsidR="000E610C" w:rsidRPr="00FE771B">
        <w:rPr>
          <w:rFonts w:ascii="Times New Roman" w:hAnsi="Times New Roman" w:cs="Times New Roman"/>
          <w:color w:val="000000" w:themeColor="text1"/>
        </w:rPr>
        <w:t>:</w:t>
      </w:r>
      <w:r w:rsidR="000E610C" w:rsidRPr="00FE771B">
        <w:rPr>
          <w:rFonts w:ascii="Times New Roman" w:hAnsi="Times New Roman" w:cs="Times New Roman"/>
          <w:color w:val="000000" w:themeColor="text1"/>
        </w:rPr>
        <w:t>理解十九大金融体制改革》，《世界经济》第</w:t>
      </w:r>
      <w:r w:rsidR="000E610C" w:rsidRPr="00FE771B">
        <w:rPr>
          <w:rFonts w:ascii="Times New Roman" w:hAnsi="Times New Roman" w:cs="Times New Roman"/>
          <w:color w:val="000000" w:themeColor="text1"/>
        </w:rPr>
        <w:t>9</w:t>
      </w:r>
      <w:r w:rsidR="000E610C" w:rsidRPr="00FE771B">
        <w:rPr>
          <w:rFonts w:ascii="Times New Roman" w:hAnsi="Times New Roman" w:cs="Times New Roman"/>
          <w:color w:val="000000" w:themeColor="text1"/>
        </w:rPr>
        <w:t>期。</w:t>
      </w:r>
    </w:p>
    <w:p w:rsidR="005C5DAC" w:rsidRPr="00FE771B" w:rsidRDefault="005C5DAC" w:rsidP="005C5DAC">
      <w:pPr>
        <w:rPr>
          <w:rFonts w:ascii="Times New Roman" w:hAnsi="Times New Roman" w:cs="Times New Roman"/>
          <w:color w:val="000000" w:themeColor="text1"/>
        </w:rPr>
      </w:pPr>
      <w:r w:rsidRPr="00FE771B">
        <w:rPr>
          <w:rFonts w:ascii="Times New Roman" w:hAnsi="Times New Roman" w:cs="Times New Roman"/>
          <w:color w:val="000000" w:themeColor="text1"/>
        </w:rPr>
        <w:t>沈华玉</w:t>
      </w:r>
      <w:r w:rsidR="000E610C" w:rsidRPr="00FE771B">
        <w:rPr>
          <w:rFonts w:ascii="Times New Roman" w:hAnsi="Times New Roman" w:cs="Times New Roman"/>
          <w:color w:val="000000" w:themeColor="text1"/>
        </w:rPr>
        <w:t xml:space="preserve"> </w:t>
      </w:r>
      <w:r w:rsidRPr="00FE771B">
        <w:rPr>
          <w:rFonts w:ascii="Times New Roman" w:hAnsi="Times New Roman" w:cs="Times New Roman"/>
          <w:color w:val="000000" w:themeColor="text1"/>
        </w:rPr>
        <w:t>林永坚</w:t>
      </w:r>
      <w:r w:rsidR="000E610C" w:rsidRPr="00FE771B">
        <w:rPr>
          <w:rFonts w:ascii="Times New Roman" w:hAnsi="Times New Roman" w:cs="Times New Roman"/>
          <w:color w:val="000000" w:themeColor="text1"/>
        </w:rPr>
        <w:t>，</w:t>
      </w:r>
      <w:r w:rsidR="000E610C" w:rsidRPr="00FE771B">
        <w:rPr>
          <w:rFonts w:ascii="Times New Roman" w:hAnsi="Times New Roman" w:cs="Times New Roman"/>
          <w:color w:val="000000" w:themeColor="text1"/>
        </w:rPr>
        <w:t>2018</w:t>
      </w:r>
      <w:r w:rsidR="000E610C" w:rsidRPr="00FE771B">
        <w:rPr>
          <w:rFonts w:ascii="Times New Roman" w:hAnsi="Times New Roman" w:cs="Times New Roman"/>
          <w:color w:val="000000" w:themeColor="text1"/>
        </w:rPr>
        <w:t>：《定向增发中利润承诺的市场反应及长期绩效研究》</w:t>
      </w:r>
      <w:r w:rsidR="000E610C" w:rsidRPr="00FE771B">
        <w:rPr>
          <w:rFonts w:ascii="Times New Roman" w:hAnsi="Times New Roman" w:cs="Times New Roman"/>
          <w:color w:val="000000" w:themeColor="text1"/>
        </w:rPr>
        <w:t xml:space="preserve"> </w:t>
      </w:r>
      <w:r w:rsidR="000E610C" w:rsidRPr="00FE771B">
        <w:rPr>
          <w:rFonts w:ascii="Times New Roman" w:hAnsi="Times New Roman" w:cs="Times New Roman"/>
          <w:color w:val="000000" w:themeColor="text1"/>
        </w:rPr>
        <w:t>，《证券市场导报》第</w:t>
      </w:r>
      <w:r w:rsidR="000E610C" w:rsidRPr="00FE771B">
        <w:rPr>
          <w:rFonts w:ascii="Times New Roman" w:hAnsi="Times New Roman" w:cs="Times New Roman"/>
          <w:color w:val="000000" w:themeColor="text1"/>
        </w:rPr>
        <w:t>1</w:t>
      </w:r>
      <w:r w:rsidR="000E610C" w:rsidRPr="00FE771B">
        <w:rPr>
          <w:rFonts w:ascii="Times New Roman" w:hAnsi="Times New Roman" w:cs="Times New Roman"/>
          <w:color w:val="000000" w:themeColor="text1"/>
        </w:rPr>
        <w:t>期。</w:t>
      </w:r>
    </w:p>
    <w:p w:rsidR="005C5DAC" w:rsidRPr="00FE771B" w:rsidRDefault="005C5DAC" w:rsidP="005C5DAC">
      <w:pPr>
        <w:rPr>
          <w:rFonts w:ascii="Times New Roman" w:hAnsi="Times New Roman" w:cs="Times New Roman"/>
          <w:color w:val="000000" w:themeColor="text1"/>
        </w:rPr>
      </w:pPr>
      <w:r w:rsidRPr="00FE771B">
        <w:rPr>
          <w:rFonts w:ascii="Times New Roman" w:hAnsi="Times New Roman" w:cs="Times New Roman"/>
          <w:color w:val="000000" w:themeColor="text1"/>
        </w:rPr>
        <w:t>苏治</w:t>
      </w:r>
      <w:r w:rsidR="000E610C" w:rsidRPr="00FE771B">
        <w:rPr>
          <w:rFonts w:ascii="Times New Roman" w:hAnsi="Times New Roman" w:cs="Times New Roman"/>
          <w:color w:val="000000" w:themeColor="text1"/>
        </w:rPr>
        <w:t xml:space="preserve"> </w:t>
      </w:r>
      <w:r w:rsidR="000E610C" w:rsidRPr="00FE771B">
        <w:rPr>
          <w:rFonts w:ascii="Times New Roman" w:hAnsi="Times New Roman" w:cs="Times New Roman"/>
          <w:color w:val="000000" w:themeColor="text1"/>
        </w:rPr>
        <w:t>等，</w:t>
      </w:r>
      <w:r w:rsidR="000E610C" w:rsidRPr="00FE771B">
        <w:rPr>
          <w:rFonts w:ascii="Times New Roman" w:hAnsi="Times New Roman" w:cs="Times New Roman"/>
          <w:color w:val="000000" w:themeColor="text1"/>
        </w:rPr>
        <w:t>2017</w:t>
      </w:r>
      <w:r w:rsidR="000E610C" w:rsidRPr="00FE771B">
        <w:rPr>
          <w:rFonts w:ascii="Times New Roman" w:hAnsi="Times New Roman" w:cs="Times New Roman"/>
          <w:color w:val="000000" w:themeColor="text1"/>
        </w:rPr>
        <w:t>：《中国虚拟经济与实体经济的关联性</w:t>
      </w:r>
      <w:r w:rsidR="000E610C" w:rsidRPr="00FE771B">
        <w:rPr>
          <w:rFonts w:ascii="Times New Roman" w:hAnsi="Times New Roman" w:cs="Times New Roman"/>
          <w:color w:val="000000" w:themeColor="text1"/>
        </w:rPr>
        <w:t>——</w:t>
      </w:r>
      <w:r w:rsidR="000E610C" w:rsidRPr="00FE771B">
        <w:rPr>
          <w:rFonts w:ascii="Times New Roman" w:hAnsi="Times New Roman" w:cs="Times New Roman"/>
          <w:color w:val="000000" w:themeColor="text1"/>
        </w:rPr>
        <w:t>基于规模和周期视角的实证研究》</w:t>
      </w:r>
      <w:r w:rsidR="000E610C" w:rsidRPr="00FE771B">
        <w:rPr>
          <w:rFonts w:ascii="Times New Roman" w:hAnsi="Times New Roman" w:cs="Times New Roman"/>
          <w:color w:val="000000" w:themeColor="text1"/>
        </w:rPr>
        <w:t xml:space="preserve"> </w:t>
      </w:r>
      <w:r w:rsidR="000E610C" w:rsidRPr="00FE771B">
        <w:rPr>
          <w:rFonts w:ascii="Times New Roman" w:hAnsi="Times New Roman" w:cs="Times New Roman"/>
          <w:color w:val="000000" w:themeColor="text1"/>
        </w:rPr>
        <w:t>，《中国社会科学》第</w:t>
      </w:r>
      <w:r w:rsidR="000E610C" w:rsidRPr="00FE771B">
        <w:rPr>
          <w:rFonts w:ascii="Times New Roman" w:hAnsi="Times New Roman" w:cs="Times New Roman"/>
          <w:color w:val="000000" w:themeColor="text1"/>
        </w:rPr>
        <w:t>8</w:t>
      </w:r>
      <w:r w:rsidR="000E610C" w:rsidRPr="00FE771B">
        <w:rPr>
          <w:rFonts w:ascii="Times New Roman" w:hAnsi="Times New Roman" w:cs="Times New Roman"/>
          <w:color w:val="000000" w:themeColor="text1"/>
        </w:rPr>
        <w:t>期。</w:t>
      </w:r>
    </w:p>
    <w:p w:rsidR="005C5DAC" w:rsidRPr="00FE771B" w:rsidRDefault="005C5DAC" w:rsidP="005C5DAC">
      <w:pPr>
        <w:rPr>
          <w:rFonts w:ascii="Times New Roman" w:hAnsi="Times New Roman" w:cs="Times New Roman"/>
          <w:color w:val="000000" w:themeColor="text1"/>
        </w:rPr>
      </w:pPr>
      <w:r w:rsidRPr="00FE771B">
        <w:rPr>
          <w:rFonts w:ascii="Times New Roman" w:hAnsi="Times New Roman" w:cs="Times New Roman"/>
          <w:color w:val="000000" w:themeColor="text1"/>
        </w:rPr>
        <w:t>王海芳</w:t>
      </w:r>
      <w:r w:rsidR="000E610C" w:rsidRPr="00FE771B">
        <w:rPr>
          <w:rFonts w:ascii="Times New Roman" w:hAnsi="Times New Roman" w:cs="Times New Roman"/>
          <w:color w:val="000000" w:themeColor="text1"/>
        </w:rPr>
        <w:t xml:space="preserve"> </w:t>
      </w:r>
      <w:r w:rsidRPr="00FE771B">
        <w:rPr>
          <w:rFonts w:ascii="Times New Roman" w:hAnsi="Times New Roman" w:cs="Times New Roman"/>
          <w:color w:val="000000" w:themeColor="text1"/>
        </w:rPr>
        <w:t>张笑愚</w:t>
      </w:r>
      <w:r w:rsidR="000E610C" w:rsidRPr="00FE771B">
        <w:rPr>
          <w:rFonts w:ascii="Times New Roman" w:hAnsi="Times New Roman" w:cs="Times New Roman"/>
          <w:color w:val="000000" w:themeColor="text1"/>
        </w:rPr>
        <w:t>，</w:t>
      </w:r>
      <w:r w:rsidR="000E610C" w:rsidRPr="00FE771B">
        <w:rPr>
          <w:rFonts w:ascii="Times New Roman" w:hAnsi="Times New Roman" w:cs="Times New Roman"/>
          <w:color w:val="000000" w:themeColor="text1"/>
        </w:rPr>
        <w:t>2021</w:t>
      </w:r>
      <w:r w:rsidR="000E610C" w:rsidRPr="00FE771B">
        <w:rPr>
          <w:rFonts w:ascii="Times New Roman" w:hAnsi="Times New Roman" w:cs="Times New Roman"/>
          <w:color w:val="000000" w:themeColor="text1"/>
        </w:rPr>
        <w:t>：《控股股东股权质押、投资者情绪与实体企业</w:t>
      </w:r>
      <w:r w:rsidR="000E610C" w:rsidRPr="00FE771B">
        <w:rPr>
          <w:rFonts w:ascii="Times New Roman" w:hAnsi="Times New Roman" w:cs="Times New Roman"/>
          <w:color w:val="000000" w:themeColor="text1"/>
        </w:rPr>
        <w:t>“</w:t>
      </w:r>
      <w:r w:rsidR="000E610C" w:rsidRPr="00FE771B">
        <w:rPr>
          <w:rFonts w:ascii="Times New Roman" w:hAnsi="Times New Roman" w:cs="Times New Roman"/>
          <w:color w:val="000000" w:themeColor="text1"/>
        </w:rPr>
        <w:t>脱实向虚</w:t>
      </w:r>
      <w:r w:rsidR="000E610C" w:rsidRPr="00FE771B">
        <w:rPr>
          <w:rFonts w:ascii="Times New Roman" w:hAnsi="Times New Roman" w:cs="Times New Roman"/>
          <w:color w:val="000000" w:themeColor="text1"/>
        </w:rPr>
        <w:t>”——</w:t>
      </w:r>
      <w:r w:rsidR="000E610C" w:rsidRPr="00FE771B">
        <w:rPr>
          <w:rFonts w:ascii="Times New Roman" w:hAnsi="Times New Roman" w:cs="Times New Roman"/>
          <w:color w:val="000000" w:themeColor="text1"/>
        </w:rPr>
        <w:t>基于迎合理论视角》，《经济管理》第</w:t>
      </w:r>
      <w:r w:rsidR="000E610C" w:rsidRPr="00FE771B">
        <w:rPr>
          <w:rFonts w:ascii="Times New Roman" w:hAnsi="Times New Roman" w:cs="Times New Roman"/>
          <w:color w:val="000000" w:themeColor="text1"/>
        </w:rPr>
        <w:t>8</w:t>
      </w:r>
      <w:r w:rsidR="000E610C" w:rsidRPr="00FE771B">
        <w:rPr>
          <w:rFonts w:ascii="Times New Roman" w:hAnsi="Times New Roman" w:cs="Times New Roman"/>
          <w:color w:val="000000" w:themeColor="text1"/>
        </w:rPr>
        <w:t>期。</w:t>
      </w:r>
    </w:p>
    <w:p w:rsidR="005C5DAC" w:rsidRPr="00FE771B" w:rsidRDefault="005C5DAC" w:rsidP="005C5DAC">
      <w:pPr>
        <w:rPr>
          <w:rFonts w:ascii="Times New Roman" w:hAnsi="Times New Roman" w:cs="Times New Roman"/>
          <w:color w:val="000000" w:themeColor="text1"/>
        </w:rPr>
      </w:pPr>
      <w:r w:rsidRPr="00FE771B">
        <w:rPr>
          <w:rFonts w:ascii="Times New Roman" w:hAnsi="Times New Roman" w:cs="Times New Roman"/>
          <w:color w:val="000000" w:themeColor="text1"/>
        </w:rPr>
        <w:t>王红建</w:t>
      </w:r>
      <w:r w:rsidR="000E610C" w:rsidRPr="00FE771B">
        <w:rPr>
          <w:rFonts w:ascii="Times New Roman" w:hAnsi="Times New Roman" w:cs="Times New Roman"/>
          <w:color w:val="000000" w:themeColor="text1"/>
        </w:rPr>
        <w:t xml:space="preserve"> </w:t>
      </w:r>
      <w:r w:rsidR="000E610C" w:rsidRPr="00FE771B">
        <w:rPr>
          <w:rFonts w:ascii="Times New Roman" w:hAnsi="Times New Roman" w:cs="Times New Roman"/>
          <w:color w:val="000000" w:themeColor="text1"/>
        </w:rPr>
        <w:t>等，</w:t>
      </w:r>
      <w:r w:rsidR="000E610C" w:rsidRPr="00FE771B">
        <w:rPr>
          <w:rFonts w:ascii="Times New Roman" w:hAnsi="Times New Roman" w:cs="Times New Roman"/>
          <w:color w:val="000000" w:themeColor="text1"/>
        </w:rPr>
        <w:t>2016</w:t>
      </w:r>
      <w:r w:rsidR="000E610C" w:rsidRPr="00FE771B">
        <w:rPr>
          <w:rFonts w:ascii="Times New Roman" w:hAnsi="Times New Roman" w:cs="Times New Roman"/>
          <w:color w:val="000000" w:themeColor="text1"/>
        </w:rPr>
        <w:t>：《实体企业跨行业套利的驱动因素及其对创新的影响》，《中国工业经济》第</w:t>
      </w:r>
      <w:r w:rsidR="000E610C" w:rsidRPr="00FE771B">
        <w:rPr>
          <w:rFonts w:ascii="Times New Roman" w:hAnsi="Times New Roman" w:cs="Times New Roman"/>
          <w:color w:val="000000" w:themeColor="text1"/>
        </w:rPr>
        <w:t>11</w:t>
      </w:r>
      <w:r w:rsidR="000E610C" w:rsidRPr="00FE771B">
        <w:rPr>
          <w:rFonts w:ascii="Times New Roman" w:hAnsi="Times New Roman" w:cs="Times New Roman"/>
          <w:color w:val="000000" w:themeColor="text1"/>
        </w:rPr>
        <w:t>期。</w:t>
      </w:r>
    </w:p>
    <w:p w:rsidR="005C5DAC" w:rsidRPr="00FE771B" w:rsidRDefault="005C5DAC" w:rsidP="005C5DAC">
      <w:pPr>
        <w:rPr>
          <w:rFonts w:ascii="Times New Roman" w:hAnsi="Times New Roman" w:cs="Times New Roman"/>
          <w:color w:val="000000" w:themeColor="text1"/>
        </w:rPr>
      </w:pPr>
      <w:r w:rsidRPr="00FE771B">
        <w:rPr>
          <w:rFonts w:ascii="Times New Roman" w:hAnsi="Times New Roman" w:cs="Times New Roman"/>
          <w:color w:val="000000" w:themeColor="text1"/>
        </w:rPr>
        <w:t>王竞达</w:t>
      </w:r>
      <w:r w:rsidR="000E610C" w:rsidRPr="00FE771B">
        <w:rPr>
          <w:rFonts w:ascii="Times New Roman" w:hAnsi="Times New Roman" w:cs="Times New Roman"/>
          <w:color w:val="000000" w:themeColor="text1"/>
        </w:rPr>
        <w:t xml:space="preserve"> </w:t>
      </w:r>
      <w:r w:rsidRPr="00FE771B">
        <w:rPr>
          <w:rFonts w:ascii="Times New Roman" w:hAnsi="Times New Roman" w:cs="Times New Roman"/>
          <w:color w:val="000000" w:themeColor="text1"/>
        </w:rPr>
        <w:t>范庆泉</w:t>
      </w:r>
      <w:r w:rsidR="000E610C" w:rsidRPr="00FE771B">
        <w:rPr>
          <w:rFonts w:ascii="Times New Roman" w:hAnsi="Times New Roman" w:cs="Times New Roman"/>
          <w:color w:val="000000" w:themeColor="text1"/>
        </w:rPr>
        <w:t>，</w:t>
      </w:r>
      <w:r w:rsidR="000E610C" w:rsidRPr="00FE771B">
        <w:rPr>
          <w:rFonts w:ascii="Times New Roman" w:hAnsi="Times New Roman" w:cs="Times New Roman"/>
          <w:color w:val="000000" w:themeColor="text1"/>
        </w:rPr>
        <w:t>2017</w:t>
      </w:r>
      <w:r w:rsidR="000E610C" w:rsidRPr="00FE771B">
        <w:rPr>
          <w:rFonts w:ascii="Times New Roman" w:hAnsi="Times New Roman" w:cs="Times New Roman"/>
          <w:color w:val="000000" w:themeColor="text1"/>
        </w:rPr>
        <w:t>：《上市公司并购重组中的业绩承诺及政策影响研究》，《会计研究》第</w:t>
      </w:r>
      <w:r w:rsidR="000E610C" w:rsidRPr="00FE771B">
        <w:rPr>
          <w:rFonts w:ascii="Times New Roman" w:hAnsi="Times New Roman" w:cs="Times New Roman"/>
          <w:color w:val="000000" w:themeColor="text1"/>
        </w:rPr>
        <w:t>10</w:t>
      </w:r>
      <w:r w:rsidR="000E610C" w:rsidRPr="00FE771B">
        <w:rPr>
          <w:rFonts w:ascii="Times New Roman" w:hAnsi="Times New Roman" w:cs="Times New Roman"/>
          <w:color w:val="000000" w:themeColor="text1"/>
        </w:rPr>
        <w:t>期。</w:t>
      </w:r>
    </w:p>
    <w:p w:rsidR="005C5DAC" w:rsidRPr="00FE771B" w:rsidRDefault="005C5DAC" w:rsidP="005C5DAC">
      <w:pPr>
        <w:rPr>
          <w:rFonts w:ascii="Times New Roman" w:hAnsi="Times New Roman" w:cs="Times New Roman"/>
          <w:color w:val="000000" w:themeColor="text1"/>
        </w:rPr>
      </w:pPr>
      <w:r w:rsidRPr="00FE771B">
        <w:rPr>
          <w:rFonts w:ascii="Times New Roman" w:hAnsi="Times New Roman" w:cs="Times New Roman"/>
          <w:color w:val="000000" w:themeColor="text1"/>
        </w:rPr>
        <w:t>魏后凯</w:t>
      </w:r>
      <w:r w:rsidR="000E610C" w:rsidRPr="00FE771B">
        <w:rPr>
          <w:rFonts w:ascii="Times New Roman" w:hAnsi="Times New Roman" w:cs="Times New Roman"/>
          <w:color w:val="000000" w:themeColor="text1"/>
        </w:rPr>
        <w:t xml:space="preserve"> </w:t>
      </w:r>
      <w:r w:rsidRPr="00FE771B">
        <w:rPr>
          <w:rFonts w:ascii="Times New Roman" w:hAnsi="Times New Roman" w:cs="Times New Roman"/>
          <w:color w:val="000000" w:themeColor="text1"/>
        </w:rPr>
        <w:t>王颂吉</w:t>
      </w:r>
      <w:r w:rsidR="000E610C" w:rsidRPr="00FE771B">
        <w:rPr>
          <w:rFonts w:ascii="Times New Roman" w:hAnsi="Times New Roman" w:cs="Times New Roman"/>
          <w:color w:val="000000" w:themeColor="text1"/>
        </w:rPr>
        <w:t>，</w:t>
      </w:r>
      <w:r w:rsidR="000E610C" w:rsidRPr="00FE771B">
        <w:rPr>
          <w:rFonts w:ascii="Times New Roman" w:hAnsi="Times New Roman" w:cs="Times New Roman"/>
          <w:color w:val="000000" w:themeColor="text1"/>
        </w:rPr>
        <w:t>2019</w:t>
      </w:r>
      <w:r w:rsidR="000E610C" w:rsidRPr="00FE771B">
        <w:rPr>
          <w:rFonts w:ascii="Times New Roman" w:hAnsi="Times New Roman" w:cs="Times New Roman"/>
          <w:color w:val="000000" w:themeColor="text1"/>
        </w:rPr>
        <w:t>：《中国</w:t>
      </w:r>
      <w:r w:rsidR="000E610C" w:rsidRPr="00FE771B">
        <w:rPr>
          <w:rFonts w:ascii="Times New Roman" w:hAnsi="Times New Roman" w:cs="Times New Roman"/>
          <w:color w:val="000000" w:themeColor="text1"/>
        </w:rPr>
        <w:t>“</w:t>
      </w:r>
      <w:r w:rsidR="000E610C" w:rsidRPr="00FE771B">
        <w:rPr>
          <w:rFonts w:ascii="Times New Roman" w:hAnsi="Times New Roman" w:cs="Times New Roman"/>
          <w:color w:val="000000" w:themeColor="text1"/>
        </w:rPr>
        <w:t>过度去工业化</w:t>
      </w:r>
      <w:r w:rsidR="000E610C" w:rsidRPr="00FE771B">
        <w:rPr>
          <w:rFonts w:ascii="Times New Roman" w:hAnsi="Times New Roman" w:cs="Times New Roman"/>
          <w:color w:val="000000" w:themeColor="text1"/>
        </w:rPr>
        <w:t>”</w:t>
      </w:r>
      <w:r w:rsidR="000E610C" w:rsidRPr="00FE771B">
        <w:rPr>
          <w:rFonts w:ascii="Times New Roman" w:hAnsi="Times New Roman" w:cs="Times New Roman"/>
          <w:color w:val="000000" w:themeColor="text1"/>
        </w:rPr>
        <w:t>现象剖析与理论反思》，《中国工业经济》第</w:t>
      </w:r>
      <w:r w:rsidR="000E610C" w:rsidRPr="00FE771B">
        <w:rPr>
          <w:rFonts w:ascii="Times New Roman" w:hAnsi="Times New Roman" w:cs="Times New Roman"/>
          <w:color w:val="000000" w:themeColor="text1"/>
        </w:rPr>
        <w:t>1</w:t>
      </w:r>
      <w:r w:rsidR="000E610C" w:rsidRPr="00FE771B">
        <w:rPr>
          <w:rFonts w:ascii="Times New Roman" w:hAnsi="Times New Roman" w:cs="Times New Roman"/>
          <w:color w:val="000000" w:themeColor="text1"/>
        </w:rPr>
        <w:t>期。</w:t>
      </w:r>
    </w:p>
    <w:p w:rsidR="005C5DAC" w:rsidRPr="00FE771B" w:rsidRDefault="005C5DAC" w:rsidP="005C5DAC">
      <w:pPr>
        <w:rPr>
          <w:rFonts w:ascii="Times New Roman" w:hAnsi="Times New Roman" w:cs="Times New Roman"/>
          <w:color w:val="000000" w:themeColor="text1"/>
        </w:rPr>
      </w:pPr>
      <w:r w:rsidRPr="00FE771B">
        <w:rPr>
          <w:rFonts w:ascii="Times New Roman" w:hAnsi="Times New Roman" w:cs="Times New Roman"/>
          <w:color w:val="000000" w:themeColor="text1"/>
        </w:rPr>
        <w:t>文春晖</w:t>
      </w:r>
      <w:r w:rsidR="000E610C" w:rsidRPr="00FE771B">
        <w:rPr>
          <w:rFonts w:ascii="Times New Roman" w:hAnsi="Times New Roman" w:cs="Times New Roman"/>
          <w:color w:val="000000" w:themeColor="text1"/>
        </w:rPr>
        <w:t xml:space="preserve"> </w:t>
      </w:r>
      <w:r w:rsidRPr="00FE771B">
        <w:rPr>
          <w:rFonts w:ascii="Times New Roman" w:hAnsi="Times New Roman" w:cs="Times New Roman"/>
          <w:color w:val="000000" w:themeColor="text1"/>
        </w:rPr>
        <w:t>任国良</w:t>
      </w:r>
      <w:r w:rsidR="000E610C" w:rsidRPr="00FE771B">
        <w:rPr>
          <w:rFonts w:ascii="Times New Roman" w:hAnsi="Times New Roman" w:cs="Times New Roman"/>
          <w:color w:val="000000" w:themeColor="text1"/>
        </w:rPr>
        <w:t>，</w:t>
      </w:r>
      <w:r w:rsidR="000E610C" w:rsidRPr="00FE771B">
        <w:rPr>
          <w:rFonts w:ascii="Times New Roman" w:hAnsi="Times New Roman" w:cs="Times New Roman"/>
          <w:color w:val="000000" w:themeColor="text1"/>
        </w:rPr>
        <w:t>2015</w:t>
      </w:r>
      <w:r w:rsidR="000E610C" w:rsidRPr="00FE771B">
        <w:rPr>
          <w:rFonts w:ascii="Times New Roman" w:hAnsi="Times New Roman" w:cs="Times New Roman"/>
          <w:color w:val="000000" w:themeColor="text1"/>
        </w:rPr>
        <w:t>：《虚拟经济与实体经济分离发展研究</w:t>
      </w:r>
      <w:r w:rsidR="000E610C" w:rsidRPr="00FE771B">
        <w:rPr>
          <w:rFonts w:ascii="Times New Roman" w:hAnsi="Times New Roman" w:cs="Times New Roman"/>
          <w:color w:val="000000" w:themeColor="text1"/>
        </w:rPr>
        <w:t>——</w:t>
      </w:r>
      <w:r w:rsidR="000E610C" w:rsidRPr="00FE771B">
        <w:rPr>
          <w:rFonts w:ascii="Times New Roman" w:hAnsi="Times New Roman" w:cs="Times New Roman"/>
          <w:color w:val="000000" w:themeColor="text1"/>
        </w:rPr>
        <w:t>来自中国上市公司</w:t>
      </w:r>
      <w:r w:rsidR="000E610C" w:rsidRPr="00FE771B">
        <w:rPr>
          <w:rFonts w:ascii="Times New Roman" w:hAnsi="Times New Roman" w:cs="Times New Roman"/>
          <w:color w:val="000000" w:themeColor="text1"/>
        </w:rPr>
        <w:t>2006-2013</w:t>
      </w:r>
      <w:r w:rsidR="000E610C" w:rsidRPr="00FE771B">
        <w:rPr>
          <w:rFonts w:ascii="Times New Roman" w:hAnsi="Times New Roman" w:cs="Times New Roman"/>
          <w:color w:val="000000" w:themeColor="text1"/>
        </w:rPr>
        <w:t>年的证据》，《中国工业经济》第</w:t>
      </w:r>
      <w:r w:rsidR="000E610C" w:rsidRPr="00FE771B">
        <w:rPr>
          <w:rFonts w:ascii="Times New Roman" w:hAnsi="Times New Roman" w:cs="Times New Roman"/>
          <w:color w:val="000000" w:themeColor="text1"/>
        </w:rPr>
        <w:t>12</w:t>
      </w:r>
      <w:r w:rsidR="000E610C" w:rsidRPr="00FE771B">
        <w:rPr>
          <w:rFonts w:ascii="Times New Roman" w:hAnsi="Times New Roman" w:cs="Times New Roman"/>
          <w:color w:val="000000" w:themeColor="text1"/>
        </w:rPr>
        <w:t>期。</w:t>
      </w:r>
    </w:p>
    <w:p w:rsidR="005C5DAC" w:rsidRPr="00FE771B" w:rsidRDefault="005C5DAC" w:rsidP="005C5DAC">
      <w:pPr>
        <w:rPr>
          <w:rFonts w:ascii="Times New Roman" w:hAnsi="Times New Roman" w:cs="Times New Roman"/>
          <w:color w:val="000000" w:themeColor="text1"/>
        </w:rPr>
      </w:pPr>
      <w:r w:rsidRPr="00FE771B">
        <w:rPr>
          <w:rFonts w:ascii="Times New Roman" w:hAnsi="Times New Roman" w:cs="Times New Roman"/>
          <w:color w:val="000000" w:themeColor="text1"/>
        </w:rPr>
        <w:t>徐莉萍</w:t>
      </w:r>
      <w:r w:rsidR="000E610C" w:rsidRPr="00FE771B">
        <w:rPr>
          <w:rFonts w:ascii="Times New Roman" w:hAnsi="Times New Roman" w:cs="Times New Roman"/>
          <w:color w:val="000000" w:themeColor="text1"/>
        </w:rPr>
        <w:t xml:space="preserve"> </w:t>
      </w:r>
      <w:r w:rsidR="000E610C" w:rsidRPr="00FE771B">
        <w:rPr>
          <w:rFonts w:ascii="Times New Roman" w:hAnsi="Times New Roman" w:cs="Times New Roman"/>
          <w:color w:val="000000" w:themeColor="text1"/>
        </w:rPr>
        <w:t>等，</w:t>
      </w:r>
      <w:r w:rsidR="000E610C" w:rsidRPr="00FE771B">
        <w:rPr>
          <w:rFonts w:ascii="Times New Roman" w:hAnsi="Times New Roman" w:cs="Times New Roman"/>
          <w:color w:val="000000" w:themeColor="text1"/>
        </w:rPr>
        <w:t>2021</w:t>
      </w:r>
      <w:r w:rsidR="000E610C" w:rsidRPr="00FE771B">
        <w:rPr>
          <w:rFonts w:ascii="Times New Roman" w:hAnsi="Times New Roman" w:cs="Times New Roman"/>
          <w:color w:val="000000" w:themeColor="text1"/>
        </w:rPr>
        <w:t>：《控股股东股权质押与并购业绩承诺</w:t>
      </w:r>
      <w:r w:rsidR="000E610C" w:rsidRPr="00FE771B">
        <w:rPr>
          <w:rFonts w:ascii="Times New Roman" w:hAnsi="Times New Roman" w:cs="Times New Roman"/>
          <w:color w:val="000000" w:themeColor="text1"/>
        </w:rPr>
        <w:t>——</w:t>
      </w:r>
      <w:r w:rsidR="000E610C" w:rsidRPr="00FE771B">
        <w:rPr>
          <w:rFonts w:ascii="Times New Roman" w:hAnsi="Times New Roman" w:cs="Times New Roman"/>
          <w:color w:val="000000" w:themeColor="text1"/>
        </w:rPr>
        <w:t>基于市值管理视角的经验证据》</w:t>
      </w:r>
      <w:r w:rsidR="000E610C" w:rsidRPr="00FE771B">
        <w:rPr>
          <w:rFonts w:ascii="Times New Roman" w:hAnsi="Times New Roman" w:cs="Times New Roman"/>
          <w:color w:val="000000" w:themeColor="text1"/>
        </w:rPr>
        <w:t xml:space="preserve"> </w:t>
      </w:r>
      <w:r w:rsidR="000E610C" w:rsidRPr="00FE771B">
        <w:rPr>
          <w:rFonts w:ascii="Times New Roman" w:hAnsi="Times New Roman" w:cs="Times New Roman"/>
          <w:color w:val="000000" w:themeColor="text1"/>
        </w:rPr>
        <w:t>，《</w:t>
      </w:r>
      <w:r w:rsidR="00996E4C" w:rsidRPr="00FE771B">
        <w:rPr>
          <w:rFonts w:ascii="Times New Roman" w:hAnsi="Times New Roman" w:cs="Times New Roman"/>
          <w:color w:val="000000" w:themeColor="text1"/>
        </w:rPr>
        <w:t>中国工业经济</w:t>
      </w:r>
      <w:r w:rsidR="000E610C" w:rsidRPr="00FE771B">
        <w:rPr>
          <w:rFonts w:ascii="Times New Roman" w:hAnsi="Times New Roman" w:cs="Times New Roman"/>
          <w:color w:val="000000" w:themeColor="text1"/>
        </w:rPr>
        <w:t>》</w:t>
      </w:r>
      <w:r w:rsidR="00996E4C" w:rsidRPr="00FE771B">
        <w:rPr>
          <w:rFonts w:ascii="Times New Roman" w:hAnsi="Times New Roman" w:cs="Times New Roman"/>
          <w:color w:val="000000" w:themeColor="text1"/>
        </w:rPr>
        <w:t>第</w:t>
      </w:r>
      <w:r w:rsidR="00996E4C" w:rsidRPr="00FE771B">
        <w:rPr>
          <w:rFonts w:ascii="Times New Roman" w:hAnsi="Times New Roman" w:cs="Times New Roman"/>
          <w:color w:val="000000" w:themeColor="text1"/>
        </w:rPr>
        <w:t>1</w:t>
      </w:r>
      <w:r w:rsidR="00996E4C" w:rsidRPr="00FE771B">
        <w:rPr>
          <w:rFonts w:ascii="Times New Roman" w:hAnsi="Times New Roman" w:cs="Times New Roman"/>
          <w:color w:val="000000" w:themeColor="text1"/>
        </w:rPr>
        <w:t>期。</w:t>
      </w:r>
    </w:p>
    <w:p w:rsidR="005C5DAC" w:rsidRPr="00FE771B" w:rsidRDefault="005C5DAC" w:rsidP="005C5DAC">
      <w:pPr>
        <w:rPr>
          <w:rFonts w:ascii="Times New Roman" w:hAnsi="Times New Roman" w:cs="Times New Roman"/>
          <w:color w:val="000000" w:themeColor="text1"/>
        </w:rPr>
      </w:pPr>
      <w:r w:rsidRPr="00FE771B">
        <w:rPr>
          <w:rFonts w:ascii="Times New Roman" w:hAnsi="Times New Roman" w:cs="Times New Roman"/>
          <w:color w:val="000000" w:themeColor="text1"/>
        </w:rPr>
        <w:t>翟进步</w:t>
      </w:r>
      <w:r w:rsidR="00996E4C" w:rsidRPr="00FE771B">
        <w:rPr>
          <w:rFonts w:ascii="Times New Roman" w:hAnsi="Times New Roman" w:cs="Times New Roman"/>
          <w:color w:val="000000" w:themeColor="text1"/>
        </w:rPr>
        <w:t xml:space="preserve"> </w:t>
      </w:r>
      <w:r w:rsidR="00996E4C" w:rsidRPr="00FE771B">
        <w:rPr>
          <w:rFonts w:ascii="Times New Roman" w:hAnsi="Times New Roman" w:cs="Times New Roman"/>
          <w:color w:val="000000" w:themeColor="text1"/>
        </w:rPr>
        <w:t>等，</w:t>
      </w:r>
      <w:r w:rsidR="00996E4C" w:rsidRPr="00FE771B">
        <w:rPr>
          <w:rFonts w:ascii="Times New Roman" w:hAnsi="Times New Roman" w:cs="Times New Roman"/>
          <w:color w:val="000000" w:themeColor="text1"/>
        </w:rPr>
        <w:t>2019</w:t>
      </w:r>
      <w:r w:rsidR="00996E4C" w:rsidRPr="00FE771B">
        <w:rPr>
          <w:rFonts w:ascii="Times New Roman" w:hAnsi="Times New Roman" w:cs="Times New Roman"/>
          <w:color w:val="000000" w:themeColor="text1"/>
        </w:rPr>
        <w:t>：《并购重组业绩承诺推高资产估值了吗》，《会计研究》第</w:t>
      </w:r>
      <w:r w:rsidR="00996E4C" w:rsidRPr="00FE771B">
        <w:rPr>
          <w:rFonts w:ascii="Times New Roman" w:hAnsi="Times New Roman" w:cs="Times New Roman"/>
          <w:color w:val="000000" w:themeColor="text1"/>
        </w:rPr>
        <w:t>6</w:t>
      </w:r>
      <w:r w:rsidR="00996E4C" w:rsidRPr="00FE771B">
        <w:rPr>
          <w:rFonts w:ascii="Times New Roman" w:hAnsi="Times New Roman" w:cs="Times New Roman"/>
          <w:color w:val="000000" w:themeColor="text1"/>
        </w:rPr>
        <w:t>期。</w:t>
      </w:r>
    </w:p>
    <w:p w:rsidR="005C5DAC" w:rsidRPr="00FE771B" w:rsidRDefault="005C5DAC" w:rsidP="005C5DAC">
      <w:pPr>
        <w:rPr>
          <w:rFonts w:ascii="Times New Roman" w:hAnsi="Times New Roman" w:cs="Times New Roman"/>
          <w:color w:val="000000" w:themeColor="text1"/>
        </w:rPr>
      </w:pPr>
      <w:r w:rsidRPr="00FE771B">
        <w:rPr>
          <w:rFonts w:ascii="Times New Roman" w:hAnsi="Times New Roman" w:cs="Times New Roman"/>
          <w:color w:val="000000" w:themeColor="text1"/>
        </w:rPr>
        <w:t>赵晓阳</w:t>
      </w:r>
      <w:r w:rsidR="00996E4C" w:rsidRPr="00FE771B">
        <w:rPr>
          <w:rFonts w:ascii="Times New Roman" w:hAnsi="Times New Roman" w:cs="Times New Roman"/>
          <w:color w:val="000000" w:themeColor="text1"/>
        </w:rPr>
        <w:t xml:space="preserve"> </w:t>
      </w:r>
      <w:r w:rsidRPr="00FE771B">
        <w:rPr>
          <w:rFonts w:ascii="Times New Roman" w:hAnsi="Times New Roman" w:cs="Times New Roman"/>
          <w:color w:val="000000" w:themeColor="text1"/>
        </w:rPr>
        <w:t>衣长军</w:t>
      </w:r>
      <w:r w:rsidR="00996E4C" w:rsidRPr="00FE771B">
        <w:rPr>
          <w:rFonts w:ascii="Times New Roman" w:hAnsi="Times New Roman" w:cs="Times New Roman"/>
          <w:color w:val="000000" w:themeColor="text1"/>
        </w:rPr>
        <w:t>，</w:t>
      </w:r>
      <w:r w:rsidR="00996E4C" w:rsidRPr="00FE771B">
        <w:rPr>
          <w:rFonts w:ascii="Times New Roman" w:hAnsi="Times New Roman" w:cs="Times New Roman"/>
          <w:color w:val="000000" w:themeColor="text1"/>
        </w:rPr>
        <w:t>2021</w:t>
      </w:r>
      <w:r w:rsidR="00996E4C" w:rsidRPr="00FE771B">
        <w:rPr>
          <w:rFonts w:ascii="Times New Roman" w:hAnsi="Times New Roman" w:cs="Times New Roman"/>
          <w:color w:val="000000" w:themeColor="text1"/>
        </w:rPr>
        <w:t>：《国资介入能否抑制实体企业的脱实向虚</w:t>
      </w:r>
      <w:r w:rsidR="00996E4C" w:rsidRPr="00FE771B">
        <w:rPr>
          <w:rFonts w:ascii="Times New Roman" w:hAnsi="Times New Roman" w:cs="Times New Roman"/>
          <w:color w:val="000000" w:themeColor="text1"/>
        </w:rPr>
        <w:t>?——</w:t>
      </w:r>
      <w:r w:rsidR="00996E4C" w:rsidRPr="00FE771B">
        <w:rPr>
          <w:rFonts w:ascii="Times New Roman" w:hAnsi="Times New Roman" w:cs="Times New Roman"/>
          <w:color w:val="000000" w:themeColor="text1"/>
        </w:rPr>
        <w:t>兼论亲清政商关系的调节作用》，《经济管理》第</w:t>
      </w:r>
      <w:r w:rsidR="00996E4C" w:rsidRPr="00FE771B">
        <w:rPr>
          <w:rFonts w:ascii="Times New Roman" w:hAnsi="Times New Roman" w:cs="Times New Roman"/>
          <w:color w:val="000000" w:themeColor="text1"/>
        </w:rPr>
        <w:t>7</w:t>
      </w:r>
      <w:r w:rsidR="00996E4C" w:rsidRPr="00FE771B">
        <w:rPr>
          <w:rFonts w:ascii="Times New Roman" w:hAnsi="Times New Roman" w:cs="Times New Roman"/>
          <w:color w:val="000000" w:themeColor="text1"/>
        </w:rPr>
        <w:t>期。</w:t>
      </w:r>
    </w:p>
    <w:p w:rsidR="005C5DAC" w:rsidRPr="00FE771B" w:rsidRDefault="005C5DAC" w:rsidP="005C5DAC">
      <w:pPr>
        <w:rPr>
          <w:rFonts w:ascii="Times New Roman" w:hAnsi="Times New Roman" w:cs="Times New Roman"/>
          <w:color w:val="000000" w:themeColor="text1"/>
        </w:rPr>
      </w:pPr>
      <w:r w:rsidRPr="00FE771B">
        <w:rPr>
          <w:rFonts w:ascii="Times New Roman" w:hAnsi="Times New Roman" w:cs="Times New Roman"/>
          <w:color w:val="000000" w:themeColor="text1"/>
        </w:rPr>
        <w:t>周科竞</w:t>
      </w:r>
      <w:r w:rsidR="00996E4C" w:rsidRPr="00FE771B">
        <w:rPr>
          <w:rFonts w:ascii="Times New Roman" w:hAnsi="Times New Roman" w:cs="Times New Roman"/>
          <w:color w:val="000000" w:themeColor="text1"/>
        </w:rPr>
        <w:t>，</w:t>
      </w:r>
      <w:r w:rsidR="00996E4C" w:rsidRPr="00FE771B">
        <w:rPr>
          <w:rFonts w:ascii="Times New Roman" w:hAnsi="Times New Roman" w:cs="Times New Roman"/>
          <w:color w:val="000000" w:themeColor="text1"/>
        </w:rPr>
        <w:t>2019</w:t>
      </w:r>
      <w:r w:rsidR="00996E4C" w:rsidRPr="00FE771B">
        <w:rPr>
          <w:rFonts w:ascii="Times New Roman" w:hAnsi="Times New Roman" w:cs="Times New Roman"/>
          <w:color w:val="000000" w:themeColor="text1"/>
        </w:rPr>
        <w:t>：《严查承诺期刚过就</w:t>
      </w:r>
      <w:r w:rsidR="00996E4C" w:rsidRPr="00FE771B">
        <w:rPr>
          <w:rFonts w:ascii="Times New Roman" w:hAnsi="Times New Roman" w:cs="Times New Roman"/>
          <w:color w:val="000000" w:themeColor="text1"/>
        </w:rPr>
        <w:t>“</w:t>
      </w:r>
      <w:r w:rsidR="00996E4C" w:rsidRPr="00FE771B">
        <w:rPr>
          <w:rFonts w:ascii="Times New Roman" w:hAnsi="Times New Roman" w:cs="Times New Roman"/>
          <w:color w:val="000000" w:themeColor="text1"/>
        </w:rPr>
        <w:t>变脸</w:t>
      </w:r>
      <w:r w:rsidR="00996E4C" w:rsidRPr="00FE771B">
        <w:rPr>
          <w:rFonts w:ascii="Times New Roman" w:hAnsi="Times New Roman" w:cs="Times New Roman"/>
          <w:color w:val="000000" w:themeColor="text1"/>
        </w:rPr>
        <w:t>”</w:t>
      </w:r>
      <w:r w:rsidR="00996E4C" w:rsidRPr="00FE771B">
        <w:rPr>
          <w:rFonts w:ascii="Times New Roman" w:hAnsi="Times New Roman" w:cs="Times New Roman"/>
          <w:color w:val="000000" w:themeColor="text1"/>
        </w:rPr>
        <w:t>的资产重组》，《北京商报》</w:t>
      </w:r>
      <w:r w:rsidR="00996E4C" w:rsidRPr="00FE771B">
        <w:rPr>
          <w:rFonts w:ascii="Times New Roman" w:hAnsi="Times New Roman" w:cs="Times New Roman"/>
          <w:color w:val="000000" w:themeColor="text1"/>
        </w:rPr>
        <w:t>12</w:t>
      </w:r>
      <w:r w:rsidR="00996E4C" w:rsidRPr="00FE771B">
        <w:rPr>
          <w:rFonts w:ascii="Times New Roman" w:hAnsi="Times New Roman" w:cs="Times New Roman"/>
          <w:color w:val="000000" w:themeColor="text1"/>
        </w:rPr>
        <w:t>月</w:t>
      </w:r>
      <w:r w:rsidR="00996E4C" w:rsidRPr="00FE771B">
        <w:rPr>
          <w:rFonts w:ascii="Times New Roman" w:hAnsi="Times New Roman" w:cs="Times New Roman"/>
          <w:color w:val="000000" w:themeColor="text1"/>
        </w:rPr>
        <w:t>11</w:t>
      </w:r>
      <w:r w:rsidR="00996E4C" w:rsidRPr="00FE771B">
        <w:rPr>
          <w:rFonts w:ascii="Times New Roman" w:hAnsi="Times New Roman" w:cs="Times New Roman"/>
          <w:color w:val="000000" w:themeColor="text1"/>
        </w:rPr>
        <w:t>日第</w:t>
      </w:r>
      <w:r w:rsidR="00996E4C" w:rsidRPr="00FE771B">
        <w:rPr>
          <w:rFonts w:ascii="Times New Roman" w:hAnsi="Times New Roman" w:cs="Times New Roman"/>
          <w:color w:val="000000" w:themeColor="text1"/>
        </w:rPr>
        <w:t>6</w:t>
      </w:r>
      <w:r w:rsidR="00996E4C" w:rsidRPr="00FE771B">
        <w:rPr>
          <w:rFonts w:ascii="Times New Roman" w:hAnsi="Times New Roman" w:cs="Times New Roman"/>
          <w:color w:val="000000" w:themeColor="text1"/>
        </w:rPr>
        <w:t>版。</w:t>
      </w:r>
    </w:p>
    <w:p w:rsidR="005C5DAC" w:rsidRPr="00FE771B" w:rsidRDefault="00495828" w:rsidP="005C5DAC">
      <w:pPr>
        <w:rPr>
          <w:rFonts w:ascii="Times New Roman" w:hAnsi="Times New Roman" w:cs="Times New Roman"/>
          <w:color w:val="000000" w:themeColor="text1"/>
        </w:rPr>
      </w:pPr>
      <w:proofErr w:type="spellStart"/>
      <w:r w:rsidRPr="00690468">
        <w:rPr>
          <w:rFonts w:ascii="Times New Roman" w:hAnsi="Times New Roman" w:cs="Times New Roman"/>
          <w:color w:val="000000" w:themeColor="text1"/>
        </w:rPr>
        <w:t>Aalbers</w:t>
      </w:r>
      <w:proofErr w:type="spellEnd"/>
      <w:r w:rsidRPr="00690468">
        <w:rPr>
          <w:rFonts w:ascii="Times New Roman" w:hAnsi="Times New Roman" w:cs="Times New Roman"/>
          <w:color w:val="000000" w:themeColor="text1"/>
        </w:rPr>
        <w:t xml:space="preserve">, M. </w:t>
      </w:r>
      <w:proofErr w:type="gramStart"/>
      <w:r w:rsidRPr="00690468">
        <w:rPr>
          <w:rFonts w:ascii="Times New Roman" w:hAnsi="Times New Roman" w:cs="Times New Roman"/>
          <w:color w:val="000000" w:themeColor="text1"/>
        </w:rPr>
        <w:t>B</w:t>
      </w:r>
      <w:r w:rsidR="005C5DAC" w:rsidRPr="00690468">
        <w:rPr>
          <w:rFonts w:ascii="Times New Roman" w:hAnsi="Times New Roman" w:cs="Times New Roman"/>
          <w:color w:val="000000" w:themeColor="text1"/>
        </w:rPr>
        <w:t>(</w:t>
      </w:r>
      <w:proofErr w:type="gramEnd"/>
      <w:r w:rsidR="005C5DAC" w:rsidRPr="00690468">
        <w:rPr>
          <w:rFonts w:ascii="Times New Roman" w:hAnsi="Times New Roman" w:cs="Times New Roman"/>
          <w:color w:val="000000" w:themeColor="text1"/>
        </w:rPr>
        <w:t>2019)</w:t>
      </w:r>
      <w:r w:rsidR="00996E4C" w:rsidRPr="00690468">
        <w:rPr>
          <w:rFonts w:ascii="Times New Roman" w:hAnsi="Times New Roman" w:cs="Times New Roman"/>
          <w:color w:val="000000" w:themeColor="text1"/>
        </w:rPr>
        <w:t>,“</w:t>
      </w:r>
      <w:proofErr w:type="spellStart"/>
      <w:r w:rsidR="00996E4C" w:rsidRPr="00690468">
        <w:rPr>
          <w:rFonts w:ascii="Times New Roman" w:hAnsi="Times New Roman" w:cs="Times New Roman"/>
          <w:color w:val="000000" w:themeColor="text1"/>
        </w:rPr>
        <w:t>Financialization</w:t>
      </w:r>
      <w:proofErr w:type="spellEnd"/>
      <w:r w:rsidR="00996E4C" w:rsidRPr="00690468">
        <w:rPr>
          <w:rFonts w:ascii="Times New Roman" w:hAnsi="Times New Roman" w:cs="Times New Roman"/>
          <w:color w:val="000000" w:themeColor="text1"/>
        </w:rPr>
        <w:t>”</w:t>
      </w:r>
      <w:r w:rsidR="005C5DAC" w:rsidRPr="00690468">
        <w:rPr>
          <w:rFonts w:ascii="Times New Roman" w:hAnsi="Times New Roman" w:cs="Times New Roman"/>
          <w:color w:val="000000" w:themeColor="text1"/>
        </w:rPr>
        <w:t xml:space="preserve">. In D. Richardson, C. Noel, M. F. </w:t>
      </w:r>
      <w:proofErr w:type="spellStart"/>
      <w:r w:rsidR="005C5DAC" w:rsidRPr="00690468">
        <w:rPr>
          <w:rFonts w:ascii="Times New Roman" w:hAnsi="Times New Roman" w:cs="Times New Roman"/>
          <w:color w:val="000000" w:themeColor="text1"/>
        </w:rPr>
        <w:t>Goodchild</w:t>
      </w:r>
      <w:proofErr w:type="spellEnd"/>
      <w:r w:rsidR="005C5DAC" w:rsidRPr="00690468">
        <w:rPr>
          <w:rFonts w:ascii="Times New Roman" w:hAnsi="Times New Roman" w:cs="Times New Roman"/>
          <w:color w:val="000000" w:themeColor="text1"/>
        </w:rPr>
        <w:t>, A. Kobayashi, W. Liu, &amp; R. A. Marston (Eds.),The international encyclopedia of geography: People, the earth, environment, and technology (2nd ed.). Wiley</w:t>
      </w:r>
    </w:p>
    <w:p w:rsidR="005C5DAC" w:rsidRDefault="005C5DAC" w:rsidP="005C5DAC">
      <w:pPr>
        <w:rPr>
          <w:rFonts w:ascii="Times New Roman" w:hAnsi="Times New Roman" w:cs="Times New Roman"/>
          <w:color w:val="000000" w:themeColor="text1"/>
        </w:rPr>
      </w:pPr>
      <w:proofErr w:type="spellStart"/>
      <w:r w:rsidRPr="00FE771B">
        <w:rPr>
          <w:rFonts w:ascii="Times New Roman" w:hAnsi="Times New Roman" w:cs="Times New Roman"/>
          <w:color w:val="000000" w:themeColor="text1"/>
        </w:rPr>
        <w:t>Allee</w:t>
      </w:r>
      <w:proofErr w:type="spellEnd"/>
      <w:r w:rsidRPr="00FE771B">
        <w:rPr>
          <w:rFonts w:ascii="Times New Roman" w:hAnsi="Times New Roman" w:cs="Times New Roman"/>
          <w:color w:val="000000" w:themeColor="text1"/>
        </w:rPr>
        <w:t xml:space="preserve">, K. </w:t>
      </w:r>
      <w:r w:rsidR="00495828">
        <w:rPr>
          <w:rFonts w:ascii="Times New Roman" w:hAnsi="Times New Roman" w:cs="Times New Roman"/>
          <w:color w:val="000000" w:themeColor="text1"/>
        </w:rPr>
        <w:t xml:space="preserve">D., &amp; </w:t>
      </w:r>
      <w:proofErr w:type="spellStart"/>
      <w:r w:rsidR="00495828">
        <w:rPr>
          <w:rFonts w:ascii="Times New Roman" w:hAnsi="Times New Roman" w:cs="Times New Roman"/>
          <w:color w:val="000000" w:themeColor="text1"/>
        </w:rPr>
        <w:t>Wangerin</w:t>
      </w:r>
      <w:proofErr w:type="spellEnd"/>
      <w:r w:rsidR="00495828">
        <w:rPr>
          <w:rFonts w:ascii="Times New Roman" w:hAnsi="Times New Roman" w:cs="Times New Roman"/>
          <w:color w:val="000000" w:themeColor="text1"/>
        </w:rPr>
        <w:t xml:space="preserve">, D. </w:t>
      </w:r>
      <w:proofErr w:type="gramStart"/>
      <w:r w:rsidR="00495828">
        <w:rPr>
          <w:rFonts w:ascii="Times New Roman" w:hAnsi="Times New Roman" w:cs="Times New Roman"/>
          <w:color w:val="000000" w:themeColor="text1"/>
        </w:rPr>
        <w:t>D</w:t>
      </w:r>
      <w:r w:rsidRPr="00FE771B">
        <w:rPr>
          <w:rFonts w:ascii="Times New Roman" w:hAnsi="Times New Roman" w:cs="Times New Roman"/>
          <w:color w:val="000000" w:themeColor="text1"/>
        </w:rPr>
        <w:t>(</w:t>
      </w:r>
      <w:proofErr w:type="gramEnd"/>
      <w:r w:rsidRPr="00FE771B">
        <w:rPr>
          <w:rFonts w:ascii="Times New Roman" w:hAnsi="Times New Roman" w:cs="Times New Roman"/>
          <w:color w:val="000000" w:themeColor="text1"/>
        </w:rPr>
        <w:t>2018)</w:t>
      </w:r>
      <w:r w:rsidR="00996E4C" w:rsidRPr="00FE771B">
        <w:rPr>
          <w:rFonts w:ascii="Times New Roman" w:hAnsi="Times New Roman" w:cs="Times New Roman"/>
          <w:color w:val="000000" w:themeColor="text1"/>
        </w:rPr>
        <w:t>,“</w:t>
      </w:r>
      <w:r w:rsidRPr="00FE771B">
        <w:rPr>
          <w:rFonts w:ascii="Times New Roman" w:hAnsi="Times New Roman" w:cs="Times New Roman"/>
          <w:color w:val="000000" w:themeColor="text1"/>
        </w:rPr>
        <w:t xml:space="preserve">Auditor monitoring and verification in financial contracts: Evidence from </w:t>
      </w:r>
      <w:proofErr w:type="spellStart"/>
      <w:r w:rsidRPr="00FE771B">
        <w:rPr>
          <w:rFonts w:ascii="Times New Roman" w:hAnsi="Times New Roman" w:cs="Times New Roman"/>
          <w:color w:val="000000" w:themeColor="text1"/>
        </w:rPr>
        <w:t>earnouts</w:t>
      </w:r>
      <w:proofErr w:type="spellEnd"/>
      <w:r w:rsidRPr="00FE771B">
        <w:rPr>
          <w:rFonts w:ascii="Times New Roman" w:hAnsi="Times New Roman" w:cs="Times New Roman"/>
          <w:color w:val="000000" w:themeColor="text1"/>
        </w:rPr>
        <w:t xml:space="preserve"> and SFAS 141 </w:t>
      </w:r>
      <w:r w:rsidR="00996E4C" w:rsidRPr="00FE771B">
        <w:rPr>
          <w:rFonts w:ascii="Times New Roman" w:hAnsi="Times New Roman" w:cs="Times New Roman"/>
          <w:color w:val="000000" w:themeColor="text1"/>
        </w:rPr>
        <w:t>“,</w:t>
      </w:r>
      <w:r w:rsidRPr="00FE771B">
        <w:rPr>
          <w:rFonts w:ascii="Times New Roman" w:hAnsi="Times New Roman" w:cs="Times New Roman"/>
          <w:i/>
          <w:color w:val="000000" w:themeColor="text1"/>
        </w:rPr>
        <w:t>Review of Accounting Studies</w:t>
      </w:r>
      <w:r w:rsidRPr="00FE771B">
        <w:rPr>
          <w:rFonts w:ascii="Times New Roman" w:hAnsi="Times New Roman" w:cs="Times New Roman"/>
          <w:color w:val="000000" w:themeColor="text1"/>
        </w:rPr>
        <w:t>23(4), 1629</w:t>
      </w:r>
      <w:r w:rsidRPr="00FE771B">
        <w:rPr>
          <w:rFonts w:ascii="宋体" w:eastAsia="宋体" w:hAnsi="宋体" w:cs="宋体" w:hint="eastAsia"/>
          <w:color w:val="000000" w:themeColor="text1"/>
        </w:rPr>
        <w:t>‐</w:t>
      </w:r>
      <w:r w:rsidRPr="00FE771B">
        <w:rPr>
          <w:rFonts w:ascii="Times New Roman" w:hAnsi="Times New Roman" w:cs="Times New Roman"/>
          <w:color w:val="000000" w:themeColor="text1"/>
        </w:rPr>
        <w:t>1664.</w:t>
      </w:r>
    </w:p>
    <w:p w:rsidR="00A4219B" w:rsidRPr="00FE771B" w:rsidRDefault="00A4219B" w:rsidP="005C5DAC">
      <w:pPr>
        <w:rPr>
          <w:rFonts w:ascii="Times New Roman" w:hAnsi="Times New Roman" w:cs="Times New Roman"/>
          <w:color w:val="000000" w:themeColor="text1"/>
        </w:rPr>
      </w:pPr>
      <w:r w:rsidRPr="00A4219B">
        <w:rPr>
          <w:rFonts w:ascii="Times New Roman" w:hAnsi="Times New Roman" w:cs="Times New Roman"/>
          <w:color w:val="000000" w:themeColor="text1"/>
        </w:rPr>
        <w:t>Altman, E. I (1968)</w:t>
      </w:r>
      <w:r>
        <w:rPr>
          <w:rFonts w:ascii="Times New Roman" w:hAnsi="Times New Roman" w:cs="Times New Roman" w:hint="eastAsia"/>
          <w:color w:val="000000" w:themeColor="text1"/>
        </w:rPr>
        <w:t>,</w:t>
      </w:r>
      <w:r>
        <w:rPr>
          <w:rFonts w:ascii="Times New Roman" w:hAnsi="Times New Roman" w:cs="Times New Roman"/>
          <w:color w:val="000000" w:themeColor="text1"/>
        </w:rPr>
        <w:t>”</w:t>
      </w:r>
      <w:r w:rsidRPr="00A4219B">
        <w:rPr>
          <w:rFonts w:ascii="Times New Roman" w:hAnsi="Times New Roman" w:cs="Times New Roman"/>
          <w:color w:val="000000" w:themeColor="text1"/>
        </w:rPr>
        <w:t xml:space="preserve">Financial ratios, discriminant analysis and the prediction of corporate </w:t>
      </w:r>
      <w:proofErr w:type="spellStart"/>
      <w:r w:rsidRPr="00A4219B">
        <w:rPr>
          <w:rFonts w:ascii="Times New Roman" w:hAnsi="Times New Roman" w:cs="Times New Roman"/>
          <w:color w:val="000000" w:themeColor="text1"/>
        </w:rPr>
        <w:t>bankruptcy</w:t>
      </w:r>
      <w:r>
        <w:rPr>
          <w:rFonts w:ascii="Times New Roman" w:hAnsi="Times New Roman" w:cs="Times New Roman"/>
          <w:color w:val="000000" w:themeColor="text1"/>
        </w:rPr>
        <w:t>”</w:t>
      </w:r>
      <w:proofErr w:type="gramStart"/>
      <w:r>
        <w:rPr>
          <w:rFonts w:ascii="Times New Roman" w:hAnsi="Times New Roman" w:cs="Times New Roman" w:hint="eastAsia"/>
          <w:color w:val="000000" w:themeColor="text1"/>
        </w:rPr>
        <w:t>,</w:t>
      </w:r>
      <w:r w:rsidRPr="00A4219B">
        <w:rPr>
          <w:rFonts w:ascii="Times New Roman" w:hAnsi="Times New Roman" w:cs="Times New Roman"/>
          <w:i/>
          <w:color w:val="000000" w:themeColor="text1"/>
        </w:rPr>
        <w:t>The</w:t>
      </w:r>
      <w:proofErr w:type="spellEnd"/>
      <w:proofErr w:type="gramEnd"/>
      <w:r w:rsidRPr="00A4219B">
        <w:rPr>
          <w:rFonts w:ascii="Times New Roman" w:hAnsi="Times New Roman" w:cs="Times New Roman"/>
          <w:i/>
          <w:color w:val="000000" w:themeColor="text1"/>
        </w:rPr>
        <w:t xml:space="preserve"> journal of finance</w:t>
      </w:r>
      <w:r w:rsidRPr="00A4219B">
        <w:rPr>
          <w:rFonts w:ascii="Times New Roman" w:hAnsi="Times New Roman" w:cs="Times New Roman"/>
          <w:color w:val="000000" w:themeColor="text1"/>
        </w:rPr>
        <w:t>23(4), 589-609.</w:t>
      </w:r>
    </w:p>
    <w:p w:rsidR="005C5DAC" w:rsidRPr="00FE771B" w:rsidRDefault="005C5DAC" w:rsidP="005C5DAC">
      <w:pPr>
        <w:rPr>
          <w:rFonts w:ascii="Times New Roman" w:hAnsi="Times New Roman" w:cs="Times New Roman"/>
          <w:color w:val="000000" w:themeColor="text1"/>
        </w:rPr>
      </w:pPr>
      <w:proofErr w:type="spellStart"/>
      <w:r w:rsidRPr="00FE771B">
        <w:rPr>
          <w:rFonts w:ascii="Times New Roman" w:hAnsi="Times New Roman" w:cs="Times New Roman"/>
          <w:color w:val="000000" w:themeColor="text1"/>
        </w:rPr>
        <w:t>Barbopoulos</w:t>
      </w:r>
      <w:r w:rsidR="00690468">
        <w:rPr>
          <w:rFonts w:ascii="Times New Roman" w:hAnsi="Times New Roman" w:cs="Times New Roman" w:hint="eastAsia"/>
          <w:color w:val="000000" w:themeColor="text1"/>
        </w:rPr>
        <w:t>.</w:t>
      </w:r>
      <w:r w:rsidRPr="00FE771B">
        <w:rPr>
          <w:rFonts w:ascii="Times New Roman" w:hAnsi="Times New Roman" w:cs="Times New Roman"/>
          <w:color w:val="000000" w:themeColor="text1"/>
        </w:rPr>
        <w:t>L</w:t>
      </w:r>
      <w:proofErr w:type="spellEnd"/>
      <w:r w:rsidR="00690468">
        <w:rPr>
          <w:rFonts w:ascii="Times New Roman" w:hAnsi="Times New Roman" w:cs="Times New Roman" w:hint="eastAsia"/>
          <w:color w:val="000000" w:themeColor="text1"/>
        </w:rPr>
        <w:t xml:space="preserve"> &amp; </w:t>
      </w:r>
      <w:proofErr w:type="spellStart"/>
      <w:r w:rsidRPr="00FE771B">
        <w:rPr>
          <w:rFonts w:ascii="Times New Roman" w:hAnsi="Times New Roman" w:cs="Times New Roman"/>
          <w:color w:val="000000" w:themeColor="text1"/>
        </w:rPr>
        <w:t>Sudarsanam</w:t>
      </w:r>
      <w:r w:rsidR="00690468">
        <w:rPr>
          <w:rFonts w:ascii="Times New Roman" w:hAnsi="Times New Roman" w:cs="Times New Roman" w:hint="eastAsia"/>
          <w:color w:val="000000" w:themeColor="text1"/>
        </w:rPr>
        <w:t>.</w:t>
      </w:r>
      <w:r w:rsidRPr="00FE771B">
        <w:rPr>
          <w:rFonts w:ascii="Times New Roman" w:hAnsi="Times New Roman" w:cs="Times New Roman"/>
          <w:color w:val="000000" w:themeColor="text1"/>
        </w:rPr>
        <w:t>S</w:t>
      </w:r>
      <w:proofErr w:type="spellEnd"/>
      <w:proofErr w:type="gramStart"/>
      <w:r w:rsidRPr="00FE771B">
        <w:rPr>
          <w:rFonts w:ascii="Times New Roman" w:hAnsi="Times New Roman" w:cs="Times New Roman"/>
          <w:color w:val="000000" w:themeColor="text1"/>
        </w:rPr>
        <w:t>.</w:t>
      </w:r>
      <w:r w:rsidR="00996E4C" w:rsidRPr="00FE771B">
        <w:rPr>
          <w:rFonts w:ascii="Times New Roman" w:hAnsi="Times New Roman" w:cs="Times New Roman"/>
          <w:color w:val="000000" w:themeColor="text1"/>
        </w:rPr>
        <w:t>(</w:t>
      </w:r>
      <w:proofErr w:type="gramEnd"/>
      <w:r w:rsidR="00996E4C" w:rsidRPr="00FE771B">
        <w:rPr>
          <w:rFonts w:ascii="Times New Roman" w:hAnsi="Times New Roman" w:cs="Times New Roman"/>
          <w:color w:val="000000" w:themeColor="text1"/>
        </w:rPr>
        <w:t>2012),</w:t>
      </w:r>
      <w:r w:rsidRPr="00FE771B">
        <w:rPr>
          <w:rFonts w:ascii="Times New Roman" w:hAnsi="Times New Roman" w:cs="Times New Roman"/>
          <w:color w:val="000000" w:themeColor="text1"/>
        </w:rPr>
        <w:t xml:space="preserve"> </w:t>
      </w:r>
      <w:r w:rsidR="00996E4C" w:rsidRPr="00FE771B">
        <w:rPr>
          <w:rFonts w:ascii="Times New Roman" w:hAnsi="Times New Roman" w:cs="Times New Roman"/>
          <w:color w:val="000000" w:themeColor="text1"/>
        </w:rPr>
        <w:t>“</w:t>
      </w:r>
      <w:r w:rsidRPr="00FE771B">
        <w:rPr>
          <w:rFonts w:ascii="Times New Roman" w:hAnsi="Times New Roman" w:cs="Times New Roman"/>
          <w:color w:val="000000" w:themeColor="text1"/>
        </w:rPr>
        <w:t xml:space="preserve">Determinants of </w:t>
      </w:r>
      <w:proofErr w:type="spellStart"/>
      <w:r w:rsidRPr="00FE771B">
        <w:rPr>
          <w:rFonts w:ascii="Times New Roman" w:hAnsi="Times New Roman" w:cs="Times New Roman"/>
          <w:color w:val="000000" w:themeColor="text1"/>
        </w:rPr>
        <w:t>earnout</w:t>
      </w:r>
      <w:proofErr w:type="spellEnd"/>
      <w:r w:rsidRPr="00FE771B">
        <w:rPr>
          <w:rFonts w:ascii="Times New Roman" w:hAnsi="Times New Roman" w:cs="Times New Roman"/>
          <w:color w:val="000000" w:themeColor="text1"/>
        </w:rPr>
        <w:t xml:space="preserve"> as acquisition payment currency and bidder’s value </w:t>
      </w:r>
      <w:proofErr w:type="spellStart"/>
      <w:r w:rsidRPr="00FE771B">
        <w:rPr>
          <w:rFonts w:ascii="Times New Roman" w:hAnsi="Times New Roman" w:cs="Times New Roman"/>
          <w:color w:val="000000" w:themeColor="text1"/>
        </w:rPr>
        <w:t>gains</w:t>
      </w:r>
      <w:r w:rsidR="00996E4C" w:rsidRPr="00FE771B">
        <w:rPr>
          <w:rFonts w:ascii="Times New Roman" w:hAnsi="Times New Roman" w:cs="Times New Roman"/>
          <w:color w:val="000000" w:themeColor="text1"/>
        </w:rPr>
        <w:t>”,</w:t>
      </w:r>
      <w:r w:rsidR="00690468" w:rsidRPr="00690468">
        <w:rPr>
          <w:rFonts w:ascii="Times New Roman" w:hAnsi="Times New Roman" w:cs="Times New Roman"/>
          <w:i/>
          <w:color w:val="000000" w:themeColor="text1"/>
        </w:rPr>
        <w:t>Journal</w:t>
      </w:r>
      <w:proofErr w:type="spellEnd"/>
      <w:r w:rsidR="00690468" w:rsidRPr="00690468">
        <w:rPr>
          <w:rFonts w:ascii="Times New Roman" w:hAnsi="Times New Roman" w:cs="Times New Roman"/>
          <w:i/>
          <w:color w:val="000000" w:themeColor="text1"/>
        </w:rPr>
        <w:t xml:space="preserve"> of Banking &amp; Finance</w:t>
      </w:r>
      <w:r w:rsidRPr="00FE771B">
        <w:rPr>
          <w:rFonts w:ascii="Times New Roman" w:hAnsi="Times New Roman" w:cs="Times New Roman"/>
          <w:color w:val="000000" w:themeColor="text1"/>
        </w:rPr>
        <w:t>36(3)</w:t>
      </w:r>
      <w:r w:rsidR="00690468">
        <w:rPr>
          <w:rFonts w:ascii="Times New Roman" w:hAnsi="Times New Roman" w:cs="Times New Roman" w:hint="eastAsia"/>
          <w:color w:val="000000" w:themeColor="text1"/>
        </w:rPr>
        <w:t>,</w:t>
      </w:r>
      <w:r w:rsidRPr="00FE771B">
        <w:rPr>
          <w:rFonts w:ascii="Times New Roman" w:hAnsi="Times New Roman" w:cs="Times New Roman"/>
          <w:color w:val="000000" w:themeColor="text1"/>
        </w:rPr>
        <w:t>678-694.</w:t>
      </w:r>
    </w:p>
    <w:p w:rsidR="005C5DAC" w:rsidRPr="00690468" w:rsidRDefault="00690468" w:rsidP="005C5DAC">
      <w:pPr>
        <w:rPr>
          <w:rFonts w:ascii="Times New Roman" w:hAnsi="Times New Roman" w:cs="Times New Roman"/>
          <w:color w:val="000000" w:themeColor="text1"/>
          <w:szCs w:val="21"/>
        </w:rPr>
      </w:pPr>
      <w:r w:rsidRPr="00690468">
        <w:rPr>
          <w:rFonts w:ascii="Times New Roman" w:hAnsi="Times New Roman" w:cs="Times New Roman"/>
          <w:color w:val="222222"/>
          <w:szCs w:val="21"/>
          <w:shd w:val="clear" w:color="auto" w:fill="FFFFFF"/>
        </w:rPr>
        <w:t>Cadman, B</w:t>
      </w:r>
      <w:r>
        <w:rPr>
          <w:rFonts w:ascii="Times New Roman" w:hAnsi="Times New Roman" w:cs="Times New Roman" w:hint="eastAsia"/>
          <w:color w:val="222222"/>
          <w:szCs w:val="21"/>
          <w:shd w:val="clear" w:color="auto" w:fill="FFFFFF"/>
        </w:rPr>
        <w:t xml:space="preserve"> et </w:t>
      </w:r>
      <w:proofErr w:type="gramStart"/>
      <w:r>
        <w:rPr>
          <w:rFonts w:ascii="Times New Roman" w:hAnsi="Times New Roman" w:cs="Times New Roman" w:hint="eastAsia"/>
          <w:color w:val="222222"/>
          <w:szCs w:val="21"/>
          <w:shd w:val="clear" w:color="auto" w:fill="FFFFFF"/>
        </w:rPr>
        <w:t>al</w:t>
      </w:r>
      <w:r w:rsidRPr="00690468">
        <w:rPr>
          <w:rFonts w:ascii="Times New Roman" w:hAnsi="Times New Roman" w:cs="Times New Roman"/>
          <w:color w:val="222222"/>
          <w:szCs w:val="21"/>
          <w:shd w:val="clear" w:color="auto" w:fill="FFFFFF"/>
        </w:rPr>
        <w:t>(</w:t>
      </w:r>
      <w:proofErr w:type="gramEnd"/>
      <w:r w:rsidRPr="00690468">
        <w:rPr>
          <w:rFonts w:ascii="Times New Roman" w:hAnsi="Times New Roman" w:cs="Times New Roman"/>
          <w:color w:val="222222"/>
          <w:szCs w:val="21"/>
          <w:shd w:val="clear" w:color="auto" w:fill="FFFFFF"/>
        </w:rPr>
        <w:t xml:space="preserve">2014). </w:t>
      </w:r>
      <w:r>
        <w:rPr>
          <w:rFonts w:ascii="Times New Roman" w:hAnsi="Times New Roman" w:cs="Times New Roman"/>
          <w:color w:val="222222"/>
          <w:szCs w:val="21"/>
          <w:shd w:val="clear" w:color="auto" w:fill="FFFFFF"/>
        </w:rPr>
        <w:t>“</w:t>
      </w:r>
      <w:r w:rsidRPr="00690468">
        <w:rPr>
          <w:rFonts w:ascii="Times New Roman" w:hAnsi="Times New Roman" w:cs="Times New Roman"/>
          <w:color w:val="222222"/>
          <w:szCs w:val="21"/>
          <w:shd w:val="clear" w:color="auto" w:fill="FFFFFF"/>
        </w:rPr>
        <w:t xml:space="preserve">Economic determinants and information environment effects of </w:t>
      </w:r>
      <w:proofErr w:type="spellStart"/>
      <w:r w:rsidRPr="00690468">
        <w:rPr>
          <w:rFonts w:ascii="Times New Roman" w:hAnsi="Times New Roman" w:cs="Times New Roman"/>
          <w:color w:val="222222"/>
          <w:szCs w:val="21"/>
          <w:shd w:val="clear" w:color="auto" w:fill="FFFFFF"/>
        </w:rPr>
        <w:t>earnouts</w:t>
      </w:r>
      <w:proofErr w:type="spellEnd"/>
      <w:r w:rsidRPr="00690468">
        <w:rPr>
          <w:rFonts w:ascii="Times New Roman" w:hAnsi="Times New Roman" w:cs="Times New Roman"/>
          <w:color w:val="222222"/>
          <w:szCs w:val="21"/>
          <w:shd w:val="clear" w:color="auto" w:fill="FFFFFF"/>
        </w:rPr>
        <w:t>: New insights from SFAS 141 (R)</w:t>
      </w:r>
      <w:r>
        <w:rPr>
          <w:rFonts w:ascii="Times New Roman" w:hAnsi="Times New Roman" w:cs="Times New Roman"/>
          <w:color w:val="222222"/>
          <w:szCs w:val="21"/>
          <w:shd w:val="clear" w:color="auto" w:fill="FFFFFF"/>
        </w:rPr>
        <w:t>”</w:t>
      </w:r>
      <w:proofErr w:type="gramStart"/>
      <w:r>
        <w:rPr>
          <w:rFonts w:ascii="Times New Roman" w:hAnsi="Times New Roman" w:cs="Times New Roman" w:hint="eastAsia"/>
          <w:color w:val="222222"/>
          <w:szCs w:val="21"/>
          <w:shd w:val="clear" w:color="auto" w:fill="FFFFFF"/>
        </w:rPr>
        <w:t>,</w:t>
      </w:r>
      <w:r w:rsidRPr="00690468">
        <w:rPr>
          <w:rFonts w:ascii="Times New Roman" w:hAnsi="Times New Roman" w:cs="Times New Roman"/>
          <w:i/>
          <w:iCs/>
          <w:color w:val="222222"/>
          <w:szCs w:val="21"/>
          <w:shd w:val="clear" w:color="auto" w:fill="FFFFFF"/>
        </w:rPr>
        <w:t>Journal</w:t>
      </w:r>
      <w:proofErr w:type="gramEnd"/>
      <w:r w:rsidRPr="00690468">
        <w:rPr>
          <w:rFonts w:ascii="Times New Roman" w:hAnsi="Times New Roman" w:cs="Times New Roman"/>
          <w:i/>
          <w:iCs/>
          <w:color w:val="222222"/>
          <w:szCs w:val="21"/>
          <w:shd w:val="clear" w:color="auto" w:fill="FFFFFF"/>
        </w:rPr>
        <w:t xml:space="preserve"> of Accounting Research</w:t>
      </w:r>
      <w:r w:rsidRPr="00690468">
        <w:rPr>
          <w:rFonts w:ascii="Times New Roman" w:hAnsi="Times New Roman" w:cs="Times New Roman"/>
          <w:color w:val="222222"/>
          <w:szCs w:val="21"/>
          <w:shd w:val="clear" w:color="auto" w:fill="FFFFFF"/>
        </w:rPr>
        <w:t> </w:t>
      </w:r>
      <w:r w:rsidRPr="00690468">
        <w:rPr>
          <w:rFonts w:ascii="Times New Roman" w:hAnsi="Times New Roman" w:cs="Times New Roman"/>
          <w:i/>
          <w:iCs/>
          <w:color w:val="222222"/>
          <w:szCs w:val="21"/>
          <w:shd w:val="clear" w:color="auto" w:fill="FFFFFF"/>
        </w:rPr>
        <w:t>52</w:t>
      </w:r>
      <w:r w:rsidRPr="00690468">
        <w:rPr>
          <w:rFonts w:ascii="Times New Roman" w:hAnsi="Times New Roman" w:cs="Times New Roman"/>
          <w:color w:val="222222"/>
          <w:szCs w:val="21"/>
          <w:shd w:val="clear" w:color="auto" w:fill="FFFFFF"/>
        </w:rPr>
        <w:t>(1), 37-74.</w:t>
      </w:r>
    </w:p>
    <w:p w:rsidR="005C5DAC" w:rsidRPr="00FE771B" w:rsidRDefault="005C5DAC" w:rsidP="005C5DAC">
      <w:pPr>
        <w:rPr>
          <w:rFonts w:ascii="Times New Roman" w:hAnsi="Times New Roman" w:cs="Times New Roman"/>
          <w:color w:val="000000" w:themeColor="text1"/>
        </w:rPr>
      </w:pPr>
      <w:proofErr w:type="spellStart"/>
      <w:r w:rsidRPr="00FE771B">
        <w:rPr>
          <w:rFonts w:ascii="Times New Roman" w:hAnsi="Times New Roman" w:cs="Times New Roman"/>
          <w:color w:val="000000" w:themeColor="text1"/>
        </w:rPr>
        <w:t>Cain</w:t>
      </w:r>
      <w:r w:rsidR="00996E4C" w:rsidRPr="00FE771B">
        <w:rPr>
          <w:rFonts w:ascii="Times New Roman" w:hAnsi="Times New Roman" w:cs="Times New Roman"/>
          <w:color w:val="000000" w:themeColor="text1"/>
        </w:rPr>
        <w:t>.</w:t>
      </w:r>
      <w:r w:rsidRPr="00FE771B">
        <w:rPr>
          <w:rFonts w:ascii="Times New Roman" w:hAnsi="Times New Roman" w:cs="Times New Roman"/>
          <w:color w:val="000000" w:themeColor="text1"/>
        </w:rPr>
        <w:t>M</w:t>
      </w:r>
      <w:r w:rsidR="00996E4C" w:rsidRPr="00FE771B">
        <w:rPr>
          <w:rFonts w:ascii="Times New Roman" w:hAnsi="Times New Roman" w:cs="Times New Roman"/>
          <w:color w:val="000000" w:themeColor="text1"/>
        </w:rPr>
        <w:t>.</w:t>
      </w:r>
      <w:r w:rsidRPr="00FE771B">
        <w:rPr>
          <w:rFonts w:ascii="Times New Roman" w:hAnsi="Times New Roman" w:cs="Times New Roman"/>
          <w:color w:val="000000" w:themeColor="text1"/>
        </w:rPr>
        <w:t>D</w:t>
      </w:r>
      <w:proofErr w:type="spellEnd"/>
      <w:r w:rsidR="00996E4C" w:rsidRPr="00FE771B">
        <w:rPr>
          <w:rFonts w:ascii="Times New Roman" w:hAnsi="Times New Roman" w:cs="Times New Roman"/>
          <w:color w:val="000000" w:themeColor="text1"/>
        </w:rPr>
        <w:t xml:space="preserve"> et </w:t>
      </w:r>
      <w:proofErr w:type="gramStart"/>
      <w:r w:rsidR="00996E4C" w:rsidRPr="00FE771B">
        <w:rPr>
          <w:rFonts w:ascii="Times New Roman" w:hAnsi="Times New Roman" w:cs="Times New Roman"/>
          <w:color w:val="000000" w:themeColor="text1"/>
        </w:rPr>
        <w:t>al(</w:t>
      </w:r>
      <w:proofErr w:type="gramEnd"/>
      <w:r w:rsidR="00996E4C" w:rsidRPr="00FE771B">
        <w:rPr>
          <w:rFonts w:ascii="Times New Roman" w:hAnsi="Times New Roman" w:cs="Times New Roman"/>
          <w:color w:val="000000" w:themeColor="text1"/>
        </w:rPr>
        <w:t>2011),</w:t>
      </w:r>
      <w:r w:rsidRPr="00FE771B">
        <w:rPr>
          <w:rFonts w:ascii="Times New Roman" w:hAnsi="Times New Roman" w:cs="Times New Roman"/>
          <w:color w:val="000000" w:themeColor="text1"/>
        </w:rPr>
        <w:t xml:space="preserve"> </w:t>
      </w:r>
      <w:r w:rsidR="00996E4C" w:rsidRPr="00FE771B">
        <w:rPr>
          <w:rFonts w:ascii="Times New Roman" w:hAnsi="Times New Roman" w:cs="Times New Roman"/>
          <w:color w:val="000000" w:themeColor="text1"/>
        </w:rPr>
        <w:t>“</w:t>
      </w:r>
      <w:r w:rsidRPr="00FE771B">
        <w:rPr>
          <w:rFonts w:ascii="Times New Roman" w:hAnsi="Times New Roman" w:cs="Times New Roman"/>
          <w:color w:val="000000" w:themeColor="text1"/>
        </w:rPr>
        <w:t xml:space="preserve">A study of financial contracting in acquisition </w:t>
      </w:r>
      <w:proofErr w:type="spellStart"/>
      <w:r w:rsidRPr="00FE771B">
        <w:rPr>
          <w:rFonts w:ascii="Times New Roman" w:hAnsi="Times New Roman" w:cs="Times New Roman"/>
          <w:color w:val="000000" w:themeColor="text1"/>
        </w:rPr>
        <w:t>agreements</w:t>
      </w:r>
      <w:r w:rsidR="00996E4C" w:rsidRPr="00FE771B">
        <w:rPr>
          <w:rFonts w:ascii="Times New Roman" w:hAnsi="Times New Roman" w:cs="Times New Roman"/>
          <w:color w:val="000000" w:themeColor="text1"/>
        </w:rPr>
        <w:t>”,</w:t>
      </w:r>
      <w:r w:rsidRPr="00FE771B">
        <w:rPr>
          <w:rFonts w:ascii="Times New Roman" w:hAnsi="Times New Roman" w:cs="Times New Roman"/>
          <w:i/>
          <w:color w:val="000000" w:themeColor="text1"/>
        </w:rPr>
        <w:t>Journal</w:t>
      </w:r>
      <w:proofErr w:type="spellEnd"/>
      <w:r w:rsidRPr="00FE771B">
        <w:rPr>
          <w:rFonts w:ascii="Times New Roman" w:hAnsi="Times New Roman" w:cs="Times New Roman"/>
          <w:i/>
          <w:color w:val="000000" w:themeColor="text1"/>
        </w:rPr>
        <w:t xml:space="preserve"> of Accounting and Economics</w:t>
      </w:r>
      <w:r w:rsidRPr="00FE771B">
        <w:rPr>
          <w:rFonts w:ascii="Times New Roman" w:hAnsi="Times New Roman" w:cs="Times New Roman"/>
          <w:color w:val="000000" w:themeColor="text1"/>
        </w:rPr>
        <w:t xml:space="preserve"> 51(1-2)</w:t>
      </w:r>
      <w:r w:rsidR="00690468">
        <w:rPr>
          <w:rFonts w:ascii="Times New Roman" w:hAnsi="Times New Roman" w:cs="Times New Roman" w:hint="eastAsia"/>
          <w:color w:val="000000" w:themeColor="text1"/>
        </w:rPr>
        <w:t>,</w:t>
      </w:r>
      <w:r w:rsidRPr="00FE771B">
        <w:rPr>
          <w:rFonts w:ascii="Times New Roman" w:hAnsi="Times New Roman" w:cs="Times New Roman"/>
          <w:color w:val="000000" w:themeColor="text1"/>
        </w:rPr>
        <w:t>151-170.</w:t>
      </w:r>
    </w:p>
    <w:p w:rsidR="005C5DAC" w:rsidRPr="00FE771B" w:rsidRDefault="005C5DAC" w:rsidP="005C5DAC">
      <w:pPr>
        <w:rPr>
          <w:rFonts w:ascii="Times New Roman" w:hAnsi="Times New Roman" w:cs="Times New Roman"/>
          <w:color w:val="000000" w:themeColor="text1"/>
        </w:rPr>
      </w:pPr>
      <w:proofErr w:type="spellStart"/>
      <w:r w:rsidRPr="00FE771B">
        <w:rPr>
          <w:rFonts w:ascii="Times New Roman" w:hAnsi="Times New Roman" w:cs="Times New Roman"/>
          <w:color w:val="000000" w:themeColor="text1"/>
        </w:rPr>
        <w:t>Choi</w:t>
      </w:r>
      <w:proofErr w:type="gramStart"/>
      <w:r w:rsidR="00996E4C" w:rsidRPr="00FE771B">
        <w:rPr>
          <w:rFonts w:ascii="Times New Roman" w:hAnsi="Times New Roman" w:cs="Times New Roman"/>
          <w:color w:val="000000" w:themeColor="text1"/>
        </w:rPr>
        <w:t>,</w:t>
      </w:r>
      <w:r w:rsidRPr="00FE771B">
        <w:rPr>
          <w:rFonts w:ascii="Times New Roman" w:hAnsi="Times New Roman" w:cs="Times New Roman"/>
          <w:color w:val="000000" w:themeColor="text1"/>
        </w:rPr>
        <w:t>A</w:t>
      </w:r>
      <w:r w:rsidR="00996E4C" w:rsidRPr="00FE771B">
        <w:rPr>
          <w:rFonts w:ascii="Times New Roman" w:hAnsi="Times New Roman" w:cs="Times New Roman"/>
          <w:color w:val="000000" w:themeColor="text1"/>
        </w:rPr>
        <w:t>.</w:t>
      </w:r>
      <w:r w:rsidRPr="00FE771B">
        <w:rPr>
          <w:rFonts w:ascii="Times New Roman" w:hAnsi="Times New Roman" w:cs="Times New Roman"/>
          <w:color w:val="000000" w:themeColor="text1"/>
        </w:rPr>
        <w:t>H</w:t>
      </w:r>
      <w:proofErr w:type="spellEnd"/>
      <w:proofErr w:type="gramEnd"/>
      <w:r w:rsidR="00996E4C" w:rsidRPr="00FE771B">
        <w:rPr>
          <w:rFonts w:ascii="Times New Roman" w:hAnsi="Times New Roman" w:cs="Times New Roman"/>
          <w:color w:val="000000" w:themeColor="text1"/>
        </w:rPr>
        <w:t>(2017),</w:t>
      </w:r>
      <w:r w:rsidRPr="00FE771B">
        <w:rPr>
          <w:rFonts w:ascii="Times New Roman" w:hAnsi="Times New Roman" w:cs="Times New Roman"/>
          <w:color w:val="000000" w:themeColor="text1"/>
        </w:rPr>
        <w:t xml:space="preserve"> </w:t>
      </w:r>
      <w:r w:rsidR="00996E4C" w:rsidRPr="00FE771B">
        <w:rPr>
          <w:rFonts w:ascii="Times New Roman" w:hAnsi="Times New Roman" w:cs="Times New Roman"/>
          <w:color w:val="000000" w:themeColor="text1"/>
        </w:rPr>
        <w:t>“</w:t>
      </w:r>
      <w:r w:rsidRPr="00FE771B">
        <w:rPr>
          <w:rFonts w:ascii="Times New Roman" w:hAnsi="Times New Roman" w:cs="Times New Roman"/>
          <w:color w:val="000000" w:themeColor="text1"/>
        </w:rPr>
        <w:t xml:space="preserve">Facilitating Mergers and Acquisitions with </w:t>
      </w:r>
      <w:proofErr w:type="spellStart"/>
      <w:r w:rsidRPr="00FE771B">
        <w:rPr>
          <w:rFonts w:ascii="Times New Roman" w:hAnsi="Times New Roman" w:cs="Times New Roman"/>
          <w:color w:val="000000" w:themeColor="text1"/>
        </w:rPr>
        <w:t>Earnouts</w:t>
      </w:r>
      <w:proofErr w:type="spellEnd"/>
      <w:r w:rsidRPr="00FE771B">
        <w:rPr>
          <w:rFonts w:ascii="Times New Roman" w:hAnsi="Times New Roman" w:cs="Times New Roman"/>
          <w:color w:val="000000" w:themeColor="text1"/>
        </w:rPr>
        <w:t xml:space="preserve"> and Purchase Price </w:t>
      </w:r>
      <w:proofErr w:type="spellStart"/>
      <w:r w:rsidRPr="00FE771B">
        <w:rPr>
          <w:rFonts w:ascii="Times New Roman" w:hAnsi="Times New Roman" w:cs="Times New Roman"/>
          <w:color w:val="000000" w:themeColor="text1"/>
        </w:rPr>
        <w:t>Adjustments</w:t>
      </w:r>
      <w:r w:rsidR="00996E4C" w:rsidRPr="00FE771B">
        <w:rPr>
          <w:rFonts w:ascii="Times New Roman" w:hAnsi="Times New Roman" w:cs="Times New Roman"/>
          <w:color w:val="000000" w:themeColor="text1"/>
        </w:rPr>
        <w:t>”,</w:t>
      </w:r>
      <w:r w:rsidRPr="00FE771B">
        <w:rPr>
          <w:rFonts w:ascii="Times New Roman" w:hAnsi="Times New Roman" w:cs="Times New Roman"/>
          <w:i/>
          <w:color w:val="000000" w:themeColor="text1"/>
        </w:rPr>
        <w:t>Journal</w:t>
      </w:r>
      <w:proofErr w:type="spellEnd"/>
      <w:r w:rsidRPr="00FE771B">
        <w:rPr>
          <w:rFonts w:ascii="Times New Roman" w:hAnsi="Times New Roman" w:cs="Times New Roman"/>
          <w:i/>
          <w:color w:val="000000" w:themeColor="text1"/>
        </w:rPr>
        <w:t xml:space="preserve"> </w:t>
      </w:r>
      <w:r w:rsidR="00690468">
        <w:rPr>
          <w:rFonts w:ascii="Times New Roman" w:hAnsi="Times New Roman" w:cs="Times New Roman"/>
          <w:i/>
          <w:color w:val="000000" w:themeColor="text1"/>
        </w:rPr>
        <w:t>of Law, Finance, and Accounting</w:t>
      </w:r>
      <w:r w:rsidRPr="00FE771B">
        <w:rPr>
          <w:rFonts w:ascii="Times New Roman" w:hAnsi="Times New Roman" w:cs="Times New Roman"/>
          <w:color w:val="000000" w:themeColor="text1"/>
        </w:rPr>
        <w:t>2(1)</w:t>
      </w:r>
      <w:r w:rsidR="00690468">
        <w:rPr>
          <w:rFonts w:ascii="Times New Roman" w:hAnsi="Times New Roman" w:cs="Times New Roman" w:hint="eastAsia"/>
          <w:color w:val="000000" w:themeColor="text1"/>
        </w:rPr>
        <w:t>,</w:t>
      </w:r>
      <w:r w:rsidRPr="00FE771B">
        <w:rPr>
          <w:rFonts w:ascii="Times New Roman" w:hAnsi="Times New Roman" w:cs="Times New Roman"/>
          <w:color w:val="000000" w:themeColor="text1"/>
        </w:rPr>
        <w:t>1-47.</w:t>
      </w:r>
    </w:p>
    <w:p w:rsidR="005C5DAC" w:rsidRPr="00FE771B" w:rsidRDefault="005C5DAC" w:rsidP="005C5DAC">
      <w:pPr>
        <w:rPr>
          <w:rFonts w:ascii="Times New Roman" w:hAnsi="Times New Roman" w:cs="Times New Roman"/>
          <w:color w:val="000000" w:themeColor="text1"/>
        </w:rPr>
      </w:pPr>
      <w:proofErr w:type="spellStart"/>
      <w:proofErr w:type="gramStart"/>
      <w:r w:rsidRPr="00FE771B">
        <w:rPr>
          <w:rFonts w:ascii="Times New Roman" w:hAnsi="Times New Roman" w:cs="Times New Roman"/>
          <w:color w:val="000000" w:themeColor="text1"/>
        </w:rPr>
        <w:t>Demir</w:t>
      </w:r>
      <w:r w:rsidR="00495828">
        <w:rPr>
          <w:rFonts w:ascii="Times New Roman" w:hAnsi="Times New Roman" w:cs="Times New Roman" w:hint="eastAsia"/>
          <w:color w:val="000000" w:themeColor="text1"/>
        </w:rPr>
        <w:t>.</w:t>
      </w:r>
      <w:r w:rsidR="00495828">
        <w:rPr>
          <w:rFonts w:ascii="Times New Roman" w:hAnsi="Times New Roman" w:cs="Times New Roman"/>
          <w:color w:val="000000" w:themeColor="text1"/>
        </w:rPr>
        <w:t>F</w:t>
      </w:r>
      <w:proofErr w:type="spellEnd"/>
      <w:r w:rsidR="00505054" w:rsidRPr="00FE771B">
        <w:rPr>
          <w:rFonts w:ascii="Times New Roman" w:hAnsi="Times New Roman" w:cs="Times New Roman"/>
          <w:color w:val="000000" w:themeColor="text1"/>
        </w:rPr>
        <w:t>(</w:t>
      </w:r>
      <w:proofErr w:type="gramEnd"/>
      <w:r w:rsidR="00505054" w:rsidRPr="00FE771B">
        <w:rPr>
          <w:rFonts w:ascii="Times New Roman" w:hAnsi="Times New Roman" w:cs="Times New Roman"/>
          <w:color w:val="000000" w:themeColor="text1"/>
        </w:rPr>
        <w:t>2009),</w:t>
      </w:r>
      <w:r w:rsidRPr="00FE771B">
        <w:rPr>
          <w:rFonts w:ascii="Times New Roman" w:hAnsi="Times New Roman" w:cs="Times New Roman"/>
          <w:color w:val="000000" w:themeColor="text1"/>
        </w:rPr>
        <w:t xml:space="preserve"> </w:t>
      </w:r>
      <w:r w:rsidR="00505054" w:rsidRPr="00FE771B">
        <w:rPr>
          <w:rFonts w:ascii="Times New Roman" w:hAnsi="Times New Roman" w:cs="Times New Roman"/>
          <w:color w:val="000000" w:themeColor="text1"/>
        </w:rPr>
        <w:t>“</w:t>
      </w:r>
      <w:r w:rsidRPr="00FE771B">
        <w:rPr>
          <w:rFonts w:ascii="Times New Roman" w:hAnsi="Times New Roman" w:cs="Times New Roman"/>
          <w:color w:val="000000" w:themeColor="text1"/>
        </w:rPr>
        <w:t xml:space="preserve">Financial liberalization, private investment and portfolio choice: </w:t>
      </w:r>
      <w:proofErr w:type="spellStart"/>
      <w:r w:rsidRPr="00FE771B">
        <w:rPr>
          <w:rFonts w:ascii="Times New Roman" w:hAnsi="Times New Roman" w:cs="Times New Roman"/>
          <w:color w:val="000000" w:themeColor="text1"/>
        </w:rPr>
        <w:t>Financialization</w:t>
      </w:r>
      <w:proofErr w:type="spellEnd"/>
      <w:r w:rsidRPr="00FE771B">
        <w:rPr>
          <w:rFonts w:ascii="Times New Roman" w:hAnsi="Times New Roman" w:cs="Times New Roman"/>
          <w:color w:val="000000" w:themeColor="text1"/>
        </w:rPr>
        <w:t xml:space="preserve"> of real sectors in emerging </w:t>
      </w:r>
      <w:proofErr w:type="spellStart"/>
      <w:r w:rsidRPr="00FE771B">
        <w:rPr>
          <w:rFonts w:ascii="Times New Roman" w:hAnsi="Times New Roman" w:cs="Times New Roman"/>
          <w:color w:val="000000" w:themeColor="text1"/>
        </w:rPr>
        <w:t>markets</w:t>
      </w:r>
      <w:r w:rsidR="00505054" w:rsidRPr="00FE771B">
        <w:rPr>
          <w:rFonts w:ascii="Times New Roman" w:hAnsi="Times New Roman" w:cs="Times New Roman"/>
          <w:color w:val="000000" w:themeColor="text1"/>
        </w:rPr>
        <w:t>”,</w:t>
      </w:r>
      <w:r w:rsidRPr="00495828">
        <w:rPr>
          <w:rFonts w:ascii="Times New Roman" w:hAnsi="Times New Roman" w:cs="Times New Roman"/>
          <w:i/>
          <w:color w:val="000000" w:themeColor="text1"/>
        </w:rPr>
        <w:t>J</w:t>
      </w:r>
      <w:r w:rsidR="00495828" w:rsidRPr="00495828">
        <w:rPr>
          <w:rFonts w:ascii="Times New Roman" w:hAnsi="Times New Roman" w:cs="Times New Roman"/>
          <w:i/>
          <w:color w:val="000000" w:themeColor="text1"/>
        </w:rPr>
        <w:t>ournal</w:t>
      </w:r>
      <w:proofErr w:type="spellEnd"/>
      <w:r w:rsidR="00495828" w:rsidRPr="00495828">
        <w:rPr>
          <w:rFonts w:ascii="Times New Roman" w:hAnsi="Times New Roman" w:cs="Times New Roman"/>
          <w:i/>
          <w:color w:val="000000" w:themeColor="text1"/>
        </w:rPr>
        <w:t xml:space="preserve"> of Development Economics</w:t>
      </w:r>
      <w:r w:rsidRPr="00495828">
        <w:rPr>
          <w:rFonts w:ascii="Times New Roman" w:hAnsi="Times New Roman" w:cs="Times New Roman"/>
          <w:i/>
          <w:color w:val="000000" w:themeColor="text1"/>
        </w:rPr>
        <w:t xml:space="preserve"> </w:t>
      </w:r>
      <w:r w:rsidRPr="00FE771B">
        <w:rPr>
          <w:rFonts w:ascii="Times New Roman" w:hAnsi="Times New Roman" w:cs="Times New Roman"/>
          <w:color w:val="000000" w:themeColor="text1"/>
        </w:rPr>
        <w:t>88(2)</w:t>
      </w:r>
      <w:r w:rsidR="00495828">
        <w:rPr>
          <w:rFonts w:ascii="Times New Roman" w:hAnsi="Times New Roman" w:cs="Times New Roman" w:hint="eastAsia"/>
          <w:color w:val="000000" w:themeColor="text1"/>
        </w:rPr>
        <w:t>,</w:t>
      </w:r>
      <w:r w:rsidRPr="00FE771B">
        <w:rPr>
          <w:rFonts w:ascii="Times New Roman" w:hAnsi="Times New Roman" w:cs="Times New Roman"/>
          <w:color w:val="000000" w:themeColor="text1"/>
        </w:rPr>
        <w:t>314-324.</w:t>
      </w:r>
    </w:p>
    <w:p w:rsidR="005C5DAC" w:rsidRPr="00FE771B" w:rsidRDefault="005C5DAC" w:rsidP="005C5DAC">
      <w:pPr>
        <w:rPr>
          <w:rFonts w:ascii="Times New Roman" w:hAnsi="Times New Roman" w:cs="Times New Roman"/>
          <w:color w:val="000000" w:themeColor="text1"/>
        </w:rPr>
      </w:pPr>
      <w:r w:rsidRPr="00690468">
        <w:rPr>
          <w:rFonts w:ascii="Times New Roman" w:hAnsi="Times New Roman" w:cs="Times New Roman"/>
          <w:color w:val="000000" w:themeColor="text1"/>
        </w:rPr>
        <w:t>Epstein, G. A. (Ed.). (2005).</w:t>
      </w:r>
      <w:r w:rsidR="00505054" w:rsidRPr="00690468">
        <w:rPr>
          <w:rFonts w:ascii="Times New Roman" w:hAnsi="Times New Roman" w:cs="Times New Roman"/>
          <w:color w:val="000000" w:themeColor="text1"/>
        </w:rPr>
        <w:t>”</w:t>
      </w:r>
      <w:r w:rsidRPr="00690468">
        <w:rPr>
          <w:rFonts w:ascii="Times New Roman" w:hAnsi="Times New Roman" w:cs="Times New Roman"/>
          <w:color w:val="000000" w:themeColor="text1"/>
        </w:rPr>
        <w:t> </w:t>
      </w:r>
      <w:proofErr w:type="spellStart"/>
      <w:r w:rsidRPr="00690468">
        <w:rPr>
          <w:rFonts w:ascii="Times New Roman" w:hAnsi="Times New Roman" w:cs="Times New Roman"/>
          <w:color w:val="000000" w:themeColor="text1"/>
        </w:rPr>
        <w:t>Financialization</w:t>
      </w:r>
      <w:proofErr w:type="spellEnd"/>
      <w:r w:rsidRPr="00690468">
        <w:rPr>
          <w:rFonts w:ascii="Times New Roman" w:hAnsi="Times New Roman" w:cs="Times New Roman"/>
          <w:color w:val="000000" w:themeColor="text1"/>
        </w:rPr>
        <w:t xml:space="preserve"> and the world </w:t>
      </w:r>
      <w:proofErr w:type="spellStart"/>
      <w:r w:rsidRPr="00690468">
        <w:rPr>
          <w:rFonts w:ascii="Times New Roman" w:hAnsi="Times New Roman" w:cs="Times New Roman"/>
          <w:color w:val="000000" w:themeColor="text1"/>
        </w:rPr>
        <w:t>economy</w:t>
      </w:r>
      <w:r w:rsidR="00505054" w:rsidRPr="00690468">
        <w:rPr>
          <w:rFonts w:ascii="Times New Roman" w:hAnsi="Times New Roman" w:cs="Times New Roman"/>
          <w:color w:val="000000" w:themeColor="text1"/>
        </w:rPr>
        <w:t>”</w:t>
      </w:r>
      <w:proofErr w:type="gramStart"/>
      <w:r w:rsidR="00505054" w:rsidRPr="00690468">
        <w:rPr>
          <w:rFonts w:ascii="Times New Roman" w:hAnsi="Times New Roman" w:cs="Times New Roman"/>
          <w:color w:val="000000" w:themeColor="text1"/>
        </w:rPr>
        <w:t>,</w:t>
      </w:r>
      <w:r w:rsidRPr="00690468">
        <w:rPr>
          <w:rFonts w:ascii="Times New Roman" w:hAnsi="Times New Roman" w:cs="Times New Roman"/>
          <w:color w:val="000000" w:themeColor="text1"/>
        </w:rPr>
        <w:t>Edward</w:t>
      </w:r>
      <w:proofErr w:type="spellEnd"/>
      <w:proofErr w:type="gramEnd"/>
      <w:r w:rsidRPr="00690468">
        <w:rPr>
          <w:rFonts w:ascii="Times New Roman" w:hAnsi="Times New Roman" w:cs="Times New Roman"/>
          <w:color w:val="000000" w:themeColor="text1"/>
        </w:rPr>
        <w:t xml:space="preserve"> Elgar Publishing.</w:t>
      </w:r>
    </w:p>
    <w:p w:rsidR="005C5DAC" w:rsidRPr="00FE771B" w:rsidRDefault="00495828" w:rsidP="005C5DAC">
      <w:pPr>
        <w:rPr>
          <w:rFonts w:ascii="Times New Roman" w:hAnsi="Times New Roman" w:cs="Times New Roman"/>
          <w:color w:val="000000" w:themeColor="text1"/>
        </w:rPr>
      </w:pPr>
      <w:r>
        <w:rPr>
          <w:rFonts w:ascii="Times New Roman" w:hAnsi="Times New Roman" w:cs="Times New Roman"/>
          <w:color w:val="000000" w:themeColor="text1"/>
        </w:rPr>
        <w:t xml:space="preserve">Healy, P. M., &amp; </w:t>
      </w:r>
      <w:proofErr w:type="spellStart"/>
      <w:r>
        <w:rPr>
          <w:rFonts w:ascii="Times New Roman" w:hAnsi="Times New Roman" w:cs="Times New Roman"/>
          <w:color w:val="000000" w:themeColor="text1"/>
        </w:rPr>
        <w:t>Wahlen</w:t>
      </w:r>
      <w:proofErr w:type="spellEnd"/>
      <w:r>
        <w:rPr>
          <w:rFonts w:ascii="Times New Roman" w:hAnsi="Times New Roman" w:cs="Times New Roman"/>
          <w:color w:val="000000" w:themeColor="text1"/>
        </w:rPr>
        <w:t>, J. M</w:t>
      </w:r>
      <w:r w:rsidRPr="00495828">
        <w:rPr>
          <w:rFonts w:ascii="Times New Roman" w:hAnsi="Times New Roman" w:cs="Times New Roman"/>
          <w:color w:val="000000" w:themeColor="text1"/>
        </w:rPr>
        <w:t xml:space="preserve"> (1999)</w:t>
      </w:r>
      <w:proofErr w:type="gramStart"/>
      <w:r>
        <w:rPr>
          <w:rFonts w:ascii="Times New Roman" w:hAnsi="Times New Roman" w:cs="Times New Roman" w:hint="eastAsia"/>
          <w:color w:val="000000" w:themeColor="text1"/>
        </w:rPr>
        <w:t>,</w:t>
      </w:r>
      <w:r>
        <w:rPr>
          <w:rFonts w:ascii="Times New Roman" w:hAnsi="Times New Roman" w:cs="Times New Roman"/>
          <w:color w:val="000000" w:themeColor="text1"/>
        </w:rPr>
        <w:t>“</w:t>
      </w:r>
      <w:proofErr w:type="gramEnd"/>
      <w:r w:rsidRPr="00495828">
        <w:rPr>
          <w:rFonts w:ascii="Times New Roman" w:hAnsi="Times New Roman" w:cs="Times New Roman"/>
          <w:color w:val="000000" w:themeColor="text1"/>
        </w:rPr>
        <w:t xml:space="preserve">A review of the earnings management literature and its </w:t>
      </w:r>
      <w:r w:rsidRPr="00495828">
        <w:rPr>
          <w:rFonts w:ascii="Times New Roman" w:hAnsi="Times New Roman" w:cs="Times New Roman"/>
          <w:color w:val="000000" w:themeColor="text1"/>
        </w:rPr>
        <w:lastRenderedPageBreak/>
        <w:t xml:space="preserve">implications for standard </w:t>
      </w:r>
      <w:proofErr w:type="spellStart"/>
      <w:r w:rsidRPr="00495828">
        <w:rPr>
          <w:rFonts w:ascii="Times New Roman" w:hAnsi="Times New Roman" w:cs="Times New Roman"/>
          <w:color w:val="000000" w:themeColor="text1"/>
        </w:rPr>
        <w:t>setting</w:t>
      </w:r>
      <w:r>
        <w:rPr>
          <w:rFonts w:ascii="Times New Roman" w:hAnsi="Times New Roman" w:cs="Times New Roman"/>
          <w:color w:val="000000" w:themeColor="text1"/>
        </w:rPr>
        <w:t>”</w:t>
      </w:r>
      <w:r>
        <w:rPr>
          <w:rFonts w:ascii="Times New Roman" w:hAnsi="Times New Roman" w:cs="Times New Roman" w:hint="eastAsia"/>
          <w:color w:val="000000" w:themeColor="text1"/>
        </w:rPr>
        <w:t>,</w:t>
      </w:r>
      <w:r w:rsidRPr="00495828">
        <w:rPr>
          <w:rFonts w:ascii="Times New Roman" w:hAnsi="Times New Roman" w:cs="Times New Roman"/>
          <w:i/>
          <w:color w:val="000000" w:themeColor="text1"/>
        </w:rPr>
        <w:t>Accounting</w:t>
      </w:r>
      <w:proofErr w:type="spellEnd"/>
      <w:r w:rsidRPr="00495828">
        <w:rPr>
          <w:rFonts w:ascii="Times New Roman" w:hAnsi="Times New Roman" w:cs="Times New Roman"/>
          <w:i/>
          <w:color w:val="000000" w:themeColor="text1"/>
        </w:rPr>
        <w:t xml:space="preserve"> horizons</w:t>
      </w:r>
      <w:r>
        <w:rPr>
          <w:rFonts w:ascii="Times New Roman" w:hAnsi="Times New Roman" w:cs="Times New Roman"/>
          <w:color w:val="000000" w:themeColor="text1"/>
        </w:rPr>
        <w:t>,</w:t>
      </w:r>
      <w:r w:rsidRPr="00495828">
        <w:rPr>
          <w:rFonts w:ascii="Times New Roman" w:hAnsi="Times New Roman" w:cs="Times New Roman"/>
          <w:color w:val="000000" w:themeColor="text1"/>
        </w:rPr>
        <w:t>13(4), 365-383.</w:t>
      </w:r>
    </w:p>
    <w:p w:rsidR="005C5DAC" w:rsidRPr="00FE771B" w:rsidRDefault="005C5DAC" w:rsidP="005C5DAC">
      <w:pPr>
        <w:rPr>
          <w:rFonts w:ascii="Times New Roman" w:hAnsi="Times New Roman" w:cs="Times New Roman"/>
          <w:color w:val="000000" w:themeColor="text1"/>
        </w:rPr>
      </w:pPr>
      <w:r w:rsidRPr="00FE771B">
        <w:rPr>
          <w:rFonts w:ascii="Times New Roman" w:hAnsi="Times New Roman" w:cs="Times New Roman"/>
          <w:color w:val="000000" w:themeColor="text1"/>
        </w:rPr>
        <w:t>Klein, B</w:t>
      </w:r>
      <w:r w:rsidR="00495828">
        <w:rPr>
          <w:rFonts w:ascii="Times New Roman" w:hAnsi="Times New Roman" w:cs="Times New Roman" w:hint="eastAsia"/>
          <w:color w:val="000000" w:themeColor="text1"/>
        </w:rPr>
        <w:t xml:space="preserve"> et </w:t>
      </w:r>
      <w:proofErr w:type="gramStart"/>
      <w:r w:rsidR="00495828">
        <w:rPr>
          <w:rFonts w:ascii="Times New Roman" w:hAnsi="Times New Roman" w:cs="Times New Roman" w:hint="eastAsia"/>
          <w:color w:val="000000" w:themeColor="text1"/>
        </w:rPr>
        <w:t>al</w:t>
      </w:r>
      <w:r w:rsidR="00000FC4" w:rsidRPr="00FE771B">
        <w:rPr>
          <w:rFonts w:ascii="Times New Roman" w:hAnsi="Times New Roman" w:cs="Times New Roman"/>
          <w:color w:val="000000" w:themeColor="text1"/>
        </w:rPr>
        <w:t>(</w:t>
      </w:r>
      <w:proofErr w:type="gramEnd"/>
      <w:r w:rsidRPr="00FE771B">
        <w:rPr>
          <w:rFonts w:ascii="Times New Roman" w:hAnsi="Times New Roman" w:cs="Times New Roman"/>
          <w:color w:val="000000" w:themeColor="text1"/>
        </w:rPr>
        <w:t>1978</w:t>
      </w:r>
      <w:r w:rsidR="00000FC4" w:rsidRPr="00FE771B">
        <w:rPr>
          <w:rFonts w:ascii="Times New Roman" w:hAnsi="Times New Roman" w:cs="Times New Roman"/>
          <w:color w:val="000000" w:themeColor="text1"/>
        </w:rPr>
        <w:t>)</w:t>
      </w:r>
      <w:r w:rsidRPr="00FE771B">
        <w:rPr>
          <w:rFonts w:ascii="Times New Roman" w:hAnsi="Times New Roman" w:cs="Times New Roman"/>
          <w:color w:val="000000" w:themeColor="text1"/>
        </w:rPr>
        <w:t xml:space="preserve">, “Vertical integration, appropriable rents, and the competitive contracting process”, </w:t>
      </w:r>
      <w:r w:rsidRPr="00FE771B">
        <w:rPr>
          <w:rFonts w:ascii="Times New Roman" w:hAnsi="Times New Roman" w:cs="Times New Roman"/>
          <w:i/>
          <w:color w:val="000000" w:themeColor="text1"/>
        </w:rPr>
        <w:t>The journal of Law and Economics</w:t>
      </w:r>
      <w:r w:rsidR="00495828">
        <w:rPr>
          <w:rFonts w:ascii="Times New Roman" w:hAnsi="Times New Roman" w:cs="Times New Roman"/>
          <w:color w:val="000000" w:themeColor="text1"/>
        </w:rPr>
        <w:t>,</w:t>
      </w:r>
      <w:r w:rsidRPr="00FE771B">
        <w:rPr>
          <w:rFonts w:ascii="Times New Roman" w:hAnsi="Times New Roman" w:cs="Times New Roman"/>
          <w:color w:val="000000" w:themeColor="text1"/>
        </w:rPr>
        <w:t>21(2), 297-326.</w:t>
      </w:r>
    </w:p>
    <w:p w:rsidR="005C5DAC" w:rsidRDefault="00495828" w:rsidP="005C5DAC">
      <w:pPr>
        <w:rPr>
          <w:rFonts w:ascii="Times New Roman" w:hAnsi="Times New Roman" w:cs="Times New Roman"/>
          <w:color w:val="000000" w:themeColor="text1"/>
        </w:rPr>
      </w:pPr>
      <w:proofErr w:type="spellStart"/>
      <w:r>
        <w:rPr>
          <w:rFonts w:ascii="Times New Roman" w:hAnsi="Times New Roman" w:cs="Times New Roman"/>
          <w:color w:val="000000" w:themeColor="text1"/>
        </w:rPr>
        <w:t>Kohers</w:t>
      </w:r>
      <w:proofErr w:type="spellEnd"/>
      <w:r>
        <w:rPr>
          <w:rFonts w:ascii="Times New Roman" w:hAnsi="Times New Roman" w:cs="Times New Roman"/>
          <w:color w:val="000000" w:themeColor="text1"/>
        </w:rPr>
        <w:t>, N</w:t>
      </w:r>
      <w:proofErr w:type="gramStart"/>
      <w:r>
        <w:rPr>
          <w:rFonts w:ascii="Times New Roman" w:hAnsi="Times New Roman" w:cs="Times New Roman"/>
          <w:color w:val="000000" w:themeColor="text1"/>
        </w:rPr>
        <w:t>.</w:t>
      </w:r>
      <w:r>
        <w:rPr>
          <w:rFonts w:ascii="Times New Roman" w:hAnsi="Times New Roman" w:cs="Times New Roman" w:hint="eastAsia"/>
          <w:color w:val="000000" w:themeColor="text1"/>
        </w:rPr>
        <w:t>&amp;</w:t>
      </w:r>
      <w:proofErr w:type="gram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Ang</w:t>
      </w:r>
      <w:proofErr w:type="spellEnd"/>
      <w:r>
        <w:rPr>
          <w:rFonts w:ascii="Times New Roman" w:hAnsi="Times New Roman" w:cs="Times New Roman"/>
          <w:color w:val="000000" w:themeColor="text1"/>
        </w:rPr>
        <w:t>, J</w:t>
      </w:r>
      <w:r w:rsidR="00000FC4" w:rsidRPr="00FE771B">
        <w:rPr>
          <w:rFonts w:ascii="Times New Roman" w:hAnsi="Times New Roman" w:cs="Times New Roman"/>
          <w:color w:val="000000" w:themeColor="text1"/>
        </w:rPr>
        <w:t>(</w:t>
      </w:r>
      <w:r w:rsidR="005C5DAC" w:rsidRPr="00FE771B">
        <w:rPr>
          <w:rFonts w:ascii="Times New Roman" w:hAnsi="Times New Roman" w:cs="Times New Roman"/>
          <w:color w:val="000000" w:themeColor="text1"/>
        </w:rPr>
        <w:t>2000</w:t>
      </w:r>
      <w:r w:rsidR="00000FC4" w:rsidRPr="00FE771B">
        <w:rPr>
          <w:rFonts w:ascii="Times New Roman" w:hAnsi="Times New Roman" w:cs="Times New Roman"/>
          <w:color w:val="000000" w:themeColor="text1"/>
        </w:rPr>
        <w:t>)</w:t>
      </w:r>
      <w:r w:rsidR="005C5DAC" w:rsidRPr="00FE771B">
        <w:rPr>
          <w:rFonts w:ascii="Times New Roman" w:hAnsi="Times New Roman" w:cs="Times New Roman"/>
          <w:color w:val="000000" w:themeColor="text1"/>
        </w:rPr>
        <w:t>, “</w:t>
      </w:r>
      <w:proofErr w:type="spellStart"/>
      <w:r w:rsidR="005C5DAC" w:rsidRPr="00FE771B">
        <w:rPr>
          <w:rFonts w:ascii="Times New Roman" w:hAnsi="Times New Roman" w:cs="Times New Roman"/>
          <w:color w:val="000000" w:themeColor="text1"/>
        </w:rPr>
        <w:t>Earnouts</w:t>
      </w:r>
      <w:proofErr w:type="spellEnd"/>
      <w:r w:rsidR="005C5DAC" w:rsidRPr="00FE771B">
        <w:rPr>
          <w:rFonts w:ascii="Times New Roman" w:hAnsi="Times New Roman" w:cs="Times New Roman"/>
          <w:color w:val="000000" w:themeColor="text1"/>
        </w:rPr>
        <w:t xml:space="preserve"> in mergers: Agreeing to disagree and agreeing to stay”, </w:t>
      </w:r>
      <w:r w:rsidR="005C5DAC" w:rsidRPr="00FE771B">
        <w:rPr>
          <w:rFonts w:ascii="Times New Roman" w:hAnsi="Times New Roman" w:cs="Times New Roman"/>
          <w:i/>
          <w:color w:val="000000" w:themeColor="text1"/>
        </w:rPr>
        <w:t>The Journal of Business</w:t>
      </w:r>
      <w:r w:rsidR="005C5DAC" w:rsidRPr="00FE771B">
        <w:rPr>
          <w:rFonts w:ascii="Times New Roman" w:hAnsi="Times New Roman" w:cs="Times New Roman"/>
          <w:color w:val="000000" w:themeColor="text1"/>
        </w:rPr>
        <w:t xml:space="preserve">73(3), 445-476. </w:t>
      </w:r>
    </w:p>
    <w:p w:rsidR="00690468" w:rsidRPr="00690468" w:rsidRDefault="00690468" w:rsidP="005C5DAC">
      <w:pPr>
        <w:rPr>
          <w:rFonts w:ascii="Times New Roman" w:hAnsi="Times New Roman" w:cs="Times New Roman"/>
          <w:color w:val="000000" w:themeColor="text1"/>
          <w:szCs w:val="21"/>
        </w:rPr>
      </w:pPr>
      <w:proofErr w:type="spellStart"/>
      <w:r>
        <w:rPr>
          <w:rFonts w:ascii="Times New Roman" w:hAnsi="Times New Roman" w:cs="Times New Roman"/>
          <w:color w:val="222222"/>
          <w:szCs w:val="21"/>
          <w:shd w:val="clear" w:color="auto" w:fill="FFFFFF"/>
        </w:rPr>
        <w:t>Kohli</w:t>
      </w:r>
      <w:proofErr w:type="spellEnd"/>
      <w:r>
        <w:rPr>
          <w:rFonts w:ascii="Times New Roman" w:hAnsi="Times New Roman" w:cs="Times New Roman"/>
          <w:color w:val="222222"/>
          <w:szCs w:val="21"/>
          <w:shd w:val="clear" w:color="auto" w:fill="FFFFFF"/>
        </w:rPr>
        <w:t xml:space="preserve">, R., &amp; Mann, B. J. </w:t>
      </w:r>
      <w:proofErr w:type="gramStart"/>
      <w:r>
        <w:rPr>
          <w:rFonts w:ascii="Times New Roman" w:hAnsi="Times New Roman" w:cs="Times New Roman"/>
          <w:color w:val="222222"/>
          <w:szCs w:val="21"/>
          <w:shd w:val="clear" w:color="auto" w:fill="FFFFFF"/>
        </w:rPr>
        <w:t>S</w:t>
      </w:r>
      <w:r w:rsidRPr="00690468">
        <w:rPr>
          <w:rFonts w:ascii="Times New Roman" w:hAnsi="Times New Roman" w:cs="Times New Roman"/>
          <w:color w:val="222222"/>
          <w:szCs w:val="21"/>
          <w:shd w:val="clear" w:color="auto" w:fill="FFFFFF"/>
        </w:rPr>
        <w:t>(</w:t>
      </w:r>
      <w:proofErr w:type="gramEnd"/>
      <w:r w:rsidRPr="00690468">
        <w:rPr>
          <w:rFonts w:ascii="Times New Roman" w:hAnsi="Times New Roman" w:cs="Times New Roman"/>
          <w:color w:val="222222"/>
          <w:szCs w:val="21"/>
          <w:shd w:val="clear" w:color="auto" w:fill="FFFFFF"/>
        </w:rPr>
        <w:t>2013)</w:t>
      </w:r>
      <w:r>
        <w:rPr>
          <w:rFonts w:ascii="Times New Roman" w:hAnsi="Times New Roman" w:cs="Times New Roman" w:hint="eastAsia"/>
          <w:color w:val="222222"/>
          <w:szCs w:val="21"/>
          <w:shd w:val="clear" w:color="auto" w:fill="FFFFFF"/>
        </w:rPr>
        <w:t>,</w:t>
      </w:r>
      <w:r>
        <w:rPr>
          <w:rFonts w:ascii="Times New Roman" w:hAnsi="Times New Roman" w:cs="Times New Roman"/>
          <w:color w:val="222222"/>
          <w:szCs w:val="21"/>
          <w:shd w:val="clear" w:color="auto" w:fill="FFFFFF"/>
        </w:rPr>
        <w:t>”</w:t>
      </w:r>
      <w:r w:rsidRPr="00690468">
        <w:rPr>
          <w:rFonts w:ascii="Times New Roman" w:hAnsi="Times New Roman" w:cs="Times New Roman"/>
          <w:color w:val="222222"/>
          <w:szCs w:val="21"/>
          <w:shd w:val="clear" w:color="auto" w:fill="FFFFFF"/>
        </w:rPr>
        <w:t xml:space="preserve">Analyzing the likelihood and the impact of </w:t>
      </w:r>
      <w:proofErr w:type="spellStart"/>
      <w:r w:rsidRPr="00690468">
        <w:rPr>
          <w:rFonts w:ascii="Times New Roman" w:hAnsi="Times New Roman" w:cs="Times New Roman"/>
          <w:color w:val="222222"/>
          <w:szCs w:val="21"/>
          <w:shd w:val="clear" w:color="auto" w:fill="FFFFFF"/>
        </w:rPr>
        <w:t>earnout</w:t>
      </w:r>
      <w:proofErr w:type="spellEnd"/>
      <w:r w:rsidRPr="00690468">
        <w:rPr>
          <w:rFonts w:ascii="Times New Roman" w:hAnsi="Times New Roman" w:cs="Times New Roman"/>
          <w:color w:val="222222"/>
          <w:szCs w:val="21"/>
          <w:shd w:val="clear" w:color="auto" w:fill="FFFFFF"/>
        </w:rPr>
        <w:t xml:space="preserve"> offers on acquiring company wealth gains in </w:t>
      </w:r>
      <w:proofErr w:type="spellStart"/>
      <w:r w:rsidRPr="00690468">
        <w:rPr>
          <w:rFonts w:ascii="Times New Roman" w:hAnsi="Times New Roman" w:cs="Times New Roman"/>
          <w:color w:val="222222"/>
          <w:szCs w:val="21"/>
          <w:shd w:val="clear" w:color="auto" w:fill="FFFFFF"/>
        </w:rPr>
        <w:t>India</w:t>
      </w:r>
      <w:r>
        <w:rPr>
          <w:rFonts w:ascii="Times New Roman" w:hAnsi="Times New Roman" w:cs="Times New Roman"/>
          <w:color w:val="222222"/>
          <w:szCs w:val="21"/>
          <w:shd w:val="clear" w:color="auto" w:fill="FFFFFF"/>
        </w:rPr>
        <w:t>”</w:t>
      </w:r>
      <w:r>
        <w:rPr>
          <w:rFonts w:ascii="Times New Roman" w:hAnsi="Times New Roman" w:cs="Times New Roman" w:hint="eastAsia"/>
          <w:color w:val="222222"/>
          <w:szCs w:val="21"/>
          <w:shd w:val="clear" w:color="auto" w:fill="FFFFFF"/>
        </w:rPr>
        <w:t>,</w:t>
      </w:r>
      <w:r w:rsidRPr="00690468">
        <w:rPr>
          <w:rFonts w:ascii="Times New Roman" w:hAnsi="Times New Roman" w:cs="Times New Roman"/>
          <w:i/>
          <w:iCs/>
          <w:color w:val="222222"/>
          <w:szCs w:val="21"/>
          <w:shd w:val="clear" w:color="auto" w:fill="FFFFFF"/>
        </w:rPr>
        <w:t>Emerging</w:t>
      </w:r>
      <w:proofErr w:type="spellEnd"/>
      <w:r w:rsidRPr="00690468">
        <w:rPr>
          <w:rFonts w:ascii="Times New Roman" w:hAnsi="Times New Roman" w:cs="Times New Roman"/>
          <w:i/>
          <w:iCs/>
          <w:color w:val="222222"/>
          <w:szCs w:val="21"/>
          <w:shd w:val="clear" w:color="auto" w:fill="FFFFFF"/>
        </w:rPr>
        <w:t xml:space="preserve"> Markets Review</w:t>
      </w:r>
      <w:r w:rsidRPr="00690468">
        <w:rPr>
          <w:rFonts w:ascii="Times New Roman" w:hAnsi="Times New Roman" w:cs="Times New Roman"/>
          <w:iCs/>
          <w:color w:val="222222"/>
          <w:szCs w:val="21"/>
          <w:shd w:val="clear" w:color="auto" w:fill="FFFFFF"/>
        </w:rPr>
        <w:t>16</w:t>
      </w:r>
      <w:r w:rsidRPr="00690468">
        <w:rPr>
          <w:rFonts w:ascii="Times New Roman" w:hAnsi="Times New Roman" w:cs="Times New Roman" w:hint="eastAsia"/>
          <w:iCs/>
          <w:color w:val="222222"/>
          <w:szCs w:val="21"/>
          <w:shd w:val="clear" w:color="auto" w:fill="FFFFFF"/>
        </w:rPr>
        <w:t>(9)</w:t>
      </w:r>
      <w:r w:rsidRPr="00690468">
        <w:rPr>
          <w:rFonts w:ascii="Times New Roman" w:hAnsi="Times New Roman" w:cs="Times New Roman"/>
          <w:color w:val="222222"/>
          <w:szCs w:val="21"/>
          <w:shd w:val="clear" w:color="auto" w:fill="FFFFFF"/>
        </w:rPr>
        <w:t>, 203-222.</w:t>
      </w:r>
    </w:p>
    <w:p w:rsidR="005C5DAC" w:rsidRPr="00FE771B" w:rsidRDefault="005C5DAC" w:rsidP="005C5DAC">
      <w:pPr>
        <w:rPr>
          <w:rFonts w:ascii="Times New Roman" w:hAnsi="Times New Roman" w:cs="Times New Roman"/>
          <w:color w:val="000000" w:themeColor="text1"/>
        </w:rPr>
      </w:pPr>
      <w:r w:rsidRPr="00FE771B">
        <w:rPr>
          <w:rFonts w:ascii="Times New Roman" w:hAnsi="Times New Roman" w:cs="Times New Roman"/>
          <w:color w:val="000000" w:themeColor="text1"/>
        </w:rPr>
        <w:t xml:space="preserve">Patty </w:t>
      </w:r>
      <w:proofErr w:type="spellStart"/>
      <w:r w:rsidRPr="00FE771B">
        <w:rPr>
          <w:rFonts w:ascii="Times New Roman" w:hAnsi="Times New Roman" w:cs="Times New Roman"/>
          <w:color w:val="000000" w:themeColor="text1"/>
        </w:rPr>
        <w:t>Dechow</w:t>
      </w:r>
      <w:proofErr w:type="spellEnd"/>
      <w:r w:rsidR="00505054" w:rsidRPr="00FE771B">
        <w:rPr>
          <w:rFonts w:ascii="Times New Roman" w:hAnsi="Times New Roman" w:cs="Times New Roman"/>
          <w:color w:val="000000" w:themeColor="text1"/>
        </w:rPr>
        <w:t xml:space="preserve"> et </w:t>
      </w:r>
      <w:proofErr w:type="gramStart"/>
      <w:r w:rsidR="00505054" w:rsidRPr="00FE771B">
        <w:rPr>
          <w:rFonts w:ascii="Times New Roman" w:hAnsi="Times New Roman" w:cs="Times New Roman"/>
          <w:color w:val="000000" w:themeColor="text1"/>
        </w:rPr>
        <w:t>al</w:t>
      </w:r>
      <w:r w:rsidRPr="00FE771B">
        <w:rPr>
          <w:rFonts w:ascii="Times New Roman" w:hAnsi="Times New Roman" w:cs="Times New Roman"/>
          <w:color w:val="000000" w:themeColor="text1"/>
        </w:rPr>
        <w:t>(</w:t>
      </w:r>
      <w:proofErr w:type="gramEnd"/>
      <w:r w:rsidRPr="00FE771B">
        <w:rPr>
          <w:rFonts w:ascii="Times New Roman" w:hAnsi="Times New Roman" w:cs="Times New Roman"/>
          <w:color w:val="000000" w:themeColor="text1"/>
        </w:rPr>
        <w:t>1995)</w:t>
      </w:r>
      <w:r w:rsidR="00505054" w:rsidRPr="00FE771B">
        <w:rPr>
          <w:rFonts w:ascii="Times New Roman" w:hAnsi="Times New Roman" w:cs="Times New Roman"/>
          <w:color w:val="000000" w:themeColor="text1"/>
        </w:rPr>
        <w:t>,</w:t>
      </w:r>
      <w:r w:rsidRPr="00FE771B">
        <w:rPr>
          <w:rFonts w:ascii="Times New Roman" w:hAnsi="Times New Roman" w:cs="Times New Roman"/>
          <w:color w:val="000000" w:themeColor="text1"/>
        </w:rPr>
        <w:t xml:space="preserve">"Detecting Earnings </w:t>
      </w:r>
      <w:proofErr w:type="spellStart"/>
      <w:r w:rsidRPr="00FE771B">
        <w:rPr>
          <w:rFonts w:ascii="Times New Roman" w:hAnsi="Times New Roman" w:cs="Times New Roman"/>
          <w:color w:val="000000" w:themeColor="text1"/>
        </w:rPr>
        <w:t>Management"</w:t>
      </w:r>
      <w:r w:rsidR="00505054" w:rsidRPr="00FE771B">
        <w:rPr>
          <w:rFonts w:ascii="Times New Roman" w:hAnsi="Times New Roman" w:cs="Times New Roman"/>
          <w:color w:val="000000" w:themeColor="text1"/>
        </w:rPr>
        <w:t>,</w:t>
      </w:r>
      <w:r w:rsidRPr="00FE771B">
        <w:rPr>
          <w:rFonts w:ascii="Times New Roman" w:hAnsi="Times New Roman" w:cs="Times New Roman"/>
          <w:i/>
          <w:color w:val="000000" w:themeColor="text1"/>
        </w:rPr>
        <w:t>The</w:t>
      </w:r>
      <w:proofErr w:type="spellEnd"/>
      <w:r w:rsidRPr="00FE771B">
        <w:rPr>
          <w:rFonts w:ascii="Times New Roman" w:hAnsi="Times New Roman" w:cs="Times New Roman"/>
          <w:i/>
          <w:color w:val="000000" w:themeColor="text1"/>
        </w:rPr>
        <w:t xml:space="preserve"> Accounting Review</w:t>
      </w:r>
      <w:r w:rsidRPr="00FE771B">
        <w:rPr>
          <w:rFonts w:ascii="Times New Roman" w:hAnsi="Times New Roman" w:cs="Times New Roman"/>
          <w:color w:val="000000" w:themeColor="text1"/>
        </w:rPr>
        <w:t>70</w:t>
      </w:r>
      <w:r w:rsidR="00C4342F">
        <w:rPr>
          <w:rFonts w:ascii="Times New Roman" w:hAnsi="Times New Roman" w:cs="Times New Roman" w:hint="eastAsia"/>
          <w:color w:val="000000" w:themeColor="text1"/>
        </w:rPr>
        <w:t>(2)</w:t>
      </w:r>
      <w:r w:rsidRPr="00FE771B">
        <w:rPr>
          <w:rFonts w:ascii="Times New Roman" w:hAnsi="Times New Roman" w:cs="Times New Roman"/>
          <w:color w:val="000000" w:themeColor="text1"/>
        </w:rPr>
        <w:t>, 193-226.</w:t>
      </w:r>
    </w:p>
    <w:p w:rsidR="005C5DAC" w:rsidRPr="00FE771B" w:rsidRDefault="005C5DAC" w:rsidP="005C5DAC">
      <w:pPr>
        <w:rPr>
          <w:rFonts w:ascii="Times New Roman" w:hAnsi="Times New Roman" w:cs="Times New Roman"/>
          <w:color w:val="000000" w:themeColor="text1"/>
        </w:rPr>
      </w:pPr>
      <w:proofErr w:type="spellStart"/>
      <w:proofErr w:type="gramStart"/>
      <w:r w:rsidRPr="00FE771B">
        <w:rPr>
          <w:rFonts w:ascii="Times New Roman" w:hAnsi="Times New Roman" w:cs="Times New Roman"/>
          <w:color w:val="000000" w:themeColor="text1"/>
        </w:rPr>
        <w:t>Roychowdhury</w:t>
      </w:r>
      <w:r w:rsidR="001C5A4D" w:rsidRPr="00FE771B">
        <w:rPr>
          <w:rFonts w:ascii="Times New Roman" w:hAnsi="Times New Roman" w:cs="Times New Roman"/>
          <w:color w:val="000000" w:themeColor="text1"/>
        </w:rPr>
        <w:t>.</w:t>
      </w:r>
      <w:r w:rsidRPr="00FE771B">
        <w:rPr>
          <w:rFonts w:ascii="Times New Roman" w:hAnsi="Times New Roman" w:cs="Times New Roman"/>
          <w:color w:val="000000" w:themeColor="text1"/>
        </w:rPr>
        <w:t>S</w:t>
      </w:r>
      <w:proofErr w:type="spellEnd"/>
      <w:r w:rsidR="001C5A4D" w:rsidRPr="00FE771B">
        <w:rPr>
          <w:rFonts w:ascii="Times New Roman" w:hAnsi="Times New Roman" w:cs="Times New Roman"/>
          <w:color w:val="000000" w:themeColor="text1"/>
        </w:rPr>
        <w:t>(</w:t>
      </w:r>
      <w:proofErr w:type="gramEnd"/>
      <w:r w:rsidRPr="00FE771B">
        <w:rPr>
          <w:rFonts w:ascii="Times New Roman" w:hAnsi="Times New Roman" w:cs="Times New Roman"/>
          <w:color w:val="000000" w:themeColor="text1"/>
        </w:rPr>
        <w:t>2006</w:t>
      </w:r>
      <w:r w:rsidR="001C5A4D" w:rsidRPr="00FE771B">
        <w:rPr>
          <w:rFonts w:ascii="Times New Roman" w:hAnsi="Times New Roman" w:cs="Times New Roman"/>
          <w:color w:val="000000" w:themeColor="text1"/>
        </w:rPr>
        <w:t>),“</w:t>
      </w:r>
      <w:r w:rsidRPr="00FE771B">
        <w:rPr>
          <w:rFonts w:ascii="Times New Roman" w:hAnsi="Times New Roman" w:cs="Times New Roman"/>
          <w:color w:val="000000" w:themeColor="text1"/>
        </w:rPr>
        <w:t xml:space="preserve">Earnings Management through Real Activities </w:t>
      </w:r>
      <w:proofErr w:type="spellStart"/>
      <w:r w:rsidRPr="00FE771B">
        <w:rPr>
          <w:rFonts w:ascii="Times New Roman" w:hAnsi="Times New Roman" w:cs="Times New Roman"/>
          <w:color w:val="000000" w:themeColor="text1"/>
        </w:rPr>
        <w:t>Manipulation</w:t>
      </w:r>
      <w:r w:rsidR="001C5A4D" w:rsidRPr="00FE771B">
        <w:rPr>
          <w:rFonts w:ascii="Times New Roman" w:hAnsi="Times New Roman" w:cs="Times New Roman"/>
          <w:color w:val="000000" w:themeColor="text1"/>
        </w:rPr>
        <w:t>”</w:t>
      </w:r>
      <w:r w:rsidR="00000FC4" w:rsidRPr="00FE771B">
        <w:rPr>
          <w:rFonts w:ascii="Times New Roman" w:hAnsi="Times New Roman" w:cs="Times New Roman"/>
          <w:color w:val="000000" w:themeColor="text1"/>
        </w:rPr>
        <w:t>,</w:t>
      </w:r>
      <w:r w:rsidRPr="00FE771B">
        <w:rPr>
          <w:rFonts w:ascii="Times New Roman" w:hAnsi="Times New Roman" w:cs="Times New Roman"/>
          <w:i/>
          <w:color w:val="000000" w:themeColor="text1"/>
        </w:rPr>
        <w:t>Journal</w:t>
      </w:r>
      <w:proofErr w:type="spellEnd"/>
      <w:r w:rsidRPr="00FE771B">
        <w:rPr>
          <w:rFonts w:ascii="Times New Roman" w:hAnsi="Times New Roman" w:cs="Times New Roman"/>
          <w:i/>
          <w:color w:val="000000" w:themeColor="text1"/>
        </w:rPr>
        <w:t xml:space="preserve"> of Accounting and Economics</w:t>
      </w:r>
      <w:r w:rsidRPr="00FE771B">
        <w:rPr>
          <w:rFonts w:ascii="Times New Roman" w:hAnsi="Times New Roman" w:cs="Times New Roman"/>
          <w:color w:val="000000" w:themeColor="text1"/>
        </w:rPr>
        <w:t>42(3)</w:t>
      </w:r>
      <w:r w:rsidR="00495828">
        <w:rPr>
          <w:rFonts w:ascii="Times New Roman" w:hAnsi="Times New Roman" w:cs="Times New Roman" w:hint="eastAsia"/>
          <w:color w:val="000000" w:themeColor="text1"/>
        </w:rPr>
        <w:t>,</w:t>
      </w:r>
      <w:r w:rsidRPr="00FE771B">
        <w:rPr>
          <w:rFonts w:ascii="Times New Roman" w:hAnsi="Times New Roman" w:cs="Times New Roman"/>
          <w:color w:val="000000" w:themeColor="text1"/>
        </w:rPr>
        <w:t xml:space="preserve"> 335- 370</w:t>
      </w:r>
    </w:p>
    <w:p w:rsidR="005C5DAC" w:rsidRPr="00FE771B" w:rsidRDefault="005C5DAC" w:rsidP="005C5DAC">
      <w:pPr>
        <w:rPr>
          <w:rFonts w:ascii="Times New Roman" w:hAnsi="Times New Roman" w:cs="Times New Roman"/>
          <w:color w:val="000000" w:themeColor="text1"/>
        </w:rPr>
      </w:pPr>
      <w:proofErr w:type="spellStart"/>
      <w:r w:rsidRPr="00FE771B">
        <w:rPr>
          <w:rFonts w:ascii="Times New Roman" w:hAnsi="Times New Roman" w:cs="Times New Roman"/>
          <w:color w:val="000000" w:themeColor="text1"/>
        </w:rPr>
        <w:t>Shleifer</w:t>
      </w:r>
      <w:proofErr w:type="spellEnd"/>
      <w:r w:rsidRPr="00FE771B">
        <w:rPr>
          <w:rFonts w:ascii="Times New Roman" w:hAnsi="Times New Roman" w:cs="Times New Roman"/>
          <w:color w:val="000000" w:themeColor="text1"/>
        </w:rPr>
        <w:t xml:space="preserve">, A., </w:t>
      </w:r>
      <w:r w:rsidR="00C4342F">
        <w:rPr>
          <w:rFonts w:ascii="Times New Roman" w:hAnsi="Times New Roman" w:cs="Times New Roman" w:hint="eastAsia"/>
          <w:color w:val="000000" w:themeColor="text1"/>
        </w:rPr>
        <w:t>&amp;</w:t>
      </w:r>
      <w:r w:rsidRPr="00FE771B">
        <w:rPr>
          <w:rFonts w:ascii="Times New Roman" w:hAnsi="Times New Roman" w:cs="Times New Roman"/>
          <w:color w:val="000000" w:themeColor="text1"/>
        </w:rPr>
        <w:t xml:space="preserve"> </w:t>
      </w:r>
      <w:proofErr w:type="spellStart"/>
      <w:r w:rsidRPr="00FE771B">
        <w:rPr>
          <w:rFonts w:ascii="Times New Roman" w:hAnsi="Times New Roman" w:cs="Times New Roman"/>
          <w:color w:val="000000" w:themeColor="text1"/>
        </w:rPr>
        <w:t>Vishny</w:t>
      </w:r>
      <w:proofErr w:type="spellEnd"/>
      <w:r w:rsidRPr="00FE771B">
        <w:rPr>
          <w:rFonts w:ascii="Times New Roman" w:hAnsi="Times New Roman" w:cs="Times New Roman"/>
          <w:color w:val="000000" w:themeColor="text1"/>
        </w:rPr>
        <w:t xml:space="preserve">, R. W </w:t>
      </w:r>
      <w:r w:rsidR="001C5A4D" w:rsidRPr="00FE771B">
        <w:rPr>
          <w:rFonts w:ascii="Times New Roman" w:hAnsi="Times New Roman" w:cs="Times New Roman"/>
          <w:color w:val="000000" w:themeColor="text1"/>
        </w:rPr>
        <w:t>(</w:t>
      </w:r>
      <w:r w:rsidRPr="00FE771B">
        <w:rPr>
          <w:rFonts w:ascii="Times New Roman" w:hAnsi="Times New Roman" w:cs="Times New Roman"/>
          <w:color w:val="000000" w:themeColor="text1"/>
        </w:rPr>
        <w:t>1986</w:t>
      </w:r>
      <w:r w:rsidR="001C5A4D" w:rsidRPr="00FE771B">
        <w:rPr>
          <w:rFonts w:ascii="Times New Roman" w:hAnsi="Times New Roman" w:cs="Times New Roman"/>
          <w:color w:val="000000" w:themeColor="text1"/>
        </w:rPr>
        <w:t>)</w:t>
      </w:r>
      <w:r w:rsidRPr="00FE771B">
        <w:rPr>
          <w:rFonts w:ascii="Times New Roman" w:hAnsi="Times New Roman" w:cs="Times New Roman"/>
          <w:color w:val="000000" w:themeColor="text1"/>
        </w:rPr>
        <w:t>, “Large shareholders and corporate control”, </w:t>
      </w:r>
      <w:r w:rsidR="00C4342F">
        <w:rPr>
          <w:rFonts w:ascii="Times New Roman" w:hAnsi="Times New Roman" w:cs="Times New Roman"/>
          <w:i/>
          <w:color w:val="000000" w:themeColor="text1"/>
        </w:rPr>
        <w:t>Journal of political economy</w:t>
      </w:r>
      <w:proofErr w:type="gramStart"/>
      <w:r w:rsidR="00C4342F">
        <w:rPr>
          <w:rFonts w:ascii="Times New Roman" w:hAnsi="Times New Roman" w:cs="Times New Roman"/>
          <w:i/>
          <w:color w:val="000000" w:themeColor="text1"/>
        </w:rPr>
        <w:t>,</w:t>
      </w:r>
      <w:r w:rsidRPr="00FE771B">
        <w:rPr>
          <w:rFonts w:ascii="Times New Roman" w:hAnsi="Times New Roman" w:cs="Times New Roman"/>
          <w:color w:val="000000" w:themeColor="text1"/>
        </w:rPr>
        <w:t>94</w:t>
      </w:r>
      <w:proofErr w:type="gramEnd"/>
      <w:r w:rsidRPr="00FE771B">
        <w:rPr>
          <w:rFonts w:ascii="Times New Roman" w:hAnsi="Times New Roman" w:cs="Times New Roman"/>
          <w:color w:val="000000" w:themeColor="text1"/>
        </w:rPr>
        <w:t>(3), 461-488.</w:t>
      </w:r>
    </w:p>
    <w:p w:rsidR="005C5DAC" w:rsidRPr="00FE771B" w:rsidRDefault="00C4342F" w:rsidP="005C5DAC">
      <w:pPr>
        <w:rPr>
          <w:rFonts w:ascii="Times New Roman" w:hAnsi="Times New Roman" w:cs="Times New Roman"/>
          <w:color w:val="000000" w:themeColor="text1"/>
        </w:rPr>
      </w:pPr>
      <w:proofErr w:type="spellStart"/>
      <w:r>
        <w:rPr>
          <w:rFonts w:ascii="Times New Roman" w:hAnsi="Times New Roman" w:cs="Times New Roman"/>
          <w:color w:val="000000" w:themeColor="text1"/>
        </w:rPr>
        <w:t>Tallau</w:t>
      </w:r>
      <w:proofErr w:type="gramStart"/>
      <w:r>
        <w:rPr>
          <w:rFonts w:ascii="Times New Roman" w:hAnsi="Times New Roman" w:cs="Times New Roman" w:hint="eastAsia"/>
          <w:color w:val="000000" w:themeColor="text1"/>
        </w:rPr>
        <w:t>,</w:t>
      </w:r>
      <w:r>
        <w:rPr>
          <w:rFonts w:ascii="Times New Roman" w:hAnsi="Times New Roman" w:cs="Times New Roman"/>
          <w:color w:val="000000" w:themeColor="text1"/>
        </w:rPr>
        <w:t>C</w:t>
      </w:r>
      <w:proofErr w:type="spellEnd"/>
      <w:proofErr w:type="gramEnd"/>
      <w:r w:rsidR="00000FC4" w:rsidRPr="00FE771B">
        <w:rPr>
          <w:rFonts w:ascii="Times New Roman" w:hAnsi="Times New Roman" w:cs="Times New Roman"/>
          <w:color w:val="000000" w:themeColor="text1"/>
        </w:rPr>
        <w:t>(2009),”</w:t>
      </w:r>
      <w:r w:rsidR="005C5DAC" w:rsidRPr="00FE771B">
        <w:rPr>
          <w:rFonts w:ascii="Times New Roman" w:hAnsi="Times New Roman" w:cs="Times New Roman"/>
          <w:color w:val="000000" w:themeColor="text1"/>
        </w:rPr>
        <w:t>The Value of Earn-out Clauses: An Option-based Approach</w:t>
      </w:r>
      <w:r w:rsidR="00000FC4" w:rsidRPr="00FE771B">
        <w:rPr>
          <w:rFonts w:ascii="Times New Roman" w:hAnsi="Times New Roman" w:cs="Times New Roman"/>
          <w:color w:val="000000" w:themeColor="text1"/>
        </w:rPr>
        <w:t>”,</w:t>
      </w:r>
      <w:r w:rsidR="005C5DAC" w:rsidRPr="00FE771B">
        <w:rPr>
          <w:rFonts w:ascii="Times New Roman" w:hAnsi="Times New Roman" w:cs="Times New Roman"/>
          <w:color w:val="000000" w:themeColor="text1"/>
        </w:rPr>
        <w:t xml:space="preserve"> </w:t>
      </w:r>
      <w:r w:rsidR="005C5DAC" w:rsidRPr="00FE771B">
        <w:rPr>
          <w:rFonts w:ascii="Times New Roman" w:hAnsi="Times New Roman" w:cs="Times New Roman"/>
          <w:i/>
          <w:color w:val="000000" w:themeColor="text1"/>
        </w:rPr>
        <w:t>Business Valuation Review</w:t>
      </w:r>
      <w:r w:rsidR="005C5DAC" w:rsidRPr="00FE771B">
        <w:rPr>
          <w:rFonts w:ascii="Times New Roman" w:hAnsi="Times New Roman" w:cs="Times New Roman"/>
          <w:color w:val="000000" w:themeColor="text1"/>
        </w:rPr>
        <w:t>28(4)</w:t>
      </w:r>
      <w:r w:rsidR="00495828">
        <w:rPr>
          <w:rFonts w:ascii="Times New Roman" w:hAnsi="Times New Roman" w:cs="Times New Roman" w:hint="eastAsia"/>
          <w:color w:val="000000" w:themeColor="text1"/>
        </w:rPr>
        <w:t>,</w:t>
      </w:r>
      <w:r w:rsidR="005C5DAC" w:rsidRPr="00FE771B">
        <w:rPr>
          <w:rFonts w:ascii="Times New Roman" w:hAnsi="Times New Roman" w:cs="Times New Roman"/>
          <w:color w:val="000000" w:themeColor="text1"/>
        </w:rPr>
        <w:t>174-180.</w:t>
      </w:r>
    </w:p>
    <w:p w:rsidR="005C5DAC" w:rsidRPr="00FE771B" w:rsidRDefault="005C5DAC" w:rsidP="005C5DAC">
      <w:pPr>
        <w:rPr>
          <w:rFonts w:ascii="Times New Roman" w:hAnsi="Times New Roman" w:cs="Times New Roman"/>
          <w:color w:val="000000" w:themeColor="text1"/>
        </w:rPr>
      </w:pPr>
      <w:proofErr w:type="spellStart"/>
      <w:r w:rsidRPr="00FE771B">
        <w:rPr>
          <w:rFonts w:ascii="Times New Roman" w:hAnsi="Times New Roman" w:cs="Times New Roman"/>
          <w:color w:val="000000" w:themeColor="text1"/>
        </w:rPr>
        <w:t>Wi</w:t>
      </w:r>
      <w:r w:rsidR="00C4342F">
        <w:rPr>
          <w:rFonts w:ascii="Times New Roman" w:hAnsi="Times New Roman" w:cs="Times New Roman"/>
          <w:color w:val="000000" w:themeColor="text1"/>
        </w:rPr>
        <w:t>lliamson</w:t>
      </w:r>
      <w:proofErr w:type="gramStart"/>
      <w:r w:rsidR="00C4342F">
        <w:rPr>
          <w:rFonts w:ascii="Times New Roman" w:hAnsi="Times New Roman" w:cs="Times New Roman"/>
          <w:color w:val="000000" w:themeColor="text1"/>
        </w:rPr>
        <w:t>,O.E</w:t>
      </w:r>
      <w:proofErr w:type="spellEnd"/>
      <w:proofErr w:type="gramEnd"/>
      <w:r w:rsidR="00000FC4" w:rsidRPr="00FE771B">
        <w:rPr>
          <w:rFonts w:ascii="Times New Roman" w:hAnsi="Times New Roman" w:cs="Times New Roman"/>
          <w:color w:val="000000" w:themeColor="text1"/>
        </w:rPr>
        <w:t>(</w:t>
      </w:r>
      <w:r w:rsidRPr="00FE771B">
        <w:rPr>
          <w:rFonts w:ascii="Times New Roman" w:hAnsi="Times New Roman" w:cs="Times New Roman"/>
          <w:color w:val="000000" w:themeColor="text1"/>
        </w:rPr>
        <w:t>1971</w:t>
      </w:r>
      <w:r w:rsidR="00000FC4" w:rsidRPr="00FE771B">
        <w:rPr>
          <w:rFonts w:ascii="Times New Roman" w:hAnsi="Times New Roman" w:cs="Times New Roman"/>
          <w:color w:val="000000" w:themeColor="text1"/>
        </w:rPr>
        <w:t>),</w:t>
      </w:r>
      <w:r w:rsidRPr="00FE771B">
        <w:rPr>
          <w:rFonts w:ascii="Times New Roman" w:hAnsi="Times New Roman" w:cs="Times New Roman"/>
          <w:color w:val="000000" w:themeColor="text1"/>
        </w:rPr>
        <w:t>“The vertical integration of production: market failure considerations”, </w:t>
      </w:r>
      <w:r w:rsidRPr="00FE771B">
        <w:rPr>
          <w:rFonts w:ascii="Times New Roman" w:hAnsi="Times New Roman" w:cs="Times New Roman"/>
          <w:i/>
          <w:color w:val="000000" w:themeColor="text1"/>
        </w:rPr>
        <w:t>The American Economic Review</w:t>
      </w:r>
      <w:r w:rsidRPr="00FE771B">
        <w:rPr>
          <w:rFonts w:ascii="Times New Roman" w:hAnsi="Times New Roman" w:cs="Times New Roman"/>
          <w:color w:val="000000" w:themeColor="text1"/>
        </w:rPr>
        <w:t>61(2), 112-123.</w:t>
      </w:r>
    </w:p>
    <w:p w:rsidR="005C5DAC" w:rsidRPr="00FE771B" w:rsidRDefault="005C5DAC" w:rsidP="005C5DAC">
      <w:pPr>
        <w:rPr>
          <w:rFonts w:ascii="Times New Roman" w:hAnsi="Times New Roman" w:cs="Times New Roman"/>
          <w:color w:val="000000" w:themeColor="text1"/>
        </w:rPr>
      </w:pPr>
    </w:p>
    <w:p w:rsidR="003A6B10" w:rsidRPr="00FE771B" w:rsidRDefault="003A6B10" w:rsidP="003A6B10">
      <w:pPr>
        <w:jc w:val="center"/>
        <w:rPr>
          <w:rFonts w:ascii="Times New Roman" w:hAnsi="Times New Roman" w:cs="Times New Roman"/>
          <w:b/>
        </w:rPr>
      </w:pPr>
      <w:r w:rsidRPr="00FE771B">
        <w:rPr>
          <w:rFonts w:ascii="Times New Roman" w:hAnsi="Times New Roman" w:cs="Times New Roman"/>
          <w:b/>
        </w:rPr>
        <w:t xml:space="preserve">Valuation Adjustment </w:t>
      </w:r>
      <w:proofErr w:type="gramStart"/>
      <w:r w:rsidRPr="00FE771B">
        <w:rPr>
          <w:rFonts w:ascii="Times New Roman" w:hAnsi="Times New Roman" w:cs="Times New Roman"/>
          <w:b/>
        </w:rPr>
        <w:t>Mechanism(</w:t>
      </w:r>
      <w:proofErr w:type="gramEnd"/>
      <w:r w:rsidRPr="00FE771B">
        <w:rPr>
          <w:rFonts w:ascii="Times New Roman" w:hAnsi="Times New Roman" w:cs="Times New Roman"/>
          <w:b/>
        </w:rPr>
        <w:t xml:space="preserve">VAM), Opportunism and Corporate </w:t>
      </w:r>
      <w:proofErr w:type="spellStart"/>
      <w:r w:rsidRPr="00FE771B">
        <w:rPr>
          <w:rFonts w:ascii="Times New Roman" w:hAnsi="Times New Roman" w:cs="Times New Roman"/>
          <w:b/>
        </w:rPr>
        <w:t>Financialization</w:t>
      </w:r>
      <w:proofErr w:type="spellEnd"/>
    </w:p>
    <w:p w:rsidR="003A6B10" w:rsidRPr="00FE771B" w:rsidRDefault="003A6B10" w:rsidP="003A6B10">
      <w:pPr>
        <w:jc w:val="center"/>
        <w:rPr>
          <w:rFonts w:ascii="Times New Roman" w:hAnsi="Times New Roman" w:cs="Times New Roman"/>
          <w:b/>
        </w:rPr>
      </w:pPr>
      <w:r w:rsidRPr="00FE771B">
        <w:rPr>
          <w:rFonts w:ascii="Times New Roman" w:hAnsi="Times New Roman" w:cs="Times New Roman"/>
        </w:rPr>
        <w:t xml:space="preserve">ZHANG </w:t>
      </w:r>
      <w:proofErr w:type="spellStart"/>
      <w:r w:rsidRPr="00FE771B">
        <w:rPr>
          <w:rFonts w:ascii="Times New Roman" w:hAnsi="Times New Roman" w:cs="Times New Roman"/>
        </w:rPr>
        <w:t>Peng</w:t>
      </w:r>
      <w:proofErr w:type="spellEnd"/>
    </w:p>
    <w:p w:rsidR="003A6B10" w:rsidRPr="00FE771B" w:rsidRDefault="003A6B10" w:rsidP="003A6B10">
      <w:pPr>
        <w:ind w:firstLineChars="100" w:firstLine="210"/>
        <w:jc w:val="center"/>
        <w:rPr>
          <w:rFonts w:ascii="Times New Roman" w:hAnsi="Times New Roman" w:cs="Times New Roman"/>
        </w:rPr>
      </w:pPr>
      <w:r w:rsidRPr="00FE771B">
        <w:rPr>
          <w:rFonts w:ascii="Times New Roman" w:hAnsi="Times New Roman" w:cs="Times New Roman"/>
        </w:rPr>
        <w:t xml:space="preserve">(Institute of Economics Chinese Academy of Social </w:t>
      </w:r>
      <w:proofErr w:type="spellStart"/>
      <w:r w:rsidRPr="00FE771B">
        <w:rPr>
          <w:rFonts w:ascii="Times New Roman" w:hAnsi="Times New Roman" w:cs="Times New Roman"/>
        </w:rPr>
        <w:t>Sciences</w:t>
      </w:r>
      <w:proofErr w:type="gramStart"/>
      <w:r w:rsidRPr="00FE771B">
        <w:rPr>
          <w:rFonts w:ascii="Times New Roman" w:hAnsi="Times New Roman" w:cs="Times New Roman"/>
        </w:rPr>
        <w:t>,Beijing,China</w:t>
      </w:r>
      <w:proofErr w:type="spellEnd"/>
      <w:proofErr w:type="gramEnd"/>
      <w:r w:rsidRPr="00FE771B">
        <w:rPr>
          <w:rFonts w:ascii="Times New Roman" w:hAnsi="Times New Roman" w:cs="Times New Roman"/>
        </w:rPr>
        <w:t>;</w:t>
      </w:r>
    </w:p>
    <w:p w:rsidR="003A6B10" w:rsidRPr="00FE771B" w:rsidRDefault="003A6B10" w:rsidP="003A6B10">
      <w:pPr>
        <w:ind w:firstLineChars="100" w:firstLine="210"/>
        <w:jc w:val="center"/>
        <w:rPr>
          <w:rFonts w:ascii="Times New Roman" w:hAnsi="Times New Roman" w:cs="Times New Roman"/>
          <w:b/>
        </w:rPr>
      </w:pPr>
      <w:r w:rsidRPr="00FE771B">
        <w:rPr>
          <w:rFonts w:ascii="Times New Roman" w:hAnsi="Times New Roman" w:cs="Times New Roman"/>
        </w:rPr>
        <w:t xml:space="preserve">University of Chinese Academy of Social </w:t>
      </w:r>
      <w:proofErr w:type="spellStart"/>
      <w:r w:rsidRPr="00FE771B">
        <w:rPr>
          <w:rFonts w:ascii="Times New Roman" w:hAnsi="Times New Roman" w:cs="Times New Roman"/>
        </w:rPr>
        <w:t>Sciences</w:t>
      </w:r>
      <w:proofErr w:type="gramStart"/>
      <w:r w:rsidRPr="00FE771B">
        <w:rPr>
          <w:rFonts w:ascii="Times New Roman" w:hAnsi="Times New Roman" w:cs="Times New Roman"/>
        </w:rPr>
        <w:t>,Beijing,China</w:t>
      </w:r>
      <w:proofErr w:type="spellEnd"/>
      <w:proofErr w:type="gramEnd"/>
      <w:r w:rsidRPr="00FE771B">
        <w:rPr>
          <w:rFonts w:ascii="Times New Roman" w:hAnsi="Times New Roman" w:cs="Times New Roman"/>
        </w:rPr>
        <w:t>)</w:t>
      </w:r>
    </w:p>
    <w:p w:rsidR="003A6B10" w:rsidRPr="00FE771B" w:rsidRDefault="003A6B10" w:rsidP="003A6B10">
      <w:pPr>
        <w:rPr>
          <w:rFonts w:ascii="Times New Roman" w:eastAsia="仿宋" w:hAnsi="Times New Roman" w:cs="Times New Roman"/>
          <w:szCs w:val="21"/>
        </w:rPr>
      </w:pPr>
      <w:proofErr w:type="spellStart"/>
      <w:r w:rsidRPr="00FE771B">
        <w:rPr>
          <w:rFonts w:ascii="Times New Roman" w:hAnsi="Times New Roman" w:cs="Times New Roman"/>
          <w:b/>
        </w:rPr>
        <w:t>Abstract</w:t>
      </w:r>
      <w:proofErr w:type="gramStart"/>
      <w:r w:rsidRPr="00FE771B">
        <w:rPr>
          <w:rFonts w:ascii="Times New Roman" w:hAnsi="Times New Roman" w:cs="Times New Roman"/>
          <w:b/>
        </w:rPr>
        <w:t>:</w:t>
      </w:r>
      <w:r w:rsidRPr="00FE771B">
        <w:rPr>
          <w:rFonts w:ascii="Times New Roman" w:eastAsia="仿宋" w:hAnsi="Times New Roman" w:cs="Times New Roman"/>
          <w:szCs w:val="21"/>
        </w:rPr>
        <w:t>Valuation</w:t>
      </w:r>
      <w:proofErr w:type="spellEnd"/>
      <w:proofErr w:type="gramEnd"/>
      <w:r w:rsidRPr="00FE771B">
        <w:rPr>
          <w:rFonts w:ascii="Times New Roman" w:eastAsia="仿宋" w:hAnsi="Times New Roman" w:cs="Times New Roman"/>
          <w:szCs w:val="21"/>
        </w:rPr>
        <w:t xml:space="preserve"> Adjustment Mechanism(VAM) is an important institutional arrangement for valuation adjustment and transaction risk reduction in listed companies' mergers and acquisitions. Its essence is to promote the synergistic effect of mergers and acquisitions and promote the continuous growth of listed companies. Based on this, this article uses the data of listed companies that carried out mergers and acquisitions and major asset restructuring events in China's A-share market from 2010 to 2019 to empirically </w:t>
      </w:r>
      <w:r w:rsidR="00122FDE" w:rsidRPr="00FE771B">
        <w:rPr>
          <w:rFonts w:ascii="Times New Roman" w:eastAsia="仿宋" w:hAnsi="Times New Roman" w:cs="Times New Roman"/>
          <w:szCs w:val="21"/>
        </w:rPr>
        <w:t>validate</w:t>
      </w:r>
      <w:r w:rsidRPr="00FE771B">
        <w:rPr>
          <w:rFonts w:ascii="Times New Roman" w:eastAsia="仿宋" w:hAnsi="Times New Roman" w:cs="Times New Roman"/>
          <w:szCs w:val="21"/>
        </w:rPr>
        <w:t xml:space="preserve"> the impact of performance VAM in mergers and acquisitions and restructuring transactions on the </w:t>
      </w:r>
      <w:proofErr w:type="spellStart"/>
      <w:r w:rsidRPr="00FE771B">
        <w:rPr>
          <w:rFonts w:ascii="Times New Roman" w:eastAsia="仿宋" w:hAnsi="Times New Roman" w:cs="Times New Roman"/>
          <w:szCs w:val="21"/>
        </w:rPr>
        <w:t>financialization</w:t>
      </w:r>
      <w:proofErr w:type="spellEnd"/>
      <w:r w:rsidRPr="00FE771B">
        <w:rPr>
          <w:rFonts w:ascii="Times New Roman" w:eastAsia="仿宋" w:hAnsi="Times New Roman" w:cs="Times New Roman"/>
          <w:szCs w:val="21"/>
        </w:rPr>
        <w:t xml:space="preserve"> of listed companies. The study found that: Valuation Adjustment </w:t>
      </w:r>
      <w:r w:rsidR="00122FDE" w:rsidRPr="00FE771B">
        <w:rPr>
          <w:rFonts w:ascii="Times New Roman" w:eastAsia="仿宋" w:hAnsi="Times New Roman" w:cs="Times New Roman"/>
          <w:szCs w:val="21"/>
        </w:rPr>
        <w:t>Mechanism (</w:t>
      </w:r>
      <w:r w:rsidRPr="00FE771B">
        <w:rPr>
          <w:rFonts w:ascii="Times New Roman" w:eastAsia="仿宋" w:hAnsi="Times New Roman" w:cs="Times New Roman"/>
          <w:szCs w:val="21"/>
        </w:rPr>
        <w:t xml:space="preserve">VAM) led listed companies to prefer financial investment, induced listed companies’ investment strategies to change from real to virtual, and caused the </w:t>
      </w:r>
      <w:proofErr w:type="spellStart"/>
      <w:r w:rsidRPr="00FE771B">
        <w:rPr>
          <w:rFonts w:ascii="Times New Roman" w:eastAsia="仿宋" w:hAnsi="Times New Roman" w:cs="Times New Roman"/>
          <w:szCs w:val="21"/>
        </w:rPr>
        <w:t>financialization</w:t>
      </w:r>
      <w:proofErr w:type="spellEnd"/>
      <w:r w:rsidRPr="00FE771B">
        <w:rPr>
          <w:rFonts w:ascii="Times New Roman" w:eastAsia="仿宋" w:hAnsi="Times New Roman" w:cs="Times New Roman"/>
          <w:szCs w:val="21"/>
        </w:rPr>
        <w:t xml:space="preserve"> of listed companies. Based on various robust analysis and control of endogenous problems, the result remains robust. The mechanism for this result is that Valuation Adjustment </w:t>
      </w:r>
      <w:r w:rsidR="00122FDE" w:rsidRPr="00FE771B">
        <w:rPr>
          <w:rFonts w:ascii="Times New Roman" w:eastAsia="仿宋" w:hAnsi="Times New Roman" w:cs="Times New Roman"/>
          <w:szCs w:val="21"/>
        </w:rPr>
        <w:t>Mechanism (</w:t>
      </w:r>
      <w:r w:rsidRPr="00FE771B">
        <w:rPr>
          <w:rFonts w:ascii="Times New Roman" w:eastAsia="仿宋" w:hAnsi="Times New Roman" w:cs="Times New Roman"/>
          <w:szCs w:val="21"/>
        </w:rPr>
        <w:t xml:space="preserve">VAM) will significantly increase the earnings management behavior of listed companies, which will promote the financial investment of listed companies and </w:t>
      </w:r>
      <w:proofErr w:type="gramStart"/>
      <w:r w:rsidRPr="00FE771B">
        <w:rPr>
          <w:rFonts w:ascii="Times New Roman" w:eastAsia="仿宋" w:hAnsi="Times New Roman" w:cs="Times New Roman"/>
          <w:szCs w:val="21"/>
        </w:rPr>
        <w:t>deviate</w:t>
      </w:r>
      <w:proofErr w:type="gramEnd"/>
      <w:r w:rsidRPr="00FE771B">
        <w:rPr>
          <w:rFonts w:ascii="Times New Roman" w:eastAsia="仿宋" w:hAnsi="Times New Roman" w:cs="Times New Roman"/>
          <w:szCs w:val="21"/>
        </w:rPr>
        <w:t xml:space="preserve"> the operation of listed companies from the normal development track. The research conclusions of this article have further enriched the understanding of the existing Valuation Adjustment </w:t>
      </w:r>
      <w:proofErr w:type="gramStart"/>
      <w:r w:rsidRPr="00FE771B">
        <w:rPr>
          <w:rFonts w:ascii="Times New Roman" w:eastAsia="仿宋" w:hAnsi="Times New Roman" w:cs="Times New Roman"/>
          <w:szCs w:val="21"/>
        </w:rPr>
        <w:t>Mechanism(</w:t>
      </w:r>
      <w:proofErr w:type="gramEnd"/>
      <w:r w:rsidRPr="00FE771B">
        <w:rPr>
          <w:rFonts w:ascii="Times New Roman" w:eastAsia="仿宋" w:hAnsi="Times New Roman" w:cs="Times New Roman"/>
          <w:szCs w:val="21"/>
        </w:rPr>
        <w:t>VAM) system, which is conducive to discovering the various problems that appear in the operation of the system, and propose policies to improve the supervision of mergers and acquisitions.</w:t>
      </w:r>
    </w:p>
    <w:p w:rsidR="00B6234C" w:rsidRPr="00FE771B" w:rsidRDefault="003A6B10" w:rsidP="003A6B10">
      <w:pPr>
        <w:rPr>
          <w:rFonts w:ascii="Times New Roman" w:eastAsia="宋体" w:hAnsi="Times New Roman" w:cs="Times New Roman"/>
          <w:color w:val="000000" w:themeColor="text1"/>
          <w:sz w:val="18"/>
          <w:szCs w:val="18"/>
          <w:shd w:val="clear" w:color="auto" w:fill="FFFFFF"/>
        </w:rPr>
      </w:pPr>
      <w:proofErr w:type="spellStart"/>
      <w:r w:rsidRPr="00FE771B">
        <w:rPr>
          <w:rFonts w:ascii="Times New Roman" w:hAnsi="Times New Roman" w:cs="Times New Roman"/>
          <w:b/>
        </w:rPr>
        <w:t>Keywords</w:t>
      </w:r>
      <w:proofErr w:type="gramStart"/>
      <w:r w:rsidRPr="00FE771B">
        <w:rPr>
          <w:rFonts w:ascii="Times New Roman" w:hAnsi="Times New Roman" w:cs="Times New Roman"/>
          <w:b/>
        </w:rPr>
        <w:t>:</w:t>
      </w:r>
      <w:r w:rsidRPr="00FE771B">
        <w:rPr>
          <w:rFonts w:ascii="Times New Roman" w:eastAsia="仿宋" w:hAnsi="Times New Roman" w:cs="Times New Roman"/>
          <w:szCs w:val="21"/>
        </w:rPr>
        <w:t>Valuation</w:t>
      </w:r>
      <w:proofErr w:type="spellEnd"/>
      <w:proofErr w:type="gramEnd"/>
      <w:r w:rsidRPr="00FE771B">
        <w:rPr>
          <w:rFonts w:ascii="Times New Roman" w:eastAsia="仿宋" w:hAnsi="Times New Roman" w:cs="Times New Roman"/>
          <w:szCs w:val="21"/>
        </w:rPr>
        <w:t xml:space="preserve"> Adjustment Mechanism(VAM); Earnings </w:t>
      </w:r>
      <w:proofErr w:type="spellStart"/>
      <w:r w:rsidRPr="00FE771B">
        <w:rPr>
          <w:rFonts w:ascii="Times New Roman" w:eastAsia="仿宋" w:hAnsi="Times New Roman" w:cs="Times New Roman"/>
          <w:szCs w:val="21"/>
        </w:rPr>
        <w:t>Management;Financialization</w:t>
      </w:r>
      <w:proofErr w:type="spellEnd"/>
    </w:p>
    <w:sectPr w:rsidR="00B6234C" w:rsidRPr="00FE771B" w:rsidSect="00DE3B5A">
      <w:footerReference w:type="default" r:id="rId13"/>
      <w:footnotePr>
        <w:numFmt w:val="decimalEnclosedCircleChinese"/>
        <w:numRestart w:val="eachPage"/>
      </w:footnotePr>
      <w:type w:val="continuous"/>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810" w:rsidRDefault="00E24810" w:rsidP="00F07AB9">
      <w:r>
        <w:separator/>
      </w:r>
    </w:p>
  </w:endnote>
  <w:endnote w:type="continuationSeparator" w:id="0">
    <w:p w:rsidR="00E24810" w:rsidRDefault="00E24810" w:rsidP="00F07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4070539"/>
      <w:docPartObj>
        <w:docPartGallery w:val="Page Numbers (Bottom of Page)"/>
        <w:docPartUnique/>
      </w:docPartObj>
    </w:sdtPr>
    <w:sdtEndPr/>
    <w:sdtContent>
      <w:p w:rsidR="00495828" w:rsidRDefault="00495828">
        <w:pPr>
          <w:pStyle w:val="a4"/>
          <w:jc w:val="center"/>
        </w:pPr>
        <w:r>
          <w:fldChar w:fldCharType="begin"/>
        </w:r>
        <w:r>
          <w:instrText>PAGE   \* MERGEFORMAT</w:instrText>
        </w:r>
        <w:r>
          <w:fldChar w:fldCharType="separate"/>
        </w:r>
        <w:r w:rsidR="00713B74" w:rsidRPr="00713B74">
          <w:rPr>
            <w:noProof/>
            <w:lang w:val="zh-CN"/>
          </w:rPr>
          <w:t>-</w:t>
        </w:r>
        <w:r w:rsidR="00713B74">
          <w:rPr>
            <w:noProof/>
          </w:rPr>
          <w:t xml:space="preserve"> 1 -</w:t>
        </w:r>
        <w:r>
          <w:fldChar w:fldCharType="end"/>
        </w:r>
      </w:p>
    </w:sdtContent>
  </w:sdt>
  <w:p w:rsidR="00495828" w:rsidRDefault="0049582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810" w:rsidRDefault="00E24810" w:rsidP="00F07AB9">
      <w:r>
        <w:separator/>
      </w:r>
    </w:p>
  </w:footnote>
  <w:footnote w:type="continuationSeparator" w:id="0">
    <w:p w:rsidR="00E24810" w:rsidRDefault="00E24810" w:rsidP="00F07AB9">
      <w:r>
        <w:continuationSeparator/>
      </w:r>
    </w:p>
  </w:footnote>
  <w:footnote w:id="1">
    <w:p w:rsidR="00713B74" w:rsidRPr="00713B74" w:rsidRDefault="00713B74" w:rsidP="00713B74">
      <w:pPr>
        <w:pStyle w:val="a5"/>
        <w:jc w:val="both"/>
        <w:rPr>
          <w:rFonts w:ascii="楷体" w:eastAsia="楷体" w:hAnsi="楷体" w:cs="Times New Roman"/>
        </w:rPr>
      </w:pPr>
      <w:r w:rsidRPr="00713B74">
        <w:rPr>
          <w:rStyle w:val="a6"/>
          <w:rFonts w:ascii="楷体" w:eastAsia="楷体" w:hAnsi="楷体" w:cs="Times New Roman"/>
        </w:rPr>
        <w:sym w:font="Symbol" w:char="F02A"/>
      </w:r>
      <w:r w:rsidRPr="00713B74">
        <w:rPr>
          <w:rFonts w:ascii="楷体" w:eastAsia="楷体" w:hAnsi="楷体" w:cs="Times New Roman"/>
        </w:rPr>
        <w:t xml:space="preserve"> 张鹏，中国社会科学院经济研究所、中国社会科学院大学经济学院，邮政编码：100836，电子邮箱：</w:t>
      </w:r>
      <w:r w:rsidRPr="00713B74">
        <w:rPr>
          <w:rFonts w:ascii="Times New Roman" w:eastAsia="楷体" w:hAnsi="Times New Roman" w:cs="Times New Roman"/>
        </w:rPr>
        <w:t>jjs-zhangpeng@cass.org.cn</w:t>
      </w:r>
      <w:r w:rsidRPr="00713B74">
        <w:rPr>
          <w:rFonts w:ascii="楷体" w:eastAsia="楷体" w:hAnsi="楷体" w:cs="Times New Roman"/>
        </w:rPr>
        <w:t>。</w:t>
      </w:r>
      <w:r>
        <w:rPr>
          <w:rFonts w:ascii="楷体" w:eastAsia="楷体" w:hAnsi="楷体" w:cs="Times New Roman" w:hint="eastAsia"/>
        </w:rPr>
        <w:t>基金项目：国家重点研发项目“金融风险的计量理论与方法”（2018YFA0703900）</w:t>
      </w:r>
      <w:r w:rsidRPr="00713B74">
        <w:rPr>
          <w:rFonts w:ascii="楷体" w:eastAsia="楷体" w:hAnsi="楷体" w:cs="Times New Roman"/>
        </w:rPr>
        <w:t>。感谢审稿人的修改建议，文责自负。</w:t>
      </w:r>
      <w:bookmarkStart w:id="0" w:name="_GoBack"/>
      <w:bookmarkEnd w:id="0"/>
    </w:p>
  </w:footnote>
  <w:footnote w:id="2">
    <w:p w:rsidR="00495828" w:rsidRPr="003A6B10" w:rsidRDefault="00495828" w:rsidP="00EE43DA">
      <w:pPr>
        <w:pStyle w:val="a5"/>
      </w:pPr>
      <w:r w:rsidRPr="003A6B10">
        <w:footnoteRef/>
      </w:r>
      <w:r w:rsidRPr="003A6B10">
        <w:t xml:space="preserve"> </w:t>
      </w:r>
      <w:r w:rsidRPr="003A6B10">
        <w:rPr>
          <w:rFonts w:hint="eastAsia"/>
        </w:rPr>
        <w:t>货币化率为</w:t>
      </w:r>
      <w:r w:rsidRPr="003A6B10">
        <w:rPr>
          <w:rFonts w:hint="eastAsia"/>
        </w:rPr>
        <w:t>M2</w:t>
      </w:r>
      <w:r w:rsidRPr="003A6B10">
        <w:rPr>
          <w:rFonts w:hint="eastAsia"/>
        </w:rPr>
        <w:t>与</w:t>
      </w:r>
      <w:r w:rsidRPr="003A6B10">
        <w:rPr>
          <w:rFonts w:hint="eastAsia"/>
        </w:rPr>
        <w:t>GDP</w:t>
      </w:r>
      <w:r w:rsidRPr="003A6B10">
        <w:rPr>
          <w:rFonts w:hint="eastAsia"/>
        </w:rPr>
        <w:t>的比率。</w:t>
      </w:r>
    </w:p>
  </w:footnote>
  <w:footnote w:id="3">
    <w:p w:rsidR="00495828" w:rsidRPr="003A6B10" w:rsidRDefault="00495828">
      <w:pPr>
        <w:pStyle w:val="a5"/>
      </w:pPr>
      <w:r w:rsidRPr="003A6B10">
        <w:footnoteRef/>
      </w:r>
      <w:r w:rsidRPr="003A6B10">
        <w:t xml:space="preserve"> </w:t>
      </w:r>
      <w:r w:rsidRPr="003A6B10">
        <w:rPr>
          <w:rFonts w:hint="eastAsia"/>
        </w:rPr>
        <w:t>金融化率为金融业增加值与</w:t>
      </w:r>
      <w:r w:rsidRPr="003A6B10">
        <w:rPr>
          <w:rFonts w:hint="eastAsia"/>
        </w:rPr>
        <w:t>GDP</w:t>
      </w:r>
      <w:r w:rsidRPr="003A6B10">
        <w:rPr>
          <w:rFonts w:hint="eastAsia"/>
        </w:rPr>
        <w:t>比率，由于房地产行业增长较快使得其投资属性较强，我们也使用房地产业增加值与金融业增加值之和与</w:t>
      </w:r>
      <w:r w:rsidRPr="003A6B10">
        <w:rPr>
          <w:rFonts w:hint="eastAsia"/>
        </w:rPr>
        <w:t>GDP</w:t>
      </w:r>
      <w:r w:rsidRPr="003A6B10">
        <w:rPr>
          <w:rFonts w:hint="eastAsia"/>
        </w:rPr>
        <w:t>比率来表示“泛”金融化率。</w:t>
      </w:r>
    </w:p>
  </w:footnote>
  <w:footnote w:id="4">
    <w:p w:rsidR="00495828" w:rsidRDefault="00495828">
      <w:pPr>
        <w:pStyle w:val="a5"/>
      </w:pPr>
      <w:r w:rsidRPr="003A6B10">
        <w:footnoteRef/>
      </w:r>
      <w:r w:rsidRPr="003A6B10">
        <w:rPr>
          <w:rFonts w:hint="eastAsia"/>
        </w:rPr>
        <w:t xml:space="preserve"> </w:t>
      </w:r>
      <w:r w:rsidRPr="003A6B10">
        <w:rPr>
          <w:rFonts w:hint="eastAsia"/>
        </w:rPr>
        <w:t>证券化率反映了上市证券市值与</w:t>
      </w:r>
      <w:r w:rsidRPr="003A6B10">
        <w:rPr>
          <w:rFonts w:hint="eastAsia"/>
        </w:rPr>
        <w:t>GDP</w:t>
      </w:r>
      <w:r w:rsidRPr="003A6B10">
        <w:rPr>
          <w:rFonts w:hint="eastAsia"/>
        </w:rPr>
        <w:t>的比率，这一指标经常被学界和业界用来衡量证券市场是否存在泡沫，因此也可以使用它对金融化发展趋势进行研究。</w:t>
      </w:r>
    </w:p>
  </w:footnote>
  <w:footnote w:id="5">
    <w:p w:rsidR="00495828" w:rsidRPr="003D0043" w:rsidRDefault="00495828" w:rsidP="00A86DAB">
      <w:pPr>
        <w:pStyle w:val="a5"/>
        <w:rPr>
          <w:color w:val="FF0000"/>
        </w:rPr>
      </w:pPr>
      <w:r w:rsidRPr="003A790D">
        <w:footnoteRef/>
      </w:r>
      <w:r>
        <w:t xml:space="preserve"> </w:t>
      </w:r>
      <w:r w:rsidRPr="003A790D">
        <w:rPr>
          <w:rFonts w:hint="eastAsia"/>
        </w:rPr>
        <w:t>2019</w:t>
      </w:r>
      <w:r w:rsidRPr="003A790D">
        <w:rPr>
          <w:rFonts w:hint="eastAsia"/>
        </w:rPr>
        <w:t>年</w:t>
      </w:r>
      <w:r w:rsidRPr="003A790D">
        <w:rPr>
          <w:rFonts w:hint="eastAsia"/>
        </w:rPr>
        <w:t>A</w:t>
      </w:r>
      <w:r w:rsidRPr="003A790D">
        <w:rPr>
          <w:rFonts w:hint="eastAsia"/>
        </w:rPr>
        <w:t>股全部上市公司实现净利润</w:t>
      </w:r>
      <w:r w:rsidRPr="003A790D">
        <w:rPr>
          <w:rFonts w:hint="eastAsia"/>
        </w:rPr>
        <w:t>41576.5</w:t>
      </w:r>
      <w:r w:rsidRPr="003A790D">
        <w:rPr>
          <w:rFonts w:hint="eastAsia"/>
        </w:rPr>
        <w:t>亿元，而</w:t>
      </w:r>
      <w:r w:rsidRPr="003A790D">
        <w:rPr>
          <w:rFonts w:hint="eastAsia"/>
        </w:rPr>
        <w:t>36</w:t>
      </w:r>
      <w:r w:rsidRPr="003A790D">
        <w:rPr>
          <w:rFonts w:hint="eastAsia"/>
        </w:rPr>
        <w:t>家上市银行实现净利润</w:t>
      </w:r>
      <w:r w:rsidRPr="003A790D">
        <w:rPr>
          <w:rFonts w:hint="eastAsia"/>
        </w:rPr>
        <w:t>16988.6</w:t>
      </w:r>
      <w:r w:rsidRPr="003A790D">
        <w:rPr>
          <w:rFonts w:hint="eastAsia"/>
        </w:rPr>
        <w:t>亿元，占全部</w:t>
      </w:r>
      <w:r w:rsidRPr="003A790D">
        <w:rPr>
          <w:rFonts w:hint="eastAsia"/>
        </w:rPr>
        <w:t>A</w:t>
      </w:r>
      <w:r w:rsidRPr="003A790D">
        <w:rPr>
          <w:rFonts w:hint="eastAsia"/>
        </w:rPr>
        <w:t>股上市公司净利润的</w:t>
      </w:r>
      <w:r w:rsidRPr="003A790D">
        <w:rPr>
          <w:rFonts w:hint="eastAsia"/>
        </w:rPr>
        <w:t>40.9%</w:t>
      </w:r>
      <w:r w:rsidRPr="003A790D">
        <w:rPr>
          <w:rFonts w:hint="eastAsia"/>
        </w:rPr>
        <w:t>，如果再考虑</w:t>
      </w:r>
      <w:r w:rsidRPr="003A790D">
        <w:rPr>
          <w:rFonts w:hint="eastAsia"/>
        </w:rPr>
        <w:t>5</w:t>
      </w:r>
      <w:r w:rsidRPr="003A790D">
        <w:rPr>
          <w:rFonts w:hint="eastAsia"/>
        </w:rPr>
        <w:t>家上市保险实现净利润</w:t>
      </w:r>
      <w:r w:rsidRPr="003A790D">
        <w:rPr>
          <w:rFonts w:hint="eastAsia"/>
        </w:rPr>
        <w:t>2723.95</w:t>
      </w:r>
      <w:r w:rsidRPr="003A790D">
        <w:rPr>
          <w:rFonts w:hint="eastAsia"/>
        </w:rPr>
        <w:t>亿元和</w:t>
      </w:r>
      <w:r w:rsidRPr="003A790D">
        <w:rPr>
          <w:rFonts w:hint="eastAsia"/>
        </w:rPr>
        <w:t>37</w:t>
      </w:r>
      <w:r w:rsidRPr="003A790D">
        <w:rPr>
          <w:rFonts w:hint="eastAsia"/>
        </w:rPr>
        <w:t>家券商实现净利润</w:t>
      </w:r>
      <w:r w:rsidRPr="003A790D">
        <w:rPr>
          <w:rFonts w:hint="eastAsia"/>
        </w:rPr>
        <w:t>1040.34</w:t>
      </w:r>
      <w:r w:rsidRPr="003A790D">
        <w:rPr>
          <w:rFonts w:hint="eastAsia"/>
        </w:rPr>
        <w:t>亿元，那么金融业净利润占</w:t>
      </w:r>
      <w:r w:rsidRPr="003A790D">
        <w:rPr>
          <w:rFonts w:hint="eastAsia"/>
        </w:rPr>
        <w:t>A</w:t>
      </w:r>
      <w:r w:rsidRPr="003A790D">
        <w:rPr>
          <w:rFonts w:hint="eastAsia"/>
        </w:rPr>
        <w:t>股全部上市公司净利润的</w:t>
      </w:r>
      <w:r w:rsidRPr="003A790D">
        <w:rPr>
          <w:rFonts w:hint="eastAsia"/>
        </w:rPr>
        <w:t>50.1%</w:t>
      </w:r>
      <w:r w:rsidRPr="003A790D">
        <w:rPr>
          <w:rFonts w:hint="eastAsia"/>
        </w:rPr>
        <w:t>。</w:t>
      </w:r>
    </w:p>
  </w:footnote>
  <w:footnote w:id="6">
    <w:p w:rsidR="00495828" w:rsidRDefault="00495828">
      <w:pPr>
        <w:pStyle w:val="a5"/>
      </w:pPr>
      <w:r w:rsidRPr="003A790D">
        <w:footnoteRef/>
      </w:r>
      <w:r w:rsidRPr="003A790D">
        <w:t xml:space="preserve"> </w:t>
      </w:r>
      <w:r w:rsidRPr="003A790D">
        <w:rPr>
          <w:rFonts w:hint="eastAsia"/>
        </w:rPr>
        <w:t>比如将闲置厂房等固定资产转化为投资性房地产就能获得房地产增值收益。</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0A8"/>
    <w:rsid w:val="00000866"/>
    <w:rsid w:val="00000FC4"/>
    <w:rsid w:val="0000738F"/>
    <w:rsid w:val="000203C2"/>
    <w:rsid w:val="00021259"/>
    <w:rsid w:val="0002165B"/>
    <w:rsid w:val="000233CF"/>
    <w:rsid w:val="00024125"/>
    <w:rsid w:val="00030F7C"/>
    <w:rsid w:val="000403E1"/>
    <w:rsid w:val="00052908"/>
    <w:rsid w:val="00053026"/>
    <w:rsid w:val="00054CC9"/>
    <w:rsid w:val="00060B1D"/>
    <w:rsid w:val="00066F44"/>
    <w:rsid w:val="0007052B"/>
    <w:rsid w:val="00071CD0"/>
    <w:rsid w:val="000824A3"/>
    <w:rsid w:val="00086D2B"/>
    <w:rsid w:val="000954C5"/>
    <w:rsid w:val="000A09C0"/>
    <w:rsid w:val="000A2DA1"/>
    <w:rsid w:val="000A3B31"/>
    <w:rsid w:val="000A4482"/>
    <w:rsid w:val="000A56EC"/>
    <w:rsid w:val="000A5E9F"/>
    <w:rsid w:val="000B08E8"/>
    <w:rsid w:val="000B29E9"/>
    <w:rsid w:val="000B45B6"/>
    <w:rsid w:val="000C16DD"/>
    <w:rsid w:val="000C28E6"/>
    <w:rsid w:val="000C57ED"/>
    <w:rsid w:val="000C7BE0"/>
    <w:rsid w:val="000C7EFA"/>
    <w:rsid w:val="000D1E77"/>
    <w:rsid w:val="000D32AF"/>
    <w:rsid w:val="000D3A6B"/>
    <w:rsid w:val="000D5624"/>
    <w:rsid w:val="000D68F0"/>
    <w:rsid w:val="000E4545"/>
    <w:rsid w:val="000E4628"/>
    <w:rsid w:val="000E610C"/>
    <w:rsid w:val="000F1A1B"/>
    <w:rsid w:val="000F2F91"/>
    <w:rsid w:val="000F3A52"/>
    <w:rsid w:val="0010063F"/>
    <w:rsid w:val="00100F5B"/>
    <w:rsid w:val="001017B1"/>
    <w:rsid w:val="001019C9"/>
    <w:rsid w:val="00102ED5"/>
    <w:rsid w:val="00104EB3"/>
    <w:rsid w:val="001072AA"/>
    <w:rsid w:val="001112BB"/>
    <w:rsid w:val="00112D54"/>
    <w:rsid w:val="001158FB"/>
    <w:rsid w:val="00122FDE"/>
    <w:rsid w:val="00125C65"/>
    <w:rsid w:val="00130F9B"/>
    <w:rsid w:val="0013150D"/>
    <w:rsid w:val="001322B9"/>
    <w:rsid w:val="0013592F"/>
    <w:rsid w:val="001359C2"/>
    <w:rsid w:val="00140636"/>
    <w:rsid w:val="0014245B"/>
    <w:rsid w:val="001449B4"/>
    <w:rsid w:val="00144D97"/>
    <w:rsid w:val="001517F3"/>
    <w:rsid w:val="00151D60"/>
    <w:rsid w:val="001569B2"/>
    <w:rsid w:val="00157E6C"/>
    <w:rsid w:val="00157F88"/>
    <w:rsid w:val="001627C7"/>
    <w:rsid w:val="00165B3E"/>
    <w:rsid w:val="001745D1"/>
    <w:rsid w:val="00180772"/>
    <w:rsid w:val="00181B79"/>
    <w:rsid w:val="001843E1"/>
    <w:rsid w:val="00186CA1"/>
    <w:rsid w:val="00190009"/>
    <w:rsid w:val="00193823"/>
    <w:rsid w:val="001A1BB4"/>
    <w:rsid w:val="001A1CEC"/>
    <w:rsid w:val="001A610B"/>
    <w:rsid w:val="001C2608"/>
    <w:rsid w:val="001C3A09"/>
    <w:rsid w:val="001C5A4D"/>
    <w:rsid w:val="001C6D13"/>
    <w:rsid w:val="001D2817"/>
    <w:rsid w:val="001D2964"/>
    <w:rsid w:val="001D327C"/>
    <w:rsid w:val="001D3CBC"/>
    <w:rsid w:val="001D488F"/>
    <w:rsid w:val="001D577E"/>
    <w:rsid w:val="001D696C"/>
    <w:rsid w:val="001E24AB"/>
    <w:rsid w:val="001E62E2"/>
    <w:rsid w:val="001E6EC3"/>
    <w:rsid w:val="001F67F2"/>
    <w:rsid w:val="001F6ACD"/>
    <w:rsid w:val="002033D7"/>
    <w:rsid w:val="0020657E"/>
    <w:rsid w:val="002110C5"/>
    <w:rsid w:val="00211571"/>
    <w:rsid w:val="00216DAF"/>
    <w:rsid w:val="00221CFD"/>
    <w:rsid w:val="002244ED"/>
    <w:rsid w:val="00224659"/>
    <w:rsid w:val="0022742F"/>
    <w:rsid w:val="00231512"/>
    <w:rsid w:val="002361EA"/>
    <w:rsid w:val="00254E10"/>
    <w:rsid w:val="00264165"/>
    <w:rsid w:val="00271FEC"/>
    <w:rsid w:val="002741C9"/>
    <w:rsid w:val="00282BC7"/>
    <w:rsid w:val="00285E85"/>
    <w:rsid w:val="002905A2"/>
    <w:rsid w:val="00293262"/>
    <w:rsid w:val="00297F1C"/>
    <w:rsid w:val="002A087D"/>
    <w:rsid w:val="002A0E4F"/>
    <w:rsid w:val="002A0E5E"/>
    <w:rsid w:val="002A34A4"/>
    <w:rsid w:val="002A6DF1"/>
    <w:rsid w:val="002A76DF"/>
    <w:rsid w:val="002B137E"/>
    <w:rsid w:val="002B4A41"/>
    <w:rsid w:val="002C39AC"/>
    <w:rsid w:val="002D1417"/>
    <w:rsid w:val="002D1470"/>
    <w:rsid w:val="002D29D2"/>
    <w:rsid w:val="002D29DC"/>
    <w:rsid w:val="002E0394"/>
    <w:rsid w:val="002E3F06"/>
    <w:rsid w:val="002F0BB5"/>
    <w:rsid w:val="003020D9"/>
    <w:rsid w:val="003025E4"/>
    <w:rsid w:val="00303AAC"/>
    <w:rsid w:val="00305360"/>
    <w:rsid w:val="00311008"/>
    <w:rsid w:val="00311F1B"/>
    <w:rsid w:val="00316147"/>
    <w:rsid w:val="00316C0C"/>
    <w:rsid w:val="00321113"/>
    <w:rsid w:val="00323F69"/>
    <w:rsid w:val="00324A1E"/>
    <w:rsid w:val="00324DD4"/>
    <w:rsid w:val="00326AB7"/>
    <w:rsid w:val="00335C4E"/>
    <w:rsid w:val="003420C8"/>
    <w:rsid w:val="00342F2A"/>
    <w:rsid w:val="003432DC"/>
    <w:rsid w:val="003450DB"/>
    <w:rsid w:val="003453D4"/>
    <w:rsid w:val="00363F6D"/>
    <w:rsid w:val="0036593D"/>
    <w:rsid w:val="00370A7F"/>
    <w:rsid w:val="00373EF0"/>
    <w:rsid w:val="0038276F"/>
    <w:rsid w:val="00383A39"/>
    <w:rsid w:val="00390E28"/>
    <w:rsid w:val="00392039"/>
    <w:rsid w:val="00393FBF"/>
    <w:rsid w:val="003A6B10"/>
    <w:rsid w:val="003A790D"/>
    <w:rsid w:val="003A7C47"/>
    <w:rsid w:val="003B3CD9"/>
    <w:rsid w:val="003C48F3"/>
    <w:rsid w:val="003C72DA"/>
    <w:rsid w:val="003C7AB5"/>
    <w:rsid w:val="003D0043"/>
    <w:rsid w:val="003E016C"/>
    <w:rsid w:val="003E0F78"/>
    <w:rsid w:val="003E3430"/>
    <w:rsid w:val="003E468B"/>
    <w:rsid w:val="003F1362"/>
    <w:rsid w:val="004034EE"/>
    <w:rsid w:val="00411433"/>
    <w:rsid w:val="0041362B"/>
    <w:rsid w:val="004159FE"/>
    <w:rsid w:val="00415A9B"/>
    <w:rsid w:val="0042259D"/>
    <w:rsid w:val="0042353E"/>
    <w:rsid w:val="00423A19"/>
    <w:rsid w:val="00423C4B"/>
    <w:rsid w:val="004266AA"/>
    <w:rsid w:val="0043296F"/>
    <w:rsid w:val="00441B32"/>
    <w:rsid w:val="00453B2D"/>
    <w:rsid w:val="00464E92"/>
    <w:rsid w:val="0046578B"/>
    <w:rsid w:val="0046662E"/>
    <w:rsid w:val="004752B0"/>
    <w:rsid w:val="00485454"/>
    <w:rsid w:val="00486F82"/>
    <w:rsid w:val="00486FCE"/>
    <w:rsid w:val="00487EB2"/>
    <w:rsid w:val="00490AE4"/>
    <w:rsid w:val="004914A8"/>
    <w:rsid w:val="00491EC7"/>
    <w:rsid w:val="004937E8"/>
    <w:rsid w:val="0049492D"/>
    <w:rsid w:val="00495662"/>
    <w:rsid w:val="00495828"/>
    <w:rsid w:val="004B6819"/>
    <w:rsid w:val="004B716E"/>
    <w:rsid w:val="004C1212"/>
    <w:rsid w:val="004C2D74"/>
    <w:rsid w:val="004C4115"/>
    <w:rsid w:val="004C65D1"/>
    <w:rsid w:val="004C737F"/>
    <w:rsid w:val="004D29D9"/>
    <w:rsid w:val="004D2FF1"/>
    <w:rsid w:val="004D7222"/>
    <w:rsid w:val="004E5187"/>
    <w:rsid w:val="004E62C3"/>
    <w:rsid w:val="004E6D11"/>
    <w:rsid w:val="004E7729"/>
    <w:rsid w:val="004F42C1"/>
    <w:rsid w:val="004F6C17"/>
    <w:rsid w:val="00500D2E"/>
    <w:rsid w:val="00504B03"/>
    <w:rsid w:val="00504F51"/>
    <w:rsid w:val="00505054"/>
    <w:rsid w:val="00511AF6"/>
    <w:rsid w:val="005128F1"/>
    <w:rsid w:val="00521A7D"/>
    <w:rsid w:val="00523B86"/>
    <w:rsid w:val="00530247"/>
    <w:rsid w:val="005313FF"/>
    <w:rsid w:val="00532DEA"/>
    <w:rsid w:val="005330A8"/>
    <w:rsid w:val="005376F9"/>
    <w:rsid w:val="00540056"/>
    <w:rsid w:val="005455C7"/>
    <w:rsid w:val="0054665C"/>
    <w:rsid w:val="0056756B"/>
    <w:rsid w:val="0056779F"/>
    <w:rsid w:val="00573786"/>
    <w:rsid w:val="00574448"/>
    <w:rsid w:val="00575B14"/>
    <w:rsid w:val="00577F88"/>
    <w:rsid w:val="00582007"/>
    <w:rsid w:val="0058388C"/>
    <w:rsid w:val="0058460B"/>
    <w:rsid w:val="00593055"/>
    <w:rsid w:val="00593966"/>
    <w:rsid w:val="005A2918"/>
    <w:rsid w:val="005A6B25"/>
    <w:rsid w:val="005A6D22"/>
    <w:rsid w:val="005A751C"/>
    <w:rsid w:val="005B5950"/>
    <w:rsid w:val="005C4038"/>
    <w:rsid w:val="005C41AA"/>
    <w:rsid w:val="005C5DAC"/>
    <w:rsid w:val="005C6F48"/>
    <w:rsid w:val="005D0E25"/>
    <w:rsid w:val="005D33B9"/>
    <w:rsid w:val="005E129C"/>
    <w:rsid w:val="005F65B5"/>
    <w:rsid w:val="00601FDF"/>
    <w:rsid w:val="00605761"/>
    <w:rsid w:val="00611A0A"/>
    <w:rsid w:val="00612210"/>
    <w:rsid w:val="006226DB"/>
    <w:rsid w:val="006256F0"/>
    <w:rsid w:val="00634571"/>
    <w:rsid w:val="006411BD"/>
    <w:rsid w:val="00641540"/>
    <w:rsid w:val="00644F82"/>
    <w:rsid w:val="00645C1F"/>
    <w:rsid w:val="0065006A"/>
    <w:rsid w:val="00650257"/>
    <w:rsid w:val="006605E1"/>
    <w:rsid w:val="00663AC3"/>
    <w:rsid w:val="00667A84"/>
    <w:rsid w:val="0067046C"/>
    <w:rsid w:val="00690468"/>
    <w:rsid w:val="0069059A"/>
    <w:rsid w:val="006950D2"/>
    <w:rsid w:val="00697108"/>
    <w:rsid w:val="006A1F05"/>
    <w:rsid w:val="006A333A"/>
    <w:rsid w:val="006A7282"/>
    <w:rsid w:val="006C34D1"/>
    <w:rsid w:val="006C695F"/>
    <w:rsid w:val="006D2C53"/>
    <w:rsid w:val="006D5CAD"/>
    <w:rsid w:val="006E0BA9"/>
    <w:rsid w:val="006E1ADE"/>
    <w:rsid w:val="006E47D9"/>
    <w:rsid w:val="006F1A6E"/>
    <w:rsid w:val="006F394F"/>
    <w:rsid w:val="007040AF"/>
    <w:rsid w:val="007067F1"/>
    <w:rsid w:val="007074B1"/>
    <w:rsid w:val="00707A81"/>
    <w:rsid w:val="007127DF"/>
    <w:rsid w:val="00713B74"/>
    <w:rsid w:val="00721107"/>
    <w:rsid w:val="00724C2C"/>
    <w:rsid w:val="00730B15"/>
    <w:rsid w:val="00734A0B"/>
    <w:rsid w:val="00735DF5"/>
    <w:rsid w:val="00737ED8"/>
    <w:rsid w:val="007418FB"/>
    <w:rsid w:val="007463F1"/>
    <w:rsid w:val="00750705"/>
    <w:rsid w:val="00751801"/>
    <w:rsid w:val="00757332"/>
    <w:rsid w:val="00757F8D"/>
    <w:rsid w:val="00770B5D"/>
    <w:rsid w:val="0077415B"/>
    <w:rsid w:val="007762E6"/>
    <w:rsid w:val="00780005"/>
    <w:rsid w:val="00797740"/>
    <w:rsid w:val="007B06C8"/>
    <w:rsid w:val="007B26A0"/>
    <w:rsid w:val="007C1EF9"/>
    <w:rsid w:val="007C4FFE"/>
    <w:rsid w:val="007C5C83"/>
    <w:rsid w:val="007C6CEB"/>
    <w:rsid w:val="007D26C7"/>
    <w:rsid w:val="007E6BB1"/>
    <w:rsid w:val="007E755C"/>
    <w:rsid w:val="007F76CC"/>
    <w:rsid w:val="007F7C12"/>
    <w:rsid w:val="00802B98"/>
    <w:rsid w:val="00803759"/>
    <w:rsid w:val="00803DC3"/>
    <w:rsid w:val="00806F18"/>
    <w:rsid w:val="0081445C"/>
    <w:rsid w:val="008153A6"/>
    <w:rsid w:val="008159C7"/>
    <w:rsid w:val="008264A4"/>
    <w:rsid w:val="00830299"/>
    <w:rsid w:val="0083063D"/>
    <w:rsid w:val="008308D4"/>
    <w:rsid w:val="00832C8D"/>
    <w:rsid w:val="00833244"/>
    <w:rsid w:val="008343CF"/>
    <w:rsid w:val="00837178"/>
    <w:rsid w:val="0083735A"/>
    <w:rsid w:val="00837FD7"/>
    <w:rsid w:val="008469FA"/>
    <w:rsid w:val="00847C19"/>
    <w:rsid w:val="00850591"/>
    <w:rsid w:val="008516D5"/>
    <w:rsid w:val="008535C7"/>
    <w:rsid w:val="00853BE3"/>
    <w:rsid w:val="008545DD"/>
    <w:rsid w:val="00864F57"/>
    <w:rsid w:val="0086511D"/>
    <w:rsid w:val="0086638F"/>
    <w:rsid w:val="00876094"/>
    <w:rsid w:val="008810E1"/>
    <w:rsid w:val="0088590B"/>
    <w:rsid w:val="008869E0"/>
    <w:rsid w:val="00891117"/>
    <w:rsid w:val="00892A21"/>
    <w:rsid w:val="00892AC9"/>
    <w:rsid w:val="00894944"/>
    <w:rsid w:val="008971C1"/>
    <w:rsid w:val="008A5973"/>
    <w:rsid w:val="008B5967"/>
    <w:rsid w:val="008B6E5C"/>
    <w:rsid w:val="008C39A0"/>
    <w:rsid w:val="008E31CA"/>
    <w:rsid w:val="008E7DB6"/>
    <w:rsid w:val="008F29E6"/>
    <w:rsid w:val="008F5993"/>
    <w:rsid w:val="009012A9"/>
    <w:rsid w:val="00902F88"/>
    <w:rsid w:val="0090517F"/>
    <w:rsid w:val="00906085"/>
    <w:rsid w:val="00906C67"/>
    <w:rsid w:val="00907417"/>
    <w:rsid w:val="0091017D"/>
    <w:rsid w:val="00924A73"/>
    <w:rsid w:val="009311BD"/>
    <w:rsid w:val="00941F78"/>
    <w:rsid w:val="00943C0E"/>
    <w:rsid w:val="00946BD2"/>
    <w:rsid w:val="00947DA2"/>
    <w:rsid w:val="009562D1"/>
    <w:rsid w:val="0095712D"/>
    <w:rsid w:val="00960317"/>
    <w:rsid w:val="00961E42"/>
    <w:rsid w:val="0096344A"/>
    <w:rsid w:val="00964660"/>
    <w:rsid w:val="0096646D"/>
    <w:rsid w:val="00971E97"/>
    <w:rsid w:val="00975029"/>
    <w:rsid w:val="00987FD4"/>
    <w:rsid w:val="00990309"/>
    <w:rsid w:val="00990701"/>
    <w:rsid w:val="00990CD2"/>
    <w:rsid w:val="00996E4C"/>
    <w:rsid w:val="00997244"/>
    <w:rsid w:val="009A0590"/>
    <w:rsid w:val="009A41A1"/>
    <w:rsid w:val="009B0CA4"/>
    <w:rsid w:val="009B2DC4"/>
    <w:rsid w:val="009B7AB1"/>
    <w:rsid w:val="009B7D65"/>
    <w:rsid w:val="009C27D7"/>
    <w:rsid w:val="009C2B32"/>
    <w:rsid w:val="009D253D"/>
    <w:rsid w:val="009E0D81"/>
    <w:rsid w:val="009E39A4"/>
    <w:rsid w:val="009F1C64"/>
    <w:rsid w:val="00A13E1B"/>
    <w:rsid w:val="00A21862"/>
    <w:rsid w:val="00A30A82"/>
    <w:rsid w:val="00A328C9"/>
    <w:rsid w:val="00A40A36"/>
    <w:rsid w:val="00A4109A"/>
    <w:rsid w:val="00A4219B"/>
    <w:rsid w:val="00A42475"/>
    <w:rsid w:val="00A47DCD"/>
    <w:rsid w:val="00A51CC8"/>
    <w:rsid w:val="00A52C47"/>
    <w:rsid w:val="00A56676"/>
    <w:rsid w:val="00A57F93"/>
    <w:rsid w:val="00A6260E"/>
    <w:rsid w:val="00A65FE6"/>
    <w:rsid w:val="00A6707D"/>
    <w:rsid w:val="00A735BC"/>
    <w:rsid w:val="00A80EB4"/>
    <w:rsid w:val="00A81BBC"/>
    <w:rsid w:val="00A825BF"/>
    <w:rsid w:val="00A86DAB"/>
    <w:rsid w:val="00A90AC3"/>
    <w:rsid w:val="00AA07B1"/>
    <w:rsid w:val="00AA3411"/>
    <w:rsid w:val="00AB537F"/>
    <w:rsid w:val="00AB5E47"/>
    <w:rsid w:val="00AC160E"/>
    <w:rsid w:val="00AC1751"/>
    <w:rsid w:val="00AC343F"/>
    <w:rsid w:val="00AC3E00"/>
    <w:rsid w:val="00AC6268"/>
    <w:rsid w:val="00AD32A9"/>
    <w:rsid w:val="00AD6C69"/>
    <w:rsid w:val="00AE2DD2"/>
    <w:rsid w:val="00AE44C2"/>
    <w:rsid w:val="00AE6EC4"/>
    <w:rsid w:val="00AE7CFB"/>
    <w:rsid w:val="00AF2641"/>
    <w:rsid w:val="00AF3E6D"/>
    <w:rsid w:val="00AF5387"/>
    <w:rsid w:val="00AF6A07"/>
    <w:rsid w:val="00B05669"/>
    <w:rsid w:val="00B077C6"/>
    <w:rsid w:val="00B119B2"/>
    <w:rsid w:val="00B150A9"/>
    <w:rsid w:val="00B1566D"/>
    <w:rsid w:val="00B161F8"/>
    <w:rsid w:val="00B22B02"/>
    <w:rsid w:val="00B24B6B"/>
    <w:rsid w:val="00B25763"/>
    <w:rsid w:val="00B270F3"/>
    <w:rsid w:val="00B319F7"/>
    <w:rsid w:val="00B377D5"/>
    <w:rsid w:val="00B40BC2"/>
    <w:rsid w:val="00B44D95"/>
    <w:rsid w:val="00B45461"/>
    <w:rsid w:val="00B47AFC"/>
    <w:rsid w:val="00B52C69"/>
    <w:rsid w:val="00B601A8"/>
    <w:rsid w:val="00B6041C"/>
    <w:rsid w:val="00B6234C"/>
    <w:rsid w:val="00B658E1"/>
    <w:rsid w:val="00B66A34"/>
    <w:rsid w:val="00B72D44"/>
    <w:rsid w:val="00B764D8"/>
    <w:rsid w:val="00B825AA"/>
    <w:rsid w:val="00B832EF"/>
    <w:rsid w:val="00B86D0C"/>
    <w:rsid w:val="00B86E8E"/>
    <w:rsid w:val="00B90F0C"/>
    <w:rsid w:val="00B93A3B"/>
    <w:rsid w:val="00B96933"/>
    <w:rsid w:val="00BA0176"/>
    <w:rsid w:val="00BB4538"/>
    <w:rsid w:val="00BB457A"/>
    <w:rsid w:val="00BB5887"/>
    <w:rsid w:val="00BB6CE1"/>
    <w:rsid w:val="00BB6FEA"/>
    <w:rsid w:val="00BC6620"/>
    <w:rsid w:val="00BC7769"/>
    <w:rsid w:val="00BD6DB0"/>
    <w:rsid w:val="00C0044D"/>
    <w:rsid w:val="00C00FF6"/>
    <w:rsid w:val="00C0495B"/>
    <w:rsid w:val="00C05A34"/>
    <w:rsid w:val="00C065E0"/>
    <w:rsid w:val="00C10FB9"/>
    <w:rsid w:val="00C119CA"/>
    <w:rsid w:val="00C1692F"/>
    <w:rsid w:val="00C27886"/>
    <w:rsid w:val="00C31057"/>
    <w:rsid w:val="00C36999"/>
    <w:rsid w:val="00C4015E"/>
    <w:rsid w:val="00C408F6"/>
    <w:rsid w:val="00C43337"/>
    <w:rsid w:val="00C4342F"/>
    <w:rsid w:val="00C465A1"/>
    <w:rsid w:val="00C5121F"/>
    <w:rsid w:val="00C528AF"/>
    <w:rsid w:val="00C53D30"/>
    <w:rsid w:val="00C55169"/>
    <w:rsid w:val="00C633ED"/>
    <w:rsid w:val="00C64B0C"/>
    <w:rsid w:val="00C65540"/>
    <w:rsid w:val="00C6572F"/>
    <w:rsid w:val="00C66FE0"/>
    <w:rsid w:val="00C676C6"/>
    <w:rsid w:val="00C708B4"/>
    <w:rsid w:val="00C737C7"/>
    <w:rsid w:val="00C80F66"/>
    <w:rsid w:val="00C81A21"/>
    <w:rsid w:val="00C8718F"/>
    <w:rsid w:val="00C8739F"/>
    <w:rsid w:val="00C93734"/>
    <w:rsid w:val="00C97664"/>
    <w:rsid w:val="00CA1796"/>
    <w:rsid w:val="00CA624E"/>
    <w:rsid w:val="00CB66C1"/>
    <w:rsid w:val="00CB7A9D"/>
    <w:rsid w:val="00CC5F93"/>
    <w:rsid w:val="00CC7201"/>
    <w:rsid w:val="00CD2630"/>
    <w:rsid w:val="00CD29CB"/>
    <w:rsid w:val="00CD352C"/>
    <w:rsid w:val="00CD3D3C"/>
    <w:rsid w:val="00CD43F0"/>
    <w:rsid w:val="00CD621C"/>
    <w:rsid w:val="00CE136C"/>
    <w:rsid w:val="00CE4167"/>
    <w:rsid w:val="00CE5CCE"/>
    <w:rsid w:val="00CF501F"/>
    <w:rsid w:val="00D0023C"/>
    <w:rsid w:val="00D014DB"/>
    <w:rsid w:val="00D015A4"/>
    <w:rsid w:val="00D04409"/>
    <w:rsid w:val="00D0511A"/>
    <w:rsid w:val="00D05A6A"/>
    <w:rsid w:val="00D06DBD"/>
    <w:rsid w:val="00D17428"/>
    <w:rsid w:val="00D21866"/>
    <w:rsid w:val="00D276EE"/>
    <w:rsid w:val="00D36E23"/>
    <w:rsid w:val="00D43CBE"/>
    <w:rsid w:val="00D45AA0"/>
    <w:rsid w:val="00D47F91"/>
    <w:rsid w:val="00D52631"/>
    <w:rsid w:val="00D52C16"/>
    <w:rsid w:val="00D551ED"/>
    <w:rsid w:val="00D558A2"/>
    <w:rsid w:val="00D615EA"/>
    <w:rsid w:val="00D61AD2"/>
    <w:rsid w:val="00D6305E"/>
    <w:rsid w:val="00D74A7F"/>
    <w:rsid w:val="00D74F71"/>
    <w:rsid w:val="00D75262"/>
    <w:rsid w:val="00D752F1"/>
    <w:rsid w:val="00D82604"/>
    <w:rsid w:val="00D83A73"/>
    <w:rsid w:val="00D87ED1"/>
    <w:rsid w:val="00D90745"/>
    <w:rsid w:val="00D90F61"/>
    <w:rsid w:val="00D91837"/>
    <w:rsid w:val="00D9212E"/>
    <w:rsid w:val="00D93637"/>
    <w:rsid w:val="00D94127"/>
    <w:rsid w:val="00D950AD"/>
    <w:rsid w:val="00D9794A"/>
    <w:rsid w:val="00DA06C9"/>
    <w:rsid w:val="00DA5432"/>
    <w:rsid w:val="00DA5A5C"/>
    <w:rsid w:val="00DB1450"/>
    <w:rsid w:val="00DB2E8B"/>
    <w:rsid w:val="00DB2FE7"/>
    <w:rsid w:val="00DB450E"/>
    <w:rsid w:val="00DB60EC"/>
    <w:rsid w:val="00DC1841"/>
    <w:rsid w:val="00DC5B8E"/>
    <w:rsid w:val="00DC696D"/>
    <w:rsid w:val="00DD1248"/>
    <w:rsid w:val="00DD2DAE"/>
    <w:rsid w:val="00DD5875"/>
    <w:rsid w:val="00DD65E1"/>
    <w:rsid w:val="00DD7798"/>
    <w:rsid w:val="00DE3B5A"/>
    <w:rsid w:val="00DE4FF9"/>
    <w:rsid w:val="00DE52E1"/>
    <w:rsid w:val="00DE5B53"/>
    <w:rsid w:val="00DE700B"/>
    <w:rsid w:val="00DF14F2"/>
    <w:rsid w:val="00DF369B"/>
    <w:rsid w:val="00DF5E7C"/>
    <w:rsid w:val="00DF6263"/>
    <w:rsid w:val="00DF72DC"/>
    <w:rsid w:val="00E055EB"/>
    <w:rsid w:val="00E10879"/>
    <w:rsid w:val="00E14044"/>
    <w:rsid w:val="00E14128"/>
    <w:rsid w:val="00E14D8A"/>
    <w:rsid w:val="00E21428"/>
    <w:rsid w:val="00E215CE"/>
    <w:rsid w:val="00E23BA1"/>
    <w:rsid w:val="00E24810"/>
    <w:rsid w:val="00E24D19"/>
    <w:rsid w:val="00E25BD9"/>
    <w:rsid w:val="00E2634E"/>
    <w:rsid w:val="00E26879"/>
    <w:rsid w:val="00E3164C"/>
    <w:rsid w:val="00E31BB5"/>
    <w:rsid w:val="00E350D2"/>
    <w:rsid w:val="00E422EF"/>
    <w:rsid w:val="00E44048"/>
    <w:rsid w:val="00E4547E"/>
    <w:rsid w:val="00E516F5"/>
    <w:rsid w:val="00E609D5"/>
    <w:rsid w:val="00E62772"/>
    <w:rsid w:val="00E71F73"/>
    <w:rsid w:val="00E727C4"/>
    <w:rsid w:val="00E7616B"/>
    <w:rsid w:val="00E816FF"/>
    <w:rsid w:val="00E833D1"/>
    <w:rsid w:val="00E84576"/>
    <w:rsid w:val="00E85EE4"/>
    <w:rsid w:val="00E9672E"/>
    <w:rsid w:val="00E96DF2"/>
    <w:rsid w:val="00EA1CA5"/>
    <w:rsid w:val="00EA52D7"/>
    <w:rsid w:val="00EB45C2"/>
    <w:rsid w:val="00EC6895"/>
    <w:rsid w:val="00ED2224"/>
    <w:rsid w:val="00ED3C4C"/>
    <w:rsid w:val="00EE0516"/>
    <w:rsid w:val="00EE107C"/>
    <w:rsid w:val="00EE3EBC"/>
    <w:rsid w:val="00EE43DA"/>
    <w:rsid w:val="00EF20A0"/>
    <w:rsid w:val="00EF5478"/>
    <w:rsid w:val="00F00B11"/>
    <w:rsid w:val="00F037E2"/>
    <w:rsid w:val="00F04168"/>
    <w:rsid w:val="00F06868"/>
    <w:rsid w:val="00F07AB9"/>
    <w:rsid w:val="00F146C8"/>
    <w:rsid w:val="00F20551"/>
    <w:rsid w:val="00F20CF4"/>
    <w:rsid w:val="00F27682"/>
    <w:rsid w:val="00F30648"/>
    <w:rsid w:val="00F31BEF"/>
    <w:rsid w:val="00F406C7"/>
    <w:rsid w:val="00F45FF2"/>
    <w:rsid w:val="00F54679"/>
    <w:rsid w:val="00F6484D"/>
    <w:rsid w:val="00F65642"/>
    <w:rsid w:val="00F71517"/>
    <w:rsid w:val="00F77133"/>
    <w:rsid w:val="00F77ED4"/>
    <w:rsid w:val="00F81BCD"/>
    <w:rsid w:val="00F82A90"/>
    <w:rsid w:val="00F83431"/>
    <w:rsid w:val="00F86659"/>
    <w:rsid w:val="00F91290"/>
    <w:rsid w:val="00F934CB"/>
    <w:rsid w:val="00F9489D"/>
    <w:rsid w:val="00F95D2C"/>
    <w:rsid w:val="00FA0415"/>
    <w:rsid w:val="00FA3C1F"/>
    <w:rsid w:val="00FA3E55"/>
    <w:rsid w:val="00FA58DE"/>
    <w:rsid w:val="00FB1162"/>
    <w:rsid w:val="00FB48D1"/>
    <w:rsid w:val="00FC42E5"/>
    <w:rsid w:val="00FC7F95"/>
    <w:rsid w:val="00FD0545"/>
    <w:rsid w:val="00FD46D9"/>
    <w:rsid w:val="00FD54D6"/>
    <w:rsid w:val="00FE3CE4"/>
    <w:rsid w:val="00FE4C97"/>
    <w:rsid w:val="00FE771B"/>
    <w:rsid w:val="00FE7C39"/>
    <w:rsid w:val="00FF7D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uiPriority w:val="9"/>
    <w:qFormat/>
    <w:rsid w:val="000D68F0"/>
    <w:pPr>
      <w:keepNext/>
      <w:keepLines/>
      <w:adjustRightInd w:val="0"/>
      <w:snapToGrid w:val="0"/>
      <w:jc w:val="center"/>
      <w:outlineLvl w:val="0"/>
    </w:pPr>
    <w:rPr>
      <w:b/>
      <w:bCs/>
      <w:kern w:val="44"/>
      <w:sz w:val="28"/>
      <w:szCs w:val="44"/>
    </w:rPr>
  </w:style>
  <w:style w:type="paragraph" w:styleId="2">
    <w:name w:val="heading 2"/>
    <w:basedOn w:val="a"/>
    <w:next w:val="a"/>
    <w:link w:val="2Char"/>
    <w:uiPriority w:val="9"/>
    <w:unhideWhenUsed/>
    <w:qFormat/>
    <w:rsid w:val="00EE0516"/>
    <w:pPr>
      <w:keepNext/>
      <w:keepLines/>
      <w:spacing w:line="415" w:lineRule="auto"/>
      <w:ind w:firstLineChars="200" w:firstLine="200"/>
      <w:jc w:val="left"/>
      <w:outlineLvl w:val="1"/>
    </w:pPr>
    <w:rPr>
      <w:rFonts w:asciiTheme="majorHAnsi" w:eastAsia="黑体" w:hAnsiTheme="majorHAnsi"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7A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07AB9"/>
    <w:rPr>
      <w:sz w:val="18"/>
      <w:szCs w:val="18"/>
    </w:rPr>
  </w:style>
  <w:style w:type="paragraph" w:styleId="a4">
    <w:name w:val="footer"/>
    <w:basedOn w:val="a"/>
    <w:link w:val="Char0"/>
    <w:uiPriority w:val="99"/>
    <w:unhideWhenUsed/>
    <w:rsid w:val="00F07AB9"/>
    <w:pPr>
      <w:tabs>
        <w:tab w:val="center" w:pos="4153"/>
        <w:tab w:val="right" w:pos="8306"/>
      </w:tabs>
      <w:snapToGrid w:val="0"/>
      <w:jc w:val="left"/>
    </w:pPr>
    <w:rPr>
      <w:sz w:val="18"/>
      <w:szCs w:val="18"/>
    </w:rPr>
  </w:style>
  <w:style w:type="character" w:customStyle="1" w:styleId="Char0">
    <w:name w:val="页脚 Char"/>
    <w:basedOn w:val="a0"/>
    <w:link w:val="a4"/>
    <w:uiPriority w:val="99"/>
    <w:rsid w:val="00F07AB9"/>
    <w:rPr>
      <w:sz w:val="18"/>
      <w:szCs w:val="18"/>
    </w:rPr>
  </w:style>
  <w:style w:type="table" w:customStyle="1" w:styleId="TableNormal">
    <w:name w:val="Table Normal"/>
    <w:uiPriority w:val="2"/>
    <w:semiHidden/>
    <w:unhideWhenUsed/>
    <w:qFormat/>
    <w:rsid w:val="006A333A"/>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A333A"/>
    <w:pPr>
      <w:autoSpaceDE w:val="0"/>
      <w:autoSpaceDN w:val="0"/>
      <w:jc w:val="center"/>
    </w:pPr>
    <w:rPr>
      <w:rFonts w:ascii="Arial Unicode MS" w:eastAsia="Arial Unicode MS" w:hAnsi="Arial Unicode MS" w:cs="Arial Unicode MS"/>
      <w:kern w:val="0"/>
      <w:sz w:val="22"/>
    </w:rPr>
  </w:style>
  <w:style w:type="paragraph" w:styleId="a5">
    <w:name w:val="footnote text"/>
    <w:basedOn w:val="a"/>
    <w:link w:val="Char1"/>
    <w:uiPriority w:val="99"/>
    <w:unhideWhenUsed/>
    <w:qFormat/>
    <w:rsid w:val="008B6E5C"/>
    <w:pPr>
      <w:snapToGrid w:val="0"/>
      <w:jc w:val="left"/>
    </w:pPr>
    <w:rPr>
      <w:sz w:val="18"/>
      <w:szCs w:val="18"/>
    </w:rPr>
  </w:style>
  <w:style w:type="character" w:customStyle="1" w:styleId="Char1">
    <w:name w:val="脚注文本 Char"/>
    <w:basedOn w:val="a0"/>
    <w:link w:val="a5"/>
    <w:uiPriority w:val="99"/>
    <w:qFormat/>
    <w:rsid w:val="008B6E5C"/>
    <w:rPr>
      <w:sz w:val="18"/>
      <w:szCs w:val="18"/>
    </w:rPr>
  </w:style>
  <w:style w:type="character" w:styleId="a6">
    <w:name w:val="footnote reference"/>
    <w:basedOn w:val="a0"/>
    <w:uiPriority w:val="99"/>
    <w:semiHidden/>
    <w:unhideWhenUsed/>
    <w:rsid w:val="008B6E5C"/>
    <w:rPr>
      <w:vertAlign w:val="superscript"/>
    </w:rPr>
  </w:style>
  <w:style w:type="table" w:styleId="-4">
    <w:name w:val="Light Shading Accent 4"/>
    <w:basedOn w:val="a1"/>
    <w:uiPriority w:val="60"/>
    <w:rsid w:val="006256F0"/>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a7">
    <w:name w:val="Balloon Text"/>
    <w:basedOn w:val="a"/>
    <w:link w:val="Char2"/>
    <w:uiPriority w:val="99"/>
    <w:semiHidden/>
    <w:unhideWhenUsed/>
    <w:rsid w:val="006256F0"/>
    <w:rPr>
      <w:sz w:val="18"/>
      <w:szCs w:val="18"/>
    </w:rPr>
  </w:style>
  <w:style w:type="character" w:customStyle="1" w:styleId="Char2">
    <w:name w:val="批注框文本 Char"/>
    <w:basedOn w:val="a0"/>
    <w:link w:val="a7"/>
    <w:uiPriority w:val="99"/>
    <w:semiHidden/>
    <w:rsid w:val="006256F0"/>
    <w:rPr>
      <w:sz w:val="18"/>
      <w:szCs w:val="18"/>
    </w:rPr>
  </w:style>
  <w:style w:type="paragraph" w:customStyle="1" w:styleId="20">
    <w:name w:val="样式2"/>
    <w:basedOn w:val="2"/>
    <w:link w:val="21"/>
    <w:rsid w:val="00943C0E"/>
    <w:pPr>
      <w:overflowPunct w:val="0"/>
    </w:pPr>
    <w:rPr>
      <w:rFonts w:ascii="Times New Roman" w:hAnsi="Times New Roman" w:cs="Times New Roman"/>
      <w:b w:val="0"/>
    </w:rPr>
  </w:style>
  <w:style w:type="character" w:customStyle="1" w:styleId="21">
    <w:name w:val="样式2 字符"/>
    <w:basedOn w:val="a0"/>
    <w:link w:val="20"/>
    <w:rsid w:val="00943C0E"/>
    <w:rPr>
      <w:rFonts w:ascii="Times New Roman" w:eastAsiaTheme="majorEastAsia" w:hAnsi="Times New Roman" w:cs="Times New Roman"/>
      <w:bCs/>
      <w:szCs w:val="32"/>
    </w:rPr>
  </w:style>
  <w:style w:type="character" w:customStyle="1" w:styleId="2Char">
    <w:name w:val="标题 2 Char"/>
    <w:basedOn w:val="a0"/>
    <w:link w:val="2"/>
    <w:uiPriority w:val="9"/>
    <w:rsid w:val="00EE0516"/>
    <w:rPr>
      <w:rFonts w:asciiTheme="majorHAnsi" w:eastAsia="黑体" w:hAnsiTheme="majorHAnsi" w:cstheme="majorBidi"/>
      <w:b/>
      <w:bCs/>
      <w:szCs w:val="32"/>
    </w:rPr>
  </w:style>
  <w:style w:type="character" w:customStyle="1" w:styleId="1Char">
    <w:name w:val="标题 1 Char"/>
    <w:basedOn w:val="a0"/>
    <w:link w:val="1"/>
    <w:uiPriority w:val="9"/>
    <w:rsid w:val="000D68F0"/>
    <w:rPr>
      <w:b/>
      <w:bCs/>
      <w:kern w:val="44"/>
      <w:sz w:val="28"/>
      <w:szCs w:val="44"/>
    </w:rPr>
  </w:style>
  <w:style w:type="paragraph" w:styleId="a8">
    <w:name w:val="endnote text"/>
    <w:basedOn w:val="a"/>
    <w:link w:val="Char3"/>
    <w:uiPriority w:val="99"/>
    <w:semiHidden/>
    <w:unhideWhenUsed/>
    <w:rsid w:val="0083735A"/>
    <w:pPr>
      <w:snapToGrid w:val="0"/>
      <w:jc w:val="left"/>
    </w:pPr>
  </w:style>
  <w:style w:type="character" w:customStyle="1" w:styleId="Char3">
    <w:name w:val="尾注文本 Char"/>
    <w:basedOn w:val="a0"/>
    <w:link w:val="a8"/>
    <w:uiPriority w:val="99"/>
    <w:semiHidden/>
    <w:rsid w:val="0083735A"/>
  </w:style>
  <w:style w:type="character" w:styleId="a9">
    <w:name w:val="endnote reference"/>
    <w:basedOn w:val="a0"/>
    <w:uiPriority w:val="99"/>
    <w:semiHidden/>
    <w:unhideWhenUsed/>
    <w:rsid w:val="0083735A"/>
    <w:rPr>
      <w:vertAlign w:val="superscript"/>
    </w:rPr>
  </w:style>
  <w:style w:type="paragraph" w:styleId="aa">
    <w:name w:val="Normal (Web)"/>
    <w:basedOn w:val="a"/>
    <w:uiPriority w:val="99"/>
    <w:semiHidden/>
    <w:unhideWhenUsed/>
    <w:rsid w:val="007040AF"/>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uiPriority w:val="9"/>
    <w:qFormat/>
    <w:rsid w:val="000D68F0"/>
    <w:pPr>
      <w:keepNext/>
      <w:keepLines/>
      <w:adjustRightInd w:val="0"/>
      <w:snapToGrid w:val="0"/>
      <w:jc w:val="center"/>
      <w:outlineLvl w:val="0"/>
    </w:pPr>
    <w:rPr>
      <w:b/>
      <w:bCs/>
      <w:kern w:val="44"/>
      <w:sz w:val="28"/>
      <w:szCs w:val="44"/>
    </w:rPr>
  </w:style>
  <w:style w:type="paragraph" w:styleId="2">
    <w:name w:val="heading 2"/>
    <w:basedOn w:val="a"/>
    <w:next w:val="a"/>
    <w:link w:val="2Char"/>
    <w:uiPriority w:val="9"/>
    <w:unhideWhenUsed/>
    <w:qFormat/>
    <w:rsid w:val="00EE0516"/>
    <w:pPr>
      <w:keepNext/>
      <w:keepLines/>
      <w:spacing w:line="415" w:lineRule="auto"/>
      <w:ind w:firstLineChars="200" w:firstLine="200"/>
      <w:jc w:val="left"/>
      <w:outlineLvl w:val="1"/>
    </w:pPr>
    <w:rPr>
      <w:rFonts w:asciiTheme="majorHAnsi" w:eastAsia="黑体" w:hAnsiTheme="majorHAnsi"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7A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07AB9"/>
    <w:rPr>
      <w:sz w:val="18"/>
      <w:szCs w:val="18"/>
    </w:rPr>
  </w:style>
  <w:style w:type="paragraph" w:styleId="a4">
    <w:name w:val="footer"/>
    <w:basedOn w:val="a"/>
    <w:link w:val="Char0"/>
    <w:uiPriority w:val="99"/>
    <w:unhideWhenUsed/>
    <w:rsid w:val="00F07AB9"/>
    <w:pPr>
      <w:tabs>
        <w:tab w:val="center" w:pos="4153"/>
        <w:tab w:val="right" w:pos="8306"/>
      </w:tabs>
      <w:snapToGrid w:val="0"/>
      <w:jc w:val="left"/>
    </w:pPr>
    <w:rPr>
      <w:sz w:val="18"/>
      <w:szCs w:val="18"/>
    </w:rPr>
  </w:style>
  <w:style w:type="character" w:customStyle="1" w:styleId="Char0">
    <w:name w:val="页脚 Char"/>
    <w:basedOn w:val="a0"/>
    <w:link w:val="a4"/>
    <w:uiPriority w:val="99"/>
    <w:rsid w:val="00F07AB9"/>
    <w:rPr>
      <w:sz w:val="18"/>
      <w:szCs w:val="18"/>
    </w:rPr>
  </w:style>
  <w:style w:type="table" w:customStyle="1" w:styleId="TableNormal">
    <w:name w:val="Table Normal"/>
    <w:uiPriority w:val="2"/>
    <w:semiHidden/>
    <w:unhideWhenUsed/>
    <w:qFormat/>
    <w:rsid w:val="006A333A"/>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A333A"/>
    <w:pPr>
      <w:autoSpaceDE w:val="0"/>
      <w:autoSpaceDN w:val="0"/>
      <w:jc w:val="center"/>
    </w:pPr>
    <w:rPr>
      <w:rFonts w:ascii="Arial Unicode MS" w:eastAsia="Arial Unicode MS" w:hAnsi="Arial Unicode MS" w:cs="Arial Unicode MS"/>
      <w:kern w:val="0"/>
      <w:sz w:val="22"/>
    </w:rPr>
  </w:style>
  <w:style w:type="paragraph" w:styleId="a5">
    <w:name w:val="footnote text"/>
    <w:basedOn w:val="a"/>
    <w:link w:val="Char1"/>
    <w:uiPriority w:val="99"/>
    <w:unhideWhenUsed/>
    <w:qFormat/>
    <w:rsid w:val="008B6E5C"/>
    <w:pPr>
      <w:snapToGrid w:val="0"/>
      <w:jc w:val="left"/>
    </w:pPr>
    <w:rPr>
      <w:sz w:val="18"/>
      <w:szCs w:val="18"/>
    </w:rPr>
  </w:style>
  <w:style w:type="character" w:customStyle="1" w:styleId="Char1">
    <w:name w:val="脚注文本 Char"/>
    <w:basedOn w:val="a0"/>
    <w:link w:val="a5"/>
    <w:uiPriority w:val="99"/>
    <w:qFormat/>
    <w:rsid w:val="008B6E5C"/>
    <w:rPr>
      <w:sz w:val="18"/>
      <w:szCs w:val="18"/>
    </w:rPr>
  </w:style>
  <w:style w:type="character" w:styleId="a6">
    <w:name w:val="footnote reference"/>
    <w:basedOn w:val="a0"/>
    <w:uiPriority w:val="99"/>
    <w:semiHidden/>
    <w:unhideWhenUsed/>
    <w:rsid w:val="008B6E5C"/>
    <w:rPr>
      <w:vertAlign w:val="superscript"/>
    </w:rPr>
  </w:style>
  <w:style w:type="table" w:styleId="-4">
    <w:name w:val="Light Shading Accent 4"/>
    <w:basedOn w:val="a1"/>
    <w:uiPriority w:val="60"/>
    <w:rsid w:val="006256F0"/>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a7">
    <w:name w:val="Balloon Text"/>
    <w:basedOn w:val="a"/>
    <w:link w:val="Char2"/>
    <w:uiPriority w:val="99"/>
    <w:semiHidden/>
    <w:unhideWhenUsed/>
    <w:rsid w:val="006256F0"/>
    <w:rPr>
      <w:sz w:val="18"/>
      <w:szCs w:val="18"/>
    </w:rPr>
  </w:style>
  <w:style w:type="character" w:customStyle="1" w:styleId="Char2">
    <w:name w:val="批注框文本 Char"/>
    <w:basedOn w:val="a0"/>
    <w:link w:val="a7"/>
    <w:uiPriority w:val="99"/>
    <w:semiHidden/>
    <w:rsid w:val="006256F0"/>
    <w:rPr>
      <w:sz w:val="18"/>
      <w:szCs w:val="18"/>
    </w:rPr>
  </w:style>
  <w:style w:type="paragraph" w:customStyle="1" w:styleId="20">
    <w:name w:val="样式2"/>
    <w:basedOn w:val="2"/>
    <w:link w:val="21"/>
    <w:rsid w:val="00943C0E"/>
    <w:pPr>
      <w:overflowPunct w:val="0"/>
    </w:pPr>
    <w:rPr>
      <w:rFonts w:ascii="Times New Roman" w:hAnsi="Times New Roman" w:cs="Times New Roman"/>
      <w:b w:val="0"/>
    </w:rPr>
  </w:style>
  <w:style w:type="character" w:customStyle="1" w:styleId="21">
    <w:name w:val="样式2 字符"/>
    <w:basedOn w:val="a0"/>
    <w:link w:val="20"/>
    <w:rsid w:val="00943C0E"/>
    <w:rPr>
      <w:rFonts w:ascii="Times New Roman" w:eastAsiaTheme="majorEastAsia" w:hAnsi="Times New Roman" w:cs="Times New Roman"/>
      <w:bCs/>
      <w:szCs w:val="32"/>
    </w:rPr>
  </w:style>
  <w:style w:type="character" w:customStyle="1" w:styleId="2Char">
    <w:name w:val="标题 2 Char"/>
    <w:basedOn w:val="a0"/>
    <w:link w:val="2"/>
    <w:uiPriority w:val="9"/>
    <w:rsid w:val="00EE0516"/>
    <w:rPr>
      <w:rFonts w:asciiTheme="majorHAnsi" w:eastAsia="黑体" w:hAnsiTheme="majorHAnsi" w:cstheme="majorBidi"/>
      <w:b/>
      <w:bCs/>
      <w:szCs w:val="32"/>
    </w:rPr>
  </w:style>
  <w:style w:type="character" w:customStyle="1" w:styleId="1Char">
    <w:name w:val="标题 1 Char"/>
    <w:basedOn w:val="a0"/>
    <w:link w:val="1"/>
    <w:uiPriority w:val="9"/>
    <w:rsid w:val="000D68F0"/>
    <w:rPr>
      <w:b/>
      <w:bCs/>
      <w:kern w:val="44"/>
      <w:sz w:val="28"/>
      <w:szCs w:val="44"/>
    </w:rPr>
  </w:style>
  <w:style w:type="paragraph" w:styleId="a8">
    <w:name w:val="endnote text"/>
    <w:basedOn w:val="a"/>
    <w:link w:val="Char3"/>
    <w:uiPriority w:val="99"/>
    <w:semiHidden/>
    <w:unhideWhenUsed/>
    <w:rsid w:val="0083735A"/>
    <w:pPr>
      <w:snapToGrid w:val="0"/>
      <w:jc w:val="left"/>
    </w:pPr>
  </w:style>
  <w:style w:type="character" w:customStyle="1" w:styleId="Char3">
    <w:name w:val="尾注文本 Char"/>
    <w:basedOn w:val="a0"/>
    <w:link w:val="a8"/>
    <w:uiPriority w:val="99"/>
    <w:semiHidden/>
    <w:rsid w:val="0083735A"/>
  </w:style>
  <w:style w:type="character" w:styleId="a9">
    <w:name w:val="endnote reference"/>
    <w:basedOn w:val="a0"/>
    <w:uiPriority w:val="99"/>
    <w:semiHidden/>
    <w:unhideWhenUsed/>
    <w:rsid w:val="0083735A"/>
    <w:rPr>
      <w:vertAlign w:val="superscript"/>
    </w:rPr>
  </w:style>
  <w:style w:type="paragraph" w:styleId="aa">
    <w:name w:val="Normal (Web)"/>
    <w:basedOn w:val="a"/>
    <w:uiPriority w:val="99"/>
    <w:semiHidden/>
    <w:unhideWhenUsed/>
    <w:rsid w:val="007040A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25146">
      <w:bodyDiv w:val="1"/>
      <w:marLeft w:val="0"/>
      <w:marRight w:val="0"/>
      <w:marTop w:val="0"/>
      <w:marBottom w:val="0"/>
      <w:divBdr>
        <w:top w:val="none" w:sz="0" w:space="0" w:color="auto"/>
        <w:left w:val="none" w:sz="0" w:space="0" w:color="auto"/>
        <w:bottom w:val="none" w:sz="0" w:space="0" w:color="auto"/>
        <w:right w:val="none" w:sz="0" w:space="0" w:color="auto"/>
      </w:divBdr>
    </w:div>
    <w:div w:id="181405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__3.xlsx"/></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___4.xlsx"/><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1" Type="http://schemas.openxmlformats.org/officeDocument/2006/relationships/oleObject" Target="file:///D:\&#21160;&#24577;&#20462;&#25913;\Fi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287174629487104E-2"/>
          <c:y val="3.7908736414884535E-2"/>
          <c:w val="0.88955933139936461"/>
          <c:h val="0.84869977566949639"/>
        </c:manualLayout>
      </c:layout>
      <c:lineChart>
        <c:grouping val="standard"/>
        <c:varyColors val="0"/>
        <c:ser>
          <c:idx val="0"/>
          <c:order val="0"/>
          <c:tx>
            <c:strRef>
              <c:f>Sheet1!$G$1</c:f>
              <c:strCache>
                <c:ptCount val="1"/>
                <c:pt idx="0">
                  <c:v>第二产业比重</c:v>
                </c:pt>
              </c:strCache>
            </c:strRef>
          </c:tx>
          <c:spPr>
            <a:ln w="19050">
              <a:solidFill>
                <a:srgbClr val="00B0F0"/>
              </a:solidFill>
            </a:ln>
          </c:spPr>
          <c:marker>
            <c:symbol val="none"/>
          </c:marker>
          <c:dPt>
            <c:idx val="16"/>
            <c:marker>
              <c:symbol val="circle"/>
              <c:size val="12"/>
            </c:marker>
            <c:bubble3D val="0"/>
          </c:dPt>
          <c:dLbls>
            <c:dLbl>
              <c:idx val="16"/>
              <c:layout>
                <c:manualLayout>
                  <c:x val="-4.3585529451691842E-2"/>
                  <c:y val="-0.12268516282349759"/>
                </c:manualLayout>
              </c:layout>
              <c:spPr/>
              <c:txPr>
                <a:bodyPr/>
                <a:lstStyle/>
                <a:p>
                  <a:pPr>
                    <a:defRPr sz="900">
                      <a:latin typeface="Arial Unicode MS" pitchFamily="34" charset="-122"/>
                      <a:ea typeface="Arial Unicode MS" pitchFamily="34" charset="-122"/>
                      <a:cs typeface="Arial Unicode MS" pitchFamily="34" charset="-122"/>
                    </a:defRPr>
                  </a:pPr>
                  <a:endParaRPr lang="zh-CN"/>
                </a:p>
              </c:txPr>
              <c:showLegendKey val="0"/>
              <c:showVal val="1"/>
              <c:showCatName val="1"/>
              <c:showSerName val="0"/>
              <c:showPercent val="0"/>
              <c:showBubbleSize val="0"/>
            </c:dLbl>
            <c:txPr>
              <a:bodyPr/>
              <a:lstStyle/>
              <a:p>
                <a:pPr>
                  <a:defRPr sz="900"/>
                </a:pPr>
                <a:endParaRPr lang="zh-CN"/>
              </a:p>
            </c:txPr>
            <c:showLegendKey val="0"/>
            <c:showVal val="0"/>
            <c:showCatName val="0"/>
            <c:showSerName val="0"/>
            <c:showPercent val="0"/>
            <c:showBubbleSize val="0"/>
          </c:dLbls>
          <c:cat>
            <c:numRef>
              <c:f>Sheet1!$F$17:$F$44</c:f>
              <c:numCache>
                <c:formatCode>General</c:formatCode>
                <c:ptCount val="28"/>
                <c:pt idx="0">
                  <c:v>1993</c:v>
                </c:pt>
                <c:pt idx="1">
                  <c:v>1994</c:v>
                </c:pt>
                <c:pt idx="2">
                  <c:v>1995</c:v>
                </c:pt>
                <c:pt idx="3">
                  <c:v>1996</c:v>
                </c:pt>
                <c:pt idx="4">
                  <c:v>1997</c:v>
                </c:pt>
                <c:pt idx="5">
                  <c:v>1998</c:v>
                </c:pt>
                <c:pt idx="6">
                  <c:v>1999</c:v>
                </c:pt>
                <c:pt idx="7">
                  <c:v>2000</c:v>
                </c:pt>
                <c:pt idx="8">
                  <c:v>2001</c:v>
                </c:pt>
                <c:pt idx="9">
                  <c:v>2002</c:v>
                </c:pt>
                <c:pt idx="10">
                  <c:v>2003</c:v>
                </c:pt>
                <c:pt idx="11">
                  <c:v>2004</c:v>
                </c:pt>
                <c:pt idx="12">
                  <c:v>2005</c:v>
                </c:pt>
                <c:pt idx="13">
                  <c:v>2006</c:v>
                </c:pt>
                <c:pt idx="14">
                  <c:v>2007</c:v>
                </c:pt>
                <c:pt idx="15">
                  <c:v>2008</c:v>
                </c:pt>
                <c:pt idx="16">
                  <c:v>2009</c:v>
                </c:pt>
                <c:pt idx="17">
                  <c:v>2010</c:v>
                </c:pt>
                <c:pt idx="18">
                  <c:v>2011</c:v>
                </c:pt>
                <c:pt idx="19">
                  <c:v>2012</c:v>
                </c:pt>
                <c:pt idx="20">
                  <c:v>2013</c:v>
                </c:pt>
                <c:pt idx="21">
                  <c:v>2014</c:v>
                </c:pt>
                <c:pt idx="22">
                  <c:v>2015</c:v>
                </c:pt>
                <c:pt idx="23">
                  <c:v>2016</c:v>
                </c:pt>
                <c:pt idx="24">
                  <c:v>2017</c:v>
                </c:pt>
                <c:pt idx="25">
                  <c:v>2018</c:v>
                </c:pt>
                <c:pt idx="26">
                  <c:v>2019</c:v>
                </c:pt>
                <c:pt idx="27">
                  <c:v>2020</c:v>
                </c:pt>
              </c:numCache>
            </c:numRef>
          </c:cat>
          <c:val>
            <c:numRef>
              <c:f>Sheet1!$G$17:$G$44</c:f>
              <c:numCache>
                <c:formatCode>0.00%</c:formatCode>
                <c:ptCount val="28"/>
                <c:pt idx="0">
                  <c:v>0.39941350455257252</c:v>
                </c:pt>
                <c:pt idx="1">
                  <c:v>0.40187805865177406</c:v>
                </c:pt>
                <c:pt idx="2">
                  <c:v>0.4079427961735908</c:v>
                </c:pt>
                <c:pt idx="3">
                  <c:v>0.41118809505689496</c:v>
                </c:pt>
                <c:pt idx="4">
                  <c:v>0.41425757553599635</c:v>
                </c:pt>
                <c:pt idx="5">
                  <c:v>0.40065328221993213</c:v>
                </c:pt>
                <c:pt idx="6">
                  <c:v>0.39766576590862984</c:v>
                </c:pt>
                <c:pt idx="7">
                  <c:v>0.40146077954110554</c:v>
                </c:pt>
                <c:pt idx="8">
                  <c:v>0.39557138542636683</c:v>
                </c:pt>
                <c:pt idx="9">
                  <c:v>0.39250633446206729</c:v>
                </c:pt>
                <c:pt idx="10">
                  <c:v>0.40286236996151831</c:v>
                </c:pt>
                <c:pt idx="11">
                  <c:v>0.40641887945104649</c:v>
                </c:pt>
                <c:pt idx="12">
                  <c:v>0.41617963429932536</c:v>
                </c:pt>
                <c:pt idx="13">
                  <c:v>0.42032645857532386</c:v>
                </c:pt>
                <c:pt idx="14">
                  <c:v>0.41352832703833142</c:v>
                </c:pt>
                <c:pt idx="15">
                  <c:v>0.41261148900138134</c:v>
                </c:pt>
                <c:pt idx="16">
                  <c:v>0.39622826523575938</c:v>
                </c:pt>
                <c:pt idx="17">
                  <c:v>0.40066830706822476</c:v>
                </c:pt>
                <c:pt idx="18">
                  <c:v>0.39992429401702428</c:v>
                </c:pt>
                <c:pt idx="19">
                  <c:v>0.38787450329419676</c:v>
                </c:pt>
                <c:pt idx="20">
                  <c:v>0.37495268299706147</c:v>
                </c:pt>
                <c:pt idx="21">
                  <c:v>0.3623535448978748</c:v>
                </c:pt>
                <c:pt idx="22">
                  <c:v>0.34109908793929222</c:v>
                </c:pt>
                <c:pt idx="23">
                  <c:v>0.32878893385180641</c:v>
                </c:pt>
                <c:pt idx="24">
                  <c:v>0.33065789287007052</c:v>
                </c:pt>
                <c:pt idx="25">
                  <c:v>0.3275269559613202</c:v>
                </c:pt>
                <c:pt idx="26">
                  <c:v>0.31612153568439699</c:v>
                </c:pt>
                <c:pt idx="27">
                  <c:v>0.3081450318911812</c:v>
                </c:pt>
              </c:numCache>
            </c:numRef>
          </c:val>
          <c:smooth val="0"/>
        </c:ser>
        <c:ser>
          <c:idx val="1"/>
          <c:order val="1"/>
          <c:tx>
            <c:strRef>
              <c:f>Sheet1!$H$1</c:f>
              <c:strCache>
                <c:ptCount val="1"/>
                <c:pt idx="0">
                  <c:v>制造业比重</c:v>
                </c:pt>
              </c:strCache>
            </c:strRef>
          </c:tx>
          <c:spPr>
            <a:ln w="19050">
              <a:solidFill>
                <a:srgbClr val="00B050"/>
              </a:solidFill>
            </a:ln>
          </c:spPr>
          <c:marker>
            <c:symbol val="none"/>
          </c:marker>
          <c:dPt>
            <c:idx val="16"/>
            <c:marker>
              <c:symbol val="diamond"/>
              <c:size val="14"/>
              <c:spPr>
                <a:gradFill>
                  <a:gsLst>
                    <a:gs pos="0">
                      <a:srgbClr val="FF3399"/>
                    </a:gs>
                    <a:gs pos="0">
                      <a:srgbClr val="FF6633"/>
                    </a:gs>
                    <a:gs pos="0">
                      <a:srgbClr val="FFFF00"/>
                    </a:gs>
                    <a:gs pos="75000">
                      <a:srgbClr val="01A78F"/>
                    </a:gs>
                    <a:gs pos="100000">
                      <a:srgbClr val="3366FF"/>
                    </a:gs>
                  </a:gsLst>
                  <a:lin ang="5400000" scaled="0"/>
                </a:gradFill>
              </c:spPr>
            </c:marker>
            <c:bubble3D val="0"/>
          </c:dPt>
          <c:dLbls>
            <c:dLbl>
              <c:idx val="16"/>
              <c:layout>
                <c:manualLayout>
                  <c:x val="-0.12591375174933173"/>
                  <c:y val="-0.12268516282349759"/>
                </c:manualLayout>
              </c:layout>
              <c:showLegendKey val="0"/>
              <c:showVal val="1"/>
              <c:showCatName val="1"/>
              <c:showSerName val="0"/>
              <c:showPercent val="0"/>
              <c:showBubbleSize val="0"/>
            </c:dLbl>
            <c:txPr>
              <a:bodyPr/>
              <a:lstStyle/>
              <a:p>
                <a:pPr>
                  <a:defRPr sz="900">
                    <a:latin typeface="Arial Unicode MS" pitchFamily="34" charset="-122"/>
                    <a:ea typeface="Arial Unicode MS" pitchFamily="34" charset="-122"/>
                    <a:cs typeface="Arial Unicode MS" pitchFamily="34" charset="-122"/>
                  </a:defRPr>
                </a:pPr>
                <a:endParaRPr lang="zh-CN"/>
              </a:p>
            </c:txPr>
            <c:showLegendKey val="0"/>
            <c:showVal val="0"/>
            <c:showCatName val="0"/>
            <c:showSerName val="0"/>
            <c:showPercent val="0"/>
            <c:showBubbleSize val="0"/>
          </c:dLbls>
          <c:cat>
            <c:numRef>
              <c:f>Sheet1!$F$17:$F$44</c:f>
              <c:numCache>
                <c:formatCode>General</c:formatCode>
                <c:ptCount val="28"/>
                <c:pt idx="0">
                  <c:v>1993</c:v>
                </c:pt>
                <c:pt idx="1">
                  <c:v>1994</c:v>
                </c:pt>
                <c:pt idx="2">
                  <c:v>1995</c:v>
                </c:pt>
                <c:pt idx="3">
                  <c:v>1996</c:v>
                </c:pt>
                <c:pt idx="4">
                  <c:v>1997</c:v>
                </c:pt>
                <c:pt idx="5">
                  <c:v>1998</c:v>
                </c:pt>
                <c:pt idx="6">
                  <c:v>1999</c:v>
                </c:pt>
                <c:pt idx="7">
                  <c:v>2000</c:v>
                </c:pt>
                <c:pt idx="8">
                  <c:v>2001</c:v>
                </c:pt>
                <c:pt idx="9">
                  <c:v>2002</c:v>
                </c:pt>
                <c:pt idx="10">
                  <c:v>2003</c:v>
                </c:pt>
                <c:pt idx="11">
                  <c:v>2004</c:v>
                </c:pt>
                <c:pt idx="12">
                  <c:v>2005</c:v>
                </c:pt>
                <c:pt idx="13">
                  <c:v>2006</c:v>
                </c:pt>
                <c:pt idx="14">
                  <c:v>2007</c:v>
                </c:pt>
                <c:pt idx="15">
                  <c:v>2008</c:v>
                </c:pt>
                <c:pt idx="16">
                  <c:v>2009</c:v>
                </c:pt>
                <c:pt idx="17">
                  <c:v>2010</c:v>
                </c:pt>
                <c:pt idx="18">
                  <c:v>2011</c:v>
                </c:pt>
                <c:pt idx="19">
                  <c:v>2012</c:v>
                </c:pt>
                <c:pt idx="20">
                  <c:v>2013</c:v>
                </c:pt>
                <c:pt idx="21">
                  <c:v>2014</c:v>
                </c:pt>
                <c:pt idx="22">
                  <c:v>2015</c:v>
                </c:pt>
                <c:pt idx="23">
                  <c:v>2016</c:v>
                </c:pt>
                <c:pt idx="24">
                  <c:v>2017</c:v>
                </c:pt>
                <c:pt idx="25">
                  <c:v>2018</c:v>
                </c:pt>
                <c:pt idx="26">
                  <c:v>2019</c:v>
                </c:pt>
                <c:pt idx="27">
                  <c:v>2020</c:v>
                </c:pt>
              </c:numCache>
            </c:numRef>
          </c:cat>
          <c:val>
            <c:numRef>
              <c:f>Sheet1!$H$17:$H$44</c:f>
              <c:numCache>
                <c:formatCode>General</c:formatCode>
                <c:ptCount val="28"/>
                <c:pt idx="11" formatCode="0.00%">
                  <c:v>0.3197506997026332</c:v>
                </c:pt>
                <c:pt idx="12" formatCode="0.00%">
                  <c:v>0.32093924328677698</c:v>
                </c:pt>
                <c:pt idx="13" formatCode="0.00%">
                  <c:v>0.32452328056594337</c:v>
                </c:pt>
                <c:pt idx="14" formatCode="0.00%">
                  <c:v>0.32383353116440677</c:v>
                </c:pt>
                <c:pt idx="15" formatCode="0.00%">
                  <c:v>0.32119411603448134</c:v>
                </c:pt>
                <c:pt idx="16" formatCode="0.00%">
                  <c:v>0.31596238091031037</c:v>
                </c:pt>
                <c:pt idx="17" formatCode="0.00%">
                  <c:v>0.31612821693653198</c:v>
                </c:pt>
                <c:pt idx="18" formatCode="0.00%">
                  <c:v>0.32064750197792702</c:v>
                </c:pt>
                <c:pt idx="19" formatCode="0.00%">
                  <c:v>0.31528577865973961</c:v>
                </c:pt>
                <c:pt idx="20" formatCode="0.00%">
                  <c:v>0.30671008072174427</c:v>
                </c:pt>
                <c:pt idx="21" formatCode="0.00%">
                  <c:v>0.30396444205515444</c:v>
                </c:pt>
                <c:pt idx="22" formatCode="0.00%">
                  <c:v>0.28951676088709111</c:v>
                </c:pt>
                <c:pt idx="23" formatCode="0.00%">
                  <c:v>0.28069438206737102</c:v>
                </c:pt>
                <c:pt idx="24" formatCode="0.00%">
                  <c:v>0.28108941735602738</c:v>
                </c:pt>
                <c:pt idx="25" formatCode="0.00%">
                  <c:v>0.27841015322457091</c:v>
                </c:pt>
                <c:pt idx="26" formatCode="0.00%">
                  <c:v>0.26774721768098458</c:v>
                </c:pt>
                <c:pt idx="27" formatCode="0.00%">
                  <c:v>0.26175906719992847</c:v>
                </c:pt>
              </c:numCache>
            </c:numRef>
          </c:val>
          <c:smooth val="0"/>
        </c:ser>
        <c:dLbls>
          <c:showLegendKey val="0"/>
          <c:showVal val="0"/>
          <c:showCatName val="0"/>
          <c:showSerName val="0"/>
          <c:showPercent val="0"/>
          <c:showBubbleSize val="0"/>
        </c:dLbls>
        <c:marker val="1"/>
        <c:smooth val="0"/>
        <c:axId val="238416896"/>
        <c:axId val="393240576"/>
      </c:lineChart>
      <c:catAx>
        <c:axId val="238416896"/>
        <c:scaling>
          <c:orientation val="minMax"/>
        </c:scaling>
        <c:delete val="0"/>
        <c:axPos val="b"/>
        <c:numFmt formatCode="General" sourceLinked="1"/>
        <c:majorTickMark val="out"/>
        <c:minorTickMark val="none"/>
        <c:tickLblPos val="nextTo"/>
        <c:txPr>
          <a:bodyPr/>
          <a:lstStyle/>
          <a:p>
            <a:pPr>
              <a:defRPr sz="1050"/>
            </a:pPr>
            <a:endParaRPr lang="zh-CN"/>
          </a:p>
        </c:txPr>
        <c:crossAx val="393240576"/>
        <c:crosses val="autoZero"/>
        <c:auto val="1"/>
        <c:lblAlgn val="ctr"/>
        <c:lblOffset val="100"/>
        <c:noMultiLvlLbl val="0"/>
      </c:catAx>
      <c:valAx>
        <c:axId val="393240576"/>
        <c:scaling>
          <c:orientation val="minMax"/>
          <c:max val="0.45"/>
          <c:min val="0.25"/>
        </c:scaling>
        <c:delete val="0"/>
        <c:axPos val="l"/>
        <c:numFmt formatCode="0%" sourceLinked="0"/>
        <c:majorTickMark val="out"/>
        <c:minorTickMark val="none"/>
        <c:tickLblPos val="nextTo"/>
        <c:crossAx val="238416896"/>
        <c:crosses val="autoZero"/>
        <c:crossBetween val="between"/>
        <c:majorUnit val="5.000000000000001E-2"/>
      </c:valAx>
      <c:spPr>
        <a:ln>
          <a:solidFill>
            <a:schemeClr val="bg2">
              <a:lumMod val="50000"/>
            </a:schemeClr>
          </a:solidFill>
        </a:ln>
      </c:spPr>
    </c:plotArea>
    <c:legend>
      <c:legendPos val="b"/>
      <c:layout>
        <c:manualLayout>
          <c:xMode val="edge"/>
          <c:yMode val="edge"/>
          <c:x val="0.15561559317121906"/>
          <c:y val="0.49995245589457926"/>
          <c:w val="0.30084578044027865"/>
          <c:h val="0.28128458941145185"/>
        </c:manualLayout>
      </c:layout>
      <c:overlay val="0"/>
      <c:txPr>
        <a:bodyPr/>
        <a:lstStyle/>
        <a:p>
          <a:pPr>
            <a:defRPr sz="900"/>
          </a:pPr>
          <a:endParaRPr lang="zh-CN"/>
        </a:p>
      </c:tx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24"/>
    </mc:Choice>
    <mc:Fallback>
      <c:style val="24"/>
    </mc:Fallback>
  </mc:AlternateContent>
  <c:chart>
    <c:autoTitleDeleted val="1"/>
    <c:plotArea>
      <c:layout>
        <c:manualLayout>
          <c:layoutTarget val="inner"/>
          <c:xMode val="edge"/>
          <c:yMode val="edge"/>
          <c:x val="0.16989394182869999"/>
          <c:y val="3.9404664273297599E-2"/>
          <c:w val="0.80095153922086271"/>
          <c:h val="0.7394000375224411"/>
        </c:manualLayout>
      </c:layout>
      <c:areaChart>
        <c:grouping val="standard"/>
        <c:varyColors val="0"/>
        <c:ser>
          <c:idx val="0"/>
          <c:order val="0"/>
          <c:tx>
            <c:strRef>
              <c:f>Sheet1!$E$1</c:f>
              <c:strCache>
                <c:ptCount val="1"/>
                <c:pt idx="0">
                  <c:v>M2/GDP</c:v>
                </c:pt>
              </c:strCache>
            </c:strRef>
          </c:tx>
          <c:spPr>
            <a:solidFill>
              <a:schemeClr val="tx1">
                <a:lumMod val="50000"/>
                <a:lumOff val="50000"/>
              </a:schemeClr>
            </a:solidFill>
          </c:spPr>
          <c:cat>
            <c:numRef>
              <c:f>Sheet1!$D$10:$D$37</c:f>
              <c:numCache>
                <c:formatCode>General</c:formatCode>
                <c:ptCount val="28"/>
                <c:pt idx="0">
                  <c:v>1993</c:v>
                </c:pt>
                <c:pt idx="1">
                  <c:v>1994</c:v>
                </c:pt>
                <c:pt idx="2">
                  <c:v>1995</c:v>
                </c:pt>
                <c:pt idx="3">
                  <c:v>1996</c:v>
                </c:pt>
                <c:pt idx="4">
                  <c:v>1997</c:v>
                </c:pt>
                <c:pt idx="5">
                  <c:v>1998</c:v>
                </c:pt>
                <c:pt idx="6">
                  <c:v>1999</c:v>
                </c:pt>
                <c:pt idx="7">
                  <c:v>2000</c:v>
                </c:pt>
                <c:pt idx="8">
                  <c:v>2001</c:v>
                </c:pt>
                <c:pt idx="9">
                  <c:v>2002</c:v>
                </c:pt>
                <c:pt idx="10">
                  <c:v>2003</c:v>
                </c:pt>
                <c:pt idx="11">
                  <c:v>2004</c:v>
                </c:pt>
                <c:pt idx="12">
                  <c:v>2005</c:v>
                </c:pt>
                <c:pt idx="13">
                  <c:v>2006</c:v>
                </c:pt>
                <c:pt idx="14">
                  <c:v>2007</c:v>
                </c:pt>
                <c:pt idx="15">
                  <c:v>2008</c:v>
                </c:pt>
                <c:pt idx="16">
                  <c:v>2009</c:v>
                </c:pt>
                <c:pt idx="17">
                  <c:v>2010</c:v>
                </c:pt>
                <c:pt idx="18">
                  <c:v>2011</c:v>
                </c:pt>
                <c:pt idx="19">
                  <c:v>2012</c:v>
                </c:pt>
                <c:pt idx="20">
                  <c:v>2013</c:v>
                </c:pt>
                <c:pt idx="21">
                  <c:v>2014</c:v>
                </c:pt>
                <c:pt idx="22">
                  <c:v>2015</c:v>
                </c:pt>
                <c:pt idx="23">
                  <c:v>2016</c:v>
                </c:pt>
                <c:pt idx="24">
                  <c:v>2017</c:v>
                </c:pt>
                <c:pt idx="25">
                  <c:v>2018</c:v>
                </c:pt>
                <c:pt idx="26">
                  <c:v>2019</c:v>
                </c:pt>
                <c:pt idx="27">
                  <c:v>2020</c:v>
                </c:pt>
              </c:numCache>
            </c:numRef>
          </c:cat>
          <c:val>
            <c:numRef>
              <c:f>Sheet1!$E$10:$E$37</c:f>
              <c:numCache>
                <c:formatCode>0.00%</c:formatCode>
                <c:ptCount val="28"/>
                <c:pt idx="0">
                  <c:v>0.97775838212470534</c:v>
                </c:pt>
                <c:pt idx="1">
                  <c:v>0.96476068703786755</c:v>
                </c:pt>
                <c:pt idx="2">
                  <c:v>0.9903913860270489</c:v>
                </c:pt>
                <c:pt idx="3">
                  <c:v>1.0759099692405301</c:v>
                </c:pt>
                <c:pt idx="4">
                  <c:v>1.1369476185777652</c:v>
                </c:pt>
                <c:pt idx="5">
                  <c:v>1.2265728976718038</c:v>
                </c:pt>
                <c:pt idx="6">
                  <c:v>1.3238980445970627</c:v>
                </c:pt>
                <c:pt idx="7">
                  <c:v>1.3796996197914724</c:v>
                </c:pt>
                <c:pt idx="8">
                  <c:v>1.4279042088171774</c:v>
                </c:pt>
                <c:pt idx="9">
                  <c:v>1.5199711165680074</c:v>
                </c:pt>
                <c:pt idx="10">
                  <c:v>1.6098060266099545</c:v>
                </c:pt>
                <c:pt idx="11">
                  <c:v>1.564554178523732</c:v>
                </c:pt>
                <c:pt idx="12">
                  <c:v>1.5949029971193107</c:v>
                </c:pt>
                <c:pt idx="13">
                  <c:v>1.5748282532869111</c:v>
                </c:pt>
                <c:pt idx="14">
                  <c:v>1.493568178639487</c:v>
                </c:pt>
                <c:pt idx="15">
                  <c:v>1.4884091413953688</c:v>
                </c:pt>
                <c:pt idx="16">
                  <c:v>1.7509137797701115</c:v>
                </c:pt>
                <c:pt idx="17">
                  <c:v>1.7612663805238413</c:v>
                </c:pt>
                <c:pt idx="18">
                  <c:v>1.7452772573140616</c:v>
                </c:pt>
                <c:pt idx="19">
                  <c:v>1.8087357201572314</c:v>
                </c:pt>
                <c:pt idx="20">
                  <c:v>1.8660937556644248</c:v>
                </c:pt>
                <c:pt idx="21">
                  <c:v>1.9087091869108492</c:v>
                </c:pt>
                <c:pt idx="22">
                  <c:v>2.0211388548767584</c:v>
                </c:pt>
                <c:pt idx="23">
                  <c:v>2.0767375805938433</c:v>
                </c:pt>
                <c:pt idx="24">
                  <c:v>2.0314450570618741</c:v>
                </c:pt>
                <c:pt idx="25">
                  <c:v>1.9871442567890039</c:v>
                </c:pt>
                <c:pt idx="26">
                  <c:v>2.0136423848309688</c:v>
                </c:pt>
                <c:pt idx="27">
                  <c:v>2.1523873946319352</c:v>
                </c:pt>
              </c:numCache>
            </c:numRef>
          </c:val>
        </c:ser>
        <c:dLbls>
          <c:showLegendKey val="0"/>
          <c:showVal val="0"/>
          <c:showCatName val="0"/>
          <c:showSerName val="0"/>
          <c:showPercent val="0"/>
          <c:showBubbleSize val="0"/>
        </c:dLbls>
        <c:axId val="238485504"/>
        <c:axId val="342374016"/>
      </c:areaChart>
      <c:catAx>
        <c:axId val="238485504"/>
        <c:scaling>
          <c:orientation val="minMax"/>
        </c:scaling>
        <c:delete val="0"/>
        <c:axPos val="b"/>
        <c:numFmt formatCode="General" sourceLinked="1"/>
        <c:majorTickMark val="out"/>
        <c:minorTickMark val="none"/>
        <c:tickLblPos val="nextTo"/>
        <c:txPr>
          <a:bodyPr/>
          <a:lstStyle/>
          <a:p>
            <a:pPr>
              <a:defRPr sz="1000"/>
            </a:pPr>
            <a:endParaRPr lang="zh-CN"/>
          </a:p>
        </c:txPr>
        <c:crossAx val="342374016"/>
        <c:crosses val="autoZero"/>
        <c:auto val="1"/>
        <c:lblAlgn val="ctr"/>
        <c:lblOffset val="100"/>
        <c:noMultiLvlLbl val="0"/>
      </c:catAx>
      <c:valAx>
        <c:axId val="342374016"/>
        <c:scaling>
          <c:orientation val="minMax"/>
          <c:max val="2.5"/>
        </c:scaling>
        <c:delete val="0"/>
        <c:axPos val="l"/>
        <c:numFmt formatCode="0%" sourceLinked="0"/>
        <c:majorTickMark val="out"/>
        <c:minorTickMark val="none"/>
        <c:tickLblPos val="nextTo"/>
        <c:txPr>
          <a:bodyPr/>
          <a:lstStyle/>
          <a:p>
            <a:pPr>
              <a:defRPr sz="1000"/>
            </a:pPr>
            <a:endParaRPr lang="zh-CN"/>
          </a:p>
        </c:txPr>
        <c:crossAx val="238485504"/>
        <c:crosses val="autoZero"/>
        <c:crossBetween val="midCat"/>
        <c:majorUnit val="0.5"/>
      </c:valAx>
      <c:spPr>
        <a:ln>
          <a:solidFill>
            <a:schemeClr val="tx1">
              <a:lumMod val="75000"/>
              <a:lumOff val="25000"/>
            </a:schemeClr>
          </a:solidFill>
        </a:ln>
      </c:spPr>
    </c:plotArea>
    <c:plotVisOnly val="1"/>
    <c:dispBlanksAs val="zero"/>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591821326022049"/>
          <c:y val="3.9753381514898156E-2"/>
          <c:w val="0.85224387518283395"/>
          <c:h val="0.74987089474665491"/>
        </c:manualLayout>
      </c:layout>
      <c:lineChart>
        <c:grouping val="standard"/>
        <c:varyColors val="0"/>
        <c:ser>
          <c:idx val="0"/>
          <c:order val="0"/>
          <c:tx>
            <c:strRef>
              <c:f>Sheet1!$F$1</c:f>
              <c:strCache>
                <c:ptCount val="1"/>
                <c:pt idx="0">
                  <c:v>金融业占比</c:v>
                </c:pt>
              </c:strCache>
            </c:strRef>
          </c:tx>
          <c:spPr>
            <a:ln w="12700">
              <a:solidFill>
                <a:schemeClr val="tx1"/>
              </a:solidFill>
              <a:prstDash val="sysDash"/>
            </a:ln>
          </c:spPr>
          <c:marker>
            <c:symbol val="none"/>
          </c:marker>
          <c:cat>
            <c:numRef>
              <c:f>Sheet1!$E$17:$E$44</c:f>
              <c:numCache>
                <c:formatCode>General</c:formatCode>
                <c:ptCount val="28"/>
                <c:pt idx="0">
                  <c:v>1993</c:v>
                </c:pt>
                <c:pt idx="1">
                  <c:v>1994</c:v>
                </c:pt>
                <c:pt idx="2">
                  <c:v>1995</c:v>
                </c:pt>
                <c:pt idx="3">
                  <c:v>1996</c:v>
                </c:pt>
                <c:pt idx="4">
                  <c:v>1997</c:v>
                </c:pt>
                <c:pt idx="5">
                  <c:v>1998</c:v>
                </c:pt>
                <c:pt idx="6">
                  <c:v>1999</c:v>
                </c:pt>
                <c:pt idx="7">
                  <c:v>2000</c:v>
                </c:pt>
                <c:pt idx="8">
                  <c:v>2001</c:v>
                </c:pt>
                <c:pt idx="9">
                  <c:v>2002</c:v>
                </c:pt>
                <c:pt idx="10">
                  <c:v>2003</c:v>
                </c:pt>
                <c:pt idx="11">
                  <c:v>2004</c:v>
                </c:pt>
                <c:pt idx="12">
                  <c:v>2005</c:v>
                </c:pt>
                <c:pt idx="13">
                  <c:v>2006</c:v>
                </c:pt>
                <c:pt idx="14">
                  <c:v>2007</c:v>
                </c:pt>
                <c:pt idx="15">
                  <c:v>2008</c:v>
                </c:pt>
                <c:pt idx="16">
                  <c:v>2009</c:v>
                </c:pt>
                <c:pt idx="17">
                  <c:v>2010</c:v>
                </c:pt>
                <c:pt idx="18">
                  <c:v>2011</c:v>
                </c:pt>
                <c:pt idx="19">
                  <c:v>2012</c:v>
                </c:pt>
                <c:pt idx="20">
                  <c:v>2013</c:v>
                </c:pt>
                <c:pt idx="21">
                  <c:v>2014</c:v>
                </c:pt>
                <c:pt idx="22">
                  <c:v>2015</c:v>
                </c:pt>
                <c:pt idx="23">
                  <c:v>2016</c:v>
                </c:pt>
                <c:pt idx="24">
                  <c:v>2017</c:v>
                </c:pt>
                <c:pt idx="25">
                  <c:v>2018</c:v>
                </c:pt>
                <c:pt idx="26">
                  <c:v>2019</c:v>
                </c:pt>
                <c:pt idx="27">
                  <c:v>2020</c:v>
                </c:pt>
              </c:numCache>
            </c:numRef>
          </c:cat>
          <c:val>
            <c:numRef>
              <c:f>Sheet1!$F$17:$F$44</c:f>
              <c:numCache>
                <c:formatCode>0.00%</c:formatCode>
                <c:ptCount val="28"/>
                <c:pt idx="0">
                  <c:v>5.3359791555101531E-2</c:v>
                </c:pt>
                <c:pt idx="1">
                  <c:v>5.2590972130212729E-2</c:v>
                </c:pt>
                <c:pt idx="2">
                  <c:v>5.2356492765138138E-2</c:v>
                </c:pt>
                <c:pt idx="3">
                  <c:v>5.1531481116920311E-2</c:v>
                </c:pt>
                <c:pt idx="4">
                  <c:v>5.2427117410935115E-2</c:v>
                </c:pt>
                <c:pt idx="5">
                  <c:v>5.0685951953290974E-2</c:v>
                </c:pt>
                <c:pt idx="6">
                  <c:v>4.9574498675999133E-2</c:v>
                </c:pt>
                <c:pt idx="7">
                  <c:v>4.8286874510449378E-2</c:v>
                </c:pt>
                <c:pt idx="8">
                  <c:v>4.6929792261410766E-2</c:v>
                </c:pt>
                <c:pt idx="9">
                  <c:v>4.5644964092056095E-2</c:v>
                </c:pt>
                <c:pt idx="10">
                  <c:v>4.3993632655836293E-2</c:v>
                </c:pt>
                <c:pt idx="11">
                  <c:v>4.0782168437120757E-2</c:v>
                </c:pt>
                <c:pt idx="12">
                  <c:v>3.9964094564894165E-2</c:v>
                </c:pt>
                <c:pt idx="13">
                  <c:v>4.5444556340069144E-2</c:v>
                </c:pt>
                <c:pt idx="14">
                  <c:v>5.6276877553432719E-2</c:v>
                </c:pt>
                <c:pt idx="15">
                  <c:v>5.7465552136841701E-2</c:v>
                </c:pt>
                <c:pt idx="16">
                  <c:v>6.2656338142151893E-2</c:v>
                </c:pt>
                <c:pt idx="17">
                  <c:v>6.244086615243704E-2</c:v>
                </c:pt>
                <c:pt idx="18">
                  <c:v>6.3014325950606243E-2</c:v>
                </c:pt>
                <c:pt idx="19">
                  <c:v>6.5491056068484391E-2</c:v>
                </c:pt>
                <c:pt idx="20">
                  <c:v>6.9639020536580651E-2</c:v>
                </c:pt>
                <c:pt idx="21">
                  <c:v>7.2803109126646129E-2</c:v>
                </c:pt>
                <c:pt idx="22">
                  <c:v>8.1729224410581489E-2</c:v>
                </c:pt>
                <c:pt idx="23">
                  <c:v>8.0338121452002212E-2</c:v>
                </c:pt>
                <c:pt idx="24">
                  <c:v>7.7934497604611519E-2</c:v>
                </c:pt>
                <c:pt idx="25">
                  <c:v>7.681029671702716E-2</c:v>
                </c:pt>
                <c:pt idx="26">
                  <c:v>7.7292879014940682E-2</c:v>
                </c:pt>
                <c:pt idx="27">
                  <c:v>8.2747285346986027E-2</c:v>
                </c:pt>
              </c:numCache>
            </c:numRef>
          </c:val>
          <c:smooth val="0"/>
        </c:ser>
        <c:ser>
          <c:idx val="1"/>
          <c:order val="1"/>
          <c:tx>
            <c:strRef>
              <c:f>Sheet1!$G$1</c:f>
              <c:strCache>
                <c:ptCount val="1"/>
                <c:pt idx="0">
                  <c:v>房地产业占比</c:v>
                </c:pt>
              </c:strCache>
            </c:strRef>
          </c:tx>
          <c:spPr>
            <a:ln w="12700">
              <a:solidFill>
                <a:schemeClr val="tx1"/>
              </a:solidFill>
              <a:prstDash val="dashDot"/>
            </a:ln>
          </c:spPr>
          <c:marker>
            <c:symbol val="none"/>
          </c:marker>
          <c:cat>
            <c:numRef>
              <c:f>Sheet1!$E$17:$E$44</c:f>
              <c:numCache>
                <c:formatCode>General</c:formatCode>
                <c:ptCount val="28"/>
                <c:pt idx="0">
                  <c:v>1993</c:v>
                </c:pt>
                <c:pt idx="1">
                  <c:v>1994</c:v>
                </c:pt>
                <c:pt idx="2">
                  <c:v>1995</c:v>
                </c:pt>
                <c:pt idx="3">
                  <c:v>1996</c:v>
                </c:pt>
                <c:pt idx="4">
                  <c:v>1997</c:v>
                </c:pt>
                <c:pt idx="5">
                  <c:v>1998</c:v>
                </c:pt>
                <c:pt idx="6">
                  <c:v>1999</c:v>
                </c:pt>
                <c:pt idx="7">
                  <c:v>2000</c:v>
                </c:pt>
                <c:pt idx="8">
                  <c:v>2001</c:v>
                </c:pt>
                <c:pt idx="9">
                  <c:v>2002</c:v>
                </c:pt>
                <c:pt idx="10">
                  <c:v>2003</c:v>
                </c:pt>
                <c:pt idx="11">
                  <c:v>2004</c:v>
                </c:pt>
                <c:pt idx="12">
                  <c:v>2005</c:v>
                </c:pt>
                <c:pt idx="13">
                  <c:v>2006</c:v>
                </c:pt>
                <c:pt idx="14">
                  <c:v>2007</c:v>
                </c:pt>
                <c:pt idx="15">
                  <c:v>2008</c:v>
                </c:pt>
                <c:pt idx="16">
                  <c:v>2009</c:v>
                </c:pt>
                <c:pt idx="17">
                  <c:v>2010</c:v>
                </c:pt>
                <c:pt idx="18">
                  <c:v>2011</c:v>
                </c:pt>
                <c:pt idx="19">
                  <c:v>2012</c:v>
                </c:pt>
                <c:pt idx="20">
                  <c:v>2013</c:v>
                </c:pt>
                <c:pt idx="21">
                  <c:v>2014</c:v>
                </c:pt>
                <c:pt idx="22">
                  <c:v>2015</c:v>
                </c:pt>
                <c:pt idx="23">
                  <c:v>2016</c:v>
                </c:pt>
                <c:pt idx="24">
                  <c:v>2017</c:v>
                </c:pt>
                <c:pt idx="25">
                  <c:v>2018</c:v>
                </c:pt>
                <c:pt idx="26">
                  <c:v>2019</c:v>
                </c:pt>
                <c:pt idx="27">
                  <c:v>2020</c:v>
                </c:pt>
              </c:numCache>
            </c:numRef>
          </c:cat>
          <c:val>
            <c:numRef>
              <c:f>Sheet1!$G$17:$G$44</c:f>
              <c:numCache>
                <c:formatCode>0.00%</c:formatCode>
                <c:ptCount val="28"/>
                <c:pt idx="0">
                  <c:v>3.8596394780693828E-2</c:v>
                </c:pt>
                <c:pt idx="1">
                  <c:v>3.9179312585551039E-2</c:v>
                </c:pt>
                <c:pt idx="2">
                  <c:v>3.8300938325641687E-2</c:v>
                </c:pt>
                <c:pt idx="3">
                  <c:v>3.6370592644057322E-2</c:v>
                </c:pt>
                <c:pt idx="4">
                  <c:v>3.6561870178627262E-2</c:v>
                </c:pt>
                <c:pt idx="5">
                  <c:v>4.0233209145395556E-2</c:v>
                </c:pt>
                <c:pt idx="6">
                  <c:v>4.0573729090658289E-2</c:v>
                </c:pt>
                <c:pt idx="7">
                  <c:v>4.129317076986528E-2</c:v>
                </c:pt>
                <c:pt idx="8">
                  <c:v>4.2446730632398393E-2</c:v>
                </c:pt>
                <c:pt idx="9">
                  <c:v>4.3827240939778869E-2</c:v>
                </c:pt>
                <c:pt idx="10">
                  <c:v>4.4803785933412429E-2</c:v>
                </c:pt>
                <c:pt idx="11">
                  <c:v>4.4192448221241555E-2</c:v>
                </c:pt>
                <c:pt idx="12">
                  <c:v>4.52848641584047E-2</c:v>
                </c:pt>
                <c:pt idx="13">
                  <c:v>4.703309448631128E-2</c:v>
                </c:pt>
                <c:pt idx="14">
                  <c:v>5.0775130596893918E-2</c:v>
                </c:pt>
                <c:pt idx="15">
                  <c:v>4.5733747871112528E-2</c:v>
                </c:pt>
                <c:pt idx="16">
                  <c:v>5.382948950876032E-2</c:v>
                </c:pt>
                <c:pt idx="17">
                  <c:v>5.6601616575632001E-2</c:v>
                </c:pt>
                <c:pt idx="18">
                  <c:v>5.6934576017308822E-2</c:v>
                </c:pt>
                <c:pt idx="19">
                  <c:v>5.7098044797113001E-2</c:v>
                </c:pt>
                <c:pt idx="20">
                  <c:v>5.9599681951407767E-2</c:v>
                </c:pt>
                <c:pt idx="21">
                  <c:v>5.9180473478177863E-2</c:v>
                </c:pt>
                <c:pt idx="22">
                  <c:v>6.1803450963506729E-2</c:v>
                </c:pt>
                <c:pt idx="23">
                  <c:v>6.694765028930523E-2</c:v>
                </c:pt>
                <c:pt idx="24">
                  <c:v>6.8609962212327888E-2</c:v>
                </c:pt>
                <c:pt idx="25">
                  <c:v>7.0297311787078001E-2</c:v>
                </c:pt>
                <c:pt idx="26">
                  <c:v>7.1407718806562742E-2</c:v>
                </c:pt>
                <c:pt idx="27">
                  <c:v>7.3379441571155196E-2</c:v>
                </c:pt>
              </c:numCache>
            </c:numRef>
          </c:val>
          <c:smooth val="0"/>
        </c:ser>
        <c:ser>
          <c:idx val="2"/>
          <c:order val="2"/>
          <c:tx>
            <c:strRef>
              <c:f>Sheet1!$H$1</c:f>
              <c:strCache>
                <c:ptCount val="1"/>
                <c:pt idx="0">
                  <c:v>“泛”金融占比</c:v>
                </c:pt>
              </c:strCache>
            </c:strRef>
          </c:tx>
          <c:spPr>
            <a:ln w="12700">
              <a:solidFill>
                <a:schemeClr val="tx1"/>
              </a:solidFill>
            </a:ln>
          </c:spPr>
          <c:marker>
            <c:symbol val="none"/>
          </c:marker>
          <c:cat>
            <c:numRef>
              <c:f>Sheet1!$E$17:$E$44</c:f>
              <c:numCache>
                <c:formatCode>General</c:formatCode>
                <c:ptCount val="28"/>
                <c:pt idx="0">
                  <c:v>1993</c:v>
                </c:pt>
                <c:pt idx="1">
                  <c:v>1994</c:v>
                </c:pt>
                <c:pt idx="2">
                  <c:v>1995</c:v>
                </c:pt>
                <c:pt idx="3">
                  <c:v>1996</c:v>
                </c:pt>
                <c:pt idx="4">
                  <c:v>1997</c:v>
                </c:pt>
                <c:pt idx="5">
                  <c:v>1998</c:v>
                </c:pt>
                <c:pt idx="6">
                  <c:v>1999</c:v>
                </c:pt>
                <c:pt idx="7">
                  <c:v>2000</c:v>
                </c:pt>
                <c:pt idx="8">
                  <c:v>2001</c:v>
                </c:pt>
                <c:pt idx="9">
                  <c:v>2002</c:v>
                </c:pt>
                <c:pt idx="10">
                  <c:v>2003</c:v>
                </c:pt>
                <c:pt idx="11">
                  <c:v>2004</c:v>
                </c:pt>
                <c:pt idx="12">
                  <c:v>2005</c:v>
                </c:pt>
                <c:pt idx="13">
                  <c:v>2006</c:v>
                </c:pt>
                <c:pt idx="14">
                  <c:v>2007</c:v>
                </c:pt>
                <c:pt idx="15">
                  <c:v>2008</c:v>
                </c:pt>
                <c:pt idx="16">
                  <c:v>2009</c:v>
                </c:pt>
                <c:pt idx="17">
                  <c:v>2010</c:v>
                </c:pt>
                <c:pt idx="18">
                  <c:v>2011</c:v>
                </c:pt>
                <c:pt idx="19">
                  <c:v>2012</c:v>
                </c:pt>
                <c:pt idx="20">
                  <c:v>2013</c:v>
                </c:pt>
                <c:pt idx="21">
                  <c:v>2014</c:v>
                </c:pt>
                <c:pt idx="22">
                  <c:v>2015</c:v>
                </c:pt>
                <c:pt idx="23">
                  <c:v>2016</c:v>
                </c:pt>
                <c:pt idx="24">
                  <c:v>2017</c:v>
                </c:pt>
                <c:pt idx="25">
                  <c:v>2018</c:v>
                </c:pt>
                <c:pt idx="26">
                  <c:v>2019</c:v>
                </c:pt>
                <c:pt idx="27">
                  <c:v>2020</c:v>
                </c:pt>
              </c:numCache>
            </c:numRef>
          </c:cat>
          <c:val>
            <c:numRef>
              <c:f>Sheet1!$H$17:$H$44</c:f>
              <c:numCache>
                <c:formatCode>0.00%</c:formatCode>
                <c:ptCount val="28"/>
                <c:pt idx="0">
                  <c:v>9.1956186335795359E-2</c:v>
                </c:pt>
                <c:pt idx="1">
                  <c:v>9.1770284715763761E-2</c:v>
                </c:pt>
                <c:pt idx="2">
                  <c:v>9.0657431090779825E-2</c:v>
                </c:pt>
                <c:pt idx="3">
                  <c:v>8.7902073760977639E-2</c:v>
                </c:pt>
                <c:pt idx="4">
                  <c:v>8.8988987589562377E-2</c:v>
                </c:pt>
                <c:pt idx="5">
                  <c:v>9.091916109868653E-2</c:v>
                </c:pt>
                <c:pt idx="6">
                  <c:v>9.0148227766657416E-2</c:v>
                </c:pt>
                <c:pt idx="7">
                  <c:v>8.9580045280314671E-2</c:v>
                </c:pt>
                <c:pt idx="8">
                  <c:v>8.9376522893809152E-2</c:v>
                </c:pt>
                <c:pt idx="9">
                  <c:v>8.9472205031834964E-2</c:v>
                </c:pt>
                <c:pt idx="10">
                  <c:v>8.8797418589248722E-2</c:v>
                </c:pt>
                <c:pt idx="11">
                  <c:v>8.4974616658362312E-2</c:v>
                </c:pt>
                <c:pt idx="12">
                  <c:v>8.5248958723298865E-2</c:v>
                </c:pt>
                <c:pt idx="13">
                  <c:v>9.2477650826380431E-2</c:v>
                </c:pt>
                <c:pt idx="14">
                  <c:v>0.10705200815032664</c:v>
                </c:pt>
                <c:pt idx="15">
                  <c:v>0.10319930000795424</c:v>
                </c:pt>
                <c:pt idx="16">
                  <c:v>0.1164858276509122</c:v>
                </c:pt>
                <c:pt idx="17">
                  <c:v>0.11904248272806903</c:v>
                </c:pt>
                <c:pt idx="18">
                  <c:v>0.11994890196791506</c:v>
                </c:pt>
                <c:pt idx="19">
                  <c:v>0.12258910086559739</c:v>
                </c:pt>
                <c:pt idx="20">
                  <c:v>0.12923870248798841</c:v>
                </c:pt>
                <c:pt idx="21">
                  <c:v>0.13198358260482401</c:v>
                </c:pt>
                <c:pt idx="22">
                  <c:v>0.14353267537408823</c:v>
                </c:pt>
                <c:pt idx="23">
                  <c:v>0.14728577174130744</c:v>
                </c:pt>
                <c:pt idx="24">
                  <c:v>0.14654445981693942</c:v>
                </c:pt>
                <c:pt idx="25">
                  <c:v>0.14710760850410515</c:v>
                </c:pt>
                <c:pt idx="26">
                  <c:v>0.14870059782150344</c:v>
                </c:pt>
                <c:pt idx="27">
                  <c:v>0.15612672691814122</c:v>
                </c:pt>
              </c:numCache>
            </c:numRef>
          </c:val>
          <c:smooth val="0"/>
        </c:ser>
        <c:dLbls>
          <c:showLegendKey val="0"/>
          <c:showVal val="0"/>
          <c:showCatName val="0"/>
          <c:showSerName val="0"/>
          <c:showPercent val="0"/>
          <c:showBubbleSize val="0"/>
        </c:dLbls>
        <c:marker val="1"/>
        <c:smooth val="0"/>
        <c:axId val="302938112"/>
        <c:axId val="226134272"/>
      </c:lineChart>
      <c:catAx>
        <c:axId val="302938112"/>
        <c:scaling>
          <c:orientation val="minMax"/>
        </c:scaling>
        <c:delete val="0"/>
        <c:axPos val="b"/>
        <c:numFmt formatCode="General" sourceLinked="1"/>
        <c:majorTickMark val="out"/>
        <c:minorTickMark val="none"/>
        <c:tickLblPos val="nextTo"/>
        <c:txPr>
          <a:bodyPr/>
          <a:lstStyle/>
          <a:p>
            <a:pPr>
              <a:defRPr sz="1050"/>
            </a:pPr>
            <a:endParaRPr lang="zh-CN"/>
          </a:p>
        </c:txPr>
        <c:crossAx val="226134272"/>
        <c:crosses val="autoZero"/>
        <c:auto val="1"/>
        <c:lblAlgn val="ctr"/>
        <c:lblOffset val="100"/>
        <c:noMultiLvlLbl val="0"/>
      </c:catAx>
      <c:valAx>
        <c:axId val="226134272"/>
        <c:scaling>
          <c:orientation val="minMax"/>
          <c:max val="0.18000000000000002"/>
          <c:min val="0"/>
        </c:scaling>
        <c:delete val="0"/>
        <c:axPos val="l"/>
        <c:numFmt formatCode="0%" sourceLinked="0"/>
        <c:majorTickMark val="out"/>
        <c:minorTickMark val="none"/>
        <c:tickLblPos val="nextTo"/>
        <c:crossAx val="302938112"/>
        <c:crosses val="autoZero"/>
        <c:crossBetween val="between"/>
        <c:majorUnit val="3.0000000000000006E-2"/>
      </c:valAx>
      <c:spPr>
        <a:ln>
          <a:solidFill>
            <a:schemeClr val="tx1">
              <a:lumMod val="75000"/>
              <a:lumOff val="25000"/>
            </a:schemeClr>
          </a:solidFill>
        </a:ln>
      </c:spPr>
    </c:plotArea>
    <c:legend>
      <c:legendPos val="b"/>
      <c:layout>
        <c:manualLayout>
          <c:xMode val="edge"/>
          <c:yMode val="edge"/>
          <c:x val="0.15213485202655552"/>
          <c:y val="5.1953179871328921E-2"/>
          <c:w val="0.52886139954164646"/>
          <c:h val="0.24276327600445227"/>
        </c:manualLayout>
      </c:layout>
      <c:overlay val="0"/>
      <c:txPr>
        <a:bodyPr/>
        <a:lstStyle/>
        <a:p>
          <a:pPr>
            <a:defRPr sz="900"/>
          </a:pPr>
          <a:endParaRPr lang="zh-CN"/>
        </a:p>
      </c:txPr>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1288633804077896E-2"/>
          <c:y val="3.9844176170035328E-2"/>
          <c:w val="0.819543276693391"/>
          <c:h val="0.75968180347319603"/>
        </c:manualLayout>
      </c:layout>
      <c:lineChart>
        <c:grouping val="standard"/>
        <c:varyColors val="0"/>
        <c:ser>
          <c:idx val="1"/>
          <c:order val="0"/>
          <c:tx>
            <c:strRef>
              <c:f>Sheet1!$H$1</c:f>
              <c:strCache>
                <c:ptCount val="1"/>
                <c:pt idx="0">
                  <c:v>证券化率(总市值)</c:v>
                </c:pt>
              </c:strCache>
            </c:strRef>
          </c:tx>
          <c:spPr>
            <a:ln w="12700">
              <a:solidFill>
                <a:schemeClr val="tx1"/>
              </a:solidFill>
            </a:ln>
          </c:spPr>
          <c:marker>
            <c:symbol val="none"/>
          </c:marker>
          <c:cat>
            <c:numRef>
              <c:f>Sheet1!$F$2:$F$29</c:f>
              <c:numCache>
                <c:formatCode>General</c:formatCode>
                <c:ptCount val="28"/>
                <c:pt idx="0">
                  <c:v>1993</c:v>
                </c:pt>
                <c:pt idx="1">
                  <c:v>1994</c:v>
                </c:pt>
                <c:pt idx="2">
                  <c:v>1995</c:v>
                </c:pt>
                <c:pt idx="3">
                  <c:v>1996</c:v>
                </c:pt>
                <c:pt idx="4">
                  <c:v>1997</c:v>
                </c:pt>
                <c:pt idx="5">
                  <c:v>1998</c:v>
                </c:pt>
                <c:pt idx="6">
                  <c:v>1999</c:v>
                </c:pt>
                <c:pt idx="7">
                  <c:v>2000</c:v>
                </c:pt>
                <c:pt idx="8">
                  <c:v>2001</c:v>
                </c:pt>
                <c:pt idx="9">
                  <c:v>2002</c:v>
                </c:pt>
                <c:pt idx="10">
                  <c:v>2003</c:v>
                </c:pt>
                <c:pt idx="11">
                  <c:v>2004</c:v>
                </c:pt>
                <c:pt idx="12">
                  <c:v>2005</c:v>
                </c:pt>
                <c:pt idx="13">
                  <c:v>2006</c:v>
                </c:pt>
                <c:pt idx="14">
                  <c:v>2007</c:v>
                </c:pt>
                <c:pt idx="15">
                  <c:v>2008</c:v>
                </c:pt>
                <c:pt idx="16">
                  <c:v>2009</c:v>
                </c:pt>
                <c:pt idx="17">
                  <c:v>2010</c:v>
                </c:pt>
                <c:pt idx="18">
                  <c:v>2011</c:v>
                </c:pt>
                <c:pt idx="19">
                  <c:v>2012</c:v>
                </c:pt>
                <c:pt idx="20">
                  <c:v>2013</c:v>
                </c:pt>
                <c:pt idx="21">
                  <c:v>2014</c:v>
                </c:pt>
                <c:pt idx="22">
                  <c:v>2015</c:v>
                </c:pt>
                <c:pt idx="23">
                  <c:v>2016</c:v>
                </c:pt>
                <c:pt idx="24">
                  <c:v>2017</c:v>
                </c:pt>
                <c:pt idx="25">
                  <c:v>2018</c:v>
                </c:pt>
                <c:pt idx="26">
                  <c:v>2019</c:v>
                </c:pt>
                <c:pt idx="27">
                  <c:v>2020</c:v>
                </c:pt>
              </c:numCache>
            </c:numRef>
          </c:cat>
          <c:val>
            <c:numRef>
              <c:f>Sheet1!$H$2:$H$29</c:f>
              <c:numCache>
                <c:formatCode>0.00%</c:formatCode>
                <c:ptCount val="28"/>
                <c:pt idx="0">
                  <c:v>9.7392077059846732E-2</c:v>
                </c:pt>
                <c:pt idx="1">
                  <c:v>7.5822847922232123E-2</c:v>
                </c:pt>
                <c:pt idx="2">
                  <c:v>5.6639650385300451E-2</c:v>
                </c:pt>
                <c:pt idx="3">
                  <c:v>0.14042431858680926</c:v>
                </c:pt>
                <c:pt idx="4">
                  <c:v>0.21989864161412076</c:v>
                </c:pt>
                <c:pt idx="5">
                  <c:v>0.22895162745371483</c:v>
                </c:pt>
                <c:pt idx="6">
                  <c:v>0.29229119919595348</c:v>
                </c:pt>
                <c:pt idx="7">
                  <c:v>0.47956594753692772</c:v>
                </c:pt>
                <c:pt idx="8">
                  <c:v>0.39257598743579958</c:v>
                </c:pt>
                <c:pt idx="9">
                  <c:v>0.31490257109329617</c:v>
                </c:pt>
                <c:pt idx="10">
                  <c:v>0.30895853074315632</c:v>
                </c:pt>
                <c:pt idx="11">
                  <c:v>0.22896399628083444</c:v>
                </c:pt>
                <c:pt idx="12">
                  <c:v>0.17312870970406449</c:v>
                </c:pt>
                <c:pt idx="13">
                  <c:v>0.40742126044467852</c:v>
                </c:pt>
                <c:pt idx="14">
                  <c:v>1.2112187621502477</c:v>
                </c:pt>
                <c:pt idx="15">
                  <c:v>0.38016754282521659</c:v>
                </c:pt>
                <c:pt idx="16">
                  <c:v>0.69993314367799375</c:v>
                </c:pt>
                <c:pt idx="17">
                  <c:v>0.64404316533897854</c:v>
                </c:pt>
                <c:pt idx="18">
                  <c:v>0.44013202554651415</c:v>
                </c:pt>
                <c:pt idx="19">
                  <c:v>0.42771294868341042</c:v>
                </c:pt>
                <c:pt idx="20">
                  <c:v>0.3895303764040785</c:v>
                </c:pt>
                <c:pt idx="21">
                  <c:v>0.57888178699114534</c:v>
                </c:pt>
                <c:pt idx="22">
                  <c:v>0.77128237143598555</c:v>
                </c:pt>
                <c:pt idx="23">
                  <c:v>0.6809331051191061</c:v>
                </c:pt>
                <c:pt idx="24">
                  <c:v>0.68203227394456512</c:v>
                </c:pt>
                <c:pt idx="25">
                  <c:v>0.4731706506816562</c:v>
                </c:pt>
                <c:pt idx="26">
                  <c:v>0.60118134013545865</c:v>
                </c:pt>
                <c:pt idx="27">
                  <c:v>0.78469389643284537</c:v>
                </c:pt>
              </c:numCache>
            </c:numRef>
          </c:val>
          <c:smooth val="0"/>
        </c:ser>
        <c:dLbls>
          <c:showLegendKey val="0"/>
          <c:showVal val="0"/>
          <c:showCatName val="0"/>
          <c:showSerName val="0"/>
          <c:showPercent val="0"/>
          <c:showBubbleSize val="0"/>
        </c:dLbls>
        <c:marker val="1"/>
        <c:smooth val="0"/>
        <c:axId val="392805888"/>
        <c:axId val="226138880"/>
      </c:lineChart>
      <c:catAx>
        <c:axId val="392805888"/>
        <c:scaling>
          <c:orientation val="minMax"/>
        </c:scaling>
        <c:delete val="0"/>
        <c:axPos val="b"/>
        <c:numFmt formatCode="General" sourceLinked="1"/>
        <c:majorTickMark val="out"/>
        <c:minorTickMark val="none"/>
        <c:tickLblPos val="nextTo"/>
        <c:txPr>
          <a:bodyPr/>
          <a:lstStyle/>
          <a:p>
            <a:pPr>
              <a:defRPr sz="1050"/>
            </a:pPr>
            <a:endParaRPr lang="zh-CN"/>
          </a:p>
        </c:txPr>
        <c:crossAx val="226138880"/>
        <c:crosses val="autoZero"/>
        <c:auto val="1"/>
        <c:lblAlgn val="ctr"/>
        <c:lblOffset val="100"/>
        <c:noMultiLvlLbl val="0"/>
      </c:catAx>
      <c:valAx>
        <c:axId val="226138880"/>
        <c:scaling>
          <c:orientation val="minMax"/>
          <c:max val="1.25"/>
          <c:min val="0"/>
        </c:scaling>
        <c:delete val="0"/>
        <c:axPos val="l"/>
        <c:numFmt formatCode="0%" sourceLinked="0"/>
        <c:majorTickMark val="out"/>
        <c:minorTickMark val="none"/>
        <c:tickLblPos val="nextTo"/>
        <c:txPr>
          <a:bodyPr/>
          <a:lstStyle/>
          <a:p>
            <a:pPr>
              <a:defRPr sz="1000"/>
            </a:pPr>
            <a:endParaRPr lang="zh-CN"/>
          </a:p>
        </c:txPr>
        <c:crossAx val="392805888"/>
        <c:crosses val="autoZero"/>
        <c:crossBetween val="between"/>
        <c:majorUnit val="0.25"/>
      </c:valAx>
      <c:spPr>
        <a:ln>
          <a:solidFill>
            <a:schemeClr val="tx1">
              <a:lumMod val="65000"/>
              <a:lumOff val="35000"/>
            </a:schemeClr>
          </a:solidFill>
        </a:ln>
      </c:spPr>
    </c:plotArea>
    <c:plotVisOnly val="1"/>
    <c:dispBlanksAs val="gap"/>
    <c:showDLblsOverMax val="0"/>
  </c:chart>
  <c:spPr>
    <a:ln>
      <a:noFill/>
    </a:ln>
  </c:spPr>
  <c:txPr>
    <a:bodyPr/>
    <a:lstStyle/>
    <a:p>
      <a:pPr>
        <a:defRPr sz="900"/>
      </a:pPr>
      <a:endParaRPr lang="zh-CN"/>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Sheet2!$C$1310</c:f>
              <c:strCache>
                <c:ptCount val="1"/>
                <c:pt idx="0">
                  <c:v>Fin</c:v>
                </c:pt>
              </c:strCache>
            </c:strRef>
          </c:tx>
          <c:spPr>
            <a:solidFill>
              <a:srgbClr val="7030A0"/>
            </a:solidFill>
          </c:spPr>
          <c:invertIfNegative val="0"/>
          <c:cat>
            <c:numRef>
              <c:f>Sheet2!$B$1311:$B$1320</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Sheet2!$C$1311:$C$1320</c:f>
              <c:numCache>
                <c:formatCode>0.00%</c:formatCode>
                <c:ptCount val="10"/>
                <c:pt idx="0">
                  <c:v>1.643278773087024E-2</c:v>
                </c:pt>
                <c:pt idx="1">
                  <c:v>1.5599893416790116E-2</c:v>
                </c:pt>
                <c:pt idx="2">
                  <c:v>1.6674503801202136E-2</c:v>
                </c:pt>
                <c:pt idx="3">
                  <c:v>1.6249063079075879E-2</c:v>
                </c:pt>
                <c:pt idx="4">
                  <c:v>2.6389930819584337E-2</c:v>
                </c:pt>
                <c:pt idx="5">
                  <c:v>2.8638631572856003E-2</c:v>
                </c:pt>
                <c:pt idx="6">
                  <c:v>3.411880597010572E-2</c:v>
                </c:pt>
                <c:pt idx="7">
                  <c:v>3.7037217569158509E-2</c:v>
                </c:pt>
                <c:pt idx="8">
                  <c:v>3.9076702341694775E-2</c:v>
                </c:pt>
                <c:pt idx="9">
                  <c:v>5.7438847568369311E-2</c:v>
                </c:pt>
              </c:numCache>
            </c:numRef>
          </c:val>
        </c:ser>
        <c:dLbls>
          <c:showLegendKey val="0"/>
          <c:showVal val="0"/>
          <c:showCatName val="0"/>
          <c:showSerName val="0"/>
          <c:showPercent val="0"/>
          <c:showBubbleSize val="0"/>
        </c:dLbls>
        <c:gapWidth val="150"/>
        <c:axId val="392803840"/>
        <c:axId val="226148928"/>
      </c:barChart>
      <c:catAx>
        <c:axId val="392803840"/>
        <c:scaling>
          <c:orientation val="minMax"/>
        </c:scaling>
        <c:delete val="0"/>
        <c:axPos val="b"/>
        <c:numFmt formatCode="General" sourceLinked="1"/>
        <c:majorTickMark val="out"/>
        <c:minorTickMark val="none"/>
        <c:tickLblPos val="nextTo"/>
        <c:crossAx val="226148928"/>
        <c:crosses val="autoZero"/>
        <c:auto val="1"/>
        <c:lblAlgn val="ctr"/>
        <c:lblOffset val="100"/>
        <c:noMultiLvlLbl val="0"/>
      </c:catAx>
      <c:valAx>
        <c:axId val="226148928"/>
        <c:scaling>
          <c:orientation val="minMax"/>
          <c:max val="6.0000000000000012E-2"/>
        </c:scaling>
        <c:delete val="0"/>
        <c:axPos val="l"/>
        <c:numFmt formatCode="0.00%" sourceLinked="1"/>
        <c:majorTickMark val="out"/>
        <c:minorTickMark val="none"/>
        <c:tickLblPos val="nextTo"/>
        <c:crossAx val="392803840"/>
        <c:crosses val="autoZero"/>
        <c:crossBetween val="between"/>
      </c:valAx>
      <c:spPr>
        <a:ln>
          <a:solidFill>
            <a:schemeClr val="bg2">
              <a:lumMod val="25000"/>
            </a:schemeClr>
          </a:solidFill>
        </a:ln>
      </c:spPr>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0C7D4-305F-4143-8959-5437C1764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6311</TotalTime>
  <Pages>22</Pages>
  <Words>5474</Words>
  <Characters>31207</Characters>
  <Application>Microsoft Office Word</Application>
  <DocSecurity>0</DocSecurity>
  <Lines>260</Lines>
  <Paragraphs>73</Paragraphs>
  <ScaleCrop>false</ScaleCrop>
  <Company/>
  <LinksUpToDate>false</LinksUpToDate>
  <CharactersWithSpaces>36608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lenovo</cp:lastModifiedBy>
  <cp:revision>539</cp:revision>
  <dcterms:created xsi:type="dcterms:W3CDTF">2021-05-07T01:15:00Z</dcterms:created>
  <dcterms:modified xsi:type="dcterms:W3CDTF">2022-01-25T06:10:00Z</dcterms:modified>
</cp:coreProperties>
</file>