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1E4A" w14:textId="77777777" w:rsidR="00B53CAE" w:rsidRPr="00D56C50" w:rsidRDefault="00B53CAE" w:rsidP="002B7F04">
      <w:pPr>
        <w:spacing w:line="288" w:lineRule="auto"/>
        <w:jc w:val="center"/>
        <w:rPr>
          <w:rFonts w:ascii="华文中宋" w:eastAsia="华文中宋" w:hAnsi="华文中宋"/>
          <w:b/>
          <w:sz w:val="32"/>
          <w:szCs w:val="32"/>
        </w:rPr>
      </w:pPr>
      <w:r w:rsidRPr="00D56C50">
        <w:rPr>
          <w:rFonts w:ascii="华文中宋" w:eastAsia="华文中宋" w:hAnsi="华文中宋" w:hint="eastAsia"/>
          <w:b/>
          <w:sz w:val="32"/>
          <w:szCs w:val="32"/>
        </w:rPr>
        <w:t>金融发展与共同富裕</w:t>
      </w:r>
      <w:r w:rsidR="009E73E4" w:rsidRPr="00D56C50">
        <w:rPr>
          <w:rFonts w:ascii="华文中宋" w:eastAsia="华文中宋" w:hAnsi="华文中宋" w:hint="eastAsia"/>
          <w:b/>
          <w:sz w:val="32"/>
          <w:szCs w:val="32"/>
        </w:rPr>
        <w:t>：一个研究框架</w:t>
      </w:r>
    </w:p>
    <w:p w14:paraId="2DD9E901" w14:textId="77777777" w:rsidR="0019147F" w:rsidRPr="00D56C50" w:rsidRDefault="0019147F" w:rsidP="002B7F04">
      <w:pPr>
        <w:spacing w:line="288" w:lineRule="auto"/>
        <w:rPr>
          <w:szCs w:val="21"/>
        </w:rPr>
      </w:pPr>
    </w:p>
    <w:p w14:paraId="1BCCA967" w14:textId="77777777" w:rsidR="00082E2A" w:rsidRPr="00D56C50" w:rsidRDefault="00082E2A" w:rsidP="002B7F04">
      <w:pPr>
        <w:spacing w:line="288" w:lineRule="auto"/>
        <w:jc w:val="center"/>
        <w:rPr>
          <w:szCs w:val="21"/>
        </w:rPr>
      </w:pPr>
      <w:r w:rsidRPr="00D56C50">
        <w:rPr>
          <w:rFonts w:hint="eastAsia"/>
          <w:szCs w:val="21"/>
        </w:rPr>
        <w:t>张晓晶</w:t>
      </w:r>
      <w:r w:rsidR="00223F81" w:rsidRPr="00D56C50">
        <w:rPr>
          <w:rStyle w:val="a3"/>
          <w:szCs w:val="21"/>
        </w:rPr>
        <w:footnoteReference w:id="1"/>
      </w:r>
    </w:p>
    <w:p w14:paraId="158B8653" w14:textId="77777777" w:rsidR="00EB2235" w:rsidRPr="00D56C50" w:rsidRDefault="00EB2235" w:rsidP="002B7F04">
      <w:pPr>
        <w:spacing w:line="288" w:lineRule="auto"/>
        <w:jc w:val="center"/>
        <w:rPr>
          <w:szCs w:val="21"/>
        </w:rPr>
      </w:pPr>
    </w:p>
    <w:p w14:paraId="24ACD095" w14:textId="77777777" w:rsidR="00EB2235" w:rsidRPr="00D56C50" w:rsidRDefault="00EB2235" w:rsidP="002B7F04">
      <w:pPr>
        <w:spacing w:line="288" w:lineRule="auto"/>
        <w:ind w:firstLineChars="202" w:firstLine="426"/>
        <w:jc w:val="left"/>
        <w:rPr>
          <w:rFonts w:ascii="仿宋" w:eastAsia="仿宋" w:hAnsi="仿宋"/>
          <w:b/>
          <w:szCs w:val="21"/>
        </w:rPr>
      </w:pPr>
      <w:r w:rsidRPr="00D56C50">
        <w:rPr>
          <w:rFonts w:ascii="仿宋" w:eastAsia="仿宋" w:hAnsi="仿宋" w:hint="eastAsia"/>
          <w:b/>
          <w:szCs w:val="21"/>
        </w:rPr>
        <w:t>摘要：</w:t>
      </w:r>
    </w:p>
    <w:p w14:paraId="14CAA0F9" w14:textId="77777777" w:rsidR="00EB2235" w:rsidRPr="00D56C50" w:rsidRDefault="00335A47" w:rsidP="002B7F04">
      <w:pPr>
        <w:spacing w:line="288" w:lineRule="auto"/>
        <w:ind w:firstLineChars="202" w:firstLine="424"/>
        <w:rPr>
          <w:rFonts w:ascii="仿宋" w:eastAsia="仿宋" w:hAnsi="仿宋"/>
        </w:rPr>
      </w:pPr>
      <w:r w:rsidRPr="00D56C50">
        <w:rPr>
          <w:rFonts w:ascii="仿宋" w:eastAsia="仿宋" w:hAnsi="仿宋"/>
          <w:szCs w:val="21"/>
        </w:rPr>
        <w:t>共同富裕是社会主义的本质要求，是中国式现代化的重要特征</w:t>
      </w:r>
      <w:r w:rsidRPr="00D56C50">
        <w:rPr>
          <w:rFonts w:ascii="仿宋" w:eastAsia="仿宋" w:hAnsi="仿宋" w:hint="eastAsia"/>
          <w:szCs w:val="21"/>
        </w:rPr>
        <w:t>。这些赋予了新时代金融</w:t>
      </w:r>
      <w:r w:rsidR="008A71A0" w:rsidRPr="00D56C50">
        <w:rPr>
          <w:rFonts w:ascii="仿宋" w:eastAsia="仿宋" w:hAnsi="仿宋" w:hint="eastAsia"/>
          <w:szCs w:val="21"/>
        </w:rPr>
        <w:t>发展</w:t>
      </w:r>
      <w:r w:rsidRPr="00D56C50">
        <w:rPr>
          <w:rFonts w:ascii="仿宋" w:eastAsia="仿宋" w:hAnsi="仿宋" w:hint="eastAsia"/>
          <w:szCs w:val="21"/>
        </w:rPr>
        <w:t>的使命担当。</w:t>
      </w:r>
      <w:r w:rsidR="00EB2235" w:rsidRPr="00D56C50">
        <w:rPr>
          <w:rFonts w:ascii="仿宋" w:eastAsia="仿宋" w:hAnsi="仿宋" w:hint="eastAsia"/>
          <w:szCs w:val="21"/>
        </w:rPr>
        <w:t>探讨金融发展对共同富裕的作用机制，是</w:t>
      </w:r>
      <w:r w:rsidR="00EB2235" w:rsidRPr="00D56C50">
        <w:rPr>
          <w:rFonts w:ascii="仿宋" w:eastAsia="仿宋" w:hAnsi="仿宋"/>
          <w:szCs w:val="21"/>
        </w:rPr>
        <w:t>坚持以人民为中心的发展思想，在高质量发展中促进共同富裕</w:t>
      </w:r>
      <w:r w:rsidR="00EB2235" w:rsidRPr="00D56C50">
        <w:rPr>
          <w:rFonts w:ascii="仿宋" w:eastAsia="仿宋" w:hAnsi="仿宋" w:hint="eastAsia"/>
          <w:szCs w:val="21"/>
        </w:rPr>
        <w:t>的题中应有之义</w:t>
      </w:r>
      <w:r w:rsidR="00EB2235" w:rsidRPr="00D56C50">
        <w:rPr>
          <w:rFonts w:ascii="仿宋" w:eastAsia="仿宋" w:hAnsi="仿宋"/>
          <w:szCs w:val="21"/>
        </w:rPr>
        <w:t>。</w:t>
      </w:r>
      <w:r w:rsidR="00EB2235" w:rsidRPr="00D56C50">
        <w:rPr>
          <w:rFonts w:ascii="仿宋" w:eastAsia="仿宋" w:hAnsi="仿宋" w:hint="eastAsia"/>
          <w:szCs w:val="21"/>
        </w:rPr>
        <w:t>本文通过微</w:t>
      </w:r>
      <w:r w:rsidR="00223F81" w:rsidRPr="00D56C50">
        <w:rPr>
          <w:rFonts w:ascii="仿宋" w:eastAsia="仿宋" w:hAnsi="仿宋" w:hint="eastAsia"/>
          <w:szCs w:val="21"/>
        </w:rPr>
        <w:t>观视角与宏观视角的考察，深入剖析了金融发展对不平等的影响</w:t>
      </w:r>
      <w:r w:rsidR="008A71A0" w:rsidRPr="00D56C50">
        <w:rPr>
          <w:rFonts w:ascii="仿宋" w:eastAsia="仿宋" w:hAnsi="仿宋" w:hint="eastAsia"/>
          <w:szCs w:val="21"/>
        </w:rPr>
        <w:t>机制</w:t>
      </w:r>
      <w:r w:rsidR="00223F81" w:rsidRPr="00D56C50">
        <w:rPr>
          <w:rFonts w:ascii="仿宋" w:eastAsia="仿宋" w:hAnsi="仿宋" w:hint="eastAsia"/>
          <w:szCs w:val="21"/>
        </w:rPr>
        <w:t>：适度</w:t>
      </w:r>
      <w:r w:rsidR="00EB2235" w:rsidRPr="00D56C50">
        <w:rPr>
          <w:rFonts w:ascii="仿宋" w:eastAsia="仿宋" w:hAnsi="仿宋" w:hint="eastAsia"/>
          <w:szCs w:val="21"/>
        </w:rPr>
        <w:t>、规范的金融发展有利于减轻不平等，但金融压抑和过度金融化都可能导致不平等加剧。金融压抑与金融赶超（以及金融化）并存是中国金融发展的“特色”，</w:t>
      </w:r>
      <w:r w:rsidR="00223F81" w:rsidRPr="00D56C50">
        <w:rPr>
          <w:rFonts w:ascii="仿宋" w:eastAsia="仿宋" w:hAnsi="仿宋" w:hint="eastAsia"/>
          <w:szCs w:val="21"/>
        </w:rPr>
        <w:t>二者都</w:t>
      </w:r>
      <w:r w:rsidR="008A71A0" w:rsidRPr="00D56C50">
        <w:rPr>
          <w:rFonts w:ascii="仿宋" w:eastAsia="仿宋" w:hAnsi="仿宋" w:hint="eastAsia"/>
          <w:szCs w:val="21"/>
        </w:rPr>
        <w:t>或加剧不平等</w:t>
      </w:r>
      <w:r w:rsidR="00223F81" w:rsidRPr="00D56C50">
        <w:rPr>
          <w:rFonts w:ascii="仿宋" w:eastAsia="仿宋" w:hAnsi="仿宋" w:hint="eastAsia"/>
          <w:szCs w:val="21"/>
        </w:rPr>
        <w:t>。金融发展促进共同富裕需要着力于以下五</w:t>
      </w:r>
      <w:r w:rsidR="00EB2235" w:rsidRPr="00D56C50">
        <w:rPr>
          <w:rFonts w:ascii="仿宋" w:eastAsia="仿宋" w:hAnsi="仿宋" w:hint="eastAsia"/>
          <w:szCs w:val="21"/>
        </w:rPr>
        <w:t>点：一是金融回归服务实体经济本源，</w:t>
      </w:r>
      <w:r w:rsidR="00223F81" w:rsidRPr="00D56C50">
        <w:rPr>
          <w:rFonts w:ascii="仿宋" w:eastAsia="仿宋" w:hAnsi="仿宋" w:hint="eastAsia"/>
          <w:szCs w:val="21"/>
        </w:rPr>
        <w:t>避免过犹不及</w:t>
      </w:r>
      <w:r w:rsidR="0054750C" w:rsidRPr="00D56C50">
        <w:rPr>
          <w:rFonts w:ascii="仿宋" w:eastAsia="仿宋" w:hAnsi="仿宋" w:hint="eastAsia"/>
          <w:szCs w:val="21"/>
        </w:rPr>
        <w:t>；</w:t>
      </w:r>
      <w:r w:rsidR="00EB2235" w:rsidRPr="00D56C50">
        <w:rPr>
          <w:rFonts w:ascii="仿宋" w:eastAsia="仿宋" w:hAnsi="仿宋" w:hint="eastAsia"/>
        </w:rPr>
        <w:t>二是促进房地产业健康发展，努力实现住有所居</w:t>
      </w:r>
      <w:r w:rsidR="0054750C" w:rsidRPr="00D56C50">
        <w:rPr>
          <w:rFonts w:ascii="仿宋" w:eastAsia="仿宋" w:hAnsi="仿宋" w:hint="eastAsia"/>
        </w:rPr>
        <w:t>；</w:t>
      </w:r>
      <w:r w:rsidR="00EB2235" w:rsidRPr="00D56C50">
        <w:rPr>
          <w:rFonts w:ascii="仿宋" w:eastAsia="仿宋" w:hAnsi="仿宋" w:hint="eastAsia"/>
        </w:rPr>
        <w:t>三是落实农民土地财产权利，缩小城乡收入差距</w:t>
      </w:r>
      <w:r w:rsidR="0054750C" w:rsidRPr="00D56C50">
        <w:rPr>
          <w:rFonts w:ascii="仿宋" w:eastAsia="仿宋" w:hAnsi="仿宋" w:hint="eastAsia"/>
        </w:rPr>
        <w:t>；</w:t>
      </w:r>
      <w:r w:rsidR="00EB2235" w:rsidRPr="00D56C50">
        <w:rPr>
          <w:rFonts w:ascii="仿宋" w:eastAsia="仿宋" w:hAnsi="仿宋" w:hint="eastAsia"/>
        </w:rPr>
        <w:t>四是发展普惠金融，</w:t>
      </w:r>
      <w:r w:rsidR="009152AF" w:rsidRPr="00D56C50">
        <w:rPr>
          <w:rFonts w:ascii="仿宋" w:eastAsia="仿宋" w:hAnsi="仿宋" w:hint="eastAsia"/>
        </w:rPr>
        <w:t>使</w:t>
      </w:r>
      <w:r w:rsidR="00EB2235" w:rsidRPr="00D56C50">
        <w:rPr>
          <w:rFonts w:ascii="仿宋" w:eastAsia="仿宋" w:hAnsi="仿宋" w:hint="eastAsia"/>
        </w:rPr>
        <w:t>低收入群体</w:t>
      </w:r>
      <w:r w:rsidR="009152AF" w:rsidRPr="00D56C50">
        <w:rPr>
          <w:rFonts w:ascii="仿宋" w:eastAsia="仿宋" w:hAnsi="仿宋" w:hint="eastAsia"/>
        </w:rPr>
        <w:t>也能分享增长红利</w:t>
      </w:r>
      <w:r w:rsidR="0054750C" w:rsidRPr="00D56C50">
        <w:rPr>
          <w:rFonts w:ascii="仿宋" w:eastAsia="仿宋" w:hAnsi="仿宋" w:hint="eastAsia"/>
        </w:rPr>
        <w:t>；</w:t>
      </w:r>
      <w:r w:rsidR="00EB2235" w:rsidRPr="00D56C50">
        <w:rPr>
          <w:rFonts w:ascii="仿宋" w:eastAsia="仿宋" w:hAnsi="仿宋" w:hint="eastAsia"/>
        </w:rPr>
        <w:t>五是</w:t>
      </w:r>
      <w:r w:rsidR="00223F81" w:rsidRPr="00D56C50">
        <w:rPr>
          <w:rFonts w:ascii="仿宋" w:eastAsia="仿宋" w:hAnsi="仿宋" w:hint="eastAsia"/>
        </w:rPr>
        <w:t>重视</w:t>
      </w:r>
      <w:r w:rsidR="00E62C2F" w:rsidRPr="00D56C50">
        <w:rPr>
          <w:rFonts w:ascii="仿宋" w:eastAsia="仿宋" w:hAnsi="仿宋" w:hint="eastAsia"/>
        </w:rPr>
        <w:t>金融科技</w:t>
      </w:r>
      <w:r w:rsidR="00F83D36" w:rsidRPr="00D56C50">
        <w:rPr>
          <w:rFonts w:ascii="仿宋" w:eastAsia="仿宋" w:hAnsi="仿宋" w:hint="eastAsia"/>
        </w:rPr>
        <w:t>的双刃剑效应，推进金融科技向善</w:t>
      </w:r>
      <w:r w:rsidR="00223F81" w:rsidRPr="00D56C50">
        <w:rPr>
          <w:rFonts w:ascii="仿宋" w:eastAsia="仿宋" w:hAnsi="仿宋" w:hint="eastAsia"/>
        </w:rPr>
        <w:t>。</w:t>
      </w:r>
    </w:p>
    <w:p w14:paraId="3C8E36D1" w14:textId="77777777" w:rsidR="00EB2235" w:rsidRPr="00D56C50" w:rsidRDefault="00FA3F73" w:rsidP="002B7F04">
      <w:pPr>
        <w:spacing w:line="288" w:lineRule="auto"/>
        <w:ind w:firstLineChars="202" w:firstLine="426"/>
        <w:jc w:val="left"/>
        <w:rPr>
          <w:szCs w:val="21"/>
        </w:rPr>
      </w:pPr>
      <w:r w:rsidRPr="00D56C50">
        <w:rPr>
          <w:rFonts w:ascii="仿宋" w:eastAsia="仿宋" w:hAnsi="仿宋" w:hint="eastAsia"/>
          <w:b/>
          <w:szCs w:val="21"/>
        </w:rPr>
        <w:t>关键词：</w:t>
      </w:r>
      <w:r w:rsidRPr="00D56C50">
        <w:rPr>
          <w:rFonts w:ascii="仿宋" w:eastAsia="仿宋" w:hAnsi="仿宋" w:hint="eastAsia"/>
          <w:szCs w:val="21"/>
        </w:rPr>
        <w:t xml:space="preserve">金融发展 </w:t>
      </w:r>
      <w:r w:rsidR="00223F81" w:rsidRPr="00D56C50">
        <w:rPr>
          <w:rFonts w:ascii="仿宋" w:eastAsia="仿宋" w:hAnsi="仿宋" w:hint="eastAsia"/>
          <w:szCs w:val="21"/>
        </w:rPr>
        <w:t>金融化</w:t>
      </w:r>
      <w:r w:rsidRPr="00D56C50">
        <w:rPr>
          <w:rFonts w:ascii="仿宋" w:eastAsia="仿宋" w:hAnsi="仿宋" w:hint="eastAsia"/>
          <w:szCs w:val="21"/>
        </w:rPr>
        <w:t xml:space="preserve"> </w:t>
      </w:r>
      <w:r w:rsidR="00223F81" w:rsidRPr="00D56C50">
        <w:rPr>
          <w:rFonts w:ascii="仿宋" w:eastAsia="仿宋" w:hAnsi="仿宋" w:hint="eastAsia"/>
          <w:szCs w:val="21"/>
        </w:rPr>
        <w:t xml:space="preserve">财富与收入分配 </w:t>
      </w:r>
      <w:r w:rsidRPr="00D56C50">
        <w:rPr>
          <w:rFonts w:ascii="仿宋" w:eastAsia="仿宋" w:hAnsi="仿宋" w:hint="eastAsia"/>
          <w:szCs w:val="21"/>
        </w:rPr>
        <w:t>共同富裕</w:t>
      </w:r>
    </w:p>
    <w:p w14:paraId="36D9B8E8" w14:textId="77777777" w:rsidR="005222CE" w:rsidRPr="00D56C50" w:rsidRDefault="005222CE" w:rsidP="002B7F04">
      <w:pPr>
        <w:spacing w:line="288" w:lineRule="auto"/>
      </w:pPr>
    </w:p>
    <w:p w14:paraId="599772F9" w14:textId="77777777" w:rsidR="005A0C8F" w:rsidRPr="00D56C50" w:rsidRDefault="00B86232" w:rsidP="002B7F04">
      <w:pPr>
        <w:spacing w:line="288" w:lineRule="auto"/>
        <w:ind w:firstLineChars="202" w:firstLine="424"/>
        <w:jc w:val="left"/>
        <w:rPr>
          <w:szCs w:val="21"/>
        </w:rPr>
      </w:pPr>
      <w:r w:rsidRPr="00D56C50">
        <w:rPr>
          <w:rFonts w:hint="eastAsia"/>
          <w:szCs w:val="21"/>
        </w:rPr>
        <w:t>2008</w:t>
      </w:r>
      <w:r w:rsidRPr="00D56C50">
        <w:rPr>
          <w:rFonts w:hint="eastAsia"/>
          <w:szCs w:val="21"/>
        </w:rPr>
        <w:t>年国际金融</w:t>
      </w:r>
      <w:r w:rsidR="008A71A0" w:rsidRPr="00D56C50">
        <w:rPr>
          <w:rFonts w:hint="eastAsia"/>
          <w:szCs w:val="21"/>
        </w:rPr>
        <w:t>危机以来，对于金融的诟病不一而足。占领华尔街运动把金融业的膨胀视</w:t>
      </w:r>
      <w:r w:rsidRPr="00D56C50">
        <w:rPr>
          <w:rFonts w:hint="eastAsia"/>
          <w:szCs w:val="21"/>
        </w:rPr>
        <w:t>作贫富差距的罪魁祸首</w:t>
      </w:r>
      <w:r w:rsidR="00335A47" w:rsidRPr="00D56C50">
        <w:rPr>
          <w:rFonts w:hint="eastAsia"/>
          <w:szCs w:val="21"/>
        </w:rPr>
        <w:t>；</w:t>
      </w:r>
      <w:r w:rsidRPr="00D56C50">
        <w:rPr>
          <w:rFonts w:hint="eastAsia"/>
          <w:szCs w:val="21"/>
        </w:rPr>
        <w:t>皮凯蒂的《</w:t>
      </w:r>
      <w:r w:rsidRPr="00D56C50">
        <w:rPr>
          <w:rFonts w:hint="eastAsia"/>
          <w:szCs w:val="21"/>
        </w:rPr>
        <w:t>21</w:t>
      </w:r>
      <w:r w:rsidR="00335A47" w:rsidRPr="00D56C50">
        <w:rPr>
          <w:rFonts w:hint="eastAsia"/>
          <w:szCs w:val="21"/>
        </w:rPr>
        <w:t>世纪资本论》用大量的经验数据表明“资本又回来了”；</w:t>
      </w:r>
      <w:r w:rsidRPr="00D56C50">
        <w:rPr>
          <w:rFonts w:hint="eastAsia"/>
          <w:szCs w:val="21"/>
        </w:rPr>
        <w:t>近些年来金融科技在服务经济社会发展、创新财富积累模式的同时也产生了极化效应。国内关于</w:t>
      </w:r>
      <w:r w:rsidR="00335A47" w:rsidRPr="00D56C50">
        <w:rPr>
          <w:rFonts w:hint="eastAsia"/>
          <w:szCs w:val="21"/>
        </w:rPr>
        <w:t>经济</w:t>
      </w:r>
      <w:r w:rsidRPr="00D56C50">
        <w:rPr>
          <w:rFonts w:hint="eastAsia"/>
          <w:szCs w:val="21"/>
        </w:rPr>
        <w:t>脱实向虚、金</w:t>
      </w:r>
      <w:r w:rsidR="00335A47" w:rsidRPr="00D56C50">
        <w:rPr>
          <w:rFonts w:hint="eastAsia"/>
          <w:szCs w:val="21"/>
        </w:rPr>
        <w:t>融</w:t>
      </w:r>
      <w:r w:rsidR="008E3879" w:rsidRPr="00D56C50">
        <w:rPr>
          <w:rFonts w:hint="eastAsia"/>
          <w:szCs w:val="21"/>
        </w:rPr>
        <w:t>异化与</w:t>
      </w:r>
      <w:r w:rsidR="00335A47" w:rsidRPr="00D56C50">
        <w:rPr>
          <w:rFonts w:hint="eastAsia"/>
          <w:szCs w:val="21"/>
        </w:rPr>
        <w:t>乱象</w:t>
      </w:r>
      <w:r w:rsidR="008E3879" w:rsidRPr="00D56C50">
        <w:rPr>
          <w:rFonts w:hint="eastAsia"/>
          <w:szCs w:val="21"/>
        </w:rPr>
        <w:t>、</w:t>
      </w:r>
      <w:r w:rsidR="00082E2A" w:rsidRPr="00D56C50">
        <w:rPr>
          <w:rFonts w:hint="eastAsia"/>
          <w:szCs w:val="21"/>
        </w:rPr>
        <w:t>资本</w:t>
      </w:r>
      <w:r w:rsidR="008E3879" w:rsidRPr="00D56C50">
        <w:rPr>
          <w:rFonts w:hint="eastAsia"/>
          <w:szCs w:val="21"/>
        </w:rPr>
        <w:t>野蛮生长与</w:t>
      </w:r>
      <w:r w:rsidR="00082E2A" w:rsidRPr="00D56C50">
        <w:rPr>
          <w:rFonts w:hint="eastAsia"/>
          <w:szCs w:val="21"/>
        </w:rPr>
        <w:t>无序扩张等的批评也是层出不穷。</w:t>
      </w:r>
      <w:r w:rsidR="008E3879" w:rsidRPr="00D56C50">
        <w:rPr>
          <w:rFonts w:hint="eastAsia"/>
          <w:szCs w:val="21"/>
        </w:rPr>
        <w:t>金融当然不只有这样</w:t>
      </w:r>
      <w:r w:rsidR="005A0C8F" w:rsidRPr="00D56C50">
        <w:rPr>
          <w:rFonts w:hint="eastAsia"/>
          <w:szCs w:val="21"/>
        </w:rPr>
        <w:t>消极</w:t>
      </w:r>
      <w:r w:rsidR="008E3879" w:rsidRPr="00D56C50">
        <w:rPr>
          <w:rFonts w:hint="eastAsia"/>
          <w:szCs w:val="21"/>
        </w:rPr>
        <w:t>的一面</w:t>
      </w:r>
      <w:r w:rsidR="005A0C8F" w:rsidRPr="00D56C50">
        <w:rPr>
          <w:rFonts w:hint="eastAsia"/>
          <w:szCs w:val="21"/>
        </w:rPr>
        <w:t>。</w:t>
      </w:r>
      <w:r w:rsidR="008E3879" w:rsidRPr="00D56C50">
        <w:rPr>
          <w:rFonts w:hint="eastAsia"/>
          <w:szCs w:val="21"/>
        </w:rPr>
        <w:t>强调</w:t>
      </w:r>
      <w:r w:rsidR="005A0C8F" w:rsidRPr="00D56C50">
        <w:rPr>
          <w:rFonts w:hint="eastAsia"/>
          <w:szCs w:val="21"/>
        </w:rPr>
        <w:t>金融革命如何助推了英国的工业革命</w:t>
      </w:r>
      <w:r w:rsidR="008A71A0" w:rsidRPr="00D56C50">
        <w:rPr>
          <w:rFonts w:hint="eastAsia"/>
          <w:szCs w:val="21"/>
        </w:rPr>
        <w:t>、</w:t>
      </w:r>
      <w:r w:rsidR="005A0C8F" w:rsidRPr="00D56C50">
        <w:rPr>
          <w:rFonts w:hint="eastAsia"/>
          <w:szCs w:val="21"/>
        </w:rPr>
        <w:t>中国金融之不发展如何导致了所谓</w:t>
      </w:r>
      <w:r w:rsidR="00335A47" w:rsidRPr="00D56C50">
        <w:rPr>
          <w:rFonts w:hint="eastAsia"/>
          <w:szCs w:val="21"/>
        </w:rPr>
        <w:t>“</w:t>
      </w:r>
      <w:r w:rsidR="005A0C8F" w:rsidRPr="00D56C50">
        <w:rPr>
          <w:rFonts w:hint="eastAsia"/>
          <w:szCs w:val="21"/>
        </w:rPr>
        <w:t>中西大分流</w:t>
      </w:r>
      <w:r w:rsidR="00335A47" w:rsidRPr="00D56C50">
        <w:rPr>
          <w:rFonts w:hint="eastAsia"/>
          <w:szCs w:val="21"/>
        </w:rPr>
        <w:t>”</w:t>
      </w:r>
      <w:r w:rsidR="008E3879" w:rsidRPr="00D56C50">
        <w:rPr>
          <w:rFonts w:hint="eastAsia"/>
          <w:szCs w:val="21"/>
        </w:rPr>
        <w:t>以及</w:t>
      </w:r>
      <w:r w:rsidR="005A0C8F" w:rsidRPr="00D56C50">
        <w:rPr>
          <w:rFonts w:hint="eastAsia"/>
          <w:szCs w:val="21"/>
        </w:rPr>
        <w:t>后发赶超中的金融</w:t>
      </w:r>
      <w:r w:rsidR="008E3879" w:rsidRPr="00D56C50">
        <w:rPr>
          <w:rFonts w:hint="eastAsia"/>
          <w:szCs w:val="21"/>
        </w:rPr>
        <w:t>推动</w:t>
      </w:r>
      <w:r w:rsidR="005A0C8F" w:rsidRPr="00D56C50">
        <w:rPr>
          <w:rFonts w:hint="eastAsia"/>
          <w:szCs w:val="21"/>
        </w:rPr>
        <w:t>作用</w:t>
      </w:r>
      <w:r w:rsidR="008A71A0" w:rsidRPr="00D56C50">
        <w:rPr>
          <w:rFonts w:hint="eastAsia"/>
          <w:szCs w:val="21"/>
        </w:rPr>
        <w:t>的学者不乏其人，他们</w:t>
      </w:r>
      <w:r w:rsidR="00335A47" w:rsidRPr="00D56C50">
        <w:rPr>
          <w:rFonts w:hint="eastAsia"/>
          <w:szCs w:val="21"/>
        </w:rPr>
        <w:t>说的</w:t>
      </w:r>
      <w:r w:rsidR="008A71A0" w:rsidRPr="00D56C50">
        <w:rPr>
          <w:rFonts w:hint="eastAsia"/>
          <w:szCs w:val="21"/>
        </w:rPr>
        <w:t>仿佛</w:t>
      </w:r>
      <w:r w:rsidR="00335A47" w:rsidRPr="00D56C50">
        <w:rPr>
          <w:rFonts w:hint="eastAsia"/>
          <w:szCs w:val="21"/>
        </w:rPr>
        <w:t>是另一个世界的</w:t>
      </w:r>
      <w:r w:rsidR="005A0C8F" w:rsidRPr="00D56C50">
        <w:rPr>
          <w:rFonts w:hint="eastAsia"/>
          <w:szCs w:val="21"/>
        </w:rPr>
        <w:t>“金融”。</w:t>
      </w:r>
    </w:p>
    <w:p w14:paraId="22229A5E" w14:textId="77777777" w:rsidR="00B86232" w:rsidRPr="00D56C50" w:rsidRDefault="00335A47" w:rsidP="002B7F04">
      <w:pPr>
        <w:spacing w:line="288" w:lineRule="auto"/>
        <w:ind w:firstLineChars="202" w:firstLine="424"/>
        <w:jc w:val="left"/>
        <w:rPr>
          <w:szCs w:val="21"/>
        </w:rPr>
      </w:pPr>
      <w:r w:rsidRPr="00D56C50">
        <w:rPr>
          <w:rFonts w:hint="eastAsia"/>
          <w:szCs w:val="21"/>
        </w:rPr>
        <w:t>金融的</w:t>
      </w:r>
      <w:r w:rsidR="008E3879" w:rsidRPr="00D56C50">
        <w:rPr>
          <w:rFonts w:hint="eastAsia"/>
          <w:szCs w:val="21"/>
        </w:rPr>
        <w:t>功过</w:t>
      </w:r>
      <w:r w:rsidR="00572837" w:rsidRPr="00D56C50">
        <w:rPr>
          <w:rFonts w:hint="eastAsia"/>
          <w:szCs w:val="21"/>
        </w:rPr>
        <w:t>可谓</w:t>
      </w:r>
      <w:r w:rsidRPr="00D56C50">
        <w:rPr>
          <w:rFonts w:hint="eastAsia"/>
          <w:szCs w:val="21"/>
        </w:rPr>
        <w:t>见仁见智</w:t>
      </w:r>
      <w:r w:rsidR="00572837" w:rsidRPr="00D56C50">
        <w:rPr>
          <w:rFonts w:hint="eastAsia"/>
          <w:szCs w:val="21"/>
        </w:rPr>
        <w:t>。但</w:t>
      </w:r>
      <w:r w:rsidR="00EB4527" w:rsidRPr="00D56C50">
        <w:rPr>
          <w:rFonts w:hint="eastAsia"/>
          <w:szCs w:val="21"/>
        </w:rPr>
        <w:t>本轮</w:t>
      </w:r>
      <w:r w:rsidR="005A0C8F" w:rsidRPr="00D56C50">
        <w:rPr>
          <w:rFonts w:hint="eastAsia"/>
          <w:szCs w:val="21"/>
        </w:rPr>
        <w:t>国际金融危机以来</w:t>
      </w:r>
      <w:r w:rsidR="009627F1" w:rsidRPr="00D56C50">
        <w:rPr>
          <w:rFonts w:hint="eastAsia"/>
          <w:szCs w:val="21"/>
        </w:rPr>
        <w:t>，</w:t>
      </w:r>
      <w:r w:rsidR="00082E2A" w:rsidRPr="00D56C50">
        <w:rPr>
          <w:rFonts w:hint="eastAsia"/>
          <w:szCs w:val="21"/>
        </w:rPr>
        <w:t>一系列带有灰暗色调的金融叙事</w:t>
      </w:r>
      <w:r w:rsidR="00EB4527" w:rsidRPr="00D56C50">
        <w:rPr>
          <w:rFonts w:hint="eastAsia"/>
          <w:szCs w:val="21"/>
        </w:rPr>
        <w:t>更多地指向分配</w:t>
      </w:r>
      <w:r w:rsidR="00572837" w:rsidRPr="00D56C50">
        <w:rPr>
          <w:rFonts w:hint="eastAsia"/>
          <w:szCs w:val="21"/>
        </w:rPr>
        <w:t>不均问题（而不是一般意义上的增长）</w:t>
      </w:r>
      <w:r w:rsidR="00EB4527" w:rsidRPr="00D56C50">
        <w:rPr>
          <w:rFonts w:hint="eastAsia"/>
          <w:szCs w:val="21"/>
        </w:rPr>
        <w:t>，</w:t>
      </w:r>
      <w:r w:rsidR="00572837" w:rsidRPr="00D56C50">
        <w:rPr>
          <w:rFonts w:hint="eastAsia"/>
          <w:szCs w:val="21"/>
        </w:rPr>
        <w:t>却有着特别的</w:t>
      </w:r>
      <w:r w:rsidR="00082E2A" w:rsidRPr="00D56C50">
        <w:rPr>
          <w:rFonts w:hint="eastAsia"/>
          <w:szCs w:val="21"/>
        </w:rPr>
        <w:t>启示</w:t>
      </w:r>
      <w:r w:rsidR="00B86232" w:rsidRPr="00D56C50">
        <w:rPr>
          <w:rFonts w:hint="eastAsia"/>
          <w:szCs w:val="21"/>
        </w:rPr>
        <w:t>：如果希望金融向善，更好地服务于</w:t>
      </w:r>
      <w:r w:rsidR="00EB4527" w:rsidRPr="00D56C50">
        <w:rPr>
          <w:rFonts w:hint="eastAsia"/>
          <w:szCs w:val="21"/>
        </w:rPr>
        <w:t>实体经济，减少而不是加剧不平等，促进包容性发展和共同富裕，就需</w:t>
      </w:r>
      <w:r w:rsidR="00B86232" w:rsidRPr="00D56C50">
        <w:rPr>
          <w:rFonts w:hint="eastAsia"/>
          <w:szCs w:val="21"/>
        </w:rPr>
        <w:t>要</w:t>
      </w:r>
      <w:r w:rsidR="008E3879" w:rsidRPr="00D56C50">
        <w:rPr>
          <w:rFonts w:hint="eastAsia"/>
          <w:szCs w:val="21"/>
        </w:rPr>
        <w:t>把握金融特性，明确金融定位，</w:t>
      </w:r>
      <w:r w:rsidR="00EB4527" w:rsidRPr="00D56C50">
        <w:rPr>
          <w:rFonts w:hint="eastAsia"/>
          <w:szCs w:val="21"/>
        </w:rPr>
        <w:t>推进金融改革</w:t>
      </w:r>
      <w:r w:rsidR="008E3879" w:rsidRPr="00D56C50">
        <w:rPr>
          <w:rFonts w:hint="eastAsia"/>
          <w:szCs w:val="21"/>
        </w:rPr>
        <w:t>，重塑金融发展</w:t>
      </w:r>
      <w:r w:rsidR="00B86232" w:rsidRPr="00D56C50">
        <w:rPr>
          <w:rFonts w:hint="eastAsia"/>
          <w:szCs w:val="21"/>
        </w:rPr>
        <w:t>。</w:t>
      </w:r>
    </w:p>
    <w:p w14:paraId="2488CECF" w14:textId="77777777" w:rsidR="009C1529" w:rsidRPr="00D56C50" w:rsidRDefault="005F3910" w:rsidP="002B7F04">
      <w:pPr>
        <w:spacing w:line="288" w:lineRule="auto"/>
        <w:ind w:firstLineChars="202" w:firstLine="424"/>
        <w:jc w:val="left"/>
        <w:rPr>
          <w:szCs w:val="21"/>
        </w:rPr>
      </w:pPr>
      <w:r w:rsidRPr="00D56C50">
        <w:rPr>
          <w:szCs w:val="21"/>
        </w:rPr>
        <w:t>共同富裕是社会主义的本质要求，是中国式现代化的重要特征</w:t>
      </w:r>
      <w:r w:rsidRPr="00D56C50">
        <w:rPr>
          <w:rFonts w:hint="eastAsia"/>
          <w:szCs w:val="21"/>
        </w:rPr>
        <w:t>。</w:t>
      </w:r>
      <w:r w:rsidR="00335A47" w:rsidRPr="00D56C50">
        <w:rPr>
          <w:rFonts w:hint="eastAsia"/>
          <w:szCs w:val="21"/>
        </w:rPr>
        <w:t>这些赋予了</w:t>
      </w:r>
      <w:r w:rsidRPr="00D56C50">
        <w:rPr>
          <w:rFonts w:hint="eastAsia"/>
          <w:szCs w:val="21"/>
        </w:rPr>
        <w:t>新时代金融</w:t>
      </w:r>
      <w:r w:rsidR="008A71A0" w:rsidRPr="00D56C50">
        <w:rPr>
          <w:rFonts w:hint="eastAsia"/>
          <w:szCs w:val="21"/>
        </w:rPr>
        <w:t>发展</w:t>
      </w:r>
      <w:r w:rsidR="00C7363A" w:rsidRPr="00D56C50">
        <w:rPr>
          <w:rFonts w:hint="eastAsia"/>
          <w:szCs w:val="21"/>
        </w:rPr>
        <w:t>的使命担当</w:t>
      </w:r>
      <w:r w:rsidRPr="00D56C50">
        <w:rPr>
          <w:rFonts w:hint="eastAsia"/>
          <w:szCs w:val="21"/>
        </w:rPr>
        <w:t>。探讨金融发展对共同富裕的作用机制，是</w:t>
      </w:r>
      <w:r w:rsidRPr="00D56C50">
        <w:rPr>
          <w:szCs w:val="21"/>
        </w:rPr>
        <w:t>坚持以人民为中心的发展思想，在高质量发展中促进共同富裕</w:t>
      </w:r>
      <w:r w:rsidRPr="00D56C50">
        <w:rPr>
          <w:rFonts w:hint="eastAsia"/>
          <w:szCs w:val="21"/>
        </w:rPr>
        <w:t>的题中应有之义</w:t>
      </w:r>
      <w:r w:rsidRPr="00D56C50">
        <w:rPr>
          <w:szCs w:val="21"/>
        </w:rPr>
        <w:t>。</w:t>
      </w:r>
    </w:p>
    <w:p w14:paraId="2F7299B1" w14:textId="77777777" w:rsidR="005638E7" w:rsidRPr="00D56C50" w:rsidRDefault="005638E7" w:rsidP="002B7F04">
      <w:pPr>
        <w:pStyle w:val="1"/>
        <w:spacing w:beforeLines="100" w:before="312" w:afterLines="100" w:after="312" w:line="288" w:lineRule="auto"/>
        <w:rPr>
          <w:sz w:val="21"/>
          <w:szCs w:val="21"/>
        </w:rPr>
      </w:pPr>
      <w:r w:rsidRPr="00D56C50">
        <w:rPr>
          <w:rFonts w:hint="eastAsia"/>
          <w:sz w:val="21"/>
          <w:szCs w:val="21"/>
        </w:rPr>
        <w:lastRenderedPageBreak/>
        <w:t>一、</w:t>
      </w:r>
      <w:r w:rsidR="009627F1" w:rsidRPr="00D56C50">
        <w:rPr>
          <w:rFonts w:hint="eastAsia"/>
          <w:sz w:val="21"/>
          <w:szCs w:val="21"/>
        </w:rPr>
        <w:t>简要</w:t>
      </w:r>
      <w:r w:rsidR="00572837" w:rsidRPr="00D56C50">
        <w:rPr>
          <w:rFonts w:hint="eastAsia"/>
          <w:sz w:val="21"/>
          <w:szCs w:val="21"/>
        </w:rPr>
        <w:t>文献回顾</w:t>
      </w:r>
    </w:p>
    <w:p w14:paraId="5A7EE182" w14:textId="77777777" w:rsidR="00E61B04" w:rsidRPr="00D56C50" w:rsidRDefault="00E61B04" w:rsidP="002B7F04">
      <w:pPr>
        <w:spacing w:line="288" w:lineRule="auto"/>
        <w:ind w:firstLineChars="202" w:firstLine="424"/>
        <w:jc w:val="left"/>
        <w:rPr>
          <w:szCs w:val="21"/>
        </w:rPr>
      </w:pPr>
      <w:r w:rsidRPr="00D56C50">
        <w:rPr>
          <w:rFonts w:hint="eastAsia"/>
          <w:szCs w:val="21"/>
        </w:rPr>
        <w:t>金融，最朴素的理解，就是跟钱打交道，与穷人无关。而现代金融的“嫌贫爱富”是由金融的自身逻辑决定的</w:t>
      </w:r>
      <w:r w:rsidRPr="00D56C50">
        <w:rPr>
          <w:rFonts w:hint="eastAsia"/>
          <w:szCs w:val="21"/>
        </w:rPr>
        <w:t>----</w:t>
      </w:r>
      <w:r w:rsidRPr="00D56C50">
        <w:rPr>
          <w:rFonts w:hint="eastAsia"/>
          <w:szCs w:val="21"/>
        </w:rPr>
        <w:t>它在信息不对称条件下挑客户、设门槛、索抵押，主要是为了规避风险（有时也为了减少成本），好让自己能活下去，追求商业可持续性。这样一来，金融研究</w:t>
      </w:r>
      <w:r w:rsidR="008E3879" w:rsidRPr="00D56C50">
        <w:rPr>
          <w:rFonts w:hint="eastAsia"/>
          <w:szCs w:val="21"/>
        </w:rPr>
        <w:t>俨然</w:t>
      </w:r>
      <w:r w:rsidR="00082E2A" w:rsidRPr="00D56C50">
        <w:rPr>
          <w:rFonts w:hint="eastAsia"/>
          <w:szCs w:val="21"/>
        </w:rPr>
        <w:t>成了</w:t>
      </w:r>
      <w:r w:rsidRPr="00D56C50">
        <w:rPr>
          <w:rFonts w:hint="eastAsia"/>
          <w:szCs w:val="21"/>
        </w:rPr>
        <w:t>富人经济学。让金融来关照穷人，促进共同富裕，不啻于南辕北辙。从另一个角度，金融作为撬动现代经济增长、助力财富创造和积累的重要杠杆，当它把穷人拒之门外的时候，贫富差距的扩大是可想而知的。在这里，金融不</w:t>
      </w:r>
      <w:r w:rsidR="00572837" w:rsidRPr="00D56C50">
        <w:rPr>
          <w:rFonts w:hint="eastAsia"/>
          <w:szCs w:val="21"/>
        </w:rPr>
        <w:t>仅仅</w:t>
      </w:r>
      <w:r w:rsidRPr="00D56C50">
        <w:rPr>
          <w:rFonts w:hint="eastAsia"/>
          <w:szCs w:val="21"/>
        </w:rPr>
        <w:t>是与共同富裕无关，而且是加大贫富差距的因素。当然，我们也可以找到金融向善、服务穷人、促进共同富裕的典型案例，但总感觉这里面的体制机制还不健全，由金融通向共同富裕的道路还很曲折。正是这些“有道理”但同时又相互冲突的观点，促使我们深入思考金融发展与共同富裕的关系。</w:t>
      </w:r>
    </w:p>
    <w:p w14:paraId="509E19A2" w14:textId="77777777" w:rsidR="009C1529" w:rsidRPr="00D56C50" w:rsidRDefault="009C1529" w:rsidP="002B7F04">
      <w:pPr>
        <w:spacing w:line="288" w:lineRule="auto"/>
        <w:ind w:firstLineChars="202" w:firstLine="424"/>
        <w:rPr>
          <w:rFonts w:ascii="TimesNewRomanPSMT" w:hAnsi="TimesNewRomanPSMT" w:cs="TimesNewRomanPSMT"/>
          <w:kern w:val="0"/>
          <w:szCs w:val="21"/>
        </w:rPr>
      </w:pPr>
      <w:r w:rsidRPr="00D56C50">
        <w:rPr>
          <w:rFonts w:ascii="TimesNewRomanPSMT" w:hAnsi="TimesNewRomanPSMT" w:cs="TimesNewRomanPSMT" w:hint="eastAsia"/>
          <w:kern w:val="0"/>
          <w:szCs w:val="21"/>
        </w:rPr>
        <w:t>金融如何影响不平等？这是一个非常宏大但长期以来被学术界所忽视的主题。</w:t>
      </w:r>
    </w:p>
    <w:p w14:paraId="5C4A3AC9" w14:textId="77777777" w:rsidR="002831F9" w:rsidRPr="00D56C50" w:rsidRDefault="009C1529" w:rsidP="002B7F04">
      <w:pPr>
        <w:spacing w:line="288" w:lineRule="auto"/>
        <w:ind w:firstLineChars="202" w:firstLine="424"/>
        <w:rPr>
          <w:rFonts w:ascii="TimesNewRomanPSMT" w:hAnsi="TimesNewRomanPSMT" w:cs="TimesNewRomanPSMT"/>
          <w:kern w:val="0"/>
          <w:szCs w:val="21"/>
        </w:rPr>
      </w:pPr>
      <w:r w:rsidRPr="00D56C50">
        <w:rPr>
          <w:rFonts w:ascii="TimesNewRomanPSMT" w:hAnsi="TimesNewRomanPSMT" w:cs="TimesNewRomanPSMT" w:hint="eastAsia"/>
          <w:kern w:val="0"/>
          <w:szCs w:val="21"/>
        </w:rPr>
        <w:t>早期不平等问题被</w:t>
      </w:r>
      <w:r w:rsidR="00B86232" w:rsidRPr="00D56C50">
        <w:rPr>
          <w:rFonts w:ascii="TimesNewRomanPSMT" w:hAnsi="TimesNewRomanPSMT" w:cs="TimesNewRomanPSMT" w:hint="eastAsia"/>
          <w:kern w:val="0"/>
          <w:szCs w:val="21"/>
        </w:rPr>
        <w:t>西方</w:t>
      </w:r>
      <w:r w:rsidRPr="00D56C50">
        <w:rPr>
          <w:rFonts w:ascii="TimesNewRomanPSMT" w:hAnsi="TimesNewRomanPSMT" w:cs="TimesNewRomanPSMT" w:hint="eastAsia"/>
          <w:kern w:val="0"/>
          <w:szCs w:val="21"/>
        </w:rPr>
        <w:t>主流经济学</w:t>
      </w:r>
      <w:r w:rsidR="00B86232" w:rsidRPr="00D56C50">
        <w:rPr>
          <w:rFonts w:ascii="TimesNewRomanPSMT" w:hAnsi="TimesNewRomanPSMT" w:cs="TimesNewRomanPSMT" w:hint="eastAsia"/>
          <w:kern w:val="0"/>
          <w:szCs w:val="21"/>
        </w:rPr>
        <w:t>所</w:t>
      </w:r>
      <w:r w:rsidRPr="00D56C50">
        <w:rPr>
          <w:rFonts w:ascii="TimesNewRomanPSMT" w:hAnsi="TimesNewRomanPSMT" w:cs="TimesNewRomanPSMT" w:hint="eastAsia"/>
          <w:kern w:val="0"/>
          <w:szCs w:val="21"/>
        </w:rPr>
        <w:t>消解。比如根据边际生产力理论，土地获得地租、资本获得利息、劳动获得工资，各得其所，因此不存在分配问题。边际生产力分配理论提出各生产要素根据各自的贡献获得了相应的回报，其实是从另一个角度诠释了市场的效率和完美，论证了斯密“看不见的手”的伟大。但由此也使得对于收入不平等的讨论在</w:t>
      </w:r>
      <w:r w:rsidR="009627F1" w:rsidRPr="00D56C50">
        <w:rPr>
          <w:rFonts w:ascii="TimesNewRomanPSMT" w:hAnsi="TimesNewRomanPSMT" w:cs="TimesNewRomanPSMT" w:hint="eastAsia"/>
          <w:kern w:val="0"/>
          <w:szCs w:val="21"/>
        </w:rPr>
        <w:t>西方</w:t>
      </w:r>
      <w:r w:rsidRPr="00D56C50">
        <w:rPr>
          <w:rFonts w:ascii="TimesNewRomanPSMT" w:hAnsi="TimesNewRomanPSMT" w:cs="TimesNewRomanPSMT" w:hint="eastAsia"/>
          <w:kern w:val="0"/>
          <w:szCs w:val="21"/>
        </w:rPr>
        <w:t>主流</w:t>
      </w:r>
      <w:r w:rsidR="00B86232" w:rsidRPr="00D56C50">
        <w:rPr>
          <w:rFonts w:ascii="TimesNewRomanPSMT" w:hAnsi="TimesNewRomanPSMT" w:cs="TimesNewRomanPSMT" w:hint="eastAsia"/>
          <w:kern w:val="0"/>
          <w:szCs w:val="21"/>
        </w:rPr>
        <w:t>经济学框架中失去了位置。另一方面，新古典经济学认为货币金融不过</w:t>
      </w:r>
      <w:r w:rsidRPr="00D56C50">
        <w:rPr>
          <w:rFonts w:ascii="TimesNewRomanPSMT" w:hAnsi="TimesNewRomanPSMT" w:cs="TimesNewRomanPSMT" w:hint="eastAsia"/>
          <w:kern w:val="0"/>
          <w:szCs w:val="21"/>
        </w:rPr>
        <w:t>是“面纱”，不会对实体经济特别是增长产生实质性影响。鉴于货币金融的影响是“中性的”，也就鲜有关于金融如何影响不平等的讨论。</w:t>
      </w:r>
    </w:p>
    <w:p w14:paraId="26BE102E" w14:textId="77777777" w:rsidR="004164F8" w:rsidRPr="00D56C50" w:rsidRDefault="004164F8" w:rsidP="002B7F04">
      <w:pPr>
        <w:spacing w:line="288" w:lineRule="auto"/>
        <w:ind w:firstLineChars="202" w:firstLine="424"/>
        <w:rPr>
          <w:rFonts w:ascii="TimesNewRomanPSMT" w:hAnsi="TimesNewRomanPSMT" w:cs="TimesNewRomanPSMT"/>
          <w:kern w:val="0"/>
          <w:szCs w:val="21"/>
        </w:rPr>
      </w:pPr>
      <w:r w:rsidRPr="00D56C50">
        <w:rPr>
          <w:rFonts w:ascii="TimesNewRomanPSMT" w:hAnsi="TimesNewRomanPSMT" w:cs="TimesNewRomanPSMT" w:hint="eastAsia"/>
          <w:kern w:val="0"/>
          <w:szCs w:val="21"/>
        </w:rPr>
        <w:t>金融发展的分配效应一直被隐含在金融发展与经济增长的研究之中，直到</w:t>
      </w:r>
      <w:r w:rsidRPr="00D56C50">
        <w:rPr>
          <w:rFonts w:ascii="TimesNewRomanPSMT" w:hAnsi="TimesNewRomanPSMT" w:cs="TimesNewRomanPSMT" w:hint="eastAsia"/>
          <w:kern w:val="0"/>
          <w:szCs w:val="21"/>
        </w:rPr>
        <w:t>20</w:t>
      </w:r>
      <w:r w:rsidRPr="00D56C50">
        <w:rPr>
          <w:rFonts w:ascii="TimesNewRomanPSMT" w:hAnsi="TimesNewRomanPSMT" w:cs="TimesNewRomanPSMT" w:hint="eastAsia"/>
          <w:kern w:val="0"/>
          <w:szCs w:val="21"/>
        </w:rPr>
        <w:t>世纪</w:t>
      </w:r>
      <w:r w:rsidRPr="00D56C50">
        <w:rPr>
          <w:rFonts w:ascii="TimesNewRomanPSMT" w:hAnsi="TimesNewRomanPSMT" w:cs="TimesNewRomanPSMT" w:hint="eastAsia"/>
          <w:kern w:val="0"/>
          <w:szCs w:val="21"/>
        </w:rPr>
        <w:t>90</w:t>
      </w:r>
      <w:r w:rsidRPr="00D56C50">
        <w:rPr>
          <w:rFonts w:ascii="TimesNewRomanPSMT" w:hAnsi="TimesNewRomanPSMT" w:cs="TimesNewRomanPSMT" w:hint="eastAsia"/>
          <w:kern w:val="0"/>
          <w:szCs w:val="21"/>
        </w:rPr>
        <w:t>年代才得到真正关注。</w:t>
      </w:r>
      <w:r w:rsidR="00F5400B" w:rsidRPr="00D56C50">
        <w:rPr>
          <w:rFonts w:ascii="TimesNewRomanPSMT" w:hAnsi="TimesNewRomanPSMT" w:cs="TimesNewRomanPSMT" w:hint="eastAsia"/>
          <w:kern w:val="0"/>
          <w:szCs w:val="21"/>
        </w:rPr>
        <w:t>这与</w:t>
      </w:r>
      <w:r w:rsidR="009C1529" w:rsidRPr="00D56C50">
        <w:rPr>
          <w:rFonts w:ascii="TimesNewRomanPSMT" w:hAnsi="TimesNewRomanPSMT" w:cs="TimesNewRomanPSMT" w:hint="eastAsia"/>
          <w:kern w:val="0"/>
          <w:szCs w:val="21"/>
        </w:rPr>
        <w:t>上个世纪七八十年代以来</w:t>
      </w:r>
      <w:r w:rsidR="00572837" w:rsidRPr="00D56C50">
        <w:rPr>
          <w:rFonts w:ascii="TimesNewRomanPSMT" w:hAnsi="TimesNewRomanPSMT" w:cs="TimesNewRomanPSMT" w:hint="eastAsia"/>
          <w:kern w:val="0"/>
          <w:szCs w:val="21"/>
        </w:rPr>
        <w:t>金融自由化、金融全球化</w:t>
      </w:r>
      <w:r w:rsidR="00F5400B" w:rsidRPr="00D56C50">
        <w:rPr>
          <w:rFonts w:ascii="TimesNewRomanPSMT" w:hAnsi="TimesNewRomanPSMT" w:cs="TimesNewRomanPSMT" w:hint="eastAsia"/>
          <w:kern w:val="0"/>
          <w:szCs w:val="21"/>
        </w:rPr>
        <w:t>的</w:t>
      </w:r>
      <w:r w:rsidR="00572837" w:rsidRPr="00D56C50">
        <w:rPr>
          <w:rFonts w:ascii="TimesNewRomanPSMT" w:hAnsi="TimesNewRomanPSMT" w:cs="TimesNewRomanPSMT" w:hint="eastAsia"/>
          <w:kern w:val="0"/>
          <w:szCs w:val="21"/>
        </w:rPr>
        <w:t>快速推进</w:t>
      </w:r>
      <w:r w:rsidR="00F5400B" w:rsidRPr="00D56C50">
        <w:rPr>
          <w:rFonts w:ascii="TimesNewRomanPSMT" w:hAnsi="TimesNewRomanPSMT" w:cs="TimesNewRomanPSMT" w:hint="eastAsia"/>
          <w:kern w:val="0"/>
          <w:szCs w:val="21"/>
        </w:rPr>
        <w:t>以及</w:t>
      </w:r>
      <w:r w:rsidR="009C1529" w:rsidRPr="00D56C50">
        <w:rPr>
          <w:rFonts w:ascii="TimesNewRomanPSMT" w:hAnsi="TimesNewRomanPSMT" w:cs="TimesNewRomanPSMT" w:hint="eastAsia"/>
          <w:kern w:val="0"/>
          <w:szCs w:val="21"/>
        </w:rPr>
        <w:t>发达经济体贫富差距</w:t>
      </w:r>
      <w:r w:rsidR="00F5400B" w:rsidRPr="00D56C50">
        <w:rPr>
          <w:rFonts w:ascii="TimesNewRomanPSMT" w:hAnsi="TimesNewRomanPSMT" w:cs="TimesNewRomanPSMT" w:hint="eastAsia"/>
          <w:kern w:val="0"/>
          <w:szCs w:val="21"/>
        </w:rPr>
        <w:t>的</w:t>
      </w:r>
      <w:r w:rsidR="00572837" w:rsidRPr="00D56C50">
        <w:rPr>
          <w:rFonts w:ascii="TimesNewRomanPSMT" w:hAnsi="TimesNewRomanPSMT" w:cs="TimesNewRomanPSMT" w:hint="eastAsia"/>
          <w:kern w:val="0"/>
          <w:szCs w:val="21"/>
        </w:rPr>
        <w:t>持续</w:t>
      </w:r>
      <w:r w:rsidR="009C1529" w:rsidRPr="00D56C50">
        <w:rPr>
          <w:rFonts w:ascii="TimesNewRomanPSMT" w:hAnsi="TimesNewRomanPSMT" w:cs="TimesNewRomanPSMT" w:hint="eastAsia"/>
          <w:kern w:val="0"/>
          <w:szCs w:val="21"/>
        </w:rPr>
        <w:t>扩</w:t>
      </w:r>
      <w:r w:rsidR="00F5400B" w:rsidRPr="00D56C50">
        <w:rPr>
          <w:rFonts w:ascii="TimesNewRomanPSMT" w:hAnsi="TimesNewRomanPSMT" w:cs="TimesNewRomanPSMT" w:hint="eastAsia"/>
          <w:kern w:val="0"/>
          <w:szCs w:val="21"/>
        </w:rPr>
        <w:t>大有关</w:t>
      </w:r>
      <w:r w:rsidR="00572837" w:rsidRPr="00D56C50">
        <w:rPr>
          <w:rFonts w:ascii="TimesNewRomanPSMT" w:hAnsi="TimesNewRomanPSMT" w:cs="TimesNewRomanPSMT" w:hint="eastAsia"/>
          <w:kern w:val="0"/>
          <w:szCs w:val="21"/>
        </w:rPr>
        <w:t>。</w:t>
      </w:r>
    </w:p>
    <w:p w14:paraId="647F8269" w14:textId="77777777" w:rsidR="00F5400B" w:rsidRPr="00D56C50" w:rsidRDefault="0090134C" w:rsidP="002B7F04">
      <w:pPr>
        <w:spacing w:line="288" w:lineRule="auto"/>
        <w:ind w:firstLineChars="202" w:firstLine="424"/>
        <w:rPr>
          <w:rFonts w:asciiTheme="minorEastAsia" w:eastAsiaTheme="minorEastAsia" w:hAnsiTheme="minorEastAsia"/>
          <w:szCs w:val="21"/>
        </w:rPr>
      </w:pPr>
      <w:r w:rsidRPr="00D56C50">
        <w:rPr>
          <w:rFonts w:asciiTheme="minorEastAsia" w:eastAsiaTheme="minorEastAsia" w:hAnsiTheme="minorEastAsia" w:hint="eastAsia"/>
          <w:szCs w:val="21"/>
        </w:rPr>
        <w:t>揭示金融与不平等关系的三篇具有里程碑意义的论文</w:t>
      </w:r>
      <w:r w:rsidR="00572837" w:rsidRPr="00D56C50">
        <w:rPr>
          <w:rFonts w:asciiTheme="minorEastAsia" w:eastAsiaTheme="minorEastAsia" w:hAnsiTheme="minorEastAsia" w:hint="eastAsia"/>
          <w:szCs w:val="21"/>
        </w:rPr>
        <w:t>分别</w:t>
      </w:r>
      <w:r w:rsidRPr="00D56C50">
        <w:rPr>
          <w:rFonts w:asciiTheme="minorEastAsia" w:eastAsiaTheme="minorEastAsia" w:hAnsiTheme="minorEastAsia" w:hint="eastAsia"/>
          <w:szCs w:val="21"/>
        </w:rPr>
        <w:t>是</w:t>
      </w:r>
      <w:r w:rsidR="009C1529" w:rsidRPr="00D56C50">
        <w:rPr>
          <w:rFonts w:ascii="TimesNewRomanPSMT" w:hAnsi="TimesNewRomanPSMT" w:cs="TimesNewRomanPSMT"/>
          <w:kern w:val="0"/>
          <w:szCs w:val="21"/>
        </w:rPr>
        <w:t>Banerjee and</w:t>
      </w:r>
      <w:r w:rsidR="009C1529" w:rsidRPr="00D56C50">
        <w:rPr>
          <w:rFonts w:ascii="TimesNewRomanPSMT" w:hAnsi="TimesNewRomanPSMT" w:cs="TimesNewRomanPSMT" w:hint="eastAsia"/>
          <w:kern w:val="0"/>
          <w:szCs w:val="21"/>
        </w:rPr>
        <w:t xml:space="preserve"> </w:t>
      </w:r>
      <w:r w:rsidR="009C1529" w:rsidRPr="00D56C50">
        <w:rPr>
          <w:rFonts w:ascii="TimesNewRomanPSMT" w:hAnsi="TimesNewRomanPSMT" w:cs="TimesNewRomanPSMT"/>
          <w:kern w:val="0"/>
          <w:szCs w:val="21"/>
        </w:rPr>
        <w:t xml:space="preserve">Newman (1993), </w:t>
      </w:r>
      <w:proofErr w:type="spellStart"/>
      <w:r w:rsidR="009C1529" w:rsidRPr="00D56C50">
        <w:rPr>
          <w:rFonts w:ascii="TimesNewRomanPSMT" w:hAnsi="TimesNewRomanPSMT" w:cs="TimesNewRomanPSMT"/>
          <w:kern w:val="0"/>
          <w:szCs w:val="21"/>
        </w:rPr>
        <w:t>Galor</w:t>
      </w:r>
      <w:proofErr w:type="spellEnd"/>
      <w:r w:rsidR="009C1529" w:rsidRPr="00D56C50">
        <w:rPr>
          <w:rFonts w:ascii="TimesNewRomanPSMT" w:hAnsi="TimesNewRomanPSMT" w:cs="TimesNewRomanPSMT"/>
          <w:kern w:val="0"/>
          <w:szCs w:val="21"/>
        </w:rPr>
        <w:t xml:space="preserve"> and </w:t>
      </w:r>
      <w:proofErr w:type="spellStart"/>
      <w:r w:rsidR="009C1529" w:rsidRPr="00D56C50">
        <w:rPr>
          <w:rFonts w:ascii="TimesNewRomanPSMT" w:hAnsi="TimesNewRomanPSMT" w:cs="TimesNewRomanPSMT"/>
          <w:kern w:val="0"/>
          <w:szCs w:val="21"/>
        </w:rPr>
        <w:t>Zeira</w:t>
      </w:r>
      <w:proofErr w:type="spellEnd"/>
      <w:r w:rsidR="009C1529" w:rsidRPr="00D56C50">
        <w:rPr>
          <w:rFonts w:ascii="TimesNewRomanPSMT" w:hAnsi="TimesNewRomanPSMT" w:cs="TimesNewRomanPSMT"/>
          <w:kern w:val="0"/>
          <w:szCs w:val="21"/>
        </w:rPr>
        <w:t xml:space="preserve"> (1993), </w:t>
      </w:r>
      <w:r w:rsidR="00B86232" w:rsidRPr="00D56C50">
        <w:rPr>
          <w:rFonts w:ascii="TimesNewRomanPSMT" w:hAnsi="TimesNewRomanPSMT" w:cs="TimesNewRomanPSMT" w:hint="eastAsia"/>
          <w:kern w:val="0"/>
          <w:szCs w:val="21"/>
        </w:rPr>
        <w:t>以及</w:t>
      </w:r>
      <w:r w:rsidR="009C1529" w:rsidRPr="00D56C50">
        <w:rPr>
          <w:rFonts w:ascii="TimesNewRomanPSMT" w:hAnsi="TimesNewRomanPSMT" w:cs="TimesNewRomanPSMT"/>
          <w:kern w:val="0"/>
          <w:szCs w:val="21"/>
        </w:rPr>
        <w:t xml:space="preserve"> Greenwood and Jovanovic (1990)</w:t>
      </w:r>
      <w:r w:rsidR="009C1529" w:rsidRPr="00D56C50">
        <w:rPr>
          <w:rFonts w:ascii="TimesNewRomanPSMT" w:hAnsi="TimesNewRomanPSMT" w:cs="TimesNewRomanPSMT" w:hint="eastAsia"/>
          <w:kern w:val="0"/>
          <w:szCs w:val="21"/>
        </w:rPr>
        <w:t>。</w:t>
      </w:r>
      <w:r w:rsidR="009C1529" w:rsidRPr="00D56C50">
        <w:rPr>
          <w:rFonts w:asciiTheme="minorEastAsia" w:eastAsiaTheme="minorEastAsia" w:hAnsiTheme="minorEastAsia" w:hint="eastAsia"/>
          <w:szCs w:val="21"/>
        </w:rPr>
        <w:t>前两篇论文</w:t>
      </w:r>
      <w:r w:rsidR="00F5400B" w:rsidRPr="00D56C50">
        <w:rPr>
          <w:rFonts w:asciiTheme="minorEastAsia" w:eastAsiaTheme="minorEastAsia" w:hAnsiTheme="minorEastAsia" w:hint="eastAsia"/>
          <w:szCs w:val="21"/>
        </w:rPr>
        <w:t>认为</w:t>
      </w:r>
      <w:r w:rsidRPr="00D56C50">
        <w:rPr>
          <w:rFonts w:asciiTheme="minorEastAsia" w:eastAsiaTheme="minorEastAsia" w:hAnsiTheme="minorEastAsia" w:hint="eastAsia"/>
          <w:szCs w:val="21"/>
        </w:rPr>
        <w:t>更发达的金融市场将减少收入不平等</w:t>
      </w:r>
      <w:r w:rsidR="009C1529" w:rsidRPr="00D56C50">
        <w:rPr>
          <w:rFonts w:asciiTheme="minorEastAsia" w:eastAsiaTheme="minorEastAsia" w:hAnsiTheme="minorEastAsia" w:hint="eastAsia"/>
          <w:szCs w:val="21"/>
        </w:rPr>
        <w:t>。而第三篇论文则</w:t>
      </w:r>
      <w:r w:rsidR="00F5400B" w:rsidRPr="00D56C50">
        <w:rPr>
          <w:rFonts w:asciiTheme="minorEastAsia" w:eastAsiaTheme="minorEastAsia" w:hAnsiTheme="minorEastAsia" w:hint="eastAsia"/>
          <w:szCs w:val="21"/>
        </w:rPr>
        <w:t>认为</w:t>
      </w:r>
      <w:r w:rsidRPr="00D56C50">
        <w:rPr>
          <w:rFonts w:asciiTheme="minorEastAsia" w:eastAsiaTheme="minorEastAsia" w:hAnsiTheme="minorEastAsia" w:hint="eastAsia"/>
          <w:szCs w:val="21"/>
        </w:rPr>
        <w:t>金融发展和不平等之间存在倒U</w:t>
      </w:r>
      <w:r w:rsidR="00B86232" w:rsidRPr="00D56C50">
        <w:rPr>
          <w:rFonts w:asciiTheme="minorEastAsia" w:eastAsiaTheme="minorEastAsia" w:hAnsiTheme="minorEastAsia" w:hint="eastAsia"/>
          <w:szCs w:val="21"/>
        </w:rPr>
        <w:t>形关系---</w:t>
      </w:r>
      <w:r w:rsidR="009C1529" w:rsidRPr="00D56C50">
        <w:rPr>
          <w:rFonts w:asciiTheme="minorEastAsia" w:eastAsiaTheme="minorEastAsia" w:hAnsiTheme="minorEastAsia" w:hint="eastAsia"/>
          <w:szCs w:val="21"/>
        </w:rPr>
        <w:t>即</w:t>
      </w:r>
      <w:r w:rsidRPr="00D56C50">
        <w:rPr>
          <w:rFonts w:asciiTheme="minorEastAsia" w:eastAsiaTheme="minorEastAsia" w:hAnsiTheme="minorEastAsia" w:hint="eastAsia"/>
          <w:szCs w:val="21"/>
        </w:rPr>
        <w:t>在金融发展的早期阶段</w:t>
      </w:r>
      <w:r w:rsidR="009C1529" w:rsidRPr="00D56C50">
        <w:rPr>
          <w:rFonts w:asciiTheme="minorEastAsia" w:eastAsiaTheme="minorEastAsia" w:hAnsiTheme="minorEastAsia" w:hint="eastAsia"/>
          <w:szCs w:val="21"/>
        </w:rPr>
        <w:t>，社会收益较</w:t>
      </w:r>
      <w:r w:rsidRPr="00D56C50">
        <w:rPr>
          <w:rFonts w:asciiTheme="minorEastAsia" w:eastAsiaTheme="minorEastAsia" w:hAnsiTheme="minorEastAsia" w:hint="eastAsia"/>
          <w:szCs w:val="21"/>
        </w:rPr>
        <w:t>小</w:t>
      </w:r>
      <w:r w:rsidR="009C1529" w:rsidRPr="00D56C50">
        <w:rPr>
          <w:rFonts w:asciiTheme="minorEastAsia" w:eastAsiaTheme="minorEastAsia" w:hAnsiTheme="minorEastAsia" w:hint="eastAsia"/>
          <w:szCs w:val="21"/>
        </w:rPr>
        <w:t>，从而收入不平等加剧；金融发展到一定阶段后，更多的金融有助于减少收入不平等，主要理论机制</w:t>
      </w:r>
      <w:r w:rsidRPr="00D56C50">
        <w:rPr>
          <w:rFonts w:asciiTheme="minorEastAsia" w:eastAsiaTheme="minorEastAsia" w:hAnsiTheme="minorEastAsia" w:hint="eastAsia"/>
          <w:szCs w:val="21"/>
        </w:rPr>
        <w:t>是</w:t>
      </w:r>
      <w:r w:rsidR="009C1529" w:rsidRPr="00D56C50">
        <w:rPr>
          <w:rFonts w:asciiTheme="minorEastAsia" w:eastAsiaTheme="minorEastAsia" w:hAnsiTheme="minorEastAsia" w:hint="eastAsia"/>
          <w:szCs w:val="21"/>
        </w:rPr>
        <w:t>：</w:t>
      </w:r>
      <w:r w:rsidRPr="00D56C50">
        <w:rPr>
          <w:rFonts w:asciiTheme="minorEastAsia" w:eastAsiaTheme="minorEastAsia" w:hAnsiTheme="minorEastAsia" w:hint="eastAsia"/>
          <w:szCs w:val="21"/>
        </w:rPr>
        <w:t>信贷可获得性</w:t>
      </w:r>
      <w:r w:rsidR="009C1529" w:rsidRPr="00D56C50">
        <w:rPr>
          <w:rFonts w:asciiTheme="minorEastAsia" w:eastAsiaTheme="minorEastAsia" w:hAnsiTheme="minorEastAsia" w:hint="eastAsia"/>
          <w:szCs w:val="21"/>
        </w:rPr>
        <w:t>的提高允许更多</w:t>
      </w:r>
      <w:r w:rsidRPr="00D56C50">
        <w:rPr>
          <w:rFonts w:asciiTheme="minorEastAsia" w:eastAsiaTheme="minorEastAsia" w:hAnsiTheme="minorEastAsia" w:hint="eastAsia"/>
          <w:szCs w:val="21"/>
        </w:rPr>
        <w:t>家庭</w:t>
      </w:r>
      <w:r w:rsidR="009C1529" w:rsidRPr="00D56C50">
        <w:rPr>
          <w:rFonts w:asciiTheme="minorEastAsia" w:eastAsiaTheme="minorEastAsia" w:hAnsiTheme="minorEastAsia" w:hint="eastAsia"/>
          <w:szCs w:val="21"/>
        </w:rPr>
        <w:t>的</w:t>
      </w:r>
      <w:r w:rsidRPr="00D56C50">
        <w:rPr>
          <w:rFonts w:asciiTheme="minorEastAsia" w:eastAsiaTheme="minorEastAsia" w:hAnsiTheme="minorEastAsia" w:hint="eastAsia"/>
          <w:szCs w:val="21"/>
        </w:rPr>
        <w:t>选择和决策</w:t>
      </w:r>
      <w:r w:rsidR="009C1529" w:rsidRPr="00D56C50">
        <w:rPr>
          <w:rFonts w:asciiTheme="minorEastAsia" w:eastAsiaTheme="minorEastAsia" w:hAnsiTheme="minorEastAsia" w:hint="eastAsia"/>
          <w:szCs w:val="21"/>
        </w:rPr>
        <w:t>可以基于</w:t>
      </w:r>
      <w:r w:rsidR="00572837" w:rsidRPr="00D56C50">
        <w:rPr>
          <w:rFonts w:asciiTheme="minorEastAsia" w:eastAsiaTheme="minorEastAsia" w:hAnsiTheme="minorEastAsia" w:hint="eastAsia"/>
          <w:szCs w:val="21"/>
        </w:rPr>
        <w:t>支出的合理</w:t>
      </w:r>
      <w:r w:rsidR="009C1529" w:rsidRPr="00D56C50">
        <w:rPr>
          <w:rFonts w:asciiTheme="minorEastAsia" w:eastAsiaTheme="minorEastAsia" w:hAnsiTheme="minorEastAsia" w:hint="eastAsia"/>
          <w:szCs w:val="21"/>
        </w:rPr>
        <w:t>安排，而不受继承财富的影响。</w:t>
      </w:r>
    </w:p>
    <w:p w14:paraId="0ABADDD9" w14:textId="77777777" w:rsidR="00F5400B" w:rsidRPr="00D56C50" w:rsidRDefault="002831F9" w:rsidP="002B7F04">
      <w:pPr>
        <w:spacing w:line="288" w:lineRule="auto"/>
        <w:ind w:firstLineChars="202" w:firstLine="424"/>
      </w:pPr>
      <w:r w:rsidRPr="00D56C50">
        <w:rPr>
          <w:rFonts w:hint="eastAsia"/>
        </w:rPr>
        <w:t>而</w:t>
      </w:r>
      <w:r w:rsidRPr="00D56C50">
        <w:rPr>
          <w:rFonts w:hint="eastAsia"/>
        </w:rPr>
        <w:t>Epstein(2005)</w:t>
      </w:r>
      <w:r w:rsidRPr="00D56C50">
        <w:rPr>
          <w:rFonts w:hint="eastAsia"/>
        </w:rPr>
        <w:t>等人</w:t>
      </w:r>
      <w:r w:rsidR="00572837" w:rsidRPr="00D56C50">
        <w:rPr>
          <w:rFonts w:hint="eastAsia"/>
        </w:rPr>
        <w:t>所开创的金融化</w:t>
      </w:r>
      <w:r w:rsidR="00F5400B" w:rsidRPr="00D56C50">
        <w:rPr>
          <w:rFonts w:hint="eastAsia"/>
        </w:rPr>
        <w:t>（</w:t>
      </w:r>
      <w:r w:rsidR="00F5400B" w:rsidRPr="00D56C50">
        <w:rPr>
          <w:rFonts w:hint="eastAsia"/>
        </w:rPr>
        <w:t>financialization</w:t>
      </w:r>
      <w:r w:rsidR="00F5400B" w:rsidRPr="00D56C50">
        <w:rPr>
          <w:rFonts w:hint="eastAsia"/>
        </w:rPr>
        <w:t>）</w:t>
      </w:r>
      <w:r w:rsidR="00572837" w:rsidRPr="00D56C50">
        <w:rPr>
          <w:rFonts w:hint="eastAsia"/>
        </w:rPr>
        <w:t>研究，主要基于发达经济体的经验，</w:t>
      </w:r>
      <w:r w:rsidRPr="00D56C50">
        <w:rPr>
          <w:rFonts w:hint="eastAsia"/>
        </w:rPr>
        <w:t>指出金融化导致了不平等。</w:t>
      </w:r>
      <w:r w:rsidRPr="00D56C50">
        <w:t xml:space="preserve">Philippon  and  </w:t>
      </w:r>
      <w:proofErr w:type="spellStart"/>
      <w:r w:rsidRPr="00D56C50">
        <w:t>Reshef</w:t>
      </w:r>
      <w:proofErr w:type="spellEnd"/>
      <w:r w:rsidRPr="00D56C50">
        <w:rPr>
          <w:rFonts w:hint="eastAsia"/>
        </w:rPr>
        <w:t>（</w:t>
      </w:r>
      <w:r w:rsidRPr="00D56C50">
        <w:t>2012</w:t>
      </w:r>
      <w:r w:rsidRPr="00D56C50">
        <w:rPr>
          <w:rFonts w:hint="eastAsia"/>
        </w:rPr>
        <w:t>）发现，</w:t>
      </w:r>
      <w:r w:rsidRPr="00D56C50">
        <w:t xml:space="preserve">1980 </w:t>
      </w:r>
      <w:r w:rsidRPr="00D56C50">
        <w:rPr>
          <w:rFonts w:hint="eastAsia"/>
        </w:rPr>
        <w:t>年以来金融部门扩张是美国收入差距持续大幅扩大的重要影响因素；</w:t>
      </w:r>
      <w:proofErr w:type="spellStart"/>
      <w:r w:rsidRPr="00D56C50">
        <w:t>Shakhnov</w:t>
      </w:r>
      <w:proofErr w:type="spellEnd"/>
      <w:r w:rsidRPr="00D56C50">
        <w:rPr>
          <w:rFonts w:hint="eastAsia"/>
        </w:rPr>
        <w:t>（</w:t>
      </w:r>
      <w:r w:rsidRPr="00D56C50">
        <w:t>2014</w:t>
      </w:r>
      <w:r w:rsidRPr="00D56C50">
        <w:rPr>
          <w:rFonts w:hint="eastAsia"/>
        </w:rPr>
        <w:t>）基于美国数据也发现金融发展会导致收入差距扩大。</w:t>
      </w:r>
      <w:r w:rsidR="00572837" w:rsidRPr="00D56C50">
        <w:t xml:space="preserve">Brei, </w:t>
      </w:r>
      <w:proofErr w:type="spellStart"/>
      <w:r w:rsidR="00572837" w:rsidRPr="00D56C50">
        <w:t>Ferri</w:t>
      </w:r>
      <w:proofErr w:type="spellEnd"/>
      <w:r w:rsidR="00572837" w:rsidRPr="00D56C50">
        <w:t xml:space="preserve"> and </w:t>
      </w:r>
      <w:proofErr w:type="spellStart"/>
      <w:r w:rsidR="00572837" w:rsidRPr="00D56C50">
        <w:t>Gambacorta</w:t>
      </w:r>
      <w:proofErr w:type="spellEnd"/>
      <w:r w:rsidR="00572837" w:rsidRPr="00D56C50">
        <w:rPr>
          <w:rFonts w:hint="eastAsia"/>
        </w:rPr>
        <w:t>（</w:t>
      </w:r>
      <w:r w:rsidR="00572837" w:rsidRPr="00D56C50">
        <w:rPr>
          <w:rFonts w:hint="eastAsia"/>
        </w:rPr>
        <w:t>2018</w:t>
      </w:r>
      <w:r w:rsidR="00572837" w:rsidRPr="00D56C50">
        <w:rPr>
          <w:rFonts w:hint="eastAsia"/>
        </w:rPr>
        <w:t>）</w:t>
      </w:r>
      <w:r w:rsidR="005222CE" w:rsidRPr="00D56C50">
        <w:rPr>
          <w:rFonts w:hint="eastAsia"/>
        </w:rPr>
        <w:t>实证研究了金融结构与收入不平等之间的关系。</w:t>
      </w:r>
      <w:r w:rsidR="00572837" w:rsidRPr="00D56C50">
        <w:rPr>
          <w:rFonts w:hint="eastAsia"/>
        </w:rPr>
        <w:t>他们</w:t>
      </w:r>
      <w:r w:rsidR="005222CE" w:rsidRPr="00D56C50">
        <w:rPr>
          <w:rFonts w:hint="eastAsia"/>
        </w:rPr>
        <w:t>利用</w:t>
      </w:r>
      <w:r w:rsidR="005222CE" w:rsidRPr="00D56C50">
        <w:rPr>
          <w:rFonts w:hint="eastAsia"/>
        </w:rPr>
        <w:t>1989-2012</w:t>
      </w:r>
      <w:r w:rsidR="005222CE" w:rsidRPr="00D56C50">
        <w:rPr>
          <w:rFonts w:hint="eastAsia"/>
        </w:rPr>
        <w:t>年间</w:t>
      </w:r>
      <w:r w:rsidR="005222CE" w:rsidRPr="00D56C50">
        <w:rPr>
          <w:rFonts w:hint="eastAsia"/>
        </w:rPr>
        <w:t>97</w:t>
      </w:r>
      <w:r w:rsidR="005222CE" w:rsidRPr="00D56C50">
        <w:rPr>
          <w:rFonts w:hint="eastAsia"/>
        </w:rPr>
        <w:t>个经济体的数据，发现</w:t>
      </w:r>
      <w:r w:rsidR="00572837" w:rsidRPr="00D56C50">
        <w:rPr>
          <w:rFonts w:hint="eastAsia"/>
        </w:rPr>
        <w:t>二者</w:t>
      </w:r>
      <w:r w:rsidR="005222CE" w:rsidRPr="00D56C50">
        <w:rPr>
          <w:rFonts w:hint="eastAsia"/>
        </w:rPr>
        <w:t>关系</w:t>
      </w:r>
      <w:r w:rsidR="00572837" w:rsidRPr="00D56C50">
        <w:rPr>
          <w:rFonts w:hint="eastAsia"/>
        </w:rPr>
        <w:t>并</w:t>
      </w:r>
      <w:r w:rsidR="005222CE" w:rsidRPr="00D56C50">
        <w:rPr>
          <w:rFonts w:hint="eastAsia"/>
        </w:rPr>
        <w:t>不是单调的。</w:t>
      </w:r>
      <w:r w:rsidR="00F831EA" w:rsidRPr="00D56C50">
        <w:rPr>
          <w:rFonts w:hint="eastAsia"/>
        </w:rPr>
        <w:t>一方面，</w:t>
      </w:r>
      <w:r w:rsidR="005222CE" w:rsidRPr="00D56C50">
        <w:rPr>
          <w:rFonts w:hint="eastAsia"/>
        </w:rPr>
        <w:t>在</w:t>
      </w:r>
      <w:r w:rsidR="00F831EA" w:rsidRPr="00D56C50">
        <w:rPr>
          <w:rFonts w:hint="eastAsia"/>
        </w:rPr>
        <w:t>金融发展水平还不是很高的情况下</w:t>
      </w:r>
      <w:r w:rsidR="005222CE" w:rsidRPr="00D56C50">
        <w:rPr>
          <w:rFonts w:hint="eastAsia"/>
        </w:rPr>
        <w:t>，更多的金融减少了收入不平等</w:t>
      </w:r>
      <w:r w:rsidR="00F831EA" w:rsidRPr="00D56C50">
        <w:rPr>
          <w:rFonts w:hint="eastAsia"/>
        </w:rPr>
        <w:t>；另一方面，在金融发展到一定高度，如果</w:t>
      </w:r>
      <w:r w:rsidR="005222CE" w:rsidRPr="00D56C50">
        <w:rPr>
          <w:rFonts w:hint="eastAsia"/>
        </w:rPr>
        <w:t>基于市场</w:t>
      </w:r>
      <w:r w:rsidR="00EB2235" w:rsidRPr="00D56C50">
        <w:rPr>
          <w:rFonts w:hint="eastAsia"/>
        </w:rPr>
        <w:t>（</w:t>
      </w:r>
      <w:r w:rsidR="00EB2235" w:rsidRPr="00D56C50">
        <w:rPr>
          <w:rFonts w:ascii="TimesNewRomanPS-ItalicMT" w:hAnsi="TimesNewRomanPS-ItalicMT" w:cs="TimesNewRomanPS-ItalicMT"/>
          <w:iCs/>
          <w:kern w:val="0"/>
          <w:sz w:val="24"/>
        </w:rPr>
        <w:t>market-based</w:t>
      </w:r>
      <w:r w:rsidR="00EB2235" w:rsidRPr="00D56C50">
        <w:rPr>
          <w:rFonts w:hint="eastAsia"/>
        </w:rPr>
        <w:t>）</w:t>
      </w:r>
      <w:r w:rsidR="00F831EA" w:rsidRPr="00D56C50">
        <w:rPr>
          <w:rFonts w:hint="eastAsia"/>
        </w:rPr>
        <w:t>的金融扩张，不平等性就会加剧；而如果通过银行贷款的金融扩张，不平等性则</w:t>
      </w:r>
      <w:r w:rsidR="00572837" w:rsidRPr="00D56C50">
        <w:rPr>
          <w:rFonts w:hint="eastAsia"/>
        </w:rPr>
        <w:t>不会扩大</w:t>
      </w:r>
      <w:r w:rsidR="005222CE" w:rsidRPr="00D56C50">
        <w:rPr>
          <w:rFonts w:hint="eastAsia"/>
        </w:rPr>
        <w:t>。</w:t>
      </w:r>
    </w:p>
    <w:p w14:paraId="3DDD904B" w14:textId="77777777" w:rsidR="002831F9" w:rsidRPr="00D56C50" w:rsidRDefault="00572837" w:rsidP="002B7F04">
      <w:pPr>
        <w:spacing w:line="288" w:lineRule="auto"/>
        <w:ind w:firstLineChars="202" w:firstLine="424"/>
      </w:pPr>
      <w:r w:rsidRPr="00D56C50">
        <w:rPr>
          <w:rFonts w:hint="eastAsia"/>
        </w:rPr>
        <w:t>世界银行（</w:t>
      </w:r>
      <w:proofErr w:type="spellStart"/>
      <w:r w:rsidR="00F5400B" w:rsidRPr="00D56C50">
        <w:t>Demirg-Kun</w:t>
      </w:r>
      <w:proofErr w:type="spellEnd"/>
      <w:r w:rsidR="00F5400B" w:rsidRPr="00D56C50">
        <w:rPr>
          <w:rFonts w:hint="eastAsia"/>
        </w:rPr>
        <w:t xml:space="preserve"> and </w:t>
      </w:r>
      <w:r w:rsidR="00F5400B" w:rsidRPr="00D56C50">
        <w:t>Levine</w:t>
      </w:r>
      <w:r w:rsidR="00F5400B" w:rsidRPr="00D56C50">
        <w:rPr>
          <w:rFonts w:hint="eastAsia"/>
        </w:rPr>
        <w:t>,</w:t>
      </w:r>
      <w:r w:rsidR="00CF7878" w:rsidRPr="00D56C50">
        <w:rPr>
          <w:rFonts w:hint="eastAsia"/>
        </w:rPr>
        <w:t xml:space="preserve"> </w:t>
      </w:r>
      <w:r w:rsidR="00F5400B" w:rsidRPr="00D56C50">
        <w:rPr>
          <w:rFonts w:hint="eastAsia"/>
        </w:rPr>
        <w:t>2009</w:t>
      </w:r>
      <w:r w:rsidRPr="00D56C50">
        <w:rPr>
          <w:rFonts w:hint="eastAsia"/>
        </w:rPr>
        <w:t>）与国际货币基金组织（</w:t>
      </w:r>
      <w:proofErr w:type="spellStart"/>
      <w:r w:rsidR="00F5400B" w:rsidRPr="00D56C50">
        <w:rPr>
          <w:szCs w:val="21"/>
        </w:rPr>
        <w:t>Čihák</w:t>
      </w:r>
      <w:proofErr w:type="spellEnd"/>
      <w:r w:rsidR="00F5400B" w:rsidRPr="00D56C50">
        <w:rPr>
          <w:szCs w:val="21"/>
        </w:rPr>
        <w:t xml:space="preserve"> </w:t>
      </w:r>
      <w:r w:rsidR="00F5400B" w:rsidRPr="00D56C50">
        <w:rPr>
          <w:rFonts w:hint="eastAsia"/>
          <w:szCs w:val="21"/>
        </w:rPr>
        <w:t>等，</w:t>
      </w:r>
      <w:r w:rsidR="00F5400B" w:rsidRPr="00D56C50">
        <w:rPr>
          <w:rFonts w:hint="eastAsia"/>
          <w:szCs w:val="21"/>
        </w:rPr>
        <w:t>2020</w:t>
      </w:r>
      <w:r w:rsidRPr="00D56C50">
        <w:rPr>
          <w:rFonts w:hint="eastAsia"/>
        </w:rPr>
        <w:t>）也</w:t>
      </w:r>
      <w:r w:rsidRPr="00D56C50">
        <w:rPr>
          <w:rFonts w:hint="eastAsia"/>
        </w:rPr>
        <w:lastRenderedPageBreak/>
        <w:t>对金融与不平等问题展开了</w:t>
      </w:r>
      <w:r w:rsidR="00F5400B" w:rsidRPr="00D56C50">
        <w:rPr>
          <w:rFonts w:hint="eastAsia"/>
        </w:rPr>
        <w:t>较为全面的梳理和</w:t>
      </w:r>
      <w:r w:rsidRPr="00D56C50">
        <w:rPr>
          <w:rFonts w:hint="eastAsia"/>
        </w:rPr>
        <w:t>研究</w:t>
      </w:r>
      <w:r w:rsidR="00F5400B" w:rsidRPr="00D56C50">
        <w:rPr>
          <w:rFonts w:hint="eastAsia"/>
        </w:rPr>
        <w:t>。</w:t>
      </w:r>
      <w:r w:rsidRPr="00D56C50">
        <w:rPr>
          <w:rFonts w:hint="eastAsia"/>
        </w:rPr>
        <w:t>他们的理论与</w:t>
      </w:r>
      <w:r w:rsidR="00F831EA" w:rsidRPr="00D56C50">
        <w:rPr>
          <w:rFonts w:hint="eastAsia"/>
        </w:rPr>
        <w:t>实证</w:t>
      </w:r>
      <w:r w:rsidRPr="00D56C50">
        <w:rPr>
          <w:rFonts w:hint="eastAsia"/>
        </w:rPr>
        <w:t>分析表明：金融影响不平等的机制较为复杂；金融在一定条件下会促进增长以及减少不平等，但无论是金融压抑（过度管制以及</w:t>
      </w:r>
      <w:r w:rsidR="00F5400B" w:rsidRPr="00D56C50">
        <w:rPr>
          <w:rFonts w:hint="eastAsia"/>
        </w:rPr>
        <w:t>金融市场不发育）还是金融过度发展（如金融化）都可能导致不平等</w:t>
      </w:r>
      <w:r w:rsidRPr="00D56C50">
        <w:rPr>
          <w:rFonts w:hint="eastAsia"/>
        </w:rPr>
        <w:t>加剧。</w:t>
      </w:r>
      <w:r w:rsidR="00F5400B" w:rsidRPr="00D56C50">
        <w:rPr>
          <w:rFonts w:hint="eastAsia"/>
        </w:rPr>
        <w:t>相较于之前的文献，</w:t>
      </w:r>
      <w:r w:rsidR="00F5400B" w:rsidRPr="00D56C50">
        <w:rPr>
          <w:rFonts w:hint="eastAsia"/>
        </w:rPr>
        <w:t>2008</w:t>
      </w:r>
      <w:r w:rsidR="00F831EA" w:rsidRPr="00D56C50">
        <w:rPr>
          <w:rFonts w:hint="eastAsia"/>
        </w:rPr>
        <w:t>年国际金融危机以来的文献对于金融的负面影响（特别</w:t>
      </w:r>
      <w:r w:rsidR="00F5400B" w:rsidRPr="00D56C50">
        <w:rPr>
          <w:rFonts w:hint="eastAsia"/>
        </w:rPr>
        <w:t>对分配的影响）关注较多。</w:t>
      </w:r>
    </w:p>
    <w:p w14:paraId="77F56B81" w14:textId="77777777" w:rsidR="009C1529" w:rsidRPr="00D56C50" w:rsidRDefault="00082E2A" w:rsidP="002B7F04">
      <w:pPr>
        <w:pStyle w:val="1"/>
        <w:spacing w:beforeLines="100" w:before="312" w:afterLines="100" w:after="312" w:line="288" w:lineRule="auto"/>
        <w:rPr>
          <w:sz w:val="21"/>
          <w:szCs w:val="21"/>
        </w:rPr>
      </w:pPr>
      <w:r w:rsidRPr="00D56C50">
        <w:rPr>
          <w:rFonts w:hint="eastAsia"/>
          <w:sz w:val="21"/>
          <w:szCs w:val="21"/>
        </w:rPr>
        <w:t>二、</w:t>
      </w:r>
      <w:r w:rsidR="00FC0B92" w:rsidRPr="00D56C50">
        <w:rPr>
          <w:rFonts w:hint="eastAsia"/>
          <w:sz w:val="21"/>
          <w:szCs w:val="21"/>
        </w:rPr>
        <w:t>金融</w:t>
      </w:r>
      <w:r w:rsidR="00B27F62" w:rsidRPr="00D56C50">
        <w:rPr>
          <w:rFonts w:hint="eastAsia"/>
          <w:sz w:val="21"/>
          <w:szCs w:val="21"/>
        </w:rPr>
        <w:t>与</w:t>
      </w:r>
      <w:r w:rsidRPr="00D56C50">
        <w:rPr>
          <w:rFonts w:hint="eastAsia"/>
          <w:sz w:val="21"/>
          <w:szCs w:val="21"/>
        </w:rPr>
        <w:t>收入不平等：</w:t>
      </w:r>
      <w:r w:rsidR="00FC0B92" w:rsidRPr="00D56C50">
        <w:rPr>
          <w:rFonts w:hint="eastAsia"/>
          <w:sz w:val="21"/>
          <w:szCs w:val="21"/>
        </w:rPr>
        <w:t>微观视角</w:t>
      </w:r>
    </w:p>
    <w:p w14:paraId="1D2A2109" w14:textId="77777777" w:rsidR="00082E2A" w:rsidRPr="00D56C50" w:rsidRDefault="00572837" w:rsidP="002B7F04">
      <w:pPr>
        <w:spacing w:line="288" w:lineRule="auto"/>
        <w:ind w:firstLineChars="171" w:firstLine="359"/>
        <w:rPr>
          <w:rFonts w:ascii="宋体" w:hAnsi="宋体"/>
          <w:szCs w:val="21"/>
        </w:rPr>
      </w:pPr>
      <w:r w:rsidRPr="00D56C50">
        <w:rPr>
          <w:rFonts w:ascii="宋体" w:hAnsi="宋体" w:hint="eastAsia"/>
          <w:szCs w:val="21"/>
        </w:rPr>
        <w:t>金融影响不平等的机制有很多，本节从</w:t>
      </w:r>
      <w:r w:rsidR="00082E2A" w:rsidRPr="00D56C50">
        <w:rPr>
          <w:rFonts w:ascii="宋体" w:hAnsi="宋体" w:hint="eastAsia"/>
          <w:szCs w:val="21"/>
        </w:rPr>
        <w:t>微观</w:t>
      </w:r>
      <w:r w:rsidR="00F831EA" w:rsidRPr="00D56C50">
        <w:rPr>
          <w:rFonts w:ascii="宋体" w:hAnsi="宋体" w:hint="eastAsia"/>
          <w:szCs w:val="21"/>
        </w:rPr>
        <w:t>个体出发展开讨论</w:t>
      </w:r>
      <w:r w:rsidRPr="00D56C50">
        <w:rPr>
          <w:rFonts w:ascii="宋体" w:hAnsi="宋体" w:hint="eastAsia"/>
          <w:szCs w:val="21"/>
        </w:rPr>
        <w:t>。</w:t>
      </w:r>
    </w:p>
    <w:p w14:paraId="744222C5" w14:textId="77777777" w:rsidR="009C1529" w:rsidRPr="00D56C50" w:rsidRDefault="00082E2A" w:rsidP="002B7F04">
      <w:pPr>
        <w:spacing w:line="288" w:lineRule="auto"/>
        <w:ind w:firstLineChars="171" w:firstLine="359"/>
        <w:rPr>
          <w:rFonts w:ascii="宋体" w:hAnsi="宋体"/>
          <w:b/>
          <w:szCs w:val="21"/>
        </w:rPr>
      </w:pPr>
      <w:r w:rsidRPr="00D56C50">
        <w:rPr>
          <w:rFonts w:ascii="宋体" w:hAnsi="宋体" w:hint="eastAsia"/>
          <w:szCs w:val="21"/>
        </w:rPr>
        <w:t>就</w:t>
      </w:r>
      <w:r w:rsidR="009C1529" w:rsidRPr="00D56C50">
        <w:rPr>
          <w:rFonts w:ascii="宋体" w:hAnsi="宋体" w:hint="eastAsia"/>
          <w:szCs w:val="21"/>
        </w:rPr>
        <w:t>个人</w:t>
      </w:r>
      <w:r w:rsidRPr="00D56C50">
        <w:rPr>
          <w:rFonts w:ascii="宋体" w:hAnsi="宋体" w:hint="eastAsia"/>
          <w:szCs w:val="21"/>
        </w:rPr>
        <w:t>来说，</w:t>
      </w:r>
      <w:r w:rsidR="009C1529" w:rsidRPr="00D56C50">
        <w:rPr>
          <w:rFonts w:ascii="宋体" w:hAnsi="宋体" w:hint="eastAsia"/>
          <w:szCs w:val="21"/>
        </w:rPr>
        <w:t>收入一般有两个来源：一是通过人力资本获得工资，另一个是通过拥有资产获得资本收益。即</w:t>
      </w:r>
    </w:p>
    <w:p w14:paraId="283CCADE" w14:textId="77777777" w:rsidR="009C1529" w:rsidRPr="00D56C50" w:rsidRDefault="009C1529" w:rsidP="002B7F04">
      <w:pPr>
        <w:spacing w:line="288" w:lineRule="auto"/>
        <w:ind w:firstLineChars="171" w:firstLine="359"/>
        <w:rPr>
          <w:rFonts w:ascii="宋体" w:hAnsi="宋体"/>
          <w:szCs w:val="21"/>
        </w:rPr>
      </w:pPr>
      <w:r w:rsidRPr="00D56C50">
        <w:rPr>
          <w:rFonts w:ascii="宋体" w:hAnsi="宋体"/>
          <w:szCs w:val="21"/>
        </w:rPr>
        <w:t>y(</w:t>
      </w:r>
      <w:proofErr w:type="spellStart"/>
      <w:r w:rsidRPr="00D56C50">
        <w:rPr>
          <w:rFonts w:ascii="宋体" w:hAnsi="宋体"/>
          <w:szCs w:val="21"/>
        </w:rPr>
        <w:t>i,t</w:t>
      </w:r>
      <w:proofErr w:type="spellEnd"/>
      <w:r w:rsidRPr="00D56C50">
        <w:rPr>
          <w:rFonts w:ascii="宋体" w:hAnsi="宋体"/>
          <w:szCs w:val="21"/>
        </w:rPr>
        <w:t>)=h(</w:t>
      </w:r>
      <w:proofErr w:type="spellStart"/>
      <w:r w:rsidRPr="00D56C50">
        <w:rPr>
          <w:rFonts w:ascii="宋体" w:hAnsi="宋体"/>
          <w:szCs w:val="21"/>
        </w:rPr>
        <w:t>i,t</w:t>
      </w:r>
      <w:proofErr w:type="spellEnd"/>
      <w:r w:rsidRPr="00D56C50">
        <w:rPr>
          <w:rFonts w:ascii="宋体" w:hAnsi="宋体"/>
          <w:szCs w:val="21"/>
        </w:rPr>
        <w:t>)w(</w:t>
      </w:r>
      <w:proofErr w:type="spellStart"/>
      <w:r w:rsidRPr="00D56C50">
        <w:rPr>
          <w:rFonts w:ascii="宋体" w:hAnsi="宋体"/>
          <w:szCs w:val="21"/>
        </w:rPr>
        <w:t>i,t</w:t>
      </w:r>
      <w:proofErr w:type="spellEnd"/>
      <w:r w:rsidRPr="00D56C50">
        <w:rPr>
          <w:rFonts w:ascii="宋体" w:hAnsi="宋体"/>
          <w:szCs w:val="21"/>
        </w:rPr>
        <w:t>)+a(</w:t>
      </w:r>
      <w:proofErr w:type="spellStart"/>
      <w:r w:rsidRPr="00D56C50">
        <w:rPr>
          <w:rFonts w:ascii="宋体" w:hAnsi="宋体"/>
          <w:szCs w:val="21"/>
        </w:rPr>
        <w:t>i,t</w:t>
      </w:r>
      <w:proofErr w:type="spellEnd"/>
      <w:r w:rsidRPr="00D56C50">
        <w:rPr>
          <w:rFonts w:ascii="宋体" w:hAnsi="宋体"/>
          <w:szCs w:val="21"/>
        </w:rPr>
        <w:t>)r(</w:t>
      </w:r>
      <w:proofErr w:type="spellStart"/>
      <w:r w:rsidRPr="00D56C50">
        <w:rPr>
          <w:rFonts w:ascii="宋体" w:hAnsi="宋体"/>
          <w:szCs w:val="21"/>
        </w:rPr>
        <w:t>i,t</w:t>
      </w:r>
      <w:proofErr w:type="spellEnd"/>
      <w:r w:rsidRPr="00D56C50">
        <w:rPr>
          <w:rFonts w:ascii="宋体" w:hAnsi="宋体"/>
          <w:szCs w:val="21"/>
        </w:rPr>
        <w:t>)</w:t>
      </w:r>
      <w:r w:rsidR="00F5400B" w:rsidRPr="00D56C50">
        <w:rPr>
          <w:rFonts w:ascii="宋体" w:hAnsi="宋体" w:hint="eastAsia"/>
          <w:szCs w:val="21"/>
        </w:rPr>
        <w:t xml:space="preserve">               （1）</w:t>
      </w:r>
    </w:p>
    <w:p w14:paraId="3F3F5E52" w14:textId="77777777" w:rsidR="009C1529" w:rsidRPr="00D56C50" w:rsidRDefault="009C1529" w:rsidP="002B7F04">
      <w:pPr>
        <w:spacing w:line="288" w:lineRule="auto"/>
        <w:ind w:firstLineChars="171" w:firstLine="359"/>
        <w:rPr>
          <w:rFonts w:ascii="宋体" w:hAnsi="宋体"/>
          <w:szCs w:val="21"/>
        </w:rPr>
      </w:pPr>
      <w:r w:rsidRPr="00D56C50">
        <w:rPr>
          <w:rFonts w:ascii="宋体" w:hAnsi="宋体" w:hint="eastAsia"/>
          <w:szCs w:val="21"/>
        </w:rPr>
        <w:t>其中，</w:t>
      </w:r>
      <w:r w:rsidRPr="00D56C50">
        <w:rPr>
          <w:rFonts w:ascii="宋体" w:hAnsi="宋体"/>
          <w:szCs w:val="21"/>
        </w:rPr>
        <w:t>y(</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为收入，</w:t>
      </w:r>
      <w:r w:rsidRPr="00D56C50">
        <w:rPr>
          <w:rFonts w:ascii="宋体" w:hAnsi="宋体"/>
          <w:szCs w:val="21"/>
        </w:rPr>
        <w:t>h(</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为人力资本，</w:t>
      </w:r>
      <w:r w:rsidRPr="00D56C50">
        <w:rPr>
          <w:rFonts w:ascii="宋体" w:hAnsi="宋体"/>
          <w:szCs w:val="21"/>
        </w:rPr>
        <w:t>w(</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为工资，</w:t>
      </w:r>
      <w:r w:rsidRPr="00D56C50">
        <w:rPr>
          <w:rFonts w:ascii="宋体" w:hAnsi="宋体"/>
          <w:szCs w:val="21"/>
        </w:rPr>
        <w:t>a(</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为资产，</w:t>
      </w:r>
      <w:r w:rsidRPr="00D56C50">
        <w:rPr>
          <w:rFonts w:ascii="宋体" w:hAnsi="宋体"/>
          <w:szCs w:val="21"/>
        </w:rPr>
        <w:t>r(</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为资产收益。资产的引入，</w:t>
      </w:r>
      <w:r w:rsidR="00082E2A" w:rsidRPr="00D56C50">
        <w:rPr>
          <w:rFonts w:ascii="宋体" w:hAnsi="宋体" w:hint="eastAsia"/>
          <w:szCs w:val="21"/>
        </w:rPr>
        <w:t>可以更充分地反映</w:t>
      </w:r>
      <w:r w:rsidRPr="00D56C50">
        <w:rPr>
          <w:rFonts w:ascii="宋体" w:hAnsi="宋体" w:hint="eastAsia"/>
          <w:szCs w:val="21"/>
        </w:rPr>
        <w:t>金融的影响。</w:t>
      </w:r>
    </w:p>
    <w:p w14:paraId="7D12480D" w14:textId="77777777" w:rsidR="009C1529" w:rsidRPr="00D56C50" w:rsidRDefault="009C1529" w:rsidP="002B7F04">
      <w:pPr>
        <w:spacing w:line="288" w:lineRule="auto"/>
        <w:ind w:firstLineChars="171" w:firstLine="359"/>
        <w:rPr>
          <w:rFonts w:ascii="宋体" w:hAnsi="宋体"/>
          <w:szCs w:val="21"/>
        </w:rPr>
      </w:pPr>
      <w:r w:rsidRPr="00D56C50">
        <w:rPr>
          <w:rFonts w:ascii="宋体" w:hAnsi="宋体" w:hint="eastAsia"/>
          <w:szCs w:val="21"/>
        </w:rPr>
        <w:t>首先，信贷市场不完善</w:t>
      </w:r>
      <w:r w:rsidR="00277D13" w:rsidRPr="00D56C50">
        <w:rPr>
          <w:rFonts w:ascii="宋体" w:hAnsi="宋体" w:hint="eastAsia"/>
          <w:szCs w:val="21"/>
        </w:rPr>
        <w:t>带来</w:t>
      </w:r>
      <w:r w:rsidRPr="00D56C50">
        <w:rPr>
          <w:rFonts w:ascii="宋体" w:hAnsi="宋体" w:hint="eastAsia"/>
          <w:szCs w:val="21"/>
        </w:rPr>
        <w:t>人力资本积累</w:t>
      </w:r>
      <w:r w:rsidR="00277D13" w:rsidRPr="00D56C50">
        <w:rPr>
          <w:rFonts w:ascii="宋体" w:hAnsi="宋体" w:hint="eastAsia"/>
          <w:szCs w:val="21"/>
        </w:rPr>
        <w:t>的差异</w:t>
      </w:r>
      <w:r w:rsidRPr="00D56C50">
        <w:rPr>
          <w:rFonts w:ascii="宋体" w:hAnsi="宋体" w:hint="eastAsia"/>
          <w:szCs w:val="21"/>
        </w:rPr>
        <w:t>。</w:t>
      </w:r>
    </w:p>
    <w:p w14:paraId="416319E0" w14:textId="77777777" w:rsidR="009C1529" w:rsidRPr="00D56C50" w:rsidRDefault="00082E2A" w:rsidP="002B7F04">
      <w:pPr>
        <w:spacing w:line="288" w:lineRule="auto"/>
        <w:ind w:firstLineChars="171" w:firstLine="359"/>
        <w:rPr>
          <w:rFonts w:ascii="宋体" w:hAnsi="宋体"/>
          <w:szCs w:val="21"/>
        </w:rPr>
      </w:pPr>
      <w:r w:rsidRPr="00D56C50">
        <w:rPr>
          <w:rFonts w:ascii="宋体" w:hAnsi="宋体" w:hint="eastAsia"/>
          <w:szCs w:val="21"/>
        </w:rPr>
        <w:t>假定存在</w:t>
      </w:r>
      <w:r w:rsidR="009C1529" w:rsidRPr="00D56C50">
        <w:rPr>
          <w:rFonts w:ascii="宋体" w:hAnsi="宋体" w:hint="eastAsia"/>
          <w:szCs w:val="21"/>
        </w:rPr>
        <w:t>一个完善的信贷市场，高能力者一般都会获得好的教育，而无论其父母是否富有。从而人力资本h(</w:t>
      </w:r>
      <w:proofErr w:type="spellStart"/>
      <w:r w:rsidR="009C1529" w:rsidRPr="00D56C50">
        <w:rPr>
          <w:rFonts w:ascii="宋体" w:hAnsi="宋体" w:hint="eastAsia"/>
          <w:szCs w:val="21"/>
        </w:rPr>
        <w:t>i,t</w:t>
      </w:r>
      <w:proofErr w:type="spellEnd"/>
      <w:r w:rsidR="009C1529" w:rsidRPr="00D56C50">
        <w:rPr>
          <w:rFonts w:ascii="宋体" w:hAnsi="宋体" w:hint="eastAsia"/>
          <w:szCs w:val="21"/>
        </w:rPr>
        <w:t>)就只是个人能力 e(</w:t>
      </w:r>
      <w:proofErr w:type="spellStart"/>
      <w:r w:rsidR="009C1529" w:rsidRPr="00D56C50">
        <w:rPr>
          <w:rFonts w:ascii="宋体" w:hAnsi="宋体" w:hint="eastAsia"/>
          <w:szCs w:val="21"/>
        </w:rPr>
        <w:t>i,t</w:t>
      </w:r>
      <w:proofErr w:type="spellEnd"/>
      <w:r w:rsidR="009C1529" w:rsidRPr="00D56C50">
        <w:rPr>
          <w:rFonts w:ascii="宋体" w:hAnsi="宋体" w:hint="eastAsia"/>
          <w:szCs w:val="21"/>
        </w:rPr>
        <w:t>) 的函数。这样，</w:t>
      </w:r>
      <w:r w:rsidR="00F5400B" w:rsidRPr="00D56C50">
        <w:rPr>
          <w:rFonts w:ascii="宋体" w:hAnsi="宋体" w:hint="eastAsia"/>
          <w:szCs w:val="21"/>
        </w:rPr>
        <w:t>教育资源的分配就会实现社会有效配置---由于</w:t>
      </w:r>
      <w:r w:rsidR="009C1529" w:rsidRPr="00D56C50">
        <w:rPr>
          <w:rFonts w:ascii="宋体" w:hAnsi="宋体" w:hint="eastAsia"/>
          <w:szCs w:val="21"/>
        </w:rPr>
        <w:t>能力回归均值，个人可以通过借贷来资助教育，初始的代际财富差距也就不会持续</w:t>
      </w:r>
      <w:r w:rsidRPr="00D56C50">
        <w:rPr>
          <w:rFonts w:ascii="宋体" w:hAnsi="宋体" w:hint="eastAsia"/>
          <w:szCs w:val="21"/>
        </w:rPr>
        <w:t>（</w:t>
      </w:r>
      <w:proofErr w:type="spellStart"/>
      <w:r w:rsidRPr="00D56C50">
        <w:t>Demirg-Kun</w:t>
      </w:r>
      <w:proofErr w:type="spellEnd"/>
      <w:r w:rsidRPr="00D56C50">
        <w:rPr>
          <w:rFonts w:hint="eastAsia"/>
        </w:rPr>
        <w:t xml:space="preserve"> and </w:t>
      </w:r>
      <w:r w:rsidRPr="00D56C50">
        <w:t xml:space="preserve"> Levine</w:t>
      </w:r>
      <w:r w:rsidRPr="00D56C50">
        <w:rPr>
          <w:rFonts w:hint="eastAsia"/>
        </w:rPr>
        <w:t>,2009</w:t>
      </w:r>
      <w:r w:rsidRPr="00D56C50">
        <w:rPr>
          <w:rFonts w:ascii="宋体" w:hAnsi="宋体" w:hint="eastAsia"/>
          <w:szCs w:val="21"/>
        </w:rPr>
        <w:t>）</w:t>
      </w:r>
      <w:r w:rsidR="009C1529" w:rsidRPr="00D56C50">
        <w:rPr>
          <w:rFonts w:ascii="宋体" w:hAnsi="宋体" w:hint="eastAsia"/>
          <w:szCs w:val="21"/>
        </w:rPr>
        <w:t>。</w:t>
      </w:r>
      <w:r w:rsidRPr="00D56C50">
        <w:rPr>
          <w:rFonts w:ascii="宋体" w:hAnsi="宋体" w:hint="eastAsia"/>
          <w:szCs w:val="21"/>
        </w:rPr>
        <w:t>但现实世界中，</w:t>
      </w:r>
      <w:r w:rsidR="009C1529" w:rsidRPr="00D56C50">
        <w:rPr>
          <w:rFonts w:ascii="宋体" w:hAnsi="宋体" w:hint="eastAsia"/>
          <w:szCs w:val="21"/>
        </w:rPr>
        <w:t>由于信贷市场不完善（</w:t>
      </w:r>
      <w:r w:rsidRPr="00D56C50">
        <w:rPr>
          <w:rFonts w:ascii="宋体" w:hAnsi="宋体" w:hint="eastAsia"/>
          <w:szCs w:val="21"/>
        </w:rPr>
        <w:t>比如，并不是所有想</w:t>
      </w:r>
      <w:r w:rsidR="009C1529" w:rsidRPr="00D56C50">
        <w:rPr>
          <w:rFonts w:ascii="宋体" w:hAnsi="宋体" w:hint="eastAsia"/>
          <w:szCs w:val="21"/>
        </w:rPr>
        <w:t>上学的</w:t>
      </w:r>
      <w:r w:rsidRPr="00D56C50">
        <w:rPr>
          <w:rFonts w:ascii="宋体" w:hAnsi="宋体" w:hint="eastAsia"/>
          <w:szCs w:val="21"/>
        </w:rPr>
        <w:t>学生</w:t>
      </w:r>
      <w:r w:rsidR="009C1529" w:rsidRPr="00D56C50">
        <w:rPr>
          <w:rFonts w:ascii="宋体" w:hAnsi="宋体" w:hint="eastAsia"/>
          <w:szCs w:val="21"/>
        </w:rPr>
        <w:t>都能获得相应的贷款），受教育年限就受到父辈财富的制约。</w:t>
      </w:r>
      <w:r w:rsidRPr="00D56C50">
        <w:rPr>
          <w:rFonts w:ascii="宋体" w:hAnsi="宋体" w:hint="eastAsia"/>
          <w:szCs w:val="21"/>
        </w:rPr>
        <w:t>结果是</w:t>
      </w:r>
      <w:r w:rsidR="009C1529" w:rsidRPr="00D56C50">
        <w:rPr>
          <w:rFonts w:ascii="宋体" w:hAnsi="宋体" w:hint="eastAsia"/>
          <w:szCs w:val="21"/>
        </w:rPr>
        <w:t>，人力资本积累</w:t>
      </w:r>
      <w:r w:rsidR="00F214D7" w:rsidRPr="00D56C50">
        <w:rPr>
          <w:rFonts w:ascii="宋体" w:hAnsi="宋体"/>
          <w:szCs w:val="21"/>
        </w:rPr>
        <w:t>h(</w:t>
      </w:r>
      <w:proofErr w:type="spellStart"/>
      <w:r w:rsidR="00F214D7" w:rsidRPr="00D56C50">
        <w:rPr>
          <w:rFonts w:ascii="宋体" w:hAnsi="宋体"/>
          <w:szCs w:val="21"/>
        </w:rPr>
        <w:t>i,t</w:t>
      </w:r>
      <w:proofErr w:type="spellEnd"/>
      <w:r w:rsidR="00F214D7" w:rsidRPr="00D56C50">
        <w:rPr>
          <w:rFonts w:ascii="宋体" w:hAnsi="宋体"/>
          <w:szCs w:val="21"/>
        </w:rPr>
        <w:t>)</w:t>
      </w:r>
      <w:r w:rsidR="009C1529" w:rsidRPr="00D56C50">
        <w:rPr>
          <w:rFonts w:ascii="宋体" w:hAnsi="宋体" w:hint="eastAsia"/>
          <w:szCs w:val="21"/>
        </w:rPr>
        <w:t>就不仅与个人能力（e</w:t>
      </w:r>
      <w:r w:rsidR="009C1529" w:rsidRPr="00D56C50">
        <w:rPr>
          <w:rFonts w:ascii="宋体" w:hAnsi="宋体"/>
          <w:szCs w:val="21"/>
        </w:rPr>
        <w:t>(</w:t>
      </w:r>
      <w:proofErr w:type="spellStart"/>
      <w:r w:rsidR="009C1529" w:rsidRPr="00D56C50">
        <w:rPr>
          <w:rFonts w:ascii="宋体" w:hAnsi="宋体"/>
          <w:szCs w:val="21"/>
        </w:rPr>
        <w:t>i,t</w:t>
      </w:r>
      <w:proofErr w:type="spellEnd"/>
      <w:r w:rsidR="009C1529" w:rsidRPr="00D56C50">
        <w:rPr>
          <w:rFonts w:ascii="宋体" w:hAnsi="宋体"/>
          <w:szCs w:val="21"/>
        </w:rPr>
        <w:t>)</w:t>
      </w:r>
      <w:r w:rsidR="009C1529" w:rsidRPr="00D56C50">
        <w:rPr>
          <w:rFonts w:ascii="宋体" w:hAnsi="宋体" w:hint="eastAsia"/>
          <w:szCs w:val="21"/>
        </w:rPr>
        <w:t>）有关，也和父辈财富（</w:t>
      </w:r>
      <w:r w:rsidR="009C1529" w:rsidRPr="00D56C50">
        <w:rPr>
          <w:rFonts w:ascii="宋体" w:hAnsi="宋体"/>
          <w:szCs w:val="21"/>
        </w:rPr>
        <w:t>a(i,t</w:t>
      </w:r>
      <w:r w:rsidR="009C1529" w:rsidRPr="00D56C50">
        <w:rPr>
          <w:rFonts w:ascii="宋体" w:hAnsi="宋体" w:hint="eastAsia"/>
          <w:szCs w:val="21"/>
        </w:rPr>
        <w:t>-1</w:t>
      </w:r>
      <w:r w:rsidR="009C1529" w:rsidRPr="00D56C50">
        <w:rPr>
          <w:rFonts w:ascii="宋体" w:hAnsi="宋体"/>
          <w:szCs w:val="21"/>
        </w:rPr>
        <w:t>)</w:t>
      </w:r>
      <w:r w:rsidR="009C1529" w:rsidRPr="00D56C50">
        <w:rPr>
          <w:rFonts w:ascii="宋体" w:hAnsi="宋体" w:hint="eastAsia"/>
          <w:szCs w:val="21"/>
        </w:rPr>
        <w:t>）有关。即</w:t>
      </w:r>
      <w:r w:rsidR="00F214D7" w:rsidRPr="00D56C50">
        <w:rPr>
          <w:rFonts w:ascii="宋体" w:hAnsi="宋体" w:hint="eastAsia"/>
          <w:szCs w:val="21"/>
        </w:rPr>
        <w:t>（2）式：</w:t>
      </w:r>
    </w:p>
    <w:p w14:paraId="11E489A8" w14:textId="77777777" w:rsidR="009C1529" w:rsidRPr="00D56C50" w:rsidRDefault="009C1529" w:rsidP="002B7F04">
      <w:pPr>
        <w:spacing w:line="288" w:lineRule="auto"/>
        <w:ind w:firstLineChars="171" w:firstLine="359"/>
        <w:rPr>
          <w:rFonts w:ascii="宋体" w:hAnsi="宋体"/>
          <w:szCs w:val="21"/>
        </w:rPr>
      </w:pPr>
      <w:r w:rsidRPr="00D56C50">
        <w:rPr>
          <w:rFonts w:ascii="宋体" w:hAnsi="宋体"/>
          <w:szCs w:val="21"/>
        </w:rPr>
        <w:t>h(</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=h[e</w:t>
      </w:r>
      <w:r w:rsidRPr="00D56C50">
        <w:rPr>
          <w:rFonts w:ascii="宋体" w:hAnsi="宋体"/>
          <w:szCs w:val="21"/>
        </w:rPr>
        <w:t>(</w:t>
      </w:r>
      <w:proofErr w:type="spellStart"/>
      <w:r w:rsidRPr="00D56C50">
        <w:rPr>
          <w:rFonts w:ascii="宋体" w:hAnsi="宋体"/>
          <w:szCs w:val="21"/>
        </w:rPr>
        <w:t>i,t</w:t>
      </w:r>
      <w:proofErr w:type="spellEnd"/>
      <w:r w:rsidRPr="00D56C50">
        <w:rPr>
          <w:rFonts w:ascii="宋体" w:hAnsi="宋体"/>
          <w:szCs w:val="21"/>
        </w:rPr>
        <w:t>)+a(i,t</w:t>
      </w:r>
      <w:r w:rsidRPr="00D56C50">
        <w:rPr>
          <w:rFonts w:ascii="宋体" w:hAnsi="宋体" w:hint="eastAsia"/>
          <w:szCs w:val="21"/>
        </w:rPr>
        <w:t>-1</w:t>
      </w:r>
      <w:r w:rsidRPr="00D56C50">
        <w:rPr>
          <w:rFonts w:ascii="宋体" w:hAnsi="宋体"/>
          <w:szCs w:val="21"/>
        </w:rPr>
        <w:t>)</w:t>
      </w:r>
      <w:r w:rsidRPr="00D56C50">
        <w:rPr>
          <w:rFonts w:ascii="宋体" w:hAnsi="宋体" w:hint="eastAsia"/>
          <w:szCs w:val="21"/>
        </w:rPr>
        <w:t>]</w:t>
      </w:r>
      <w:r w:rsidR="00F214D7" w:rsidRPr="00D56C50">
        <w:rPr>
          <w:rFonts w:ascii="宋体" w:hAnsi="宋体" w:hint="eastAsia"/>
          <w:szCs w:val="21"/>
        </w:rPr>
        <w:t xml:space="preserve">                       （2）</w:t>
      </w:r>
    </w:p>
    <w:p w14:paraId="0781BF5C" w14:textId="77777777" w:rsidR="00082E2A" w:rsidRPr="00D56C50" w:rsidRDefault="009C1529" w:rsidP="002B7F04">
      <w:pPr>
        <w:spacing w:line="288" w:lineRule="auto"/>
        <w:ind w:firstLineChars="171" w:firstLine="359"/>
        <w:rPr>
          <w:rFonts w:ascii="宋体" w:hAnsi="宋体"/>
          <w:szCs w:val="21"/>
        </w:rPr>
      </w:pPr>
      <w:r w:rsidRPr="00D56C50">
        <w:rPr>
          <w:rFonts w:ascii="宋体" w:hAnsi="宋体" w:hint="eastAsia"/>
          <w:szCs w:val="21"/>
        </w:rPr>
        <w:t>这里隐含的机制是：信贷市场的完善，将有利于缓解因为父辈财富不平等而带来的个人在人力</w:t>
      </w:r>
      <w:r w:rsidR="00082E2A" w:rsidRPr="00D56C50">
        <w:rPr>
          <w:rFonts w:ascii="宋体" w:hAnsi="宋体" w:hint="eastAsia"/>
          <w:szCs w:val="21"/>
        </w:rPr>
        <w:t>资本积累方面的差距。人力资本积累特别是教育方面的平等，实际上讲的是机会平等。</w:t>
      </w:r>
      <w:r w:rsidR="00F5400B" w:rsidRPr="00D56C50">
        <w:rPr>
          <w:rFonts w:ascii="宋体" w:hAnsi="宋体" w:hint="eastAsia"/>
          <w:szCs w:val="21"/>
        </w:rPr>
        <w:t>而父辈财富（意味着你出生在什么样的家庭）往往是影响机会平等的重要</w:t>
      </w:r>
      <w:r w:rsidR="00082E2A" w:rsidRPr="00D56C50">
        <w:rPr>
          <w:rFonts w:ascii="宋体" w:hAnsi="宋体" w:hint="eastAsia"/>
          <w:szCs w:val="21"/>
        </w:rPr>
        <w:t>因素。这里探讨信贷市场完善一定程度上能突破父辈财富的制约，促进人人享有相对平等的教育</w:t>
      </w:r>
      <w:r w:rsidR="00B27F62" w:rsidRPr="00D56C50">
        <w:rPr>
          <w:rFonts w:ascii="宋体" w:hAnsi="宋体" w:hint="eastAsia"/>
          <w:szCs w:val="21"/>
        </w:rPr>
        <w:t>机会</w:t>
      </w:r>
      <w:r w:rsidR="00F5400B" w:rsidRPr="00D56C50">
        <w:rPr>
          <w:rFonts w:ascii="宋体" w:hAnsi="宋体" w:hint="eastAsia"/>
          <w:szCs w:val="21"/>
        </w:rPr>
        <w:t>，</w:t>
      </w:r>
      <w:r w:rsidR="00082E2A" w:rsidRPr="00D56C50">
        <w:rPr>
          <w:rFonts w:ascii="宋体" w:hAnsi="宋体" w:hint="eastAsia"/>
          <w:szCs w:val="21"/>
        </w:rPr>
        <w:t>是金融有利于减少不平等的重要机制。</w:t>
      </w:r>
    </w:p>
    <w:p w14:paraId="1796F149" w14:textId="77777777" w:rsidR="009C1529" w:rsidRPr="00D56C50" w:rsidRDefault="00572837" w:rsidP="002B7F04">
      <w:pPr>
        <w:spacing w:line="288" w:lineRule="auto"/>
        <w:ind w:firstLineChars="171" w:firstLine="359"/>
        <w:rPr>
          <w:rFonts w:asciiTheme="minorEastAsia" w:eastAsiaTheme="minorEastAsia" w:hAnsiTheme="minorEastAsia"/>
          <w:szCs w:val="21"/>
        </w:rPr>
      </w:pPr>
      <w:r w:rsidRPr="00D56C50">
        <w:rPr>
          <w:rFonts w:asciiTheme="minorEastAsia" w:eastAsiaTheme="minorEastAsia" w:hAnsiTheme="minorEastAsia" w:hint="eastAsia"/>
          <w:szCs w:val="21"/>
        </w:rPr>
        <w:t>其次</w:t>
      </w:r>
      <w:r w:rsidR="009C1529" w:rsidRPr="00D56C50">
        <w:rPr>
          <w:rFonts w:asciiTheme="minorEastAsia" w:eastAsiaTheme="minorEastAsia" w:hAnsiTheme="minorEastAsia" w:hint="eastAsia"/>
          <w:szCs w:val="21"/>
        </w:rPr>
        <w:t>，</w:t>
      </w:r>
      <w:r w:rsidR="00B27F62" w:rsidRPr="00D56C50">
        <w:rPr>
          <w:rFonts w:asciiTheme="minorEastAsia" w:eastAsiaTheme="minorEastAsia" w:hAnsiTheme="minorEastAsia" w:hint="eastAsia"/>
          <w:szCs w:val="21"/>
        </w:rPr>
        <w:t>资产（</w:t>
      </w:r>
      <w:r w:rsidR="009C1529" w:rsidRPr="00D56C50">
        <w:rPr>
          <w:rFonts w:asciiTheme="minorEastAsia" w:eastAsiaTheme="minorEastAsia" w:hAnsiTheme="minorEastAsia" w:hint="eastAsia"/>
          <w:szCs w:val="21"/>
        </w:rPr>
        <w:t>财富</w:t>
      </w:r>
      <w:r w:rsidR="00B27F62" w:rsidRPr="00D56C50">
        <w:rPr>
          <w:rFonts w:asciiTheme="minorEastAsia" w:eastAsiaTheme="minorEastAsia" w:hAnsiTheme="minorEastAsia" w:hint="eastAsia"/>
          <w:szCs w:val="21"/>
        </w:rPr>
        <w:t>）</w:t>
      </w:r>
      <w:r w:rsidR="009C1529" w:rsidRPr="00D56C50">
        <w:rPr>
          <w:rFonts w:asciiTheme="minorEastAsia" w:eastAsiaTheme="minorEastAsia" w:hAnsiTheme="minorEastAsia" w:hint="eastAsia"/>
          <w:szCs w:val="21"/>
        </w:rPr>
        <w:t>差距会加大收入差距</w:t>
      </w:r>
      <w:r w:rsidR="00B27F62" w:rsidRPr="00D56C50">
        <w:rPr>
          <w:rFonts w:asciiTheme="minorEastAsia" w:eastAsiaTheme="minorEastAsia" w:hAnsiTheme="minorEastAsia" w:hint="eastAsia"/>
          <w:szCs w:val="21"/>
        </w:rPr>
        <w:t>。</w:t>
      </w:r>
    </w:p>
    <w:p w14:paraId="14B32E3A" w14:textId="77777777" w:rsidR="00B27F62" w:rsidRPr="00D56C50" w:rsidRDefault="00B27F62" w:rsidP="002B7F04">
      <w:pPr>
        <w:spacing w:line="288" w:lineRule="auto"/>
        <w:ind w:firstLineChars="170" w:firstLine="357"/>
        <w:rPr>
          <w:rFonts w:asciiTheme="minorEastAsia" w:eastAsiaTheme="minorEastAsia" w:hAnsiTheme="minorEastAsia"/>
          <w:szCs w:val="21"/>
        </w:rPr>
      </w:pPr>
      <w:r w:rsidRPr="00D56C50">
        <w:rPr>
          <w:rFonts w:asciiTheme="minorEastAsia" w:eastAsiaTheme="minorEastAsia" w:hAnsiTheme="minorEastAsia" w:hint="eastAsia"/>
          <w:szCs w:val="21"/>
        </w:rPr>
        <w:t>接下来探讨个人拥有资产带来资产收益。即（1）</w:t>
      </w:r>
      <w:r w:rsidR="00F214D7" w:rsidRPr="00D56C50">
        <w:rPr>
          <w:rFonts w:asciiTheme="minorEastAsia" w:eastAsiaTheme="minorEastAsia" w:hAnsiTheme="minorEastAsia" w:hint="eastAsia"/>
          <w:szCs w:val="21"/>
        </w:rPr>
        <w:t>式</w:t>
      </w:r>
      <w:r w:rsidRPr="00D56C50">
        <w:rPr>
          <w:rFonts w:asciiTheme="minorEastAsia" w:eastAsiaTheme="minorEastAsia" w:hAnsiTheme="minorEastAsia" w:hint="eastAsia"/>
          <w:szCs w:val="21"/>
        </w:rPr>
        <w:t>中的</w:t>
      </w:r>
      <w:r w:rsidRPr="00D56C50">
        <w:rPr>
          <w:rFonts w:ascii="宋体" w:hAnsi="宋体"/>
          <w:szCs w:val="21"/>
        </w:rPr>
        <w:t>a(</w:t>
      </w:r>
      <w:proofErr w:type="spellStart"/>
      <w:r w:rsidRPr="00D56C50">
        <w:rPr>
          <w:rFonts w:ascii="宋体" w:hAnsi="宋体"/>
          <w:szCs w:val="21"/>
        </w:rPr>
        <w:t>i,t</w:t>
      </w:r>
      <w:proofErr w:type="spellEnd"/>
      <w:r w:rsidRPr="00D56C50">
        <w:rPr>
          <w:rFonts w:ascii="宋体" w:hAnsi="宋体"/>
          <w:szCs w:val="21"/>
        </w:rPr>
        <w:t>)r(</w:t>
      </w:r>
      <w:proofErr w:type="spellStart"/>
      <w:r w:rsidRPr="00D56C50">
        <w:rPr>
          <w:rFonts w:ascii="宋体" w:hAnsi="宋体"/>
          <w:szCs w:val="21"/>
        </w:rPr>
        <w:t>i,t</w:t>
      </w:r>
      <w:proofErr w:type="spellEnd"/>
      <w:r w:rsidRPr="00D56C50">
        <w:rPr>
          <w:rFonts w:ascii="宋体" w:hAnsi="宋体"/>
          <w:szCs w:val="21"/>
        </w:rPr>
        <w:t>)</w:t>
      </w:r>
      <w:r w:rsidRPr="00D56C50">
        <w:rPr>
          <w:rFonts w:ascii="宋体" w:hAnsi="宋体" w:hint="eastAsia"/>
          <w:szCs w:val="21"/>
        </w:rPr>
        <w:t>项。</w:t>
      </w:r>
    </w:p>
    <w:p w14:paraId="39011D18" w14:textId="77777777" w:rsidR="00B27F62" w:rsidRPr="00D56C50" w:rsidRDefault="00B27F62" w:rsidP="002B7F04">
      <w:pPr>
        <w:spacing w:line="288" w:lineRule="auto"/>
        <w:ind w:firstLineChars="170" w:firstLine="357"/>
        <w:rPr>
          <w:kern w:val="0"/>
          <w:szCs w:val="21"/>
        </w:rPr>
      </w:pPr>
      <w:r w:rsidRPr="00D56C50">
        <w:rPr>
          <w:rFonts w:asciiTheme="minorEastAsia" w:eastAsiaTheme="minorEastAsia" w:hAnsiTheme="minorEastAsia" w:hint="eastAsia"/>
          <w:szCs w:val="21"/>
        </w:rPr>
        <w:t>一方面，资产</w:t>
      </w:r>
      <w:r w:rsidR="009C1529" w:rsidRPr="00D56C50">
        <w:rPr>
          <w:rFonts w:asciiTheme="minorEastAsia" w:eastAsiaTheme="minorEastAsia" w:hAnsiTheme="minorEastAsia" w:hint="eastAsia"/>
          <w:szCs w:val="21"/>
        </w:rPr>
        <w:t>差距来自于收入差距的积累</w:t>
      </w:r>
      <w:r w:rsidRPr="00D56C50">
        <w:rPr>
          <w:rFonts w:asciiTheme="minorEastAsia" w:eastAsiaTheme="minorEastAsia" w:hAnsiTheme="minorEastAsia" w:hint="eastAsia"/>
          <w:szCs w:val="21"/>
        </w:rPr>
        <w:t>（包括对父辈财富的继承）</w:t>
      </w:r>
      <w:r w:rsidR="009C1529" w:rsidRPr="00D56C50">
        <w:rPr>
          <w:rFonts w:asciiTheme="minorEastAsia" w:eastAsiaTheme="minorEastAsia" w:hAnsiTheme="minorEastAsia" w:hint="eastAsia"/>
          <w:szCs w:val="21"/>
        </w:rPr>
        <w:t>，另一方面，</w:t>
      </w:r>
      <w:r w:rsidRPr="00D56C50">
        <w:rPr>
          <w:rFonts w:asciiTheme="minorEastAsia" w:eastAsiaTheme="minorEastAsia" w:hAnsiTheme="minorEastAsia" w:hint="eastAsia"/>
          <w:szCs w:val="21"/>
        </w:rPr>
        <w:t>资产</w:t>
      </w:r>
      <w:r w:rsidR="009C1529" w:rsidRPr="00D56C50">
        <w:rPr>
          <w:rFonts w:asciiTheme="minorEastAsia" w:eastAsiaTheme="minorEastAsia" w:hAnsiTheme="minorEastAsia" w:hint="eastAsia"/>
          <w:szCs w:val="21"/>
        </w:rPr>
        <w:t>差距也会进一步拉大收入差距。</w:t>
      </w:r>
      <w:r w:rsidRPr="00D56C50">
        <w:rPr>
          <w:rFonts w:asciiTheme="minorEastAsia" w:eastAsiaTheme="minorEastAsia" w:hAnsiTheme="minorEastAsia" w:hint="eastAsia"/>
          <w:szCs w:val="21"/>
        </w:rPr>
        <w:t>首先，</w:t>
      </w:r>
      <w:r w:rsidR="009C1529" w:rsidRPr="00D56C50">
        <w:rPr>
          <w:rFonts w:ascii="宋体" w:hAnsi="宋体" w:hint="eastAsia"/>
          <w:szCs w:val="21"/>
        </w:rPr>
        <w:t>有无资产决定了有无资产收益。</w:t>
      </w:r>
      <w:r w:rsidR="00750449" w:rsidRPr="00D56C50">
        <w:rPr>
          <w:rFonts w:ascii="宋体" w:hAnsi="宋体" w:hint="eastAsia"/>
          <w:szCs w:val="21"/>
        </w:rPr>
        <w:t>除了工资收入，资产收益也是个体分享经济发展成果的重要体现，而没有资产就</w:t>
      </w:r>
      <w:r w:rsidR="009C1529" w:rsidRPr="00D56C50">
        <w:rPr>
          <w:rFonts w:ascii="宋体" w:hAnsi="宋体" w:hint="eastAsia"/>
          <w:szCs w:val="21"/>
        </w:rPr>
        <w:t>使得</w:t>
      </w:r>
      <w:r w:rsidR="00750449" w:rsidRPr="00D56C50">
        <w:rPr>
          <w:rFonts w:ascii="宋体" w:hAnsi="宋体" w:hint="eastAsia"/>
          <w:szCs w:val="21"/>
        </w:rPr>
        <w:t>他们</w:t>
      </w:r>
      <w:r w:rsidR="009C1529" w:rsidRPr="00D56C50">
        <w:rPr>
          <w:rFonts w:ascii="宋体" w:hAnsi="宋体" w:hint="eastAsia"/>
          <w:szCs w:val="21"/>
        </w:rPr>
        <w:t>无法分享增长所带来的资产增值收益。</w:t>
      </w:r>
      <w:r w:rsidRPr="00D56C50">
        <w:rPr>
          <w:rFonts w:ascii="宋体" w:hAnsi="宋体" w:hint="eastAsia"/>
          <w:szCs w:val="21"/>
        </w:rPr>
        <w:t>其次，</w:t>
      </w:r>
      <w:r w:rsidR="009C1529" w:rsidRPr="00D56C50">
        <w:rPr>
          <w:rFonts w:ascii="宋体" w:hAnsi="宋体" w:hint="eastAsia"/>
          <w:szCs w:val="21"/>
        </w:rPr>
        <w:t>资产的差距(即a的大小)，其实在很大程度上也决定了资产收益率r。</w:t>
      </w:r>
      <w:r w:rsidR="009C1529" w:rsidRPr="00D56C50">
        <w:rPr>
          <w:rFonts w:hint="eastAsia"/>
          <w:kern w:val="0"/>
          <w:szCs w:val="21"/>
        </w:rPr>
        <w:t>例如，与高回报投资（包括高回报创业活动）相关的最低投资要求或固定成本</w:t>
      </w:r>
      <w:r w:rsidRPr="00D56C50">
        <w:rPr>
          <w:rFonts w:hint="eastAsia"/>
          <w:kern w:val="0"/>
          <w:szCs w:val="21"/>
        </w:rPr>
        <w:t>，</w:t>
      </w:r>
      <w:r w:rsidR="009C1529" w:rsidRPr="00D56C50">
        <w:rPr>
          <w:rFonts w:hint="eastAsia"/>
          <w:kern w:val="0"/>
          <w:szCs w:val="21"/>
        </w:rPr>
        <w:t>意味着更富有的个人可以获得更高的回报，</w:t>
      </w:r>
      <w:r w:rsidR="00572837" w:rsidRPr="00D56C50">
        <w:rPr>
          <w:rFonts w:hint="eastAsia"/>
          <w:kern w:val="0"/>
          <w:szCs w:val="21"/>
        </w:rPr>
        <w:t>即</w:t>
      </w:r>
      <w:r w:rsidR="009C1529" w:rsidRPr="00D56C50">
        <w:rPr>
          <w:rFonts w:eastAsiaTheme="minorEastAsia"/>
          <w:kern w:val="0"/>
          <w:szCs w:val="21"/>
        </w:rPr>
        <w:t>∂</w:t>
      </w:r>
      <w:r w:rsidR="009C1529" w:rsidRPr="00D56C50">
        <w:rPr>
          <w:rFonts w:asciiTheme="minorEastAsia" w:eastAsiaTheme="minorEastAsia" w:hAnsiTheme="minorEastAsia"/>
          <w:kern w:val="0"/>
          <w:szCs w:val="21"/>
        </w:rPr>
        <w:t>r(a(</w:t>
      </w:r>
      <w:proofErr w:type="spellStart"/>
      <w:r w:rsidR="009C1529" w:rsidRPr="00D56C50">
        <w:rPr>
          <w:rFonts w:asciiTheme="minorEastAsia" w:eastAsiaTheme="minorEastAsia" w:hAnsiTheme="minorEastAsia"/>
          <w:kern w:val="0"/>
          <w:szCs w:val="21"/>
        </w:rPr>
        <w:t>i,t</w:t>
      </w:r>
      <w:proofErr w:type="spellEnd"/>
      <w:r w:rsidR="009C1529" w:rsidRPr="00D56C50">
        <w:rPr>
          <w:rFonts w:asciiTheme="minorEastAsia" w:eastAsiaTheme="minorEastAsia" w:hAnsiTheme="minorEastAsia"/>
          <w:kern w:val="0"/>
          <w:szCs w:val="21"/>
        </w:rPr>
        <w:t>),t)/</w:t>
      </w:r>
      <w:r w:rsidR="009C1529" w:rsidRPr="00D56C50">
        <w:rPr>
          <w:rFonts w:eastAsiaTheme="minorEastAsia"/>
          <w:kern w:val="0"/>
          <w:szCs w:val="21"/>
        </w:rPr>
        <w:t>∂</w:t>
      </w:r>
      <w:r w:rsidR="009C1529" w:rsidRPr="00D56C50">
        <w:rPr>
          <w:rFonts w:asciiTheme="minorEastAsia" w:eastAsiaTheme="minorEastAsia" w:hAnsiTheme="minorEastAsia"/>
          <w:kern w:val="0"/>
          <w:szCs w:val="21"/>
        </w:rPr>
        <w:t>a(</w:t>
      </w:r>
      <w:proofErr w:type="spellStart"/>
      <w:r w:rsidR="009C1529" w:rsidRPr="00D56C50">
        <w:rPr>
          <w:rFonts w:asciiTheme="minorEastAsia" w:eastAsiaTheme="minorEastAsia" w:hAnsiTheme="minorEastAsia"/>
          <w:kern w:val="0"/>
          <w:szCs w:val="21"/>
        </w:rPr>
        <w:t>i,t</w:t>
      </w:r>
      <w:proofErr w:type="spellEnd"/>
      <w:r w:rsidR="009C1529" w:rsidRPr="00D56C50">
        <w:rPr>
          <w:rFonts w:asciiTheme="minorEastAsia" w:eastAsiaTheme="minorEastAsia" w:hAnsiTheme="minorEastAsia"/>
          <w:kern w:val="0"/>
          <w:szCs w:val="21"/>
        </w:rPr>
        <w:t>) &gt;0</w:t>
      </w:r>
      <w:r w:rsidR="009C1529" w:rsidRPr="00D56C50">
        <w:rPr>
          <w:rFonts w:hint="eastAsia"/>
          <w:kern w:val="0"/>
          <w:szCs w:val="21"/>
        </w:rPr>
        <w:t>，这会使</w:t>
      </w:r>
      <w:r w:rsidR="00572837" w:rsidRPr="00D56C50">
        <w:rPr>
          <w:rFonts w:hint="eastAsia"/>
          <w:kern w:val="0"/>
          <w:szCs w:val="21"/>
        </w:rPr>
        <w:t>得</w:t>
      </w:r>
      <w:r w:rsidR="009C1529" w:rsidRPr="00D56C50">
        <w:rPr>
          <w:rFonts w:hint="eastAsia"/>
          <w:kern w:val="0"/>
          <w:szCs w:val="21"/>
        </w:rPr>
        <w:t>不平等永久化。</w:t>
      </w:r>
      <w:r w:rsidRPr="00D56C50">
        <w:rPr>
          <w:rFonts w:hint="eastAsia"/>
          <w:kern w:val="0"/>
          <w:szCs w:val="21"/>
        </w:rPr>
        <w:t>资产差距因为金融的影响（作用于资产收益率</w:t>
      </w:r>
      <w:r w:rsidRPr="00D56C50">
        <w:rPr>
          <w:rFonts w:hint="eastAsia"/>
          <w:kern w:val="0"/>
          <w:szCs w:val="21"/>
        </w:rPr>
        <w:t>r</w:t>
      </w:r>
      <w:r w:rsidRPr="00D56C50">
        <w:rPr>
          <w:rFonts w:hint="eastAsia"/>
          <w:kern w:val="0"/>
          <w:szCs w:val="21"/>
        </w:rPr>
        <w:t>）会被进一步放大，并导致收入差距扩大。</w:t>
      </w:r>
    </w:p>
    <w:p w14:paraId="7AC5FA22" w14:textId="77777777" w:rsidR="00750449" w:rsidRPr="00D56C50" w:rsidRDefault="00750449" w:rsidP="002B7F04">
      <w:pPr>
        <w:spacing w:line="288" w:lineRule="auto"/>
        <w:ind w:firstLineChars="170" w:firstLine="357"/>
        <w:rPr>
          <w:kern w:val="0"/>
          <w:szCs w:val="21"/>
        </w:rPr>
      </w:pPr>
      <w:r w:rsidRPr="00D56C50">
        <w:rPr>
          <w:rFonts w:hint="eastAsia"/>
          <w:kern w:val="0"/>
          <w:szCs w:val="21"/>
        </w:rPr>
        <w:lastRenderedPageBreak/>
        <w:t>第三，资产贫困陷阱。</w:t>
      </w:r>
    </w:p>
    <w:p w14:paraId="1819D115" w14:textId="77777777" w:rsidR="00750449" w:rsidRPr="00D56C50" w:rsidRDefault="00F831EA" w:rsidP="002B7F04">
      <w:pPr>
        <w:autoSpaceDE w:val="0"/>
        <w:autoSpaceDN w:val="0"/>
        <w:adjustRightInd w:val="0"/>
        <w:spacing w:line="288" w:lineRule="auto"/>
        <w:ind w:firstLineChars="202" w:firstLine="424"/>
        <w:jc w:val="left"/>
        <w:rPr>
          <w:szCs w:val="21"/>
        </w:rPr>
      </w:pPr>
      <w:r w:rsidRPr="00D56C50">
        <w:rPr>
          <w:rFonts w:hint="eastAsia"/>
          <w:szCs w:val="21"/>
        </w:rPr>
        <w:t>针对收入贫困，</w:t>
      </w:r>
      <w:r w:rsidR="00F5400B" w:rsidRPr="00D56C50">
        <w:rPr>
          <w:szCs w:val="21"/>
        </w:rPr>
        <w:t>Oliver and Shapiro (1997)</w:t>
      </w:r>
      <w:r w:rsidR="00F5400B" w:rsidRPr="00D56C50">
        <w:rPr>
          <w:rFonts w:hint="eastAsia"/>
          <w:szCs w:val="21"/>
        </w:rPr>
        <w:t>最早提出</w:t>
      </w:r>
      <w:r w:rsidR="00750449" w:rsidRPr="00D56C50">
        <w:rPr>
          <w:rFonts w:hint="eastAsia"/>
          <w:szCs w:val="21"/>
        </w:rPr>
        <w:t>资产贫困概念</w:t>
      </w:r>
      <w:r w:rsidR="00F5400B" w:rsidRPr="00D56C50">
        <w:rPr>
          <w:rFonts w:hint="eastAsia"/>
          <w:szCs w:val="21"/>
        </w:rPr>
        <w:t>。</w:t>
      </w:r>
      <w:proofErr w:type="spellStart"/>
      <w:r w:rsidR="00F5400B" w:rsidRPr="00D56C50">
        <w:rPr>
          <w:szCs w:val="21"/>
        </w:rPr>
        <w:t>Haveman</w:t>
      </w:r>
      <w:proofErr w:type="spellEnd"/>
      <w:r w:rsidR="00F5400B" w:rsidRPr="00D56C50">
        <w:rPr>
          <w:szCs w:val="21"/>
        </w:rPr>
        <w:t xml:space="preserve"> and Wolff</w:t>
      </w:r>
      <w:r w:rsidR="00F5400B" w:rsidRPr="00D56C50">
        <w:rPr>
          <w:rFonts w:hint="eastAsia"/>
          <w:szCs w:val="21"/>
        </w:rPr>
        <w:t xml:space="preserve"> </w:t>
      </w:r>
      <w:r w:rsidR="00F5400B" w:rsidRPr="00D56C50">
        <w:rPr>
          <w:rFonts w:hint="eastAsia"/>
          <w:szCs w:val="21"/>
        </w:rPr>
        <w:t>（</w:t>
      </w:r>
      <w:r w:rsidR="00F5400B" w:rsidRPr="00D56C50">
        <w:rPr>
          <w:rFonts w:hint="eastAsia"/>
          <w:szCs w:val="21"/>
        </w:rPr>
        <w:t>2004</w:t>
      </w:r>
      <w:r w:rsidR="00F5400B" w:rsidRPr="00D56C50">
        <w:rPr>
          <w:rFonts w:hint="eastAsia"/>
          <w:szCs w:val="21"/>
        </w:rPr>
        <w:t>）发展了这一概念。</w:t>
      </w:r>
      <w:r w:rsidR="00750449" w:rsidRPr="00D56C50">
        <w:rPr>
          <w:rFonts w:hint="eastAsia"/>
          <w:szCs w:val="21"/>
        </w:rPr>
        <w:t>他们认为，如果一个家庭或个人拥有的财富类资源不足以满足他们的“一</w:t>
      </w:r>
      <w:r w:rsidR="00750449" w:rsidRPr="00D56C50">
        <w:rPr>
          <w:rFonts w:hint="eastAsia"/>
        </w:rPr>
        <w:t>定时期”的“基本需要”，那么这样的家庭或个人就可以界定为“资产贫困”</w:t>
      </w:r>
      <w:r w:rsidR="00F5400B" w:rsidRPr="00D56C50">
        <w:rPr>
          <w:rFonts w:ascii="宋体" w:hAnsi="宋体" w:hint="eastAsia"/>
          <w:szCs w:val="21"/>
        </w:rPr>
        <w:t>（</w:t>
      </w:r>
      <w:r w:rsidR="00750449" w:rsidRPr="00D56C50">
        <w:rPr>
          <w:rFonts w:ascii="宋体" w:hAnsi="宋体" w:hint="eastAsia"/>
          <w:szCs w:val="21"/>
        </w:rPr>
        <w:t>asset poverty</w:t>
      </w:r>
      <w:r w:rsidR="00F5400B" w:rsidRPr="00D56C50">
        <w:rPr>
          <w:rFonts w:ascii="宋体" w:hAnsi="宋体" w:hint="eastAsia"/>
          <w:szCs w:val="21"/>
        </w:rPr>
        <w:t>）</w:t>
      </w:r>
      <w:r w:rsidR="00750449" w:rsidRPr="00D56C50">
        <w:rPr>
          <w:rFonts w:hint="eastAsia"/>
        </w:rPr>
        <w:t>。前</w:t>
      </w:r>
      <w:r w:rsidR="00750449" w:rsidRPr="00D56C50">
        <w:rPr>
          <w:rFonts w:hint="eastAsia"/>
          <w:szCs w:val="21"/>
        </w:rPr>
        <w:t>面提到，资产分配的不平等会加剧收入分配的不平等。特别是，在一个不发达的金融市场上，资金供给与需求机制形成一个怪圈：越是资产贫困者，越是不能积累资产进行投资，他们仅有的储蓄会成为资产富裕者投资的资金来源。这样，贫穷会成为贫穷的原因，形成“资产贫困陷阱”这样的恶性循环。此外，</w:t>
      </w:r>
      <w:r w:rsidR="00750449" w:rsidRPr="00D56C50">
        <w:rPr>
          <w:rFonts w:ascii="宋体" w:cs="宋体" w:hint="eastAsia"/>
          <w:kern w:val="0"/>
          <w:szCs w:val="21"/>
        </w:rPr>
        <w:t>资产贫困者还被体制所排斥，不能分享现行制度的好处。</w:t>
      </w:r>
      <w:r w:rsidR="00750449" w:rsidRPr="00D56C50">
        <w:rPr>
          <w:kern w:val="0"/>
          <w:szCs w:val="21"/>
        </w:rPr>
        <w:t>由于穷人没有资产，政府有关家庭资产积累的规定，对房屋资产、退休金和遗产的税收优惠、激励和补贴政策不可能惠及穷人。</w:t>
      </w:r>
      <w:r w:rsidR="00750449" w:rsidRPr="00D56C50">
        <w:rPr>
          <w:rFonts w:hint="eastAsia"/>
          <w:kern w:val="0"/>
          <w:szCs w:val="21"/>
        </w:rPr>
        <w:t>例如</w:t>
      </w:r>
      <w:r w:rsidR="00750449" w:rsidRPr="00D56C50">
        <w:rPr>
          <w:kern w:val="0"/>
          <w:szCs w:val="21"/>
        </w:rPr>
        <w:t>，用于支持房屋所有和退休养老金的税收支出，正在充分和直接地使至少三分之二的美国家庭受益。相反，非房屋所有者和没有福利的受雇者则没有参与到这些制度化资产积累的主要形式之中</w:t>
      </w:r>
      <w:r w:rsidR="00750449" w:rsidRPr="00D56C50">
        <w:rPr>
          <w:kern w:val="0"/>
          <w:szCs w:val="21"/>
        </w:rPr>
        <w:t>(</w:t>
      </w:r>
      <w:r w:rsidR="00750449" w:rsidRPr="00D56C50">
        <w:rPr>
          <w:rFonts w:hint="eastAsia"/>
          <w:kern w:val="0"/>
          <w:szCs w:val="21"/>
        </w:rPr>
        <w:t>迈克尔·</w:t>
      </w:r>
      <w:r w:rsidR="00750449" w:rsidRPr="00D56C50">
        <w:rPr>
          <w:kern w:val="0"/>
          <w:szCs w:val="21"/>
        </w:rPr>
        <w:t>谢若登，</w:t>
      </w:r>
      <w:r w:rsidR="00750449" w:rsidRPr="00D56C50">
        <w:rPr>
          <w:kern w:val="0"/>
          <w:szCs w:val="21"/>
        </w:rPr>
        <w:t>199</w:t>
      </w:r>
      <w:r w:rsidR="00750449" w:rsidRPr="00D56C50">
        <w:rPr>
          <w:rFonts w:hint="eastAsia"/>
          <w:kern w:val="0"/>
          <w:szCs w:val="21"/>
        </w:rPr>
        <w:t>1</w:t>
      </w:r>
      <w:r w:rsidR="00750449" w:rsidRPr="00D56C50">
        <w:rPr>
          <w:kern w:val="0"/>
          <w:szCs w:val="21"/>
        </w:rPr>
        <w:t>)</w:t>
      </w:r>
      <w:r w:rsidR="00750449" w:rsidRPr="00D56C50">
        <w:rPr>
          <w:kern w:val="0"/>
          <w:szCs w:val="21"/>
        </w:rPr>
        <w:t>。</w:t>
      </w:r>
    </w:p>
    <w:p w14:paraId="3176C74E" w14:textId="77777777" w:rsidR="009C1529" w:rsidRPr="00D56C50" w:rsidRDefault="00B27F62" w:rsidP="002B7F04">
      <w:pPr>
        <w:spacing w:line="288" w:lineRule="auto"/>
        <w:ind w:firstLineChars="170" w:firstLine="357"/>
        <w:rPr>
          <w:rFonts w:asciiTheme="minorEastAsia" w:eastAsiaTheme="minorEastAsia" w:hAnsiTheme="minorEastAsia"/>
          <w:szCs w:val="21"/>
        </w:rPr>
      </w:pPr>
      <w:r w:rsidRPr="00D56C50">
        <w:rPr>
          <w:rFonts w:hint="eastAsia"/>
          <w:kern w:val="0"/>
          <w:szCs w:val="21"/>
        </w:rPr>
        <w:t>以上</w:t>
      </w:r>
      <w:r w:rsidRPr="00D56C50">
        <w:rPr>
          <w:rFonts w:ascii="宋体" w:hAnsi="宋体" w:hint="eastAsia"/>
          <w:szCs w:val="21"/>
        </w:rPr>
        <w:t>这一简约的分析框架，揭示出</w:t>
      </w:r>
      <w:r w:rsidRPr="00D56C50">
        <w:rPr>
          <w:rFonts w:hint="eastAsia"/>
        </w:rPr>
        <w:t>金融在持续不平等理论中起着核心作用。</w:t>
      </w:r>
      <w:r w:rsidRPr="00D56C50">
        <w:rPr>
          <w:rFonts w:ascii="宋体" w:hAnsi="宋体" w:hint="eastAsia"/>
          <w:szCs w:val="21"/>
        </w:rPr>
        <w:t>金融市场摩擦（信贷市场不完善）和金融嫌贫爱富的本性（如</w:t>
      </w:r>
      <w:r w:rsidR="00572837" w:rsidRPr="00D56C50">
        <w:rPr>
          <w:rFonts w:ascii="宋体" w:hAnsi="宋体" w:hint="eastAsia"/>
          <w:szCs w:val="21"/>
        </w:rPr>
        <w:t>准入</w:t>
      </w:r>
      <w:r w:rsidRPr="00D56C50">
        <w:rPr>
          <w:rFonts w:ascii="宋体" w:hAnsi="宋体" w:hint="eastAsia"/>
          <w:szCs w:val="21"/>
        </w:rPr>
        <w:t>门槛</w:t>
      </w:r>
      <w:r w:rsidR="00572837" w:rsidRPr="00D56C50">
        <w:rPr>
          <w:rFonts w:ascii="宋体" w:hAnsi="宋体" w:hint="eastAsia"/>
          <w:szCs w:val="21"/>
        </w:rPr>
        <w:t>的设置），</w:t>
      </w:r>
      <w:r w:rsidRPr="00D56C50">
        <w:rPr>
          <w:rFonts w:ascii="宋体" w:hAnsi="宋体" w:hint="eastAsia"/>
          <w:szCs w:val="21"/>
        </w:rPr>
        <w:t>影响到财富、人力资本积累和</w:t>
      </w:r>
      <w:r w:rsidRPr="00D56C50">
        <w:rPr>
          <w:rFonts w:hint="eastAsia"/>
        </w:rPr>
        <w:t>投资机会的代际传递，而这反过来又决定了不平等的持续性。</w:t>
      </w:r>
    </w:p>
    <w:p w14:paraId="34C8C96A" w14:textId="77777777" w:rsidR="005638E7" w:rsidRPr="00D56C50" w:rsidRDefault="00B27F62" w:rsidP="002B7F04">
      <w:pPr>
        <w:pStyle w:val="1"/>
        <w:spacing w:beforeLines="100" w:before="312" w:afterLines="100" w:after="312" w:line="288" w:lineRule="auto"/>
        <w:rPr>
          <w:sz w:val="21"/>
          <w:szCs w:val="21"/>
        </w:rPr>
      </w:pPr>
      <w:r w:rsidRPr="00D56C50">
        <w:rPr>
          <w:rFonts w:hint="eastAsia"/>
          <w:sz w:val="21"/>
          <w:szCs w:val="21"/>
        </w:rPr>
        <w:t>三、</w:t>
      </w:r>
      <w:r w:rsidR="00FC0B92" w:rsidRPr="00D56C50">
        <w:rPr>
          <w:rFonts w:hint="eastAsia"/>
          <w:sz w:val="21"/>
          <w:szCs w:val="21"/>
        </w:rPr>
        <w:t>金融</w:t>
      </w:r>
      <w:r w:rsidRPr="00D56C50">
        <w:rPr>
          <w:rFonts w:hint="eastAsia"/>
          <w:sz w:val="21"/>
          <w:szCs w:val="21"/>
        </w:rPr>
        <w:t>发展与</w:t>
      </w:r>
      <w:r w:rsidR="00FC0B92" w:rsidRPr="00D56C50">
        <w:rPr>
          <w:rFonts w:hint="eastAsia"/>
          <w:sz w:val="21"/>
          <w:szCs w:val="21"/>
        </w:rPr>
        <w:t>收入</w:t>
      </w:r>
      <w:r w:rsidRPr="00D56C50">
        <w:rPr>
          <w:rFonts w:hint="eastAsia"/>
          <w:sz w:val="21"/>
          <w:szCs w:val="21"/>
        </w:rPr>
        <w:t>分配：</w:t>
      </w:r>
      <w:r w:rsidR="005638E7" w:rsidRPr="00D56C50">
        <w:rPr>
          <w:rFonts w:hint="eastAsia"/>
          <w:sz w:val="21"/>
          <w:szCs w:val="21"/>
        </w:rPr>
        <w:t>宏观</w:t>
      </w:r>
      <w:r w:rsidR="00FC0B92" w:rsidRPr="00D56C50">
        <w:rPr>
          <w:rFonts w:hint="eastAsia"/>
          <w:sz w:val="21"/>
          <w:szCs w:val="21"/>
        </w:rPr>
        <w:t>视角</w:t>
      </w:r>
    </w:p>
    <w:p w14:paraId="15E3A554" w14:textId="77777777" w:rsidR="00F5400B" w:rsidRPr="00D56C50" w:rsidRDefault="00F5400B" w:rsidP="002B7F04">
      <w:pPr>
        <w:spacing w:line="288" w:lineRule="auto"/>
        <w:ind w:firstLineChars="202" w:firstLine="424"/>
      </w:pPr>
      <w:r w:rsidRPr="00D56C50">
        <w:rPr>
          <w:rFonts w:hint="eastAsia"/>
        </w:rPr>
        <w:t>上节关于金融如何影响</w:t>
      </w:r>
      <w:r w:rsidR="00FC0B92" w:rsidRPr="00D56C50">
        <w:rPr>
          <w:rFonts w:hint="eastAsia"/>
        </w:rPr>
        <w:t>收入不平等</w:t>
      </w:r>
      <w:r w:rsidRPr="00D56C50">
        <w:rPr>
          <w:rFonts w:hint="eastAsia"/>
        </w:rPr>
        <w:t>的讨论主要是微观的、静态的</w:t>
      </w:r>
      <w:r w:rsidR="005A2441" w:rsidRPr="00D56C50">
        <w:rPr>
          <w:rFonts w:hint="eastAsia"/>
        </w:rPr>
        <w:t>，同时也是高度简化的</w:t>
      </w:r>
      <w:r w:rsidRPr="00D56C50">
        <w:rPr>
          <w:rFonts w:hint="eastAsia"/>
        </w:rPr>
        <w:t>。</w:t>
      </w:r>
      <w:r w:rsidR="00572837" w:rsidRPr="00D56C50">
        <w:rPr>
          <w:rFonts w:hint="eastAsia"/>
        </w:rPr>
        <w:t>本节从宏观</w:t>
      </w:r>
      <w:r w:rsidR="005A2441" w:rsidRPr="00D56C50">
        <w:rPr>
          <w:rFonts w:hint="eastAsia"/>
        </w:rPr>
        <w:t>、</w:t>
      </w:r>
      <w:r w:rsidR="00F831EA" w:rsidRPr="00D56C50">
        <w:rPr>
          <w:rFonts w:hint="eastAsia"/>
        </w:rPr>
        <w:t>动态</w:t>
      </w:r>
      <w:r w:rsidR="00572837" w:rsidRPr="00D56C50">
        <w:rPr>
          <w:rFonts w:hint="eastAsia"/>
        </w:rPr>
        <w:t>视角</w:t>
      </w:r>
      <w:r w:rsidR="00F831EA" w:rsidRPr="00D56C50">
        <w:rPr>
          <w:rFonts w:hint="eastAsia"/>
        </w:rPr>
        <w:t>进一步</w:t>
      </w:r>
      <w:r w:rsidR="00572837" w:rsidRPr="00D56C50">
        <w:rPr>
          <w:rFonts w:hint="eastAsia"/>
        </w:rPr>
        <w:t>讨论金融发展与收入分配</w:t>
      </w:r>
      <w:r w:rsidRPr="00D56C50">
        <w:rPr>
          <w:rFonts w:hint="eastAsia"/>
        </w:rPr>
        <w:t>的关系</w:t>
      </w:r>
      <w:r w:rsidR="005A2441" w:rsidRPr="00D56C50">
        <w:rPr>
          <w:rFonts w:hint="eastAsia"/>
        </w:rPr>
        <w:t>，充分展示</w:t>
      </w:r>
      <w:r w:rsidR="00E76482" w:rsidRPr="00D56C50">
        <w:rPr>
          <w:rFonts w:hint="eastAsia"/>
        </w:rPr>
        <w:t>在</w:t>
      </w:r>
      <w:r w:rsidR="005A2441" w:rsidRPr="00D56C50">
        <w:rPr>
          <w:rFonts w:hint="eastAsia"/>
        </w:rPr>
        <w:t>一系列金融制度与政策安排</w:t>
      </w:r>
      <w:r w:rsidR="00E76482" w:rsidRPr="00D56C50">
        <w:rPr>
          <w:rFonts w:hint="eastAsia"/>
        </w:rPr>
        <w:t>下金融发展影响不平等的复杂性，而大量的实证分析</w:t>
      </w:r>
      <w:r w:rsidR="005A2441" w:rsidRPr="00D56C50">
        <w:rPr>
          <w:rFonts w:hint="eastAsia"/>
        </w:rPr>
        <w:t>也使二者的作用机制从模型走向现实</w:t>
      </w:r>
      <w:r w:rsidRPr="00D56C50">
        <w:rPr>
          <w:rFonts w:hint="eastAsia"/>
        </w:rPr>
        <w:t>。</w:t>
      </w:r>
    </w:p>
    <w:p w14:paraId="594A355F" w14:textId="77777777" w:rsidR="00572837" w:rsidRPr="00D56C50" w:rsidRDefault="00F5400B" w:rsidP="002B7F04">
      <w:pPr>
        <w:spacing w:line="288" w:lineRule="auto"/>
        <w:ind w:firstLineChars="202" w:firstLine="424"/>
      </w:pPr>
      <w:r w:rsidRPr="00D56C50">
        <w:rPr>
          <w:rFonts w:hint="eastAsia"/>
        </w:rPr>
        <w:t>在展开</w:t>
      </w:r>
      <w:r w:rsidR="00E76482" w:rsidRPr="00D56C50">
        <w:rPr>
          <w:rFonts w:hint="eastAsia"/>
        </w:rPr>
        <w:t>本节讨论</w:t>
      </w:r>
      <w:r w:rsidRPr="00D56C50">
        <w:rPr>
          <w:rFonts w:hint="eastAsia"/>
        </w:rPr>
        <w:t>之前，首先需要</w:t>
      </w:r>
      <w:r w:rsidR="00572837" w:rsidRPr="00D56C50">
        <w:rPr>
          <w:rFonts w:hint="eastAsia"/>
        </w:rPr>
        <w:t>对金融发展作出界定。</w:t>
      </w:r>
      <w:r w:rsidR="00572837" w:rsidRPr="00D56C50">
        <w:rPr>
          <w:rFonts w:hint="eastAsia"/>
          <w:szCs w:val="21"/>
        </w:rPr>
        <w:t>毕竟，当一些人在说金融有利（或不利）于缓解收入不平等时，他们所说的金融可能并不是一回事。这里，我们借鉴国际货币基金组织的方法，把金融发展概括为三个层次的内容：金融</w:t>
      </w:r>
      <w:r w:rsidR="004130E6" w:rsidRPr="00D56C50">
        <w:rPr>
          <w:rFonts w:hint="eastAsia"/>
          <w:szCs w:val="21"/>
        </w:rPr>
        <w:t>深度（及金融</w:t>
      </w:r>
      <w:r w:rsidR="00572837" w:rsidRPr="00D56C50">
        <w:rPr>
          <w:rFonts w:hint="eastAsia"/>
          <w:szCs w:val="21"/>
        </w:rPr>
        <w:t>化</w:t>
      </w:r>
      <w:r w:rsidR="004130E6" w:rsidRPr="00D56C50">
        <w:rPr>
          <w:rFonts w:hint="eastAsia"/>
          <w:szCs w:val="21"/>
        </w:rPr>
        <w:t>）</w:t>
      </w:r>
      <w:r w:rsidR="00572837" w:rsidRPr="00D56C50">
        <w:rPr>
          <w:rFonts w:hint="eastAsia"/>
          <w:szCs w:val="21"/>
        </w:rPr>
        <w:t>，金融包容性，以及金融稳定性</w:t>
      </w:r>
      <w:r w:rsidR="00F831EA" w:rsidRPr="00D56C50">
        <w:rPr>
          <w:rFonts w:hint="eastAsia"/>
          <w:szCs w:val="21"/>
        </w:rPr>
        <w:t>（</w:t>
      </w:r>
      <w:proofErr w:type="spellStart"/>
      <w:r w:rsidR="00F831EA" w:rsidRPr="00D56C50">
        <w:rPr>
          <w:szCs w:val="21"/>
        </w:rPr>
        <w:t>Čihák</w:t>
      </w:r>
      <w:proofErr w:type="spellEnd"/>
      <w:r w:rsidR="00F831EA" w:rsidRPr="00D56C50">
        <w:rPr>
          <w:szCs w:val="21"/>
        </w:rPr>
        <w:t xml:space="preserve"> </w:t>
      </w:r>
      <w:r w:rsidR="00F831EA" w:rsidRPr="00D56C50">
        <w:rPr>
          <w:rFonts w:hint="eastAsia"/>
          <w:szCs w:val="21"/>
        </w:rPr>
        <w:t>等，</w:t>
      </w:r>
      <w:r w:rsidR="00F831EA" w:rsidRPr="00D56C50">
        <w:rPr>
          <w:rFonts w:hint="eastAsia"/>
          <w:szCs w:val="21"/>
        </w:rPr>
        <w:t>2020</w:t>
      </w:r>
      <w:r w:rsidR="00F831EA" w:rsidRPr="00D56C50">
        <w:rPr>
          <w:rFonts w:hint="eastAsia"/>
          <w:szCs w:val="21"/>
        </w:rPr>
        <w:t>）</w:t>
      </w:r>
      <w:r w:rsidR="00572837" w:rsidRPr="00D56C50">
        <w:rPr>
          <w:rFonts w:hint="eastAsia"/>
          <w:szCs w:val="21"/>
        </w:rPr>
        <w:t>。</w:t>
      </w:r>
    </w:p>
    <w:p w14:paraId="0EEE5DA6" w14:textId="77777777" w:rsidR="00FC0B92" w:rsidRPr="00D56C50" w:rsidRDefault="00EB2235"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w:t>
      </w:r>
      <w:r w:rsidR="005222CE" w:rsidRPr="00D56C50">
        <w:rPr>
          <w:rFonts w:asciiTheme="minorEastAsia" w:eastAsiaTheme="minorEastAsia" w:hAnsiTheme="minorEastAsia" w:hint="eastAsia"/>
          <w:sz w:val="21"/>
          <w:szCs w:val="21"/>
        </w:rPr>
        <w:t>一</w:t>
      </w:r>
      <w:r w:rsidRPr="00D56C50">
        <w:rPr>
          <w:rFonts w:asciiTheme="minorEastAsia" w:eastAsiaTheme="minorEastAsia" w:hAnsiTheme="minorEastAsia" w:hint="eastAsia"/>
          <w:sz w:val="21"/>
          <w:szCs w:val="21"/>
        </w:rPr>
        <w:t>）</w:t>
      </w:r>
      <w:r w:rsidR="00572837" w:rsidRPr="00D56C50">
        <w:rPr>
          <w:rFonts w:asciiTheme="minorEastAsia" w:eastAsiaTheme="minorEastAsia" w:hAnsiTheme="minorEastAsia" w:hint="eastAsia"/>
          <w:sz w:val="21"/>
          <w:szCs w:val="21"/>
        </w:rPr>
        <w:t>金融深度、</w:t>
      </w:r>
      <w:r w:rsidR="00FC0B92" w:rsidRPr="00D56C50">
        <w:rPr>
          <w:rFonts w:asciiTheme="minorEastAsia" w:eastAsiaTheme="minorEastAsia" w:hAnsiTheme="minorEastAsia" w:hint="eastAsia"/>
          <w:sz w:val="21"/>
          <w:szCs w:val="21"/>
        </w:rPr>
        <w:t>金融化</w:t>
      </w:r>
      <w:r w:rsidR="00572837" w:rsidRPr="00D56C50">
        <w:rPr>
          <w:rFonts w:asciiTheme="minorEastAsia" w:eastAsiaTheme="minorEastAsia" w:hAnsiTheme="minorEastAsia" w:hint="eastAsia"/>
          <w:sz w:val="21"/>
          <w:szCs w:val="21"/>
        </w:rPr>
        <w:t>及其分配效应</w:t>
      </w:r>
    </w:p>
    <w:p w14:paraId="698B5E80" w14:textId="77777777" w:rsidR="000B0B59" w:rsidRPr="00D56C50" w:rsidRDefault="00FC0B92" w:rsidP="002B7F04">
      <w:pPr>
        <w:spacing w:line="288" w:lineRule="auto"/>
        <w:ind w:firstLineChars="202" w:firstLine="424"/>
      </w:pPr>
      <w:r w:rsidRPr="00D56C50">
        <w:rPr>
          <w:rFonts w:hint="eastAsia"/>
        </w:rPr>
        <w:t>金融深度</w:t>
      </w:r>
      <w:r w:rsidRPr="00D56C50">
        <w:rPr>
          <w:rFonts w:hint="eastAsia"/>
        </w:rPr>
        <w:t>(financial depth)</w:t>
      </w:r>
      <w:r w:rsidR="00D21EF4" w:rsidRPr="00D56C50">
        <w:rPr>
          <w:rFonts w:hint="eastAsia"/>
        </w:rPr>
        <w:t>包含两个维度：一</w:t>
      </w:r>
      <w:r w:rsidR="00572837" w:rsidRPr="00D56C50">
        <w:rPr>
          <w:rFonts w:hint="eastAsia"/>
        </w:rPr>
        <w:t>是</w:t>
      </w:r>
      <w:r w:rsidRPr="00D56C50">
        <w:rPr>
          <w:rFonts w:hint="eastAsia"/>
        </w:rPr>
        <w:t>金融部门规模</w:t>
      </w:r>
      <w:r w:rsidR="00572837" w:rsidRPr="00D56C50">
        <w:rPr>
          <w:rFonts w:hint="eastAsia"/>
        </w:rPr>
        <w:t>占</w:t>
      </w:r>
      <w:r w:rsidRPr="00D56C50">
        <w:rPr>
          <w:rFonts w:hint="eastAsia"/>
        </w:rPr>
        <w:t>总体经济规模的</w:t>
      </w:r>
      <w:r w:rsidR="00572837" w:rsidRPr="00D56C50">
        <w:rPr>
          <w:rFonts w:hint="eastAsia"/>
        </w:rPr>
        <w:t>比重，</w:t>
      </w:r>
      <w:r w:rsidRPr="00D56C50">
        <w:rPr>
          <w:rFonts w:hint="eastAsia"/>
        </w:rPr>
        <w:t>一般由银行信贷占</w:t>
      </w:r>
      <w:r w:rsidRPr="00D56C50">
        <w:rPr>
          <w:rFonts w:hint="eastAsia"/>
        </w:rPr>
        <w:t>GDP</w:t>
      </w:r>
      <w:r w:rsidR="00572837" w:rsidRPr="00D56C50">
        <w:rPr>
          <w:rFonts w:hint="eastAsia"/>
        </w:rPr>
        <w:t>的比重、</w:t>
      </w:r>
      <w:r w:rsidRPr="00D56C50">
        <w:rPr>
          <w:rFonts w:hint="eastAsia"/>
        </w:rPr>
        <w:t>市场资本化（股票市值）水平</w:t>
      </w:r>
      <w:r w:rsidR="00572837" w:rsidRPr="00D56C50">
        <w:rPr>
          <w:rFonts w:hint="eastAsia"/>
        </w:rPr>
        <w:t>、</w:t>
      </w:r>
      <w:r w:rsidRPr="00D56C50">
        <w:rPr>
          <w:rFonts w:hint="eastAsia"/>
        </w:rPr>
        <w:t>债券市场规模，</w:t>
      </w:r>
      <w:r w:rsidR="00572837" w:rsidRPr="00D56C50">
        <w:rPr>
          <w:rFonts w:hint="eastAsia"/>
        </w:rPr>
        <w:t>以及</w:t>
      </w:r>
      <w:r w:rsidRPr="00D56C50">
        <w:rPr>
          <w:rFonts w:hint="eastAsia"/>
        </w:rPr>
        <w:t>衍生工具</w:t>
      </w:r>
      <w:r w:rsidR="00572837" w:rsidRPr="00D56C50">
        <w:rPr>
          <w:rFonts w:hint="eastAsia"/>
        </w:rPr>
        <w:t>规模</w:t>
      </w:r>
      <w:r w:rsidRPr="00D56C50">
        <w:rPr>
          <w:rFonts w:hint="eastAsia"/>
        </w:rPr>
        <w:t>等</w:t>
      </w:r>
      <w:r w:rsidR="00572837" w:rsidRPr="00D56C50">
        <w:rPr>
          <w:rFonts w:hint="eastAsia"/>
        </w:rPr>
        <w:t>构成；另一个是</w:t>
      </w:r>
      <w:r w:rsidRPr="00D56C50">
        <w:rPr>
          <w:rFonts w:hint="eastAsia"/>
        </w:rPr>
        <w:t>金融市场的深度</w:t>
      </w:r>
      <w:r w:rsidR="00572837" w:rsidRPr="00D56C50">
        <w:rPr>
          <w:rFonts w:hint="eastAsia"/>
        </w:rPr>
        <w:t>，一般是</w:t>
      </w:r>
      <w:r w:rsidRPr="00D56C50">
        <w:rPr>
          <w:rFonts w:ascii="Helvetica" w:hAnsi="Helvetica"/>
          <w:szCs w:val="21"/>
          <w:shd w:val="clear" w:color="auto" w:fill="FFFFFF"/>
        </w:rPr>
        <w:t>指金融工具（</w:t>
      </w:r>
      <w:r w:rsidR="00572837" w:rsidRPr="00D56C50">
        <w:rPr>
          <w:rFonts w:ascii="Helvetica" w:hAnsi="Helvetica" w:hint="eastAsia"/>
          <w:szCs w:val="21"/>
          <w:shd w:val="clear" w:color="auto" w:fill="FFFFFF"/>
        </w:rPr>
        <w:t>产</w:t>
      </w:r>
      <w:r w:rsidR="00572837" w:rsidRPr="00D56C50">
        <w:rPr>
          <w:rFonts w:ascii="Helvetica" w:hAnsi="Helvetica"/>
          <w:szCs w:val="21"/>
          <w:shd w:val="clear" w:color="auto" w:fill="FFFFFF"/>
        </w:rPr>
        <w:t>品）最初开价与最后成交价</w:t>
      </w:r>
      <w:r w:rsidR="00572837" w:rsidRPr="00D56C50">
        <w:rPr>
          <w:rFonts w:ascii="Helvetica" w:hAnsi="Helvetica" w:hint="eastAsia"/>
          <w:szCs w:val="21"/>
          <w:shd w:val="clear" w:color="auto" w:fill="FFFFFF"/>
        </w:rPr>
        <w:t>之</w:t>
      </w:r>
      <w:r w:rsidRPr="00D56C50">
        <w:rPr>
          <w:rFonts w:ascii="Helvetica" w:hAnsi="Helvetica"/>
          <w:szCs w:val="21"/>
          <w:shd w:val="clear" w:color="auto" w:fill="FFFFFF"/>
        </w:rPr>
        <w:t>间的差额大小</w:t>
      </w:r>
      <w:r w:rsidRPr="00D56C50">
        <w:rPr>
          <w:rFonts w:hint="eastAsia"/>
        </w:rPr>
        <w:t>。</w:t>
      </w:r>
      <w:r w:rsidR="00F831EA" w:rsidRPr="00D56C50">
        <w:rPr>
          <w:rFonts w:hint="eastAsia"/>
        </w:rPr>
        <w:t>金融深度衡量金融发展处在某</w:t>
      </w:r>
      <w:r w:rsidR="00D21EF4" w:rsidRPr="00D56C50">
        <w:rPr>
          <w:rFonts w:hint="eastAsia"/>
        </w:rPr>
        <w:t>个水平</w:t>
      </w:r>
      <w:r w:rsidR="00572837" w:rsidRPr="00D56C50">
        <w:rPr>
          <w:rFonts w:hint="eastAsia"/>
        </w:rPr>
        <w:t>。相较而言，金融化是一个过程。</w:t>
      </w:r>
      <w:r w:rsidR="00D21EF4" w:rsidRPr="00D56C50">
        <w:rPr>
          <w:rFonts w:hint="eastAsia"/>
        </w:rPr>
        <w:t>它</w:t>
      </w:r>
      <w:r w:rsidR="00572837" w:rsidRPr="00D56C50">
        <w:t>是指</w:t>
      </w:r>
      <w:r w:rsidR="00572837" w:rsidRPr="00D56C50">
        <w:t>“</w:t>
      </w:r>
      <w:r w:rsidR="00572837" w:rsidRPr="00D56C50">
        <w:t>金融动机、金融市场、金融参与者和金融机构在国内外经济运行中的作用越来越大</w:t>
      </w:r>
      <w:r w:rsidR="00572837" w:rsidRPr="00D56C50">
        <w:t>”</w:t>
      </w:r>
      <w:r w:rsidR="00D21EF4" w:rsidRPr="00D56C50">
        <w:rPr>
          <w:rFonts w:hint="eastAsia"/>
        </w:rPr>
        <w:t>（</w:t>
      </w:r>
      <w:r w:rsidRPr="00D56C50">
        <w:rPr>
          <w:rFonts w:hint="eastAsia"/>
        </w:rPr>
        <w:t>Epstein</w:t>
      </w:r>
      <w:r w:rsidR="00D21EF4" w:rsidRPr="00D56C50">
        <w:rPr>
          <w:rFonts w:hint="eastAsia"/>
        </w:rPr>
        <w:t>，</w:t>
      </w:r>
      <w:r w:rsidRPr="00D56C50">
        <w:rPr>
          <w:rFonts w:hint="eastAsia"/>
        </w:rPr>
        <w:t>2005)</w:t>
      </w:r>
      <w:r w:rsidRPr="00D56C50">
        <w:rPr>
          <w:rFonts w:hint="eastAsia"/>
        </w:rPr>
        <w:t>。</w:t>
      </w:r>
      <w:r w:rsidR="00572837" w:rsidRPr="00D56C50">
        <w:rPr>
          <w:rFonts w:hint="eastAsia"/>
        </w:rPr>
        <w:t>金融化</w:t>
      </w:r>
      <w:r w:rsidR="00F831EA" w:rsidRPr="00D56C50">
        <w:rPr>
          <w:rFonts w:hint="eastAsia"/>
        </w:rPr>
        <w:t>不同于金融深度，并且</w:t>
      </w:r>
      <w:r w:rsidR="00572837" w:rsidRPr="00D56C50">
        <w:rPr>
          <w:rFonts w:hint="eastAsia"/>
        </w:rPr>
        <w:t>也不同于金融深化（</w:t>
      </w:r>
      <w:r w:rsidR="00572837" w:rsidRPr="00D56C50">
        <w:rPr>
          <w:rFonts w:hint="eastAsia"/>
        </w:rPr>
        <w:t>financial deepening</w:t>
      </w:r>
      <w:r w:rsidR="00572837" w:rsidRPr="00D56C50">
        <w:rPr>
          <w:rFonts w:hint="eastAsia"/>
        </w:rPr>
        <w:t>）。金融深化刻画的是一个经济体通过减少管制、推进市场化，摆脱金融压抑的束缚，带来金融发展，这往往发生在一个落后经济体中；而金融</w:t>
      </w:r>
      <w:r w:rsidR="00D21EF4" w:rsidRPr="00D56C50">
        <w:rPr>
          <w:rFonts w:hint="eastAsia"/>
        </w:rPr>
        <w:t>化，</w:t>
      </w:r>
      <w:r w:rsidR="00F831EA" w:rsidRPr="00D56C50">
        <w:rPr>
          <w:rFonts w:hint="eastAsia"/>
        </w:rPr>
        <w:t>并非</w:t>
      </w:r>
      <w:r w:rsidR="00D21EF4" w:rsidRPr="00D56C50">
        <w:rPr>
          <w:rFonts w:hint="eastAsia"/>
        </w:rPr>
        <w:t>简单的金融深度的提高，而是指越过了适度区间，金融发展过度了，这往往发生在</w:t>
      </w:r>
      <w:r w:rsidR="00572837" w:rsidRPr="00D56C50">
        <w:rPr>
          <w:rFonts w:hint="eastAsia"/>
        </w:rPr>
        <w:t>成熟市场经济体中</w:t>
      </w:r>
      <w:r w:rsidR="00F831EA" w:rsidRPr="00D56C50">
        <w:rPr>
          <w:rFonts w:hint="eastAsia"/>
        </w:rPr>
        <w:t>（但也不排除一些发展中</w:t>
      </w:r>
      <w:r w:rsidR="00F831EA" w:rsidRPr="00D56C50">
        <w:rPr>
          <w:rFonts w:hint="eastAsia"/>
        </w:rPr>
        <w:lastRenderedPageBreak/>
        <w:t>国家的“金融早熟”）</w:t>
      </w:r>
      <w:r w:rsidR="00572837" w:rsidRPr="00D56C50">
        <w:rPr>
          <w:rFonts w:hint="eastAsia"/>
        </w:rPr>
        <w:t>。</w:t>
      </w:r>
    </w:p>
    <w:p w14:paraId="22B5535B" w14:textId="77777777" w:rsidR="006B468F" w:rsidRPr="00D56C50" w:rsidRDefault="005222CE" w:rsidP="002B7F04">
      <w:pPr>
        <w:spacing w:line="288" w:lineRule="auto"/>
        <w:ind w:firstLineChars="202" w:firstLine="426"/>
        <w:rPr>
          <w:b/>
        </w:rPr>
      </w:pPr>
      <w:r w:rsidRPr="00D56C50">
        <w:rPr>
          <w:rFonts w:hint="eastAsia"/>
          <w:b/>
        </w:rPr>
        <w:t>1.</w:t>
      </w:r>
      <w:r w:rsidR="006B468F" w:rsidRPr="00D56C50">
        <w:rPr>
          <w:rFonts w:hint="eastAsia"/>
          <w:b/>
        </w:rPr>
        <w:t>全球范围内的“金融化”事实。</w:t>
      </w:r>
    </w:p>
    <w:p w14:paraId="214B9164" w14:textId="77777777" w:rsidR="00D21EF4" w:rsidRPr="00D56C50" w:rsidRDefault="006B468F" w:rsidP="002B7F04">
      <w:pPr>
        <w:spacing w:line="288" w:lineRule="auto"/>
        <w:ind w:firstLineChars="202" w:firstLine="424"/>
        <w:rPr>
          <w:szCs w:val="21"/>
          <w:shd w:val="clear" w:color="auto" w:fill="FFFFFF"/>
        </w:rPr>
      </w:pPr>
      <w:r w:rsidRPr="00D56C50">
        <w:rPr>
          <w:rFonts w:hint="eastAsia"/>
          <w:szCs w:val="21"/>
          <w:shd w:val="clear" w:color="auto" w:fill="FFFFFF"/>
        </w:rPr>
        <w:t>上个</w:t>
      </w:r>
      <w:r w:rsidRPr="00D56C50">
        <w:rPr>
          <w:szCs w:val="21"/>
          <w:shd w:val="clear" w:color="auto" w:fill="FFFFFF"/>
        </w:rPr>
        <w:t>世纪</w:t>
      </w:r>
      <w:r w:rsidRPr="00D56C50">
        <w:rPr>
          <w:rFonts w:hint="eastAsia"/>
          <w:szCs w:val="21"/>
          <w:shd w:val="clear" w:color="auto" w:fill="FFFFFF"/>
        </w:rPr>
        <w:t>七八十</w:t>
      </w:r>
      <w:r w:rsidRPr="00D56C50">
        <w:rPr>
          <w:szCs w:val="21"/>
          <w:shd w:val="clear" w:color="auto" w:fill="FFFFFF"/>
        </w:rPr>
        <w:t>年代以来</w:t>
      </w:r>
      <w:r w:rsidRPr="00D56C50">
        <w:rPr>
          <w:rFonts w:hint="eastAsia"/>
          <w:szCs w:val="21"/>
          <w:shd w:val="clear" w:color="auto" w:fill="FFFFFF"/>
        </w:rPr>
        <w:t>的金融自由化、金融全球化，大大推进了经济的</w:t>
      </w:r>
      <w:r w:rsidRPr="00D56C50">
        <w:rPr>
          <w:szCs w:val="21"/>
          <w:shd w:val="clear" w:color="auto" w:fill="FFFFFF"/>
        </w:rPr>
        <w:t>金融化</w:t>
      </w:r>
      <w:r w:rsidRPr="00D56C50">
        <w:rPr>
          <w:rFonts w:hint="eastAsia"/>
          <w:szCs w:val="21"/>
          <w:shd w:val="clear" w:color="auto" w:fill="FFFFFF"/>
        </w:rPr>
        <w:t>发展，体现在</w:t>
      </w:r>
      <w:r w:rsidRPr="00D56C50">
        <w:rPr>
          <w:szCs w:val="21"/>
          <w:shd w:val="clear" w:color="auto" w:fill="FFFFFF"/>
        </w:rPr>
        <w:t>银行业去管制化、金融业集中、机构投资者规模和范围的扩大、股东价值运动以及新自由主义政策模型的主导</w:t>
      </w:r>
      <w:r w:rsidRPr="00D56C50">
        <w:rPr>
          <w:rFonts w:hint="eastAsia"/>
          <w:szCs w:val="21"/>
          <w:shd w:val="clear" w:color="auto" w:fill="FFFFFF"/>
        </w:rPr>
        <w:t>等方方面面，全球金融资产与债务</w:t>
      </w:r>
      <w:r w:rsidR="00D21EF4" w:rsidRPr="00D56C50">
        <w:rPr>
          <w:rFonts w:hint="eastAsia"/>
          <w:szCs w:val="21"/>
          <w:shd w:val="clear" w:color="auto" w:fill="FFFFFF"/>
        </w:rPr>
        <w:t>急剧</w:t>
      </w:r>
      <w:r w:rsidRPr="00D56C50">
        <w:rPr>
          <w:rFonts w:hint="eastAsia"/>
          <w:szCs w:val="21"/>
          <w:shd w:val="clear" w:color="auto" w:fill="FFFFFF"/>
        </w:rPr>
        <w:t>扩大</w:t>
      </w:r>
      <w:r w:rsidRPr="00D56C50">
        <w:rPr>
          <w:szCs w:val="21"/>
          <w:shd w:val="clear" w:color="auto" w:fill="FFFFFF"/>
        </w:rPr>
        <w:t>。</w:t>
      </w:r>
    </w:p>
    <w:p w14:paraId="6B15802B" w14:textId="77777777" w:rsidR="006B468F" w:rsidRPr="00D56C50" w:rsidRDefault="006B468F" w:rsidP="002B7F04">
      <w:pPr>
        <w:spacing w:line="288" w:lineRule="auto"/>
        <w:ind w:firstLineChars="202" w:firstLine="424"/>
        <w:rPr>
          <w:szCs w:val="21"/>
          <w:shd w:val="clear" w:color="auto" w:fill="FFFFFF"/>
        </w:rPr>
      </w:pPr>
      <w:r w:rsidRPr="00D56C50">
        <w:rPr>
          <w:rFonts w:hint="eastAsia"/>
          <w:szCs w:val="21"/>
          <w:shd w:val="clear" w:color="auto" w:fill="FFFFFF"/>
        </w:rPr>
        <w:t>金融稳定委员会最新报告显示</w:t>
      </w:r>
      <w:r w:rsidR="00D21EF4" w:rsidRPr="00D56C50">
        <w:rPr>
          <w:rFonts w:hint="eastAsia"/>
          <w:szCs w:val="21"/>
          <w:shd w:val="clear" w:color="auto" w:fill="FFFFFF"/>
        </w:rPr>
        <w:t>（</w:t>
      </w:r>
      <w:r w:rsidR="00D21EF4" w:rsidRPr="00D56C50">
        <w:rPr>
          <w:sz w:val="22"/>
          <w:szCs w:val="22"/>
        </w:rPr>
        <w:t>FSB</w:t>
      </w:r>
      <w:r w:rsidR="00D21EF4" w:rsidRPr="00D56C50">
        <w:rPr>
          <w:rFonts w:hint="eastAsia"/>
          <w:sz w:val="22"/>
          <w:szCs w:val="22"/>
        </w:rPr>
        <w:t>，</w:t>
      </w:r>
      <w:r w:rsidR="00D21EF4" w:rsidRPr="00D56C50">
        <w:rPr>
          <w:rFonts w:hint="eastAsia"/>
          <w:sz w:val="22"/>
          <w:szCs w:val="22"/>
        </w:rPr>
        <w:t>2021</w:t>
      </w:r>
      <w:r w:rsidR="00D21EF4" w:rsidRPr="00D56C50">
        <w:rPr>
          <w:rFonts w:hint="eastAsia"/>
          <w:szCs w:val="21"/>
          <w:shd w:val="clear" w:color="auto" w:fill="FFFFFF"/>
        </w:rPr>
        <w:t>）</w:t>
      </w:r>
      <w:r w:rsidRPr="00D56C50">
        <w:rPr>
          <w:rFonts w:hint="eastAsia"/>
          <w:szCs w:val="21"/>
          <w:shd w:val="clear" w:color="auto" w:fill="FFFFFF"/>
        </w:rPr>
        <w:t>，截止到</w:t>
      </w:r>
      <w:r w:rsidRPr="00D56C50">
        <w:rPr>
          <w:rFonts w:hint="eastAsia"/>
          <w:szCs w:val="21"/>
          <w:shd w:val="clear" w:color="auto" w:fill="FFFFFF"/>
        </w:rPr>
        <w:t>2020</w:t>
      </w:r>
      <w:r w:rsidRPr="00D56C50">
        <w:rPr>
          <w:rFonts w:hint="eastAsia"/>
          <w:szCs w:val="21"/>
          <w:shd w:val="clear" w:color="auto" w:fill="FFFFFF"/>
        </w:rPr>
        <w:t>年底，全球金融资产规模（包含中央银行、存款类机构、非银行金融中介、公共金融机构等）已经达到</w:t>
      </w:r>
      <w:r w:rsidRPr="00D56C50">
        <w:rPr>
          <w:rFonts w:hint="eastAsia"/>
          <w:szCs w:val="21"/>
          <w:shd w:val="clear" w:color="auto" w:fill="FFFFFF"/>
        </w:rPr>
        <w:t>468.7</w:t>
      </w:r>
      <w:r w:rsidRPr="00D56C50">
        <w:rPr>
          <w:rFonts w:hint="eastAsia"/>
          <w:szCs w:val="21"/>
          <w:shd w:val="clear" w:color="auto" w:fill="FFFFFF"/>
        </w:rPr>
        <w:t>亿美元，而</w:t>
      </w:r>
      <w:r w:rsidR="00F831EA" w:rsidRPr="00D56C50">
        <w:rPr>
          <w:rFonts w:hint="eastAsia"/>
          <w:szCs w:val="21"/>
          <w:shd w:val="clear" w:color="auto" w:fill="FFFFFF"/>
        </w:rPr>
        <w:t>2004</w:t>
      </w:r>
      <w:r w:rsidRPr="00D56C50">
        <w:rPr>
          <w:rFonts w:hint="eastAsia"/>
          <w:szCs w:val="21"/>
          <w:shd w:val="clear" w:color="auto" w:fill="FFFFFF"/>
        </w:rPr>
        <w:t>年的时候还</w:t>
      </w:r>
      <w:r w:rsidR="00F831EA" w:rsidRPr="00D56C50">
        <w:rPr>
          <w:rFonts w:hint="eastAsia"/>
          <w:szCs w:val="21"/>
          <w:shd w:val="clear" w:color="auto" w:fill="FFFFFF"/>
        </w:rPr>
        <w:t>远</w:t>
      </w:r>
      <w:r w:rsidRPr="00D56C50">
        <w:rPr>
          <w:rFonts w:hint="eastAsia"/>
          <w:szCs w:val="21"/>
          <w:shd w:val="clear" w:color="auto" w:fill="FFFFFF"/>
        </w:rPr>
        <w:t>不到</w:t>
      </w:r>
      <w:r w:rsidRPr="00D56C50">
        <w:rPr>
          <w:rFonts w:hint="eastAsia"/>
          <w:szCs w:val="21"/>
          <w:shd w:val="clear" w:color="auto" w:fill="FFFFFF"/>
        </w:rPr>
        <w:t>200</w:t>
      </w:r>
      <w:r w:rsidRPr="00D56C50">
        <w:rPr>
          <w:rFonts w:hint="eastAsia"/>
          <w:szCs w:val="21"/>
          <w:shd w:val="clear" w:color="auto" w:fill="FFFFFF"/>
        </w:rPr>
        <w:t>亿美元</w:t>
      </w:r>
      <w:r w:rsidR="00D21EF4" w:rsidRPr="00D56C50">
        <w:rPr>
          <w:rFonts w:hint="eastAsia"/>
          <w:szCs w:val="21"/>
          <w:shd w:val="clear" w:color="auto" w:fill="FFFFFF"/>
        </w:rPr>
        <w:t>（参见图</w:t>
      </w:r>
      <w:r w:rsidR="00BA780D" w:rsidRPr="00D56C50">
        <w:rPr>
          <w:rFonts w:hint="eastAsia"/>
          <w:szCs w:val="21"/>
          <w:shd w:val="clear" w:color="auto" w:fill="FFFFFF"/>
        </w:rPr>
        <w:t>1</w:t>
      </w:r>
      <w:r w:rsidR="00D21EF4" w:rsidRPr="00D56C50">
        <w:rPr>
          <w:rFonts w:hint="eastAsia"/>
          <w:szCs w:val="21"/>
          <w:shd w:val="clear" w:color="auto" w:fill="FFFFFF"/>
        </w:rPr>
        <w:t>）</w:t>
      </w:r>
      <w:r w:rsidRPr="00D56C50">
        <w:rPr>
          <w:rFonts w:hint="eastAsia"/>
          <w:szCs w:val="21"/>
          <w:shd w:val="clear" w:color="auto" w:fill="FFFFFF"/>
        </w:rPr>
        <w:t>。</w:t>
      </w:r>
    </w:p>
    <w:p w14:paraId="32E2DF78" w14:textId="77777777" w:rsidR="00D21EF4" w:rsidRPr="00D56C50" w:rsidRDefault="00D21EF4" w:rsidP="002B7F04">
      <w:pPr>
        <w:spacing w:line="288" w:lineRule="auto"/>
        <w:jc w:val="center"/>
        <w:rPr>
          <w:szCs w:val="21"/>
          <w:shd w:val="clear" w:color="auto" w:fill="FFFFFF"/>
        </w:rPr>
      </w:pPr>
      <w:r w:rsidRPr="00D56C50">
        <w:rPr>
          <w:rFonts w:hint="eastAsia"/>
          <w:noProof/>
          <w:szCs w:val="21"/>
          <w:shd w:val="clear" w:color="auto" w:fill="FFFFFF"/>
        </w:rPr>
        <w:drawing>
          <wp:inline distT="0" distB="0" distL="0" distR="0" wp14:anchorId="37C35BBA" wp14:editId="5CA2C0B1">
            <wp:extent cx="4614299" cy="3692106"/>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全球金融资产规模.jpg"/>
                    <pic:cNvPicPr/>
                  </pic:nvPicPr>
                  <pic:blipFill>
                    <a:blip r:embed="rId7">
                      <a:extLst>
                        <a:ext uri="{28A0092B-C50C-407E-A947-70E740481C1C}">
                          <a14:useLocalDpi xmlns:a14="http://schemas.microsoft.com/office/drawing/2010/main" val="0"/>
                        </a:ext>
                      </a:extLst>
                    </a:blip>
                    <a:stretch>
                      <a:fillRect/>
                    </a:stretch>
                  </pic:blipFill>
                  <pic:spPr>
                    <a:xfrm>
                      <a:off x="0" y="0"/>
                      <a:ext cx="4616371" cy="3693764"/>
                    </a:xfrm>
                    <a:prstGeom prst="rect">
                      <a:avLst/>
                    </a:prstGeom>
                  </pic:spPr>
                </pic:pic>
              </a:graphicData>
            </a:graphic>
          </wp:inline>
        </w:drawing>
      </w:r>
    </w:p>
    <w:p w14:paraId="44A3BD29" w14:textId="77777777" w:rsidR="00D21EF4" w:rsidRPr="00D56C50" w:rsidRDefault="00D21EF4" w:rsidP="00BA780D">
      <w:pPr>
        <w:spacing w:line="288" w:lineRule="auto"/>
        <w:jc w:val="center"/>
        <w:rPr>
          <w:b/>
          <w:szCs w:val="21"/>
          <w:shd w:val="clear" w:color="auto" w:fill="FFFFFF"/>
        </w:rPr>
      </w:pPr>
      <w:r w:rsidRPr="00D56C50">
        <w:rPr>
          <w:rFonts w:hint="eastAsia"/>
          <w:b/>
          <w:szCs w:val="21"/>
          <w:shd w:val="clear" w:color="auto" w:fill="FFFFFF"/>
        </w:rPr>
        <w:t>图</w:t>
      </w:r>
      <w:r w:rsidR="00BA780D" w:rsidRPr="00D56C50">
        <w:rPr>
          <w:rFonts w:hint="eastAsia"/>
          <w:b/>
          <w:szCs w:val="21"/>
          <w:shd w:val="clear" w:color="auto" w:fill="FFFFFF"/>
        </w:rPr>
        <w:t>1</w:t>
      </w:r>
      <w:r w:rsidRPr="00D56C50">
        <w:rPr>
          <w:rFonts w:hint="eastAsia"/>
          <w:b/>
          <w:szCs w:val="21"/>
          <w:shd w:val="clear" w:color="auto" w:fill="FFFFFF"/>
        </w:rPr>
        <w:t>：全球金融资产与结构</w:t>
      </w:r>
    </w:p>
    <w:p w14:paraId="589C9B12" w14:textId="77777777" w:rsidR="00D21EF4" w:rsidRPr="00D56C50" w:rsidRDefault="00D21EF4" w:rsidP="002B7F04">
      <w:pPr>
        <w:spacing w:line="288" w:lineRule="auto"/>
        <w:ind w:firstLineChars="202" w:firstLine="424"/>
        <w:jc w:val="center"/>
        <w:rPr>
          <w:szCs w:val="21"/>
          <w:shd w:val="clear" w:color="auto" w:fill="FFFFFF"/>
        </w:rPr>
      </w:pPr>
      <w:r w:rsidRPr="00D56C50">
        <w:rPr>
          <w:rFonts w:hint="eastAsia"/>
          <w:szCs w:val="21"/>
          <w:shd w:val="clear" w:color="auto" w:fill="FFFFFF"/>
        </w:rPr>
        <w:t>资料来源：</w:t>
      </w:r>
      <w:r w:rsidRPr="00D56C50">
        <w:rPr>
          <w:rFonts w:hint="eastAsia"/>
          <w:szCs w:val="21"/>
          <w:shd w:val="clear" w:color="auto" w:fill="FFFFFF"/>
        </w:rPr>
        <w:t>FSB</w:t>
      </w:r>
      <w:r w:rsidRPr="00D56C50">
        <w:rPr>
          <w:rFonts w:hint="eastAsia"/>
          <w:szCs w:val="21"/>
          <w:shd w:val="clear" w:color="auto" w:fill="FFFFFF"/>
        </w:rPr>
        <w:t>（</w:t>
      </w:r>
      <w:r w:rsidRPr="00D56C50">
        <w:rPr>
          <w:rFonts w:hint="eastAsia"/>
          <w:szCs w:val="21"/>
          <w:shd w:val="clear" w:color="auto" w:fill="FFFFFF"/>
        </w:rPr>
        <w:t>2021</w:t>
      </w:r>
      <w:r w:rsidRPr="00D56C50">
        <w:rPr>
          <w:rFonts w:hint="eastAsia"/>
          <w:szCs w:val="21"/>
          <w:shd w:val="clear" w:color="auto" w:fill="FFFFFF"/>
        </w:rPr>
        <w:t>）。</w:t>
      </w:r>
    </w:p>
    <w:p w14:paraId="0AF5DED4" w14:textId="77777777" w:rsidR="00D21EF4" w:rsidRPr="00D56C50" w:rsidRDefault="00D21EF4" w:rsidP="002B7F04">
      <w:pPr>
        <w:spacing w:line="288" w:lineRule="auto"/>
        <w:ind w:firstLineChars="202" w:firstLine="424"/>
      </w:pPr>
    </w:p>
    <w:p w14:paraId="157223F7" w14:textId="77777777" w:rsidR="00D21EF4" w:rsidRPr="00D56C50" w:rsidRDefault="00F831EA" w:rsidP="002B7F04">
      <w:pPr>
        <w:spacing w:line="288" w:lineRule="auto"/>
        <w:ind w:firstLineChars="202" w:firstLine="424"/>
        <w:rPr>
          <w:szCs w:val="21"/>
          <w:shd w:val="clear" w:color="auto" w:fill="FFFFFF"/>
        </w:rPr>
      </w:pPr>
      <w:r w:rsidRPr="00D56C50">
        <w:rPr>
          <w:rFonts w:hint="eastAsia"/>
        </w:rPr>
        <w:t>根据资产负债表，</w:t>
      </w:r>
      <w:r w:rsidR="00D21EF4" w:rsidRPr="00D56C50">
        <w:rPr>
          <w:rFonts w:hint="eastAsia"/>
        </w:rPr>
        <w:t>经济体中的每笔债务一般都有对应的资产，因此，我们也可以从债务角度来观察全球的金融化发展。</w:t>
      </w:r>
      <w:r w:rsidR="00D21EF4" w:rsidRPr="00D56C50">
        <w:rPr>
          <w:rFonts w:hint="eastAsia"/>
          <w:szCs w:val="21"/>
          <w:shd w:val="clear" w:color="auto" w:fill="FFFFFF"/>
        </w:rPr>
        <w:t>国际金融协会（</w:t>
      </w:r>
      <w:r w:rsidR="00D21EF4" w:rsidRPr="00D56C50">
        <w:rPr>
          <w:rFonts w:hint="eastAsia"/>
          <w:szCs w:val="21"/>
          <w:shd w:val="clear" w:color="auto" w:fill="FFFFFF"/>
        </w:rPr>
        <w:t>IIF</w:t>
      </w:r>
      <w:r w:rsidR="00D21EF4" w:rsidRPr="00D56C50">
        <w:rPr>
          <w:rFonts w:hint="eastAsia"/>
          <w:szCs w:val="21"/>
          <w:shd w:val="clear" w:color="auto" w:fill="FFFFFF"/>
        </w:rPr>
        <w:t>）的数据显示，全球债务（包括金融部门的负债）在</w:t>
      </w:r>
      <w:r w:rsidR="00D21EF4" w:rsidRPr="00D56C50">
        <w:rPr>
          <w:rFonts w:hint="eastAsia"/>
          <w:szCs w:val="21"/>
          <w:shd w:val="clear" w:color="auto" w:fill="FFFFFF"/>
        </w:rPr>
        <w:t>2000</w:t>
      </w:r>
      <w:r w:rsidR="00D21EF4" w:rsidRPr="00D56C50">
        <w:rPr>
          <w:rFonts w:hint="eastAsia"/>
          <w:szCs w:val="21"/>
          <w:shd w:val="clear" w:color="auto" w:fill="FFFFFF"/>
        </w:rPr>
        <w:t>年底还只有</w:t>
      </w:r>
      <w:r w:rsidR="00D21EF4" w:rsidRPr="00D56C50">
        <w:rPr>
          <w:rFonts w:hint="eastAsia"/>
          <w:szCs w:val="21"/>
          <w:shd w:val="clear" w:color="auto" w:fill="FFFFFF"/>
        </w:rPr>
        <w:t>84.4</w:t>
      </w:r>
      <w:r w:rsidR="00D21EF4" w:rsidRPr="00D56C50">
        <w:rPr>
          <w:rFonts w:hint="eastAsia"/>
          <w:szCs w:val="21"/>
          <w:shd w:val="clear" w:color="auto" w:fill="FFFFFF"/>
        </w:rPr>
        <w:t>万亿美元，而到了</w:t>
      </w:r>
      <w:r w:rsidR="00D21EF4" w:rsidRPr="00D56C50">
        <w:rPr>
          <w:rFonts w:hint="eastAsia"/>
          <w:szCs w:val="21"/>
          <w:shd w:val="clear" w:color="auto" w:fill="FFFFFF"/>
        </w:rPr>
        <w:t>2021</w:t>
      </w:r>
      <w:r w:rsidR="00D21EF4" w:rsidRPr="00D56C50">
        <w:rPr>
          <w:rFonts w:hint="eastAsia"/>
          <w:szCs w:val="21"/>
          <w:shd w:val="clear" w:color="auto" w:fill="FFFFFF"/>
        </w:rPr>
        <w:t>年二季度已经攀升到接近</w:t>
      </w:r>
      <w:r w:rsidR="00D21EF4" w:rsidRPr="00D56C50">
        <w:rPr>
          <w:rFonts w:hint="eastAsia"/>
          <w:szCs w:val="21"/>
          <w:shd w:val="clear" w:color="auto" w:fill="FFFFFF"/>
        </w:rPr>
        <w:t>300</w:t>
      </w:r>
      <w:r w:rsidR="00D21EF4" w:rsidRPr="00D56C50">
        <w:rPr>
          <w:rFonts w:hint="eastAsia"/>
          <w:szCs w:val="21"/>
          <w:shd w:val="clear" w:color="auto" w:fill="FFFFFF"/>
        </w:rPr>
        <w:t>万亿（</w:t>
      </w:r>
      <w:r w:rsidR="00D21EF4" w:rsidRPr="00D56C50">
        <w:rPr>
          <w:rFonts w:hint="eastAsia"/>
          <w:szCs w:val="21"/>
          <w:shd w:val="clear" w:color="auto" w:fill="FFFFFF"/>
        </w:rPr>
        <w:t>296</w:t>
      </w:r>
      <w:r w:rsidR="00D21EF4" w:rsidRPr="00D56C50">
        <w:rPr>
          <w:rFonts w:hint="eastAsia"/>
          <w:szCs w:val="21"/>
          <w:shd w:val="clear" w:color="auto" w:fill="FFFFFF"/>
        </w:rPr>
        <w:t>万亿）美元。</w:t>
      </w:r>
    </w:p>
    <w:p w14:paraId="56DA7001" w14:textId="77777777" w:rsidR="00D21EF4" w:rsidRPr="00D56C50" w:rsidRDefault="00D21EF4" w:rsidP="002B7F04">
      <w:pPr>
        <w:spacing w:line="288" w:lineRule="auto"/>
        <w:ind w:firstLineChars="202" w:firstLine="424"/>
        <w:rPr>
          <w:szCs w:val="21"/>
          <w:shd w:val="clear" w:color="auto" w:fill="FFFFFF"/>
        </w:rPr>
      </w:pPr>
      <w:r w:rsidRPr="00D56C50">
        <w:rPr>
          <w:rFonts w:hint="eastAsia"/>
          <w:szCs w:val="21"/>
          <w:shd w:val="clear" w:color="auto" w:fill="FFFFFF"/>
        </w:rPr>
        <w:t>更长时段的数据显示（见图</w:t>
      </w:r>
      <w:r w:rsidR="00BA780D" w:rsidRPr="00D56C50">
        <w:rPr>
          <w:rFonts w:hint="eastAsia"/>
          <w:szCs w:val="21"/>
          <w:shd w:val="clear" w:color="auto" w:fill="FFFFFF"/>
        </w:rPr>
        <w:t>2</w:t>
      </w:r>
      <w:r w:rsidRPr="00D56C50">
        <w:rPr>
          <w:rFonts w:hint="eastAsia"/>
          <w:szCs w:val="21"/>
          <w:shd w:val="clear" w:color="auto" w:fill="FFFFFF"/>
        </w:rPr>
        <w:t>），</w:t>
      </w:r>
      <w:r w:rsidRPr="00D56C50">
        <w:rPr>
          <w:rFonts w:hint="eastAsia"/>
          <w:szCs w:val="21"/>
          <w:shd w:val="clear" w:color="auto" w:fill="FFFFFF"/>
        </w:rPr>
        <w:t>1950-2011</w:t>
      </w:r>
      <w:r w:rsidRPr="00D56C50">
        <w:rPr>
          <w:rFonts w:hint="eastAsia"/>
          <w:szCs w:val="21"/>
          <w:shd w:val="clear" w:color="auto" w:fill="FFFFFF"/>
        </w:rPr>
        <w:t>年，无论是新兴市场经济体还是发达经济体，国内私人部门信贷占</w:t>
      </w:r>
      <w:r w:rsidRPr="00D56C50">
        <w:rPr>
          <w:rFonts w:hint="eastAsia"/>
          <w:szCs w:val="21"/>
          <w:shd w:val="clear" w:color="auto" w:fill="FFFFFF"/>
        </w:rPr>
        <w:t>GDP</w:t>
      </w:r>
      <w:r w:rsidRPr="00D56C50">
        <w:rPr>
          <w:rFonts w:hint="eastAsia"/>
          <w:szCs w:val="21"/>
          <w:shd w:val="clear" w:color="auto" w:fill="FFFFFF"/>
        </w:rPr>
        <w:t>的比重都在不断上升，其中发达经济体尤甚。新兴经济体私人信贷占比，由</w:t>
      </w:r>
      <w:r w:rsidRPr="00D56C50">
        <w:rPr>
          <w:rFonts w:hint="eastAsia"/>
          <w:szCs w:val="21"/>
          <w:shd w:val="clear" w:color="auto" w:fill="FFFFFF"/>
        </w:rPr>
        <w:t>1950</w:t>
      </w:r>
      <w:r w:rsidRPr="00D56C50">
        <w:rPr>
          <w:rFonts w:hint="eastAsia"/>
          <w:szCs w:val="21"/>
          <w:shd w:val="clear" w:color="auto" w:fill="FFFFFF"/>
        </w:rPr>
        <w:t>年的不到</w:t>
      </w:r>
      <w:r w:rsidRPr="00D56C50">
        <w:rPr>
          <w:rFonts w:hint="eastAsia"/>
          <w:szCs w:val="21"/>
          <w:shd w:val="clear" w:color="auto" w:fill="FFFFFF"/>
        </w:rPr>
        <w:t>20%</w:t>
      </w:r>
      <w:r w:rsidRPr="00D56C50">
        <w:rPr>
          <w:rFonts w:hint="eastAsia"/>
          <w:szCs w:val="21"/>
          <w:shd w:val="clear" w:color="auto" w:fill="FFFFFF"/>
        </w:rPr>
        <w:t>上升到</w:t>
      </w:r>
      <w:r w:rsidRPr="00D56C50">
        <w:rPr>
          <w:rFonts w:hint="eastAsia"/>
          <w:szCs w:val="21"/>
          <w:shd w:val="clear" w:color="auto" w:fill="FFFFFF"/>
        </w:rPr>
        <w:t>2011</w:t>
      </w:r>
      <w:r w:rsidRPr="00D56C50">
        <w:rPr>
          <w:rFonts w:hint="eastAsia"/>
          <w:szCs w:val="21"/>
          <w:shd w:val="clear" w:color="auto" w:fill="FFFFFF"/>
        </w:rPr>
        <w:t>年的</w:t>
      </w:r>
      <w:r w:rsidRPr="00D56C50">
        <w:rPr>
          <w:rFonts w:hint="eastAsia"/>
          <w:szCs w:val="21"/>
          <w:shd w:val="clear" w:color="auto" w:fill="FFFFFF"/>
        </w:rPr>
        <w:t>50%</w:t>
      </w:r>
      <w:r w:rsidRPr="00D56C50">
        <w:rPr>
          <w:rFonts w:hint="eastAsia"/>
          <w:szCs w:val="21"/>
          <w:shd w:val="clear" w:color="auto" w:fill="FFFFFF"/>
        </w:rPr>
        <w:t>左右；发达经济体由不到</w:t>
      </w:r>
      <w:r w:rsidRPr="00D56C50">
        <w:rPr>
          <w:rFonts w:hint="eastAsia"/>
          <w:szCs w:val="21"/>
          <w:shd w:val="clear" w:color="auto" w:fill="FFFFFF"/>
        </w:rPr>
        <w:t>60%</w:t>
      </w:r>
      <w:r w:rsidRPr="00D56C50">
        <w:rPr>
          <w:rFonts w:hint="eastAsia"/>
          <w:szCs w:val="21"/>
          <w:shd w:val="clear" w:color="auto" w:fill="FFFFFF"/>
        </w:rPr>
        <w:t>上升到</w:t>
      </w:r>
      <w:r w:rsidRPr="00D56C50">
        <w:rPr>
          <w:rFonts w:hint="eastAsia"/>
          <w:szCs w:val="21"/>
          <w:shd w:val="clear" w:color="auto" w:fill="FFFFFF"/>
        </w:rPr>
        <w:t>2011</w:t>
      </w:r>
      <w:r w:rsidRPr="00D56C50">
        <w:rPr>
          <w:rFonts w:hint="eastAsia"/>
          <w:szCs w:val="21"/>
          <w:shd w:val="clear" w:color="auto" w:fill="FFFFFF"/>
        </w:rPr>
        <w:t>年的</w:t>
      </w:r>
      <w:r w:rsidRPr="00D56C50">
        <w:rPr>
          <w:rFonts w:hint="eastAsia"/>
          <w:szCs w:val="21"/>
          <w:shd w:val="clear" w:color="auto" w:fill="FFFFFF"/>
        </w:rPr>
        <w:t>160%</w:t>
      </w:r>
      <w:r w:rsidRPr="00D56C50">
        <w:rPr>
          <w:rFonts w:hint="eastAsia"/>
          <w:szCs w:val="21"/>
          <w:shd w:val="clear" w:color="auto" w:fill="FFFFFF"/>
        </w:rPr>
        <w:t>。</w:t>
      </w:r>
      <w:r w:rsidR="00067D8F" w:rsidRPr="00D56C50">
        <w:rPr>
          <w:rFonts w:hint="eastAsia"/>
          <w:szCs w:val="21"/>
          <w:shd w:val="clear" w:color="auto" w:fill="FFFFFF"/>
        </w:rPr>
        <w:t>若</w:t>
      </w:r>
      <w:r w:rsidR="00BA780D" w:rsidRPr="00D56C50">
        <w:rPr>
          <w:rFonts w:hint="eastAsia"/>
          <w:szCs w:val="21"/>
          <w:shd w:val="clear" w:color="auto" w:fill="FFFFFF"/>
        </w:rPr>
        <w:t>将数据更新</w:t>
      </w:r>
      <w:r w:rsidRPr="00D56C50">
        <w:rPr>
          <w:rFonts w:hint="eastAsia"/>
          <w:szCs w:val="21"/>
          <w:shd w:val="clear" w:color="auto" w:fill="FFFFFF"/>
        </w:rPr>
        <w:t>到</w:t>
      </w:r>
      <w:r w:rsidRPr="00D56C50">
        <w:rPr>
          <w:rFonts w:hint="eastAsia"/>
          <w:szCs w:val="21"/>
          <w:shd w:val="clear" w:color="auto" w:fill="FFFFFF"/>
        </w:rPr>
        <w:t>2020</w:t>
      </w:r>
      <w:r w:rsidRPr="00D56C50">
        <w:rPr>
          <w:rFonts w:hint="eastAsia"/>
          <w:szCs w:val="21"/>
          <w:shd w:val="clear" w:color="auto" w:fill="FFFFFF"/>
        </w:rPr>
        <w:t>年底</w:t>
      </w:r>
      <w:r w:rsidR="00067D8F" w:rsidRPr="00D56C50">
        <w:rPr>
          <w:rStyle w:val="a3"/>
          <w:szCs w:val="21"/>
          <w:shd w:val="clear" w:color="auto" w:fill="FFFFFF"/>
        </w:rPr>
        <w:footnoteReference w:id="2"/>
      </w:r>
      <w:r w:rsidRPr="00D56C50">
        <w:rPr>
          <w:rFonts w:hint="eastAsia"/>
          <w:szCs w:val="21"/>
          <w:shd w:val="clear" w:color="auto" w:fill="FFFFFF"/>
        </w:rPr>
        <w:t>，</w:t>
      </w:r>
      <w:r w:rsidR="00067D8F" w:rsidRPr="00D56C50">
        <w:rPr>
          <w:rFonts w:hint="eastAsia"/>
          <w:szCs w:val="21"/>
          <w:shd w:val="clear" w:color="auto" w:fill="FFFFFF"/>
        </w:rPr>
        <w:t>则</w:t>
      </w:r>
      <w:r w:rsidRPr="00D56C50">
        <w:rPr>
          <w:rFonts w:hint="eastAsia"/>
          <w:szCs w:val="21"/>
          <w:shd w:val="clear" w:color="auto" w:fill="FFFFFF"/>
        </w:rPr>
        <w:t>新兴经济体私人信贷上升到</w:t>
      </w:r>
      <w:r w:rsidRPr="00D56C50">
        <w:rPr>
          <w:rFonts w:hint="eastAsia"/>
          <w:szCs w:val="21"/>
          <w:shd w:val="clear" w:color="auto" w:fill="FFFFFF"/>
        </w:rPr>
        <w:t>149.9%</w:t>
      </w:r>
      <w:r w:rsidRPr="00D56C50">
        <w:rPr>
          <w:rFonts w:hint="eastAsia"/>
          <w:szCs w:val="21"/>
          <w:shd w:val="clear" w:color="auto" w:fill="FFFFFF"/>
        </w:rPr>
        <w:t>，发达经济体上升到</w:t>
      </w:r>
      <w:r w:rsidRPr="00D56C50">
        <w:rPr>
          <w:rFonts w:hint="eastAsia"/>
          <w:szCs w:val="21"/>
          <w:shd w:val="clear" w:color="auto" w:fill="FFFFFF"/>
        </w:rPr>
        <w:t>178.1%</w:t>
      </w:r>
      <w:r w:rsidR="00067D8F" w:rsidRPr="00D56C50">
        <w:rPr>
          <w:rFonts w:hint="eastAsia"/>
          <w:szCs w:val="21"/>
          <w:shd w:val="clear" w:color="auto" w:fill="FFFFFF"/>
        </w:rPr>
        <w:t>。加入政府部门与金融部门之后，新兴经济体与发达经济体的杠杆率</w:t>
      </w:r>
      <w:r w:rsidR="00067D8F" w:rsidRPr="00D56C50">
        <w:rPr>
          <w:rFonts w:hint="eastAsia"/>
          <w:szCs w:val="21"/>
          <w:shd w:val="clear" w:color="auto" w:fill="FFFFFF"/>
        </w:rPr>
        <w:lastRenderedPageBreak/>
        <w:t>更进一步</w:t>
      </w:r>
      <w:r w:rsidR="00F334C6" w:rsidRPr="00D56C50">
        <w:rPr>
          <w:rFonts w:hint="eastAsia"/>
          <w:szCs w:val="21"/>
          <w:shd w:val="clear" w:color="auto" w:fill="FFFFFF"/>
        </w:rPr>
        <w:t>攀升</w:t>
      </w:r>
      <w:r w:rsidRPr="00D56C50">
        <w:rPr>
          <w:rFonts w:hint="eastAsia"/>
          <w:szCs w:val="21"/>
          <w:shd w:val="clear" w:color="auto" w:fill="FFFFFF"/>
        </w:rPr>
        <w:t>到</w:t>
      </w:r>
      <w:r w:rsidRPr="00D56C50">
        <w:rPr>
          <w:rFonts w:hint="eastAsia"/>
          <w:szCs w:val="21"/>
          <w:shd w:val="clear" w:color="auto" w:fill="FFFFFF"/>
        </w:rPr>
        <w:t>250.4%</w:t>
      </w:r>
      <w:r w:rsidRPr="00D56C50">
        <w:rPr>
          <w:rFonts w:hint="eastAsia"/>
          <w:szCs w:val="21"/>
          <w:shd w:val="clear" w:color="auto" w:fill="FFFFFF"/>
        </w:rPr>
        <w:t>和</w:t>
      </w:r>
      <w:r w:rsidRPr="00D56C50">
        <w:rPr>
          <w:rFonts w:hint="eastAsia"/>
          <w:szCs w:val="21"/>
          <w:shd w:val="clear" w:color="auto" w:fill="FFFFFF"/>
        </w:rPr>
        <w:t>426.1%</w:t>
      </w:r>
      <w:r w:rsidR="00067D8F" w:rsidRPr="00D56C50">
        <w:rPr>
          <w:rFonts w:hint="eastAsia"/>
          <w:szCs w:val="21"/>
          <w:shd w:val="clear" w:color="auto" w:fill="FFFFFF"/>
        </w:rPr>
        <w:t>；换话说，私人信贷分别是</w:t>
      </w:r>
      <w:r w:rsidR="00067D8F" w:rsidRPr="00D56C50">
        <w:rPr>
          <w:rFonts w:hint="eastAsia"/>
          <w:szCs w:val="21"/>
          <w:shd w:val="clear" w:color="auto" w:fill="FFFFFF"/>
        </w:rPr>
        <w:t>GDP</w:t>
      </w:r>
      <w:r w:rsidR="00067D8F" w:rsidRPr="00D56C50">
        <w:rPr>
          <w:rFonts w:hint="eastAsia"/>
          <w:szCs w:val="21"/>
          <w:shd w:val="clear" w:color="auto" w:fill="FFFFFF"/>
        </w:rPr>
        <w:t>的</w:t>
      </w:r>
      <w:r w:rsidR="00067D8F" w:rsidRPr="00D56C50">
        <w:rPr>
          <w:rFonts w:hint="eastAsia"/>
          <w:szCs w:val="21"/>
          <w:shd w:val="clear" w:color="auto" w:fill="FFFFFF"/>
        </w:rPr>
        <w:t>2.50</w:t>
      </w:r>
      <w:r w:rsidR="00067D8F" w:rsidRPr="00D56C50">
        <w:rPr>
          <w:rFonts w:hint="eastAsia"/>
          <w:szCs w:val="21"/>
          <w:shd w:val="clear" w:color="auto" w:fill="FFFFFF"/>
        </w:rPr>
        <w:t>倍和</w:t>
      </w:r>
      <w:r w:rsidR="00067D8F" w:rsidRPr="00D56C50">
        <w:rPr>
          <w:rFonts w:hint="eastAsia"/>
          <w:szCs w:val="21"/>
          <w:shd w:val="clear" w:color="auto" w:fill="FFFFFF"/>
        </w:rPr>
        <w:t>4.26</w:t>
      </w:r>
      <w:r w:rsidR="00067D8F" w:rsidRPr="00D56C50">
        <w:rPr>
          <w:rFonts w:hint="eastAsia"/>
          <w:szCs w:val="21"/>
          <w:shd w:val="clear" w:color="auto" w:fill="FFFFFF"/>
        </w:rPr>
        <w:t>倍。</w:t>
      </w:r>
    </w:p>
    <w:p w14:paraId="1507B5D3" w14:textId="77777777" w:rsidR="00750449" w:rsidRPr="00D56C50" w:rsidRDefault="00D21EF4" w:rsidP="002B7F04">
      <w:pPr>
        <w:autoSpaceDE w:val="0"/>
        <w:autoSpaceDN w:val="0"/>
        <w:adjustRightInd w:val="0"/>
        <w:spacing w:line="288" w:lineRule="auto"/>
        <w:ind w:firstLineChars="199" w:firstLine="420"/>
        <w:jc w:val="left"/>
        <w:rPr>
          <w:b/>
        </w:rPr>
      </w:pPr>
      <w:r w:rsidRPr="00D56C50">
        <w:rPr>
          <w:rFonts w:hint="eastAsia"/>
          <w:b/>
          <w:noProof/>
        </w:rPr>
        <w:drawing>
          <wp:inline distT="0" distB="0" distL="0" distR="0" wp14:anchorId="6AC72322" wp14:editId="749BD193">
            <wp:extent cx="4675517" cy="3270497"/>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全球私人信贷占比（1950-2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9293" cy="3280133"/>
                    </a:xfrm>
                    <a:prstGeom prst="rect">
                      <a:avLst/>
                    </a:prstGeom>
                  </pic:spPr>
                </pic:pic>
              </a:graphicData>
            </a:graphic>
          </wp:inline>
        </w:drawing>
      </w:r>
    </w:p>
    <w:p w14:paraId="63D722DC" w14:textId="77777777" w:rsidR="00D21EF4" w:rsidRPr="00D56C50" w:rsidRDefault="00D21EF4" w:rsidP="002B7F04">
      <w:pPr>
        <w:autoSpaceDE w:val="0"/>
        <w:autoSpaceDN w:val="0"/>
        <w:adjustRightInd w:val="0"/>
        <w:spacing w:line="288" w:lineRule="auto"/>
        <w:ind w:firstLineChars="199" w:firstLine="420"/>
        <w:jc w:val="left"/>
        <w:rPr>
          <w:b/>
        </w:rPr>
      </w:pPr>
      <w:r w:rsidRPr="00D56C50">
        <w:rPr>
          <w:rFonts w:hint="eastAsia"/>
          <w:b/>
        </w:rPr>
        <w:t>图</w:t>
      </w:r>
      <w:r w:rsidR="00BA780D" w:rsidRPr="00D56C50">
        <w:rPr>
          <w:rFonts w:hint="eastAsia"/>
          <w:b/>
        </w:rPr>
        <w:t>2</w:t>
      </w:r>
      <w:r w:rsidRPr="00D56C50">
        <w:rPr>
          <w:rFonts w:hint="eastAsia"/>
          <w:b/>
        </w:rPr>
        <w:t>：全球国内私人部门信贷占</w:t>
      </w:r>
      <w:r w:rsidRPr="00D56C50">
        <w:rPr>
          <w:rFonts w:hint="eastAsia"/>
          <w:b/>
        </w:rPr>
        <w:t>GDP</w:t>
      </w:r>
      <w:r w:rsidRPr="00D56C50">
        <w:rPr>
          <w:rFonts w:hint="eastAsia"/>
          <w:b/>
        </w:rPr>
        <w:t>比重（</w:t>
      </w:r>
      <w:r w:rsidRPr="00D56C50">
        <w:rPr>
          <w:rFonts w:hint="eastAsia"/>
          <w:b/>
        </w:rPr>
        <w:t>1950-2011</w:t>
      </w:r>
      <w:r w:rsidRPr="00D56C50">
        <w:rPr>
          <w:rFonts w:hint="eastAsia"/>
          <w:b/>
        </w:rPr>
        <w:t>）</w:t>
      </w:r>
    </w:p>
    <w:p w14:paraId="4F614F80" w14:textId="77777777" w:rsidR="00D21EF4" w:rsidRPr="00D56C50" w:rsidRDefault="00D21EF4" w:rsidP="002B7F04">
      <w:pPr>
        <w:autoSpaceDE w:val="0"/>
        <w:autoSpaceDN w:val="0"/>
        <w:adjustRightInd w:val="0"/>
        <w:spacing w:line="288" w:lineRule="auto"/>
        <w:ind w:firstLineChars="199" w:firstLine="418"/>
        <w:jc w:val="left"/>
      </w:pPr>
      <w:r w:rsidRPr="00D56C50">
        <w:rPr>
          <w:rFonts w:hint="eastAsia"/>
        </w:rPr>
        <w:t>资料来源：</w:t>
      </w:r>
      <w:r w:rsidRPr="00D56C50">
        <w:t>Reinhart</w:t>
      </w:r>
      <w:r w:rsidRPr="00D56C50">
        <w:rPr>
          <w:rFonts w:hint="eastAsia"/>
        </w:rPr>
        <w:t>等（</w:t>
      </w:r>
      <w:r w:rsidRPr="00D56C50">
        <w:rPr>
          <w:rFonts w:hint="eastAsia"/>
        </w:rPr>
        <w:t>2012</w:t>
      </w:r>
      <w:r w:rsidRPr="00D56C50">
        <w:rPr>
          <w:rFonts w:hint="eastAsia"/>
        </w:rPr>
        <w:t>）。</w:t>
      </w:r>
    </w:p>
    <w:p w14:paraId="6333CBD2" w14:textId="77777777" w:rsidR="00D21EF4" w:rsidRPr="00D56C50" w:rsidRDefault="00D21EF4" w:rsidP="002B7F04">
      <w:pPr>
        <w:autoSpaceDE w:val="0"/>
        <w:autoSpaceDN w:val="0"/>
        <w:adjustRightInd w:val="0"/>
        <w:spacing w:line="288" w:lineRule="auto"/>
        <w:ind w:firstLineChars="199" w:firstLine="420"/>
        <w:jc w:val="left"/>
        <w:rPr>
          <w:b/>
        </w:rPr>
      </w:pPr>
    </w:p>
    <w:p w14:paraId="551F2DD3" w14:textId="77777777" w:rsidR="000B0B59" w:rsidRPr="00D56C50" w:rsidRDefault="005222CE" w:rsidP="002B7F04">
      <w:pPr>
        <w:spacing w:line="288" w:lineRule="auto"/>
        <w:ind w:firstLineChars="201" w:firstLine="424"/>
        <w:rPr>
          <w:b/>
        </w:rPr>
      </w:pPr>
      <w:r w:rsidRPr="00D56C50">
        <w:rPr>
          <w:rFonts w:hint="eastAsia"/>
          <w:b/>
        </w:rPr>
        <w:t>2.</w:t>
      </w:r>
      <w:r w:rsidR="00CE4F97" w:rsidRPr="00D56C50">
        <w:rPr>
          <w:rFonts w:hint="eastAsia"/>
          <w:b/>
        </w:rPr>
        <w:t>金融化带来的分配效应</w:t>
      </w:r>
      <w:r w:rsidRPr="00D56C50">
        <w:rPr>
          <w:rFonts w:hint="eastAsia"/>
          <w:b/>
        </w:rPr>
        <w:t>.</w:t>
      </w:r>
    </w:p>
    <w:p w14:paraId="282DDF21" w14:textId="77777777" w:rsidR="00CE4F97" w:rsidRPr="00D56C50" w:rsidRDefault="000B0B59" w:rsidP="002B7F04">
      <w:pPr>
        <w:spacing w:line="288" w:lineRule="auto"/>
        <w:ind w:firstLineChars="201" w:firstLine="422"/>
        <w:rPr>
          <w:szCs w:val="21"/>
          <w:shd w:val="clear" w:color="auto" w:fill="FFFFFF"/>
        </w:rPr>
      </w:pPr>
      <w:r w:rsidRPr="00D56C50">
        <w:rPr>
          <w:rFonts w:hint="eastAsia"/>
          <w:szCs w:val="21"/>
          <w:shd w:val="clear" w:color="auto" w:fill="FFFFFF"/>
        </w:rPr>
        <w:t>金融化带来强烈的分配效应：</w:t>
      </w:r>
      <w:r w:rsidR="00CE4F97" w:rsidRPr="00D56C50">
        <w:rPr>
          <w:rFonts w:hint="eastAsia"/>
          <w:szCs w:val="21"/>
          <w:shd w:val="clear" w:color="auto" w:fill="FFFFFF"/>
        </w:rPr>
        <w:t>金融从业者工资与金融业利润</w:t>
      </w:r>
      <w:r w:rsidR="00F334C6" w:rsidRPr="00D56C50">
        <w:rPr>
          <w:rFonts w:hint="eastAsia"/>
          <w:szCs w:val="21"/>
          <w:shd w:val="clear" w:color="auto" w:fill="FFFFFF"/>
        </w:rPr>
        <w:t>大幅提高、</w:t>
      </w:r>
      <w:r w:rsidRPr="00D56C50">
        <w:rPr>
          <w:rFonts w:hint="eastAsia"/>
          <w:szCs w:val="21"/>
          <w:shd w:val="clear" w:color="auto" w:fill="FFFFFF"/>
        </w:rPr>
        <w:t>食利性收入</w:t>
      </w:r>
      <w:r w:rsidR="00F334C6" w:rsidRPr="00D56C50">
        <w:rPr>
          <w:rFonts w:hint="eastAsia"/>
          <w:szCs w:val="21"/>
          <w:shd w:val="clear" w:color="auto" w:fill="FFFFFF"/>
        </w:rPr>
        <w:t>快速攀升以及</w:t>
      </w:r>
      <w:r w:rsidR="005222CE" w:rsidRPr="00D56C50">
        <w:rPr>
          <w:rFonts w:hint="eastAsia"/>
          <w:szCs w:val="21"/>
          <w:shd w:val="clear" w:color="auto" w:fill="FFFFFF"/>
        </w:rPr>
        <w:t>劳动</w:t>
      </w:r>
      <w:r w:rsidR="00572837" w:rsidRPr="00D56C50">
        <w:rPr>
          <w:rFonts w:hint="eastAsia"/>
          <w:szCs w:val="21"/>
          <w:shd w:val="clear" w:color="auto" w:fill="FFFFFF"/>
        </w:rPr>
        <w:t>收入</w:t>
      </w:r>
      <w:r w:rsidR="005222CE" w:rsidRPr="00D56C50">
        <w:rPr>
          <w:rFonts w:hint="eastAsia"/>
          <w:szCs w:val="21"/>
          <w:shd w:val="clear" w:color="auto" w:fill="FFFFFF"/>
        </w:rPr>
        <w:t>份额下降</w:t>
      </w:r>
      <w:r w:rsidRPr="00D56C50">
        <w:rPr>
          <w:rFonts w:hint="eastAsia"/>
          <w:szCs w:val="21"/>
          <w:shd w:val="clear" w:color="auto" w:fill="FFFFFF"/>
        </w:rPr>
        <w:t>。</w:t>
      </w:r>
    </w:p>
    <w:p w14:paraId="02D5C8E9" w14:textId="77777777" w:rsidR="005222CE" w:rsidRPr="00D56C50" w:rsidRDefault="005222CE" w:rsidP="002B7F04">
      <w:pPr>
        <w:spacing w:line="288" w:lineRule="auto"/>
        <w:ind w:firstLineChars="201" w:firstLine="422"/>
        <w:rPr>
          <w:szCs w:val="21"/>
          <w:shd w:val="clear" w:color="auto" w:fill="FFFFFF"/>
        </w:rPr>
      </w:pPr>
      <w:r w:rsidRPr="00D56C50">
        <w:rPr>
          <w:rFonts w:hint="eastAsia"/>
        </w:rPr>
        <w:t>首先，</w:t>
      </w:r>
      <w:r w:rsidRPr="00D56C50">
        <w:rPr>
          <w:rFonts w:hint="eastAsia"/>
          <w:szCs w:val="21"/>
          <w:shd w:val="clear" w:color="auto" w:fill="FFFFFF"/>
        </w:rPr>
        <w:t>金融从业者工资与金融业利润大幅提高</w:t>
      </w:r>
      <w:r w:rsidR="00F334C6" w:rsidRPr="00D56C50">
        <w:rPr>
          <w:rFonts w:hint="eastAsia"/>
          <w:szCs w:val="21"/>
          <w:shd w:val="clear" w:color="auto" w:fill="FFFFFF"/>
        </w:rPr>
        <w:t>、国民收入（财富）向金融部门转移</w:t>
      </w:r>
      <w:r w:rsidRPr="00D56C50">
        <w:rPr>
          <w:rFonts w:hint="eastAsia"/>
          <w:szCs w:val="21"/>
          <w:shd w:val="clear" w:color="auto" w:fill="FFFFFF"/>
        </w:rPr>
        <w:t>。</w:t>
      </w:r>
    </w:p>
    <w:p w14:paraId="5E8956E7" w14:textId="77777777" w:rsidR="001B6336" w:rsidRPr="00D56C50" w:rsidRDefault="00CE4F97" w:rsidP="002B7F04">
      <w:pPr>
        <w:spacing w:line="288" w:lineRule="auto"/>
        <w:ind w:firstLineChars="201" w:firstLine="422"/>
      </w:pPr>
      <w:r w:rsidRPr="00D56C50">
        <w:rPr>
          <w:rFonts w:hint="eastAsia"/>
        </w:rPr>
        <w:t>近年来，在全球范围内，特别是发达经济体中，金融行业平均工资远远高于社会平均水平，且差距一直在扩大。</w:t>
      </w:r>
      <w:r w:rsidRPr="00D56C50">
        <w:rPr>
          <w:rFonts w:hint="eastAsia"/>
        </w:rPr>
        <w:t xml:space="preserve">Philippon </w:t>
      </w:r>
      <w:r w:rsidRPr="00D56C50">
        <w:rPr>
          <w:rFonts w:hint="eastAsia"/>
        </w:rPr>
        <w:t>（</w:t>
      </w:r>
      <w:r w:rsidRPr="00D56C50">
        <w:rPr>
          <w:rFonts w:hint="eastAsia"/>
        </w:rPr>
        <w:t>2012</w:t>
      </w:r>
      <w:r w:rsidRPr="00D56C50">
        <w:rPr>
          <w:rFonts w:hint="eastAsia"/>
        </w:rPr>
        <w:t>）测算了美国</w:t>
      </w:r>
      <w:r w:rsidR="001B6336" w:rsidRPr="00D56C50">
        <w:rPr>
          <w:rFonts w:hint="eastAsia"/>
        </w:rPr>
        <w:t>金融业的超额工资</w:t>
      </w:r>
      <w:r w:rsidR="00BA780D" w:rsidRPr="00D56C50">
        <w:rPr>
          <w:rFonts w:hint="eastAsia"/>
        </w:rPr>
        <w:t>（见图</w:t>
      </w:r>
      <w:r w:rsidR="00BA780D" w:rsidRPr="00D56C50">
        <w:rPr>
          <w:rFonts w:hint="eastAsia"/>
        </w:rPr>
        <w:t>3</w:t>
      </w:r>
      <w:r w:rsidR="00BA780D" w:rsidRPr="00D56C50">
        <w:rPr>
          <w:rFonts w:hint="eastAsia"/>
        </w:rPr>
        <w:t>）</w:t>
      </w:r>
      <w:r w:rsidRPr="00D56C50">
        <w:rPr>
          <w:rFonts w:hint="eastAsia"/>
        </w:rPr>
        <w:t>。</w:t>
      </w:r>
      <w:r w:rsidR="001B6336" w:rsidRPr="00D56C50">
        <w:rPr>
          <w:rFonts w:hint="eastAsia"/>
        </w:rPr>
        <w:t>所谓超额工资，就是高出基准工资的部分。</w:t>
      </w:r>
      <w:r w:rsidRPr="00D56C50">
        <w:rPr>
          <w:rFonts w:hint="eastAsia"/>
        </w:rPr>
        <w:t>图</w:t>
      </w:r>
      <w:r w:rsidR="00F334C6" w:rsidRPr="00D56C50">
        <w:rPr>
          <w:rFonts w:hint="eastAsia"/>
        </w:rPr>
        <w:t>3</w:t>
      </w:r>
      <w:r w:rsidRPr="00D56C50">
        <w:rPr>
          <w:rFonts w:hint="eastAsia"/>
        </w:rPr>
        <w:t>表明，</w:t>
      </w:r>
      <w:r w:rsidR="00F334C6" w:rsidRPr="00D56C50">
        <w:rPr>
          <w:rFonts w:hint="eastAsia"/>
        </w:rPr>
        <w:t>大萧条之前，特别是</w:t>
      </w:r>
      <w:r w:rsidR="001B6336" w:rsidRPr="00D56C50">
        <w:rPr>
          <w:rFonts w:hint="eastAsia"/>
        </w:rPr>
        <w:t>1920</w:t>
      </w:r>
      <w:r w:rsidR="001B6336" w:rsidRPr="00D56C50">
        <w:rPr>
          <w:rFonts w:hint="eastAsia"/>
        </w:rPr>
        <w:t>年代末到</w:t>
      </w:r>
      <w:r w:rsidR="001B6336" w:rsidRPr="00D56C50">
        <w:rPr>
          <w:rFonts w:hint="eastAsia"/>
        </w:rPr>
        <w:t>1930</w:t>
      </w:r>
      <w:r w:rsidR="001B6336" w:rsidRPr="00D56C50">
        <w:rPr>
          <w:rFonts w:hint="eastAsia"/>
        </w:rPr>
        <w:t>年代初，</w:t>
      </w:r>
      <w:r w:rsidR="00572837" w:rsidRPr="00D56C50">
        <w:rPr>
          <w:rFonts w:hint="eastAsia"/>
        </w:rPr>
        <w:t>超额工资</w:t>
      </w:r>
      <w:r w:rsidR="00F334C6" w:rsidRPr="00D56C50">
        <w:rPr>
          <w:rFonts w:hint="eastAsia"/>
        </w:rPr>
        <w:t>上升非常快，</w:t>
      </w:r>
      <w:r w:rsidR="001B6336" w:rsidRPr="00D56C50">
        <w:rPr>
          <w:rFonts w:hint="eastAsia"/>
        </w:rPr>
        <w:t>高于</w:t>
      </w:r>
      <w:r w:rsidR="00572837" w:rsidRPr="00D56C50">
        <w:rPr>
          <w:rFonts w:hint="eastAsia"/>
        </w:rPr>
        <w:t>基准</w:t>
      </w:r>
      <w:r w:rsidR="001B6336" w:rsidRPr="00D56C50">
        <w:rPr>
          <w:rFonts w:hint="eastAsia"/>
        </w:rPr>
        <w:t>工资</w:t>
      </w:r>
      <w:r w:rsidR="001B6336" w:rsidRPr="00D56C50">
        <w:rPr>
          <w:rFonts w:hint="eastAsia"/>
        </w:rPr>
        <w:t>40%</w:t>
      </w:r>
      <w:r w:rsidR="001B6336" w:rsidRPr="00D56C50">
        <w:rPr>
          <w:rFonts w:hint="eastAsia"/>
        </w:rPr>
        <w:t>以上。之后较快地回落，二战以后一直到</w:t>
      </w:r>
      <w:r w:rsidR="001B6336" w:rsidRPr="00D56C50">
        <w:rPr>
          <w:rFonts w:hint="eastAsia"/>
        </w:rPr>
        <w:t>1970</w:t>
      </w:r>
      <w:r w:rsidR="001B6336" w:rsidRPr="00D56C50">
        <w:rPr>
          <w:rFonts w:hint="eastAsia"/>
        </w:rPr>
        <w:t>年代末，大体上是一个回落的过程，</w:t>
      </w:r>
      <w:r w:rsidR="00F334C6" w:rsidRPr="00D56C50">
        <w:rPr>
          <w:rFonts w:hint="eastAsia"/>
        </w:rPr>
        <w:t>到</w:t>
      </w:r>
      <w:r w:rsidR="001B6336" w:rsidRPr="00D56C50">
        <w:rPr>
          <w:rFonts w:hint="eastAsia"/>
        </w:rPr>
        <w:t>1980</w:t>
      </w:r>
      <w:r w:rsidR="001B6336" w:rsidRPr="00D56C50">
        <w:rPr>
          <w:rFonts w:hint="eastAsia"/>
        </w:rPr>
        <w:t>年左右</w:t>
      </w:r>
      <w:r w:rsidR="00F334C6" w:rsidRPr="00D56C50">
        <w:rPr>
          <w:rFonts w:hint="eastAsia"/>
        </w:rPr>
        <w:t>甚至</w:t>
      </w:r>
      <w:r w:rsidR="001B6336" w:rsidRPr="00D56C50">
        <w:rPr>
          <w:rFonts w:hint="eastAsia"/>
        </w:rPr>
        <w:t>已经低于基准工资了。但此后，随着金融自由化的推进，这个超额部分越来越高，到</w:t>
      </w:r>
      <w:r w:rsidR="001B6336" w:rsidRPr="00D56C50">
        <w:rPr>
          <w:rFonts w:hint="eastAsia"/>
        </w:rPr>
        <w:t>2005</w:t>
      </w:r>
      <w:r w:rsidR="001B6336" w:rsidRPr="00D56C50">
        <w:rPr>
          <w:rFonts w:hint="eastAsia"/>
        </w:rPr>
        <w:t>年，已经高于</w:t>
      </w:r>
      <w:r w:rsidR="001B6336" w:rsidRPr="00D56C50">
        <w:rPr>
          <w:rFonts w:hint="eastAsia"/>
        </w:rPr>
        <w:t>51%</w:t>
      </w:r>
      <w:r w:rsidRPr="00D56C50">
        <w:rPr>
          <w:rFonts w:hint="eastAsia"/>
        </w:rPr>
        <w:t>。超额工资反映出随着</w:t>
      </w:r>
      <w:r w:rsidR="001B6336" w:rsidRPr="00D56C50">
        <w:rPr>
          <w:rFonts w:hint="eastAsia"/>
        </w:rPr>
        <w:t>金融</w:t>
      </w:r>
      <w:r w:rsidRPr="00D56C50">
        <w:rPr>
          <w:rFonts w:hint="eastAsia"/>
        </w:rPr>
        <w:t>化，金融从业者获得了更高</w:t>
      </w:r>
      <w:r w:rsidR="001B6336" w:rsidRPr="00D56C50">
        <w:rPr>
          <w:rFonts w:hint="eastAsia"/>
        </w:rPr>
        <w:t>的</w:t>
      </w:r>
      <w:r w:rsidRPr="00D56C50">
        <w:rPr>
          <w:rFonts w:hint="eastAsia"/>
        </w:rPr>
        <w:t>工资收入</w:t>
      </w:r>
      <w:r w:rsidR="001C0A1C" w:rsidRPr="00D56C50">
        <w:rPr>
          <w:rFonts w:hint="eastAsia"/>
        </w:rPr>
        <w:t>，从而加剧了不平等</w:t>
      </w:r>
      <w:r w:rsidRPr="00D56C50">
        <w:rPr>
          <w:rFonts w:hint="eastAsia"/>
        </w:rPr>
        <w:t>。</w:t>
      </w:r>
    </w:p>
    <w:p w14:paraId="55D7C7F7" w14:textId="77777777" w:rsidR="00D21EF4" w:rsidRPr="00D56C50" w:rsidRDefault="00D21EF4" w:rsidP="002B7F04">
      <w:pPr>
        <w:spacing w:line="288" w:lineRule="auto"/>
        <w:jc w:val="center"/>
      </w:pPr>
      <w:r w:rsidRPr="00D56C50">
        <w:rPr>
          <w:noProof/>
        </w:rPr>
        <w:lastRenderedPageBreak/>
        <w:drawing>
          <wp:inline distT="0" distB="0" distL="0" distR="0" wp14:anchorId="18C3E8EB" wp14:editId="2ECB443B">
            <wp:extent cx="4399471" cy="2952079"/>
            <wp:effectExtent l="0" t="0" r="127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6598"/>
                    <a:stretch/>
                  </pic:blipFill>
                  <pic:spPr bwMode="auto">
                    <a:xfrm>
                      <a:off x="0" y="0"/>
                      <a:ext cx="4422919" cy="2967813"/>
                    </a:xfrm>
                    <a:prstGeom prst="rect">
                      <a:avLst/>
                    </a:prstGeom>
                    <a:ln>
                      <a:noFill/>
                    </a:ln>
                    <a:extLst>
                      <a:ext uri="{53640926-AAD7-44D8-BBD7-CCE9431645EC}">
                        <a14:shadowObscured xmlns:a14="http://schemas.microsoft.com/office/drawing/2010/main"/>
                      </a:ext>
                    </a:extLst>
                  </pic:spPr>
                </pic:pic>
              </a:graphicData>
            </a:graphic>
          </wp:inline>
        </w:drawing>
      </w:r>
    </w:p>
    <w:p w14:paraId="521F3CB9" w14:textId="77777777" w:rsidR="00D21EF4" w:rsidRPr="00D56C50" w:rsidRDefault="00D21EF4" w:rsidP="002B7F04">
      <w:pPr>
        <w:spacing w:line="288" w:lineRule="auto"/>
        <w:jc w:val="center"/>
        <w:rPr>
          <w:b/>
        </w:rPr>
      </w:pPr>
      <w:r w:rsidRPr="00D56C50">
        <w:rPr>
          <w:rFonts w:hint="eastAsia"/>
          <w:b/>
        </w:rPr>
        <w:t>图</w:t>
      </w:r>
      <w:r w:rsidR="00BA780D" w:rsidRPr="00D56C50">
        <w:rPr>
          <w:rFonts w:hint="eastAsia"/>
          <w:b/>
        </w:rPr>
        <w:t>3</w:t>
      </w:r>
      <w:r w:rsidRPr="00D56C50">
        <w:rPr>
          <w:rFonts w:hint="eastAsia"/>
          <w:b/>
        </w:rPr>
        <w:t>：美国金融从业者超额相对工资</w:t>
      </w:r>
    </w:p>
    <w:p w14:paraId="136977ED" w14:textId="77777777" w:rsidR="00D21EF4" w:rsidRPr="00D56C50" w:rsidRDefault="00D21EF4" w:rsidP="002B7F04">
      <w:pPr>
        <w:spacing w:line="288" w:lineRule="auto"/>
        <w:jc w:val="center"/>
      </w:pPr>
      <w:r w:rsidRPr="00D56C50">
        <w:rPr>
          <w:rFonts w:hint="eastAsia"/>
        </w:rPr>
        <w:t>资料来源：</w:t>
      </w:r>
      <w:r w:rsidRPr="00D56C50">
        <w:rPr>
          <w:rFonts w:hint="eastAsia"/>
        </w:rPr>
        <w:t xml:space="preserve">Philippon </w:t>
      </w:r>
      <w:r w:rsidRPr="00D56C50">
        <w:rPr>
          <w:rFonts w:hint="eastAsia"/>
        </w:rPr>
        <w:t>（</w:t>
      </w:r>
      <w:r w:rsidRPr="00D56C50">
        <w:rPr>
          <w:rFonts w:hint="eastAsia"/>
        </w:rPr>
        <w:t>2012</w:t>
      </w:r>
      <w:r w:rsidRPr="00D56C50">
        <w:rPr>
          <w:rFonts w:hint="eastAsia"/>
        </w:rPr>
        <w:t>）。</w:t>
      </w:r>
      <w:r w:rsidRPr="00D56C50">
        <w:rPr>
          <w:rFonts w:hint="eastAsia"/>
        </w:rPr>
        <w:t xml:space="preserve"> </w:t>
      </w:r>
    </w:p>
    <w:p w14:paraId="502A7618" w14:textId="77777777" w:rsidR="00D21EF4" w:rsidRPr="00D56C50" w:rsidRDefault="00D21EF4" w:rsidP="002B7F04">
      <w:pPr>
        <w:spacing w:line="288" w:lineRule="auto"/>
        <w:ind w:firstLineChars="201" w:firstLine="422"/>
      </w:pPr>
    </w:p>
    <w:p w14:paraId="08015D00" w14:textId="77777777" w:rsidR="00796CDD" w:rsidRPr="00D56C50" w:rsidRDefault="00CE4F97" w:rsidP="002B7F04">
      <w:pPr>
        <w:spacing w:line="288" w:lineRule="auto"/>
        <w:ind w:firstLineChars="201" w:firstLine="422"/>
        <w:rPr>
          <w:b/>
          <w:szCs w:val="21"/>
          <w:shd w:val="clear" w:color="auto" w:fill="FFFFFF"/>
        </w:rPr>
      </w:pPr>
      <w:r w:rsidRPr="00D56C50">
        <w:rPr>
          <w:rFonts w:hint="eastAsia"/>
        </w:rPr>
        <w:t>金融业利润占国内利润比重也大幅提升。</w:t>
      </w:r>
      <w:r w:rsidR="00572837" w:rsidRPr="00D56C50">
        <w:rPr>
          <w:rFonts w:hint="eastAsia"/>
        </w:rPr>
        <w:t>还是以美国为例。</w:t>
      </w:r>
      <w:r w:rsidRPr="00D56C50">
        <w:rPr>
          <w:rFonts w:hint="eastAsia"/>
          <w:szCs w:val="21"/>
          <w:shd w:val="clear" w:color="auto" w:fill="FFFFFF"/>
        </w:rPr>
        <w:t>1948</w:t>
      </w:r>
      <w:r w:rsidRPr="00D56C50">
        <w:rPr>
          <w:rFonts w:hint="eastAsia"/>
          <w:szCs w:val="21"/>
          <w:shd w:val="clear" w:color="auto" w:fill="FFFFFF"/>
        </w:rPr>
        <w:t>年金融业利润占比不到</w:t>
      </w:r>
      <w:r w:rsidRPr="00D56C50">
        <w:rPr>
          <w:rFonts w:hint="eastAsia"/>
          <w:szCs w:val="21"/>
          <w:shd w:val="clear" w:color="auto" w:fill="FFFFFF"/>
        </w:rPr>
        <w:t>10%</w:t>
      </w:r>
      <w:r w:rsidRPr="00D56C50">
        <w:rPr>
          <w:rFonts w:hint="eastAsia"/>
          <w:szCs w:val="21"/>
          <w:shd w:val="clear" w:color="auto" w:fill="FFFFFF"/>
        </w:rPr>
        <w:t>，之后有所上升，在</w:t>
      </w:r>
      <w:r w:rsidRPr="00D56C50">
        <w:rPr>
          <w:rFonts w:hint="eastAsia"/>
          <w:szCs w:val="21"/>
          <w:shd w:val="clear" w:color="auto" w:fill="FFFFFF"/>
        </w:rPr>
        <w:t>1970</w:t>
      </w:r>
      <w:r w:rsidRPr="00D56C50">
        <w:rPr>
          <w:rFonts w:hint="eastAsia"/>
          <w:szCs w:val="21"/>
          <w:shd w:val="clear" w:color="auto" w:fill="FFFFFF"/>
        </w:rPr>
        <w:t>年代初达到一个高点，但也不到</w:t>
      </w:r>
      <w:r w:rsidRPr="00D56C50">
        <w:rPr>
          <w:rFonts w:hint="eastAsia"/>
          <w:szCs w:val="21"/>
          <w:shd w:val="clear" w:color="auto" w:fill="FFFFFF"/>
        </w:rPr>
        <w:t>20%</w:t>
      </w:r>
      <w:r w:rsidRPr="00D56C50">
        <w:rPr>
          <w:rFonts w:hint="eastAsia"/>
          <w:szCs w:val="21"/>
          <w:shd w:val="clear" w:color="auto" w:fill="FFFFFF"/>
        </w:rPr>
        <w:t>，之后回落</w:t>
      </w:r>
      <w:r w:rsidR="00F334C6" w:rsidRPr="00D56C50">
        <w:rPr>
          <w:rFonts w:hint="eastAsia"/>
          <w:szCs w:val="21"/>
          <w:shd w:val="clear" w:color="auto" w:fill="FFFFFF"/>
        </w:rPr>
        <w:t>，</w:t>
      </w:r>
      <w:r w:rsidRPr="00D56C50">
        <w:rPr>
          <w:rFonts w:hint="eastAsia"/>
          <w:szCs w:val="21"/>
          <w:shd w:val="clear" w:color="auto" w:fill="FFFFFF"/>
        </w:rPr>
        <w:t>1980</w:t>
      </w:r>
      <w:r w:rsidRPr="00D56C50">
        <w:rPr>
          <w:rFonts w:hint="eastAsia"/>
          <w:szCs w:val="21"/>
          <w:shd w:val="clear" w:color="auto" w:fill="FFFFFF"/>
        </w:rPr>
        <w:t>年代初</w:t>
      </w:r>
      <w:r w:rsidR="00F334C6" w:rsidRPr="00D56C50">
        <w:rPr>
          <w:rFonts w:hint="eastAsia"/>
          <w:szCs w:val="21"/>
          <w:shd w:val="clear" w:color="auto" w:fill="FFFFFF"/>
        </w:rPr>
        <w:t>已经到</w:t>
      </w:r>
      <w:r w:rsidRPr="00D56C50">
        <w:rPr>
          <w:rFonts w:hint="eastAsia"/>
          <w:szCs w:val="21"/>
          <w:shd w:val="clear" w:color="auto" w:fill="FFFFFF"/>
        </w:rPr>
        <w:t>10%</w:t>
      </w:r>
      <w:r w:rsidRPr="00D56C50">
        <w:rPr>
          <w:rFonts w:hint="eastAsia"/>
          <w:szCs w:val="21"/>
          <w:shd w:val="clear" w:color="auto" w:fill="FFFFFF"/>
        </w:rPr>
        <w:t>以下。自</w:t>
      </w:r>
      <w:r w:rsidRPr="00D56C50">
        <w:rPr>
          <w:rFonts w:hint="eastAsia"/>
          <w:szCs w:val="21"/>
          <w:shd w:val="clear" w:color="auto" w:fill="FFFFFF"/>
        </w:rPr>
        <w:t>1980</w:t>
      </w:r>
      <w:r w:rsidRPr="00D56C50">
        <w:rPr>
          <w:rFonts w:hint="eastAsia"/>
          <w:szCs w:val="21"/>
          <w:shd w:val="clear" w:color="auto" w:fill="FFFFFF"/>
        </w:rPr>
        <w:t>年代中期开始，金融业利润占比大幅攀升，到</w:t>
      </w:r>
      <w:r w:rsidRPr="00D56C50">
        <w:rPr>
          <w:rFonts w:hint="eastAsia"/>
          <w:szCs w:val="21"/>
          <w:shd w:val="clear" w:color="auto" w:fill="FFFFFF"/>
        </w:rPr>
        <w:t>2005</w:t>
      </w:r>
      <w:r w:rsidRPr="00D56C50">
        <w:rPr>
          <w:rFonts w:hint="eastAsia"/>
          <w:szCs w:val="21"/>
          <w:shd w:val="clear" w:color="auto" w:fill="FFFFFF"/>
        </w:rPr>
        <w:t>年达到一个高点，超过了</w:t>
      </w:r>
      <w:r w:rsidRPr="00D56C50">
        <w:rPr>
          <w:rFonts w:hint="eastAsia"/>
          <w:szCs w:val="21"/>
          <w:shd w:val="clear" w:color="auto" w:fill="FFFFFF"/>
        </w:rPr>
        <w:t>40%</w:t>
      </w:r>
      <w:r w:rsidR="00BA780D" w:rsidRPr="00D56C50">
        <w:rPr>
          <w:rFonts w:hint="eastAsia"/>
          <w:szCs w:val="21"/>
          <w:shd w:val="clear" w:color="auto" w:fill="FFFFFF"/>
        </w:rPr>
        <w:t>（见图</w:t>
      </w:r>
      <w:r w:rsidR="00BA780D" w:rsidRPr="00D56C50">
        <w:rPr>
          <w:rFonts w:hint="eastAsia"/>
          <w:szCs w:val="21"/>
          <w:shd w:val="clear" w:color="auto" w:fill="FFFFFF"/>
        </w:rPr>
        <w:t>4</w:t>
      </w:r>
      <w:r w:rsidR="00BA780D" w:rsidRPr="00D56C50">
        <w:rPr>
          <w:rFonts w:hint="eastAsia"/>
          <w:szCs w:val="21"/>
          <w:shd w:val="clear" w:color="auto" w:fill="FFFFFF"/>
        </w:rPr>
        <w:t>）</w:t>
      </w:r>
      <w:r w:rsidRPr="00D56C50">
        <w:rPr>
          <w:rFonts w:hint="eastAsia"/>
          <w:szCs w:val="21"/>
          <w:shd w:val="clear" w:color="auto" w:fill="FFFFFF"/>
        </w:rPr>
        <w:t>。在</w:t>
      </w:r>
      <w:r w:rsidR="00F334C6" w:rsidRPr="00D56C50">
        <w:rPr>
          <w:rFonts w:hint="eastAsia"/>
          <w:szCs w:val="21"/>
          <w:shd w:val="clear" w:color="auto" w:fill="FFFFFF"/>
        </w:rPr>
        <w:t>2008</w:t>
      </w:r>
      <w:r w:rsidR="00F334C6" w:rsidRPr="00D56C50">
        <w:rPr>
          <w:rFonts w:hint="eastAsia"/>
          <w:szCs w:val="21"/>
          <w:shd w:val="clear" w:color="auto" w:fill="FFFFFF"/>
        </w:rPr>
        <w:t>年国际</w:t>
      </w:r>
      <w:r w:rsidRPr="00D56C50">
        <w:rPr>
          <w:rFonts w:hint="eastAsia"/>
          <w:szCs w:val="21"/>
          <w:shd w:val="clear" w:color="auto" w:fill="FFFFFF"/>
        </w:rPr>
        <w:t>金融危机的高峰时期，金融部门的利润大幅下跌，但很快就又回升了。</w:t>
      </w:r>
    </w:p>
    <w:p w14:paraId="37597A27" w14:textId="77777777" w:rsidR="001B6336" w:rsidRPr="00D56C50" w:rsidRDefault="001B6336" w:rsidP="002B7F04">
      <w:pPr>
        <w:spacing w:line="288" w:lineRule="auto"/>
        <w:jc w:val="center"/>
      </w:pPr>
      <w:r w:rsidRPr="00D56C50">
        <w:rPr>
          <w:noProof/>
        </w:rPr>
        <w:drawing>
          <wp:inline distT="0" distB="0" distL="0" distR="0" wp14:anchorId="47056280" wp14:editId="34A0A4E3">
            <wp:extent cx="4291697" cy="2527539"/>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688"/>
                    <a:stretch/>
                  </pic:blipFill>
                  <pic:spPr bwMode="auto">
                    <a:xfrm>
                      <a:off x="0" y="0"/>
                      <a:ext cx="4298624" cy="2531619"/>
                    </a:xfrm>
                    <a:prstGeom prst="rect">
                      <a:avLst/>
                    </a:prstGeom>
                    <a:ln>
                      <a:noFill/>
                    </a:ln>
                    <a:extLst>
                      <a:ext uri="{53640926-AAD7-44D8-BBD7-CCE9431645EC}">
                        <a14:shadowObscured xmlns:a14="http://schemas.microsoft.com/office/drawing/2010/main"/>
                      </a:ext>
                    </a:extLst>
                  </pic:spPr>
                </pic:pic>
              </a:graphicData>
            </a:graphic>
          </wp:inline>
        </w:drawing>
      </w:r>
    </w:p>
    <w:p w14:paraId="7EB009FF" w14:textId="77777777" w:rsidR="00D21EF4" w:rsidRPr="00D56C50" w:rsidRDefault="00D21EF4" w:rsidP="002B7F04">
      <w:pPr>
        <w:spacing w:line="288" w:lineRule="auto"/>
        <w:jc w:val="center"/>
        <w:rPr>
          <w:b/>
        </w:rPr>
      </w:pPr>
      <w:r w:rsidRPr="00D56C50">
        <w:rPr>
          <w:rFonts w:hint="eastAsia"/>
          <w:b/>
        </w:rPr>
        <w:t>图</w:t>
      </w:r>
      <w:r w:rsidR="00BA780D" w:rsidRPr="00D56C50">
        <w:rPr>
          <w:rFonts w:hint="eastAsia"/>
          <w:b/>
        </w:rPr>
        <w:t>4</w:t>
      </w:r>
      <w:r w:rsidRPr="00D56C50">
        <w:rPr>
          <w:rFonts w:hint="eastAsia"/>
          <w:b/>
        </w:rPr>
        <w:t>：美国金融业利润（不包括美联储）占国内利润的比重</w:t>
      </w:r>
    </w:p>
    <w:p w14:paraId="427C880D" w14:textId="77777777" w:rsidR="001B6336" w:rsidRPr="00D56C50" w:rsidRDefault="001C0A1C" w:rsidP="002B7F04">
      <w:pPr>
        <w:spacing w:line="288" w:lineRule="auto"/>
        <w:jc w:val="center"/>
      </w:pPr>
      <w:r w:rsidRPr="00D56C50">
        <w:rPr>
          <w:rFonts w:hint="eastAsia"/>
        </w:rPr>
        <w:t>资料来源：</w:t>
      </w:r>
      <w:r w:rsidRPr="00D56C50">
        <w:rPr>
          <w:rFonts w:hint="eastAsia"/>
        </w:rPr>
        <w:t>J</w:t>
      </w:r>
      <w:r w:rsidR="001B6336" w:rsidRPr="00D56C50">
        <w:rPr>
          <w:rFonts w:hint="eastAsia"/>
        </w:rPr>
        <w:t>o</w:t>
      </w:r>
      <w:r w:rsidRPr="00D56C50">
        <w:rPr>
          <w:rFonts w:hint="eastAsia"/>
        </w:rPr>
        <w:t>h</w:t>
      </w:r>
      <w:r w:rsidR="001B6336" w:rsidRPr="00D56C50">
        <w:rPr>
          <w:rFonts w:hint="eastAsia"/>
        </w:rPr>
        <w:t>nson</w:t>
      </w:r>
      <w:r w:rsidRPr="00D56C50">
        <w:rPr>
          <w:rFonts w:hint="eastAsia"/>
        </w:rPr>
        <w:t>(2009)</w:t>
      </w:r>
      <w:r w:rsidRPr="00D56C50">
        <w:rPr>
          <w:rFonts w:hint="eastAsia"/>
        </w:rPr>
        <w:t>。</w:t>
      </w:r>
    </w:p>
    <w:p w14:paraId="3E7C43D9" w14:textId="77777777" w:rsidR="00D21EF4" w:rsidRPr="00D56C50" w:rsidRDefault="00D21EF4" w:rsidP="002B7F04">
      <w:pPr>
        <w:spacing w:line="288" w:lineRule="auto"/>
        <w:ind w:firstLineChars="201" w:firstLine="424"/>
        <w:rPr>
          <w:b/>
          <w:szCs w:val="21"/>
          <w:shd w:val="clear" w:color="auto" w:fill="FFFFFF"/>
        </w:rPr>
      </w:pPr>
    </w:p>
    <w:p w14:paraId="4043AF9A" w14:textId="77777777" w:rsidR="00D21EF4" w:rsidRPr="00D56C50" w:rsidRDefault="00D21EF4" w:rsidP="002B7F04">
      <w:pPr>
        <w:spacing w:line="288" w:lineRule="auto"/>
        <w:ind w:firstLineChars="201" w:firstLine="422"/>
        <w:rPr>
          <w:szCs w:val="21"/>
          <w:shd w:val="clear" w:color="auto" w:fill="FFFFFF"/>
        </w:rPr>
      </w:pPr>
      <w:r w:rsidRPr="00D56C50">
        <w:rPr>
          <w:rFonts w:hint="eastAsia"/>
          <w:szCs w:val="21"/>
          <w:shd w:val="clear" w:color="auto" w:fill="FFFFFF"/>
        </w:rPr>
        <w:t>金融业的超额工资与超额利润，造成国民收入</w:t>
      </w:r>
      <w:r w:rsidR="00F334C6" w:rsidRPr="00D56C50">
        <w:rPr>
          <w:rFonts w:hint="eastAsia"/>
          <w:szCs w:val="21"/>
          <w:shd w:val="clear" w:color="auto" w:fill="FFFFFF"/>
        </w:rPr>
        <w:t>（财富）</w:t>
      </w:r>
      <w:r w:rsidRPr="00D56C50">
        <w:rPr>
          <w:rFonts w:hint="eastAsia"/>
          <w:szCs w:val="21"/>
          <w:shd w:val="clear" w:color="auto" w:fill="FFFFFF"/>
        </w:rPr>
        <w:t>向金融部门的转移。相关估算显示，这一转移规模是巨大的。</w:t>
      </w:r>
      <w:r w:rsidRPr="00D56C50">
        <w:rPr>
          <w:rFonts w:hint="eastAsia"/>
        </w:rPr>
        <w:t>1995-2015</w:t>
      </w:r>
      <w:r w:rsidR="00F334C6" w:rsidRPr="00D56C50">
        <w:rPr>
          <w:rFonts w:hint="eastAsia"/>
        </w:rPr>
        <w:t>年</w:t>
      </w:r>
      <w:r w:rsidRPr="00D56C50">
        <w:rPr>
          <w:rFonts w:hint="eastAsia"/>
        </w:rPr>
        <w:t>，</w:t>
      </w:r>
      <w:r w:rsidR="00F334C6" w:rsidRPr="00D56C50">
        <w:rPr>
          <w:rFonts w:hint="eastAsia"/>
        </w:rPr>
        <w:t>英国金融业</w:t>
      </w:r>
      <w:r w:rsidRPr="00D56C50">
        <w:rPr>
          <w:rFonts w:hint="eastAsia"/>
        </w:rPr>
        <w:t>超额工资与超额利润合计达到</w:t>
      </w:r>
      <w:r w:rsidRPr="00D56C50">
        <w:rPr>
          <w:rFonts w:hint="eastAsia"/>
        </w:rPr>
        <w:t>6800</w:t>
      </w:r>
      <w:r w:rsidRPr="00D56C50">
        <w:rPr>
          <w:rFonts w:hint="eastAsia"/>
        </w:rPr>
        <w:t>亿英镑，占到</w:t>
      </w:r>
      <w:r w:rsidRPr="00D56C50">
        <w:rPr>
          <w:rFonts w:hint="eastAsia"/>
        </w:rPr>
        <w:t>2015</w:t>
      </w:r>
      <w:r w:rsidRPr="00D56C50">
        <w:rPr>
          <w:rFonts w:hint="eastAsia"/>
        </w:rPr>
        <w:t>年</w:t>
      </w:r>
      <w:r w:rsidR="00F334C6" w:rsidRPr="00D56C50">
        <w:rPr>
          <w:rFonts w:hint="eastAsia"/>
        </w:rPr>
        <w:t>英国</w:t>
      </w:r>
      <w:r w:rsidRPr="00D56C50">
        <w:rPr>
          <w:rFonts w:hint="eastAsia"/>
        </w:rPr>
        <w:t>GDP</w:t>
      </w:r>
      <w:r w:rsidRPr="00D56C50">
        <w:rPr>
          <w:rFonts w:hint="eastAsia"/>
        </w:rPr>
        <w:t>的</w:t>
      </w:r>
      <w:r w:rsidRPr="00D56C50">
        <w:rPr>
          <w:rFonts w:hint="eastAsia"/>
        </w:rPr>
        <w:t>37.1%</w:t>
      </w:r>
      <w:r w:rsidR="00F334C6" w:rsidRPr="00D56C50">
        <w:rPr>
          <w:rFonts w:hint="eastAsia"/>
        </w:rPr>
        <w:t>。</w:t>
      </w:r>
      <w:r w:rsidRPr="00D56C50">
        <w:rPr>
          <w:rFonts w:hint="eastAsia"/>
        </w:rPr>
        <w:t>1990-2005</w:t>
      </w:r>
      <w:r w:rsidRPr="00D56C50">
        <w:rPr>
          <w:rFonts w:hint="eastAsia"/>
        </w:rPr>
        <w:t>年，</w:t>
      </w:r>
      <w:r w:rsidR="00F334C6" w:rsidRPr="00D56C50">
        <w:rPr>
          <w:rFonts w:hint="eastAsia"/>
        </w:rPr>
        <w:t>美国</w:t>
      </w:r>
      <w:r w:rsidRPr="00D56C50">
        <w:rPr>
          <w:rFonts w:hint="eastAsia"/>
        </w:rPr>
        <w:t>超额工资与超额利润达到</w:t>
      </w:r>
      <w:r w:rsidRPr="00D56C50">
        <w:rPr>
          <w:rFonts w:hint="eastAsia"/>
        </w:rPr>
        <w:t>3.68</w:t>
      </w:r>
      <w:r w:rsidRPr="00D56C50">
        <w:rPr>
          <w:rFonts w:hint="eastAsia"/>
        </w:rPr>
        <w:lastRenderedPageBreak/>
        <w:t>万亿美元（</w:t>
      </w:r>
      <w:r w:rsidRPr="00D56C50">
        <w:rPr>
          <w:rFonts w:hint="eastAsia"/>
        </w:rPr>
        <w:t>Baker</w:t>
      </w:r>
      <w:r w:rsidRPr="00D56C50">
        <w:rPr>
          <w:rFonts w:hint="eastAsia"/>
        </w:rPr>
        <w:t>等，</w:t>
      </w:r>
      <w:r w:rsidRPr="00D56C50">
        <w:rPr>
          <w:rFonts w:hint="eastAsia"/>
        </w:rPr>
        <w:t>2018</w:t>
      </w:r>
      <w:r w:rsidRPr="00D56C50">
        <w:rPr>
          <w:rFonts w:hint="eastAsia"/>
        </w:rPr>
        <w:t>）。进一步的估算显示，</w:t>
      </w:r>
      <w:r w:rsidRPr="00D56C50">
        <w:rPr>
          <w:szCs w:val="21"/>
          <w:shd w:val="clear" w:color="auto" w:fill="FFFFFF"/>
        </w:rPr>
        <w:t>自</w:t>
      </w:r>
      <w:r w:rsidRPr="00D56C50">
        <w:rPr>
          <w:szCs w:val="21"/>
          <w:shd w:val="clear" w:color="auto" w:fill="FFFFFF"/>
        </w:rPr>
        <w:t>1980</w:t>
      </w:r>
      <w:r w:rsidRPr="00D56C50">
        <w:rPr>
          <w:szCs w:val="21"/>
          <w:shd w:val="clear" w:color="auto" w:fill="FFFFFF"/>
        </w:rPr>
        <w:t>年以来</w:t>
      </w:r>
      <w:r w:rsidR="00F334C6" w:rsidRPr="00D56C50">
        <w:rPr>
          <w:rFonts w:hint="eastAsia"/>
          <w:szCs w:val="21"/>
          <w:shd w:val="clear" w:color="auto" w:fill="FFFFFF"/>
        </w:rPr>
        <w:t>，</w:t>
      </w:r>
      <w:r w:rsidRPr="00D56C50">
        <w:rPr>
          <w:szCs w:val="21"/>
          <w:shd w:val="clear" w:color="auto" w:fill="FFFFFF"/>
        </w:rPr>
        <w:t>大约</w:t>
      </w:r>
      <w:r w:rsidRPr="00D56C50">
        <w:rPr>
          <w:szCs w:val="21"/>
          <w:shd w:val="clear" w:color="auto" w:fill="FFFFFF"/>
        </w:rPr>
        <w:t>5.8</w:t>
      </w:r>
      <w:r w:rsidRPr="00D56C50">
        <w:rPr>
          <w:szCs w:val="21"/>
          <w:shd w:val="clear" w:color="auto" w:fill="FFFFFF"/>
        </w:rPr>
        <w:t>万亿到</w:t>
      </w:r>
      <w:r w:rsidRPr="00D56C50">
        <w:rPr>
          <w:szCs w:val="21"/>
          <w:shd w:val="clear" w:color="auto" w:fill="FFFFFF"/>
        </w:rPr>
        <w:t>6.6</w:t>
      </w:r>
      <w:r w:rsidRPr="00D56C50">
        <w:rPr>
          <w:szCs w:val="21"/>
          <w:shd w:val="clear" w:color="auto" w:fill="FFFFFF"/>
        </w:rPr>
        <w:t>万亿美元被转移到了金融部门</w:t>
      </w:r>
      <w:r w:rsidRPr="00D56C50">
        <w:rPr>
          <w:rFonts w:hint="eastAsia"/>
          <w:b/>
          <w:szCs w:val="21"/>
          <w:shd w:val="clear" w:color="auto" w:fill="FFFFFF"/>
        </w:rPr>
        <w:t>（</w:t>
      </w:r>
      <w:r w:rsidRPr="00D56C50">
        <w:rPr>
          <w:rFonts w:hint="eastAsia"/>
        </w:rPr>
        <w:t>唐纳德·托马斯科维奇</w:t>
      </w:r>
      <w:r w:rsidRPr="00D56C50">
        <w:rPr>
          <w:rFonts w:hint="eastAsia"/>
        </w:rPr>
        <w:t>-</w:t>
      </w:r>
      <w:r w:rsidRPr="00D56C50">
        <w:rPr>
          <w:rFonts w:hint="eastAsia"/>
        </w:rPr>
        <w:t>迪维等，</w:t>
      </w:r>
      <w:r w:rsidRPr="00D56C50">
        <w:rPr>
          <w:rFonts w:hint="eastAsia"/>
        </w:rPr>
        <w:t>2015</w:t>
      </w:r>
      <w:r w:rsidRPr="00D56C50">
        <w:rPr>
          <w:rFonts w:hint="eastAsia"/>
        </w:rPr>
        <w:t>）。</w:t>
      </w:r>
    </w:p>
    <w:p w14:paraId="7FB483A1" w14:textId="77777777" w:rsidR="000B0B59" w:rsidRPr="00D56C50" w:rsidRDefault="005222CE" w:rsidP="00F334C6">
      <w:pPr>
        <w:spacing w:line="288" w:lineRule="auto"/>
        <w:ind w:firstLineChars="201" w:firstLine="422"/>
      </w:pPr>
      <w:r w:rsidRPr="00D56C50">
        <w:rPr>
          <w:rFonts w:hint="eastAsia"/>
        </w:rPr>
        <w:t>其次，</w:t>
      </w:r>
      <w:r w:rsidR="000B0B59" w:rsidRPr="00D56C50">
        <w:rPr>
          <w:rFonts w:hint="eastAsia"/>
        </w:rPr>
        <w:t>食利性收入</w:t>
      </w:r>
      <w:r w:rsidR="00F334C6" w:rsidRPr="00D56C50">
        <w:rPr>
          <w:rFonts w:hint="eastAsia"/>
        </w:rPr>
        <w:t>快速</w:t>
      </w:r>
      <w:r w:rsidR="00D21EF4" w:rsidRPr="00D56C50">
        <w:rPr>
          <w:rFonts w:hint="eastAsia"/>
        </w:rPr>
        <w:t>攀升</w:t>
      </w:r>
      <w:r w:rsidR="00F334C6" w:rsidRPr="00D56C50">
        <w:rPr>
          <w:rFonts w:hint="eastAsia"/>
        </w:rPr>
        <w:t>，挤压了实体经济部门收入</w:t>
      </w:r>
      <w:r w:rsidRPr="00D56C50">
        <w:rPr>
          <w:rFonts w:hint="eastAsia"/>
        </w:rPr>
        <w:t>。</w:t>
      </w:r>
    </w:p>
    <w:p w14:paraId="4B2AABC7" w14:textId="77777777" w:rsidR="00D21EF4" w:rsidRPr="00D56C50" w:rsidRDefault="001C0A1C" w:rsidP="002B7F04">
      <w:pPr>
        <w:spacing w:line="288" w:lineRule="auto"/>
        <w:ind w:firstLineChars="202" w:firstLine="424"/>
      </w:pPr>
      <w:r w:rsidRPr="00D56C50">
        <w:t>食利</w:t>
      </w:r>
      <w:r w:rsidRPr="00D56C50">
        <w:rPr>
          <w:rFonts w:hint="eastAsia"/>
        </w:rPr>
        <w:t>性</w:t>
      </w:r>
      <w:r w:rsidR="00796CDD" w:rsidRPr="00D56C50">
        <w:t>收入</w:t>
      </w:r>
      <w:r w:rsidR="00F334C6" w:rsidRPr="00D56C50">
        <w:rPr>
          <w:rFonts w:hint="eastAsia"/>
        </w:rPr>
        <w:t>（</w:t>
      </w:r>
      <w:r w:rsidR="00F334C6" w:rsidRPr="00D56C50">
        <w:rPr>
          <w:rFonts w:hint="eastAsia"/>
        </w:rPr>
        <w:t xml:space="preserve">rentier income, </w:t>
      </w:r>
      <w:r w:rsidR="00F334C6" w:rsidRPr="00D56C50">
        <w:rPr>
          <w:rFonts w:hint="eastAsia"/>
        </w:rPr>
        <w:t>也译作食利者收入）</w:t>
      </w:r>
      <w:r w:rsidRPr="00D56C50">
        <w:rPr>
          <w:rFonts w:hint="eastAsia"/>
        </w:rPr>
        <w:t>一般</w:t>
      </w:r>
      <w:r w:rsidR="00796CDD" w:rsidRPr="00D56C50">
        <w:t>是指</w:t>
      </w:r>
      <w:r w:rsidR="00F334C6" w:rsidRPr="00D56C50">
        <w:rPr>
          <w:rFonts w:hint="eastAsia"/>
        </w:rPr>
        <w:t>来自金融资产的收入</w:t>
      </w:r>
      <w:r w:rsidR="00F334C6" w:rsidRPr="00D56C50">
        <w:rPr>
          <w:rStyle w:val="a3"/>
        </w:rPr>
        <w:footnoteReference w:id="3"/>
      </w:r>
      <w:r w:rsidR="00796CDD" w:rsidRPr="00D56C50">
        <w:t>。</w:t>
      </w:r>
      <w:r w:rsidR="00796CDD" w:rsidRPr="00D56C50">
        <w:rPr>
          <w:rFonts w:hint="eastAsia"/>
        </w:rPr>
        <w:t>金融化发展推动了食利性收入占比的上升。表</w:t>
      </w:r>
      <w:r w:rsidR="00BA780D" w:rsidRPr="00D56C50">
        <w:rPr>
          <w:rFonts w:hint="eastAsia"/>
        </w:rPr>
        <w:t>1</w:t>
      </w:r>
      <w:r w:rsidR="00796CDD" w:rsidRPr="00D56C50">
        <w:rPr>
          <w:rFonts w:hint="eastAsia"/>
        </w:rPr>
        <w:t>显示</w:t>
      </w:r>
      <w:r w:rsidR="00D21EF4" w:rsidRPr="00D56C50">
        <w:rPr>
          <w:rFonts w:hint="eastAsia"/>
        </w:rPr>
        <w:t>了</w:t>
      </w:r>
      <w:r w:rsidR="00796CDD" w:rsidRPr="00D56C50">
        <w:rPr>
          <w:rFonts w:hint="eastAsia"/>
        </w:rPr>
        <w:t>从</w:t>
      </w:r>
      <w:r w:rsidR="00796CDD" w:rsidRPr="00D56C50">
        <w:rPr>
          <w:rFonts w:hint="eastAsia"/>
        </w:rPr>
        <w:t>1960</w:t>
      </w:r>
      <w:r w:rsidR="009E73E4" w:rsidRPr="00D56C50">
        <w:rPr>
          <w:rFonts w:hint="eastAsia"/>
        </w:rPr>
        <w:t>到</w:t>
      </w:r>
      <w:r w:rsidR="009E73E4" w:rsidRPr="00D56C50">
        <w:rPr>
          <w:rFonts w:hint="eastAsia"/>
        </w:rPr>
        <w:t>1990</w:t>
      </w:r>
      <w:r w:rsidR="00796CDD" w:rsidRPr="00D56C50">
        <w:rPr>
          <w:rFonts w:hint="eastAsia"/>
        </w:rPr>
        <w:t>年</w:t>
      </w:r>
      <w:r w:rsidR="009E73E4" w:rsidRPr="00D56C50">
        <w:rPr>
          <w:rFonts w:hint="eastAsia"/>
        </w:rPr>
        <w:t>代末</w:t>
      </w:r>
      <w:r w:rsidR="00796CDD" w:rsidRPr="00D56C50">
        <w:rPr>
          <w:rFonts w:hint="eastAsia"/>
        </w:rPr>
        <w:t>，美国、荷兰、英国、日本和德国的</w:t>
      </w:r>
      <w:r w:rsidRPr="00D56C50">
        <w:rPr>
          <w:rFonts w:hint="eastAsia"/>
        </w:rPr>
        <w:t>食利性收入</w:t>
      </w:r>
      <w:r w:rsidR="00796CDD" w:rsidRPr="00D56C50">
        <w:rPr>
          <w:rFonts w:hint="eastAsia"/>
        </w:rPr>
        <w:t>份额</w:t>
      </w:r>
      <w:r w:rsidR="00D21EF4" w:rsidRPr="00D56C50">
        <w:rPr>
          <w:rFonts w:hint="eastAsia"/>
        </w:rPr>
        <w:t>的变化。</w:t>
      </w:r>
    </w:p>
    <w:p w14:paraId="3F0CC789" w14:textId="77777777" w:rsidR="00D21EF4" w:rsidRPr="00D56C50" w:rsidRDefault="00796CDD" w:rsidP="002B7F04">
      <w:pPr>
        <w:spacing w:line="288" w:lineRule="auto"/>
        <w:ind w:firstLineChars="202" w:firstLine="424"/>
      </w:pPr>
      <w:r w:rsidRPr="00D56C50">
        <w:rPr>
          <w:rFonts w:hint="eastAsia"/>
        </w:rPr>
        <w:t>尽管不同经济体</w:t>
      </w:r>
      <w:r w:rsidR="001C0A1C" w:rsidRPr="00D56C50">
        <w:rPr>
          <w:rFonts w:hint="eastAsia"/>
        </w:rPr>
        <w:t>食利性收入</w:t>
      </w:r>
      <w:r w:rsidRPr="00D56C50">
        <w:rPr>
          <w:rFonts w:hint="eastAsia"/>
        </w:rPr>
        <w:t>份额在以上考察的</w:t>
      </w:r>
      <w:r w:rsidR="00D21EF4" w:rsidRPr="00D56C50">
        <w:rPr>
          <w:rFonts w:hint="eastAsia"/>
        </w:rPr>
        <w:t>4</w:t>
      </w:r>
      <w:r w:rsidRPr="00D56C50">
        <w:rPr>
          <w:rFonts w:hint="eastAsia"/>
        </w:rPr>
        <w:t>0</w:t>
      </w:r>
      <w:r w:rsidRPr="00D56C50">
        <w:rPr>
          <w:rFonts w:hint="eastAsia"/>
        </w:rPr>
        <w:t>年中呈现出不同的变化态势，但仍然有如下几个发现：首先，总体上，</w:t>
      </w:r>
      <w:r w:rsidR="001C0A1C" w:rsidRPr="00D56C50">
        <w:rPr>
          <w:rFonts w:hint="eastAsia"/>
        </w:rPr>
        <w:t>食利性收入</w:t>
      </w:r>
      <w:r w:rsidR="00D21EF4" w:rsidRPr="00D56C50">
        <w:rPr>
          <w:rFonts w:hint="eastAsia"/>
        </w:rPr>
        <w:t>份额处在一个逐步上升的态势。</w:t>
      </w:r>
      <w:r w:rsidRPr="00D56C50">
        <w:rPr>
          <w:rFonts w:hint="eastAsia"/>
        </w:rPr>
        <w:t>金融自由化大发展的</w:t>
      </w:r>
      <w:r w:rsidRPr="00D56C50">
        <w:rPr>
          <w:rFonts w:hint="eastAsia"/>
        </w:rPr>
        <w:t>1980</w:t>
      </w:r>
      <w:r w:rsidR="00D21EF4" w:rsidRPr="00D56C50">
        <w:rPr>
          <w:rFonts w:hint="eastAsia"/>
        </w:rPr>
        <w:t>-1990</w:t>
      </w:r>
      <w:r w:rsidRPr="00D56C50">
        <w:rPr>
          <w:rFonts w:hint="eastAsia"/>
        </w:rPr>
        <w:t>年代，</w:t>
      </w:r>
      <w:r w:rsidR="00D21EF4" w:rsidRPr="00D56C50">
        <w:rPr>
          <w:rFonts w:hint="eastAsia"/>
        </w:rPr>
        <w:t>恰恰</w:t>
      </w:r>
      <w:r w:rsidRPr="00D56C50">
        <w:rPr>
          <w:rFonts w:hint="eastAsia"/>
        </w:rPr>
        <w:t>是</w:t>
      </w:r>
      <w:r w:rsidR="001C0A1C" w:rsidRPr="00D56C50">
        <w:rPr>
          <w:rFonts w:hint="eastAsia"/>
        </w:rPr>
        <w:t>食利性收入</w:t>
      </w:r>
      <w:r w:rsidRPr="00D56C50">
        <w:rPr>
          <w:rFonts w:hint="eastAsia"/>
        </w:rPr>
        <w:t>份额占比</w:t>
      </w:r>
      <w:r w:rsidR="00BA780D" w:rsidRPr="00D56C50">
        <w:rPr>
          <w:rFonts w:hint="eastAsia"/>
        </w:rPr>
        <w:t>很</w:t>
      </w:r>
      <w:r w:rsidRPr="00D56C50">
        <w:rPr>
          <w:rFonts w:hint="eastAsia"/>
        </w:rPr>
        <w:t>高的年代，此后有所回落，但幅度并不是很大。其次，荷兰从经济规模上只能算一个小国，但金融化程度非常高，体现出小国大金融的特点。第三，以</w:t>
      </w:r>
      <w:r w:rsidRPr="00D56C50">
        <w:rPr>
          <w:rFonts w:hint="eastAsia"/>
        </w:rPr>
        <w:t>1990</w:t>
      </w:r>
      <w:r w:rsidRPr="00D56C50">
        <w:rPr>
          <w:rFonts w:hint="eastAsia"/>
        </w:rPr>
        <w:t>年代为基准，各国</w:t>
      </w:r>
      <w:r w:rsidR="001C0A1C" w:rsidRPr="00D56C50">
        <w:rPr>
          <w:rFonts w:hint="eastAsia"/>
        </w:rPr>
        <w:t>食利性收入</w:t>
      </w:r>
      <w:r w:rsidRPr="00D56C50">
        <w:rPr>
          <w:rFonts w:hint="eastAsia"/>
        </w:rPr>
        <w:t>份额占比的排序从高到低依次是美国、荷兰、英国、日本、德国。这一定程度上反映出一国金融发展的特点。基本上仍然是美英、日德两个阵营：美英以市场为主导，金融化的特点非常明显；而日德以银行为主导，金融化程度就没有那么高。</w:t>
      </w:r>
    </w:p>
    <w:p w14:paraId="684FAF3B" w14:textId="77777777" w:rsidR="00D21EF4" w:rsidRPr="00D56C50" w:rsidRDefault="00D21EF4" w:rsidP="002B7F04">
      <w:pPr>
        <w:spacing w:line="288" w:lineRule="auto"/>
        <w:ind w:firstLineChars="202" w:firstLine="424"/>
      </w:pPr>
    </w:p>
    <w:p w14:paraId="540249D1" w14:textId="77777777" w:rsidR="00796CDD" w:rsidRPr="00D56C50" w:rsidRDefault="00796CDD" w:rsidP="00BA780D">
      <w:pPr>
        <w:spacing w:line="288" w:lineRule="auto"/>
        <w:jc w:val="center"/>
        <w:rPr>
          <w:b/>
        </w:rPr>
      </w:pPr>
      <w:r w:rsidRPr="00D56C50">
        <w:rPr>
          <w:rFonts w:hint="eastAsia"/>
          <w:b/>
        </w:rPr>
        <w:t>表</w:t>
      </w:r>
      <w:r w:rsidR="00BA780D" w:rsidRPr="00D56C50">
        <w:rPr>
          <w:rFonts w:hint="eastAsia"/>
          <w:b/>
        </w:rPr>
        <w:t>1</w:t>
      </w:r>
      <w:r w:rsidR="00D21EF4" w:rsidRPr="00D56C50">
        <w:rPr>
          <w:rFonts w:hint="eastAsia"/>
          <w:b/>
        </w:rPr>
        <w:t xml:space="preserve">   </w:t>
      </w:r>
      <w:r w:rsidRPr="00D56C50">
        <w:rPr>
          <w:rFonts w:hint="eastAsia"/>
          <w:b/>
        </w:rPr>
        <w:t>不含资本利得的</w:t>
      </w:r>
      <w:r w:rsidR="001C0A1C" w:rsidRPr="00D56C50">
        <w:rPr>
          <w:rFonts w:hint="eastAsia"/>
          <w:b/>
        </w:rPr>
        <w:t>食利性收入</w:t>
      </w:r>
      <w:r w:rsidRPr="00D56C50">
        <w:rPr>
          <w:rFonts w:hint="eastAsia"/>
          <w:b/>
        </w:rPr>
        <w:t>份额（</w:t>
      </w:r>
      <w:r w:rsidRPr="00D56C50">
        <w:rPr>
          <w:rFonts w:hint="eastAsia"/>
          <w:b/>
        </w:rPr>
        <w:t>10</w:t>
      </w:r>
      <w:r w:rsidRPr="00D56C50">
        <w:rPr>
          <w:rFonts w:hint="eastAsia"/>
          <w:b/>
        </w:rPr>
        <w:t>年平均，</w:t>
      </w:r>
      <w:r w:rsidRPr="00D56C50">
        <w:rPr>
          <w:rFonts w:hint="eastAsia"/>
          <w:b/>
        </w:rPr>
        <w:t>%</w:t>
      </w:r>
      <w:r w:rsidRPr="00D56C50">
        <w:rPr>
          <w:rFonts w:hint="eastAsia"/>
          <w:b/>
        </w:rPr>
        <w:t>）</w:t>
      </w:r>
    </w:p>
    <w:tbl>
      <w:tblPr>
        <w:tblStyle w:val="a4"/>
        <w:tblW w:w="0" w:type="auto"/>
        <w:jc w:val="center"/>
        <w:tblLook w:val="04A0" w:firstRow="1" w:lastRow="0" w:firstColumn="1" w:lastColumn="0" w:noHBand="0" w:noVBand="1"/>
      </w:tblPr>
      <w:tblGrid>
        <w:gridCol w:w="1180"/>
        <w:gridCol w:w="1287"/>
        <w:gridCol w:w="1287"/>
        <w:gridCol w:w="1288"/>
        <w:gridCol w:w="1288"/>
      </w:tblGrid>
      <w:tr w:rsidR="00D56C50" w:rsidRPr="00D56C50" w14:paraId="0F2E6EB8" w14:textId="77777777" w:rsidTr="00D21EF4">
        <w:trPr>
          <w:jc w:val="center"/>
        </w:trPr>
        <w:tc>
          <w:tcPr>
            <w:tcW w:w="1180" w:type="dxa"/>
          </w:tcPr>
          <w:p w14:paraId="76D6B987" w14:textId="77777777" w:rsidR="00D21EF4" w:rsidRPr="00D56C50" w:rsidRDefault="00D21EF4" w:rsidP="002B7F04">
            <w:pPr>
              <w:spacing w:line="288" w:lineRule="auto"/>
            </w:pPr>
          </w:p>
        </w:tc>
        <w:tc>
          <w:tcPr>
            <w:tcW w:w="1287" w:type="dxa"/>
          </w:tcPr>
          <w:p w14:paraId="269871BF" w14:textId="77777777" w:rsidR="00D21EF4" w:rsidRPr="00D56C50" w:rsidRDefault="00D21EF4" w:rsidP="002B7F04">
            <w:pPr>
              <w:spacing w:line="288" w:lineRule="auto"/>
            </w:pPr>
            <w:r w:rsidRPr="00D56C50">
              <w:t>1960</w:t>
            </w:r>
            <w:r w:rsidRPr="00D56C50">
              <w:t>年代</w:t>
            </w:r>
          </w:p>
        </w:tc>
        <w:tc>
          <w:tcPr>
            <w:tcW w:w="1287" w:type="dxa"/>
          </w:tcPr>
          <w:p w14:paraId="4150700C" w14:textId="77777777" w:rsidR="00D21EF4" w:rsidRPr="00D56C50" w:rsidRDefault="00D21EF4" w:rsidP="002B7F04">
            <w:pPr>
              <w:spacing w:line="288" w:lineRule="auto"/>
            </w:pPr>
            <w:r w:rsidRPr="00D56C50">
              <w:t>1970</w:t>
            </w:r>
            <w:r w:rsidRPr="00D56C50">
              <w:t>年代</w:t>
            </w:r>
          </w:p>
        </w:tc>
        <w:tc>
          <w:tcPr>
            <w:tcW w:w="1288" w:type="dxa"/>
          </w:tcPr>
          <w:p w14:paraId="45E75706" w14:textId="77777777" w:rsidR="00D21EF4" w:rsidRPr="00D56C50" w:rsidRDefault="00D21EF4" w:rsidP="002B7F04">
            <w:pPr>
              <w:spacing w:line="288" w:lineRule="auto"/>
            </w:pPr>
            <w:r w:rsidRPr="00D56C50">
              <w:t>1980</w:t>
            </w:r>
            <w:r w:rsidRPr="00D56C50">
              <w:t>年代</w:t>
            </w:r>
          </w:p>
        </w:tc>
        <w:tc>
          <w:tcPr>
            <w:tcW w:w="1288" w:type="dxa"/>
          </w:tcPr>
          <w:p w14:paraId="570252C7" w14:textId="77777777" w:rsidR="00D21EF4" w:rsidRPr="00D56C50" w:rsidRDefault="00D21EF4" w:rsidP="002B7F04">
            <w:pPr>
              <w:spacing w:line="288" w:lineRule="auto"/>
            </w:pPr>
            <w:r w:rsidRPr="00D56C50">
              <w:t>1990</w:t>
            </w:r>
            <w:r w:rsidRPr="00D56C50">
              <w:t>年代</w:t>
            </w:r>
          </w:p>
        </w:tc>
      </w:tr>
      <w:tr w:rsidR="00D56C50" w:rsidRPr="00D56C50" w14:paraId="45FBE246" w14:textId="77777777" w:rsidTr="00D21EF4">
        <w:trPr>
          <w:jc w:val="center"/>
        </w:trPr>
        <w:tc>
          <w:tcPr>
            <w:tcW w:w="1180" w:type="dxa"/>
          </w:tcPr>
          <w:p w14:paraId="035A34D5" w14:textId="77777777" w:rsidR="00D21EF4" w:rsidRPr="00D56C50" w:rsidRDefault="00D21EF4" w:rsidP="002B7F04">
            <w:pPr>
              <w:spacing w:line="288" w:lineRule="auto"/>
            </w:pPr>
            <w:r w:rsidRPr="00D56C50">
              <w:t>美国</w:t>
            </w:r>
          </w:p>
        </w:tc>
        <w:tc>
          <w:tcPr>
            <w:tcW w:w="1287" w:type="dxa"/>
          </w:tcPr>
          <w:p w14:paraId="36A97465" w14:textId="77777777" w:rsidR="00D21EF4" w:rsidRPr="00D56C50" w:rsidRDefault="00D21EF4" w:rsidP="002B7F04">
            <w:pPr>
              <w:spacing w:line="288" w:lineRule="auto"/>
            </w:pPr>
            <w:r w:rsidRPr="00D56C50">
              <w:t>14.81</w:t>
            </w:r>
          </w:p>
        </w:tc>
        <w:tc>
          <w:tcPr>
            <w:tcW w:w="1287" w:type="dxa"/>
          </w:tcPr>
          <w:p w14:paraId="1DE31631" w14:textId="77777777" w:rsidR="00D21EF4" w:rsidRPr="00D56C50" w:rsidRDefault="00D21EF4" w:rsidP="002B7F04">
            <w:pPr>
              <w:spacing w:line="288" w:lineRule="auto"/>
            </w:pPr>
            <w:r w:rsidRPr="00D56C50">
              <w:t>22.47</w:t>
            </w:r>
          </w:p>
        </w:tc>
        <w:tc>
          <w:tcPr>
            <w:tcW w:w="1288" w:type="dxa"/>
          </w:tcPr>
          <w:p w14:paraId="2BD724ED" w14:textId="77777777" w:rsidR="00D21EF4" w:rsidRPr="00D56C50" w:rsidRDefault="00D21EF4" w:rsidP="002B7F04">
            <w:pPr>
              <w:spacing w:line="288" w:lineRule="auto"/>
            </w:pPr>
            <w:r w:rsidRPr="00D56C50">
              <w:t>38.26</w:t>
            </w:r>
          </w:p>
        </w:tc>
        <w:tc>
          <w:tcPr>
            <w:tcW w:w="1288" w:type="dxa"/>
          </w:tcPr>
          <w:p w14:paraId="77B06ABE" w14:textId="77777777" w:rsidR="00D21EF4" w:rsidRPr="00D56C50" w:rsidRDefault="00D21EF4" w:rsidP="002B7F04">
            <w:pPr>
              <w:spacing w:line="288" w:lineRule="auto"/>
            </w:pPr>
            <w:r w:rsidRPr="00D56C50">
              <w:t>33.49</w:t>
            </w:r>
          </w:p>
        </w:tc>
      </w:tr>
      <w:tr w:rsidR="00D56C50" w:rsidRPr="00D56C50" w14:paraId="66602D74" w14:textId="77777777" w:rsidTr="00D21EF4">
        <w:trPr>
          <w:jc w:val="center"/>
        </w:trPr>
        <w:tc>
          <w:tcPr>
            <w:tcW w:w="1180" w:type="dxa"/>
          </w:tcPr>
          <w:p w14:paraId="6B247CF5" w14:textId="77777777" w:rsidR="00D21EF4" w:rsidRPr="00D56C50" w:rsidRDefault="00D21EF4" w:rsidP="002B7F04">
            <w:pPr>
              <w:spacing w:line="288" w:lineRule="auto"/>
            </w:pPr>
            <w:r w:rsidRPr="00D56C50">
              <w:t>荷兰</w:t>
            </w:r>
          </w:p>
        </w:tc>
        <w:tc>
          <w:tcPr>
            <w:tcW w:w="1287" w:type="dxa"/>
          </w:tcPr>
          <w:p w14:paraId="71DAA190" w14:textId="77777777" w:rsidR="00D21EF4" w:rsidRPr="00D56C50" w:rsidRDefault="00D21EF4" w:rsidP="002B7F04">
            <w:pPr>
              <w:spacing w:line="288" w:lineRule="auto"/>
            </w:pPr>
            <w:r w:rsidRPr="00D56C50">
              <w:t>----</w:t>
            </w:r>
          </w:p>
        </w:tc>
        <w:tc>
          <w:tcPr>
            <w:tcW w:w="1287" w:type="dxa"/>
          </w:tcPr>
          <w:p w14:paraId="6B74F424" w14:textId="77777777" w:rsidR="00D21EF4" w:rsidRPr="00D56C50" w:rsidRDefault="00D21EF4" w:rsidP="002B7F04">
            <w:pPr>
              <w:spacing w:line="288" w:lineRule="auto"/>
            </w:pPr>
            <w:r w:rsidRPr="00D56C50">
              <w:t>13.47</w:t>
            </w:r>
          </w:p>
        </w:tc>
        <w:tc>
          <w:tcPr>
            <w:tcW w:w="1288" w:type="dxa"/>
          </w:tcPr>
          <w:p w14:paraId="00C6F966" w14:textId="77777777" w:rsidR="00D21EF4" w:rsidRPr="00D56C50" w:rsidRDefault="00D21EF4" w:rsidP="002B7F04">
            <w:pPr>
              <w:spacing w:line="288" w:lineRule="auto"/>
            </w:pPr>
            <w:r w:rsidRPr="00D56C50">
              <w:t>18.69</w:t>
            </w:r>
          </w:p>
        </w:tc>
        <w:tc>
          <w:tcPr>
            <w:tcW w:w="1288" w:type="dxa"/>
          </w:tcPr>
          <w:p w14:paraId="6C5A7C51" w14:textId="77777777" w:rsidR="00D21EF4" w:rsidRPr="00D56C50" w:rsidRDefault="00D21EF4" w:rsidP="002B7F04">
            <w:pPr>
              <w:spacing w:line="288" w:lineRule="auto"/>
            </w:pPr>
            <w:r w:rsidRPr="00D56C50">
              <w:t>20.97</w:t>
            </w:r>
          </w:p>
        </w:tc>
      </w:tr>
      <w:tr w:rsidR="00D56C50" w:rsidRPr="00D56C50" w14:paraId="670063F9" w14:textId="77777777" w:rsidTr="00D21EF4">
        <w:trPr>
          <w:jc w:val="center"/>
        </w:trPr>
        <w:tc>
          <w:tcPr>
            <w:tcW w:w="1180" w:type="dxa"/>
          </w:tcPr>
          <w:p w14:paraId="12BCB474" w14:textId="77777777" w:rsidR="00D21EF4" w:rsidRPr="00D56C50" w:rsidRDefault="00D21EF4" w:rsidP="002B7F04">
            <w:pPr>
              <w:spacing w:line="288" w:lineRule="auto"/>
            </w:pPr>
            <w:r w:rsidRPr="00D56C50">
              <w:t>英国</w:t>
            </w:r>
          </w:p>
        </w:tc>
        <w:tc>
          <w:tcPr>
            <w:tcW w:w="1287" w:type="dxa"/>
          </w:tcPr>
          <w:p w14:paraId="6C637C89" w14:textId="77777777" w:rsidR="00D21EF4" w:rsidRPr="00D56C50" w:rsidRDefault="00D21EF4" w:rsidP="002B7F04">
            <w:pPr>
              <w:spacing w:line="288" w:lineRule="auto"/>
            </w:pPr>
            <w:r w:rsidRPr="00D56C50">
              <w:t>3.97</w:t>
            </w:r>
          </w:p>
        </w:tc>
        <w:tc>
          <w:tcPr>
            <w:tcW w:w="1287" w:type="dxa"/>
          </w:tcPr>
          <w:p w14:paraId="3FAD8F07" w14:textId="77777777" w:rsidR="00D21EF4" w:rsidRPr="00D56C50" w:rsidRDefault="00D21EF4" w:rsidP="002B7F04">
            <w:pPr>
              <w:spacing w:line="288" w:lineRule="auto"/>
            </w:pPr>
            <w:r w:rsidRPr="00D56C50">
              <w:t>6.33</w:t>
            </w:r>
          </w:p>
        </w:tc>
        <w:tc>
          <w:tcPr>
            <w:tcW w:w="1288" w:type="dxa"/>
          </w:tcPr>
          <w:p w14:paraId="0054D1BE" w14:textId="77777777" w:rsidR="00D21EF4" w:rsidRPr="00D56C50" w:rsidRDefault="00D21EF4" w:rsidP="002B7F04">
            <w:pPr>
              <w:spacing w:line="288" w:lineRule="auto"/>
            </w:pPr>
            <w:r w:rsidRPr="00D56C50">
              <w:t>10.85</w:t>
            </w:r>
          </w:p>
        </w:tc>
        <w:tc>
          <w:tcPr>
            <w:tcW w:w="1288" w:type="dxa"/>
          </w:tcPr>
          <w:p w14:paraId="50FF2377" w14:textId="77777777" w:rsidR="00D21EF4" w:rsidRPr="00D56C50" w:rsidRDefault="00D21EF4" w:rsidP="002B7F04">
            <w:pPr>
              <w:spacing w:line="288" w:lineRule="auto"/>
            </w:pPr>
            <w:r w:rsidRPr="00D56C50">
              <w:t>14.16</w:t>
            </w:r>
          </w:p>
        </w:tc>
      </w:tr>
      <w:tr w:rsidR="00D56C50" w:rsidRPr="00D56C50" w14:paraId="4395A996" w14:textId="77777777" w:rsidTr="00D21EF4">
        <w:trPr>
          <w:jc w:val="center"/>
        </w:trPr>
        <w:tc>
          <w:tcPr>
            <w:tcW w:w="1180" w:type="dxa"/>
          </w:tcPr>
          <w:p w14:paraId="15082439" w14:textId="77777777" w:rsidR="00D21EF4" w:rsidRPr="00D56C50" w:rsidRDefault="00D21EF4" w:rsidP="002B7F04">
            <w:pPr>
              <w:spacing w:line="288" w:lineRule="auto"/>
            </w:pPr>
            <w:r w:rsidRPr="00D56C50">
              <w:t>日本</w:t>
            </w:r>
          </w:p>
        </w:tc>
        <w:tc>
          <w:tcPr>
            <w:tcW w:w="1287" w:type="dxa"/>
          </w:tcPr>
          <w:p w14:paraId="74624D3C" w14:textId="77777777" w:rsidR="00D21EF4" w:rsidRPr="00D56C50" w:rsidRDefault="00D21EF4" w:rsidP="002B7F04">
            <w:pPr>
              <w:spacing w:line="288" w:lineRule="auto"/>
            </w:pPr>
            <w:r w:rsidRPr="00D56C50">
              <w:t>9.00</w:t>
            </w:r>
          </w:p>
        </w:tc>
        <w:tc>
          <w:tcPr>
            <w:tcW w:w="1287" w:type="dxa"/>
          </w:tcPr>
          <w:p w14:paraId="7A39EF47" w14:textId="77777777" w:rsidR="00D21EF4" w:rsidRPr="00D56C50" w:rsidRDefault="00D21EF4" w:rsidP="002B7F04">
            <w:pPr>
              <w:spacing w:line="288" w:lineRule="auto"/>
            </w:pPr>
            <w:r w:rsidRPr="00D56C50">
              <w:t>12.30</w:t>
            </w:r>
          </w:p>
        </w:tc>
        <w:tc>
          <w:tcPr>
            <w:tcW w:w="1288" w:type="dxa"/>
          </w:tcPr>
          <w:p w14:paraId="1B9D79FF" w14:textId="77777777" w:rsidR="00D21EF4" w:rsidRPr="00D56C50" w:rsidRDefault="00D21EF4" w:rsidP="002B7F04">
            <w:pPr>
              <w:spacing w:line="288" w:lineRule="auto"/>
            </w:pPr>
            <w:r w:rsidRPr="00D56C50">
              <w:t>14.27</w:t>
            </w:r>
          </w:p>
        </w:tc>
        <w:tc>
          <w:tcPr>
            <w:tcW w:w="1288" w:type="dxa"/>
          </w:tcPr>
          <w:p w14:paraId="035DE137" w14:textId="77777777" w:rsidR="00D21EF4" w:rsidRPr="00D56C50" w:rsidRDefault="00D21EF4" w:rsidP="002B7F04">
            <w:pPr>
              <w:spacing w:line="288" w:lineRule="auto"/>
            </w:pPr>
            <w:r w:rsidRPr="00D56C50">
              <w:t>11.22</w:t>
            </w:r>
          </w:p>
        </w:tc>
      </w:tr>
      <w:tr w:rsidR="00D56C50" w:rsidRPr="00D56C50" w14:paraId="01B457A3" w14:textId="77777777" w:rsidTr="00D21EF4">
        <w:trPr>
          <w:jc w:val="center"/>
        </w:trPr>
        <w:tc>
          <w:tcPr>
            <w:tcW w:w="1180" w:type="dxa"/>
          </w:tcPr>
          <w:p w14:paraId="5F97B895" w14:textId="77777777" w:rsidR="00D21EF4" w:rsidRPr="00D56C50" w:rsidRDefault="00D21EF4" w:rsidP="002B7F04">
            <w:pPr>
              <w:spacing w:line="288" w:lineRule="auto"/>
            </w:pPr>
            <w:r w:rsidRPr="00D56C50">
              <w:t>德国</w:t>
            </w:r>
          </w:p>
        </w:tc>
        <w:tc>
          <w:tcPr>
            <w:tcW w:w="1287" w:type="dxa"/>
          </w:tcPr>
          <w:p w14:paraId="5A9104D8" w14:textId="77777777" w:rsidR="00D21EF4" w:rsidRPr="00D56C50" w:rsidRDefault="00D21EF4" w:rsidP="002B7F04">
            <w:pPr>
              <w:spacing w:line="288" w:lineRule="auto"/>
            </w:pPr>
            <w:r w:rsidRPr="00D56C50">
              <w:t>2.98</w:t>
            </w:r>
          </w:p>
        </w:tc>
        <w:tc>
          <w:tcPr>
            <w:tcW w:w="1287" w:type="dxa"/>
          </w:tcPr>
          <w:p w14:paraId="0873AEB6" w14:textId="77777777" w:rsidR="00D21EF4" w:rsidRPr="00D56C50" w:rsidRDefault="00D21EF4" w:rsidP="002B7F04">
            <w:pPr>
              <w:spacing w:line="288" w:lineRule="auto"/>
            </w:pPr>
            <w:r w:rsidRPr="00D56C50">
              <w:t>5.02</w:t>
            </w:r>
          </w:p>
        </w:tc>
        <w:tc>
          <w:tcPr>
            <w:tcW w:w="1288" w:type="dxa"/>
          </w:tcPr>
          <w:p w14:paraId="5902203B" w14:textId="77777777" w:rsidR="00D21EF4" w:rsidRPr="00D56C50" w:rsidRDefault="00D21EF4" w:rsidP="002B7F04">
            <w:pPr>
              <w:spacing w:line="288" w:lineRule="auto"/>
            </w:pPr>
            <w:r w:rsidRPr="00D56C50">
              <w:t>7.83</w:t>
            </w:r>
          </w:p>
        </w:tc>
        <w:tc>
          <w:tcPr>
            <w:tcW w:w="1288" w:type="dxa"/>
          </w:tcPr>
          <w:p w14:paraId="419B6667" w14:textId="77777777" w:rsidR="00D21EF4" w:rsidRPr="00D56C50" w:rsidRDefault="00D21EF4" w:rsidP="002B7F04">
            <w:pPr>
              <w:spacing w:line="288" w:lineRule="auto"/>
            </w:pPr>
            <w:r w:rsidRPr="00D56C50">
              <w:t>7.43</w:t>
            </w:r>
          </w:p>
        </w:tc>
      </w:tr>
    </w:tbl>
    <w:p w14:paraId="7E92B000" w14:textId="77777777" w:rsidR="009E73E4" w:rsidRPr="00D56C50" w:rsidRDefault="00796CDD" w:rsidP="002B7F04">
      <w:pPr>
        <w:spacing w:line="288" w:lineRule="auto"/>
        <w:ind w:firstLineChars="270" w:firstLine="567"/>
      </w:pPr>
      <w:r w:rsidRPr="00D56C50">
        <w:rPr>
          <w:rFonts w:hint="eastAsia"/>
        </w:rPr>
        <w:t>资料来源：</w:t>
      </w:r>
      <w:r w:rsidRPr="00D56C50">
        <w:t>Power</w:t>
      </w:r>
      <w:r w:rsidRPr="00D56C50">
        <w:rPr>
          <w:rFonts w:hint="eastAsia"/>
        </w:rPr>
        <w:t xml:space="preserve">, </w:t>
      </w:r>
      <w:r w:rsidRPr="00D56C50">
        <w:t>Epstei</w:t>
      </w:r>
      <w:r w:rsidR="009E73E4" w:rsidRPr="00D56C50">
        <w:rPr>
          <w:rFonts w:hint="eastAsia"/>
        </w:rPr>
        <w:t>n and</w:t>
      </w:r>
      <w:r w:rsidRPr="00D56C50">
        <w:t xml:space="preserve"> </w:t>
      </w:r>
      <w:proofErr w:type="spellStart"/>
      <w:r w:rsidRPr="00D56C50">
        <w:t>Abrena</w:t>
      </w:r>
      <w:proofErr w:type="spellEnd"/>
      <w:r w:rsidR="009E73E4" w:rsidRPr="00D56C50">
        <w:rPr>
          <w:rFonts w:hint="eastAsia"/>
        </w:rPr>
        <w:t>(</w:t>
      </w:r>
      <w:r w:rsidRPr="00D56C50">
        <w:t>2003</w:t>
      </w:r>
      <w:r w:rsidR="009E73E4" w:rsidRPr="00D56C50">
        <w:rPr>
          <w:rFonts w:hint="eastAsia"/>
        </w:rPr>
        <w:t>)</w:t>
      </w:r>
      <w:r w:rsidR="00D21EF4" w:rsidRPr="00D56C50">
        <w:rPr>
          <w:rFonts w:hint="eastAsia"/>
        </w:rPr>
        <w:t>。</w:t>
      </w:r>
    </w:p>
    <w:p w14:paraId="5C76DB26" w14:textId="77777777" w:rsidR="00D21EF4" w:rsidRPr="00D56C50" w:rsidRDefault="00D21EF4" w:rsidP="002B7F04">
      <w:pPr>
        <w:spacing w:line="288" w:lineRule="auto"/>
        <w:ind w:firstLineChars="270" w:firstLine="567"/>
      </w:pPr>
    </w:p>
    <w:p w14:paraId="56C227FB" w14:textId="77777777" w:rsidR="00796CDD" w:rsidRPr="00D56C50" w:rsidRDefault="005222CE" w:rsidP="002B7F04">
      <w:pPr>
        <w:spacing w:line="288" w:lineRule="auto"/>
        <w:ind w:firstLineChars="201" w:firstLine="424"/>
        <w:rPr>
          <w:b/>
        </w:rPr>
      </w:pPr>
      <w:r w:rsidRPr="00D56C50">
        <w:rPr>
          <w:rFonts w:hint="eastAsia"/>
          <w:b/>
        </w:rPr>
        <w:t>第三，</w:t>
      </w:r>
      <w:r w:rsidR="00796CDD" w:rsidRPr="00D56C50">
        <w:rPr>
          <w:rFonts w:hint="eastAsia"/>
          <w:b/>
        </w:rPr>
        <w:t>劳动收入份额下降</w:t>
      </w:r>
      <w:r w:rsidRPr="00D56C50">
        <w:rPr>
          <w:rFonts w:hint="eastAsia"/>
          <w:b/>
        </w:rPr>
        <w:t>。</w:t>
      </w:r>
    </w:p>
    <w:p w14:paraId="7184A697" w14:textId="77777777" w:rsidR="009E73E4" w:rsidRPr="00D56C50" w:rsidRDefault="009E73E4" w:rsidP="002B7F04">
      <w:pPr>
        <w:spacing w:line="288" w:lineRule="auto"/>
        <w:ind w:firstLineChars="171" w:firstLine="359"/>
        <w:rPr>
          <w:rFonts w:asciiTheme="minorEastAsia" w:eastAsiaTheme="minorEastAsia" w:hAnsiTheme="minorEastAsia"/>
          <w:szCs w:val="21"/>
        </w:rPr>
      </w:pPr>
      <w:r w:rsidRPr="00D56C50">
        <w:rPr>
          <w:rFonts w:asciiTheme="minorEastAsia" w:eastAsiaTheme="minorEastAsia" w:hAnsiTheme="minorEastAsia" w:hint="eastAsia"/>
          <w:szCs w:val="21"/>
        </w:rPr>
        <w:t>在宏观的国民收入分配中，劳动报酬与资本报酬所占份额，取决于劳动与资本在社会中的权力。《资本论》以及《21世纪资本论》都在强调资本的权力（即资本在社会中特别是在分配中占据主导地位）。“资本又回来了”，导致资本收入份额占比上升，而劳动收入份额下降，</w:t>
      </w:r>
      <w:r w:rsidR="00D21EF4" w:rsidRPr="00D56C50">
        <w:rPr>
          <w:rFonts w:asciiTheme="minorEastAsia" w:eastAsiaTheme="minorEastAsia" w:hAnsiTheme="minorEastAsia" w:hint="eastAsia"/>
          <w:szCs w:val="21"/>
        </w:rPr>
        <w:t>从而</w:t>
      </w:r>
      <w:r w:rsidRPr="00D56C50">
        <w:rPr>
          <w:rFonts w:asciiTheme="minorEastAsia" w:eastAsiaTheme="minorEastAsia" w:hAnsiTheme="minorEastAsia" w:hint="eastAsia"/>
          <w:szCs w:val="21"/>
        </w:rPr>
        <w:t>打破了所谓的“卡尔多事实”</w:t>
      </w:r>
      <w:r w:rsidR="00F334C6" w:rsidRPr="00D56C50">
        <w:rPr>
          <w:rFonts w:asciiTheme="minorEastAsia" w:eastAsiaTheme="minorEastAsia" w:hAnsiTheme="minorEastAsia" w:hint="eastAsia"/>
          <w:szCs w:val="21"/>
        </w:rPr>
        <w:t xml:space="preserve"> （Kaldor，1961）：即</w:t>
      </w:r>
      <w:r w:rsidR="00D21EF4" w:rsidRPr="00D56C50">
        <w:rPr>
          <w:rFonts w:asciiTheme="minorEastAsia" w:eastAsiaTheme="minorEastAsia" w:hAnsiTheme="minorEastAsia"/>
          <w:szCs w:val="21"/>
        </w:rPr>
        <w:t>各种生产要素收入在国民收入中所占</w:t>
      </w:r>
      <w:r w:rsidRPr="00D56C50">
        <w:rPr>
          <w:rFonts w:asciiTheme="minorEastAsia" w:eastAsiaTheme="minorEastAsia" w:hAnsiTheme="minorEastAsia"/>
          <w:szCs w:val="21"/>
        </w:rPr>
        <w:t>份额大体上稳定不变</w:t>
      </w:r>
      <w:r w:rsidRPr="00D56C50">
        <w:rPr>
          <w:rFonts w:asciiTheme="minorEastAsia" w:eastAsiaTheme="minorEastAsia" w:hAnsiTheme="minorEastAsia" w:hint="eastAsia"/>
          <w:szCs w:val="21"/>
        </w:rPr>
        <w:t>。</w:t>
      </w:r>
    </w:p>
    <w:p w14:paraId="08F7E9F7" w14:textId="77777777" w:rsidR="00796CDD" w:rsidRPr="00D56C50" w:rsidRDefault="00796CDD" w:rsidP="002B7F04">
      <w:pPr>
        <w:spacing w:line="288" w:lineRule="auto"/>
        <w:ind w:firstLineChars="202" w:firstLine="424"/>
      </w:pPr>
      <w:r w:rsidRPr="00D56C50">
        <w:rPr>
          <w:rFonts w:hint="eastAsia"/>
        </w:rPr>
        <w:t>尽管由于计量的原因</w:t>
      </w:r>
      <w:r w:rsidR="00D21EF4" w:rsidRPr="00D56C50">
        <w:rPr>
          <w:rFonts w:hint="eastAsia"/>
        </w:rPr>
        <w:t>（</w:t>
      </w:r>
      <w:r w:rsidRPr="00D56C50">
        <w:rPr>
          <w:rFonts w:hint="eastAsia"/>
        </w:rPr>
        <w:t>比如对资本折旧的处</w:t>
      </w:r>
      <w:r w:rsidR="009E73E4" w:rsidRPr="00D56C50">
        <w:rPr>
          <w:rFonts w:hint="eastAsia"/>
        </w:rPr>
        <w:t>理</w:t>
      </w:r>
      <w:r w:rsidR="00D21EF4" w:rsidRPr="00D56C50">
        <w:rPr>
          <w:rFonts w:hint="eastAsia"/>
        </w:rPr>
        <w:t>、</w:t>
      </w:r>
      <w:r w:rsidR="009E73E4" w:rsidRPr="00D56C50">
        <w:rPr>
          <w:rFonts w:hint="eastAsia"/>
        </w:rPr>
        <w:t>住房</w:t>
      </w:r>
      <w:r w:rsidR="00D21EF4" w:rsidRPr="00D56C50">
        <w:rPr>
          <w:rFonts w:hint="eastAsia"/>
        </w:rPr>
        <w:t>、</w:t>
      </w:r>
      <w:r w:rsidR="009E73E4" w:rsidRPr="00D56C50">
        <w:rPr>
          <w:rFonts w:hint="eastAsia"/>
        </w:rPr>
        <w:t>自我雇佣</w:t>
      </w:r>
      <w:r w:rsidR="00D21EF4" w:rsidRPr="00D56C50">
        <w:rPr>
          <w:rFonts w:hint="eastAsia"/>
        </w:rPr>
        <w:t>、</w:t>
      </w:r>
      <w:r w:rsidR="009E73E4" w:rsidRPr="00D56C50">
        <w:rPr>
          <w:rFonts w:hint="eastAsia"/>
        </w:rPr>
        <w:t>无形资产以及企业主拿的是资本</w:t>
      </w:r>
      <w:r w:rsidR="00D21EF4" w:rsidRPr="00D56C50">
        <w:rPr>
          <w:rFonts w:hint="eastAsia"/>
        </w:rPr>
        <w:t>收入</w:t>
      </w:r>
      <w:r w:rsidR="009E73E4" w:rsidRPr="00D56C50">
        <w:rPr>
          <w:rFonts w:hint="eastAsia"/>
        </w:rPr>
        <w:t>而非劳动收入等</w:t>
      </w:r>
      <w:r w:rsidR="00D21EF4" w:rsidRPr="00D56C50">
        <w:rPr>
          <w:rFonts w:hint="eastAsia"/>
        </w:rPr>
        <w:t>）</w:t>
      </w:r>
      <w:r w:rsidRPr="00D56C50">
        <w:rPr>
          <w:rFonts w:hint="eastAsia"/>
        </w:rPr>
        <w:t>，关于劳动份额</w:t>
      </w:r>
      <w:r w:rsidR="00F334C6" w:rsidRPr="00D56C50">
        <w:rPr>
          <w:rFonts w:hint="eastAsia"/>
        </w:rPr>
        <w:t>占国民收入比重</w:t>
      </w:r>
      <w:r w:rsidR="009E73E4" w:rsidRPr="00D56C50">
        <w:rPr>
          <w:rFonts w:hint="eastAsia"/>
        </w:rPr>
        <w:t>下降的程度存在争议，但总体上，</w:t>
      </w:r>
      <w:r w:rsidR="00F334C6" w:rsidRPr="00D56C50">
        <w:rPr>
          <w:rFonts w:hint="eastAsia"/>
        </w:rPr>
        <w:t>这一</w:t>
      </w:r>
      <w:r w:rsidRPr="00D56C50">
        <w:rPr>
          <w:rFonts w:hint="eastAsia"/>
        </w:rPr>
        <w:t>下</w:t>
      </w:r>
      <w:r w:rsidR="00D21EF4" w:rsidRPr="00D56C50">
        <w:rPr>
          <w:rFonts w:hint="eastAsia"/>
        </w:rPr>
        <w:t>降</w:t>
      </w:r>
      <w:r w:rsidRPr="00D56C50">
        <w:rPr>
          <w:rFonts w:hint="eastAsia"/>
        </w:rPr>
        <w:t>是真实的且非常显著却是</w:t>
      </w:r>
      <w:r w:rsidR="00F334C6" w:rsidRPr="00D56C50">
        <w:rPr>
          <w:rFonts w:hint="eastAsia"/>
        </w:rPr>
        <w:t>基本</w:t>
      </w:r>
      <w:r w:rsidRPr="00D56C50">
        <w:rPr>
          <w:rFonts w:hint="eastAsia"/>
        </w:rPr>
        <w:t>共识（</w:t>
      </w:r>
      <w:r w:rsidRPr="00D56C50">
        <w:rPr>
          <w:rFonts w:hint="eastAsia"/>
        </w:rPr>
        <w:t>Autor</w:t>
      </w:r>
      <w:r w:rsidRPr="00D56C50">
        <w:rPr>
          <w:rFonts w:hint="eastAsia"/>
        </w:rPr>
        <w:t>等，</w:t>
      </w:r>
      <w:r w:rsidRPr="00D56C50">
        <w:rPr>
          <w:rFonts w:hint="eastAsia"/>
        </w:rPr>
        <w:t>2020</w:t>
      </w:r>
      <w:r w:rsidRPr="00D56C50">
        <w:rPr>
          <w:rFonts w:hint="eastAsia"/>
        </w:rPr>
        <w:t>）。</w:t>
      </w:r>
      <w:r w:rsidR="00D21EF4" w:rsidRPr="00D56C50">
        <w:rPr>
          <w:rFonts w:hint="eastAsia"/>
        </w:rPr>
        <w:t>图</w:t>
      </w:r>
      <w:r w:rsidR="00BA780D" w:rsidRPr="00D56C50">
        <w:rPr>
          <w:rFonts w:hint="eastAsia"/>
        </w:rPr>
        <w:t>5</w:t>
      </w:r>
      <w:r w:rsidR="00D21EF4" w:rsidRPr="00D56C50">
        <w:rPr>
          <w:rFonts w:hint="eastAsia"/>
        </w:rPr>
        <w:t>展示了本世纪初以来劳动份额的较快下降。</w:t>
      </w:r>
    </w:p>
    <w:p w14:paraId="29D76CFE" w14:textId="77777777" w:rsidR="00677BC8" w:rsidRPr="00D56C50" w:rsidRDefault="00677BC8" w:rsidP="002B7F04">
      <w:pPr>
        <w:spacing w:line="288" w:lineRule="auto"/>
        <w:ind w:firstLineChars="202" w:firstLine="424"/>
        <w:rPr>
          <w:szCs w:val="21"/>
          <w:shd w:val="clear" w:color="auto" w:fill="FFFFFF"/>
        </w:rPr>
      </w:pPr>
      <w:r w:rsidRPr="00D56C50">
        <w:rPr>
          <w:rFonts w:hint="eastAsia"/>
        </w:rPr>
        <w:t>劳动收入份额下降与全球化以及技术变革（比如自动化）等都有关系，但金融化显然也</w:t>
      </w:r>
      <w:r w:rsidR="00D21EF4" w:rsidRPr="00D56C50">
        <w:rPr>
          <w:rFonts w:hint="eastAsia"/>
        </w:rPr>
        <w:lastRenderedPageBreak/>
        <w:t>难辞其咎</w:t>
      </w:r>
      <w:r w:rsidRPr="00D56C50">
        <w:rPr>
          <w:rFonts w:hint="eastAsia"/>
        </w:rPr>
        <w:t>。此前讨论的金融业高工资</w:t>
      </w:r>
      <w:r w:rsidR="00D21EF4" w:rsidRPr="00D56C50">
        <w:rPr>
          <w:rFonts w:hint="eastAsia"/>
        </w:rPr>
        <w:t>、高利润转移了国民收入，</w:t>
      </w:r>
      <w:r w:rsidR="00F334C6" w:rsidRPr="00D56C50">
        <w:rPr>
          <w:rFonts w:hint="eastAsia"/>
        </w:rPr>
        <w:t>食利性收入占比提高</w:t>
      </w:r>
      <w:r w:rsidRPr="00D56C50">
        <w:rPr>
          <w:rFonts w:hint="eastAsia"/>
        </w:rPr>
        <w:t>凸显了</w:t>
      </w:r>
      <w:r w:rsidR="00D21EF4" w:rsidRPr="00D56C50">
        <w:rPr>
          <w:rFonts w:hint="eastAsia"/>
        </w:rPr>
        <w:t>金融资产</w:t>
      </w:r>
      <w:r w:rsidR="00F334C6" w:rsidRPr="00D56C50">
        <w:rPr>
          <w:rFonts w:hint="eastAsia"/>
        </w:rPr>
        <w:t>在获取收入中的重要性，这些都</w:t>
      </w:r>
      <w:r w:rsidRPr="00D56C50">
        <w:rPr>
          <w:rFonts w:hint="eastAsia"/>
        </w:rPr>
        <w:t>抑制了劳动收入份额的提高。</w:t>
      </w:r>
      <w:r w:rsidRPr="00D56C50">
        <w:rPr>
          <w:rFonts w:hint="eastAsia"/>
          <w:szCs w:val="21"/>
          <w:shd w:val="clear" w:color="auto" w:fill="FFFFFF"/>
        </w:rPr>
        <w:t>研究表明，</w:t>
      </w:r>
      <w:r w:rsidRPr="00D56C50">
        <w:rPr>
          <w:rFonts w:hint="eastAsia"/>
          <w:szCs w:val="21"/>
          <w:shd w:val="clear" w:color="auto" w:fill="FFFFFF"/>
        </w:rPr>
        <w:t>1970</w:t>
      </w:r>
      <w:r w:rsidRPr="00D56C50">
        <w:rPr>
          <w:rFonts w:hint="eastAsia"/>
          <w:szCs w:val="21"/>
          <w:shd w:val="clear" w:color="auto" w:fill="FFFFFF"/>
        </w:rPr>
        <w:t>年至</w:t>
      </w:r>
      <w:r w:rsidRPr="00D56C50">
        <w:rPr>
          <w:rFonts w:hint="eastAsia"/>
          <w:szCs w:val="21"/>
          <w:shd w:val="clear" w:color="auto" w:fill="FFFFFF"/>
        </w:rPr>
        <w:t>2008</w:t>
      </w:r>
      <w:r w:rsidR="00F334C6" w:rsidRPr="00D56C50">
        <w:rPr>
          <w:rFonts w:hint="eastAsia"/>
          <w:szCs w:val="21"/>
          <w:shd w:val="clear" w:color="auto" w:fill="FFFFFF"/>
        </w:rPr>
        <w:t>年间，金融化可以解释劳动</w:t>
      </w:r>
      <w:r w:rsidRPr="00D56C50">
        <w:rPr>
          <w:rFonts w:hint="eastAsia"/>
          <w:szCs w:val="21"/>
          <w:shd w:val="clear" w:color="auto" w:fill="FFFFFF"/>
        </w:rPr>
        <w:t>收入份额下降的一半以上（</w:t>
      </w:r>
      <w:r w:rsidR="00D21EF4" w:rsidRPr="00D56C50">
        <w:rPr>
          <w:rFonts w:hint="eastAsia"/>
          <w:szCs w:val="21"/>
          <w:shd w:val="clear" w:color="auto" w:fill="FFFFFF"/>
        </w:rPr>
        <w:t xml:space="preserve">Lin and </w:t>
      </w:r>
      <w:proofErr w:type="spellStart"/>
      <w:r w:rsidR="00D21EF4" w:rsidRPr="00D56C50">
        <w:rPr>
          <w:rFonts w:hint="eastAsia"/>
          <w:szCs w:val="21"/>
          <w:shd w:val="clear" w:color="auto" w:fill="FFFFFF"/>
        </w:rPr>
        <w:t>Tomaskovic-Devey</w:t>
      </w:r>
      <w:proofErr w:type="spellEnd"/>
      <w:r w:rsidR="00D21EF4" w:rsidRPr="00D56C50">
        <w:rPr>
          <w:rFonts w:hint="eastAsia"/>
          <w:szCs w:val="21"/>
          <w:shd w:val="clear" w:color="auto" w:fill="FFFFFF"/>
        </w:rPr>
        <w:t>, 2013</w:t>
      </w:r>
      <w:r w:rsidRPr="00D56C50">
        <w:rPr>
          <w:rFonts w:hint="eastAsia"/>
          <w:szCs w:val="21"/>
          <w:shd w:val="clear" w:color="auto" w:fill="FFFFFF"/>
        </w:rPr>
        <w:t>）</w:t>
      </w:r>
      <w:r w:rsidR="00D21EF4" w:rsidRPr="00D56C50">
        <w:rPr>
          <w:rFonts w:hint="eastAsia"/>
          <w:szCs w:val="21"/>
          <w:shd w:val="clear" w:color="auto" w:fill="FFFFFF"/>
        </w:rPr>
        <w:t>。</w:t>
      </w:r>
    </w:p>
    <w:p w14:paraId="487D11F5" w14:textId="77777777" w:rsidR="00677BC8" w:rsidRPr="00D56C50" w:rsidRDefault="00D21EF4" w:rsidP="002B7F04">
      <w:pPr>
        <w:spacing w:line="288" w:lineRule="auto"/>
        <w:jc w:val="center"/>
      </w:pPr>
      <w:r w:rsidRPr="00D56C50">
        <w:rPr>
          <w:noProof/>
        </w:rPr>
        <w:drawing>
          <wp:inline distT="0" distB="0" distL="0" distR="0" wp14:anchorId="11E270E2" wp14:editId="37114E77">
            <wp:extent cx="4787661" cy="2131564"/>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国劳动收入份额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1426" cy="2133240"/>
                    </a:xfrm>
                    <a:prstGeom prst="rect">
                      <a:avLst/>
                    </a:prstGeom>
                  </pic:spPr>
                </pic:pic>
              </a:graphicData>
            </a:graphic>
          </wp:inline>
        </w:drawing>
      </w:r>
    </w:p>
    <w:p w14:paraId="0126BB00" w14:textId="77777777" w:rsidR="00677BC8" w:rsidRPr="00D56C50" w:rsidRDefault="00677BC8" w:rsidP="002B7F04">
      <w:pPr>
        <w:spacing w:line="288" w:lineRule="auto"/>
        <w:ind w:firstLineChars="270" w:firstLine="569"/>
        <w:jc w:val="center"/>
        <w:rPr>
          <w:b/>
        </w:rPr>
      </w:pPr>
      <w:r w:rsidRPr="00D56C50">
        <w:rPr>
          <w:rFonts w:hint="eastAsia"/>
          <w:b/>
        </w:rPr>
        <w:t>图</w:t>
      </w:r>
      <w:r w:rsidR="00BA780D" w:rsidRPr="00D56C50">
        <w:rPr>
          <w:rFonts w:hint="eastAsia"/>
          <w:b/>
        </w:rPr>
        <w:t>5</w:t>
      </w:r>
      <w:r w:rsidRPr="00D56C50">
        <w:rPr>
          <w:rFonts w:hint="eastAsia"/>
          <w:b/>
        </w:rPr>
        <w:t xml:space="preserve"> </w:t>
      </w:r>
      <w:r w:rsidRPr="00D56C50">
        <w:rPr>
          <w:rFonts w:hint="eastAsia"/>
          <w:b/>
        </w:rPr>
        <w:t>美国工人的收入份额下降</w:t>
      </w:r>
      <w:r w:rsidR="00D21EF4" w:rsidRPr="00D56C50">
        <w:rPr>
          <w:rFonts w:hint="eastAsia"/>
          <w:b/>
        </w:rPr>
        <w:t>（</w:t>
      </w:r>
      <w:r w:rsidR="00D21EF4" w:rsidRPr="00D56C50">
        <w:rPr>
          <w:rFonts w:hint="eastAsia"/>
          <w:b/>
        </w:rPr>
        <w:t>1947-2014</w:t>
      </w:r>
      <w:r w:rsidR="00D21EF4" w:rsidRPr="00D56C50">
        <w:rPr>
          <w:rFonts w:hint="eastAsia"/>
          <w:b/>
        </w:rPr>
        <w:t>）</w:t>
      </w:r>
    </w:p>
    <w:p w14:paraId="45E09E0E" w14:textId="77777777" w:rsidR="00D21EF4" w:rsidRPr="00D56C50" w:rsidRDefault="00D21EF4" w:rsidP="002B7F04">
      <w:pPr>
        <w:spacing w:line="288" w:lineRule="auto"/>
        <w:ind w:firstLineChars="270" w:firstLine="567"/>
      </w:pPr>
      <w:r w:rsidRPr="00D56C50">
        <w:rPr>
          <w:rFonts w:hint="eastAsia"/>
        </w:rPr>
        <w:t>注：非金融企业部门劳动份额指数</w:t>
      </w:r>
      <w:r w:rsidRPr="00D56C50">
        <w:rPr>
          <w:rFonts w:hint="eastAsia"/>
        </w:rPr>
        <w:t xml:space="preserve"> 2009=100</w:t>
      </w:r>
    </w:p>
    <w:p w14:paraId="551C5B9F" w14:textId="77777777" w:rsidR="00677BC8" w:rsidRPr="00D56C50" w:rsidRDefault="00D21EF4" w:rsidP="002B7F04">
      <w:pPr>
        <w:spacing w:line="288" w:lineRule="auto"/>
        <w:ind w:firstLineChars="270" w:firstLine="567"/>
      </w:pPr>
      <w:r w:rsidRPr="00D56C50">
        <w:rPr>
          <w:rFonts w:hint="eastAsia"/>
        </w:rPr>
        <w:t>资料来源：</w:t>
      </w:r>
      <w:r w:rsidRPr="00D56C50">
        <w:rPr>
          <w:rFonts w:hint="eastAsia"/>
        </w:rPr>
        <w:t>Summers</w:t>
      </w:r>
      <w:r w:rsidRPr="00D56C50">
        <w:rPr>
          <w:rFonts w:hint="eastAsia"/>
        </w:rPr>
        <w:t>（</w:t>
      </w:r>
      <w:r w:rsidRPr="00D56C50">
        <w:rPr>
          <w:rFonts w:hint="eastAsia"/>
        </w:rPr>
        <w:t>2015</w:t>
      </w:r>
      <w:r w:rsidRPr="00D56C50">
        <w:rPr>
          <w:rFonts w:hint="eastAsia"/>
        </w:rPr>
        <w:t>）。</w:t>
      </w:r>
    </w:p>
    <w:p w14:paraId="3BF3D494" w14:textId="77777777" w:rsidR="009C1529" w:rsidRPr="00D56C50" w:rsidRDefault="005222CE"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（二）</w:t>
      </w:r>
      <w:r w:rsidR="00FC0B92" w:rsidRPr="00D56C50">
        <w:rPr>
          <w:rFonts w:asciiTheme="minorEastAsia" w:eastAsiaTheme="minorEastAsia" w:hAnsiTheme="minorEastAsia" w:hint="eastAsia"/>
          <w:sz w:val="21"/>
          <w:szCs w:val="21"/>
        </w:rPr>
        <w:t>金融包容性</w:t>
      </w:r>
      <w:r w:rsidRPr="00D56C50">
        <w:rPr>
          <w:rFonts w:asciiTheme="minorEastAsia" w:eastAsiaTheme="minorEastAsia" w:hAnsiTheme="minorEastAsia" w:hint="eastAsia"/>
          <w:sz w:val="21"/>
          <w:szCs w:val="21"/>
        </w:rPr>
        <w:t>及其阴暗面</w:t>
      </w:r>
    </w:p>
    <w:p w14:paraId="142F083C" w14:textId="77777777" w:rsidR="005222CE" w:rsidRPr="00D56C50" w:rsidRDefault="005222CE" w:rsidP="002B7F04">
      <w:pPr>
        <w:spacing w:line="288" w:lineRule="auto"/>
        <w:ind w:firstLineChars="202" w:firstLine="424"/>
      </w:pPr>
      <w:r w:rsidRPr="00D56C50">
        <w:rPr>
          <w:rFonts w:hint="eastAsia"/>
        </w:rPr>
        <w:t>金融的</w:t>
      </w:r>
      <w:r w:rsidR="009E73E4" w:rsidRPr="00D56C50">
        <w:rPr>
          <w:rFonts w:hint="eastAsia"/>
        </w:rPr>
        <w:t>准入</w:t>
      </w:r>
      <w:r w:rsidRPr="00D56C50">
        <w:rPr>
          <w:rFonts w:hint="eastAsia"/>
        </w:rPr>
        <w:t>门槛，是导致低收入群体</w:t>
      </w:r>
      <w:r w:rsidR="00D21EF4" w:rsidRPr="00D56C50">
        <w:rPr>
          <w:rFonts w:hint="eastAsia"/>
        </w:rPr>
        <w:t>或小微企业无法获得</w:t>
      </w:r>
      <w:r w:rsidRPr="00D56C50">
        <w:rPr>
          <w:rFonts w:hint="eastAsia"/>
        </w:rPr>
        <w:t>金融</w:t>
      </w:r>
      <w:r w:rsidR="00D21EF4" w:rsidRPr="00D56C50">
        <w:rPr>
          <w:rFonts w:hint="eastAsia"/>
        </w:rPr>
        <w:t>服务</w:t>
      </w:r>
      <w:r w:rsidRPr="00D56C50">
        <w:rPr>
          <w:rFonts w:hint="eastAsia"/>
        </w:rPr>
        <w:t>的重要原因。而所谓的金融包容性</w:t>
      </w:r>
      <w:r w:rsidR="009E73E4" w:rsidRPr="00D56C50">
        <w:rPr>
          <w:rFonts w:hint="eastAsia"/>
        </w:rPr>
        <w:t>（</w:t>
      </w:r>
      <w:r w:rsidR="009E73E4" w:rsidRPr="00D56C50">
        <w:rPr>
          <w:rFonts w:hint="eastAsia"/>
        </w:rPr>
        <w:t>financial inclusion</w:t>
      </w:r>
      <w:r w:rsidR="009E73E4" w:rsidRPr="00D56C50">
        <w:rPr>
          <w:rFonts w:hint="eastAsia"/>
        </w:rPr>
        <w:t>）</w:t>
      </w:r>
      <w:r w:rsidRPr="00D56C50">
        <w:rPr>
          <w:rFonts w:hint="eastAsia"/>
        </w:rPr>
        <w:t>，就是提高金</w:t>
      </w:r>
      <w:r w:rsidR="00D21EF4" w:rsidRPr="00D56C50">
        <w:rPr>
          <w:rFonts w:hint="eastAsia"/>
        </w:rPr>
        <w:t>融服务的覆盖面（或渗透率），特别是能够抵达低收入人群和小微企业，</w:t>
      </w:r>
      <w:r w:rsidRPr="00D56C50">
        <w:rPr>
          <w:rFonts w:hint="eastAsia"/>
        </w:rPr>
        <w:t>帮助他们克服因为没有账户、缺少抵押等原因而无法获得信贷及其它金融服务的困难。全球范围内普惠金融的发展正是金融包容性提升的重要体现。金融包容性需要相应的制度安排和政策导向，也可藉由技术（特别是金融科技）</w:t>
      </w:r>
      <w:r w:rsidR="009E73E4" w:rsidRPr="00D56C50">
        <w:rPr>
          <w:rFonts w:hint="eastAsia"/>
        </w:rPr>
        <w:t>助推</w:t>
      </w:r>
      <w:r w:rsidRPr="00D56C50">
        <w:rPr>
          <w:rFonts w:hint="eastAsia"/>
        </w:rPr>
        <w:t>而得到快速发展。</w:t>
      </w:r>
    </w:p>
    <w:p w14:paraId="6B5BB0CC" w14:textId="77777777" w:rsidR="009E73E4" w:rsidRPr="00D56C50" w:rsidRDefault="005222CE" w:rsidP="002B7F04">
      <w:pPr>
        <w:spacing w:line="288" w:lineRule="auto"/>
        <w:ind w:firstLineChars="202" w:firstLine="424"/>
        <w:rPr>
          <w:szCs w:val="21"/>
        </w:rPr>
      </w:pPr>
      <w:r w:rsidRPr="00D56C50">
        <w:rPr>
          <w:rFonts w:hint="eastAsia"/>
          <w:szCs w:val="21"/>
        </w:rPr>
        <w:t>理论表明，信息不对称和交易成本等金融市场缺陷限制了穷人获得正规金融服务的机会，从而阻碍了他们摆脱贫困。</w:t>
      </w:r>
      <w:r w:rsidR="009E73E4" w:rsidRPr="00D56C50">
        <w:rPr>
          <w:rFonts w:hint="eastAsia"/>
          <w:szCs w:val="21"/>
        </w:rPr>
        <w:t>一方面，</w:t>
      </w:r>
      <w:r w:rsidRPr="00D56C50">
        <w:rPr>
          <w:rFonts w:hint="eastAsia"/>
          <w:szCs w:val="21"/>
        </w:rPr>
        <w:t>随着</w:t>
      </w:r>
      <w:r w:rsidR="009E73E4" w:rsidRPr="00D56C50">
        <w:rPr>
          <w:rFonts w:hint="eastAsia"/>
          <w:szCs w:val="21"/>
        </w:rPr>
        <w:t>金融</w:t>
      </w:r>
      <w:r w:rsidRPr="00D56C50">
        <w:rPr>
          <w:rFonts w:hint="eastAsia"/>
          <w:szCs w:val="21"/>
        </w:rPr>
        <w:t>发展，</w:t>
      </w:r>
      <w:r w:rsidR="009E73E4" w:rsidRPr="00D56C50">
        <w:rPr>
          <w:rFonts w:hint="eastAsia"/>
          <w:szCs w:val="21"/>
        </w:rPr>
        <w:t>尤其是金融科技的运用（比如移动金融服务），</w:t>
      </w:r>
      <w:r w:rsidRPr="00D56C50">
        <w:rPr>
          <w:rFonts w:hint="eastAsia"/>
          <w:szCs w:val="21"/>
        </w:rPr>
        <w:t>最有可能将</w:t>
      </w:r>
      <w:r w:rsidR="009E73E4" w:rsidRPr="00D56C50">
        <w:rPr>
          <w:rFonts w:hint="eastAsia"/>
          <w:szCs w:val="21"/>
        </w:rPr>
        <w:t>无银行账户的群体</w:t>
      </w:r>
      <w:r w:rsidRPr="00D56C50">
        <w:rPr>
          <w:rFonts w:hint="eastAsia"/>
          <w:szCs w:val="21"/>
        </w:rPr>
        <w:t>纳入正规金融体系。</w:t>
      </w:r>
      <w:r w:rsidR="009E73E4" w:rsidRPr="00D56C50">
        <w:rPr>
          <w:rFonts w:hint="eastAsia"/>
          <w:szCs w:val="21"/>
        </w:rPr>
        <w:t>另一方面，金融科技利用大数据等优势，缓解信息不对称问题，从而减少对抵押物的依赖，让更多的穷人获得信贷机会。</w:t>
      </w:r>
      <w:r w:rsidRPr="00D56C50">
        <w:rPr>
          <w:rFonts w:hint="eastAsia"/>
          <w:szCs w:val="21"/>
        </w:rPr>
        <w:t>原则上，更多基于还款能力而不是抵押品的贷款是金融体系发达的标志。但在实践中，</w:t>
      </w:r>
      <w:r w:rsidR="009E73E4" w:rsidRPr="00D56C50">
        <w:rPr>
          <w:rFonts w:hint="eastAsia"/>
          <w:szCs w:val="21"/>
        </w:rPr>
        <w:t>即便是</w:t>
      </w:r>
      <w:r w:rsidR="00D21EF4" w:rsidRPr="00D56C50">
        <w:rPr>
          <w:rFonts w:hint="eastAsia"/>
          <w:szCs w:val="21"/>
        </w:rPr>
        <w:t>发达国家</w:t>
      </w:r>
      <w:r w:rsidRPr="00D56C50">
        <w:rPr>
          <w:rFonts w:hint="eastAsia"/>
          <w:szCs w:val="21"/>
        </w:rPr>
        <w:t>的金融体系</w:t>
      </w:r>
      <w:r w:rsidR="009E73E4" w:rsidRPr="00D56C50">
        <w:rPr>
          <w:rFonts w:hint="eastAsia"/>
          <w:szCs w:val="21"/>
        </w:rPr>
        <w:t>，</w:t>
      </w:r>
      <w:r w:rsidRPr="00D56C50">
        <w:rPr>
          <w:rFonts w:hint="eastAsia"/>
          <w:szCs w:val="21"/>
        </w:rPr>
        <w:t>仍然</w:t>
      </w:r>
      <w:r w:rsidR="009E73E4" w:rsidRPr="00D56C50">
        <w:rPr>
          <w:rFonts w:hint="eastAsia"/>
          <w:szCs w:val="21"/>
        </w:rPr>
        <w:t>主要</w:t>
      </w:r>
      <w:r w:rsidRPr="00D56C50">
        <w:rPr>
          <w:rFonts w:hint="eastAsia"/>
          <w:szCs w:val="21"/>
        </w:rPr>
        <w:t>依赖于抵押贷款。当前，由于金融科技的发达，信息不对称问题得到缓解，</w:t>
      </w:r>
      <w:r w:rsidR="009E73E4" w:rsidRPr="00D56C50">
        <w:rPr>
          <w:rFonts w:hint="eastAsia"/>
          <w:szCs w:val="21"/>
        </w:rPr>
        <w:t>贷款可以突破</w:t>
      </w:r>
      <w:r w:rsidRPr="00D56C50">
        <w:rPr>
          <w:rFonts w:hint="eastAsia"/>
          <w:szCs w:val="21"/>
        </w:rPr>
        <w:t>抵押物</w:t>
      </w:r>
      <w:r w:rsidR="009E73E4" w:rsidRPr="00D56C50">
        <w:rPr>
          <w:rFonts w:hint="eastAsia"/>
          <w:szCs w:val="21"/>
        </w:rPr>
        <w:t>的限制，金融包容性得以提高</w:t>
      </w:r>
      <w:r w:rsidRPr="00D56C50">
        <w:rPr>
          <w:rFonts w:hint="eastAsia"/>
          <w:szCs w:val="21"/>
        </w:rPr>
        <w:t>。</w:t>
      </w:r>
      <w:r w:rsidR="00D21EF4" w:rsidRPr="00D56C50">
        <w:rPr>
          <w:rFonts w:hint="eastAsia"/>
          <w:szCs w:val="21"/>
        </w:rPr>
        <w:t>抵押问题，</w:t>
      </w:r>
      <w:r w:rsidRPr="00D56C50">
        <w:rPr>
          <w:rFonts w:hint="eastAsia"/>
          <w:szCs w:val="21"/>
        </w:rPr>
        <w:t>本</w:t>
      </w:r>
      <w:r w:rsidR="00D21EF4" w:rsidRPr="00D56C50">
        <w:rPr>
          <w:rFonts w:hint="eastAsia"/>
          <w:szCs w:val="21"/>
        </w:rPr>
        <w:t>质</w:t>
      </w:r>
      <w:r w:rsidRPr="00D56C50">
        <w:rPr>
          <w:rFonts w:hint="eastAsia"/>
          <w:szCs w:val="21"/>
        </w:rPr>
        <w:t>上是信任问题</w:t>
      </w:r>
      <w:r w:rsidR="009E73E4" w:rsidRPr="00D56C50">
        <w:rPr>
          <w:rFonts w:hint="eastAsia"/>
          <w:szCs w:val="21"/>
        </w:rPr>
        <w:t>。金融科技显然不能完全解决信任问题，而制度才可能是根本的信用保障。</w:t>
      </w:r>
    </w:p>
    <w:p w14:paraId="379A7B7E" w14:textId="77777777" w:rsidR="005222CE" w:rsidRPr="00D56C50" w:rsidRDefault="009E73E4" w:rsidP="002B7F04">
      <w:pPr>
        <w:spacing w:line="288" w:lineRule="auto"/>
        <w:ind w:firstLineChars="202" w:firstLine="424"/>
      </w:pPr>
      <w:r w:rsidRPr="00D56C50">
        <w:rPr>
          <w:rFonts w:hint="eastAsia"/>
        </w:rPr>
        <w:t>一般来说，金融包容性的提升给予穷人更多的机会（无论是积累人力资本，还是从事创业），从而有利于缩小收入分配差距。但经验分析展现了其中的复杂性。一个金融深度较低的国家（比如处在全球分布的第</w:t>
      </w:r>
      <w:r w:rsidRPr="00D56C50">
        <w:rPr>
          <w:rFonts w:hint="eastAsia"/>
        </w:rPr>
        <w:t>25</w:t>
      </w:r>
      <w:r w:rsidRPr="00D56C50">
        <w:rPr>
          <w:rFonts w:hint="eastAsia"/>
        </w:rPr>
        <w:t>百分位）成功地将金融包容性从第</w:t>
      </w:r>
      <w:r w:rsidRPr="00D56C50">
        <w:rPr>
          <w:rFonts w:hint="eastAsia"/>
        </w:rPr>
        <w:t>25</w:t>
      </w:r>
      <w:r w:rsidRPr="00D56C50">
        <w:rPr>
          <w:rFonts w:hint="eastAsia"/>
        </w:rPr>
        <w:t>百分位提高到第</w:t>
      </w:r>
      <w:r w:rsidRPr="00D56C50">
        <w:rPr>
          <w:rFonts w:hint="eastAsia"/>
        </w:rPr>
        <w:t>75</w:t>
      </w:r>
      <w:r w:rsidRPr="00D56C50">
        <w:rPr>
          <w:rFonts w:hint="eastAsia"/>
        </w:rPr>
        <w:t>百分位，可以预期其不平等性将显著下降（基尼系数下降大约</w:t>
      </w:r>
      <w:r w:rsidRPr="00D56C50">
        <w:rPr>
          <w:rFonts w:hint="eastAsia"/>
        </w:rPr>
        <w:t>9</w:t>
      </w:r>
      <w:r w:rsidRPr="00D56C50">
        <w:rPr>
          <w:rFonts w:hint="eastAsia"/>
        </w:rPr>
        <w:t>个百分点）。这意味着，</w:t>
      </w:r>
      <w:r w:rsidRPr="00D56C50">
        <w:rPr>
          <w:rFonts w:hint="eastAsia"/>
        </w:rPr>
        <w:lastRenderedPageBreak/>
        <w:t>一个经济体处在中低水平的金融深度时，金融包容性提高（体现为信贷扩张）会减少不平等</w:t>
      </w:r>
      <w:r w:rsidR="00D21EF4" w:rsidRPr="00D56C50">
        <w:rPr>
          <w:rFonts w:hint="eastAsia"/>
        </w:rPr>
        <w:t>；</w:t>
      </w:r>
      <w:r w:rsidRPr="00D56C50">
        <w:rPr>
          <w:rFonts w:hint="eastAsia"/>
        </w:rPr>
        <w:t>但对于金融深度已经很高的经济体（如发达经济体）而言，信贷扩张会导致不平等加剧。</w:t>
      </w:r>
      <w:r w:rsidR="00D21EF4" w:rsidRPr="00D56C50">
        <w:rPr>
          <w:rFonts w:hint="eastAsia"/>
        </w:rPr>
        <w:t>（</w:t>
      </w:r>
      <w:proofErr w:type="spellStart"/>
      <w:r w:rsidR="00D21EF4" w:rsidRPr="00D56C50">
        <w:t>Čihák</w:t>
      </w:r>
      <w:proofErr w:type="spellEnd"/>
      <w:r w:rsidR="00D21EF4" w:rsidRPr="00D56C50">
        <w:rPr>
          <w:rFonts w:hint="eastAsia"/>
        </w:rPr>
        <w:t>等，</w:t>
      </w:r>
      <w:r w:rsidR="00D21EF4" w:rsidRPr="00D56C50">
        <w:rPr>
          <w:rFonts w:hint="eastAsia"/>
        </w:rPr>
        <w:t>2020</w:t>
      </w:r>
      <w:r w:rsidR="00D21EF4" w:rsidRPr="00D56C50">
        <w:rPr>
          <w:rFonts w:hint="eastAsia"/>
        </w:rPr>
        <w:t>）</w:t>
      </w:r>
    </w:p>
    <w:p w14:paraId="3C807481" w14:textId="77777777" w:rsidR="009F529E" w:rsidRPr="00D56C50" w:rsidRDefault="00D21EF4" w:rsidP="002B7F04">
      <w:pPr>
        <w:spacing w:line="288" w:lineRule="auto"/>
        <w:ind w:firstLineChars="202" w:firstLine="424"/>
      </w:pPr>
      <w:r w:rsidRPr="00D56C50">
        <w:rPr>
          <w:rFonts w:hint="eastAsia"/>
        </w:rPr>
        <w:t>金融包容性具有积极作用</w:t>
      </w:r>
      <w:r w:rsidR="009E73E4" w:rsidRPr="00D56C50">
        <w:rPr>
          <w:rFonts w:hint="eastAsia"/>
        </w:rPr>
        <w:t>毋庸置疑</w:t>
      </w:r>
      <w:r w:rsidR="005222CE" w:rsidRPr="00D56C50">
        <w:rPr>
          <w:rFonts w:hint="eastAsia"/>
        </w:rPr>
        <w:t>，但也要关注</w:t>
      </w:r>
      <w:r w:rsidR="009E73E4" w:rsidRPr="00D56C50">
        <w:rPr>
          <w:rFonts w:hint="eastAsia"/>
        </w:rPr>
        <w:t>其</w:t>
      </w:r>
      <w:r w:rsidRPr="00D56C50">
        <w:rPr>
          <w:rFonts w:hint="eastAsia"/>
        </w:rPr>
        <w:t>阴暗面。其一，金融包容性将大量低收入群体变成债务人，他们往往沦</w:t>
      </w:r>
      <w:r w:rsidR="005222CE" w:rsidRPr="00D56C50">
        <w:rPr>
          <w:rFonts w:hint="eastAsia"/>
        </w:rPr>
        <w:t>为金融波动（危机）的牺牲品。美国次贷危机就是非常典型的案例。随着更多低收入人群开始负债，居民部门杠杆率不断攀升，信贷大幅增长推升了资产价格（如住房价格、股票价格），这使得拥有更多房产和股票的人财富增长更多</w:t>
      </w:r>
      <w:r w:rsidRPr="00D56C50">
        <w:rPr>
          <w:rFonts w:hint="eastAsia"/>
        </w:rPr>
        <w:t>，</w:t>
      </w:r>
      <w:r w:rsidR="005222CE" w:rsidRPr="00D56C50">
        <w:rPr>
          <w:rFonts w:hint="eastAsia"/>
        </w:rPr>
        <w:t>进一步加大了收入差距。</w:t>
      </w:r>
      <w:r w:rsidR="009E73E4" w:rsidRPr="00D56C50">
        <w:rPr>
          <w:rFonts w:hint="eastAsia"/>
        </w:rPr>
        <w:t>其二，金融包容性意在金融普惠，但有时候是普而不惠，甚至会出现掠夺性信贷（</w:t>
      </w:r>
      <w:r w:rsidR="009E73E4" w:rsidRPr="00D56C50">
        <w:rPr>
          <w:rFonts w:hint="eastAsia"/>
        </w:rPr>
        <w:t>predatory lending</w:t>
      </w:r>
      <w:r w:rsidR="009E73E4" w:rsidRPr="00D56C50">
        <w:rPr>
          <w:rFonts w:hint="eastAsia"/>
        </w:rPr>
        <w:t>）。金融</w:t>
      </w:r>
      <w:r w:rsidRPr="00D56C50">
        <w:rPr>
          <w:rFonts w:hint="eastAsia"/>
        </w:rPr>
        <w:t>机构和大</w:t>
      </w:r>
      <w:r w:rsidR="009E73E4" w:rsidRPr="00D56C50">
        <w:rPr>
          <w:rFonts w:hint="eastAsia"/>
        </w:rPr>
        <w:t>科技</w:t>
      </w:r>
      <w:r w:rsidRPr="00D56C50">
        <w:rPr>
          <w:rFonts w:hint="eastAsia"/>
        </w:rPr>
        <w:t>公司</w:t>
      </w:r>
      <w:r w:rsidRPr="00D56C50">
        <w:rPr>
          <w:rFonts w:hint="eastAsia"/>
          <w:szCs w:val="21"/>
        </w:rPr>
        <w:t>可以通过大数据、机器学习等来进行差别定价、歧视定价，在愿出高价者那里获利更多，从而充分挤压消费者剩余的空间，</w:t>
      </w:r>
      <w:r w:rsidR="009E73E4" w:rsidRPr="00D56C50">
        <w:rPr>
          <w:rFonts w:hint="eastAsia"/>
        </w:rPr>
        <w:t>给部分群体带来更高的信贷成本。</w:t>
      </w:r>
    </w:p>
    <w:p w14:paraId="270249A3" w14:textId="77777777" w:rsidR="005638E7" w:rsidRPr="00D56C50" w:rsidRDefault="005222CE"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（三）</w:t>
      </w:r>
      <w:r w:rsidR="00FC0B92" w:rsidRPr="00D56C50">
        <w:rPr>
          <w:rFonts w:asciiTheme="minorEastAsia" w:eastAsiaTheme="minorEastAsia" w:hAnsiTheme="minorEastAsia" w:hint="eastAsia"/>
          <w:sz w:val="21"/>
          <w:szCs w:val="21"/>
        </w:rPr>
        <w:t>金融稳定性</w:t>
      </w:r>
      <w:r w:rsidR="00B27F62" w:rsidRPr="00D56C50">
        <w:rPr>
          <w:rFonts w:asciiTheme="minorEastAsia" w:eastAsiaTheme="minorEastAsia" w:hAnsiTheme="minorEastAsia" w:hint="eastAsia"/>
          <w:sz w:val="21"/>
          <w:szCs w:val="21"/>
        </w:rPr>
        <w:t>与不平等</w:t>
      </w:r>
    </w:p>
    <w:p w14:paraId="1DCFC4B7" w14:textId="77777777" w:rsidR="009152AF" w:rsidRPr="00D56C50" w:rsidRDefault="009152AF" w:rsidP="002B7F04">
      <w:pPr>
        <w:pStyle w:val="Default"/>
        <w:spacing w:line="288" w:lineRule="auto"/>
        <w:ind w:firstLineChars="202" w:firstLine="424"/>
        <w:rPr>
          <w:color w:val="auto"/>
          <w:sz w:val="21"/>
          <w:szCs w:val="21"/>
        </w:rPr>
      </w:pPr>
      <w:bookmarkStart w:id="0" w:name="_Toc133810191"/>
      <w:bookmarkStart w:id="1" w:name="_Toc133810198"/>
      <w:r w:rsidRPr="00D56C50">
        <w:rPr>
          <w:rFonts w:hint="eastAsia"/>
          <w:color w:val="auto"/>
          <w:sz w:val="21"/>
          <w:szCs w:val="21"/>
        </w:rPr>
        <w:t>金融</w:t>
      </w:r>
      <w:r w:rsidR="00D21EF4" w:rsidRPr="00D56C50">
        <w:rPr>
          <w:rFonts w:hint="eastAsia"/>
          <w:color w:val="auto"/>
          <w:sz w:val="21"/>
          <w:szCs w:val="21"/>
        </w:rPr>
        <w:t>稳定性也是衡量金融发展的一个重要方面。而金融</w:t>
      </w:r>
      <w:r w:rsidRPr="00D56C50">
        <w:rPr>
          <w:rFonts w:hint="eastAsia"/>
          <w:color w:val="auto"/>
          <w:sz w:val="21"/>
          <w:szCs w:val="21"/>
        </w:rPr>
        <w:t>不稳定</w:t>
      </w:r>
      <w:r w:rsidR="00D21EF4" w:rsidRPr="00D56C50">
        <w:rPr>
          <w:rFonts w:hint="eastAsia"/>
          <w:color w:val="auto"/>
          <w:sz w:val="21"/>
          <w:szCs w:val="21"/>
        </w:rPr>
        <w:t>（</w:t>
      </w:r>
      <w:r w:rsidR="00F334C6" w:rsidRPr="00D56C50">
        <w:rPr>
          <w:rFonts w:hint="eastAsia"/>
          <w:color w:val="auto"/>
          <w:sz w:val="21"/>
          <w:szCs w:val="21"/>
        </w:rPr>
        <w:t>如</w:t>
      </w:r>
      <w:r w:rsidRPr="00D56C50">
        <w:rPr>
          <w:rFonts w:hint="eastAsia"/>
          <w:color w:val="auto"/>
          <w:sz w:val="21"/>
          <w:szCs w:val="21"/>
        </w:rPr>
        <w:t>金融波动或金融周期繁荣</w:t>
      </w:r>
      <w:r w:rsidRPr="00D56C50">
        <w:rPr>
          <w:rFonts w:hint="eastAsia"/>
          <w:color w:val="auto"/>
          <w:sz w:val="21"/>
          <w:szCs w:val="21"/>
        </w:rPr>
        <w:t>-</w:t>
      </w:r>
      <w:r w:rsidRPr="00D56C50">
        <w:rPr>
          <w:rFonts w:hint="eastAsia"/>
          <w:color w:val="auto"/>
          <w:sz w:val="21"/>
          <w:szCs w:val="21"/>
        </w:rPr>
        <w:t>萧条的更替</w:t>
      </w:r>
      <w:r w:rsidR="00D21EF4" w:rsidRPr="00D56C50">
        <w:rPr>
          <w:rFonts w:hint="eastAsia"/>
          <w:color w:val="auto"/>
          <w:sz w:val="21"/>
          <w:szCs w:val="21"/>
        </w:rPr>
        <w:t>）往往</w:t>
      </w:r>
      <w:r w:rsidRPr="00D56C50">
        <w:rPr>
          <w:rFonts w:hint="eastAsia"/>
          <w:color w:val="auto"/>
          <w:sz w:val="21"/>
          <w:szCs w:val="21"/>
        </w:rPr>
        <w:t>会加剧不平等。</w:t>
      </w:r>
    </w:p>
    <w:p w14:paraId="46BA536E" w14:textId="77777777" w:rsidR="009152AF" w:rsidRPr="00D56C50" w:rsidRDefault="00D21EF4" w:rsidP="002B7F04">
      <w:pPr>
        <w:pStyle w:val="Default"/>
        <w:spacing w:line="288" w:lineRule="auto"/>
        <w:ind w:firstLineChars="202" w:firstLine="424"/>
        <w:rPr>
          <w:color w:val="auto"/>
          <w:sz w:val="21"/>
          <w:szCs w:val="21"/>
        </w:rPr>
      </w:pPr>
      <w:r w:rsidRPr="00D56C50">
        <w:rPr>
          <w:rFonts w:hint="eastAsia"/>
          <w:color w:val="auto"/>
          <w:sz w:val="21"/>
          <w:szCs w:val="21"/>
        </w:rPr>
        <w:t>一方面，金融周期上行</w:t>
      </w:r>
      <w:r w:rsidR="00F334C6" w:rsidRPr="00D56C50">
        <w:rPr>
          <w:rFonts w:hint="eastAsia"/>
          <w:color w:val="auto"/>
          <w:sz w:val="21"/>
          <w:szCs w:val="21"/>
        </w:rPr>
        <w:t>或</w:t>
      </w:r>
      <w:r w:rsidR="009152AF" w:rsidRPr="00D56C50">
        <w:rPr>
          <w:rFonts w:hint="eastAsia"/>
          <w:color w:val="auto"/>
          <w:sz w:val="21"/>
          <w:szCs w:val="21"/>
        </w:rPr>
        <w:t>使不平等加剧。政府利用税收资金为金融机构提供隐性担保，在金融机构遭遇危机时慷慨解囊，调用大量财政资金救助金融机构，隐性财政担保的存在使金融</w:t>
      </w:r>
      <w:r w:rsidRPr="00D56C50">
        <w:rPr>
          <w:rFonts w:hint="eastAsia"/>
          <w:color w:val="auto"/>
          <w:sz w:val="21"/>
          <w:szCs w:val="21"/>
        </w:rPr>
        <w:t>机构肆无忌惮地投资高风险项目，显著提高了金融部门利润。虽然金融从</w:t>
      </w:r>
      <w:r w:rsidR="009152AF" w:rsidRPr="00D56C50">
        <w:rPr>
          <w:rFonts w:hint="eastAsia"/>
          <w:color w:val="auto"/>
          <w:sz w:val="21"/>
          <w:szCs w:val="21"/>
        </w:rPr>
        <w:t>业者收入骤增，但这是以其他社会成员来承担财政担保成本为代价的，纳税人并不能从金融机构的冒险活动里获得收益，如此一来，收入不平等随之上升。</w:t>
      </w:r>
    </w:p>
    <w:p w14:paraId="751F9094" w14:textId="77777777" w:rsidR="005222CE" w:rsidRPr="00D56C50" w:rsidRDefault="00D21EF4" w:rsidP="002B7F04">
      <w:pPr>
        <w:pStyle w:val="Default"/>
        <w:spacing w:line="288" w:lineRule="auto"/>
        <w:ind w:firstLineChars="202" w:firstLine="424"/>
        <w:rPr>
          <w:color w:val="auto"/>
          <w:sz w:val="21"/>
          <w:szCs w:val="21"/>
        </w:rPr>
      </w:pPr>
      <w:r w:rsidRPr="00D56C50">
        <w:rPr>
          <w:rFonts w:hint="eastAsia"/>
          <w:color w:val="auto"/>
          <w:sz w:val="21"/>
          <w:szCs w:val="21"/>
        </w:rPr>
        <w:t>另一方面，金融周期下行</w:t>
      </w:r>
      <w:r w:rsidR="00F334C6" w:rsidRPr="00D56C50">
        <w:rPr>
          <w:rFonts w:hint="eastAsia"/>
          <w:color w:val="auto"/>
          <w:sz w:val="21"/>
          <w:szCs w:val="21"/>
        </w:rPr>
        <w:t>也或</w:t>
      </w:r>
      <w:r w:rsidR="009152AF" w:rsidRPr="00D56C50">
        <w:rPr>
          <w:rFonts w:hint="eastAsia"/>
          <w:color w:val="auto"/>
          <w:sz w:val="21"/>
          <w:szCs w:val="21"/>
        </w:rPr>
        <w:t>使不平等加剧。</w:t>
      </w:r>
      <w:r w:rsidR="005222CE" w:rsidRPr="00D56C50">
        <w:rPr>
          <w:rFonts w:hint="eastAsia"/>
          <w:color w:val="auto"/>
          <w:sz w:val="21"/>
          <w:szCs w:val="21"/>
        </w:rPr>
        <w:t>金融繁荣之后往往伴随着金融危机，其特征是资产价格下跌、不良贷款增加、资本缓冲减少或耗尽，等等。这种困境会反馈到实体经济中：当资产价格下跌时，脆弱的金融公司被迫减少债务，从而导致资产价格、就</w:t>
      </w:r>
      <w:r w:rsidR="009152AF" w:rsidRPr="00D56C50">
        <w:rPr>
          <w:rFonts w:hint="eastAsia"/>
          <w:color w:val="auto"/>
          <w:sz w:val="21"/>
          <w:szCs w:val="21"/>
        </w:rPr>
        <w:t>业和经济增长进一步下降。当金融机构</w:t>
      </w:r>
      <w:r w:rsidR="007E4F8A" w:rsidRPr="00D56C50">
        <w:rPr>
          <w:rFonts w:hint="eastAsia"/>
          <w:color w:val="auto"/>
          <w:sz w:val="21"/>
          <w:szCs w:val="21"/>
        </w:rPr>
        <w:t>更多</w:t>
      </w:r>
      <w:r w:rsidR="009152AF" w:rsidRPr="00D56C50">
        <w:rPr>
          <w:rFonts w:hint="eastAsia"/>
          <w:color w:val="auto"/>
          <w:sz w:val="21"/>
          <w:szCs w:val="21"/>
        </w:rPr>
        <w:t>地减少对小公司和穷</w:t>
      </w:r>
      <w:r w:rsidR="005222CE" w:rsidRPr="00D56C50">
        <w:rPr>
          <w:rFonts w:hint="eastAsia"/>
          <w:color w:val="auto"/>
          <w:sz w:val="21"/>
          <w:szCs w:val="21"/>
        </w:rPr>
        <w:t>人（风险较高，抵押品较少）的贷款和其他金融服务时，就会破坏机会均等，从而导致不平等加剧。而且，在金融周期下行甚至出现金融危机的时候，相关政策刺激或救助措施会进一步加剧不平等。一方面，危机暴发后，一些“金融大鳄”因为大而不能倒而受到救助，犯下严重决策错误的高管们甚至不会减薪，而这花的都是纳税人的钱，</w:t>
      </w:r>
      <w:r w:rsidR="007E4F8A" w:rsidRPr="00D56C50">
        <w:rPr>
          <w:rFonts w:hint="eastAsia"/>
          <w:color w:val="auto"/>
          <w:sz w:val="21"/>
          <w:szCs w:val="21"/>
        </w:rPr>
        <w:t>显然是不公平的。</w:t>
      </w:r>
      <w:r w:rsidR="005222CE" w:rsidRPr="00D56C50">
        <w:rPr>
          <w:rFonts w:hint="eastAsia"/>
          <w:color w:val="auto"/>
          <w:sz w:val="21"/>
          <w:szCs w:val="21"/>
        </w:rPr>
        <w:t>另一方面，为应对危机而出台的非常规货币政策，促进了资产价格的上涨，使得拥有更多资产的富裕家庭受益，</w:t>
      </w:r>
      <w:r w:rsidR="007E4F8A" w:rsidRPr="00D56C50">
        <w:rPr>
          <w:rFonts w:hint="eastAsia"/>
          <w:color w:val="auto"/>
          <w:sz w:val="21"/>
          <w:szCs w:val="21"/>
        </w:rPr>
        <w:t>也会扩大</w:t>
      </w:r>
      <w:r w:rsidR="005222CE" w:rsidRPr="00D56C50">
        <w:rPr>
          <w:rFonts w:hint="eastAsia"/>
          <w:color w:val="auto"/>
          <w:sz w:val="21"/>
          <w:szCs w:val="21"/>
        </w:rPr>
        <w:t>收入不平等。</w:t>
      </w:r>
    </w:p>
    <w:p w14:paraId="56FA7400" w14:textId="77777777" w:rsidR="005222CE" w:rsidRPr="00D56C50" w:rsidRDefault="005222CE" w:rsidP="002B7F04">
      <w:pPr>
        <w:pStyle w:val="1"/>
        <w:spacing w:beforeLines="100" w:before="312" w:afterLines="100" w:after="312" w:line="288" w:lineRule="auto"/>
        <w:rPr>
          <w:sz w:val="21"/>
          <w:szCs w:val="21"/>
        </w:rPr>
      </w:pPr>
      <w:r w:rsidRPr="00D56C50">
        <w:rPr>
          <w:rFonts w:hint="eastAsia"/>
          <w:sz w:val="21"/>
          <w:szCs w:val="21"/>
        </w:rPr>
        <w:t>四、金融发展与共同富裕</w:t>
      </w:r>
      <w:r w:rsidR="002E3E61" w:rsidRPr="00D56C50">
        <w:rPr>
          <w:rFonts w:hint="eastAsia"/>
          <w:sz w:val="21"/>
          <w:szCs w:val="21"/>
        </w:rPr>
        <w:t>的</w:t>
      </w:r>
      <w:r w:rsidRPr="00D56C50">
        <w:rPr>
          <w:rFonts w:hint="eastAsia"/>
          <w:sz w:val="21"/>
          <w:szCs w:val="21"/>
        </w:rPr>
        <w:t>“中国故事”</w:t>
      </w:r>
    </w:p>
    <w:p w14:paraId="6141161D" w14:textId="77777777" w:rsidR="00154A65" w:rsidRPr="00D56C50" w:rsidRDefault="009152AF" w:rsidP="002B7F04">
      <w:pPr>
        <w:spacing w:line="288" w:lineRule="auto"/>
        <w:ind w:firstLineChars="202" w:firstLine="424"/>
      </w:pPr>
      <w:r w:rsidRPr="00D56C50">
        <w:rPr>
          <w:rFonts w:hint="eastAsia"/>
        </w:rPr>
        <w:t>现在我们把目光聚焦到中国。改革开放以来，中国经历了“从几乎没有个人财产到个人财产的高速积累与显著分化”</w:t>
      </w:r>
      <w:r w:rsidR="00D21EF4" w:rsidRPr="00D56C50">
        <w:rPr>
          <w:rFonts w:hint="eastAsia"/>
        </w:rPr>
        <w:t>（赵人伟，</w:t>
      </w:r>
      <w:r w:rsidR="00D21EF4" w:rsidRPr="00D56C50">
        <w:rPr>
          <w:rFonts w:hint="eastAsia"/>
        </w:rPr>
        <w:t>2021</w:t>
      </w:r>
      <w:r w:rsidR="00D21EF4" w:rsidRPr="00D56C50">
        <w:rPr>
          <w:rFonts w:hint="eastAsia"/>
        </w:rPr>
        <w:t>，第</w:t>
      </w:r>
      <w:r w:rsidR="00D21EF4" w:rsidRPr="00D56C50">
        <w:rPr>
          <w:rFonts w:hint="eastAsia"/>
        </w:rPr>
        <w:t>10</w:t>
      </w:r>
      <w:r w:rsidR="00D21EF4" w:rsidRPr="00D56C50">
        <w:rPr>
          <w:rFonts w:hint="eastAsia"/>
        </w:rPr>
        <w:t>页）</w:t>
      </w:r>
      <w:r w:rsidRPr="00D56C50">
        <w:rPr>
          <w:rFonts w:hint="eastAsia"/>
        </w:rPr>
        <w:t>的过程。</w:t>
      </w:r>
      <w:r w:rsidR="0054750C" w:rsidRPr="00D56C50">
        <w:rPr>
          <w:rFonts w:hint="eastAsia"/>
        </w:rPr>
        <w:t>财富的“高速积累</w:t>
      </w:r>
      <w:r w:rsidR="0054750C" w:rsidRPr="00D56C50">
        <w:t>”</w:t>
      </w:r>
      <w:r w:rsidR="0054750C" w:rsidRPr="00D56C50">
        <w:rPr>
          <w:rFonts w:hint="eastAsia"/>
        </w:rPr>
        <w:t>与</w:t>
      </w:r>
      <w:r w:rsidR="0054750C" w:rsidRPr="00D56C50">
        <w:t>”</w:t>
      </w:r>
      <w:r w:rsidR="0054750C" w:rsidRPr="00D56C50">
        <w:rPr>
          <w:rFonts w:hint="eastAsia"/>
        </w:rPr>
        <w:t>显著分化</w:t>
      </w:r>
      <w:r w:rsidR="0054750C" w:rsidRPr="00D56C50">
        <w:t>”</w:t>
      </w:r>
      <w:r w:rsidR="0054750C" w:rsidRPr="00D56C50">
        <w:rPr>
          <w:rFonts w:hint="eastAsia"/>
        </w:rPr>
        <w:t>，叠加中国金融发展“压抑”与“赶超”的并存</w:t>
      </w:r>
      <w:r w:rsidRPr="00D56C50">
        <w:rPr>
          <w:rFonts w:hint="eastAsia"/>
        </w:rPr>
        <w:t>，</w:t>
      </w:r>
      <w:r w:rsidR="002B7F04" w:rsidRPr="00D56C50">
        <w:rPr>
          <w:rFonts w:hint="eastAsia"/>
        </w:rPr>
        <w:t>立体呈现</w:t>
      </w:r>
      <w:r w:rsidRPr="00D56C50">
        <w:rPr>
          <w:rFonts w:hint="eastAsia"/>
        </w:rPr>
        <w:t>出金融发展与共同富裕的“中国故事”</w:t>
      </w:r>
      <w:r w:rsidR="002B7F04" w:rsidRPr="00D56C50">
        <w:rPr>
          <w:rFonts w:hint="eastAsia"/>
        </w:rPr>
        <w:t>。</w:t>
      </w:r>
    </w:p>
    <w:p w14:paraId="18FA48E1" w14:textId="77777777" w:rsidR="00F334C6" w:rsidRPr="00D56C50" w:rsidRDefault="00F334C6" w:rsidP="002B7F04">
      <w:pPr>
        <w:spacing w:line="288" w:lineRule="auto"/>
        <w:ind w:firstLineChars="202" w:firstLine="424"/>
      </w:pPr>
    </w:p>
    <w:p w14:paraId="54CA9A42" w14:textId="77777777" w:rsidR="0070195C" w:rsidRPr="00D56C50" w:rsidRDefault="009D61DE"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lastRenderedPageBreak/>
        <w:t>（一）</w:t>
      </w:r>
      <w:r w:rsidR="00F334C6" w:rsidRPr="00D56C50">
        <w:rPr>
          <w:rFonts w:asciiTheme="minorEastAsia" w:eastAsiaTheme="minorEastAsia" w:hAnsiTheme="minorEastAsia" w:hint="eastAsia"/>
          <w:sz w:val="21"/>
          <w:szCs w:val="21"/>
        </w:rPr>
        <w:t>收入与</w:t>
      </w:r>
      <w:r w:rsidRPr="00D56C50">
        <w:rPr>
          <w:rFonts w:asciiTheme="minorEastAsia" w:eastAsiaTheme="minorEastAsia" w:hAnsiTheme="minorEastAsia" w:hint="eastAsia"/>
          <w:sz w:val="21"/>
          <w:szCs w:val="21"/>
        </w:rPr>
        <w:t>财富“前所未有”的增长</w:t>
      </w:r>
    </w:p>
    <w:p w14:paraId="7B8CAA7E" w14:textId="77777777" w:rsidR="00F334C6" w:rsidRPr="00D56C50" w:rsidRDefault="00030A69" w:rsidP="00F334C6">
      <w:pPr>
        <w:spacing w:line="288" w:lineRule="auto"/>
        <w:ind w:firstLineChars="202" w:firstLine="424"/>
      </w:pPr>
      <w:r w:rsidRPr="00D56C50">
        <w:rPr>
          <w:rFonts w:hint="eastAsia"/>
        </w:rPr>
        <w:t>改革开放</w:t>
      </w:r>
      <w:r w:rsidR="009D61DE" w:rsidRPr="00D56C50">
        <w:rPr>
          <w:rFonts w:hint="eastAsia"/>
        </w:rPr>
        <w:t>40</w:t>
      </w:r>
      <w:r w:rsidRPr="00D56C50">
        <w:rPr>
          <w:rFonts w:hint="eastAsia"/>
        </w:rPr>
        <w:t>余年，中国金融参与</w:t>
      </w:r>
      <w:r w:rsidR="009D61DE" w:rsidRPr="00D56C50">
        <w:rPr>
          <w:rFonts w:hint="eastAsia"/>
        </w:rPr>
        <w:t>创造了</w:t>
      </w:r>
      <w:r w:rsidRPr="00D56C50">
        <w:rPr>
          <w:rFonts w:hint="eastAsia"/>
        </w:rPr>
        <w:t>“</w:t>
      </w:r>
      <w:r w:rsidR="009D61DE" w:rsidRPr="00D56C50">
        <w:rPr>
          <w:rFonts w:hint="eastAsia"/>
        </w:rPr>
        <w:t>两大奇迹</w:t>
      </w:r>
      <w:r w:rsidRPr="00D56C50">
        <w:rPr>
          <w:rFonts w:hint="eastAsia"/>
        </w:rPr>
        <w:t>”</w:t>
      </w:r>
      <w:r w:rsidR="00F334C6" w:rsidRPr="00D56C50">
        <w:rPr>
          <w:rFonts w:hint="eastAsia"/>
        </w:rPr>
        <w:t>---</w:t>
      </w:r>
      <w:r w:rsidRPr="00D56C50">
        <w:t>世所罕见的经济快速发展奇迹和社会长期稳定奇迹</w:t>
      </w:r>
      <w:r w:rsidRPr="00D56C50">
        <w:rPr>
          <w:rFonts w:hint="eastAsia"/>
        </w:rPr>
        <w:t>：一方面通过服务于储蓄</w:t>
      </w:r>
      <w:r w:rsidRPr="00D56C50">
        <w:rPr>
          <w:rFonts w:hint="eastAsia"/>
        </w:rPr>
        <w:t>-</w:t>
      </w:r>
      <w:r w:rsidRPr="00D56C50">
        <w:rPr>
          <w:rFonts w:hint="eastAsia"/>
        </w:rPr>
        <w:t>投资的转化、促进了经济增长；另一方面保持了长期的金融稳定、从未发生过金融危机</w:t>
      </w:r>
      <w:r w:rsidR="009E3CDC" w:rsidRPr="00D56C50">
        <w:rPr>
          <w:rStyle w:val="a3"/>
        </w:rPr>
        <w:footnoteReference w:id="4"/>
      </w:r>
      <w:r w:rsidRPr="00D56C50">
        <w:rPr>
          <w:rFonts w:hint="eastAsia"/>
        </w:rPr>
        <w:t>。</w:t>
      </w:r>
      <w:r w:rsidR="00A31740" w:rsidRPr="00D56C50">
        <w:rPr>
          <w:rFonts w:hint="eastAsia"/>
        </w:rPr>
        <w:t>“两大奇迹”使得国民收入与财富出现前所未有的增长。</w:t>
      </w:r>
    </w:p>
    <w:p w14:paraId="5E759FC7" w14:textId="77777777" w:rsidR="00F334C6" w:rsidRPr="00D56C50" w:rsidRDefault="00A31740" w:rsidP="00F334C6">
      <w:pPr>
        <w:spacing w:line="288" w:lineRule="auto"/>
        <w:ind w:firstLineChars="202" w:firstLine="424"/>
        <w:rPr>
          <w:bCs/>
        </w:rPr>
      </w:pPr>
      <w:r w:rsidRPr="00D56C50">
        <w:rPr>
          <w:rFonts w:hint="eastAsia"/>
        </w:rPr>
        <w:t>国民收入方面。</w:t>
      </w:r>
      <w:r w:rsidRPr="00D56C50">
        <w:rPr>
          <w:rFonts w:hint="eastAsia"/>
        </w:rPr>
        <w:t>1978</w:t>
      </w:r>
      <w:r w:rsidRPr="00D56C50">
        <w:rPr>
          <w:rFonts w:hint="eastAsia"/>
        </w:rPr>
        <w:t>年，中国国内生产总值仅为</w:t>
      </w:r>
      <w:r w:rsidRPr="00D56C50">
        <w:t>3679</w:t>
      </w:r>
      <w:r w:rsidRPr="00D56C50">
        <w:t>亿元</w:t>
      </w:r>
      <w:r w:rsidRPr="00D56C50">
        <w:rPr>
          <w:rFonts w:hint="eastAsia"/>
        </w:rPr>
        <w:t>，</w:t>
      </w:r>
      <w:r w:rsidRPr="00D56C50">
        <w:t>2017</w:t>
      </w:r>
      <w:r w:rsidRPr="00D56C50">
        <w:t>年</w:t>
      </w:r>
      <w:r w:rsidRPr="00D56C50">
        <w:rPr>
          <w:rFonts w:hint="eastAsia"/>
        </w:rPr>
        <w:t>达到</w:t>
      </w:r>
      <w:r w:rsidRPr="00D56C50">
        <w:t>8</w:t>
      </w:r>
      <w:r w:rsidRPr="00D56C50">
        <w:rPr>
          <w:rFonts w:hint="eastAsia"/>
        </w:rPr>
        <w:t>3</w:t>
      </w:r>
      <w:r w:rsidRPr="00D56C50">
        <w:t>.</w:t>
      </w:r>
      <w:r w:rsidRPr="00D56C50">
        <w:rPr>
          <w:rFonts w:hint="eastAsia"/>
        </w:rPr>
        <w:t>2</w:t>
      </w:r>
      <w:r w:rsidRPr="00D56C50">
        <w:t>万亿元</w:t>
      </w:r>
      <w:r w:rsidRPr="00D56C50">
        <w:rPr>
          <w:rFonts w:hint="eastAsia"/>
        </w:rPr>
        <w:t>，</w:t>
      </w:r>
      <w:r w:rsidRPr="00D56C50">
        <w:t>年均实际增长</w:t>
      </w:r>
      <w:r w:rsidRPr="00D56C50">
        <w:t>9.5%</w:t>
      </w:r>
      <w:r w:rsidRPr="00D56C50">
        <w:t>，远高于同期世界经济</w:t>
      </w:r>
      <w:r w:rsidRPr="00D56C50">
        <w:t>2.9%</w:t>
      </w:r>
      <w:r w:rsidRPr="00D56C50">
        <w:t>左右的年均增速。</w:t>
      </w:r>
      <w:r w:rsidR="00797C00" w:rsidRPr="00D56C50">
        <w:fldChar w:fldCharType="begin"/>
      </w:r>
      <w:r w:rsidR="00797C00" w:rsidRPr="00D56C50">
        <w:instrText xml:space="preserve"> HYPERLINK "https://www.baidu.com/link?url=_hxuiKKPY7uvYRd7k5B9Sr9jrQ-qLwDWYh4wrG7rs9-qAsAZyN7qPZh44rjmlyxAbkZnPiYBulUFg0q3DKn3JLnoJHugu1fLke1WOl1-com&amp;wd=&amp;eqid=8a796d47001caee50000000261c3cbe0" \t "_blank" </w:instrText>
      </w:r>
      <w:r w:rsidR="00797C00" w:rsidRPr="00D56C50">
        <w:fldChar w:fldCharType="separate"/>
      </w:r>
      <w:r w:rsidR="00F334C6" w:rsidRPr="00D56C50">
        <w:t>2020</w:t>
      </w:r>
      <w:r w:rsidR="00F334C6" w:rsidRPr="00D56C50">
        <w:t>年</w:t>
      </w:r>
      <w:r w:rsidR="00F334C6" w:rsidRPr="00D56C50">
        <w:rPr>
          <w:rFonts w:hint="eastAsia"/>
        </w:rPr>
        <w:t>，</w:t>
      </w:r>
      <w:r w:rsidR="00F334C6" w:rsidRPr="00D56C50">
        <w:t>国内生产总值</w:t>
      </w:r>
      <w:r w:rsidRPr="00D56C50">
        <w:rPr>
          <w:rFonts w:hint="eastAsia"/>
        </w:rPr>
        <w:t>更是突</w:t>
      </w:r>
      <w:r w:rsidR="00F334C6" w:rsidRPr="00D56C50">
        <w:t>破百万亿元</w:t>
      </w:r>
      <w:r w:rsidRPr="00D56C50">
        <w:rPr>
          <w:rFonts w:hint="eastAsia"/>
        </w:rPr>
        <w:t>大关。与此同时，人均</w:t>
      </w:r>
      <w:r w:rsidRPr="00D56C50">
        <w:rPr>
          <w:rFonts w:hint="eastAsia"/>
        </w:rPr>
        <w:t>GDP</w:t>
      </w:r>
      <w:r w:rsidRPr="00D56C50">
        <w:rPr>
          <w:rFonts w:hint="eastAsia"/>
        </w:rPr>
        <w:t>由</w:t>
      </w:r>
      <w:r w:rsidRPr="00D56C50">
        <w:rPr>
          <w:rFonts w:hint="eastAsia"/>
        </w:rPr>
        <w:t>1978</w:t>
      </w:r>
      <w:r w:rsidRPr="00D56C50">
        <w:rPr>
          <w:rFonts w:hint="eastAsia"/>
        </w:rPr>
        <w:t>年的</w:t>
      </w:r>
      <w:r w:rsidRPr="00D56C50">
        <w:rPr>
          <w:rFonts w:hint="eastAsia"/>
        </w:rPr>
        <w:t>385</w:t>
      </w:r>
      <w:r w:rsidRPr="00D56C50">
        <w:rPr>
          <w:rFonts w:hint="eastAsia"/>
        </w:rPr>
        <w:t>元，增长到</w:t>
      </w:r>
      <w:r w:rsidRPr="00D56C50">
        <w:rPr>
          <w:rFonts w:hint="eastAsia"/>
        </w:rPr>
        <w:t>2020</w:t>
      </w:r>
      <w:r w:rsidRPr="00D56C50">
        <w:rPr>
          <w:rFonts w:hint="eastAsia"/>
        </w:rPr>
        <w:t>年的</w:t>
      </w:r>
      <w:r w:rsidR="00F334C6" w:rsidRPr="00D56C50">
        <w:t>7</w:t>
      </w:r>
      <w:r w:rsidRPr="00D56C50">
        <w:rPr>
          <w:rFonts w:hint="eastAsia"/>
        </w:rPr>
        <w:t>.</w:t>
      </w:r>
      <w:r w:rsidR="00F334C6" w:rsidRPr="00D56C50">
        <w:t>2</w:t>
      </w:r>
      <w:r w:rsidRPr="00D56C50">
        <w:rPr>
          <w:rFonts w:hint="eastAsia"/>
        </w:rPr>
        <w:t>万</w:t>
      </w:r>
      <w:r w:rsidR="00F334C6" w:rsidRPr="00D56C50">
        <w:t>元</w:t>
      </w:r>
      <w:r w:rsidR="00797C00" w:rsidRPr="00D56C50">
        <w:fldChar w:fldCharType="end"/>
      </w:r>
      <w:r w:rsidR="005A2441" w:rsidRPr="00D56C50">
        <w:rPr>
          <w:rStyle w:val="a3"/>
        </w:rPr>
        <w:footnoteReference w:id="5"/>
      </w:r>
      <w:r w:rsidR="00F334C6" w:rsidRPr="00D56C50">
        <w:rPr>
          <w:rFonts w:hint="eastAsia"/>
          <w:bCs/>
        </w:rPr>
        <w:t>，超过</w:t>
      </w:r>
      <w:r w:rsidR="00F334C6" w:rsidRPr="00D56C50">
        <w:rPr>
          <w:rFonts w:hint="eastAsia"/>
          <w:bCs/>
        </w:rPr>
        <w:t>1</w:t>
      </w:r>
      <w:r w:rsidR="00F334C6" w:rsidRPr="00D56C50">
        <w:rPr>
          <w:rFonts w:hint="eastAsia"/>
          <w:bCs/>
        </w:rPr>
        <w:t>万亿美元</w:t>
      </w:r>
      <w:r w:rsidRPr="00D56C50">
        <w:rPr>
          <w:rFonts w:hint="eastAsia"/>
          <w:bCs/>
        </w:rPr>
        <w:t>，接近高收入国家门槛（见图</w:t>
      </w:r>
      <w:r w:rsidRPr="00D56C50">
        <w:rPr>
          <w:rFonts w:hint="eastAsia"/>
          <w:bCs/>
        </w:rPr>
        <w:t>6</w:t>
      </w:r>
      <w:r w:rsidRPr="00D56C50">
        <w:rPr>
          <w:rFonts w:hint="eastAsia"/>
          <w:bCs/>
        </w:rPr>
        <w:t>）。</w:t>
      </w:r>
    </w:p>
    <w:p w14:paraId="617F86CF" w14:textId="77777777" w:rsidR="008F7249" w:rsidRPr="00D56C50" w:rsidRDefault="008F7249" w:rsidP="008F7249">
      <w:pPr>
        <w:spacing w:line="288" w:lineRule="auto"/>
        <w:jc w:val="center"/>
      </w:pPr>
      <w:r w:rsidRPr="00D56C50">
        <w:rPr>
          <w:noProof/>
        </w:rPr>
        <w:drawing>
          <wp:inline distT="0" distB="0" distL="0" distR="0" wp14:anchorId="2DFC0632" wp14:editId="38867346">
            <wp:extent cx="5048250" cy="2938462"/>
            <wp:effectExtent l="0" t="0" r="19050"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639427" w14:textId="77777777" w:rsidR="00A31740" w:rsidRPr="00D56C50" w:rsidRDefault="00A31740" w:rsidP="00A31740">
      <w:pPr>
        <w:spacing w:line="288" w:lineRule="auto"/>
        <w:jc w:val="center"/>
        <w:rPr>
          <w:b/>
        </w:rPr>
      </w:pPr>
      <w:r w:rsidRPr="00D56C50">
        <w:rPr>
          <w:rFonts w:hint="eastAsia"/>
          <w:b/>
        </w:rPr>
        <w:t>图</w:t>
      </w:r>
      <w:r w:rsidRPr="00D56C50">
        <w:rPr>
          <w:rFonts w:hint="eastAsia"/>
          <w:b/>
        </w:rPr>
        <w:t xml:space="preserve">6 </w:t>
      </w:r>
      <w:r w:rsidRPr="00D56C50">
        <w:rPr>
          <w:rFonts w:hint="eastAsia"/>
          <w:b/>
        </w:rPr>
        <w:t>中国人均</w:t>
      </w:r>
      <w:r w:rsidRPr="00D56C50">
        <w:rPr>
          <w:rFonts w:hint="eastAsia"/>
          <w:b/>
        </w:rPr>
        <w:t>GDP</w:t>
      </w:r>
    </w:p>
    <w:p w14:paraId="2B379E05" w14:textId="77777777" w:rsidR="00A31740" w:rsidRPr="00D56C50" w:rsidRDefault="00A31740" w:rsidP="00A31740">
      <w:pPr>
        <w:spacing w:line="288" w:lineRule="auto"/>
        <w:jc w:val="center"/>
      </w:pPr>
      <w:r w:rsidRPr="00D56C50">
        <w:rPr>
          <w:rFonts w:hint="eastAsia"/>
        </w:rPr>
        <w:t>数据来源：</w:t>
      </w:r>
      <w:r w:rsidRPr="00D56C50">
        <w:rPr>
          <w:rFonts w:hint="eastAsia"/>
        </w:rPr>
        <w:t>Wind</w:t>
      </w:r>
      <w:r w:rsidRPr="00D56C50">
        <w:rPr>
          <w:rFonts w:hint="eastAsia"/>
        </w:rPr>
        <w:t>数据库。</w:t>
      </w:r>
    </w:p>
    <w:p w14:paraId="0FB5F76B" w14:textId="77777777" w:rsidR="005A2441" w:rsidRPr="00D56C50" w:rsidRDefault="005A2441" w:rsidP="00A31740">
      <w:pPr>
        <w:spacing w:line="288" w:lineRule="auto"/>
        <w:ind w:firstLineChars="202" w:firstLine="424"/>
        <w:rPr>
          <w:bCs/>
        </w:rPr>
      </w:pPr>
    </w:p>
    <w:p w14:paraId="52E16FEE" w14:textId="77777777" w:rsidR="00A31740" w:rsidRPr="00D56C50" w:rsidRDefault="00A31740" w:rsidP="00A31740">
      <w:pPr>
        <w:spacing w:line="288" w:lineRule="auto"/>
        <w:ind w:firstLineChars="202" w:firstLine="424"/>
      </w:pPr>
      <w:r w:rsidRPr="00D56C50">
        <w:rPr>
          <w:rFonts w:hint="eastAsia"/>
          <w:bCs/>
        </w:rPr>
        <w:t>国民财富方面。据中国社会科学院国家资产负债表研究中心</w:t>
      </w:r>
      <w:r w:rsidR="005A2441" w:rsidRPr="00D56C50">
        <w:rPr>
          <w:rFonts w:hint="eastAsia"/>
          <w:bCs/>
        </w:rPr>
        <w:t>（</w:t>
      </w:r>
      <w:r w:rsidR="005A2441" w:rsidRPr="00D56C50">
        <w:rPr>
          <w:rFonts w:hint="eastAsia"/>
          <w:bCs/>
        </w:rPr>
        <w:t>CNBS</w:t>
      </w:r>
      <w:r w:rsidR="005A2441" w:rsidRPr="00D56C50">
        <w:rPr>
          <w:rFonts w:hint="eastAsia"/>
          <w:bCs/>
        </w:rPr>
        <w:t>）</w:t>
      </w:r>
      <w:r w:rsidRPr="00D56C50">
        <w:rPr>
          <w:rFonts w:hint="eastAsia"/>
          <w:bCs/>
        </w:rPr>
        <w:t>的最新估算，截止</w:t>
      </w:r>
      <w:r w:rsidRPr="00D56C50">
        <w:rPr>
          <w:rFonts w:hint="eastAsia"/>
          <w:bCs/>
        </w:rPr>
        <w:t>2019</w:t>
      </w:r>
      <w:r w:rsidRPr="00D56C50">
        <w:rPr>
          <w:rFonts w:hint="eastAsia"/>
          <w:bCs/>
        </w:rPr>
        <w:t>年，中国的全社会净财富达到</w:t>
      </w:r>
      <w:r w:rsidRPr="00D56C50">
        <w:rPr>
          <w:rFonts w:hint="eastAsia"/>
          <w:bCs/>
        </w:rPr>
        <w:t>675.5</w:t>
      </w:r>
      <w:r w:rsidRPr="00D56C50">
        <w:rPr>
          <w:rFonts w:hint="eastAsia"/>
          <w:bCs/>
        </w:rPr>
        <w:t>万亿元，人均社会净财富为</w:t>
      </w:r>
      <w:r w:rsidRPr="00D56C50">
        <w:rPr>
          <w:rFonts w:hint="eastAsia"/>
          <w:bCs/>
        </w:rPr>
        <w:t>48.2</w:t>
      </w:r>
      <w:r w:rsidRPr="00D56C50">
        <w:rPr>
          <w:rFonts w:hint="eastAsia"/>
          <w:bCs/>
        </w:rPr>
        <w:t>万亿元；其中居民部门财富为</w:t>
      </w:r>
      <w:r w:rsidRPr="00D56C50">
        <w:rPr>
          <w:rFonts w:hint="eastAsia"/>
          <w:bCs/>
        </w:rPr>
        <w:t>512.6</w:t>
      </w:r>
      <w:r w:rsidRPr="00D56C50">
        <w:rPr>
          <w:rFonts w:hint="eastAsia"/>
          <w:bCs/>
        </w:rPr>
        <w:t>万亿元，人均居民财富达到</w:t>
      </w:r>
      <w:r w:rsidRPr="00D56C50">
        <w:rPr>
          <w:rFonts w:hint="eastAsia"/>
          <w:bCs/>
        </w:rPr>
        <w:t>36.6</w:t>
      </w:r>
      <w:r w:rsidRPr="00D56C50">
        <w:rPr>
          <w:rFonts w:hint="eastAsia"/>
          <w:bCs/>
        </w:rPr>
        <w:t>万亿元。</w:t>
      </w:r>
      <w:r w:rsidRPr="00D56C50">
        <w:rPr>
          <w:rFonts w:hint="eastAsia"/>
        </w:rPr>
        <w:t>改革开放以来，人均居民财富的变化最为引人瞩目。图</w:t>
      </w:r>
      <w:r w:rsidR="00F214D7" w:rsidRPr="00D56C50">
        <w:rPr>
          <w:rFonts w:hint="eastAsia"/>
        </w:rPr>
        <w:t>7</w:t>
      </w:r>
      <w:r w:rsidRPr="00D56C50">
        <w:rPr>
          <w:rFonts w:hint="eastAsia"/>
        </w:rPr>
        <w:t>显示，</w:t>
      </w:r>
      <w:r w:rsidRPr="00D56C50">
        <w:rPr>
          <w:rFonts w:hint="eastAsia"/>
        </w:rPr>
        <w:t>1978</w:t>
      </w:r>
      <w:r w:rsidRPr="00D56C50">
        <w:rPr>
          <w:rFonts w:hint="eastAsia"/>
        </w:rPr>
        <w:t>年，中国居民人均财富不足</w:t>
      </w:r>
      <w:r w:rsidRPr="00D56C50">
        <w:rPr>
          <w:rFonts w:hint="eastAsia"/>
        </w:rPr>
        <w:t>400</w:t>
      </w:r>
      <w:r w:rsidRPr="00D56C50">
        <w:rPr>
          <w:rFonts w:hint="eastAsia"/>
        </w:rPr>
        <w:t>元，</w:t>
      </w:r>
      <w:r w:rsidRPr="00D56C50">
        <w:rPr>
          <w:rFonts w:hint="eastAsia"/>
        </w:rPr>
        <w:t>1992</w:t>
      </w:r>
      <w:r w:rsidRPr="00D56C50">
        <w:rPr>
          <w:rFonts w:hint="eastAsia"/>
        </w:rPr>
        <w:t>年小平同志南方谈话后，跨过了</w:t>
      </w:r>
      <w:r w:rsidRPr="00D56C50">
        <w:rPr>
          <w:rFonts w:hint="eastAsia"/>
        </w:rPr>
        <w:t>4000</w:t>
      </w:r>
      <w:r w:rsidRPr="00D56C50">
        <w:rPr>
          <w:rFonts w:hint="eastAsia"/>
        </w:rPr>
        <w:t>元，</w:t>
      </w:r>
      <w:r w:rsidRPr="00D56C50">
        <w:rPr>
          <w:rFonts w:hint="eastAsia"/>
        </w:rPr>
        <w:t>1995</w:t>
      </w:r>
      <w:r w:rsidRPr="00D56C50">
        <w:rPr>
          <w:rFonts w:hint="eastAsia"/>
        </w:rPr>
        <w:t>年突破</w:t>
      </w:r>
      <w:r w:rsidRPr="00D56C50">
        <w:rPr>
          <w:rFonts w:hint="eastAsia"/>
        </w:rPr>
        <w:t>1</w:t>
      </w:r>
      <w:r w:rsidRPr="00D56C50">
        <w:rPr>
          <w:rFonts w:hint="eastAsia"/>
        </w:rPr>
        <w:t>万元大关，</w:t>
      </w:r>
      <w:r w:rsidRPr="00D56C50">
        <w:rPr>
          <w:rFonts w:hint="eastAsia"/>
        </w:rPr>
        <w:t>2009</w:t>
      </w:r>
      <w:r w:rsidRPr="00D56C50">
        <w:rPr>
          <w:rFonts w:hint="eastAsia"/>
        </w:rPr>
        <w:t>年突破了</w:t>
      </w:r>
      <w:r w:rsidRPr="00D56C50">
        <w:rPr>
          <w:rFonts w:hint="eastAsia"/>
        </w:rPr>
        <w:t>10</w:t>
      </w:r>
      <w:r w:rsidRPr="00D56C50">
        <w:rPr>
          <w:rFonts w:hint="eastAsia"/>
        </w:rPr>
        <w:t>万元，</w:t>
      </w:r>
      <w:r w:rsidRPr="00D56C50">
        <w:rPr>
          <w:rFonts w:hint="eastAsia"/>
        </w:rPr>
        <w:t>2019</w:t>
      </w:r>
      <w:r w:rsidRPr="00D56C50">
        <w:rPr>
          <w:rFonts w:hint="eastAsia"/>
        </w:rPr>
        <w:t>年人均居民财富达到</w:t>
      </w:r>
      <w:r w:rsidRPr="00D56C50">
        <w:rPr>
          <w:rFonts w:hint="eastAsia"/>
        </w:rPr>
        <w:t>36.6</w:t>
      </w:r>
      <w:r w:rsidRPr="00D56C50">
        <w:rPr>
          <w:rFonts w:hint="eastAsia"/>
        </w:rPr>
        <w:t>万元。从人均居民财富的增长来看，</w:t>
      </w:r>
      <w:r w:rsidRPr="00D56C50">
        <w:rPr>
          <w:rFonts w:hint="eastAsia"/>
        </w:rPr>
        <w:t>1978-1989</w:t>
      </w:r>
      <w:r w:rsidRPr="00D56C50">
        <w:rPr>
          <w:rFonts w:hint="eastAsia"/>
        </w:rPr>
        <w:t>年的年均复合增长率为</w:t>
      </w:r>
      <w:r w:rsidRPr="00D56C50">
        <w:rPr>
          <w:rFonts w:hint="eastAsia"/>
        </w:rPr>
        <w:t>19.8%</w:t>
      </w:r>
      <w:r w:rsidRPr="00D56C50">
        <w:rPr>
          <w:rFonts w:hint="eastAsia"/>
        </w:rPr>
        <w:t>，</w:t>
      </w:r>
      <w:r w:rsidRPr="00D56C50">
        <w:rPr>
          <w:rFonts w:hint="eastAsia"/>
        </w:rPr>
        <w:t>1990-1999</w:t>
      </w:r>
      <w:r w:rsidRPr="00D56C50">
        <w:rPr>
          <w:rFonts w:hint="eastAsia"/>
        </w:rPr>
        <w:t>年的年均复合增长率为</w:t>
      </w:r>
      <w:r w:rsidRPr="00D56C50">
        <w:rPr>
          <w:rFonts w:hint="eastAsia"/>
        </w:rPr>
        <w:t>25.7%</w:t>
      </w:r>
      <w:r w:rsidRPr="00D56C50">
        <w:rPr>
          <w:rFonts w:hint="eastAsia"/>
        </w:rPr>
        <w:t>，</w:t>
      </w:r>
      <w:r w:rsidRPr="00D56C50">
        <w:rPr>
          <w:rFonts w:hint="eastAsia"/>
        </w:rPr>
        <w:t>2000-2009</w:t>
      </w:r>
      <w:r w:rsidRPr="00D56C50">
        <w:rPr>
          <w:rFonts w:hint="eastAsia"/>
        </w:rPr>
        <w:t>年的年均复合增长率为</w:t>
      </w:r>
      <w:r w:rsidRPr="00D56C50">
        <w:rPr>
          <w:rFonts w:hint="eastAsia"/>
        </w:rPr>
        <w:t>18.9%</w:t>
      </w:r>
      <w:r w:rsidRPr="00D56C50">
        <w:rPr>
          <w:rFonts w:hint="eastAsia"/>
        </w:rPr>
        <w:t>，</w:t>
      </w:r>
      <w:r w:rsidRPr="00D56C50">
        <w:rPr>
          <w:rFonts w:hint="eastAsia"/>
        </w:rPr>
        <w:t>2010-2019</w:t>
      </w:r>
      <w:r w:rsidRPr="00D56C50">
        <w:rPr>
          <w:rFonts w:hint="eastAsia"/>
        </w:rPr>
        <w:t>年的年均复合增长率为</w:t>
      </w:r>
      <w:r w:rsidRPr="00D56C50">
        <w:rPr>
          <w:rFonts w:hint="eastAsia"/>
        </w:rPr>
        <w:t>13.3%</w:t>
      </w:r>
      <w:r w:rsidRPr="00D56C50">
        <w:rPr>
          <w:rFonts w:hint="eastAsia"/>
        </w:rPr>
        <w:t>。其中，</w:t>
      </w:r>
      <w:r w:rsidRPr="00D56C50">
        <w:rPr>
          <w:rFonts w:hint="eastAsia"/>
        </w:rPr>
        <w:t>1990</w:t>
      </w:r>
      <w:r w:rsidRPr="00D56C50">
        <w:rPr>
          <w:rFonts w:hint="eastAsia"/>
        </w:rPr>
        <w:t>年代的人均居民财富增速为</w:t>
      </w:r>
      <w:r w:rsidRPr="00D56C50">
        <w:rPr>
          <w:rFonts w:hint="eastAsia"/>
        </w:rPr>
        <w:lastRenderedPageBreak/>
        <w:t>快。</w:t>
      </w:r>
      <w:r w:rsidRPr="00D56C50">
        <w:rPr>
          <w:rFonts w:hint="eastAsia"/>
        </w:rPr>
        <w:t>2010</w:t>
      </w:r>
      <w:r w:rsidRPr="00D56C50">
        <w:rPr>
          <w:rFonts w:hint="eastAsia"/>
        </w:rPr>
        <w:t>年以来随着经济逐步进入新常态，人均居民财富增速有所放缓。总体上，改革开放以来居民财富的增长堪称历史上“前所未有”（张晓晶，</w:t>
      </w:r>
      <w:r w:rsidRPr="00D56C50">
        <w:rPr>
          <w:rFonts w:hint="eastAsia"/>
        </w:rPr>
        <w:t>2021</w:t>
      </w:r>
      <w:r w:rsidRPr="00D56C50">
        <w:rPr>
          <w:rFonts w:hint="eastAsia"/>
        </w:rPr>
        <w:t>）。</w:t>
      </w:r>
    </w:p>
    <w:p w14:paraId="2D8FCFCF" w14:textId="77777777" w:rsidR="00A31740" w:rsidRPr="00D56C50" w:rsidRDefault="00A31740" w:rsidP="008F7249">
      <w:pPr>
        <w:spacing w:line="288" w:lineRule="auto"/>
        <w:jc w:val="center"/>
      </w:pPr>
    </w:p>
    <w:p w14:paraId="01240395" w14:textId="77777777" w:rsidR="009D61DE" w:rsidRPr="00D56C50" w:rsidRDefault="009D61DE" w:rsidP="00244776">
      <w:pPr>
        <w:spacing w:line="288" w:lineRule="auto"/>
        <w:jc w:val="center"/>
      </w:pPr>
      <w:r w:rsidRPr="00D56C50">
        <w:rPr>
          <w:noProof/>
        </w:rPr>
        <w:drawing>
          <wp:inline distT="0" distB="0" distL="0" distR="0" wp14:anchorId="1901065F" wp14:editId="575E17FE">
            <wp:extent cx="4837814" cy="2541181"/>
            <wp:effectExtent l="0" t="0" r="20320" b="12065"/>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AA1443" w14:textId="77777777" w:rsidR="00BA780D" w:rsidRPr="00D56C50" w:rsidRDefault="009152AF" w:rsidP="00BA780D">
      <w:pPr>
        <w:spacing w:line="288" w:lineRule="auto"/>
        <w:jc w:val="center"/>
        <w:rPr>
          <w:b/>
        </w:rPr>
      </w:pPr>
      <w:r w:rsidRPr="00D56C50">
        <w:rPr>
          <w:rFonts w:hint="eastAsia"/>
          <w:b/>
        </w:rPr>
        <w:t>图</w:t>
      </w:r>
      <w:r w:rsidR="00A31740" w:rsidRPr="00D56C50">
        <w:rPr>
          <w:rFonts w:hint="eastAsia"/>
          <w:b/>
        </w:rPr>
        <w:t>7</w:t>
      </w:r>
      <w:r w:rsidRPr="00D56C50">
        <w:rPr>
          <w:rFonts w:hint="eastAsia"/>
          <w:b/>
        </w:rPr>
        <w:t xml:space="preserve"> </w:t>
      </w:r>
      <w:r w:rsidRPr="00D56C50">
        <w:rPr>
          <w:rFonts w:hint="eastAsia"/>
          <w:b/>
        </w:rPr>
        <w:t>中国人均居民财富</w:t>
      </w:r>
    </w:p>
    <w:p w14:paraId="60D843D4" w14:textId="77777777" w:rsidR="00BA780D" w:rsidRPr="00D56C50" w:rsidRDefault="00BA780D" w:rsidP="00BA780D">
      <w:pPr>
        <w:spacing w:line="288" w:lineRule="auto"/>
        <w:ind w:firstLineChars="202" w:firstLine="424"/>
      </w:pPr>
      <w:r w:rsidRPr="00D56C50">
        <w:rPr>
          <w:rFonts w:hint="eastAsia"/>
        </w:rPr>
        <w:t>资料来源：中国社会科学院国家资产负债表研究中心（</w:t>
      </w:r>
      <w:r w:rsidRPr="00D56C50">
        <w:rPr>
          <w:rFonts w:hint="eastAsia"/>
        </w:rPr>
        <w:t>CNBS</w:t>
      </w:r>
      <w:r w:rsidRPr="00D56C50">
        <w:rPr>
          <w:rFonts w:hint="eastAsia"/>
        </w:rPr>
        <w:t>）；</w:t>
      </w:r>
      <w:r w:rsidRPr="00D56C50">
        <w:rPr>
          <w:rFonts w:hint="eastAsia"/>
        </w:rPr>
        <w:t>WIND</w:t>
      </w:r>
      <w:r w:rsidRPr="00D56C50">
        <w:rPr>
          <w:rFonts w:hint="eastAsia"/>
        </w:rPr>
        <w:t>数据库。作者计算。</w:t>
      </w:r>
    </w:p>
    <w:p w14:paraId="63AEFA20" w14:textId="77777777" w:rsidR="0051183E" w:rsidRPr="00D56C50" w:rsidRDefault="0070195C"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（二）</w:t>
      </w:r>
      <w:r w:rsidR="009D61DE" w:rsidRPr="00D56C50">
        <w:rPr>
          <w:rFonts w:asciiTheme="minorEastAsia" w:eastAsiaTheme="minorEastAsia" w:hAnsiTheme="minorEastAsia" w:hint="eastAsia"/>
          <w:sz w:val="21"/>
          <w:szCs w:val="21"/>
        </w:rPr>
        <w:t>收入与财富的分化</w:t>
      </w:r>
    </w:p>
    <w:p w14:paraId="4ABE7CDC" w14:textId="77777777" w:rsidR="00F334C6" w:rsidRPr="00D56C50" w:rsidRDefault="00F334C6" w:rsidP="00F334C6">
      <w:pPr>
        <w:spacing w:line="312" w:lineRule="auto"/>
        <w:ind w:firstLine="420"/>
        <w:rPr>
          <w:rFonts w:asciiTheme="minorEastAsia" w:hAnsiTheme="minorEastAsia"/>
          <w:szCs w:val="21"/>
        </w:rPr>
      </w:pPr>
      <w:r w:rsidRPr="00D56C50">
        <w:rPr>
          <w:rFonts w:asciiTheme="minorEastAsia" w:hAnsiTheme="minorEastAsia" w:cs="Arial" w:hint="eastAsia"/>
          <w:szCs w:val="21"/>
          <w:shd w:val="clear" w:color="auto" w:fill="FFFFFF"/>
        </w:rPr>
        <w:t>国民收入与财富的快速增长，彻底改变了中国贫穷落后的面貌。而2020年全面建成小康完成第一个百年目标，也彰显出包容性发展与共同富裕所取得的成就。</w:t>
      </w:r>
      <w:r w:rsidRPr="00D56C50">
        <w:rPr>
          <w:rFonts w:asciiTheme="minorEastAsia" w:hAnsiTheme="minorEastAsia" w:cs="Arial"/>
          <w:szCs w:val="21"/>
          <w:shd w:val="clear" w:color="auto" w:fill="FFFFFF"/>
        </w:rPr>
        <w:t>党的十八大以来，党中央把逐步实现全体人民共同富裕摆在更加重要的位置上，采取有力措施保障和改善民生，打赢脱贫攻坚战，全面建成小康社会，为促进共同富裕创造了良好条件。</w:t>
      </w:r>
      <w:r w:rsidRPr="00D56C50">
        <w:rPr>
          <w:rFonts w:asciiTheme="minorEastAsia" w:hAnsiTheme="minorEastAsia" w:cs="Arial" w:hint="eastAsia"/>
          <w:szCs w:val="21"/>
          <w:shd w:val="clear" w:color="auto" w:fill="FFFFFF"/>
        </w:rPr>
        <w:t>不过，总体上，</w:t>
      </w:r>
      <w:r w:rsidRPr="00D56C50">
        <w:rPr>
          <w:rFonts w:asciiTheme="minorEastAsia" w:hAnsiTheme="minorEastAsia" w:hint="eastAsia"/>
          <w:szCs w:val="21"/>
        </w:rPr>
        <w:t>中国的收入与财富分配差距仍然较大，实现共同富裕任重道远。</w:t>
      </w:r>
    </w:p>
    <w:p w14:paraId="08C8D898" w14:textId="77777777" w:rsidR="009D61DE" w:rsidRPr="00D56C50" w:rsidRDefault="009D61DE" w:rsidP="002B7F04">
      <w:pPr>
        <w:spacing w:line="288" w:lineRule="auto"/>
        <w:ind w:firstLine="420"/>
        <w:rPr>
          <w:rFonts w:asciiTheme="minorEastAsia" w:hAnsiTheme="minorEastAsia"/>
          <w:szCs w:val="21"/>
        </w:rPr>
      </w:pPr>
      <w:r w:rsidRPr="00D56C50">
        <w:rPr>
          <w:rFonts w:asciiTheme="minorEastAsia" w:hAnsiTheme="minorEastAsia" w:hint="eastAsia"/>
          <w:szCs w:val="21"/>
        </w:rPr>
        <w:t>收入分配方面。国家统计局的数据显示：进入新世纪以来，中国收入分配基尼系数一直处于上升态势，2008年达到峰值0.491；2008-2015年处于回落中，表明收入差距有所收敛；但近年来基尼系数又有所回升，2019年为0.465，仍高于0.4的国际警戒线。</w:t>
      </w:r>
    </w:p>
    <w:p w14:paraId="1C29FC70" w14:textId="77777777" w:rsidR="0051183E" w:rsidRPr="00D56C50" w:rsidRDefault="009D61DE" w:rsidP="002B7F04">
      <w:pPr>
        <w:spacing w:line="288" w:lineRule="auto"/>
        <w:ind w:firstLine="420"/>
        <w:rPr>
          <w:rFonts w:asciiTheme="minorEastAsia" w:hAnsiTheme="minorEastAsia"/>
          <w:szCs w:val="21"/>
        </w:rPr>
      </w:pPr>
      <w:r w:rsidRPr="00D56C50">
        <w:rPr>
          <w:rFonts w:asciiTheme="minorEastAsia" w:hAnsiTheme="minorEastAsia" w:hint="eastAsia"/>
          <w:szCs w:val="21"/>
        </w:rPr>
        <w:t>财富分配方面。国际比较看，财富分配基尼系数高于收入分配基尼系数是常态。瑞士信贷《全球财富报告2021》</w:t>
      </w:r>
      <w:r w:rsidR="002B7F04" w:rsidRPr="00D56C50">
        <w:rPr>
          <w:rFonts w:asciiTheme="minorEastAsia" w:hAnsiTheme="minorEastAsia" w:hint="eastAsia"/>
          <w:szCs w:val="21"/>
        </w:rPr>
        <w:t>（</w:t>
      </w:r>
      <w:r w:rsidR="002B7F04" w:rsidRPr="00D56C50">
        <w:rPr>
          <w:rFonts w:ascii="仿宋" w:eastAsia="仿宋" w:hAnsi="仿宋"/>
          <w:szCs w:val="21"/>
        </w:rPr>
        <w:t>Credit Suisse</w:t>
      </w:r>
      <w:r w:rsidR="002B7F04" w:rsidRPr="00D56C50">
        <w:rPr>
          <w:rFonts w:ascii="仿宋" w:eastAsia="仿宋" w:hAnsi="仿宋" w:hint="eastAsia"/>
          <w:szCs w:val="21"/>
        </w:rPr>
        <w:t xml:space="preserve"> </w:t>
      </w:r>
      <w:r w:rsidR="002B7F04" w:rsidRPr="00D56C50">
        <w:rPr>
          <w:rFonts w:ascii="仿宋" w:eastAsia="仿宋" w:hAnsi="仿宋"/>
          <w:szCs w:val="21"/>
        </w:rPr>
        <w:t>Research Institute</w:t>
      </w:r>
      <w:r w:rsidR="002B7F04" w:rsidRPr="00D56C50">
        <w:rPr>
          <w:rFonts w:ascii="仿宋" w:eastAsia="仿宋" w:hAnsi="仿宋" w:hint="eastAsia"/>
          <w:szCs w:val="21"/>
        </w:rPr>
        <w:t xml:space="preserve">, </w:t>
      </w:r>
      <w:r w:rsidR="002B7F04" w:rsidRPr="00D56C50">
        <w:rPr>
          <w:rFonts w:asciiTheme="minorEastAsia" w:hAnsiTheme="minorEastAsia"/>
          <w:szCs w:val="21"/>
        </w:rPr>
        <w:t>2021</w:t>
      </w:r>
      <w:r w:rsidR="002B7F04" w:rsidRPr="00D56C50">
        <w:rPr>
          <w:rFonts w:asciiTheme="minorEastAsia" w:hAnsiTheme="minorEastAsia" w:hint="eastAsia"/>
          <w:szCs w:val="21"/>
        </w:rPr>
        <w:t>）</w:t>
      </w:r>
      <w:r w:rsidRPr="00D56C50">
        <w:rPr>
          <w:rFonts w:asciiTheme="minorEastAsia" w:hAnsiTheme="minorEastAsia" w:hint="eastAsia"/>
          <w:szCs w:val="21"/>
        </w:rPr>
        <w:t>显示：</w:t>
      </w:r>
      <w:r w:rsidRPr="00D56C50">
        <w:rPr>
          <w:rFonts w:asciiTheme="minorEastAsia" w:hAnsiTheme="minorEastAsia"/>
          <w:szCs w:val="21"/>
        </w:rPr>
        <w:t>中国财富基尼系数从2000年的0.599持续上升至2015年的0.711，随后有所缓和，降至2019年的0.697，但2020年疫情冲击下再度上升至0.704</w:t>
      </w:r>
      <w:r w:rsidRPr="00D56C50">
        <w:rPr>
          <w:rFonts w:asciiTheme="minorEastAsia" w:hAnsiTheme="minorEastAsia" w:hint="eastAsia"/>
          <w:szCs w:val="21"/>
        </w:rPr>
        <w:t>。</w:t>
      </w:r>
      <w:r w:rsidR="002B7F04" w:rsidRPr="00D56C50">
        <w:rPr>
          <w:rFonts w:asciiTheme="minorEastAsia" w:hAnsiTheme="minorEastAsia" w:hint="eastAsia"/>
          <w:szCs w:val="21"/>
        </w:rPr>
        <w:t>罗楚亮、陈国强（2021）</w:t>
      </w:r>
      <w:r w:rsidRPr="00D56C50">
        <w:rPr>
          <w:rFonts w:asciiTheme="minorEastAsia" w:hAnsiTheme="minorEastAsia" w:hint="eastAsia"/>
          <w:szCs w:val="21"/>
        </w:rPr>
        <w:t>基于住户调查数据（CHIP2013和CEPS2012、CFPS2016），计算出居民财产基尼系数分别高达0.619和0.736。他们进一步通过富豪榜数据补充部分缺失的高收入人群，所得的财产基尼系数进一步提高，甚至达到0.8左右。</w:t>
      </w:r>
      <w:r w:rsidR="002B7F04" w:rsidRPr="00D56C50">
        <w:rPr>
          <w:rFonts w:asciiTheme="minorEastAsia" w:hAnsiTheme="minorEastAsia" w:hint="eastAsia"/>
          <w:szCs w:val="21"/>
        </w:rPr>
        <w:t>Wan等（2021）</w:t>
      </w:r>
      <w:r w:rsidRPr="00D56C50">
        <w:rPr>
          <w:rFonts w:asciiTheme="minorEastAsia" w:hAnsiTheme="minorEastAsia" w:hint="eastAsia"/>
          <w:szCs w:val="21"/>
        </w:rPr>
        <w:t>通过四轮中国家庭金融调查（CHFS）发现：在中国</w:t>
      </w:r>
      <w:r w:rsidR="001006E1" w:rsidRPr="00D56C50">
        <w:rPr>
          <w:rFonts w:asciiTheme="minorEastAsia" w:hAnsiTheme="minorEastAsia" w:hint="eastAsia"/>
          <w:szCs w:val="21"/>
        </w:rPr>
        <w:t>居民</w:t>
      </w:r>
      <w:r w:rsidRPr="00D56C50">
        <w:rPr>
          <w:rFonts w:asciiTheme="minorEastAsia" w:hAnsiTheme="minorEastAsia" w:hint="eastAsia"/>
          <w:szCs w:val="21"/>
        </w:rPr>
        <w:t>财富差距扩大的驱动因素中，房产差距是最大的解释因子，能够解释财富不平等的</w:t>
      </w:r>
      <w:r w:rsidR="001006E1" w:rsidRPr="00D56C50">
        <w:rPr>
          <w:rFonts w:asciiTheme="minorEastAsia" w:hAnsiTheme="minorEastAsia" w:hint="eastAsia"/>
          <w:szCs w:val="21"/>
        </w:rPr>
        <w:t>七成左右</w:t>
      </w:r>
      <w:r w:rsidRPr="00D56C50">
        <w:rPr>
          <w:rFonts w:asciiTheme="minorEastAsia" w:hAnsiTheme="minorEastAsia" w:hint="eastAsia"/>
          <w:szCs w:val="21"/>
        </w:rPr>
        <w:t>；并且随着时间推移，房产差距对</w:t>
      </w:r>
      <w:r w:rsidR="001006E1" w:rsidRPr="00D56C50">
        <w:rPr>
          <w:rFonts w:asciiTheme="minorEastAsia" w:hAnsiTheme="minorEastAsia" w:hint="eastAsia"/>
          <w:szCs w:val="21"/>
        </w:rPr>
        <w:t>居民</w:t>
      </w:r>
      <w:r w:rsidRPr="00D56C50">
        <w:rPr>
          <w:rFonts w:asciiTheme="minorEastAsia" w:hAnsiTheme="minorEastAsia" w:hint="eastAsia"/>
          <w:szCs w:val="21"/>
        </w:rPr>
        <w:t>财富不平等的解释力还在增大。</w:t>
      </w:r>
      <w:r w:rsidR="001006E1" w:rsidRPr="00D56C50">
        <w:rPr>
          <w:rFonts w:asciiTheme="minorEastAsia" w:hAnsiTheme="minorEastAsia" w:hint="eastAsia"/>
          <w:szCs w:val="21"/>
        </w:rPr>
        <w:t>就全国来说，2011年住房对</w:t>
      </w:r>
      <w:r w:rsidR="001006E1" w:rsidRPr="00D56C50">
        <w:rPr>
          <w:rFonts w:asciiTheme="minorEastAsia" w:hAnsiTheme="minorEastAsia" w:hint="eastAsia"/>
          <w:szCs w:val="21"/>
        </w:rPr>
        <w:lastRenderedPageBreak/>
        <w:t>居民财富不平等的贡献为71.86%，2017年上升到75.49%；城镇地区这一比例从2011年的74%上升到2017年的76.57%，农村地区这一比例从58.48%上升至64.09%。</w:t>
      </w:r>
      <w:r w:rsidRPr="00D56C50">
        <w:rPr>
          <w:rFonts w:asciiTheme="minorEastAsia" w:hAnsiTheme="minorEastAsia" w:hint="eastAsia"/>
          <w:szCs w:val="21"/>
        </w:rPr>
        <w:t>此外，基于</w:t>
      </w:r>
      <w:r w:rsidRPr="00D56C50">
        <w:rPr>
          <w:rFonts w:asciiTheme="minorEastAsia" w:hAnsiTheme="minorEastAsia"/>
          <w:szCs w:val="21"/>
        </w:rPr>
        <w:t>“世界不平等数据库”(World Inequality Database)提供</w:t>
      </w:r>
      <w:r w:rsidRPr="00D56C50">
        <w:rPr>
          <w:rFonts w:asciiTheme="minorEastAsia" w:hAnsiTheme="minorEastAsia" w:hint="eastAsia"/>
          <w:szCs w:val="21"/>
        </w:rPr>
        <w:t>的</w:t>
      </w:r>
      <w:r w:rsidRPr="00D56C50">
        <w:rPr>
          <w:rFonts w:asciiTheme="minorEastAsia" w:hAnsiTheme="minorEastAsia"/>
          <w:szCs w:val="21"/>
        </w:rPr>
        <w:t>关于中国等五大经济体顶端10%人群财富分布数据</w:t>
      </w:r>
      <w:r w:rsidRPr="00D56C50">
        <w:rPr>
          <w:rFonts w:asciiTheme="minorEastAsia" w:hAnsiTheme="minorEastAsia" w:hint="eastAsia"/>
          <w:szCs w:val="21"/>
        </w:rPr>
        <w:t>，</w:t>
      </w:r>
      <w:r w:rsidRPr="00D56C50">
        <w:rPr>
          <w:rFonts w:asciiTheme="minorEastAsia" w:hAnsiTheme="minorEastAsia"/>
          <w:szCs w:val="21"/>
        </w:rPr>
        <w:t>2000年，中国这一富裕人群的财富尚不足各类人群合计的50%，低于同期美国、法国、英国、俄罗斯等国。</w:t>
      </w:r>
      <w:r w:rsidRPr="00D56C50">
        <w:rPr>
          <w:rFonts w:asciiTheme="minorEastAsia" w:hAnsiTheme="minorEastAsia" w:hint="eastAsia"/>
          <w:szCs w:val="21"/>
        </w:rPr>
        <w:t>但</w:t>
      </w:r>
      <w:r w:rsidRPr="00D56C50">
        <w:rPr>
          <w:rFonts w:asciiTheme="minorEastAsia" w:hAnsiTheme="minorEastAsia"/>
          <w:szCs w:val="21"/>
        </w:rPr>
        <w:t>在此之后，中国的财富分配从一个相对较为平等的水平快速上升，并已经明显超过英、法等较为侧重社会公平与福利的欧洲国家，接近俄罗斯、美国的水平。</w:t>
      </w:r>
      <w:r w:rsidRPr="00D56C50">
        <w:rPr>
          <w:rFonts w:asciiTheme="minorEastAsia" w:hAnsiTheme="minorEastAsia" w:hint="eastAsia"/>
          <w:szCs w:val="21"/>
        </w:rPr>
        <w:t>中国顶端10%人群财富拥有量占居民财富总量的比重，由2000年到不到0.478上升到2011年的0.667；2011年之后趋于基本稳定。</w:t>
      </w:r>
      <w:r w:rsidRPr="00D56C50">
        <w:rPr>
          <w:rStyle w:val="a3"/>
          <w:rFonts w:asciiTheme="minorEastAsia" w:hAnsiTheme="minorEastAsia"/>
          <w:szCs w:val="21"/>
        </w:rPr>
        <w:footnoteReference w:id="6"/>
      </w:r>
    </w:p>
    <w:p w14:paraId="11C61787" w14:textId="77777777" w:rsidR="009D61DE" w:rsidRPr="00D56C50" w:rsidRDefault="005F24F7"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（三）金融与不平等：金融压抑与金融赶超的双重影响</w:t>
      </w:r>
    </w:p>
    <w:p w14:paraId="77814A6A" w14:textId="77777777" w:rsidR="004D20AC" w:rsidRPr="00D56C50" w:rsidRDefault="004D20AC" w:rsidP="002B7F04">
      <w:pPr>
        <w:spacing w:line="288" w:lineRule="auto"/>
        <w:ind w:firstLineChars="202" w:firstLine="424"/>
        <w:rPr>
          <w:b/>
        </w:rPr>
      </w:pPr>
      <w:r w:rsidRPr="00D56C50">
        <w:rPr>
          <w:rFonts w:hint="eastAsia"/>
        </w:rPr>
        <w:t>中国金融发展的逻辑</w:t>
      </w:r>
      <w:r w:rsidR="00161C35" w:rsidRPr="00D56C50">
        <w:rPr>
          <w:rFonts w:hint="eastAsia"/>
        </w:rPr>
        <w:t>内嵌于</w:t>
      </w:r>
      <w:r w:rsidRPr="00D56C50">
        <w:rPr>
          <w:rFonts w:hint="eastAsia"/>
        </w:rPr>
        <w:t>中国经济发展的大逻辑</w:t>
      </w:r>
      <w:r w:rsidR="00161C35" w:rsidRPr="00D56C50">
        <w:rPr>
          <w:rFonts w:hint="eastAsia"/>
        </w:rPr>
        <w:t>之中，后者的核心在于</w:t>
      </w:r>
      <w:r w:rsidRPr="00D56C50">
        <w:rPr>
          <w:rFonts w:hint="eastAsia"/>
        </w:rPr>
        <w:t>经济赶超</w:t>
      </w:r>
      <w:r w:rsidR="00161C35" w:rsidRPr="00D56C50">
        <w:rPr>
          <w:rFonts w:hint="eastAsia"/>
        </w:rPr>
        <w:t>。</w:t>
      </w:r>
      <w:r w:rsidRPr="00D56C50">
        <w:rPr>
          <w:rFonts w:hint="eastAsia"/>
        </w:rPr>
        <w:t>实现赶超要完成转型与发展的双重任务。</w:t>
      </w:r>
      <w:r w:rsidR="00030A69" w:rsidRPr="00D56C50">
        <w:rPr>
          <w:rFonts w:hint="eastAsia"/>
        </w:rPr>
        <w:t>正是在“双重任务”的框架中，形成了</w:t>
      </w:r>
      <w:r w:rsidRPr="00D56C50">
        <w:rPr>
          <w:rFonts w:hint="eastAsia"/>
        </w:rPr>
        <w:t>一系列</w:t>
      </w:r>
      <w:r w:rsidR="00030A69" w:rsidRPr="00D56C50">
        <w:rPr>
          <w:rFonts w:hint="eastAsia"/>
        </w:rPr>
        <w:t>具有中国特色的金融制度与政策安排</w:t>
      </w:r>
      <w:r w:rsidRPr="00D56C50">
        <w:rPr>
          <w:rFonts w:hint="eastAsia"/>
        </w:rPr>
        <w:t>，</w:t>
      </w:r>
      <w:r w:rsidR="00030A69" w:rsidRPr="00D56C50">
        <w:rPr>
          <w:rFonts w:hint="eastAsia"/>
        </w:rPr>
        <w:t>导致</w:t>
      </w:r>
      <w:r w:rsidRPr="00D56C50">
        <w:rPr>
          <w:rFonts w:hint="eastAsia"/>
        </w:rPr>
        <w:t>金融压抑与金融赶超</w:t>
      </w:r>
      <w:r w:rsidR="00030A69" w:rsidRPr="00D56C50">
        <w:rPr>
          <w:rFonts w:hint="eastAsia"/>
        </w:rPr>
        <w:t>的</w:t>
      </w:r>
      <w:r w:rsidRPr="00D56C50">
        <w:rPr>
          <w:rFonts w:hint="eastAsia"/>
        </w:rPr>
        <w:t>并存。</w:t>
      </w:r>
    </w:p>
    <w:p w14:paraId="3610C370" w14:textId="77777777" w:rsidR="004D20AC" w:rsidRPr="00D56C50" w:rsidRDefault="004D20AC" w:rsidP="002B7F04">
      <w:pPr>
        <w:spacing w:line="288" w:lineRule="auto"/>
        <w:ind w:firstLineChars="202" w:firstLine="424"/>
      </w:pPr>
      <w:r w:rsidRPr="00D56C50">
        <w:t>“</w:t>
      </w:r>
      <w:r w:rsidRPr="00D56C50">
        <w:t>金融</w:t>
      </w:r>
      <w:r w:rsidRPr="00D56C50">
        <w:rPr>
          <w:rFonts w:hint="eastAsia"/>
        </w:rPr>
        <w:t>压</w:t>
      </w:r>
      <w:r w:rsidRPr="00D56C50">
        <w:t>抑</w:t>
      </w:r>
      <w:r w:rsidRPr="00D56C50">
        <w:t>”</w:t>
      </w:r>
      <w:r w:rsidRPr="00D56C50">
        <w:t>主要是指政府对利率、汇率、资金配置、大型金融机构和跨境资本流动</w:t>
      </w:r>
      <w:r w:rsidRPr="00D56C50">
        <w:rPr>
          <w:rFonts w:hint="eastAsia"/>
        </w:rPr>
        <w:t>等</w:t>
      </w:r>
      <w:r w:rsidRPr="00D56C50">
        <w:t>有</w:t>
      </w:r>
      <w:r w:rsidRPr="00D56C50">
        <w:rPr>
          <w:rFonts w:hint="eastAsia"/>
        </w:rPr>
        <w:t>着不同</w:t>
      </w:r>
      <w:r w:rsidRPr="00D56C50">
        <w:t>形式的干预。</w:t>
      </w:r>
      <w:r w:rsidRPr="00D56C50">
        <w:rPr>
          <w:rFonts w:hint="eastAsia"/>
        </w:rPr>
        <w:t>从新古典经济学的角度看，</w:t>
      </w:r>
      <w:r w:rsidRPr="00D56C50">
        <w:t>金融</w:t>
      </w:r>
      <w:r w:rsidRPr="00D56C50">
        <w:rPr>
          <w:rFonts w:hint="eastAsia"/>
        </w:rPr>
        <w:t>压</w:t>
      </w:r>
      <w:r w:rsidRPr="00D56C50">
        <w:t>抑</w:t>
      </w:r>
      <w:r w:rsidRPr="00D56C50">
        <w:rPr>
          <w:rFonts w:hint="eastAsia"/>
        </w:rPr>
        <w:t>是一种扭曲，会使资源配置偏离最优状态。比如会扭曲风险定价，</w:t>
      </w:r>
      <w:r w:rsidRPr="00D56C50">
        <w:t>降低金融资源配置效率，遏制金融发展，</w:t>
      </w:r>
      <w:r w:rsidRPr="00D56C50">
        <w:rPr>
          <w:rFonts w:hint="eastAsia"/>
        </w:rPr>
        <w:t>从而不利于</w:t>
      </w:r>
      <w:r w:rsidRPr="00D56C50">
        <w:t>经济增长与金融稳定。</w:t>
      </w:r>
      <w:r w:rsidRPr="00D56C50">
        <w:rPr>
          <w:rFonts w:hint="eastAsia"/>
        </w:rPr>
        <w:t>不过，如果将金融压抑置于中国经济赶超的大背景下，就会获得新的认识。研究表明，在金融市场还不成熟、工业化资金需求十分旺盛的早期发展阶段，适度的金融压抑在有效动员资源、加快经济增长方面发挥了重要作用，因而称得上是一种“良性扭曲”</w:t>
      </w:r>
      <w:r w:rsidR="00161C35" w:rsidRPr="00D56C50">
        <w:rPr>
          <w:rFonts w:hint="eastAsia"/>
        </w:rPr>
        <w:t>（张晓晶等</w:t>
      </w:r>
      <w:r w:rsidR="002B7F04" w:rsidRPr="00D56C50">
        <w:rPr>
          <w:rFonts w:hint="eastAsia"/>
        </w:rPr>
        <w:t>，</w:t>
      </w:r>
      <w:r w:rsidR="00030A69" w:rsidRPr="00D56C50">
        <w:rPr>
          <w:rFonts w:hint="eastAsia"/>
        </w:rPr>
        <w:t>2018</w:t>
      </w:r>
      <w:r w:rsidR="00161C35" w:rsidRPr="00D56C50">
        <w:rPr>
          <w:rFonts w:hint="eastAsia"/>
        </w:rPr>
        <w:t>）</w:t>
      </w:r>
      <w:r w:rsidRPr="00D56C50">
        <w:rPr>
          <w:rFonts w:hint="eastAsia"/>
        </w:rPr>
        <w:t>。不过，随着中国逐步迈入高收入经济体，逐步取消金融压抑、纠正金融扭曲是金融供给侧结构性改革的重要任务。</w:t>
      </w:r>
    </w:p>
    <w:p w14:paraId="3C266E23" w14:textId="77777777" w:rsidR="00030A69" w:rsidRPr="00D56C50" w:rsidRDefault="00C33694" w:rsidP="002B7F04">
      <w:pPr>
        <w:spacing w:line="288" w:lineRule="auto"/>
        <w:ind w:firstLineChars="202" w:firstLine="424"/>
      </w:pPr>
      <w:r w:rsidRPr="00D56C50">
        <w:rPr>
          <w:rFonts w:hint="eastAsia"/>
        </w:rPr>
        <w:t>“</w:t>
      </w:r>
      <w:r w:rsidR="004D20AC" w:rsidRPr="00D56C50">
        <w:rPr>
          <w:rFonts w:hint="eastAsia"/>
        </w:rPr>
        <w:t>金融赶超</w:t>
      </w:r>
      <w:r w:rsidRPr="00D56C50">
        <w:rPr>
          <w:rFonts w:hint="eastAsia"/>
        </w:rPr>
        <w:t>”</w:t>
      </w:r>
      <w:r w:rsidR="00030A69" w:rsidRPr="00D56C50">
        <w:rPr>
          <w:rFonts w:hint="eastAsia"/>
        </w:rPr>
        <w:t>是指金融业规模的</w:t>
      </w:r>
      <w:r w:rsidR="002B7F04" w:rsidRPr="00D56C50">
        <w:rPr>
          <w:rFonts w:hint="eastAsia"/>
        </w:rPr>
        <w:t>快速扩张</w:t>
      </w:r>
      <w:r w:rsidR="00030A69" w:rsidRPr="00D56C50">
        <w:rPr>
          <w:rFonts w:hint="eastAsia"/>
        </w:rPr>
        <w:t>以及金融科技的</w:t>
      </w:r>
      <w:r w:rsidR="002B7F04" w:rsidRPr="00D56C50">
        <w:rPr>
          <w:rFonts w:hint="eastAsia"/>
        </w:rPr>
        <w:t>“弯道超车”</w:t>
      </w:r>
      <w:r w:rsidR="00030A69" w:rsidRPr="00D56C50">
        <w:rPr>
          <w:rFonts w:hint="eastAsia"/>
        </w:rPr>
        <w:t>。</w:t>
      </w:r>
      <w:r w:rsidRPr="00D56C50">
        <w:rPr>
          <w:rFonts w:hint="eastAsia"/>
        </w:rPr>
        <w:t>之所以被界定为赶超，是强调金融相关指标可能超过了与中国的发展阶段（比如以人均国民收入来衡量）相适应或相匹配的水平。</w:t>
      </w:r>
      <w:r w:rsidR="00030A69" w:rsidRPr="00D56C50">
        <w:rPr>
          <w:rFonts w:hint="eastAsia"/>
        </w:rPr>
        <w:t>一般</w:t>
      </w:r>
      <w:r w:rsidRPr="00D56C50">
        <w:rPr>
          <w:rFonts w:hint="eastAsia"/>
        </w:rPr>
        <w:t>而言</w:t>
      </w:r>
      <w:r w:rsidR="00030A69" w:rsidRPr="00D56C50">
        <w:rPr>
          <w:rFonts w:hint="eastAsia"/>
        </w:rPr>
        <w:t>，金融压抑会制约</w:t>
      </w:r>
      <w:r w:rsidRPr="00D56C50">
        <w:rPr>
          <w:rFonts w:hint="eastAsia"/>
        </w:rPr>
        <w:t>金融赶超；</w:t>
      </w:r>
      <w:r w:rsidR="002B7F04" w:rsidRPr="00D56C50">
        <w:rPr>
          <w:rFonts w:hint="eastAsia"/>
        </w:rPr>
        <w:t>但在中国，</w:t>
      </w:r>
      <w:r w:rsidR="004D20AC" w:rsidRPr="00D56C50">
        <w:rPr>
          <w:rFonts w:hint="eastAsia"/>
        </w:rPr>
        <w:t>金融压抑</w:t>
      </w:r>
      <w:r w:rsidR="002B7F04" w:rsidRPr="00D56C50">
        <w:rPr>
          <w:rFonts w:hint="eastAsia"/>
        </w:rPr>
        <w:t>却成了</w:t>
      </w:r>
      <w:r w:rsidR="004D20AC" w:rsidRPr="00D56C50">
        <w:rPr>
          <w:rFonts w:hint="eastAsia"/>
        </w:rPr>
        <w:t>金融赶超</w:t>
      </w:r>
      <w:r w:rsidR="002B7F04" w:rsidRPr="00D56C50">
        <w:rPr>
          <w:rFonts w:hint="eastAsia"/>
        </w:rPr>
        <w:t>的“催化剂”</w:t>
      </w:r>
      <w:r w:rsidR="004D20AC" w:rsidRPr="00D56C50">
        <w:rPr>
          <w:rFonts w:hint="eastAsia"/>
        </w:rPr>
        <w:t>。理解这一悖论的关键在于：金融压抑导致金融发展的单一化、政府主导，形成正规体系与非正规体系的“二元”；而金融创新特别是借助金融科技带来的创新，能够打破这样的二元格局，促进非正规体系（如影子银行）发展，同时推进新金融业态（如大科技公司进入金融业）发展。金融赶超可以看作是对于金融压抑</w:t>
      </w:r>
      <w:r w:rsidRPr="00D56C50">
        <w:rPr>
          <w:rFonts w:hint="eastAsia"/>
        </w:rPr>
        <w:t>以及各类金融规制的突破，这一赶超借助了两股力量：一个</w:t>
      </w:r>
      <w:r w:rsidR="004D20AC" w:rsidRPr="00D56C50">
        <w:rPr>
          <w:rFonts w:hint="eastAsia"/>
        </w:rPr>
        <w:t>是金融科技的发展，另一个是监管的包容。这是观察中国金融发展的新视角。</w:t>
      </w:r>
    </w:p>
    <w:p w14:paraId="295C1560" w14:textId="77777777" w:rsidR="004D20AC" w:rsidRPr="00D56C50" w:rsidRDefault="004D20AC" w:rsidP="002B7F04">
      <w:pPr>
        <w:pStyle w:val="aa"/>
        <w:numPr>
          <w:ilvl w:val="0"/>
          <w:numId w:val="18"/>
        </w:numPr>
        <w:spacing w:line="288" w:lineRule="auto"/>
        <w:ind w:firstLineChars="0"/>
        <w:rPr>
          <w:b/>
        </w:rPr>
      </w:pPr>
      <w:r w:rsidRPr="00D56C50">
        <w:rPr>
          <w:rFonts w:hint="eastAsia"/>
          <w:b/>
        </w:rPr>
        <w:t>金融压抑</w:t>
      </w:r>
      <w:r w:rsidR="00C33694" w:rsidRPr="00D56C50">
        <w:rPr>
          <w:rFonts w:hint="eastAsia"/>
          <w:b/>
        </w:rPr>
        <w:t>及其分配效应</w:t>
      </w:r>
    </w:p>
    <w:p w14:paraId="4CACC37D" w14:textId="77777777" w:rsidR="00030A69" w:rsidRPr="00D56C50" w:rsidRDefault="00030A69" w:rsidP="002B7F04">
      <w:pPr>
        <w:spacing w:line="288" w:lineRule="auto"/>
        <w:ind w:firstLineChars="201" w:firstLine="422"/>
        <w:rPr>
          <w:rFonts w:ascii="Helvetica" w:hAnsi="Helvetica"/>
          <w:szCs w:val="21"/>
          <w:shd w:val="clear" w:color="auto" w:fill="FFFFFF"/>
        </w:rPr>
      </w:pPr>
      <w:r w:rsidRPr="00D56C50">
        <w:rPr>
          <w:rFonts w:ascii="Helvetica" w:hAnsi="Helvetica" w:hint="eastAsia"/>
          <w:szCs w:val="21"/>
          <w:shd w:val="clear" w:color="auto" w:fill="FFFFFF"/>
        </w:rPr>
        <w:t>从发展型政府角度，金融压抑是为了实现经济赶超的需要，因此更关注增长目标而忽略由此带来的分配效应。</w:t>
      </w:r>
    </w:p>
    <w:p w14:paraId="1AD4746B" w14:textId="77777777" w:rsidR="00030A69" w:rsidRPr="00D56C50" w:rsidRDefault="00030A69" w:rsidP="002B7F04">
      <w:pPr>
        <w:spacing w:line="288" w:lineRule="auto"/>
        <w:ind w:firstLineChars="201" w:firstLine="422"/>
        <w:rPr>
          <w:rFonts w:ascii="Helvetica" w:hAnsi="Helvetica"/>
          <w:szCs w:val="21"/>
          <w:shd w:val="clear" w:color="auto" w:fill="FFFFFF"/>
        </w:rPr>
      </w:pPr>
      <w:r w:rsidRPr="00D56C50">
        <w:rPr>
          <w:rFonts w:ascii="Helvetica" w:hAnsi="Helvetica" w:hint="eastAsia"/>
          <w:szCs w:val="21"/>
          <w:shd w:val="clear" w:color="auto" w:fill="FFFFFF"/>
        </w:rPr>
        <w:t>发展中国家的金融抑制导致资金价格扭曲，进而产生信贷配给，个体和企业获得信贷的</w:t>
      </w:r>
      <w:r w:rsidR="0010635B" w:rsidRPr="00D56C50">
        <w:rPr>
          <w:rFonts w:ascii="Helvetica" w:hAnsi="Helvetica" w:hint="eastAsia"/>
          <w:szCs w:val="21"/>
          <w:shd w:val="clear" w:color="auto" w:fill="FFFFFF"/>
        </w:rPr>
        <w:lastRenderedPageBreak/>
        <w:t>成本与机会</w:t>
      </w:r>
      <w:r w:rsidRPr="00D56C50">
        <w:rPr>
          <w:rFonts w:ascii="Helvetica" w:hAnsi="Helvetica" w:hint="eastAsia"/>
          <w:szCs w:val="21"/>
          <w:shd w:val="clear" w:color="auto" w:fill="FFFFFF"/>
        </w:rPr>
        <w:t>不公平，融资渠道不畅，收入分配差距扩大。</w:t>
      </w:r>
      <w:r w:rsidR="0010635B" w:rsidRPr="00D56C50">
        <w:rPr>
          <w:rFonts w:ascii="Helvetica" w:hAnsi="Helvetica" w:hint="eastAsia"/>
          <w:szCs w:val="21"/>
          <w:shd w:val="clear" w:color="auto" w:fill="FFFFFF"/>
        </w:rPr>
        <w:t>从而导致</w:t>
      </w:r>
      <w:r w:rsidRPr="00D56C50">
        <w:rPr>
          <w:rFonts w:ascii="Helvetica" w:hAnsi="Helvetica" w:hint="eastAsia"/>
          <w:szCs w:val="21"/>
          <w:shd w:val="clear" w:color="auto" w:fill="FFFFFF"/>
        </w:rPr>
        <w:t>这样一种恶性循环：经济落后——金融发展落后——资金短缺——金融抑制——信贷配给——信贷获得不平等收入分配不均。中国存在明显的金融抑制现象，主要表现为利率、汇率的管制，信贷配给以及金融机构的设立限制等。政府通过金融管制在各部门之间直接分配租金，从而不可避免地影响整个社会的收入分配状况。实际贷</w:t>
      </w:r>
      <w:r w:rsidR="0010635B" w:rsidRPr="00D56C50">
        <w:rPr>
          <w:rFonts w:ascii="Helvetica" w:hAnsi="Helvetica" w:hint="eastAsia"/>
          <w:szCs w:val="21"/>
          <w:shd w:val="clear" w:color="auto" w:fill="FFFFFF"/>
        </w:rPr>
        <w:t>款利率低于均衡利率水平，信贷需求远远大于供给，信贷配给或者选择性信贷政策，使得一部分</w:t>
      </w:r>
      <w:r w:rsidR="002B7F04" w:rsidRPr="00D56C50">
        <w:rPr>
          <w:rFonts w:ascii="Helvetica" w:hAnsi="Helvetica" w:hint="eastAsia"/>
          <w:szCs w:val="21"/>
          <w:shd w:val="clear" w:color="auto" w:fill="FFFFFF"/>
        </w:rPr>
        <w:t>相对优势</w:t>
      </w:r>
      <w:r w:rsidR="0010635B" w:rsidRPr="00D56C50">
        <w:rPr>
          <w:rFonts w:ascii="Helvetica" w:hAnsi="Helvetica" w:hint="eastAsia"/>
          <w:szCs w:val="21"/>
          <w:shd w:val="clear" w:color="auto" w:fill="FFFFFF"/>
        </w:rPr>
        <w:t>群体（比如国有经济、重化工业、城市、大企业</w:t>
      </w:r>
      <w:r w:rsidR="002B7F04" w:rsidRPr="00D56C50">
        <w:rPr>
          <w:rFonts w:ascii="Helvetica" w:hAnsi="Helvetica" w:hint="eastAsia"/>
          <w:szCs w:val="21"/>
          <w:shd w:val="clear" w:color="auto" w:fill="FFFFFF"/>
        </w:rPr>
        <w:t>等</w:t>
      </w:r>
      <w:r w:rsidR="0010635B" w:rsidRPr="00D56C50">
        <w:rPr>
          <w:rFonts w:ascii="Helvetica" w:hAnsi="Helvetica" w:hint="eastAsia"/>
          <w:szCs w:val="21"/>
          <w:shd w:val="clear" w:color="auto" w:fill="FFFFFF"/>
        </w:rPr>
        <w:t>）获得更多更优质的金融服务，而使另一部分</w:t>
      </w:r>
      <w:r w:rsidR="002B7F04" w:rsidRPr="00D56C50">
        <w:rPr>
          <w:rFonts w:ascii="Helvetica" w:hAnsi="Helvetica" w:hint="eastAsia"/>
          <w:szCs w:val="21"/>
          <w:shd w:val="clear" w:color="auto" w:fill="FFFFFF"/>
        </w:rPr>
        <w:t>相对弱势</w:t>
      </w:r>
      <w:r w:rsidR="0010635B" w:rsidRPr="00D56C50">
        <w:rPr>
          <w:rFonts w:ascii="Helvetica" w:hAnsi="Helvetica" w:hint="eastAsia"/>
          <w:szCs w:val="21"/>
          <w:shd w:val="clear" w:color="auto" w:fill="FFFFFF"/>
        </w:rPr>
        <w:t>群体（如非国有经济，中小微企业，农村或偏远地区等）较难获得金融服务。信贷方面的歧视，无论是基于所有制、产业或是区域，都会产生不平衡与不协调的结果，导致不平等</w:t>
      </w:r>
      <w:r w:rsidRPr="00D56C50">
        <w:rPr>
          <w:rFonts w:ascii="Helvetica" w:hAnsi="Helvetica" w:hint="eastAsia"/>
          <w:szCs w:val="21"/>
          <w:shd w:val="clear" w:color="auto" w:fill="FFFFFF"/>
        </w:rPr>
        <w:t>加剧。</w:t>
      </w:r>
      <w:r w:rsidR="0010635B" w:rsidRPr="00D56C50">
        <w:rPr>
          <w:rFonts w:ascii="Helvetica" w:hAnsi="Helvetica"/>
          <w:szCs w:val="21"/>
          <w:shd w:val="clear" w:color="auto" w:fill="FFFFFF"/>
        </w:rPr>
        <w:t xml:space="preserve"> </w:t>
      </w:r>
    </w:p>
    <w:p w14:paraId="6382F6D3" w14:textId="77777777" w:rsidR="004D20AC" w:rsidRPr="00D56C50" w:rsidRDefault="0010635B" w:rsidP="006229CA">
      <w:pPr>
        <w:spacing w:line="288" w:lineRule="auto"/>
        <w:ind w:firstLineChars="202" w:firstLine="424"/>
      </w:pPr>
      <w:r w:rsidRPr="00D56C50">
        <w:rPr>
          <w:rFonts w:hint="eastAsia"/>
        </w:rPr>
        <w:t>进一步而言，金融压抑政策以及相应的制度与政策安排，也造成对居民财产性收入的侵蚀。</w:t>
      </w:r>
      <w:r w:rsidR="00030A69" w:rsidRPr="00D56C50">
        <w:rPr>
          <w:rFonts w:asciiTheme="minorEastAsia" w:eastAsiaTheme="minorEastAsia" w:hAnsiTheme="minorEastAsia" w:hint="eastAsia"/>
          <w:szCs w:val="21"/>
        </w:rPr>
        <w:t>金融抑制不仅表现在官方利率长期远远低于市场利率，而且表现在国有银行的垄断地位和门槛准入方面。对存款利率上限的管制，虽然一定程度上降低了国企的投资成本，也使得中国银行业的不良贷款率恢复至正常水平，但扭曲的资本价格除了误导投资外，也对居民收入产生了负面影响，使得居民储蓄存款收益大幅下降。金融抑制政策形成了一种居民补贴企业和地方政府的财富分配机制，居民财产性收入受到侵蚀，企业和地方融资平台却得到“补贴”。</w:t>
      </w:r>
    </w:p>
    <w:p w14:paraId="3243E135" w14:textId="77777777" w:rsidR="004D20AC" w:rsidRPr="00D56C50" w:rsidRDefault="004D20AC" w:rsidP="002B7F04">
      <w:pPr>
        <w:pStyle w:val="aa"/>
        <w:numPr>
          <w:ilvl w:val="0"/>
          <w:numId w:val="18"/>
        </w:numPr>
        <w:spacing w:line="288" w:lineRule="auto"/>
        <w:ind w:firstLineChars="0"/>
        <w:rPr>
          <w:b/>
        </w:rPr>
      </w:pPr>
      <w:r w:rsidRPr="00D56C50">
        <w:rPr>
          <w:rFonts w:hint="eastAsia"/>
          <w:b/>
        </w:rPr>
        <w:t>金融赶超</w:t>
      </w:r>
      <w:r w:rsidR="00C33694" w:rsidRPr="00D56C50">
        <w:rPr>
          <w:rFonts w:hint="eastAsia"/>
          <w:b/>
        </w:rPr>
        <w:t>及其分配效应</w:t>
      </w:r>
    </w:p>
    <w:p w14:paraId="71237EF3" w14:textId="77777777" w:rsidR="0010635B" w:rsidRPr="00D56C50" w:rsidRDefault="0010635B" w:rsidP="002B7F04">
      <w:pPr>
        <w:spacing w:line="288" w:lineRule="auto"/>
        <w:ind w:firstLineChars="202" w:firstLine="424"/>
      </w:pPr>
      <w:r w:rsidRPr="00D56C50">
        <w:t>中国的金融赶超</w:t>
      </w:r>
      <w:r w:rsidR="00C33694" w:rsidRPr="00D56C50">
        <w:rPr>
          <w:rFonts w:hint="eastAsia"/>
        </w:rPr>
        <w:t>主要（但不限于）</w:t>
      </w:r>
      <w:r w:rsidR="007E4F8A" w:rsidRPr="00D56C50">
        <w:rPr>
          <w:rFonts w:hint="eastAsia"/>
        </w:rPr>
        <w:t>表</w:t>
      </w:r>
      <w:r w:rsidRPr="00D56C50">
        <w:t>现</w:t>
      </w:r>
      <w:r w:rsidR="00C33694" w:rsidRPr="00D56C50">
        <w:rPr>
          <w:rFonts w:hint="eastAsia"/>
        </w:rPr>
        <w:t>为</w:t>
      </w:r>
      <w:r w:rsidR="007E4F8A" w:rsidRPr="00D56C50">
        <w:rPr>
          <w:rFonts w:hint="eastAsia"/>
        </w:rPr>
        <w:t>：</w:t>
      </w:r>
      <w:r w:rsidR="007E4F8A" w:rsidRPr="00D56C50">
        <w:t>宏观杠杆率</w:t>
      </w:r>
      <w:r w:rsidRPr="00D56C50">
        <w:t>攀升，金融业增加值</w:t>
      </w:r>
      <w:r w:rsidR="007E4F8A" w:rsidRPr="00D56C50">
        <w:rPr>
          <w:rFonts w:hint="eastAsia"/>
        </w:rPr>
        <w:t>偏高</w:t>
      </w:r>
      <w:r w:rsidRPr="00D56C50">
        <w:t>，金融科技</w:t>
      </w:r>
      <w:r w:rsidR="007E4F8A" w:rsidRPr="00D56C50">
        <w:rPr>
          <w:rFonts w:hint="eastAsia"/>
        </w:rPr>
        <w:t>跻身全球第一方阵</w:t>
      </w:r>
      <w:r w:rsidRPr="00D56C50">
        <w:t>。这</w:t>
      </w:r>
      <w:r w:rsidR="007E4F8A" w:rsidRPr="00D56C50">
        <w:rPr>
          <w:rFonts w:hint="eastAsia"/>
        </w:rPr>
        <w:t>三</w:t>
      </w:r>
      <w:r w:rsidRPr="00D56C50">
        <w:t>个方面，都有着</w:t>
      </w:r>
      <w:r w:rsidR="00C33694" w:rsidRPr="00D56C50">
        <w:rPr>
          <w:rFonts w:hint="eastAsia"/>
        </w:rPr>
        <w:t>不同程度</w:t>
      </w:r>
      <w:r w:rsidRPr="00D56C50">
        <w:t>的分配效应。</w:t>
      </w:r>
    </w:p>
    <w:p w14:paraId="79CA222A" w14:textId="77777777" w:rsidR="00E963A8" w:rsidRPr="00D56C50" w:rsidRDefault="007E4F8A" w:rsidP="00C33694">
      <w:pPr>
        <w:spacing w:line="288" w:lineRule="auto"/>
        <w:ind w:firstLineChars="200" w:firstLine="420"/>
      </w:pPr>
      <w:r w:rsidRPr="00D56C50">
        <w:rPr>
          <w:rFonts w:hint="eastAsia"/>
        </w:rPr>
        <w:t>一</w:t>
      </w:r>
      <w:r w:rsidR="00D07568" w:rsidRPr="00D56C50">
        <w:rPr>
          <w:rFonts w:hint="eastAsia"/>
        </w:rPr>
        <w:t>是宏观</w:t>
      </w:r>
      <w:r w:rsidR="004D20AC" w:rsidRPr="00D56C50">
        <w:rPr>
          <w:rFonts w:hint="eastAsia"/>
        </w:rPr>
        <w:t>杠杆率的大幅攀升</w:t>
      </w:r>
      <w:r w:rsidR="00D07568" w:rsidRPr="00D56C50">
        <w:rPr>
          <w:rFonts w:hint="eastAsia"/>
        </w:rPr>
        <w:t>。</w:t>
      </w:r>
      <w:r w:rsidR="00E963A8" w:rsidRPr="00D56C50">
        <w:rPr>
          <w:rFonts w:hint="eastAsia"/>
        </w:rPr>
        <w:t>2008</w:t>
      </w:r>
      <w:r w:rsidR="00E963A8" w:rsidRPr="00D56C50">
        <w:rPr>
          <w:rFonts w:hint="eastAsia"/>
        </w:rPr>
        <w:t>年国际金融危机之前，</w:t>
      </w:r>
      <w:r w:rsidR="00F334C6" w:rsidRPr="00D56C50">
        <w:rPr>
          <w:rFonts w:hint="eastAsia"/>
        </w:rPr>
        <w:t>中国</w:t>
      </w:r>
      <w:r w:rsidR="00E963A8" w:rsidRPr="00D56C50">
        <w:rPr>
          <w:rFonts w:hint="eastAsia"/>
        </w:rPr>
        <w:t>的宏观杠杆率缓慢上升，在</w:t>
      </w:r>
      <w:r w:rsidR="00E963A8" w:rsidRPr="00D56C50">
        <w:rPr>
          <w:rFonts w:hint="eastAsia"/>
        </w:rPr>
        <w:t>2003-2008</w:t>
      </w:r>
      <w:r w:rsidR="00C33694" w:rsidRPr="00D56C50">
        <w:rPr>
          <w:rFonts w:hint="eastAsia"/>
        </w:rPr>
        <w:t>年期间还出现了自发去杠杆，杠杆率轻微下降。</w:t>
      </w:r>
      <w:r w:rsidR="00E963A8" w:rsidRPr="00D56C50">
        <w:rPr>
          <w:rFonts w:hint="eastAsia"/>
        </w:rPr>
        <w:t>2008</w:t>
      </w:r>
      <w:r w:rsidRPr="00D56C50">
        <w:rPr>
          <w:rFonts w:hint="eastAsia"/>
        </w:rPr>
        <w:t>年</w:t>
      </w:r>
      <w:r w:rsidR="00C33694" w:rsidRPr="00D56C50">
        <w:rPr>
          <w:rFonts w:hint="eastAsia"/>
        </w:rPr>
        <w:t>国际金融危机暴发之后，宏观杠杆率有一个急速攀升的过程。在中央去杠杆政策</w:t>
      </w:r>
      <w:r w:rsidRPr="00D56C50">
        <w:rPr>
          <w:rFonts w:hint="eastAsia"/>
        </w:rPr>
        <w:t>作用下，宏观杠杆率于</w:t>
      </w:r>
      <w:r w:rsidR="00E963A8" w:rsidRPr="00D56C50">
        <w:rPr>
          <w:rFonts w:hint="eastAsia"/>
        </w:rPr>
        <w:t>2017</w:t>
      </w:r>
      <w:r w:rsidR="00E963A8" w:rsidRPr="00D56C50">
        <w:rPr>
          <w:rFonts w:hint="eastAsia"/>
        </w:rPr>
        <w:t>年底达到</w:t>
      </w:r>
      <w:r w:rsidR="00E963A8" w:rsidRPr="00D56C50">
        <w:rPr>
          <w:rFonts w:hint="eastAsia"/>
        </w:rPr>
        <w:t>241.2%</w:t>
      </w:r>
      <w:r w:rsidR="00E963A8" w:rsidRPr="00D56C50">
        <w:rPr>
          <w:rFonts w:hint="eastAsia"/>
        </w:rPr>
        <w:t>的高点，</w:t>
      </w:r>
      <w:r w:rsidRPr="00D56C50">
        <w:rPr>
          <w:rFonts w:hint="eastAsia"/>
        </w:rPr>
        <w:t>之后保持相对平稳态势。但</w:t>
      </w:r>
      <w:r w:rsidR="00E963A8" w:rsidRPr="00D56C50">
        <w:rPr>
          <w:rFonts w:hint="eastAsia"/>
        </w:rPr>
        <w:t>随着新冠肺炎疫情的冲击，宏观杠杆率再度攀升，</w:t>
      </w:r>
      <w:r w:rsidR="00E963A8" w:rsidRPr="00D56C50">
        <w:rPr>
          <w:rFonts w:hint="eastAsia"/>
        </w:rPr>
        <w:t>2020</w:t>
      </w:r>
      <w:r w:rsidR="00E963A8" w:rsidRPr="00D56C50">
        <w:rPr>
          <w:rFonts w:hint="eastAsia"/>
        </w:rPr>
        <w:t>年底达到</w:t>
      </w:r>
      <w:r w:rsidR="00E963A8" w:rsidRPr="00D56C50">
        <w:rPr>
          <w:rFonts w:hint="eastAsia"/>
        </w:rPr>
        <w:t>270.1%</w:t>
      </w:r>
      <w:r w:rsidR="00E963A8" w:rsidRPr="00D56C50">
        <w:rPr>
          <w:rFonts w:hint="eastAsia"/>
        </w:rPr>
        <w:t>的新高</w:t>
      </w:r>
      <w:r w:rsidR="00BA780D" w:rsidRPr="00D56C50">
        <w:rPr>
          <w:rFonts w:hint="eastAsia"/>
        </w:rPr>
        <w:t>（见图</w:t>
      </w:r>
      <w:r w:rsidR="00F214D7" w:rsidRPr="00D56C50">
        <w:rPr>
          <w:rFonts w:hint="eastAsia"/>
        </w:rPr>
        <w:t>8</w:t>
      </w:r>
      <w:r w:rsidR="00BA780D" w:rsidRPr="00D56C50">
        <w:rPr>
          <w:rFonts w:hint="eastAsia"/>
        </w:rPr>
        <w:t>）</w:t>
      </w:r>
      <w:r w:rsidR="00E963A8" w:rsidRPr="00D56C50">
        <w:rPr>
          <w:rFonts w:hint="eastAsia"/>
        </w:rPr>
        <w:t>。正如前述分析，杠杆率的攀升为资产规模大幅扩张创造了条件</w:t>
      </w:r>
      <w:r w:rsidRPr="00D56C50">
        <w:rPr>
          <w:rFonts w:hint="eastAsia"/>
        </w:rPr>
        <w:t>，推进了金融化</w:t>
      </w:r>
      <w:r w:rsidR="00E963A8" w:rsidRPr="00D56C50">
        <w:rPr>
          <w:rFonts w:hint="eastAsia"/>
        </w:rPr>
        <w:t>。</w:t>
      </w:r>
      <w:r w:rsidR="00C33694" w:rsidRPr="00D56C50">
        <w:rPr>
          <w:rFonts w:hint="eastAsia"/>
        </w:rPr>
        <w:t>在此过程中，房价大幅上涨</w:t>
      </w:r>
      <w:r w:rsidRPr="00D56C50">
        <w:rPr>
          <w:rFonts w:hint="eastAsia"/>
        </w:rPr>
        <w:t>导致财富与收入差距拉大是金融化带来的最</w:t>
      </w:r>
      <w:r w:rsidR="00C33694" w:rsidRPr="00D56C50">
        <w:rPr>
          <w:rFonts w:hint="eastAsia"/>
        </w:rPr>
        <w:t>为</w:t>
      </w:r>
      <w:r w:rsidRPr="00D56C50">
        <w:rPr>
          <w:rFonts w:hint="eastAsia"/>
        </w:rPr>
        <w:t>明显的分配效应。</w:t>
      </w:r>
      <w:r w:rsidR="00C33694" w:rsidRPr="00D56C50">
        <w:rPr>
          <w:rFonts w:hint="eastAsia"/>
        </w:rPr>
        <w:t>而居民杠杆率（以住房抵押贷款为主）的一路上升也可以作为相应的注脚。</w:t>
      </w:r>
    </w:p>
    <w:p w14:paraId="5A8DA90E" w14:textId="77777777" w:rsidR="00C33694" w:rsidRPr="00D56C50" w:rsidRDefault="00C33694" w:rsidP="00C33694">
      <w:pPr>
        <w:spacing w:line="288" w:lineRule="auto"/>
        <w:ind w:firstLineChars="200" w:firstLine="420"/>
      </w:pPr>
    </w:p>
    <w:p w14:paraId="079B6B69" w14:textId="77777777" w:rsidR="004D20AC" w:rsidRPr="00D56C50" w:rsidRDefault="00E963A8" w:rsidP="002B7F04">
      <w:pPr>
        <w:spacing w:line="288" w:lineRule="auto"/>
        <w:jc w:val="center"/>
      </w:pPr>
      <w:r w:rsidRPr="00D56C50">
        <w:rPr>
          <w:noProof/>
        </w:rPr>
        <w:lastRenderedPageBreak/>
        <w:drawing>
          <wp:inline distT="0" distB="0" distL="0" distR="0" wp14:anchorId="4FCB4EED" wp14:editId="459FCA44">
            <wp:extent cx="4606506" cy="2855344"/>
            <wp:effectExtent l="0" t="0" r="22860" b="2159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744F24" w14:textId="77777777" w:rsidR="004D20AC" w:rsidRPr="00D56C50" w:rsidRDefault="004D20AC" w:rsidP="002B7F04">
      <w:pPr>
        <w:spacing w:line="288" w:lineRule="auto"/>
      </w:pPr>
    </w:p>
    <w:p w14:paraId="390D1A87" w14:textId="77777777" w:rsidR="002B7F04" w:rsidRPr="00D56C50" w:rsidRDefault="002B7F04" w:rsidP="002B7F04">
      <w:pPr>
        <w:spacing w:line="288" w:lineRule="auto"/>
        <w:jc w:val="center"/>
        <w:rPr>
          <w:b/>
        </w:rPr>
      </w:pPr>
      <w:r w:rsidRPr="00D56C50">
        <w:rPr>
          <w:rFonts w:hint="eastAsia"/>
          <w:b/>
        </w:rPr>
        <w:t>图</w:t>
      </w:r>
      <w:r w:rsidR="00F214D7" w:rsidRPr="00D56C50">
        <w:rPr>
          <w:rFonts w:hint="eastAsia"/>
          <w:b/>
        </w:rPr>
        <w:t>8</w:t>
      </w:r>
      <w:r w:rsidR="00BA780D" w:rsidRPr="00D56C50">
        <w:rPr>
          <w:rFonts w:hint="eastAsia"/>
          <w:b/>
        </w:rPr>
        <w:t xml:space="preserve"> </w:t>
      </w:r>
      <w:r w:rsidRPr="00D56C50">
        <w:rPr>
          <w:rFonts w:hint="eastAsia"/>
          <w:b/>
        </w:rPr>
        <w:t>中国宏观杠杆率（</w:t>
      </w:r>
      <w:r w:rsidRPr="00D56C50">
        <w:rPr>
          <w:rFonts w:hint="eastAsia"/>
          <w:b/>
        </w:rPr>
        <w:t>1993-2020</w:t>
      </w:r>
      <w:r w:rsidRPr="00D56C50">
        <w:rPr>
          <w:rFonts w:hint="eastAsia"/>
          <w:b/>
        </w:rPr>
        <w:t>）</w:t>
      </w:r>
    </w:p>
    <w:p w14:paraId="46BF9006" w14:textId="77777777" w:rsidR="002B7F04" w:rsidRPr="00D56C50" w:rsidRDefault="002B7F04" w:rsidP="002B7F04">
      <w:pPr>
        <w:spacing w:line="288" w:lineRule="auto"/>
        <w:ind w:firstLineChars="202" w:firstLine="424"/>
      </w:pPr>
      <w:r w:rsidRPr="00D56C50">
        <w:rPr>
          <w:rFonts w:hint="eastAsia"/>
        </w:rPr>
        <w:t>资料来源：中国社会科学院国家资产负债表研究中心（</w:t>
      </w:r>
      <w:r w:rsidRPr="00D56C50">
        <w:rPr>
          <w:rFonts w:hint="eastAsia"/>
        </w:rPr>
        <w:t>CNBS</w:t>
      </w:r>
      <w:r w:rsidRPr="00D56C50">
        <w:rPr>
          <w:rFonts w:hint="eastAsia"/>
        </w:rPr>
        <w:t>）。</w:t>
      </w:r>
    </w:p>
    <w:p w14:paraId="3E050DFF" w14:textId="77777777" w:rsidR="002B7F04" w:rsidRPr="00D56C50" w:rsidRDefault="002B7F04" w:rsidP="002B7F04">
      <w:pPr>
        <w:spacing w:line="288" w:lineRule="auto"/>
        <w:jc w:val="center"/>
        <w:rPr>
          <w:b/>
        </w:rPr>
      </w:pPr>
    </w:p>
    <w:p w14:paraId="62F6C4FA" w14:textId="77777777" w:rsidR="002B7F04" w:rsidRPr="00D56C50" w:rsidRDefault="007E4F8A" w:rsidP="00C33694">
      <w:pPr>
        <w:pStyle w:val="aa"/>
        <w:spacing w:line="288" w:lineRule="auto"/>
        <w:ind w:firstLineChars="170" w:firstLine="357"/>
      </w:pPr>
      <w:r w:rsidRPr="00D56C50">
        <w:rPr>
          <w:rFonts w:hint="eastAsia"/>
        </w:rPr>
        <w:t>二</w:t>
      </w:r>
      <w:r w:rsidR="00D07568" w:rsidRPr="00D56C50">
        <w:t>是</w:t>
      </w:r>
      <w:r w:rsidRPr="00D56C50">
        <w:rPr>
          <w:rFonts w:hint="eastAsia"/>
        </w:rPr>
        <w:t>金融业增加值偏</w:t>
      </w:r>
      <w:r w:rsidR="00D07568" w:rsidRPr="00D56C50">
        <w:rPr>
          <w:rFonts w:hint="eastAsia"/>
        </w:rPr>
        <w:t>高。</w:t>
      </w:r>
      <w:r w:rsidR="00C33694" w:rsidRPr="00D56C50">
        <w:rPr>
          <w:rFonts w:hint="eastAsia"/>
        </w:rPr>
        <w:t>在关于金融化与收入分配的讨论中，金融业增加值占国民收入比重一直是一个重要的衡量指标。</w:t>
      </w:r>
      <w:r w:rsidR="00E963A8" w:rsidRPr="00D56C50">
        <w:rPr>
          <w:rFonts w:hint="eastAsia"/>
        </w:rPr>
        <w:t>图</w:t>
      </w:r>
      <w:r w:rsidR="00F214D7" w:rsidRPr="00D56C50">
        <w:rPr>
          <w:rFonts w:hint="eastAsia"/>
        </w:rPr>
        <w:t>9</w:t>
      </w:r>
      <w:r w:rsidR="00E963A8" w:rsidRPr="00D56C50">
        <w:t>所示。</w:t>
      </w:r>
      <w:r w:rsidR="00E963A8" w:rsidRPr="00D56C50">
        <w:rPr>
          <w:rFonts w:hint="eastAsia"/>
        </w:rPr>
        <w:t>自上个世纪</w:t>
      </w:r>
      <w:r w:rsidR="00E963A8" w:rsidRPr="00D56C50">
        <w:rPr>
          <w:rFonts w:hint="eastAsia"/>
        </w:rPr>
        <w:t>90</w:t>
      </w:r>
      <w:r w:rsidR="00E963A8" w:rsidRPr="00D56C50">
        <w:rPr>
          <w:rFonts w:hint="eastAsia"/>
        </w:rPr>
        <w:t>年代中期以来，日德的金融业增加值占</w:t>
      </w:r>
      <w:r w:rsidR="00E963A8" w:rsidRPr="00D56C50">
        <w:rPr>
          <w:rFonts w:hint="eastAsia"/>
        </w:rPr>
        <w:t>GDP</w:t>
      </w:r>
      <w:r w:rsidR="00E963A8" w:rsidRPr="00D56C50">
        <w:rPr>
          <w:rFonts w:hint="eastAsia"/>
        </w:rPr>
        <w:t>比重较为平稳甚至略有下降（除了</w:t>
      </w:r>
      <w:r w:rsidR="00E963A8" w:rsidRPr="00D56C50">
        <w:rPr>
          <w:rFonts w:hint="eastAsia"/>
        </w:rPr>
        <w:t>2000</w:t>
      </w:r>
      <w:r w:rsidR="00E963A8" w:rsidRPr="00D56C50">
        <w:rPr>
          <w:rFonts w:hint="eastAsia"/>
        </w:rPr>
        <w:t>－</w:t>
      </w:r>
      <w:r w:rsidR="00E963A8" w:rsidRPr="00D56C50">
        <w:rPr>
          <w:rFonts w:hint="eastAsia"/>
        </w:rPr>
        <w:t>2007</w:t>
      </w:r>
      <w:r w:rsidR="00E963A8" w:rsidRPr="00D56C50">
        <w:rPr>
          <w:rFonts w:hint="eastAsia"/>
        </w:rPr>
        <w:t>年的全球化繁荣时期有所上升）；英国自</w:t>
      </w:r>
      <w:r w:rsidR="00E963A8" w:rsidRPr="00D56C50">
        <w:rPr>
          <w:rFonts w:hint="eastAsia"/>
        </w:rPr>
        <w:t>2000</w:t>
      </w:r>
      <w:r w:rsidR="00E963A8" w:rsidRPr="00D56C50">
        <w:rPr>
          <w:rFonts w:hint="eastAsia"/>
        </w:rPr>
        <w:t>年以来有大幅跃升，</w:t>
      </w:r>
      <w:r w:rsidR="00E963A8" w:rsidRPr="00D56C50">
        <w:rPr>
          <w:rFonts w:hint="eastAsia"/>
        </w:rPr>
        <w:t>2008</w:t>
      </w:r>
      <w:r w:rsidR="00E963A8" w:rsidRPr="00D56C50">
        <w:rPr>
          <w:rFonts w:hint="eastAsia"/>
        </w:rPr>
        <w:t>年危机以后有所回落；美国一直处于高位，</w:t>
      </w:r>
      <w:r w:rsidR="00E963A8" w:rsidRPr="00D56C50">
        <w:rPr>
          <w:rFonts w:hint="eastAsia"/>
        </w:rPr>
        <w:t>2008</w:t>
      </w:r>
      <w:r w:rsidR="00E963A8" w:rsidRPr="00D56C50">
        <w:rPr>
          <w:rFonts w:hint="eastAsia"/>
        </w:rPr>
        <w:t>年经历短期回落以后仍趋于上升。中国金融业增加值占比自</w:t>
      </w:r>
      <w:r w:rsidR="00E963A8" w:rsidRPr="00D56C50">
        <w:rPr>
          <w:rFonts w:hint="eastAsia"/>
        </w:rPr>
        <w:t>2005</w:t>
      </w:r>
      <w:r w:rsidR="00E963A8" w:rsidRPr="00D56C50">
        <w:rPr>
          <w:rFonts w:hint="eastAsia"/>
        </w:rPr>
        <w:t>年以来急剧攀升，在</w:t>
      </w:r>
      <w:r w:rsidR="00E963A8" w:rsidRPr="00D56C50">
        <w:rPr>
          <w:rFonts w:hint="eastAsia"/>
        </w:rPr>
        <w:t>2015</w:t>
      </w:r>
      <w:r w:rsidR="00E963A8" w:rsidRPr="00D56C50">
        <w:rPr>
          <w:rFonts w:hint="eastAsia"/>
        </w:rPr>
        <w:t>年达到</w:t>
      </w:r>
      <w:r w:rsidR="00E963A8" w:rsidRPr="00D56C50">
        <w:rPr>
          <w:rFonts w:hint="eastAsia"/>
        </w:rPr>
        <w:t>8.4%</w:t>
      </w:r>
      <w:r w:rsidR="00E963A8" w:rsidRPr="00D56C50">
        <w:rPr>
          <w:rFonts w:hint="eastAsia"/>
        </w:rPr>
        <w:t>的峰值，一下子超过了英美。虽然关于中国金融业增加值的估算存在争议（比如核算方法不同、涵盖范围不同等），但中国金融业增加值偏高却是不争的事实。金融业增加值</w:t>
      </w:r>
      <w:r w:rsidR="002B7F04" w:rsidRPr="00D56C50">
        <w:rPr>
          <w:rFonts w:hint="eastAsia"/>
        </w:rPr>
        <w:t>一度超过英美，反映出中国金融的赶超发展以及金融化趋</w:t>
      </w:r>
      <w:r w:rsidR="00E963A8" w:rsidRPr="00D56C50">
        <w:rPr>
          <w:rFonts w:hint="eastAsia"/>
        </w:rPr>
        <w:t>势。</w:t>
      </w:r>
      <w:r w:rsidR="002B7F04" w:rsidRPr="00D56C50">
        <w:rPr>
          <w:rFonts w:hint="eastAsia"/>
        </w:rPr>
        <w:t>金融业增加值是金融业提供服务所产生的增值，它在很大程度上是实体经济获取金融服务所付出的成本。</w:t>
      </w:r>
      <w:r w:rsidR="00C33694" w:rsidRPr="00D56C50">
        <w:rPr>
          <w:rFonts w:hint="eastAsia"/>
        </w:rPr>
        <w:t>中国金融业增加值占比的偏高（甚至是畸高）显示：经济出现“脱实向虚”（见图</w:t>
      </w:r>
      <w:r w:rsidR="00F214D7" w:rsidRPr="00D56C50">
        <w:rPr>
          <w:rFonts w:hint="eastAsia"/>
        </w:rPr>
        <w:t>10</w:t>
      </w:r>
      <w:r w:rsidR="00C33694" w:rsidRPr="00D56C50">
        <w:rPr>
          <w:rFonts w:hint="eastAsia"/>
        </w:rPr>
        <w:t>）且国民收入和财富分配向金融业倾斜。</w:t>
      </w:r>
    </w:p>
    <w:p w14:paraId="2FEFA6C1" w14:textId="77777777" w:rsidR="00D07568" w:rsidRPr="00D56C50" w:rsidRDefault="00D07568" w:rsidP="002B7F04">
      <w:pPr>
        <w:spacing w:line="288" w:lineRule="auto"/>
        <w:jc w:val="center"/>
      </w:pPr>
    </w:p>
    <w:p w14:paraId="17DCFE3A" w14:textId="77777777" w:rsidR="00E963A8" w:rsidRPr="00D56C50" w:rsidRDefault="00E963A8" w:rsidP="002B7F04">
      <w:pPr>
        <w:spacing w:line="288" w:lineRule="auto"/>
        <w:ind w:firstLineChars="170" w:firstLine="357"/>
      </w:pPr>
    </w:p>
    <w:p w14:paraId="1411AED2" w14:textId="77777777" w:rsidR="00E963A8" w:rsidRPr="00D56C50" w:rsidRDefault="007E4F8A" w:rsidP="002B7F04">
      <w:pPr>
        <w:spacing w:line="288" w:lineRule="auto"/>
        <w:jc w:val="left"/>
      </w:pPr>
      <w:r w:rsidRPr="00D56C50">
        <w:rPr>
          <w:noProof/>
        </w:rPr>
        <w:lastRenderedPageBreak/>
        <w:drawing>
          <wp:inline distT="0" distB="0" distL="0" distR="0" wp14:anchorId="1E1F6953" wp14:editId="361847BB">
            <wp:extent cx="5274310" cy="3505829"/>
            <wp:effectExtent l="0" t="0" r="2159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6C672A" w14:textId="77777777" w:rsidR="00E963A8" w:rsidRPr="00D56C50" w:rsidRDefault="00E963A8" w:rsidP="002B7F04">
      <w:pPr>
        <w:spacing w:line="288" w:lineRule="auto"/>
        <w:ind w:firstLineChars="202" w:firstLine="426"/>
        <w:jc w:val="center"/>
        <w:rPr>
          <w:b/>
        </w:rPr>
      </w:pPr>
      <w:r w:rsidRPr="00D56C50">
        <w:rPr>
          <w:b/>
        </w:rPr>
        <w:t>图</w:t>
      </w:r>
      <w:r w:rsidR="00F214D7" w:rsidRPr="00D56C50">
        <w:rPr>
          <w:rFonts w:hint="eastAsia"/>
          <w:b/>
        </w:rPr>
        <w:t>9</w:t>
      </w:r>
      <w:r w:rsidRPr="00D56C50">
        <w:rPr>
          <w:b/>
        </w:rPr>
        <w:t xml:space="preserve"> </w:t>
      </w:r>
      <w:r w:rsidR="00842E66" w:rsidRPr="00D56C50">
        <w:rPr>
          <w:b/>
        </w:rPr>
        <w:t>各国金融</w:t>
      </w:r>
      <w:r w:rsidRPr="00D56C50">
        <w:rPr>
          <w:b/>
        </w:rPr>
        <w:t>业增加值</w:t>
      </w:r>
      <w:r w:rsidRPr="00D56C50">
        <w:rPr>
          <w:rFonts w:hint="eastAsia"/>
          <w:b/>
        </w:rPr>
        <w:t>/</w:t>
      </w:r>
      <w:r w:rsidRPr="00D56C50">
        <w:rPr>
          <w:b/>
        </w:rPr>
        <w:t>GDP</w:t>
      </w:r>
      <w:r w:rsidRPr="00D56C50">
        <w:rPr>
          <w:b/>
        </w:rPr>
        <w:t>（</w:t>
      </w:r>
      <w:r w:rsidRPr="00D56C50">
        <w:rPr>
          <w:b/>
        </w:rPr>
        <w:t>%</w:t>
      </w:r>
      <w:r w:rsidRPr="00D56C50">
        <w:rPr>
          <w:b/>
        </w:rPr>
        <w:t>）</w:t>
      </w:r>
    </w:p>
    <w:p w14:paraId="2ABE6491" w14:textId="77777777" w:rsidR="00E963A8" w:rsidRPr="00D56C50" w:rsidRDefault="00E963A8" w:rsidP="002B7F04">
      <w:pPr>
        <w:spacing w:line="288" w:lineRule="auto"/>
        <w:ind w:firstLineChars="202" w:firstLine="424"/>
      </w:pPr>
      <w:r w:rsidRPr="00D56C50">
        <w:rPr>
          <w:rFonts w:hint="eastAsia"/>
        </w:rPr>
        <w:t>资料</w:t>
      </w:r>
      <w:r w:rsidRPr="00D56C50">
        <w:t>来源</w:t>
      </w:r>
      <w:r w:rsidRPr="00D56C50">
        <w:rPr>
          <w:rFonts w:hint="eastAsia"/>
        </w:rPr>
        <w:t>：各国统计当局，国家资产负债表研究中心（</w:t>
      </w:r>
      <w:r w:rsidRPr="00D56C50">
        <w:rPr>
          <w:rFonts w:hint="eastAsia"/>
        </w:rPr>
        <w:t>CNBS</w:t>
      </w:r>
      <w:r w:rsidRPr="00D56C50">
        <w:rPr>
          <w:rFonts w:hint="eastAsia"/>
        </w:rPr>
        <w:t>）。</w:t>
      </w:r>
    </w:p>
    <w:p w14:paraId="6524CBE4" w14:textId="77777777" w:rsidR="00C33694" w:rsidRPr="00D56C50" w:rsidRDefault="00C33694" w:rsidP="002B7F04">
      <w:pPr>
        <w:spacing w:line="288" w:lineRule="auto"/>
        <w:ind w:firstLineChars="202" w:firstLine="424"/>
      </w:pPr>
    </w:p>
    <w:p w14:paraId="4FAED307" w14:textId="77777777" w:rsidR="00C33694" w:rsidRPr="00D56C50" w:rsidRDefault="006229CA" w:rsidP="00244776">
      <w:pPr>
        <w:spacing w:line="288" w:lineRule="auto"/>
      </w:pPr>
      <w:r w:rsidRPr="00D56C50">
        <w:rPr>
          <w:noProof/>
        </w:rPr>
        <w:drawing>
          <wp:inline distT="0" distB="0" distL="0" distR="0" wp14:anchorId="5C849BB6" wp14:editId="66567998">
            <wp:extent cx="5274310" cy="3191446"/>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E28E49" w14:textId="77777777" w:rsidR="007E4F8A" w:rsidRPr="00D56C50" w:rsidRDefault="006229CA" w:rsidP="006229CA">
      <w:pPr>
        <w:spacing w:line="288" w:lineRule="auto"/>
        <w:ind w:firstLineChars="201" w:firstLine="424"/>
        <w:jc w:val="center"/>
        <w:rPr>
          <w:b/>
        </w:rPr>
      </w:pPr>
      <w:r w:rsidRPr="00D56C50">
        <w:rPr>
          <w:rFonts w:hint="eastAsia"/>
          <w:b/>
        </w:rPr>
        <w:t>图</w:t>
      </w:r>
      <w:r w:rsidR="00F214D7" w:rsidRPr="00D56C50">
        <w:rPr>
          <w:rFonts w:hint="eastAsia"/>
          <w:b/>
        </w:rPr>
        <w:t>10</w:t>
      </w:r>
      <w:r w:rsidRPr="00D56C50">
        <w:rPr>
          <w:rFonts w:hint="eastAsia"/>
          <w:b/>
        </w:rPr>
        <w:t xml:space="preserve"> </w:t>
      </w:r>
      <w:r w:rsidRPr="00D56C50">
        <w:rPr>
          <w:rFonts w:hint="eastAsia"/>
          <w:b/>
        </w:rPr>
        <w:t>中国经济的“脱实向虚”（行业增加值占</w:t>
      </w:r>
      <w:r w:rsidRPr="00D56C50">
        <w:rPr>
          <w:rFonts w:hint="eastAsia"/>
          <w:b/>
        </w:rPr>
        <w:t>GDP</w:t>
      </w:r>
      <w:r w:rsidRPr="00D56C50">
        <w:rPr>
          <w:rFonts w:hint="eastAsia"/>
          <w:b/>
        </w:rPr>
        <w:t>比重）</w:t>
      </w:r>
    </w:p>
    <w:p w14:paraId="0E7938BA" w14:textId="77777777" w:rsidR="006229CA" w:rsidRPr="00D56C50" w:rsidRDefault="006229CA" w:rsidP="006229CA">
      <w:pPr>
        <w:spacing w:line="288" w:lineRule="auto"/>
        <w:ind w:firstLineChars="201" w:firstLine="422"/>
        <w:jc w:val="center"/>
      </w:pPr>
      <w:r w:rsidRPr="00D56C50">
        <w:rPr>
          <w:rFonts w:hint="eastAsia"/>
        </w:rPr>
        <w:t>资料来源：</w:t>
      </w:r>
      <w:r w:rsidRPr="00D56C50">
        <w:rPr>
          <w:rFonts w:hint="eastAsia"/>
        </w:rPr>
        <w:t>Wind</w:t>
      </w:r>
      <w:r w:rsidRPr="00D56C50">
        <w:rPr>
          <w:rFonts w:hint="eastAsia"/>
        </w:rPr>
        <w:t>数据库。</w:t>
      </w:r>
    </w:p>
    <w:p w14:paraId="5B81DF82" w14:textId="77777777" w:rsidR="006229CA" w:rsidRPr="00D56C50" w:rsidRDefault="006229CA" w:rsidP="002B7F04">
      <w:pPr>
        <w:spacing w:line="288" w:lineRule="auto"/>
        <w:ind w:firstLineChars="201" w:firstLine="424"/>
        <w:rPr>
          <w:b/>
        </w:rPr>
      </w:pPr>
    </w:p>
    <w:p w14:paraId="20685C73" w14:textId="77777777" w:rsidR="00127CA0" w:rsidRPr="00D56C50" w:rsidRDefault="002B7F04" w:rsidP="006229CA">
      <w:pPr>
        <w:spacing w:line="288" w:lineRule="auto"/>
        <w:ind w:firstLineChars="201" w:firstLine="422"/>
      </w:pPr>
      <w:r w:rsidRPr="00D56C50">
        <w:rPr>
          <w:rFonts w:hint="eastAsia"/>
        </w:rPr>
        <w:t>三</w:t>
      </w:r>
      <w:r w:rsidR="00D07568" w:rsidRPr="00D56C50">
        <w:t>是</w:t>
      </w:r>
      <w:r w:rsidR="004D20AC" w:rsidRPr="00D56C50">
        <w:rPr>
          <w:rFonts w:hint="eastAsia"/>
        </w:rPr>
        <w:t>金融科技</w:t>
      </w:r>
      <w:r w:rsidRPr="00D56C50">
        <w:rPr>
          <w:rFonts w:hint="eastAsia"/>
        </w:rPr>
        <w:t>跻身全球</w:t>
      </w:r>
      <w:r w:rsidR="004D20AC" w:rsidRPr="00D56C50">
        <w:rPr>
          <w:rFonts w:hint="eastAsia"/>
        </w:rPr>
        <w:t>第一方阵</w:t>
      </w:r>
      <w:r w:rsidR="00127CA0" w:rsidRPr="00D56C50">
        <w:rPr>
          <w:rFonts w:hint="eastAsia"/>
        </w:rPr>
        <w:t>。</w:t>
      </w:r>
      <w:r w:rsidR="00127CA0" w:rsidRPr="00D56C50">
        <w:rPr>
          <w:rFonts w:ascii="Arial" w:hAnsi="Arial" w:cs="Arial"/>
          <w:shd w:val="clear" w:color="auto" w:fill="FFFFFF"/>
        </w:rPr>
        <w:t>近年来，人工智能</w:t>
      </w:r>
      <w:r w:rsidR="00127CA0" w:rsidRPr="00D56C50">
        <w:rPr>
          <w:rFonts w:ascii="Arial" w:hAnsi="Arial" w:cs="Arial"/>
          <w:shd w:val="clear" w:color="auto" w:fill="FFFFFF"/>
        </w:rPr>
        <w:t>(A)</w:t>
      </w:r>
      <w:r w:rsidR="00127CA0" w:rsidRPr="00D56C50">
        <w:rPr>
          <w:rFonts w:ascii="Arial" w:hAnsi="Arial" w:cs="Arial"/>
          <w:shd w:val="clear" w:color="auto" w:fill="FFFFFF"/>
        </w:rPr>
        <w:t>、大数据</w:t>
      </w:r>
      <w:r w:rsidR="00127CA0" w:rsidRPr="00D56C50">
        <w:rPr>
          <w:rFonts w:ascii="Arial" w:hAnsi="Arial" w:cs="Arial"/>
          <w:shd w:val="clear" w:color="auto" w:fill="FFFFFF"/>
        </w:rPr>
        <w:t>(B)</w:t>
      </w:r>
      <w:r w:rsidR="00127CA0" w:rsidRPr="00D56C50">
        <w:rPr>
          <w:rFonts w:ascii="Arial" w:hAnsi="Arial" w:cs="Arial"/>
          <w:shd w:val="clear" w:color="auto" w:fill="FFFFFF"/>
        </w:rPr>
        <w:t>、云计算</w:t>
      </w:r>
      <w:r w:rsidR="00127CA0" w:rsidRPr="00D56C50">
        <w:rPr>
          <w:rFonts w:ascii="Arial" w:hAnsi="Arial" w:cs="Arial"/>
          <w:shd w:val="clear" w:color="auto" w:fill="FFFFFF"/>
        </w:rPr>
        <w:t>(C)</w:t>
      </w:r>
      <w:r w:rsidR="00127CA0" w:rsidRPr="00D56C50">
        <w:rPr>
          <w:rFonts w:ascii="Arial" w:hAnsi="Arial" w:cs="Arial"/>
          <w:shd w:val="clear" w:color="auto" w:fill="FFFFFF"/>
        </w:rPr>
        <w:t>、分布式记账</w:t>
      </w:r>
      <w:r w:rsidR="00127CA0" w:rsidRPr="00D56C50">
        <w:rPr>
          <w:rFonts w:ascii="Arial" w:hAnsi="Arial" w:cs="Arial"/>
          <w:shd w:val="clear" w:color="auto" w:fill="FFFFFF"/>
        </w:rPr>
        <w:t>(D)</w:t>
      </w:r>
      <w:r w:rsidR="00127CA0" w:rsidRPr="00D56C50">
        <w:rPr>
          <w:rFonts w:ascii="Arial" w:hAnsi="Arial" w:cs="Arial"/>
          <w:shd w:val="clear" w:color="auto" w:fill="FFFFFF"/>
        </w:rPr>
        <w:t>、电子商务</w:t>
      </w:r>
      <w:r w:rsidR="00127CA0" w:rsidRPr="00D56C50">
        <w:rPr>
          <w:rFonts w:ascii="Arial" w:hAnsi="Arial" w:cs="Arial"/>
          <w:shd w:val="clear" w:color="auto" w:fill="FFFFFF"/>
        </w:rPr>
        <w:t>(E)</w:t>
      </w:r>
      <w:r w:rsidR="00127CA0" w:rsidRPr="00D56C50">
        <w:rPr>
          <w:rFonts w:ascii="Arial" w:hAnsi="Arial" w:cs="Arial"/>
          <w:shd w:val="clear" w:color="auto" w:fill="FFFFFF"/>
        </w:rPr>
        <w:t>等新兴技术逐渐与金融业务深度融合，加速了金融创新，并催生</w:t>
      </w:r>
      <w:r w:rsidR="00127CA0" w:rsidRPr="00D56C50">
        <w:rPr>
          <w:rFonts w:ascii="Arial" w:hAnsi="Arial" w:cs="Arial"/>
          <w:shd w:val="clear" w:color="auto" w:fill="FFFFFF"/>
        </w:rPr>
        <w:lastRenderedPageBreak/>
        <w:t>出移动支付、网络信贷、智能投顾等新业态。中国有近</w:t>
      </w:r>
      <w:r w:rsidR="00127CA0" w:rsidRPr="00D56C50">
        <w:rPr>
          <w:rFonts w:ascii="Arial" w:hAnsi="Arial" w:cs="Arial"/>
          <w:shd w:val="clear" w:color="auto" w:fill="FFFFFF"/>
        </w:rPr>
        <w:t>10</w:t>
      </w:r>
      <w:r w:rsidR="00127CA0" w:rsidRPr="00D56C50">
        <w:rPr>
          <w:rFonts w:ascii="Arial" w:hAnsi="Arial" w:cs="Arial"/>
          <w:shd w:val="clear" w:color="auto" w:fill="FFFFFF"/>
        </w:rPr>
        <w:t>亿互联网用户，为金融科技运用奠定了基础。</w:t>
      </w:r>
      <w:r w:rsidR="00127CA0" w:rsidRPr="00D56C50">
        <w:rPr>
          <w:rFonts w:ascii="Arial" w:hAnsi="Arial" w:cs="Arial"/>
          <w:shd w:val="clear" w:color="auto" w:fill="FFFFFF"/>
        </w:rPr>
        <w:t>2019</w:t>
      </w:r>
      <w:r w:rsidR="00127CA0" w:rsidRPr="00D56C50">
        <w:rPr>
          <w:rFonts w:ascii="Arial" w:hAnsi="Arial" w:cs="Arial"/>
          <w:shd w:val="clear" w:color="auto" w:fill="FFFFFF"/>
        </w:rPr>
        <w:t>年，</w:t>
      </w:r>
      <w:r w:rsidR="00127CA0" w:rsidRPr="00D56C50">
        <w:rPr>
          <w:rFonts w:ascii="Arial" w:hAnsi="Arial" w:cs="Arial"/>
          <w:shd w:val="clear" w:color="auto" w:fill="FFFFFF"/>
        </w:rPr>
        <w:t>87%</w:t>
      </w:r>
      <w:r w:rsidR="00127CA0" w:rsidRPr="00D56C50">
        <w:rPr>
          <w:rFonts w:ascii="Arial" w:hAnsi="Arial" w:cs="Arial"/>
          <w:shd w:val="clear" w:color="auto" w:fill="FFFFFF"/>
        </w:rPr>
        <w:t>的中国消费者使用金融科技，</w:t>
      </w:r>
      <w:r w:rsidR="00127CA0" w:rsidRPr="00D56C50">
        <w:rPr>
          <w:rFonts w:ascii="Arial" w:hAnsi="Arial" w:cs="Arial"/>
          <w:shd w:val="clear" w:color="auto" w:fill="FFFFFF"/>
        </w:rPr>
        <w:t>2020</w:t>
      </w:r>
      <w:r w:rsidR="00127CA0" w:rsidRPr="00D56C50">
        <w:rPr>
          <w:rFonts w:ascii="Arial" w:hAnsi="Arial" w:cs="Arial"/>
          <w:shd w:val="clear" w:color="auto" w:fill="FFFFFF"/>
        </w:rPr>
        <w:t>年末全球前</w:t>
      </w:r>
      <w:r w:rsidR="00127CA0" w:rsidRPr="00D56C50">
        <w:rPr>
          <w:rFonts w:ascii="Arial" w:hAnsi="Arial" w:cs="Arial"/>
          <w:shd w:val="clear" w:color="auto" w:fill="FFFFFF"/>
        </w:rPr>
        <w:t>20</w:t>
      </w:r>
      <w:r w:rsidR="00127CA0" w:rsidRPr="00D56C50">
        <w:rPr>
          <w:rFonts w:ascii="Arial" w:hAnsi="Arial" w:cs="Arial"/>
          <w:shd w:val="clear" w:color="auto" w:fill="FFFFFF"/>
        </w:rPr>
        <w:t>大平台公司中，中资企业已占据五席。在大型科技公司推动下，中国移动支付快速发展，目前普及率已达</w:t>
      </w:r>
      <w:r w:rsidR="00127CA0" w:rsidRPr="00D56C50">
        <w:rPr>
          <w:rFonts w:ascii="Arial" w:hAnsi="Arial" w:cs="Arial"/>
          <w:shd w:val="clear" w:color="auto" w:fill="FFFFFF"/>
        </w:rPr>
        <w:t>86%</w:t>
      </w:r>
      <w:r w:rsidR="00127CA0" w:rsidRPr="00D56C50">
        <w:rPr>
          <w:rFonts w:ascii="Arial" w:hAnsi="Arial" w:cs="Arial"/>
          <w:shd w:val="clear" w:color="auto" w:fill="FFFFFF"/>
        </w:rPr>
        <w:t>。</w:t>
      </w:r>
      <w:r w:rsidR="00127CA0" w:rsidRPr="00D56C50">
        <w:rPr>
          <w:rFonts w:ascii="Arial" w:hAnsi="Arial" w:cs="Arial" w:hint="eastAsia"/>
          <w:shd w:val="clear" w:color="auto" w:fill="FFFFFF"/>
        </w:rPr>
        <w:t>（易纲，</w:t>
      </w:r>
      <w:r w:rsidR="00127CA0" w:rsidRPr="00D56C50">
        <w:rPr>
          <w:rFonts w:ascii="Arial" w:hAnsi="Arial" w:cs="Arial" w:hint="eastAsia"/>
          <w:shd w:val="clear" w:color="auto" w:fill="FFFFFF"/>
        </w:rPr>
        <w:t>2021</w:t>
      </w:r>
      <w:r w:rsidR="00127CA0" w:rsidRPr="00D56C50">
        <w:rPr>
          <w:rFonts w:ascii="Arial" w:hAnsi="Arial" w:cs="Arial" w:hint="eastAsia"/>
          <w:shd w:val="clear" w:color="auto" w:fill="FFFFFF"/>
        </w:rPr>
        <w:t>）</w:t>
      </w:r>
      <w:r w:rsidRPr="00D56C50">
        <w:rPr>
          <w:rFonts w:ascii="Arial" w:hAnsi="Arial" w:cs="Arial" w:hint="eastAsia"/>
          <w:shd w:val="clear" w:color="auto" w:fill="FFFFFF"/>
        </w:rPr>
        <w:t>。</w:t>
      </w:r>
      <w:r w:rsidR="006229CA" w:rsidRPr="00D56C50">
        <w:rPr>
          <w:rFonts w:hint="eastAsia"/>
        </w:rPr>
        <w:t>金融科技信贷和大型科技信贷的最大市场是中国，</w:t>
      </w:r>
      <w:r w:rsidR="00127CA0" w:rsidRPr="00D56C50">
        <w:rPr>
          <w:rFonts w:hint="eastAsia"/>
        </w:rPr>
        <w:t>其中大科技公司贷款在</w:t>
      </w:r>
      <w:r w:rsidR="00127CA0" w:rsidRPr="00D56C50">
        <w:rPr>
          <w:rFonts w:hint="eastAsia"/>
        </w:rPr>
        <w:t>2018</w:t>
      </w:r>
      <w:r w:rsidR="00127CA0" w:rsidRPr="00D56C50">
        <w:rPr>
          <w:rFonts w:hint="eastAsia"/>
        </w:rPr>
        <w:t>年和</w:t>
      </w:r>
      <w:r w:rsidR="00127CA0" w:rsidRPr="00D56C50">
        <w:rPr>
          <w:rFonts w:hint="eastAsia"/>
        </w:rPr>
        <w:t>2019</w:t>
      </w:r>
      <w:r w:rsidR="00127CA0" w:rsidRPr="00D56C50">
        <w:rPr>
          <w:rFonts w:hint="eastAsia"/>
        </w:rPr>
        <w:t>年分别为</w:t>
      </w:r>
      <w:r w:rsidR="00127CA0" w:rsidRPr="00D56C50">
        <w:rPr>
          <w:rFonts w:hint="eastAsia"/>
        </w:rPr>
        <w:t>3630</w:t>
      </w:r>
      <w:r w:rsidR="00127CA0" w:rsidRPr="00D56C50">
        <w:rPr>
          <w:rFonts w:hint="eastAsia"/>
        </w:rPr>
        <w:t>亿美元和</w:t>
      </w:r>
      <w:r w:rsidR="00127CA0" w:rsidRPr="00D56C50">
        <w:rPr>
          <w:rFonts w:hint="eastAsia"/>
        </w:rPr>
        <w:t>5160</w:t>
      </w:r>
      <w:r w:rsidR="006229CA" w:rsidRPr="00D56C50">
        <w:rPr>
          <w:rFonts w:hint="eastAsia"/>
        </w:rPr>
        <w:t>亿美元；相较而言，排在第二位的美国，其相关信贷规模却要小很</w:t>
      </w:r>
      <w:r w:rsidR="00127CA0" w:rsidRPr="00D56C50">
        <w:rPr>
          <w:rFonts w:hint="eastAsia"/>
        </w:rPr>
        <w:t>多（</w:t>
      </w:r>
      <w:r w:rsidR="00127CA0" w:rsidRPr="00D56C50">
        <w:rPr>
          <w:rFonts w:hint="eastAsia"/>
        </w:rPr>
        <w:t>BIS</w:t>
      </w:r>
      <w:r w:rsidR="00127CA0" w:rsidRPr="00D56C50">
        <w:rPr>
          <w:rFonts w:hint="eastAsia"/>
        </w:rPr>
        <w:t>，</w:t>
      </w:r>
      <w:r w:rsidRPr="00D56C50">
        <w:rPr>
          <w:rFonts w:hint="eastAsia"/>
        </w:rPr>
        <w:t>2020</w:t>
      </w:r>
      <w:r w:rsidR="00A75DB0" w:rsidRPr="00D56C50">
        <w:rPr>
          <w:rFonts w:hint="eastAsia"/>
        </w:rPr>
        <w:t>）。中国金融科技基本处在全球第一方阵。与一些发达</w:t>
      </w:r>
      <w:r w:rsidR="00127CA0" w:rsidRPr="00D56C50">
        <w:rPr>
          <w:rFonts w:hint="eastAsia"/>
        </w:rPr>
        <w:t>经济体</w:t>
      </w:r>
      <w:r w:rsidR="00A75DB0" w:rsidRPr="00D56C50">
        <w:rPr>
          <w:rFonts w:hint="eastAsia"/>
        </w:rPr>
        <w:t>不同，中国大科技公司介入金融的程度要</w:t>
      </w:r>
      <w:r w:rsidR="00127CA0" w:rsidRPr="00D56C50">
        <w:rPr>
          <w:rFonts w:hint="eastAsia"/>
        </w:rPr>
        <w:t>深</w:t>
      </w:r>
      <w:r w:rsidR="00A75DB0" w:rsidRPr="00D56C50">
        <w:rPr>
          <w:rFonts w:hint="eastAsia"/>
        </w:rPr>
        <w:t>得多</w:t>
      </w:r>
      <w:r w:rsidR="00127CA0" w:rsidRPr="00D56C50">
        <w:rPr>
          <w:rFonts w:hint="eastAsia"/>
        </w:rPr>
        <w:t>。金融科技在提高金融服务实体经济效能，促进普惠金融发展方面，都发挥了非常积极的作用。但与此同时，金融科技也是一柄双刃剑。在监管未能及时跟上的情况下，金融科技现出了“异化”，导致普惠金融的“普而不惠”问题。</w:t>
      </w:r>
      <w:r w:rsidR="00127CA0" w:rsidRPr="00D56C50">
        <w:rPr>
          <w:rFonts w:ascii="Arial" w:hAnsi="Arial" w:cs="Arial" w:hint="eastAsia"/>
          <w:shd w:val="clear" w:color="auto" w:fill="FFFFFF"/>
        </w:rPr>
        <w:t>比如，</w:t>
      </w:r>
      <w:r w:rsidR="00127CA0" w:rsidRPr="00D56C50">
        <w:rPr>
          <w:rFonts w:ascii="Arial" w:hAnsi="Arial" w:cs="Arial"/>
          <w:shd w:val="clear" w:color="auto" w:fill="FFFFFF"/>
        </w:rPr>
        <w:t>在对个人和小微企业的联合贷款中，</w:t>
      </w:r>
      <w:r w:rsidR="00127CA0" w:rsidRPr="00D56C50">
        <w:rPr>
          <w:rFonts w:ascii="Arial" w:hAnsi="Arial" w:cs="Arial"/>
          <w:shd w:val="clear" w:color="auto" w:fill="FFFFFF"/>
        </w:rPr>
        <w:t>90%</w:t>
      </w:r>
      <w:r w:rsidR="00127CA0" w:rsidRPr="00D56C50">
        <w:rPr>
          <w:rFonts w:ascii="Arial" w:hAnsi="Arial" w:cs="Arial"/>
          <w:shd w:val="clear" w:color="auto" w:fill="FFFFFF"/>
        </w:rPr>
        <w:t>以上的资金来源于银行业，金融科技公司利用导客引流优势，直接收取的费用占客户融资综合成本的</w:t>
      </w:r>
      <w:r w:rsidR="00127CA0" w:rsidRPr="00D56C50">
        <w:rPr>
          <w:rFonts w:ascii="Arial" w:hAnsi="Arial" w:cs="Arial"/>
          <w:shd w:val="clear" w:color="auto" w:fill="FFFFFF"/>
        </w:rPr>
        <w:t>1/3</w:t>
      </w:r>
      <w:r w:rsidR="00127CA0" w:rsidRPr="00D56C50">
        <w:rPr>
          <w:rFonts w:ascii="Arial" w:hAnsi="Arial" w:cs="Arial"/>
          <w:shd w:val="clear" w:color="auto" w:fill="FFFFFF"/>
        </w:rPr>
        <w:t>左右，加上代销或其他过度增信产品等收取的费用，往往高达</w:t>
      </w:r>
      <w:r w:rsidR="00127CA0" w:rsidRPr="00D56C50">
        <w:rPr>
          <w:rFonts w:ascii="Arial" w:hAnsi="Arial" w:cs="Arial"/>
          <w:shd w:val="clear" w:color="auto" w:fill="FFFFFF"/>
        </w:rPr>
        <w:t>2/3</w:t>
      </w:r>
      <w:r w:rsidR="00127CA0" w:rsidRPr="00D56C50">
        <w:rPr>
          <w:rFonts w:ascii="Arial" w:hAnsi="Arial" w:cs="Arial"/>
          <w:shd w:val="clear" w:color="auto" w:fill="FFFFFF"/>
        </w:rPr>
        <w:t>。</w:t>
      </w:r>
      <w:r w:rsidR="00127CA0" w:rsidRPr="00D56C50">
        <w:rPr>
          <w:rFonts w:ascii="Arial" w:hAnsi="Arial" w:cs="Arial" w:hint="eastAsia"/>
          <w:shd w:val="clear" w:color="auto" w:fill="FFFFFF"/>
        </w:rPr>
        <w:t>（</w:t>
      </w:r>
      <w:r w:rsidR="00127CA0" w:rsidRPr="00D56C50">
        <w:rPr>
          <w:rFonts w:ascii="Arial" w:hAnsi="Arial" w:cs="Arial"/>
          <w:shd w:val="clear" w:color="auto" w:fill="FFFFFF"/>
        </w:rPr>
        <w:t>郭武平</w:t>
      </w:r>
      <w:r w:rsidR="00127CA0" w:rsidRPr="00D56C50">
        <w:rPr>
          <w:rFonts w:ascii="Arial" w:hAnsi="Arial" w:cs="Arial" w:hint="eastAsia"/>
          <w:shd w:val="clear" w:color="auto" w:fill="FFFFFF"/>
        </w:rPr>
        <w:t>，</w:t>
      </w:r>
      <w:r w:rsidR="00127CA0" w:rsidRPr="00D56C50">
        <w:rPr>
          <w:rFonts w:ascii="Arial" w:hAnsi="Arial" w:cs="Arial" w:hint="eastAsia"/>
          <w:shd w:val="clear" w:color="auto" w:fill="FFFFFF"/>
        </w:rPr>
        <w:t>2020</w:t>
      </w:r>
      <w:r w:rsidR="00127CA0" w:rsidRPr="00D56C50">
        <w:rPr>
          <w:rFonts w:ascii="Arial" w:hAnsi="Arial" w:cs="Arial" w:hint="eastAsia"/>
          <w:shd w:val="clear" w:color="auto" w:fill="FFFFFF"/>
        </w:rPr>
        <w:t>）</w:t>
      </w:r>
      <w:r w:rsidR="00127CA0" w:rsidRPr="00D56C50">
        <w:rPr>
          <w:rFonts w:ascii="Arial" w:hAnsi="Arial" w:cs="Arial"/>
          <w:shd w:val="clear" w:color="auto" w:fill="FFFFFF"/>
        </w:rPr>
        <w:t>。</w:t>
      </w:r>
    </w:p>
    <w:p w14:paraId="5EAF7E3E" w14:textId="77777777" w:rsidR="005F24F7" w:rsidRPr="00D56C50" w:rsidRDefault="005F24F7" w:rsidP="002B7F04">
      <w:pPr>
        <w:pStyle w:val="1"/>
        <w:spacing w:beforeLines="100" w:before="312" w:afterLines="100" w:after="312" w:line="288" w:lineRule="auto"/>
        <w:rPr>
          <w:sz w:val="21"/>
          <w:szCs w:val="21"/>
        </w:rPr>
      </w:pPr>
      <w:r w:rsidRPr="00D56C50">
        <w:rPr>
          <w:rFonts w:hint="eastAsia"/>
          <w:sz w:val="21"/>
          <w:szCs w:val="21"/>
        </w:rPr>
        <w:t>五、结论与政策建议</w:t>
      </w:r>
    </w:p>
    <w:p w14:paraId="0D8B01E5" w14:textId="77777777" w:rsidR="006229CA" w:rsidRPr="00D56C50" w:rsidRDefault="006229CA" w:rsidP="002B7F04">
      <w:pPr>
        <w:spacing w:line="288" w:lineRule="auto"/>
        <w:ind w:firstLineChars="202" w:firstLine="424"/>
      </w:pPr>
      <w:r w:rsidRPr="00D56C50">
        <w:rPr>
          <w:rFonts w:hint="eastAsia"/>
        </w:rPr>
        <w:t>金融发展与共同富裕是一个宏大的主题。其涉及到的理论（机制）非常广泛，相关经验研究结论差异也较大。金融科技的崛起为这一讨论增加了新因素，金融发展甚至都需要重新定义。正</w:t>
      </w:r>
      <w:r w:rsidR="005A2441" w:rsidRPr="00D56C50">
        <w:rPr>
          <w:rFonts w:hint="eastAsia"/>
        </w:rPr>
        <w:t>因为如此，本文只能算是一个研究框架，尽可能将金融发展与共同富裕</w:t>
      </w:r>
      <w:r w:rsidRPr="00D56C50">
        <w:rPr>
          <w:rFonts w:hint="eastAsia"/>
        </w:rPr>
        <w:t>涉</w:t>
      </w:r>
      <w:r w:rsidR="005A2441" w:rsidRPr="00D56C50">
        <w:rPr>
          <w:rFonts w:hint="eastAsia"/>
        </w:rPr>
        <w:t>及</w:t>
      </w:r>
      <w:r w:rsidRPr="00D56C50">
        <w:rPr>
          <w:rFonts w:hint="eastAsia"/>
        </w:rPr>
        <w:t>到的问题都提出来，</w:t>
      </w:r>
      <w:r w:rsidR="005A2441" w:rsidRPr="00D56C50">
        <w:rPr>
          <w:rFonts w:hint="eastAsia"/>
        </w:rPr>
        <w:t>展示它们之间的逻辑关联，</w:t>
      </w:r>
      <w:r w:rsidRPr="00D56C50">
        <w:rPr>
          <w:rFonts w:hint="eastAsia"/>
        </w:rPr>
        <w:t>但很难逐个进行深入剖析。这也为未来的拓展研究提供了空间。</w:t>
      </w:r>
    </w:p>
    <w:p w14:paraId="28D45ADA" w14:textId="77777777" w:rsidR="00EB2235" w:rsidRPr="00D56C50" w:rsidRDefault="00BA780D" w:rsidP="002B7F04">
      <w:pPr>
        <w:spacing w:line="288" w:lineRule="auto"/>
        <w:ind w:firstLineChars="202" w:firstLine="424"/>
        <w:rPr>
          <w:szCs w:val="21"/>
        </w:rPr>
      </w:pPr>
      <w:r w:rsidRPr="00D56C50">
        <w:rPr>
          <w:rFonts w:hint="eastAsia"/>
        </w:rPr>
        <w:t>通过微观视角与宏观视角的考察，</w:t>
      </w:r>
      <w:r w:rsidR="005A2441" w:rsidRPr="00D56C50">
        <w:rPr>
          <w:rFonts w:hint="eastAsia"/>
        </w:rPr>
        <w:t>本文</w:t>
      </w:r>
      <w:r w:rsidRPr="00D56C50">
        <w:rPr>
          <w:rFonts w:hint="eastAsia"/>
        </w:rPr>
        <w:t>深入剖析了金融发展对不平等的影响</w:t>
      </w:r>
      <w:r w:rsidR="005A2441" w:rsidRPr="00D56C50">
        <w:rPr>
          <w:rFonts w:hint="eastAsia"/>
        </w:rPr>
        <w:t>机制</w:t>
      </w:r>
      <w:r w:rsidRPr="00D56C50">
        <w:rPr>
          <w:rFonts w:hint="eastAsia"/>
        </w:rPr>
        <w:t>：适度、规范的金融发展有利于减轻不平等，但金融压抑和过度金融化都可能导致不平等加剧。就中国而言，金融压</w:t>
      </w:r>
      <w:r w:rsidR="006229CA" w:rsidRPr="00D56C50">
        <w:rPr>
          <w:rFonts w:hint="eastAsia"/>
        </w:rPr>
        <w:t>抑与金融赶超（以及金融化）并存是中国金融发展的“特色”，二者都会不同程度地</w:t>
      </w:r>
      <w:r w:rsidRPr="00D56C50">
        <w:rPr>
          <w:rFonts w:hint="eastAsia"/>
        </w:rPr>
        <w:t>加剧不平等。</w:t>
      </w:r>
      <w:r w:rsidR="006229CA" w:rsidRPr="00D56C50">
        <w:rPr>
          <w:rFonts w:hint="eastAsia"/>
          <w:szCs w:val="21"/>
        </w:rPr>
        <w:t>有鉴于此</w:t>
      </w:r>
      <w:r w:rsidRPr="00D56C50">
        <w:rPr>
          <w:rFonts w:hint="eastAsia"/>
          <w:szCs w:val="21"/>
        </w:rPr>
        <w:t>，</w:t>
      </w:r>
      <w:r w:rsidR="002B7F04" w:rsidRPr="00D56C50">
        <w:rPr>
          <w:rFonts w:hint="eastAsia"/>
        </w:rPr>
        <w:t>金融发展促进共同富裕需要</w:t>
      </w:r>
      <w:r w:rsidR="00873DCF" w:rsidRPr="00D56C50">
        <w:rPr>
          <w:rFonts w:hint="eastAsia"/>
        </w:rPr>
        <w:t>坚持人民至上、</w:t>
      </w:r>
      <w:r w:rsidRPr="00D56C50">
        <w:rPr>
          <w:rFonts w:hint="eastAsia"/>
        </w:rPr>
        <w:t>把握金融本性、</w:t>
      </w:r>
      <w:r w:rsidRPr="00D56C50">
        <w:rPr>
          <w:rFonts w:hint="eastAsia"/>
          <w:szCs w:val="21"/>
        </w:rPr>
        <w:t>明确金融定位、推进金融改革，在以下多个方面取得</w:t>
      </w:r>
      <w:r w:rsidR="006229CA" w:rsidRPr="00D56C50">
        <w:rPr>
          <w:rFonts w:hint="eastAsia"/>
          <w:szCs w:val="21"/>
        </w:rPr>
        <w:t>重要</w:t>
      </w:r>
      <w:r w:rsidRPr="00D56C50">
        <w:rPr>
          <w:rFonts w:hint="eastAsia"/>
          <w:szCs w:val="21"/>
        </w:rPr>
        <w:t>进展。</w:t>
      </w:r>
    </w:p>
    <w:p w14:paraId="75AE1A8F" w14:textId="77777777" w:rsidR="00AB50E2" w:rsidRPr="00D56C50" w:rsidRDefault="004164F8"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（一）</w:t>
      </w:r>
      <w:r w:rsidR="002E3E61" w:rsidRPr="00D56C50">
        <w:rPr>
          <w:rFonts w:asciiTheme="minorEastAsia" w:eastAsiaTheme="minorEastAsia" w:hAnsiTheme="minorEastAsia" w:hint="eastAsia"/>
          <w:sz w:val="21"/>
          <w:szCs w:val="21"/>
        </w:rPr>
        <w:t>金融</w:t>
      </w:r>
      <w:r w:rsidRPr="00D56C50">
        <w:rPr>
          <w:rFonts w:asciiTheme="minorEastAsia" w:eastAsiaTheme="minorEastAsia" w:hAnsiTheme="minorEastAsia" w:hint="eastAsia"/>
          <w:sz w:val="21"/>
          <w:szCs w:val="21"/>
        </w:rPr>
        <w:t>发展要</w:t>
      </w:r>
      <w:r w:rsidR="002E3E61" w:rsidRPr="00D56C50">
        <w:rPr>
          <w:rFonts w:asciiTheme="minorEastAsia" w:eastAsiaTheme="minorEastAsia" w:hAnsiTheme="minorEastAsia" w:hint="eastAsia"/>
          <w:sz w:val="21"/>
          <w:szCs w:val="21"/>
        </w:rPr>
        <w:t>回归服务实体经济</w:t>
      </w:r>
      <w:r w:rsidRPr="00D56C50">
        <w:rPr>
          <w:rFonts w:asciiTheme="minorEastAsia" w:eastAsiaTheme="minorEastAsia" w:hAnsiTheme="minorEastAsia" w:hint="eastAsia"/>
          <w:sz w:val="21"/>
          <w:szCs w:val="21"/>
        </w:rPr>
        <w:t>本源</w:t>
      </w:r>
      <w:r w:rsidR="002E3E61" w:rsidRPr="00D56C50">
        <w:rPr>
          <w:rFonts w:asciiTheme="minorEastAsia" w:eastAsiaTheme="minorEastAsia" w:hAnsiTheme="minorEastAsia" w:hint="eastAsia"/>
          <w:sz w:val="21"/>
          <w:szCs w:val="21"/>
        </w:rPr>
        <w:t>，</w:t>
      </w:r>
      <w:r w:rsidRPr="00D56C50">
        <w:rPr>
          <w:rFonts w:asciiTheme="minorEastAsia" w:eastAsiaTheme="minorEastAsia" w:hAnsiTheme="minorEastAsia" w:hint="eastAsia"/>
          <w:sz w:val="21"/>
          <w:szCs w:val="21"/>
        </w:rPr>
        <w:t>避免过犹不及。</w:t>
      </w:r>
    </w:p>
    <w:p w14:paraId="333DD716" w14:textId="77777777" w:rsidR="00AB50E2" w:rsidRPr="00D56C50" w:rsidRDefault="00AB50E2" w:rsidP="002B7F04">
      <w:pPr>
        <w:spacing w:line="288" w:lineRule="auto"/>
        <w:ind w:firstLineChars="202" w:firstLine="424"/>
      </w:pPr>
      <w:r w:rsidRPr="00D56C50">
        <w:rPr>
          <w:rFonts w:hint="eastAsia"/>
        </w:rPr>
        <w:t>金融压抑与金融赶超并存是中国金融发展的“特色”；前者是“不及”，后者是“过”，两者都可能带来不好的结果。</w:t>
      </w:r>
      <w:r w:rsidR="004164F8" w:rsidRPr="00D56C50">
        <w:rPr>
          <w:rFonts w:hint="eastAsia"/>
        </w:rPr>
        <w:t>金融压抑导致金融发展不足，形成了信贷歧视、金融排斥</w:t>
      </w:r>
      <w:r w:rsidRPr="00D56C50">
        <w:rPr>
          <w:rFonts w:hint="eastAsia"/>
        </w:rPr>
        <w:t>；金融赶超带来的（</w:t>
      </w:r>
      <w:r w:rsidR="004164F8" w:rsidRPr="00D56C50">
        <w:rPr>
          <w:rFonts w:hint="eastAsia"/>
        </w:rPr>
        <w:t>过度</w:t>
      </w:r>
      <w:r w:rsidRPr="00D56C50">
        <w:rPr>
          <w:rFonts w:hint="eastAsia"/>
        </w:rPr>
        <w:t>）</w:t>
      </w:r>
      <w:r w:rsidR="004164F8" w:rsidRPr="00D56C50">
        <w:rPr>
          <w:rFonts w:hint="eastAsia"/>
        </w:rPr>
        <w:t>金融化也导致收入转移、分配恶化。因此，一方面，要减少金融抑制，推动金融市场化发展</w:t>
      </w:r>
      <w:r w:rsidRPr="00D56C50">
        <w:rPr>
          <w:rFonts w:hint="eastAsia"/>
        </w:rPr>
        <w:t>。首先，发挥市场在金融资源配置中的决定性作用，减少政府干预，摆脱金融压抑。一是推进资本要素市场化配置：完善股票市场基础制度，加快发展债券市场，增加有效金融服务供给，主动有序扩大金融业对外开放。二是加快金融领域价格市场化改革：稳妥推进存贷款基准利率与市场利率并轨，提高债券市场定价效率，健全反映市场供求关系的国债收益率曲线，更好发挥国债收益率曲线定价基准作用。增强人民币汇率弹性，保持人民币汇率在合理均衡水平上的基本稳定。</w:t>
      </w:r>
      <w:r w:rsidR="004164F8" w:rsidRPr="00D56C50">
        <w:rPr>
          <w:rFonts w:hint="eastAsia"/>
        </w:rPr>
        <w:t>另一方面，</w:t>
      </w:r>
      <w:r w:rsidRPr="00D56C50">
        <w:rPr>
          <w:rFonts w:hint="eastAsia"/>
        </w:rPr>
        <w:t>避免经济脱实向虚和过度金融化。</w:t>
      </w:r>
      <w:r w:rsidRPr="00D56C50">
        <w:t>金融要</w:t>
      </w:r>
      <w:r w:rsidRPr="00D56C50">
        <w:rPr>
          <w:rFonts w:hint="eastAsia"/>
        </w:rPr>
        <w:t>回归</w:t>
      </w:r>
      <w:r w:rsidRPr="00D56C50">
        <w:t>为实体经济服务</w:t>
      </w:r>
      <w:r w:rsidRPr="00D56C50">
        <w:rPr>
          <w:rFonts w:hint="eastAsia"/>
        </w:rPr>
        <w:t>本源</w:t>
      </w:r>
      <w:r w:rsidRPr="00D56C50">
        <w:t>，满足经济社会发展和人民群众需要。</w:t>
      </w:r>
      <w:r w:rsidRPr="00D56C50">
        <w:rPr>
          <w:rFonts w:hint="eastAsia"/>
        </w:rPr>
        <w:t>金融创新和发展要围绕提</w:t>
      </w:r>
      <w:r w:rsidRPr="00D56C50">
        <w:rPr>
          <w:rFonts w:hint="eastAsia"/>
        </w:rPr>
        <w:lastRenderedPageBreak/>
        <w:t>升服务实体经济效能，着力解决发展的不平衡、不充分的矛盾。各地发展不宜将金融业自身的扩张当作“政绩”</w:t>
      </w:r>
      <w:r w:rsidR="006229CA" w:rsidRPr="00D56C50">
        <w:rPr>
          <w:rFonts w:hint="eastAsia"/>
        </w:rPr>
        <w:t>，不搞超越发展阶段的金融化</w:t>
      </w:r>
      <w:r w:rsidRPr="00D56C50">
        <w:rPr>
          <w:rFonts w:hint="eastAsia"/>
        </w:rPr>
        <w:t>。金融监管要包容审慎，防止金融搞自我循环、出现过度金融化。</w:t>
      </w:r>
    </w:p>
    <w:p w14:paraId="667139A3" w14:textId="77777777" w:rsidR="00AB50E2" w:rsidRPr="00D56C50" w:rsidRDefault="004164F8"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（二）促进</w:t>
      </w:r>
      <w:r w:rsidR="002E3E61" w:rsidRPr="00D56C50">
        <w:rPr>
          <w:rFonts w:asciiTheme="minorEastAsia" w:eastAsiaTheme="minorEastAsia" w:hAnsiTheme="minorEastAsia" w:hint="eastAsia"/>
          <w:sz w:val="21"/>
          <w:szCs w:val="21"/>
        </w:rPr>
        <w:t>房地产</w:t>
      </w:r>
      <w:r w:rsidRPr="00D56C50">
        <w:rPr>
          <w:rFonts w:asciiTheme="minorEastAsia" w:eastAsiaTheme="minorEastAsia" w:hAnsiTheme="minorEastAsia" w:hint="eastAsia"/>
          <w:sz w:val="21"/>
          <w:szCs w:val="21"/>
        </w:rPr>
        <w:t>业</w:t>
      </w:r>
      <w:r w:rsidR="002E3E61" w:rsidRPr="00D56C50">
        <w:rPr>
          <w:rFonts w:asciiTheme="minorEastAsia" w:eastAsiaTheme="minorEastAsia" w:hAnsiTheme="minorEastAsia" w:hint="eastAsia"/>
          <w:sz w:val="21"/>
          <w:szCs w:val="21"/>
        </w:rPr>
        <w:t>健康发展</w:t>
      </w:r>
      <w:r w:rsidRPr="00D56C50">
        <w:rPr>
          <w:rFonts w:asciiTheme="minorEastAsia" w:eastAsiaTheme="minorEastAsia" w:hAnsiTheme="minorEastAsia" w:hint="eastAsia"/>
          <w:sz w:val="21"/>
          <w:szCs w:val="21"/>
        </w:rPr>
        <w:t>，努力实现住有所居。</w:t>
      </w:r>
    </w:p>
    <w:p w14:paraId="20BD0978" w14:textId="77777777" w:rsidR="00AB50E2" w:rsidRPr="00D56C50" w:rsidRDefault="002E3E61" w:rsidP="002B7F04">
      <w:pPr>
        <w:spacing w:line="288" w:lineRule="auto"/>
        <w:ind w:firstLineChars="202" w:firstLine="424"/>
        <w:rPr>
          <w:bCs/>
        </w:rPr>
      </w:pPr>
      <w:r w:rsidRPr="00D56C50">
        <w:rPr>
          <w:rFonts w:hint="eastAsia"/>
        </w:rPr>
        <w:t>住房是居民财富的重要构成，</w:t>
      </w:r>
      <w:r w:rsidR="00F334C6" w:rsidRPr="00D56C50">
        <w:rPr>
          <w:rFonts w:hint="eastAsia"/>
        </w:rPr>
        <w:t>中国</w:t>
      </w:r>
      <w:r w:rsidR="005A2441" w:rsidRPr="00D56C50">
        <w:rPr>
          <w:rFonts w:hint="eastAsia"/>
        </w:rPr>
        <w:t>居民</w:t>
      </w:r>
      <w:r w:rsidRPr="00D56C50">
        <w:rPr>
          <w:rFonts w:hint="eastAsia"/>
        </w:rPr>
        <w:t>财富差距很大程度上可以由房产差距来解释。</w:t>
      </w:r>
      <w:r w:rsidR="00AB50E2" w:rsidRPr="00D56C50">
        <w:rPr>
          <w:rFonts w:hint="eastAsia"/>
        </w:rPr>
        <w:t>因此，促进房地产业健康发展，实现住有所居，是促进共同富裕的重要方面。一是给予房地产业合理定位。房地产于居民而言，是其立足之地，也是最重要的财产；房地产于地方政府</w:t>
      </w:r>
      <w:r w:rsidR="006229CA" w:rsidRPr="00D56C50">
        <w:rPr>
          <w:rFonts w:hint="eastAsia"/>
        </w:rPr>
        <w:t>而言，</w:t>
      </w:r>
      <w:r w:rsidR="00AB50E2" w:rsidRPr="00D56C50">
        <w:rPr>
          <w:rFonts w:hint="eastAsia"/>
        </w:rPr>
        <w:t>是</w:t>
      </w:r>
      <w:r w:rsidR="005A2441" w:rsidRPr="00D56C50">
        <w:rPr>
          <w:rFonts w:hint="eastAsia"/>
        </w:rPr>
        <w:t>经济发展的重要抓手</w:t>
      </w:r>
      <w:r w:rsidR="00AB50E2" w:rsidRPr="00D56C50">
        <w:rPr>
          <w:rFonts w:hint="eastAsia"/>
        </w:rPr>
        <w:t>；房地产于银行而言，是重要的抵押物，是信贷投放的“</w:t>
      </w:r>
      <w:r w:rsidR="006229CA" w:rsidRPr="00D56C50">
        <w:rPr>
          <w:rFonts w:hint="eastAsia"/>
        </w:rPr>
        <w:t>好”去处。房地产将金融与实体经济紧密“连接”在一起，起到了枢纽</w:t>
      </w:r>
      <w:r w:rsidR="00AB50E2" w:rsidRPr="00D56C50">
        <w:rPr>
          <w:rFonts w:hint="eastAsia"/>
        </w:rPr>
        <w:t>作用。</w:t>
      </w:r>
      <w:r w:rsidR="00AB50E2" w:rsidRPr="00D56C50">
        <w:rPr>
          <w:rFonts w:hint="eastAsia"/>
          <w:bCs/>
        </w:rPr>
        <w:t>未来房地产业仍是中国经济的重要部门，是金融与实体经济关联交织的枢纽。经济增长、民生改善、共同富裕都</w:t>
      </w:r>
      <w:r w:rsidR="00223F81" w:rsidRPr="00D56C50">
        <w:rPr>
          <w:rFonts w:hint="eastAsia"/>
          <w:bCs/>
        </w:rPr>
        <w:t>离不开</w:t>
      </w:r>
      <w:r w:rsidR="00AB50E2" w:rsidRPr="00D56C50">
        <w:rPr>
          <w:rFonts w:hint="eastAsia"/>
          <w:bCs/>
        </w:rPr>
        <w:t>房地产业的</w:t>
      </w:r>
      <w:r w:rsidR="006229CA" w:rsidRPr="00D56C50">
        <w:rPr>
          <w:rFonts w:hint="eastAsia"/>
          <w:bCs/>
        </w:rPr>
        <w:t>平稳</w:t>
      </w:r>
      <w:r w:rsidR="00AB50E2" w:rsidRPr="00D56C50">
        <w:rPr>
          <w:rFonts w:hint="eastAsia"/>
          <w:bCs/>
        </w:rPr>
        <w:t>发展。二是</w:t>
      </w:r>
      <w:r w:rsidRPr="00D56C50">
        <w:rPr>
          <w:rFonts w:hint="eastAsia"/>
        </w:rPr>
        <w:t>推动房地产业健康发展。</w:t>
      </w:r>
      <w:r w:rsidRPr="00D56C50">
        <w:t>坚持</w:t>
      </w:r>
      <w:r w:rsidRPr="00D56C50">
        <w:rPr>
          <w:rFonts w:hint="eastAsia"/>
        </w:rPr>
        <w:t>“房住不炒”</w:t>
      </w:r>
      <w:r w:rsidRPr="00D56C50">
        <w:t>，因城施策、分类指导，着力稳地价、稳房价、稳预期，落实好房地产市场长效机制，顺应居民高品质住房需求，更好解决居民住房问题，促进房地产行业平稳健康发展和良性循环</w:t>
      </w:r>
      <w:r w:rsidRPr="00D56C50">
        <w:rPr>
          <w:rFonts w:hint="eastAsia"/>
        </w:rPr>
        <w:t>。</w:t>
      </w:r>
      <w:r w:rsidR="00AB50E2" w:rsidRPr="00D56C50">
        <w:rPr>
          <w:rFonts w:hint="eastAsia"/>
        </w:rPr>
        <w:t>三是</w:t>
      </w:r>
      <w:r w:rsidR="00223F81" w:rsidRPr="00D56C50">
        <w:rPr>
          <w:rFonts w:hint="eastAsia"/>
        </w:rPr>
        <w:t>发挥</w:t>
      </w:r>
      <w:r w:rsidR="00AB50E2" w:rsidRPr="00D56C50">
        <w:rPr>
          <w:rFonts w:hint="eastAsia"/>
        </w:rPr>
        <w:t>政府在住房保障方面的作用，实现住有所居。</w:t>
      </w:r>
      <w:r w:rsidR="00D83163" w:rsidRPr="00D56C50">
        <w:rPr>
          <w:rFonts w:hint="eastAsia"/>
          <w:bCs/>
        </w:rPr>
        <w:t>政府要承担保障性住房方面的公共服务职能，加快</w:t>
      </w:r>
      <w:r w:rsidR="006229CA" w:rsidRPr="00D56C50">
        <w:rPr>
          <w:rFonts w:hint="eastAsia"/>
          <w:bCs/>
        </w:rPr>
        <w:t>完善以公租房、保障性租赁住房和共有产权住房为主体的住房保障体系，</w:t>
      </w:r>
      <w:r w:rsidR="00D83163" w:rsidRPr="00D56C50">
        <w:rPr>
          <w:rFonts w:hint="eastAsia"/>
          <w:bCs/>
        </w:rPr>
        <w:t>帮助居民减少住房相关支出，降低居民杠杆率。</w:t>
      </w:r>
    </w:p>
    <w:p w14:paraId="0F20FF9D" w14:textId="77777777" w:rsidR="00AB50E2" w:rsidRPr="00D56C50" w:rsidRDefault="00AB50E2"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（三）</w:t>
      </w:r>
      <w:r w:rsidR="004164F8" w:rsidRPr="00D56C50">
        <w:rPr>
          <w:rFonts w:asciiTheme="minorEastAsia" w:eastAsiaTheme="minorEastAsia" w:hAnsiTheme="minorEastAsia" w:hint="eastAsia"/>
          <w:sz w:val="21"/>
          <w:szCs w:val="21"/>
        </w:rPr>
        <w:t>落实农民土地财产权利，</w:t>
      </w:r>
      <w:r w:rsidR="002E3E61" w:rsidRPr="00D56C50">
        <w:rPr>
          <w:rFonts w:asciiTheme="minorEastAsia" w:eastAsiaTheme="minorEastAsia" w:hAnsiTheme="minorEastAsia" w:hint="eastAsia"/>
          <w:sz w:val="21"/>
          <w:szCs w:val="21"/>
        </w:rPr>
        <w:t>缩小城乡差距。</w:t>
      </w:r>
    </w:p>
    <w:p w14:paraId="7FFAD44B" w14:textId="77777777" w:rsidR="00EB2235" w:rsidRPr="00D56C50" w:rsidRDefault="00EB2235" w:rsidP="002B7F04">
      <w:pPr>
        <w:spacing w:line="288" w:lineRule="auto"/>
        <w:ind w:firstLineChars="202" w:firstLine="424"/>
        <w:rPr>
          <w:rFonts w:asciiTheme="minorEastAsia" w:eastAsiaTheme="minorEastAsia" w:hAnsiTheme="minorEastAsia"/>
          <w:szCs w:val="21"/>
          <w:shd w:val="clear" w:color="auto" w:fill="FFFFFF"/>
        </w:rPr>
      </w:pPr>
      <w:r w:rsidRPr="00D56C50">
        <w:rPr>
          <w:rFonts w:asciiTheme="minorEastAsia" w:eastAsiaTheme="minorEastAsia" w:hAnsiTheme="minorEastAsia" w:hint="eastAsia"/>
          <w:szCs w:val="21"/>
        </w:rPr>
        <w:t>缩小城乡收入差距是改善收入分配的重要方面。在</w:t>
      </w:r>
      <w:r w:rsidR="00AB50E2" w:rsidRPr="00D56C50">
        <w:rPr>
          <w:rFonts w:asciiTheme="minorEastAsia" w:eastAsiaTheme="minorEastAsia" w:hAnsiTheme="minorEastAsia" w:hint="eastAsia"/>
          <w:szCs w:val="21"/>
        </w:rPr>
        <w:t>过去的</w:t>
      </w:r>
      <w:r w:rsidRPr="00D56C50">
        <w:rPr>
          <w:rFonts w:asciiTheme="minorEastAsia" w:eastAsiaTheme="minorEastAsia" w:hAnsiTheme="minorEastAsia" w:hint="eastAsia"/>
          <w:szCs w:val="21"/>
        </w:rPr>
        <w:t>工业化与城镇化</w:t>
      </w:r>
      <w:r w:rsidR="00AB50E2" w:rsidRPr="00D56C50">
        <w:rPr>
          <w:rFonts w:asciiTheme="minorEastAsia" w:eastAsiaTheme="minorEastAsia" w:hAnsiTheme="minorEastAsia" w:hint="eastAsia"/>
          <w:szCs w:val="21"/>
        </w:rPr>
        <w:t>进程</w:t>
      </w:r>
      <w:r w:rsidRPr="00D56C50">
        <w:rPr>
          <w:rFonts w:asciiTheme="minorEastAsia" w:eastAsiaTheme="minorEastAsia" w:hAnsiTheme="minorEastAsia" w:hint="eastAsia"/>
          <w:szCs w:val="21"/>
        </w:rPr>
        <w:t>中</w:t>
      </w:r>
      <w:r w:rsidR="00AB50E2" w:rsidRPr="00D56C50">
        <w:rPr>
          <w:rFonts w:asciiTheme="minorEastAsia" w:eastAsiaTheme="minorEastAsia" w:hAnsiTheme="minorEastAsia" w:hint="eastAsia"/>
          <w:szCs w:val="21"/>
        </w:rPr>
        <w:t>，农民（农村）</w:t>
      </w:r>
      <w:r w:rsidRPr="00D56C50">
        <w:rPr>
          <w:rFonts w:asciiTheme="minorEastAsia" w:eastAsiaTheme="minorEastAsia" w:hAnsiTheme="minorEastAsia" w:hint="eastAsia"/>
          <w:szCs w:val="21"/>
        </w:rPr>
        <w:t>做出了巨大的贡献和牺牲</w:t>
      </w:r>
      <w:r w:rsidR="00AB50E2" w:rsidRPr="00D56C50">
        <w:rPr>
          <w:rFonts w:asciiTheme="minorEastAsia" w:eastAsiaTheme="minorEastAsia" w:hAnsiTheme="minorEastAsia" w:hint="eastAsia"/>
          <w:szCs w:val="21"/>
        </w:rPr>
        <w:t>；</w:t>
      </w:r>
      <w:r w:rsidRPr="00D56C50">
        <w:rPr>
          <w:rFonts w:asciiTheme="minorEastAsia" w:eastAsiaTheme="minorEastAsia" w:hAnsiTheme="minorEastAsia" w:hint="eastAsia"/>
          <w:szCs w:val="21"/>
        </w:rPr>
        <w:t>在</w:t>
      </w:r>
      <w:r w:rsidR="00AB50E2" w:rsidRPr="00D56C50">
        <w:rPr>
          <w:rFonts w:asciiTheme="minorEastAsia" w:eastAsiaTheme="minorEastAsia" w:hAnsiTheme="minorEastAsia" w:hint="eastAsia"/>
          <w:szCs w:val="21"/>
        </w:rPr>
        <w:t>迈向</w:t>
      </w:r>
      <w:r w:rsidRPr="00D56C50">
        <w:rPr>
          <w:rFonts w:asciiTheme="minorEastAsia" w:eastAsiaTheme="minorEastAsia" w:hAnsiTheme="minorEastAsia" w:hint="eastAsia"/>
          <w:szCs w:val="21"/>
        </w:rPr>
        <w:t>现代化</w:t>
      </w:r>
      <w:r w:rsidR="00AB50E2" w:rsidRPr="00D56C50">
        <w:rPr>
          <w:rFonts w:asciiTheme="minorEastAsia" w:eastAsiaTheme="minorEastAsia" w:hAnsiTheme="minorEastAsia" w:hint="eastAsia"/>
          <w:szCs w:val="21"/>
        </w:rPr>
        <w:t>新</w:t>
      </w:r>
      <w:r w:rsidRPr="00D56C50">
        <w:rPr>
          <w:rFonts w:asciiTheme="minorEastAsia" w:eastAsiaTheme="minorEastAsia" w:hAnsiTheme="minorEastAsia" w:hint="eastAsia"/>
          <w:szCs w:val="21"/>
        </w:rPr>
        <w:t>征程中，不能再走牺牲农民的老路。农民走出农村到城镇就业，固然是提高收入的一条途径，但更重要的是在</w:t>
      </w:r>
      <w:r w:rsidR="006229CA" w:rsidRPr="00D56C50">
        <w:rPr>
          <w:rFonts w:asciiTheme="minorEastAsia" w:eastAsiaTheme="minorEastAsia" w:hAnsiTheme="minorEastAsia" w:hint="eastAsia"/>
          <w:szCs w:val="21"/>
        </w:rPr>
        <w:t>现代化进</w:t>
      </w:r>
      <w:r w:rsidRPr="00D56C50">
        <w:rPr>
          <w:rFonts w:asciiTheme="minorEastAsia" w:eastAsiaTheme="minorEastAsia" w:hAnsiTheme="minorEastAsia" w:hint="eastAsia"/>
          <w:szCs w:val="21"/>
        </w:rPr>
        <w:t>程中，对农民土地财产权利的保护。</w:t>
      </w:r>
      <w:r w:rsidR="00F214D7" w:rsidRPr="00D56C50">
        <w:rPr>
          <w:rFonts w:ascii="PingFangTC-light" w:hAnsi="PingFangTC-light"/>
          <w:spacing w:val="15"/>
          <w:szCs w:val="21"/>
          <w:shd w:val="clear" w:color="auto" w:fill="FFFFFF"/>
        </w:rPr>
        <w:t>十八届三中全会对农村</w:t>
      </w:r>
      <w:r w:rsidR="00F214D7" w:rsidRPr="00D56C50">
        <w:rPr>
          <w:rFonts w:ascii="PingFangTC-light" w:hAnsi="PingFangTC-light"/>
          <w:spacing w:val="15"/>
          <w:szCs w:val="21"/>
          <w:shd w:val="clear" w:color="auto" w:fill="FFFFFF"/>
        </w:rPr>
        <w:t>“</w:t>
      </w:r>
      <w:r w:rsidR="00F214D7" w:rsidRPr="00D56C50">
        <w:rPr>
          <w:rFonts w:ascii="PingFangTC-light" w:hAnsi="PingFangTC-light"/>
          <w:spacing w:val="15"/>
          <w:szCs w:val="21"/>
          <w:shd w:val="clear" w:color="auto" w:fill="FFFFFF"/>
        </w:rPr>
        <w:t>三块地</w:t>
      </w:r>
      <w:r w:rsidR="00F214D7" w:rsidRPr="00D56C50">
        <w:rPr>
          <w:rFonts w:ascii="PingFangTC-light" w:hAnsi="PingFangTC-light"/>
          <w:spacing w:val="15"/>
          <w:szCs w:val="21"/>
          <w:shd w:val="clear" w:color="auto" w:fill="FFFFFF"/>
        </w:rPr>
        <w:t>”</w:t>
      </w:r>
      <w:r w:rsidR="00F214D7" w:rsidRPr="00D56C50">
        <w:rPr>
          <w:rFonts w:ascii="PingFangTC-light" w:hAnsi="PingFangTC-light"/>
          <w:spacing w:val="15"/>
          <w:szCs w:val="21"/>
          <w:shd w:val="clear" w:color="auto" w:fill="FFFFFF"/>
        </w:rPr>
        <w:t>即集体经营性建设用地、农民承包地和宅基地的依法有序流转做了系统性的顶层设计，试图开辟增加农民财产性收入的渠道。</w:t>
      </w:r>
      <w:r w:rsidRPr="00D56C50">
        <w:rPr>
          <w:rFonts w:asciiTheme="minorEastAsia" w:eastAsiaTheme="minorEastAsia" w:hAnsiTheme="minorEastAsia" w:hint="eastAsia"/>
          <w:szCs w:val="21"/>
          <w:shd w:val="clear" w:color="auto" w:fill="FFFFFF"/>
        </w:rPr>
        <w:t>农村集体土地的产权比较模糊，所有权、承包权、经营权“三权分置”。</w:t>
      </w:r>
      <w:r w:rsidR="00AB50E2" w:rsidRPr="00D56C50">
        <w:rPr>
          <w:rFonts w:asciiTheme="minorEastAsia" w:eastAsiaTheme="minorEastAsia" w:hAnsiTheme="minorEastAsia" w:hint="eastAsia"/>
          <w:szCs w:val="21"/>
          <w:shd w:val="clear" w:color="auto" w:fill="FFFFFF"/>
        </w:rPr>
        <w:t>这种情况下</w:t>
      </w:r>
      <w:r w:rsidRPr="00D56C50">
        <w:rPr>
          <w:rFonts w:asciiTheme="minorEastAsia" w:eastAsiaTheme="minorEastAsia" w:hAnsiTheme="minorEastAsia" w:hint="eastAsia"/>
          <w:szCs w:val="21"/>
          <w:shd w:val="clear" w:color="auto" w:fill="FFFFFF"/>
        </w:rPr>
        <w:t>，</w:t>
      </w:r>
      <w:r w:rsidR="00AB50E2" w:rsidRPr="00D56C50">
        <w:rPr>
          <w:rFonts w:asciiTheme="minorEastAsia" w:eastAsiaTheme="minorEastAsia" w:hAnsiTheme="minorEastAsia" w:hint="eastAsia"/>
          <w:szCs w:val="21"/>
          <w:shd w:val="clear" w:color="auto" w:fill="FFFFFF"/>
        </w:rPr>
        <w:t>就</w:t>
      </w:r>
      <w:r w:rsidRPr="00D56C50">
        <w:rPr>
          <w:rFonts w:asciiTheme="minorEastAsia" w:eastAsiaTheme="minorEastAsia" w:hAnsiTheme="minorEastAsia" w:hint="eastAsia"/>
          <w:szCs w:val="21"/>
          <w:shd w:val="clear" w:color="auto" w:fill="FFFFFF"/>
        </w:rPr>
        <w:t>存在着土地收益如何分配的难题。土地制度改革的核心在于如何保护好农民的利益。这恐怕是农民改变自己命运的最后一次机会。如果土地都市场化</w:t>
      </w:r>
      <w:r w:rsidR="00AB50E2" w:rsidRPr="00D56C50">
        <w:rPr>
          <w:rFonts w:asciiTheme="minorEastAsia" w:eastAsiaTheme="minorEastAsia" w:hAnsiTheme="minorEastAsia" w:hint="eastAsia"/>
          <w:szCs w:val="21"/>
          <w:shd w:val="clear" w:color="auto" w:fill="FFFFFF"/>
        </w:rPr>
        <w:t>、资本化</w:t>
      </w:r>
      <w:r w:rsidRPr="00D56C50">
        <w:rPr>
          <w:rFonts w:asciiTheme="minorEastAsia" w:eastAsiaTheme="minorEastAsia" w:hAnsiTheme="minorEastAsia" w:hint="eastAsia"/>
          <w:szCs w:val="21"/>
          <w:shd w:val="clear" w:color="auto" w:fill="FFFFFF"/>
        </w:rPr>
        <w:t>了，但是土地增值收益却跟农民没有关系或少有关系，这将是巨大的失误</w:t>
      </w:r>
      <w:r w:rsidR="006229CA" w:rsidRPr="00D56C50">
        <w:rPr>
          <w:rFonts w:asciiTheme="minorEastAsia" w:eastAsiaTheme="minorEastAsia" w:hAnsiTheme="minorEastAsia" w:hint="eastAsia"/>
          <w:szCs w:val="21"/>
          <w:shd w:val="clear" w:color="auto" w:fill="FFFFFF"/>
        </w:rPr>
        <w:t>，</w:t>
      </w:r>
      <w:r w:rsidRPr="00D56C50">
        <w:rPr>
          <w:rFonts w:asciiTheme="minorEastAsia" w:eastAsiaTheme="minorEastAsia" w:hAnsiTheme="minorEastAsia" w:hint="eastAsia"/>
          <w:szCs w:val="21"/>
          <w:shd w:val="clear" w:color="auto" w:fill="FFFFFF"/>
        </w:rPr>
        <w:t>我们也</w:t>
      </w:r>
      <w:r w:rsidR="006229CA" w:rsidRPr="00D56C50">
        <w:rPr>
          <w:rFonts w:asciiTheme="minorEastAsia" w:eastAsiaTheme="minorEastAsia" w:hAnsiTheme="minorEastAsia" w:hint="eastAsia"/>
          <w:szCs w:val="21"/>
          <w:shd w:val="clear" w:color="auto" w:fill="FFFFFF"/>
        </w:rPr>
        <w:t>将失去</w:t>
      </w:r>
      <w:r w:rsidRPr="00D56C50">
        <w:rPr>
          <w:rFonts w:asciiTheme="minorEastAsia" w:eastAsiaTheme="minorEastAsia" w:hAnsiTheme="minorEastAsia" w:hint="eastAsia"/>
          <w:szCs w:val="21"/>
          <w:shd w:val="clear" w:color="auto" w:fill="FFFFFF"/>
        </w:rPr>
        <w:t>消除城乡收入差别的重要机会。因此，《土地管理法》的修订，以及在推进土地要素市场化配制体制机制改革过程中，要深化农村土地</w:t>
      </w:r>
      <w:r w:rsidR="00F214D7" w:rsidRPr="00D56C50">
        <w:rPr>
          <w:rFonts w:asciiTheme="minorEastAsia" w:eastAsiaTheme="minorEastAsia" w:hAnsiTheme="minorEastAsia" w:hint="eastAsia"/>
          <w:szCs w:val="21"/>
          <w:shd w:val="clear" w:color="auto" w:fill="FFFFFF"/>
        </w:rPr>
        <w:t>制度改革，推进宅基地流转、置换方式创新，让农村居民合理分享土地增</w:t>
      </w:r>
      <w:r w:rsidRPr="00D56C50">
        <w:rPr>
          <w:rFonts w:asciiTheme="minorEastAsia" w:eastAsiaTheme="minorEastAsia" w:hAnsiTheme="minorEastAsia" w:hint="eastAsia"/>
          <w:szCs w:val="21"/>
          <w:shd w:val="clear" w:color="auto" w:fill="FFFFFF"/>
        </w:rPr>
        <w:t>值收益，真正将农民的土地财产权利落实到位。</w:t>
      </w:r>
    </w:p>
    <w:p w14:paraId="54AF2C2B" w14:textId="77777777" w:rsidR="00F214D7" w:rsidRPr="00D56C50" w:rsidRDefault="00F214D7" w:rsidP="002B7F04">
      <w:pPr>
        <w:spacing w:line="288" w:lineRule="auto"/>
        <w:ind w:firstLineChars="202" w:firstLine="424"/>
      </w:pPr>
    </w:p>
    <w:p w14:paraId="5F3E4F40" w14:textId="77777777" w:rsidR="00AB50E2" w:rsidRPr="00D56C50" w:rsidRDefault="004164F8"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（四）</w:t>
      </w:r>
      <w:r w:rsidR="00AB50E2" w:rsidRPr="00D56C50">
        <w:rPr>
          <w:rFonts w:asciiTheme="minorEastAsia" w:eastAsiaTheme="minorEastAsia" w:hAnsiTheme="minorEastAsia" w:hint="eastAsia"/>
          <w:sz w:val="21"/>
          <w:szCs w:val="21"/>
        </w:rPr>
        <w:t>发展普惠金融，</w:t>
      </w:r>
      <w:r w:rsidR="00E62C2F" w:rsidRPr="00D56C50">
        <w:rPr>
          <w:rFonts w:asciiTheme="minorEastAsia" w:eastAsiaTheme="minorEastAsia" w:hAnsiTheme="minorEastAsia" w:hint="eastAsia"/>
          <w:sz w:val="21"/>
          <w:szCs w:val="21"/>
        </w:rPr>
        <w:t>使低收入群体也能分享增长红利</w:t>
      </w:r>
      <w:r w:rsidR="00AB50E2" w:rsidRPr="00D56C50">
        <w:rPr>
          <w:rFonts w:asciiTheme="minorEastAsia" w:eastAsiaTheme="minorEastAsia" w:hAnsiTheme="minorEastAsia" w:hint="eastAsia"/>
          <w:sz w:val="21"/>
          <w:szCs w:val="21"/>
        </w:rPr>
        <w:t>。</w:t>
      </w:r>
    </w:p>
    <w:p w14:paraId="74733E16" w14:textId="77777777" w:rsidR="00AB50E2" w:rsidRPr="00D56C50" w:rsidRDefault="00AB50E2" w:rsidP="002B7F04">
      <w:pPr>
        <w:spacing w:line="288" w:lineRule="auto"/>
        <w:ind w:firstLineChars="202" w:firstLine="424"/>
      </w:pPr>
      <w:r w:rsidRPr="00D56C50">
        <w:rPr>
          <w:rFonts w:hint="eastAsia"/>
        </w:rPr>
        <w:t>一是发展普惠金融，提升低收入群体和小微企业的信贷可获得性。由于普惠金融业务成本高、效率低、盈利小，导致</w:t>
      </w:r>
      <w:r w:rsidRPr="00D56C50">
        <w:t>商业可持续</w:t>
      </w:r>
      <w:r w:rsidRPr="00D56C50">
        <w:rPr>
          <w:rFonts w:hint="eastAsia"/>
        </w:rPr>
        <w:t>性</w:t>
      </w:r>
      <w:r w:rsidRPr="00D56C50">
        <w:t>与大众可获得性</w:t>
      </w:r>
      <w:r w:rsidRPr="00D56C50">
        <w:rPr>
          <w:rFonts w:hint="eastAsia"/>
        </w:rPr>
        <w:t>存在一定的内在</w:t>
      </w:r>
      <w:r w:rsidRPr="00D56C50">
        <w:t>矛盾</w:t>
      </w:r>
      <w:r w:rsidRPr="00D56C50">
        <w:rPr>
          <w:rFonts w:hint="eastAsia"/>
        </w:rPr>
        <w:t>，成为制约</w:t>
      </w:r>
      <w:r w:rsidRPr="00D56C50">
        <w:rPr>
          <w:rFonts w:hint="eastAsia"/>
        </w:rPr>
        <w:lastRenderedPageBreak/>
        <w:t>普惠金融发展的主要因素。</w:t>
      </w:r>
      <w:r w:rsidR="00EB2235" w:rsidRPr="00D56C50">
        <w:rPr>
          <w:rFonts w:hint="eastAsia"/>
        </w:rPr>
        <w:t>普惠金融不能只是普而不惠或惠而不普，而是要“普”、“惠”、商业可持续性三者兼顾。</w:t>
      </w:r>
      <w:r w:rsidRPr="00D56C50">
        <w:rPr>
          <w:rFonts w:hint="eastAsia"/>
        </w:rPr>
        <w:t>因此</w:t>
      </w:r>
      <w:r w:rsidR="00EB2235" w:rsidRPr="00D56C50">
        <w:rPr>
          <w:rFonts w:hint="eastAsia"/>
        </w:rPr>
        <w:t>，一方面要精准定位，多措并举地让</w:t>
      </w:r>
      <w:r w:rsidR="00223F81" w:rsidRPr="00D56C50">
        <w:rPr>
          <w:rFonts w:hint="eastAsia"/>
        </w:rPr>
        <w:t>低收入群体和小微企业获得金融服务</w:t>
      </w:r>
      <w:r w:rsidR="00EB2235" w:rsidRPr="00D56C50">
        <w:rPr>
          <w:rFonts w:hint="eastAsia"/>
        </w:rPr>
        <w:t>，实现信贷投放以“量”增带动“面”扩和“价”降，形成又“普”又“惠”的金融服务体系；另一方面，应加强技术攻关，打通普惠金融信贷业务中存在的堵点，帮助金融机构“提质、降本”，为商业可持续性汲取动力。</w:t>
      </w:r>
      <w:r w:rsidRPr="00D56C50">
        <w:rPr>
          <w:rFonts w:hint="eastAsia"/>
        </w:rPr>
        <w:t>二是突破金融准入门槛，让低收入群体能够分享增长收益。拓宽居民利息、股息、红利、租金、保险等财产性增收渠道，合理调整准入门槛，</w:t>
      </w:r>
      <w:r w:rsidR="00E62C2F" w:rsidRPr="00D56C50">
        <w:rPr>
          <w:rFonts w:hint="eastAsia"/>
        </w:rPr>
        <w:t>增强金融市场和资本市场财富保值增值功能的普惠性，有效增加居民财产性收入，使更多的低收入群体可以藉由金融渠道分享到增长红利。</w:t>
      </w:r>
      <w:bookmarkEnd w:id="0"/>
      <w:bookmarkEnd w:id="1"/>
    </w:p>
    <w:p w14:paraId="0421CB28" w14:textId="77777777" w:rsidR="00F16378" w:rsidRPr="00D56C50" w:rsidRDefault="00E62C2F" w:rsidP="002B7F04">
      <w:pPr>
        <w:pStyle w:val="2"/>
        <w:spacing w:line="288" w:lineRule="auto"/>
        <w:rPr>
          <w:rFonts w:asciiTheme="minorEastAsia" w:eastAsiaTheme="minorEastAsia" w:hAnsiTheme="minorEastAsia"/>
          <w:sz w:val="21"/>
          <w:szCs w:val="21"/>
        </w:rPr>
      </w:pPr>
      <w:r w:rsidRPr="00D56C50">
        <w:rPr>
          <w:rFonts w:asciiTheme="minorEastAsia" w:eastAsiaTheme="minorEastAsia" w:hAnsiTheme="minorEastAsia" w:hint="eastAsia"/>
          <w:sz w:val="21"/>
          <w:szCs w:val="21"/>
        </w:rPr>
        <w:t>（五）</w:t>
      </w:r>
      <w:r w:rsidR="00223F81" w:rsidRPr="00D56C50">
        <w:rPr>
          <w:rFonts w:asciiTheme="minorEastAsia" w:eastAsiaTheme="minorEastAsia" w:hAnsiTheme="minorEastAsia" w:hint="eastAsia"/>
          <w:sz w:val="21"/>
          <w:szCs w:val="21"/>
        </w:rPr>
        <w:t>重视</w:t>
      </w:r>
      <w:r w:rsidRPr="00D56C50">
        <w:rPr>
          <w:rFonts w:asciiTheme="minorEastAsia" w:eastAsiaTheme="minorEastAsia" w:hAnsiTheme="minorEastAsia" w:hint="eastAsia"/>
          <w:sz w:val="21"/>
          <w:szCs w:val="21"/>
        </w:rPr>
        <w:t>金融科技</w:t>
      </w:r>
      <w:r w:rsidR="009C106F" w:rsidRPr="00D56C50">
        <w:rPr>
          <w:rFonts w:asciiTheme="minorEastAsia" w:eastAsiaTheme="minorEastAsia" w:hAnsiTheme="minorEastAsia" w:hint="eastAsia"/>
          <w:sz w:val="21"/>
          <w:szCs w:val="21"/>
        </w:rPr>
        <w:t>的双刃剑效应</w:t>
      </w:r>
      <w:r w:rsidR="00127CA0" w:rsidRPr="00D56C50">
        <w:rPr>
          <w:rFonts w:asciiTheme="minorEastAsia" w:eastAsiaTheme="minorEastAsia" w:hAnsiTheme="minorEastAsia" w:hint="eastAsia"/>
          <w:sz w:val="21"/>
          <w:szCs w:val="21"/>
        </w:rPr>
        <w:t>，</w:t>
      </w:r>
      <w:r w:rsidR="009C106F" w:rsidRPr="00D56C50">
        <w:rPr>
          <w:rFonts w:asciiTheme="minorEastAsia" w:eastAsiaTheme="minorEastAsia" w:hAnsiTheme="minorEastAsia" w:hint="eastAsia"/>
          <w:sz w:val="21"/>
          <w:szCs w:val="21"/>
        </w:rPr>
        <w:t>推进金融科技向善</w:t>
      </w:r>
      <w:r w:rsidRPr="00D56C50">
        <w:rPr>
          <w:rFonts w:asciiTheme="minorEastAsia" w:eastAsiaTheme="minorEastAsia" w:hAnsiTheme="minorEastAsia" w:hint="eastAsia"/>
          <w:sz w:val="21"/>
          <w:szCs w:val="21"/>
        </w:rPr>
        <w:t>。</w:t>
      </w:r>
    </w:p>
    <w:p w14:paraId="1F7B6612" w14:textId="77777777" w:rsidR="00223F81" w:rsidRPr="00D56C50" w:rsidRDefault="009C106F" w:rsidP="002B7F04">
      <w:pPr>
        <w:spacing w:line="288" w:lineRule="auto"/>
        <w:ind w:firstLineChars="200" w:firstLine="420"/>
      </w:pPr>
      <w:r w:rsidRPr="00D56C50">
        <w:rPr>
          <w:rFonts w:hint="eastAsia"/>
        </w:rPr>
        <w:t>金融科技推进金融包容性的同时，</w:t>
      </w:r>
      <w:r w:rsidRPr="00D56C50">
        <w:t>也出现了数字鸿沟</w:t>
      </w:r>
      <w:r w:rsidRPr="00D56C50">
        <w:rPr>
          <w:rFonts w:hint="eastAsia"/>
        </w:rPr>
        <w:t>、</w:t>
      </w:r>
      <w:r w:rsidRPr="00D56C50">
        <w:t>风险外溢</w:t>
      </w:r>
      <w:r w:rsidRPr="00D56C50">
        <w:rPr>
          <w:rFonts w:hint="eastAsia"/>
        </w:rPr>
        <w:t>和数据治理</w:t>
      </w:r>
      <w:r w:rsidRPr="00D56C50">
        <w:t>等</w:t>
      </w:r>
      <w:r w:rsidRPr="00D56C50">
        <w:rPr>
          <w:rFonts w:hint="eastAsia"/>
        </w:rPr>
        <w:t>方面的</w:t>
      </w:r>
      <w:r w:rsidRPr="00D56C50">
        <w:t>挑战。</w:t>
      </w:r>
      <w:r w:rsidRPr="00D56C50">
        <w:rPr>
          <w:rFonts w:hint="eastAsia"/>
        </w:rPr>
        <w:t>因此，需要重视金融科技的双刃剑效应，推进金融科技向善。</w:t>
      </w:r>
      <w:r w:rsidR="00223F81" w:rsidRPr="00D56C50">
        <w:rPr>
          <w:rFonts w:hint="eastAsia"/>
        </w:rPr>
        <w:t>一是</w:t>
      </w:r>
      <w:r w:rsidRPr="00D56C50">
        <w:rPr>
          <w:rFonts w:hint="eastAsia"/>
        </w:rPr>
        <w:t>弥补数字鸿沟。这包括</w:t>
      </w:r>
      <w:r w:rsidR="00127CA0" w:rsidRPr="00D56C50">
        <w:rPr>
          <w:rFonts w:hint="eastAsia"/>
        </w:rPr>
        <w:t>加大农村、西部等地区数字基础设施建设投入，强化互联互通，</w:t>
      </w:r>
      <w:r w:rsidR="00223F81" w:rsidRPr="00D56C50">
        <w:rPr>
          <w:rFonts w:hint="eastAsia"/>
        </w:rPr>
        <w:t>弥合城乡、地区间的</w:t>
      </w:r>
      <w:r w:rsidR="00223F81" w:rsidRPr="00D56C50">
        <w:t>数字化建设鸿沟</w:t>
      </w:r>
      <w:r w:rsidR="00223F81" w:rsidRPr="00D56C50">
        <w:rPr>
          <w:rFonts w:hint="eastAsia"/>
        </w:rPr>
        <w:t>；</w:t>
      </w:r>
      <w:r w:rsidRPr="00D56C50">
        <w:rPr>
          <w:rFonts w:hint="eastAsia"/>
        </w:rPr>
        <w:t>以及</w:t>
      </w:r>
      <w:r w:rsidR="00223F81" w:rsidRPr="00D56C50">
        <w:t>聚焦老年、少数民族、残障等人群日常生活中的高频金融场景，打造适老化、民族版、关怀式移动金融产品，运用智能移动设备延伸金融服务触角，破解群体间数字化应用鸿沟</w:t>
      </w:r>
      <w:r w:rsidR="00223F81" w:rsidRPr="00D56C50">
        <w:rPr>
          <w:rFonts w:hint="eastAsia"/>
        </w:rPr>
        <w:t>。二是</w:t>
      </w:r>
      <w:r w:rsidRPr="00D56C50">
        <w:rPr>
          <w:rFonts w:hint="eastAsia"/>
        </w:rPr>
        <w:t>规范金融科技。</w:t>
      </w:r>
      <w:r w:rsidR="00127CA0" w:rsidRPr="00D56C50">
        <w:t>坚持规范</w:t>
      </w:r>
      <w:r w:rsidR="00127CA0" w:rsidRPr="00D56C50">
        <w:rPr>
          <w:rFonts w:hint="eastAsia"/>
        </w:rPr>
        <w:t>金融科技</w:t>
      </w:r>
      <w:r w:rsidR="00127CA0" w:rsidRPr="00D56C50">
        <w:t>监管和促进发展并重，</w:t>
      </w:r>
      <w:r w:rsidR="00223F81" w:rsidRPr="00D56C50">
        <w:rPr>
          <w:rFonts w:hint="eastAsia"/>
        </w:rPr>
        <w:t>把握好公平、效率、风险三者间的平衡，</w:t>
      </w:r>
      <w:r w:rsidRPr="00D56C50">
        <w:rPr>
          <w:rFonts w:hint="eastAsia"/>
        </w:rPr>
        <w:t>保持金融科技在私人收益率与社会收益率方面的基本一致（避免私人收益率远大于社会收益率），</w:t>
      </w:r>
      <w:r w:rsidR="00127CA0" w:rsidRPr="00D56C50">
        <w:rPr>
          <w:rFonts w:hint="eastAsia"/>
        </w:rPr>
        <w:t>稳步推进</w:t>
      </w:r>
      <w:r w:rsidR="00223F81" w:rsidRPr="00D56C50">
        <w:rPr>
          <w:rFonts w:hint="eastAsia"/>
        </w:rPr>
        <w:t>金融科技</w:t>
      </w:r>
      <w:r w:rsidR="00127CA0" w:rsidRPr="00D56C50">
        <w:rPr>
          <w:rFonts w:hint="eastAsia"/>
        </w:rPr>
        <w:t>助力实现共同富裕。</w:t>
      </w:r>
      <w:r w:rsidR="00223F81" w:rsidRPr="00D56C50">
        <w:rPr>
          <w:rFonts w:hint="eastAsia"/>
        </w:rPr>
        <w:t>三是</w:t>
      </w:r>
      <w:r w:rsidRPr="00D56C50">
        <w:rPr>
          <w:rFonts w:hint="eastAsia"/>
        </w:rPr>
        <w:t>完善数据治理。</w:t>
      </w:r>
      <w:r w:rsidR="00223F81" w:rsidRPr="00D56C50">
        <w:rPr>
          <w:rFonts w:hint="eastAsia"/>
        </w:rPr>
        <w:t>在数据隐私保护与开放共享之间取得平衡，最大限度发挥数据要素的潜在价值。特别是在数</w:t>
      </w:r>
      <w:r w:rsidRPr="00D56C50">
        <w:rPr>
          <w:rFonts w:hint="eastAsia"/>
        </w:rPr>
        <w:t>据产权界定、隐私安全保护、开放共享和反垄断等问题上取得突破，保证</w:t>
      </w:r>
      <w:r w:rsidR="00223F81" w:rsidRPr="00D56C50">
        <w:rPr>
          <w:rFonts w:hint="eastAsia"/>
        </w:rPr>
        <w:t>数据资产收益分配上的公平合理。</w:t>
      </w:r>
    </w:p>
    <w:p w14:paraId="5C077E47" w14:textId="77777777" w:rsidR="00244776" w:rsidRPr="00D56C50" w:rsidRDefault="00244776" w:rsidP="002B7F04">
      <w:pPr>
        <w:spacing w:line="288" w:lineRule="auto"/>
        <w:ind w:firstLineChars="200" w:firstLine="420"/>
      </w:pPr>
    </w:p>
    <w:p w14:paraId="26845D69" w14:textId="77777777" w:rsidR="00A75DB0" w:rsidRPr="00D56C50" w:rsidRDefault="00A75DB0" w:rsidP="002B7F04">
      <w:pPr>
        <w:spacing w:line="288" w:lineRule="auto"/>
        <w:ind w:firstLineChars="200" w:firstLine="420"/>
      </w:pPr>
    </w:p>
    <w:p w14:paraId="3F004309" w14:textId="77777777" w:rsidR="00A75DB0" w:rsidRPr="00D56C50" w:rsidRDefault="00A75DB0" w:rsidP="00A75DB0"/>
    <w:p w14:paraId="08188B76" w14:textId="77777777" w:rsidR="00A75DB0" w:rsidRPr="00D56C50" w:rsidRDefault="00A75DB0" w:rsidP="00A75DB0"/>
    <w:p w14:paraId="30AAE384" w14:textId="77777777" w:rsidR="00244776" w:rsidRPr="00D56C50" w:rsidRDefault="00244776" w:rsidP="00A75DB0">
      <w:r w:rsidRPr="00D56C50">
        <w:br w:type="page"/>
      </w:r>
    </w:p>
    <w:p w14:paraId="26E71AE4" w14:textId="77777777" w:rsidR="00244776" w:rsidRPr="00D56C50" w:rsidRDefault="00244776" w:rsidP="00244776">
      <w:pPr>
        <w:spacing w:line="288" w:lineRule="auto"/>
        <w:rPr>
          <w:rFonts w:eastAsiaTheme="minorEastAsia"/>
          <w:b/>
          <w:szCs w:val="21"/>
        </w:rPr>
      </w:pPr>
      <w:r w:rsidRPr="00D56C50">
        <w:rPr>
          <w:rFonts w:eastAsiaTheme="minorEastAsia"/>
          <w:b/>
          <w:szCs w:val="21"/>
        </w:rPr>
        <w:lastRenderedPageBreak/>
        <w:t>参考文献</w:t>
      </w:r>
    </w:p>
    <w:p w14:paraId="0AFF71CD" w14:textId="77777777" w:rsidR="00244776" w:rsidRPr="00D56C50" w:rsidRDefault="00244776" w:rsidP="00244776">
      <w:pPr>
        <w:spacing w:line="288" w:lineRule="auto"/>
        <w:rPr>
          <w:szCs w:val="21"/>
        </w:rPr>
      </w:pPr>
    </w:p>
    <w:p w14:paraId="04BD7834" w14:textId="77777777" w:rsidR="00244776" w:rsidRPr="00D56C50" w:rsidRDefault="00244776" w:rsidP="00244776">
      <w:pPr>
        <w:spacing w:line="288" w:lineRule="auto"/>
        <w:ind w:left="283" w:hangingChars="135" w:hanging="283"/>
        <w:rPr>
          <w:szCs w:val="21"/>
        </w:rPr>
      </w:pPr>
      <w:r w:rsidRPr="00D56C50">
        <w:rPr>
          <w:rFonts w:eastAsiaTheme="minorEastAsia"/>
          <w:szCs w:val="21"/>
        </w:rPr>
        <w:t>郭武平：《金融科技公司侵害消费者权益的乱象更加值得高度关注》，</w:t>
      </w:r>
      <w:r w:rsidRPr="00D56C50">
        <w:rPr>
          <w:rFonts w:hint="eastAsia"/>
          <w:szCs w:val="21"/>
        </w:rPr>
        <w:t>，新华社客户端</w:t>
      </w:r>
      <w:r w:rsidRPr="00D56C50">
        <w:rPr>
          <w:rFonts w:eastAsiaTheme="minorEastAsia"/>
          <w:szCs w:val="21"/>
        </w:rPr>
        <w:t>2020</w:t>
      </w:r>
      <w:r w:rsidRPr="00D56C50">
        <w:rPr>
          <w:rFonts w:eastAsiaTheme="minorEastAsia"/>
          <w:szCs w:val="21"/>
        </w:rPr>
        <w:t>年</w:t>
      </w:r>
      <w:r w:rsidRPr="00D56C50">
        <w:rPr>
          <w:rFonts w:eastAsiaTheme="minorEastAsia"/>
          <w:szCs w:val="21"/>
        </w:rPr>
        <w:t>11</w:t>
      </w:r>
      <w:r w:rsidRPr="00D56C50">
        <w:rPr>
          <w:rFonts w:eastAsiaTheme="minorEastAsia"/>
          <w:szCs w:val="21"/>
        </w:rPr>
        <w:t>月</w:t>
      </w:r>
      <w:r w:rsidRPr="00D56C50">
        <w:rPr>
          <w:rFonts w:hint="eastAsia"/>
          <w:szCs w:val="21"/>
        </w:rPr>
        <w:t>3</w:t>
      </w:r>
      <w:r w:rsidRPr="00D56C50">
        <w:rPr>
          <w:szCs w:val="21"/>
        </w:rPr>
        <w:t>日</w:t>
      </w:r>
      <w:r w:rsidRPr="00D56C50">
        <w:rPr>
          <w:rFonts w:hint="eastAsia"/>
          <w:szCs w:val="21"/>
        </w:rPr>
        <w:t>。</w:t>
      </w:r>
      <w:hyperlink r:id="rId17" w:history="1">
        <w:r w:rsidRPr="00D56C50">
          <w:rPr>
            <w:rStyle w:val="ad"/>
            <w:color w:val="auto"/>
            <w:szCs w:val="21"/>
          </w:rPr>
          <w:t>https://baijiahao.baidu.com/s?id=1682293365172483880&amp;wfr=spider&amp;for=pc</w:t>
        </w:r>
      </w:hyperlink>
    </w:p>
    <w:p w14:paraId="73B9153D" w14:textId="77777777" w:rsidR="00244776" w:rsidRPr="00D56C50" w:rsidRDefault="00244776" w:rsidP="00244776">
      <w:pPr>
        <w:pStyle w:val="a5"/>
        <w:spacing w:line="288" w:lineRule="auto"/>
        <w:ind w:left="283" w:hangingChars="135" w:hanging="283"/>
        <w:rPr>
          <w:rFonts w:eastAsiaTheme="minorEastAsia"/>
          <w:sz w:val="21"/>
          <w:szCs w:val="21"/>
        </w:rPr>
      </w:pPr>
      <w:r w:rsidRPr="00D56C50">
        <w:rPr>
          <w:rFonts w:eastAsiaTheme="minorEastAsia" w:hint="eastAsia"/>
          <w:sz w:val="21"/>
          <w:szCs w:val="21"/>
        </w:rPr>
        <w:t>罗楚亮、</w:t>
      </w:r>
      <w:r w:rsidRPr="00D56C50">
        <w:rPr>
          <w:rFonts w:asciiTheme="minorEastAsia" w:hAnsiTheme="minorEastAsia" w:hint="eastAsia"/>
          <w:sz w:val="21"/>
          <w:szCs w:val="21"/>
        </w:rPr>
        <w:t>陈国强，2021：</w:t>
      </w:r>
      <w:r w:rsidRPr="00D56C50">
        <w:rPr>
          <w:rFonts w:eastAsiaTheme="minorEastAsia"/>
          <w:sz w:val="21"/>
          <w:szCs w:val="21"/>
        </w:rPr>
        <w:t>《富豪榜与居民财产不平等估算修正》，《经济学季刊》第</w:t>
      </w:r>
      <w:r w:rsidRPr="00D56C50">
        <w:rPr>
          <w:rFonts w:eastAsiaTheme="minorEastAsia"/>
          <w:sz w:val="21"/>
          <w:szCs w:val="21"/>
        </w:rPr>
        <w:t>1</w:t>
      </w:r>
      <w:r w:rsidRPr="00D56C50">
        <w:rPr>
          <w:rFonts w:eastAsiaTheme="minorEastAsia"/>
          <w:sz w:val="21"/>
          <w:szCs w:val="21"/>
        </w:rPr>
        <w:t>期。</w:t>
      </w:r>
    </w:p>
    <w:p w14:paraId="1E70C7C3" w14:textId="77777777" w:rsidR="00244776" w:rsidRPr="00D56C50" w:rsidRDefault="00244776" w:rsidP="00244776">
      <w:pPr>
        <w:spacing w:line="288" w:lineRule="auto"/>
        <w:ind w:left="283" w:hangingChars="135" w:hanging="283"/>
        <w:rPr>
          <w:kern w:val="0"/>
          <w:szCs w:val="21"/>
        </w:rPr>
      </w:pPr>
      <w:r w:rsidRPr="00D56C50">
        <w:rPr>
          <w:rFonts w:eastAsiaTheme="minorEastAsia"/>
          <w:szCs w:val="21"/>
        </w:rPr>
        <w:t>迈克尔</w:t>
      </w:r>
      <w:r w:rsidRPr="00D56C50">
        <w:rPr>
          <w:rFonts w:eastAsiaTheme="minorEastAsia"/>
          <w:szCs w:val="21"/>
        </w:rPr>
        <w:t>·</w:t>
      </w:r>
      <w:r w:rsidRPr="00D56C50">
        <w:rPr>
          <w:rFonts w:eastAsiaTheme="minorEastAsia"/>
          <w:kern w:val="0"/>
          <w:szCs w:val="21"/>
        </w:rPr>
        <w:t>谢若登</w:t>
      </w:r>
      <w:r w:rsidRPr="00D56C50">
        <w:rPr>
          <w:rFonts w:eastAsiaTheme="minorEastAsia"/>
          <w:kern w:val="0"/>
          <w:szCs w:val="21"/>
        </w:rPr>
        <w:t>(1991)</w:t>
      </w:r>
      <w:r w:rsidRPr="00D56C50">
        <w:rPr>
          <w:rFonts w:eastAsiaTheme="minorEastAsia"/>
          <w:kern w:val="0"/>
          <w:szCs w:val="21"/>
        </w:rPr>
        <w:t>：《资产与穷人：一项新的美国福利政策》，商务印书馆</w:t>
      </w:r>
      <w:r w:rsidRPr="00D56C50">
        <w:rPr>
          <w:rFonts w:eastAsiaTheme="minorEastAsia"/>
          <w:kern w:val="0"/>
          <w:szCs w:val="21"/>
        </w:rPr>
        <w:t>2005</w:t>
      </w:r>
      <w:r w:rsidRPr="00D56C50">
        <w:rPr>
          <w:rFonts w:eastAsiaTheme="minorEastAsia"/>
          <w:kern w:val="0"/>
          <w:szCs w:val="21"/>
        </w:rPr>
        <w:t>年</w:t>
      </w:r>
      <w:r w:rsidRPr="00D56C50">
        <w:rPr>
          <w:rFonts w:eastAsiaTheme="minorEastAsia"/>
          <w:kern w:val="0"/>
          <w:szCs w:val="21"/>
        </w:rPr>
        <w:t>9</w:t>
      </w:r>
      <w:r w:rsidRPr="00D56C50">
        <w:rPr>
          <w:rFonts w:eastAsiaTheme="minorEastAsia"/>
          <w:kern w:val="0"/>
          <w:szCs w:val="21"/>
        </w:rPr>
        <w:t>月中译本。</w:t>
      </w:r>
    </w:p>
    <w:p w14:paraId="67AC4E64" w14:textId="77777777" w:rsidR="00244776" w:rsidRPr="00D56C50" w:rsidRDefault="00244776" w:rsidP="00244776">
      <w:pPr>
        <w:spacing w:line="288" w:lineRule="auto"/>
        <w:ind w:left="283" w:hangingChars="135" w:hanging="283"/>
        <w:rPr>
          <w:szCs w:val="21"/>
          <w:shd w:val="clear" w:color="auto" w:fill="FFFFFF"/>
        </w:rPr>
      </w:pPr>
      <w:r w:rsidRPr="00D56C50">
        <w:rPr>
          <w:rFonts w:eastAsiaTheme="minorEastAsia"/>
          <w:szCs w:val="21"/>
        </w:rPr>
        <w:t>唐纳德</w:t>
      </w:r>
      <w:r w:rsidRPr="00D56C50">
        <w:rPr>
          <w:rFonts w:eastAsiaTheme="minorEastAsia"/>
          <w:szCs w:val="21"/>
        </w:rPr>
        <w:t>·</w:t>
      </w:r>
      <w:r w:rsidRPr="00D56C50">
        <w:rPr>
          <w:rFonts w:eastAsiaTheme="minorEastAsia"/>
          <w:szCs w:val="21"/>
        </w:rPr>
        <w:t>托马斯科维奇</w:t>
      </w:r>
      <w:r w:rsidRPr="00D56C50">
        <w:rPr>
          <w:rFonts w:eastAsiaTheme="minorEastAsia"/>
          <w:szCs w:val="21"/>
        </w:rPr>
        <w:t>-</w:t>
      </w:r>
      <w:r w:rsidRPr="00D56C50">
        <w:rPr>
          <w:rFonts w:eastAsiaTheme="minorEastAsia"/>
          <w:szCs w:val="21"/>
        </w:rPr>
        <w:t>迪维，林庚厚，刘沆，</w:t>
      </w:r>
      <w:r w:rsidRPr="00D56C50">
        <w:rPr>
          <w:rFonts w:eastAsiaTheme="minorEastAsia"/>
          <w:szCs w:val="21"/>
        </w:rPr>
        <w:t>2015</w:t>
      </w:r>
      <w:r w:rsidRPr="00D56C50">
        <w:rPr>
          <w:rFonts w:eastAsiaTheme="minorEastAsia"/>
          <w:szCs w:val="21"/>
        </w:rPr>
        <w:t>：《收入不平等、经济租金和美国经济的金融化》，《政治经济学报》</w:t>
      </w:r>
      <w:r w:rsidRPr="00D56C50">
        <w:rPr>
          <w:rFonts w:hint="eastAsia"/>
          <w:szCs w:val="21"/>
          <w:shd w:val="clear" w:color="auto" w:fill="FFFFFF"/>
        </w:rPr>
        <w:t>第</w:t>
      </w:r>
      <w:r w:rsidRPr="00D56C50">
        <w:rPr>
          <w:rFonts w:hint="eastAsia"/>
          <w:szCs w:val="21"/>
          <w:shd w:val="clear" w:color="auto" w:fill="FFFFFF"/>
        </w:rPr>
        <w:t>2</w:t>
      </w:r>
      <w:r w:rsidRPr="00D56C50">
        <w:rPr>
          <w:rFonts w:hint="eastAsia"/>
          <w:szCs w:val="21"/>
          <w:shd w:val="clear" w:color="auto" w:fill="FFFFFF"/>
        </w:rPr>
        <w:t>期。</w:t>
      </w:r>
    </w:p>
    <w:p w14:paraId="58484844" w14:textId="77777777" w:rsidR="00244776" w:rsidRPr="00D56C50" w:rsidRDefault="00244776" w:rsidP="00244776">
      <w:pPr>
        <w:autoSpaceDE w:val="0"/>
        <w:autoSpaceDN w:val="0"/>
        <w:adjustRightInd w:val="0"/>
        <w:spacing w:line="288" w:lineRule="auto"/>
        <w:ind w:left="283" w:hangingChars="135" w:hanging="283"/>
        <w:jc w:val="left"/>
        <w:rPr>
          <w:rFonts w:eastAsiaTheme="minorEastAsia"/>
          <w:kern w:val="0"/>
          <w:szCs w:val="21"/>
        </w:rPr>
      </w:pPr>
      <w:r w:rsidRPr="00D56C50">
        <w:rPr>
          <w:rFonts w:eastAsiaTheme="minorEastAsia"/>
          <w:kern w:val="0"/>
          <w:szCs w:val="21"/>
        </w:rPr>
        <w:t>托马斯</w:t>
      </w:r>
      <w:r w:rsidRPr="00D56C50">
        <w:rPr>
          <w:rFonts w:eastAsiaTheme="minorEastAsia"/>
          <w:kern w:val="0"/>
          <w:szCs w:val="21"/>
        </w:rPr>
        <w:t>·</w:t>
      </w:r>
      <w:r w:rsidRPr="00D56C50">
        <w:rPr>
          <w:rFonts w:eastAsiaTheme="minorEastAsia"/>
          <w:kern w:val="0"/>
          <w:szCs w:val="21"/>
        </w:rPr>
        <w:t>皮凯蒂，</w:t>
      </w:r>
      <w:r w:rsidRPr="00D56C50">
        <w:rPr>
          <w:rFonts w:eastAsiaTheme="minorEastAsia"/>
          <w:kern w:val="0"/>
          <w:szCs w:val="21"/>
        </w:rPr>
        <w:t>2015</w:t>
      </w:r>
      <w:r w:rsidRPr="00D56C50">
        <w:rPr>
          <w:rFonts w:eastAsiaTheme="minorEastAsia"/>
          <w:kern w:val="0"/>
          <w:szCs w:val="21"/>
        </w:rPr>
        <w:t>：《</w:t>
      </w:r>
      <w:r w:rsidRPr="00D56C50">
        <w:rPr>
          <w:rFonts w:eastAsiaTheme="minorEastAsia"/>
          <w:kern w:val="0"/>
          <w:szCs w:val="21"/>
        </w:rPr>
        <w:t>21</w:t>
      </w:r>
      <w:r w:rsidRPr="00D56C50">
        <w:rPr>
          <w:rFonts w:eastAsiaTheme="minorEastAsia"/>
          <w:kern w:val="0"/>
          <w:szCs w:val="21"/>
        </w:rPr>
        <w:t>世纪资本论》，中信出版社，中译本。</w:t>
      </w:r>
    </w:p>
    <w:p w14:paraId="68092ECB" w14:textId="77777777" w:rsidR="00244776" w:rsidRPr="00D56C50" w:rsidRDefault="00244776" w:rsidP="00244776">
      <w:pPr>
        <w:spacing w:line="288" w:lineRule="auto"/>
        <w:ind w:left="283" w:hangingChars="135" w:hanging="283"/>
        <w:rPr>
          <w:szCs w:val="21"/>
        </w:rPr>
      </w:pPr>
      <w:r w:rsidRPr="00D56C50">
        <w:rPr>
          <w:szCs w:val="21"/>
        </w:rPr>
        <w:t>易纲</w:t>
      </w:r>
      <w:r w:rsidRPr="00D56C50">
        <w:rPr>
          <w:rFonts w:hint="eastAsia"/>
          <w:szCs w:val="21"/>
        </w:rPr>
        <w:t>，</w:t>
      </w:r>
      <w:r w:rsidRPr="00D56C50">
        <w:rPr>
          <w:rFonts w:hint="eastAsia"/>
          <w:szCs w:val="21"/>
        </w:rPr>
        <w:t>2021</w:t>
      </w:r>
      <w:r w:rsidRPr="00D56C50">
        <w:rPr>
          <w:rFonts w:hint="eastAsia"/>
          <w:szCs w:val="21"/>
        </w:rPr>
        <w:t>：《</w:t>
      </w:r>
      <w:r w:rsidRPr="00D56C50">
        <w:rPr>
          <w:rFonts w:eastAsiaTheme="minorEastAsia"/>
          <w:szCs w:val="21"/>
        </w:rPr>
        <w:t>中国大型科技公司监管实践</w:t>
      </w:r>
      <w:r w:rsidRPr="00D56C50">
        <w:rPr>
          <w:rFonts w:eastAsiaTheme="minorEastAsia"/>
          <w:szCs w:val="21"/>
        </w:rPr>
        <w:t>——</w:t>
      </w:r>
      <w:r w:rsidRPr="00D56C50">
        <w:rPr>
          <w:rFonts w:eastAsiaTheme="minorEastAsia"/>
          <w:szCs w:val="21"/>
        </w:rPr>
        <w:t>在国际清算银行</w:t>
      </w:r>
      <w:r w:rsidRPr="00D56C50">
        <w:rPr>
          <w:rFonts w:eastAsiaTheme="minorEastAsia"/>
          <w:szCs w:val="21"/>
        </w:rPr>
        <w:t>(BIS)</w:t>
      </w:r>
      <w:r w:rsidRPr="00D56C50">
        <w:rPr>
          <w:rFonts w:eastAsiaTheme="minorEastAsia"/>
          <w:szCs w:val="21"/>
        </w:rPr>
        <w:t>监管大型科技公司国际会议上的讲话</w:t>
      </w:r>
      <w:r w:rsidRPr="00D56C50">
        <w:rPr>
          <w:rFonts w:hint="eastAsia"/>
          <w:szCs w:val="21"/>
        </w:rPr>
        <w:t>》（</w:t>
      </w:r>
      <w:r w:rsidRPr="00D56C50">
        <w:rPr>
          <w:rFonts w:eastAsiaTheme="minorEastAsia"/>
          <w:szCs w:val="21"/>
        </w:rPr>
        <w:t>2021</w:t>
      </w:r>
      <w:r w:rsidRPr="00D56C50">
        <w:rPr>
          <w:rFonts w:eastAsiaTheme="minorEastAsia"/>
          <w:szCs w:val="21"/>
        </w:rPr>
        <w:t>年</w:t>
      </w:r>
      <w:r w:rsidRPr="00D56C50">
        <w:rPr>
          <w:rFonts w:eastAsiaTheme="minorEastAsia"/>
          <w:szCs w:val="21"/>
        </w:rPr>
        <w:t>10</w:t>
      </w:r>
      <w:r w:rsidRPr="00D56C50">
        <w:rPr>
          <w:rFonts w:eastAsiaTheme="minorEastAsia"/>
          <w:szCs w:val="21"/>
        </w:rPr>
        <w:t>月</w:t>
      </w:r>
      <w:r w:rsidRPr="00D56C50">
        <w:rPr>
          <w:rFonts w:eastAsiaTheme="minorEastAsia"/>
          <w:szCs w:val="21"/>
        </w:rPr>
        <w:t>7</w:t>
      </w:r>
      <w:r w:rsidRPr="00D56C50">
        <w:rPr>
          <w:rFonts w:eastAsiaTheme="minorEastAsia"/>
          <w:szCs w:val="21"/>
        </w:rPr>
        <w:t>日</w:t>
      </w:r>
      <w:r w:rsidRPr="00D56C50">
        <w:rPr>
          <w:rFonts w:hint="eastAsia"/>
          <w:szCs w:val="21"/>
        </w:rPr>
        <w:t>）</w:t>
      </w:r>
      <w:hyperlink r:id="rId18" w:history="1">
        <w:r w:rsidRPr="00D56C50">
          <w:rPr>
            <w:rStyle w:val="ad"/>
            <w:color w:val="auto"/>
            <w:szCs w:val="21"/>
          </w:rPr>
          <w:t>http://www.pbc.gov.cn/goutongjiaoliu/113456/113469/4357047/index.html</w:t>
        </w:r>
      </w:hyperlink>
    </w:p>
    <w:p w14:paraId="435516A2" w14:textId="77777777" w:rsidR="00244776" w:rsidRPr="00D56C50" w:rsidRDefault="00244776" w:rsidP="00244776">
      <w:pPr>
        <w:spacing w:line="288" w:lineRule="auto"/>
        <w:ind w:left="283" w:hangingChars="135" w:hanging="283"/>
        <w:rPr>
          <w:kern w:val="0"/>
          <w:szCs w:val="21"/>
        </w:rPr>
      </w:pPr>
      <w:r w:rsidRPr="00D56C50">
        <w:rPr>
          <w:rFonts w:eastAsiaTheme="minorEastAsia"/>
          <w:kern w:val="0"/>
          <w:szCs w:val="21"/>
        </w:rPr>
        <w:t>张晓晶</w:t>
      </w:r>
      <w:r w:rsidRPr="00D56C50">
        <w:rPr>
          <w:rFonts w:eastAsiaTheme="minorEastAsia"/>
          <w:kern w:val="0"/>
          <w:szCs w:val="21"/>
        </w:rPr>
        <w:t xml:space="preserve"> </w:t>
      </w:r>
      <w:r w:rsidRPr="00D56C50">
        <w:rPr>
          <w:rFonts w:eastAsiaTheme="minorEastAsia"/>
          <w:kern w:val="0"/>
          <w:szCs w:val="21"/>
        </w:rPr>
        <w:t>李成</w:t>
      </w:r>
      <w:r w:rsidRPr="00D56C50">
        <w:rPr>
          <w:rFonts w:eastAsiaTheme="minorEastAsia"/>
          <w:kern w:val="0"/>
          <w:szCs w:val="21"/>
        </w:rPr>
        <w:t xml:space="preserve"> </w:t>
      </w:r>
      <w:r w:rsidRPr="00D56C50">
        <w:rPr>
          <w:rFonts w:eastAsiaTheme="minorEastAsia"/>
          <w:kern w:val="0"/>
          <w:szCs w:val="21"/>
        </w:rPr>
        <w:t>李育</w:t>
      </w:r>
      <w:r w:rsidRPr="00D56C50">
        <w:rPr>
          <w:rFonts w:hint="eastAsia"/>
          <w:kern w:val="0"/>
          <w:szCs w:val="21"/>
        </w:rPr>
        <w:t>，</w:t>
      </w:r>
      <w:r w:rsidRPr="00D56C50">
        <w:rPr>
          <w:rFonts w:hint="eastAsia"/>
          <w:kern w:val="0"/>
          <w:szCs w:val="21"/>
        </w:rPr>
        <w:t>2018</w:t>
      </w:r>
      <w:r w:rsidRPr="00D56C50">
        <w:rPr>
          <w:rFonts w:eastAsiaTheme="minorEastAsia"/>
          <w:kern w:val="0"/>
          <w:szCs w:val="21"/>
        </w:rPr>
        <w:t>：</w:t>
      </w:r>
      <w:r w:rsidRPr="00D56C50">
        <w:rPr>
          <w:kern w:val="0"/>
          <w:szCs w:val="21"/>
        </w:rPr>
        <w:t>《扭曲、赶超与可持续增长：对政府与市场关系的重新审视》</w:t>
      </w:r>
      <w:r w:rsidRPr="00D56C50">
        <w:rPr>
          <w:rFonts w:eastAsiaTheme="minorEastAsia"/>
          <w:kern w:val="0"/>
          <w:szCs w:val="21"/>
        </w:rPr>
        <w:t>，《经济研究》第</w:t>
      </w:r>
      <w:r w:rsidRPr="00D56C50">
        <w:rPr>
          <w:rFonts w:eastAsiaTheme="minorEastAsia"/>
          <w:kern w:val="0"/>
          <w:szCs w:val="21"/>
        </w:rPr>
        <w:t>1</w:t>
      </w:r>
      <w:r w:rsidRPr="00D56C50">
        <w:rPr>
          <w:rFonts w:eastAsiaTheme="minorEastAsia"/>
          <w:kern w:val="0"/>
          <w:szCs w:val="21"/>
        </w:rPr>
        <w:t>期。</w:t>
      </w:r>
    </w:p>
    <w:p w14:paraId="32522C7B" w14:textId="77777777" w:rsidR="00244776" w:rsidRPr="00D56C50" w:rsidRDefault="00244776" w:rsidP="00244776">
      <w:pPr>
        <w:autoSpaceDE w:val="0"/>
        <w:autoSpaceDN w:val="0"/>
        <w:adjustRightInd w:val="0"/>
        <w:spacing w:line="288" w:lineRule="auto"/>
        <w:ind w:left="283" w:hangingChars="135" w:hanging="283"/>
        <w:jc w:val="left"/>
        <w:rPr>
          <w:rFonts w:eastAsiaTheme="minorEastAsia"/>
          <w:kern w:val="0"/>
          <w:szCs w:val="21"/>
        </w:rPr>
      </w:pPr>
      <w:r w:rsidRPr="00D56C50">
        <w:rPr>
          <w:rFonts w:eastAsiaTheme="minorEastAsia"/>
          <w:kern w:val="0"/>
          <w:szCs w:val="21"/>
        </w:rPr>
        <w:t>张晓晶，</w:t>
      </w:r>
      <w:r w:rsidRPr="00D56C50">
        <w:rPr>
          <w:rFonts w:eastAsiaTheme="minorEastAsia"/>
          <w:kern w:val="0"/>
          <w:szCs w:val="21"/>
        </w:rPr>
        <w:t>2021</w:t>
      </w:r>
      <w:r w:rsidRPr="00D56C50">
        <w:rPr>
          <w:rFonts w:eastAsiaTheme="minorEastAsia"/>
          <w:kern w:val="0"/>
          <w:szCs w:val="21"/>
        </w:rPr>
        <w:t>：《中国共产党领导中国走向富强的百年探索》，《中国社会科学》第</w:t>
      </w:r>
      <w:r w:rsidRPr="00D56C50">
        <w:rPr>
          <w:rFonts w:eastAsiaTheme="minorEastAsia"/>
          <w:kern w:val="0"/>
          <w:szCs w:val="21"/>
        </w:rPr>
        <w:t>11</w:t>
      </w:r>
      <w:r w:rsidRPr="00D56C50">
        <w:rPr>
          <w:rFonts w:eastAsiaTheme="minorEastAsia"/>
          <w:kern w:val="0"/>
          <w:szCs w:val="21"/>
        </w:rPr>
        <w:t>期。</w:t>
      </w:r>
    </w:p>
    <w:p w14:paraId="1581262E" w14:textId="77777777" w:rsidR="00244776" w:rsidRPr="00D56C50" w:rsidRDefault="00244776" w:rsidP="00244776">
      <w:pPr>
        <w:spacing w:line="288" w:lineRule="auto"/>
        <w:ind w:left="283" w:hangingChars="135" w:hanging="283"/>
        <w:rPr>
          <w:rFonts w:eastAsiaTheme="minorEastAsia"/>
          <w:szCs w:val="21"/>
        </w:rPr>
      </w:pPr>
      <w:r w:rsidRPr="00D56C50">
        <w:rPr>
          <w:rFonts w:eastAsiaTheme="minorEastAsia"/>
          <w:szCs w:val="21"/>
        </w:rPr>
        <w:t>张晓晶</w:t>
      </w:r>
      <w:r w:rsidRPr="00D56C50">
        <w:rPr>
          <w:rFonts w:hint="eastAsia"/>
          <w:szCs w:val="21"/>
        </w:rPr>
        <w:t>、</w:t>
      </w:r>
      <w:r w:rsidRPr="00D56C50">
        <w:rPr>
          <w:rFonts w:eastAsiaTheme="minorEastAsia"/>
          <w:szCs w:val="21"/>
        </w:rPr>
        <w:t>刘学良</w:t>
      </w:r>
      <w:r w:rsidRPr="00D56C50">
        <w:rPr>
          <w:rFonts w:hint="eastAsia"/>
          <w:szCs w:val="21"/>
        </w:rPr>
        <w:t>、</w:t>
      </w:r>
      <w:r w:rsidRPr="00D56C50">
        <w:rPr>
          <w:rFonts w:eastAsiaTheme="minorEastAsia"/>
          <w:szCs w:val="21"/>
        </w:rPr>
        <w:t>王佳</w:t>
      </w:r>
      <w:r w:rsidRPr="00D56C50">
        <w:rPr>
          <w:rFonts w:hint="eastAsia"/>
          <w:szCs w:val="21"/>
        </w:rPr>
        <w:t>，</w:t>
      </w:r>
      <w:r w:rsidRPr="00D56C50">
        <w:rPr>
          <w:rFonts w:hint="eastAsia"/>
          <w:szCs w:val="21"/>
        </w:rPr>
        <w:t>2019</w:t>
      </w:r>
      <w:r w:rsidRPr="00D56C50">
        <w:rPr>
          <w:rFonts w:eastAsiaTheme="minorEastAsia"/>
          <w:szCs w:val="21"/>
        </w:rPr>
        <w:t>：</w:t>
      </w:r>
      <w:r w:rsidRPr="00D56C50">
        <w:rPr>
          <w:szCs w:val="21"/>
        </w:rPr>
        <w:t>《债务高企、风险集聚与体制改革：对发展型政府的反思与超越》</w:t>
      </w:r>
      <w:r w:rsidRPr="00D56C50">
        <w:rPr>
          <w:rFonts w:eastAsiaTheme="minorEastAsia"/>
          <w:szCs w:val="21"/>
        </w:rPr>
        <w:t>，《经济研究》第</w:t>
      </w:r>
      <w:r w:rsidRPr="00D56C50">
        <w:rPr>
          <w:rFonts w:eastAsiaTheme="minorEastAsia"/>
          <w:szCs w:val="21"/>
        </w:rPr>
        <w:t>6</w:t>
      </w:r>
      <w:r w:rsidRPr="00D56C50">
        <w:rPr>
          <w:rFonts w:eastAsiaTheme="minorEastAsia"/>
          <w:szCs w:val="21"/>
        </w:rPr>
        <w:t>期。</w:t>
      </w:r>
    </w:p>
    <w:p w14:paraId="16A26EBB" w14:textId="77777777" w:rsidR="00244776" w:rsidRPr="00D56C50" w:rsidRDefault="00244776" w:rsidP="00244776">
      <w:pPr>
        <w:spacing w:line="288" w:lineRule="auto"/>
        <w:ind w:left="283" w:hangingChars="135" w:hanging="283"/>
        <w:rPr>
          <w:szCs w:val="21"/>
        </w:rPr>
      </w:pPr>
      <w:r w:rsidRPr="00D56C50">
        <w:rPr>
          <w:rFonts w:eastAsiaTheme="minorEastAsia"/>
          <w:szCs w:val="21"/>
        </w:rPr>
        <w:t>赵人伟</w:t>
      </w:r>
      <w:r w:rsidRPr="00D56C50">
        <w:rPr>
          <w:rFonts w:hint="eastAsia"/>
          <w:szCs w:val="21"/>
        </w:rPr>
        <w:t>，</w:t>
      </w:r>
      <w:r w:rsidRPr="00D56C50">
        <w:rPr>
          <w:rFonts w:eastAsiaTheme="minorEastAsia"/>
          <w:szCs w:val="21"/>
        </w:rPr>
        <w:t>2021</w:t>
      </w:r>
      <w:r w:rsidRPr="00D56C50">
        <w:rPr>
          <w:rFonts w:eastAsiaTheme="minorEastAsia"/>
          <w:szCs w:val="21"/>
        </w:rPr>
        <w:t>：《经济转型与民生》，商务印书馆。</w:t>
      </w:r>
    </w:p>
    <w:p w14:paraId="707EC25D" w14:textId="77777777" w:rsidR="00244776" w:rsidRPr="00D56C50" w:rsidRDefault="00244776" w:rsidP="00244776">
      <w:pPr>
        <w:spacing w:line="288" w:lineRule="auto"/>
        <w:ind w:left="424" w:hangingChars="202" w:hanging="424"/>
        <w:rPr>
          <w:rFonts w:eastAsiaTheme="minorEastAsia"/>
          <w:szCs w:val="21"/>
        </w:rPr>
      </w:pPr>
    </w:p>
    <w:p w14:paraId="49F36019"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 xml:space="preserve">Asli </w:t>
      </w:r>
      <w:proofErr w:type="spellStart"/>
      <w:r w:rsidRPr="00D56C50">
        <w:rPr>
          <w:rFonts w:eastAsiaTheme="minorEastAsia"/>
          <w:szCs w:val="21"/>
        </w:rPr>
        <w:t>Demirg-Kunt</w:t>
      </w:r>
      <w:proofErr w:type="spellEnd"/>
      <w:r w:rsidRPr="00D56C50">
        <w:rPr>
          <w:rFonts w:eastAsiaTheme="minorEastAsia"/>
          <w:szCs w:val="21"/>
        </w:rPr>
        <w:t>, Ross Levine , 2009.</w:t>
      </w:r>
      <w:r w:rsidRPr="00D56C50">
        <w:rPr>
          <w:rFonts w:eastAsiaTheme="minorEastAsia"/>
          <w:szCs w:val="21"/>
        </w:rPr>
        <w:t>，</w:t>
      </w:r>
      <w:r w:rsidRPr="00D56C50">
        <w:rPr>
          <w:rFonts w:eastAsiaTheme="minorEastAsia"/>
          <w:szCs w:val="21"/>
        </w:rPr>
        <w:t>“Finance and Inequality: Theory and Evidence”, World Bank Policy Research Working Paper 4967.</w:t>
      </w:r>
    </w:p>
    <w:p w14:paraId="18BA71BB" w14:textId="77777777" w:rsidR="00244776" w:rsidRPr="00D56C50" w:rsidRDefault="00244776" w:rsidP="00244776">
      <w:pPr>
        <w:autoSpaceDE w:val="0"/>
        <w:autoSpaceDN w:val="0"/>
        <w:adjustRightInd w:val="0"/>
        <w:spacing w:line="288" w:lineRule="auto"/>
        <w:ind w:left="424" w:hangingChars="202" w:hanging="424"/>
        <w:jc w:val="left"/>
        <w:rPr>
          <w:rFonts w:eastAsiaTheme="minorEastAsia"/>
          <w:kern w:val="0"/>
          <w:szCs w:val="21"/>
        </w:rPr>
      </w:pPr>
      <w:proofErr w:type="spellStart"/>
      <w:r w:rsidRPr="00D56C50">
        <w:rPr>
          <w:rStyle w:val="ab"/>
          <w:rFonts w:eastAsiaTheme="minorEastAsia"/>
          <w:b w:val="0"/>
          <w:szCs w:val="21"/>
          <w:shd w:val="clear" w:color="auto" w:fill="FFFFFF"/>
        </w:rPr>
        <w:t>Autor,David</w:t>
      </w:r>
      <w:proofErr w:type="spellEnd"/>
      <w:r w:rsidRPr="00D56C50">
        <w:rPr>
          <w:rStyle w:val="ab"/>
          <w:rFonts w:eastAsiaTheme="minorEastAsia"/>
          <w:b w:val="0"/>
          <w:szCs w:val="21"/>
          <w:shd w:val="clear" w:color="auto" w:fill="FFFFFF"/>
        </w:rPr>
        <w:t>, David Dorn, Lawrence F. Katz, Christina Patterson &amp; John Van Reenen, 2020, “</w:t>
      </w:r>
      <w:r w:rsidRPr="00D56C50">
        <w:rPr>
          <w:rFonts w:eastAsiaTheme="minorEastAsia"/>
          <w:szCs w:val="21"/>
          <w:shd w:val="clear" w:color="auto" w:fill="FFFFFF"/>
        </w:rPr>
        <w:t>The Fall of the Labor Share and the Rise of</w:t>
      </w:r>
      <w:r w:rsidRPr="00D56C50">
        <w:rPr>
          <w:rStyle w:val="ab"/>
          <w:rFonts w:eastAsiaTheme="minorEastAsia"/>
          <w:b w:val="0"/>
          <w:szCs w:val="21"/>
          <w:shd w:val="clear" w:color="auto" w:fill="FFFFFF"/>
        </w:rPr>
        <w:t xml:space="preserve"> Superstar Firms”,  </w:t>
      </w:r>
      <w:r w:rsidRPr="00D56C50">
        <w:rPr>
          <w:rFonts w:eastAsiaTheme="minorEastAsia"/>
          <w:i/>
          <w:iCs/>
          <w:kern w:val="0"/>
          <w:szCs w:val="21"/>
        </w:rPr>
        <w:t xml:space="preserve">The Quarterly Journal of Economics </w:t>
      </w:r>
      <w:r w:rsidRPr="00D56C50">
        <w:rPr>
          <w:rFonts w:eastAsiaTheme="minorEastAsia"/>
          <w:kern w:val="0"/>
          <w:szCs w:val="21"/>
        </w:rPr>
        <w:t>(2020), 645–709.</w:t>
      </w:r>
    </w:p>
    <w:p w14:paraId="43A9D3D2"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Baker</w:t>
      </w:r>
      <w:r w:rsidRPr="00D56C50">
        <w:rPr>
          <w:rFonts w:eastAsiaTheme="minorEastAsia"/>
          <w:szCs w:val="21"/>
        </w:rPr>
        <w:t>，</w:t>
      </w:r>
      <w:r w:rsidRPr="00D56C50">
        <w:rPr>
          <w:rFonts w:eastAsiaTheme="minorEastAsia"/>
          <w:szCs w:val="21"/>
        </w:rPr>
        <w:t>Andrew</w:t>
      </w:r>
      <w:r w:rsidRPr="00D56C50">
        <w:rPr>
          <w:rFonts w:eastAsiaTheme="minorEastAsia"/>
          <w:szCs w:val="21"/>
        </w:rPr>
        <w:t>，</w:t>
      </w:r>
      <w:r w:rsidRPr="00D56C50">
        <w:rPr>
          <w:rFonts w:eastAsiaTheme="minorEastAsia"/>
          <w:szCs w:val="21"/>
        </w:rPr>
        <w:t xml:space="preserve">Gerald Epstein and -authors and Juan </w:t>
      </w:r>
      <w:proofErr w:type="spellStart"/>
      <w:r w:rsidRPr="00D56C50">
        <w:rPr>
          <w:rFonts w:eastAsiaTheme="minorEastAsia"/>
          <w:szCs w:val="21"/>
        </w:rPr>
        <w:t>Montecino</w:t>
      </w:r>
      <w:proofErr w:type="spellEnd"/>
      <w:r w:rsidRPr="00D56C50">
        <w:rPr>
          <w:rFonts w:eastAsiaTheme="minorEastAsia"/>
          <w:szCs w:val="21"/>
        </w:rPr>
        <w:t xml:space="preserve">, “The UK’s Finance Curse? Costs and Processes”, Sheffield Political Economy Research </w:t>
      </w:r>
      <w:proofErr w:type="spellStart"/>
      <w:r w:rsidRPr="00D56C50">
        <w:rPr>
          <w:rFonts w:eastAsiaTheme="minorEastAsia"/>
          <w:szCs w:val="21"/>
        </w:rPr>
        <w:t>Insitute.September</w:t>
      </w:r>
      <w:proofErr w:type="spellEnd"/>
      <w:r w:rsidRPr="00D56C50">
        <w:rPr>
          <w:rFonts w:eastAsiaTheme="minorEastAsia"/>
          <w:szCs w:val="21"/>
        </w:rPr>
        <w:t xml:space="preserve"> 2018</w:t>
      </w:r>
    </w:p>
    <w:p w14:paraId="653004AA"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 xml:space="preserve">Banerjee, Abhijit V. and Andrew F. Newman, 1993, Occupational Choice and the Process of Development. </w:t>
      </w:r>
      <w:r w:rsidRPr="00D56C50">
        <w:rPr>
          <w:rFonts w:eastAsiaTheme="minorEastAsia"/>
          <w:i/>
          <w:szCs w:val="21"/>
        </w:rPr>
        <w:t>Journal of Political Economy</w:t>
      </w:r>
      <w:r w:rsidRPr="00D56C50">
        <w:rPr>
          <w:rFonts w:eastAsiaTheme="minorEastAsia"/>
          <w:szCs w:val="21"/>
        </w:rPr>
        <w:t>, 101 (2), 274-298.</w:t>
      </w:r>
    </w:p>
    <w:p w14:paraId="7E2FE4BE" w14:textId="77777777" w:rsidR="00244776" w:rsidRPr="00D56C50" w:rsidRDefault="00244776" w:rsidP="00244776">
      <w:pPr>
        <w:spacing w:line="288" w:lineRule="auto"/>
        <w:ind w:left="424" w:hangingChars="202" w:hanging="424"/>
        <w:rPr>
          <w:rFonts w:eastAsiaTheme="minorEastAsia"/>
          <w:szCs w:val="21"/>
        </w:rPr>
      </w:pPr>
      <w:proofErr w:type="spellStart"/>
      <w:r w:rsidRPr="00D56C50">
        <w:rPr>
          <w:rFonts w:eastAsia="MS Mincho"/>
          <w:szCs w:val="21"/>
        </w:rPr>
        <w:t>Č</w:t>
      </w:r>
      <w:r w:rsidRPr="00D56C50">
        <w:rPr>
          <w:rFonts w:eastAsiaTheme="minorEastAsia"/>
          <w:szCs w:val="21"/>
        </w:rPr>
        <w:t>ih</w:t>
      </w:r>
      <w:r w:rsidRPr="00D56C50">
        <w:rPr>
          <w:szCs w:val="21"/>
        </w:rPr>
        <w:t>á</w:t>
      </w:r>
      <w:r w:rsidRPr="00D56C50">
        <w:rPr>
          <w:rFonts w:eastAsiaTheme="minorEastAsia"/>
          <w:szCs w:val="21"/>
        </w:rPr>
        <w:t>k</w:t>
      </w:r>
      <w:proofErr w:type="spellEnd"/>
      <w:r w:rsidRPr="00D56C50">
        <w:rPr>
          <w:rFonts w:eastAsiaTheme="minorEastAsia"/>
          <w:szCs w:val="21"/>
        </w:rPr>
        <w:t xml:space="preserve">, Martin, </w:t>
      </w:r>
      <w:proofErr w:type="spellStart"/>
      <w:r w:rsidRPr="00D56C50">
        <w:rPr>
          <w:rFonts w:eastAsiaTheme="minorEastAsia"/>
          <w:szCs w:val="21"/>
        </w:rPr>
        <w:t>Ratna</w:t>
      </w:r>
      <w:proofErr w:type="spellEnd"/>
      <w:r w:rsidRPr="00D56C50">
        <w:rPr>
          <w:rFonts w:eastAsiaTheme="minorEastAsia"/>
          <w:szCs w:val="21"/>
        </w:rPr>
        <w:t xml:space="preserve"> Sahay, Adolfo Barajas, </w:t>
      </w:r>
      <w:proofErr w:type="spellStart"/>
      <w:r w:rsidRPr="00D56C50">
        <w:rPr>
          <w:rFonts w:eastAsiaTheme="minorEastAsia"/>
          <w:szCs w:val="21"/>
        </w:rPr>
        <w:t>Shiyuan</w:t>
      </w:r>
      <w:proofErr w:type="spellEnd"/>
      <w:r w:rsidRPr="00D56C50">
        <w:rPr>
          <w:rFonts w:eastAsiaTheme="minorEastAsia"/>
          <w:szCs w:val="21"/>
        </w:rPr>
        <w:t xml:space="preserve"> Chen, Armand </w:t>
      </w:r>
      <w:proofErr w:type="spellStart"/>
      <w:r w:rsidRPr="00D56C50">
        <w:rPr>
          <w:rFonts w:eastAsiaTheme="minorEastAsia"/>
          <w:szCs w:val="21"/>
        </w:rPr>
        <w:t>Fouejieu</w:t>
      </w:r>
      <w:proofErr w:type="spellEnd"/>
      <w:r w:rsidRPr="00D56C50">
        <w:rPr>
          <w:rFonts w:eastAsiaTheme="minorEastAsia"/>
          <w:szCs w:val="21"/>
        </w:rPr>
        <w:t xml:space="preserve">, and </w:t>
      </w:r>
      <w:proofErr w:type="spellStart"/>
      <w:r w:rsidRPr="00D56C50">
        <w:rPr>
          <w:rFonts w:eastAsiaTheme="minorEastAsia"/>
          <w:szCs w:val="21"/>
        </w:rPr>
        <w:t>Peichu</w:t>
      </w:r>
      <w:proofErr w:type="spellEnd"/>
      <w:r w:rsidRPr="00D56C50">
        <w:rPr>
          <w:rFonts w:eastAsiaTheme="minorEastAsia"/>
          <w:szCs w:val="21"/>
        </w:rPr>
        <w:t xml:space="preserve"> </w:t>
      </w:r>
      <w:proofErr w:type="spellStart"/>
      <w:r w:rsidRPr="00D56C50">
        <w:rPr>
          <w:rFonts w:eastAsiaTheme="minorEastAsia"/>
          <w:szCs w:val="21"/>
        </w:rPr>
        <w:t>Xie</w:t>
      </w:r>
      <w:proofErr w:type="spellEnd"/>
      <w:r w:rsidRPr="00D56C50">
        <w:rPr>
          <w:rFonts w:eastAsiaTheme="minorEastAsia"/>
          <w:szCs w:val="21"/>
        </w:rPr>
        <w:t>, 2020, “Finance and Inequality” IMF Discussion Note, SDN/20/01.</w:t>
      </w:r>
    </w:p>
    <w:p w14:paraId="0E6737F3"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 xml:space="preserve">Credit Suisse Research Institute, </w:t>
      </w:r>
      <w:r w:rsidRPr="00D56C50">
        <w:rPr>
          <w:rFonts w:eastAsiaTheme="minorEastAsia"/>
          <w:i/>
          <w:szCs w:val="21"/>
        </w:rPr>
        <w:t>Global Wealth Report 2021</w:t>
      </w:r>
      <w:r w:rsidRPr="00D56C50">
        <w:rPr>
          <w:rFonts w:eastAsiaTheme="minorEastAsia"/>
          <w:szCs w:val="21"/>
        </w:rPr>
        <w:t>.</w:t>
      </w:r>
    </w:p>
    <w:p w14:paraId="28DA208C"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Epstein, G. A.</w:t>
      </w:r>
      <w:r w:rsidRPr="00D56C50">
        <w:rPr>
          <w:rFonts w:hint="eastAsia"/>
          <w:szCs w:val="21"/>
        </w:rPr>
        <w:t xml:space="preserve">, 2015, </w:t>
      </w:r>
      <w:r w:rsidRPr="00D56C50">
        <w:rPr>
          <w:rFonts w:eastAsiaTheme="minorEastAsia"/>
          <w:szCs w:val="21"/>
        </w:rPr>
        <w:t xml:space="preserve"> Introduction: Financialization and the world economy[A]. In: G. A.  Epstein,  Financialization  and  the  world  economy[M],  the  United  States: Edward Elgar Publishing, 2005: 3-16.</w:t>
      </w:r>
    </w:p>
    <w:p w14:paraId="531F6856"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Financial Stability Board (FSB)</w:t>
      </w:r>
      <w:r w:rsidRPr="00D56C50">
        <w:rPr>
          <w:rFonts w:eastAsiaTheme="minorEastAsia"/>
          <w:szCs w:val="21"/>
        </w:rPr>
        <w:t>，</w:t>
      </w:r>
      <w:r w:rsidRPr="00D56C50">
        <w:rPr>
          <w:rFonts w:eastAsiaTheme="minorEastAsia"/>
          <w:i/>
          <w:szCs w:val="21"/>
        </w:rPr>
        <w:t>Global Monitoring Report on Non-Bank Financial Intermediation ,</w:t>
      </w:r>
      <w:r w:rsidRPr="00D56C50">
        <w:rPr>
          <w:rFonts w:eastAsiaTheme="minorEastAsia"/>
          <w:szCs w:val="21"/>
        </w:rPr>
        <w:t xml:space="preserve"> 16 December 2021</w:t>
      </w:r>
      <w:r w:rsidRPr="00D56C50">
        <w:rPr>
          <w:rFonts w:eastAsiaTheme="minorEastAsia"/>
          <w:szCs w:val="21"/>
        </w:rPr>
        <w:t>。</w:t>
      </w:r>
    </w:p>
    <w:p w14:paraId="76F27E09" w14:textId="77777777" w:rsidR="00244776" w:rsidRPr="00D56C50" w:rsidRDefault="00244776" w:rsidP="00244776">
      <w:pPr>
        <w:autoSpaceDE w:val="0"/>
        <w:autoSpaceDN w:val="0"/>
        <w:adjustRightInd w:val="0"/>
        <w:spacing w:line="288" w:lineRule="auto"/>
        <w:ind w:left="424" w:hangingChars="202" w:hanging="424"/>
        <w:jc w:val="left"/>
        <w:rPr>
          <w:rFonts w:eastAsiaTheme="minorEastAsia"/>
          <w:kern w:val="0"/>
          <w:szCs w:val="21"/>
        </w:rPr>
      </w:pPr>
      <w:proofErr w:type="spellStart"/>
      <w:r w:rsidRPr="00D56C50">
        <w:rPr>
          <w:rFonts w:eastAsiaTheme="minorEastAsia"/>
          <w:kern w:val="0"/>
          <w:szCs w:val="21"/>
        </w:rPr>
        <w:lastRenderedPageBreak/>
        <w:t>Galor</w:t>
      </w:r>
      <w:proofErr w:type="spellEnd"/>
      <w:r w:rsidRPr="00D56C50">
        <w:rPr>
          <w:rFonts w:eastAsiaTheme="minorEastAsia"/>
          <w:kern w:val="0"/>
          <w:szCs w:val="21"/>
        </w:rPr>
        <w:t xml:space="preserve">, Oded and Joseph </w:t>
      </w:r>
      <w:proofErr w:type="spellStart"/>
      <w:r w:rsidRPr="00D56C50">
        <w:rPr>
          <w:rFonts w:eastAsiaTheme="minorEastAsia"/>
          <w:kern w:val="0"/>
          <w:szCs w:val="21"/>
        </w:rPr>
        <w:t>Zeira</w:t>
      </w:r>
      <w:proofErr w:type="spellEnd"/>
      <w:r w:rsidRPr="00D56C50">
        <w:rPr>
          <w:rFonts w:eastAsiaTheme="minorEastAsia"/>
          <w:kern w:val="0"/>
          <w:szCs w:val="21"/>
        </w:rPr>
        <w:t xml:space="preserve">, 1993, Income Distribution and Macroeconomics, </w:t>
      </w:r>
      <w:r w:rsidRPr="00D56C50">
        <w:rPr>
          <w:rFonts w:eastAsiaTheme="minorEastAsia"/>
          <w:i/>
          <w:iCs/>
          <w:kern w:val="0"/>
          <w:szCs w:val="21"/>
        </w:rPr>
        <w:t xml:space="preserve">Review of Economic Studies, </w:t>
      </w:r>
      <w:r w:rsidRPr="00D56C50">
        <w:rPr>
          <w:rFonts w:eastAsiaTheme="minorEastAsia"/>
          <w:kern w:val="0"/>
          <w:szCs w:val="21"/>
        </w:rPr>
        <w:t xml:space="preserve">Vol. </w:t>
      </w:r>
      <w:r w:rsidRPr="00D56C50">
        <w:rPr>
          <w:rFonts w:eastAsiaTheme="minorEastAsia"/>
          <w:bCs/>
          <w:kern w:val="0"/>
          <w:szCs w:val="21"/>
        </w:rPr>
        <w:t xml:space="preserve">60 </w:t>
      </w:r>
      <w:r w:rsidRPr="00D56C50">
        <w:rPr>
          <w:rFonts w:eastAsiaTheme="minorEastAsia"/>
          <w:kern w:val="0"/>
          <w:szCs w:val="21"/>
        </w:rPr>
        <w:t>No. 1, 35-52.</w:t>
      </w:r>
    </w:p>
    <w:p w14:paraId="4FDA1475" w14:textId="77777777" w:rsidR="00244776" w:rsidRPr="00D56C50" w:rsidRDefault="00244776" w:rsidP="00244776">
      <w:pPr>
        <w:pStyle w:val="Default"/>
        <w:spacing w:line="288" w:lineRule="auto"/>
        <w:ind w:left="424" w:hangingChars="202" w:hanging="424"/>
        <w:rPr>
          <w:rFonts w:ascii="Times New Roman" w:eastAsiaTheme="minorEastAsia" w:hAnsi="Times New Roman" w:cs="Times New Roman"/>
          <w:color w:val="auto"/>
          <w:sz w:val="21"/>
          <w:szCs w:val="21"/>
        </w:rPr>
      </w:pPr>
      <w:r w:rsidRPr="00D56C50">
        <w:rPr>
          <w:rFonts w:ascii="Times New Roman" w:eastAsiaTheme="minorEastAsia" w:hAnsi="Times New Roman" w:cs="Times New Roman"/>
          <w:color w:val="auto"/>
          <w:sz w:val="21"/>
          <w:szCs w:val="21"/>
        </w:rPr>
        <w:t xml:space="preserve">Greenwood, Jeremy, and </w:t>
      </w:r>
      <w:proofErr w:type="spellStart"/>
      <w:r w:rsidRPr="00D56C50">
        <w:rPr>
          <w:rFonts w:ascii="Times New Roman" w:eastAsiaTheme="minorEastAsia" w:hAnsi="Times New Roman" w:cs="Times New Roman"/>
          <w:color w:val="auto"/>
          <w:sz w:val="21"/>
          <w:szCs w:val="21"/>
        </w:rPr>
        <w:t>Boyan</w:t>
      </w:r>
      <w:proofErr w:type="spellEnd"/>
      <w:r w:rsidRPr="00D56C50">
        <w:rPr>
          <w:rFonts w:ascii="Times New Roman" w:eastAsiaTheme="minorEastAsia" w:hAnsi="Times New Roman" w:cs="Times New Roman"/>
          <w:color w:val="auto"/>
          <w:sz w:val="21"/>
          <w:szCs w:val="21"/>
        </w:rPr>
        <w:t xml:space="preserve"> Jovanovic. 1990. “Financial Development, Growth, and the Distribution of Income.” </w:t>
      </w:r>
      <w:r w:rsidRPr="00D56C50">
        <w:rPr>
          <w:rFonts w:ascii="Times New Roman" w:eastAsiaTheme="minorEastAsia" w:hAnsi="Times New Roman" w:cs="Times New Roman"/>
          <w:i/>
          <w:iCs/>
          <w:color w:val="auto"/>
          <w:sz w:val="21"/>
          <w:szCs w:val="21"/>
        </w:rPr>
        <w:t xml:space="preserve">Journal of Political Economy </w:t>
      </w:r>
      <w:r w:rsidRPr="00D56C50">
        <w:rPr>
          <w:rFonts w:ascii="Times New Roman" w:eastAsiaTheme="minorEastAsia" w:hAnsi="Times New Roman" w:cs="Times New Roman"/>
          <w:color w:val="auto"/>
          <w:sz w:val="21"/>
          <w:szCs w:val="21"/>
        </w:rPr>
        <w:t xml:space="preserve">98 (5): 1076–1107. </w:t>
      </w:r>
    </w:p>
    <w:p w14:paraId="7C4FA9A3" w14:textId="77777777" w:rsidR="009E5964" w:rsidRPr="00D56C50" w:rsidRDefault="00244776" w:rsidP="00A75DB0">
      <w:pPr>
        <w:autoSpaceDE w:val="0"/>
        <w:autoSpaceDN w:val="0"/>
        <w:adjustRightInd w:val="0"/>
        <w:spacing w:line="288" w:lineRule="auto"/>
        <w:ind w:left="424" w:hangingChars="202" w:hanging="424"/>
        <w:jc w:val="left"/>
        <w:rPr>
          <w:rFonts w:eastAsiaTheme="minorEastAsia"/>
          <w:kern w:val="0"/>
          <w:szCs w:val="21"/>
        </w:rPr>
      </w:pPr>
      <w:proofErr w:type="spellStart"/>
      <w:r w:rsidRPr="00D56C50">
        <w:rPr>
          <w:rFonts w:eastAsiaTheme="minorEastAsia"/>
          <w:kern w:val="0"/>
          <w:szCs w:val="21"/>
        </w:rPr>
        <w:t>Haveman</w:t>
      </w:r>
      <w:proofErr w:type="spellEnd"/>
      <w:r w:rsidRPr="00D56C50">
        <w:rPr>
          <w:rFonts w:eastAsiaTheme="minorEastAsia"/>
          <w:kern w:val="0"/>
          <w:szCs w:val="21"/>
        </w:rPr>
        <w:t>, Robert and Edward N. Wolff, 2004.,</w:t>
      </w:r>
      <w:r w:rsidRPr="00D56C50">
        <w:rPr>
          <w:rFonts w:eastAsiaTheme="minorEastAsia"/>
          <w:bCs/>
          <w:kern w:val="0"/>
          <w:szCs w:val="21"/>
        </w:rPr>
        <w:t xml:space="preserve">The Concept and Measurement of Asset Poverty: Levels, Trends and Composition for the U. S., 1983-2001, </w:t>
      </w:r>
      <w:r w:rsidRPr="00D56C50">
        <w:rPr>
          <w:rFonts w:eastAsiaTheme="minorEastAsia"/>
          <w:i/>
          <w:iCs/>
          <w:kern w:val="0"/>
          <w:szCs w:val="21"/>
        </w:rPr>
        <w:t>Journal of Economic Inequality</w:t>
      </w:r>
      <w:r w:rsidRPr="00D56C50">
        <w:rPr>
          <w:rFonts w:eastAsiaTheme="minorEastAsia"/>
          <w:kern w:val="0"/>
          <w:szCs w:val="21"/>
        </w:rPr>
        <w:t>, Volume 2, Number 2, August.</w:t>
      </w:r>
    </w:p>
    <w:p w14:paraId="172BC9F4" w14:textId="77777777" w:rsidR="00A75DB0" w:rsidRPr="00D56C50" w:rsidRDefault="00A75DB0" w:rsidP="00A75DB0">
      <w:pPr>
        <w:autoSpaceDE w:val="0"/>
        <w:autoSpaceDN w:val="0"/>
        <w:adjustRightInd w:val="0"/>
        <w:spacing w:line="288" w:lineRule="auto"/>
        <w:ind w:left="424" w:hangingChars="202" w:hanging="424"/>
        <w:jc w:val="left"/>
        <w:rPr>
          <w:rFonts w:eastAsiaTheme="minorEastAsia"/>
          <w:kern w:val="0"/>
          <w:szCs w:val="21"/>
        </w:rPr>
      </w:pPr>
      <w:r w:rsidRPr="00D56C50">
        <w:rPr>
          <w:rFonts w:eastAsiaTheme="minorEastAsia"/>
          <w:kern w:val="0"/>
          <w:szCs w:val="21"/>
        </w:rPr>
        <w:t> Johnson</w:t>
      </w:r>
      <w:r w:rsidRPr="00D56C50">
        <w:rPr>
          <w:rFonts w:eastAsiaTheme="minorEastAsia" w:hint="eastAsia"/>
          <w:kern w:val="0"/>
          <w:szCs w:val="21"/>
        </w:rPr>
        <w:t xml:space="preserve">, </w:t>
      </w:r>
      <w:r w:rsidRPr="00D56C50">
        <w:rPr>
          <w:rFonts w:eastAsiaTheme="minorEastAsia"/>
          <w:kern w:val="0"/>
          <w:szCs w:val="21"/>
        </w:rPr>
        <w:t xml:space="preserve"> Simon</w:t>
      </w:r>
      <w:r w:rsidRPr="00D56C50">
        <w:rPr>
          <w:rFonts w:eastAsiaTheme="minorEastAsia" w:hint="eastAsia"/>
          <w:kern w:val="0"/>
          <w:szCs w:val="21"/>
        </w:rPr>
        <w:t xml:space="preserve">, 2019., </w:t>
      </w:r>
      <w:r w:rsidRPr="00D56C50">
        <w:rPr>
          <w:rFonts w:eastAsiaTheme="minorEastAsia"/>
          <w:kern w:val="0"/>
          <w:szCs w:val="21"/>
        </w:rPr>
        <w:t>“The Global Crisis: Is It Over Yet?”</w:t>
      </w:r>
      <w:r w:rsidRPr="00D56C50">
        <w:rPr>
          <w:rFonts w:eastAsiaTheme="minorEastAsia" w:hint="eastAsia"/>
          <w:kern w:val="0"/>
          <w:szCs w:val="21"/>
        </w:rPr>
        <w:t xml:space="preserve"> </w:t>
      </w:r>
      <w:proofErr w:type="spellStart"/>
      <w:r w:rsidRPr="00D56C50">
        <w:rPr>
          <w:rFonts w:eastAsiaTheme="minorEastAsia" w:hint="eastAsia"/>
          <w:kern w:val="0"/>
          <w:szCs w:val="21"/>
        </w:rPr>
        <w:t>Powerpoint</w:t>
      </w:r>
      <w:proofErr w:type="spellEnd"/>
      <w:r w:rsidRPr="00D56C50">
        <w:rPr>
          <w:rFonts w:eastAsiaTheme="minorEastAsia" w:hint="eastAsia"/>
          <w:kern w:val="0"/>
          <w:szCs w:val="21"/>
        </w:rPr>
        <w:t xml:space="preserve"> Slides, June 21. </w:t>
      </w:r>
    </w:p>
    <w:p w14:paraId="05EF534F" w14:textId="77777777" w:rsidR="00244776" w:rsidRPr="00D56C50" w:rsidRDefault="00244776" w:rsidP="00244776">
      <w:pPr>
        <w:autoSpaceDE w:val="0"/>
        <w:autoSpaceDN w:val="0"/>
        <w:adjustRightInd w:val="0"/>
        <w:spacing w:line="288" w:lineRule="auto"/>
        <w:ind w:left="424" w:hangingChars="202" w:hanging="424"/>
        <w:jc w:val="left"/>
        <w:rPr>
          <w:rFonts w:eastAsiaTheme="minorEastAsia"/>
          <w:kern w:val="0"/>
          <w:szCs w:val="21"/>
        </w:rPr>
      </w:pPr>
      <w:r w:rsidRPr="00D56C50">
        <w:rPr>
          <w:rFonts w:eastAsiaTheme="minorEastAsia"/>
          <w:kern w:val="0"/>
          <w:szCs w:val="21"/>
        </w:rPr>
        <w:t xml:space="preserve">Kaldor, Nicholas (1961) “Capital Accumulation and Economic Growth,” in F. A. Lutz and D. C. Hague, eds. </w:t>
      </w:r>
      <w:r w:rsidRPr="00D56C50">
        <w:rPr>
          <w:rFonts w:eastAsiaTheme="minorEastAsia"/>
          <w:i/>
          <w:iCs/>
          <w:kern w:val="0"/>
          <w:szCs w:val="21"/>
        </w:rPr>
        <w:t xml:space="preserve">The Theory of Capital, </w:t>
      </w:r>
      <w:r w:rsidRPr="00D56C50">
        <w:rPr>
          <w:rFonts w:eastAsiaTheme="minorEastAsia"/>
          <w:kern w:val="0"/>
          <w:szCs w:val="21"/>
        </w:rPr>
        <w:t xml:space="preserve">St. </w:t>
      </w:r>
      <w:proofErr w:type="spellStart"/>
      <w:r w:rsidRPr="00D56C50">
        <w:rPr>
          <w:rFonts w:eastAsiaTheme="minorEastAsia"/>
          <w:kern w:val="0"/>
          <w:szCs w:val="21"/>
        </w:rPr>
        <w:t>Martins</w:t>
      </w:r>
      <w:proofErr w:type="spellEnd"/>
      <w:r w:rsidRPr="00D56C50">
        <w:rPr>
          <w:rFonts w:eastAsiaTheme="minorEastAsia"/>
          <w:kern w:val="0"/>
          <w:szCs w:val="21"/>
        </w:rPr>
        <w:t xml:space="preserve"> Press, 1961, pp. 177-222. </w:t>
      </w:r>
    </w:p>
    <w:p w14:paraId="495BC3FB"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 xml:space="preserve">Michael Brei, Giovanni </w:t>
      </w:r>
      <w:proofErr w:type="spellStart"/>
      <w:r w:rsidRPr="00D56C50">
        <w:rPr>
          <w:rFonts w:eastAsiaTheme="minorEastAsia"/>
          <w:szCs w:val="21"/>
        </w:rPr>
        <w:t>Ferri</w:t>
      </w:r>
      <w:proofErr w:type="spellEnd"/>
      <w:r w:rsidRPr="00D56C50">
        <w:rPr>
          <w:rFonts w:eastAsiaTheme="minorEastAsia"/>
          <w:szCs w:val="21"/>
        </w:rPr>
        <w:t xml:space="preserve"> and Leonardo </w:t>
      </w:r>
      <w:proofErr w:type="spellStart"/>
      <w:r w:rsidRPr="00D56C50">
        <w:rPr>
          <w:rFonts w:eastAsiaTheme="minorEastAsia"/>
          <w:szCs w:val="21"/>
        </w:rPr>
        <w:t>Gambacorta</w:t>
      </w:r>
      <w:proofErr w:type="spellEnd"/>
      <w:r w:rsidR="009E5964" w:rsidRPr="00D56C50">
        <w:rPr>
          <w:rFonts w:eastAsiaTheme="minorEastAsia" w:hint="eastAsia"/>
          <w:szCs w:val="21"/>
        </w:rPr>
        <w:t xml:space="preserve">, </w:t>
      </w:r>
      <w:r w:rsidR="009E5964" w:rsidRPr="00D56C50">
        <w:rPr>
          <w:rFonts w:eastAsiaTheme="minorEastAsia"/>
          <w:szCs w:val="21"/>
        </w:rPr>
        <w:t>2018</w:t>
      </w:r>
      <w:r w:rsidR="009E5964" w:rsidRPr="00D56C50">
        <w:rPr>
          <w:rFonts w:eastAsiaTheme="minorEastAsia" w:hint="eastAsia"/>
          <w:szCs w:val="21"/>
        </w:rPr>
        <w:t>.,</w:t>
      </w:r>
      <w:r w:rsidRPr="00D56C50">
        <w:rPr>
          <w:rFonts w:eastAsiaTheme="minorEastAsia"/>
          <w:szCs w:val="21"/>
        </w:rPr>
        <w:t>“Financial structure and income inequality”</w:t>
      </w:r>
      <w:r w:rsidRPr="00D56C50">
        <w:rPr>
          <w:rFonts w:eastAsiaTheme="minorEastAsia"/>
          <w:szCs w:val="21"/>
        </w:rPr>
        <w:t>，</w:t>
      </w:r>
      <w:r w:rsidRPr="00D56C50">
        <w:rPr>
          <w:rFonts w:eastAsiaTheme="minorEastAsia"/>
          <w:szCs w:val="21"/>
        </w:rPr>
        <w:t xml:space="preserve"> </w:t>
      </w:r>
      <w:r w:rsidRPr="00D56C50">
        <w:rPr>
          <w:rFonts w:eastAsiaTheme="minorEastAsia"/>
          <w:i/>
          <w:szCs w:val="21"/>
        </w:rPr>
        <w:t>BIS Working Papers</w:t>
      </w:r>
      <w:r w:rsidRPr="00D56C50">
        <w:rPr>
          <w:rFonts w:eastAsiaTheme="minorEastAsia"/>
          <w:szCs w:val="21"/>
        </w:rPr>
        <w:t xml:space="preserve"> No. 756</w:t>
      </w:r>
      <w:r w:rsidR="009E5964" w:rsidRPr="00D56C50">
        <w:rPr>
          <w:rFonts w:eastAsiaTheme="minorEastAsia" w:hint="eastAsia"/>
          <w:szCs w:val="21"/>
        </w:rPr>
        <w:t xml:space="preserve">, </w:t>
      </w:r>
      <w:r w:rsidRPr="00D56C50">
        <w:rPr>
          <w:rFonts w:eastAsiaTheme="minorEastAsia"/>
          <w:szCs w:val="21"/>
        </w:rPr>
        <w:t>November</w:t>
      </w:r>
      <w:r w:rsidR="009E5964" w:rsidRPr="00D56C50">
        <w:rPr>
          <w:rFonts w:eastAsiaTheme="minorEastAsia" w:hint="eastAsia"/>
          <w:szCs w:val="21"/>
        </w:rPr>
        <w:t>.</w:t>
      </w:r>
    </w:p>
    <w:p w14:paraId="607A5C8F" w14:textId="77777777" w:rsidR="00244776" w:rsidRPr="00D56C50" w:rsidRDefault="00244776" w:rsidP="00244776">
      <w:pPr>
        <w:autoSpaceDE w:val="0"/>
        <w:autoSpaceDN w:val="0"/>
        <w:adjustRightInd w:val="0"/>
        <w:spacing w:line="288" w:lineRule="auto"/>
        <w:ind w:left="424" w:hangingChars="202" w:hanging="424"/>
        <w:jc w:val="left"/>
        <w:rPr>
          <w:rFonts w:eastAsiaTheme="minorEastAsia"/>
          <w:kern w:val="0"/>
          <w:szCs w:val="21"/>
        </w:rPr>
      </w:pPr>
      <w:r w:rsidRPr="00D56C50">
        <w:rPr>
          <w:rFonts w:eastAsiaTheme="minorEastAsia"/>
          <w:kern w:val="0"/>
          <w:szCs w:val="21"/>
        </w:rPr>
        <w:t>Oliver, Melvin L., and Thomas M. Shapiro. 1997. Black Wealth/White Wealth</w:t>
      </w:r>
      <w:r w:rsidRPr="00D56C50">
        <w:rPr>
          <w:rFonts w:eastAsiaTheme="minorEastAsia"/>
          <w:i/>
          <w:iCs/>
          <w:kern w:val="0"/>
          <w:szCs w:val="21"/>
        </w:rPr>
        <w:t xml:space="preserve">. </w:t>
      </w:r>
      <w:r w:rsidRPr="00D56C50">
        <w:rPr>
          <w:rFonts w:eastAsiaTheme="minorEastAsia"/>
          <w:kern w:val="0"/>
          <w:szCs w:val="21"/>
        </w:rPr>
        <w:t>New York: Routledge Press.</w:t>
      </w:r>
    </w:p>
    <w:p w14:paraId="513DB4C3" w14:textId="77777777" w:rsidR="00244776" w:rsidRPr="00D56C50" w:rsidRDefault="00244776" w:rsidP="00244776">
      <w:pPr>
        <w:spacing w:line="288" w:lineRule="auto"/>
        <w:ind w:left="424" w:hangingChars="202" w:hanging="424"/>
        <w:rPr>
          <w:szCs w:val="21"/>
          <w:shd w:val="clear" w:color="auto" w:fill="FFFFFF"/>
        </w:rPr>
      </w:pPr>
      <w:r w:rsidRPr="00D56C50">
        <w:rPr>
          <w:rStyle w:val="ab"/>
          <w:rFonts w:eastAsiaTheme="minorEastAsia"/>
          <w:b w:val="0"/>
          <w:szCs w:val="21"/>
          <w:shd w:val="clear" w:color="auto" w:fill="FFFFFF"/>
        </w:rPr>
        <w:t>Philippon</w:t>
      </w:r>
      <w:r w:rsidRPr="00D56C50">
        <w:rPr>
          <w:rFonts w:eastAsiaTheme="minorEastAsia"/>
          <w:szCs w:val="21"/>
          <w:shd w:val="clear" w:color="auto" w:fill="FFFFFF"/>
        </w:rPr>
        <w:t>,</w:t>
      </w:r>
      <w:r w:rsidRPr="00D56C50">
        <w:rPr>
          <w:rFonts w:eastAsiaTheme="minorEastAsia"/>
          <w:b/>
          <w:szCs w:val="21"/>
          <w:shd w:val="clear" w:color="auto" w:fill="FFFFFF"/>
        </w:rPr>
        <w:t xml:space="preserve"> </w:t>
      </w:r>
      <w:r w:rsidRPr="00D56C50">
        <w:rPr>
          <w:rFonts w:eastAsiaTheme="minorEastAsia"/>
          <w:szCs w:val="21"/>
          <w:shd w:val="clear" w:color="auto" w:fill="FFFFFF"/>
        </w:rPr>
        <w:t>T., &amp;</w:t>
      </w:r>
      <w:r w:rsidRPr="00D56C50">
        <w:rPr>
          <w:rFonts w:eastAsiaTheme="minorEastAsia"/>
          <w:b/>
          <w:szCs w:val="21"/>
          <w:shd w:val="clear" w:color="auto" w:fill="FFFFFF"/>
        </w:rPr>
        <w:t> </w:t>
      </w:r>
      <w:proofErr w:type="spellStart"/>
      <w:r w:rsidRPr="00D56C50">
        <w:rPr>
          <w:rStyle w:val="ab"/>
          <w:rFonts w:eastAsiaTheme="minorEastAsia"/>
          <w:b w:val="0"/>
          <w:szCs w:val="21"/>
          <w:shd w:val="clear" w:color="auto" w:fill="FFFFFF"/>
        </w:rPr>
        <w:t>Reshef</w:t>
      </w:r>
      <w:proofErr w:type="spellEnd"/>
      <w:r w:rsidRPr="00D56C50">
        <w:rPr>
          <w:rFonts w:eastAsiaTheme="minorEastAsia"/>
          <w:b/>
          <w:szCs w:val="21"/>
          <w:shd w:val="clear" w:color="auto" w:fill="FFFFFF"/>
        </w:rPr>
        <w:t xml:space="preserve">, </w:t>
      </w:r>
      <w:r w:rsidRPr="00D56C50">
        <w:rPr>
          <w:rFonts w:eastAsiaTheme="minorEastAsia"/>
          <w:szCs w:val="21"/>
          <w:shd w:val="clear" w:color="auto" w:fill="FFFFFF"/>
        </w:rPr>
        <w:t xml:space="preserve">A. </w:t>
      </w:r>
      <w:r w:rsidRPr="00D56C50">
        <w:rPr>
          <w:rFonts w:eastAsiaTheme="minorEastAsia"/>
          <w:b/>
          <w:szCs w:val="21"/>
          <w:shd w:val="clear" w:color="auto" w:fill="FFFFFF"/>
        </w:rPr>
        <w:t>(</w:t>
      </w:r>
      <w:r w:rsidRPr="00D56C50">
        <w:rPr>
          <w:rStyle w:val="ab"/>
          <w:rFonts w:eastAsiaTheme="minorEastAsia"/>
          <w:b w:val="0"/>
          <w:szCs w:val="21"/>
          <w:shd w:val="clear" w:color="auto" w:fill="FFFFFF"/>
        </w:rPr>
        <w:t>2012</w:t>
      </w:r>
      <w:r w:rsidRPr="00D56C50">
        <w:rPr>
          <w:rFonts w:eastAsiaTheme="minorEastAsia"/>
          <w:b/>
          <w:szCs w:val="21"/>
          <w:shd w:val="clear" w:color="auto" w:fill="FFFFFF"/>
        </w:rPr>
        <w:t>).</w:t>
      </w:r>
      <w:r w:rsidRPr="00D56C50">
        <w:rPr>
          <w:rFonts w:eastAsiaTheme="minorEastAsia"/>
          <w:szCs w:val="21"/>
          <w:shd w:val="clear" w:color="auto" w:fill="FFFFFF"/>
        </w:rPr>
        <w:t xml:space="preserve"> Wages and Human Capital in the U.S. Finance Industry 1909-2006. The Quarterly Journal of Economics, 127, 1551-1609.</w:t>
      </w:r>
    </w:p>
    <w:p w14:paraId="474C7C60"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 xml:space="preserve">Power, Dorothy, Gerald Epstein, and Matthew </w:t>
      </w:r>
      <w:proofErr w:type="spellStart"/>
      <w:r w:rsidRPr="00D56C50">
        <w:rPr>
          <w:rFonts w:eastAsiaTheme="minorEastAsia"/>
          <w:szCs w:val="21"/>
        </w:rPr>
        <w:t>Abrena</w:t>
      </w:r>
      <w:proofErr w:type="spellEnd"/>
      <w:r w:rsidRPr="00D56C50">
        <w:rPr>
          <w:rFonts w:eastAsiaTheme="minorEastAsia"/>
          <w:szCs w:val="21"/>
        </w:rPr>
        <w:t>, 2003, “Trends In The Rentier Income Share In OECD Countries, 1960-2000”, POLITICAL ECONOMY RESEARCH INSTITUTE, WORKING PAPER SERIES Number 58a.</w:t>
      </w:r>
    </w:p>
    <w:p w14:paraId="5C4C390D" w14:textId="77777777" w:rsidR="00244776" w:rsidRPr="00D56C50" w:rsidRDefault="00244776" w:rsidP="00244776">
      <w:pPr>
        <w:spacing w:line="288" w:lineRule="auto"/>
        <w:ind w:left="424" w:hangingChars="202" w:hanging="424"/>
        <w:rPr>
          <w:rFonts w:eastAsiaTheme="minorEastAsia"/>
          <w:szCs w:val="21"/>
        </w:rPr>
      </w:pPr>
      <w:r w:rsidRPr="00D56C50">
        <w:rPr>
          <w:rFonts w:eastAsiaTheme="minorEastAsia"/>
          <w:szCs w:val="21"/>
        </w:rPr>
        <w:t xml:space="preserve">Reinhart, Carmen M., Vincent R. Reinhart, and Kenneth S. Rogoff, 2012, Public Debt Overhangs: Advanced-Economy Episodes Since 1800, </w:t>
      </w:r>
      <w:r w:rsidRPr="00D56C50">
        <w:rPr>
          <w:rFonts w:eastAsiaTheme="minorEastAsia"/>
          <w:i/>
          <w:szCs w:val="21"/>
        </w:rPr>
        <w:t>Journal of Economic Perspectives</w:t>
      </w:r>
      <w:r w:rsidRPr="00D56C50">
        <w:rPr>
          <w:rFonts w:eastAsiaTheme="minorEastAsia"/>
          <w:szCs w:val="21"/>
        </w:rPr>
        <w:t>, Vol. 26, No.3, Summer 2012, PP.69–86.</w:t>
      </w:r>
    </w:p>
    <w:p w14:paraId="7335A12E" w14:textId="77777777" w:rsidR="00244776" w:rsidRPr="00D56C50" w:rsidRDefault="00244776" w:rsidP="00244776">
      <w:pPr>
        <w:spacing w:line="288" w:lineRule="auto"/>
        <w:ind w:left="424" w:hangingChars="202" w:hanging="424"/>
        <w:rPr>
          <w:rFonts w:eastAsiaTheme="minorEastAsia"/>
          <w:szCs w:val="21"/>
        </w:rPr>
      </w:pPr>
      <w:proofErr w:type="spellStart"/>
      <w:r w:rsidRPr="00D56C50">
        <w:rPr>
          <w:rFonts w:eastAsiaTheme="minorEastAsia"/>
          <w:szCs w:val="21"/>
        </w:rPr>
        <w:t>Shakhnov</w:t>
      </w:r>
      <w:proofErr w:type="spellEnd"/>
      <w:r w:rsidRPr="00D56C50">
        <w:rPr>
          <w:rFonts w:eastAsiaTheme="minorEastAsia"/>
          <w:szCs w:val="21"/>
        </w:rPr>
        <w:t>, K (2014), “</w:t>
      </w:r>
      <w:r w:rsidRPr="00D56C50">
        <w:rPr>
          <w:rFonts w:eastAsiaTheme="minorEastAsia"/>
          <w:szCs w:val="21"/>
          <w:bdr w:val="none" w:sz="0" w:space="0" w:color="auto" w:frame="1"/>
        </w:rPr>
        <w:t>The allocation of talent: finance vs. entrepreneurship</w:t>
      </w:r>
      <w:r w:rsidRPr="00D56C50">
        <w:rPr>
          <w:rFonts w:eastAsiaTheme="minorEastAsia"/>
          <w:szCs w:val="21"/>
        </w:rPr>
        <w:t>”, EUI Working Paper ECO 2014/13.</w:t>
      </w:r>
    </w:p>
    <w:p w14:paraId="6B754C68" w14:textId="77777777" w:rsidR="00244776" w:rsidRPr="00D56C50" w:rsidRDefault="00244776" w:rsidP="00244776">
      <w:pPr>
        <w:autoSpaceDE w:val="0"/>
        <w:autoSpaceDN w:val="0"/>
        <w:adjustRightInd w:val="0"/>
        <w:spacing w:line="288" w:lineRule="auto"/>
        <w:ind w:left="424" w:hangingChars="202" w:hanging="424"/>
        <w:jc w:val="left"/>
        <w:rPr>
          <w:rFonts w:eastAsiaTheme="minorEastAsia"/>
          <w:kern w:val="0"/>
          <w:szCs w:val="21"/>
        </w:rPr>
      </w:pPr>
      <w:proofErr w:type="spellStart"/>
      <w:r w:rsidRPr="00D56C50">
        <w:rPr>
          <w:rFonts w:eastAsiaTheme="minorEastAsia"/>
          <w:szCs w:val="21"/>
        </w:rPr>
        <w:t>Tomaskovic-Devey</w:t>
      </w:r>
      <w:proofErr w:type="spellEnd"/>
      <w:r w:rsidRPr="00D56C50">
        <w:rPr>
          <w:rFonts w:eastAsiaTheme="minorEastAsia"/>
          <w:szCs w:val="21"/>
        </w:rPr>
        <w:t xml:space="preserve">, Donald and Ken-Hou Lin, “Financialization and U.S. Income Inequality 1970-2008”, American Journal of Sociology, </w:t>
      </w:r>
      <w:r w:rsidRPr="00D56C50">
        <w:rPr>
          <w:rFonts w:eastAsiaTheme="minorEastAsia"/>
          <w:kern w:val="0"/>
          <w:szCs w:val="21"/>
        </w:rPr>
        <w:t>AJS Volume 118 Number 5 (March 2013): 1284–1329</w:t>
      </w:r>
    </w:p>
    <w:p w14:paraId="0E0124CD" w14:textId="77777777" w:rsidR="00244776" w:rsidRPr="00D56C50" w:rsidRDefault="00244776" w:rsidP="00244776">
      <w:pPr>
        <w:spacing w:line="288" w:lineRule="auto"/>
        <w:ind w:left="424" w:hangingChars="202" w:hanging="424"/>
        <w:rPr>
          <w:rFonts w:eastAsiaTheme="minorEastAsia"/>
          <w:kern w:val="0"/>
          <w:szCs w:val="21"/>
        </w:rPr>
      </w:pPr>
      <w:r w:rsidRPr="00D56C50">
        <w:rPr>
          <w:rFonts w:eastAsiaTheme="minorEastAsia"/>
          <w:iCs/>
          <w:kern w:val="0"/>
          <w:szCs w:val="21"/>
        </w:rPr>
        <w:t>Wan, Guanghua, Chen Wang and Yu Wu, “</w:t>
      </w:r>
      <w:r w:rsidRPr="00D56C50">
        <w:rPr>
          <w:rFonts w:eastAsiaTheme="minorEastAsia"/>
          <w:kern w:val="0"/>
          <w:szCs w:val="21"/>
        </w:rPr>
        <w:t>What Drove Housing Wealth Inequality in China?”</w:t>
      </w:r>
      <w:r w:rsidRPr="00D56C50">
        <w:rPr>
          <w:rFonts w:eastAsiaTheme="minorEastAsia"/>
          <w:iCs/>
          <w:kern w:val="0"/>
          <w:szCs w:val="21"/>
        </w:rPr>
        <w:t xml:space="preserve"> </w:t>
      </w:r>
      <w:r w:rsidRPr="00D56C50">
        <w:rPr>
          <w:rFonts w:eastAsiaTheme="minorEastAsia"/>
          <w:i/>
          <w:iCs/>
          <w:kern w:val="0"/>
          <w:szCs w:val="21"/>
        </w:rPr>
        <w:t>China &amp; World Economy</w:t>
      </w:r>
      <w:r w:rsidRPr="00D56C50">
        <w:rPr>
          <w:rFonts w:eastAsiaTheme="minorEastAsia"/>
          <w:iCs/>
          <w:kern w:val="0"/>
          <w:szCs w:val="21"/>
        </w:rPr>
        <w:t>, Vol. 29, No. 1, 2021, pp32–60.</w:t>
      </w:r>
    </w:p>
    <w:p w14:paraId="5CED790E" w14:textId="77777777" w:rsidR="00244776" w:rsidRPr="00D56C50" w:rsidRDefault="00244776" w:rsidP="00244776">
      <w:pPr>
        <w:spacing w:line="288" w:lineRule="auto"/>
        <w:ind w:left="424" w:hangingChars="202" w:hanging="424"/>
        <w:rPr>
          <w:szCs w:val="21"/>
        </w:rPr>
      </w:pPr>
    </w:p>
    <w:p w14:paraId="1D49EAD9" w14:textId="77777777" w:rsidR="00572837" w:rsidRPr="00D56C50" w:rsidRDefault="00572837" w:rsidP="002B7F04">
      <w:pPr>
        <w:spacing w:line="288" w:lineRule="auto"/>
        <w:ind w:firstLineChars="202" w:firstLine="424"/>
      </w:pPr>
    </w:p>
    <w:sectPr w:rsidR="00572837" w:rsidRPr="00D56C50">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FE33" w14:textId="77777777" w:rsidR="00797C00" w:rsidRDefault="00797C00">
      <w:r>
        <w:separator/>
      </w:r>
    </w:p>
  </w:endnote>
  <w:endnote w:type="continuationSeparator" w:id="0">
    <w:p w14:paraId="2BB76258" w14:textId="77777777" w:rsidR="00797C00" w:rsidRDefault="0079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PingFangTC-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905159"/>
      <w:docPartObj>
        <w:docPartGallery w:val="Page Numbers (Bottom of Page)"/>
        <w:docPartUnique/>
      </w:docPartObj>
    </w:sdtPr>
    <w:sdtEndPr/>
    <w:sdtContent>
      <w:p w14:paraId="656665D0" w14:textId="77777777" w:rsidR="00796CDD" w:rsidRDefault="00796CDD">
        <w:pPr>
          <w:pStyle w:val="af0"/>
          <w:jc w:val="center"/>
        </w:pPr>
        <w:r>
          <w:fldChar w:fldCharType="begin"/>
        </w:r>
        <w:r>
          <w:instrText>PAGE   \* MERGEFORMAT</w:instrText>
        </w:r>
        <w:r>
          <w:fldChar w:fldCharType="separate"/>
        </w:r>
        <w:r w:rsidR="00E76482" w:rsidRPr="00E76482">
          <w:rPr>
            <w:noProof/>
            <w:lang w:val="zh-CN"/>
          </w:rPr>
          <w:t>12</w:t>
        </w:r>
        <w:r>
          <w:fldChar w:fldCharType="end"/>
        </w:r>
      </w:p>
    </w:sdtContent>
  </w:sdt>
  <w:p w14:paraId="245CBB33" w14:textId="77777777" w:rsidR="009C1529" w:rsidRDefault="009C152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A024" w14:textId="77777777" w:rsidR="00797C00" w:rsidRDefault="00797C00">
      <w:r>
        <w:separator/>
      </w:r>
    </w:p>
  </w:footnote>
  <w:footnote w:type="continuationSeparator" w:id="0">
    <w:p w14:paraId="174D96CF" w14:textId="77777777" w:rsidR="00797C00" w:rsidRDefault="00797C00">
      <w:r>
        <w:continuationSeparator/>
      </w:r>
    </w:p>
  </w:footnote>
  <w:footnote w:id="1">
    <w:p w14:paraId="78765096" w14:textId="77777777" w:rsidR="00223F81" w:rsidRPr="00E76482" w:rsidRDefault="00223F81">
      <w:pPr>
        <w:pStyle w:val="a5"/>
        <w:rPr>
          <w:color w:val="FF0000"/>
        </w:rPr>
      </w:pPr>
      <w:r>
        <w:rPr>
          <w:rStyle w:val="a3"/>
        </w:rPr>
        <w:footnoteRef/>
      </w:r>
      <w:r>
        <w:t xml:space="preserve"> </w:t>
      </w:r>
      <w:r w:rsidRPr="00E76482">
        <w:rPr>
          <w:rFonts w:hint="eastAsia"/>
          <w:color w:val="FF0000"/>
        </w:rPr>
        <w:t>张晓晶，中国社会科学院金融研究所，邮政编码：</w:t>
      </w:r>
      <w:r w:rsidRPr="00E76482">
        <w:rPr>
          <w:rFonts w:hint="eastAsia"/>
          <w:color w:val="FF0000"/>
        </w:rPr>
        <w:t>100710</w:t>
      </w:r>
      <w:r w:rsidRPr="00E76482">
        <w:rPr>
          <w:rFonts w:hint="eastAsia"/>
          <w:color w:val="FF0000"/>
        </w:rPr>
        <w:t>，电子邮箱：</w:t>
      </w:r>
      <w:hyperlink r:id="rId1" w:history="1">
        <w:r w:rsidRPr="00E76482">
          <w:rPr>
            <w:rStyle w:val="ad"/>
            <w:rFonts w:hint="eastAsia"/>
            <w:color w:val="FF0000"/>
          </w:rPr>
          <w:t>zhang_xj@cass.org.cn</w:t>
        </w:r>
      </w:hyperlink>
      <w:r w:rsidRPr="00E76482">
        <w:rPr>
          <w:rFonts w:hint="eastAsia"/>
          <w:color w:val="FF0000"/>
        </w:rPr>
        <w:t>。</w:t>
      </w:r>
      <w:r w:rsidR="009E5964" w:rsidRPr="00E76482">
        <w:rPr>
          <w:rFonts w:hint="eastAsia"/>
          <w:color w:val="FF0000"/>
        </w:rPr>
        <w:t>感谢匿名审稿人的意见。</w:t>
      </w:r>
      <w:r w:rsidR="005A2441" w:rsidRPr="00E76482">
        <w:rPr>
          <w:rFonts w:hint="eastAsia"/>
          <w:color w:val="FF0000"/>
        </w:rPr>
        <w:t>本文受中国社会科学院重大课题“</w:t>
      </w:r>
      <w:r w:rsidR="005A2441" w:rsidRPr="00E76482">
        <w:rPr>
          <w:rFonts w:ascii="Arial" w:hAnsi="Arial" w:cs="Arial"/>
          <w:color w:val="FF0000"/>
          <w:shd w:val="clear" w:color="auto" w:fill="FFFFFF"/>
        </w:rPr>
        <w:t>浙江</w:t>
      </w:r>
      <w:r w:rsidR="005A2441" w:rsidRPr="00E76482">
        <w:rPr>
          <w:rFonts w:ascii="Arial" w:hAnsi="Arial" w:cs="Arial" w:hint="eastAsia"/>
          <w:color w:val="FF0000"/>
          <w:shd w:val="clear" w:color="auto" w:fill="FFFFFF"/>
        </w:rPr>
        <w:t>省高质量发展建设</w:t>
      </w:r>
      <w:r w:rsidR="005A2441" w:rsidRPr="00E76482">
        <w:rPr>
          <w:rFonts w:ascii="Arial" w:hAnsi="Arial" w:cs="Arial"/>
          <w:color w:val="FF0000"/>
          <w:shd w:val="clear" w:color="auto" w:fill="FFFFFF"/>
        </w:rPr>
        <w:t>共同富裕示范区</w:t>
      </w:r>
      <w:r w:rsidR="005A2441" w:rsidRPr="00E76482">
        <w:rPr>
          <w:rFonts w:ascii="Arial" w:hAnsi="Arial" w:cs="Arial" w:hint="eastAsia"/>
          <w:color w:val="FF0000"/>
          <w:shd w:val="clear" w:color="auto" w:fill="FFFFFF"/>
        </w:rPr>
        <w:t>研究</w:t>
      </w:r>
      <w:r w:rsidR="005A2441" w:rsidRPr="00E76482">
        <w:rPr>
          <w:rFonts w:hint="eastAsia"/>
          <w:color w:val="FF0000"/>
        </w:rPr>
        <w:t>”的资助，以及国家社科基金重大课题《</w:t>
      </w:r>
      <w:r w:rsidR="005A2441" w:rsidRPr="00E76482">
        <w:rPr>
          <w:rFonts w:ascii="宋体" w:hAnsi="宋体" w:hint="eastAsia"/>
          <w:bCs/>
          <w:color w:val="FF0000"/>
          <w:szCs w:val="21"/>
        </w:rPr>
        <w:t>宏观经济稳增长与金融系统防风险动态平衡机制研究》（</w:t>
      </w:r>
      <w:r w:rsidR="005A2441" w:rsidRPr="00E76482">
        <w:rPr>
          <w:rFonts w:ascii="宋体" w:hAnsi="宋体"/>
          <w:bCs/>
          <w:color w:val="FF0000"/>
          <w:szCs w:val="21"/>
        </w:rPr>
        <w:t>19ZDA095</w:t>
      </w:r>
      <w:r w:rsidR="005A2441" w:rsidRPr="00E76482">
        <w:rPr>
          <w:rFonts w:ascii="宋体" w:hAnsi="宋体" w:hint="eastAsia"/>
          <w:bCs/>
          <w:color w:val="FF0000"/>
          <w:szCs w:val="21"/>
        </w:rPr>
        <w:t>）与</w:t>
      </w:r>
      <w:r w:rsidR="005A2441" w:rsidRPr="00E76482">
        <w:rPr>
          <w:rFonts w:hint="eastAsia"/>
          <w:color w:val="FF0000"/>
        </w:rPr>
        <w:t>国家社科基金重点课题《宏观金融网络视角下的合意杠杆率研究》（</w:t>
      </w:r>
      <w:r w:rsidR="005A2441" w:rsidRPr="00E76482">
        <w:rPr>
          <w:rFonts w:hint="eastAsia"/>
          <w:color w:val="FF0000"/>
        </w:rPr>
        <w:t>19AJL006</w:t>
      </w:r>
      <w:r w:rsidR="005A2441" w:rsidRPr="00E76482">
        <w:rPr>
          <w:rFonts w:hint="eastAsia"/>
          <w:color w:val="FF0000"/>
        </w:rPr>
        <w:t>）的资助。</w:t>
      </w:r>
    </w:p>
  </w:footnote>
  <w:footnote w:id="2">
    <w:p w14:paraId="6DFE8167" w14:textId="77777777" w:rsidR="00067D8F" w:rsidRDefault="00067D8F" w:rsidP="00067D8F">
      <w:pPr>
        <w:pStyle w:val="a5"/>
      </w:pPr>
      <w:r>
        <w:rPr>
          <w:rStyle w:val="a3"/>
        </w:rPr>
        <w:footnoteRef/>
      </w:r>
      <w:r>
        <w:t xml:space="preserve"> </w:t>
      </w:r>
      <w:r>
        <w:rPr>
          <w:rFonts w:hint="eastAsia"/>
        </w:rPr>
        <w:t>数据来源于国际金融协会（</w:t>
      </w:r>
      <w:r>
        <w:rPr>
          <w:rFonts w:hint="eastAsia"/>
        </w:rPr>
        <w:t>IIF</w:t>
      </w:r>
      <w:r>
        <w:rPr>
          <w:rFonts w:hint="eastAsia"/>
        </w:rPr>
        <w:t>）</w:t>
      </w:r>
      <w:r>
        <w:rPr>
          <w:rFonts w:hint="eastAsia"/>
        </w:rPr>
        <w:t>。</w:t>
      </w:r>
    </w:p>
  </w:footnote>
  <w:footnote w:id="3">
    <w:p w14:paraId="57B73BFC" w14:textId="77777777" w:rsidR="00F334C6" w:rsidRDefault="00F334C6">
      <w:pPr>
        <w:pStyle w:val="a5"/>
      </w:pPr>
      <w:r>
        <w:rPr>
          <w:rStyle w:val="a3"/>
        </w:rPr>
        <w:footnoteRef/>
      </w:r>
      <w:r>
        <w:t xml:space="preserve"> </w:t>
      </w:r>
      <w:r>
        <w:rPr>
          <w:rFonts w:hint="eastAsia"/>
        </w:rPr>
        <w:t>皮凯蒂（</w:t>
      </w:r>
      <w:r>
        <w:rPr>
          <w:rFonts w:hint="eastAsia"/>
        </w:rPr>
        <w:t>2014</w:t>
      </w:r>
      <w:r>
        <w:rPr>
          <w:rFonts w:hint="eastAsia"/>
        </w:rPr>
        <w:t>）</w:t>
      </w:r>
      <w:r>
        <w:rPr>
          <w:rFonts w:hint="eastAsia"/>
        </w:rPr>
        <w:t>所谓的食利者收入实际上包含了实物资本带来的收入。</w:t>
      </w:r>
    </w:p>
  </w:footnote>
  <w:footnote w:id="4">
    <w:p w14:paraId="2B851E38" w14:textId="77777777" w:rsidR="009E3CDC" w:rsidRPr="009E3CDC" w:rsidRDefault="009E3CDC">
      <w:pPr>
        <w:pStyle w:val="a5"/>
        <w:rPr>
          <w:color w:val="FF0000"/>
        </w:rPr>
      </w:pPr>
      <w:r>
        <w:rPr>
          <w:rStyle w:val="a3"/>
        </w:rPr>
        <w:footnoteRef/>
      </w:r>
      <w:r>
        <w:t xml:space="preserve"> </w:t>
      </w:r>
      <w:r w:rsidRPr="009E3CDC">
        <w:rPr>
          <w:rFonts w:hint="eastAsia"/>
          <w:color w:val="FF0000"/>
        </w:rPr>
        <w:t>值得指出的是，中国虽然并未发生典</w:t>
      </w:r>
      <w:r>
        <w:rPr>
          <w:rFonts w:hint="eastAsia"/>
          <w:color w:val="FF0000"/>
        </w:rPr>
        <w:t>型意义上</w:t>
      </w:r>
      <w:r w:rsidRPr="009E3CDC">
        <w:rPr>
          <w:rFonts w:hint="eastAsia"/>
          <w:color w:val="FF0000"/>
        </w:rPr>
        <w:t>的金融危机，但风险的不断积累加剧也使得防范化解风险成为中央提出的三大攻坚战之一。而且，</w:t>
      </w:r>
      <w:r w:rsidR="005A2441">
        <w:rPr>
          <w:rFonts w:hint="eastAsia"/>
          <w:color w:val="FF0000"/>
        </w:rPr>
        <w:t>政府为</w:t>
      </w:r>
      <w:r w:rsidRPr="009E3CDC">
        <w:rPr>
          <w:rFonts w:hint="eastAsia"/>
          <w:color w:val="FF0000"/>
        </w:rPr>
        <w:t>精准拆弹、处置风险</w:t>
      </w:r>
      <w:r w:rsidR="005A2441">
        <w:rPr>
          <w:rFonts w:hint="eastAsia"/>
          <w:color w:val="FF0000"/>
        </w:rPr>
        <w:t>所采取的一系列政策举措</w:t>
      </w:r>
      <w:r w:rsidRPr="009E3CDC">
        <w:rPr>
          <w:rFonts w:hint="eastAsia"/>
          <w:color w:val="FF0000"/>
        </w:rPr>
        <w:t>，</w:t>
      </w:r>
      <w:r>
        <w:rPr>
          <w:rFonts w:hint="eastAsia"/>
          <w:color w:val="FF0000"/>
        </w:rPr>
        <w:t>亦</w:t>
      </w:r>
      <w:r w:rsidRPr="009E3CDC">
        <w:rPr>
          <w:rFonts w:hint="eastAsia"/>
          <w:color w:val="FF0000"/>
        </w:rPr>
        <w:t>会产生不同程度的分配效应。</w:t>
      </w:r>
    </w:p>
  </w:footnote>
  <w:footnote w:id="5">
    <w:p w14:paraId="2CE524DC" w14:textId="77777777" w:rsidR="005A2441" w:rsidRPr="005A2441" w:rsidRDefault="005A2441">
      <w:pPr>
        <w:pStyle w:val="a5"/>
        <w:rPr>
          <w:color w:val="FF0000"/>
        </w:rPr>
      </w:pPr>
      <w:r>
        <w:rPr>
          <w:rStyle w:val="a3"/>
        </w:rPr>
        <w:footnoteRef/>
      </w:r>
      <w:r>
        <w:t xml:space="preserve"> </w:t>
      </w:r>
      <w:r w:rsidRPr="005A2441">
        <w:rPr>
          <w:rFonts w:hint="eastAsia"/>
          <w:color w:val="FF0000"/>
        </w:rPr>
        <w:t>但国际比较看，我国人均可支配收入大幅低于人均</w:t>
      </w:r>
      <w:r w:rsidRPr="005A2441">
        <w:rPr>
          <w:rFonts w:hint="eastAsia"/>
          <w:color w:val="FF0000"/>
        </w:rPr>
        <w:t>GDP</w:t>
      </w:r>
      <w:r w:rsidR="00E76482">
        <w:rPr>
          <w:rFonts w:hint="eastAsia"/>
          <w:color w:val="FF0000"/>
        </w:rPr>
        <w:t>，其本身也反映出国民收入分配存在</w:t>
      </w:r>
      <w:r w:rsidRPr="005A2441">
        <w:rPr>
          <w:rFonts w:hint="eastAsia"/>
          <w:color w:val="FF0000"/>
        </w:rPr>
        <w:t>问题。</w:t>
      </w:r>
    </w:p>
  </w:footnote>
  <w:footnote w:id="6">
    <w:p w14:paraId="6DC3CF94" w14:textId="77777777" w:rsidR="009D61DE" w:rsidRPr="005A2441" w:rsidRDefault="009D61DE" w:rsidP="009D61DE">
      <w:pPr>
        <w:pStyle w:val="a5"/>
        <w:rPr>
          <w:rFonts w:asciiTheme="minorEastAsia" w:eastAsiaTheme="minorEastAsia" w:hAnsiTheme="minorEastAsia"/>
          <w:szCs w:val="18"/>
        </w:rPr>
      </w:pPr>
      <w:r w:rsidRPr="00DE06B9">
        <w:rPr>
          <w:rStyle w:val="a3"/>
          <w:rFonts w:ascii="仿宋" w:eastAsia="仿宋" w:hAnsi="仿宋"/>
          <w:sz w:val="21"/>
          <w:szCs w:val="21"/>
        </w:rPr>
        <w:footnoteRef/>
      </w:r>
      <w:r w:rsidRPr="00DE06B9">
        <w:rPr>
          <w:rFonts w:ascii="仿宋" w:eastAsia="仿宋" w:hAnsi="仿宋" w:hint="eastAsia"/>
          <w:sz w:val="21"/>
          <w:szCs w:val="21"/>
        </w:rPr>
        <w:t xml:space="preserve"> </w:t>
      </w:r>
      <w:r w:rsidRPr="005A2441">
        <w:rPr>
          <w:rFonts w:asciiTheme="minorEastAsia" w:eastAsiaTheme="minorEastAsia" w:hAnsiTheme="minorEastAsia" w:hint="eastAsia"/>
          <w:szCs w:val="18"/>
        </w:rPr>
        <w:t>作为参照，</w:t>
      </w:r>
      <w:r w:rsidRPr="005A2441">
        <w:rPr>
          <w:rFonts w:asciiTheme="minorEastAsia" w:eastAsiaTheme="minorEastAsia" w:hAnsiTheme="minorEastAsia"/>
          <w:szCs w:val="18"/>
        </w:rPr>
        <w:t>中国人民银行调查统计司城镇居民家庭资产负债调查课题组</w:t>
      </w:r>
      <w:r w:rsidRPr="005A2441">
        <w:rPr>
          <w:rFonts w:asciiTheme="minorEastAsia" w:eastAsiaTheme="minorEastAsia" w:hAnsiTheme="minorEastAsia" w:hint="eastAsia"/>
          <w:szCs w:val="18"/>
        </w:rPr>
        <w:t>的数据显示：</w:t>
      </w:r>
      <w:r w:rsidRPr="005A2441">
        <w:rPr>
          <w:rFonts w:asciiTheme="minorEastAsia" w:eastAsiaTheme="minorEastAsia" w:hAnsiTheme="minorEastAsia"/>
          <w:szCs w:val="18"/>
        </w:rPr>
        <w:t>最高10%家庭的总资产占比为47.5%</w:t>
      </w:r>
      <w:r w:rsidRPr="005A2441">
        <w:rPr>
          <w:rFonts w:asciiTheme="minorEastAsia" w:eastAsiaTheme="minorEastAsia" w:hAnsiTheme="minorEastAsia" w:hint="eastAsia"/>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69C248"/>
    <w:multiLevelType w:val="hybridMultilevel"/>
    <w:tmpl w:val="8F7083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41513"/>
    <w:multiLevelType w:val="hybridMultilevel"/>
    <w:tmpl w:val="FB085E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BD1BF8"/>
    <w:multiLevelType w:val="hybridMultilevel"/>
    <w:tmpl w:val="2BE69AE2"/>
    <w:lvl w:ilvl="0" w:tplc="6026F7A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207990"/>
    <w:multiLevelType w:val="hybridMultilevel"/>
    <w:tmpl w:val="E3FCFDFE"/>
    <w:lvl w:ilvl="0" w:tplc="26388C2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15:restartNumberingAfterBreak="0">
    <w:nsid w:val="0A476EA3"/>
    <w:multiLevelType w:val="hybridMultilevel"/>
    <w:tmpl w:val="85A45326"/>
    <w:lvl w:ilvl="0" w:tplc="1D2223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15:restartNumberingAfterBreak="0">
    <w:nsid w:val="0EC85314"/>
    <w:multiLevelType w:val="hybridMultilevel"/>
    <w:tmpl w:val="6BB43DF2"/>
    <w:lvl w:ilvl="0" w:tplc="14FA2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4B58A1"/>
    <w:multiLevelType w:val="hybridMultilevel"/>
    <w:tmpl w:val="2D5682A2"/>
    <w:lvl w:ilvl="0" w:tplc="AC6C2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D63EC3"/>
    <w:multiLevelType w:val="hybridMultilevel"/>
    <w:tmpl w:val="F8C2CD60"/>
    <w:lvl w:ilvl="0" w:tplc="835604E8">
      <w:start w:val="1"/>
      <w:numFmt w:val="bullet"/>
      <w:lvlText w:val="•"/>
      <w:lvlJc w:val="left"/>
      <w:pPr>
        <w:tabs>
          <w:tab w:val="num" w:pos="720"/>
        </w:tabs>
        <w:ind w:left="720" w:hanging="360"/>
      </w:pPr>
      <w:rPr>
        <w:rFonts w:ascii="Arial" w:hAnsi="Arial" w:hint="default"/>
      </w:rPr>
    </w:lvl>
    <w:lvl w:ilvl="1" w:tplc="82FA4E94" w:tentative="1">
      <w:start w:val="1"/>
      <w:numFmt w:val="bullet"/>
      <w:lvlText w:val="•"/>
      <w:lvlJc w:val="left"/>
      <w:pPr>
        <w:tabs>
          <w:tab w:val="num" w:pos="1440"/>
        </w:tabs>
        <w:ind w:left="1440" w:hanging="360"/>
      </w:pPr>
      <w:rPr>
        <w:rFonts w:ascii="Arial" w:hAnsi="Arial" w:hint="default"/>
      </w:rPr>
    </w:lvl>
    <w:lvl w:ilvl="2" w:tplc="0AFCC1C6" w:tentative="1">
      <w:start w:val="1"/>
      <w:numFmt w:val="bullet"/>
      <w:lvlText w:val="•"/>
      <w:lvlJc w:val="left"/>
      <w:pPr>
        <w:tabs>
          <w:tab w:val="num" w:pos="2160"/>
        </w:tabs>
        <w:ind w:left="2160" w:hanging="360"/>
      </w:pPr>
      <w:rPr>
        <w:rFonts w:ascii="Arial" w:hAnsi="Arial" w:hint="default"/>
      </w:rPr>
    </w:lvl>
    <w:lvl w:ilvl="3" w:tplc="7B5E44CC" w:tentative="1">
      <w:start w:val="1"/>
      <w:numFmt w:val="bullet"/>
      <w:lvlText w:val="•"/>
      <w:lvlJc w:val="left"/>
      <w:pPr>
        <w:tabs>
          <w:tab w:val="num" w:pos="2880"/>
        </w:tabs>
        <w:ind w:left="2880" w:hanging="360"/>
      </w:pPr>
      <w:rPr>
        <w:rFonts w:ascii="Arial" w:hAnsi="Arial" w:hint="default"/>
      </w:rPr>
    </w:lvl>
    <w:lvl w:ilvl="4" w:tplc="986E46BE" w:tentative="1">
      <w:start w:val="1"/>
      <w:numFmt w:val="bullet"/>
      <w:lvlText w:val="•"/>
      <w:lvlJc w:val="left"/>
      <w:pPr>
        <w:tabs>
          <w:tab w:val="num" w:pos="3600"/>
        </w:tabs>
        <w:ind w:left="3600" w:hanging="360"/>
      </w:pPr>
      <w:rPr>
        <w:rFonts w:ascii="Arial" w:hAnsi="Arial" w:hint="default"/>
      </w:rPr>
    </w:lvl>
    <w:lvl w:ilvl="5" w:tplc="4BC2B42C" w:tentative="1">
      <w:start w:val="1"/>
      <w:numFmt w:val="bullet"/>
      <w:lvlText w:val="•"/>
      <w:lvlJc w:val="left"/>
      <w:pPr>
        <w:tabs>
          <w:tab w:val="num" w:pos="4320"/>
        </w:tabs>
        <w:ind w:left="4320" w:hanging="360"/>
      </w:pPr>
      <w:rPr>
        <w:rFonts w:ascii="Arial" w:hAnsi="Arial" w:hint="default"/>
      </w:rPr>
    </w:lvl>
    <w:lvl w:ilvl="6" w:tplc="936867FE" w:tentative="1">
      <w:start w:val="1"/>
      <w:numFmt w:val="bullet"/>
      <w:lvlText w:val="•"/>
      <w:lvlJc w:val="left"/>
      <w:pPr>
        <w:tabs>
          <w:tab w:val="num" w:pos="5040"/>
        </w:tabs>
        <w:ind w:left="5040" w:hanging="360"/>
      </w:pPr>
      <w:rPr>
        <w:rFonts w:ascii="Arial" w:hAnsi="Arial" w:hint="default"/>
      </w:rPr>
    </w:lvl>
    <w:lvl w:ilvl="7" w:tplc="DD0EFCFC" w:tentative="1">
      <w:start w:val="1"/>
      <w:numFmt w:val="bullet"/>
      <w:lvlText w:val="•"/>
      <w:lvlJc w:val="left"/>
      <w:pPr>
        <w:tabs>
          <w:tab w:val="num" w:pos="5760"/>
        </w:tabs>
        <w:ind w:left="5760" w:hanging="360"/>
      </w:pPr>
      <w:rPr>
        <w:rFonts w:ascii="Arial" w:hAnsi="Arial" w:hint="default"/>
      </w:rPr>
    </w:lvl>
    <w:lvl w:ilvl="8" w:tplc="19C023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0426F9"/>
    <w:multiLevelType w:val="hybridMultilevel"/>
    <w:tmpl w:val="0E8EB024"/>
    <w:lvl w:ilvl="0" w:tplc="4D1A3EC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3DA054AE"/>
    <w:multiLevelType w:val="hybridMultilevel"/>
    <w:tmpl w:val="FBE07F2E"/>
    <w:lvl w:ilvl="0" w:tplc="F918BF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3EC5965"/>
    <w:multiLevelType w:val="hybridMultilevel"/>
    <w:tmpl w:val="2D8498A6"/>
    <w:lvl w:ilvl="0" w:tplc="1CD8E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6B0AC1"/>
    <w:multiLevelType w:val="hybridMultilevel"/>
    <w:tmpl w:val="6BF8A560"/>
    <w:lvl w:ilvl="0" w:tplc="CAFE2D48">
      <w:start w:val="1"/>
      <w:numFmt w:val="bullet"/>
      <w:lvlText w:val="•"/>
      <w:lvlJc w:val="left"/>
      <w:pPr>
        <w:tabs>
          <w:tab w:val="num" w:pos="720"/>
        </w:tabs>
        <w:ind w:left="720" w:hanging="360"/>
      </w:pPr>
      <w:rPr>
        <w:rFonts w:ascii="Arial" w:hAnsi="Arial" w:hint="default"/>
      </w:rPr>
    </w:lvl>
    <w:lvl w:ilvl="1" w:tplc="9D88F290" w:tentative="1">
      <w:start w:val="1"/>
      <w:numFmt w:val="bullet"/>
      <w:lvlText w:val="•"/>
      <w:lvlJc w:val="left"/>
      <w:pPr>
        <w:tabs>
          <w:tab w:val="num" w:pos="1440"/>
        </w:tabs>
        <w:ind w:left="1440" w:hanging="360"/>
      </w:pPr>
      <w:rPr>
        <w:rFonts w:ascii="Arial" w:hAnsi="Arial" w:hint="default"/>
      </w:rPr>
    </w:lvl>
    <w:lvl w:ilvl="2" w:tplc="0480DD00" w:tentative="1">
      <w:start w:val="1"/>
      <w:numFmt w:val="bullet"/>
      <w:lvlText w:val="•"/>
      <w:lvlJc w:val="left"/>
      <w:pPr>
        <w:tabs>
          <w:tab w:val="num" w:pos="2160"/>
        </w:tabs>
        <w:ind w:left="2160" w:hanging="360"/>
      </w:pPr>
      <w:rPr>
        <w:rFonts w:ascii="Arial" w:hAnsi="Arial" w:hint="default"/>
      </w:rPr>
    </w:lvl>
    <w:lvl w:ilvl="3" w:tplc="0BF648D8" w:tentative="1">
      <w:start w:val="1"/>
      <w:numFmt w:val="bullet"/>
      <w:lvlText w:val="•"/>
      <w:lvlJc w:val="left"/>
      <w:pPr>
        <w:tabs>
          <w:tab w:val="num" w:pos="2880"/>
        </w:tabs>
        <w:ind w:left="2880" w:hanging="360"/>
      </w:pPr>
      <w:rPr>
        <w:rFonts w:ascii="Arial" w:hAnsi="Arial" w:hint="default"/>
      </w:rPr>
    </w:lvl>
    <w:lvl w:ilvl="4" w:tplc="DBEA47AC" w:tentative="1">
      <w:start w:val="1"/>
      <w:numFmt w:val="bullet"/>
      <w:lvlText w:val="•"/>
      <w:lvlJc w:val="left"/>
      <w:pPr>
        <w:tabs>
          <w:tab w:val="num" w:pos="3600"/>
        </w:tabs>
        <w:ind w:left="3600" w:hanging="360"/>
      </w:pPr>
      <w:rPr>
        <w:rFonts w:ascii="Arial" w:hAnsi="Arial" w:hint="default"/>
      </w:rPr>
    </w:lvl>
    <w:lvl w:ilvl="5" w:tplc="ED2C2FF0" w:tentative="1">
      <w:start w:val="1"/>
      <w:numFmt w:val="bullet"/>
      <w:lvlText w:val="•"/>
      <w:lvlJc w:val="left"/>
      <w:pPr>
        <w:tabs>
          <w:tab w:val="num" w:pos="4320"/>
        </w:tabs>
        <w:ind w:left="4320" w:hanging="360"/>
      </w:pPr>
      <w:rPr>
        <w:rFonts w:ascii="Arial" w:hAnsi="Arial" w:hint="default"/>
      </w:rPr>
    </w:lvl>
    <w:lvl w:ilvl="6" w:tplc="89F89270" w:tentative="1">
      <w:start w:val="1"/>
      <w:numFmt w:val="bullet"/>
      <w:lvlText w:val="•"/>
      <w:lvlJc w:val="left"/>
      <w:pPr>
        <w:tabs>
          <w:tab w:val="num" w:pos="5040"/>
        </w:tabs>
        <w:ind w:left="5040" w:hanging="360"/>
      </w:pPr>
      <w:rPr>
        <w:rFonts w:ascii="Arial" w:hAnsi="Arial" w:hint="default"/>
      </w:rPr>
    </w:lvl>
    <w:lvl w:ilvl="7" w:tplc="45AAFC60" w:tentative="1">
      <w:start w:val="1"/>
      <w:numFmt w:val="bullet"/>
      <w:lvlText w:val="•"/>
      <w:lvlJc w:val="left"/>
      <w:pPr>
        <w:tabs>
          <w:tab w:val="num" w:pos="5760"/>
        </w:tabs>
        <w:ind w:left="5760" w:hanging="360"/>
      </w:pPr>
      <w:rPr>
        <w:rFonts w:ascii="Arial" w:hAnsi="Arial" w:hint="default"/>
      </w:rPr>
    </w:lvl>
    <w:lvl w:ilvl="8" w:tplc="9D4CFA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8E4F68"/>
    <w:multiLevelType w:val="hybridMultilevel"/>
    <w:tmpl w:val="0C4AADEE"/>
    <w:lvl w:ilvl="0" w:tplc="1B2832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F73257"/>
    <w:multiLevelType w:val="hybridMultilevel"/>
    <w:tmpl w:val="5FC463B6"/>
    <w:lvl w:ilvl="0" w:tplc="ED125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612A6E"/>
    <w:multiLevelType w:val="hybridMultilevel"/>
    <w:tmpl w:val="D31E18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F78CB0"/>
    <w:multiLevelType w:val="hybridMultilevel"/>
    <w:tmpl w:val="6D896B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BC278D"/>
    <w:multiLevelType w:val="hybridMultilevel"/>
    <w:tmpl w:val="462590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212062"/>
    <w:multiLevelType w:val="hybridMultilevel"/>
    <w:tmpl w:val="D23256EA"/>
    <w:lvl w:ilvl="0" w:tplc="F918BF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6C0795A"/>
    <w:multiLevelType w:val="hybridMultilevel"/>
    <w:tmpl w:val="645A3410"/>
    <w:lvl w:ilvl="0" w:tplc="4B160D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A270C"/>
    <w:multiLevelType w:val="hybridMultilevel"/>
    <w:tmpl w:val="E50CBADC"/>
    <w:lvl w:ilvl="0" w:tplc="C1BCE2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9"/>
  </w:num>
  <w:num w:numId="3">
    <w:abstractNumId w:val="4"/>
  </w:num>
  <w:num w:numId="4">
    <w:abstractNumId w:val="3"/>
  </w:num>
  <w:num w:numId="5">
    <w:abstractNumId w:val="6"/>
  </w:num>
  <w:num w:numId="6">
    <w:abstractNumId w:val="0"/>
  </w:num>
  <w:num w:numId="7">
    <w:abstractNumId w:val="15"/>
  </w:num>
  <w:num w:numId="8">
    <w:abstractNumId w:val="14"/>
  </w:num>
  <w:num w:numId="9">
    <w:abstractNumId w:val="16"/>
  </w:num>
  <w:num w:numId="10">
    <w:abstractNumId w:val="5"/>
  </w:num>
  <w:num w:numId="11">
    <w:abstractNumId w:val="19"/>
  </w:num>
  <w:num w:numId="12">
    <w:abstractNumId w:val="1"/>
  </w:num>
  <w:num w:numId="13">
    <w:abstractNumId w:val="12"/>
  </w:num>
  <w:num w:numId="14">
    <w:abstractNumId w:val="13"/>
  </w:num>
  <w:num w:numId="15">
    <w:abstractNumId w:val="18"/>
  </w:num>
  <w:num w:numId="16">
    <w:abstractNumId w:val="10"/>
  </w:num>
  <w:num w:numId="17">
    <w:abstractNumId w:val="2"/>
  </w:num>
  <w:num w:numId="18">
    <w:abstractNumId w:val="8"/>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23F"/>
    <w:rsid w:val="00025EF1"/>
    <w:rsid w:val="00027FF2"/>
    <w:rsid w:val="00030A69"/>
    <w:rsid w:val="000324D5"/>
    <w:rsid w:val="00064244"/>
    <w:rsid w:val="00067D8F"/>
    <w:rsid w:val="00077528"/>
    <w:rsid w:val="00082E2A"/>
    <w:rsid w:val="000902E2"/>
    <w:rsid w:val="000B0B59"/>
    <w:rsid w:val="000B4744"/>
    <w:rsid w:val="000C0B24"/>
    <w:rsid w:val="000C3AC9"/>
    <w:rsid w:val="000C701C"/>
    <w:rsid w:val="000C787F"/>
    <w:rsid w:val="000C7F76"/>
    <w:rsid w:val="000D02AA"/>
    <w:rsid w:val="000F6950"/>
    <w:rsid w:val="001006E1"/>
    <w:rsid w:val="0010635B"/>
    <w:rsid w:val="0011617D"/>
    <w:rsid w:val="00127CA0"/>
    <w:rsid w:val="00154A65"/>
    <w:rsid w:val="0015657E"/>
    <w:rsid w:val="0016149F"/>
    <w:rsid w:val="00161C35"/>
    <w:rsid w:val="00166879"/>
    <w:rsid w:val="001713F2"/>
    <w:rsid w:val="0019147F"/>
    <w:rsid w:val="001A675B"/>
    <w:rsid w:val="001A6B8B"/>
    <w:rsid w:val="001B14A2"/>
    <w:rsid w:val="001B4F04"/>
    <w:rsid w:val="001B6336"/>
    <w:rsid w:val="001C0A1C"/>
    <w:rsid w:val="001C41EE"/>
    <w:rsid w:val="001E699E"/>
    <w:rsid w:val="00207DEE"/>
    <w:rsid w:val="00220A83"/>
    <w:rsid w:val="00223F81"/>
    <w:rsid w:val="00232F19"/>
    <w:rsid w:val="00234B74"/>
    <w:rsid w:val="00244776"/>
    <w:rsid w:val="00263175"/>
    <w:rsid w:val="00277D13"/>
    <w:rsid w:val="00281E61"/>
    <w:rsid w:val="002831F9"/>
    <w:rsid w:val="002B7F04"/>
    <w:rsid w:val="002C1247"/>
    <w:rsid w:val="002D1192"/>
    <w:rsid w:val="002E3E61"/>
    <w:rsid w:val="002F4237"/>
    <w:rsid w:val="00300341"/>
    <w:rsid w:val="00303306"/>
    <w:rsid w:val="00313C5D"/>
    <w:rsid w:val="00335A47"/>
    <w:rsid w:val="0034071C"/>
    <w:rsid w:val="00352171"/>
    <w:rsid w:val="00380B7A"/>
    <w:rsid w:val="003A305E"/>
    <w:rsid w:val="003B6796"/>
    <w:rsid w:val="003D3059"/>
    <w:rsid w:val="003F2A4A"/>
    <w:rsid w:val="00407DAC"/>
    <w:rsid w:val="00411359"/>
    <w:rsid w:val="004130E6"/>
    <w:rsid w:val="00413E87"/>
    <w:rsid w:val="004164F8"/>
    <w:rsid w:val="004410D8"/>
    <w:rsid w:val="004C2678"/>
    <w:rsid w:val="004D20AC"/>
    <w:rsid w:val="0051183E"/>
    <w:rsid w:val="00517FD2"/>
    <w:rsid w:val="005222CE"/>
    <w:rsid w:val="0053492E"/>
    <w:rsid w:val="005419F4"/>
    <w:rsid w:val="0054750C"/>
    <w:rsid w:val="005541A5"/>
    <w:rsid w:val="005574DE"/>
    <w:rsid w:val="005638E7"/>
    <w:rsid w:val="00564055"/>
    <w:rsid w:val="00572837"/>
    <w:rsid w:val="005A0C8F"/>
    <w:rsid w:val="005A2441"/>
    <w:rsid w:val="005C3B86"/>
    <w:rsid w:val="005D1780"/>
    <w:rsid w:val="005D5BCB"/>
    <w:rsid w:val="005F24F7"/>
    <w:rsid w:val="005F3910"/>
    <w:rsid w:val="00620CD2"/>
    <w:rsid w:val="006229CA"/>
    <w:rsid w:val="00651658"/>
    <w:rsid w:val="00677BC8"/>
    <w:rsid w:val="0068741B"/>
    <w:rsid w:val="006913EF"/>
    <w:rsid w:val="006B468F"/>
    <w:rsid w:val="0070195C"/>
    <w:rsid w:val="00726FE1"/>
    <w:rsid w:val="00750449"/>
    <w:rsid w:val="00752480"/>
    <w:rsid w:val="00773110"/>
    <w:rsid w:val="00796CDD"/>
    <w:rsid w:val="00797C00"/>
    <w:rsid w:val="007A6FBC"/>
    <w:rsid w:val="007C28D6"/>
    <w:rsid w:val="007C4EE2"/>
    <w:rsid w:val="007D43F3"/>
    <w:rsid w:val="007E4F8A"/>
    <w:rsid w:val="007F5E61"/>
    <w:rsid w:val="008037CE"/>
    <w:rsid w:val="00807119"/>
    <w:rsid w:val="00810C18"/>
    <w:rsid w:val="00842E66"/>
    <w:rsid w:val="00873DCF"/>
    <w:rsid w:val="0088514A"/>
    <w:rsid w:val="00886022"/>
    <w:rsid w:val="008A71A0"/>
    <w:rsid w:val="008E3879"/>
    <w:rsid w:val="008E6EEC"/>
    <w:rsid w:val="008F7249"/>
    <w:rsid w:val="0090134C"/>
    <w:rsid w:val="009152AF"/>
    <w:rsid w:val="009178F5"/>
    <w:rsid w:val="0094636F"/>
    <w:rsid w:val="00954E62"/>
    <w:rsid w:val="009572F4"/>
    <w:rsid w:val="00960C98"/>
    <w:rsid w:val="009627F1"/>
    <w:rsid w:val="0097635E"/>
    <w:rsid w:val="009765A1"/>
    <w:rsid w:val="009A40FD"/>
    <w:rsid w:val="009B19D9"/>
    <w:rsid w:val="009C106F"/>
    <w:rsid w:val="009C1529"/>
    <w:rsid w:val="009D61DE"/>
    <w:rsid w:val="009E2149"/>
    <w:rsid w:val="009E28C8"/>
    <w:rsid w:val="009E3CDC"/>
    <w:rsid w:val="009E5964"/>
    <w:rsid w:val="009E73E4"/>
    <w:rsid w:val="009F0E1E"/>
    <w:rsid w:val="009F3F28"/>
    <w:rsid w:val="009F529E"/>
    <w:rsid w:val="009F53BC"/>
    <w:rsid w:val="00A10217"/>
    <w:rsid w:val="00A254B8"/>
    <w:rsid w:val="00A2734C"/>
    <w:rsid w:val="00A31740"/>
    <w:rsid w:val="00A33D73"/>
    <w:rsid w:val="00A40656"/>
    <w:rsid w:val="00A75DB0"/>
    <w:rsid w:val="00A80D1A"/>
    <w:rsid w:val="00A825C4"/>
    <w:rsid w:val="00A8716C"/>
    <w:rsid w:val="00AB50E2"/>
    <w:rsid w:val="00AD2DC5"/>
    <w:rsid w:val="00AE6774"/>
    <w:rsid w:val="00B03AD8"/>
    <w:rsid w:val="00B27F62"/>
    <w:rsid w:val="00B46FEC"/>
    <w:rsid w:val="00B53CAE"/>
    <w:rsid w:val="00B82421"/>
    <w:rsid w:val="00B83435"/>
    <w:rsid w:val="00B86232"/>
    <w:rsid w:val="00B95A39"/>
    <w:rsid w:val="00BA780D"/>
    <w:rsid w:val="00BB7539"/>
    <w:rsid w:val="00BD4E4C"/>
    <w:rsid w:val="00BD6482"/>
    <w:rsid w:val="00BF6E50"/>
    <w:rsid w:val="00C02CBE"/>
    <w:rsid w:val="00C11F90"/>
    <w:rsid w:val="00C1371D"/>
    <w:rsid w:val="00C1393C"/>
    <w:rsid w:val="00C33694"/>
    <w:rsid w:val="00C64199"/>
    <w:rsid w:val="00C7363A"/>
    <w:rsid w:val="00C769C9"/>
    <w:rsid w:val="00C8645B"/>
    <w:rsid w:val="00CA775F"/>
    <w:rsid w:val="00CB54CE"/>
    <w:rsid w:val="00CC0953"/>
    <w:rsid w:val="00CD4F79"/>
    <w:rsid w:val="00CE4F97"/>
    <w:rsid w:val="00CE5E2D"/>
    <w:rsid w:val="00CF7878"/>
    <w:rsid w:val="00D07568"/>
    <w:rsid w:val="00D21EF4"/>
    <w:rsid w:val="00D30D19"/>
    <w:rsid w:val="00D47DD5"/>
    <w:rsid w:val="00D56C50"/>
    <w:rsid w:val="00D625E4"/>
    <w:rsid w:val="00D77D29"/>
    <w:rsid w:val="00D83163"/>
    <w:rsid w:val="00DB7748"/>
    <w:rsid w:val="00DC023F"/>
    <w:rsid w:val="00DC35E6"/>
    <w:rsid w:val="00DD07C2"/>
    <w:rsid w:val="00E14948"/>
    <w:rsid w:val="00E37D8F"/>
    <w:rsid w:val="00E552A1"/>
    <w:rsid w:val="00E57BB0"/>
    <w:rsid w:val="00E617AC"/>
    <w:rsid w:val="00E61B04"/>
    <w:rsid w:val="00E62C2F"/>
    <w:rsid w:val="00E676CC"/>
    <w:rsid w:val="00E67D5E"/>
    <w:rsid w:val="00E76482"/>
    <w:rsid w:val="00E94C97"/>
    <w:rsid w:val="00E963A8"/>
    <w:rsid w:val="00E97A35"/>
    <w:rsid w:val="00EB2235"/>
    <w:rsid w:val="00EB4527"/>
    <w:rsid w:val="00EB53CE"/>
    <w:rsid w:val="00F16378"/>
    <w:rsid w:val="00F214D7"/>
    <w:rsid w:val="00F27F88"/>
    <w:rsid w:val="00F334C6"/>
    <w:rsid w:val="00F50DDB"/>
    <w:rsid w:val="00F5400B"/>
    <w:rsid w:val="00F56E88"/>
    <w:rsid w:val="00F831EA"/>
    <w:rsid w:val="00F83D36"/>
    <w:rsid w:val="00F94063"/>
    <w:rsid w:val="00FA3F73"/>
    <w:rsid w:val="00FA52AB"/>
    <w:rsid w:val="00FA672D"/>
    <w:rsid w:val="00FC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C7FA"/>
  <w15:docId w15:val="{A3635DE5-F7F9-4851-B84F-6FC2F958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F0E1E"/>
    <w:pPr>
      <w:keepNext/>
      <w:keepLines/>
      <w:spacing w:before="340" w:after="330" w:line="578" w:lineRule="auto"/>
      <w:outlineLvl w:val="0"/>
    </w:pPr>
    <w:rPr>
      <w:b/>
      <w:bCs/>
      <w:kern w:val="44"/>
      <w:sz w:val="44"/>
      <w:szCs w:val="44"/>
    </w:rPr>
  </w:style>
  <w:style w:type="paragraph" w:styleId="2">
    <w:name w:val="heading 2"/>
    <w:basedOn w:val="a"/>
    <w:next w:val="a"/>
    <w:qFormat/>
    <w:rsid w:val="009F0E1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F0E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r,Footnote Reference Number,Footnote Reference_LVL6,Footnote Reference_LVL61,Footnote Reference_LVL62,Footnote Reference_LVL63,Footnote Reference_LVL64,SUPERS,EN Footnote Reference,number"/>
    <w:basedOn w:val="a0"/>
    <w:uiPriority w:val="99"/>
    <w:rsid w:val="009F0E1E"/>
    <w:rPr>
      <w:vertAlign w:val="superscript"/>
    </w:rPr>
  </w:style>
  <w:style w:type="table" w:styleId="10">
    <w:name w:val="Table Simple 1"/>
    <w:basedOn w:val="a1"/>
    <w:rsid w:val="009F0E1E"/>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4">
    <w:name w:val="Table Grid"/>
    <w:basedOn w:val="a1"/>
    <w:uiPriority w:val="59"/>
    <w:rsid w:val="009F0E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single space,FOOTNOTES,Footnote Text Char Char Char Char Char Char,stile 1,Testo_note,Testo_note1,Testo_note2,Footnote Text Char1,Footnote Text Char3 Char,Footnote Text Char2 Char Char,Footnote,Fußnote,FSR footnote,phd-½Å¡Á¢ÎÄ¡À¾,phd-脚注文本"/>
    <w:basedOn w:val="a"/>
    <w:link w:val="a6"/>
    <w:rsid w:val="009F0E1E"/>
    <w:pPr>
      <w:adjustRightInd w:val="0"/>
      <w:spacing w:line="312" w:lineRule="atLeast"/>
      <w:jc w:val="left"/>
      <w:textAlignment w:val="baseline"/>
    </w:pPr>
    <w:rPr>
      <w:kern w:val="0"/>
      <w:sz w:val="18"/>
      <w:szCs w:val="20"/>
    </w:rPr>
  </w:style>
  <w:style w:type="paragraph" w:customStyle="1" w:styleId="11">
    <w:name w:val="样式 行距: 多倍行距 1.1 字行"/>
    <w:basedOn w:val="a"/>
    <w:next w:val="a"/>
    <w:rsid w:val="00D47DD5"/>
    <w:pPr>
      <w:spacing w:line="264" w:lineRule="auto"/>
      <w:ind w:firstLineChars="200" w:firstLine="420"/>
    </w:pPr>
    <w:rPr>
      <w:rFonts w:cs="宋体"/>
      <w:szCs w:val="20"/>
    </w:rPr>
  </w:style>
  <w:style w:type="paragraph" w:styleId="a7">
    <w:name w:val="Plain Text"/>
    <w:basedOn w:val="a"/>
    <w:rsid w:val="00C1371D"/>
    <w:rPr>
      <w:rFonts w:ascii="宋体" w:hAnsi="Courier New" w:cs="Courier New"/>
      <w:szCs w:val="21"/>
    </w:rPr>
  </w:style>
  <w:style w:type="paragraph" w:styleId="a8">
    <w:name w:val="Balloon Text"/>
    <w:basedOn w:val="a"/>
    <w:link w:val="a9"/>
    <w:rsid w:val="009E2149"/>
    <w:rPr>
      <w:sz w:val="18"/>
      <w:szCs w:val="18"/>
    </w:rPr>
  </w:style>
  <w:style w:type="character" w:customStyle="1" w:styleId="a9">
    <w:name w:val="批注框文本 字符"/>
    <w:basedOn w:val="a0"/>
    <w:link w:val="a8"/>
    <w:rsid w:val="009E2149"/>
    <w:rPr>
      <w:kern w:val="2"/>
      <w:sz w:val="18"/>
      <w:szCs w:val="18"/>
    </w:rPr>
  </w:style>
  <w:style w:type="paragraph" w:styleId="aa">
    <w:name w:val="List Paragraph"/>
    <w:basedOn w:val="a"/>
    <w:uiPriority w:val="34"/>
    <w:qFormat/>
    <w:rsid w:val="001713F2"/>
    <w:pPr>
      <w:ind w:firstLineChars="200" w:firstLine="420"/>
    </w:pPr>
  </w:style>
  <w:style w:type="character" w:customStyle="1" w:styleId="a6">
    <w:name w:val="脚注文本 字符"/>
    <w:aliases w:val="fn 字符,single space 字符,FOOTNOTES 字符,Footnote Text Char Char Char Char Char Char 字符,stile 1 字符,Testo_note 字符,Testo_note1 字符,Testo_note2 字符,Footnote Text Char1 字符,Footnote Text Char3 Char 字符,Footnote Text Char2 Char Char 字符,Footnote 字符,Fußnote 字符"/>
    <w:basedOn w:val="a0"/>
    <w:link w:val="a5"/>
    <w:rsid w:val="000C701C"/>
    <w:rPr>
      <w:sz w:val="18"/>
    </w:rPr>
  </w:style>
  <w:style w:type="character" w:styleId="ab">
    <w:name w:val="Strong"/>
    <w:basedOn w:val="a0"/>
    <w:uiPriority w:val="22"/>
    <w:qFormat/>
    <w:rsid w:val="00A2734C"/>
    <w:rPr>
      <w:b/>
      <w:bCs/>
    </w:rPr>
  </w:style>
  <w:style w:type="character" w:customStyle="1" w:styleId="bjh-strong">
    <w:name w:val="bjh-strong"/>
    <w:basedOn w:val="a0"/>
    <w:rsid w:val="005F3910"/>
  </w:style>
  <w:style w:type="paragraph" w:styleId="ac">
    <w:name w:val="Normal (Web)"/>
    <w:basedOn w:val="a"/>
    <w:uiPriority w:val="99"/>
    <w:unhideWhenUsed/>
    <w:rsid w:val="0051183E"/>
    <w:pPr>
      <w:widowControl/>
      <w:spacing w:before="100" w:beforeAutospacing="1" w:after="100" w:afterAutospacing="1"/>
      <w:jc w:val="left"/>
    </w:pPr>
    <w:rPr>
      <w:rFonts w:ascii="宋体" w:hAnsi="宋体" w:cs="宋体"/>
      <w:kern w:val="0"/>
      <w:sz w:val="24"/>
    </w:rPr>
  </w:style>
  <w:style w:type="paragraph" w:customStyle="1" w:styleId="Default">
    <w:name w:val="Default"/>
    <w:rsid w:val="0051183E"/>
    <w:pPr>
      <w:widowControl w:val="0"/>
      <w:autoSpaceDE w:val="0"/>
      <w:autoSpaceDN w:val="0"/>
      <w:adjustRightInd w:val="0"/>
    </w:pPr>
    <w:rPr>
      <w:rFonts w:ascii="Segoe UI" w:hAnsi="Segoe UI" w:cs="Segoe UI"/>
      <w:color w:val="000000"/>
      <w:sz w:val="24"/>
      <w:szCs w:val="24"/>
    </w:rPr>
  </w:style>
  <w:style w:type="character" w:customStyle="1" w:styleId="hilight">
    <w:name w:val="hilight"/>
    <w:basedOn w:val="a0"/>
    <w:rsid w:val="005638E7"/>
  </w:style>
  <w:style w:type="character" w:styleId="ad">
    <w:name w:val="Hyperlink"/>
    <w:basedOn w:val="a0"/>
    <w:uiPriority w:val="99"/>
    <w:unhideWhenUsed/>
    <w:rsid w:val="005638E7"/>
    <w:rPr>
      <w:color w:val="0000FF"/>
      <w:u w:val="single"/>
    </w:rPr>
  </w:style>
  <w:style w:type="character" w:customStyle="1" w:styleId="fakelink">
    <w:name w:val="fakelink"/>
    <w:basedOn w:val="a0"/>
    <w:rsid w:val="005638E7"/>
  </w:style>
  <w:style w:type="paragraph" w:styleId="ae">
    <w:name w:val="header"/>
    <w:basedOn w:val="a"/>
    <w:link w:val="af"/>
    <w:rsid w:val="009C152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rsid w:val="009C1529"/>
    <w:rPr>
      <w:kern w:val="2"/>
      <w:sz w:val="18"/>
      <w:szCs w:val="18"/>
    </w:rPr>
  </w:style>
  <w:style w:type="paragraph" w:styleId="af0">
    <w:name w:val="footer"/>
    <w:basedOn w:val="a"/>
    <w:link w:val="af1"/>
    <w:uiPriority w:val="99"/>
    <w:rsid w:val="009C1529"/>
    <w:pPr>
      <w:tabs>
        <w:tab w:val="center" w:pos="4153"/>
        <w:tab w:val="right" w:pos="8306"/>
      </w:tabs>
      <w:snapToGrid w:val="0"/>
      <w:jc w:val="left"/>
    </w:pPr>
    <w:rPr>
      <w:sz w:val="18"/>
      <w:szCs w:val="18"/>
    </w:rPr>
  </w:style>
  <w:style w:type="character" w:customStyle="1" w:styleId="af1">
    <w:name w:val="页脚 字符"/>
    <w:basedOn w:val="a0"/>
    <w:link w:val="af0"/>
    <w:uiPriority w:val="99"/>
    <w:rsid w:val="009C1529"/>
    <w:rPr>
      <w:kern w:val="2"/>
      <w:sz w:val="18"/>
      <w:szCs w:val="18"/>
    </w:rPr>
  </w:style>
  <w:style w:type="character" w:customStyle="1" w:styleId="bjh-p">
    <w:name w:val="bjh-p"/>
    <w:basedOn w:val="a0"/>
    <w:rsid w:val="00E62C2F"/>
  </w:style>
  <w:style w:type="paragraph" w:styleId="af2">
    <w:name w:val="Body Text Indent"/>
    <w:basedOn w:val="a"/>
    <w:link w:val="af3"/>
    <w:rsid w:val="00750449"/>
    <w:pPr>
      <w:spacing w:line="276" w:lineRule="auto"/>
      <w:ind w:firstLine="360"/>
    </w:pPr>
    <w:rPr>
      <w:rFonts w:ascii="宋体"/>
      <w:szCs w:val="20"/>
    </w:rPr>
  </w:style>
  <w:style w:type="character" w:customStyle="1" w:styleId="af3">
    <w:name w:val="正文文本缩进 字符"/>
    <w:basedOn w:val="a0"/>
    <w:link w:val="af2"/>
    <w:rsid w:val="00750449"/>
    <w:rPr>
      <w:rFonts w:ascii="宋体"/>
      <w:kern w:val="2"/>
      <w:sz w:val="21"/>
    </w:rPr>
  </w:style>
  <w:style w:type="character" w:customStyle="1" w:styleId="emstockkeycommon">
    <w:name w:val="em_stock_key_common"/>
    <w:basedOn w:val="a0"/>
    <w:rsid w:val="00127CA0"/>
  </w:style>
  <w:style w:type="character" w:styleId="af4">
    <w:name w:val="Emphasis"/>
    <w:basedOn w:val="a0"/>
    <w:uiPriority w:val="20"/>
    <w:qFormat/>
    <w:rsid w:val="00F33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67">
      <w:bodyDiv w:val="1"/>
      <w:marLeft w:val="0"/>
      <w:marRight w:val="0"/>
      <w:marTop w:val="0"/>
      <w:marBottom w:val="0"/>
      <w:divBdr>
        <w:top w:val="none" w:sz="0" w:space="0" w:color="auto"/>
        <w:left w:val="none" w:sz="0" w:space="0" w:color="auto"/>
        <w:bottom w:val="none" w:sz="0" w:space="0" w:color="auto"/>
        <w:right w:val="none" w:sz="0" w:space="0" w:color="auto"/>
      </w:divBdr>
      <w:divsChild>
        <w:div w:id="2059939113">
          <w:marLeft w:val="547"/>
          <w:marRight w:val="0"/>
          <w:marTop w:val="110"/>
          <w:marBottom w:val="0"/>
          <w:divBdr>
            <w:top w:val="none" w:sz="0" w:space="0" w:color="auto"/>
            <w:left w:val="none" w:sz="0" w:space="0" w:color="auto"/>
            <w:bottom w:val="none" w:sz="0" w:space="0" w:color="auto"/>
            <w:right w:val="none" w:sz="0" w:space="0" w:color="auto"/>
          </w:divBdr>
        </w:div>
      </w:divsChild>
    </w:div>
    <w:div w:id="258371509">
      <w:bodyDiv w:val="1"/>
      <w:marLeft w:val="0"/>
      <w:marRight w:val="0"/>
      <w:marTop w:val="0"/>
      <w:marBottom w:val="0"/>
      <w:divBdr>
        <w:top w:val="none" w:sz="0" w:space="0" w:color="auto"/>
        <w:left w:val="none" w:sz="0" w:space="0" w:color="auto"/>
        <w:bottom w:val="none" w:sz="0" w:space="0" w:color="auto"/>
        <w:right w:val="none" w:sz="0" w:space="0" w:color="auto"/>
      </w:divBdr>
    </w:div>
    <w:div w:id="519009397">
      <w:bodyDiv w:val="1"/>
      <w:marLeft w:val="0"/>
      <w:marRight w:val="0"/>
      <w:marTop w:val="0"/>
      <w:marBottom w:val="0"/>
      <w:divBdr>
        <w:top w:val="none" w:sz="0" w:space="0" w:color="auto"/>
        <w:left w:val="none" w:sz="0" w:space="0" w:color="auto"/>
        <w:bottom w:val="none" w:sz="0" w:space="0" w:color="auto"/>
        <w:right w:val="none" w:sz="0" w:space="0" w:color="auto"/>
      </w:divBdr>
    </w:div>
    <w:div w:id="1083599251">
      <w:bodyDiv w:val="1"/>
      <w:marLeft w:val="0"/>
      <w:marRight w:val="0"/>
      <w:marTop w:val="0"/>
      <w:marBottom w:val="0"/>
      <w:divBdr>
        <w:top w:val="none" w:sz="0" w:space="0" w:color="auto"/>
        <w:left w:val="none" w:sz="0" w:space="0" w:color="auto"/>
        <w:bottom w:val="none" w:sz="0" w:space="0" w:color="auto"/>
        <w:right w:val="none" w:sz="0" w:space="0" w:color="auto"/>
      </w:divBdr>
      <w:divsChild>
        <w:div w:id="953630279">
          <w:marLeft w:val="547"/>
          <w:marRight w:val="0"/>
          <w:marTop w:val="106"/>
          <w:marBottom w:val="0"/>
          <w:divBdr>
            <w:top w:val="none" w:sz="0" w:space="0" w:color="auto"/>
            <w:left w:val="none" w:sz="0" w:space="0" w:color="auto"/>
            <w:bottom w:val="none" w:sz="0" w:space="0" w:color="auto"/>
            <w:right w:val="none" w:sz="0" w:space="0" w:color="auto"/>
          </w:divBdr>
        </w:div>
      </w:divsChild>
    </w:div>
    <w:div w:id="1164929212">
      <w:bodyDiv w:val="1"/>
      <w:marLeft w:val="0"/>
      <w:marRight w:val="0"/>
      <w:marTop w:val="0"/>
      <w:marBottom w:val="0"/>
      <w:divBdr>
        <w:top w:val="none" w:sz="0" w:space="0" w:color="auto"/>
        <w:left w:val="none" w:sz="0" w:space="0" w:color="auto"/>
        <w:bottom w:val="none" w:sz="0" w:space="0" w:color="auto"/>
        <w:right w:val="none" w:sz="0" w:space="0" w:color="auto"/>
      </w:divBdr>
      <w:divsChild>
        <w:div w:id="737745396">
          <w:marLeft w:val="0"/>
          <w:marRight w:val="0"/>
          <w:marTop w:val="330"/>
          <w:marBottom w:val="0"/>
          <w:divBdr>
            <w:top w:val="none" w:sz="0" w:space="0" w:color="auto"/>
            <w:left w:val="none" w:sz="0" w:space="0" w:color="auto"/>
            <w:bottom w:val="none" w:sz="0" w:space="0" w:color="auto"/>
            <w:right w:val="none" w:sz="0" w:space="0" w:color="auto"/>
          </w:divBdr>
        </w:div>
        <w:div w:id="996152300">
          <w:marLeft w:val="0"/>
          <w:marRight w:val="0"/>
          <w:marTop w:val="330"/>
          <w:marBottom w:val="0"/>
          <w:divBdr>
            <w:top w:val="none" w:sz="0" w:space="0" w:color="auto"/>
            <w:left w:val="none" w:sz="0" w:space="0" w:color="auto"/>
            <w:bottom w:val="none" w:sz="0" w:space="0" w:color="auto"/>
            <w:right w:val="none" w:sz="0" w:space="0" w:color="auto"/>
          </w:divBdr>
        </w:div>
      </w:divsChild>
    </w:div>
    <w:div w:id="1663584499">
      <w:bodyDiv w:val="1"/>
      <w:marLeft w:val="0"/>
      <w:marRight w:val="0"/>
      <w:marTop w:val="0"/>
      <w:marBottom w:val="0"/>
      <w:divBdr>
        <w:top w:val="none" w:sz="0" w:space="0" w:color="auto"/>
        <w:left w:val="none" w:sz="0" w:space="0" w:color="auto"/>
        <w:bottom w:val="none" w:sz="0" w:space="0" w:color="auto"/>
        <w:right w:val="none" w:sz="0" w:space="0" w:color="auto"/>
      </w:divBdr>
    </w:div>
    <w:div w:id="2007201180">
      <w:bodyDiv w:val="1"/>
      <w:marLeft w:val="0"/>
      <w:marRight w:val="0"/>
      <w:marTop w:val="0"/>
      <w:marBottom w:val="0"/>
      <w:divBdr>
        <w:top w:val="none" w:sz="0" w:space="0" w:color="auto"/>
        <w:left w:val="none" w:sz="0" w:space="0" w:color="auto"/>
        <w:bottom w:val="none" w:sz="0" w:space="0" w:color="auto"/>
        <w:right w:val="none" w:sz="0" w:space="0" w:color="auto"/>
      </w:divBdr>
      <w:divsChild>
        <w:div w:id="941574279">
          <w:marLeft w:val="0"/>
          <w:marRight w:val="0"/>
          <w:marTop w:val="0"/>
          <w:marBottom w:val="0"/>
          <w:divBdr>
            <w:top w:val="none" w:sz="0" w:space="0" w:color="auto"/>
            <w:left w:val="none" w:sz="0" w:space="0" w:color="auto"/>
            <w:bottom w:val="none" w:sz="0" w:space="0" w:color="auto"/>
            <w:right w:val="none" w:sz="0" w:space="0" w:color="auto"/>
          </w:divBdr>
        </w:div>
        <w:div w:id="1984040237">
          <w:marLeft w:val="0"/>
          <w:marRight w:val="0"/>
          <w:marTop w:val="330"/>
          <w:marBottom w:val="0"/>
          <w:divBdr>
            <w:top w:val="none" w:sz="0" w:space="0" w:color="auto"/>
            <w:left w:val="none" w:sz="0" w:space="0" w:color="auto"/>
            <w:bottom w:val="none" w:sz="0" w:space="0" w:color="auto"/>
            <w:right w:val="none" w:sz="0" w:space="0" w:color="auto"/>
          </w:divBdr>
        </w:div>
        <w:div w:id="95176781">
          <w:marLeft w:val="0"/>
          <w:marRight w:val="0"/>
          <w:marTop w:val="330"/>
          <w:marBottom w:val="0"/>
          <w:divBdr>
            <w:top w:val="none" w:sz="0" w:space="0" w:color="auto"/>
            <w:left w:val="none" w:sz="0" w:space="0" w:color="auto"/>
            <w:bottom w:val="none" w:sz="0" w:space="0" w:color="auto"/>
            <w:right w:val="none" w:sz="0" w:space="0" w:color="auto"/>
          </w:divBdr>
        </w:div>
        <w:div w:id="156659812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yperlink" Target="http://www.pbc.gov.cn/goutongjiaoliu/113456/113469/4357047/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chart" Target="charts/chart1.xml"/><Relationship Id="rId17" Type="http://schemas.openxmlformats.org/officeDocument/2006/relationships/hyperlink" Target="https://baijiahao.baidu.com/s?id=1682293365172483880&amp;wfr=spider&amp;for=pc"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mailto:zhang_xj@cass.org.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7993;&#27743;&#20849;&#21516;&#23500;&#35029;\&#37329;&#34701;&#21457;&#23637;&#19982;&#20849;&#21516;&#23500;&#35029;&#65288;&#35770;&#25991;&#6528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IND&#25968;&#25454;\&#20154;&#22343;GDP(&#241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1&#30334;&#24180;&#24040;&#21464;&#36130;&#23500;&#35270;&#35282;\&#25991;&#31295;\&#20013;&#22269;&#36130;&#23500;&#32467;&#26500;&#65288;1978-2000Piketty)&#21450;&#23621;&#27665;&#36130;&#235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2269;&#34913;&#35770;&#22363;\2021Q2\CNBS&#20013;&#22269;&#26464;&#26438;&#29575;&#25968;&#25454;2021Q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849;&#21516;&#23500;&#35029;\&#35770;&#25991;\&#21508;&#22269;&#37329;&#34701;&#19994;&#22686;&#21152;&#2054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849;&#21516;&#23500;&#35029;\&#35770;&#25991;\&#24037;&#19994;&#22686;&#21152;&#20540;&#12289;&#37329;&#34701;&#19994;&#22686;&#21152;&#20540;&#21644;&#25151;&#22320;&#20135;&#22686;&#21152;&#20540;&#21344;GDP&#27604;&#37325;&#26356;&#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人均</a:t>
            </a:r>
            <a:r>
              <a:rPr lang="en-US" altLang="en-US"/>
              <a:t>GDP</a:t>
            </a:r>
            <a:r>
              <a:rPr lang="zh-CN" altLang="en-US"/>
              <a:t>（元）</a:t>
            </a:r>
            <a:endParaRPr lang="en-US" altLang="en-US"/>
          </a:p>
        </c:rich>
      </c:tx>
      <c:overlay val="0"/>
    </c:title>
    <c:autoTitleDeleted val="0"/>
    <c:plotArea>
      <c:layout/>
      <c:lineChart>
        <c:grouping val="standard"/>
        <c:varyColors val="0"/>
        <c:ser>
          <c:idx val="0"/>
          <c:order val="0"/>
          <c:tx>
            <c:strRef>
              <c:f>Sheet2!$B$1</c:f>
              <c:strCache>
                <c:ptCount val="1"/>
                <c:pt idx="0">
                  <c:v>人均GDP</c:v>
                </c:pt>
              </c:strCache>
            </c:strRef>
          </c:tx>
          <c:marker>
            <c:symbol val="none"/>
          </c:marker>
          <c:cat>
            <c:numRef>
              <c:f>Sheet2!$A$2:$A$44</c:f>
              <c:numCache>
                <c:formatCode>yyyy;@</c:formatCode>
                <c:ptCount val="43"/>
                <c:pt idx="0">
                  <c:v>28855</c:v>
                </c:pt>
                <c:pt idx="1">
                  <c:v>29220</c:v>
                </c:pt>
                <c:pt idx="2">
                  <c:v>29586</c:v>
                </c:pt>
                <c:pt idx="3">
                  <c:v>29951</c:v>
                </c:pt>
                <c:pt idx="4">
                  <c:v>30316</c:v>
                </c:pt>
                <c:pt idx="5">
                  <c:v>30681</c:v>
                </c:pt>
                <c:pt idx="6">
                  <c:v>31047</c:v>
                </c:pt>
                <c:pt idx="7">
                  <c:v>31412</c:v>
                </c:pt>
                <c:pt idx="8">
                  <c:v>31777</c:v>
                </c:pt>
                <c:pt idx="9">
                  <c:v>32142</c:v>
                </c:pt>
                <c:pt idx="10">
                  <c:v>32508</c:v>
                </c:pt>
                <c:pt idx="11">
                  <c:v>32873</c:v>
                </c:pt>
                <c:pt idx="12">
                  <c:v>33238</c:v>
                </c:pt>
                <c:pt idx="13">
                  <c:v>33603</c:v>
                </c:pt>
                <c:pt idx="14">
                  <c:v>33969</c:v>
                </c:pt>
                <c:pt idx="15">
                  <c:v>34334</c:v>
                </c:pt>
                <c:pt idx="16">
                  <c:v>34699</c:v>
                </c:pt>
                <c:pt idx="17">
                  <c:v>35064</c:v>
                </c:pt>
                <c:pt idx="18">
                  <c:v>35430</c:v>
                </c:pt>
                <c:pt idx="19">
                  <c:v>35795</c:v>
                </c:pt>
                <c:pt idx="20">
                  <c:v>36160</c:v>
                </c:pt>
                <c:pt idx="21">
                  <c:v>36525</c:v>
                </c:pt>
                <c:pt idx="22">
                  <c:v>36891</c:v>
                </c:pt>
                <c:pt idx="23">
                  <c:v>37256</c:v>
                </c:pt>
                <c:pt idx="24">
                  <c:v>37621</c:v>
                </c:pt>
                <c:pt idx="25">
                  <c:v>37986</c:v>
                </c:pt>
                <c:pt idx="26">
                  <c:v>38352</c:v>
                </c:pt>
                <c:pt idx="27">
                  <c:v>38717</c:v>
                </c:pt>
                <c:pt idx="28">
                  <c:v>39082</c:v>
                </c:pt>
                <c:pt idx="29">
                  <c:v>39447</c:v>
                </c:pt>
                <c:pt idx="30">
                  <c:v>39813</c:v>
                </c:pt>
                <c:pt idx="31">
                  <c:v>40178</c:v>
                </c:pt>
                <c:pt idx="32">
                  <c:v>40543</c:v>
                </c:pt>
                <c:pt idx="33">
                  <c:v>40908</c:v>
                </c:pt>
                <c:pt idx="34">
                  <c:v>41274</c:v>
                </c:pt>
                <c:pt idx="35">
                  <c:v>41639</c:v>
                </c:pt>
                <c:pt idx="36">
                  <c:v>42004</c:v>
                </c:pt>
                <c:pt idx="37">
                  <c:v>42369</c:v>
                </c:pt>
                <c:pt idx="38">
                  <c:v>42735</c:v>
                </c:pt>
                <c:pt idx="39">
                  <c:v>43100</c:v>
                </c:pt>
                <c:pt idx="40">
                  <c:v>43465</c:v>
                </c:pt>
                <c:pt idx="41">
                  <c:v>43830</c:v>
                </c:pt>
                <c:pt idx="42">
                  <c:v>44196</c:v>
                </c:pt>
              </c:numCache>
            </c:numRef>
          </c:cat>
          <c:val>
            <c:numRef>
              <c:f>Sheet2!$B$2:$B$44</c:f>
              <c:numCache>
                <c:formatCode>#,##0_ </c:formatCode>
                <c:ptCount val="43"/>
                <c:pt idx="0">
                  <c:v>384.735116</c:v>
                </c:pt>
                <c:pt idx="1">
                  <c:v>423.16125</c:v>
                </c:pt>
                <c:pt idx="2">
                  <c:v>467.53133300000002</c:v>
                </c:pt>
                <c:pt idx="3">
                  <c:v>496.620116</c:v>
                </c:pt>
                <c:pt idx="4">
                  <c:v>532.73748899999998</c:v>
                </c:pt>
                <c:pt idx="5">
                  <c:v>588.37733400000002</c:v>
                </c:pt>
                <c:pt idx="6">
                  <c:v>701.99911299999997</c:v>
                </c:pt>
                <c:pt idx="7">
                  <c:v>865.70901500000002</c:v>
                </c:pt>
                <c:pt idx="8">
                  <c:v>972.652017</c:v>
                </c:pt>
                <c:pt idx="9">
                  <c:v>1123.081328</c:v>
                </c:pt>
                <c:pt idx="10">
                  <c:v>1377.993199</c:v>
                </c:pt>
                <c:pt idx="11">
                  <c:v>1535.7566469999999</c:v>
                </c:pt>
                <c:pt idx="12">
                  <c:v>1662.53684</c:v>
                </c:pt>
                <c:pt idx="13">
                  <c:v>1912.235915</c:v>
                </c:pt>
                <c:pt idx="14">
                  <c:v>2334.3546099999999</c:v>
                </c:pt>
                <c:pt idx="15">
                  <c:v>3027.157119</c:v>
                </c:pt>
                <c:pt idx="16">
                  <c:v>4080.8879029999998</c:v>
                </c:pt>
                <c:pt idx="17">
                  <c:v>5091.060031</c:v>
                </c:pt>
                <c:pt idx="18">
                  <c:v>5898.2078430000001</c:v>
                </c:pt>
                <c:pt idx="19">
                  <c:v>6480.5027739999996</c:v>
                </c:pt>
                <c:pt idx="20">
                  <c:v>6859.9006460000001</c:v>
                </c:pt>
                <c:pt idx="21">
                  <c:v>7229.3322829999997</c:v>
                </c:pt>
                <c:pt idx="22">
                  <c:v>7942.0691690000003</c:v>
                </c:pt>
                <c:pt idx="23">
                  <c:v>8716.6822379999994</c:v>
                </c:pt>
                <c:pt idx="24">
                  <c:v>9506.2031200000001</c:v>
                </c:pt>
                <c:pt idx="25">
                  <c:v>10666.100200000001</c:v>
                </c:pt>
                <c:pt idx="26">
                  <c:v>12486.94411</c:v>
                </c:pt>
                <c:pt idx="27">
                  <c:v>14368.031720000001</c:v>
                </c:pt>
                <c:pt idx="28">
                  <c:v>16737.99597</c:v>
                </c:pt>
                <c:pt idx="29">
                  <c:v>20494.377260000001</c:v>
                </c:pt>
                <c:pt idx="30">
                  <c:v>24100.208190000001</c:v>
                </c:pt>
                <c:pt idx="31">
                  <c:v>26179.539959999998</c:v>
                </c:pt>
                <c:pt idx="32">
                  <c:v>30807.932680000002</c:v>
                </c:pt>
                <c:pt idx="33">
                  <c:v>36277.136319999998</c:v>
                </c:pt>
                <c:pt idx="34">
                  <c:v>39771.372810000001</c:v>
                </c:pt>
                <c:pt idx="35">
                  <c:v>43496.61318</c:v>
                </c:pt>
                <c:pt idx="36">
                  <c:v>46911.718730000001</c:v>
                </c:pt>
                <c:pt idx="37">
                  <c:v>49922.326760000004</c:v>
                </c:pt>
                <c:pt idx="38">
                  <c:v>53782.997389999997</c:v>
                </c:pt>
                <c:pt idx="39">
                  <c:v>59592.251089999998</c:v>
                </c:pt>
                <c:pt idx="40">
                  <c:v>65533.742700000003</c:v>
                </c:pt>
                <c:pt idx="41">
                  <c:v>70328.231539999993</c:v>
                </c:pt>
                <c:pt idx="42">
                  <c:v>71999.588730000003</c:v>
                </c:pt>
              </c:numCache>
            </c:numRef>
          </c:val>
          <c:smooth val="0"/>
          <c:extLst>
            <c:ext xmlns:c16="http://schemas.microsoft.com/office/drawing/2014/chart" uri="{C3380CC4-5D6E-409C-BE32-E72D297353CC}">
              <c16:uniqueId val="{00000000-A8F9-4CAF-8DDD-E9BC47C8DD75}"/>
            </c:ext>
          </c:extLst>
        </c:ser>
        <c:dLbls>
          <c:showLegendKey val="0"/>
          <c:showVal val="0"/>
          <c:showCatName val="0"/>
          <c:showSerName val="0"/>
          <c:showPercent val="0"/>
          <c:showBubbleSize val="0"/>
        </c:dLbls>
        <c:smooth val="0"/>
        <c:axId val="178992640"/>
        <c:axId val="178994176"/>
      </c:lineChart>
      <c:dateAx>
        <c:axId val="178992640"/>
        <c:scaling>
          <c:orientation val="minMax"/>
        </c:scaling>
        <c:delete val="0"/>
        <c:axPos val="b"/>
        <c:numFmt formatCode="yyyy;@" sourceLinked="1"/>
        <c:majorTickMark val="out"/>
        <c:minorTickMark val="none"/>
        <c:tickLblPos val="nextTo"/>
        <c:crossAx val="178994176"/>
        <c:crosses val="autoZero"/>
        <c:auto val="1"/>
        <c:lblOffset val="100"/>
        <c:baseTimeUnit val="years"/>
      </c:dateAx>
      <c:valAx>
        <c:axId val="178994176"/>
        <c:scaling>
          <c:orientation val="minMax"/>
        </c:scaling>
        <c:delete val="0"/>
        <c:axPos val="l"/>
        <c:numFmt formatCode="#,##0_ " sourceLinked="1"/>
        <c:majorTickMark val="out"/>
        <c:minorTickMark val="none"/>
        <c:tickLblPos val="nextTo"/>
        <c:crossAx val="1789926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a:t>人均居民财富（元）</a:t>
            </a:r>
          </a:p>
        </c:rich>
      </c:tx>
      <c:overlay val="0"/>
    </c:title>
    <c:autoTitleDeleted val="0"/>
    <c:plotArea>
      <c:layout/>
      <c:lineChart>
        <c:grouping val="standard"/>
        <c:varyColors val="0"/>
        <c:ser>
          <c:idx val="0"/>
          <c:order val="0"/>
          <c:tx>
            <c:strRef>
              <c:f>居民部门财富!$I$3</c:f>
              <c:strCache>
                <c:ptCount val="1"/>
                <c:pt idx="0">
                  <c:v>人均居民财富（亿元）</c:v>
                </c:pt>
              </c:strCache>
            </c:strRef>
          </c:tx>
          <c:marker>
            <c:symbol val="none"/>
          </c:marker>
          <c:cat>
            <c:numRef>
              <c:f>居民部门财富!$H$4:$H$45</c:f>
              <c:numCache>
                <c:formatCode>General</c:formatCode>
                <c:ptCount val="42"/>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numCache>
            </c:numRef>
          </c:cat>
          <c:val>
            <c:numRef>
              <c:f>居民部门财富!$I$4:$I$45</c:f>
              <c:numCache>
                <c:formatCode>General</c:formatCode>
                <c:ptCount val="42"/>
                <c:pt idx="0">
                  <c:v>394.65896839141868</c:v>
                </c:pt>
                <c:pt idx="1">
                  <c:v>440.58298845118287</c:v>
                </c:pt>
                <c:pt idx="2">
                  <c:v>501.43372661989781</c:v>
                </c:pt>
                <c:pt idx="3">
                  <c:v>563.71932839186388</c:v>
                </c:pt>
                <c:pt idx="4">
                  <c:v>695.2322114191013</c:v>
                </c:pt>
                <c:pt idx="5">
                  <c:v>857.27217286989344</c:v>
                </c:pt>
                <c:pt idx="6">
                  <c:v>1000.0810250402778</c:v>
                </c:pt>
                <c:pt idx="7">
                  <c:v>1203.3430086608964</c:v>
                </c:pt>
                <c:pt idx="8">
                  <c:v>1447.3169476124835</c:v>
                </c:pt>
                <c:pt idx="9">
                  <c:v>1683.3504019367253</c:v>
                </c:pt>
                <c:pt idx="10">
                  <c:v>2036.6223129389866</c:v>
                </c:pt>
                <c:pt idx="11">
                  <c:v>2460.9008583236641</c:v>
                </c:pt>
                <c:pt idx="12">
                  <c:v>2885.9362473840379</c:v>
                </c:pt>
                <c:pt idx="13">
                  <c:v>3333.74750846082</c:v>
                </c:pt>
                <c:pt idx="14">
                  <c:v>4343.8116997006346</c:v>
                </c:pt>
                <c:pt idx="15">
                  <c:v>6205.9561422897777</c:v>
                </c:pt>
                <c:pt idx="16">
                  <c:v>8166.847541703527</c:v>
                </c:pt>
                <c:pt idx="17">
                  <c:v>10280.386440143071</c:v>
                </c:pt>
                <c:pt idx="18">
                  <c:v>12690.232610060693</c:v>
                </c:pt>
                <c:pt idx="19">
                  <c:v>15735.517831291434</c:v>
                </c:pt>
                <c:pt idx="20">
                  <c:v>18225.433241644158</c:v>
                </c:pt>
                <c:pt idx="21">
                  <c:v>20613.521684244133</c:v>
                </c:pt>
                <c:pt idx="22">
                  <c:v>24190.834137744256</c:v>
                </c:pt>
                <c:pt idx="23">
                  <c:v>27309.503474970028</c:v>
                </c:pt>
                <c:pt idx="24">
                  <c:v>32692.969412937025</c:v>
                </c:pt>
                <c:pt idx="25">
                  <c:v>37945.862706709901</c:v>
                </c:pt>
                <c:pt idx="26">
                  <c:v>47291.826937871185</c:v>
                </c:pt>
                <c:pt idx="27">
                  <c:v>56869.130288476241</c:v>
                </c:pt>
                <c:pt idx="28">
                  <c:v>65296.390968291649</c:v>
                </c:pt>
                <c:pt idx="29">
                  <c:v>81099.758569276994</c:v>
                </c:pt>
                <c:pt idx="30">
                  <c:v>91168.958298820799</c:v>
                </c:pt>
                <c:pt idx="31">
                  <c:v>108902.36043461971</c:v>
                </c:pt>
                <c:pt idx="32">
                  <c:v>124187.45478816624</c:v>
                </c:pt>
                <c:pt idx="33">
                  <c:v>149786.32129736149</c:v>
                </c:pt>
                <c:pt idx="34">
                  <c:v>167911.0661428023</c:v>
                </c:pt>
                <c:pt idx="35">
                  <c:v>197266.81462755013</c:v>
                </c:pt>
                <c:pt idx="36">
                  <c:v>215549.41439663115</c:v>
                </c:pt>
                <c:pt idx="37">
                  <c:v>238300.18477833876</c:v>
                </c:pt>
                <c:pt idx="38">
                  <c:v>264644.93639302527</c:v>
                </c:pt>
                <c:pt idx="39">
                  <c:v>288147.66056629835</c:v>
                </c:pt>
                <c:pt idx="40">
                  <c:v>327329.186314839</c:v>
                </c:pt>
                <c:pt idx="41">
                  <c:v>366145.637655798</c:v>
                </c:pt>
              </c:numCache>
            </c:numRef>
          </c:val>
          <c:smooth val="0"/>
          <c:extLst>
            <c:ext xmlns:c16="http://schemas.microsoft.com/office/drawing/2014/chart" uri="{C3380CC4-5D6E-409C-BE32-E72D297353CC}">
              <c16:uniqueId val="{00000000-AD19-4B2F-B515-833D3E43F46A}"/>
            </c:ext>
          </c:extLst>
        </c:ser>
        <c:dLbls>
          <c:showLegendKey val="0"/>
          <c:showVal val="0"/>
          <c:showCatName val="0"/>
          <c:showSerName val="0"/>
          <c:showPercent val="0"/>
          <c:showBubbleSize val="0"/>
        </c:dLbls>
        <c:smooth val="0"/>
        <c:axId val="179010944"/>
        <c:axId val="179012736"/>
      </c:lineChart>
      <c:catAx>
        <c:axId val="179010944"/>
        <c:scaling>
          <c:orientation val="minMax"/>
        </c:scaling>
        <c:delete val="0"/>
        <c:axPos val="b"/>
        <c:numFmt formatCode="General" sourceLinked="1"/>
        <c:majorTickMark val="out"/>
        <c:minorTickMark val="none"/>
        <c:tickLblPos val="nextTo"/>
        <c:crossAx val="179012736"/>
        <c:crosses val="autoZero"/>
        <c:auto val="1"/>
        <c:lblAlgn val="ctr"/>
        <c:lblOffset val="100"/>
        <c:noMultiLvlLbl val="0"/>
      </c:catAx>
      <c:valAx>
        <c:axId val="179012736"/>
        <c:scaling>
          <c:orientation val="minMax"/>
        </c:scaling>
        <c:delete val="0"/>
        <c:axPos val="l"/>
        <c:numFmt formatCode="General" sourceLinked="1"/>
        <c:majorTickMark val="out"/>
        <c:minorTickMark val="none"/>
        <c:tickLblPos val="nextTo"/>
        <c:crossAx val="1790109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6843331803262E-2"/>
          <c:y val="2.5567114991455083E-2"/>
          <c:w val="0.86287720118469668"/>
          <c:h val="0.86171695204766074"/>
        </c:manualLayout>
      </c:layout>
      <c:areaChart>
        <c:grouping val="stacked"/>
        <c:varyColors val="0"/>
        <c:ser>
          <c:idx val="0"/>
          <c:order val="0"/>
          <c:tx>
            <c:strRef>
              <c:f>年度数据!$B$2</c:f>
              <c:strCache>
                <c:ptCount val="1"/>
                <c:pt idx="0">
                  <c:v>居民部门</c:v>
                </c:pt>
              </c:strCache>
            </c:strRef>
          </c:tx>
          <c:cat>
            <c:numRef>
              <c:f>年度数据!$A$3:$A$30</c:f>
              <c:numCache>
                <c:formatCode>yyyy;@</c:formatCode>
                <c:ptCount val="28"/>
                <c:pt idx="0">
                  <c:v>34334</c:v>
                </c:pt>
                <c:pt idx="1">
                  <c:v>34699</c:v>
                </c:pt>
                <c:pt idx="2" formatCode="yyyy\-mm;@">
                  <c:v>35064</c:v>
                </c:pt>
                <c:pt idx="3" formatCode="yyyy\-mm;@">
                  <c:v>35430</c:v>
                </c:pt>
                <c:pt idx="4" formatCode="yyyy\-mm;@">
                  <c:v>35795</c:v>
                </c:pt>
                <c:pt idx="5" formatCode="yyyy\-mm;@">
                  <c:v>36160</c:v>
                </c:pt>
                <c:pt idx="6" formatCode="yyyy\-mm;@">
                  <c:v>36525</c:v>
                </c:pt>
                <c:pt idx="7" formatCode="yyyy\-mm;@">
                  <c:v>36891</c:v>
                </c:pt>
                <c:pt idx="8" formatCode="yyyy\-mm;@">
                  <c:v>37256</c:v>
                </c:pt>
                <c:pt idx="9" formatCode="yyyy\-mm;@">
                  <c:v>37621</c:v>
                </c:pt>
                <c:pt idx="10" formatCode="yyyy\-mm;@">
                  <c:v>37986</c:v>
                </c:pt>
                <c:pt idx="11" formatCode="yyyy\-mm;@">
                  <c:v>38352</c:v>
                </c:pt>
                <c:pt idx="12" formatCode="yyyy\-mm;@">
                  <c:v>38717</c:v>
                </c:pt>
                <c:pt idx="13" formatCode="yyyy\-mm;@">
                  <c:v>39082</c:v>
                </c:pt>
                <c:pt idx="14" formatCode="yyyy\-mm;@">
                  <c:v>39447</c:v>
                </c:pt>
                <c:pt idx="15" formatCode="yyyy\-mm;@">
                  <c:v>39813</c:v>
                </c:pt>
                <c:pt idx="16" formatCode="yyyy\-mm;@">
                  <c:v>40178</c:v>
                </c:pt>
                <c:pt idx="17" formatCode="yyyy\-mm;@">
                  <c:v>40543</c:v>
                </c:pt>
                <c:pt idx="18" formatCode="yyyy\-mm;@">
                  <c:v>40908</c:v>
                </c:pt>
                <c:pt idx="19" formatCode="yyyy\-mm;@">
                  <c:v>41274</c:v>
                </c:pt>
                <c:pt idx="20" formatCode="yyyy\-mm;@">
                  <c:v>41639</c:v>
                </c:pt>
                <c:pt idx="21" formatCode="yyyy\-mm;@">
                  <c:v>42004</c:v>
                </c:pt>
                <c:pt idx="22" formatCode="yyyy\-mm;@">
                  <c:v>42369</c:v>
                </c:pt>
                <c:pt idx="23" formatCode="yyyy\-mm;@">
                  <c:v>42735</c:v>
                </c:pt>
                <c:pt idx="24" formatCode="yyyy\-mm;@">
                  <c:v>43100</c:v>
                </c:pt>
                <c:pt idx="25" formatCode="yyyy\-mm;@">
                  <c:v>43465</c:v>
                </c:pt>
                <c:pt idx="26" formatCode="yyyy\-mm;@">
                  <c:v>43830</c:v>
                </c:pt>
                <c:pt idx="27" formatCode="yyyy\-mm;@">
                  <c:v>44196</c:v>
                </c:pt>
              </c:numCache>
            </c:numRef>
          </c:cat>
          <c:val>
            <c:numRef>
              <c:f>年度数据!$B$3:$B$30</c:f>
              <c:numCache>
                <c:formatCode>#,##0.0_ </c:formatCode>
                <c:ptCount val="28"/>
                <c:pt idx="0">
                  <c:v>8.3112224302838005</c:v>
                </c:pt>
                <c:pt idx="1">
                  <c:v>7.8082298807090904</c:v>
                </c:pt>
                <c:pt idx="2">
                  <c:v>8.1999999999999993</c:v>
                </c:pt>
                <c:pt idx="3">
                  <c:v>8.9</c:v>
                </c:pt>
                <c:pt idx="4">
                  <c:v>10.3</c:v>
                </c:pt>
                <c:pt idx="5">
                  <c:v>11.7</c:v>
                </c:pt>
                <c:pt idx="6">
                  <c:v>12.4</c:v>
                </c:pt>
                <c:pt idx="7">
                  <c:v>12.4</c:v>
                </c:pt>
                <c:pt idx="8">
                  <c:v>13.2</c:v>
                </c:pt>
                <c:pt idx="9">
                  <c:v>14.6</c:v>
                </c:pt>
                <c:pt idx="10">
                  <c:v>16.2</c:v>
                </c:pt>
                <c:pt idx="11">
                  <c:v>17.399999999999999</c:v>
                </c:pt>
                <c:pt idx="12">
                  <c:v>16.899999999999999</c:v>
                </c:pt>
                <c:pt idx="13">
                  <c:v>17.5</c:v>
                </c:pt>
                <c:pt idx="14">
                  <c:v>18.8</c:v>
                </c:pt>
                <c:pt idx="15">
                  <c:v>17.899999999999999</c:v>
                </c:pt>
                <c:pt idx="16">
                  <c:v>23.5</c:v>
                </c:pt>
                <c:pt idx="17">
                  <c:v>27.3</c:v>
                </c:pt>
                <c:pt idx="18">
                  <c:v>27.9</c:v>
                </c:pt>
                <c:pt idx="19">
                  <c:v>30</c:v>
                </c:pt>
                <c:pt idx="20">
                  <c:v>33.5</c:v>
                </c:pt>
                <c:pt idx="21">
                  <c:v>36</c:v>
                </c:pt>
                <c:pt idx="22">
                  <c:v>39.200000000000003</c:v>
                </c:pt>
                <c:pt idx="23">
                  <c:v>44.7</c:v>
                </c:pt>
                <c:pt idx="24">
                  <c:v>48.7</c:v>
                </c:pt>
                <c:pt idx="25">
                  <c:v>52.1</c:v>
                </c:pt>
                <c:pt idx="26">
                  <c:v>56.1</c:v>
                </c:pt>
                <c:pt idx="27">
                  <c:v>62.2</c:v>
                </c:pt>
              </c:numCache>
            </c:numRef>
          </c:val>
          <c:extLst>
            <c:ext xmlns:c16="http://schemas.microsoft.com/office/drawing/2014/chart" uri="{C3380CC4-5D6E-409C-BE32-E72D297353CC}">
              <c16:uniqueId val="{00000000-E56A-49D7-B4A8-61903230D76E}"/>
            </c:ext>
          </c:extLst>
        </c:ser>
        <c:ser>
          <c:idx val="1"/>
          <c:order val="1"/>
          <c:tx>
            <c:strRef>
              <c:f>年度数据!$C$2</c:f>
              <c:strCache>
                <c:ptCount val="1"/>
                <c:pt idx="0">
                  <c:v>非金融企业部门</c:v>
                </c:pt>
              </c:strCache>
            </c:strRef>
          </c:tx>
          <c:cat>
            <c:numRef>
              <c:f>年度数据!$A$3:$A$30</c:f>
              <c:numCache>
                <c:formatCode>yyyy;@</c:formatCode>
                <c:ptCount val="28"/>
                <c:pt idx="0">
                  <c:v>34334</c:v>
                </c:pt>
                <c:pt idx="1">
                  <c:v>34699</c:v>
                </c:pt>
                <c:pt idx="2" formatCode="yyyy\-mm;@">
                  <c:v>35064</c:v>
                </c:pt>
                <c:pt idx="3" formatCode="yyyy\-mm;@">
                  <c:v>35430</c:v>
                </c:pt>
                <c:pt idx="4" formatCode="yyyy\-mm;@">
                  <c:v>35795</c:v>
                </c:pt>
                <c:pt idx="5" formatCode="yyyy\-mm;@">
                  <c:v>36160</c:v>
                </c:pt>
                <c:pt idx="6" formatCode="yyyy\-mm;@">
                  <c:v>36525</c:v>
                </c:pt>
                <c:pt idx="7" formatCode="yyyy\-mm;@">
                  <c:v>36891</c:v>
                </c:pt>
                <c:pt idx="8" formatCode="yyyy\-mm;@">
                  <c:v>37256</c:v>
                </c:pt>
                <c:pt idx="9" formatCode="yyyy\-mm;@">
                  <c:v>37621</c:v>
                </c:pt>
                <c:pt idx="10" formatCode="yyyy\-mm;@">
                  <c:v>37986</c:v>
                </c:pt>
                <c:pt idx="11" formatCode="yyyy\-mm;@">
                  <c:v>38352</c:v>
                </c:pt>
                <c:pt idx="12" formatCode="yyyy\-mm;@">
                  <c:v>38717</c:v>
                </c:pt>
                <c:pt idx="13" formatCode="yyyy\-mm;@">
                  <c:v>39082</c:v>
                </c:pt>
                <c:pt idx="14" formatCode="yyyy\-mm;@">
                  <c:v>39447</c:v>
                </c:pt>
                <c:pt idx="15" formatCode="yyyy\-mm;@">
                  <c:v>39813</c:v>
                </c:pt>
                <c:pt idx="16" formatCode="yyyy\-mm;@">
                  <c:v>40178</c:v>
                </c:pt>
                <c:pt idx="17" formatCode="yyyy\-mm;@">
                  <c:v>40543</c:v>
                </c:pt>
                <c:pt idx="18" formatCode="yyyy\-mm;@">
                  <c:v>40908</c:v>
                </c:pt>
                <c:pt idx="19" formatCode="yyyy\-mm;@">
                  <c:v>41274</c:v>
                </c:pt>
                <c:pt idx="20" formatCode="yyyy\-mm;@">
                  <c:v>41639</c:v>
                </c:pt>
                <c:pt idx="21" formatCode="yyyy\-mm;@">
                  <c:v>42004</c:v>
                </c:pt>
                <c:pt idx="22" formatCode="yyyy\-mm;@">
                  <c:v>42369</c:v>
                </c:pt>
                <c:pt idx="23" formatCode="yyyy\-mm;@">
                  <c:v>42735</c:v>
                </c:pt>
                <c:pt idx="24" formatCode="yyyy\-mm;@">
                  <c:v>43100</c:v>
                </c:pt>
                <c:pt idx="25" formatCode="yyyy\-mm;@">
                  <c:v>43465</c:v>
                </c:pt>
                <c:pt idx="26" formatCode="yyyy\-mm;@">
                  <c:v>43830</c:v>
                </c:pt>
                <c:pt idx="27" formatCode="yyyy\-mm;@">
                  <c:v>44196</c:v>
                </c:pt>
              </c:numCache>
            </c:numRef>
          </c:cat>
          <c:val>
            <c:numRef>
              <c:f>年度数据!$C$3:$C$30</c:f>
              <c:numCache>
                <c:formatCode>#,##0.0_ </c:formatCode>
                <c:ptCount val="28"/>
                <c:pt idx="0">
                  <c:v>91.657999781981601</c:v>
                </c:pt>
                <c:pt idx="1">
                  <c:v>82.411702830264403</c:v>
                </c:pt>
                <c:pt idx="2">
                  <c:v>81</c:v>
                </c:pt>
                <c:pt idx="3">
                  <c:v>82.7</c:v>
                </c:pt>
                <c:pt idx="4">
                  <c:v>89.8</c:v>
                </c:pt>
                <c:pt idx="5">
                  <c:v>95.6</c:v>
                </c:pt>
                <c:pt idx="6">
                  <c:v>97.2</c:v>
                </c:pt>
                <c:pt idx="7">
                  <c:v>92</c:v>
                </c:pt>
                <c:pt idx="8">
                  <c:v>92.9</c:v>
                </c:pt>
                <c:pt idx="9">
                  <c:v>97.800000000000011</c:v>
                </c:pt>
                <c:pt idx="10">
                  <c:v>105.5</c:v>
                </c:pt>
                <c:pt idx="11">
                  <c:v>105.9</c:v>
                </c:pt>
                <c:pt idx="12">
                  <c:v>100.6</c:v>
                </c:pt>
                <c:pt idx="13">
                  <c:v>98.999999999999986</c:v>
                </c:pt>
                <c:pt idx="14">
                  <c:v>96.100000000000009</c:v>
                </c:pt>
                <c:pt idx="15">
                  <c:v>95.199999999999989</c:v>
                </c:pt>
                <c:pt idx="16">
                  <c:v>115.6</c:v>
                </c:pt>
                <c:pt idx="17">
                  <c:v>120.60000000000001</c:v>
                </c:pt>
                <c:pt idx="18">
                  <c:v>118.19999999999999</c:v>
                </c:pt>
                <c:pt idx="19">
                  <c:v>128.30000000000001</c:v>
                </c:pt>
                <c:pt idx="20">
                  <c:v>136.10000000000002</c:v>
                </c:pt>
                <c:pt idx="21">
                  <c:v>142.5</c:v>
                </c:pt>
                <c:pt idx="22">
                  <c:v>151.19999999999999</c:v>
                </c:pt>
                <c:pt idx="23">
                  <c:v>157.60000000000002</c:v>
                </c:pt>
                <c:pt idx="24">
                  <c:v>156.59999999999997</c:v>
                </c:pt>
                <c:pt idx="25">
                  <c:v>151.00000000000003</c:v>
                </c:pt>
                <c:pt idx="26">
                  <c:v>151.9</c:v>
                </c:pt>
                <c:pt idx="27">
                  <c:v>162.30000000000001</c:v>
                </c:pt>
              </c:numCache>
            </c:numRef>
          </c:val>
          <c:extLst>
            <c:ext xmlns:c16="http://schemas.microsoft.com/office/drawing/2014/chart" uri="{C3380CC4-5D6E-409C-BE32-E72D297353CC}">
              <c16:uniqueId val="{00000001-E56A-49D7-B4A8-61903230D76E}"/>
            </c:ext>
          </c:extLst>
        </c:ser>
        <c:ser>
          <c:idx val="2"/>
          <c:order val="2"/>
          <c:tx>
            <c:strRef>
              <c:f>年度数据!$D$2</c:f>
              <c:strCache>
                <c:ptCount val="1"/>
                <c:pt idx="0">
                  <c:v>政府部门</c:v>
                </c:pt>
              </c:strCache>
            </c:strRef>
          </c:tx>
          <c:cat>
            <c:numRef>
              <c:f>年度数据!$A$3:$A$30</c:f>
              <c:numCache>
                <c:formatCode>yyyy;@</c:formatCode>
                <c:ptCount val="28"/>
                <c:pt idx="0">
                  <c:v>34334</c:v>
                </c:pt>
                <c:pt idx="1">
                  <c:v>34699</c:v>
                </c:pt>
                <c:pt idx="2" formatCode="yyyy\-mm;@">
                  <c:v>35064</c:v>
                </c:pt>
                <c:pt idx="3" formatCode="yyyy\-mm;@">
                  <c:v>35430</c:v>
                </c:pt>
                <c:pt idx="4" formatCode="yyyy\-mm;@">
                  <c:v>35795</c:v>
                </c:pt>
                <c:pt idx="5" formatCode="yyyy\-mm;@">
                  <c:v>36160</c:v>
                </c:pt>
                <c:pt idx="6" formatCode="yyyy\-mm;@">
                  <c:v>36525</c:v>
                </c:pt>
                <c:pt idx="7" formatCode="yyyy\-mm;@">
                  <c:v>36891</c:v>
                </c:pt>
                <c:pt idx="8" formatCode="yyyy\-mm;@">
                  <c:v>37256</c:v>
                </c:pt>
                <c:pt idx="9" formatCode="yyyy\-mm;@">
                  <c:v>37621</c:v>
                </c:pt>
                <c:pt idx="10" formatCode="yyyy\-mm;@">
                  <c:v>37986</c:v>
                </c:pt>
                <c:pt idx="11" formatCode="yyyy\-mm;@">
                  <c:v>38352</c:v>
                </c:pt>
                <c:pt idx="12" formatCode="yyyy\-mm;@">
                  <c:v>38717</c:v>
                </c:pt>
                <c:pt idx="13" formatCode="yyyy\-mm;@">
                  <c:v>39082</c:v>
                </c:pt>
                <c:pt idx="14" formatCode="yyyy\-mm;@">
                  <c:v>39447</c:v>
                </c:pt>
                <c:pt idx="15" formatCode="yyyy\-mm;@">
                  <c:v>39813</c:v>
                </c:pt>
                <c:pt idx="16" formatCode="yyyy\-mm;@">
                  <c:v>40178</c:v>
                </c:pt>
                <c:pt idx="17" formatCode="yyyy\-mm;@">
                  <c:v>40543</c:v>
                </c:pt>
                <c:pt idx="18" formatCode="yyyy\-mm;@">
                  <c:v>40908</c:v>
                </c:pt>
                <c:pt idx="19" formatCode="yyyy\-mm;@">
                  <c:v>41274</c:v>
                </c:pt>
                <c:pt idx="20" formatCode="yyyy\-mm;@">
                  <c:v>41639</c:v>
                </c:pt>
                <c:pt idx="21" formatCode="yyyy\-mm;@">
                  <c:v>42004</c:v>
                </c:pt>
                <c:pt idx="22" formatCode="yyyy\-mm;@">
                  <c:v>42369</c:v>
                </c:pt>
                <c:pt idx="23" formatCode="yyyy\-mm;@">
                  <c:v>42735</c:v>
                </c:pt>
                <c:pt idx="24" formatCode="yyyy\-mm;@">
                  <c:v>43100</c:v>
                </c:pt>
                <c:pt idx="25" formatCode="yyyy\-mm;@">
                  <c:v>43465</c:v>
                </c:pt>
                <c:pt idx="26" formatCode="yyyy\-mm;@">
                  <c:v>43830</c:v>
                </c:pt>
                <c:pt idx="27" formatCode="yyyy\-mm;@">
                  <c:v>44196</c:v>
                </c:pt>
              </c:numCache>
            </c:numRef>
          </c:cat>
          <c:val>
            <c:numRef>
              <c:f>年度数据!$D$3:$D$30</c:f>
              <c:numCache>
                <c:formatCode>#,##0.0_ </c:formatCode>
                <c:ptCount val="28"/>
                <c:pt idx="0">
                  <c:v>7.8222368226735099</c:v>
                </c:pt>
                <c:pt idx="1">
                  <c:v>8.1343382324531301</c:v>
                </c:pt>
                <c:pt idx="2">
                  <c:v>8.6999999999999993</c:v>
                </c:pt>
                <c:pt idx="3">
                  <c:v>9.6</c:v>
                </c:pt>
                <c:pt idx="4">
                  <c:v>10.4</c:v>
                </c:pt>
                <c:pt idx="5">
                  <c:v>15.9</c:v>
                </c:pt>
                <c:pt idx="6">
                  <c:v>18.8</c:v>
                </c:pt>
                <c:pt idx="7">
                  <c:v>20.8</c:v>
                </c:pt>
                <c:pt idx="8">
                  <c:v>22.7</c:v>
                </c:pt>
                <c:pt idx="9">
                  <c:v>25</c:v>
                </c:pt>
                <c:pt idx="10">
                  <c:v>27.7</c:v>
                </c:pt>
                <c:pt idx="11">
                  <c:v>27.6</c:v>
                </c:pt>
                <c:pt idx="12">
                  <c:v>27.5</c:v>
                </c:pt>
                <c:pt idx="13">
                  <c:v>26.7</c:v>
                </c:pt>
                <c:pt idx="14">
                  <c:v>30.1</c:v>
                </c:pt>
                <c:pt idx="15">
                  <c:v>28.1</c:v>
                </c:pt>
                <c:pt idx="16">
                  <c:v>33.9</c:v>
                </c:pt>
                <c:pt idx="17">
                  <c:v>32.9</c:v>
                </c:pt>
                <c:pt idx="18">
                  <c:v>31.6</c:v>
                </c:pt>
                <c:pt idx="19">
                  <c:v>32.299999999999997</c:v>
                </c:pt>
                <c:pt idx="20">
                  <c:v>35.799999999999997</c:v>
                </c:pt>
                <c:pt idx="21">
                  <c:v>38.799999999999997</c:v>
                </c:pt>
                <c:pt idx="22">
                  <c:v>36.9</c:v>
                </c:pt>
                <c:pt idx="23">
                  <c:v>36.5</c:v>
                </c:pt>
                <c:pt idx="24">
                  <c:v>35.9</c:v>
                </c:pt>
                <c:pt idx="25">
                  <c:v>36.200000000000003</c:v>
                </c:pt>
                <c:pt idx="26">
                  <c:v>38.5</c:v>
                </c:pt>
                <c:pt idx="27">
                  <c:v>45.6</c:v>
                </c:pt>
              </c:numCache>
            </c:numRef>
          </c:val>
          <c:extLst>
            <c:ext xmlns:c16="http://schemas.microsoft.com/office/drawing/2014/chart" uri="{C3380CC4-5D6E-409C-BE32-E72D297353CC}">
              <c16:uniqueId val="{00000002-E56A-49D7-B4A8-61903230D76E}"/>
            </c:ext>
          </c:extLst>
        </c:ser>
        <c:dLbls>
          <c:showLegendKey val="0"/>
          <c:showVal val="0"/>
          <c:showCatName val="0"/>
          <c:showSerName val="0"/>
          <c:showPercent val="0"/>
          <c:showBubbleSize val="0"/>
        </c:dLbls>
        <c:axId val="179382144"/>
        <c:axId val="179383680"/>
      </c:areaChart>
      <c:dateAx>
        <c:axId val="179382144"/>
        <c:scaling>
          <c:orientation val="minMax"/>
        </c:scaling>
        <c:delete val="0"/>
        <c:axPos val="b"/>
        <c:numFmt formatCode="yyyy;@" sourceLinked="1"/>
        <c:majorTickMark val="out"/>
        <c:minorTickMark val="none"/>
        <c:tickLblPos val="nextTo"/>
        <c:crossAx val="179383680"/>
        <c:crosses val="autoZero"/>
        <c:auto val="1"/>
        <c:lblOffset val="100"/>
        <c:baseTimeUnit val="years"/>
      </c:dateAx>
      <c:valAx>
        <c:axId val="179383680"/>
        <c:scaling>
          <c:orientation val="minMax"/>
        </c:scaling>
        <c:delete val="0"/>
        <c:axPos val="l"/>
        <c:majorGridlines/>
        <c:numFmt formatCode="#,##0.0_ " sourceLinked="1"/>
        <c:majorTickMark val="out"/>
        <c:minorTickMark val="none"/>
        <c:tickLblPos val="nextTo"/>
        <c:crossAx val="179382144"/>
        <c:crosses val="autoZero"/>
        <c:crossBetween val="midCat"/>
      </c:valAx>
    </c:plotArea>
    <c:legend>
      <c:legendPos val="r"/>
      <c:layout>
        <c:manualLayout>
          <c:xMode val="edge"/>
          <c:yMode val="edge"/>
          <c:x val="0.13308996704016937"/>
          <c:y val="4.3278230682040029E-2"/>
          <c:w val="0.64402292313910459"/>
          <c:h val="0.13932701722314114"/>
        </c:manualLayout>
      </c:layout>
      <c:overlay val="0"/>
    </c:legend>
    <c:plotVisOnly val="1"/>
    <c:dispBlanksAs val="gap"/>
    <c:showDLblsOverMax val="0"/>
  </c:chart>
  <c:txPr>
    <a:bodyPr/>
    <a:lstStyle/>
    <a:p>
      <a:pPr>
        <a:defRPr sz="10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245683201733674E-2"/>
          <c:y val="5.0477136685597911E-2"/>
          <c:w val="0.87552165349811994"/>
          <c:h val="0.82837555631632998"/>
        </c:manualLayout>
      </c:layout>
      <c:lineChart>
        <c:grouping val="standard"/>
        <c:varyColors val="0"/>
        <c:ser>
          <c:idx val="0"/>
          <c:order val="0"/>
          <c:tx>
            <c:strRef>
              <c:f>年度!$B$1</c:f>
              <c:strCache>
                <c:ptCount val="1"/>
                <c:pt idx="0">
                  <c:v>中国</c:v>
                </c:pt>
              </c:strCache>
            </c:strRef>
          </c:tx>
          <c:spPr>
            <a:ln w="38100" cmpd="sng"/>
          </c:spPr>
          <c:marker>
            <c:symbol val="none"/>
          </c:marker>
          <c:cat>
            <c:numRef>
              <c:f>年度!$A$30:$A$69</c:f>
              <c:numCache>
                <c:formatCode>yyyy;@</c:formatCode>
                <c:ptCount val="40"/>
                <c:pt idx="0">
                  <c:v>29586</c:v>
                </c:pt>
                <c:pt idx="1">
                  <c:v>29951</c:v>
                </c:pt>
                <c:pt idx="2">
                  <c:v>30316</c:v>
                </c:pt>
                <c:pt idx="3">
                  <c:v>30681</c:v>
                </c:pt>
                <c:pt idx="4">
                  <c:v>31047</c:v>
                </c:pt>
                <c:pt idx="5">
                  <c:v>31412</c:v>
                </c:pt>
                <c:pt idx="6">
                  <c:v>31777</c:v>
                </c:pt>
                <c:pt idx="7">
                  <c:v>32142</c:v>
                </c:pt>
                <c:pt idx="8">
                  <c:v>32508</c:v>
                </c:pt>
                <c:pt idx="9">
                  <c:v>32873</c:v>
                </c:pt>
                <c:pt idx="10">
                  <c:v>33238</c:v>
                </c:pt>
                <c:pt idx="11">
                  <c:v>33603</c:v>
                </c:pt>
                <c:pt idx="12">
                  <c:v>33969</c:v>
                </c:pt>
                <c:pt idx="13">
                  <c:v>34334</c:v>
                </c:pt>
                <c:pt idx="14">
                  <c:v>34699</c:v>
                </c:pt>
                <c:pt idx="15">
                  <c:v>35064</c:v>
                </c:pt>
                <c:pt idx="16">
                  <c:v>35430</c:v>
                </c:pt>
                <c:pt idx="17">
                  <c:v>35795</c:v>
                </c:pt>
                <c:pt idx="18">
                  <c:v>36160</c:v>
                </c:pt>
                <c:pt idx="19">
                  <c:v>36525</c:v>
                </c:pt>
                <c:pt idx="20">
                  <c:v>36891</c:v>
                </c:pt>
                <c:pt idx="21">
                  <c:v>37256</c:v>
                </c:pt>
                <c:pt idx="22">
                  <c:v>37621</c:v>
                </c:pt>
                <c:pt idx="23">
                  <c:v>37986</c:v>
                </c:pt>
                <c:pt idx="24">
                  <c:v>38352</c:v>
                </c:pt>
                <c:pt idx="25">
                  <c:v>38717</c:v>
                </c:pt>
                <c:pt idx="26">
                  <c:v>39082</c:v>
                </c:pt>
                <c:pt idx="27">
                  <c:v>39447</c:v>
                </c:pt>
                <c:pt idx="28">
                  <c:v>39813</c:v>
                </c:pt>
                <c:pt idx="29">
                  <c:v>40178</c:v>
                </c:pt>
                <c:pt idx="30">
                  <c:v>40543</c:v>
                </c:pt>
                <c:pt idx="31">
                  <c:v>40908</c:v>
                </c:pt>
                <c:pt idx="32">
                  <c:v>41274</c:v>
                </c:pt>
                <c:pt idx="33">
                  <c:v>41639</c:v>
                </c:pt>
                <c:pt idx="34">
                  <c:v>42004</c:v>
                </c:pt>
                <c:pt idx="35">
                  <c:v>42369</c:v>
                </c:pt>
                <c:pt idx="36">
                  <c:v>42735</c:v>
                </c:pt>
                <c:pt idx="37">
                  <c:v>43100</c:v>
                </c:pt>
                <c:pt idx="38">
                  <c:v>43465</c:v>
                </c:pt>
                <c:pt idx="39">
                  <c:v>43830</c:v>
                </c:pt>
              </c:numCache>
            </c:numRef>
          </c:cat>
          <c:val>
            <c:numRef>
              <c:f>年度!$B$30:$B$69</c:f>
              <c:numCache>
                <c:formatCode>###,###,###,###,##0.00_ </c:formatCode>
                <c:ptCount val="40"/>
                <c:pt idx="0">
                  <c:v>1.8702589589327752</c:v>
                </c:pt>
                <c:pt idx="1">
                  <c:v>1.8578548563556059</c:v>
                </c:pt>
                <c:pt idx="2">
                  <c:v>2.4304909368370118</c:v>
                </c:pt>
                <c:pt idx="3">
                  <c:v>2.8052284542178083</c:v>
                </c:pt>
                <c:pt idx="4">
                  <c:v>3.1682352132994431</c:v>
                </c:pt>
                <c:pt idx="5">
                  <c:v>3.2300607765773885</c:v>
                </c:pt>
                <c:pt idx="6">
                  <c:v>3.8665407374568721</c:v>
                </c:pt>
                <c:pt idx="7">
                  <c:v>4.1578368077801322</c:v>
                </c:pt>
                <c:pt idx="8">
                  <c:v>4.3404653368817687</c:v>
                </c:pt>
                <c:pt idx="9">
                  <c:v>6.2859072044331388</c:v>
                </c:pt>
                <c:pt idx="10">
                  <c:v>6.0621314159456148</c:v>
                </c:pt>
                <c:pt idx="11">
                  <c:v>5.4313447486094457</c:v>
                </c:pt>
                <c:pt idx="12">
                  <c:v>5.4499990806964638</c:v>
                </c:pt>
                <c:pt idx="13">
                  <c:v>5.3359384636085352</c:v>
                </c:pt>
                <c:pt idx="14">
                  <c:v>5.2591107684399896</c:v>
                </c:pt>
                <c:pt idx="15">
                  <c:v>5.2355807557560414</c:v>
                </c:pt>
                <c:pt idx="16">
                  <c:v>5.1532021789744551</c:v>
                </c:pt>
                <c:pt idx="17">
                  <c:v>5.2426770369441131</c:v>
                </c:pt>
                <c:pt idx="18">
                  <c:v>5.0685775657164989</c:v>
                </c:pt>
                <c:pt idx="19">
                  <c:v>4.9574667308567166</c:v>
                </c:pt>
                <c:pt idx="20">
                  <c:v>4.8286748816564797</c:v>
                </c:pt>
                <c:pt idx="21">
                  <c:v>4.6929952346632922</c:v>
                </c:pt>
                <c:pt idx="22">
                  <c:v>4.5645076217533411</c:v>
                </c:pt>
                <c:pt idx="23">
                  <c:v>4.3993683689656677</c:v>
                </c:pt>
                <c:pt idx="24">
                  <c:v>4.0782203679926248</c:v>
                </c:pt>
                <c:pt idx="25">
                  <c:v>3.9963933164245575</c:v>
                </c:pt>
                <c:pt idx="26">
                  <c:v>4.5444623436634863</c:v>
                </c:pt>
                <c:pt idx="27">
                  <c:v>5.62770578798433</c:v>
                </c:pt>
                <c:pt idx="28">
                  <c:v>5.7465654861507449</c:v>
                </c:pt>
                <c:pt idx="29">
                  <c:v>6.2656215164968661</c:v>
                </c:pt>
                <c:pt idx="30">
                  <c:v>6.2440900001528679</c:v>
                </c:pt>
                <c:pt idx="31">
                  <c:v>6.3014279208804691</c:v>
                </c:pt>
                <c:pt idx="32">
                  <c:v>6.5491106242340962</c:v>
                </c:pt>
                <c:pt idx="33">
                  <c:v>6.9639060231731085</c:v>
                </c:pt>
                <c:pt idx="34">
                  <c:v>7.2803117518701752</c:v>
                </c:pt>
                <c:pt idx="35">
                  <c:v>8.1729157031156774</c:v>
                </c:pt>
                <c:pt idx="36">
                  <c:v>8.0338147986234105</c:v>
                </c:pt>
                <c:pt idx="37">
                  <c:v>7.793449777828096</c:v>
                </c:pt>
                <c:pt idx="38">
                  <c:v>7.6810346693737097</c:v>
                </c:pt>
                <c:pt idx="39">
                  <c:v>7.7787682702721099</c:v>
                </c:pt>
              </c:numCache>
            </c:numRef>
          </c:val>
          <c:smooth val="0"/>
          <c:extLst>
            <c:ext xmlns:c16="http://schemas.microsoft.com/office/drawing/2014/chart" uri="{C3380CC4-5D6E-409C-BE32-E72D297353CC}">
              <c16:uniqueId val="{00000000-27CB-4747-872B-AD26721DA35D}"/>
            </c:ext>
          </c:extLst>
        </c:ser>
        <c:ser>
          <c:idx val="1"/>
          <c:order val="1"/>
          <c:tx>
            <c:strRef>
              <c:f>年度!$C$1</c:f>
              <c:strCache>
                <c:ptCount val="1"/>
                <c:pt idx="0">
                  <c:v>日本</c:v>
                </c:pt>
              </c:strCache>
            </c:strRef>
          </c:tx>
          <c:marker>
            <c:symbol val="none"/>
          </c:marker>
          <c:cat>
            <c:numRef>
              <c:f>年度!$A$30:$A$69</c:f>
              <c:numCache>
                <c:formatCode>yyyy;@</c:formatCode>
                <c:ptCount val="40"/>
                <c:pt idx="0">
                  <c:v>29586</c:v>
                </c:pt>
                <c:pt idx="1">
                  <c:v>29951</c:v>
                </c:pt>
                <c:pt idx="2">
                  <c:v>30316</c:v>
                </c:pt>
                <c:pt idx="3">
                  <c:v>30681</c:v>
                </c:pt>
                <c:pt idx="4">
                  <c:v>31047</c:v>
                </c:pt>
                <c:pt idx="5">
                  <c:v>31412</c:v>
                </c:pt>
                <c:pt idx="6">
                  <c:v>31777</c:v>
                </c:pt>
                <c:pt idx="7">
                  <c:v>32142</c:v>
                </c:pt>
                <c:pt idx="8">
                  <c:v>32508</c:v>
                </c:pt>
                <c:pt idx="9">
                  <c:v>32873</c:v>
                </c:pt>
                <c:pt idx="10">
                  <c:v>33238</c:v>
                </c:pt>
                <c:pt idx="11">
                  <c:v>33603</c:v>
                </c:pt>
                <c:pt idx="12">
                  <c:v>33969</c:v>
                </c:pt>
                <c:pt idx="13">
                  <c:v>34334</c:v>
                </c:pt>
                <c:pt idx="14">
                  <c:v>34699</c:v>
                </c:pt>
                <c:pt idx="15">
                  <c:v>35064</c:v>
                </c:pt>
                <c:pt idx="16">
                  <c:v>35430</c:v>
                </c:pt>
                <c:pt idx="17">
                  <c:v>35795</c:v>
                </c:pt>
                <c:pt idx="18">
                  <c:v>36160</c:v>
                </c:pt>
                <c:pt idx="19">
                  <c:v>36525</c:v>
                </c:pt>
                <c:pt idx="20">
                  <c:v>36891</c:v>
                </c:pt>
                <c:pt idx="21">
                  <c:v>37256</c:v>
                </c:pt>
                <c:pt idx="22">
                  <c:v>37621</c:v>
                </c:pt>
                <c:pt idx="23">
                  <c:v>37986</c:v>
                </c:pt>
                <c:pt idx="24">
                  <c:v>38352</c:v>
                </c:pt>
                <c:pt idx="25">
                  <c:v>38717</c:v>
                </c:pt>
                <c:pt idx="26">
                  <c:v>39082</c:v>
                </c:pt>
                <c:pt idx="27">
                  <c:v>39447</c:v>
                </c:pt>
                <c:pt idx="28">
                  <c:v>39813</c:v>
                </c:pt>
                <c:pt idx="29">
                  <c:v>40178</c:v>
                </c:pt>
                <c:pt idx="30">
                  <c:v>40543</c:v>
                </c:pt>
                <c:pt idx="31">
                  <c:v>40908</c:v>
                </c:pt>
                <c:pt idx="32">
                  <c:v>41274</c:v>
                </c:pt>
                <c:pt idx="33">
                  <c:v>41639</c:v>
                </c:pt>
                <c:pt idx="34">
                  <c:v>42004</c:v>
                </c:pt>
                <c:pt idx="35">
                  <c:v>42369</c:v>
                </c:pt>
                <c:pt idx="36">
                  <c:v>42735</c:v>
                </c:pt>
                <c:pt idx="37">
                  <c:v>43100</c:v>
                </c:pt>
                <c:pt idx="38">
                  <c:v>43465</c:v>
                </c:pt>
                <c:pt idx="39">
                  <c:v>43830</c:v>
                </c:pt>
              </c:numCache>
            </c:numRef>
          </c:cat>
          <c:val>
            <c:numRef>
              <c:f>年度!$C$30:$C$69</c:f>
              <c:numCache>
                <c:formatCode>General</c:formatCode>
                <c:ptCount val="40"/>
                <c:pt idx="14" formatCode="###,###,###,###,##0.00_ ">
                  <c:v>5.2451091911934045</c:v>
                </c:pt>
                <c:pt idx="15" formatCode="###,###,###,###,##0.00_ ">
                  <c:v>4.9707955469769587</c:v>
                </c:pt>
                <c:pt idx="16" formatCode="###,###,###,###,##0.00_ ">
                  <c:v>5.1726593926401501</c:v>
                </c:pt>
                <c:pt idx="17" formatCode="###,###,###,###,##0.00_ ">
                  <c:v>5.1287437341158961</c:v>
                </c:pt>
                <c:pt idx="18" formatCode="###,###,###,###,##0.00_ ">
                  <c:v>4.914611721028141</c:v>
                </c:pt>
                <c:pt idx="19" formatCode="###,###,###,###,##0.00_ ">
                  <c:v>4.8831736943853556</c:v>
                </c:pt>
                <c:pt idx="20" formatCode="###,###,###,###,##0.00_ ">
                  <c:v>4.8673263642335574</c:v>
                </c:pt>
                <c:pt idx="21" formatCode="###,###,###,###,##0.00_ ">
                  <c:v>5.3589927438552207</c:v>
                </c:pt>
                <c:pt idx="22" formatCode="###,###,###,###,##0.00_ ">
                  <c:v>5.8386251415251031</c:v>
                </c:pt>
                <c:pt idx="23" formatCode="###,###,###,###,##0.00_ ">
                  <c:v>6.0726149576436352</c:v>
                </c:pt>
                <c:pt idx="24" formatCode="###,###,###,###,##0.00_ ">
                  <c:v>5.9439648007334078</c:v>
                </c:pt>
                <c:pt idx="25" formatCode="###,###,###,###,##0.00_ ">
                  <c:v>5.9512016801848695</c:v>
                </c:pt>
                <c:pt idx="26" formatCode="###,###,###,###,##0.00_ ">
                  <c:v>5.7577279974916475</c:v>
                </c:pt>
                <c:pt idx="27" formatCode="###,###,###,###,##0.00_ ">
                  <c:v>5.7097373987235382</c:v>
                </c:pt>
                <c:pt idx="28" formatCode="###,###,###,###,##0.00_ ">
                  <c:v>4.8635944719930668</c:v>
                </c:pt>
                <c:pt idx="29" formatCode="###,###,###,###,##0.00_ ">
                  <c:v>4.9516548485089924</c:v>
                </c:pt>
                <c:pt idx="30" formatCode="###,###,###,###,##0.00_ ">
                  <c:v>4.819628666829618</c:v>
                </c:pt>
                <c:pt idx="31" formatCode="###,###,###,###,##0.00_ ">
                  <c:v>4.7028083559808183</c:v>
                </c:pt>
                <c:pt idx="32" formatCode="###,###,###,###,##0.00_ ">
                  <c:v>4.5342102307027758</c:v>
                </c:pt>
                <c:pt idx="33" formatCode="###,###,###,###,##0.00_ ">
                  <c:v>4.5818398189419369</c:v>
                </c:pt>
                <c:pt idx="34" formatCode="###,###,###,###,##0.00_ ">
                  <c:v>4.4384248340066472</c:v>
                </c:pt>
                <c:pt idx="35" formatCode="###,###,###,###,##0.00_ ">
                  <c:v>4.3680284453920217</c:v>
                </c:pt>
                <c:pt idx="36" formatCode="###,###,###,###,##0.00_ ">
                  <c:v>4.1705412807924453</c:v>
                </c:pt>
                <c:pt idx="37" formatCode="###,###,###,###,##0.00_ ">
                  <c:v>4.1271308491302579</c:v>
                </c:pt>
                <c:pt idx="38" formatCode="###,###,###,###,##0.00_ ">
                  <c:v>4.1665409470245773</c:v>
                </c:pt>
              </c:numCache>
            </c:numRef>
          </c:val>
          <c:smooth val="0"/>
          <c:extLst>
            <c:ext xmlns:c16="http://schemas.microsoft.com/office/drawing/2014/chart" uri="{C3380CC4-5D6E-409C-BE32-E72D297353CC}">
              <c16:uniqueId val="{00000001-27CB-4747-872B-AD26721DA35D}"/>
            </c:ext>
          </c:extLst>
        </c:ser>
        <c:ser>
          <c:idx val="2"/>
          <c:order val="2"/>
          <c:tx>
            <c:strRef>
              <c:f>年度!$D$1</c:f>
              <c:strCache>
                <c:ptCount val="1"/>
                <c:pt idx="0">
                  <c:v>英国</c:v>
                </c:pt>
              </c:strCache>
            </c:strRef>
          </c:tx>
          <c:spPr>
            <a:ln>
              <a:prstDash val="sysDash"/>
            </a:ln>
          </c:spPr>
          <c:marker>
            <c:symbol val="none"/>
          </c:marker>
          <c:cat>
            <c:numRef>
              <c:f>年度!$A$30:$A$69</c:f>
              <c:numCache>
                <c:formatCode>yyyy;@</c:formatCode>
                <c:ptCount val="40"/>
                <c:pt idx="0">
                  <c:v>29586</c:v>
                </c:pt>
                <c:pt idx="1">
                  <c:v>29951</c:v>
                </c:pt>
                <c:pt idx="2">
                  <c:v>30316</c:v>
                </c:pt>
                <c:pt idx="3">
                  <c:v>30681</c:v>
                </c:pt>
                <c:pt idx="4">
                  <c:v>31047</c:v>
                </c:pt>
                <c:pt idx="5">
                  <c:v>31412</c:v>
                </c:pt>
                <c:pt idx="6">
                  <c:v>31777</c:v>
                </c:pt>
                <c:pt idx="7">
                  <c:v>32142</c:v>
                </c:pt>
                <c:pt idx="8">
                  <c:v>32508</c:v>
                </c:pt>
                <c:pt idx="9">
                  <c:v>32873</c:v>
                </c:pt>
                <c:pt idx="10">
                  <c:v>33238</c:v>
                </c:pt>
                <c:pt idx="11">
                  <c:v>33603</c:v>
                </c:pt>
                <c:pt idx="12">
                  <c:v>33969</c:v>
                </c:pt>
                <c:pt idx="13">
                  <c:v>34334</c:v>
                </c:pt>
                <c:pt idx="14">
                  <c:v>34699</c:v>
                </c:pt>
                <c:pt idx="15">
                  <c:v>35064</c:v>
                </c:pt>
                <c:pt idx="16">
                  <c:v>35430</c:v>
                </c:pt>
                <c:pt idx="17">
                  <c:v>35795</c:v>
                </c:pt>
                <c:pt idx="18">
                  <c:v>36160</c:v>
                </c:pt>
                <c:pt idx="19">
                  <c:v>36525</c:v>
                </c:pt>
                <c:pt idx="20">
                  <c:v>36891</c:v>
                </c:pt>
                <c:pt idx="21">
                  <c:v>37256</c:v>
                </c:pt>
                <c:pt idx="22">
                  <c:v>37621</c:v>
                </c:pt>
                <c:pt idx="23">
                  <c:v>37986</c:v>
                </c:pt>
                <c:pt idx="24">
                  <c:v>38352</c:v>
                </c:pt>
                <c:pt idx="25">
                  <c:v>38717</c:v>
                </c:pt>
                <c:pt idx="26">
                  <c:v>39082</c:v>
                </c:pt>
                <c:pt idx="27">
                  <c:v>39447</c:v>
                </c:pt>
                <c:pt idx="28">
                  <c:v>39813</c:v>
                </c:pt>
                <c:pt idx="29">
                  <c:v>40178</c:v>
                </c:pt>
                <c:pt idx="30">
                  <c:v>40543</c:v>
                </c:pt>
                <c:pt idx="31">
                  <c:v>40908</c:v>
                </c:pt>
                <c:pt idx="32">
                  <c:v>41274</c:v>
                </c:pt>
                <c:pt idx="33">
                  <c:v>41639</c:v>
                </c:pt>
                <c:pt idx="34">
                  <c:v>42004</c:v>
                </c:pt>
                <c:pt idx="35">
                  <c:v>42369</c:v>
                </c:pt>
                <c:pt idx="36">
                  <c:v>42735</c:v>
                </c:pt>
                <c:pt idx="37">
                  <c:v>43100</c:v>
                </c:pt>
                <c:pt idx="38">
                  <c:v>43465</c:v>
                </c:pt>
                <c:pt idx="39">
                  <c:v>43830</c:v>
                </c:pt>
              </c:numCache>
            </c:numRef>
          </c:cat>
          <c:val>
            <c:numRef>
              <c:f>年度!$D$30:$D$69</c:f>
              <c:numCache>
                <c:formatCode>General</c:formatCode>
                <c:ptCount val="40"/>
                <c:pt idx="10" formatCode="###,###,###,###,##0.00_ ">
                  <c:v>5.4760355140583279</c:v>
                </c:pt>
                <c:pt idx="11" formatCode="###,###,###,###,##0.00_ ">
                  <c:v>5.4585370100874417</c:v>
                </c:pt>
                <c:pt idx="12" formatCode="###,###,###,###,##0.00_ ">
                  <c:v>5.4592377515080726</c:v>
                </c:pt>
                <c:pt idx="13" formatCode="###,###,###,###,##0.00_ ">
                  <c:v>6.2233969078110736</c:v>
                </c:pt>
                <c:pt idx="14" formatCode="###,###,###,###,##0.00_ ">
                  <c:v>5.8788801667698118</c:v>
                </c:pt>
                <c:pt idx="15" formatCode="###,###,###,###,##0.00_ ">
                  <c:v>6.2274350668304725</c:v>
                </c:pt>
                <c:pt idx="16" formatCode="###,###,###,###,##0.00_ ">
                  <c:v>6.007313736984619</c:v>
                </c:pt>
                <c:pt idx="17" formatCode="###,###,###,###,##0.00_ ">
                  <c:v>5.9351028198941194</c:v>
                </c:pt>
                <c:pt idx="18" formatCode="###,###,###,###,##0.00_ ">
                  <c:v>5.7632794380092376</c:v>
                </c:pt>
                <c:pt idx="19" formatCode="###,###,###,###,##0.00_ ">
                  <c:v>5.2739456557511488</c:v>
                </c:pt>
                <c:pt idx="20" formatCode="###,###,###,###,##0.00_ ">
                  <c:v>5.0931580918877541</c:v>
                </c:pt>
                <c:pt idx="21" formatCode="###,###,###,###,##0.00_ ">
                  <c:v>5.0421537917914065</c:v>
                </c:pt>
                <c:pt idx="22" formatCode="###,###,###,###,##0.00_ ">
                  <c:v>5.2442829820062933</c:v>
                </c:pt>
                <c:pt idx="23" formatCode="###,###,###,###,##0.00_ ">
                  <c:v>5.7935539038580108</c:v>
                </c:pt>
                <c:pt idx="24" formatCode="###,###,###,###,##0.00_ ">
                  <c:v>6.5140006992977533</c:v>
                </c:pt>
                <c:pt idx="25" formatCode="###,###,###,###,##0.00_ ">
                  <c:v>7.4365909540960899</c:v>
                </c:pt>
                <c:pt idx="26" formatCode="###,###,###,###,##0.00_ ">
                  <c:v>7.6474324434156218</c:v>
                </c:pt>
                <c:pt idx="27" formatCode="###,###,###,###,##0.00_ ">
                  <c:v>8.51433448884538</c:v>
                </c:pt>
                <c:pt idx="28" formatCode="###,###,###,###,##0.00_ ">
                  <c:v>7.6753705972243278</c:v>
                </c:pt>
                <c:pt idx="29" formatCode="###,###,###,###,##0.00_ ">
                  <c:v>9.0929544756082077</c:v>
                </c:pt>
                <c:pt idx="30" formatCode="###,###,###,###,##0.00_ ">
                  <c:v>8.2213653028059266</c:v>
                </c:pt>
                <c:pt idx="31" formatCode="###,###,###,###,##0.00_ ">
                  <c:v>8.0410713598678107</c:v>
                </c:pt>
                <c:pt idx="32" formatCode="###,###,###,###,##0.00_ ">
                  <c:v>7.6943536618758301</c:v>
                </c:pt>
                <c:pt idx="33" formatCode="###,###,###,###,##0.00_ ">
                  <c:v>7.720318955040617</c:v>
                </c:pt>
                <c:pt idx="34" formatCode="###,###,###,###,##0.00_ ">
                  <c:v>7.601062288691228</c:v>
                </c:pt>
                <c:pt idx="35" formatCode="###,###,###,###,##0.00_ ">
                  <c:v>6.9645035320960034</c:v>
                </c:pt>
                <c:pt idx="36" formatCode="###,###,###,###,##0.00_ ">
                  <c:v>7.2213342751446179</c:v>
                </c:pt>
                <c:pt idx="37" formatCode="###,###,###,###,##0.00_ ">
                  <c:v>7.2309698993395966</c:v>
                </c:pt>
                <c:pt idx="38" formatCode="###,###,###,###,##0.00_ ">
                  <c:v>7.1191718838721689</c:v>
                </c:pt>
              </c:numCache>
            </c:numRef>
          </c:val>
          <c:smooth val="0"/>
          <c:extLst>
            <c:ext xmlns:c16="http://schemas.microsoft.com/office/drawing/2014/chart" uri="{C3380CC4-5D6E-409C-BE32-E72D297353CC}">
              <c16:uniqueId val="{00000002-27CB-4747-872B-AD26721DA35D}"/>
            </c:ext>
          </c:extLst>
        </c:ser>
        <c:ser>
          <c:idx val="3"/>
          <c:order val="3"/>
          <c:tx>
            <c:strRef>
              <c:f>年度!$E$1</c:f>
              <c:strCache>
                <c:ptCount val="1"/>
                <c:pt idx="0">
                  <c:v>德国</c:v>
                </c:pt>
              </c:strCache>
            </c:strRef>
          </c:tx>
          <c:marker>
            <c:symbol val="none"/>
          </c:marker>
          <c:cat>
            <c:numRef>
              <c:f>年度!$A$30:$A$69</c:f>
              <c:numCache>
                <c:formatCode>yyyy;@</c:formatCode>
                <c:ptCount val="40"/>
                <c:pt idx="0">
                  <c:v>29586</c:v>
                </c:pt>
                <c:pt idx="1">
                  <c:v>29951</c:v>
                </c:pt>
                <c:pt idx="2">
                  <c:v>30316</c:v>
                </c:pt>
                <c:pt idx="3">
                  <c:v>30681</c:v>
                </c:pt>
                <c:pt idx="4">
                  <c:v>31047</c:v>
                </c:pt>
                <c:pt idx="5">
                  <c:v>31412</c:v>
                </c:pt>
                <c:pt idx="6">
                  <c:v>31777</c:v>
                </c:pt>
                <c:pt idx="7">
                  <c:v>32142</c:v>
                </c:pt>
                <c:pt idx="8">
                  <c:v>32508</c:v>
                </c:pt>
                <c:pt idx="9">
                  <c:v>32873</c:v>
                </c:pt>
                <c:pt idx="10">
                  <c:v>33238</c:v>
                </c:pt>
                <c:pt idx="11">
                  <c:v>33603</c:v>
                </c:pt>
                <c:pt idx="12">
                  <c:v>33969</c:v>
                </c:pt>
                <c:pt idx="13">
                  <c:v>34334</c:v>
                </c:pt>
                <c:pt idx="14">
                  <c:v>34699</c:v>
                </c:pt>
                <c:pt idx="15">
                  <c:v>35064</c:v>
                </c:pt>
                <c:pt idx="16">
                  <c:v>35430</c:v>
                </c:pt>
                <c:pt idx="17">
                  <c:v>35795</c:v>
                </c:pt>
                <c:pt idx="18">
                  <c:v>36160</c:v>
                </c:pt>
                <c:pt idx="19">
                  <c:v>36525</c:v>
                </c:pt>
                <c:pt idx="20">
                  <c:v>36891</c:v>
                </c:pt>
                <c:pt idx="21">
                  <c:v>37256</c:v>
                </c:pt>
                <c:pt idx="22">
                  <c:v>37621</c:v>
                </c:pt>
                <c:pt idx="23">
                  <c:v>37986</c:v>
                </c:pt>
                <c:pt idx="24">
                  <c:v>38352</c:v>
                </c:pt>
                <c:pt idx="25">
                  <c:v>38717</c:v>
                </c:pt>
                <c:pt idx="26">
                  <c:v>39082</c:v>
                </c:pt>
                <c:pt idx="27">
                  <c:v>39447</c:v>
                </c:pt>
                <c:pt idx="28">
                  <c:v>39813</c:v>
                </c:pt>
                <c:pt idx="29">
                  <c:v>40178</c:v>
                </c:pt>
                <c:pt idx="30">
                  <c:v>40543</c:v>
                </c:pt>
                <c:pt idx="31">
                  <c:v>40908</c:v>
                </c:pt>
                <c:pt idx="32">
                  <c:v>41274</c:v>
                </c:pt>
                <c:pt idx="33">
                  <c:v>41639</c:v>
                </c:pt>
                <c:pt idx="34">
                  <c:v>42004</c:v>
                </c:pt>
                <c:pt idx="35">
                  <c:v>42369</c:v>
                </c:pt>
                <c:pt idx="36">
                  <c:v>42735</c:v>
                </c:pt>
                <c:pt idx="37">
                  <c:v>43100</c:v>
                </c:pt>
                <c:pt idx="38">
                  <c:v>43465</c:v>
                </c:pt>
                <c:pt idx="39">
                  <c:v>43830</c:v>
                </c:pt>
              </c:numCache>
            </c:numRef>
          </c:cat>
          <c:val>
            <c:numRef>
              <c:f>年度!$E$30:$E$69</c:f>
              <c:numCache>
                <c:formatCode>General</c:formatCode>
                <c:ptCount val="40"/>
                <c:pt idx="11" formatCode="###,###,###,###,##0.00_ ">
                  <c:v>4.7</c:v>
                </c:pt>
                <c:pt idx="12" formatCode="###,###,###,###,##0.00_ ">
                  <c:v>4.7</c:v>
                </c:pt>
                <c:pt idx="13" formatCode="###,###,###,###,##0.00_ ">
                  <c:v>5</c:v>
                </c:pt>
                <c:pt idx="14" formatCode="###,###,###,###,##0.00_ ">
                  <c:v>4.8</c:v>
                </c:pt>
                <c:pt idx="15" formatCode="###,###,###,###,##0.00_ ">
                  <c:v>4.5999999999999996</c:v>
                </c:pt>
                <c:pt idx="16" formatCode="###,###,###,###,##0.00_ ">
                  <c:v>4.8</c:v>
                </c:pt>
                <c:pt idx="17" formatCode="###,###,###,###,##0.00_ ">
                  <c:v>4.8</c:v>
                </c:pt>
                <c:pt idx="18" formatCode="###,###,###,###,##0.00_ ">
                  <c:v>4.5999999999999996</c:v>
                </c:pt>
                <c:pt idx="19" formatCode="###,###,###,###,##0.00_ ">
                  <c:v>5.4</c:v>
                </c:pt>
                <c:pt idx="20" formatCode="###,###,###,###,##0.00_ ">
                  <c:v>4.5</c:v>
                </c:pt>
                <c:pt idx="21" formatCode="###,###,###,###,##0.00_ ">
                  <c:v>4.5</c:v>
                </c:pt>
                <c:pt idx="22" formatCode="###,###,###,###,##0.00_ ">
                  <c:v>4.8</c:v>
                </c:pt>
                <c:pt idx="23" formatCode="###,###,###,###,##0.00_ ">
                  <c:v>5.2</c:v>
                </c:pt>
                <c:pt idx="24" formatCode="###,###,###,###,##0.00_ ">
                  <c:v>5.7</c:v>
                </c:pt>
                <c:pt idx="25" formatCode="###,###,###,###,##0.00_ ">
                  <c:v>5.5</c:v>
                </c:pt>
                <c:pt idx="26" formatCode="###,###,###,###,##0.00_ ">
                  <c:v>5.3</c:v>
                </c:pt>
                <c:pt idx="27" formatCode="###,###,###,###,##0.00_ ">
                  <c:v>4.8</c:v>
                </c:pt>
                <c:pt idx="28" formatCode="###,###,###,###,##0.00_ ">
                  <c:v>4.3</c:v>
                </c:pt>
                <c:pt idx="29" formatCode="###,###,###,###,##0.00_ ">
                  <c:v>5.0999999999999996</c:v>
                </c:pt>
                <c:pt idx="30" formatCode="###,###,###,###,##0.00_ ">
                  <c:v>5</c:v>
                </c:pt>
                <c:pt idx="31" formatCode="###,###,###,###,##0.00_ ">
                  <c:v>4.8</c:v>
                </c:pt>
                <c:pt idx="32" formatCode="###,###,###,###,##0.00_ ">
                  <c:v>4.8</c:v>
                </c:pt>
                <c:pt idx="33" formatCode="###,###,###,###,##0.00_ ">
                  <c:v>4.5999999999999996</c:v>
                </c:pt>
                <c:pt idx="34" formatCode="###,###,###,###,##0.00_ ">
                  <c:v>4.5</c:v>
                </c:pt>
                <c:pt idx="35" formatCode="###,###,###,###,##0.00_ ">
                  <c:v>4.4000000000000004</c:v>
                </c:pt>
                <c:pt idx="36" formatCode="###,###,###,###,##0.00_ ">
                  <c:v>4.2</c:v>
                </c:pt>
                <c:pt idx="37" formatCode="###,###,###,###,##0.00_ ">
                  <c:v>4</c:v>
                </c:pt>
                <c:pt idx="38" formatCode="###,###,###,###,##0.00_ ">
                  <c:v>3.8</c:v>
                </c:pt>
                <c:pt idx="39" formatCode="###,###,###,###,##0.00_ ">
                  <c:v>3.8</c:v>
                </c:pt>
              </c:numCache>
            </c:numRef>
          </c:val>
          <c:smooth val="0"/>
          <c:extLst>
            <c:ext xmlns:c16="http://schemas.microsoft.com/office/drawing/2014/chart" uri="{C3380CC4-5D6E-409C-BE32-E72D297353CC}">
              <c16:uniqueId val="{00000003-27CB-4747-872B-AD26721DA35D}"/>
            </c:ext>
          </c:extLst>
        </c:ser>
        <c:ser>
          <c:idx val="4"/>
          <c:order val="4"/>
          <c:tx>
            <c:strRef>
              <c:f>年度!$F$1</c:f>
              <c:strCache>
                <c:ptCount val="1"/>
                <c:pt idx="0">
                  <c:v>美国</c:v>
                </c:pt>
              </c:strCache>
            </c:strRef>
          </c:tx>
          <c:spPr>
            <a:ln cmpd="dbl"/>
          </c:spPr>
          <c:marker>
            <c:symbol val="none"/>
          </c:marker>
          <c:cat>
            <c:numRef>
              <c:f>年度!$A$30:$A$69</c:f>
              <c:numCache>
                <c:formatCode>yyyy;@</c:formatCode>
                <c:ptCount val="40"/>
                <c:pt idx="0">
                  <c:v>29586</c:v>
                </c:pt>
                <c:pt idx="1">
                  <c:v>29951</c:v>
                </c:pt>
                <c:pt idx="2">
                  <c:v>30316</c:v>
                </c:pt>
                <c:pt idx="3">
                  <c:v>30681</c:v>
                </c:pt>
                <c:pt idx="4">
                  <c:v>31047</c:v>
                </c:pt>
                <c:pt idx="5">
                  <c:v>31412</c:v>
                </c:pt>
                <c:pt idx="6">
                  <c:v>31777</c:v>
                </c:pt>
                <c:pt idx="7">
                  <c:v>32142</c:v>
                </c:pt>
                <c:pt idx="8">
                  <c:v>32508</c:v>
                </c:pt>
                <c:pt idx="9">
                  <c:v>32873</c:v>
                </c:pt>
                <c:pt idx="10">
                  <c:v>33238</c:v>
                </c:pt>
                <c:pt idx="11">
                  <c:v>33603</c:v>
                </c:pt>
                <c:pt idx="12">
                  <c:v>33969</c:v>
                </c:pt>
                <c:pt idx="13">
                  <c:v>34334</c:v>
                </c:pt>
                <c:pt idx="14">
                  <c:v>34699</c:v>
                </c:pt>
                <c:pt idx="15">
                  <c:v>35064</c:v>
                </c:pt>
                <c:pt idx="16">
                  <c:v>35430</c:v>
                </c:pt>
                <c:pt idx="17">
                  <c:v>35795</c:v>
                </c:pt>
                <c:pt idx="18">
                  <c:v>36160</c:v>
                </c:pt>
                <c:pt idx="19">
                  <c:v>36525</c:v>
                </c:pt>
                <c:pt idx="20">
                  <c:v>36891</c:v>
                </c:pt>
                <c:pt idx="21">
                  <c:v>37256</c:v>
                </c:pt>
                <c:pt idx="22">
                  <c:v>37621</c:v>
                </c:pt>
                <c:pt idx="23">
                  <c:v>37986</c:v>
                </c:pt>
                <c:pt idx="24">
                  <c:v>38352</c:v>
                </c:pt>
                <c:pt idx="25">
                  <c:v>38717</c:v>
                </c:pt>
                <c:pt idx="26">
                  <c:v>39082</c:v>
                </c:pt>
                <c:pt idx="27">
                  <c:v>39447</c:v>
                </c:pt>
                <c:pt idx="28">
                  <c:v>39813</c:v>
                </c:pt>
                <c:pt idx="29">
                  <c:v>40178</c:v>
                </c:pt>
                <c:pt idx="30">
                  <c:v>40543</c:v>
                </c:pt>
                <c:pt idx="31">
                  <c:v>40908</c:v>
                </c:pt>
                <c:pt idx="32">
                  <c:v>41274</c:v>
                </c:pt>
                <c:pt idx="33">
                  <c:v>41639</c:v>
                </c:pt>
                <c:pt idx="34">
                  <c:v>42004</c:v>
                </c:pt>
                <c:pt idx="35">
                  <c:v>42369</c:v>
                </c:pt>
                <c:pt idx="36">
                  <c:v>42735</c:v>
                </c:pt>
                <c:pt idx="37">
                  <c:v>43100</c:v>
                </c:pt>
                <c:pt idx="38">
                  <c:v>43465</c:v>
                </c:pt>
                <c:pt idx="39">
                  <c:v>43830</c:v>
                </c:pt>
              </c:numCache>
            </c:numRef>
          </c:cat>
          <c:val>
            <c:numRef>
              <c:f>年度!$F$30:$F$69</c:f>
              <c:numCache>
                <c:formatCode>###,###,###,###,##0.00_ </c:formatCode>
                <c:ptCount val="40"/>
                <c:pt idx="0">
                  <c:v>4.9000000000000004</c:v>
                </c:pt>
                <c:pt idx="1">
                  <c:v>5</c:v>
                </c:pt>
                <c:pt idx="2">
                  <c:v>5.2</c:v>
                </c:pt>
                <c:pt idx="3">
                  <c:v>5.5</c:v>
                </c:pt>
                <c:pt idx="4">
                  <c:v>5.4</c:v>
                </c:pt>
                <c:pt idx="5">
                  <c:v>5.5</c:v>
                </c:pt>
                <c:pt idx="6">
                  <c:v>5.9</c:v>
                </c:pt>
                <c:pt idx="7">
                  <c:v>6</c:v>
                </c:pt>
                <c:pt idx="8">
                  <c:v>5.9</c:v>
                </c:pt>
                <c:pt idx="9">
                  <c:v>5.9</c:v>
                </c:pt>
                <c:pt idx="10">
                  <c:v>6</c:v>
                </c:pt>
                <c:pt idx="11">
                  <c:v>6.4</c:v>
                </c:pt>
                <c:pt idx="12">
                  <c:v>6.5</c:v>
                </c:pt>
                <c:pt idx="13">
                  <c:v>6.6</c:v>
                </c:pt>
                <c:pt idx="14">
                  <c:v>6.4</c:v>
                </c:pt>
                <c:pt idx="15">
                  <c:v>6.6</c:v>
                </c:pt>
                <c:pt idx="16">
                  <c:v>6.7</c:v>
                </c:pt>
                <c:pt idx="17">
                  <c:v>6.7</c:v>
                </c:pt>
                <c:pt idx="18">
                  <c:v>7</c:v>
                </c:pt>
                <c:pt idx="19">
                  <c:v>7</c:v>
                </c:pt>
                <c:pt idx="20">
                  <c:v>7.2</c:v>
                </c:pt>
                <c:pt idx="21">
                  <c:v>7.6</c:v>
                </c:pt>
                <c:pt idx="22">
                  <c:v>7.5</c:v>
                </c:pt>
                <c:pt idx="23">
                  <c:v>7.4</c:v>
                </c:pt>
                <c:pt idx="24">
                  <c:v>7.1</c:v>
                </c:pt>
                <c:pt idx="25">
                  <c:v>7.5</c:v>
                </c:pt>
                <c:pt idx="26">
                  <c:v>7.5</c:v>
                </c:pt>
                <c:pt idx="27">
                  <c:v>7.1</c:v>
                </c:pt>
                <c:pt idx="28">
                  <c:v>5.9</c:v>
                </c:pt>
                <c:pt idx="29">
                  <c:v>6.7</c:v>
                </c:pt>
                <c:pt idx="30">
                  <c:v>6.7</c:v>
                </c:pt>
                <c:pt idx="31">
                  <c:v>6.6</c:v>
                </c:pt>
                <c:pt idx="32">
                  <c:v>7.2</c:v>
                </c:pt>
                <c:pt idx="33">
                  <c:v>6.8</c:v>
                </c:pt>
                <c:pt idx="34">
                  <c:v>7.3</c:v>
                </c:pt>
                <c:pt idx="35">
                  <c:v>7.5</c:v>
                </c:pt>
                <c:pt idx="36">
                  <c:v>7.7</c:v>
                </c:pt>
                <c:pt idx="37">
                  <c:v>7.6</c:v>
                </c:pt>
                <c:pt idx="38">
                  <c:v>7.6</c:v>
                </c:pt>
                <c:pt idx="39">
                  <c:v>7.6</c:v>
                </c:pt>
              </c:numCache>
            </c:numRef>
          </c:val>
          <c:smooth val="0"/>
          <c:extLst>
            <c:ext xmlns:c16="http://schemas.microsoft.com/office/drawing/2014/chart" uri="{C3380CC4-5D6E-409C-BE32-E72D297353CC}">
              <c16:uniqueId val="{00000004-27CB-4747-872B-AD26721DA35D}"/>
            </c:ext>
          </c:extLst>
        </c:ser>
        <c:dLbls>
          <c:showLegendKey val="0"/>
          <c:showVal val="0"/>
          <c:showCatName val="0"/>
          <c:showSerName val="0"/>
          <c:showPercent val="0"/>
          <c:showBubbleSize val="0"/>
        </c:dLbls>
        <c:smooth val="0"/>
        <c:axId val="179436160"/>
        <c:axId val="179577216"/>
      </c:lineChart>
      <c:dateAx>
        <c:axId val="179436160"/>
        <c:scaling>
          <c:orientation val="minMax"/>
        </c:scaling>
        <c:delete val="0"/>
        <c:axPos val="b"/>
        <c:numFmt formatCode="yyyy;@" sourceLinked="0"/>
        <c:majorTickMark val="out"/>
        <c:minorTickMark val="none"/>
        <c:tickLblPos val="nextTo"/>
        <c:crossAx val="179577216"/>
        <c:crosses val="autoZero"/>
        <c:auto val="1"/>
        <c:lblOffset val="100"/>
        <c:baseTimeUnit val="years"/>
      </c:dateAx>
      <c:valAx>
        <c:axId val="179577216"/>
        <c:scaling>
          <c:orientation val="minMax"/>
        </c:scaling>
        <c:delete val="0"/>
        <c:axPos val="l"/>
        <c:numFmt formatCode="###,###,###,###,##0.00_ " sourceLinked="1"/>
        <c:majorTickMark val="out"/>
        <c:minorTickMark val="none"/>
        <c:tickLblPos val="nextTo"/>
        <c:crossAx val="179436160"/>
        <c:crosses val="autoZero"/>
        <c:crossBetween val="between"/>
      </c:valAx>
    </c:plotArea>
    <c:legend>
      <c:legendPos val="r"/>
      <c:layout>
        <c:manualLayout>
          <c:xMode val="edge"/>
          <c:yMode val="edge"/>
          <c:x val="0.62054922824028158"/>
          <c:y val="0.56485265673032758"/>
          <c:w val="0.27066402998686084"/>
          <c:h val="0.28171455540108647"/>
        </c:manualLayout>
      </c:layout>
      <c:overlay val="0"/>
    </c:legend>
    <c:plotVisOnly val="1"/>
    <c:dispBlanksAs val="gap"/>
    <c:showDLblsOverMax val="0"/>
  </c:chart>
  <c:txPr>
    <a:bodyPr/>
    <a:lstStyle/>
    <a:p>
      <a:pPr>
        <a:defRPr sz="1100"/>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03018372703412"/>
          <c:y val="5.1400554097404488E-2"/>
          <c:w val="0.8406780402449695"/>
          <c:h val="0.79523549139690874"/>
        </c:manualLayout>
      </c:layout>
      <c:lineChart>
        <c:grouping val="standard"/>
        <c:varyColors val="0"/>
        <c:ser>
          <c:idx val="0"/>
          <c:order val="0"/>
          <c:tx>
            <c:strRef>
              <c:f>Sheet1!$M$1</c:f>
              <c:strCache>
                <c:ptCount val="1"/>
                <c:pt idx="0">
                  <c:v>工业增加值占比</c:v>
                </c:pt>
              </c:strCache>
            </c:strRef>
          </c:tx>
          <c:marker>
            <c:symbol val="none"/>
          </c:marker>
          <c:cat>
            <c:numRef>
              <c:f>Sheet1!$L$2:$L$56</c:f>
              <c:numCache>
                <c:formatCode>General</c:formatCode>
                <c:ptCount val="55"/>
                <c:pt idx="0">
                  <c:v>1966</c:v>
                </c:pt>
                <c:pt idx="1">
                  <c:v>1967</c:v>
                </c:pt>
                <c:pt idx="2">
                  <c:v>1968</c:v>
                </c:pt>
                <c:pt idx="3">
                  <c:v>1969</c:v>
                </c:pt>
                <c:pt idx="4">
                  <c:v>1970</c:v>
                </c:pt>
                <c:pt idx="5">
                  <c:v>1971</c:v>
                </c:pt>
                <c:pt idx="6">
                  <c:v>1972</c:v>
                </c:pt>
                <c:pt idx="7">
                  <c:v>1973</c:v>
                </c:pt>
                <c:pt idx="8">
                  <c:v>1974</c:v>
                </c:pt>
                <c:pt idx="9">
                  <c:v>1975</c:v>
                </c:pt>
                <c:pt idx="10">
                  <c:v>1976</c:v>
                </c:pt>
                <c:pt idx="11">
                  <c:v>1977</c:v>
                </c:pt>
                <c:pt idx="12">
                  <c:v>1978</c:v>
                </c:pt>
                <c:pt idx="13">
                  <c:v>1979</c:v>
                </c:pt>
                <c:pt idx="14">
                  <c:v>1980</c:v>
                </c:pt>
                <c:pt idx="15">
                  <c:v>1981</c:v>
                </c:pt>
                <c:pt idx="16">
                  <c:v>1982</c:v>
                </c:pt>
                <c:pt idx="17">
                  <c:v>1983</c:v>
                </c:pt>
                <c:pt idx="18">
                  <c:v>1984</c:v>
                </c:pt>
                <c:pt idx="19">
                  <c:v>1985</c:v>
                </c:pt>
                <c:pt idx="20">
                  <c:v>1986</c:v>
                </c:pt>
                <c:pt idx="21">
                  <c:v>1987</c:v>
                </c:pt>
                <c:pt idx="22">
                  <c:v>1988</c:v>
                </c:pt>
                <c:pt idx="23">
                  <c:v>1989</c:v>
                </c:pt>
                <c:pt idx="24">
                  <c:v>1990</c:v>
                </c:pt>
                <c:pt idx="25">
                  <c:v>1991</c:v>
                </c:pt>
                <c:pt idx="26">
                  <c:v>1992</c:v>
                </c:pt>
                <c:pt idx="27">
                  <c:v>1993</c:v>
                </c:pt>
                <c:pt idx="28">
                  <c:v>1994</c:v>
                </c:pt>
                <c:pt idx="29">
                  <c:v>1995</c:v>
                </c:pt>
                <c:pt idx="30">
                  <c:v>1996</c:v>
                </c:pt>
                <c:pt idx="31">
                  <c:v>1997</c:v>
                </c:pt>
                <c:pt idx="32">
                  <c:v>1998</c:v>
                </c:pt>
                <c:pt idx="33">
                  <c:v>1999</c:v>
                </c:pt>
                <c:pt idx="34">
                  <c:v>2000</c:v>
                </c:pt>
                <c:pt idx="35">
                  <c:v>2001</c:v>
                </c:pt>
                <c:pt idx="36">
                  <c:v>2002</c:v>
                </c:pt>
                <c:pt idx="37">
                  <c:v>2003</c:v>
                </c:pt>
                <c:pt idx="38">
                  <c:v>2004</c:v>
                </c:pt>
                <c:pt idx="39">
                  <c:v>2005</c:v>
                </c:pt>
                <c:pt idx="40">
                  <c:v>2006</c:v>
                </c:pt>
                <c:pt idx="41">
                  <c:v>2007</c:v>
                </c:pt>
                <c:pt idx="42">
                  <c:v>2008</c:v>
                </c:pt>
                <c:pt idx="43">
                  <c:v>2009</c:v>
                </c:pt>
                <c:pt idx="44">
                  <c:v>2010</c:v>
                </c:pt>
                <c:pt idx="45">
                  <c:v>2011</c:v>
                </c:pt>
                <c:pt idx="46">
                  <c:v>2012</c:v>
                </c:pt>
                <c:pt idx="47">
                  <c:v>2013</c:v>
                </c:pt>
                <c:pt idx="48">
                  <c:v>2014</c:v>
                </c:pt>
                <c:pt idx="49">
                  <c:v>2015</c:v>
                </c:pt>
                <c:pt idx="50">
                  <c:v>2016</c:v>
                </c:pt>
                <c:pt idx="51">
                  <c:v>2017</c:v>
                </c:pt>
                <c:pt idx="52">
                  <c:v>2018</c:v>
                </c:pt>
                <c:pt idx="53">
                  <c:v>2019</c:v>
                </c:pt>
                <c:pt idx="54">
                  <c:v>2020</c:v>
                </c:pt>
              </c:numCache>
            </c:numRef>
          </c:cat>
          <c:val>
            <c:numRef>
              <c:f>Sheet1!$M$2:$M$56</c:f>
              <c:numCache>
                <c:formatCode>0.00%</c:formatCode>
                <c:ptCount val="55"/>
                <c:pt idx="0">
                  <c:v>0.31556096786149201</c:v>
                </c:pt>
                <c:pt idx="1">
                  <c:v>0.27867573291717757</c:v>
                </c:pt>
                <c:pt idx="2">
                  <c:v>0.25801272862794566</c:v>
                </c:pt>
                <c:pt idx="3">
                  <c:v>0.29303842625624299</c:v>
                </c:pt>
                <c:pt idx="4">
                  <c:v>0.33337719875422206</c:v>
                </c:pt>
                <c:pt idx="5">
                  <c:v>0.34637144368920181</c:v>
                </c:pt>
                <c:pt idx="6">
                  <c:v>0.35613540197461213</c:v>
                </c:pt>
                <c:pt idx="7">
                  <c:v>0.35701327915245629</c:v>
                </c:pt>
                <c:pt idx="8">
                  <c:v>0.35187608303568274</c:v>
                </c:pt>
                <c:pt idx="9">
                  <c:v>0.37604869221911497</c:v>
                </c:pt>
                <c:pt idx="10">
                  <c:v>0.37007294385330924</c:v>
                </c:pt>
                <c:pt idx="11">
                  <c:v>0.38769230769230767</c:v>
                </c:pt>
                <c:pt idx="12">
                  <c:v>0.40095658509511667</c:v>
                </c:pt>
                <c:pt idx="13">
                  <c:v>0.39605373695342661</c:v>
                </c:pt>
                <c:pt idx="14">
                  <c:v>0.39868505186122399</c:v>
                </c:pt>
                <c:pt idx="15">
                  <c:v>0.37967250145752862</c:v>
                </c:pt>
                <c:pt idx="16">
                  <c:v>0.3677407855410969</c:v>
                </c:pt>
                <c:pt idx="17">
                  <c:v>0.36024370405861061</c:v>
                </c:pt>
                <c:pt idx="18">
                  <c:v>0.34952245567791368</c:v>
                </c:pt>
                <c:pt idx="19">
                  <c:v>0.34410571317795702</c:v>
                </c:pt>
                <c:pt idx="20">
                  <c:v>0.34637109704935048</c:v>
                </c:pt>
                <c:pt idx="21">
                  <c:v>0.34128446265554396</c:v>
                </c:pt>
                <c:pt idx="22">
                  <c:v>0.34287664591791078</c:v>
                </c:pt>
                <c:pt idx="23">
                  <c:v>0.33929497262587777</c:v>
                </c:pt>
                <c:pt idx="24">
                  <c:v>0.32305634373446762</c:v>
                </c:pt>
                <c:pt idx="25">
                  <c:v>0.32155409752837388</c:v>
                </c:pt>
                <c:pt idx="26">
                  <c:v>0.32410928625358271</c:v>
                </c:pt>
                <c:pt idx="27">
                  <c:v>0.33647078996969199</c:v>
                </c:pt>
                <c:pt idx="28">
                  <c:v>0.33324115244591196</c:v>
                </c:pt>
                <c:pt idx="29">
                  <c:v>0.33353498927146941</c:v>
                </c:pt>
                <c:pt idx="30">
                  <c:v>0.33213750838352524</c:v>
                </c:pt>
                <c:pt idx="31">
                  <c:v>0.32874597471105294</c:v>
                </c:pt>
                <c:pt idx="32">
                  <c:v>0.31811536694499182</c:v>
                </c:pt>
                <c:pt idx="33">
                  <c:v>0.31281615708167143</c:v>
                </c:pt>
                <c:pt idx="34">
                  <c:v>0.31777977396567098</c:v>
                </c:pt>
                <c:pt idx="35">
                  <c:v>0.31290837801854093</c:v>
                </c:pt>
                <c:pt idx="36">
                  <c:v>0.31058001837595567</c:v>
                </c:pt>
                <c:pt idx="37">
                  <c:v>0.32465681382513134</c:v>
                </c:pt>
                <c:pt idx="38">
                  <c:v>0.3197506997164633</c:v>
                </c:pt>
                <c:pt idx="39">
                  <c:v>0.32093924331761692</c:v>
                </c:pt>
                <c:pt idx="40">
                  <c:v>0.32452328059108437</c:v>
                </c:pt>
                <c:pt idx="41">
                  <c:v>0.32383353118598834</c:v>
                </c:pt>
                <c:pt idx="42">
                  <c:v>0.32119411601234704</c:v>
                </c:pt>
                <c:pt idx="43">
                  <c:v>0.31596238094204099</c:v>
                </c:pt>
                <c:pt idx="44">
                  <c:v>0.31612821693346366</c:v>
                </c:pt>
                <c:pt idx="45">
                  <c:v>0.3206475019943556</c:v>
                </c:pt>
                <c:pt idx="46">
                  <c:v>0.31528577864159218</c:v>
                </c:pt>
                <c:pt idx="47">
                  <c:v>0.30671008074708955</c:v>
                </c:pt>
                <c:pt idx="48">
                  <c:v>0.30396444207593631</c:v>
                </c:pt>
                <c:pt idx="49">
                  <c:v>0.28951676090768508</c:v>
                </c:pt>
                <c:pt idx="50">
                  <c:v>0.28069438206135394</c:v>
                </c:pt>
                <c:pt idx="51">
                  <c:v>0.28108941734251408</c:v>
                </c:pt>
                <c:pt idx="52">
                  <c:v>0.27841015321457663</c:v>
                </c:pt>
                <c:pt idx="53">
                  <c:v>0.26774721705674825</c:v>
                </c:pt>
                <c:pt idx="54">
                  <c:v>0.26285188842967461</c:v>
                </c:pt>
              </c:numCache>
            </c:numRef>
          </c:val>
          <c:smooth val="0"/>
          <c:extLst>
            <c:ext xmlns:c16="http://schemas.microsoft.com/office/drawing/2014/chart" uri="{C3380CC4-5D6E-409C-BE32-E72D297353CC}">
              <c16:uniqueId val="{00000000-43D5-427C-A3AD-0835795245B9}"/>
            </c:ext>
          </c:extLst>
        </c:ser>
        <c:ser>
          <c:idx val="1"/>
          <c:order val="1"/>
          <c:tx>
            <c:strRef>
              <c:f>Sheet1!$N$1</c:f>
              <c:strCache>
                <c:ptCount val="1"/>
                <c:pt idx="0">
                  <c:v>金融业增加值占比</c:v>
                </c:pt>
              </c:strCache>
            </c:strRef>
          </c:tx>
          <c:spPr>
            <a:ln cmpd="dbl"/>
          </c:spPr>
          <c:marker>
            <c:symbol val="none"/>
          </c:marker>
          <c:cat>
            <c:numRef>
              <c:f>Sheet1!$L$2:$L$56</c:f>
              <c:numCache>
                <c:formatCode>General</c:formatCode>
                <c:ptCount val="55"/>
                <c:pt idx="0">
                  <c:v>1966</c:v>
                </c:pt>
                <c:pt idx="1">
                  <c:v>1967</c:v>
                </c:pt>
                <c:pt idx="2">
                  <c:v>1968</c:v>
                </c:pt>
                <c:pt idx="3">
                  <c:v>1969</c:v>
                </c:pt>
                <c:pt idx="4">
                  <c:v>1970</c:v>
                </c:pt>
                <c:pt idx="5">
                  <c:v>1971</c:v>
                </c:pt>
                <c:pt idx="6">
                  <c:v>1972</c:v>
                </c:pt>
                <c:pt idx="7">
                  <c:v>1973</c:v>
                </c:pt>
                <c:pt idx="8">
                  <c:v>1974</c:v>
                </c:pt>
                <c:pt idx="9">
                  <c:v>1975</c:v>
                </c:pt>
                <c:pt idx="10">
                  <c:v>1976</c:v>
                </c:pt>
                <c:pt idx="11">
                  <c:v>1977</c:v>
                </c:pt>
                <c:pt idx="12">
                  <c:v>1978</c:v>
                </c:pt>
                <c:pt idx="13">
                  <c:v>1979</c:v>
                </c:pt>
                <c:pt idx="14">
                  <c:v>1980</c:v>
                </c:pt>
                <c:pt idx="15">
                  <c:v>1981</c:v>
                </c:pt>
                <c:pt idx="16">
                  <c:v>1982</c:v>
                </c:pt>
                <c:pt idx="17">
                  <c:v>1983</c:v>
                </c:pt>
                <c:pt idx="18">
                  <c:v>1984</c:v>
                </c:pt>
                <c:pt idx="19">
                  <c:v>1985</c:v>
                </c:pt>
                <c:pt idx="20">
                  <c:v>1986</c:v>
                </c:pt>
                <c:pt idx="21">
                  <c:v>1987</c:v>
                </c:pt>
                <c:pt idx="22">
                  <c:v>1988</c:v>
                </c:pt>
                <c:pt idx="23">
                  <c:v>1989</c:v>
                </c:pt>
                <c:pt idx="24">
                  <c:v>1990</c:v>
                </c:pt>
                <c:pt idx="25">
                  <c:v>1991</c:v>
                </c:pt>
                <c:pt idx="26">
                  <c:v>1992</c:v>
                </c:pt>
                <c:pt idx="27">
                  <c:v>1993</c:v>
                </c:pt>
                <c:pt idx="28">
                  <c:v>1994</c:v>
                </c:pt>
                <c:pt idx="29">
                  <c:v>1995</c:v>
                </c:pt>
                <c:pt idx="30">
                  <c:v>1996</c:v>
                </c:pt>
                <c:pt idx="31">
                  <c:v>1997</c:v>
                </c:pt>
                <c:pt idx="32">
                  <c:v>1998</c:v>
                </c:pt>
                <c:pt idx="33">
                  <c:v>1999</c:v>
                </c:pt>
                <c:pt idx="34">
                  <c:v>2000</c:v>
                </c:pt>
                <c:pt idx="35">
                  <c:v>2001</c:v>
                </c:pt>
                <c:pt idx="36">
                  <c:v>2002</c:v>
                </c:pt>
                <c:pt idx="37">
                  <c:v>2003</c:v>
                </c:pt>
                <c:pt idx="38">
                  <c:v>2004</c:v>
                </c:pt>
                <c:pt idx="39">
                  <c:v>2005</c:v>
                </c:pt>
                <c:pt idx="40">
                  <c:v>2006</c:v>
                </c:pt>
                <c:pt idx="41">
                  <c:v>2007</c:v>
                </c:pt>
                <c:pt idx="42">
                  <c:v>2008</c:v>
                </c:pt>
                <c:pt idx="43">
                  <c:v>2009</c:v>
                </c:pt>
                <c:pt idx="44">
                  <c:v>2010</c:v>
                </c:pt>
                <c:pt idx="45">
                  <c:v>2011</c:v>
                </c:pt>
                <c:pt idx="46">
                  <c:v>2012</c:v>
                </c:pt>
                <c:pt idx="47">
                  <c:v>2013</c:v>
                </c:pt>
                <c:pt idx="48">
                  <c:v>2014</c:v>
                </c:pt>
                <c:pt idx="49">
                  <c:v>2015</c:v>
                </c:pt>
                <c:pt idx="50">
                  <c:v>2016</c:v>
                </c:pt>
                <c:pt idx="51">
                  <c:v>2017</c:v>
                </c:pt>
                <c:pt idx="52">
                  <c:v>2018</c:v>
                </c:pt>
                <c:pt idx="53">
                  <c:v>2019</c:v>
                </c:pt>
                <c:pt idx="54">
                  <c:v>2020</c:v>
                </c:pt>
              </c:numCache>
            </c:numRef>
          </c:cat>
          <c:val>
            <c:numRef>
              <c:f>Sheet1!$N$2:$N$56</c:f>
              <c:numCache>
                <c:formatCode>0.00%</c:formatCode>
                <c:ptCount val="55"/>
                <c:pt idx="0">
                  <c:v>1.8954836660136601E-2</c:v>
                </c:pt>
                <c:pt idx="1">
                  <c:v>2.3130085832125738E-2</c:v>
                </c:pt>
                <c:pt idx="2">
                  <c:v>2.7693366206066165E-2</c:v>
                </c:pt>
                <c:pt idx="3">
                  <c:v>2.7520130465803688E-2</c:v>
                </c:pt>
                <c:pt idx="4">
                  <c:v>2.4871693643900517E-2</c:v>
                </c:pt>
                <c:pt idx="5">
                  <c:v>2.6578208311286579E-2</c:v>
                </c:pt>
                <c:pt idx="6">
                  <c:v>2.0686412787964268E-2</c:v>
                </c:pt>
                <c:pt idx="7">
                  <c:v>1.9120528263551269E-2</c:v>
                </c:pt>
                <c:pt idx="8">
                  <c:v>1.9980903207553843E-2</c:v>
                </c:pt>
                <c:pt idx="9">
                  <c:v>2.0134890607007731E-2</c:v>
                </c:pt>
                <c:pt idx="10">
                  <c:v>2.0812420531352474E-2</c:v>
                </c:pt>
                <c:pt idx="11">
                  <c:v>2.116923076923077E-2</c:v>
                </c:pt>
                <c:pt idx="12">
                  <c:v>2.0806749005624951E-2</c:v>
                </c:pt>
                <c:pt idx="13">
                  <c:v>1.8508377626172096E-2</c:v>
                </c:pt>
                <c:pt idx="14">
                  <c:v>1.8695288768038641E-2</c:v>
                </c:pt>
                <c:pt idx="15">
                  <c:v>1.8571900432453808E-2</c:v>
                </c:pt>
                <c:pt idx="16">
                  <c:v>2.4312413800238537E-2</c:v>
                </c:pt>
                <c:pt idx="17">
                  <c:v>2.805915938583927E-2</c:v>
                </c:pt>
                <c:pt idx="18">
                  <c:v>3.1677249284960622E-2</c:v>
                </c:pt>
                <c:pt idx="19">
                  <c:v>3.2304235184967056E-2</c:v>
                </c:pt>
                <c:pt idx="20">
                  <c:v>3.8663335432521435E-2</c:v>
                </c:pt>
                <c:pt idx="21">
                  <c:v>4.1574335632481474E-2</c:v>
                </c:pt>
                <c:pt idx="22">
                  <c:v>4.3401526889188927E-2</c:v>
                </c:pt>
                <c:pt idx="23">
                  <c:v>6.2858806434455045E-2</c:v>
                </c:pt>
                <c:pt idx="24">
                  <c:v>6.0620090581109606E-2</c:v>
                </c:pt>
                <c:pt idx="25">
                  <c:v>5.4313146392184423E-2</c:v>
                </c:pt>
                <c:pt idx="26">
                  <c:v>5.4501732074370875E-2</c:v>
                </c:pt>
                <c:pt idx="27">
                  <c:v>5.3359791552109945E-2</c:v>
                </c:pt>
                <c:pt idx="28">
                  <c:v>5.2590972134537874E-2</c:v>
                </c:pt>
                <c:pt idx="29">
                  <c:v>5.2356492762577492E-2</c:v>
                </c:pt>
                <c:pt idx="30">
                  <c:v>5.1531481114767595E-2</c:v>
                </c:pt>
                <c:pt idx="31">
                  <c:v>5.2427117412250479E-2</c:v>
                </c:pt>
                <c:pt idx="32">
                  <c:v>5.0685951953290974E-2</c:v>
                </c:pt>
                <c:pt idx="33">
                  <c:v>4.9574498673809551E-2</c:v>
                </c:pt>
                <c:pt idx="34">
                  <c:v>4.8286874487817953E-2</c:v>
                </c:pt>
                <c:pt idx="35">
                  <c:v>4.6929792280883155E-2</c:v>
                </c:pt>
                <c:pt idx="36">
                  <c:v>4.564496411005646E-2</c:v>
                </c:pt>
                <c:pt idx="37">
                  <c:v>4.3993632661598725E-2</c:v>
                </c:pt>
                <c:pt idx="38">
                  <c:v>4.0782168438884693E-2</c:v>
                </c:pt>
                <c:pt idx="39">
                  <c:v>3.9964094568734426E-2</c:v>
                </c:pt>
                <c:pt idx="40">
                  <c:v>4.5444556343589758E-2</c:v>
                </c:pt>
                <c:pt idx="41">
                  <c:v>5.6276877557183233E-2</c:v>
                </c:pt>
                <c:pt idx="42">
                  <c:v>5.7465552132881598E-2</c:v>
                </c:pt>
                <c:pt idx="43">
                  <c:v>6.2656338148444179E-2</c:v>
                </c:pt>
                <c:pt idx="44">
                  <c:v>6.2440866151830997E-2</c:v>
                </c:pt>
                <c:pt idx="45">
                  <c:v>6.3014325953834827E-2</c:v>
                </c:pt>
                <c:pt idx="46">
                  <c:v>6.5491056064714823E-2</c:v>
                </c:pt>
                <c:pt idx="47">
                  <c:v>6.9639020542335325E-2</c:v>
                </c:pt>
                <c:pt idx="48">
                  <c:v>7.2803109131623633E-2</c:v>
                </c:pt>
                <c:pt idx="49">
                  <c:v>8.1729224416395074E-2</c:v>
                </c:pt>
                <c:pt idx="50">
                  <c:v>8.0338121450280048E-2</c:v>
                </c:pt>
                <c:pt idx="51">
                  <c:v>7.7934497600864835E-2</c:v>
                </c:pt>
                <c:pt idx="52">
                  <c:v>7.6810296714269852E-2</c:v>
                </c:pt>
                <c:pt idx="53">
                  <c:v>7.7292926335272141E-2</c:v>
                </c:pt>
                <c:pt idx="54">
                  <c:v>8.2498739599848853E-2</c:v>
                </c:pt>
              </c:numCache>
            </c:numRef>
          </c:val>
          <c:smooth val="0"/>
          <c:extLst>
            <c:ext xmlns:c16="http://schemas.microsoft.com/office/drawing/2014/chart" uri="{C3380CC4-5D6E-409C-BE32-E72D297353CC}">
              <c16:uniqueId val="{00000001-43D5-427C-A3AD-0835795245B9}"/>
            </c:ext>
          </c:extLst>
        </c:ser>
        <c:ser>
          <c:idx val="3"/>
          <c:order val="2"/>
          <c:tx>
            <c:strRef>
              <c:f>Sheet1!$P$1</c:f>
              <c:strCache>
                <c:ptCount val="1"/>
                <c:pt idx="0">
                  <c:v>金融与房地产业增加值占比</c:v>
                </c:pt>
              </c:strCache>
            </c:strRef>
          </c:tx>
          <c:spPr>
            <a:ln>
              <a:prstDash val="sysDash"/>
            </a:ln>
          </c:spPr>
          <c:marker>
            <c:symbol val="none"/>
          </c:marker>
          <c:cat>
            <c:numRef>
              <c:f>Sheet1!$L$2:$L$56</c:f>
              <c:numCache>
                <c:formatCode>General</c:formatCode>
                <c:ptCount val="55"/>
                <c:pt idx="0">
                  <c:v>1966</c:v>
                </c:pt>
                <c:pt idx="1">
                  <c:v>1967</c:v>
                </c:pt>
                <c:pt idx="2">
                  <c:v>1968</c:v>
                </c:pt>
                <c:pt idx="3">
                  <c:v>1969</c:v>
                </c:pt>
                <c:pt idx="4">
                  <c:v>1970</c:v>
                </c:pt>
                <c:pt idx="5">
                  <c:v>1971</c:v>
                </c:pt>
                <c:pt idx="6">
                  <c:v>1972</c:v>
                </c:pt>
                <c:pt idx="7">
                  <c:v>1973</c:v>
                </c:pt>
                <c:pt idx="8">
                  <c:v>1974</c:v>
                </c:pt>
                <c:pt idx="9">
                  <c:v>1975</c:v>
                </c:pt>
                <c:pt idx="10">
                  <c:v>1976</c:v>
                </c:pt>
                <c:pt idx="11">
                  <c:v>1977</c:v>
                </c:pt>
                <c:pt idx="12">
                  <c:v>1978</c:v>
                </c:pt>
                <c:pt idx="13">
                  <c:v>1979</c:v>
                </c:pt>
                <c:pt idx="14">
                  <c:v>1980</c:v>
                </c:pt>
                <c:pt idx="15">
                  <c:v>1981</c:v>
                </c:pt>
                <c:pt idx="16">
                  <c:v>1982</c:v>
                </c:pt>
                <c:pt idx="17">
                  <c:v>1983</c:v>
                </c:pt>
                <c:pt idx="18">
                  <c:v>1984</c:v>
                </c:pt>
                <c:pt idx="19">
                  <c:v>1985</c:v>
                </c:pt>
                <c:pt idx="20">
                  <c:v>1986</c:v>
                </c:pt>
                <c:pt idx="21">
                  <c:v>1987</c:v>
                </c:pt>
                <c:pt idx="22">
                  <c:v>1988</c:v>
                </c:pt>
                <c:pt idx="23">
                  <c:v>1989</c:v>
                </c:pt>
                <c:pt idx="24">
                  <c:v>1990</c:v>
                </c:pt>
                <c:pt idx="25">
                  <c:v>1991</c:v>
                </c:pt>
                <c:pt idx="26">
                  <c:v>1992</c:v>
                </c:pt>
                <c:pt idx="27">
                  <c:v>1993</c:v>
                </c:pt>
                <c:pt idx="28">
                  <c:v>1994</c:v>
                </c:pt>
                <c:pt idx="29">
                  <c:v>1995</c:v>
                </c:pt>
                <c:pt idx="30">
                  <c:v>1996</c:v>
                </c:pt>
                <c:pt idx="31">
                  <c:v>1997</c:v>
                </c:pt>
                <c:pt idx="32">
                  <c:v>1998</c:v>
                </c:pt>
                <c:pt idx="33">
                  <c:v>1999</c:v>
                </c:pt>
                <c:pt idx="34">
                  <c:v>2000</c:v>
                </c:pt>
                <c:pt idx="35">
                  <c:v>2001</c:v>
                </c:pt>
                <c:pt idx="36">
                  <c:v>2002</c:v>
                </c:pt>
                <c:pt idx="37">
                  <c:v>2003</c:v>
                </c:pt>
                <c:pt idx="38">
                  <c:v>2004</c:v>
                </c:pt>
                <c:pt idx="39">
                  <c:v>2005</c:v>
                </c:pt>
                <c:pt idx="40">
                  <c:v>2006</c:v>
                </c:pt>
                <c:pt idx="41">
                  <c:v>2007</c:v>
                </c:pt>
                <c:pt idx="42">
                  <c:v>2008</c:v>
                </c:pt>
                <c:pt idx="43">
                  <c:v>2009</c:v>
                </c:pt>
                <c:pt idx="44">
                  <c:v>2010</c:v>
                </c:pt>
                <c:pt idx="45">
                  <c:v>2011</c:v>
                </c:pt>
                <c:pt idx="46">
                  <c:v>2012</c:v>
                </c:pt>
                <c:pt idx="47">
                  <c:v>2013</c:v>
                </c:pt>
                <c:pt idx="48">
                  <c:v>2014</c:v>
                </c:pt>
                <c:pt idx="49">
                  <c:v>2015</c:v>
                </c:pt>
                <c:pt idx="50">
                  <c:v>2016</c:v>
                </c:pt>
                <c:pt idx="51">
                  <c:v>2017</c:v>
                </c:pt>
                <c:pt idx="52">
                  <c:v>2018</c:v>
                </c:pt>
                <c:pt idx="53">
                  <c:v>2019</c:v>
                </c:pt>
                <c:pt idx="54">
                  <c:v>2020</c:v>
                </c:pt>
              </c:numCache>
            </c:numRef>
          </c:cat>
          <c:val>
            <c:numRef>
              <c:f>Sheet1!$P$2:$P$56</c:f>
              <c:numCache>
                <c:formatCode>0.00%</c:formatCode>
                <c:ptCount val="55"/>
                <c:pt idx="0">
                  <c:v>3.6109493302271402E-2</c:v>
                </c:pt>
                <c:pt idx="1">
                  <c:v>4.4476646973581536E-2</c:v>
                </c:pt>
                <c:pt idx="2">
                  <c:v>5.160254572558913E-2</c:v>
                </c:pt>
                <c:pt idx="3">
                  <c:v>5.0606462134339003E-2</c:v>
                </c:pt>
                <c:pt idx="4">
                  <c:v>4.5707768566039392E-2</c:v>
                </c:pt>
                <c:pt idx="5">
                  <c:v>4.6847653547152909E-2</c:v>
                </c:pt>
                <c:pt idx="6">
                  <c:v>4.2273938254192137E-2</c:v>
                </c:pt>
                <c:pt idx="7">
                  <c:v>3.8966693273347369E-2</c:v>
                </c:pt>
                <c:pt idx="8">
                  <c:v>4.0739823885136334E-2</c:v>
                </c:pt>
                <c:pt idx="9">
                  <c:v>4.1388386247738114E-2</c:v>
                </c:pt>
                <c:pt idx="10">
                  <c:v>4.3900153918222579E-2</c:v>
                </c:pt>
                <c:pt idx="11">
                  <c:v>4.3753846153846157E-2</c:v>
                </c:pt>
                <c:pt idx="12">
                  <c:v>4.2471747076738356E-2</c:v>
                </c:pt>
                <c:pt idx="13">
                  <c:v>3.9522043403786573E-2</c:v>
                </c:pt>
                <c:pt idx="14">
                  <c:v>3.9668867515544326E-2</c:v>
                </c:pt>
                <c:pt idx="15">
                  <c:v>3.8781608762168865E-2</c:v>
                </c:pt>
                <c:pt idx="16">
                  <c:v>4.4887443567850169E-2</c:v>
                </c:pt>
                <c:pt idx="17">
                  <c:v>4.8248118582287378E-2</c:v>
                </c:pt>
                <c:pt idx="18">
                  <c:v>5.3932870038726224E-2</c:v>
                </c:pt>
                <c:pt idx="19">
                  <c:v>5.5913479831991131E-2</c:v>
                </c:pt>
                <c:pt idx="20">
                  <c:v>6.7333870786782671E-2</c:v>
                </c:pt>
                <c:pt idx="21">
                  <c:v>7.2939767776268816E-2</c:v>
                </c:pt>
                <c:pt idx="22">
                  <c:v>7.4549348759399975E-2</c:v>
                </c:pt>
                <c:pt idx="23">
                  <c:v>9.5753130800994873E-2</c:v>
                </c:pt>
                <c:pt idx="24">
                  <c:v>9.5639439889012356E-2</c:v>
                </c:pt>
                <c:pt idx="25">
                  <c:v>8.8949814887495371E-2</c:v>
                </c:pt>
                <c:pt idx="26">
                  <c:v>9.4917401903042195E-2</c:v>
                </c:pt>
                <c:pt idx="27">
                  <c:v>9.19561863306399E-2</c:v>
                </c:pt>
                <c:pt idx="28">
                  <c:v>9.1770284723311071E-2</c:v>
                </c:pt>
                <c:pt idx="29">
                  <c:v>9.0657431086345969E-2</c:v>
                </c:pt>
                <c:pt idx="30">
                  <c:v>8.7902073757305549E-2</c:v>
                </c:pt>
                <c:pt idx="31">
                  <c:v>8.8988987591795049E-2</c:v>
                </c:pt>
                <c:pt idx="32">
                  <c:v>9.091916109868653E-2</c:v>
                </c:pt>
                <c:pt idx="33">
                  <c:v>9.0148227762675795E-2</c:v>
                </c:pt>
                <c:pt idx="34">
                  <c:v>8.9580045238329659E-2</c:v>
                </c:pt>
                <c:pt idx="35">
                  <c:v>8.9376522930893793E-2</c:v>
                </c:pt>
                <c:pt idx="36">
                  <c:v>8.9472205067118865E-2</c:v>
                </c:pt>
                <c:pt idx="37">
                  <c:v>8.8797418600879696E-2</c:v>
                </c:pt>
                <c:pt idx="38">
                  <c:v>8.4974616662037691E-2</c:v>
                </c:pt>
                <c:pt idx="39">
                  <c:v>8.5248958731490673E-2</c:v>
                </c:pt>
                <c:pt idx="40">
                  <c:v>9.2477650833544728E-2</c:v>
                </c:pt>
                <c:pt idx="41">
                  <c:v>0.10705200815746101</c:v>
                </c:pt>
                <c:pt idx="42">
                  <c:v>0.10319930000084249</c:v>
                </c:pt>
                <c:pt idx="43">
                  <c:v>0.11648582766261034</c:v>
                </c:pt>
                <c:pt idx="44">
                  <c:v>0.11904248272691363</c:v>
                </c:pt>
                <c:pt idx="45">
                  <c:v>0.11994890197406073</c:v>
                </c:pt>
                <c:pt idx="46">
                  <c:v>0.12258910085854134</c:v>
                </c:pt>
                <c:pt idx="47">
                  <c:v>0.12923870249866815</c:v>
                </c:pt>
                <c:pt idx="48">
                  <c:v>0.13198358261384763</c:v>
                </c:pt>
                <c:pt idx="49">
                  <c:v>0.14353267538429804</c:v>
                </c:pt>
                <c:pt idx="50">
                  <c:v>0.14728577173815016</c:v>
                </c:pt>
                <c:pt idx="51">
                  <c:v>0.14654445980989433</c:v>
                </c:pt>
                <c:pt idx="52">
                  <c:v>0.14710760849882437</c:v>
                </c:pt>
                <c:pt idx="53">
                  <c:v>0.14870067150307309</c:v>
                </c:pt>
                <c:pt idx="54">
                  <c:v>0.15494091658469544</c:v>
                </c:pt>
              </c:numCache>
            </c:numRef>
          </c:val>
          <c:smooth val="0"/>
          <c:extLst>
            <c:ext xmlns:c16="http://schemas.microsoft.com/office/drawing/2014/chart" uri="{C3380CC4-5D6E-409C-BE32-E72D297353CC}">
              <c16:uniqueId val="{00000002-43D5-427C-A3AD-0835795245B9}"/>
            </c:ext>
          </c:extLst>
        </c:ser>
        <c:dLbls>
          <c:showLegendKey val="0"/>
          <c:showVal val="0"/>
          <c:showCatName val="0"/>
          <c:showSerName val="0"/>
          <c:showPercent val="0"/>
          <c:showBubbleSize val="0"/>
        </c:dLbls>
        <c:smooth val="0"/>
        <c:axId val="179602944"/>
        <c:axId val="179604480"/>
      </c:lineChart>
      <c:catAx>
        <c:axId val="179602944"/>
        <c:scaling>
          <c:orientation val="minMax"/>
        </c:scaling>
        <c:delete val="0"/>
        <c:axPos val="b"/>
        <c:numFmt formatCode="General" sourceLinked="1"/>
        <c:majorTickMark val="out"/>
        <c:minorTickMark val="none"/>
        <c:tickLblPos val="nextTo"/>
        <c:crossAx val="179604480"/>
        <c:crosses val="autoZero"/>
        <c:auto val="1"/>
        <c:lblAlgn val="ctr"/>
        <c:lblOffset val="100"/>
        <c:noMultiLvlLbl val="0"/>
      </c:catAx>
      <c:valAx>
        <c:axId val="179604480"/>
        <c:scaling>
          <c:orientation val="minMax"/>
        </c:scaling>
        <c:delete val="0"/>
        <c:axPos val="l"/>
        <c:numFmt formatCode="0.00%" sourceLinked="1"/>
        <c:majorTickMark val="out"/>
        <c:minorTickMark val="none"/>
        <c:tickLblPos val="nextTo"/>
        <c:crossAx val="179602944"/>
        <c:crosses val="autoZero"/>
        <c:crossBetween val="between"/>
      </c:valAx>
    </c:plotArea>
    <c:legend>
      <c:legendPos val="r"/>
      <c:layout>
        <c:manualLayout>
          <c:xMode val="edge"/>
          <c:yMode val="edge"/>
          <c:x val="0.13874836451319006"/>
          <c:y val="0.39526733409069692"/>
          <c:w val="0.46060799811791131"/>
          <c:h val="0.2818164296627100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金融发展与共同富裕（论文）</Template>
  <TotalTime>0</TotalTime>
  <Pages>21</Pages>
  <Words>3205</Words>
  <Characters>18273</Characters>
  <Application>Microsoft Office Word</Application>
  <DocSecurity>0</DocSecurity>
  <Lines>152</Lines>
  <Paragraphs>42</Paragraphs>
  <ScaleCrop>false</ScaleCrop>
  <Company>CASS</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资产市场繁荣与收入差距扩大</dc:title>
  <dc:creator>xb21cn</dc:creator>
  <cp:lastModifiedBy>He Wei</cp:lastModifiedBy>
  <cp:revision>14</cp:revision>
  <dcterms:created xsi:type="dcterms:W3CDTF">2021-12-29T06:52:00Z</dcterms:created>
  <dcterms:modified xsi:type="dcterms:W3CDTF">2022-01-07T05:21:00Z</dcterms:modified>
</cp:coreProperties>
</file>